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0DFEF" w14:textId="1E02E8DD" w:rsidR="0042516E" w:rsidRPr="008C5171" w:rsidRDefault="0042516E" w:rsidP="008C5171">
      <w:pPr>
        <w:pStyle w:val="Title"/>
      </w:pPr>
      <w:bookmarkStart w:id="0" w:name="_GoBack"/>
      <w:bookmarkEnd w:id="0"/>
      <w:r w:rsidRPr="0019169E">
        <w:t xml:space="preserve">Supporting Statement for a Request for </w:t>
      </w:r>
      <w:r w:rsidRPr="003F70D2">
        <w:t xml:space="preserve">an Information Collection Request (ICR) Under the </w:t>
      </w:r>
      <w:r w:rsidRPr="008C5171">
        <w:t>Paperwork Reduction Act (PRA)</w:t>
      </w:r>
    </w:p>
    <w:p w14:paraId="7FCBA2A5" w14:textId="77777777" w:rsidR="0042516E" w:rsidRPr="009533EA" w:rsidRDefault="0042516E" w:rsidP="0042516E">
      <w:pPr>
        <w:rPr>
          <w:rFonts w:eastAsia="Times New Roman" w:cs="Times New Roman"/>
          <w:b/>
          <w:bCs/>
          <w:sz w:val="32"/>
          <w:szCs w:val="32"/>
        </w:rPr>
      </w:pPr>
    </w:p>
    <w:p w14:paraId="422B9771" w14:textId="77777777" w:rsidR="0042516E" w:rsidRDefault="0042516E" w:rsidP="0042516E">
      <w:pPr>
        <w:pStyle w:val="Heading1"/>
      </w:pPr>
      <w:r w:rsidRPr="009533EA">
        <w:fldChar w:fldCharType="begin"/>
      </w:r>
      <w:r w:rsidRPr="009533EA">
        <w:rPr>
          <w:smallCaps/>
        </w:rPr>
        <w:instrText>tc "Introduction to Part A " \l 2</w:instrText>
      </w:r>
      <w:r w:rsidRPr="009533EA">
        <w:fldChar w:fldCharType="end"/>
      </w:r>
      <w:r w:rsidRPr="009533EA">
        <w:t xml:space="preserve">IDENTIFICATION OF THE INFORMATION COLLECTION </w:t>
      </w:r>
    </w:p>
    <w:p w14:paraId="1D5D9B80" w14:textId="6243BCC0" w:rsidR="0042516E" w:rsidRPr="006D5F46" w:rsidRDefault="0042516E" w:rsidP="008C5171">
      <w:pPr>
        <w:pStyle w:val="BodyText"/>
      </w:pPr>
      <w:r w:rsidRPr="00212BBF">
        <w:t>This</w:t>
      </w:r>
      <w:r>
        <w:t xml:space="preserve"> Information Collection Request</w:t>
      </w:r>
      <w:r w:rsidRPr="00212BBF">
        <w:t xml:space="preserve"> </w:t>
      </w:r>
      <w:r>
        <w:t>(</w:t>
      </w:r>
      <w:r w:rsidRPr="00212BBF">
        <w:t>ICR</w:t>
      </w:r>
      <w:r>
        <w:t>)</w:t>
      </w:r>
      <w:r w:rsidRPr="00212BBF">
        <w:t xml:space="preserve"> </w:t>
      </w:r>
      <w:bookmarkStart w:id="1" w:name="_Hlk527374215"/>
      <w:r w:rsidRPr="00212BBF">
        <w:t>Addendum quantifies the</w:t>
      </w:r>
      <w:r>
        <w:t xml:space="preserve"> changes to </w:t>
      </w:r>
      <w:r w:rsidRPr="00212BBF">
        <w:t>burdens associated with the</w:t>
      </w:r>
      <w:r w:rsidRPr="00480751">
        <w:t xml:space="preserve"> </w:t>
      </w:r>
      <w:r>
        <w:t xml:space="preserve">proposed rule for </w:t>
      </w:r>
      <w:r w:rsidRPr="00C91AA1">
        <w:t xml:space="preserve">Chemical Data Reporting (CDR) Revisions and Small Manufacturer Definition </w:t>
      </w:r>
      <w:r>
        <w:t xml:space="preserve">(SMD) </w:t>
      </w:r>
      <w:r w:rsidRPr="00C91AA1">
        <w:t xml:space="preserve">Update for Reporting and Recordkeeping Requirements under </w:t>
      </w:r>
      <w:r w:rsidR="00EC20F5">
        <w:t>s</w:t>
      </w:r>
      <w:r w:rsidRPr="00C91AA1">
        <w:t>ection 8(a)</w:t>
      </w:r>
      <w:r w:rsidDel="00480751">
        <w:t xml:space="preserve"> </w:t>
      </w:r>
      <w:r>
        <w:t xml:space="preserve">of the Toxic Substances Control Act (TSCA) </w:t>
      </w:r>
      <w:r w:rsidRPr="00212BBF">
        <w:t>(RIN 2070-AK33)</w:t>
      </w:r>
      <w:r>
        <w:t>. Note that the SMD Update portion of the rule includes a small government definition</w:t>
      </w:r>
      <w:r w:rsidR="00856969">
        <w:t xml:space="preserve"> (SGD)</w:t>
      </w:r>
      <w:r>
        <w:t xml:space="preserve">. </w:t>
      </w:r>
      <w:bookmarkEnd w:id="1"/>
      <w:r w:rsidRPr="00D72479">
        <w:t xml:space="preserve">Changes to </w:t>
      </w:r>
      <w:r>
        <w:t xml:space="preserve">the </w:t>
      </w:r>
      <w:bookmarkStart w:id="2" w:name="_Hlk527374232"/>
      <w:r w:rsidRPr="00D72479">
        <w:t xml:space="preserve">CDR </w:t>
      </w:r>
      <w:r w:rsidR="00856969">
        <w:t xml:space="preserve">rule </w:t>
      </w:r>
      <w:bookmarkEnd w:id="2"/>
      <w:r w:rsidRPr="00D72479">
        <w:t>were put in place following enactment of the Frank R. Lautenberg Chemical Safety for the 21st Century Act</w:t>
      </w:r>
      <w:r w:rsidR="001670BD">
        <w:t xml:space="preserve"> (Lautenberg Act)</w:t>
      </w:r>
      <w:r w:rsidRPr="00D72479">
        <w:t>, which amended TSCA on June 22, 2016</w:t>
      </w:r>
      <w:r w:rsidR="001670BD">
        <w:t>.</w:t>
      </w:r>
      <w:r w:rsidR="002A58F8">
        <w:t xml:space="preserve"> </w:t>
      </w:r>
      <w:r w:rsidR="002049F9">
        <w:t>The Environmental Protection Agency (</w:t>
      </w:r>
      <w:r w:rsidRPr="00D72479">
        <w:t>EPA</w:t>
      </w:r>
      <w:r w:rsidR="002049F9">
        <w:t>)</w:t>
      </w:r>
      <w:r w:rsidRPr="00D72479">
        <w:t xml:space="preserve"> implemented </w:t>
      </w:r>
      <w:r>
        <w:t xml:space="preserve">these </w:t>
      </w:r>
      <w:r w:rsidRPr="00D72479">
        <w:t xml:space="preserve">changes from the amended TSCA that did not require regulatory revision, quantifying the associated burdens in the renewal ICR published on </w:t>
      </w:r>
      <w:r w:rsidR="00BC5CCB" w:rsidRPr="00FC143C">
        <w:t>October 29, 2018</w:t>
      </w:r>
      <w:r w:rsidRPr="00FC143C">
        <w:t>,</w:t>
      </w:r>
      <w:r w:rsidRPr="00D72479">
        <w:t xml:space="preserve"> and is using that renewal ICR as the baseline</w:t>
      </w:r>
      <w:r>
        <w:t xml:space="preserve"> for this amendment. </w:t>
      </w:r>
      <w:r w:rsidRPr="001B4BBE">
        <w:t xml:space="preserve">EPA is proposing revisions to the CDR rule for three primary reasons: </w:t>
      </w:r>
      <w:r>
        <w:t xml:space="preserve">to </w:t>
      </w:r>
      <w:r w:rsidRPr="001B4BBE">
        <w:t>align</w:t>
      </w:r>
      <w:r w:rsidR="006855C4">
        <w:t xml:space="preserve"> with</w:t>
      </w:r>
      <w:r w:rsidRPr="001B4BBE">
        <w:t xml:space="preserve"> </w:t>
      </w:r>
      <w:r w:rsidR="00063FB2">
        <w:t xml:space="preserve">the </w:t>
      </w:r>
      <w:r w:rsidR="006855C4">
        <w:t>Lautenberg Act</w:t>
      </w:r>
      <w:r w:rsidRPr="001B4BBE">
        <w:t xml:space="preserve">, </w:t>
      </w:r>
      <w:r>
        <w:t xml:space="preserve">to </w:t>
      </w:r>
      <w:r w:rsidRPr="001B4BBE">
        <w:t xml:space="preserve">reduce burden for </w:t>
      </w:r>
      <w:r w:rsidR="008F5F4B">
        <w:t xml:space="preserve">certain </w:t>
      </w:r>
      <w:r w:rsidRPr="001B4BBE">
        <w:t xml:space="preserve">CDR reporters, and </w:t>
      </w:r>
      <w:r>
        <w:t xml:space="preserve">to </w:t>
      </w:r>
      <w:r w:rsidR="00A3357E">
        <w:t>improve</w:t>
      </w:r>
      <w:r w:rsidRPr="001B4BBE">
        <w:t xml:space="preserve"> the CDR data collected</w:t>
      </w:r>
      <w:r w:rsidR="000F6198">
        <w:t xml:space="preserve"> as necessary to support implementation of TSCA</w:t>
      </w:r>
      <w:r w:rsidRPr="002471B2">
        <w:t xml:space="preserve">. </w:t>
      </w:r>
      <w:r w:rsidRPr="0B02F8A5">
        <w:t xml:space="preserve">In addition, because EPA is proposing a change to the TSCA section 8(a) small manufacturer </w:t>
      </w:r>
      <w:r w:rsidR="000F6731">
        <w:t>definition</w:t>
      </w:r>
      <w:r w:rsidRPr="0B02F8A5">
        <w:t xml:space="preserve">, the proposal impacts other ICRs, including certain </w:t>
      </w:r>
      <w:bookmarkStart w:id="3" w:name="_Hlk527374267"/>
      <w:r w:rsidRPr="0B02F8A5">
        <w:t xml:space="preserve">chemical-specific </w:t>
      </w:r>
      <w:r w:rsidR="00686D27">
        <w:t xml:space="preserve">TSCA section </w:t>
      </w:r>
      <w:r w:rsidRPr="0B02F8A5">
        <w:t>8(a)</w:t>
      </w:r>
      <w:bookmarkEnd w:id="3"/>
      <w:r w:rsidRPr="0B02F8A5">
        <w:t xml:space="preserve"> rules listed in 40 CFR 704.3 and the Preliminary Assessment Information Rule (PAIR) at 40 CFR 712.  </w:t>
      </w:r>
    </w:p>
    <w:p w14:paraId="2B2341FC" w14:textId="77777777" w:rsidR="0042516E" w:rsidRDefault="0042516E" w:rsidP="0042516E">
      <w:pPr>
        <w:pStyle w:val="Heading2"/>
        <w:tabs>
          <w:tab w:val="clear" w:pos="720"/>
        </w:tabs>
        <w:ind w:left="1080" w:hanging="360"/>
      </w:pPr>
      <w:r w:rsidRPr="009533EA">
        <w:t>Title of the Information Collection</w:t>
      </w:r>
      <w:r>
        <w:t>(s)</w:t>
      </w:r>
    </w:p>
    <w:p w14:paraId="02A73B24" w14:textId="77777777" w:rsidR="0042516E" w:rsidRDefault="0042516E" w:rsidP="008C5171">
      <w:pPr>
        <w:pStyle w:val="BodyText"/>
      </w:pPr>
      <w:r w:rsidRPr="00C91AA1">
        <w:t>Because the change to the small business standard impacts how many entities report under a rule and not the data collected, this addendum focuses on the CDR ICR iden</w:t>
      </w:r>
      <w:r>
        <w:t>tified by</w:t>
      </w:r>
      <w:r w:rsidRPr="00C91AA1">
        <w:t>:</w:t>
      </w:r>
    </w:p>
    <w:p w14:paraId="2ED99E84" w14:textId="543486EF" w:rsidR="0042516E" w:rsidRPr="009533EA" w:rsidRDefault="0042516E" w:rsidP="008C5171">
      <w:pPr>
        <w:ind w:left="720" w:right="720"/>
        <w:rPr>
          <w:rFonts w:eastAsia="Times New Roman" w:cs="Times New Roman"/>
          <w:b/>
        </w:rPr>
      </w:pPr>
      <w:r w:rsidRPr="009533EA">
        <w:rPr>
          <w:rFonts w:eastAsia="Times New Roman" w:cs="Times New Roman"/>
          <w:b/>
        </w:rPr>
        <w:t>Title</w:t>
      </w:r>
      <w:r w:rsidRPr="00FC1700">
        <w:rPr>
          <w:rFonts w:eastAsia="Times New Roman" w:cs="Times New Roman"/>
        </w:rPr>
        <w:t xml:space="preserve">: </w:t>
      </w:r>
      <w:r w:rsidR="00A1506F" w:rsidRPr="00FC1700">
        <w:rPr>
          <w:rFonts w:eastAsia="Times New Roman" w:cs="Times New Roman"/>
          <w:b/>
          <w:bCs/>
          <w:noProof/>
          <w:szCs w:val="20"/>
        </w:rPr>
        <w:t>Chemical Data Reporting under the Toxic Substances Control Act (TSCA section 8(a))</w:t>
      </w:r>
    </w:p>
    <w:p w14:paraId="6DA2F090" w14:textId="77777777" w:rsidR="0042516E" w:rsidRPr="009533EA" w:rsidRDefault="0042516E" w:rsidP="0042516E">
      <w:pPr>
        <w:ind w:left="990" w:hanging="630"/>
        <w:rPr>
          <w:rFonts w:eastAsia="Times New Roman" w:cs="Times New Roman"/>
          <w:b/>
        </w:rPr>
      </w:pPr>
    </w:p>
    <w:p w14:paraId="1EF3B083" w14:textId="14216318" w:rsidR="0042516E" w:rsidRPr="009533EA" w:rsidRDefault="0042516E" w:rsidP="008C5171">
      <w:pPr>
        <w:ind w:left="720"/>
        <w:rPr>
          <w:rFonts w:eastAsia="Times New Roman" w:cs="Times New Roman"/>
          <w:b/>
          <w:bCs/>
        </w:rPr>
      </w:pPr>
      <w:r w:rsidRPr="0B02F8A5">
        <w:rPr>
          <w:rFonts w:eastAsia="Times New Roman" w:cs="Times New Roman"/>
          <w:b/>
          <w:bCs/>
        </w:rPr>
        <w:t>EPA ICR No.: 1884.1</w:t>
      </w:r>
      <w:r w:rsidR="00331D53">
        <w:rPr>
          <w:rFonts w:eastAsia="Times New Roman" w:cs="Times New Roman"/>
          <w:b/>
          <w:bCs/>
        </w:rPr>
        <w:t>1</w:t>
      </w:r>
      <w:r w:rsidRPr="009533EA">
        <w:rPr>
          <w:rFonts w:eastAsia="Times New Roman" w:cs="Times New Roman"/>
          <w:b/>
        </w:rPr>
        <w:tab/>
      </w:r>
      <w:r w:rsidRPr="0B02F8A5">
        <w:rPr>
          <w:rFonts w:eastAsia="Times New Roman" w:cs="Times New Roman"/>
          <w:b/>
          <w:bCs/>
        </w:rPr>
        <w:t>OMB Control No.: 2070-0162</w:t>
      </w:r>
      <w:r>
        <w:rPr>
          <w:rFonts w:eastAsia="Times New Roman" w:cs="Times New Roman"/>
          <w:b/>
        </w:rPr>
        <w:br/>
      </w:r>
    </w:p>
    <w:p w14:paraId="05C75029" w14:textId="4711238F" w:rsidR="0042516E" w:rsidRDefault="0042516E" w:rsidP="008C5171">
      <w:pPr>
        <w:pStyle w:val="BodyText"/>
      </w:pPr>
      <w:r>
        <w:t>There are o</w:t>
      </w:r>
      <w:r w:rsidRPr="00BA08AB">
        <w:t>ther</w:t>
      </w:r>
      <w:r w:rsidRPr="002008AA">
        <w:t xml:space="preserve"> ICRs</w:t>
      </w:r>
      <w:r>
        <w:t xml:space="preserve"> that could potentially be impacted by the rule but are currently not collecting any reports (listed below). Note that the TSCA section 8(a) chemical-specific rule for nanoscale materials would not be affected by the rule (OMB No. </w:t>
      </w:r>
      <w:r w:rsidRPr="00BE5C1F">
        <w:t>2070-0194</w:t>
      </w:r>
      <w:r>
        <w:t>, ICR No.</w:t>
      </w:r>
      <w:r w:rsidRPr="00BE5C1F">
        <w:t xml:space="preserve"> 201701-2070-001</w:t>
      </w:r>
      <w:r>
        <w:t>)</w:t>
      </w:r>
      <w:r w:rsidRPr="007F3B13">
        <w:rPr>
          <w:rFonts w:eastAsia="Calibri"/>
        </w:rPr>
        <w:t>.</w:t>
      </w:r>
    </w:p>
    <w:p w14:paraId="42283AF1" w14:textId="66D99235" w:rsidR="0042516E" w:rsidRPr="00CE59A8" w:rsidRDefault="0042516E" w:rsidP="008C5171">
      <w:pPr>
        <w:pStyle w:val="ListParagraph"/>
        <w:numPr>
          <w:ilvl w:val="0"/>
          <w:numId w:val="49"/>
        </w:numPr>
        <w:spacing w:after="120"/>
        <w:rPr>
          <w:rFonts w:cs="Times New Roman"/>
          <w:color w:val="000000" w:themeColor="text1"/>
        </w:rPr>
      </w:pPr>
      <w:r w:rsidRPr="00794249">
        <w:rPr>
          <w:rFonts w:cs="Times New Roman"/>
          <w:color w:val="000000"/>
        </w:rPr>
        <w:t>Preliminary Assessment Information Rule</w:t>
      </w:r>
      <w:r w:rsidR="000035EF">
        <w:rPr>
          <w:rFonts w:cs="Times New Roman"/>
          <w:color w:val="000000"/>
        </w:rPr>
        <w:br/>
      </w:r>
      <w:r w:rsidRPr="00794249">
        <w:rPr>
          <w:rFonts w:cs="Times New Roman"/>
          <w:color w:val="000000"/>
        </w:rPr>
        <w:t xml:space="preserve">(OMB </w:t>
      </w:r>
      <w:r w:rsidRPr="000035EF">
        <w:rPr>
          <w:rFonts w:cs="Times New Roman"/>
          <w:color w:val="000000"/>
        </w:rPr>
        <w:t>Control No. 2070-0054, EPA ICR No. 201603-2070-001)</w:t>
      </w:r>
    </w:p>
    <w:p w14:paraId="2B3C0FE6" w14:textId="32382B7A" w:rsidR="0042516E" w:rsidRPr="000035EF" w:rsidRDefault="0042516E" w:rsidP="000B7170">
      <w:pPr>
        <w:pStyle w:val="ListParagraph"/>
        <w:numPr>
          <w:ilvl w:val="0"/>
          <w:numId w:val="49"/>
        </w:numPr>
        <w:spacing w:after="120"/>
        <w:rPr>
          <w:rFonts w:cs="Times New Roman"/>
          <w:color w:val="000000" w:themeColor="text1"/>
        </w:rPr>
      </w:pPr>
      <w:r w:rsidRPr="000B7170">
        <w:rPr>
          <w:rFonts w:cs="Times New Roman"/>
          <w:color w:val="000000"/>
        </w:rPr>
        <w:t xml:space="preserve">TSCA </w:t>
      </w:r>
      <w:r w:rsidR="007347A8" w:rsidRPr="000B7170">
        <w:rPr>
          <w:rFonts w:cs="Times New Roman"/>
          <w:color w:val="000000"/>
        </w:rPr>
        <w:t xml:space="preserve">Section </w:t>
      </w:r>
      <w:r w:rsidRPr="000B7170">
        <w:rPr>
          <w:rFonts w:cs="Times New Roman"/>
          <w:color w:val="000000"/>
        </w:rPr>
        <w:t>8(a) Chemical-Specific Reporting Rules</w:t>
      </w:r>
      <w:r w:rsidR="000035EF">
        <w:rPr>
          <w:rFonts w:cs="Times New Roman"/>
          <w:color w:val="000000"/>
        </w:rPr>
        <w:br/>
      </w:r>
      <w:r w:rsidRPr="00794249">
        <w:rPr>
          <w:rFonts w:cs="Times New Roman"/>
          <w:color w:val="000000"/>
        </w:rPr>
        <w:t>(OMB Control No.</w:t>
      </w:r>
      <w:r w:rsidRPr="000035EF">
        <w:rPr>
          <w:rFonts w:cs="Times New Roman"/>
          <w:color w:val="000000"/>
        </w:rPr>
        <w:t xml:space="preserve"> 2070-0194, EPA ICR No. 201701-2070-001)</w:t>
      </w:r>
      <w:r w:rsidRPr="000035EF">
        <w:rPr>
          <w:rFonts w:cs="Times New Roman"/>
          <w:color w:val="000000"/>
        </w:rPr>
        <w:tab/>
      </w:r>
    </w:p>
    <w:p w14:paraId="3A3AADC4" w14:textId="77777777" w:rsidR="0042516E" w:rsidRPr="006573DC" w:rsidRDefault="0042516E" w:rsidP="008C5171">
      <w:pPr>
        <w:pStyle w:val="ListParagraph"/>
        <w:numPr>
          <w:ilvl w:val="1"/>
          <w:numId w:val="49"/>
        </w:numPr>
        <w:spacing w:after="120"/>
        <w:rPr>
          <w:rFonts w:cs="Times New Roman"/>
          <w:color w:val="000000" w:themeColor="text1"/>
        </w:rPr>
      </w:pPr>
      <w:r w:rsidRPr="006573DC">
        <w:rPr>
          <w:rFonts w:cs="Times New Roman"/>
          <w:color w:val="000000"/>
        </w:rPr>
        <w:t>11-aminoundecanoic acid (40 CFR 704.25)</w:t>
      </w:r>
    </w:p>
    <w:p w14:paraId="78290F6B" w14:textId="7C201D14" w:rsidR="0042516E" w:rsidRPr="006573DC" w:rsidRDefault="0042516E" w:rsidP="008C5171">
      <w:pPr>
        <w:pStyle w:val="ListParagraph"/>
        <w:numPr>
          <w:ilvl w:val="1"/>
          <w:numId w:val="49"/>
        </w:numPr>
        <w:spacing w:after="120"/>
        <w:rPr>
          <w:rFonts w:cs="Times New Roman"/>
          <w:color w:val="000000" w:themeColor="text1"/>
        </w:rPr>
      </w:pPr>
      <w:r w:rsidRPr="006573DC">
        <w:rPr>
          <w:rFonts w:cs="Times New Roman"/>
          <w:color w:val="000000"/>
        </w:rPr>
        <w:t>P-tert-butylbenzoic acid (P-TBBA), p-tert-butyltoluene (P-TBT) and p-tert-butylbenzaldehyde (P-TBB)</w:t>
      </w:r>
      <w:r w:rsidR="00D30B69">
        <w:rPr>
          <w:rFonts w:cs="Times New Roman"/>
          <w:color w:val="000000"/>
        </w:rPr>
        <w:t xml:space="preserve"> </w:t>
      </w:r>
      <w:r w:rsidRPr="006573DC">
        <w:rPr>
          <w:rFonts w:cs="Times New Roman"/>
          <w:color w:val="000000"/>
        </w:rPr>
        <w:t>(40 CFR 704.33)</w:t>
      </w:r>
    </w:p>
    <w:p w14:paraId="5A416631" w14:textId="77777777" w:rsidR="0042516E" w:rsidRPr="006573DC" w:rsidRDefault="0042516E" w:rsidP="008C5171">
      <w:pPr>
        <w:pStyle w:val="ListParagraph"/>
        <w:numPr>
          <w:ilvl w:val="1"/>
          <w:numId w:val="49"/>
        </w:numPr>
        <w:spacing w:after="120"/>
        <w:rPr>
          <w:rFonts w:cs="Times New Roman"/>
          <w:color w:val="000000" w:themeColor="text1"/>
        </w:rPr>
      </w:pPr>
      <w:r w:rsidRPr="006573DC">
        <w:rPr>
          <w:rFonts w:cs="Times New Roman"/>
          <w:color w:val="000000"/>
        </w:rPr>
        <w:lastRenderedPageBreak/>
        <w:t>Chlorinated naphthalenes (40 CFR 704.43)</w:t>
      </w:r>
    </w:p>
    <w:p w14:paraId="19FA5C6A" w14:textId="77777777" w:rsidR="0042516E" w:rsidRPr="006573DC" w:rsidRDefault="0042516E" w:rsidP="008C5171">
      <w:pPr>
        <w:pStyle w:val="ListParagraph"/>
        <w:numPr>
          <w:ilvl w:val="1"/>
          <w:numId w:val="49"/>
        </w:numPr>
        <w:spacing w:after="120"/>
        <w:rPr>
          <w:rFonts w:cs="Times New Roman"/>
          <w:color w:val="000000" w:themeColor="text1"/>
        </w:rPr>
      </w:pPr>
      <w:r w:rsidRPr="006573DC">
        <w:rPr>
          <w:rFonts w:cs="Times New Roman"/>
          <w:color w:val="000000"/>
        </w:rPr>
        <w:t>Chlorinated terphenyl (40 CFR 704.45)</w:t>
      </w:r>
    </w:p>
    <w:p w14:paraId="34B81697" w14:textId="77777777" w:rsidR="0042516E" w:rsidRPr="00AE251B" w:rsidRDefault="0042516E" w:rsidP="008C5171">
      <w:pPr>
        <w:pStyle w:val="ListParagraph"/>
        <w:numPr>
          <w:ilvl w:val="1"/>
          <w:numId w:val="49"/>
        </w:numPr>
        <w:spacing w:after="120"/>
        <w:rPr>
          <w:rFonts w:cs="Times New Roman"/>
        </w:rPr>
      </w:pPr>
      <w:r w:rsidRPr="006573DC">
        <w:rPr>
          <w:rFonts w:cs="Times New Roman"/>
          <w:color w:val="000000"/>
        </w:rPr>
        <w:t>Phosphonic acid, [1,2-ethanediyl-bis[nitrilobis-(methylene)]] tetrakis- (EDTMPA) and its salts (40 CFR 704.95)</w:t>
      </w:r>
    </w:p>
    <w:p w14:paraId="15476EA8" w14:textId="77777777" w:rsidR="0042516E" w:rsidRPr="00AE251B" w:rsidRDefault="0042516E" w:rsidP="008C5171">
      <w:pPr>
        <w:pStyle w:val="ListParagraph"/>
        <w:numPr>
          <w:ilvl w:val="1"/>
          <w:numId w:val="49"/>
        </w:numPr>
        <w:spacing w:after="120"/>
        <w:rPr>
          <w:rFonts w:cs="Times New Roman"/>
        </w:rPr>
      </w:pPr>
      <w:r w:rsidRPr="006573DC">
        <w:rPr>
          <w:rFonts w:cs="Times New Roman"/>
          <w:color w:val="000000"/>
        </w:rPr>
        <w:t>Hexachloronorbornadiene (40 CFR 704.102)</w:t>
      </w:r>
    </w:p>
    <w:p w14:paraId="706CE7AA" w14:textId="77777777" w:rsidR="0042516E" w:rsidRPr="00AE251B" w:rsidRDefault="0042516E" w:rsidP="008C5171">
      <w:pPr>
        <w:pStyle w:val="ListParagraph"/>
        <w:numPr>
          <w:ilvl w:val="1"/>
          <w:numId w:val="49"/>
        </w:numPr>
        <w:spacing w:after="120"/>
        <w:rPr>
          <w:rFonts w:cs="Times New Roman"/>
        </w:rPr>
      </w:pPr>
      <w:r w:rsidRPr="006573DC">
        <w:rPr>
          <w:rFonts w:cs="Times New Roman"/>
          <w:color w:val="000000"/>
        </w:rPr>
        <w:t>Hexafluoropropylene oxide (40 CFR 704.104)</w:t>
      </w:r>
    </w:p>
    <w:p w14:paraId="1D004D49" w14:textId="77777777" w:rsidR="0042516E" w:rsidRPr="00BF67B2" w:rsidRDefault="0042516E" w:rsidP="00FC143C">
      <w:pPr>
        <w:pStyle w:val="ListParagraph"/>
        <w:numPr>
          <w:ilvl w:val="1"/>
          <w:numId w:val="49"/>
        </w:numPr>
        <w:spacing w:after="240"/>
        <w:rPr>
          <w:rFonts w:cs="Times New Roman"/>
        </w:rPr>
      </w:pPr>
      <w:r w:rsidRPr="006573DC">
        <w:rPr>
          <w:rFonts w:cs="Times New Roman"/>
          <w:color w:val="000000"/>
        </w:rPr>
        <w:t>4,4</w:t>
      </w:r>
      <w:r>
        <w:rPr>
          <w:rFonts w:cs="Times New Roman"/>
          <w:color w:val="000000"/>
        </w:rPr>
        <w:t>’</w:t>
      </w:r>
      <w:r w:rsidRPr="006573DC">
        <w:rPr>
          <w:rFonts w:cs="Times New Roman"/>
          <w:color w:val="000000"/>
        </w:rPr>
        <w:t>-methylenebis(2-chloraoniline) (MBOCA) (40 CFR 704.175)</w:t>
      </w:r>
    </w:p>
    <w:p w14:paraId="50E4CE38" w14:textId="1F5D0712" w:rsidR="0042516E" w:rsidRDefault="0042516E" w:rsidP="008C5171">
      <w:pPr>
        <w:pStyle w:val="BodyText"/>
        <w:ind w:firstLine="0"/>
      </w:pPr>
      <w:r w:rsidRPr="00C91AA1">
        <w:t xml:space="preserve">These ICRs are </w:t>
      </w:r>
      <w:r>
        <w:t>not discussed in this addendum,</w:t>
      </w:r>
      <w:r w:rsidRPr="00E37F0A">
        <w:t xml:space="preserve"> </w:t>
      </w:r>
      <w:r>
        <w:t>either because EPA has not received any chemical reports under the rule</w:t>
      </w:r>
      <w:r w:rsidR="004D6436">
        <w:t>s</w:t>
      </w:r>
      <w:r>
        <w:t xml:space="preserve"> for </w:t>
      </w:r>
      <w:r w:rsidR="004D6436">
        <w:t xml:space="preserve">an extended period of time </w:t>
      </w:r>
      <w:r>
        <w:t xml:space="preserve">or because the rule uses a different definition </w:t>
      </w:r>
      <w:r w:rsidR="00EF10E4">
        <w:t xml:space="preserve">that </w:t>
      </w:r>
      <w:r>
        <w:t xml:space="preserve">is not </w:t>
      </w:r>
      <w:r w:rsidR="00856969">
        <w:t xml:space="preserve">proposed to be </w:t>
      </w:r>
      <w:r>
        <w:t xml:space="preserve">changed.    </w:t>
      </w:r>
    </w:p>
    <w:p w14:paraId="74C82D22" w14:textId="77777777" w:rsidR="0042516E" w:rsidRPr="009533EA" w:rsidRDefault="0042516E" w:rsidP="0042516E">
      <w:pPr>
        <w:pStyle w:val="Heading2"/>
        <w:numPr>
          <w:ilvl w:val="0"/>
          <w:numId w:val="0"/>
        </w:numPr>
        <w:ind w:left="1080" w:hanging="360"/>
      </w:pPr>
      <w:r>
        <w:t xml:space="preserve">1(b) </w:t>
      </w:r>
      <w:r w:rsidRPr="009533EA">
        <w:t>Short Characterization/Abstract</w:t>
      </w:r>
    </w:p>
    <w:p w14:paraId="3E7855AE" w14:textId="5BAD037D" w:rsidR="0042516E" w:rsidRDefault="00A858BB" w:rsidP="0042516E">
      <w:pPr>
        <w:pStyle w:val="BodyText"/>
      </w:pPr>
      <w:r>
        <w:t xml:space="preserve">This </w:t>
      </w:r>
      <w:r w:rsidR="0042516E" w:rsidRPr="009533EA">
        <w:t>ICR</w:t>
      </w:r>
      <w:r>
        <w:t xml:space="preserve"> addendum</w:t>
      </w:r>
      <w:r w:rsidR="0042516E" w:rsidRPr="009533EA">
        <w:t xml:space="preserve"> addresses the paperwork requirements </w:t>
      </w:r>
      <w:r w:rsidR="0042516E">
        <w:t xml:space="preserve">in a proposed rule (RIN 2070-AK33) that would amend the information collection activities of the </w:t>
      </w:r>
      <w:r w:rsidR="0042516E" w:rsidRPr="009533EA">
        <w:t xml:space="preserve">CDR </w:t>
      </w:r>
      <w:r w:rsidR="0042516E">
        <w:t xml:space="preserve">program </w:t>
      </w:r>
      <w:r w:rsidR="0042516E" w:rsidRPr="009533EA">
        <w:t>(40 CFR Part 71</w:t>
      </w:r>
      <w:r w:rsidR="0042516E">
        <w:t>1</w:t>
      </w:r>
      <w:r w:rsidR="0042516E" w:rsidRPr="009533EA">
        <w:t xml:space="preserve">). </w:t>
      </w:r>
      <w:r w:rsidR="0042516E">
        <w:t>T</w:t>
      </w:r>
      <w:r w:rsidR="0042516E" w:rsidRPr="00C3255F">
        <w:t xml:space="preserve">wo economic analyses (EAs) provide estimations of </w:t>
      </w:r>
      <w:r w:rsidR="0042516E" w:rsidRPr="00A21CA1">
        <w:rPr>
          <w:color w:val="000000" w:themeColor="text1"/>
        </w:rPr>
        <w:t xml:space="preserve">the burden and costs </w:t>
      </w:r>
      <w:r w:rsidR="0042516E" w:rsidRPr="002D46A7">
        <w:t xml:space="preserve">associated with the proposed </w:t>
      </w:r>
      <w:r w:rsidR="0042516E">
        <w:t>changes</w:t>
      </w:r>
      <w:r w:rsidR="0042516E" w:rsidRPr="002D46A7">
        <w:t xml:space="preserve">, which </w:t>
      </w:r>
      <w:r w:rsidR="0042516E">
        <w:t xml:space="preserve">separately cover </w:t>
      </w:r>
      <w:r w:rsidR="0042516E" w:rsidRPr="002D46A7">
        <w:t xml:space="preserve">the CDR </w:t>
      </w:r>
      <w:r w:rsidR="0042516E">
        <w:t>R</w:t>
      </w:r>
      <w:r w:rsidR="0042516E" w:rsidRPr="002D46A7">
        <w:t xml:space="preserve">evisions and the </w:t>
      </w:r>
      <w:r w:rsidR="0042516E">
        <w:t xml:space="preserve">TSCA </w:t>
      </w:r>
      <w:r w:rsidR="007A6ACC">
        <w:t>s</w:t>
      </w:r>
      <w:r w:rsidR="00E5558D">
        <w:t xml:space="preserve">ection </w:t>
      </w:r>
      <w:r w:rsidR="0042516E" w:rsidRPr="002D46A7">
        <w:t xml:space="preserve">8(a) </w:t>
      </w:r>
      <w:r w:rsidR="0042516E">
        <w:t>S</w:t>
      </w:r>
      <w:r w:rsidR="0042516E" w:rsidRPr="002D46A7">
        <w:t xml:space="preserve">mall </w:t>
      </w:r>
      <w:r w:rsidR="0042516E">
        <w:t>M</w:t>
      </w:r>
      <w:r w:rsidR="0042516E" w:rsidRPr="002D46A7">
        <w:t xml:space="preserve">anufacturer </w:t>
      </w:r>
      <w:r w:rsidR="0042516E">
        <w:t>D</w:t>
      </w:r>
      <w:r w:rsidR="0042516E" w:rsidRPr="002D46A7">
        <w:t>efinition</w:t>
      </w:r>
      <w:r w:rsidR="0042516E">
        <w:t xml:space="preserve"> (SMD) Update</w:t>
      </w:r>
      <w:r w:rsidR="0042516E" w:rsidRPr="002D46A7">
        <w:t>.</w:t>
      </w:r>
      <w:r w:rsidR="0042516E">
        <w:t xml:space="preserve"> </w:t>
      </w:r>
      <w:r w:rsidR="0042516E" w:rsidRPr="009533EA">
        <w:t>Under TSCA section 8(a) (15 U</w:t>
      </w:r>
      <w:r w:rsidR="00EC20F5">
        <w:t>.</w:t>
      </w:r>
      <w:r w:rsidR="0042516E" w:rsidRPr="009533EA">
        <w:t>S</w:t>
      </w:r>
      <w:r w:rsidR="00EC20F5">
        <w:t>.</w:t>
      </w:r>
      <w:r w:rsidR="0042516E" w:rsidRPr="009533EA">
        <w:t>C</w:t>
      </w:r>
      <w:r w:rsidR="00EC20F5">
        <w:t>.</w:t>
      </w:r>
      <w:r w:rsidR="0042516E" w:rsidRPr="009533EA">
        <w:t xml:space="preserve"> 2607), the EPA is authorized to collect certain information on chemical substances manufactured (including imported) or processed in the United States. </w:t>
      </w:r>
      <w:r w:rsidR="0042516E" w:rsidRPr="00437C1A">
        <w:t xml:space="preserve">In addition, under TSCA section 8(b), the Agency is required to compile and keep current, via periodic inquiry, the Inventory of Chemical Substances in Commerce (TSCA Inventory). The TSCA Inventory is a listing of chemical substances manufactured, imported, and processed for commercial purposes in the United States. </w:t>
      </w:r>
      <w:r w:rsidR="0042516E" w:rsidRPr="009533EA">
        <w:t>The CDR data collection provides chemical manufacture, processing, and use information that helps EPA identify what chemicals the public may be exposed to as consumers or in commercial and industrial settings</w:t>
      </w:r>
      <w:r w:rsidR="0042516E">
        <w:t>. The data also help EPA</w:t>
      </w:r>
      <w:r w:rsidR="0042516E" w:rsidRPr="009533EA">
        <w:t xml:space="preserve"> assess routes of potential exposure to those chemicals. </w:t>
      </w:r>
    </w:p>
    <w:p w14:paraId="297BD672" w14:textId="1B744E14" w:rsidR="0042516E" w:rsidRDefault="0042516E" w:rsidP="0042516E">
      <w:pPr>
        <w:pStyle w:val="BodyText"/>
      </w:pPr>
      <w:r w:rsidRPr="009533EA">
        <w:t xml:space="preserve">The </w:t>
      </w:r>
      <w:r w:rsidR="00A858BB">
        <w:t>EPA</w:t>
      </w:r>
      <w:r w:rsidRPr="009533EA">
        <w:t xml:space="preserve"> has used the CDR rule to collect basic manufacturing information for selected chemical substances on the TSCA Inventory eight times beginning in 1986. More recent collections, beginning in 2006, included additional information relating to the manufacture, processing, and use of those chemical substances. The CDR collection is on a four-year reporting cycle and contains </w:t>
      </w:r>
      <w:r>
        <w:t xml:space="preserve">detailed manufacturing and processing </w:t>
      </w:r>
      <w:r w:rsidRPr="009533EA">
        <w:t>information drawn from the principal reporting year</w:t>
      </w:r>
      <w:r>
        <w:t xml:space="preserve">; the </w:t>
      </w:r>
      <w:r w:rsidR="002C68F9">
        <w:t>collection</w:t>
      </w:r>
      <w:r w:rsidRPr="009533EA">
        <w:t xml:space="preserve"> also contains </w:t>
      </w:r>
      <w:r>
        <w:t>basic</w:t>
      </w:r>
      <w:r w:rsidRPr="009533EA">
        <w:t xml:space="preserve"> information</w:t>
      </w:r>
      <w:r>
        <w:t xml:space="preserve"> on production volume</w:t>
      </w:r>
      <w:r w:rsidRPr="009533EA">
        <w:t>, by year, f</w:t>
      </w:r>
      <w:r>
        <w:t>or</w:t>
      </w:r>
      <w:r w:rsidRPr="009533EA">
        <w:t xml:space="preserve"> the three years prior to the principal reporting year. </w:t>
      </w:r>
      <w:r>
        <w:t>For</w:t>
      </w:r>
      <w:r w:rsidR="002C68F9">
        <w:t xml:space="preserve"> example, for</w:t>
      </w:r>
      <w:r>
        <w:t xml:space="preserve"> the 2020 reporting cycle, the principal reporting year will be 2019; the three years prior will be 2016, 2017 and 2018.</w:t>
      </w:r>
      <w:r w:rsidRPr="009533EA">
        <w:t xml:space="preserve">      </w:t>
      </w:r>
    </w:p>
    <w:p w14:paraId="0EDE8BEA" w14:textId="0E68E464" w:rsidR="0042516E" w:rsidRDefault="0042516E" w:rsidP="0042516E">
      <w:pPr>
        <w:pStyle w:val="BodyText"/>
      </w:pPr>
      <w:r>
        <w:t>As proposed, the 2020 and future CDR submissions would include the following new or revised data elements: a public contact</w:t>
      </w:r>
      <w:r w:rsidR="00F22562">
        <w:t xml:space="preserve"> (voluntary)</w:t>
      </w:r>
      <w:r>
        <w:t xml:space="preserve">; </w:t>
      </w:r>
      <w:r w:rsidR="0026414D">
        <w:t>a revised parent company definition</w:t>
      </w:r>
      <w:r w:rsidR="000F6731">
        <w:t>, including</w:t>
      </w:r>
      <w:r w:rsidR="00F7543F">
        <w:t xml:space="preserve"> </w:t>
      </w:r>
      <w:r>
        <w:t>a foreign parent company if one exists; NAICS code(s) for the manufacturing site; the percent of production volume that is a byproduct;</w:t>
      </w:r>
      <w:r w:rsidR="00A1688A">
        <w:t xml:space="preserve"> modif</w:t>
      </w:r>
      <w:r w:rsidR="003228A9">
        <w:t>ied</w:t>
      </w:r>
      <w:r w:rsidR="00A1688A">
        <w:t xml:space="preserve"> recycl</w:t>
      </w:r>
      <w:r w:rsidR="00735201">
        <w:t xml:space="preserve">ing </w:t>
      </w:r>
      <w:r w:rsidR="006158AF">
        <w:t>data element</w:t>
      </w:r>
      <w:r w:rsidR="00A1688A">
        <w:t>;</w:t>
      </w:r>
      <w:r>
        <w:t xml:space="preserve"> and </w:t>
      </w:r>
      <w:r w:rsidR="00735201">
        <w:t xml:space="preserve">harmonization of </w:t>
      </w:r>
      <w:r>
        <w:t xml:space="preserve">industrial, consumer, and commercial function and use codes based on the </w:t>
      </w:r>
      <w:r w:rsidRPr="000A7A51">
        <w:t>Organisation for Economic Co-operation and Development</w:t>
      </w:r>
      <w:r>
        <w:t xml:space="preserve"> (OECD) codes. </w:t>
      </w:r>
      <w:r w:rsidR="007A43DC">
        <w:t xml:space="preserve">EPA also </w:t>
      </w:r>
      <w:r w:rsidR="00DE6C1A">
        <w:t>proposes</w:t>
      </w:r>
      <w:r w:rsidR="007A43DC">
        <w:t xml:space="preserve"> to improve the reporting processes for co-manufactured chemicals</w:t>
      </w:r>
      <w:r>
        <w:t>. Additionally, changes are being proposed</w:t>
      </w:r>
      <w:r w:rsidRPr="003C7CA4">
        <w:t xml:space="preserve"> </w:t>
      </w:r>
      <w:r>
        <w:t xml:space="preserve">to support </w:t>
      </w:r>
      <w:r w:rsidRPr="003C7CA4">
        <w:t>alignment</w:t>
      </w:r>
      <w:r>
        <w:t xml:space="preserve"> of CDR reporting </w:t>
      </w:r>
      <w:r w:rsidRPr="003C7CA4">
        <w:t xml:space="preserve">with the amended TSCA requirements for </w:t>
      </w:r>
      <w:r w:rsidRPr="003C7CA4">
        <w:lastRenderedPageBreak/>
        <w:t>claiming confidentiality.</w:t>
      </w:r>
      <w:r>
        <w:t xml:space="preserve"> EPA is also proposing changes for the reporting of byproducts, including voluntary alternative reporting in metal compound categories for inorganic byproducts and exemptions for specific site-limited recycled byproducts and for byproducts generated by specific non-integral processes.</w:t>
      </w:r>
      <w:r w:rsidRPr="006573DC">
        <w:t xml:space="preserve"> </w:t>
      </w:r>
      <w:r>
        <w:t xml:space="preserve">Lastly, EPA is proposing an </w:t>
      </w:r>
      <w:r w:rsidR="00BC1127">
        <w:t xml:space="preserve">update </w:t>
      </w:r>
      <w:r>
        <w:t>to the TSCA section 8(a) small manufactur</w:t>
      </w:r>
      <w:r w:rsidR="003228A9">
        <w:t>er</w:t>
      </w:r>
      <w:r>
        <w:t xml:space="preserve"> definition</w:t>
      </w:r>
      <w:r w:rsidR="009E6828">
        <w:t xml:space="preserve"> and the addition of a small government definition. For the small manufacturer definition,</w:t>
      </w:r>
      <w:r>
        <w:t xml:space="preserve"> EPA proposes to retain the structure of the current definition and increase the levels of the revenue size standards. </w:t>
      </w:r>
    </w:p>
    <w:p w14:paraId="0AAA41D7" w14:textId="07144E3A" w:rsidR="0042516E" w:rsidRDefault="00FE082E" w:rsidP="0042516E">
      <w:pPr>
        <w:pStyle w:val="BodyText"/>
      </w:pPr>
      <w:r w:rsidRPr="00FE082E">
        <w:fldChar w:fldCharType="begin"/>
      </w:r>
      <w:r w:rsidRPr="00FE082E">
        <w:instrText xml:space="preserve"> REF _Ref526352361 \h  \* MERGEFORMAT </w:instrText>
      </w:r>
      <w:r w:rsidRPr="00FE082E">
        <w:fldChar w:fldCharType="separate"/>
      </w:r>
      <w:r w:rsidR="00745E52" w:rsidRPr="00EC0395">
        <w:t xml:space="preserve">Table </w:t>
      </w:r>
      <w:r w:rsidR="00745E52" w:rsidRPr="00EC0395">
        <w:rPr>
          <w:noProof/>
        </w:rPr>
        <w:t>1</w:t>
      </w:r>
      <w:r w:rsidRPr="00FE082E">
        <w:fldChar w:fldCharType="end"/>
      </w:r>
      <w:r>
        <w:t xml:space="preserve"> </w:t>
      </w:r>
      <w:r w:rsidR="0042516E">
        <w:t xml:space="preserve">summarizes the combined incremental changes to reporting due to the CDR Revisions and the </w:t>
      </w:r>
      <w:bookmarkStart w:id="4" w:name="_Hlk527374460"/>
      <w:r w:rsidR="00686D27">
        <w:t xml:space="preserve">TSCA section </w:t>
      </w:r>
      <w:bookmarkEnd w:id="4"/>
      <w:r w:rsidR="0042516E">
        <w:t>8(a) SMD Update</w:t>
      </w:r>
      <w:r w:rsidR="00BC1127">
        <w:t xml:space="preserve"> portions of the rule</w:t>
      </w:r>
      <w:r w:rsidR="00BC5CCB">
        <w:t>, collectively called the</w:t>
      </w:r>
      <w:r w:rsidR="00FC143C">
        <w:t xml:space="preserve"> </w:t>
      </w:r>
      <w:r w:rsidR="009E6828">
        <w:t>CDR Proposed Rule</w:t>
      </w:r>
      <w:r w:rsidR="0042516E">
        <w:t>.</w:t>
      </w:r>
    </w:p>
    <w:tbl>
      <w:tblPr>
        <w:tblStyle w:val="TableGrid"/>
        <w:tblW w:w="5000" w:type="pct"/>
        <w:jc w:val="center"/>
        <w:tblLook w:val="04A0" w:firstRow="1" w:lastRow="0" w:firstColumn="1" w:lastColumn="0" w:noHBand="0" w:noVBand="1"/>
      </w:tblPr>
      <w:tblGrid>
        <w:gridCol w:w="2767"/>
        <w:gridCol w:w="6809"/>
      </w:tblGrid>
      <w:tr w:rsidR="0042516E" w:rsidRPr="002750F6" w14:paraId="36DE8890" w14:textId="77777777" w:rsidTr="00310FD7">
        <w:trPr>
          <w:jc w:val="center"/>
        </w:trPr>
        <w:tc>
          <w:tcPr>
            <w:tcW w:w="9360" w:type="dxa"/>
            <w:gridSpan w:val="2"/>
            <w:tcBorders>
              <w:top w:val="nil"/>
              <w:left w:val="nil"/>
              <w:right w:val="nil"/>
            </w:tcBorders>
            <w:shd w:val="clear" w:color="auto" w:fill="auto"/>
            <w:vAlign w:val="center"/>
          </w:tcPr>
          <w:p w14:paraId="34CCFBA4" w14:textId="5040E9E2" w:rsidR="0042516E" w:rsidRPr="0024444A" w:rsidRDefault="0042516E" w:rsidP="00C86EFA">
            <w:pPr>
              <w:rPr>
                <w:rFonts w:ascii="Arial Narrow" w:hAnsi="Arial Narrow"/>
                <w:b/>
                <w:sz w:val="18"/>
                <w:szCs w:val="18"/>
              </w:rPr>
            </w:pPr>
            <w:bookmarkStart w:id="5" w:name="_Ref526352361"/>
            <w:bookmarkStart w:id="6" w:name="_Ref526341509"/>
            <w:r w:rsidRPr="0024444A">
              <w:rPr>
                <w:b/>
              </w:rPr>
              <w:t xml:space="preserve">Table </w:t>
            </w:r>
            <w:r w:rsidR="00D9627E">
              <w:rPr>
                <w:b/>
              </w:rPr>
              <w:fldChar w:fldCharType="begin"/>
            </w:r>
            <w:r w:rsidR="00D9627E">
              <w:rPr>
                <w:b/>
              </w:rPr>
              <w:instrText xml:space="preserve"> SEQ Table \* ARABIC </w:instrText>
            </w:r>
            <w:r w:rsidR="00D9627E">
              <w:rPr>
                <w:b/>
              </w:rPr>
              <w:fldChar w:fldCharType="separate"/>
            </w:r>
            <w:r w:rsidR="00745E52">
              <w:rPr>
                <w:b/>
                <w:noProof/>
              </w:rPr>
              <w:t>1</w:t>
            </w:r>
            <w:r w:rsidR="00D9627E">
              <w:rPr>
                <w:b/>
              </w:rPr>
              <w:fldChar w:fldCharType="end"/>
            </w:r>
            <w:bookmarkEnd w:id="5"/>
            <w:bookmarkEnd w:id="6"/>
            <w:r w:rsidRPr="0024444A">
              <w:rPr>
                <w:b/>
              </w:rPr>
              <w:t xml:space="preserve">: CDR </w:t>
            </w:r>
            <w:r w:rsidR="00524504">
              <w:rPr>
                <w:b/>
              </w:rPr>
              <w:t xml:space="preserve">Proposed </w:t>
            </w:r>
            <w:r>
              <w:rPr>
                <w:b/>
              </w:rPr>
              <w:t>Rule</w:t>
            </w:r>
            <w:r w:rsidRPr="0024444A">
              <w:rPr>
                <w:b/>
              </w:rPr>
              <w:t xml:space="preserve"> – Incremental Annual Burden and Cost</w:t>
            </w:r>
          </w:p>
        </w:tc>
      </w:tr>
      <w:tr w:rsidR="0042516E" w:rsidRPr="002750F6" w14:paraId="58EBDBF5" w14:textId="77777777" w:rsidTr="00310FD7">
        <w:trPr>
          <w:jc w:val="center"/>
        </w:trPr>
        <w:tc>
          <w:tcPr>
            <w:tcW w:w="2705" w:type="dxa"/>
            <w:shd w:val="clear" w:color="auto" w:fill="BFBFBF" w:themeFill="background1" w:themeFillShade="BF"/>
            <w:vAlign w:val="center"/>
          </w:tcPr>
          <w:p w14:paraId="1229C8D1" w14:textId="77777777" w:rsidR="0042516E" w:rsidRPr="00F5483A" w:rsidRDefault="0042516E" w:rsidP="00C86EFA">
            <w:pPr>
              <w:rPr>
                <w:rFonts w:ascii="Arial Narrow" w:hAnsi="Arial Narrow"/>
                <w:b/>
                <w:iCs/>
                <w:sz w:val="18"/>
                <w:szCs w:val="18"/>
              </w:rPr>
            </w:pPr>
            <w:r w:rsidRPr="00F5483A">
              <w:rPr>
                <w:rFonts w:ascii="Arial Narrow" w:hAnsi="Arial Narrow"/>
                <w:b/>
                <w:sz w:val="18"/>
                <w:szCs w:val="18"/>
              </w:rPr>
              <w:t xml:space="preserve">Legal authority: </w:t>
            </w:r>
          </w:p>
        </w:tc>
        <w:tc>
          <w:tcPr>
            <w:tcW w:w="6655" w:type="dxa"/>
            <w:vAlign w:val="center"/>
          </w:tcPr>
          <w:p w14:paraId="6809BEDC" w14:textId="77777777" w:rsidR="0042516E" w:rsidRPr="00F5483A" w:rsidRDefault="0042516E" w:rsidP="00C86EFA">
            <w:pPr>
              <w:rPr>
                <w:rFonts w:ascii="Arial Narrow" w:hAnsi="Arial Narrow"/>
                <w:sz w:val="18"/>
                <w:szCs w:val="18"/>
                <w:lang w:bidi="en-US"/>
              </w:rPr>
            </w:pPr>
            <w:r w:rsidRPr="00F5483A">
              <w:rPr>
                <w:rFonts w:ascii="Arial Narrow" w:hAnsi="Arial Narrow"/>
                <w:sz w:val="18"/>
                <w:szCs w:val="18"/>
              </w:rPr>
              <w:t xml:space="preserve">The Toxic Substances Control Act (TSCA), 15 U.S.C. </w:t>
            </w:r>
            <w:r w:rsidRPr="00F5483A">
              <w:rPr>
                <w:rFonts w:ascii="Arial Narrow" w:hAnsi="Arial Narrow" w:cs="Arial"/>
                <w:sz w:val="18"/>
                <w:szCs w:val="18"/>
              </w:rPr>
              <w:t xml:space="preserve">§§ </w:t>
            </w:r>
            <w:r w:rsidRPr="00F5483A">
              <w:rPr>
                <w:rFonts w:ascii="Arial Narrow" w:hAnsi="Arial Narrow"/>
                <w:sz w:val="18"/>
                <w:szCs w:val="18"/>
              </w:rPr>
              <w:t>2607(a)</w:t>
            </w:r>
            <w:r w:rsidRPr="00F5483A">
              <w:rPr>
                <w:rStyle w:val="Hyperlink"/>
                <w:rFonts w:ascii="Arial Narrow" w:hAnsi="Arial Narrow"/>
                <w:sz w:val="18"/>
                <w:szCs w:val="18"/>
              </w:rPr>
              <w:t>.</w:t>
            </w:r>
          </w:p>
        </w:tc>
      </w:tr>
      <w:tr w:rsidR="0042516E" w:rsidRPr="002750F6" w14:paraId="31C0E66F" w14:textId="77777777" w:rsidTr="00310FD7">
        <w:trPr>
          <w:jc w:val="center"/>
        </w:trPr>
        <w:tc>
          <w:tcPr>
            <w:tcW w:w="2705" w:type="dxa"/>
            <w:shd w:val="clear" w:color="auto" w:fill="BFBFBF" w:themeFill="background1" w:themeFillShade="BF"/>
            <w:vAlign w:val="center"/>
            <w:hideMark/>
          </w:tcPr>
          <w:p w14:paraId="6B621E44" w14:textId="77777777" w:rsidR="0042516E" w:rsidRPr="00F5483A" w:rsidRDefault="0042516E" w:rsidP="00C86EFA">
            <w:pPr>
              <w:rPr>
                <w:rFonts w:ascii="Arial Narrow" w:hAnsi="Arial Narrow"/>
                <w:b/>
                <w:iCs/>
                <w:sz w:val="18"/>
                <w:szCs w:val="18"/>
              </w:rPr>
            </w:pPr>
            <w:r w:rsidRPr="00F5483A">
              <w:rPr>
                <w:rFonts w:ascii="Arial Narrow" w:hAnsi="Arial Narrow"/>
                <w:b/>
                <w:iCs/>
                <w:sz w:val="18"/>
                <w:szCs w:val="18"/>
              </w:rPr>
              <w:t>Respondents/</w:t>
            </w:r>
          </w:p>
          <w:p w14:paraId="2E3015DC" w14:textId="77777777" w:rsidR="0042516E" w:rsidRPr="00F5483A" w:rsidRDefault="0042516E" w:rsidP="00C86EFA">
            <w:pPr>
              <w:rPr>
                <w:rFonts w:ascii="Arial Narrow" w:hAnsi="Arial Narrow"/>
                <w:b/>
                <w:iCs/>
                <w:sz w:val="18"/>
                <w:szCs w:val="18"/>
              </w:rPr>
            </w:pPr>
            <w:r w:rsidRPr="00F5483A">
              <w:rPr>
                <w:rFonts w:ascii="Arial Narrow" w:hAnsi="Arial Narrow"/>
                <w:b/>
                <w:iCs/>
                <w:sz w:val="18"/>
                <w:szCs w:val="18"/>
              </w:rPr>
              <w:t>affected entities:</w:t>
            </w:r>
          </w:p>
        </w:tc>
        <w:tc>
          <w:tcPr>
            <w:tcW w:w="6655" w:type="dxa"/>
            <w:vAlign w:val="center"/>
            <w:hideMark/>
          </w:tcPr>
          <w:p w14:paraId="05C355D8" w14:textId="3C131857" w:rsidR="0042516E" w:rsidRPr="00F5483A" w:rsidRDefault="0042516E" w:rsidP="00C86EFA">
            <w:pPr>
              <w:rPr>
                <w:rFonts w:ascii="Arial Narrow" w:hAnsi="Arial Narrow"/>
                <w:sz w:val="18"/>
                <w:szCs w:val="18"/>
              </w:rPr>
            </w:pPr>
            <w:r w:rsidRPr="00F5483A">
              <w:rPr>
                <w:rFonts w:ascii="Arial Narrow" w:hAnsi="Arial Narrow"/>
                <w:sz w:val="18"/>
                <w:szCs w:val="18"/>
              </w:rPr>
              <w:t xml:space="preserve">Entities potentially affected by this ICR include companies manufacturing (including importing) chemical substances listed on the TSCA Inventory and regulated under </w:t>
            </w:r>
            <w:r w:rsidR="0052159C">
              <w:rPr>
                <w:rFonts w:ascii="Arial Narrow" w:hAnsi="Arial Narrow"/>
                <w:sz w:val="18"/>
                <w:szCs w:val="18"/>
              </w:rPr>
              <w:t xml:space="preserve">the </w:t>
            </w:r>
            <w:r w:rsidRPr="00F5483A">
              <w:rPr>
                <w:rFonts w:ascii="Arial Narrow" w:hAnsi="Arial Narrow"/>
                <w:sz w:val="18"/>
                <w:szCs w:val="18"/>
              </w:rPr>
              <w:t>TSCA section 8</w:t>
            </w:r>
            <w:r w:rsidR="0052159C">
              <w:rPr>
                <w:rFonts w:ascii="Arial Narrow" w:hAnsi="Arial Narrow"/>
                <w:sz w:val="18"/>
                <w:szCs w:val="18"/>
              </w:rPr>
              <w:t>(a) CDR regulation</w:t>
            </w:r>
            <w:r w:rsidRPr="00F5483A">
              <w:rPr>
                <w:rFonts w:ascii="Arial Narrow" w:hAnsi="Arial Narrow"/>
                <w:sz w:val="18"/>
                <w:szCs w:val="18"/>
              </w:rPr>
              <w:t>.</w:t>
            </w:r>
            <w:r w:rsidRPr="00F5483A">
              <w:rPr>
                <w:rFonts w:ascii="Arial Narrow" w:hAnsi="Arial Narrow"/>
                <w:b/>
                <w:bCs/>
                <w:sz w:val="18"/>
                <w:szCs w:val="18"/>
              </w:rPr>
              <w:t xml:space="preserve"> </w:t>
            </w:r>
          </w:p>
        </w:tc>
      </w:tr>
      <w:tr w:rsidR="0042516E" w:rsidRPr="002750F6" w14:paraId="7B6CB876" w14:textId="77777777" w:rsidTr="00310FD7">
        <w:trPr>
          <w:jc w:val="center"/>
        </w:trPr>
        <w:tc>
          <w:tcPr>
            <w:tcW w:w="2705" w:type="dxa"/>
            <w:shd w:val="clear" w:color="auto" w:fill="BFBFBF" w:themeFill="background1" w:themeFillShade="BF"/>
            <w:vAlign w:val="center"/>
            <w:hideMark/>
          </w:tcPr>
          <w:p w14:paraId="5054F52F" w14:textId="77777777" w:rsidR="0042516E" w:rsidRPr="00F5483A" w:rsidRDefault="0042516E" w:rsidP="00C86EFA">
            <w:pPr>
              <w:rPr>
                <w:rFonts w:ascii="Arial Narrow" w:hAnsi="Arial Narrow"/>
                <w:b/>
                <w:iCs/>
                <w:sz w:val="18"/>
                <w:szCs w:val="18"/>
              </w:rPr>
            </w:pPr>
            <w:r w:rsidRPr="00F5483A">
              <w:rPr>
                <w:rFonts w:ascii="Arial Narrow" w:hAnsi="Arial Narrow"/>
                <w:b/>
                <w:iCs/>
                <w:sz w:val="18"/>
                <w:szCs w:val="18"/>
              </w:rPr>
              <w:t>Respondent’s obligation to respond:</w:t>
            </w:r>
            <w:r w:rsidRPr="00F5483A">
              <w:rPr>
                <w:rFonts w:ascii="Arial Narrow" w:hAnsi="Arial Narrow"/>
                <w:b/>
                <w:sz w:val="18"/>
                <w:szCs w:val="18"/>
              </w:rPr>
              <w:t xml:space="preserve"> </w:t>
            </w:r>
          </w:p>
        </w:tc>
        <w:tc>
          <w:tcPr>
            <w:tcW w:w="6655" w:type="dxa"/>
            <w:noWrap/>
            <w:vAlign w:val="center"/>
            <w:hideMark/>
          </w:tcPr>
          <w:p w14:paraId="664EE324" w14:textId="77777777" w:rsidR="0042516E" w:rsidRPr="00F5483A" w:rsidRDefault="0042516E" w:rsidP="00C86EFA">
            <w:pPr>
              <w:rPr>
                <w:rFonts w:ascii="Arial Narrow" w:hAnsi="Arial Narrow"/>
                <w:sz w:val="18"/>
                <w:szCs w:val="18"/>
              </w:rPr>
            </w:pPr>
            <w:r w:rsidRPr="00F5483A">
              <w:rPr>
                <w:rFonts w:ascii="Arial Narrow" w:hAnsi="Arial Narrow"/>
                <w:sz w:val="18"/>
                <w:szCs w:val="18"/>
              </w:rPr>
              <w:t xml:space="preserve">Respondents are obligated to report to EPA. </w:t>
            </w:r>
          </w:p>
        </w:tc>
      </w:tr>
      <w:tr w:rsidR="0042516E" w:rsidRPr="002750F6" w14:paraId="12400816" w14:textId="77777777" w:rsidTr="00310FD7">
        <w:trPr>
          <w:jc w:val="center"/>
        </w:trPr>
        <w:tc>
          <w:tcPr>
            <w:tcW w:w="2705" w:type="dxa"/>
            <w:shd w:val="clear" w:color="auto" w:fill="BFBFBF" w:themeFill="background1" w:themeFillShade="BF"/>
            <w:vAlign w:val="center"/>
          </w:tcPr>
          <w:p w14:paraId="14ED85A6" w14:textId="77777777" w:rsidR="0042516E" w:rsidRPr="00F5483A" w:rsidRDefault="0042516E" w:rsidP="00C86EFA">
            <w:pPr>
              <w:rPr>
                <w:rFonts w:ascii="Arial Narrow" w:hAnsi="Arial Narrow"/>
                <w:b/>
                <w:iCs/>
                <w:sz w:val="18"/>
                <w:szCs w:val="18"/>
              </w:rPr>
            </w:pPr>
            <w:r w:rsidRPr="00F5483A">
              <w:rPr>
                <w:rFonts w:ascii="Arial Narrow" w:eastAsia="Times New Roman" w:hAnsi="Arial Narrow" w:cs="Arial"/>
                <w:b/>
                <w:bCs/>
                <w:sz w:val="18"/>
                <w:szCs w:val="18"/>
              </w:rPr>
              <w:t>Confidentiality of responses</w:t>
            </w:r>
          </w:p>
        </w:tc>
        <w:tc>
          <w:tcPr>
            <w:tcW w:w="6655" w:type="dxa"/>
            <w:noWrap/>
            <w:vAlign w:val="center"/>
          </w:tcPr>
          <w:p w14:paraId="772CF1AA" w14:textId="282B060F" w:rsidR="0042516E" w:rsidRPr="00F5483A" w:rsidRDefault="0042516E" w:rsidP="00C86EFA">
            <w:pPr>
              <w:rPr>
                <w:rFonts w:ascii="Arial Narrow" w:eastAsia="Times New Roman" w:hAnsi="Arial Narrow" w:cs="Arial"/>
                <w:sz w:val="18"/>
                <w:szCs w:val="18"/>
              </w:rPr>
            </w:pPr>
            <w:r w:rsidRPr="00F5483A">
              <w:rPr>
                <w:rFonts w:ascii="Arial Narrow" w:hAnsi="Arial Narrow"/>
                <w:sz w:val="18"/>
                <w:szCs w:val="18"/>
              </w:rPr>
              <w:t xml:space="preserve">Confidentiality claims limit </w:t>
            </w:r>
            <w:r w:rsidR="0052159C">
              <w:rPr>
                <w:rFonts w:ascii="Arial Narrow" w:hAnsi="Arial Narrow"/>
                <w:sz w:val="18"/>
                <w:szCs w:val="18"/>
              </w:rPr>
              <w:t xml:space="preserve">public </w:t>
            </w:r>
            <w:r w:rsidRPr="00F5483A">
              <w:rPr>
                <w:rFonts w:ascii="Arial Narrow" w:hAnsi="Arial Narrow"/>
                <w:sz w:val="18"/>
                <w:szCs w:val="18"/>
              </w:rPr>
              <w:t>access to the CDR data. EPA recognizes that some information submitted to the Agency is legitimately confidential.  Because of this, EPA’s review of confidential data is an inherently governmental function that EPA must perform to protect human health and the environment</w:t>
            </w:r>
            <w:r w:rsidRPr="00F5483A">
              <w:rPr>
                <w:rFonts w:ascii="Arial Narrow" w:hAnsi="Arial Narrow"/>
                <w:bCs/>
                <w:color w:val="000000" w:themeColor="text1"/>
                <w:sz w:val="18"/>
                <w:szCs w:val="18"/>
              </w:rPr>
              <w:t xml:space="preserve">. </w:t>
            </w:r>
            <w:r w:rsidRPr="00F5483A">
              <w:rPr>
                <w:rFonts w:ascii="Arial Narrow" w:eastAsia="Times New Roman" w:hAnsi="Arial Narrow" w:cs="Arial"/>
                <w:sz w:val="18"/>
                <w:szCs w:val="18"/>
                <w:lang w:val="en-CA"/>
              </w:rPr>
              <w:fldChar w:fldCharType="begin"/>
            </w:r>
            <w:r w:rsidRPr="00F5483A">
              <w:rPr>
                <w:rFonts w:ascii="Arial Narrow" w:eastAsia="Times New Roman" w:hAnsi="Arial Narrow" w:cs="Arial"/>
                <w:sz w:val="18"/>
                <w:szCs w:val="18"/>
                <w:lang w:val="en-CA"/>
              </w:rPr>
              <w:instrText xml:space="preserve"> SEQ CHAPTER \h \r 1</w:instrText>
            </w:r>
            <w:r w:rsidRPr="00F5483A">
              <w:rPr>
                <w:rFonts w:ascii="Arial Narrow" w:eastAsia="Times New Roman" w:hAnsi="Arial Narrow" w:cs="Arial"/>
                <w:sz w:val="18"/>
                <w:szCs w:val="18"/>
                <w:lang w:val="en-CA"/>
              </w:rPr>
              <w:fldChar w:fldCharType="end"/>
            </w:r>
            <w:r w:rsidRPr="00F5483A">
              <w:rPr>
                <w:rFonts w:ascii="Arial Narrow" w:eastAsia="Times New Roman" w:hAnsi="Arial Narrow" w:cs="Arial"/>
                <w:sz w:val="18"/>
                <w:szCs w:val="18"/>
                <w:lang w:val="en-CA"/>
              </w:rPr>
              <w:fldChar w:fldCharType="begin"/>
            </w:r>
            <w:r w:rsidRPr="00F5483A">
              <w:rPr>
                <w:rFonts w:ascii="Arial Narrow" w:eastAsia="Times New Roman" w:hAnsi="Arial Narrow" w:cs="Arial"/>
                <w:sz w:val="18"/>
                <w:szCs w:val="18"/>
                <w:lang w:val="en-CA"/>
              </w:rPr>
              <w:instrText xml:space="preserve"> SEQ CHAPTER \h \r 1</w:instrText>
            </w:r>
            <w:r w:rsidRPr="00F5483A">
              <w:rPr>
                <w:rFonts w:ascii="Arial Narrow" w:eastAsia="Times New Roman" w:hAnsi="Arial Narrow" w:cs="Arial"/>
                <w:sz w:val="18"/>
                <w:szCs w:val="18"/>
                <w:lang w:val="en-CA"/>
              </w:rPr>
              <w:fldChar w:fldCharType="end"/>
            </w:r>
          </w:p>
        </w:tc>
      </w:tr>
      <w:tr w:rsidR="0042516E" w:rsidRPr="002750F6" w14:paraId="09A5153B" w14:textId="77777777" w:rsidTr="00310FD7">
        <w:trPr>
          <w:jc w:val="center"/>
        </w:trPr>
        <w:tc>
          <w:tcPr>
            <w:tcW w:w="2705" w:type="dxa"/>
            <w:shd w:val="clear" w:color="auto" w:fill="BFBFBF" w:themeFill="background1" w:themeFillShade="BF"/>
            <w:vAlign w:val="center"/>
            <w:hideMark/>
          </w:tcPr>
          <w:p w14:paraId="3D82FB40" w14:textId="77777777" w:rsidR="0042516E" w:rsidRPr="00F5483A" w:rsidRDefault="0042516E" w:rsidP="00C86EFA">
            <w:pPr>
              <w:rPr>
                <w:rFonts w:ascii="Arial Narrow" w:hAnsi="Arial Narrow"/>
                <w:b/>
                <w:iCs/>
                <w:sz w:val="18"/>
                <w:szCs w:val="18"/>
              </w:rPr>
            </w:pPr>
            <w:r w:rsidRPr="00F5483A">
              <w:rPr>
                <w:rFonts w:ascii="Arial Narrow" w:hAnsi="Arial Narrow"/>
                <w:b/>
                <w:iCs/>
                <w:sz w:val="18"/>
                <w:szCs w:val="18"/>
              </w:rPr>
              <w:t xml:space="preserve">Estimated number of affected respondents: </w:t>
            </w:r>
          </w:p>
        </w:tc>
        <w:tc>
          <w:tcPr>
            <w:tcW w:w="6655" w:type="dxa"/>
            <w:noWrap/>
            <w:vAlign w:val="center"/>
            <w:hideMark/>
          </w:tcPr>
          <w:p w14:paraId="64ED961F" w14:textId="77777777" w:rsidR="0042516E" w:rsidRPr="00D33285" w:rsidRDefault="0042516E" w:rsidP="00C86EFA">
            <w:pPr>
              <w:rPr>
                <w:rFonts w:ascii="Arial Narrow" w:hAnsi="Arial Narrow"/>
                <w:sz w:val="18"/>
                <w:szCs w:val="18"/>
              </w:rPr>
            </w:pPr>
            <w:r w:rsidRPr="0B02F8A5">
              <w:rPr>
                <w:rFonts w:ascii="Arial Narrow" w:hAnsi="Arial Narrow"/>
                <w:sz w:val="18"/>
                <w:szCs w:val="18"/>
              </w:rPr>
              <w:t>5,660  </w:t>
            </w:r>
          </w:p>
        </w:tc>
      </w:tr>
      <w:tr w:rsidR="0042516E" w:rsidRPr="002750F6" w14:paraId="668D5E66" w14:textId="77777777" w:rsidTr="00310FD7">
        <w:trPr>
          <w:jc w:val="center"/>
        </w:trPr>
        <w:tc>
          <w:tcPr>
            <w:tcW w:w="2705" w:type="dxa"/>
            <w:shd w:val="clear" w:color="auto" w:fill="BFBFBF" w:themeFill="background1" w:themeFillShade="BF"/>
            <w:vAlign w:val="center"/>
            <w:hideMark/>
          </w:tcPr>
          <w:p w14:paraId="1D2C367A" w14:textId="77777777" w:rsidR="0042516E" w:rsidRPr="00F5483A" w:rsidRDefault="0042516E" w:rsidP="00C86EFA">
            <w:pPr>
              <w:rPr>
                <w:rFonts w:ascii="Arial Narrow" w:hAnsi="Arial Narrow"/>
                <w:b/>
                <w:iCs/>
                <w:sz w:val="18"/>
                <w:szCs w:val="18"/>
              </w:rPr>
            </w:pPr>
            <w:r w:rsidRPr="00F5483A">
              <w:rPr>
                <w:rFonts w:ascii="Arial Narrow" w:hAnsi="Arial Narrow"/>
                <w:b/>
                <w:iCs/>
                <w:sz w:val="18"/>
                <w:szCs w:val="18"/>
              </w:rPr>
              <w:t xml:space="preserve">Frequency of response: </w:t>
            </w:r>
          </w:p>
        </w:tc>
        <w:tc>
          <w:tcPr>
            <w:tcW w:w="6655" w:type="dxa"/>
            <w:noWrap/>
            <w:vAlign w:val="center"/>
            <w:hideMark/>
          </w:tcPr>
          <w:p w14:paraId="4432A915" w14:textId="04E7267C" w:rsidR="0042516E" w:rsidRPr="00F5483A" w:rsidRDefault="0042516E" w:rsidP="00C86EFA">
            <w:pPr>
              <w:rPr>
                <w:rFonts w:ascii="Arial Narrow" w:hAnsi="Arial Narrow"/>
                <w:sz w:val="18"/>
                <w:szCs w:val="18"/>
              </w:rPr>
            </w:pPr>
            <w:r w:rsidRPr="00F5483A">
              <w:rPr>
                <w:rFonts w:ascii="Arial Narrow" w:hAnsi="Arial Narrow"/>
                <w:sz w:val="18"/>
                <w:szCs w:val="18"/>
              </w:rPr>
              <w:t>The collection occur</w:t>
            </w:r>
            <w:r w:rsidR="0052159C">
              <w:rPr>
                <w:rFonts w:ascii="Arial Narrow" w:hAnsi="Arial Narrow"/>
                <w:sz w:val="18"/>
                <w:szCs w:val="18"/>
              </w:rPr>
              <w:t>s</w:t>
            </w:r>
            <w:r w:rsidRPr="00F5483A">
              <w:rPr>
                <w:rFonts w:ascii="Arial Narrow" w:hAnsi="Arial Narrow"/>
                <w:sz w:val="18"/>
                <w:szCs w:val="18"/>
              </w:rPr>
              <w:t xml:space="preserve"> every four years. The next CDR collection will occur in 2020. </w:t>
            </w:r>
          </w:p>
        </w:tc>
      </w:tr>
      <w:tr w:rsidR="0042516E" w:rsidRPr="002750F6" w14:paraId="31309185" w14:textId="77777777" w:rsidTr="00310FD7">
        <w:trPr>
          <w:jc w:val="center"/>
        </w:trPr>
        <w:tc>
          <w:tcPr>
            <w:tcW w:w="2705" w:type="dxa"/>
            <w:shd w:val="clear" w:color="auto" w:fill="BFBFBF" w:themeFill="background1" w:themeFillShade="BF"/>
            <w:vAlign w:val="center"/>
            <w:hideMark/>
          </w:tcPr>
          <w:p w14:paraId="586B4BBD" w14:textId="77777777" w:rsidR="0042516E" w:rsidRPr="0055397A" w:rsidRDefault="0042516E" w:rsidP="00C86EFA">
            <w:pPr>
              <w:rPr>
                <w:rFonts w:ascii="Arial Narrow" w:hAnsi="Arial Narrow"/>
                <w:b/>
                <w:iCs/>
                <w:sz w:val="18"/>
                <w:szCs w:val="18"/>
              </w:rPr>
            </w:pPr>
            <w:r w:rsidRPr="0055397A">
              <w:rPr>
                <w:rFonts w:ascii="Arial Narrow" w:hAnsi="Arial Narrow"/>
                <w:b/>
                <w:iCs/>
                <w:sz w:val="18"/>
                <w:szCs w:val="18"/>
              </w:rPr>
              <w:t>Estimated annual incremental burden:</w:t>
            </w:r>
          </w:p>
        </w:tc>
        <w:tc>
          <w:tcPr>
            <w:tcW w:w="6655" w:type="dxa"/>
            <w:noWrap/>
            <w:vAlign w:val="center"/>
            <w:hideMark/>
          </w:tcPr>
          <w:p w14:paraId="274585F3" w14:textId="690E920A" w:rsidR="0042516E" w:rsidRPr="0055397A" w:rsidRDefault="0042516E" w:rsidP="00C86EFA">
            <w:pPr>
              <w:rPr>
                <w:rFonts w:ascii="Arial Narrow" w:hAnsi="Arial Narrow"/>
                <w:sz w:val="18"/>
                <w:szCs w:val="18"/>
              </w:rPr>
            </w:pPr>
            <w:r w:rsidRPr="0055397A">
              <w:rPr>
                <w:rFonts w:ascii="Arial Narrow" w:hAnsi="Arial Narrow"/>
                <w:sz w:val="18"/>
                <w:szCs w:val="18"/>
              </w:rPr>
              <w:t>-</w:t>
            </w:r>
            <w:r w:rsidR="00DB4656">
              <w:rPr>
                <w:rFonts w:ascii="Arial Narrow" w:hAnsi="Arial Narrow"/>
                <w:sz w:val="18"/>
                <w:szCs w:val="18"/>
              </w:rPr>
              <w:t>25,201</w:t>
            </w:r>
            <w:r w:rsidRPr="0055397A">
              <w:rPr>
                <w:rFonts w:ascii="Arial Narrow" w:hAnsi="Arial Narrow"/>
                <w:sz w:val="18"/>
                <w:szCs w:val="18"/>
              </w:rPr>
              <w:t xml:space="preserve"> hours </w:t>
            </w:r>
          </w:p>
        </w:tc>
      </w:tr>
      <w:tr w:rsidR="0042516E" w:rsidRPr="002750F6" w14:paraId="720A8B73" w14:textId="77777777" w:rsidTr="00310FD7">
        <w:trPr>
          <w:jc w:val="center"/>
        </w:trPr>
        <w:tc>
          <w:tcPr>
            <w:tcW w:w="2705" w:type="dxa"/>
            <w:tcBorders>
              <w:bottom w:val="single" w:sz="4" w:space="0" w:color="auto"/>
            </w:tcBorders>
            <w:shd w:val="clear" w:color="auto" w:fill="BFBFBF" w:themeFill="background1" w:themeFillShade="BF"/>
            <w:vAlign w:val="center"/>
            <w:hideMark/>
          </w:tcPr>
          <w:p w14:paraId="2F4B77C7" w14:textId="77777777" w:rsidR="0042516E" w:rsidRPr="0055397A" w:rsidRDefault="0042516E" w:rsidP="00C86EFA">
            <w:pPr>
              <w:rPr>
                <w:rFonts w:ascii="Arial Narrow" w:hAnsi="Arial Narrow"/>
                <w:b/>
                <w:iCs/>
                <w:sz w:val="18"/>
                <w:szCs w:val="18"/>
              </w:rPr>
            </w:pPr>
            <w:r w:rsidRPr="0055397A">
              <w:rPr>
                <w:rFonts w:ascii="Arial Narrow" w:hAnsi="Arial Narrow"/>
                <w:b/>
                <w:iCs/>
                <w:sz w:val="18"/>
                <w:szCs w:val="18"/>
              </w:rPr>
              <w:t xml:space="preserve">Estimated annual incremental cost: </w:t>
            </w:r>
          </w:p>
        </w:tc>
        <w:tc>
          <w:tcPr>
            <w:tcW w:w="6655" w:type="dxa"/>
            <w:tcBorders>
              <w:bottom w:val="single" w:sz="4" w:space="0" w:color="auto"/>
            </w:tcBorders>
            <w:noWrap/>
            <w:vAlign w:val="center"/>
            <w:hideMark/>
          </w:tcPr>
          <w:p w14:paraId="7D3EECAC" w14:textId="3E7DB6D8" w:rsidR="0042516E" w:rsidRPr="0055397A" w:rsidRDefault="0042516E" w:rsidP="00C86EFA">
            <w:pPr>
              <w:rPr>
                <w:rFonts w:ascii="Arial Narrow" w:hAnsi="Arial Narrow"/>
                <w:sz w:val="18"/>
                <w:szCs w:val="18"/>
              </w:rPr>
            </w:pPr>
            <w:r w:rsidRPr="0055397A">
              <w:rPr>
                <w:rFonts w:ascii="Arial Narrow" w:hAnsi="Arial Narrow"/>
                <w:sz w:val="18"/>
                <w:szCs w:val="18"/>
              </w:rPr>
              <w:t>-$1,</w:t>
            </w:r>
            <w:r w:rsidR="00DB4656">
              <w:rPr>
                <w:rFonts w:ascii="Arial Narrow" w:hAnsi="Arial Narrow"/>
                <w:sz w:val="18"/>
                <w:szCs w:val="18"/>
              </w:rPr>
              <w:t>955,042</w:t>
            </w:r>
            <w:r w:rsidRPr="0055397A">
              <w:rPr>
                <w:rFonts w:ascii="Arial Narrow" w:hAnsi="Arial Narrow"/>
                <w:sz w:val="18"/>
                <w:szCs w:val="18"/>
              </w:rPr>
              <w:t xml:space="preserve">  </w:t>
            </w:r>
            <w:r w:rsidR="00ED5E23">
              <w:rPr>
                <w:rFonts w:ascii="Arial Narrow" w:hAnsi="Arial Narrow"/>
                <w:sz w:val="18"/>
                <w:szCs w:val="18"/>
              </w:rPr>
              <w:t xml:space="preserve"> </w:t>
            </w:r>
          </w:p>
        </w:tc>
      </w:tr>
      <w:tr w:rsidR="0042516E" w:rsidRPr="002750F6" w14:paraId="7A0F7E57" w14:textId="77777777" w:rsidTr="00310FD7">
        <w:trPr>
          <w:jc w:val="center"/>
        </w:trPr>
        <w:tc>
          <w:tcPr>
            <w:tcW w:w="9360" w:type="dxa"/>
            <w:gridSpan w:val="2"/>
            <w:tcBorders>
              <w:bottom w:val="single" w:sz="4" w:space="0" w:color="auto"/>
            </w:tcBorders>
            <w:shd w:val="clear" w:color="auto" w:fill="auto"/>
            <w:vAlign w:val="center"/>
          </w:tcPr>
          <w:p w14:paraId="1994BC7B" w14:textId="03661222" w:rsidR="0042516E" w:rsidRPr="00F5483A" w:rsidRDefault="0042516E" w:rsidP="00C86EFA">
            <w:pPr>
              <w:rPr>
                <w:rFonts w:ascii="Arial Narrow" w:hAnsi="Arial Narrow"/>
                <w:sz w:val="18"/>
                <w:szCs w:val="18"/>
              </w:rPr>
            </w:pPr>
            <w:r w:rsidRPr="00F5483A">
              <w:rPr>
                <w:rFonts w:ascii="Arial Narrow" w:hAnsi="Arial Narrow"/>
                <w:sz w:val="18"/>
                <w:szCs w:val="18"/>
              </w:rPr>
              <w:t xml:space="preserve">Sources include </w:t>
            </w:r>
            <w:r w:rsidR="00FF0FB5">
              <w:rPr>
                <w:rFonts w:ascii="Arial Narrow" w:hAnsi="Arial Narrow"/>
                <w:sz w:val="18"/>
                <w:szCs w:val="18"/>
              </w:rPr>
              <w:t>EPA (2019a)</w:t>
            </w:r>
            <w:r w:rsidRPr="00F5483A">
              <w:rPr>
                <w:rFonts w:ascii="Arial Narrow" w:hAnsi="Arial Narrow"/>
                <w:sz w:val="18"/>
                <w:szCs w:val="18"/>
              </w:rPr>
              <w:t xml:space="preserve"> and </w:t>
            </w:r>
            <w:r w:rsidR="004002EC">
              <w:rPr>
                <w:rFonts w:ascii="Arial Narrow" w:hAnsi="Arial Narrow"/>
                <w:sz w:val="18"/>
                <w:szCs w:val="18"/>
              </w:rPr>
              <w:t xml:space="preserve">EPA </w:t>
            </w:r>
            <w:r w:rsidR="003228A9">
              <w:rPr>
                <w:rFonts w:ascii="Arial Narrow" w:hAnsi="Arial Narrow"/>
                <w:sz w:val="18"/>
                <w:szCs w:val="18"/>
              </w:rPr>
              <w:t>(</w:t>
            </w:r>
            <w:r w:rsidR="00FF0FB5">
              <w:rPr>
                <w:rFonts w:ascii="Arial Narrow" w:hAnsi="Arial Narrow"/>
                <w:sz w:val="18"/>
                <w:szCs w:val="18"/>
              </w:rPr>
              <w:t>2019b</w:t>
            </w:r>
            <w:r w:rsidR="003228A9">
              <w:rPr>
                <w:rFonts w:ascii="Arial Narrow" w:hAnsi="Arial Narrow"/>
                <w:sz w:val="18"/>
                <w:szCs w:val="18"/>
              </w:rPr>
              <w:t>)</w:t>
            </w:r>
            <w:r w:rsidRPr="00F5483A">
              <w:rPr>
                <w:rFonts w:ascii="Arial Narrow" w:hAnsi="Arial Narrow"/>
                <w:sz w:val="18"/>
                <w:szCs w:val="18"/>
              </w:rPr>
              <w:t xml:space="preserve">.  </w:t>
            </w:r>
          </w:p>
        </w:tc>
      </w:tr>
    </w:tbl>
    <w:p w14:paraId="66F34D88" w14:textId="77777777" w:rsidR="0042516E" w:rsidRPr="00CA1FD0" w:rsidRDefault="0042516E" w:rsidP="0042516E">
      <w:pPr>
        <w:pStyle w:val="Heading1"/>
      </w:pPr>
      <w:r w:rsidRPr="00CA1FD0">
        <w:t>NEED FOR AND USE OF THE COLLECTION</w:t>
      </w:r>
    </w:p>
    <w:p w14:paraId="1EF25883" w14:textId="77777777" w:rsidR="0042516E" w:rsidRPr="00A15430" w:rsidRDefault="0042516E" w:rsidP="0042516E">
      <w:pPr>
        <w:pStyle w:val="Heading2"/>
        <w:tabs>
          <w:tab w:val="clear" w:pos="720"/>
          <w:tab w:val="num" w:pos="1080"/>
        </w:tabs>
        <w:ind w:left="1080" w:hanging="360"/>
      </w:pPr>
      <w:r w:rsidRPr="002F29F3">
        <w:t>Need</w:t>
      </w:r>
      <w:r w:rsidRPr="00A15430">
        <w:t xml:space="preserve">/Authority for the </w:t>
      </w:r>
      <w:r>
        <w:t xml:space="preserve">CDR </w:t>
      </w:r>
      <w:r w:rsidRPr="00A15430">
        <w:rPr>
          <w:rFonts w:cstheme="minorBidi"/>
          <w:bCs w:val="0"/>
          <w:iCs w:val="0"/>
          <w:szCs w:val="24"/>
        </w:rPr>
        <w:t>Collection</w:t>
      </w:r>
    </w:p>
    <w:p w14:paraId="523A67F7" w14:textId="1188D29E" w:rsidR="0042516E" w:rsidRPr="009533EA" w:rsidRDefault="0042516E" w:rsidP="0042516E">
      <w:pPr>
        <w:pStyle w:val="BodyText"/>
      </w:pPr>
      <w:r w:rsidRPr="009533EA">
        <w:t>Under</w:t>
      </w:r>
      <w:r w:rsidR="00485800">
        <w:t xml:space="preserve"> </w:t>
      </w:r>
      <w:r>
        <w:t>TSCA</w:t>
      </w:r>
      <w:r w:rsidRPr="009533EA">
        <w:t xml:space="preserve">, EPA is charged with protecting human health and the environment from potential chemical risks. Through the CDR regulation, EPA collects basic exposure-related manufacturing, processing, and use information used by the Agency and others in a wide range of activities. </w:t>
      </w:r>
    </w:p>
    <w:p w14:paraId="25B3486C" w14:textId="56C754FB" w:rsidR="0042516E" w:rsidRPr="009533EA" w:rsidRDefault="0042516E" w:rsidP="002A14EE">
      <w:pPr>
        <w:pStyle w:val="BodyText"/>
        <w:ind w:firstLine="0"/>
      </w:pPr>
      <w:r>
        <w:tab/>
        <w:t>Some of the proposed revisions to t</w:t>
      </w:r>
      <w:r w:rsidRPr="009533EA">
        <w:t xml:space="preserve">he </w:t>
      </w:r>
      <w:r>
        <w:t xml:space="preserve">CDR </w:t>
      </w:r>
      <w:r w:rsidR="00DE0B22">
        <w:t xml:space="preserve">would </w:t>
      </w:r>
      <w:r>
        <w:t xml:space="preserve">improve the </w:t>
      </w:r>
      <w:r w:rsidRPr="009533EA">
        <w:t>exposure-related data</w:t>
      </w:r>
      <w:r>
        <w:t xml:space="preserve"> collected</w:t>
      </w:r>
      <w:r w:rsidRPr="009533EA">
        <w:t xml:space="preserve"> on manufacturing, processing, and use</w:t>
      </w:r>
      <w:r>
        <w:t xml:space="preserve"> of chemicals in commerce, enabling </w:t>
      </w:r>
      <w:r w:rsidRPr="009533EA">
        <w:t xml:space="preserve">EPA to conduct a more effective and efficient screening-level review of chemical substances to identify candidates for further evaluation or action. This </w:t>
      </w:r>
      <w:r>
        <w:t xml:space="preserve">improvement </w:t>
      </w:r>
      <w:r w:rsidRPr="009533EA">
        <w:t xml:space="preserve">is particularly important in light of EPA’s requirement under </w:t>
      </w:r>
      <w:r>
        <w:t>TSCA</w:t>
      </w:r>
      <w:r w:rsidRPr="009533EA">
        <w:t xml:space="preserve"> to identify chemicals in commerce as high priority or low priority for risk</w:t>
      </w:r>
      <w:r>
        <w:t xml:space="preserve"> evaluation (TSCA section 6(b))</w:t>
      </w:r>
      <w:r w:rsidRPr="009533EA">
        <w:t xml:space="preserve">. </w:t>
      </w:r>
      <w:r>
        <w:t>Other proposed revisions, such as changes to byproduct reporting, small manufactur</w:t>
      </w:r>
      <w:r w:rsidR="003228A9">
        <w:t>er</w:t>
      </w:r>
      <w:r>
        <w:t xml:space="preserve"> standards, and an improved mechanism for co-manufactur</w:t>
      </w:r>
      <w:r w:rsidR="00FC5CBC">
        <w:t>ed chemical</w:t>
      </w:r>
      <w:r>
        <w:t xml:space="preserve"> reporting, </w:t>
      </w:r>
      <w:r w:rsidR="00DE0B22">
        <w:t xml:space="preserve">would </w:t>
      </w:r>
      <w:r>
        <w:t xml:space="preserve">reduce burden for reporters while continuing to allow EPA to access needed information. </w:t>
      </w:r>
    </w:p>
    <w:p w14:paraId="69EE1AF8" w14:textId="7C504476" w:rsidR="0042516E" w:rsidRPr="009533EA" w:rsidRDefault="0042516E" w:rsidP="0042516E">
      <w:pPr>
        <w:pStyle w:val="BodyText"/>
      </w:pPr>
      <w:r w:rsidRPr="009533EA">
        <w:t xml:space="preserve">Additionally, under TSCA </w:t>
      </w:r>
      <w:r>
        <w:t>section 14</w:t>
      </w:r>
      <w:r w:rsidRPr="009533EA">
        <w:t xml:space="preserve">, claims of </w:t>
      </w:r>
      <w:r>
        <w:t>confidentiality</w:t>
      </w:r>
      <w:r w:rsidRPr="009533EA">
        <w:t xml:space="preserve"> (other than for </w:t>
      </w:r>
      <w:r>
        <w:t xml:space="preserve">selected data elements such as </w:t>
      </w:r>
      <w:r w:rsidRPr="009533EA">
        <w:t xml:space="preserve">production volume) must be substantiated at the time </w:t>
      </w:r>
      <w:r>
        <w:t xml:space="preserve">information is submitted </w:t>
      </w:r>
      <w:r w:rsidRPr="009533EA">
        <w:t>to EPA, including as part of CDR (</w:t>
      </w:r>
      <w:r>
        <w:t xml:space="preserve">See </w:t>
      </w:r>
      <w:hyperlink r:id="rId13" w:history="1">
        <w:r w:rsidRPr="009533EA">
          <w:rPr>
            <w:color w:val="0000FF"/>
            <w:u w:val="single"/>
          </w:rPr>
          <w:t>82 FR 6522</w:t>
        </w:r>
      </w:hyperlink>
      <w:r w:rsidRPr="009533EA">
        <w:t xml:space="preserve">, January 19, 2017). </w:t>
      </w:r>
      <w:r>
        <w:t>To ensure that</w:t>
      </w:r>
      <w:r w:rsidRPr="009533EA">
        <w:t xml:space="preserve"> EPA can use CDR data most effectively, including sharing it with the public, TSCA </w:t>
      </w:r>
      <w:r>
        <w:t>requires</w:t>
      </w:r>
      <w:r w:rsidRPr="009533EA">
        <w:t xml:space="preserve"> substantiation </w:t>
      </w:r>
      <w:r>
        <w:t xml:space="preserve">to enable </w:t>
      </w:r>
      <w:r w:rsidRPr="009533EA">
        <w:t xml:space="preserve">EPA </w:t>
      </w:r>
      <w:r>
        <w:t xml:space="preserve">to </w:t>
      </w:r>
      <w:r w:rsidRPr="009533EA">
        <w:t xml:space="preserve">review the legitimacy of </w:t>
      </w:r>
      <w:r>
        <w:t>confidentiality</w:t>
      </w:r>
      <w:r w:rsidRPr="009533EA">
        <w:t xml:space="preserve"> claims.</w:t>
      </w:r>
      <w:r w:rsidRPr="00B571F3">
        <w:t xml:space="preserve"> EPA is </w:t>
      </w:r>
      <w:r>
        <w:t>proposing</w:t>
      </w:r>
      <w:r w:rsidRPr="00B571F3">
        <w:t xml:space="preserve"> </w:t>
      </w:r>
      <w:r>
        <w:t xml:space="preserve">new and updated questions for reporters to answer </w:t>
      </w:r>
      <w:bookmarkStart w:id="7" w:name="_Hlk527374499"/>
      <w:r>
        <w:t xml:space="preserve">to </w:t>
      </w:r>
      <w:bookmarkEnd w:id="7"/>
      <w:r>
        <w:t>substantiate confidentiality claims at the time the information is submitted to the Agency. EPA also is proposing which data elements do not require upfront</w:t>
      </w:r>
      <w:r w:rsidRPr="00B571F3">
        <w:t xml:space="preserve"> substantiation </w:t>
      </w:r>
      <w:r>
        <w:t xml:space="preserve">and which data elements are ineligible for confidentiality claims. </w:t>
      </w:r>
      <w:r w:rsidRPr="009533EA">
        <w:t xml:space="preserve">  </w:t>
      </w:r>
    </w:p>
    <w:p w14:paraId="6E8D7DB9" w14:textId="77777777" w:rsidR="0042516E" w:rsidRPr="009533EA" w:rsidRDefault="0042516E" w:rsidP="0042516E">
      <w:pPr>
        <w:pStyle w:val="Heading2"/>
        <w:tabs>
          <w:tab w:val="clear" w:pos="720"/>
          <w:tab w:val="num" w:pos="1080"/>
        </w:tabs>
        <w:ind w:left="1080" w:hanging="360"/>
      </w:pPr>
      <w:r w:rsidRPr="009533EA">
        <w:t xml:space="preserve">Practical Utility/Users of the </w:t>
      </w:r>
      <w:r>
        <w:t xml:space="preserve">CDR </w:t>
      </w:r>
      <w:r w:rsidRPr="009533EA">
        <w:t>Data</w:t>
      </w:r>
    </w:p>
    <w:p w14:paraId="451D160C" w14:textId="64BF618D" w:rsidR="0042516E" w:rsidRDefault="0042516E" w:rsidP="0042516E">
      <w:pPr>
        <w:pStyle w:val="BodyText"/>
      </w:pPr>
      <w:r w:rsidRPr="009533EA">
        <w:t xml:space="preserve">The </w:t>
      </w:r>
      <w:r>
        <w:t xml:space="preserve">proposed revisions associated with </w:t>
      </w:r>
      <w:r w:rsidRPr="009533EA">
        <w:t xml:space="preserve">reporting methods, including the reporting tool and electronic registration, </w:t>
      </w:r>
      <w:r w:rsidR="00E07773">
        <w:t xml:space="preserve">would </w:t>
      </w:r>
      <w:r w:rsidRPr="009533EA">
        <w:t>help to ensure that the information reported to EPA is accurate and in compliance with the CDR requirements.</w:t>
      </w:r>
      <w:r>
        <w:t xml:space="preserve"> In addition, the proposed data elements </w:t>
      </w:r>
      <w:r w:rsidR="00E07773">
        <w:t xml:space="preserve">would </w:t>
      </w:r>
      <w:r>
        <w:t>have practical utility for users of the data within EPA and for the public.</w:t>
      </w:r>
    </w:p>
    <w:p w14:paraId="07E39D4F" w14:textId="77777777" w:rsidR="0042516E" w:rsidRPr="009533EA" w:rsidRDefault="0042516E" w:rsidP="0042516E">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i/>
          <w:iCs/>
        </w:rPr>
      </w:pPr>
      <w:r w:rsidRPr="009533EA">
        <w:rPr>
          <w:rFonts w:eastAsia="Times New Roman" w:cs="Times New Roman"/>
          <w:szCs w:val="18"/>
        </w:rPr>
        <w:tab/>
      </w:r>
      <w:r w:rsidRPr="0B02F8A5">
        <w:rPr>
          <w:rFonts w:eastAsia="Times New Roman" w:cs="Times New Roman"/>
          <w:i/>
          <w:iCs/>
        </w:rPr>
        <w:t>e-CDRweb Reporting Tool</w:t>
      </w:r>
    </w:p>
    <w:p w14:paraId="42169619" w14:textId="77777777" w:rsidR="0042516E" w:rsidRPr="009533EA" w:rsidRDefault="0042516E" w:rsidP="0042516E">
      <w:pPr>
        <w:ind w:firstLine="720"/>
        <w:rPr>
          <w:rFonts w:eastAsia="Times New Roman" w:cs="Times New Roman"/>
        </w:rPr>
      </w:pPr>
    </w:p>
    <w:p w14:paraId="778911F9" w14:textId="709D91D7" w:rsidR="0042516E" w:rsidRPr="009533EA" w:rsidRDefault="0042516E" w:rsidP="0042516E">
      <w:pPr>
        <w:pStyle w:val="BodyText"/>
      </w:pPr>
      <w:r w:rsidRPr="009533EA">
        <w:t xml:space="preserve">For the 2020 submission period, EPA </w:t>
      </w:r>
      <w:r w:rsidR="00E07773">
        <w:t>would</w:t>
      </w:r>
      <w:r w:rsidR="00E07773" w:rsidRPr="009533EA">
        <w:t xml:space="preserve"> </w:t>
      </w:r>
      <w:r w:rsidRPr="009533EA">
        <w:t xml:space="preserve">continue to require electronic reporting for all CDR submissions, including joint submissions and amendments. </w:t>
      </w:r>
      <w:r w:rsidRPr="0B02F8A5">
        <w:t xml:space="preserve">Persons submitting information under the CDR rule are required to use e-CDRweb, the Agency-provided, web-based tool to complete Form U (the CDR reporting form). EPA </w:t>
      </w:r>
      <w:r w:rsidR="00E07773">
        <w:t>would</w:t>
      </w:r>
      <w:r w:rsidR="00E07773" w:rsidRPr="0B02F8A5">
        <w:t xml:space="preserve"> </w:t>
      </w:r>
      <w:r w:rsidRPr="0B02F8A5">
        <w:t>make updates to this required reporting tool to address the proposed changes</w:t>
      </w:r>
      <w:r w:rsidRPr="009533EA">
        <w:t>.</w:t>
      </w:r>
      <w:r>
        <w:t xml:space="preserve"> </w:t>
      </w:r>
      <w:r w:rsidR="003F532B">
        <w:t>Mock ups</w:t>
      </w:r>
      <w:r w:rsidR="00487701">
        <w:t xml:space="preserve"> of e-CDRweb screen shots illustrating the proposed changed reporting requirements are included as Attachment A</w:t>
      </w:r>
      <w:r w:rsidR="007D3A97">
        <w:t xml:space="preserve"> and the Instructions are included as </w:t>
      </w:r>
      <w:r w:rsidR="00BA615A">
        <w:t>A</w:t>
      </w:r>
      <w:r w:rsidR="007D3A97">
        <w:t>ttachment B</w:t>
      </w:r>
      <w:r w:rsidR="00487701">
        <w:t>.</w:t>
      </w:r>
      <w:r w:rsidRPr="009533EA">
        <w:rPr>
          <w:i/>
          <w:szCs w:val="18"/>
        </w:rPr>
        <w:tab/>
      </w:r>
      <w:r w:rsidRPr="009533EA">
        <w:t xml:space="preserve"> </w:t>
      </w:r>
    </w:p>
    <w:p w14:paraId="608375F1" w14:textId="77777777" w:rsidR="0042516E" w:rsidRPr="00CE78D4" w:rsidRDefault="0042516E" w:rsidP="0042516E">
      <w:pPr>
        <w:ind w:firstLine="720"/>
        <w:rPr>
          <w:i/>
        </w:rPr>
      </w:pPr>
      <w:r w:rsidRPr="00CE78D4">
        <w:rPr>
          <w:i/>
        </w:rPr>
        <w:t>Data Elements for CDR Submissions</w:t>
      </w:r>
    </w:p>
    <w:p w14:paraId="2E507B63" w14:textId="77777777" w:rsidR="0042516E" w:rsidRPr="009533EA" w:rsidRDefault="0042516E" w:rsidP="0042516E"/>
    <w:p w14:paraId="609A60D3" w14:textId="67F0E9E0" w:rsidR="0042516E" w:rsidRPr="009533EA" w:rsidRDefault="0042516E" w:rsidP="0042516E">
      <w:pPr>
        <w:pStyle w:val="BodyText"/>
      </w:pPr>
      <w:r w:rsidRPr="009533EA">
        <w:t>The CDR information collection is the only mechanism through which EPA</w:t>
      </w:r>
      <w:r>
        <w:t xml:space="preserve"> routinely</w:t>
      </w:r>
      <w:r w:rsidRPr="009533EA">
        <w:t xml:space="preserve"> collects basic information on commercial chemical substances listed on the TSCA Inventory, including production volume and other manufacturing (including importing), processing, and use exposure-related data. </w:t>
      </w:r>
      <w:r>
        <w:t xml:space="preserve">With proposed changes, EPA would collect information on new or revised data elements. </w:t>
      </w:r>
      <w:r w:rsidRPr="009533EA">
        <w:t xml:space="preserve">EPA </w:t>
      </w:r>
      <w:r w:rsidR="00DE0B22">
        <w:t>would</w:t>
      </w:r>
      <w:r w:rsidR="00DE0B22" w:rsidRPr="009533EA">
        <w:t xml:space="preserve"> </w:t>
      </w:r>
      <w:r w:rsidRPr="009533EA">
        <w:t xml:space="preserve">use the information </w:t>
      </w:r>
      <w:r>
        <w:t>for these new or revised data elements</w:t>
      </w:r>
      <w:r w:rsidRPr="009533EA">
        <w:t xml:space="preserve"> in the following ways:</w:t>
      </w:r>
    </w:p>
    <w:p w14:paraId="1D817305" w14:textId="2049317C" w:rsidR="0042516E" w:rsidRDefault="0042516E" w:rsidP="008C5171">
      <w:pPr>
        <w:numPr>
          <w:ilvl w:val="0"/>
          <w:numId w:val="16"/>
        </w:numPr>
        <w:tabs>
          <w:tab w:val="left" w:pos="1080"/>
          <w:tab w:val="left" w:pos="1260"/>
        </w:tabs>
        <w:spacing w:after="120"/>
        <w:ind w:left="720"/>
        <w:rPr>
          <w:rFonts w:eastAsia="Times New Roman" w:cs="Times New Roman"/>
        </w:rPr>
      </w:pPr>
      <w:r w:rsidRPr="00CF58E6">
        <w:rPr>
          <w:rFonts w:eastAsia="Times New Roman" w:cs="Times New Roman"/>
          <w:i/>
          <w:iCs/>
        </w:rPr>
        <w:t>Public contact</w:t>
      </w:r>
      <w:r w:rsidRPr="009533EA">
        <w:rPr>
          <w:rFonts w:eastAsia="Times New Roman" w:cs="Times New Roman"/>
        </w:rPr>
        <w:t xml:space="preserve">: </w:t>
      </w:r>
      <w:r>
        <w:rPr>
          <w:rFonts w:eastAsia="Times New Roman" w:cs="Times New Roman"/>
        </w:rPr>
        <w:t>(new</w:t>
      </w:r>
      <w:r w:rsidR="00F22562">
        <w:rPr>
          <w:rFonts w:eastAsia="Times New Roman" w:cs="Times New Roman"/>
        </w:rPr>
        <w:t>, voluntary</w:t>
      </w:r>
      <w:r>
        <w:rPr>
          <w:rFonts w:eastAsia="Times New Roman" w:cs="Times New Roman"/>
        </w:rPr>
        <w:t xml:space="preserve">) </w:t>
      </w:r>
      <w:r w:rsidRPr="00370DA0">
        <w:rPr>
          <w:rFonts w:eastAsia="Times New Roman" w:cs="Times New Roman"/>
        </w:rPr>
        <w:t xml:space="preserve">The public contact information </w:t>
      </w:r>
      <w:r w:rsidR="00DE0B22">
        <w:rPr>
          <w:rFonts w:eastAsia="Times New Roman" w:cs="Times New Roman"/>
        </w:rPr>
        <w:t xml:space="preserve">would </w:t>
      </w:r>
      <w:r w:rsidRPr="00370DA0">
        <w:rPr>
          <w:rFonts w:eastAsia="Times New Roman" w:cs="Times New Roman"/>
        </w:rPr>
        <w:t>provide for a general, public contact f</w:t>
      </w:r>
      <w:r>
        <w:rPr>
          <w:rFonts w:eastAsia="Times New Roman" w:cs="Times New Roman"/>
        </w:rPr>
        <w:t>or other users of the CDR data.</w:t>
      </w:r>
    </w:p>
    <w:p w14:paraId="78187B18" w14:textId="35F59EB4" w:rsidR="0042516E" w:rsidRDefault="0042516E" w:rsidP="008C5171">
      <w:pPr>
        <w:numPr>
          <w:ilvl w:val="0"/>
          <w:numId w:val="16"/>
        </w:numPr>
        <w:tabs>
          <w:tab w:val="left" w:pos="1080"/>
          <w:tab w:val="left" w:pos="1260"/>
        </w:tabs>
        <w:spacing w:after="120"/>
        <w:ind w:left="720"/>
        <w:rPr>
          <w:rFonts w:eastAsia="Times New Roman" w:cs="Times New Roman"/>
        </w:rPr>
      </w:pPr>
      <w:r w:rsidRPr="0DE9765B">
        <w:rPr>
          <w:rFonts w:eastAsia="Times New Roman" w:cs="Times New Roman"/>
          <w:i/>
          <w:iCs/>
        </w:rPr>
        <w:t>Parent company information</w:t>
      </w:r>
      <w:r w:rsidRPr="0B02F8A5">
        <w:rPr>
          <w:rFonts w:eastAsia="Times New Roman" w:cs="Times New Roman"/>
        </w:rPr>
        <w:t xml:space="preserve">: (revised) Information about the U.S. parent company (and foreign parent company, when applicable) associated with the reporting site is used for protecting information claimed as confidential when there are multiple sites for the same parent company and for comparing data from various sources, such as is done for EPA’s Toxics Release Inventory (TRI). </w:t>
      </w:r>
      <w:r w:rsidR="006F01AC">
        <w:rPr>
          <w:rFonts w:eastAsia="Times New Roman" w:cs="Times New Roman"/>
        </w:rPr>
        <w:t>The revised</w:t>
      </w:r>
      <w:r w:rsidR="002E1CB7">
        <w:rPr>
          <w:rFonts w:eastAsia="Times New Roman" w:cs="Times New Roman"/>
        </w:rPr>
        <w:t xml:space="preserve"> parent company definition </w:t>
      </w:r>
      <w:r w:rsidR="00DE0B22">
        <w:rPr>
          <w:rFonts w:eastAsia="Times New Roman" w:cs="Times New Roman"/>
        </w:rPr>
        <w:t xml:space="preserve">would </w:t>
      </w:r>
      <w:r w:rsidR="002E1CB7">
        <w:rPr>
          <w:rFonts w:eastAsia="Times New Roman" w:cs="Times New Roman"/>
        </w:rPr>
        <w:t xml:space="preserve">reduce </w:t>
      </w:r>
      <w:r w:rsidR="00F73628">
        <w:rPr>
          <w:rFonts w:eastAsia="Times New Roman" w:cs="Times New Roman"/>
        </w:rPr>
        <w:t xml:space="preserve">uncertainty for submitters regarding how to report parent company information. </w:t>
      </w:r>
      <w:r w:rsidRPr="0B02F8A5">
        <w:rPr>
          <w:rFonts w:eastAsia="Times New Roman" w:cs="Times New Roman"/>
        </w:rPr>
        <w:t xml:space="preserve">The addition of the foreign parent company </w:t>
      </w:r>
      <w:r w:rsidR="00EB2EF3">
        <w:rPr>
          <w:rFonts w:eastAsia="Times New Roman" w:cs="Times New Roman"/>
        </w:rPr>
        <w:t>would</w:t>
      </w:r>
      <w:r w:rsidR="00EB2EF3" w:rsidRPr="0B02F8A5">
        <w:rPr>
          <w:rFonts w:eastAsia="Times New Roman" w:cs="Times New Roman"/>
        </w:rPr>
        <w:t xml:space="preserve"> </w:t>
      </w:r>
      <w:r w:rsidRPr="0B02F8A5">
        <w:rPr>
          <w:rFonts w:eastAsia="Times New Roman" w:cs="Times New Roman"/>
        </w:rPr>
        <w:t>increase EPA’s ability to use and release the CDR data while protecting confidentiality claims. Consistent use of parent company names makes for more meaningful comparisons of data</w:t>
      </w:r>
      <w:r w:rsidR="00487701">
        <w:rPr>
          <w:rFonts w:eastAsia="Times New Roman" w:cs="Times New Roman"/>
        </w:rPr>
        <w:t xml:space="preserve"> and </w:t>
      </w:r>
      <w:r w:rsidR="00DE0B22">
        <w:rPr>
          <w:rFonts w:eastAsia="Times New Roman" w:cs="Times New Roman"/>
        </w:rPr>
        <w:t>would</w:t>
      </w:r>
      <w:r w:rsidR="00487701">
        <w:rPr>
          <w:rFonts w:eastAsia="Times New Roman" w:cs="Times New Roman"/>
        </w:rPr>
        <w:t xml:space="preserve"> reduce after-reporting quality control efforts for both EPA and submitters</w:t>
      </w:r>
      <w:r w:rsidRPr="0B02F8A5">
        <w:rPr>
          <w:rFonts w:eastAsia="Times New Roman" w:cs="Times New Roman"/>
        </w:rPr>
        <w:t>.</w:t>
      </w:r>
      <w:r w:rsidR="00F27C1E">
        <w:rPr>
          <w:rFonts w:eastAsia="Times New Roman" w:cs="Times New Roman"/>
        </w:rPr>
        <w:t xml:space="preserve"> </w:t>
      </w:r>
    </w:p>
    <w:p w14:paraId="0AB21058" w14:textId="2AD63470" w:rsidR="0042516E" w:rsidRPr="00B24AE5" w:rsidRDefault="0042516E" w:rsidP="008C5171">
      <w:pPr>
        <w:numPr>
          <w:ilvl w:val="0"/>
          <w:numId w:val="16"/>
        </w:numPr>
        <w:tabs>
          <w:tab w:val="left" w:pos="1080"/>
          <w:tab w:val="left" w:pos="1260"/>
        </w:tabs>
        <w:spacing w:after="120"/>
        <w:ind w:left="720"/>
        <w:rPr>
          <w:rFonts w:eastAsia="Times New Roman" w:cs="Times New Roman"/>
        </w:rPr>
      </w:pPr>
      <w:r w:rsidRPr="00B24AE5">
        <w:rPr>
          <w:rFonts w:eastAsia="Times New Roman" w:cs="Times New Roman"/>
          <w:i/>
          <w:szCs w:val="18"/>
        </w:rPr>
        <w:t>NAICS codes</w:t>
      </w:r>
      <w:r w:rsidRPr="00B24AE5">
        <w:rPr>
          <w:rFonts w:eastAsia="Times New Roman" w:cs="Times New Roman"/>
          <w:szCs w:val="18"/>
        </w:rPr>
        <w:t xml:space="preserve">: (new) The </w:t>
      </w:r>
      <w:r w:rsidR="00C86F1F">
        <w:rPr>
          <w:rFonts w:eastAsia="Times New Roman" w:cs="Times New Roman"/>
          <w:szCs w:val="18"/>
        </w:rPr>
        <w:t xml:space="preserve">reporting </w:t>
      </w:r>
      <w:r w:rsidRPr="00B24AE5">
        <w:rPr>
          <w:rFonts w:eastAsia="Times New Roman" w:cs="Times New Roman"/>
          <w:szCs w:val="18"/>
        </w:rPr>
        <w:t xml:space="preserve">site’s NAICS code(s) </w:t>
      </w:r>
      <w:r w:rsidR="00EB2EF3">
        <w:rPr>
          <w:rFonts w:eastAsia="Times New Roman" w:cs="Times New Roman"/>
          <w:szCs w:val="18"/>
        </w:rPr>
        <w:t>would</w:t>
      </w:r>
      <w:r w:rsidR="00EB2EF3" w:rsidRPr="00B24AE5">
        <w:rPr>
          <w:rFonts w:eastAsia="Times New Roman" w:cs="Times New Roman"/>
          <w:szCs w:val="18"/>
        </w:rPr>
        <w:t xml:space="preserve"> </w:t>
      </w:r>
      <w:r w:rsidRPr="00B24AE5">
        <w:rPr>
          <w:rFonts w:eastAsia="Times New Roman" w:cs="Times New Roman"/>
          <w:szCs w:val="18"/>
        </w:rPr>
        <w:t>help EPA to more accurately understand the chemical industry, including identifying sector-specific trends.</w:t>
      </w:r>
    </w:p>
    <w:p w14:paraId="2C296E7A" w14:textId="68B29232" w:rsidR="005F30E7" w:rsidRPr="00B24AE5" w:rsidRDefault="0042516E" w:rsidP="008C5171">
      <w:pPr>
        <w:numPr>
          <w:ilvl w:val="0"/>
          <w:numId w:val="16"/>
        </w:numPr>
        <w:tabs>
          <w:tab w:val="left" w:pos="1080"/>
          <w:tab w:val="left" w:pos="1260"/>
        </w:tabs>
        <w:spacing w:after="120"/>
        <w:ind w:left="720"/>
        <w:rPr>
          <w:rFonts w:eastAsia="Times New Roman" w:cs="Times New Roman"/>
        </w:rPr>
      </w:pPr>
      <w:r w:rsidRPr="00B24AE5">
        <w:rPr>
          <w:rFonts w:eastAsia="Times New Roman" w:cs="Times New Roman"/>
          <w:i/>
        </w:rPr>
        <w:t xml:space="preserve">Percent production volume that is a </w:t>
      </w:r>
      <w:r w:rsidRPr="00B24AE5">
        <w:rPr>
          <w:i/>
        </w:rPr>
        <w:t>b</w:t>
      </w:r>
      <w:r w:rsidRPr="00C91AA1">
        <w:rPr>
          <w:i/>
        </w:rPr>
        <w:t>yproduct</w:t>
      </w:r>
      <w:r>
        <w:t>: (new) EPA is proposing to</w:t>
      </w:r>
      <w:r w:rsidRPr="0082605E">
        <w:t xml:space="preserve"> add </w:t>
      </w:r>
      <w:r>
        <w:t>a</w:t>
      </w:r>
      <w:r w:rsidRPr="0082605E">
        <w:t xml:space="preserve"> data element about byproducts to identify important submitter subpopulations and their representation in CDR with respect to production volume. </w:t>
      </w:r>
      <w:r>
        <w:t>With this</w:t>
      </w:r>
      <w:r w:rsidRPr="0082605E">
        <w:t xml:space="preserve"> change</w:t>
      </w:r>
      <w:r>
        <w:t>,</w:t>
      </w:r>
      <w:r w:rsidRPr="0082605E">
        <w:t xml:space="preserve"> EPA</w:t>
      </w:r>
      <w:r>
        <w:t xml:space="preserve"> </w:t>
      </w:r>
      <w:r w:rsidR="002D2B8F">
        <w:t xml:space="preserve">would </w:t>
      </w:r>
      <w:r>
        <w:t>be able</w:t>
      </w:r>
      <w:r w:rsidRPr="0082605E">
        <w:t xml:space="preserve"> to </w:t>
      </w:r>
      <w:r>
        <w:t xml:space="preserve">better understand the reporting impacts on this subpopulation, including to </w:t>
      </w:r>
      <w:r w:rsidRPr="0082605E">
        <w:t xml:space="preserve">identify those manufacturers who only report to CDR due to their byproduct production. EPA </w:t>
      </w:r>
      <w:r w:rsidR="002D2B8F">
        <w:t>would</w:t>
      </w:r>
      <w:r w:rsidR="002D2B8F" w:rsidRPr="0082605E">
        <w:t xml:space="preserve"> </w:t>
      </w:r>
      <w:r w:rsidRPr="0082605E">
        <w:t>consequently be better able to understand and connect manufacturing and downstream activities for the purposes of substance life cycle assessments and risk evaluation.</w:t>
      </w:r>
      <w:r>
        <w:t xml:space="preserve">  </w:t>
      </w:r>
    </w:p>
    <w:p w14:paraId="62960EB4" w14:textId="4CAB9720" w:rsidR="0042516E" w:rsidRPr="004E4D27" w:rsidRDefault="000F6731">
      <w:pPr>
        <w:numPr>
          <w:ilvl w:val="0"/>
          <w:numId w:val="16"/>
        </w:numPr>
        <w:tabs>
          <w:tab w:val="left" w:pos="1080"/>
          <w:tab w:val="left" w:pos="1260"/>
        </w:tabs>
        <w:spacing w:after="120"/>
        <w:ind w:left="720"/>
      </w:pPr>
      <w:r w:rsidRPr="00CF58E6">
        <w:rPr>
          <w:i/>
          <w:iCs/>
        </w:rPr>
        <w:t xml:space="preserve">Whether a manufactured (including imported) chemical substance is being </w:t>
      </w:r>
      <w:r w:rsidR="00A1688A" w:rsidRPr="00CF58E6">
        <w:rPr>
          <w:i/>
          <w:iCs/>
        </w:rPr>
        <w:t>recycled</w:t>
      </w:r>
      <w:r w:rsidR="0042516E" w:rsidRPr="00CF58E6">
        <w:rPr>
          <w:i/>
          <w:iCs/>
        </w:rPr>
        <w:t xml:space="preserve">: </w:t>
      </w:r>
      <w:r w:rsidR="0042516E" w:rsidRPr="00C91AA1">
        <w:t xml:space="preserve">(revised) </w:t>
      </w:r>
      <w:r w:rsidR="004C4FA3">
        <w:t xml:space="preserve">This data element provides information relevant to the exposure profile of a chemical substance and indicates efficiencies within the chemical manufacturing industry. </w:t>
      </w:r>
      <w:r w:rsidR="0042516E" w:rsidRPr="005A725F">
        <w:t>EPA</w:t>
      </w:r>
      <w:r w:rsidR="0042516E" w:rsidRPr="0082605E">
        <w:t xml:space="preserve"> is proposing to modify </w:t>
      </w:r>
      <w:r w:rsidR="00F04455">
        <w:t xml:space="preserve">this data element </w:t>
      </w:r>
      <w:r w:rsidR="00D408A3">
        <w:t>to focus on recycling and</w:t>
      </w:r>
      <w:r w:rsidR="0091788E">
        <w:t xml:space="preserve"> to </w:t>
      </w:r>
      <w:r w:rsidR="00184B72">
        <w:t>reduce</w:t>
      </w:r>
      <w:r w:rsidR="0091788E">
        <w:t xml:space="preserve"> potential confusion related to the removed</w:t>
      </w:r>
      <w:r w:rsidR="0042516E">
        <w:t xml:space="preserve"> </w:t>
      </w:r>
      <w:r w:rsidR="00A1688A" w:rsidRPr="00A1688A">
        <w:t xml:space="preserve">terms “remanufactured, reprocessed, </w:t>
      </w:r>
      <w:r w:rsidR="00940DFA">
        <w:t xml:space="preserve">and </w:t>
      </w:r>
      <w:r w:rsidR="00A1688A" w:rsidRPr="00A1688A">
        <w:t>reused</w:t>
      </w:r>
      <w:r w:rsidR="00756D3B">
        <w:t>,</w:t>
      </w:r>
      <w:r w:rsidR="00A1688A" w:rsidRPr="00A1688A">
        <w:t>”</w:t>
      </w:r>
      <w:r w:rsidR="00851BCF">
        <w:t xml:space="preserve"> which</w:t>
      </w:r>
      <w:r w:rsidR="00A1688A" w:rsidRPr="00A1688A">
        <w:t xml:space="preserve"> may be interpreted and applied too broadly to obtain the information of interest for this collection.</w:t>
      </w:r>
      <w:r w:rsidR="00D82EAB">
        <w:t xml:space="preserve"> </w:t>
      </w:r>
      <w:r w:rsidR="00A45C3F">
        <w:t xml:space="preserve"> </w:t>
      </w:r>
    </w:p>
    <w:p w14:paraId="5F674111" w14:textId="6EECCD1E" w:rsidR="0042516E" w:rsidRDefault="0042516E" w:rsidP="008C5171">
      <w:pPr>
        <w:numPr>
          <w:ilvl w:val="0"/>
          <w:numId w:val="16"/>
        </w:numPr>
        <w:tabs>
          <w:tab w:val="left" w:pos="1080"/>
          <w:tab w:val="left" w:pos="1260"/>
        </w:tabs>
        <w:spacing w:after="120"/>
        <w:ind w:left="720"/>
        <w:rPr>
          <w:rFonts w:eastAsia="Times New Roman" w:cs="Times New Roman"/>
        </w:rPr>
      </w:pPr>
      <w:r w:rsidRPr="00B24AE5">
        <w:rPr>
          <w:rFonts w:eastAsia="Times New Roman" w:cs="Times New Roman"/>
          <w:i/>
        </w:rPr>
        <w:t>Function and use codes</w:t>
      </w:r>
      <w:r w:rsidRPr="00C91AA1">
        <w:rPr>
          <w:rFonts w:eastAsia="Times New Roman" w:cs="Times New Roman"/>
          <w:i/>
        </w:rPr>
        <w:t>:</w:t>
      </w:r>
      <w:r w:rsidRPr="00C91AA1">
        <w:rPr>
          <w:rFonts w:eastAsia="Times New Roman" w:cs="Times New Roman"/>
        </w:rPr>
        <w:t xml:space="preserve"> </w:t>
      </w:r>
      <w:r w:rsidRPr="00B24AE5">
        <w:rPr>
          <w:rFonts w:eastAsia="Times New Roman" w:cs="Times New Roman"/>
        </w:rPr>
        <w:t xml:space="preserve">(revised) Harmonizing CDR use codes with the OECD codes </w:t>
      </w:r>
      <w:r w:rsidR="002D2B8F">
        <w:rPr>
          <w:rFonts w:eastAsia="Times New Roman" w:cs="Times New Roman"/>
        </w:rPr>
        <w:t>would</w:t>
      </w:r>
      <w:r w:rsidR="002D2B8F" w:rsidRPr="00B24AE5">
        <w:rPr>
          <w:rFonts w:eastAsia="Times New Roman" w:cs="Times New Roman"/>
        </w:rPr>
        <w:t xml:space="preserve"> </w:t>
      </w:r>
      <w:r w:rsidRPr="00B24AE5">
        <w:rPr>
          <w:rFonts w:eastAsia="Times New Roman" w:cs="Times New Roman"/>
        </w:rPr>
        <w:t xml:space="preserve">expand the utilization of applicable use and exposure-related information from international sources to support EPA risk assessment activities for new and existing chemicals. Additionally, this harmonization </w:t>
      </w:r>
      <w:r w:rsidR="002D2B8F">
        <w:rPr>
          <w:rFonts w:eastAsia="Times New Roman" w:cs="Times New Roman"/>
        </w:rPr>
        <w:t>would</w:t>
      </w:r>
      <w:r w:rsidR="002D2B8F" w:rsidRPr="00B24AE5">
        <w:rPr>
          <w:rFonts w:eastAsia="Times New Roman" w:cs="Times New Roman"/>
        </w:rPr>
        <w:t xml:space="preserve"> </w:t>
      </w:r>
      <w:r w:rsidRPr="00B24AE5">
        <w:rPr>
          <w:rFonts w:eastAsia="Times New Roman" w:cs="Times New Roman"/>
        </w:rPr>
        <w:t>reduce industry burden</w:t>
      </w:r>
      <w:r w:rsidR="00B37AEF">
        <w:rPr>
          <w:rFonts w:eastAsia="Times New Roman" w:cs="Times New Roman"/>
        </w:rPr>
        <w:t xml:space="preserve"> </w:t>
      </w:r>
      <w:r w:rsidRPr="00B24AE5">
        <w:rPr>
          <w:rFonts w:eastAsia="Times New Roman" w:cs="Times New Roman"/>
        </w:rPr>
        <w:t xml:space="preserve">by providing industry with international uniformity in use and exposure information reporting, enabling industry to better streamline their different country-specific reporting requirements. </w:t>
      </w:r>
    </w:p>
    <w:p w14:paraId="0F3E3377" w14:textId="0D85F482" w:rsidR="0042516E" w:rsidRPr="00310FD7" w:rsidRDefault="0042516E" w:rsidP="00310FD7">
      <w:pPr>
        <w:pStyle w:val="ListParagraph"/>
        <w:numPr>
          <w:ilvl w:val="0"/>
          <w:numId w:val="16"/>
        </w:numPr>
        <w:spacing w:after="240"/>
        <w:ind w:left="720"/>
        <w:rPr>
          <w:rFonts w:eastAsia="Times New Roman" w:cs="Times New Roman"/>
          <w:i/>
          <w:iCs/>
        </w:rPr>
      </w:pPr>
      <w:r w:rsidRPr="00CF58E6">
        <w:rPr>
          <w:rFonts w:eastAsia="Times New Roman" w:cs="Times New Roman"/>
          <w:i/>
          <w:iCs/>
        </w:rPr>
        <w:t xml:space="preserve">Confidential claim substantiation: </w:t>
      </w:r>
      <w:r>
        <w:rPr>
          <w:rFonts w:eastAsia="Times New Roman" w:cs="Times New Roman"/>
        </w:rPr>
        <w:t xml:space="preserve">(revised) Changes to the substantiation requirements are proposed primarily to align with new statutory requirements. These changes </w:t>
      </w:r>
      <w:r w:rsidR="002D2B8F">
        <w:rPr>
          <w:rFonts w:eastAsia="Times New Roman" w:cs="Times New Roman"/>
        </w:rPr>
        <w:t xml:space="preserve">would </w:t>
      </w:r>
      <w:r>
        <w:rPr>
          <w:rFonts w:eastAsia="Times New Roman" w:cs="Times New Roman"/>
        </w:rPr>
        <w:t xml:space="preserve">help EPA to improve transparency and public availability of the data while protecting CDR submitters’ confidential information. </w:t>
      </w:r>
    </w:p>
    <w:p w14:paraId="6C03BA69" w14:textId="77777777" w:rsidR="0042516E" w:rsidRPr="000D2D6D" w:rsidRDefault="0042516E" w:rsidP="0042516E">
      <w:pPr>
        <w:pStyle w:val="Heading1"/>
        <w:rPr>
          <w:rFonts w:eastAsia="Times New Roman" w:cs="Times New Roman"/>
        </w:rPr>
      </w:pPr>
      <w:r w:rsidRPr="000D2D6D">
        <w:t xml:space="preserve">NON-DUPLICATION, CONSULTATIONS, AND OTHER COLLECTION </w:t>
      </w:r>
      <w:r w:rsidRPr="000D2D6D">
        <w:rPr>
          <w:rFonts w:eastAsia="Times New Roman" w:cs="Times New Roman"/>
        </w:rPr>
        <w:t xml:space="preserve">CRITERIA </w:t>
      </w:r>
    </w:p>
    <w:p w14:paraId="66133193" w14:textId="77777777" w:rsidR="0042516E" w:rsidRPr="009533EA" w:rsidRDefault="0042516E" w:rsidP="0042516E">
      <w:pPr>
        <w:pStyle w:val="Heading2"/>
        <w:tabs>
          <w:tab w:val="clear" w:pos="720"/>
          <w:tab w:val="num" w:pos="1080"/>
        </w:tabs>
        <w:ind w:left="1080" w:hanging="360"/>
      </w:pPr>
      <w:r w:rsidRPr="009533EA">
        <w:t>Non-Duplication</w:t>
      </w:r>
    </w:p>
    <w:p w14:paraId="0961AFBE" w14:textId="27B6D104" w:rsidR="0042516E" w:rsidRPr="009533EA" w:rsidRDefault="0042516E" w:rsidP="0042516E">
      <w:pPr>
        <w:pStyle w:val="BodyText"/>
      </w:pPr>
      <w:r w:rsidRPr="009533EA">
        <w:t>The data included in this information collection</w:t>
      </w:r>
      <w:r>
        <w:t xml:space="preserve"> </w:t>
      </w:r>
      <w:r w:rsidR="008D1B40">
        <w:t xml:space="preserve">request </w:t>
      </w:r>
      <w:r>
        <w:t>addendum</w:t>
      </w:r>
      <w:r w:rsidRPr="009533EA">
        <w:t xml:space="preserve"> (i.e., produ</w:t>
      </w:r>
      <w:r>
        <w:t>c</w:t>
      </w:r>
      <w:r w:rsidRPr="009533EA">
        <w:t>tion</w:t>
      </w:r>
      <w:r>
        <w:t xml:space="preserve"> </w:t>
      </w:r>
      <w:r w:rsidRPr="009533EA">
        <w:t xml:space="preserve">volume, chemical manufacture, exposure, and processing and use data) are not collected comprehensively or systematically at the national level by any other </w:t>
      </w:r>
      <w:r>
        <w:t>entities</w:t>
      </w:r>
      <w:r w:rsidRPr="009533EA">
        <w:t xml:space="preserve">.  </w:t>
      </w:r>
    </w:p>
    <w:p w14:paraId="039FCF9D" w14:textId="77777777" w:rsidR="0042516E" w:rsidRPr="009533EA" w:rsidRDefault="0042516E" w:rsidP="0042516E">
      <w:pPr>
        <w:pStyle w:val="Heading2"/>
        <w:tabs>
          <w:tab w:val="clear" w:pos="720"/>
          <w:tab w:val="num" w:pos="1080"/>
        </w:tabs>
        <w:ind w:left="1080" w:hanging="360"/>
      </w:pPr>
      <w:r w:rsidRPr="009533EA">
        <w:t>Public Notice Required Prior to ICR</w:t>
      </w:r>
      <w:r>
        <w:t xml:space="preserve"> </w:t>
      </w:r>
      <w:r w:rsidRPr="009533EA">
        <w:t>submission to OMB</w:t>
      </w:r>
    </w:p>
    <w:p w14:paraId="24EC675E" w14:textId="376E7F7B" w:rsidR="0042516E" w:rsidRDefault="0042516E" w:rsidP="0042516E">
      <w:pPr>
        <w:pStyle w:val="BodyText"/>
      </w:pPr>
      <w:r>
        <w:t xml:space="preserve">The proposed rulemaking serves as the public notice for this ICR. Interested parties should submit comments referencing Docket ID No. </w:t>
      </w:r>
      <w:r w:rsidRPr="00425737">
        <w:t>EPA-HQ-OPPT-2018-0321</w:t>
      </w:r>
      <w:r>
        <w:t xml:space="preserve"> to the address listed at the end of this document. Responses will be taken into account in developing the final rulemaking. </w:t>
      </w:r>
    </w:p>
    <w:p w14:paraId="1C4656DE" w14:textId="77777777" w:rsidR="0042516E" w:rsidRPr="009533EA" w:rsidRDefault="0042516E" w:rsidP="0042516E">
      <w:pPr>
        <w:pStyle w:val="Heading2"/>
        <w:tabs>
          <w:tab w:val="clear" w:pos="720"/>
          <w:tab w:val="num" w:pos="1080"/>
        </w:tabs>
        <w:ind w:left="1080" w:hanging="360"/>
      </w:pPr>
      <w:r w:rsidRPr="009533EA">
        <w:t>Consultations</w:t>
      </w:r>
    </w:p>
    <w:p w14:paraId="0EFE4F22" w14:textId="05C7D982" w:rsidR="006A2D41" w:rsidRPr="004D6C03" w:rsidRDefault="006A2D41" w:rsidP="00411739">
      <w:pPr>
        <w:pStyle w:val="BodyText"/>
      </w:pPr>
      <w:r w:rsidRPr="009533EA">
        <w:t xml:space="preserve">Under 5 CFR 1320.8(d)(1), OMB requires agencies to consult with potential ICR respondents and data users about specific aspects of ICRs before submitting an original or renewal ICR to OMB for review and approval. </w:t>
      </w:r>
      <w:r w:rsidR="00411739">
        <w:t>Because</w:t>
      </w:r>
      <w:r>
        <w:t xml:space="preserve"> this ICR addendum addresses the paperwork requirements in proposed rule (RIN 2070-AK33) that would amend the information collection activities of the CDR program (40 CFR Part 711), </w:t>
      </w:r>
      <w:r w:rsidRPr="009533EA">
        <w:t>EPA will pursue additional consultations with interested parties during the development of the renewal of this collection.</w:t>
      </w:r>
      <w:r>
        <w:t xml:space="preserve"> </w:t>
      </w:r>
      <w:r w:rsidRPr="004D6C03">
        <w:rPr>
          <w:color w:val="000000"/>
        </w:rPr>
        <w:t xml:space="preserve"> </w:t>
      </w:r>
    </w:p>
    <w:p w14:paraId="4D2E92E8" w14:textId="77777777" w:rsidR="006A2D41" w:rsidRPr="009533EA" w:rsidRDefault="006A2D41" w:rsidP="006A2D41">
      <w:pPr>
        <w:pStyle w:val="Heading2"/>
        <w:tabs>
          <w:tab w:val="clear" w:pos="720"/>
          <w:tab w:val="num" w:pos="1080"/>
        </w:tabs>
        <w:ind w:left="1080" w:hanging="360"/>
      </w:pPr>
      <w:r w:rsidRPr="009533EA">
        <w:t>General Guidelines</w:t>
      </w:r>
    </w:p>
    <w:p w14:paraId="1BBAA47C" w14:textId="77777777" w:rsidR="0042516E" w:rsidRPr="009533EA" w:rsidRDefault="0042516E" w:rsidP="0042516E">
      <w:pPr>
        <w:pStyle w:val="BodyText"/>
      </w:pPr>
      <w:r w:rsidRPr="009533EA">
        <w:t>This collection does not exceed any of the Paperwork Reduction Act (PRA) guidelines at 5 CFR 1320.6, with the exceptions listed below.</w:t>
      </w:r>
    </w:p>
    <w:p w14:paraId="6244FA58" w14:textId="77777777" w:rsidR="0042516E" w:rsidRPr="009533EA" w:rsidRDefault="0042516E" w:rsidP="0042516E">
      <w:pPr>
        <w:pStyle w:val="BodyText"/>
      </w:pPr>
      <w:r w:rsidRPr="009533EA">
        <w:t xml:space="preserve">The record retention period of this collection is five years, as specified in 40 CFR 711.25, exceeding the PRA maximum of three years. </w:t>
      </w:r>
      <w:r>
        <w:t>EPA is not proposing changes to the record retention period.</w:t>
      </w:r>
    </w:p>
    <w:p w14:paraId="0B44DEE2" w14:textId="77777777" w:rsidR="0042516E" w:rsidRPr="009533EA" w:rsidRDefault="0042516E" w:rsidP="0042516E">
      <w:pPr>
        <w:pStyle w:val="Heading2"/>
        <w:tabs>
          <w:tab w:val="clear" w:pos="720"/>
          <w:tab w:val="num" w:pos="1080"/>
        </w:tabs>
        <w:ind w:left="1080" w:hanging="360"/>
      </w:pPr>
      <w:r w:rsidRPr="009533EA">
        <w:t>Confidentiality</w:t>
      </w:r>
    </w:p>
    <w:p w14:paraId="6C274091" w14:textId="5EF003DA" w:rsidR="0042516E" w:rsidRDefault="0042516E" w:rsidP="0042516E">
      <w:pPr>
        <w:pStyle w:val="BodyText"/>
      </w:pPr>
      <w:r>
        <w:t xml:space="preserve">Confidentiality </w:t>
      </w:r>
      <w:r w:rsidRPr="009533EA">
        <w:t>claims limit access to the CDR data, especially by the public. EPA recognizes that some information submitted to the Agency is legitimately confidential</w:t>
      </w:r>
      <w:r>
        <w:t>. B</w:t>
      </w:r>
      <w:r w:rsidRPr="009533EA">
        <w:t xml:space="preserve">ecause of this, EPA’s review of </w:t>
      </w:r>
      <w:r>
        <w:t>confidential</w:t>
      </w:r>
      <w:r w:rsidRPr="009533EA">
        <w:t xml:space="preserve"> data is an inherently governmental function that EPA must perform to protect human health and the environment.</w:t>
      </w:r>
      <w:r>
        <w:t xml:space="preserve"> As proposed, EPA is c</w:t>
      </w:r>
      <w:r w:rsidRPr="00146FEB">
        <w:t>hanging requirements for making confidentiality claims, including to identify when upfront substantiation is required, update the substantiation questions, and identify data elements that cannot be claimed as confidential</w:t>
      </w:r>
      <w:r>
        <w:t>.</w:t>
      </w:r>
    </w:p>
    <w:p w14:paraId="38E4EAEB" w14:textId="77777777" w:rsidR="0042516E" w:rsidRDefault="0042516E" w:rsidP="0042516E">
      <w:pPr>
        <w:pStyle w:val="BodyText"/>
      </w:pPr>
      <w:r w:rsidRPr="009533EA">
        <w:t xml:space="preserve">Submitters may claim </w:t>
      </w:r>
      <w:r>
        <w:t xml:space="preserve">most </w:t>
      </w:r>
      <w:r w:rsidRPr="009533EA">
        <w:t xml:space="preserve">information reported to EPA under this rule as confidential if such information </w:t>
      </w:r>
      <w:r>
        <w:t xml:space="preserve">would </w:t>
      </w:r>
      <w:r w:rsidRPr="009533EA">
        <w:t>reveal the submitter’s trade secrets or proprietary information as defined by TSCA section 14 and existing regulations</w:t>
      </w:r>
      <w:r>
        <w:t xml:space="preserve"> promulgated by EPA under TSCA</w:t>
      </w:r>
      <w:r w:rsidRPr="009533EA">
        <w:t xml:space="preserve">. </w:t>
      </w:r>
    </w:p>
    <w:p w14:paraId="4115171B" w14:textId="55B37CE3" w:rsidR="0042516E" w:rsidRPr="00D913E4" w:rsidRDefault="0042516E" w:rsidP="0042516E">
      <w:pPr>
        <w:pStyle w:val="BodyText"/>
      </w:pPr>
      <w:r w:rsidRPr="009533EA">
        <w:t xml:space="preserve">EPA has long-established procedures for </w:t>
      </w:r>
      <w:r>
        <w:t xml:space="preserve">properly </w:t>
      </w:r>
      <w:r w:rsidRPr="009533EA">
        <w:t>handling, storing, processing, and disposing of TSCA confidential information. Transfers of this information to other</w:t>
      </w:r>
      <w:r w:rsidR="00C86F1F">
        <w:t>s as allowed under TSCA section 14(d) can</w:t>
      </w:r>
      <w:r w:rsidRPr="009533EA">
        <w:t xml:space="preserve"> be made only if the other </w:t>
      </w:r>
      <w:r w:rsidR="00C86F1F">
        <w:t>entity</w:t>
      </w:r>
      <w:r w:rsidRPr="009533EA">
        <w:t xml:space="preserve"> agrees to adhere to all TSCA confidentiality provisions. EPA will maintain standard </w:t>
      </w:r>
      <w:r w:rsidR="00C86F1F">
        <w:t xml:space="preserve">confidentiality </w:t>
      </w:r>
      <w:r w:rsidRPr="009533EA">
        <w:t>procedures to protect any confidential, trade secret, or proprietary information from disclosure in accordance with EPA’s confidentiality regulation, 40 CFR Part 2, Subpart B.</w:t>
      </w:r>
    </w:p>
    <w:p w14:paraId="61244990" w14:textId="77777777" w:rsidR="0042516E" w:rsidRPr="009533EA" w:rsidRDefault="0042516E" w:rsidP="0042516E">
      <w:pPr>
        <w:pStyle w:val="Heading2"/>
        <w:tabs>
          <w:tab w:val="clear" w:pos="720"/>
          <w:tab w:val="num" w:pos="1080"/>
        </w:tabs>
        <w:ind w:left="1080" w:hanging="360"/>
      </w:pPr>
      <w:r w:rsidRPr="009533EA">
        <w:tab/>
        <w:t>Sensitive Questions</w:t>
      </w:r>
    </w:p>
    <w:p w14:paraId="1B9B1634" w14:textId="3AB8BA5D" w:rsidR="0042516E" w:rsidRPr="009533EA" w:rsidRDefault="0042516E" w:rsidP="00794249">
      <w:pPr>
        <w:pStyle w:val="BodyText"/>
      </w:pPr>
      <w:r w:rsidRPr="009533EA">
        <w:t>This collection does not include questions of a sensitive nature.</w:t>
      </w:r>
    </w:p>
    <w:p w14:paraId="27AF76F9" w14:textId="09EA1EB1" w:rsidR="0042516E" w:rsidRPr="009533EA" w:rsidRDefault="0042516E" w:rsidP="0042516E">
      <w:pPr>
        <w:pStyle w:val="Heading1"/>
      </w:pPr>
      <w:bookmarkStart w:id="8" w:name="_Ref526354270"/>
      <w:r w:rsidRPr="009533EA">
        <w:t>THE RESPONDENTS AND THE INFORMATION REQUESTED</w:t>
      </w:r>
      <w:bookmarkEnd w:id="8"/>
    </w:p>
    <w:p w14:paraId="1173FD23" w14:textId="77777777" w:rsidR="0042516E" w:rsidRPr="009533EA" w:rsidRDefault="0042516E" w:rsidP="0042516E">
      <w:pPr>
        <w:pStyle w:val="Heading2"/>
        <w:tabs>
          <w:tab w:val="clear" w:pos="720"/>
          <w:tab w:val="num" w:pos="1080"/>
        </w:tabs>
        <w:ind w:left="1080" w:hanging="360"/>
      </w:pPr>
      <w:r w:rsidRPr="009533EA">
        <w:t>Respondents/NAICS Codes</w:t>
      </w:r>
    </w:p>
    <w:p w14:paraId="29C2D08D" w14:textId="128ECC78" w:rsidR="0042516E" w:rsidRPr="009533EA" w:rsidRDefault="0042516E" w:rsidP="0042516E">
      <w:pPr>
        <w:pStyle w:val="BodyText"/>
      </w:pPr>
      <w:r w:rsidRPr="009533EA">
        <w:t>The regulated community consists of companies manufacturing (including importing) chemical substances listed on the TSCA Inventory and regulated under TSCA section 8</w:t>
      </w:r>
      <w:r w:rsidR="00AC7595">
        <w:t>(a)</w:t>
      </w:r>
      <w:r w:rsidRPr="009533EA">
        <w:t>. In general, the industry segments that compose the regulated community for the rule are those that produce or import chemical substances.</w:t>
      </w:r>
      <w:r>
        <w:t xml:space="preserve"> </w:t>
      </w:r>
      <w:r w:rsidRPr="008D4E8A">
        <w:t xml:space="preserve">Most respondents expected </w:t>
      </w:r>
      <w:r>
        <w:t>to be subject to</w:t>
      </w:r>
      <w:r w:rsidRPr="008D4E8A">
        <w:t xml:space="preserve"> this ICR have previously reported </w:t>
      </w:r>
      <w:r>
        <w:t xml:space="preserve">CDR </w:t>
      </w:r>
      <w:r w:rsidRPr="008D4E8A">
        <w:t>information</w:t>
      </w:r>
      <w:r>
        <w:t xml:space="preserve">. </w:t>
      </w:r>
      <w:r w:rsidRPr="009533EA">
        <w:t>The Agency’s previous experience with CDR collections has shown that the majority of the respondents affected by this collection activity are from the following NAICS code categories:</w:t>
      </w:r>
    </w:p>
    <w:p w14:paraId="31C78AD7" w14:textId="77777777" w:rsidR="0042516E" w:rsidRPr="009533EA" w:rsidRDefault="0042516E" w:rsidP="008C5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120"/>
        <w:rPr>
          <w:rFonts w:eastAsia="Times New Roman" w:cs="Times New Roman"/>
        </w:rPr>
      </w:pPr>
      <w:r w:rsidRPr="009533EA">
        <w:rPr>
          <w:rFonts w:eastAsia="Times New Roman" w:cs="Times New Roman"/>
        </w:rPr>
        <w:tab/>
        <w:t>325 - Chemical Manufacturing</w:t>
      </w:r>
    </w:p>
    <w:p w14:paraId="4F2616DF" w14:textId="77777777" w:rsidR="0042516E" w:rsidRPr="009533EA" w:rsidRDefault="0042516E" w:rsidP="008C5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240"/>
        <w:rPr>
          <w:rFonts w:eastAsia="Times New Roman" w:cs="Times New Roman"/>
        </w:rPr>
      </w:pPr>
      <w:r w:rsidRPr="009533EA">
        <w:rPr>
          <w:rFonts w:eastAsia="Times New Roman" w:cs="Times New Roman"/>
        </w:rPr>
        <w:tab/>
        <w:t>324 - Petroleum and Coal Product Manufacturing</w:t>
      </w:r>
    </w:p>
    <w:p w14:paraId="0802824F" w14:textId="67170C18" w:rsidR="0042516E" w:rsidRDefault="0042516E" w:rsidP="008C5171">
      <w:pPr>
        <w:pStyle w:val="BodyText"/>
      </w:pPr>
      <w:r w:rsidRPr="00F73E6C">
        <w:t xml:space="preserve">In addition to the anticipated respondents from the NAICS listed above, the regulated community consists of manufacturers of byproducts that are required to report under certain </w:t>
      </w:r>
      <w:bookmarkStart w:id="9" w:name="_Hlk527374580"/>
      <w:r w:rsidR="00686D27">
        <w:t xml:space="preserve">TSCA section </w:t>
      </w:r>
      <w:bookmarkEnd w:id="9"/>
      <w:r w:rsidRPr="00F73E6C">
        <w:t xml:space="preserve">8(a) rules, including CDR. Byproduct manufacturers may be listed under a different primary activity for a site, such as NAICS codes 22, 322, </w:t>
      </w:r>
      <w:r w:rsidR="00F87CC1" w:rsidRPr="00F87CC1">
        <w:t>327310</w:t>
      </w:r>
      <w:r w:rsidR="00F87CC1">
        <w:t xml:space="preserve">, </w:t>
      </w:r>
      <w:r w:rsidRPr="00F73E6C">
        <w:t>331, and 3344</w:t>
      </w:r>
      <w:r w:rsidR="008D1B40">
        <w:t xml:space="preserve"> (namely, </w:t>
      </w:r>
      <w:r w:rsidRPr="00F73E6C">
        <w:t xml:space="preserve">utilities, paper manufacturing, </w:t>
      </w:r>
      <w:r w:rsidR="00F87CC1" w:rsidRPr="00F87CC1">
        <w:t>cement manufacturing</w:t>
      </w:r>
      <w:r w:rsidR="00F87CC1">
        <w:t xml:space="preserve">, </w:t>
      </w:r>
      <w:r w:rsidRPr="00F73E6C">
        <w:t>primary metal manufacturing, and semiconductor and other electronic component manufacturing</w:t>
      </w:r>
      <w:r w:rsidR="008D1B40">
        <w:t>, respectively)</w:t>
      </w:r>
      <w:r w:rsidRPr="00F73E6C">
        <w:t xml:space="preserve">. </w:t>
      </w:r>
      <w:r w:rsidRPr="009533EA">
        <w:t>The subsectors identified above represent the designation of sites that likely would be subject to CDR reporting. However, this list does not include all potentially affected entities. Other types of entit</w:t>
      </w:r>
      <w:r>
        <w:t>ies</w:t>
      </w:r>
      <w:r w:rsidRPr="009533EA">
        <w:t xml:space="preserve"> not listed in this unit could also be subject to reporti</w:t>
      </w:r>
      <w:r>
        <w:t xml:space="preserve">ng.  </w:t>
      </w:r>
    </w:p>
    <w:p w14:paraId="634DC0A7" w14:textId="7396E94E" w:rsidR="0042516E" w:rsidRDefault="0042516E" w:rsidP="008C5171">
      <w:pPr>
        <w:pStyle w:val="BodyText"/>
      </w:pPr>
      <w:r w:rsidRPr="002471B2">
        <w:t xml:space="preserve">Generally, TSCA section 8 excludes small manufacturers (including importers) from reporting. EPA defines small manufacturers (including importers) for purposes of CDR and certain other reporting in 40 CFR 704.3. </w:t>
      </w:r>
      <w:r w:rsidR="002D2B8F">
        <w:t>EPA is proposing to update this standard.</w:t>
      </w:r>
      <w:r w:rsidR="002D2B8F">
        <w:rPr>
          <w:rStyle w:val="FootnoteReference"/>
        </w:rPr>
        <w:footnoteReference w:id="2"/>
      </w:r>
      <w:r w:rsidR="002D2B8F">
        <w:t xml:space="preserve"> </w:t>
      </w:r>
      <w:r w:rsidRPr="002471B2">
        <w:t>EPA is also proposing a</w:t>
      </w:r>
      <w:r w:rsidR="00E5558D">
        <w:t xml:space="preserve"> section</w:t>
      </w:r>
      <w:r w:rsidRPr="002471B2">
        <w:t xml:space="preserve"> 8(a) definition for small government entities. </w:t>
      </w:r>
      <w:r w:rsidRPr="00480751">
        <w:t>See also section 5(c) below</w:t>
      </w:r>
      <w:r>
        <w:t xml:space="preserve"> for additional information about the proposed standards</w:t>
      </w:r>
      <w:r w:rsidRPr="002471B2">
        <w:t>.</w:t>
      </w:r>
      <w:r>
        <w:t xml:space="preserve"> </w:t>
      </w:r>
    </w:p>
    <w:p w14:paraId="3AD078A1" w14:textId="51C13DAA" w:rsidR="0042516E" w:rsidRPr="009533EA" w:rsidRDefault="0042516E" w:rsidP="008C5171">
      <w:pPr>
        <w:pStyle w:val="BodyText"/>
      </w:pPr>
      <w:r w:rsidRPr="003C1D11">
        <w:t xml:space="preserve">EPA is </w:t>
      </w:r>
      <w:r w:rsidR="002D2B8F">
        <w:t xml:space="preserve">also </w:t>
      </w:r>
      <w:r w:rsidRPr="003C1D11">
        <w:t xml:space="preserve">proposing </w:t>
      </w:r>
      <w:r>
        <w:t>two burden</w:t>
      </w:r>
      <w:r w:rsidR="008D1B40">
        <w:t>-</w:t>
      </w:r>
      <w:r>
        <w:t>reducing exemptions for byproduct</w:t>
      </w:r>
      <w:r w:rsidR="00B33B2F">
        <w:t xml:space="preserve"> manufacturer</w:t>
      </w:r>
      <w:r>
        <w:t xml:space="preserve">s. </w:t>
      </w:r>
      <w:r w:rsidR="002D2B8F">
        <w:t>Because of these exemptions, some sites may not report under CDR while others would report fewer chemical substances. T</w:t>
      </w:r>
      <w:r w:rsidR="002D2B8F" w:rsidRPr="008C4CBE">
        <w:t>h</w:t>
      </w:r>
      <w:r w:rsidR="002D2B8F">
        <w:t>ese</w:t>
      </w:r>
      <w:r w:rsidR="002D2B8F" w:rsidRPr="008C4CBE">
        <w:t xml:space="preserve"> exemption</w:t>
      </w:r>
      <w:r w:rsidR="002D2B8F">
        <w:t>s were designed to</w:t>
      </w:r>
      <w:r w:rsidR="002D2B8F" w:rsidRPr="008C4CBE">
        <w:t xml:space="preserve"> reduce</w:t>
      </w:r>
      <w:r w:rsidR="002D2B8F">
        <w:t xml:space="preserve"> reporter</w:t>
      </w:r>
      <w:r w:rsidR="002D2B8F" w:rsidRPr="008C4CBE">
        <w:t xml:space="preserve"> burden while still </w:t>
      </w:r>
      <w:r w:rsidR="002D2B8F">
        <w:t>providing</w:t>
      </w:r>
      <w:r w:rsidR="002D2B8F" w:rsidRPr="008C4CBE">
        <w:t xml:space="preserve"> EPA </w:t>
      </w:r>
      <w:r w:rsidR="002D2B8F">
        <w:t xml:space="preserve">with information needed to understand </w:t>
      </w:r>
      <w:r w:rsidR="002D2B8F" w:rsidRPr="008C4CBE">
        <w:t xml:space="preserve">the byproduct universe. </w:t>
      </w:r>
      <w:r w:rsidR="002D2B8F">
        <w:t>Specifically</w:t>
      </w:r>
      <w:r>
        <w:t xml:space="preserve">, new reporting exemptions are proposed, including </w:t>
      </w:r>
      <w:r w:rsidRPr="003C1D11">
        <w:t>(1) exempt</w:t>
      </w:r>
      <w:r>
        <w:t xml:space="preserve">ions for </w:t>
      </w:r>
      <w:r w:rsidRPr="003C1D11">
        <w:t>specific</w:t>
      </w:r>
      <w:r>
        <w:t xml:space="preserve"> site-limited recycled</w:t>
      </w:r>
      <w:r w:rsidRPr="003C1D11">
        <w:t xml:space="preserve"> byproducts</w:t>
      </w:r>
      <w:r>
        <w:t xml:space="preserve">, and </w:t>
      </w:r>
      <w:r w:rsidRPr="003C1D11">
        <w:t>(</w:t>
      </w:r>
      <w:r>
        <w:t>2</w:t>
      </w:r>
      <w:r w:rsidRPr="003C1D11">
        <w:t>) exempt</w:t>
      </w:r>
      <w:r>
        <w:t>ions for</w:t>
      </w:r>
      <w:r w:rsidRPr="003C1D11">
        <w:t xml:space="preserve"> byproducts </w:t>
      </w:r>
      <w:r>
        <w:t xml:space="preserve">generated by specific non-integral processes. </w:t>
      </w:r>
      <w:r w:rsidR="002D2B8F">
        <w:t xml:space="preserve">Additionally, </w:t>
      </w:r>
      <w:r w:rsidRPr="00CF58E6">
        <w:t>EPA is proposing</w:t>
      </w:r>
      <w:r w:rsidRPr="0B02F8A5">
        <w:t xml:space="preserve"> </w:t>
      </w:r>
      <w:r w:rsidR="002D2B8F">
        <w:t xml:space="preserve">optional </w:t>
      </w:r>
      <w:r w:rsidRPr="0B02F8A5">
        <w:t xml:space="preserve">alternative reporting in which a consolidated category report </w:t>
      </w:r>
      <w:r w:rsidR="002D2B8F">
        <w:t xml:space="preserve">could be </w:t>
      </w:r>
      <w:r w:rsidRPr="0B02F8A5">
        <w:t>submitted according to categories for inorganic byproducts containing certain individual elemental metals and metal compounds</w:t>
      </w:r>
      <w:r w:rsidR="00446360">
        <w:t xml:space="preserve">. </w:t>
      </w:r>
    </w:p>
    <w:p w14:paraId="6AB09A31" w14:textId="77777777" w:rsidR="0042516E" w:rsidRPr="009533EA" w:rsidRDefault="0042516E" w:rsidP="0042516E">
      <w:pPr>
        <w:pStyle w:val="Heading2"/>
        <w:tabs>
          <w:tab w:val="clear" w:pos="720"/>
          <w:tab w:val="num" w:pos="1080"/>
        </w:tabs>
        <w:ind w:left="1080" w:hanging="360"/>
      </w:pPr>
      <w:r w:rsidRPr="009533EA">
        <w:t>Information Requested</w:t>
      </w:r>
    </w:p>
    <w:p w14:paraId="1418449C" w14:textId="77777777" w:rsidR="0042516E" w:rsidRPr="009533EA" w:rsidRDefault="0042516E" w:rsidP="0042516E">
      <w:pPr>
        <w:pStyle w:val="Heading3"/>
      </w:pPr>
      <w:r w:rsidRPr="009533EA">
        <w:t>Reporting Threshold for Certain Regulated Chemicals</w:t>
      </w:r>
    </w:p>
    <w:p w14:paraId="437A9C88" w14:textId="77777777" w:rsidR="0042516E" w:rsidRPr="009533EA" w:rsidRDefault="0042516E" w:rsidP="0042516E">
      <w:pPr>
        <w:pStyle w:val="BodyText"/>
      </w:pPr>
      <w:r>
        <w:t xml:space="preserve">EPA is not proposing changes to the reporting thresholds. </w:t>
      </w:r>
      <w:r w:rsidRPr="009533EA">
        <w:t>The threshold for reporting to CDR is a production volume of 25,000 pounds at a single site for any calendar year since the previous principal reporting year. The reporting threshold is 2,500 pounds for certain chemical substances that are:</w:t>
      </w:r>
    </w:p>
    <w:p w14:paraId="51D3E706" w14:textId="621119A1" w:rsidR="0042516E" w:rsidRPr="009533EA" w:rsidRDefault="0042516E" w:rsidP="008C5171">
      <w:pPr>
        <w:numPr>
          <w:ilvl w:val="0"/>
          <w:numId w:val="22"/>
        </w:numPr>
        <w:spacing w:after="120"/>
        <w:ind w:left="720"/>
        <w:rPr>
          <w:rFonts w:eastAsia="Times New Roman" w:cs="Times New Roman"/>
        </w:rPr>
      </w:pPr>
      <w:r w:rsidRPr="009533EA">
        <w:rPr>
          <w:rFonts w:eastAsia="Times New Roman" w:cs="Times New Roman"/>
        </w:rPr>
        <w:t>The subject of a rule proposed or promulgated under TSCA sections 5(a)(2), 5(b)(4), or 6</w:t>
      </w:r>
      <w:r w:rsidR="008D1B40">
        <w:rPr>
          <w:rFonts w:eastAsia="Times New Roman" w:cs="Times New Roman"/>
        </w:rPr>
        <w:t>;</w:t>
      </w:r>
    </w:p>
    <w:p w14:paraId="4952A4F3" w14:textId="4511237C" w:rsidR="0042516E" w:rsidRDefault="0042516E" w:rsidP="008C5171">
      <w:pPr>
        <w:numPr>
          <w:ilvl w:val="0"/>
          <w:numId w:val="22"/>
        </w:numPr>
        <w:spacing w:after="120"/>
        <w:ind w:left="720"/>
        <w:rPr>
          <w:rFonts w:eastAsia="Times New Roman" w:cs="Times New Roman"/>
        </w:rPr>
      </w:pPr>
      <w:r w:rsidRPr="009533EA">
        <w:rPr>
          <w:rFonts w:eastAsia="Times New Roman" w:cs="Times New Roman"/>
        </w:rPr>
        <w:t>The subject of an order issued under TSCA sections 5(e) or 5(f)</w:t>
      </w:r>
      <w:r w:rsidR="008D1B40">
        <w:rPr>
          <w:rFonts w:eastAsia="Times New Roman" w:cs="Times New Roman"/>
        </w:rPr>
        <w:t>; or</w:t>
      </w:r>
    </w:p>
    <w:p w14:paraId="028EDAF8" w14:textId="77777777" w:rsidR="0042516E" w:rsidRPr="00C567FE" w:rsidRDefault="0042516E" w:rsidP="008C5171">
      <w:pPr>
        <w:numPr>
          <w:ilvl w:val="0"/>
          <w:numId w:val="22"/>
        </w:numPr>
        <w:spacing w:after="240"/>
        <w:ind w:left="720"/>
        <w:rPr>
          <w:rFonts w:eastAsia="Times New Roman" w:cs="Times New Roman"/>
        </w:rPr>
      </w:pPr>
      <w:r w:rsidRPr="00C567FE">
        <w:rPr>
          <w:rFonts w:eastAsia="Times New Roman" w:cs="Times New Roman"/>
        </w:rPr>
        <w:t>The subject of relief that has been granted under a civil action under TSCA sections 5 or 7.</w:t>
      </w:r>
    </w:p>
    <w:p w14:paraId="00601A48" w14:textId="77777777" w:rsidR="0042516E" w:rsidRPr="009533EA" w:rsidRDefault="0042516E" w:rsidP="0042516E">
      <w:pPr>
        <w:pStyle w:val="BodyText"/>
      </w:pPr>
      <w:r w:rsidRPr="009533EA">
        <w:t>Chemical substances subject to these particular TSCA actions are of demonstrat</w:t>
      </w:r>
      <w:r>
        <w:t xml:space="preserve">ed high interest to the Agency. </w:t>
      </w:r>
      <w:r w:rsidRPr="009533EA">
        <w:t>The lower reporting threshold helps to ensure the availability of current information on those chemical subst</w:t>
      </w:r>
      <w:r>
        <w:t xml:space="preserve">ances manufactured above 2,500 </w:t>
      </w:r>
      <w:r w:rsidRPr="009533EA">
        <w:t>pounds when the Agency has expressed a concern in the form of regulatory action. EPA will use the CDR data associated with these regulated chemical substances to monitor chemical substance productio</w:t>
      </w:r>
      <w:r>
        <w:t>n and compliance with the rules</w:t>
      </w:r>
      <w:r w:rsidRPr="009533EA">
        <w:t xml:space="preserve">. </w:t>
      </w:r>
    </w:p>
    <w:p w14:paraId="01DCE2E6" w14:textId="77777777" w:rsidR="0042516E" w:rsidRPr="009533EA" w:rsidRDefault="0042516E" w:rsidP="0042516E">
      <w:pPr>
        <w:pStyle w:val="Heading3"/>
      </w:pPr>
      <w:r w:rsidRPr="009533EA">
        <w:t>Data elements, including recordkeeping requirements</w:t>
      </w:r>
    </w:p>
    <w:p w14:paraId="22530A08" w14:textId="3D8B1866" w:rsidR="0042516E" w:rsidRPr="009533EA" w:rsidRDefault="0042516E" w:rsidP="0042516E">
      <w:pPr>
        <w:pStyle w:val="BodyText"/>
      </w:pPr>
      <w:r w:rsidRPr="009533EA">
        <w:t>The CDR data elements are related to, or indicative of</w:t>
      </w:r>
      <w:r>
        <w:t>,</w:t>
      </w:r>
      <w:r w:rsidRPr="009533EA">
        <w:t xml:space="preserve"> three components of exposure. These components are: (1) the number of ecosystems or size of human populations potentially exposed, (2) the potential human or environmental exposure concentrations, and (3) the frequency and duration of potential exposures. The data enhance EPA’s ability to evaluate each of these components of exposure. Respondents are required to submit certain “known or reasonably ascertainable” manufacturing, processing, and use exposure-related information.  </w:t>
      </w:r>
    </w:p>
    <w:p w14:paraId="3C239CAF" w14:textId="4C3F5E16" w:rsidR="0042516E" w:rsidRDefault="0042516E" w:rsidP="008C5171">
      <w:pPr>
        <w:pStyle w:val="BodyText"/>
      </w:pPr>
      <w:r>
        <w:t xml:space="preserve">EPA is proposing changes to the CDR that impact the data elements collected via the CDR reporting tool. </w:t>
      </w:r>
      <w:r w:rsidRPr="009533EA">
        <w:t>Using e-CDRweb, individuals</w:t>
      </w:r>
      <w:r>
        <w:t xml:space="preserve"> would</w:t>
      </w:r>
      <w:r w:rsidRPr="009533EA">
        <w:t xml:space="preserve"> report the </w:t>
      </w:r>
      <w:r>
        <w:t xml:space="preserve">new or revised </w:t>
      </w:r>
      <w:r w:rsidRPr="009533EA">
        <w:t>data elements as follows</w:t>
      </w:r>
      <w:r>
        <w:t xml:space="preserve"> as a result of the proposed rulemaking: </w:t>
      </w:r>
    </w:p>
    <w:p w14:paraId="3D3EC5A2" w14:textId="0CE86ECA" w:rsidR="0042516E" w:rsidRPr="00D51A07" w:rsidRDefault="0042516E" w:rsidP="008C5171">
      <w:pPr>
        <w:numPr>
          <w:ilvl w:val="0"/>
          <w:numId w:val="54"/>
        </w:numPr>
        <w:spacing w:after="120"/>
        <w:rPr>
          <w:rFonts w:eastAsia="Times New Roman" w:cs="Times New Roman"/>
          <w:color w:val="000000"/>
        </w:rPr>
      </w:pPr>
      <w:r w:rsidRPr="00CF58E6">
        <w:rPr>
          <w:rFonts w:eastAsia="Times New Roman" w:cs="Times New Roman"/>
          <w:i/>
          <w:iCs/>
          <w:color w:val="000000"/>
        </w:rPr>
        <w:t xml:space="preserve">Public contact’s contact information. </w:t>
      </w:r>
      <w:r w:rsidRPr="00D51A07">
        <w:rPr>
          <w:rFonts w:eastAsia="Times New Roman" w:cs="Times New Roman"/>
          <w:color w:val="000000"/>
        </w:rPr>
        <w:t>(new</w:t>
      </w:r>
      <w:r w:rsidR="006949F7">
        <w:rPr>
          <w:rFonts w:eastAsia="Times New Roman" w:cs="Times New Roman"/>
          <w:color w:val="000000"/>
        </w:rPr>
        <w:t>, voluntary</w:t>
      </w:r>
      <w:r w:rsidRPr="00D51A07">
        <w:rPr>
          <w:rFonts w:eastAsia="Times New Roman" w:cs="Times New Roman"/>
          <w:color w:val="000000"/>
        </w:rPr>
        <w:t>) The</w:t>
      </w:r>
      <w:r w:rsidR="004B20E2">
        <w:rPr>
          <w:rFonts w:eastAsia="Times New Roman" w:cs="Times New Roman"/>
          <w:color w:val="000000"/>
        </w:rPr>
        <w:t xml:space="preserve"> name</w:t>
      </w:r>
      <w:r w:rsidR="00856E62">
        <w:rPr>
          <w:rFonts w:eastAsia="Times New Roman" w:cs="Times New Roman"/>
          <w:color w:val="000000"/>
        </w:rPr>
        <w:t>, phone number,</w:t>
      </w:r>
      <w:r w:rsidR="004B20E2">
        <w:rPr>
          <w:rFonts w:eastAsia="Times New Roman" w:cs="Times New Roman"/>
          <w:color w:val="000000"/>
        </w:rPr>
        <w:t xml:space="preserve"> and</w:t>
      </w:r>
      <w:r w:rsidRPr="00D51A07">
        <w:rPr>
          <w:rFonts w:eastAsia="Times New Roman" w:cs="Times New Roman"/>
          <w:color w:val="000000"/>
        </w:rPr>
        <w:t xml:space="preserve"> email address of the company official designated as the public contact</w:t>
      </w:r>
      <w:r w:rsidR="00F27C1E">
        <w:rPr>
          <w:rFonts w:eastAsia="Times New Roman" w:cs="Times New Roman"/>
          <w:color w:val="000000"/>
        </w:rPr>
        <w:t xml:space="preserve">. </w:t>
      </w:r>
    </w:p>
    <w:p w14:paraId="62546E06" w14:textId="08CFEC7A" w:rsidR="0042516E" w:rsidRPr="00310FD7" w:rsidRDefault="0042516E" w:rsidP="00310FD7">
      <w:pPr>
        <w:numPr>
          <w:ilvl w:val="0"/>
          <w:numId w:val="54"/>
        </w:numPr>
        <w:spacing w:after="120"/>
        <w:rPr>
          <w:rFonts w:eastAsia="Times New Roman" w:cs="Times New Roman"/>
          <w:i/>
          <w:iCs/>
          <w:color w:val="000000"/>
        </w:rPr>
      </w:pPr>
      <w:r w:rsidRPr="00CF58E6">
        <w:rPr>
          <w:rFonts w:eastAsia="Times New Roman" w:cs="Times New Roman"/>
          <w:i/>
          <w:iCs/>
          <w:color w:val="000000"/>
        </w:rPr>
        <w:t>U.S. parent company and foreign parent company identifying information:</w:t>
      </w:r>
      <w:r w:rsidRPr="00C56261">
        <w:t xml:space="preserve"> </w:t>
      </w:r>
      <w:r>
        <w:t xml:space="preserve">(revised) </w:t>
      </w:r>
      <w:r w:rsidRPr="00C91AA1">
        <w:rPr>
          <w:rFonts w:eastAsia="Times New Roman" w:cs="Times New Roman"/>
          <w:color w:val="000000"/>
        </w:rPr>
        <w:t xml:space="preserve">The </w:t>
      </w:r>
      <w:r>
        <w:rPr>
          <w:rFonts w:eastAsia="Times New Roman" w:cs="Times New Roman"/>
          <w:color w:val="000000"/>
        </w:rPr>
        <w:t xml:space="preserve">legal </w:t>
      </w:r>
      <w:r w:rsidRPr="00C91AA1">
        <w:rPr>
          <w:rFonts w:eastAsia="Times New Roman" w:cs="Times New Roman"/>
          <w:color w:val="000000"/>
        </w:rPr>
        <w:t>name, address, and Dun and Bradstreet D-U-N-S® (D&amp;B) number for the highest-level U.S. parent company and, if one exists, the highest-level foreign parent company</w:t>
      </w:r>
      <w:r w:rsidR="001221A5">
        <w:rPr>
          <w:rFonts w:eastAsia="Times New Roman" w:cs="Times New Roman"/>
          <w:color w:val="000000"/>
        </w:rPr>
        <w:t>.</w:t>
      </w:r>
      <w:r w:rsidR="009B4A41">
        <w:rPr>
          <w:rFonts w:eastAsia="Times New Roman" w:cs="Times New Roman"/>
          <w:color w:val="000000"/>
        </w:rPr>
        <w:t xml:space="preserve"> </w:t>
      </w:r>
      <w:r w:rsidR="00E95F3B">
        <w:rPr>
          <w:rFonts w:eastAsia="Times New Roman" w:cs="Times New Roman"/>
          <w:color w:val="000000"/>
        </w:rPr>
        <w:t xml:space="preserve">The proposed </w:t>
      </w:r>
      <w:r w:rsidR="00103BDE">
        <w:rPr>
          <w:rFonts w:eastAsia="Times New Roman" w:cs="Times New Roman"/>
          <w:color w:val="000000"/>
        </w:rPr>
        <w:t>40 CFR 711.3 contains an updated definition</w:t>
      </w:r>
      <w:r w:rsidR="003673FB">
        <w:rPr>
          <w:rFonts w:eastAsia="Times New Roman" w:cs="Times New Roman"/>
          <w:color w:val="000000"/>
        </w:rPr>
        <w:t xml:space="preserve"> for </w:t>
      </w:r>
      <w:r w:rsidR="003673FB" w:rsidRPr="00CF58E6">
        <w:rPr>
          <w:rFonts w:eastAsia="Times New Roman" w:cs="Times New Roman"/>
          <w:i/>
          <w:iCs/>
          <w:color w:val="000000"/>
        </w:rPr>
        <w:t>parent company</w:t>
      </w:r>
      <w:r w:rsidR="003673FB">
        <w:rPr>
          <w:rFonts w:eastAsia="Times New Roman" w:cs="Times New Roman"/>
          <w:color w:val="000000"/>
        </w:rPr>
        <w:t>, replacing the</w:t>
      </w:r>
      <w:r w:rsidR="00E95F3B">
        <w:rPr>
          <w:rFonts w:eastAsia="Times New Roman" w:cs="Times New Roman"/>
          <w:color w:val="000000"/>
        </w:rPr>
        <w:t xml:space="preserve"> current definition for </w:t>
      </w:r>
      <w:r w:rsidR="00E95F3B" w:rsidRPr="00CF58E6">
        <w:rPr>
          <w:rFonts w:eastAsia="Times New Roman" w:cs="Times New Roman"/>
          <w:i/>
          <w:iCs/>
          <w:color w:val="000000"/>
        </w:rPr>
        <w:t>U.S. parent company</w:t>
      </w:r>
      <w:r w:rsidR="00E95F3B">
        <w:rPr>
          <w:rFonts w:eastAsia="Times New Roman" w:cs="Times New Roman"/>
          <w:color w:val="000000"/>
        </w:rPr>
        <w:t>.</w:t>
      </w:r>
      <w:r w:rsidR="003673FB">
        <w:rPr>
          <w:rFonts w:eastAsia="Times New Roman" w:cs="Times New Roman"/>
          <w:color w:val="000000"/>
        </w:rPr>
        <w:t xml:space="preserve"> </w:t>
      </w:r>
      <w:r>
        <w:rPr>
          <w:rFonts w:eastAsia="Times New Roman" w:cs="Times New Roman"/>
          <w:color w:val="000000"/>
        </w:rPr>
        <w:t xml:space="preserve"> </w:t>
      </w:r>
      <w:r w:rsidR="00CD0C5E">
        <w:rPr>
          <w:rFonts w:eastAsia="Times New Roman" w:cs="Times New Roman"/>
          <w:color w:val="000000"/>
        </w:rPr>
        <w:t>The proposal also requires submitters</w:t>
      </w:r>
      <w:r>
        <w:rPr>
          <w:rFonts w:eastAsia="Times New Roman" w:cs="Times New Roman"/>
          <w:color w:val="000000"/>
        </w:rPr>
        <w:t xml:space="preserve"> to </w:t>
      </w:r>
      <w:r w:rsidRPr="00192B8C">
        <w:rPr>
          <w:rFonts w:eastAsia="Times New Roman" w:cs="Times New Roman"/>
          <w:color w:val="000000"/>
        </w:rPr>
        <w:t xml:space="preserve">follow a naming convention for providing the parent company name(s), the details of which </w:t>
      </w:r>
      <w:r w:rsidR="00EB2EF3">
        <w:rPr>
          <w:rFonts w:eastAsia="Times New Roman" w:cs="Times New Roman"/>
          <w:color w:val="000000"/>
        </w:rPr>
        <w:t>are</w:t>
      </w:r>
      <w:r w:rsidR="00EB2EF3" w:rsidRPr="00192B8C">
        <w:rPr>
          <w:rFonts w:eastAsia="Times New Roman" w:cs="Times New Roman"/>
          <w:color w:val="000000"/>
        </w:rPr>
        <w:t xml:space="preserve"> </w:t>
      </w:r>
      <w:r w:rsidRPr="00192B8C">
        <w:rPr>
          <w:rFonts w:eastAsia="Times New Roman" w:cs="Times New Roman"/>
          <w:color w:val="000000"/>
        </w:rPr>
        <w:t>provided in the</w:t>
      </w:r>
      <w:r w:rsidR="00196415">
        <w:rPr>
          <w:rFonts w:eastAsia="Times New Roman" w:cs="Times New Roman"/>
          <w:color w:val="000000"/>
        </w:rPr>
        <w:t xml:space="preserve"> CDR Instructions, as identified at</w:t>
      </w:r>
      <w:r w:rsidRPr="00192B8C">
        <w:rPr>
          <w:rFonts w:eastAsia="Times New Roman" w:cs="Times New Roman"/>
          <w:color w:val="000000"/>
        </w:rPr>
        <w:t xml:space="preserve"> </w:t>
      </w:r>
      <w:r w:rsidR="00196415">
        <w:rPr>
          <w:rFonts w:eastAsia="Times New Roman" w:cs="Times New Roman"/>
          <w:color w:val="000000"/>
        </w:rPr>
        <w:t>40</w:t>
      </w:r>
      <w:r w:rsidR="00C15D24">
        <w:rPr>
          <w:rFonts w:eastAsia="Times New Roman" w:cs="Times New Roman"/>
          <w:color w:val="000000"/>
        </w:rPr>
        <w:t xml:space="preserve"> </w:t>
      </w:r>
      <w:r w:rsidRPr="00192B8C">
        <w:rPr>
          <w:rFonts w:eastAsia="Times New Roman" w:cs="Times New Roman"/>
          <w:color w:val="000000"/>
        </w:rPr>
        <w:t>C</w:t>
      </w:r>
      <w:r w:rsidR="00596315">
        <w:rPr>
          <w:rFonts w:eastAsia="Times New Roman" w:cs="Times New Roman"/>
          <w:color w:val="000000"/>
        </w:rPr>
        <w:t>FR</w:t>
      </w:r>
      <w:r w:rsidR="00C15D24">
        <w:rPr>
          <w:rFonts w:eastAsia="Times New Roman" w:cs="Times New Roman"/>
          <w:color w:val="000000"/>
        </w:rPr>
        <w:t xml:space="preserve"> 711.35</w:t>
      </w:r>
      <w:r w:rsidRPr="00192B8C">
        <w:rPr>
          <w:rFonts w:eastAsia="Times New Roman" w:cs="Times New Roman"/>
          <w:color w:val="000000"/>
        </w:rPr>
        <w:t>.</w:t>
      </w:r>
      <w:r w:rsidRPr="00C91AA1">
        <w:rPr>
          <w:rFonts w:eastAsia="Times New Roman" w:cs="Times New Roman"/>
          <w:color w:val="000000"/>
        </w:rPr>
        <w:t xml:space="preserve"> </w:t>
      </w:r>
      <w:r>
        <w:rPr>
          <w:rFonts w:eastAsia="Times New Roman" w:cs="Times New Roman"/>
          <w:color w:val="000000"/>
        </w:rPr>
        <w:t>Currently only the highest-level U.S. parent company is reported.</w:t>
      </w:r>
    </w:p>
    <w:p w14:paraId="17F80DDE" w14:textId="77777777" w:rsidR="0042516E" w:rsidRDefault="0042516E" w:rsidP="008C5171">
      <w:pPr>
        <w:pStyle w:val="ListParagraph"/>
        <w:widowControl w:val="0"/>
        <w:numPr>
          <w:ilvl w:val="0"/>
          <w:numId w:val="54"/>
        </w:numPr>
        <w:autoSpaceDE w:val="0"/>
        <w:autoSpaceDN w:val="0"/>
        <w:adjustRightInd w:val="0"/>
        <w:spacing w:after="120"/>
        <w:rPr>
          <w:rFonts w:eastAsia="Times New Roman" w:cs="Times New Roman"/>
          <w:szCs w:val="18"/>
        </w:rPr>
      </w:pPr>
      <w:r w:rsidRPr="0066161E">
        <w:rPr>
          <w:rFonts w:eastAsia="Times New Roman" w:cs="Times New Roman"/>
          <w:i/>
          <w:szCs w:val="18"/>
        </w:rPr>
        <w:t xml:space="preserve">NAICS </w:t>
      </w:r>
      <w:r>
        <w:rPr>
          <w:rFonts w:eastAsia="Times New Roman" w:cs="Times New Roman"/>
          <w:i/>
          <w:szCs w:val="18"/>
        </w:rPr>
        <w:t>c</w:t>
      </w:r>
      <w:r w:rsidRPr="0066161E">
        <w:rPr>
          <w:rFonts w:eastAsia="Times New Roman" w:cs="Times New Roman"/>
          <w:i/>
          <w:szCs w:val="18"/>
        </w:rPr>
        <w:t>odes</w:t>
      </w:r>
      <w:r w:rsidRPr="00370DA0">
        <w:rPr>
          <w:rFonts w:eastAsia="Times New Roman" w:cs="Times New Roman"/>
          <w:szCs w:val="18"/>
        </w:rPr>
        <w:t xml:space="preserve">: </w:t>
      </w:r>
      <w:r>
        <w:rPr>
          <w:rFonts w:eastAsia="Times New Roman" w:cs="Times New Roman"/>
          <w:szCs w:val="18"/>
        </w:rPr>
        <w:t xml:space="preserve">(new) </w:t>
      </w:r>
      <w:r w:rsidRPr="00540BAC">
        <w:rPr>
          <w:rFonts w:eastAsia="Times New Roman" w:cs="Times New Roman"/>
          <w:szCs w:val="18"/>
        </w:rPr>
        <w:t>The six-digit NAICS code for the site. A submitter under this part must include the appropriate six-digit NAICS code for each site reported.</w:t>
      </w:r>
    </w:p>
    <w:p w14:paraId="7446266A" w14:textId="756356B4" w:rsidR="0042516E" w:rsidRDefault="0042516E" w:rsidP="008C5171">
      <w:pPr>
        <w:pStyle w:val="ListParagraph"/>
        <w:widowControl w:val="0"/>
        <w:numPr>
          <w:ilvl w:val="0"/>
          <w:numId w:val="54"/>
        </w:numPr>
        <w:autoSpaceDE w:val="0"/>
        <w:autoSpaceDN w:val="0"/>
        <w:adjustRightInd w:val="0"/>
        <w:spacing w:after="120"/>
      </w:pPr>
      <w:r w:rsidRPr="00CF58E6">
        <w:rPr>
          <w:i/>
          <w:iCs/>
        </w:rPr>
        <w:t>Percent production volume that is a byproduct</w:t>
      </w:r>
      <w:r>
        <w:t>: (new) I</w:t>
      </w:r>
      <w:r w:rsidRPr="008A0198">
        <w:t>dentify the percent</w:t>
      </w:r>
      <w:r w:rsidR="008D1B40">
        <w:t xml:space="preserve"> of the</w:t>
      </w:r>
      <w:r w:rsidRPr="008A0198">
        <w:t xml:space="preserve"> total production volume of </w:t>
      </w:r>
      <w:r>
        <w:t>the</w:t>
      </w:r>
      <w:r w:rsidRPr="008A0198">
        <w:t xml:space="preserve"> chemical</w:t>
      </w:r>
      <w:r>
        <w:t xml:space="preserve"> substance that is a byproduct. </w:t>
      </w:r>
    </w:p>
    <w:p w14:paraId="2BFB1762" w14:textId="5DDB8378" w:rsidR="0042516E" w:rsidRDefault="00B7706D" w:rsidP="008C5171">
      <w:pPr>
        <w:pStyle w:val="ListParagraph"/>
        <w:widowControl w:val="0"/>
        <w:numPr>
          <w:ilvl w:val="0"/>
          <w:numId w:val="54"/>
        </w:numPr>
        <w:autoSpaceDE w:val="0"/>
        <w:autoSpaceDN w:val="0"/>
        <w:adjustRightInd w:val="0"/>
        <w:spacing w:after="120"/>
      </w:pPr>
      <w:r w:rsidRPr="00CF58E6">
        <w:rPr>
          <w:i/>
          <w:iCs/>
        </w:rPr>
        <w:t>Whether a manufactured (including imported) chemical substance is being recycled</w:t>
      </w:r>
      <w:r w:rsidR="0042516E" w:rsidRPr="00CF58E6">
        <w:rPr>
          <w:i/>
          <w:iCs/>
        </w:rPr>
        <w:t xml:space="preserve">: </w:t>
      </w:r>
      <w:r w:rsidR="0042516E">
        <w:t xml:space="preserve">(revised) Identify </w:t>
      </w:r>
      <w:r w:rsidR="00ED561C">
        <w:t>whether the reported</w:t>
      </w:r>
      <w:r w:rsidR="0042516E" w:rsidRPr="008A0198">
        <w:t xml:space="preserve"> chemical</w:t>
      </w:r>
      <w:r w:rsidR="0042516E">
        <w:t xml:space="preserve"> substance is recycled </w:t>
      </w:r>
      <w:r w:rsidR="0042516E" w:rsidRPr="0089420A">
        <w:t>or otherwise used for a commercial purpose instead of being disposed of as a waste or included in a waste stream</w:t>
      </w:r>
      <w:r w:rsidR="0042516E">
        <w:t xml:space="preserve">. </w:t>
      </w:r>
      <w:r>
        <w:t>Currently this data element includes</w:t>
      </w:r>
      <w:r w:rsidR="00ED561C">
        <w:t xml:space="preserve"> </w:t>
      </w:r>
      <w:r w:rsidR="00963348">
        <w:t xml:space="preserve">the terms “remanufactured, reprocessed, reused” as well as “recycled.” </w:t>
      </w:r>
      <w:r w:rsidR="0042516E">
        <w:t>EPA is proposing to remove the terms “remanufactured, reprocessed, reused.”</w:t>
      </w:r>
    </w:p>
    <w:p w14:paraId="1BEDB0B7" w14:textId="77995CBD" w:rsidR="0042516E" w:rsidRDefault="0042516E" w:rsidP="008C5171">
      <w:pPr>
        <w:pStyle w:val="ListParagraph"/>
        <w:numPr>
          <w:ilvl w:val="0"/>
          <w:numId w:val="54"/>
        </w:numPr>
        <w:autoSpaceDE w:val="0"/>
        <w:autoSpaceDN w:val="0"/>
        <w:adjustRightInd w:val="0"/>
        <w:spacing w:after="120"/>
        <w:rPr>
          <w:rFonts w:eastAsia="Times New Roman" w:cs="Times New Roman"/>
        </w:rPr>
      </w:pPr>
      <w:r w:rsidRPr="00E46035">
        <w:rPr>
          <w:rFonts w:eastAsia="Times New Roman" w:cs="Times New Roman"/>
          <w:i/>
        </w:rPr>
        <w:t>Function and use codes:</w:t>
      </w:r>
      <w:r w:rsidRPr="00E46035">
        <w:rPr>
          <w:rFonts w:eastAsia="Times New Roman" w:cs="Times New Roman"/>
        </w:rPr>
        <w:t xml:space="preserve"> (revised) Identify the industrial function and commercial/consumer product use codes, including adding functional use for consumer and commercial use information. EPA is proposing new CDR codes that are harmonized with OECD codes. </w:t>
      </w:r>
    </w:p>
    <w:p w14:paraId="29B6B018" w14:textId="2BAFC7FB" w:rsidR="0042516E" w:rsidRPr="00B24AE5" w:rsidRDefault="0042516E" w:rsidP="008C5171">
      <w:pPr>
        <w:pStyle w:val="ListParagraph"/>
        <w:numPr>
          <w:ilvl w:val="0"/>
          <w:numId w:val="54"/>
        </w:numPr>
        <w:autoSpaceDE w:val="0"/>
        <w:autoSpaceDN w:val="0"/>
        <w:adjustRightInd w:val="0"/>
        <w:spacing w:after="120"/>
        <w:rPr>
          <w:rFonts w:eastAsia="Times New Roman" w:cs="Times New Roman"/>
        </w:rPr>
      </w:pPr>
      <w:r w:rsidRPr="00CF58E6">
        <w:rPr>
          <w:rFonts w:eastAsia="Times New Roman" w:cs="Times New Roman"/>
          <w:i/>
          <w:iCs/>
        </w:rPr>
        <w:t>Chemical substance identity</w:t>
      </w:r>
      <w:r w:rsidRPr="00310FD7">
        <w:rPr>
          <w:rFonts w:eastAsia="Times New Roman" w:cs="Times New Roman"/>
          <w:i/>
          <w:iCs/>
          <w:color w:val="000000"/>
        </w:rPr>
        <w:t>:</w:t>
      </w:r>
      <w:r w:rsidRPr="00B24AE5">
        <w:rPr>
          <w:rFonts w:eastAsia="Times New Roman" w:cs="Times New Roman"/>
          <w:color w:val="000000"/>
        </w:rPr>
        <w:t xml:space="preserve"> (revised) In general, manufacturers identify the reportable chemical substance using a specific chemical name and a chemical abstract services number (CASRN) or, if on the confidential portion of the TSCA Inventory, by a generic chemical name and an accession number. EPA is proposing that manufacturers of inorganic byproducts </w:t>
      </w:r>
      <w:r w:rsidR="00EB2EF3">
        <w:rPr>
          <w:rFonts w:eastAsia="Times New Roman" w:cs="Times New Roman"/>
          <w:color w:val="000000"/>
        </w:rPr>
        <w:t>would</w:t>
      </w:r>
      <w:r w:rsidR="00EB2EF3" w:rsidRPr="00B24AE5">
        <w:rPr>
          <w:rFonts w:eastAsia="Times New Roman" w:cs="Times New Roman"/>
          <w:color w:val="000000"/>
        </w:rPr>
        <w:t xml:space="preserve"> </w:t>
      </w:r>
      <w:r w:rsidRPr="00B24AE5">
        <w:rPr>
          <w:rFonts w:eastAsia="Times New Roman" w:cs="Times New Roman"/>
          <w:color w:val="000000"/>
        </w:rPr>
        <w:t xml:space="preserve">have the option to combine and report multiple inorganic byproduct metal substances that otherwise would be reported individually, as listed on the TSCA Inventory, </w:t>
      </w:r>
      <w:r w:rsidR="008D1B40">
        <w:rPr>
          <w:rFonts w:eastAsia="Times New Roman" w:cs="Times New Roman"/>
          <w:color w:val="000000"/>
        </w:rPr>
        <w:t>as</w:t>
      </w:r>
      <w:r w:rsidR="008D1B40" w:rsidRPr="00B24AE5">
        <w:rPr>
          <w:rFonts w:eastAsia="Times New Roman" w:cs="Times New Roman"/>
          <w:color w:val="000000"/>
        </w:rPr>
        <w:t xml:space="preserve"> </w:t>
      </w:r>
      <w:r w:rsidRPr="00B24AE5">
        <w:rPr>
          <w:rFonts w:eastAsia="Times New Roman" w:cs="Times New Roman"/>
          <w:color w:val="000000"/>
        </w:rPr>
        <w:t>one or more specifically</w:t>
      </w:r>
      <w:r w:rsidR="008D1B40">
        <w:rPr>
          <w:rFonts w:eastAsia="Times New Roman" w:cs="Times New Roman"/>
          <w:color w:val="000000"/>
        </w:rPr>
        <w:t xml:space="preserve"> </w:t>
      </w:r>
      <w:r w:rsidRPr="00B24AE5">
        <w:rPr>
          <w:rFonts w:eastAsia="Times New Roman" w:cs="Times New Roman"/>
          <w:color w:val="000000"/>
        </w:rPr>
        <w:t xml:space="preserve">listed categories. </w:t>
      </w:r>
    </w:p>
    <w:p w14:paraId="502E87B8" w14:textId="3B67A122" w:rsidR="0042516E" w:rsidRDefault="0042516E" w:rsidP="008C5171">
      <w:pPr>
        <w:pStyle w:val="ListParagraph"/>
        <w:numPr>
          <w:ilvl w:val="0"/>
          <w:numId w:val="54"/>
        </w:numPr>
        <w:spacing w:after="240"/>
        <w:rPr>
          <w:rFonts w:eastAsia="Times New Roman" w:cs="Times New Roman"/>
        </w:rPr>
      </w:pPr>
      <w:r w:rsidRPr="00C91AA1">
        <w:rPr>
          <w:rFonts w:eastAsia="Times New Roman" w:cs="Times New Roman"/>
          <w:i/>
        </w:rPr>
        <w:t>Confidential Claim Substantiation:</w:t>
      </w:r>
      <w:r w:rsidRPr="002A7D1A">
        <w:t xml:space="preserve"> </w:t>
      </w:r>
      <w:r>
        <w:t xml:space="preserve">(revised) </w:t>
      </w:r>
      <w:r w:rsidRPr="00C91AA1">
        <w:rPr>
          <w:rFonts w:eastAsia="Times New Roman" w:cs="Times New Roman"/>
        </w:rPr>
        <w:t xml:space="preserve">For </w:t>
      </w:r>
      <w:r>
        <w:rPr>
          <w:rFonts w:eastAsia="Times New Roman" w:cs="Times New Roman"/>
        </w:rPr>
        <w:t>most</w:t>
      </w:r>
      <w:r w:rsidRPr="00C91AA1">
        <w:rPr>
          <w:rFonts w:eastAsia="Times New Roman" w:cs="Times New Roman"/>
        </w:rPr>
        <w:t xml:space="preserve"> data element</w:t>
      </w:r>
      <w:r>
        <w:rPr>
          <w:rFonts w:eastAsia="Times New Roman" w:cs="Times New Roman"/>
        </w:rPr>
        <w:t>s</w:t>
      </w:r>
      <w:r w:rsidRPr="00C91AA1">
        <w:rPr>
          <w:rFonts w:eastAsia="Times New Roman" w:cs="Times New Roman"/>
        </w:rPr>
        <w:t xml:space="preserve"> claimed as confidential, the submitter must submit with the report detailed written answers </w:t>
      </w:r>
      <w:r>
        <w:rPr>
          <w:rFonts w:eastAsia="Times New Roman" w:cs="Times New Roman"/>
        </w:rPr>
        <w:t>to substantiate claims to confidentiality</w:t>
      </w:r>
      <w:r w:rsidRPr="00C91AA1">
        <w:rPr>
          <w:rFonts w:eastAsia="Times New Roman" w:cs="Times New Roman"/>
        </w:rPr>
        <w:t xml:space="preserve">. </w:t>
      </w:r>
      <w:r w:rsidRPr="008E14D8">
        <w:rPr>
          <w:rFonts w:eastAsia="Times New Roman" w:cs="Times New Roman"/>
        </w:rPr>
        <w:t>The submitter must provide a statement supporting the claim, as described in TSCA section 14(c)(1)(B), and must certify that the statement is true and correct, as described in TSCA section 14(c)(5)</w:t>
      </w:r>
      <w:r>
        <w:rPr>
          <w:rFonts w:eastAsia="Times New Roman" w:cs="Times New Roman"/>
        </w:rPr>
        <w:t xml:space="preserve">. A substantiation statement at the time of submission is not required for production volume </w:t>
      </w:r>
      <w:r w:rsidR="00B33B2F">
        <w:rPr>
          <w:rFonts w:eastAsia="Times New Roman" w:cs="Times New Roman"/>
        </w:rPr>
        <w:t>confidentiality</w:t>
      </w:r>
      <w:r>
        <w:rPr>
          <w:rFonts w:eastAsia="Times New Roman" w:cs="Times New Roman"/>
        </w:rPr>
        <w:t xml:space="preserve"> claims.</w:t>
      </w:r>
    </w:p>
    <w:p w14:paraId="6D1E9B39" w14:textId="061AD06F" w:rsidR="0042516E" w:rsidRPr="00864E92" w:rsidRDefault="0042516E" w:rsidP="008C5171">
      <w:pPr>
        <w:pStyle w:val="BodyText"/>
      </w:pPr>
      <w:r w:rsidRPr="00864E92">
        <w:t xml:space="preserve">In certain circumstances, </w:t>
      </w:r>
      <w:r w:rsidR="009506BE">
        <w:t xml:space="preserve">multiple parties are required to complete a submission. Such submissions </w:t>
      </w:r>
      <w:r w:rsidR="00A1305C">
        <w:t>are either joint submissions, which use Part IV of Form U, or a co-manufacture report, which is a chemical report completed in part by a contracting company and in part by a producing compan</w:t>
      </w:r>
      <w:r w:rsidR="00205BAF">
        <w:t>y</w:t>
      </w:r>
      <w:r w:rsidR="00A1305C">
        <w:t xml:space="preserve">. </w:t>
      </w:r>
      <w:r w:rsidRPr="00864E92">
        <w:t xml:space="preserve">Proposed changes that impact </w:t>
      </w:r>
      <w:r w:rsidR="00A1305C">
        <w:t>mul</w:t>
      </w:r>
      <w:r w:rsidR="00205BAF">
        <w:t>ti</w:t>
      </w:r>
      <w:r w:rsidR="00A1305C">
        <w:t>-report</w:t>
      </w:r>
      <w:r w:rsidR="00EE6498">
        <w:t xml:space="preserve">er </w:t>
      </w:r>
      <w:r w:rsidRPr="00864E92">
        <w:t xml:space="preserve">submissions </w:t>
      </w:r>
      <w:r w:rsidR="008D1B40">
        <w:t>are</w:t>
      </w:r>
      <w:r w:rsidRPr="00864E92">
        <w:t xml:space="preserve"> described below. </w:t>
      </w:r>
    </w:p>
    <w:p w14:paraId="0A49C732" w14:textId="09DEFA8A" w:rsidR="0042516E" w:rsidRPr="00864E92" w:rsidRDefault="00EE6498" w:rsidP="008C5171">
      <w:pPr>
        <w:pStyle w:val="BodyText"/>
      </w:pPr>
      <w:r>
        <w:rPr>
          <w:i/>
          <w:color w:val="000000"/>
        </w:rPr>
        <w:t>R</w:t>
      </w:r>
      <w:r w:rsidR="0042516E" w:rsidRPr="00B24AE5">
        <w:rPr>
          <w:i/>
          <w:color w:val="000000"/>
        </w:rPr>
        <w:t xml:space="preserve">eporting process for </w:t>
      </w:r>
      <w:r w:rsidR="0042516E" w:rsidRPr="00B24AE5">
        <w:rPr>
          <w:i/>
        </w:rPr>
        <w:t>co-manufacture</w:t>
      </w:r>
      <w:r w:rsidR="00AB0C7E">
        <w:rPr>
          <w:i/>
        </w:rPr>
        <w:t>d chemical</w:t>
      </w:r>
      <w:r w:rsidR="0042516E" w:rsidRPr="00B24AE5">
        <w:rPr>
          <w:i/>
        </w:rPr>
        <w:t>s</w:t>
      </w:r>
      <w:r w:rsidR="0042516E" w:rsidRPr="00C91AA1">
        <w:t>:</w:t>
      </w:r>
      <w:r w:rsidR="0042516E" w:rsidRPr="00B24AE5">
        <w:rPr>
          <w:i/>
        </w:rPr>
        <w:t xml:space="preserve"> </w:t>
      </w:r>
      <w:r w:rsidR="0042516E">
        <w:t xml:space="preserve">(new) </w:t>
      </w:r>
      <w:r w:rsidR="0042516E" w:rsidRPr="009847C2">
        <w:t xml:space="preserve">EPA is proposing to change the reporting mechanism for </w:t>
      </w:r>
      <w:r w:rsidR="00AB0C7E">
        <w:t>co-manufactured chemicals</w:t>
      </w:r>
      <w:r w:rsidR="0042516E" w:rsidRPr="009847C2">
        <w:t xml:space="preserve"> by developing a </w:t>
      </w:r>
      <w:r>
        <w:t>multi-reporter</w:t>
      </w:r>
      <w:r w:rsidRPr="009847C2">
        <w:t xml:space="preserve"> </w:t>
      </w:r>
      <w:r w:rsidR="00AB0C7E">
        <w:t>reporting</w:t>
      </w:r>
      <w:r w:rsidR="00AB0C7E" w:rsidRPr="009847C2">
        <w:t xml:space="preserve"> </w:t>
      </w:r>
      <w:r w:rsidR="0042516E" w:rsidRPr="009847C2">
        <w:t>process</w:t>
      </w:r>
      <w:r w:rsidR="0042516E">
        <w:t>. Co-manufacturing is</w:t>
      </w:r>
      <w:r w:rsidR="0042516E" w:rsidRPr="007816B5">
        <w:t xml:space="preserve"> when a chemical substance, manufactured other than by import, is produced exclusively</w:t>
      </w:r>
      <w:r w:rsidR="0042516E">
        <w:t xml:space="preserve"> by a site</w:t>
      </w:r>
      <w:r w:rsidR="0042516E" w:rsidRPr="007816B5">
        <w:t xml:space="preserve"> for another person who contracts for such production. </w:t>
      </w:r>
      <w:r w:rsidR="004B7C2A" w:rsidRPr="004B7C2A">
        <w:t>In addition, the other person contracting the</w:t>
      </w:r>
      <w:r w:rsidR="004B7C2A" w:rsidRPr="004B7C2A" w:rsidDel="005A66A6">
        <w:t xml:space="preserve"> </w:t>
      </w:r>
      <w:r w:rsidR="004B7C2A" w:rsidRPr="004B7C2A">
        <w:t xml:space="preserve">manufacture (i.e., the contracting company) specifies the identity of the chemical substance, the total amount produced, and the basic technology for the plant process. </w:t>
      </w:r>
      <w:r w:rsidR="0042516E">
        <w:t>In a co-manufactur</w:t>
      </w:r>
      <w:r>
        <w:t>e</w:t>
      </w:r>
      <w:r w:rsidR="0042516E">
        <w:t xml:space="preserve"> </w:t>
      </w:r>
      <w:r w:rsidR="00AB0C7E">
        <w:t>report</w:t>
      </w:r>
      <w:r w:rsidR="0042516E">
        <w:t xml:space="preserve">, the </w:t>
      </w:r>
      <w:r w:rsidR="0042516E" w:rsidRPr="007816B5">
        <w:t xml:space="preserve">contracting company is the primary submitter and the </w:t>
      </w:r>
      <w:r w:rsidR="00546B7A">
        <w:t xml:space="preserve">producing </w:t>
      </w:r>
      <w:r w:rsidR="0042516E" w:rsidRPr="007816B5">
        <w:t>company is the secondary submitter</w:t>
      </w:r>
      <w:r w:rsidR="0042516E">
        <w:t xml:space="preserve">. </w:t>
      </w:r>
    </w:p>
    <w:p w14:paraId="74C79AB0" w14:textId="16CC241E" w:rsidR="0042516E" w:rsidRPr="00864E92" w:rsidRDefault="0042516E" w:rsidP="008C5171">
      <w:pPr>
        <w:pStyle w:val="BodyText"/>
      </w:pPr>
      <w:r w:rsidRPr="009847C2">
        <w:t xml:space="preserve">Under this new reporting methodology, the contracting company (as the primary submitter) </w:t>
      </w:r>
      <w:r w:rsidR="008D1B40">
        <w:t>is responsible for</w:t>
      </w:r>
      <w:r w:rsidRPr="009847C2">
        <w:t xml:space="preserve"> initiat</w:t>
      </w:r>
      <w:r w:rsidR="008D1B40">
        <w:t>ing</w:t>
      </w:r>
      <w:r w:rsidRPr="009847C2">
        <w:t xml:space="preserve"> a </w:t>
      </w:r>
      <w:r w:rsidR="00EE6498">
        <w:t>co-manufacture</w:t>
      </w:r>
      <w:r w:rsidR="00611717">
        <w:t xml:space="preserve"> </w:t>
      </w:r>
      <w:r w:rsidR="004B7C2A">
        <w:t>report</w:t>
      </w:r>
      <w:r w:rsidR="004B7C2A" w:rsidRPr="009847C2">
        <w:t xml:space="preserve"> </w:t>
      </w:r>
      <w:r w:rsidRPr="009847C2">
        <w:t xml:space="preserve">that would </w:t>
      </w:r>
      <w:r w:rsidR="004B7C2A">
        <w:t>prompt</w:t>
      </w:r>
      <w:r w:rsidR="004B7C2A" w:rsidRPr="009847C2">
        <w:t xml:space="preserve"> </w:t>
      </w:r>
      <w:r w:rsidRPr="009847C2">
        <w:t xml:space="preserve">the reporting requirements for the </w:t>
      </w:r>
      <w:r w:rsidR="00546B7A">
        <w:t xml:space="preserve">producing </w:t>
      </w:r>
      <w:r w:rsidR="00EE6498">
        <w:t>company</w:t>
      </w:r>
      <w:r w:rsidR="00EE6498" w:rsidRPr="009847C2">
        <w:t xml:space="preserve"> </w:t>
      </w:r>
      <w:r w:rsidRPr="009847C2">
        <w:t xml:space="preserve">(as the secondary submitter). </w:t>
      </w:r>
      <w:r w:rsidR="00611717">
        <w:t xml:space="preserve">The </w:t>
      </w:r>
      <w:r w:rsidR="00EE6498">
        <w:t xml:space="preserve">co-manufacture </w:t>
      </w:r>
      <w:r w:rsidR="00611717">
        <w:t>report is included as a part of the site’s Form U, which typically contains multiple chemical reports.</w:t>
      </w:r>
    </w:p>
    <w:p w14:paraId="28864B9F" w14:textId="4BA7484F" w:rsidR="0042516E" w:rsidRDefault="0042516E" w:rsidP="008C5171">
      <w:pPr>
        <w:pStyle w:val="BodyText"/>
        <w:numPr>
          <w:ilvl w:val="0"/>
          <w:numId w:val="40"/>
        </w:numPr>
        <w:spacing w:after="120"/>
        <w:ind w:left="720"/>
      </w:pPr>
      <w:r w:rsidRPr="0B02F8A5">
        <w:rPr>
          <w:i/>
          <w:iCs/>
        </w:rPr>
        <w:t>Primary Submitter (</w:t>
      </w:r>
      <w:r w:rsidR="008D1B40">
        <w:rPr>
          <w:i/>
          <w:iCs/>
        </w:rPr>
        <w:t>t</w:t>
      </w:r>
      <w:r w:rsidRPr="0B02F8A5">
        <w:rPr>
          <w:i/>
          <w:iCs/>
        </w:rPr>
        <w:t>he contracting company)</w:t>
      </w:r>
      <w:r>
        <w:t>:</w:t>
      </w:r>
      <w:r w:rsidRPr="009847C2">
        <w:t xml:space="preserve"> </w:t>
      </w:r>
      <w:r w:rsidR="004B7C2A">
        <w:t xml:space="preserve">The primary submitter </w:t>
      </w:r>
      <w:r w:rsidR="004B7C2A" w:rsidRPr="009847C2">
        <w:t xml:space="preserve">would initiate the </w:t>
      </w:r>
      <w:r w:rsidR="00EE6498">
        <w:t xml:space="preserve">co-manufacture </w:t>
      </w:r>
      <w:r w:rsidR="004B7C2A">
        <w:t>report</w:t>
      </w:r>
      <w:r w:rsidR="004B7C2A" w:rsidRPr="009847C2">
        <w:t xml:space="preserve"> </w:t>
      </w:r>
      <w:r w:rsidR="004B7C2A">
        <w:t xml:space="preserve">by identifying the producing </w:t>
      </w:r>
      <w:r w:rsidR="00EE6498">
        <w:t>company</w:t>
      </w:r>
      <w:r w:rsidR="003C79F6">
        <w:t>(</w:t>
      </w:r>
      <w:r w:rsidR="00EE6498">
        <w:t>ie</w:t>
      </w:r>
      <w:r w:rsidR="003C79F6">
        <w:t>s)</w:t>
      </w:r>
      <w:r w:rsidR="004B7C2A">
        <w:t xml:space="preserve"> and the </w:t>
      </w:r>
      <w:r w:rsidR="003C79F6">
        <w:t xml:space="preserve">co-manufactured </w:t>
      </w:r>
      <w:r w:rsidR="004B7C2A">
        <w:t xml:space="preserve">chemical </w:t>
      </w:r>
      <w:r w:rsidR="003C79F6">
        <w:t xml:space="preserve">identity (e.g., </w:t>
      </w:r>
      <w:r w:rsidR="003C79F6" w:rsidRPr="00AE4975">
        <w:t>the chemical name</w:t>
      </w:r>
      <w:r w:rsidR="003C79F6">
        <w:t xml:space="preserve"> and</w:t>
      </w:r>
      <w:r w:rsidR="003C79F6" w:rsidRPr="00AE4975">
        <w:t xml:space="preserve"> CAS Registry Number</w:t>
      </w:r>
      <w:r w:rsidR="003C79F6">
        <w:t>)</w:t>
      </w:r>
      <w:r w:rsidR="004B7C2A">
        <w:t xml:space="preserve"> (and may also use a product name or other alias for communication purposes)</w:t>
      </w:r>
      <w:r w:rsidR="004B7C2A" w:rsidRPr="009847C2">
        <w:t xml:space="preserve"> </w:t>
      </w:r>
      <w:r w:rsidR="004B7C2A">
        <w:t xml:space="preserve">and would </w:t>
      </w:r>
      <w:r w:rsidR="004B7C2A" w:rsidRPr="009847C2">
        <w:t>us</w:t>
      </w:r>
      <w:r w:rsidR="004B7C2A">
        <w:t>e</w:t>
      </w:r>
      <w:r w:rsidR="004B7C2A" w:rsidRPr="009847C2">
        <w:t xml:space="preserve"> e-CDRweb to send a notification</w:t>
      </w:r>
      <w:r w:rsidR="003C79F6">
        <w:t>(s)</w:t>
      </w:r>
      <w:r w:rsidR="004B7C2A" w:rsidRPr="009847C2">
        <w:t xml:space="preserve"> to the </w:t>
      </w:r>
      <w:r w:rsidR="004B7C2A">
        <w:t xml:space="preserve">producing </w:t>
      </w:r>
      <w:r w:rsidR="00EE6498">
        <w:t>company(ies)</w:t>
      </w:r>
      <w:r w:rsidR="004B7C2A" w:rsidRPr="009847C2">
        <w:t xml:space="preserve">. </w:t>
      </w:r>
      <w:r>
        <w:t xml:space="preserve">The primary submitter </w:t>
      </w:r>
      <w:r w:rsidRPr="009847C2">
        <w:t xml:space="preserve">would </w:t>
      </w:r>
      <w:r w:rsidR="003C79F6">
        <w:t xml:space="preserve">also </w:t>
      </w:r>
      <w:r w:rsidRPr="009847C2">
        <w:t xml:space="preserve">complete </w:t>
      </w:r>
      <w:r w:rsidR="003C79F6">
        <w:t>the production volumes for the principal reporting year (i.e., 2019 for the 2020 CDR) and for past years (i.e., 2016, 2017, and 2018 for 2020 CDR)</w:t>
      </w:r>
      <w:r w:rsidR="003C79F6" w:rsidRPr="003C79F6">
        <w:t xml:space="preserve"> </w:t>
      </w:r>
      <w:r w:rsidR="003C79F6">
        <w:t>in Form U S</w:t>
      </w:r>
      <w:r w:rsidR="003C79F6" w:rsidRPr="009847C2">
        <w:t>ectio</w:t>
      </w:r>
      <w:r w:rsidR="003C79F6">
        <w:t xml:space="preserve">n II and the </w:t>
      </w:r>
      <w:r w:rsidRPr="009847C2">
        <w:t xml:space="preserve">processing and use-related </w:t>
      </w:r>
      <w:r w:rsidR="003C79F6">
        <w:t>information in Form U S</w:t>
      </w:r>
      <w:r w:rsidRPr="009847C2">
        <w:t>ectio</w:t>
      </w:r>
      <w:r>
        <w:t>n</w:t>
      </w:r>
      <w:r w:rsidR="003C79F6">
        <w:t xml:space="preserve"> III</w:t>
      </w:r>
      <w:r>
        <w:t xml:space="preserve"> (40 CFR 711.15(b)(4))</w:t>
      </w:r>
      <w:r w:rsidR="008D1B40">
        <w:t>.</w:t>
      </w:r>
      <w:r>
        <w:t xml:space="preserve"> </w:t>
      </w:r>
    </w:p>
    <w:p w14:paraId="430FEC00" w14:textId="5911C795" w:rsidR="0042516E" w:rsidRDefault="0042516E" w:rsidP="0042516E">
      <w:pPr>
        <w:pStyle w:val="BodyText"/>
        <w:numPr>
          <w:ilvl w:val="0"/>
          <w:numId w:val="40"/>
        </w:numPr>
        <w:ind w:left="720"/>
      </w:pPr>
      <w:r w:rsidRPr="00C91AA1">
        <w:rPr>
          <w:i/>
        </w:rPr>
        <w:t>Secondary submitter</w:t>
      </w:r>
      <w:r>
        <w:rPr>
          <w:i/>
        </w:rPr>
        <w:t xml:space="preserve"> (the </w:t>
      </w:r>
      <w:r w:rsidR="00546B7A">
        <w:rPr>
          <w:i/>
        </w:rPr>
        <w:t xml:space="preserve">producing </w:t>
      </w:r>
      <w:r w:rsidR="00EE6498">
        <w:rPr>
          <w:i/>
        </w:rPr>
        <w:t>company</w:t>
      </w:r>
      <w:r>
        <w:rPr>
          <w:i/>
        </w:rPr>
        <w:t>)</w:t>
      </w:r>
      <w:r>
        <w:t xml:space="preserve">: </w:t>
      </w:r>
      <w:r w:rsidRPr="009847C2">
        <w:t xml:space="preserve">The </w:t>
      </w:r>
      <w:r w:rsidR="0049030A">
        <w:t xml:space="preserve">producing </w:t>
      </w:r>
      <w:r w:rsidR="00EE6498">
        <w:t>company’s</w:t>
      </w:r>
      <w:r w:rsidR="00EE6498" w:rsidRPr="009847C2">
        <w:t xml:space="preserve"> </w:t>
      </w:r>
      <w:r w:rsidRPr="009847C2">
        <w:t xml:space="preserve">portion of the </w:t>
      </w:r>
      <w:r w:rsidR="00EE6498">
        <w:t>co-manufacture</w:t>
      </w:r>
      <w:r w:rsidR="00611717">
        <w:t xml:space="preserve"> </w:t>
      </w:r>
      <w:r w:rsidR="003C79F6">
        <w:t>report</w:t>
      </w:r>
      <w:r w:rsidR="003C79F6" w:rsidRPr="009847C2">
        <w:t xml:space="preserve"> </w:t>
      </w:r>
      <w:r w:rsidRPr="009847C2">
        <w:t xml:space="preserve">would include </w:t>
      </w:r>
      <w:r w:rsidR="003C79F6">
        <w:t>all</w:t>
      </w:r>
      <w:r w:rsidR="003C79F6" w:rsidRPr="009847C2">
        <w:t xml:space="preserve"> </w:t>
      </w:r>
      <w:r w:rsidRPr="009847C2">
        <w:t>manufacturing-related data ele</w:t>
      </w:r>
      <w:r>
        <w:t>ments</w:t>
      </w:r>
      <w:r w:rsidR="003C79F6">
        <w:t xml:space="preserve"> except for the chemical identity</w:t>
      </w:r>
      <w:r w:rsidR="00611717">
        <w:t xml:space="preserve"> (40 CFR 711.15(b)(3))</w:t>
      </w:r>
      <w:r>
        <w:t xml:space="preserve">. </w:t>
      </w:r>
    </w:p>
    <w:p w14:paraId="54DDA2A7" w14:textId="5FE7D982" w:rsidR="0042516E" w:rsidRDefault="0042516E" w:rsidP="00794249">
      <w:pPr>
        <w:pStyle w:val="BodyText"/>
      </w:pPr>
      <w:r>
        <w:t>Both submitters</w:t>
      </w:r>
      <w:r w:rsidRPr="008450C2">
        <w:t xml:space="preserve"> must certify by signature and date that to the best of his/her knowledge and belief: 1) all </w:t>
      </w:r>
      <w:r w:rsidRPr="00794249">
        <w:t>information</w:t>
      </w:r>
      <w:r w:rsidRPr="008450C2">
        <w:t xml:space="preserve"> entered on Form U has been completed in compliance with the regulatory requirements and 2) any confidentiality claims are true and correct as to that information for which they have been asserted.</w:t>
      </w:r>
    </w:p>
    <w:p w14:paraId="55B5B4A9" w14:textId="26C11081" w:rsidR="0042516E" w:rsidRPr="00C91AA1" w:rsidRDefault="0042516E" w:rsidP="0042516E">
      <w:pPr>
        <w:pStyle w:val="BodyText"/>
      </w:pPr>
      <w:r w:rsidRPr="00CF58E6">
        <w:rPr>
          <w:i/>
          <w:iCs/>
          <w:color w:val="000000"/>
        </w:rPr>
        <w:t>Joint submission reporting process for imported mixture</w:t>
      </w:r>
      <w:r w:rsidRPr="009548CC">
        <w:t>:</w:t>
      </w:r>
      <w:r>
        <w:t xml:space="preserve"> (revised) </w:t>
      </w:r>
      <w:r w:rsidRPr="008E6236">
        <w:t xml:space="preserve">A joint submission is most typically used when a substance or a mixture is imported and the supplier does not provide to the importer the specific chemical identity of the substance or substances that comprise the mixture. </w:t>
      </w:r>
      <w:r w:rsidR="003E54DF">
        <w:t xml:space="preserve">The primary submitter </w:t>
      </w:r>
      <w:r w:rsidR="00F50341">
        <w:t xml:space="preserve">initiates the submission, by identifying the secondary submitters, sending each secondary submitter a notification </w:t>
      </w:r>
      <w:r w:rsidR="00F110B9">
        <w:t xml:space="preserve">using e-CDRweb, and completing all information on the Form U submission other than </w:t>
      </w:r>
      <w:r w:rsidR="00CC4AC4">
        <w:t>the specific chemical identities</w:t>
      </w:r>
      <w:r w:rsidR="00F110B9">
        <w:t xml:space="preserve">. </w:t>
      </w:r>
      <w:r w:rsidR="00950FEA">
        <w:t>The secondary submitter completes Part IV of Form U, suppling the specific chemical identity</w:t>
      </w:r>
      <w:r w:rsidR="000945A1">
        <w:t>(ies) and, if appropriate, the percent composition.</w:t>
      </w:r>
      <w:r w:rsidR="00F110B9">
        <w:t xml:space="preserve"> </w:t>
      </w:r>
      <w:r w:rsidRPr="008E6236">
        <w:t>Currently, the importer identifies the function of the imported product. In some circumstances, the function of the imported product can be correctly applied to the specific chemical substance. However, in the circumstance where the imported product is a multi-component mixture, applying the function of the imported product to each component of the mixture can result in identifying a function for an individual chemical substance that is not appropriate</w:t>
      </w:r>
      <w:r>
        <w:t>. EPA is proposing that the secondary submitter r</w:t>
      </w:r>
      <w:r w:rsidRPr="0072180C">
        <w:t xml:space="preserve">eport the chemical-specific function along with </w:t>
      </w:r>
      <w:r>
        <w:t>the currently</w:t>
      </w:r>
      <w:r w:rsidR="008D1B40">
        <w:t xml:space="preserve"> </w:t>
      </w:r>
      <w:r>
        <w:t xml:space="preserve">required </w:t>
      </w:r>
      <w:r w:rsidRPr="0072180C">
        <w:t>information on chemical composition.</w:t>
      </w:r>
      <w:r>
        <w:t xml:space="preserve"> </w:t>
      </w:r>
    </w:p>
    <w:p w14:paraId="36E0A8FD" w14:textId="77777777" w:rsidR="0042516E" w:rsidRPr="00C91AA1" w:rsidRDefault="0042516E" w:rsidP="0042516E">
      <w:pPr>
        <w:pStyle w:val="Heading3"/>
      </w:pPr>
      <w:r w:rsidRPr="00C91AA1">
        <w:t>Submitter Activities/Information Collections (ICs)</w:t>
      </w:r>
    </w:p>
    <w:p w14:paraId="4C550053" w14:textId="004FB909" w:rsidR="0042516E" w:rsidRPr="009533EA" w:rsidRDefault="0042516E" w:rsidP="0042516E">
      <w:pPr>
        <w:pStyle w:val="BodyText"/>
      </w:pPr>
      <w:r>
        <w:t xml:space="preserve">As shown in </w:t>
      </w:r>
      <w:r w:rsidR="00FE082E">
        <w:fldChar w:fldCharType="begin"/>
      </w:r>
      <w:r w:rsidR="00FE082E">
        <w:instrText xml:space="preserve"> REF _Ref526352526 \h </w:instrText>
      </w:r>
      <w:r w:rsidR="00FE082E">
        <w:fldChar w:fldCharType="separate"/>
      </w:r>
      <w:r w:rsidR="00745E52">
        <w:t xml:space="preserve">Table </w:t>
      </w:r>
      <w:r w:rsidR="00745E52">
        <w:rPr>
          <w:noProof/>
        </w:rPr>
        <w:t>2</w:t>
      </w:r>
      <w:r w:rsidR="00FE082E">
        <w:fldChar w:fldCharType="end"/>
      </w:r>
      <w:r w:rsidR="00FE082E">
        <w:t xml:space="preserve">, </w:t>
      </w:r>
      <w:r w:rsidRPr="009533EA">
        <w:t xml:space="preserve">EPA identified the following ICs in the </w:t>
      </w:r>
      <w:r w:rsidRPr="008C5171">
        <w:t>ICR</w:t>
      </w:r>
      <w:r w:rsidRPr="004C35F1">
        <w:t xml:space="preserve"> re</w:t>
      </w:r>
      <w:r>
        <w:t>newal (</w:t>
      </w:r>
      <w:bookmarkStart w:id="10" w:name="_Hlk527374691"/>
      <w:r w:rsidR="004002EC">
        <w:t xml:space="preserve">EPA, </w:t>
      </w:r>
      <w:r w:rsidR="00FF0FB5">
        <w:t>2018b</w:t>
      </w:r>
      <w:r>
        <w:t xml:space="preserve">) </w:t>
      </w:r>
      <w:bookmarkEnd w:id="10"/>
      <w:r w:rsidRPr="009533EA">
        <w:t>for activities that submitters would complete when complying with the rule:</w:t>
      </w:r>
    </w:p>
    <w:p w14:paraId="73FA420C" w14:textId="77777777" w:rsidR="0042516E" w:rsidRPr="009533EA" w:rsidRDefault="0042516E" w:rsidP="008C5171">
      <w:pPr>
        <w:numPr>
          <w:ilvl w:val="0"/>
          <w:numId w:val="17"/>
        </w:numPr>
        <w:spacing w:after="120"/>
        <w:rPr>
          <w:rFonts w:eastAsia="Times New Roman" w:cs="Times New Roman"/>
        </w:rPr>
      </w:pPr>
      <w:r w:rsidRPr="009533EA">
        <w:rPr>
          <w:rFonts w:eastAsia="Times New Roman" w:cs="Times New Roman"/>
        </w:rPr>
        <w:t>CDX Registration Activities</w:t>
      </w:r>
    </w:p>
    <w:p w14:paraId="2F5352E5" w14:textId="3FFD4E34" w:rsidR="0042516E" w:rsidRPr="00794249" w:rsidRDefault="0042516E" w:rsidP="008C5171">
      <w:pPr>
        <w:numPr>
          <w:ilvl w:val="0"/>
          <w:numId w:val="17"/>
        </w:numPr>
        <w:spacing w:after="240"/>
        <w:rPr>
          <w:rFonts w:eastAsia="Times New Roman" w:cs="Times New Roman"/>
          <w:b/>
          <w:sz w:val="22"/>
          <w:szCs w:val="22"/>
        </w:rPr>
      </w:pPr>
      <w:r w:rsidRPr="009533EA">
        <w:rPr>
          <w:rFonts w:eastAsia="Times New Roman" w:cs="Times New Roman"/>
        </w:rPr>
        <w:t>Prepare and Submit Report and Maintain Records</w:t>
      </w:r>
    </w:p>
    <w:tbl>
      <w:tblPr>
        <w:tblW w:w="5000"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1809"/>
        <w:gridCol w:w="4641"/>
        <w:gridCol w:w="3126"/>
      </w:tblGrid>
      <w:tr w:rsidR="0042516E" w:rsidRPr="009533EA" w14:paraId="58B54912" w14:textId="77777777" w:rsidTr="001801D6">
        <w:trPr>
          <w:tblHeader/>
          <w:jc w:val="center"/>
        </w:trPr>
        <w:tc>
          <w:tcPr>
            <w:tcW w:w="9525" w:type="dxa"/>
            <w:gridSpan w:val="3"/>
            <w:tcBorders>
              <w:top w:val="nil"/>
              <w:left w:val="nil"/>
              <w:bottom w:val="single" w:sz="4" w:space="0" w:color="auto"/>
              <w:right w:val="nil"/>
            </w:tcBorders>
          </w:tcPr>
          <w:p w14:paraId="5396BBF3" w14:textId="045124C0" w:rsidR="0042516E" w:rsidRPr="009533EA" w:rsidRDefault="0042516E" w:rsidP="00C86EFA">
            <w:pPr>
              <w:pStyle w:val="Caption"/>
              <w:keepNext/>
              <w:rPr>
                <w:rFonts w:eastAsia="Times New Roman" w:cs="Times New Roman"/>
                <w:sz w:val="20"/>
              </w:rPr>
            </w:pPr>
            <w:bookmarkStart w:id="11" w:name="_Ref526352526"/>
            <w:bookmarkStart w:id="12" w:name="_Ref526341605"/>
            <w:r>
              <w:t xml:space="preserve">Table </w:t>
            </w:r>
            <w:r w:rsidR="001670BD">
              <w:rPr>
                <w:noProof/>
              </w:rPr>
              <w:fldChar w:fldCharType="begin"/>
            </w:r>
            <w:r w:rsidR="001670BD">
              <w:rPr>
                <w:noProof/>
              </w:rPr>
              <w:instrText xml:space="preserve"> SEQ Table \* ARABIC </w:instrText>
            </w:r>
            <w:r w:rsidR="001670BD">
              <w:rPr>
                <w:noProof/>
              </w:rPr>
              <w:fldChar w:fldCharType="separate"/>
            </w:r>
            <w:r w:rsidR="00745E52">
              <w:rPr>
                <w:noProof/>
              </w:rPr>
              <w:t>2</w:t>
            </w:r>
            <w:r w:rsidR="001670BD">
              <w:rPr>
                <w:noProof/>
              </w:rPr>
              <w:fldChar w:fldCharType="end"/>
            </w:r>
            <w:bookmarkEnd w:id="11"/>
            <w:bookmarkEnd w:id="12"/>
            <w:r w:rsidRPr="009533EA">
              <w:t>: Information Collections (ICs) for CDR Reporting</w:t>
            </w:r>
          </w:p>
        </w:tc>
      </w:tr>
      <w:tr w:rsidR="0042516E" w:rsidRPr="009533EA" w14:paraId="4CAA9B4E" w14:textId="77777777" w:rsidTr="008C5171">
        <w:trPr>
          <w:tblHeader/>
          <w:jc w:val="center"/>
        </w:trPr>
        <w:tc>
          <w:tcPr>
            <w:tcW w:w="1800" w:type="dxa"/>
            <w:tcBorders>
              <w:top w:val="single" w:sz="4" w:space="0" w:color="auto"/>
              <w:left w:val="single" w:sz="4" w:space="0" w:color="auto"/>
              <w:bottom w:val="single" w:sz="4" w:space="0" w:color="auto"/>
            </w:tcBorders>
            <w:shd w:val="clear" w:color="auto" w:fill="BFBFBF" w:themeFill="background1" w:themeFillShade="BF"/>
            <w:vAlign w:val="bottom"/>
          </w:tcPr>
          <w:p w14:paraId="3DC111AE" w14:textId="77777777" w:rsidR="0042516E" w:rsidRPr="00D51A07" w:rsidRDefault="0042516E">
            <w:pPr>
              <w:keepNext/>
              <w:widowControl w:val="0"/>
              <w:autoSpaceDE w:val="0"/>
              <w:autoSpaceDN w:val="0"/>
              <w:adjustRightInd w:val="0"/>
              <w:jc w:val="center"/>
              <w:rPr>
                <w:rFonts w:ascii="Arial Narrow" w:eastAsia="Times New Roman" w:hAnsi="Arial Narrow" w:cs="Times New Roman"/>
                <w:b/>
                <w:sz w:val="18"/>
                <w:szCs w:val="18"/>
              </w:rPr>
            </w:pPr>
            <w:r w:rsidRPr="00D51A07">
              <w:rPr>
                <w:rFonts w:ascii="Arial Narrow" w:eastAsia="Times New Roman" w:hAnsi="Arial Narrow" w:cs="Times New Roman"/>
                <w:b/>
                <w:sz w:val="18"/>
                <w:szCs w:val="18"/>
              </w:rPr>
              <w:t>Activity</w:t>
            </w:r>
          </w:p>
        </w:tc>
        <w:tc>
          <w:tcPr>
            <w:tcW w:w="4616" w:type="dxa"/>
            <w:tcBorders>
              <w:top w:val="single" w:sz="4" w:space="0" w:color="auto"/>
              <w:bottom w:val="single" w:sz="4" w:space="0" w:color="auto"/>
            </w:tcBorders>
            <w:shd w:val="clear" w:color="auto" w:fill="BFBFBF" w:themeFill="background1" w:themeFillShade="BF"/>
            <w:vAlign w:val="bottom"/>
          </w:tcPr>
          <w:p w14:paraId="32D00765" w14:textId="77777777" w:rsidR="0042516E" w:rsidRPr="00D51A07" w:rsidRDefault="0042516E">
            <w:pPr>
              <w:keepNext/>
              <w:widowControl w:val="0"/>
              <w:autoSpaceDE w:val="0"/>
              <w:autoSpaceDN w:val="0"/>
              <w:adjustRightInd w:val="0"/>
              <w:jc w:val="center"/>
              <w:rPr>
                <w:rFonts w:ascii="Arial Narrow" w:eastAsia="Times New Roman" w:hAnsi="Arial Narrow" w:cs="Times New Roman"/>
                <w:b/>
                <w:sz w:val="18"/>
                <w:szCs w:val="18"/>
              </w:rPr>
            </w:pPr>
            <w:r w:rsidRPr="00D51A07">
              <w:rPr>
                <w:rFonts w:ascii="Arial Narrow" w:eastAsia="Times New Roman" w:hAnsi="Arial Narrow" w:cs="Times New Roman"/>
                <w:b/>
                <w:sz w:val="18"/>
                <w:szCs w:val="18"/>
              </w:rPr>
              <w:t>Description</w:t>
            </w:r>
          </w:p>
        </w:tc>
        <w:tc>
          <w:tcPr>
            <w:tcW w:w="3109" w:type="dxa"/>
            <w:tcBorders>
              <w:top w:val="single" w:sz="4" w:space="0" w:color="auto"/>
              <w:bottom w:val="single" w:sz="4" w:space="0" w:color="auto"/>
              <w:right w:val="single" w:sz="4" w:space="0" w:color="auto"/>
            </w:tcBorders>
            <w:shd w:val="clear" w:color="auto" w:fill="BFBFBF" w:themeFill="background1" w:themeFillShade="BF"/>
            <w:vAlign w:val="bottom"/>
          </w:tcPr>
          <w:p w14:paraId="71B87698" w14:textId="77777777" w:rsidR="0042516E" w:rsidRPr="00D51A07" w:rsidRDefault="0042516E">
            <w:pPr>
              <w:keepNext/>
              <w:widowControl w:val="0"/>
              <w:autoSpaceDE w:val="0"/>
              <w:autoSpaceDN w:val="0"/>
              <w:adjustRightInd w:val="0"/>
              <w:jc w:val="center"/>
              <w:rPr>
                <w:rFonts w:ascii="Arial Narrow" w:eastAsia="Times New Roman" w:hAnsi="Arial Narrow" w:cs="Times New Roman"/>
                <w:b/>
                <w:sz w:val="18"/>
                <w:szCs w:val="18"/>
              </w:rPr>
            </w:pPr>
            <w:r w:rsidRPr="00D51A07">
              <w:rPr>
                <w:rFonts w:ascii="Arial Narrow" w:eastAsia="Times New Roman" w:hAnsi="Arial Narrow" w:cs="Times New Roman"/>
                <w:b/>
                <w:sz w:val="18"/>
                <w:szCs w:val="18"/>
              </w:rPr>
              <w:t>Related IC(s) included in this ICR Renewal</w:t>
            </w:r>
          </w:p>
        </w:tc>
      </w:tr>
      <w:tr w:rsidR="0042516E" w:rsidRPr="009533EA" w14:paraId="64E23D0E" w14:textId="77777777" w:rsidTr="008C5171">
        <w:trPr>
          <w:jc w:val="center"/>
        </w:trPr>
        <w:tc>
          <w:tcPr>
            <w:tcW w:w="1800" w:type="dxa"/>
            <w:tcBorders>
              <w:top w:val="single" w:sz="4" w:space="0" w:color="auto"/>
              <w:left w:val="single" w:sz="4" w:space="0" w:color="auto"/>
              <w:bottom w:val="single" w:sz="4" w:space="0" w:color="auto"/>
            </w:tcBorders>
            <w:vAlign w:val="center"/>
          </w:tcPr>
          <w:p w14:paraId="4814E35D" w14:textId="77777777" w:rsidR="0042516E" w:rsidRPr="00D51A07" w:rsidRDefault="0042516E" w:rsidP="00C86EFA">
            <w:pPr>
              <w:widowControl w:val="0"/>
              <w:autoSpaceDE w:val="0"/>
              <w:autoSpaceDN w:val="0"/>
              <w:adjustRightInd w:val="0"/>
              <w:rPr>
                <w:rFonts w:ascii="Arial Narrow" w:eastAsia="Times New Roman" w:hAnsi="Arial Narrow" w:cs="Times New Roman"/>
                <w:b/>
                <w:bCs/>
                <w:sz w:val="18"/>
                <w:szCs w:val="18"/>
              </w:rPr>
            </w:pPr>
            <w:r w:rsidRPr="00D51A07">
              <w:rPr>
                <w:rFonts w:ascii="Arial Narrow" w:eastAsia="Times New Roman" w:hAnsi="Arial Narrow" w:cs="Times New Roman"/>
                <w:b/>
                <w:bCs/>
                <w:sz w:val="18"/>
                <w:szCs w:val="18"/>
              </w:rPr>
              <w:t>CDX Registration and e-Signature</w:t>
            </w:r>
          </w:p>
        </w:tc>
        <w:tc>
          <w:tcPr>
            <w:tcW w:w="4616" w:type="dxa"/>
            <w:tcBorders>
              <w:top w:val="single" w:sz="4" w:space="0" w:color="auto"/>
            </w:tcBorders>
            <w:vAlign w:val="center"/>
          </w:tcPr>
          <w:p w14:paraId="6463536E" w14:textId="2D1E2A0F" w:rsidR="0042516E" w:rsidRPr="00D51A07"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sz w:val="18"/>
                <w:szCs w:val="18"/>
              </w:rPr>
              <w:t>Before submitting a TSCA Form U, new submitters and experienced submitters with new employees must register with CDX. In addition, registrants must complete an Electronic Signature Agreement form, which is signed, dated, and either submitted electronically or mailed back to EPA.</w:t>
            </w:r>
          </w:p>
        </w:tc>
        <w:tc>
          <w:tcPr>
            <w:tcW w:w="3109" w:type="dxa"/>
            <w:tcBorders>
              <w:top w:val="single" w:sz="4" w:space="0" w:color="auto"/>
              <w:bottom w:val="single" w:sz="4" w:space="0" w:color="auto"/>
              <w:right w:val="single" w:sz="4" w:space="0" w:color="auto"/>
            </w:tcBorders>
            <w:vAlign w:val="center"/>
          </w:tcPr>
          <w:p w14:paraId="51848B56" w14:textId="77777777" w:rsidR="0042516E" w:rsidRPr="00D51A07"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sz w:val="18"/>
                <w:szCs w:val="18"/>
              </w:rPr>
              <w:t>CDX Registration Activities</w:t>
            </w:r>
          </w:p>
        </w:tc>
      </w:tr>
      <w:tr w:rsidR="0042516E" w:rsidRPr="009533EA" w14:paraId="5E7EBEA3" w14:textId="77777777" w:rsidTr="008C5171">
        <w:trPr>
          <w:jc w:val="center"/>
        </w:trPr>
        <w:tc>
          <w:tcPr>
            <w:tcW w:w="1800" w:type="dxa"/>
            <w:tcBorders>
              <w:top w:val="single" w:sz="4" w:space="0" w:color="auto"/>
              <w:left w:val="single" w:sz="4" w:space="0" w:color="auto"/>
              <w:bottom w:val="single" w:sz="4" w:space="0" w:color="auto"/>
            </w:tcBorders>
            <w:vAlign w:val="center"/>
          </w:tcPr>
          <w:p w14:paraId="564D219E" w14:textId="77777777" w:rsidR="0042516E" w:rsidRPr="008D7D10"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b/>
                <w:bCs/>
                <w:sz w:val="18"/>
                <w:szCs w:val="18"/>
              </w:rPr>
              <w:t>Preparation and Submission of Reports</w:t>
            </w:r>
            <w:r>
              <w:rPr>
                <w:rFonts w:ascii="Arial Narrow" w:eastAsia="Times New Roman" w:hAnsi="Arial Narrow" w:cs="Times New Roman"/>
                <w:b/>
                <w:bCs/>
                <w:sz w:val="18"/>
                <w:szCs w:val="18"/>
              </w:rPr>
              <w:t>, Form U</w:t>
            </w:r>
            <w:r>
              <w:rPr>
                <w:rFonts w:ascii="Arial Narrow" w:eastAsia="Times New Roman" w:hAnsi="Arial Narrow" w:cs="Times New Roman"/>
                <w:b/>
                <w:bCs/>
                <w:sz w:val="18"/>
                <w:szCs w:val="18"/>
              </w:rPr>
              <w:br/>
            </w:r>
            <w:r w:rsidRPr="00D51A07">
              <w:rPr>
                <w:rFonts w:ascii="Arial Narrow" w:eastAsia="Times New Roman" w:hAnsi="Arial Narrow" w:cs="Times New Roman"/>
                <w:sz w:val="18"/>
                <w:szCs w:val="18"/>
              </w:rPr>
              <w:t>( E</w:t>
            </w:r>
            <w:r w:rsidRPr="00D51A07">
              <w:rPr>
                <w:rFonts w:ascii="Arial Narrow" w:hAnsi="Arial Narrow"/>
                <w:sz w:val="18"/>
                <w:szCs w:val="18"/>
              </w:rPr>
              <w:t>PA Form 7740-8</w:t>
            </w:r>
            <w:r w:rsidRPr="00D6754F">
              <w:rPr>
                <w:rFonts w:ascii="Arial Narrow" w:hAnsi="Arial Narrow"/>
                <w:sz w:val="18"/>
                <w:szCs w:val="18"/>
              </w:rPr>
              <w:t>)</w:t>
            </w:r>
          </w:p>
        </w:tc>
        <w:tc>
          <w:tcPr>
            <w:tcW w:w="4616" w:type="dxa"/>
            <w:tcBorders>
              <w:bottom w:val="single" w:sz="4" w:space="0" w:color="auto"/>
            </w:tcBorders>
            <w:vAlign w:val="center"/>
          </w:tcPr>
          <w:p w14:paraId="680F9AF0" w14:textId="73ADE79F" w:rsidR="0042516E" w:rsidRPr="00D51A07"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sz w:val="18"/>
                <w:szCs w:val="18"/>
              </w:rPr>
              <w:t>Staff must collect all of the required information and submit relevant information for each of the reportable chemical substances at that site in an electronic submission of the Form U. The information must be gathered, reviewed, and submitted to EPA. This task includes any research necessary to identify the correct information, the act of completing the submission, and associated review. Therefore, the list of activities included in this IC are (as described in this ICR Supporting Statement): rule familiarization (for new reporters only), compliance determination, form completion, and recordkeeping.</w:t>
            </w:r>
          </w:p>
        </w:tc>
        <w:tc>
          <w:tcPr>
            <w:tcW w:w="3109" w:type="dxa"/>
            <w:tcBorders>
              <w:top w:val="single" w:sz="4" w:space="0" w:color="auto"/>
              <w:bottom w:val="single" w:sz="4" w:space="0" w:color="auto"/>
              <w:right w:val="single" w:sz="4" w:space="0" w:color="auto"/>
            </w:tcBorders>
            <w:vAlign w:val="center"/>
          </w:tcPr>
          <w:p w14:paraId="39B7E2A6" w14:textId="719BAA95" w:rsidR="0042516E" w:rsidRPr="00D51A07"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sz w:val="18"/>
                <w:szCs w:val="18"/>
              </w:rPr>
              <w:t>Prepare and Submit Report, and Maintain Records</w:t>
            </w:r>
          </w:p>
        </w:tc>
      </w:tr>
      <w:tr w:rsidR="0042516E" w:rsidRPr="009533EA" w14:paraId="6E08F100" w14:textId="77777777" w:rsidTr="008C5171">
        <w:trPr>
          <w:jc w:val="center"/>
        </w:trPr>
        <w:tc>
          <w:tcPr>
            <w:tcW w:w="1800" w:type="dxa"/>
            <w:tcBorders>
              <w:top w:val="single" w:sz="4" w:space="0" w:color="auto"/>
              <w:left w:val="single" w:sz="4" w:space="0" w:color="auto"/>
              <w:bottom w:val="single" w:sz="4" w:space="0" w:color="auto"/>
            </w:tcBorders>
            <w:vAlign w:val="center"/>
          </w:tcPr>
          <w:p w14:paraId="3F64663B" w14:textId="77777777" w:rsidR="0042516E" w:rsidRPr="00D51A07"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b/>
                <w:bCs/>
                <w:sz w:val="18"/>
                <w:szCs w:val="18"/>
              </w:rPr>
              <w:t>Recordkeeping</w:t>
            </w:r>
          </w:p>
        </w:tc>
        <w:tc>
          <w:tcPr>
            <w:tcW w:w="4616" w:type="dxa"/>
            <w:tcBorders>
              <w:top w:val="single" w:sz="4" w:space="0" w:color="auto"/>
              <w:bottom w:val="single" w:sz="4" w:space="0" w:color="auto"/>
            </w:tcBorders>
            <w:vAlign w:val="center"/>
          </w:tcPr>
          <w:p w14:paraId="09B2B84F" w14:textId="77777777" w:rsidR="0042516E" w:rsidRPr="00D51A07"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sz w:val="18"/>
                <w:szCs w:val="18"/>
              </w:rPr>
              <w:t>Respondents must keep records supporting their submissions for five years.</w:t>
            </w:r>
          </w:p>
        </w:tc>
        <w:tc>
          <w:tcPr>
            <w:tcW w:w="3109" w:type="dxa"/>
            <w:tcBorders>
              <w:top w:val="single" w:sz="4" w:space="0" w:color="auto"/>
              <w:bottom w:val="single" w:sz="4" w:space="0" w:color="auto"/>
              <w:right w:val="single" w:sz="4" w:space="0" w:color="auto"/>
            </w:tcBorders>
            <w:vAlign w:val="center"/>
          </w:tcPr>
          <w:p w14:paraId="28555E21" w14:textId="77777777" w:rsidR="0042516E" w:rsidRPr="00D51A07" w:rsidRDefault="0042516E" w:rsidP="00C86EFA">
            <w:pPr>
              <w:widowControl w:val="0"/>
              <w:autoSpaceDE w:val="0"/>
              <w:autoSpaceDN w:val="0"/>
              <w:adjustRightInd w:val="0"/>
              <w:rPr>
                <w:rFonts w:ascii="Arial Narrow" w:eastAsia="Times New Roman" w:hAnsi="Arial Narrow" w:cs="Times New Roman"/>
                <w:sz w:val="18"/>
                <w:szCs w:val="18"/>
              </w:rPr>
            </w:pPr>
            <w:r w:rsidRPr="00D51A07">
              <w:rPr>
                <w:rFonts w:ascii="Arial Narrow" w:eastAsia="Times New Roman" w:hAnsi="Arial Narrow" w:cs="Times New Roman"/>
                <w:sz w:val="18"/>
                <w:szCs w:val="18"/>
              </w:rPr>
              <w:t xml:space="preserve">Prepare and Submit Report, and Maintain Records </w:t>
            </w:r>
          </w:p>
        </w:tc>
      </w:tr>
    </w:tbl>
    <w:p w14:paraId="6812851C" w14:textId="77777777" w:rsidR="0042516E" w:rsidRPr="009533EA" w:rsidRDefault="0042516E" w:rsidP="004251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eastAsia="Times New Roman" w:cs="Times New Roman"/>
          <w:b/>
        </w:rPr>
      </w:pPr>
    </w:p>
    <w:p w14:paraId="2989639B" w14:textId="77777777" w:rsidR="0042516E" w:rsidRPr="000D2D6D" w:rsidRDefault="0042516E" w:rsidP="0087296D">
      <w:pPr>
        <w:pStyle w:val="Heading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rPr>
          <w:rFonts w:eastAsia="Times New Roman" w:cs="Times New Roman"/>
        </w:rPr>
      </w:pPr>
      <w:r w:rsidRPr="000D2D6D">
        <w:t xml:space="preserve">THE INFORMATION COLLECTED–AGENCY ACTIVITIES, COLLECTION </w:t>
      </w:r>
      <w:r w:rsidRPr="000D2D6D">
        <w:rPr>
          <w:rFonts w:eastAsia="Times New Roman" w:cs="Times New Roman"/>
        </w:rPr>
        <w:t>METHODOLOGY, AND INFORMATION MANAGEMENT</w:t>
      </w:r>
    </w:p>
    <w:p w14:paraId="16BF0262" w14:textId="77777777" w:rsidR="0042516E" w:rsidRPr="009533EA" w:rsidRDefault="0042516E" w:rsidP="0042516E">
      <w:pPr>
        <w:pStyle w:val="Heading2"/>
        <w:tabs>
          <w:tab w:val="clear" w:pos="720"/>
          <w:tab w:val="num" w:pos="1080"/>
        </w:tabs>
        <w:ind w:left="1080" w:hanging="360"/>
      </w:pPr>
      <w:r>
        <w:t>A</w:t>
      </w:r>
      <w:r w:rsidRPr="009533EA">
        <w:t>gency Activities</w:t>
      </w:r>
    </w:p>
    <w:p w14:paraId="38CB319C" w14:textId="13E63DFB" w:rsidR="0042516E" w:rsidRPr="009533EA" w:rsidRDefault="0042516E" w:rsidP="0042516E">
      <w:pPr>
        <w:pStyle w:val="BodyText"/>
      </w:pPr>
      <w:r w:rsidRPr="009533EA">
        <w:t>The Agency develops and maintains the electronic tool used to collect and verify data</w:t>
      </w:r>
      <w:r>
        <w:t xml:space="preserve"> and routinely conducts o</w:t>
      </w:r>
      <w:r w:rsidRPr="009533EA">
        <w:t xml:space="preserve">ther </w:t>
      </w:r>
      <w:r>
        <w:t xml:space="preserve">activities </w:t>
      </w:r>
      <w:r w:rsidRPr="009533EA">
        <w:t>related to the processing, analysis and storage of the information collected under this rule</w:t>
      </w:r>
      <w:r>
        <w:t>. In this ICR Addendum, only the Agency activities related to the changes created by the proposed rule are considered</w:t>
      </w:r>
      <w:r w:rsidR="00D107A9">
        <w:t>,</w:t>
      </w:r>
      <w:r w:rsidRPr="009533EA">
        <w:t xml:space="preserve"> includ</w:t>
      </w:r>
      <w:r>
        <w:t>i</w:t>
      </w:r>
      <w:r w:rsidRPr="009533EA">
        <w:t>ng:</w:t>
      </w:r>
    </w:p>
    <w:p w14:paraId="663AF680" w14:textId="77777777" w:rsidR="0042516E" w:rsidRPr="00561314" w:rsidRDefault="0042516E" w:rsidP="008C5171">
      <w:pPr>
        <w:pStyle w:val="CommentText"/>
        <w:numPr>
          <w:ilvl w:val="0"/>
          <w:numId w:val="2"/>
        </w:numPr>
        <w:spacing w:after="120"/>
        <w:rPr>
          <w:sz w:val="24"/>
          <w:szCs w:val="24"/>
        </w:rPr>
      </w:pPr>
      <w:r w:rsidRPr="008C5171">
        <w:rPr>
          <w:sz w:val="24"/>
          <w:szCs w:val="24"/>
        </w:rPr>
        <w:t>Submission receipt and tracking</w:t>
      </w:r>
    </w:p>
    <w:p w14:paraId="7F0F7B9D" w14:textId="6A4D791D" w:rsidR="0042516E" w:rsidRPr="00561314" w:rsidRDefault="0042516E" w:rsidP="008C5171">
      <w:pPr>
        <w:pStyle w:val="CommentText"/>
        <w:numPr>
          <w:ilvl w:val="0"/>
          <w:numId w:val="2"/>
        </w:numPr>
        <w:spacing w:after="120"/>
        <w:rPr>
          <w:sz w:val="24"/>
          <w:szCs w:val="24"/>
        </w:rPr>
      </w:pPr>
      <w:r w:rsidRPr="008C5171">
        <w:rPr>
          <w:sz w:val="24"/>
          <w:szCs w:val="24"/>
        </w:rPr>
        <w:t xml:space="preserve">Data </w:t>
      </w:r>
      <w:r>
        <w:rPr>
          <w:sz w:val="24"/>
          <w:szCs w:val="24"/>
        </w:rPr>
        <w:t>r</w:t>
      </w:r>
      <w:r w:rsidRPr="008C5171">
        <w:rPr>
          <w:sz w:val="24"/>
          <w:szCs w:val="24"/>
        </w:rPr>
        <w:t>eview</w:t>
      </w:r>
    </w:p>
    <w:p w14:paraId="1006448D" w14:textId="1FE70E82" w:rsidR="0042516E" w:rsidRPr="009533EA" w:rsidRDefault="0042516E" w:rsidP="008C5171">
      <w:pPr>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40"/>
        <w:rPr>
          <w:rFonts w:eastAsia="Times New Roman" w:cs="Times New Roman"/>
        </w:rPr>
      </w:pPr>
      <w:r w:rsidRPr="00561314">
        <w:t xml:space="preserve">Quality </w:t>
      </w:r>
      <w:r>
        <w:t>c</w:t>
      </w:r>
      <w:r w:rsidRPr="00561314">
        <w:t>ontrol</w:t>
      </w:r>
      <w:r w:rsidR="004336C3">
        <w:rPr>
          <w:rStyle w:val="FootnoteReference"/>
        </w:rPr>
        <w:footnoteReference w:id="3"/>
      </w:r>
    </w:p>
    <w:p w14:paraId="5B809B47" w14:textId="77777777" w:rsidR="0042516E" w:rsidRPr="009533EA" w:rsidRDefault="0042516E" w:rsidP="0042516E">
      <w:pPr>
        <w:pStyle w:val="Heading2"/>
        <w:tabs>
          <w:tab w:val="clear" w:pos="720"/>
          <w:tab w:val="num" w:pos="1080"/>
        </w:tabs>
        <w:ind w:left="1080" w:hanging="360"/>
      </w:pPr>
      <w:r w:rsidRPr="009533EA">
        <w:t>Collection Methodology and Management</w:t>
      </w:r>
    </w:p>
    <w:p w14:paraId="6FD1ECA0" w14:textId="71289AAA" w:rsidR="0042516E" w:rsidRPr="009533EA" w:rsidRDefault="0042516E" w:rsidP="0042516E">
      <w:pPr>
        <w:pStyle w:val="BodyText"/>
      </w:pPr>
      <w:r w:rsidRPr="009533EA">
        <w:t xml:space="preserve">All manufacturers (including importers), except for those defined as “small manufacturers” by EPA’s regulations, are required to submit information on every substance subject to the regulation (40 CFR 711) that they manufacture (including import) in quantities that meet or exceed the CDR thresholds. </w:t>
      </w:r>
      <w:r w:rsidR="00350BC9">
        <w:t xml:space="preserve">However, a person who otherwise qualifies as a small manufacturer is required to report any chemical substance that is the subject of a rule proposed or promulgated under TSCA section 4, 5(b)(4), or 6, or is the subject of an order in effect under TSCA section 4 or 5(e), or is the subject of relief that has been granted under a civil action under TSCA section 5 or 7. </w:t>
      </w:r>
      <w:r w:rsidRPr="009533EA">
        <w:t>The collection occur</w:t>
      </w:r>
      <w:r w:rsidR="00350BC9">
        <w:t>s</w:t>
      </w:r>
      <w:r w:rsidRPr="009533EA">
        <w:t xml:space="preserve"> every four years. The next CDR collection will occur in 2020.</w:t>
      </w:r>
    </w:p>
    <w:p w14:paraId="636F9D4D" w14:textId="10BA14C3" w:rsidR="0042516E" w:rsidRPr="009533EA" w:rsidRDefault="0042516E" w:rsidP="008C5171">
      <w:pPr>
        <w:pStyle w:val="Heading3"/>
      </w:pPr>
      <w:r w:rsidRPr="0B02F8A5">
        <w:t>Collection Methodology</w:t>
      </w:r>
    </w:p>
    <w:p w14:paraId="4BF27175" w14:textId="77777777" w:rsidR="0042516E" w:rsidRPr="009533EA" w:rsidRDefault="0042516E" w:rsidP="0042516E">
      <w:pPr>
        <w:pStyle w:val="BodyText"/>
      </w:pPr>
      <w:r>
        <w:t>Submitters are required to submit information associated with this data collection electronically via the Internet using e-CDRweb and CDX.</w:t>
      </w:r>
    </w:p>
    <w:p w14:paraId="2EF77138" w14:textId="1A2297C4" w:rsidR="0042516E" w:rsidRPr="009533EA" w:rsidRDefault="00BB2CF5" w:rsidP="0042516E">
      <w:pPr>
        <w:pStyle w:val="BodyText"/>
      </w:pPr>
      <w:r>
        <w:t>EPA will notify p</w:t>
      </w:r>
      <w:r w:rsidR="0042516E">
        <w:t xml:space="preserve">otential submitters of the need to report in three ways: (1) make available guidance describing CDR reporting requirements at chemical industry conferences and meetings, and through web and listserv announcements, (2) send email notices to previous CDR submitters, and (3) publish articles in the trade press. </w:t>
      </w:r>
      <w:r w:rsidR="00D462AA">
        <w:t xml:space="preserve">The requirement to report is based on the CDR regulations; potential submitters that do not receive a notification as listed above or who do not read published articles are still required to report. </w:t>
      </w:r>
      <w:r w:rsidR="0042516E">
        <w:t xml:space="preserve">Reporting materials, including a non-submission version of the Form U and a variety of instructions documents (Instruction Manual, Q&amp;As, Case Studies, Fact Sheets), are available on EPA’s CDR website. Submitters also can obtain these materials from the TSCA Hotline. Submitters obtain the e-CDRweb reporting tool (which enables the completion of the Form U for submission) as part of the CDX electronic web-based registration process, as described in </w:t>
      </w:r>
      <w:r w:rsidR="007A6ACC">
        <w:t>s</w:t>
      </w:r>
      <w:r w:rsidR="0042516E">
        <w:t xml:space="preserve">ection </w:t>
      </w:r>
      <w:r w:rsidR="004E1AD8">
        <w:fldChar w:fldCharType="begin"/>
      </w:r>
      <w:r w:rsidR="004E1AD8">
        <w:instrText xml:space="preserve"> REF _Ref526354270 \r \h </w:instrText>
      </w:r>
      <w:r w:rsidR="004E1AD8">
        <w:fldChar w:fldCharType="separate"/>
      </w:r>
      <w:r w:rsidR="00745E52">
        <w:t>4</w:t>
      </w:r>
      <w:r w:rsidR="004E1AD8">
        <w:fldChar w:fldCharType="end"/>
      </w:r>
      <w:r w:rsidR="0042516E">
        <w:t xml:space="preserve"> of this document. The e-CDRweb reporting tool enables the user to complete Form U for submission to EPA.</w:t>
      </w:r>
    </w:p>
    <w:p w14:paraId="65BF3168" w14:textId="77777777" w:rsidR="0042516E" w:rsidRPr="009533EA" w:rsidRDefault="0042516E" w:rsidP="0042516E">
      <w:pPr>
        <w:pStyle w:val="BodyText"/>
      </w:pPr>
      <w:r>
        <w:t xml:space="preserve">EPA will receive all CDR submissions electronically. The CDX registration process, required for all submitters, will provide a user ID, which the submitter will use to access e-CDRweb. </w:t>
      </w:r>
    </w:p>
    <w:p w14:paraId="72D7483B" w14:textId="41949D91" w:rsidR="0042516E" w:rsidRPr="009533EA" w:rsidRDefault="0042516E" w:rsidP="0042516E">
      <w:pPr>
        <w:pStyle w:val="BodyText"/>
      </w:pPr>
      <w:r>
        <w:t xml:space="preserve">Information quality control and validation begins with the e-CDRweb reporting tool, which is programmed to help the submitter provide the information required in the correct format, as required by the CDR rule. </w:t>
      </w:r>
    </w:p>
    <w:p w14:paraId="47FAFD63" w14:textId="7D6D8A54" w:rsidR="0042516E" w:rsidRPr="009533EA" w:rsidRDefault="0042516E" w:rsidP="0042516E">
      <w:pPr>
        <w:pStyle w:val="BodyText"/>
      </w:pPr>
      <w:r>
        <w:t xml:space="preserve">To aid persons subject to this information collection, the Agency’s TSCA and CDX Hotlines are available to answer questions regarding the CDR requirements or submission process. When Hotline staff is unable to answer questions, the submitter is referred to OPPT’s Information Management Division (IMD) or Chemical Control Division (CCD), as appropriate. Submitters can also email their questions to the e-CDRweb mail site at </w:t>
      </w:r>
      <w:hyperlink r:id="rId14">
        <w:r w:rsidRPr="0B02F8A5">
          <w:rPr>
            <w:color w:val="0000FF"/>
            <w:u w:val="single"/>
          </w:rPr>
          <w:t>eCDRweb@epa.gov</w:t>
        </w:r>
      </w:hyperlink>
      <w:r>
        <w:t xml:space="preserve">. Other Divisions within OPPT or the Office of Environmental Information (OEI) are </w:t>
      </w:r>
      <w:r w:rsidR="00272171">
        <w:t xml:space="preserve">may respond </w:t>
      </w:r>
      <w:r>
        <w:t xml:space="preserve">as necessary. </w:t>
      </w:r>
    </w:p>
    <w:p w14:paraId="02D7A5D8" w14:textId="24E27AF0" w:rsidR="0042516E" w:rsidRPr="009533EA" w:rsidRDefault="0042516E" w:rsidP="008C5171">
      <w:pPr>
        <w:pStyle w:val="Heading3"/>
      </w:pPr>
      <w:r w:rsidRPr="009533EA">
        <w:t>Data Management</w:t>
      </w:r>
    </w:p>
    <w:p w14:paraId="2B6CC1E9" w14:textId="3CDE4282" w:rsidR="0042516E" w:rsidRPr="00D51A07" w:rsidRDefault="0042516E" w:rsidP="008C5171">
      <w:pPr>
        <w:pStyle w:val="BodyText"/>
      </w:pPr>
      <w:r w:rsidRPr="00D51A07">
        <w:t xml:space="preserve">This section describes the Agency tasks required for efficiently processing submissions under the CDR. The tasks for which the Agency is responsible are presented under four main categories: database systems development, guidance document development, Form U processing, and additional tasks. The task descriptions presented below generally do not change from collection to collection. </w:t>
      </w:r>
    </w:p>
    <w:p w14:paraId="0657CB62" w14:textId="35AA57FC" w:rsidR="0042516E" w:rsidRPr="009533EA" w:rsidRDefault="0042516E" w:rsidP="008C5171">
      <w:pPr>
        <w:pStyle w:val="BodyText"/>
      </w:pPr>
      <w:r w:rsidRPr="009533EA">
        <w:t xml:space="preserve">CDR data is stored in a database managed by EPA. Once updated, the CDR database is then available to EPA technical reviewers to search or export into their various analytical modeling systems and databases. The CDR database is also available for quick screening and other direct uses. The Agency makes publicly available as much information as possible, within the confines of protecting </w:t>
      </w:r>
      <w:r w:rsidR="00D462AA">
        <w:t>information claimed as confidential</w:t>
      </w:r>
      <w:r w:rsidRPr="009533EA">
        <w:t>.</w:t>
      </w:r>
    </w:p>
    <w:p w14:paraId="712229DE" w14:textId="2FFBDD71" w:rsidR="0042516E" w:rsidRDefault="0042516E" w:rsidP="008C517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rPr>
          <w:rFonts w:eastAsia="Times New Roman" w:cs="Times New Roman"/>
          <w:szCs w:val="20"/>
        </w:rPr>
      </w:pPr>
      <w:r w:rsidRPr="009533EA">
        <w:rPr>
          <w:rFonts w:eastAsia="Times New Roman" w:cs="Times New Roman"/>
          <w:szCs w:val="20"/>
          <w:u w:val="single"/>
        </w:rPr>
        <w:t>Database Systems Development and Maintenance</w:t>
      </w:r>
      <w:r w:rsidRPr="009533EA">
        <w:rPr>
          <w:rFonts w:eastAsia="Times New Roman" w:cs="Times New Roman"/>
          <w:szCs w:val="20"/>
        </w:rPr>
        <w:t xml:space="preserve"> - The Agency develops and maintains adequate information systems in place to support the database that serves as the primary data storage medium for CDR collections. File servers with appropriate backup are used to contain the CDR databases. </w:t>
      </w:r>
    </w:p>
    <w:p w14:paraId="46AD1D7D" w14:textId="5DE5BFB0" w:rsidR="0042516E" w:rsidRDefault="0042516E" w:rsidP="008C517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rPr>
          <w:rFonts w:eastAsia="Times New Roman" w:cs="Times New Roman"/>
          <w:szCs w:val="20"/>
        </w:rPr>
      </w:pPr>
      <w:r w:rsidRPr="009533EA">
        <w:rPr>
          <w:rFonts w:eastAsia="Times New Roman" w:cs="Times New Roman"/>
          <w:szCs w:val="20"/>
          <w:u w:val="single"/>
        </w:rPr>
        <w:t>Instructions Document Development</w:t>
      </w:r>
      <w:r w:rsidRPr="009533EA">
        <w:rPr>
          <w:rFonts w:eastAsia="Times New Roman" w:cs="Times New Roman"/>
          <w:szCs w:val="20"/>
        </w:rPr>
        <w:t xml:space="preserve"> - The Agency develops guidance, instructions, case studies, and other information to assist submitters in submitting data and complying with CDR requirements. The documents are updated for each CDR cycle.</w:t>
      </w:r>
    </w:p>
    <w:p w14:paraId="7A51175A" w14:textId="6E83C37C" w:rsidR="0042516E" w:rsidRDefault="0042516E" w:rsidP="008C5171">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120"/>
        <w:rPr>
          <w:rFonts w:eastAsia="Times New Roman" w:cs="Times New Roman"/>
          <w:szCs w:val="20"/>
        </w:rPr>
      </w:pPr>
      <w:r w:rsidRPr="009533EA">
        <w:rPr>
          <w:rFonts w:eastAsia="Times New Roman" w:cs="Times New Roman"/>
          <w:szCs w:val="20"/>
          <w:u w:val="single"/>
        </w:rPr>
        <w:t>Form U Processing</w:t>
      </w:r>
      <w:r w:rsidRPr="009533EA">
        <w:rPr>
          <w:rFonts w:eastAsia="Times New Roman" w:cs="Times New Roman"/>
          <w:szCs w:val="20"/>
        </w:rPr>
        <w:t xml:space="preserve"> - The Agency is responsible for processing CDR Form U submissions. This includes developing standard operating procedures and documentation for all stages in the CDR life cycle, tracking submissions, implementing quality assurance and control, maintaining file</w:t>
      </w:r>
      <w:r>
        <w:rPr>
          <w:rFonts w:eastAsia="Times New Roman" w:cs="Times New Roman"/>
          <w:szCs w:val="20"/>
        </w:rPr>
        <w:t>s</w:t>
      </w:r>
      <w:r w:rsidRPr="009533EA">
        <w:rPr>
          <w:rFonts w:eastAsia="Times New Roman" w:cs="Times New Roman"/>
          <w:szCs w:val="20"/>
        </w:rPr>
        <w:t xml:space="preserve"> and databases, information security, disseminating data, and training staff. EPA receives CDR submissions over the Internet, using CDX. </w:t>
      </w:r>
    </w:p>
    <w:p w14:paraId="13F9DAD3" w14:textId="6E60C3BB" w:rsidR="0042516E" w:rsidRPr="00310FD7" w:rsidRDefault="0042516E" w:rsidP="00310FD7">
      <w:pPr>
        <w:numPr>
          <w:ilvl w:val="0"/>
          <w:numId w:val="3"/>
        </w:numPr>
        <w:tabs>
          <w:tab w:val="left" w:pos="0"/>
          <w:tab w:val="left" w:pos="1440"/>
          <w:tab w:val="left" w:pos="2160"/>
          <w:tab w:val="left" w:pos="2880"/>
          <w:tab w:val="left" w:pos="3600"/>
          <w:tab w:val="left" w:pos="4320"/>
          <w:tab w:val="left" w:pos="5040"/>
          <w:tab w:val="left" w:pos="5760"/>
          <w:tab w:val="left" w:pos="6480"/>
          <w:tab w:val="left" w:pos="7200"/>
          <w:tab w:val="left" w:pos="7920"/>
        </w:tabs>
        <w:spacing w:after="240"/>
        <w:rPr>
          <w:rFonts w:eastAsia="Times New Roman" w:cs="Times New Roman"/>
        </w:rPr>
      </w:pPr>
      <w:r w:rsidRPr="00CF58E6">
        <w:rPr>
          <w:rFonts w:eastAsia="Times New Roman" w:cs="Times New Roman"/>
          <w:u w:val="single"/>
        </w:rPr>
        <w:t>Additional Activities</w:t>
      </w:r>
      <w:r w:rsidRPr="00310FD7">
        <w:rPr>
          <w:rFonts w:eastAsia="Times New Roman" w:cs="Times New Roman"/>
        </w:rPr>
        <w:t xml:space="preserve"> - The Agency develops various supporting documents associated with the reporting tool and makes them available on the Internet. In addition, the Agency provides the TSCA Hotline with standardized responses for frequently asked questions; prepar</w:t>
      </w:r>
      <w:r w:rsidR="00BB2CF5" w:rsidRPr="00310FD7">
        <w:rPr>
          <w:rFonts w:eastAsia="Times New Roman" w:cs="Times New Roman"/>
        </w:rPr>
        <w:t>es</w:t>
      </w:r>
      <w:r w:rsidRPr="00CF58E6">
        <w:rPr>
          <w:rFonts w:eastAsia="Times New Roman" w:cs="Times New Roman"/>
        </w:rPr>
        <w:t xml:space="preserve"> maili</w:t>
      </w:r>
      <w:r w:rsidRPr="00310FD7">
        <w:rPr>
          <w:rFonts w:eastAsia="Times New Roman" w:cs="Times New Roman"/>
        </w:rPr>
        <w:t>ngs, mailing lists, and labels; and develops outgoing information materials.</w:t>
      </w:r>
    </w:p>
    <w:p w14:paraId="734C7F54" w14:textId="77777777" w:rsidR="0042516E" w:rsidRPr="009533EA" w:rsidRDefault="0042516E" w:rsidP="0042516E">
      <w:pPr>
        <w:pStyle w:val="Heading2"/>
        <w:tabs>
          <w:tab w:val="clear" w:pos="720"/>
          <w:tab w:val="num" w:pos="1080"/>
        </w:tabs>
        <w:ind w:left="1080" w:hanging="360"/>
      </w:pPr>
      <w:r w:rsidRPr="009533EA">
        <w:t>Small Entity Flexibility</w:t>
      </w:r>
    </w:p>
    <w:p w14:paraId="58BDBFF0" w14:textId="3C24FE9D" w:rsidR="0042516E" w:rsidRPr="00CE48BA" w:rsidRDefault="0042516E" w:rsidP="0042516E">
      <w:pPr>
        <w:pStyle w:val="BodyText"/>
      </w:pPr>
      <w:r w:rsidRPr="00C91AA1">
        <w:t xml:space="preserve">EPA is proposing </w:t>
      </w:r>
      <w:r w:rsidR="00483062">
        <w:t xml:space="preserve">an update </w:t>
      </w:r>
      <w:r w:rsidRPr="00C91AA1">
        <w:t xml:space="preserve">to the TSCA section 8(a) small manufacturer </w:t>
      </w:r>
      <w:r w:rsidR="00483062">
        <w:t>definition</w:t>
      </w:r>
      <w:r w:rsidRPr="00C91AA1">
        <w:t xml:space="preserve">, as required, based on the determination made on November 30, 2017 (82 FR 56824). The proposed </w:t>
      </w:r>
      <w:r w:rsidR="00483062">
        <w:t xml:space="preserve">definition </w:t>
      </w:r>
      <w:r w:rsidRPr="00C91AA1">
        <w:t>appl</w:t>
      </w:r>
      <w:r w:rsidR="00483062">
        <w:t>ies</w:t>
      </w:r>
      <w:r w:rsidRPr="00C91AA1">
        <w:t xml:space="preserve"> to small manufacturers for TSCA section 8(a) rules, including CDR, unless a different standard is identified in the regulatory text of a particular rule. </w:t>
      </w:r>
      <w:r w:rsidR="004069E8">
        <w:t xml:space="preserve">Small manufacturers (including importers), in accordance with TSCA section 8(a) and 40 CFR </w:t>
      </w:r>
      <w:r w:rsidR="007A6ACC">
        <w:t>s</w:t>
      </w:r>
      <w:r w:rsidR="004069E8">
        <w:t>ections 711.9, are generally exempt and therefore are generally not subject to any of the reporting or recordkeeping requirements.</w:t>
      </w:r>
    </w:p>
    <w:p w14:paraId="7E0A4B01" w14:textId="6431D113" w:rsidR="0042516E" w:rsidRPr="00CE48BA" w:rsidRDefault="0042516E" w:rsidP="0042516E">
      <w:pPr>
        <w:pStyle w:val="BodyText"/>
      </w:pPr>
      <w:r w:rsidRPr="00CE48BA">
        <w:t xml:space="preserve">The proposed </w:t>
      </w:r>
      <w:r>
        <w:t xml:space="preserve">definition for small manufacturers </w:t>
      </w:r>
      <w:r w:rsidRPr="00CE48BA">
        <w:t>update</w:t>
      </w:r>
      <w:r>
        <w:t>s</w:t>
      </w:r>
      <w:r w:rsidRPr="00CE48BA">
        <w:t xml:space="preserve"> the current two</w:t>
      </w:r>
      <w:r w:rsidR="001853DD">
        <w:t>-</w:t>
      </w:r>
      <w:r w:rsidRPr="00CE48BA">
        <w:t xml:space="preserve">standard </w:t>
      </w:r>
      <w:r>
        <w:t xml:space="preserve">definition </w:t>
      </w:r>
      <w:r w:rsidRPr="00CE48BA">
        <w:t xml:space="preserve">at 40 CFR 704.3 by adjusting the sales figure for the first </w:t>
      </w:r>
      <w:r>
        <w:t xml:space="preserve">standard </w:t>
      </w:r>
      <w:r w:rsidRPr="00CE48BA">
        <w:t>from $40 million to $1</w:t>
      </w:r>
      <w:r w:rsidR="0049030A">
        <w:t>1</w:t>
      </w:r>
      <w:r w:rsidRPr="00CE48BA">
        <w:t xml:space="preserve">0 million </w:t>
      </w:r>
      <w:r>
        <w:t xml:space="preserve">(while retaining the same production volume level at 100,000 lb) </w:t>
      </w:r>
      <w:r w:rsidRPr="00CE48BA">
        <w:t xml:space="preserve">and adjusting the sales figure for the second </w:t>
      </w:r>
      <w:r>
        <w:t>standard</w:t>
      </w:r>
      <w:r w:rsidRPr="00CE48BA">
        <w:t xml:space="preserve"> from $4 million to $1</w:t>
      </w:r>
      <w:r w:rsidR="0049030A">
        <w:t>1</w:t>
      </w:r>
      <w:r w:rsidRPr="00CE48BA">
        <w:t xml:space="preserve"> million</w:t>
      </w:r>
      <w:r>
        <w:t xml:space="preserve"> (applies to any production volume)</w:t>
      </w:r>
      <w:r w:rsidRPr="00CE48BA">
        <w:t xml:space="preserve">. </w:t>
      </w:r>
    </w:p>
    <w:p w14:paraId="68B080F3" w14:textId="64060BF3" w:rsidR="0042516E" w:rsidRPr="00C91AA1" w:rsidRDefault="0042516E" w:rsidP="0042516E">
      <w:pPr>
        <w:pStyle w:val="BodyText"/>
      </w:pPr>
      <w:r w:rsidRPr="00CE48BA">
        <w:t>In addition to the</w:t>
      </w:r>
      <w:r>
        <w:t xml:space="preserve"> </w:t>
      </w:r>
      <w:r w:rsidRPr="00CE48BA">
        <w:t xml:space="preserve">proposed </w:t>
      </w:r>
      <w:r>
        <w:t>standards for small manufacturers</w:t>
      </w:r>
      <w:r w:rsidRPr="00CE48BA">
        <w:t xml:space="preserve">, EPA is proposing a size standard for small governments. Currently, there is no small government definition in TSCA </w:t>
      </w:r>
      <w:r w:rsidR="00626547">
        <w:t xml:space="preserve">section </w:t>
      </w:r>
      <w:r w:rsidRPr="00CE48BA">
        <w:t xml:space="preserve">8(a). </w:t>
      </w:r>
      <w:r>
        <w:t>E</w:t>
      </w:r>
      <w:r w:rsidRPr="00CE48BA">
        <w:t xml:space="preserve">PA is proposing </w:t>
      </w:r>
      <w:r>
        <w:t>this</w:t>
      </w:r>
      <w:r w:rsidRPr="00CE48BA">
        <w:t xml:space="preserve"> definition to reduce the reporting burden for governments that</w:t>
      </w:r>
      <w:r>
        <w:t xml:space="preserve"> would be considered manufacturers under TSCA and</w:t>
      </w:r>
      <w:r w:rsidRPr="00CE48BA">
        <w:t xml:space="preserve"> may lack necessary resources. EPA proposes to use the same definition for small governments as the Regulatory Flexibility Act (5 U.S.C. section 601(5))</w:t>
      </w:r>
      <w:r>
        <w:t>, which is</w:t>
      </w:r>
      <w:r w:rsidRPr="00CE48BA">
        <w:t>: A small governmental jurisdiction is the government of a city, county, town, township, village, school district, or special district with a population of less than 50,000. States and tribal governments are not considered small governments.</w:t>
      </w:r>
    </w:p>
    <w:p w14:paraId="564FDCB1" w14:textId="77777777" w:rsidR="0042516E" w:rsidRPr="009533EA" w:rsidRDefault="0042516E" w:rsidP="0042516E">
      <w:pPr>
        <w:pStyle w:val="Heading2"/>
        <w:tabs>
          <w:tab w:val="clear" w:pos="720"/>
          <w:tab w:val="num" w:pos="1080"/>
        </w:tabs>
        <w:ind w:left="1080" w:hanging="360"/>
      </w:pPr>
      <w:r w:rsidRPr="009533EA">
        <w:t>Collection Schedule</w:t>
      </w:r>
    </w:p>
    <w:p w14:paraId="30D95A91" w14:textId="417F587A" w:rsidR="0042516E" w:rsidRDefault="0042516E" w:rsidP="008C5171">
      <w:pPr>
        <w:pStyle w:val="BodyText"/>
      </w:pPr>
      <w:r>
        <w:t xml:space="preserve">EPA is not proposing to make any changes to the collection schedule. </w:t>
      </w:r>
      <w:r w:rsidRPr="009533EA">
        <w:t>The submission period/schedule follows the requirements of 40 CFR 711.20.</w:t>
      </w:r>
      <w:r>
        <w:t xml:space="preserve"> </w:t>
      </w:r>
      <w:r w:rsidRPr="009533EA">
        <w:t xml:space="preserve">The submission period for the </w:t>
      </w:r>
      <w:r>
        <w:t xml:space="preserve">next </w:t>
      </w:r>
      <w:r w:rsidRPr="009533EA">
        <w:t>collection</w:t>
      </w:r>
      <w:r>
        <w:t xml:space="preserve"> in 2020</w:t>
      </w:r>
      <w:r w:rsidRPr="009533EA">
        <w:t xml:space="preserve"> will be from June 1, 2020 to September 30, 2020.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42516E" w:rsidRPr="009533EA" w14:paraId="06A44618" w14:textId="77777777" w:rsidTr="008C5171">
        <w:trPr>
          <w:tblHeader/>
          <w:jc w:val="center"/>
        </w:trPr>
        <w:tc>
          <w:tcPr>
            <w:tcW w:w="4675" w:type="dxa"/>
            <w:shd w:val="clear" w:color="auto" w:fill="BFBFBF" w:themeFill="background1" w:themeFillShade="BF"/>
            <w:vAlign w:val="center"/>
          </w:tcPr>
          <w:p w14:paraId="1D7442B2" w14:textId="77777777"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b/>
                <w:sz w:val="18"/>
                <w:szCs w:val="18"/>
              </w:rPr>
            </w:pPr>
            <w:r w:rsidRPr="0079117B">
              <w:rPr>
                <w:rFonts w:ascii="Arial Narrow" w:eastAsia="Times New Roman" w:hAnsi="Arial Narrow" w:cs="Times New Roman"/>
                <w:b/>
                <w:sz w:val="18"/>
                <w:szCs w:val="18"/>
              </w:rPr>
              <w:t>Activity</w:t>
            </w:r>
          </w:p>
        </w:tc>
        <w:tc>
          <w:tcPr>
            <w:tcW w:w="4675" w:type="dxa"/>
            <w:shd w:val="clear" w:color="auto" w:fill="BFBFBF" w:themeFill="background1" w:themeFillShade="BF"/>
            <w:vAlign w:val="center"/>
          </w:tcPr>
          <w:p w14:paraId="102F6E39" w14:textId="77777777"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b/>
                <w:sz w:val="18"/>
                <w:szCs w:val="18"/>
              </w:rPr>
            </w:pPr>
            <w:r w:rsidRPr="0079117B">
              <w:rPr>
                <w:rFonts w:ascii="Arial Narrow" w:eastAsia="Times New Roman" w:hAnsi="Arial Narrow" w:cs="Times New Roman"/>
                <w:b/>
                <w:sz w:val="18"/>
                <w:szCs w:val="18"/>
              </w:rPr>
              <w:t>Timeline</w:t>
            </w:r>
          </w:p>
        </w:tc>
      </w:tr>
      <w:tr w:rsidR="0042516E" w:rsidRPr="009533EA" w14:paraId="0B22D8FC" w14:textId="77777777" w:rsidTr="008C5171">
        <w:trPr>
          <w:jc w:val="center"/>
        </w:trPr>
        <w:tc>
          <w:tcPr>
            <w:tcW w:w="4675" w:type="dxa"/>
            <w:vAlign w:val="center"/>
          </w:tcPr>
          <w:p w14:paraId="6721C1D6" w14:textId="77777777"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sz w:val="18"/>
                <w:szCs w:val="18"/>
              </w:rPr>
            </w:pPr>
            <w:r w:rsidRPr="0079117B">
              <w:rPr>
                <w:rFonts w:ascii="Arial Narrow" w:eastAsia="Times New Roman" w:hAnsi="Arial Narrow" w:cs="Times New Roman"/>
                <w:sz w:val="18"/>
                <w:szCs w:val="18"/>
              </w:rPr>
              <w:t>Public outreach efforts: articles in industry press, meetings with regulated community, and information on the CDR website</w:t>
            </w:r>
          </w:p>
        </w:tc>
        <w:tc>
          <w:tcPr>
            <w:tcW w:w="4675" w:type="dxa"/>
            <w:vAlign w:val="center"/>
          </w:tcPr>
          <w:p w14:paraId="151614A6" w14:textId="77777777"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sz w:val="18"/>
                <w:szCs w:val="18"/>
              </w:rPr>
            </w:pPr>
            <w:r w:rsidRPr="0B02F8A5">
              <w:rPr>
                <w:rFonts w:ascii="Arial Narrow" w:eastAsia="Times New Roman" w:hAnsi="Arial Narrow" w:cs="Times New Roman"/>
                <w:sz w:val="18"/>
                <w:szCs w:val="18"/>
              </w:rPr>
              <w:t>2018-2020</w:t>
            </w:r>
          </w:p>
        </w:tc>
      </w:tr>
      <w:tr w:rsidR="0042516E" w:rsidRPr="009533EA" w14:paraId="350CB5C0" w14:textId="77777777" w:rsidTr="008C5171">
        <w:trPr>
          <w:jc w:val="center"/>
        </w:trPr>
        <w:tc>
          <w:tcPr>
            <w:tcW w:w="4675" w:type="dxa"/>
            <w:vAlign w:val="center"/>
          </w:tcPr>
          <w:p w14:paraId="52EAE342" w14:textId="77777777"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sz w:val="18"/>
                <w:szCs w:val="18"/>
              </w:rPr>
            </w:pPr>
            <w:r w:rsidRPr="0079117B">
              <w:rPr>
                <w:rFonts w:ascii="Arial Narrow" w:eastAsia="Times New Roman" w:hAnsi="Arial Narrow" w:cs="Times New Roman"/>
                <w:sz w:val="18"/>
                <w:szCs w:val="18"/>
              </w:rPr>
              <w:t>Email to 2020 CDR e-mailing list and other stakeholders with instructions for obtaining the reporting form and initiating reporting</w:t>
            </w:r>
          </w:p>
        </w:tc>
        <w:tc>
          <w:tcPr>
            <w:tcW w:w="4675" w:type="dxa"/>
            <w:vAlign w:val="center"/>
          </w:tcPr>
          <w:p w14:paraId="181D3F29" w14:textId="77777777"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sz w:val="18"/>
                <w:szCs w:val="18"/>
              </w:rPr>
            </w:pPr>
            <w:r w:rsidRPr="0079117B">
              <w:rPr>
                <w:rFonts w:ascii="Arial Narrow" w:eastAsia="Times New Roman" w:hAnsi="Arial Narrow" w:cs="Times New Roman"/>
                <w:sz w:val="18"/>
                <w:szCs w:val="18"/>
              </w:rPr>
              <w:t>Early 2020</w:t>
            </w:r>
          </w:p>
        </w:tc>
      </w:tr>
      <w:tr w:rsidR="0042516E" w:rsidRPr="009533EA" w14:paraId="3DC09D40" w14:textId="77777777" w:rsidTr="008C5171">
        <w:trPr>
          <w:jc w:val="center"/>
        </w:trPr>
        <w:tc>
          <w:tcPr>
            <w:tcW w:w="4675" w:type="dxa"/>
            <w:vAlign w:val="center"/>
          </w:tcPr>
          <w:p w14:paraId="43A566E2" w14:textId="77777777"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sz w:val="18"/>
                <w:szCs w:val="18"/>
              </w:rPr>
            </w:pPr>
            <w:r w:rsidRPr="0079117B">
              <w:rPr>
                <w:rFonts w:ascii="Arial Narrow" w:eastAsia="Times New Roman" w:hAnsi="Arial Narrow" w:cs="Times New Roman"/>
                <w:sz w:val="18"/>
                <w:szCs w:val="18"/>
              </w:rPr>
              <w:t>Open period for submitting 2020 CDR Forms</w:t>
            </w:r>
          </w:p>
        </w:tc>
        <w:tc>
          <w:tcPr>
            <w:tcW w:w="4675" w:type="dxa"/>
            <w:vAlign w:val="center"/>
          </w:tcPr>
          <w:p w14:paraId="3B68C7AA" w14:textId="7E3A604C" w:rsidR="0042516E" w:rsidRPr="0079117B" w:rsidRDefault="0042516E" w:rsidP="00C86E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Arial Narrow" w:eastAsia="Times New Roman" w:hAnsi="Arial Narrow" w:cs="Times New Roman"/>
                <w:sz w:val="18"/>
                <w:szCs w:val="18"/>
              </w:rPr>
            </w:pPr>
            <w:r w:rsidRPr="0079117B">
              <w:rPr>
                <w:rFonts w:ascii="Arial Narrow" w:eastAsia="Times New Roman" w:hAnsi="Arial Narrow" w:cs="Times New Roman"/>
                <w:sz w:val="18"/>
                <w:szCs w:val="18"/>
              </w:rPr>
              <w:t>June 1, 2020 to September 30, 2020</w:t>
            </w:r>
          </w:p>
        </w:tc>
      </w:tr>
    </w:tbl>
    <w:p w14:paraId="609AA9F3" w14:textId="032D352D" w:rsidR="00BB66C0" w:rsidRDefault="00BB66C0" w:rsidP="00272F4D"/>
    <w:p w14:paraId="785DA436" w14:textId="77777777" w:rsidR="00BB66C0" w:rsidRDefault="00BB66C0" w:rsidP="0DE9765B">
      <w:pPr>
        <w:spacing w:after="200" w:line="276" w:lineRule="auto"/>
      </w:pPr>
      <w:r>
        <w:br w:type="page"/>
      </w:r>
    </w:p>
    <w:p w14:paraId="2876B628" w14:textId="77777777" w:rsidR="00F06BA6" w:rsidRDefault="00F06BA6" w:rsidP="008E2B99">
      <w:pPr>
        <w:pStyle w:val="Heading1"/>
        <w:spacing w:before="0"/>
      </w:pPr>
      <w:bookmarkStart w:id="13" w:name="_Toc349627712"/>
      <w:bookmarkStart w:id="14" w:name="_Toc228172335"/>
      <w:bookmarkStart w:id="15" w:name="_Toc228260595"/>
      <w:bookmarkStart w:id="16" w:name="_Toc228263074"/>
      <w:bookmarkStart w:id="17" w:name="_Toc228172336"/>
      <w:bookmarkStart w:id="18" w:name="_Toc228260596"/>
      <w:bookmarkStart w:id="19" w:name="_Toc228263075"/>
      <w:bookmarkStart w:id="20" w:name="_Toc228172337"/>
      <w:bookmarkStart w:id="21" w:name="_Toc228260597"/>
      <w:bookmarkStart w:id="22" w:name="_Toc228263076"/>
      <w:bookmarkStart w:id="23" w:name="_Toc228172338"/>
      <w:bookmarkStart w:id="24" w:name="_Toc228260598"/>
      <w:bookmarkStart w:id="25" w:name="_Toc228262940"/>
      <w:bookmarkStart w:id="26" w:name="_Toc228263077"/>
      <w:bookmarkStart w:id="27" w:name="_Toc228172369"/>
      <w:bookmarkStart w:id="28" w:name="_Toc228260629"/>
      <w:bookmarkStart w:id="29" w:name="_Toc228263108"/>
      <w:bookmarkStart w:id="30" w:name="_Toc228172370"/>
      <w:bookmarkStart w:id="31" w:name="_Toc228260630"/>
      <w:bookmarkStart w:id="32" w:name="_Toc228262941"/>
      <w:bookmarkStart w:id="33" w:name="_Toc228263109"/>
      <w:bookmarkStart w:id="34" w:name="_Toc227753274"/>
      <w:bookmarkStart w:id="35" w:name="_Toc228260662"/>
      <w:bookmarkStart w:id="36" w:name="_Toc227753283"/>
      <w:bookmarkStart w:id="37" w:name="_Toc226377707"/>
      <w:bookmarkStart w:id="38" w:name="_Toc226377976"/>
      <w:bookmarkStart w:id="39" w:name="_Toc226378247"/>
      <w:bookmarkStart w:id="40" w:name="_Toc226463310"/>
      <w:bookmarkStart w:id="41" w:name="_Toc226377708"/>
      <w:bookmarkStart w:id="42" w:name="_Toc226377977"/>
      <w:bookmarkStart w:id="43" w:name="_Toc226378248"/>
      <w:bookmarkStart w:id="44" w:name="_Toc226463311"/>
      <w:bookmarkStart w:id="45" w:name="_Toc226377709"/>
      <w:bookmarkStart w:id="46" w:name="_Toc226377978"/>
      <w:bookmarkStart w:id="47" w:name="_Toc226378249"/>
      <w:bookmarkStart w:id="48" w:name="_Toc226463312"/>
      <w:bookmarkStart w:id="49" w:name="_Toc226377721"/>
      <w:bookmarkStart w:id="50" w:name="_Toc226377990"/>
      <w:bookmarkStart w:id="51" w:name="_Toc226378261"/>
      <w:bookmarkStart w:id="52" w:name="_Toc226463324"/>
      <w:bookmarkStart w:id="53" w:name="_Toc226377728"/>
      <w:bookmarkStart w:id="54" w:name="_Toc226377997"/>
      <w:bookmarkStart w:id="55" w:name="_Toc226378268"/>
      <w:bookmarkStart w:id="56" w:name="_Toc226463331"/>
      <w:bookmarkStart w:id="57" w:name="_Toc226377735"/>
      <w:bookmarkStart w:id="58" w:name="_Toc226378004"/>
      <w:bookmarkStart w:id="59" w:name="_Toc226378275"/>
      <w:bookmarkStart w:id="60" w:name="_Toc226463338"/>
      <w:bookmarkStart w:id="61" w:name="_Toc229558244"/>
      <w:bookmarkStart w:id="62" w:name="_Toc229558245"/>
      <w:bookmarkStart w:id="63" w:name="_Hlk499111095"/>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t xml:space="preserve">ESTIMATING THE BURDEN AND COST OF THE COLLECTION </w:t>
      </w:r>
    </w:p>
    <w:p w14:paraId="6D36DF11" w14:textId="77998D2D" w:rsidR="00F06BA6" w:rsidRDefault="00F06BA6" w:rsidP="000F6439">
      <w:pPr>
        <w:pStyle w:val="BodyText"/>
      </w:pPr>
      <w:r w:rsidRPr="002C148D">
        <w:t xml:space="preserve">This section presents the burden and cost estimates </w:t>
      </w:r>
      <w:r>
        <w:t>for industry</w:t>
      </w:r>
      <w:r w:rsidR="00863296">
        <w:t>, affected government entities,</w:t>
      </w:r>
      <w:r>
        <w:t xml:space="preserve"> and the Agency. Respondents submit </w:t>
      </w:r>
      <w:r w:rsidR="00C67E88">
        <w:t xml:space="preserve">a </w:t>
      </w:r>
      <w:r>
        <w:t>CDR Form U in accord</w:t>
      </w:r>
      <w:r w:rsidR="00170E58">
        <w:t>ance</w:t>
      </w:r>
      <w:r>
        <w:t xml:space="preserve"> with a four-year reporting cycle</w:t>
      </w:r>
      <w:r w:rsidR="00D37965">
        <w:t xml:space="preserve">. </w:t>
      </w:r>
      <w:r w:rsidRPr="002C148D">
        <w:t xml:space="preserve">The </w:t>
      </w:r>
      <w:r>
        <w:t>Form U r</w:t>
      </w:r>
      <w:r w:rsidRPr="002C148D">
        <w:t xml:space="preserve">equires reporting on a “per site” basis </w:t>
      </w:r>
      <w:r>
        <w:t xml:space="preserve">for each of the reportable chemicals at that site. </w:t>
      </w:r>
      <w:r w:rsidRPr="002C148D">
        <w:t xml:space="preserve">Therefore, each site </w:t>
      </w:r>
      <w:r>
        <w:t xml:space="preserve">subject to </w:t>
      </w:r>
      <w:r w:rsidRPr="002C148D">
        <w:t xml:space="preserve">CDR </w:t>
      </w:r>
      <w:r>
        <w:t>requirements</w:t>
      </w:r>
      <w:r w:rsidRPr="002C148D">
        <w:t xml:space="preserve"> is considered a respondent </w:t>
      </w:r>
      <w:r>
        <w:t>that</w:t>
      </w:r>
      <w:r w:rsidRPr="002C148D">
        <w:t xml:space="preserve"> will submit one Form U </w:t>
      </w:r>
      <w:r>
        <w:t xml:space="preserve">(response) </w:t>
      </w:r>
      <w:r w:rsidRPr="002C148D">
        <w:t xml:space="preserve">containing one or more chemical reports. Respondents are comprised of both </w:t>
      </w:r>
      <w:r>
        <w:t xml:space="preserve">new </w:t>
      </w:r>
      <w:r w:rsidR="00540733">
        <w:t>reporters</w:t>
      </w:r>
      <w:r w:rsidRPr="002C148D">
        <w:t xml:space="preserve"> and </w:t>
      </w:r>
      <w:r>
        <w:t xml:space="preserve">experienced </w:t>
      </w:r>
      <w:r w:rsidR="00540733">
        <w:t>reporters</w:t>
      </w:r>
      <w:r w:rsidRPr="002C148D">
        <w:t xml:space="preserve"> who have </w:t>
      </w:r>
      <w:r>
        <w:t>responded in</w:t>
      </w:r>
      <w:r w:rsidRPr="002C148D">
        <w:t xml:space="preserve"> previous CDR</w:t>
      </w:r>
      <w:r>
        <w:t>/</w:t>
      </w:r>
      <w:r w:rsidRPr="002C148D">
        <w:t xml:space="preserve">IUR reporting cycles. </w:t>
      </w:r>
      <w:r>
        <w:t xml:space="preserve">Estimates </w:t>
      </w:r>
      <w:r w:rsidR="00F12D3A">
        <w:t xml:space="preserve">of </w:t>
      </w:r>
      <w:r w:rsidR="00F12D3A" w:rsidRPr="00A21CA1">
        <w:rPr>
          <w:color w:val="000000" w:themeColor="text1"/>
        </w:rPr>
        <w:t xml:space="preserve">the </w:t>
      </w:r>
      <w:r w:rsidR="00371141" w:rsidRPr="00A21CA1">
        <w:rPr>
          <w:color w:val="000000" w:themeColor="text1"/>
        </w:rPr>
        <w:t>future cycl</w:t>
      </w:r>
      <w:r w:rsidR="003C70E8" w:rsidRPr="00A21CA1">
        <w:rPr>
          <w:color w:val="000000" w:themeColor="text1"/>
        </w:rPr>
        <w:t>e</w:t>
      </w:r>
      <w:r w:rsidR="00E00FA7" w:rsidRPr="00A21CA1">
        <w:rPr>
          <w:color w:val="000000" w:themeColor="text1"/>
        </w:rPr>
        <w:t xml:space="preserve"> </w:t>
      </w:r>
      <w:r w:rsidR="00F12D3A" w:rsidRPr="00A21CA1">
        <w:rPr>
          <w:color w:val="000000" w:themeColor="text1"/>
        </w:rPr>
        <w:t xml:space="preserve">incremental </w:t>
      </w:r>
      <w:r w:rsidR="00F12D3A">
        <w:t xml:space="preserve">change in </w:t>
      </w:r>
      <w:r w:rsidR="00F12D3A" w:rsidRPr="00C9573B">
        <w:t xml:space="preserve">burden and cost </w:t>
      </w:r>
      <w:r w:rsidR="00F12D3A">
        <w:t xml:space="preserve">created by the proposed rule </w:t>
      </w:r>
      <w:r>
        <w:t>cover the three-year ICR renewal period (provided also on an annual basis) and are presented</w:t>
      </w:r>
      <w:r w:rsidR="00BA3CB1">
        <w:t xml:space="preserve"> herein</w:t>
      </w:r>
      <w:r>
        <w:t xml:space="preserve"> in 201</w:t>
      </w:r>
      <w:r w:rsidR="00540733">
        <w:t>7</w:t>
      </w:r>
      <w:r>
        <w:t xml:space="preserve"> dollars.</w:t>
      </w:r>
      <w:r w:rsidR="003C2E59">
        <w:t xml:space="preserve"> </w:t>
      </w:r>
    </w:p>
    <w:p w14:paraId="6D187467" w14:textId="77777777" w:rsidR="00F06BA6" w:rsidRPr="007A59A5" w:rsidRDefault="00F06BA6" w:rsidP="000D2D6D">
      <w:pPr>
        <w:pStyle w:val="Heading2"/>
      </w:pPr>
      <w:r w:rsidRPr="007A59A5">
        <w:t xml:space="preserve">Estimating </w:t>
      </w:r>
      <w:r>
        <w:t>Respondent</w:t>
      </w:r>
      <w:r w:rsidRPr="007A59A5">
        <w:t xml:space="preserve"> Burden</w:t>
      </w:r>
    </w:p>
    <w:bookmarkEnd w:id="63"/>
    <w:p w14:paraId="5DF24F4E" w14:textId="4F1BA0F9" w:rsidR="00B8298D" w:rsidRDefault="00B8298D" w:rsidP="00B8298D">
      <w:pPr>
        <w:pStyle w:val="BodyText"/>
      </w:pPr>
      <w:r>
        <w:t>For the 2020 reporting cycle (as previously in the 2016 reporting cycle), manufacturers (including importers), must submit a Form U for each site at which 25,000 pounds or more (or 2,500 pounds or more, if applicable</w:t>
      </w:r>
      <w:r>
        <w:rPr>
          <w:rStyle w:val="FootnoteReference"/>
        </w:rPr>
        <w:footnoteReference w:id="4"/>
      </w:r>
      <w:r w:rsidR="00053956">
        <w:t>)</w:t>
      </w:r>
      <w:r>
        <w:t xml:space="preserve"> was manufactured (including imported) for a chemical substance </w:t>
      </w:r>
      <w:r w:rsidRPr="007924E4">
        <w:t xml:space="preserve">in </w:t>
      </w:r>
      <w:r w:rsidRPr="0B02F8A5">
        <w:rPr>
          <w:i/>
          <w:iCs/>
        </w:rPr>
        <w:t xml:space="preserve">any </w:t>
      </w:r>
      <w:r>
        <w:t xml:space="preserve">calendar year in the principal reporting year and the previous three years. Estimates are presented according to the full reporting </w:t>
      </w:r>
      <w:r w:rsidRPr="00404204">
        <w:t>cycle first (</w:t>
      </w:r>
      <w:r>
        <w:fldChar w:fldCharType="begin"/>
      </w:r>
      <w:r>
        <w:instrText xml:space="preserve"> REF _Ref526344275 \h </w:instrText>
      </w:r>
      <w:r>
        <w:fldChar w:fldCharType="separate"/>
      </w:r>
      <w:r w:rsidR="00745E52" w:rsidRPr="0003569C">
        <w:t xml:space="preserve">Table </w:t>
      </w:r>
      <w:r w:rsidR="00745E52">
        <w:rPr>
          <w:noProof/>
        </w:rPr>
        <w:t>3</w:t>
      </w:r>
      <w:r>
        <w:fldChar w:fldCharType="end"/>
      </w:r>
      <w:r>
        <w:t xml:space="preserve"> through </w:t>
      </w:r>
      <w:r>
        <w:fldChar w:fldCharType="begin"/>
      </w:r>
      <w:r>
        <w:instrText xml:space="preserve"> REF _Ref526352568 \h </w:instrText>
      </w:r>
      <w:r>
        <w:fldChar w:fldCharType="separate"/>
      </w:r>
      <w:r w:rsidR="00745E52">
        <w:t xml:space="preserve">Table </w:t>
      </w:r>
      <w:r w:rsidR="00745E52">
        <w:rPr>
          <w:noProof/>
        </w:rPr>
        <w:t>14</w:t>
      </w:r>
      <w:r>
        <w:fldChar w:fldCharType="end"/>
      </w:r>
      <w:r w:rsidRPr="00404204">
        <w:t xml:space="preserve">) and then converted to a basis </w:t>
      </w:r>
      <w:r w:rsidR="00053956">
        <w:t xml:space="preserve">used </w:t>
      </w:r>
      <w:r w:rsidRPr="00404204">
        <w:t>for the ICR period (</w:t>
      </w:r>
      <w:r>
        <w:fldChar w:fldCharType="begin"/>
      </w:r>
      <w:r>
        <w:instrText xml:space="preserve"> REF _Ref526352582 \h </w:instrText>
      </w:r>
      <w:r>
        <w:fldChar w:fldCharType="separate"/>
      </w:r>
      <w:r w:rsidR="00745E52">
        <w:t xml:space="preserve">Table </w:t>
      </w:r>
      <w:r w:rsidR="00745E52">
        <w:rPr>
          <w:noProof/>
        </w:rPr>
        <w:t>15</w:t>
      </w:r>
      <w:r>
        <w:fldChar w:fldCharType="end"/>
      </w:r>
      <w:r w:rsidRPr="00404204">
        <w:t>).</w:t>
      </w:r>
      <w:r>
        <w:rPr>
          <w:rStyle w:val="FootnoteReference"/>
        </w:rPr>
        <w:footnoteReference w:id="5"/>
      </w:r>
      <w:r w:rsidRPr="00404204">
        <w:t xml:space="preserve"> Burden</w:t>
      </w:r>
      <w:r>
        <w:t xml:space="preserve"> estimates are derived consistent with estimates described in the ICR renewal </w:t>
      </w:r>
      <w:bookmarkStart w:id="64" w:name="_Hlk527374851"/>
      <w:r>
        <w:t xml:space="preserve">(EPA, </w:t>
      </w:r>
      <w:r w:rsidR="00FF0FB5">
        <w:t>2018b</w:t>
      </w:r>
      <w:r w:rsidRPr="004F1853">
        <w:t xml:space="preserve">) and the </w:t>
      </w:r>
      <w:r>
        <w:t xml:space="preserve">two Economic Analyses for the rule: </w:t>
      </w:r>
      <w:r w:rsidRPr="004F1853">
        <w:t>CDR Revisions EA (</w:t>
      </w:r>
      <w:r w:rsidR="00FF0FB5">
        <w:t>EPA, 2019a</w:t>
      </w:r>
      <w:r w:rsidRPr="004F1853">
        <w:t>)</w:t>
      </w:r>
      <w:r>
        <w:t xml:space="preserve"> and TSCA </w:t>
      </w:r>
      <w:r w:rsidR="007A6ACC">
        <w:t>s</w:t>
      </w:r>
      <w:r>
        <w:t xml:space="preserve">ection </w:t>
      </w:r>
      <w:bookmarkEnd w:id="64"/>
      <w:r>
        <w:t xml:space="preserve">8(a) SMD Update EA (EPA, </w:t>
      </w:r>
      <w:r w:rsidR="00FF0FB5">
        <w:t>2019b</w:t>
      </w:r>
      <w:r>
        <w:t>)</w:t>
      </w:r>
      <w:r w:rsidRPr="004F1853">
        <w:t>.</w:t>
      </w:r>
      <w:r>
        <w:rPr>
          <w:rStyle w:val="FootnoteReference"/>
        </w:rPr>
        <w:footnoteReference w:id="6"/>
      </w:r>
    </w:p>
    <w:p w14:paraId="33D95CDF" w14:textId="70C031AF" w:rsidR="00B8298D" w:rsidRDefault="00B8298D" w:rsidP="00B8298D">
      <w:pPr>
        <w:pStyle w:val="BodyText"/>
      </w:pPr>
      <w:r>
        <w:t>The</w:t>
      </w:r>
      <w:r w:rsidRPr="00423205">
        <w:t xml:space="preserve"> CDR Revisions </w:t>
      </w:r>
      <w:r>
        <w:t xml:space="preserve">Rule includes three types of changes: (1) </w:t>
      </w:r>
      <w:r w:rsidRPr="00423205">
        <w:t>changes to content in the CDR Reporting Form U</w:t>
      </w:r>
      <w:r>
        <w:t xml:space="preserve"> which a</w:t>
      </w:r>
      <w:r w:rsidRPr="00423205">
        <w:t>ffect all reporters who will file a Form U in the 2020 CDR and future CDRs</w:t>
      </w:r>
      <w:r>
        <w:t>, (2)</w:t>
      </w:r>
      <w:r w:rsidRPr="00423205">
        <w:t xml:space="preserve"> changes </w:t>
      </w:r>
      <w:r>
        <w:t>that</w:t>
      </w:r>
      <w:r w:rsidRPr="00423205">
        <w:t xml:space="preserve"> involve removal of reporting requirements for a portion of chemicals</w:t>
      </w:r>
      <w:r w:rsidR="00053956">
        <w:t xml:space="preserve"> at a site</w:t>
      </w:r>
      <w:r>
        <w:t>, and</w:t>
      </w:r>
      <w:r w:rsidRPr="00423205">
        <w:t xml:space="preserve"> (3)</w:t>
      </w:r>
      <w:r>
        <w:t xml:space="preserve"> </w:t>
      </w:r>
      <w:r w:rsidRPr="00423205">
        <w:t xml:space="preserve">changes </w:t>
      </w:r>
      <w:r>
        <w:t>that</w:t>
      </w:r>
      <w:r w:rsidRPr="00423205">
        <w:t xml:space="preserve"> involve removal of reporting requirements for an entire site. </w:t>
      </w:r>
      <w:r>
        <w:t xml:space="preserve"> The CDR Revisions EA includes all three types of changes while the TSCA </w:t>
      </w:r>
      <w:r w:rsidR="007A6ACC">
        <w:t>s</w:t>
      </w:r>
      <w:r>
        <w:t xml:space="preserve">ection 8(a) SMD EA includes the second and third types of change. See </w:t>
      </w:r>
      <w:r w:rsidR="007A6ACC">
        <w:t>s</w:t>
      </w:r>
      <w:r>
        <w:t>ection 4.1.2 of EPA (201</w:t>
      </w:r>
      <w:r w:rsidR="00FF0FB5">
        <w:t>9a</w:t>
      </w:r>
      <w:r>
        <w:t>) for more details.</w:t>
      </w:r>
    </w:p>
    <w:p w14:paraId="34CCB952" w14:textId="183EFD6A" w:rsidR="00B8298D" w:rsidRDefault="00B8298D" w:rsidP="00B8298D">
      <w:pPr>
        <w:pStyle w:val="BodyText"/>
      </w:pPr>
      <w:r w:rsidRPr="007924E4">
        <w:t>For th</w:t>
      </w:r>
      <w:r>
        <w:t xml:space="preserve">e analysis in this section, the respondent is defined as a </w:t>
      </w:r>
      <w:r w:rsidRPr="007924E4">
        <w:t>manufacturing site</w:t>
      </w:r>
      <w:r>
        <w:t xml:space="preserve"> or a government site. There is one response per respondent, as one Form U per site accommodates multiple chemical reports in the same submission. Incremental activities associated with preparing and submitting a Form U in response to the proposed rule include rule familiarization, compliance determination, and form completion. The proposed rule does not change any recordkeeping requirements</w:t>
      </w:r>
      <w:r w:rsidR="00053956">
        <w:t>,</w:t>
      </w:r>
      <w:r>
        <w:t xml:space="preserve"> and </w:t>
      </w:r>
      <w:r w:rsidR="00053956">
        <w:t>therefore no associated burden</w:t>
      </w:r>
      <w:r w:rsidR="004B4FA8">
        <w:t xml:space="preserve"> and </w:t>
      </w:r>
      <w:r w:rsidR="00053956">
        <w:t xml:space="preserve">cost estimates for this activity are included in this analysis. Last, for those not already registered in CDX, individuals must complete CDX registration, including e-signature. The proposed rule does not change any requirements for CDX activities, and therefore no associated burden/cost estimates for this activity are included in this analysis. </w:t>
      </w:r>
      <w:r>
        <w:t>General descriptions of changes to activities are as follows (see previous section for detailed data element information):</w:t>
      </w:r>
    </w:p>
    <w:p w14:paraId="2CEE3E41" w14:textId="006ED588" w:rsidR="00B8298D" w:rsidRDefault="00B8298D" w:rsidP="00B8298D">
      <w:pPr>
        <w:pStyle w:val="ListBullet"/>
        <w:numPr>
          <w:ilvl w:val="0"/>
          <w:numId w:val="71"/>
        </w:numPr>
        <w:ind w:left="720"/>
      </w:pPr>
      <w:r w:rsidRPr="00D6754F">
        <w:rPr>
          <w:b/>
        </w:rPr>
        <w:t xml:space="preserve">Rule Familiarization increase due to increased regulatory complexity: </w:t>
      </w:r>
      <w:r w:rsidRPr="00D6754F">
        <w:rPr>
          <w:szCs w:val="22"/>
        </w:rPr>
        <w:t>The proposed rule includes modifications and additions to reportable data elements, c</w:t>
      </w:r>
      <w:r>
        <w:t xml:space="preserve">hanges to CBI substantiation requirements, and byproduct provisions that include reporting exemptions </w:t>
      </w:r>
      <w:r w:rsidRPr="00D6754F">
        <w:rPr>
          <w:szCs w:val="22"/>
        </w:rPr>
        <w:t>and optional consolidated category reporting for inorganic byproducts containing certain individual elemental metals and metal compounds. Additionally, t</w:t>
      </w:r>
      <w:r>
        <w:t xml:space="preserve">he proposed rule revises the general TSCA section 8(a) small manufacturer definition. </w:t>
      </w:r>
      <w:r w:rsidR="00053956">
        <w:t>For several of these changes, reporters must familiarize themselves with the new requirements. This activity</w:t>
      </w:r>
      <w:r w:rsidR="00053956" w:rsidRPr="007F67C9">
        <w:t xml:space="preserve"> entails reading the rules, understanding the reporting and administrative requirements, and determining what tasks are required in order to meet reporting requirements. </w:t>
      </w:r>
      <w:r w:rsidRPr="00D6754F">
        <w:rPr>
          <w:szCs w:val="22"/>
        </w:rPr>
        <w:t xml:space="preserve">In </w:t>
      </w:r>
      <w:r w:rsidR="003C70E8">
        <w:rPr>
          <w:szCs w:val="22"/>
        </w:rPr>
        <w:t>future cycles</w:t>
      </w:r>
      <w:r w:rsidRPr="00D6754F">
        <w:rPr>
          <w:szCs w:val="22"/>
        </w:rPr>
        <w:t xml:space="preserve">, only </w:t>
      </w:r>
      <w:r>
        <w:rPr>
          <w:szCs w:val="22"/>
        </w:rPr>
        <w:t xml:space="preserve">new reporters </w:t>
      </w:r>
      <w:r w:rsidRPr="00D6754F">
        <w:rPr>
          <w:szCs w:val="22"/>
        </w:rPr>
        <w:t>will incur incremental increases to rule familiarization</w:t>
      </w:r>
      <w:r>
        <w:rPr>
          <w:szCs w:val="22"/>
        </w:rPr>
        <w:t>.</w:t>
      </w:r>
      <w:r w:rsidRPr="00D6754F">
        <w:rPr>
          <w:szCs w:val="22"/>
        </w:rPr>
        <w:t xml:space="preserve"> </w:t>
      </w:r>
    </w:p>
    <w:p w14:paraId="4AD717AF" w14:textId="1F24C79A" w:rsidR="00B8298D" w:rsidRPr="00261728" w:rsidRDefault="00B8298D" w:rsidP="00B8298D">
      <w:pPr>
        <w:pStyle w:val="ListBullet"/>
        <w:ind w:left="720"/>
      </w:pPr>
      <w:r w:rsidRPr="006C3A0E">
        <w:rPr>
          <w:b/>
        </w:rPr>
        <w:t>Compliance Determination increase due to increased regulatory complexity</w:t>
      </w:r>
      <w:r>
        <w:rPr>
          <w:b/>
        </w:rPr>
        <w:t>:</w:t>
      </w:r>
      <w:r>
        <w:t xml:space="preserve"> The proposed rule adds additional requirements related to compliance determination for reporters. Specifically, for CBI substantiation, reporters will need to determine which questions they must answer. For byproduct manufacturing, reporters must determine whether or not they will be able to take advantage of the </w:t>
      </w:r>
      <w:r w:rsidR="00053956">
        <w:t>exemptions.</w:t>
      </w:r>
      <w:r>
        <w:t xml:space="preserve"> Under the proposed TSCA section 8(a) small manufacturer definition, incremental compliance determination </w:t>
      </w:r>
      <w:r w:rsidR="00053956">
        <w:t xml:space="preserve">is </w:t>
      </w:r>
      <w:r>
        <w:t xml:space="preserve">considered negligible </w:t>
      </w:r>
      <w:r w:rsidR="00053956">
        <w:t xml:space="preserve">for industry reporters </w:t>
      </w:r>
      <w:r>
        <w:t>because the proposed definition retains the same structure as the current definitions with adjustments only to the levels of the two revenue standards. Incremental compliance determination is, however, estimated for government reporters under the TSCA section 8(a) small government definition because there is no existing definition for these entities.</w:t>
      </w:r>
      <w:r w:rsidRPr="002464F4">
        <w:rPr>
          <w:szCs w:val="22"/>
        </w:rPr>
        <w:t xml:space="preserve"> </w:t>
      </w:r>
      <w:r>
        <w:rPr>
          <w:szCs w:val="22"/>
        </w:rPr>
        <w:t xml:space="preserve">Note that, by convention, new reporters and experienced reporters are assumed to incur the same levels of compliance determination. </w:t>
      </w:r>
    </w:p>
    <w:p w14:paraId="38B466C5" w14:textId="77777777" w:rsidR="00B8298D" w:rsidRDefault="00B8298D" w:rsidP="00B8298D">
      <w:pPr>
        <w:pStyle w:val="ListBullet"/>
        <w:spacing w:after="240"/>
        <w:ind w:left="720"/>
      </w:pPr>
      <w:r w:rsidRPr="00B0518F">
        <w:rPr>
          <w:b/>
        </w:rPr>
        <w:t>Form Completion</w:t>
      </w:r>
      <w:r>
        <w:rPr>
          <w:b/>
        </w:rPr>
        <w:t xml:space="preserve">: </w:t>
      </w:r>
      <w:r>
        <w:t>The proposed rule modifies the reportable data elements on Form U and changes CBI substantiation requirements for data elements claimed as confidential.</w:t>
      </w:r>
    </w:p>
    <w:p w14:paraId="7BD7775E" w14:textId="7032CC70" w:rsidR="00B8298D" w:rsidRDefault="00B8298D" w:rsidP="00B8298D">
      <w:pPr>
        <w:pStyle w:val="BodyText"/>
      </w:pPr>
      <w:r w:rsidRPr="00B0518F">
        <w:t xml:space="preserve">Certain provisions in the proposed rule do not alter the activities required </w:t>
      </w:r>
      <w:r>
        <w:t>of</w:t>
      </w:r>
      <w:r w:rsidRPr="00B0518F">
        <w:t xml:space="preserve"> reporters</w:t>
      </w:r>
      <w:r>
        <w:t>. Rather, they affect</w:t>
      </w:r>
      <w:r w:rsidRPr="00B0518F">
        <w:t xml:space="preserve"> whether</w:t>
      </w:r>
      <w:r>
        <w:t>,</w:t>
      </w:r>
      <w:r w:rsidRPr="00B0518F">
        <w:t xml:space="preserve"> and for which chemicals</w:t>
      </w:r>
      <w:r>
        <w:t>,</w:t>
      </w:r>
      <w:r w:rsidRPr="00B0518F">
        <w:t xml:space="preserve"> these sites are required to report. </w:t>
      </w:r>
      <w:r>
        <w:t>The byproduct provisions, consisting of exemptions and optional consolidated category reporting, will result in decreases in sites and chemical reports. Additionally, the proposed modifications to the small manufacturer definition and the proposed</w:t>
      </w:r>
      <w:r w:rsidR="00053956">
        <w:t xml:space="preserve"> new</w:t>
      </w:r>
      <w:r>
        <w:t xml:space="preserve"> small government definition will also result in decreases in sites and chemical reports.</w:t>
      </w:r>
    </w:p>
    <w:p w14:paraId="140B4F41" w14:textId="77777777" w:rsidR="00B8298D" w:rsidRDefault="00B8298D" w:rsidP="00B8298D">
      <w:pPr>
        <w:pStyle w:val="BodyText"/>
      </w:pPr>
      <w:r>
        <w:t>Certain changes are not estimated in this analysis including:</w:t>
      </w:r>
    </w:p>
    <w:p w14:paraId="10EC3F11" w14:textId="75F25F71" w:rsidR="00B8298D" w:rsidRDefault="00B8298D" w:rsidP="00B8298D">
      <w:pPr>
        <w:pStyle w:val="ListBullet"/>
        <w:numPr>
          <w:ilvl w:val="0"/>
          <w:numId w:val="53"/>
        </w:numPr>
        <w:tabs>
          <w:tab w:val="left" w:pos="360"/>
        </w:tabs>
        <w:spacing w:before="100" w:beforeAutospacing="1"/>
      </w:pPr>
      <w:r w:rsidRPr="00081D93">
        <w:rPr>
          <w:b/>
        </w:rPr>
        <w:t>Changes to co-manufacturing and joint submission reporting:</w:t>
      </w:r>
      <w:r>
        <w:t xml:space="preserve"> EPA </w:t>
      </w:r>
      <w:r w:rsidRPr="00737F07">
        <w:t xml:space="preserve">assumes </w:t>
      </w:r>
      <w:r>
        <w:t xml:space="preserve">that the effort for a </w:t>
      </w:r>
      <w:r w:rsidRPr="00737F07">
        <w:t>multi-reporter s</w:t>
      </w:r>
      <w:r>
        <w:t xml:space="preserve">ubmission </w:t>
      </w:r>
      <w:r w:rsidRPr="00737F07">
        <w:t xml:space="preserve">can be approximated as </w:t>
      </w:r>
      <w:r>
        <w:t xml:space="preserve">similar </w:t>
      </w:r>
      <w:r w:rsidRPr="00737F07">
        <w:t>to the effort for a</w:t>
      </w:r>
      <w:r>
        <w:t>n equivalent</w:t>
      </w:r>
      <w:r w:rsidRPr="00737F07">
        <w:t xml:space="preserve"> single-reporter submission.</w:t>
      </w:r>
      <w:r>
        <w:t xml:space="preserve"> Therefore, </w:t>
      </w:r>
      <w:r w:rsidRPr="00C9573B">
        <w:t xml:space="preserve">burden and cost </w:t>
      </w:r>
      <w:r>
        <w:t xml:space="preserve">estimates for changes to implement a new </w:t>
      </w:r>
      <w:r w:rsidR="003C70E8">
        <w:t xml:space="preserve">reporting </w:t>
      </w:r>
      <w:r>
        <w:t>mechanism for co-manufacture</w:t>
      </w:r>
      <w:r w:rsidR="003C70E8">
        <w:t>d chemicals</w:t>
      </w:r>
      <w:r>
        <w:t xml:space="preserve"> and changes to joint reporting in the proposed rule are not developed in this analysis.</w:t>
      </w:r>
    </w:p>
    <w:p w14:paraId="523C2978" w14:textId="208D3068" w:rsidR="00B8298D" w:rsidRDefault="00B8298D" w:rsidP="00874EA2">
      <w:pPr>
        <w:pStyle w:val="ListBullet"/>
        <w:numPr>
          <w:ilvl w:val="0"/>
          <w:numId w:val="53"/>
        </w:numPr>
        <w:tabs>
          <w:tab w:val="left" w:pos="360"/>
        </w:tabs>
        <w:spacing w:before="100" w:beforeAutospacing="1"/>
      </w:pPr>
      <w:r>
        <w:rPr>
          <w:b/>
          <w:bCs/>
        </w:rPr>
        <w:t>Recycled data element:</w:t>
      </w:r>
      <w:r>
        <w:t xml:space="preserve"> Currently, CDR submitters identify whether their reportable chemical substance is </w:t>
      </w:r>
      <w:r w:rsidRPr="4C19FD24">
        <w:rPr>
          <w:i/>
          <w:iCs/>
        </w:rPr>
        <w:t>recycled, remanufactured, reprocessed, reused, or otherwise used for a commercial purpose instead of being disposed of as a waste or included in a waste stream</w:t>
      </w:r>
      <w:r>
        <w:t xml:space="preserve">. EPA is proposing to modify this data element by removing the terms “remanufactured, reprocessed, reused.” </w:t>
      </w:r>
      <w:r w:rsidRPr="004A26F5">
        <w:t xml:space="preserve">EPA does not anticipate a change in burden associated with this change. Therefore, </w:t>
      </w:r>
      <w:r w:rsidRPr="00C9573B">
        <w:t xml:space="preserve">burden and cost </w:t>
      </w:r>
      <w:r w:rsidRPr="004A26F5">
        <w:t>estimates for this change are not developed in this analysis</w:t>
      </w:r>
      <w:r>
        <w:t xml:space="preserve">. </w:t>
      </w:r>
    </w:p>
    <w:p w14:paraId="7C31E34F" w14:textId="2E4201F1" w:rsidR="00B8298D" w:rsidRPr="00874EA2" w:rsidRDefault="00B8298D" w:rsidP="00B8298D">
      <w:pPr>
        <w:pStyle w:val="ListBullet"/>
        <w:numPr>
          <w:ilvl w:val="0"/>
          <w:numId w:val="53"/>
        </w:numPr>
        <w:tabs>
          <w:tab w:val="left" w:pos="360"/>
        </w:tabs>
        <w:spacing w:before="100" w:beforeAutospacing="1" w:after="240"/>
      </w:pPr>
      <w:r w:rsidRPr="0B02F8A5">
        <w:rPr>
          <w:b/>
          <w:bCs/>
        </w:rPr>
        <w:t xml:space="preserve">Changes involving </w:t>
      </w:r>
      <w:r>
        <w:rPr>
          <w:b/>
          <w:bCs/>
        </w:rPr>
        <w:t>updated</w:t>
      </w:r>
      <w:r w:rsidRPr="0B02F8A5">
        <w:rPr>
          <w:b/>
          <w:bCs/>
        </w:rPr>
        <w:t xml:space="preserve"> use codes in Part III:</w:t>
      </w:r>
      <w:r>
        <w:t xml:space="preserve"> For the replacement of the CDR industrial function and commercial/consumer product use codes with codes based on OECD function, product, and article use categories, and the addition of function categories for commercial/consumer products, </w:t>
      </w:r>
      <w:r w:rsidRPr="00C9573B">
        <w:t xml:space="preserve">burden and cost </w:t>
      </w:r>
      <w:r w:rsidR="00053956">
        <w:t xml:space="preserve">impacts </w:t>
      </w:r>
      <w:r>
        <w:t>are not currently estimated, pending the definition of reporter activities and the user interface in</w:t>
      </w:r>
      <w:r w:rsidRPr="0B02F8A5">
        <w:rPr>
          <w:i/>
          <w:iCs/>
        </w:rPr>
        <w:t xml:space="preserve"> </w:t>
      </w:r>
      <w:r>
        <w:t xml:space="preserve">e-CDRweb. Although the </w:t>
      </w:r>
      <w:r w:rsidR="00053956">
        <w:t xml:space="preserve">new system of </w:t>
      </w:r>
      <w:r>
        <w:t xml:space="preserve">codes </w:t>
      </w:r>
      <w:r w:rsidR="00053956">
        <w:t xml:space="preserve">involves </w:t>
      </w:r>
      <w:r>
        <w:t>a more extended set of codes than the current system of codes, the user interface will feature guided data entry, providing narrowed choices to reporters and a minimal amount of effort to provide the information.  Additionally,</w:t>
      </w:r>
      <w:r w:rsidRPr="0B02F8A5">
        <w:rPr>
          <w:b/>
          <w:bCs/>
        </w:rPr>
        <w:t xml:space="preserve"> </w:t>
      </w:r>
      <w:r>
        <w:t xml:space="preserve">reporters will have search options for use in the event that bypassing the guided data entry is more efficient.  </w:t>
      </w:r>
      <w:r w:rsidRPr="00D22680" w:rsidDel="00693CCD">
        <w:rPr>
          <w:bCs/>
        </w:rPr>
        <w:t xml:space="preserve"> </w:t>
      </w:r>
    </w:p>
    <w:p w14:paraId="5956763F" w14:textId="3285E15C" w:rsidR="00B8298D" w:rsidRDefault="00B8298D" w:rsidP="00B8298D">
      <w:pPr>
        <w:pStyle w:val="BodyText"/>
      </w:pPr>
      <w:r w:rsidRPr="00AD1F77">
        <w:fldChar w:fldCharType="begin"/>
      </w:r>
      <w:r w:rsidRPr="00AD1F77">
        <w:instrText xml:space="preserve"> REF _Ref526344275 \h </w:instrText>
      </w:r>
      <w:r w:rsidRPr="008C5171">
        <w:instrText xml:space="preserve"> \* MERGEFORMAT </w:instrText>
      </w:r>
      <w:r w:rsidRPr="00AD1F77">
        <w:fldChar w:fldCharType="separate"/>
      </w:r>
      <w:r w:rsidR="00745E52" w:rsidRPr="0003569C">
        <w:t xml:space="preserve">Table </w:t>
      </w:r>
      <w:r w:rsidR="00745E52">
        <w:rPr>
          <w:noProof/>
        </w:rPr>
        <w:t>3</w:t>
      </w:r>
      <w:r w:rsidRPr="00AD1F77">
        <w:fldChar w:fldCharType="end"/>
      </w:r>
      <w:r w:rsidRPr="00AD1F77">
        <w:t xml:space="preserve"> presents incremental experienced reporter unit burden for respondent activities associated with the proposed rule. Unit burdens in this table reflect changes in </w:t>
      </w:r>
      <w:r w:rsidR="00053956" w:rsidRPr="00AD1F77">
        <w:t>activit</w:t>
      </w:r>
      <w:r w:rsidR="00053956">
        <w:t>ies</w:t>
      </w:r>
      <w:r w:rsidR="00053956" w:rsidRPr="00AD1F77">
        <w:t xml:space="preserve"> </w:t>
      </w:r>
      <w:r w:rsidRPr="00AD1F77">
        <w:t xml:space="preserve">that are applied universally to all reporters. The activity-level unit burden estimates for changes in </w:t>
      </w:r>
      <w:r w:rsidRPr="00AD1F77">
        <w:fldChar w:fldCharType="begin"/>
      </w:r>
      <w:r w:rsidRPr="00AD1F77">
        <w:instrText xml:space="preserve"> REF _Ref526344275 \h </w:instrText>
      </w:r>
      <w:r w:rsidRPr="008C5171">
        <w:instrText xml:space="preserve"> \* MERGEFORMAT </w:instrText>
      </w:r>
      <w:r w:rsidRPr="00AD1F77">
        <w:fldChar w:fldCharType="separate"/>
      </w:r>
      <w:r w:rsidR="00745E52" w:rsidRPr="0003569C">
        <w:t xml:space="preserve">Table </w:t>
      </w:r>
      <w:r w:rsidR="00745E52">
        <w:rPr>
          <w:noProof/>
        </w:rPr>
        <w:t>3</w:t>
      </w:r>
      <w:r w:rsidRPr="00AD1F77">
        <w:fldChar w:fldCharType="end"/>
      </w:r>
      <w:r w:rsidRPr="00AD1F77">
        <w:t xml:space="preserve"> are based on</w:t>
      </w:r>
      <w:r>
        <w:t xml:space="preserve"> estimates on similar activities and</w:t>
      </w:r>
      <w:r w:rsidRPr="00AD1F77">
        <w:t xml:space="preserve"> best professional judgment </w:t>
      </w:r>
      <w:r>
        <w:t>(for more detail, see EPA (</w:t>
      </w:r>
      <w:r w:rsidR="00FF0FB5">
        <w:t>2019a</w:t>
      </w:r>
      <w:r>
        <w:t>))</w:t>
      </w:r>
      <w:r w:rsidRPr="00AD096C">
        <w:t xml:space="preserve">. </w:t>
      </w:r>
    </w:p>
    <w:tbl>
      <w:tblPr>
        <w:tblW w:w="5000" w:type="pct"/>
        <w:jc w:val="center"/>
        <w:tblLayout w:type="fixed"/>
        <w:tblCellMar>
          <w:left w:w="58" w:type="dxa"/>
          <w:right w:w="58" w:type="dxa"/>
        </w:tblCellMar>
        <w:tblLook w:val="04A0" w:firstRow="1" w:lastRow="0" w:firstColumn="1" w:lastColumn="0" w:noHBand="0" w:noVBand="1"/>
      </w:tblPr>
      <w:tblGrid>
        <w:gridCol w:w="3098"/>
        <w:gridCol w:w="912"/>
        <w:gridCol w:w="925"/>
        <w:gridCol w:w="817"/>
        <w:gridCol w:w="739"/>
        <w:gridCol w:w="853"/>
        <w:gridCol w:w="1088"/>
        <w:gridCol w:w="1044"/>
      </w:tblGrid>
      <w:tr w:rsidR="00B8298D" w:rsidRPr="00843804" w14:paraId="452FD9E4" w14:textId="77777777" w:rsidTr="00B8298D">
        <w:trPr>
          <w:tblHeader/>
          <w:jc w:val="center"/>
        </w:trPr>
        <w:tc>
          <w:tcPr>
            <w:tcW w:w="5000" w:type="pct"/>
            <w:gridSpan w:val="8"/>
            <w:tcBorders>
              <w:bottom w:val="single" w:sz="4" w:space="0" w:color="auto"/>
            </w:tcBorders>
            <w:shd w:val="clear" w:color="auto" w:fill="auto"/>
            <w:noWrap/>
            <w:vAlign w:val="bottom"/>
          </w:tcPr>
          <w:p w14:paraId="65032859" w14:textId="6771ED9B" w:rsidR="00B8298D" w:rsidRPr="008C5171" w:rsidRDefault="00B8298D" w:rsidP="00B8298D">
            <w:pPr>
              <w:pStyle w:val="Caption"/>
              <w:keepNext/>
              <w:rPr>
                <w:sz w:val="22"/>
                <w:highlight w:val="yellow"/>
              </w:rPr>
            </w:pPr>
            <w:bookmarkStart w:id="65" w:name="_Ref526344275"/>
            <w:bookmarkStart w:id="66" w:name="_Ref523226490"/>
            <w:bookmarkStart w:id="67" w:name="_Ref520368556"/>
            <w:bookmarkStart w:id="68" w:name="_Toc519866148"/>
            <w:bookmarkStart w:id="69" w:name="_Toc521241608"/>
            <w:bookmarkStart w:id="70" w:name="_Toc521331625"/>
            <w:bookmarkStart w:id="71" w:name="_Toc521468910"/>
            <w:r w:rsidRPr="0003569C">
              <w:t xml:space="preserve">Table </w:t>
            </w:r>
            <w:r w:rsidRPr="0003569C">
              <w:fldChar w:fldCharType="begin"/>
            </w:r>
            <w:r w:rsidRPr="00AD1F77">
              <w:instrText xml:space="preserve"> SEQ Table \* ARABIC </w:instrText>
            </w:r>
            <w:r w:rsidRPr="0003569C">
              <w:fldChar w:fldCharType="separate"/>
            </w:r>
            <w:r w:rsidR="00745E52">
              <w:rPr>
                <w:noProof/>
              </w:rPr>
              <w:t>3</w:t>
            </w:r>
            <w:r w:rsidRPr="0003569C">
              <w:fldChar w:fldCharType="end"/>
            </w:r>
            <w:bookmarkEnd w:id="65"/>
            <w:r w:rsidRPr="0003569C">
              <w:t xml:space="preserve">. </w:t>
            </w:r>
            <w:bookmarkEnd w:id="66"/>
            <w:bookmarkEnd w:id="67"/>
            <w:r w:rsidRPr="0003569C">
              <w:t>Incremental Activity-Level Unit Burden per Four-Year Reporting Cycle, Experienced Reporters</w:t>
            </w:r>
            <w:bookmarkEnd w:id="68"/>
            <w:bookmarkEnd w:id="69"/>
            <w:bookmarkEnd w:id="70"/>
            <w:bookmarkEnd w:id="71"/>
          </w:p>
        </w:tc>
      </w:tr>
      <w:tr w:rsidR="00B8298D" w14:paraId="3BD355E9" w14:textId="77777777" w:rsidTr="00B8298D">
        <w:trPr>
          <w:trHeight w:val="890"/>
          <w:tblHeader/>
          <w:jc w:val="center"/>
        </w:trPr>
        <w:tc>
          <w:tcPr>
            <w:tcW w:w="1635" w:type="pc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57C6C775" w14:textId="77777777" w:rsidR="00B8298D" w:rsidRPr="00794249" w:rsidRDefault="00B8298D" w:rsidP="00B8298D">
            <w:pPr>
              <w:jc w:val="center"/>
              <w:rPr>
                <w:rFonts w:ascii="Arial Narrow" w:hAnsi="Arial Narrow" w:cs="Calibri"/>
                <w:b/>
                <w:bCs/>
                <w:color w:val="000000"/>
                <w:sz w:val="18"/>
                <w:szCs w:val="18"/>
              </w:rPr>
            </w:pPr>
            <w:r w:rsidRPr="00794249">
              <w:rPr>
                <w:rFonts w:ascii="Arial Narrow" w:hAnsi="Arial Narrow" w:cs="Calibri"/>
                <w:b/>
                <w:bCs/>
                <w:color w:val="000000"/>
                <w:sz w:val="18"/>
                <w:szCs w:val="18"/>
              </w:rPr>
              <w:t>Activity</w:t>
            </w:r>
          </w:p>
        </w:tc>
        <w:tc>
          <w:tcPr>
            <w:tcW w:w="481"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FDEC637" w14:textId="77777777" w:rsidR="00B8298D" w:rsidRPr="00794249" w:rsidRDefault="00B8298D" w:rsidP="00B8298D">
            <w:pPr>
              <w:jc w:val="center"/>
              <w:rPr>
                <w:rFonts w:ascii="Arial Narrow" w:hAnsi="Arial Narrow" w:cs="Calibri"/>
                <w:b/>
                <w:bCs/>
                <w:color w:val="000000"/>
                <w:sz w:val="18"/>
                <w:szCs w:val="18"/>
              </w:rPr>
            </w:pPr>
            <w:r w:rsidRPr="00794249">
              <w:rPr>
                <w:rFonts w:ascii="Arial Narrow" w:hAnsi="Arial Narrow" w:cs="Calibri"/>
                <w:b/>
                <w:bCs/>
                <w:color w:val="000000"/>
                <w:sz w:val="18"/>
                <w:szCs w:val="18"/>
              </w:rPr>
              <w:t>Unit of Analysis</w:t>
            </w:r>
          </w:p>
        </w:tc>
        <w:tc>
          <w:tcPr>
            <w:tcW w:w="488"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0672FB5" w14:textId="77777777" w:rsidR="00B8298D" w:rsidRPr="005E2542" w:rsidRDefault="00B8298D" w:rsidP="00B8298D">
            <w:pPr>
              <w:jc w:val="center"/>
              <w:rPr>
                <w:rFonts w:ascii="Arial Narrow" w:hAnsi="Arial Narrow" w:cs="Calibri"/>
                <w:b/>
                <w:bCs/>
                <w:color w:val="000000"/>
                <w:sz w:val="18"/>
                <w:szCs w:val="18"/>
              </w:rPr>
            </w:pPr>
            <w:r w:rsidRPr="005E2542">
              <w:rPr>
                <w:rFonts w:ascii="Arial Narrow" w:hAnsi="Arial Narrow" w:cs="Calibri"/>
                <w:b/>
                <w:bCs/>
                <w:color w:val="000000"/>
                <w:sz w:val="18"/>
                <w:szCs w:val="18"/>
              </w:rPr>
              <w:t>Managerial Burden (hours)</w:t>
            </w:r>
          </w:p>
        </w:tc>
        <w:tc>
          <w:tcPr>
            <w:tcW w:w="431"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19DF2D2" w14:textId="77777777" w:rsidR="00B8298D" w:rsidRPr="005E2542" w:rsidRDefault="00B8298D" w:rsidP="00B8298D">
            <w:pPr>
              <w:jc w:val="center"/>
              <w:rPr>
                <w:rFonts w:ascii="Arial Narrow" w:hAnsi="Arial Narrow" w:cs="Calibri"/>
                <w:b/>
                <w:bCs/>
                <w:color w:val="000000"/>
                <w:sz w:val="18"/>
                <w:szCs w:val="18"/>
              </w:rPr>
            </w:pPr>
            <w:r w:rsidRPr="005E2542">
              <w:rPr>
                <w:rFonts w:ascii="Arial Narrow" w:hAnsi="Arial Narrow" w:cs="Calibri"/>
                <w:b/>
                <w:bCs/>
                <w:color w:val="000000"/>
                <w:sz w:val="18"/>
                <w:szCs w:val="18"/>
              </w:rPr>
              <w:t>Technical Burden (hours)</w:t>
            </w:r>
          </w:p>
        </w:tc>
        <w:tc>
          <w:tcPr>
            <w:tcW w:w="390"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3792162" w14:textId="77777777" w:rsidR="00B8298D" w:rsidRPr="005E2542" w:rsidRDefault="00B8298D" w:rsidP="00B8298D">
            <w:pPr>
              <w:jc w:val="center"/>
              <w:rPr>
                <w:rFonts w:ascii="Arial Narrow" w:hAnsi="Arial Narrow" w:cs="Calibri"/>
                <w:b/>
                <w:bCs/>
                <w:color w:val="000000"/>
                <w:sz w:val="18"/>
                <w:szCs w:val="18"/>
              </w:rPr>
            </w:pPr>
            <w:r w:rsidRPr="005E2542">
              <w:rPr>
                <w:rFonts w:ascii="Arial Narrow" w:hAnsi="Arial Narrow" w:cs="Calibri"/>
                <w:b/>
                <w:bCs/>
                <w:color w:val="000000"/>
                <w:sz w:val="18"/>
                <w:szCs w:val="18"/>
              </w:rPr>
              <w:t>Clerical Burden (hours)</w:t>
            </w:r>
          </w:p>
        </w:tc>
        <w:tc>
          <w:tcPr>
            <w:tcW w:w="450"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9025DD5" w14:textId="77777777" w:rsidR="00B8298D" w:rsidRPr="005E2542" w:rsidRDefault="00B8298D" w:rsidP="00B8298D">
            <w:pPr>
              <w:jc w:val="center"/>
              <w:rPr>
                <w:rFonts w:ascii="Arial Narrow" w:hAnsi="Arial Narrow" w:cs="Calibri"/>
                <w:b/>
                <w:bCs/>
                <w:color w:val="000000"/>
                <w:sz w:val="18"/>
                <w:szCs w:val="18"/>
              </w:rPr>
            </w:pPr>
            <w:r w:rsidRPr="005E2542">
              <w:rPr>
                <w:rFonts w:ascii="Arial Narrow" w:hAnsi="Arial Narrow" w:cs="Calibri"/>
                <w:b/>
                <w:bCs/>
                <w:color w:val="000000"/>
                <w:sz w:val="18"/>
                <w:szCs w:val="18"/>
              </w:rPr>
              <w:t>Activity-Level Unit Burden (hours)</w:t>
            </w:r>
          </w:p>
        </w:tc>
        <w:tc>
          <w:tcPr>
            <w:tcW w:w="574"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AD674D1" w14:textId="77777777" w:rsidR="00B8298D" w:rsidRPr="00794249" w:rsidRDefault="00B8298D" w:rsidP="00B8298D">
            <w:pPr>
              <w:jc w:val="center"/>
              <w:rPr>
                <w:rFonts w:ascii="Arial Narrow" w:hAnsi="Arial Narrow" w:cs="Calibri"/>
                <w:b/>
                <w:bCs/>
                <w:color w:val="000000"/>
                <w:sz w:val="18"/>
                <w:szCs w:val="18"/>
              </w:rPr>
            </w:pPr>
            <w:r w:rsidRPr="005E2542">
              <w:rPr>
                <w:rFonts w:ascii="Arial Narrow" w:hAnsi="Arial Narrow" w:cs="Calibri"/>
                <w:b/>
                <w:bCs/>
                <w:color w:val="000000"/>
                <w:sz w:val="18"/>
                <w:szCs w:val="18"/>
              </w:rPr>
              <w:t>Proportion of Affected Sites/</w:t>
            </w:r>
            <w:r>
              <w:rPr>
                <w:rFonts w:ascii="Arial Narrow" w:hAnsi="Arial Narrow" w:cs="Calibri"/>
                <w:b/>
                <w:bCs/>
                <w:color w:val="000000"/>
                <w:sz w:val="18"/>
                <w:szCs w:val="18"/>
              </w:rPr>
              <w:br/>
            </w:r>
            <w:r w:rsidRPr="00794249">
              <w:rPr>
                <w:rFonts w:ascii="Arial Narrow" w:hAnsi="Arial Narrow" w:cs="Calibri"/>
                <w:b/>
                <w:bCs/>
                <w:color w:val="000000"/>
                <w:sz w:val="18"/>
                <w:szCs w:val="18"/>
              </w:rPr>
              <w:t>Chemical Reports</w:t>
            </w:r>
          </w:p>
        </w:tc>
        <w:tc>
          <w:tcPr>
            <w:tcW w:w="551" w:type="pct"/>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04C57DB" w14:textId="25D27670" w:rsidR="00B8298D" w:rsidRPr="00794249" w:rsidRDefault="00B8298D" w:rsidP="00B8298D">
            <w:pPr>
              <w:jc w:val="center"/>
              <w:rPr>
                <w:rFonts w:ascii="Arial Narrow" w:hAnsi="Arial Narrow" w:cs="Calibri"/>
                <w:b/>
                <w:bCs/>
                <w:color w:val="000000"/>
                <w:sz w:val="18"/>
                <w:szCs w:val="18"/>
              </w:rPr>
            </w:pPr>
            <w:r w:rsidRPr="00794249">
              <w:rPr>
                <w:rFonts w:ascii="Arial Narrow" w:hAnsi="Arial Narrow" w:cs="Calibri"/>
                <w:b/>
                <w:bCs/>
                <w:color w:val="000000"/>
                <w:sz w:val="18"/>
                <w:szCs w:val="18"/>
              </w:rPr>
              <w:t>Adjusted Unit Burden per Site/</w:t>
            </w:r>
            <w:r>
              <w:rPr>
                <w:rFonts w:ascii="Arial Narrow" w:hAnsi="Arial Narrow" w:cs="Calibri"/>
                <w:b/>
                <w:bCs/>
                <w:color w:val="000000"/>
                <w:sz w:val="18"/>
                <w:szCs w:val="18"/>
              </w:rPr>
              <w:br/>
            </w:r>
            <w:r w:rsidRPr="00794249">
              <w:rPr>
                <w:rFonts w:ascii="Arial Narrow" w:hAnsi="Arial Narrow" w:cs="Calibri"/>
                <w:b/>
                <w:bCs/>
                <w:color w:val="000000"/>
                <w:sz w:val="18"/>
                <w:szCs w:val="18"/>
              </w:rPr>
              <w:t>Chemical Report</w:t>
            </w:r>
            <w:r w:rsidR="00053956">
              <w:rPr>
                <w:rFonts w:ascii="Arial Narrow" w:hAnsi="Arial Narrow" w:cs="Calibri"/>
                <w:b/>
                <w:bCs/>
                <w:color w:val="000000"/>
                <w:sz w:val="18"/>
                <w:szCs w:val="18"/>
              </w:rPr>
              <w:t xml:space="preserve"> (hours)</w:t>
            </w:r>
          </w:p>
        </w:tc>
      </w:tr>
      <w:tr w:rsidR="00B8298D" w14:paraId="56D0A964" w14:textId="77777777" w:rsidTr="00B8298D">
        <w:tblPrEx>
          <w:tblCellMar>
            <w:left w:w="108" w:type="dxa"/>
            <w:right w:w="108" w:type="dxa"/>
          </w:tblCellMar>
        </w:tblPrEx>
        <w:trPr>
          <w:trHeight w:val="144"/>
          <w:jc w:val="center"/>
        </w:trPr>
        <w:tc>
          <w:tcPr>
            <w:tcW w:w="1635" w:type="pct"/>
            <w:tcBorders>
              <w:top w:val="single" w:sz="4" w:space="0" w:color="auto"/>
              <w:left w:val="single" w:sz="4" w:space="0" w:color="auto"/>
              <w:bottom w:val="single" w:sz="4" w:space="0" w:color="auto"/>
              <w:right w:val="nil"/>
            </w:tcBorders>
            <w:shd w:val="clear" w:color="auto" w:fill="auto"/>
            <w:noWrap/>
            <w:vAlign w:val="center"/>
            <w:hideMark/>
          </w:tcPr>
          <w:p w14:paraId="35938E1B" w14:textId="77777777" w:rsidR="00B8298D" w:rsidRPr="00794249" w:rsidRDefault="00B8298D" w:rsidP="00B8298D">
            <w:pPr>
              <w:rPr>
                <w:rFonts w:ascii="Arial Narrow" w:hAnsi="Arial Narrow" w:cs="Calibri"/>
                <w:b/>
                <w:bCs/>
                <w:color w:val="000000"/>
                <w:sz w:val="18"/>
                <w:szCs w:val="18"/>
              </w:rPr>
            </w:pPr>
            <w:r w:rsidRPr="00794249">
              <w:rPr>
                <w:rFonts w:ascii="Arial Narrow" w:hAnsi="Arial Narrow" w:cs="Calibri"/>
                <w:b/>
                <w:bCs/>
                <w:color w:val="000000"/>
                <w:sz w:val="18"/>
                <w:szCs w:val="18"/>
              </w:rPr>
              <w:t>Reportable Data Elements</w:t>
            </w:r>
          </w:p>
        </w:tc>
        <w:tc>
          <w:tcPr>
            <w:tcW w:w="481" w:type="pct"/>
            <w:tcBorders>
              <w:top w:val="nil"/>
              <w:left w:val="nil"/>
              <w:bottom w:val="single" w:sz="4" w:space="0" w:color="auto"/>
              <w:right w:val="nil"/>
            </w:tcBorders>
            <w:shd w:val="clear" w:color="auto" w:fill="auto"/>
            <w:noWrap/>
            <w:vAlign w:val="center"/>
            <w:hideMark/>
          </w:tcPr>
          <w:p w14:paraId="78BF8011" w14:textId="77777777" w:rsidR="00B8298D" w:rsidRPr="005E2542" w:rsidRDefault="00B8298D" w:rsidP="00B8298D">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488" w:type="pct"/>
            <w:tcBorders>
              <w:top w:val="nil"/>
              <w:left w:val="nil"/>
              <w:bottom w:val="single" w:sz="4" w:space="0" w:color="auto"/>
              <w:right w:val="nil"/>
            </w:tcBorders>
            <w:shd w:val="clear" w:color="auto" w:fill="auto"/>
            <w:noWrap/>
            <w:vAlign w:val="center"/>
            <w:hideMark/>
          </w:tcPr>
          <w:p w14:paraId="65A0F958" w14:textId="77777777" w:rsidR="00B8298D" w:rsidRPr="005E2542" w:rsidRDefault="00B8298D" w:rsidP="00B8298D">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431" w:type="pct"/>
            <w:tcBorders>
              <w:top w:val="nil"/>
              <w:left w:val="nil"/>
              <w:bottom w:val="single" w:sz="4" w:space="0" w:color="auto"/>
              <w:right w:val="nil"/>
            </w:tcBorders>
            <w:shd w:val="clear" w:color="auto" w:fill="auto"/>
            <w:noWrap/>
            <w:vAlign w:val="center"/>
            <w:hideMark/>
          </w:tcPr>
          <w:p w14:paraId="6B8A97D5" w14:textId="77777777" w:rsidR="00B8298D" w:rsidRPr="005E2542" w:rsidRDefault="00B8298D" w:rsidP="00B8298D">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390" w:type="pct"/>
            <w:tcBorders>
              <w:top w:val="nil"/>
              <w:left w:val="nil"/>
              <w:bottom w:val="single" w:sz="4" w:space="0" w:color="auto"/>
              <w:right w:val="nil"/>
            </w:tcBorders>
            <w:shd w:val="clear" w:color="auto" w:fill="auto"/>
            <w:noWrap/>
            <w:vAlign w:val="center"/>
            <w:hideMark/>
          </w:tcPr>
          <w:p w14:paraId="3EEFB1AD" w14:textId="77777777" w:rsidR="00B8298D" w:rsidRPr="005E2542" w:rsidRDefault="00B8298D" w:rsidP="00B8298D">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450" w:type="pct"/>
            <w:tcBorders>
              <w:top w:val="nil"/>
              <w:left w:val="nil"/>
              <w:bottom w:val="single" w:sz="4" w:space="0" w:color="auto"/>
              <w:right w:val="nil"/>
            </w:tcBorders>
            <w:shd w:val="clear" w:color="auto" w:fill="auto"/>
            <w:noWrap/>
            <w:vAlign w:val="center"/>
            <w:hideMark/>
          </w:tcPr>
          <w:p w14:paraId="0C8017E3" w14:textId="77777777" w:rsidR="00B8298D" w:rsidRPr="005E2542" w:rsidRDefault="00B8298D" w:rsidP="00B8298D">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574" w:type="pct"/>
            <w:tcBorders>
              <w:top w:val="nil"/>
              <w:left w:val="nil"/>
              <w:bottom w:val="single" w:sz="4" w:space="0" w:color="auto"/>
              <w:right w:val="nil"/>
            </w:tcBorders>
            <w:shd w:val="clear" w:color="auto" w:fill="auto"/>
            <w:noWrap/>
            <w:vAlign w:val="center"/>
            <w:hideMark/>
          </w:tcPr>
          <w:p w14:paraId="2921115E" w14:textId="77777777" w:rsidR="00B8298D" w:rsidRPr="005E2542" w:rsidRDefault="00B8298D" w:rsidP="00B8298D">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551" w:type="pct"/>
            <w:tcBorders>
              <w:top w:val="nil"/>
              <w:left w:val="nil"/>
              <w:bottom w:val="single" w:sz="4" w:space="0" w:color="auto"/>
              <w:right w:val="single" w:sz="4" w:space="0" w:color="auto"/>
            </w:tcBorders>
            <w:shd w:val="clear" w:color="auto" w:fill="auto"/>
            <w:noWrap/>
            <w:vAlign w:val="center"/>
            <w:hideMark/>
          </w:tcPr>
          <w:p w14:paraId="74A41BF0" w14:textId="77777777" w:rsidR="00B8298D" w:rsidRPr="005E2542" w:rsidRDefault="00B8298D" w:rsidP="00B8298D">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r>
      <w:tr w:rsidR="00B8298D" w14:paraId="67E35763" w14:textId="77777777" w:rsidTr="00B8298D">
        <w:tblPrEx>
          <w:tblCellMar>
            <w:left w:w="108" w:type="dxa"/>
            <w:right w:w="108" w:type="dxa"/>
          </w:tblCellMar>
        </w:tblPrEx>
        <w:trPr>
          <w:trHeight w:val="144"/>
          <w:jc w:val="center"/>
        </w:trPr>
        <w:tc>
          <w:tcPr>
            <w:tcW w:w="1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FF4E0D"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Rule Familiarization increase due to increase regulatory complexity</w:t>
            </w:r>
          </w:p>
        </w:tc>
        <w:tc>
          <w:tcPr>
            <w:tcW w:w="481" w:type="pct"/>
            <w:tcBorders>
              <w:top w:val="nil"/>
              <w:left w:val="nil"/>
              <w:bottom w:val="single" w:sz="4" w:space="0" w:color="auto"/>
              <w:right w:val="single" w:sz="4" w:space="0" w:color="auto"/>
            </w:tcBorders>
            <w:shd w:val="clear" w:color="auto" w:fill="auto"/>
            <w:noWrap/>
            <w:vAlign w:val="center"/>
            <w:hideMark/>
          </w:tcPr>
          <w:p w14:paraId="666211B3" w14:textId="77777777" w:rsidR="00B8298D" w:rsidRPr="005E2542" w:rsidRDefault="00B8298D" w:rsidP="00B8298D">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vAlign w:val="center"/>
            <w:hideMark/>
          </w:tcPr>
          <w:p w14:paraId="5B4DFD15"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vAlign w:val="center"/>
            <w:hideMark/>
          </w:tcPr>
          <w:p w14:paraId="59F2EE89"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vAlign w:val="center"/>
            <w:hideMark/>
          </w:tcPr>
          <w:p w14:paraId="57B5EACA"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vAlign w:val="center"/>
            <w:hideMark/>
          </w:tcPr>
          <w:p w14:paraId="78FD2C3C"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nil"/>
              <w:left w:val="nil"/>
              <w:bottom w:val="single" w:sz="4" w:space="0" w:color="auto"/>
              <w:right w:val="single" w:sz="4" w:space="0" w:color="auto"/>
            </w:tcBorders>
            <w:shd w:val="clear" w:color="auto" w:fill="auto"/>
            <w:vAlign w:val="center"/>
            <w:hideMark/>
          </w:tcPr>
          <w:p w14:paraId="2396E65F"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vAlign w:val="center"/>
            <w:hideMark/>
          </w:tcPr>
          <w:p w14:paraId="6F1085A1"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B8298D" w14:paraId="59AE751A"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179C725E"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Compliance Determination increase due to increase regulatory complexity</w:t>
            </w:r>
          </w:p>
        </w:tc>
        <w:tc>
          <w:tcPr>
            <w:tcW w:w="481" w:type="pct"/>
            <w:tcBorders>
              <w:top w:val="nil"/>
              <w:left w:val="nil"/>
              <w:bottom w:val="single" w:sz="4" w:space="0" w:color="auto"/>
              <w:right w:val="single" w:sz="4" w:space="0" w:color="auto"/>
            </w:tcBorders>
            <w:shd w:val="clear" w:color="auto" w:fill="auto"/>
            <w:noWrap/>
            <w:vAlign w:val="center"/>
            <w:hideMark/>
          </w:tcPr>
          <w:p w14:paraId="67DC4E39" w14:textId="77777777" w:rsidR="00B8298D" w:rsidRPr="005E2542" w:rsidRDefault="00B8298D" w:rsidP="00B8298D">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vAlign w:val="center"/>
            <w:hideMark/>
          </w:tcPr>
          <w:p w14:paraId="09B1C4E4"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vAlign w:val="center"/>
            <w:hideMark/>
          </w:tcPr>
          <w:p w14:paraId="03DB0CB0"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vAlign w:val="center"/>
            <w:hideMark/>
          </w:tcPr>
          <w:p w14:paraId="058275B6"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vAlign w:val="center"/>
            <w:hideMark/>
          </w:tcPr>
          <w:p w14:paraId="78EA7C50"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nil"/>
              <w:left w:val="nil"/>
              <w:bottom w:val="single" w:sz="4" w:space="0" w:color="auto"/>
              <w:right w:val="single" w:sz="4" w:space="0" w:color="auto"/>
            </w:tcBorders>
            <w:shd w:val="clear" w:color="auto" w:fill="auto"/>
            <w:vAlign w:val="center"/>
            <w:hideMark/>
          </w:tcPr>
          <w:p w14:paraId="56B007EA"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vAlign w:val="center"/>
            <w:hideMark/>
          </w:tcPr>
          <w:p w14:paraId="3A2C89C7"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B8298D" w14:paraId="0BCAB28D"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noWrap/>
            <w:vAlign w:val="center"/>
            <w:hideMark/>
          </w:tcPr>
          <w:p w14:paraId="14CF502C" w14:textId="3DEF06A1" w:rsidR="00B8298D" w:rsidRPr="005E2542"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Site’s Foreign Parent Company (</w:t>
            </w:r>
            <w:r w:rsidR="00053956">
              <w:rPr>
                <w:rFonts w:ascii="Arial Narrow" w:hAnsi="Arial Narrow" w:cs="Calibri"/>
                <w:color w:val="000000"/>
                <w:sz w:val="18"/>
                <w:szCs w:val="18"/>
              </w:rPr>
              <w:t>i</w:t>
            </w:r>
            <w:r w:rsidR="00053956" w:rsidRPr="00794249">
              <w:rPr>
                <w:rFonts w:ascii="Arial Narrow" w:hAnsi="Arial Narrow" w:cs="Calibri"/>
                <w:color w:val="000000"/>
                <w:sz w:val="18"/>
                <w:szCs w:val="18"/>
              </w:rPr>
              <w:t xml:space="preserve">f </w:t>
            </w:r>
            <w:r w:rsidRPr="00794249">
              <w:rPr>
                <w:rFonts w:ascii="Arial Narrow" w:hAnsi="Arial Narrow" w:cs="Calibri"/>
                <w:color w:val="000000"/>
                <w:sz w:val="18"/>
                <w:szCs w:val="18"/>
              </w:rPr>
              <w:t>applicable)</w:t>
            </w:r>
          </w:p>
        </w:tc>
        <w:tc>
          <w:tcPr>
            <w:tcW w:w="481" w:type="pct"/>
            <w:tcBorders>
              <w:top w:val="nil"/>
              <w:left w:val="nil"/>
              <w:bottom w:val="single" w:sz="4" w:space="0" w:color="auto"/>
              <w:right w:val="single" w:sz="4" w:space="0" w:color="auto"/>
            </w:tcBorders>
            <w:shd w:val="clear" w:color="auto" w:fill="auto"/>
            <w:noWrap/>
            <w:vAlign w:val="center"/>
            <w:hideMark/>
          </w:tcPr>
          <w:p w14:paraId="704366C6" w14:textId="77777777" w:rsidR="00B8298D" w:rsidRPr="005E2542" w:rsidRDefault="00B8298D" w:rsidP="00B8298D">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noWrap/>
            <w:vAlign w:val="center"/>
            <w:hideMark/>
          </w:tcPr>
          <w:p w14:paraId="64CA9C02"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0.002</w:t>
            </w:r>
          </w:p>
        </w:tc>
        <w:tc>
          <w:tcPr>
            <w:tcW w:w="431" w:type="pct"/>
            <w:tcBorders>
              <w:top w:val="nil"/>
              <w:left w:val="nil"/>
              <w:bottom w:val="single" w:sz="4" w:space="0" w:color="auto"/>
              <w:right w:val="single" w:sz="4" w:space="0" w:color="auto"/>
            </w:tcBorders>
            <w:shd w:val="clear" w:color="auto" w:fill="auto"/>
            <w:noWrap/>
            <w:vAlign w:val="center"/>
            <w:hideMark/>
          </w:tcPr>
          <w:p w14:paraId="4BCFF016"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noWrap/>
            <w:vAlign w:val="center"/>
            <w:hideMark/>
          </w:tcPr>
          <w:p w14:paraId="033A6366"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7203E6A4"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0.002</w:t>
            </w:r>
          </w:p>
        </w:tc>
        <w:tc>
          <w:tcPr>
            <w:tcW w:w="574" w:type="pct"/>
            <w:tcBorders>
              <w:top w:val="nil"/>
              <w:left w:val="nil"/>
              <w:bottom w:val="single" w:sz="4" w:space="0" w:color="auto"/>
              <w:right w:val="single" w:sz="4" w:space="0" w:color="auto"/>
            </w:tcBorders>
            <w:shd w:val="clear" w:color="auto" w:fill="auto"/>
            <w:noWrap/>
            <w:vAlign w:val="center"/>
            <w:hideMark/>
          </w:tcPr>
          <w:p w14:paraId="1AB41054"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noWrap/>
            <w:vAlign w:val="center"/>
            <w:hideMark/>
          </w:tcPr>
          <w:p w14:paraId="08E31C8B"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0.002</w:t>
            </w:r>
          </w:p>
        </w:tc>
      </w:tr>
      <w:tr w:rsidR="00B8298D" w14:paraId="3F406089"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7A308B95"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Site Public Contact Information (Name, Phone, Email)</w:t>
            </w:r>
            <w:r>
              <w:rPr>
                <w:rFonts w:ascii="Arial Narrow" w:hAnsi="Arial Narrow" w:cs="Calibri"/>
                <w:color w:val="000000"/>
                <w:sz w:val="18"/>
                <w:szCs w:val="18"/>
              </w:rPr>
              <w:t xml:space="preserve"> (voluntary)</w:t>
            </w:r>
          </w:p>
        </w:tc>
        <w:tc>
          <w:tcPr>
            <w:tcW w:w="481" w:type="pct"/>
            <w:tcBorders>
              <w:top w:val="nil"/>
              <w:left w:val="nil"/>
              <w:bottom w:val="single" w:sz="4" w:space="0" w:color="auto"/>
              <w:right w:val="single" w:sz="4" w:space="0" w:color="auto"/>
            </w:tcBorders>
            <w:shd w:val="clear" w:color="auto" w:fill="auto"/>
            <w:vAlign w:val="center"/>
            <w:hideMark/>
          </w:tcPr>
          <w:p w14:paraId="3367D475" w14:textId="77777777" w:rsidR="00B8298D" w:rsidRPr="005E2542" w:rsidRDefault="00B8298D" w:rsidP="00B8298D">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noWrap/>
            <w:vAlign w:val="center"/>
            <w:hideMark/>
          </w:tcPr>
          <w:p w14:paraId="314E53C3" w14:textId="15DE30F2"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w:t>
            </w:r>
            <w:r>
              <w:rPr>
                <w:rFonts w:ascii="Arial Narrow" w:hAnsi="Arial Narrow" w:cs="Calibri"/>
                <w:color w:val="000000" w:themeColor="text1"/>
                <w:sz w:val="18"/>
                <w:szCs w:val="18"/>
              </w:rPr>
              <w:t>6</w:t>
            </w:r>
          </w:p>
        </w:tc>
        <w:tc>
          <w:tcPr>
            <w:tcW w:w="431" w:type="pct"/>
            <w:tcBorders>
              <w:top w:val="nil"/>
              <w:left w:val="nil"/>
              <w:bottom w:val="single" w:sz="4" w:space="0" w:color="auto"/>
              <w:right w:val="single" w:sz="4" w:space="0" w:color="auto"/>
            </w:tcBorders>
            <w:shd w:val="clear" w:color="auto" w:fill="auto"/>
            <w:noWrap/>
            <w:vAlign w:val="center"/>
            <w:hideMark/>
          </w:tcPr>
          <w:p w14:paraId="24F02FB7"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noWrap/>
            <w:vAlign w:val="center"/>
            <w:hideMark/>
          </w:tcPr>
          <w:p w14:paraId="2D634B16"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55444908" w14:textId="08088152"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w:t>
            </w:r>
            <w:r>
              <w:rPr>
                <w:rFonts w:ascii="Arial Narrow" w:hAnsi="Arial Narrow" w:cs="Calibri"/>
                <w:color w:val="000000" w:themeColor="text1"/>
                <w:sz w:val="18"/>
                <w:szCs w:val="18"/>
              </w:rPr>
              <w:t>6</w:t>
            </w:r>
          </w:p>
        </w:tc>
        <w:tc>
          <w:tcPr>
            <w:tcW w:w="574" w:type="pct"/>
            <w:tcBorders>
              <w:top w:val="nil"/>
              <w:left w:val="nil"/>
              <w:bottom w:val="single" w:sz="4" w:space="0" w:color="auto"/>
              <w:right w:val="single" w:sz="4" w:space="0" w:color="auto"/>
            </w:tcBorders>
            <w:shd w:val="clear" w:color="auto" w:fill="auto"/>
            <w:noWrap/>
            <w:vAlign w:val="center"/>
            <w:hideMark/>
          </w:tcPr>
          <w:p w14:paraId="37B2A108"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noWrap/>
            <w:vAlign w:val="center"/>
            <w:hideMark/>
          </w:tcPr>
          <w:p w14:paraId="5AD883AD" w14:textId="4955CC41"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w:t>
            </w:r>
            <w:r>
              <w:rPr>
                <w:rFonts w:ascii="Arial Narrow" w:hAnsi="Arial Narrow" w:cs="Calibri"/>
                <w:color w:val="000000" w:themeColor="text1"/>
                <w:sz w:val="18"/>
                <w:szCs w:val="18"/>
              </w:rPr>
              <w:t>6</w:t>
            </w:r>
          </w:p>
        </w:tc>
      </w:tr>
      <w:tr w:rsidR="00B8298D" w14:paraId="155CEDAF"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23C435B2"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Site NAICS</w:t>
            </w:r>
          </w:p>
        </w:tc>
        <w:tc>
          <w:tcPr>
            <w:tcW w:w="481" w:type="pct"/>
            <w:tcBorders>
              <w:top w:val="nil"/>
              <w:left w:val="nil"/>
              <w:bottom w:val="single" w:sz="4" w:space="0" w:color="auto"/>
              <w:right w:val="single" w:sz="4" w:space="0" w:color="auto"/>
            </w:tcBorders>
            <w:shd w:val="clear" w:color="auto" w:fill="auto"/>
            <w:vAlign w:val="center"/>
            <w:hideMark/>
          </w:tcPr>
          <w:p w14:paraId="394CC3E8" w14:textId="77777777" w:rsidR="00B8298D" w:rsidRPr="005E2542" w:rsidRDefault="00B8298D" w:rsidP="00B8298D">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noWrap/>
            <w:vAlign w:val="center"/>
            <w:hideMark/>
          </w:tcPr>
          <w:p w14:paraId="510477BE"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0.002</w:t>
            </w:r>
          </w:p>
        </w:tc>
        <w:tc>
          <w:tcPr>
            <w:tcW w:w="431" w:type="pct"/>
            <w:tcBorders>
              <w:top w:val="nil"/>
              <w:left w:val="nil"/>
              <w:bottom w:val="single" w:sz="4" w:space="0" w:color="auto"/>
              <w:right w:val="single" w:sz="4" w:space="0" w:color="auto"/>
            </w:tcBorders>
            <w:shd w:val="clear" w:color="auto" w:fill="auto"/>
            <w:noWrap/>
            <w:vAlign w:val="center"/>
            <w:hideMark/>
          </w:tcPr>
          <w:p w14:paraId="33729369"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noWrap/>
            <w:vAlign w:val="center"/>
            <w:hideMark/>
          </w:tcPr>
          <w:p w14:paraId="4D8DDF63"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56BFB44D"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0.002</w:t>
            </w:r>
          </w:p>
        </w:tc>
        <w:tc>
          <w:tcPr>
            <w:tcW w:w="574" w:type="pct"/>
            <w:tcBorders>
              <w:top w:val="nil"/>
              <w:left w:val="nil"/>
              <w:bottom w:val="single" w:sz="4" w:space="0" w:color="auto"/>
              <w:right w:val="single" w:sz="4" w:space="0" w:color="auto"/>
            </w:tcBorders>
            <w:shd w:val="clear" w:color="auto" w:fill="auto"/>
            <w:noWrap/>
            <w:vAlign w:val="center"/>
            <w:hideMark/>
          </w:tcPr>
          <w:p w14:paraId="1374D7ED"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noWrap/>
            <w:vAlign w:val="center"/>
            <w:hideMark/>
          </w:tcPr>
          <w:p w14:paraId="048C4C6F"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0.002</w:t>
            </w:r>
          </w:p>
        </w:tc>
      </w:tr>
      <w:tr w:rsidR="00B8298D" w14:paraId="2D2084BE"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050CAFBD"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 PV in byproduct</w:t>
            </w:r>
          </w:p>
        </w:tc>
        <w:tc>
          <w:tcPr>
            <w:tcW w:w="481" w:type="pct"/>
            <w:tcBorders>
              <w:top w:val="nil"/>
              <w:left w:val="nil"/>
              <w:bottom w:val="single" w:sz="4" w:space="0" w:color="auto"/>
              <w:right w:val="single" w:sz="4" w:space="0" w:color="auto"/>
            </w:tcBorders>
            <w:shd w:val="clear" w:color="auto" w:fill="auto"/>
            <w:vAlign w:val="center"/>
            <w:hideMark/>
          </w:tcPr>
          <w:p w14:paraId="52BEA174" w14:textId="77777777" w:rsidR="00B8298D" w:rsidRPr="005E2542" w:rsidRDefault="00B8298D" w:rsidP="00B8298D">
            <w:pPr>
              <w:rPr>
                <w:rFonts w:ascii="Arial Narrow" w:hAnsi="Arial Narrow" w:cs="Calibri"/>
                <w:color w:val="000000"/>
                <w:sz w:val="18"/>
                <w:szCs w:val="18"/>
              </w:rPr>
            </w:pPr>
            <w:r w:rsidRPr="005E2542">
              <w:rPr>
                <w:rFonts w:ascii="Arial Narrow" w:hAnsi="Arial Narrow" w:cs="Calibri"/>
                <w:color w:val="000000"/>
                <w:sz w:val="18"/>
                <w:szCs w:val="18"/>
              </w:rPr>
              <w:t xml:space="preserve">Chemical </w:t>
            </w:r>
          </w:p>
        </w:tc>
        <w:tc>
          <w:tcPr>
            <w:tcW w:w="488" w:type="pct"/>
            <w:tcBorders>
              <w:top w:val="nil"/>
              <w:left w:val="nil"/>
              <w:bottom w:val="single" w:sz="4" w:space="0" w:color="auto"/>
              <w:right w:val="single" w:sz="4" w:space="0" w:color="auto"/>
            </w:tcBorders>
            <w:shd w:val="clear" w:color="auto" w:fill="auto"/>
            <w:noWrap/>
            <w:vAlign w:val="center"/>
            <w:hideMark/>
          </w:tcPr>
          <w:p w14:paraId="7644B707"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0.200</w:t>
            </w:r>
          </w:p>
        </w:tc>
        <w:tc>
          <w:tcPr>
            <w:tcW w:w="431" w:type="pct"/>
            <w:tcBorders>
              <w:top w:val="nil"/>
              <w:left w:val="nil"/>
              <w:bottom w:val="single" w:sz="4" w:space="0" w:color="auto"/>
              <w:right w:val="single" w:sz="4" w:space="0" w:color="auto"/>
            </w:tcBorders>
            <w:shd w:val="clear" w:color="auto" w:fill="auto"/>
            <w:noWrap/>
            <w:vAlign w:val="center"/>
            <w:hideMark/>
          </w:tcPr>
          <w:p w14:paraId="452E8A38"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0.820</w:t>
            </w:r>
          </w:p>
        </w:tc>
        <w:tc>
          <w:tcPr>
            <w:tcW w:w="390" w:type="pct"/>
            <w:tcBorders>
              <w:top w:val="nil"/>
              <w:left w:val="nil"/>
              <w:bottom w:val="single" w:sz="4" w:space="0" w:color="auto"/>
              <w:right w:val="single" w:sz="4" w:space="0" w:color="auto"/>
            </w:tcBorders>
            <w:shd w:val="clear" w:color="auto" w:fill="auto"/>
            <w:noWrap/>
            <w:vAlign w:val="center"/>
            <w:hideMark/>
          </w:tcPr>
          <w:p w14:paraId="257957CB"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3B29CB3B"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1.020</w:t>
            </w:r>
          </w:p>
        </w:tc>
        <w:tc>
          <w:tcPr>
            <w:tcW w:w="574" w:type="pct"/>
            <w:tcBorders>
              <w:top w:val="nil"/>
              <w:left w:val="nil"/>
              <w:bottom w:val="single" w:sz="4" w:space="0" w:color="auto"/>
              <w:right w:val="single" w:sz="4" w:space="0" w:color="auto"/>
            </w:tcBorders>
            <w:shd w:val="clear" w:color="auto" w:fill="auto"/>
            <w:noWrap/>
            <w:vAlign w:val="center"/>
            <w:hideMark/>
          </w:tcPr>
          <w:p w14:paraId="4D667105"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noWrap/>
            <w:vAlign w:val="center"/>
            <w:hideMark/>
          </w:tcPr>
          <w:p w14:paraId="6E0ABDCE" w14:textId="77777777" w:rsidR="00B8298D" w:rsidRPr="005E2542" w:rsidRDefault="00B8298D" w:rsidP="00B8298D">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1.020</w:t>
            </w:r>
          </w:p>
        </w:tc>
      </w:tr>
      <w:tr w:rsidR="00053956" w14:paraId="104A7271" w14:textId="77777777" w:rsidTr="00B8298D">
        <w:tblPrEx>
          <w:tblCellMar>
            <w:left w:w="108" w:type="dxa"/>
            <w:right w:w="108" w:type="dxa"/>
          </w:tblCellMar>
        </w:tblPrEx>
        <w:trPr>
          <w:trHeight w:val="144"/>
          <w:jc w:val="center"/>
        </w:trPr>
        <w:tc>
          <w:tcPr>
            <w:tcW w:w="1635" w:type="pct"/>
            <w:tcBorders>
              <w:top w:val="single" w:sz="4" w:space="0" w:color="auto"/>
              <w:left w:val="single" w:sz="4" w:space="0" w:color="auto"/>
              <w:bottom w:val="single" w:sz="4" w:space="0" w:color="auto"/>
              <w:right w:val="nil"/>
            </w:tcBorders>
            <w:shd w:val="clear" w:color="auto" w:fill="auto"/>
            <w:noWrap/>
            <w:vAlign w:val="center"/>
            <w:hideMark/>
          </w:tcPr>
          <w:p w14:paraId="53913F12" w14:textId="181EFB83" w:rsidR="00053956" w:rsidRPr="00794249" w:rsidRDefault="00053956" w:rsidP="00053956">
            <w:pPr>
              <w:keepNext/>
              <w:rPr>
                <w:rFonts w:ascii="Arial Narrow" w:hAnsi="Arial Narrow" w:cs="Calibri"/>
                <w:b/>
                <w:bCs/>
                <w:color w:val="000000"/>
                <w:sz w:val="18"/>
                <w:szCs w:val="18"/>
              </w:rPr>
            </w:pPr>
            <w:r w:rsidRPr="00794249">
              <w:rPr>
                <w:rFonts w:ascii="Arial Narrow" w:hAnsi="Arial Narrow" w:cs="Calibri"/>
                <w:b/>
                <w:bCs/>
                <w:color w:val="000000"/>
                <w:sz w:val="18"/>
                <w:szCs w:val="18"/>
              </w:rPr>
              <w:t xml:space="preserve">CBI Substantiation </w:t>
            </w:r>
          </w:p>
        </w:tc>
        <w:tc>
          <w:tcPr>
            <w:tcW w:w="481" w:type="pct"/>
            <w:tcBorders>
              <w:top w:val="nil"/>
              <w:left w:val="nil"/>
              <w:bottom w:val="single" w:sz="4" w:space="0" w:color="auto"/>
              <w:right w:val="nil"/>
            </w:tcBorders>
            <w:shd w:val="clear" w:color="auto" w:fill="auto"/>
            <w:noWrap/>
            <w:vAlign w:val="center"/>
            <w:hideMark/>
          </w:tcPr>
          <w:p w14:paraId="062D6B69" w14:textId="77777777" w:rsidR="00053956" w:rsidRPr="005E2542" w:rsidRDefault="00053956" w:rsidP="00053956">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488" w:type="pct"/>
            <w:tcBorders>
              <w:top w:val="nil"/>
              <w:left w:val="nil"/>
              <w:bottom w:val="single" w:sz="4" w:space="0" w:color="auto"/>
              <w:right w:val="nil"/>
            </w:tcBorders>
            <w:shd w:val="clear" w:color="auto" w:fill="auto"/>
            <w:noWrap/>
            <w:vAlign w:val="center"/>
            <w:hideMark/>
          </w:tcPr>
          <w:p w14:paraId="177E54C4" w14:textId="77777777" w:rsidR="00053956" w:rsidRPr="005E2542" w:rsidRDefault="00053956" w:rsidP="00053956">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431" w:type="pct"/>
            <w:tcBorders>
              <w:top w:val="nil"/>
              <w:left w:val="nil"/>
              <w:bottom w:val="single" w:sz="4" w:space="0" w:color="auto"/>
              <w:right w:val="nil"/>
            </w:tcBorders>
            <w:shd w:val="clear" w:color="auto" w:fill="auto"/>
            <w:noWrap/>
            <w:vAlign w:val="center"/>
            <w:hideMark/>
          </w:tcPr>
          <w:p w14:paraId="6486B0D4" w14:textId="77777777" w:rsidR="00053956" w:rsidRPr="005E2542" w:rsidRDefault="00053956" w:rsidP="00053956">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390" w:type="pct"/>
            <w:tcBorders>
              <w:top w:val="nil"/>
              <w:left w:val="nil"/>
              <w:bottom w:val="single" w:sz="4" w:space="0" w:color="auto"/>
              <w:right w:val="nil"/>
            </w:tcBorders>
            <w:shd w:val="clear" w:color="auto" w:fill="auto"/>
            <w:noWrap/>
            <w:vAlign w:val="center"/>
            <w:hideMark/>
          </w:tcPr>
          <w:p w14:paraId="1E3A95C0" w14:textId="77777777" w:rsidR="00053956" w:rsidRPr="005E2542" w:rsidRDefault="00053956" w:rsidP="00053956">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450" w:type="pct"/>
            <w:tcBorders>
              <w:top w:val="nil"/>
              <w:left w:val="nil"/>
              <w:bottom w:val="single" w:sz="4" w:space="0" w:color="auto"/>
              <w:right w:val="nil"/>
            </w:tcBorders>
            <w:shd w:val="clear" w:color="auto" w:fill="auto"/>
            <w:noWrap/>
            <w:vAlign w:val="center"/>
            <w:hideMark/>
          </w:tcPr>
          <w:p w14:paraId="488FAD55" w14:textId="77777777" w:rsidR="00053956" w:rsidRPr="005E2542" w:rsidRDefault="00053956" w:rsidP="00053956">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574" w:type="pct"/>
            <w:tcBorders>
              <w:top w:val="nil"/>
              <w:left w:val="nil"/>
              <w:bottom w:val="single" w:sz="4" w:space="0" w:color="auto"/>
              <w:right w:val="nil"/>
            </w:tcBorders>
            <w:shd w:val="clear" w:color="auto" w:fill="auto"/>
            <w:noWrap/>
            <w:vAlign w:val="center"/>
            <w:hideMark/>
          </w:tcPr>
          <w:p w14:paraId="4AF973C4" w14:textId="77777777" w:rsidR="00053956" w:rsidRPr="005E2542" w:rsidRDefault="00053956" w:rsidP="00053956">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c>
          <w:tcPr>
            <w:tcW w:w="551" w:type="pct"/>
            <w:tcBorders>
              <w:top w:val="nil"/>
              <w:left w:val="nil"/>
              <w:bottom w:val="single" w:sz="4" w:space="0" w:color="auto"/>
              <w:right w:val="single" w:sz="4" w:space="0" w:color="auto"/>
            </w:tcBorders>
            <w:shd w:val="clear" w:color="auto" w:fill="auto"/>
            <w:noWrap/>
            <w:vAlign w:val="center"/>
            <w:hideMark/>
          </w:tcPr>
          <w:p w14:paraId="5EDAF088" w14:textId="77777777" w:rsidR="00053956" w:rsidRPr="005E2542" w:rsidRDefault="00053956" w:rsidP="00053956">
            <w:pPr>
              <w:rPr>
                <w:rFonts w:ascii="Arial Narrow" w:hAnsi="Arial Narrow" w:cs="Calibri"/>
                <w:b/>
                <w:bCs/>
                <w:color w:val="000000" w:themeColor="text1"/>
                <w:sz w:val="18"/>
                <w:szCs w:val="18"/>
              </w:rPr>
            </w:pPr>
            <w:r w:rsidRPr="005E2542">
              <w:rPr>
                <w:rFonts w:ascii="Arial Narrow" w:hAnsi="Arial Narrow" w:cs="Calibri"/>
                <w:b/>
                <w:bCs/>
                <w:color w:val="000000" w:themeColor="text1"/>
                <w:sz w:val="18"/>
                <w:szCs w:val="18"/>
              </w:rPr>
              <w:t> </w:t>
            </w:r>
          </w:p>
        </w:tc>
      </w:tr>
      <w:tr w:rsidR="00053956" w14:paraId="5683C813" w14:textId="77777777" w:rsidTr="00B8298D">
        <w:tblPrEx>
          <w:tblCellMar>
            <w:left w:w="108" w:type="dxa"/>
            <w:right w:w="108" w:type="dxa"/>
          </w:tblCellMar>
        </w:tblPrEx>
        <w:trPr>
          <w:trHeight w:val="144"/>
          <w:jc w:val="center"/>
        </w:trPr>
        <w:tc>
          <w:tcPr>
            <w:tcW w:w="1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51525" w14:textId="77777777" w:rsidR="00053956" w:rsidRPr="00794249"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Rule Familiarization increase due to increase regulatory complexity</w:t>
            </w:r>
          </w:p>
        </w:tc>
        <w:tc>
          <w:tcPr>
            <w:tcW w:w="481" w:type="pct"/>
            <w:tcBorders>
              <w:top w:val="nil"/>
              <w:left w:val="nil"/>
              <w:bottom w:val="single" w:sz="4" w:space="0" w:color="auto"/>
              <w:right w:val="single" w:sz="4" w:space="0" w:color="auto"/>
            </w:tcBorders>
            <w:shd w:val="clear" w:color="auto" w:fill="auto"/>
            <w:vAlign w:val="center"/>
            <w:hideMark/>
          </w:tcPr>
          <w:p w14:paraId="2AD8F9D8"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vAlign w:val="center"/>
            <w:hideMark/>
          </w:tcPr>
          <w:p w14:paraId="60F59F4B"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vAlign w:val="center"/>
            <w:hideMark/>
          </w:tcPr>
          <w:p w14:paraId="49ECF98E"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vAlign w:val="center"/>
            <w:hideMark/>
          </w:tcPr>
          <w:p w14:paraId="232E995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vAlign w:val="center"/>
            <w:hideMark/>
          </w:tcPr>
          <w:p w14:paraId="4DBDC03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nil"/>
              <w:left w:val="nil"/>
              <w:bottom w:val="single" w:sz="4" w:space="0" w:color="auto"/>
              <w:right w:val="single" w:sz="4" w:space="0" w:color="auto"/>
            </w:tcBorders>
            <w:shd w:val="clear" w:color="auto" w:fill="auto"/>
            <w:vAlign w:val="center"/>
            <w:hideMark/>
          </w:tcPr>
          <w:p w14:paraId="0384433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vAlign w:val="center"/>
            <w:hideMark/>
          </w:tcPr>
          <w:p w14:paraId="04128BA4"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053956" w14:paraId="1D56EA5A"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189F7545" w14:textId="77777777" w:rsidR="00053956" w:rsidRPr="00794249"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Compliance Determination increase due to increase regulatory complexity</w:t>
            </w:r>
          </w:p>
        </w:tc>
        <w:tc>
          <w:tcPr>
            <w:tcW w:w="481" w:type="pct"/>
            <w:tcBorders>
              <w:top w:val="nil"/>
              <w:left w:val="nil"/>
              <w:bottom w:val="single" w:sz="4" w:space="0" w:color="auto"/>
              <w:right w:val="single" w:sz="4" w:space="0" w:color="auto"/>
            </w:tcBorders>
            <w:shd w:val="clear" w:color="auto" w:fill="auto"/>
            <w:vAlign w:val="center"/>
            <w:hideMark/>
          </w:tcPr>
          <w:p w14:paraId="38628EEA"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vAlign w:val="center"/>
            <w:hideMark/>
          </w:tcPr>
          <w:p w14:paraId="38117F5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0.154</w:t>
            </w:r>
          </w:p>
        </w:tc>
        <w:tc>
          <w:tcPr>
            <w:tcW w:w="431" w:type="pct"/>
            <w:tcBorders>
              <w:top w:val="nil"/>
              <w:left w:val="nil"/>
              <w:bottom w:val="single" w:sz="4" w:space="0" w:color="auto"/>
              <w:right w:val="single" w:sz="4" w:space="0" w:color="auto"/>
            </w:tcBorders>
            <w:shd w:val="clear" w:color="auto" w:fill="auto"/>
            <w:vAlign w:val="center"/>
            <w:hideMark/>
          </w:tcPr>
          <w:p w14:paraId="124F5918"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0.346</w:t>
            </w:r>
          </w:p>
        </w:tc>
        <w:tc>
          <w:tcPr>
            <w:tcW w:w="390" w:type="pct"/>
            <w:tcBorders>
              <w:top w:val="nil"/>
              <w:left w:val="nil"/>
              <w:bottom w:val="single" w:sz="4" w:space="0" w:color="auto"/>
              <w:right w:val="single" w:sz="4" w:space="0" w:color="auto"/>
            </w:tcBorders>
            <w:shd w:val="clear" w:color="auto" w:fill="auto"/>
            <w:vAlign w:val="center"/>
            <w:hideMark/>
          </w:tcPr>
          <w:p w14:paraId="0919A671"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vAlign w:val="center"/>
            <w:hideMark/>
          </w:tcPr>
          <w:p w14:paraId="381303C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0.500</w:t>
            </w:r>
          </w:p>
        </w:tc>
        <w:tc>
          <w:tcPr>
            <w:tcW w:w="574" w:type="pct"/>
            <w:tcBorders>
              <w:top w:val="nil"/>
              <w:left w:val="nil"/>
              <w:bottom w:val="single" w:sz="4" w:space="0" w:color="auto"/>
              <w:right w:val="single" w:sz="4" w:space="0" w:color="auto"/>
            </w:tcBorders>
            <w:shd w:val="clear" w:color="auto" w:fill="auto"/>
            <w:vAlign w:val="center"/>
            <w:hideMark/>
          </w:tcPr>
          <w:p w14:paraId="4C84FB7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vAlign w:val="center"/>
            <w:hideMark/>
          </w:tcPr>
          <w:p w14:paraId="24B05FC6"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0.500</w:t>
            </w:r>
          </w:p>
        </w:tc>
      </w:tr>
      <w:tr w:rsidR="00053956" w14:paraId="21734BDB"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2A6933BF" w14:textId="77777777" w:rsidR="00053956" w:rsidRPr="00794249"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Part II Chem ID CBI Substantiation</w:t>
            </w:r>
            <w:r w:rsidRPr="00794249">
              <w:rPr>
                <w:rFonts w:ascii="Arial Narrow" w:hAnsi="Arial Narrow" w:cs="Calibri"/>
                <w:color w:val="000000"/>
                <w:sz w:val="18"/>
                <w:szCs w:val="18"/>
                <w:vertAlign w:val="superscript"/>
              </w:rPr>
              <w:t>1</w:t>
            </w:r>
          </w:p>
        </w:tc>
        <w:tc>
          <w:tcPr>
            <w:tcW w:w="481" w:type="pct"/>
            <w:tcBorders>
              <w:top w:val="nil"/>
              <w:left w:val="nil"/>
              <w:bottom w:val="single" w:sz="4" w:space="0" w:color="auto"/>
              <w:right w:val="single" w:sz="4" w:space="0" w:color="auto"/>
            </w:tcBorders>
            <w:shd w:val="clear" w:color="auto" w:fill="auto"/>
            <w:vAlign w:val="center"/>
            <w:hideMark/>
          </w:tcPr>
          <w:p w14:paraId="20F2F0F1"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 xml:space="preserve">Chemical </w:t>
            </w:r>
          </w:p>
        </w:tc>
        <w:tc>
          <w:tcPr>
            <w:tcW w:w="488" w:type="pct"/>
            <w:tcBorders>
              <w:top w:val="nil"/>
              <w:left w:val="nil"/>
              <w:bottom w:val="single" w:sz="4" w:space="0" w:color="auto"/>
              <w:right w:val="single" w:sz="4" w:space="0" w:color="auto"/>
            </w:tcBorders>
            <w:shd w:val="clear" w:color="auto" w:fill="auto"/>
            <w:noWrap/>
            <w:vAlign w:val="center"/>
            <w:hideMark/>
          </w:tcPr>
          <w:p w14:paraId="23121D20"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-0.086</w:t>
            </w:r>
          </w:p>
        </w:tc>
        <w:tc>
          <w:tcPr>
            <w:tcW w:w="431" w:type="pct"/>
            <w:tcBorders>
              <w:top w:val="nil"/>
              <w:left w:val="nil"/>
              <w:bottom w:val="single" w:sz="4" w:space="0" w:color="auto"/>
              <w:right w:val="single" w:sz="4" w:space="0" w:color="auto"/>
            </w:tcBorders>
            <w:shd w:val="clear" w:color="auto" w:fill="auto"/>
            <w:noWrap/>
            <w:vAlign w:val="center"/>
            <w:hideMark/>
          </w:tcPr>
          <w:p w14:paraId="08F42AB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-0.175</w:t>
            </w:r>
          </w:p>
        </w:tc>
        <w:tc>
          <w:tcPr>
            <w:tcW w:w="390" w:type="pct"/>
            <w:tcBorders>
              <w:top w:val="nil"/>
              <w:left w:val="nil"/>
              <w:bottom w:val="single" w:sz="4" w:space="0" w:color="auto"/>
              <w:right w:val="single" w:sz="4" w:space="0" w:color="auto"/>
            </w:tcBorders>
            <w:shd w:val="clear" w:color="auto" w:fill="auto"/>
            <w:noWrap/>
            <w:vAlign w:val="center"/>
            <w:hideMark/>
          </w:tcPr>
          <w:p w14:paraId="1A17A35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17E334C7"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-0.261</w:t>
            </w:r>
          </w:p>
        </w:tc>
        <w:tc>
          <w:tcPr>
            <w:tcW w:w="574" w:type="pct"/>
            <w:tcBorders>
              <w:top w:val="nil"/>
              <w:left w:val="nil"/>
              <w:bottom w:val="single" w:sz="4" w:space="0" w:color="auto"/>
              <w:right w:val="single" w:sz="4" w:space="0" w:color="auto"/>
            </w:tcBorders>
            <w:shd w:val="clear" w:color="auto" w:fill="auto"/>
            <w:noWrap/>
            <w:vAlign w:val="center"/>
            <w:hideMark/>
          </w:tcPr>
          <w:p w14:paraId="026C71C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0.01326</w:t>
            </w:r>
          </w:p>
        </w:tc>
        <w:tc>
          <w:tcPr>
            <w:tcW w:w="551" w:type="pct"/>
            <w:tcBorders>
              <w:top w:val="nil"/>
              <w:left w:val="nil"/>
              <w:bottom w:val="single" w:sz="4" w:space="0" w:color="auto"/>
              <w:right w:val="single" w:sz="4" w:space="0" w:color="auto"/>
            </w:tcBorders>
            <w:shd w:val="clear" w:color="auto" w:fill="auto"/>
            <w:noWrap/>
            <w:vAlign w:val="center"/>
            <w:hideMark/>
          </w:tcPr>
          <w:p w14:paraId="15560E67"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-0.003</w:t>
            </w:r>
          </w:p>
        </w:tc>
      </w:tr>
      <w:tr w:rsidR="00053956" w14:paraId="2F60BCB5"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5F31D125" w14:textId="77777777" w:rsidR="00053956" w:rsidRPr="00794249"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Part II Connection CBI Substantiation and Part II Other CBI Substantiation</w:t>
            </w:r>
            <w:r w:rsidRPr="00794249">
              <w:rPr>
                <w:rFonts w:ascii="Arial Narrow" w:hAnsi="Arial Narrow" w:cs="Calibri"/>
                <w:color w:val="000000"/>
                <w:sz w:val="18"/>
                <w:szCs w:val="18"/>
                <w:vertAlign w:val="superscript"/>
              </w:rPr>
              <w:t>1</w:t>
            </w:r>
          </w:p>
        </w:tc>
        <w:tc>
          <w:tcPr>
            <w:tcW w:w="481" w:type="pct"/>
            <w:tcBorders>
              <w:top w:val="nil"/>
              <w:left w:val="nil"/>
              <w:bottom w:val="single" w:sz="4" w:space="0" w:color="auto"/>
              <w:right w:val="single" w:sz="4" w:space="0" w:color="auto"/>
            </w:tcBorders>
            <w:shd w:val="clear" w:color="auto" w:fill="auto"/>
            <w:vAlign w:val="center"/>
            <w:hideMark/>
          </w:tcPr>
          <w:p w14:paraId="15316850"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 xml:space="preserve">Chemical </w:t>
            </w:r>
          </w:p>
        </w:tc>
        <w:tc>
          <w:tcPr>
            <w:tcW w:w="488" w:type="pct"/>
            <w:tcBorders>
              <w:top w:val="nil"/>
              <w:left w:val="nil"/>
              <w:bottom w:val="single" w:sz="4" w:space="0" w:color="auto"/>
              <w:right w:val="single" w:sz="4" w:space="0" w:color="auto"/>
            </w:tcBorders>
            <w:shd w:val="clear" w:color="auto" w:fill="auto"/>
            <w:noWrap/>
            <w:vAlign w:val="center"/>
            <w:hideMark/>
          </w:tcPr>
          <w:p w14:paraId="237B7FC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noWrap/>
            <w:vAlign w:val="center"/>
            <w:hideMark/>
          </w:tcPr>
          <w:p w14:paraId="53E2EB4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-0.286</w:t>
            </w:r>
          </w:p>
        </w:tc>
        <w:tc>
          <w:tcPr>
            <w:tcW w:w="390" w:type="pct"/>
            <w:tcBorders>
              <w:top w:val="nil"/>
              <w:left w:val="nil"/>
              <w:bottom w:val="single" w:sz="4" w:space="0" w:color="auto"/>
              <w:right w:val="single" w:sz="4" w:space="0" w:color="auto"/>
            </w:tcBorders>
            <w:shd w:val="clear" w:color="auto" w:fill="auto"/>
            <w:noWrap/>
            <w:vAlign w:val="center"/>
            <w:hideMark/>
          </w:tcPr>
          <w:p w14:paraId="4368329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0F6AC9F8"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-0.286</w:t>
            </w:r>
          </w:p>
        </w:tc>
        <w:tc>
          <w:tcPr>
            <w:tcW w:w="574" w:type="pct"/>
            <w:tcBorders>
              <w:top w:val="nil"/>
              <w:left w:val="nil"/>
              <w:bottom w:val="single" w:sz="4" w:space="0" w:color="auto"/>
              <w:right w:val="single" w:sz="4" w:space="0" w:color="auto"/>
            </w:tcBorders>
            <w:shd w:val="clear" w:color="auto" w:fill="auto"/>
            <w:noWrap/>
            <w:vAlign w:val="center"/>
            <w:hideMark/>
          </w:tcPr>
          <w:p w14:paraId="0ED2D828"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0.31363</w:t>
            </w:r>
          </w:p>
        </w:tc>
        <w:tc>
          <w:tcPr>
            <w:tcW w:w="551" w:type="pct"/>
            <w:tcBorders>
              <w:top w:val="nil"/>
              <w:left w:val="nil"/>
              <w:bottom w:val="single" w:sz="4" w:space="0" w:color="auto"/>
              <w:right w:val="single" w:sz="4" w:space="0" w:color="auto"/>
            </w:tcBorders>
            <w:shd w:val="clear" w:color="auto" w:fill="auto"/>
            <w:noWrap/>
            <w:vAlign w:val="center"/>
            <w:hideMark/>
          </w:tcPr>
          <w:p w14:paraId="49BB3EB0"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-0.090</w:t>
            </w:r>
          </w:p>
        </w:tc>
      </w:tr>
      <w:tr w:rsidR="00053956" w14:paraId="65D3615A"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2D342C45" w14:textId="77777777" w:rsidR="00053956" w:rsidRPr="00794249"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Part III</w:t>
            </w:r>
            <w:r>
              <w:rPr>
                <w:rFonts w:ascii="Arial Narrow" w:hAnsi="Arial Narrow" w:cs="Calibri"/>
                <w:color w:val="000000"/>
                <w:sz w:val="18"/>
                <w:szCs w:val="18"/>
              </w:rPr>
              <w:t xml:space="preserve"> (Processing and Use)</w:t>
            </w:r>
            <w:r w:rsidRPr="00794249">
              <w:rPr>
                <w:rFonts w:ascii="Arial Narrow" w:hAnsi="Arial Narrow" w:cs="Calibri"/>
                <w:color w:val="000000"/>
                <w:sz w:val="18"/>
                <w:szCs w:val="18"/>
              </w:rPr>
              <w:t xml:space="preserve"> CBI Substantiation</w:t>
            </w:r>
            <w:r w:rsidRPr="00794249">
              <w:rPr>
                <w:rFonts w:ascii="Arial Narrow" w:hAnsi="Arial Narrow" w:cs="Calibri"/>
                <w:color w:val="000000"/>
                <w:sz w:val="18"/>
                <w:szCs w:val="18"/>
                <w:vertAlign w:val="superscript"/>
              </w:rPr>
              <w:t>1</w:t>
            </w:r>
          </w:p>
        </w:tc>
        <w:tc>
          <w:tcPr>
            <w:tcW w:w="481" w:type="pct"/>
            <w:tcBorders>
              <w:top w:val="nil"/>
              <w:left w:val="nil"/>
              <w:bottom w:val="single" w:sz="4" w:space="0" w:color="auto"/>
              <w:right w:val="single" w:sz="4" w:space="0" w:color="auto"/>
            </w:tcBorders>
            <w:shd w:val="clear" w:color="auto" w:fill="auto"/>
            <w:vAlign w:val="center"/>
            <w:hideMark/>
          </w:tcPr>
          <w:p w14:paraId="4593159A"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 xml:space="preserve">Chemical </w:t>
            </w:r>
          </w:p>
        </w:tc>
        <w:tc>
          <w:tcPr>
            <w:tcW w:w="488" w:type="pct"/>
            <w:tcBorders>
              <w:top w:val="nil"/>
              <w:left w:val="nil"/>
              <w:bottom w:val="single" w:sz="4" w:space="0" w:color="auto"/>
              <w:right w:val="single" w:sz="4" w:space="0" w:color="auto"/>
            </w:tcBorders>
            <w:shd w:val="clear" w:color="auto" w:fill="auto"/>
            <w:noWrap/>
            <w:vAlign w:val="center"/>
            <w:hideMark/>
          </w:tcPr>
          <w:p w14:paraId="36B09A2D"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noWrap/>
            <w:vAlign w:val="center"/>
            <w:hideMark/>
          </w:tcPr>
          <w:p w14:paraId="3017730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-0.076</w:t>
            </w:r>
          </w:p>
        </w:tc>
        <w:tc>
          <w:tcPr>
            <w:tcW w:w="390" w:type="pct"/>
            <w:tcBorders>
              <w:top w:val="nil"/>
              <w:left w:val="nil"/>
              <w:bottom w:val="single" w:sz="4" w:space="0" w:color="auto"/>
              <w:right w:val="single" w:sz="4" w:space="0" w:color="auto"/>
            </w:tcBorders>
            <w:shd w:val="clear" w:color="auto" w:fill="auto"/>
            <w:noWrap/>
            <w:vAlign w:val="center"/>
            <w:hideMark/>
          </w:tcPr>
          <w:p w14:paraId="0EA4ED13"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6827AC58"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-0.076</w:t>
            </w:r>
          </w:p>
        </w:tc>
        <w:tc>
          <w:tcPr>
            <w:tcW w:w="574" w:type="pct"/>
            <w:tcBorders>
              <w:top w:val="nil"/>
              <w:left w:val="nil"/>
              <w:bottom w:val="single" w:sz="4" w:space="0" w:color="auto"/>
              <w:right w:val="single" w:sz="4" w:space="0" w:color="auto"/>
            </w:tcBorders>
            <w:shd w:val="clear" w:color="auto" w:fill="auto"/>
            <w:noWrap/>
            <w:vAlign w:val="center"/>
            <w:hideMark/>
          </w:tcPr>
          <w:p w14:paraId="550B9FE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0.22093</w:t>
            </w:r>
          </w:p>
        </w:tc>
        <w:tc>
          <w:tcPr>
            <w:tcW w:w="551" w:type="pct"/>
            <w:tcBorders>
              <w:top w:val="nil"/>
              <w:left w:val="nil"/>
              <w:bottom w:val="single" w:sz="4" w:space="0" w:color="auto"/>
              <w:right w:val="single" w:sz="4" w:space="0" w:color="auto"/>
            </w:tcBorders>
            <w:shd w:val="clear" w:color="auto" w:fill="auto"/>
            <w:noWrap/>
            <w:vAlign w:val="center"/>
            <w:hideMark/>
          </w:tcPr>
          <w:p w14:paraId="3A017ADE"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-0.017</w:t>
            </w:r>
          </w:p>
        </w:tc>
      </w:tr>
      <w:tr w:rsidR="00053956" w14:paraId="3D979A1B" w14:textId="77777777" w:rsidTr="00B8298D">
        <w:tblPrEx>
          <w:tblCellMar>
            <w:left w:w="108" w:type="dxa"/>
            <w:right w:w="108" w:type="dxa"/>
          </w:tblCellMar>
        </w:tblPrEx>
        <w:trPr>
          <w:trHeight w:val="197"/>
          <w:jc w:val="center"/>
        </w:trPr>
        <w:tc>
          <w:tcPr>
            <w:tcW w:w="5000" w:type="pct"/>
            <w:gridSpan w:val="8"/>
            <w:tcBorders>
              <w:top w:val="nil"/>
              <w:left w:val="single" w:sz="4" w:space="0" w:color="auto"/>
              <w:bottom w:val="single" w:sz="4" w:space="0" w:color="auto"/>
              <w:right w:val="single" w:sz="4" w:space="0" w:color="auto"/>
            </w:tcBorders>
            <w:shd w:val="clear" w:color="auto" w:fill="auto"/>
            <w:vAlign w:val="center"/>
            <w:hideMark/>
          </w:tcPr>
          <w:p w14:paraId="794A9734" w14:textId="77777777" w:rsidR="00053956" w:rsidRPr="00794249" w:rsidRDefault="00053956" w:rsidP="00053956">
            <w:pPr>
              <w:keepNext/>
              <w:rPr>
                <w:rFonts w:ascii="Arial Narrow" w:hAnsi="Arial Narrow" w:cs="Calibri"/>
                <w:b/>
                <w:bCs/>
                <w:color w:val="000000"/>
                <w:sz w:val="18"/>
                <w:szCs w:val="18"/>
              </w:rPr>
            </w:pPr>
            <w:r w:rsidRPr="00794249">
              <w:rPr>
                <w:rFonts w:ascii="Arial Narrow" w:hAnsi="Arial Narrow" w:cs="Calibri"/>
                <w:b/>
                <w:bCs/>
                <w:color w:val="000000"/>
                <w:sz w:val="18"/>
                <w:szCs w:val="18"/>
              </w:rPr>
              <w:t>Byproduct Exemptions</w:t>
            </w:r>
          </w:p>
        </w:tc>
      </w:tr>
      <w:tr w:rsidR="00053956" w14:paraId="7DF7486F"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7BFFCD28" w14:textId="77777777" w:rsidR="00053956" w:rsidRPr="005E2542"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Rule Familiarization increase due to increase regulatory complexity</w:t>
            </w:r>
          </w:p>
        </w:tc>
        <w:tc>
          <w:tcPr>
            <w:tcW w:w="481" w:type="pct"/>
            <w:tcBorders>
              <w:top w:val="nil"/>
              <w:left w:val="nil"/>
              <w:bottom w:val="single" w:sz="4" w:space="0" w:color="auto"/>
              <w:right w:val="single" w:sz="4" w:space="0" w:color="auto"/>
            </w:tcBorders>
            <w:shd w:val="clear" w:color="auto" w:fill="auto"/>
            <w:vAlign w:val="center"/>
            <w:hideMark/>
          </w:tcPr>
          <w:p w14:paraId="1F6E5F16"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vAlign w:val="center"/>
            <w:hideMark/>
          </w:tcPr>
          <w:p w14:paraId="684283A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vAlign w:val="center"/>
            <w:hideMark/>
          </w:tcPr>
          <w:p w14:paraId="5AC2053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vAlign w:val="center"/>
            <w:hideMark/>
          </w:tcPr>
          <w:p w14:paraId="604E3357"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vAlign w:val="center"/>
            <w:hideMark/>
          </w:tcPr>
          <w:p w14:paraId="33148B30"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nil"/>
              <w:left w:val="nil"/>
              <w:bottom w:val="single" w:sz="4" w:space="0" w:color="auto"/>
              <w:right w:val="single" w:sz="4" w:space="0" w:color="auto"/>
            </w:tcBorders>
            <w:shd w:val="clear" w:color="auto" w:fill="auto"/>
            <w:vAlign w:val="center"/>
            <w:hideMark/>
          </w:tcPr>
          <w:p w14:paraId="362C909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vAlign w:val="center"/>
            <w:hideMark/>
          </w:tcPr>
          <w:p w14:paraId="66B30C9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053956" w14:paraId="4B887AD6"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12A2B806" w14:textId="77777777" w:rsidR="00053956" w:rsidRPr="008C5171" w:rsidRDefault="00053956" w:rsidP="00053956">
            <w:pPr>
              <w:rPr>
                <w:rFonts w:ascii="Arial Narrow" w:hAnsi="Arial Narrow" w:cs="Calibri"/>
                <w:color w:val="000000"/>
                <w:sz w:val="18"/>
                <w:szCs w:val="18"/>
                <w:vertAlign w:val="superscript"/>
              </w:rPr>
            </w:pPr>
            <w:r w:rsidRPr="00794249">
              <w:rPr>
                <w:rFonts w:ascii="Arial Narrow" w:hAnsi="Arial Narrow" w:cs="Calibri"/>
                <w:color w:val="000000"/>
                <w:sz w:val="18"/>
                <w:szCs w:val="18"/>
              </w:rPr>
              <w:t>Compliance Determination increase due to increase regulatory complexity</w:t>
            </w:r>
            <w:r w:rsidRPr="00794249">
              <w:rPr>
                <w:rFonts w:ascii="Arial Narrow" w:hAnsi="Arial Narrow" w:cs="Calibri"/>
                <w:color w:val="000000"/>
                <w:sz w:val="18"/>
                <w:szCs w:val="18"/>
                <w:vertAlign w:val="superscript"/>
              </w:rPr>
              <w:t>1</w:t>
            </w:r>
          </w:p>
        </w:tc>
        <w:tc>
          <w:tcPr>
            <w:tcW w:w="481" w:type="pct"/>
            <w:tcBorders>
              <w:top w:val="nil"/>
              <w:left w:val="nil"/>
              <w:bottom w:val="single" w:sz="4" w:space="0" w:color="auto"/>
              <w:right w:val="single" w:sz="4" w:space="0" w:color="auto"/>
            </w:tcBorders>
            <w:shd w:val="clear" w:color="auto" w:fill="auto"/>
            <w:vAlign w:val="center"/>
            <w:hideMark/>
          </w:tcPr>
          <w:p w14:paraId="077A6EA9" w14:textId="77777777" w:rsidR="00053956" w:rsidRPr="00794249"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vAlign w:val="center"/>
            <w:hideMark/>
          </w:tcPr>
          <w:p w14:paraId="7EF410D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0.308</w:t>
            </w:r>
          </w:p>
        </w:tc>
        <w:tc>
          <w:tcPr>
            <w:tcW w:w="431" w:type="pct"/>
            <w:tcBorders>
              <w:top w:val="nil"/>
              <w:left w:val="nil"/>
              <w:bottom w:val="single" w:sz="4" w:space="0" w:color="auto"/>
              <w:right w:val="single" w:sz="4" w:space="0" w:color="auto"/>
            </w:tcBorders>
            <w:shd w:val="clear" w:color="auto" w:fill="auto"/>
            <w:vAlign w:val="center"/>
            <w:hideMark/>
          </w:tcPr>
          <w:p w14:paraId="74384627"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0.692</w:t>
            </w:r>
          </w:p>
        </w:tc>
        <w:tc>
          <w:tcPr>
            <w:tcW w:w="390" w:type="pct"/>
            <w:tcBorders>
              <w:top w:val="nil"/>
              <w:left w:val="nil"/>
              <w:bottom w:val="single" w:sz="4" w:space="0" w:color="auto"/>
              <w:right w:val="single" w:sz="4" w:space="0" w:color="auto"/>
            </w:tcBorders>
            <w:shd w:val="clear" w:color="auto" w:fill="auto"/>
            <w:vAlign w:val="center"/>
            <w:hideMark/>
          </w:tcPr>
          <w:p w14:paraId="2DE82BD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vAlign w:val="center"/>
            <w:hideMark/>
          </w:tcPr>
          <w:p w14:paraId="3EE6EA0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74" w:type="pct"/>
            <w:tcBorders>
              <w:top w:val="nil"/>
              <w:left w:val="nil"/>
              <w:bottom w:val="single" w:sz="4" w:space="0" w:color="auto"/>
              <w:right w:val="single" w:sz="4" w:space="0" w:color="auto"/>
            </w:tcBorders>
            <w:shd w:val="clear" w:color="auto" w:fill="auto"/>
            <w:vAlign w:val="center"/>
            <w:hideMark/>
          </w:tcPr>
          <w:p w14:paraId="3BAD630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0.4037</w:t>
            </w:r>
          </w:p>
        </w:tc>
        <w:tc>
          <w:tcPr>
            <w:tcW w:w="551" w:type="pct"/>
            <w:tcBorders>
              <w:top w:val="nil"/>
              <w:left w:val="nil"/>
              <w:bottom w:val="single" w:sz="4" w:space="0" w:color="auto"/>
              <w:right w:val="single" w:sz="4" w:space="0" w:color="auto"/>
            </w:tcBorders>
            <w:shd w:val="clear" w:color="auto" w:fill="auto"/>
            <w:vAlign w:val="center"/>
            <w:hideMark/>
          </w:tcPr>
          <w:p w14:paraId="05BD559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0.404</w:t>
            </w:r>
          </w:p>
        </w:tc>
      </w:tr>
      <w:tr w:rsidR="00053956" w14:paraId="39BEA3C1" w14:textId="77777777" w:rsidTr="00B8298D">
        <w:tblPrEx>
          <w:tblCellMar>
            <w:left w:w="108" w:type="dxa"/>
            <w:right w:w="108" w:type="dxa"/>
          </w:tblCellMar>
        </w:tblPrEx>
        <w:trPr>
          <w:trHeight w:val="144"/>
          <w:jc w:val="center"/>
        </w:trPr>
        <w:tc>
          <w:tcPr>
            <w:tcW w:w="5000" w:type="pct"/>
            <w:gridSpan w:val="8"/>
            <w:tcBorders>
              <w:top w:val="nil"/>
              <w:left w:val="single" w:sz="4" w:space="0" w:color="auto"/>
              <w:bottom w:val="nil"/>
              <w:right w:val="single" w:sz="4" w:space="0" w:color="auto"/>
            </w:tcBorders>
            <w:shd w:val="clear" w:color="auto" w:fill="auto"/>
            <w:vAlign w:val="center"/>
            <w:hideMark/>
          </w:tcPr>
          <w:p w14:paraId="4DDD3171" w14:textId="77777777" w:rsidR="00053956" w:rsidRPr="00794249" w:rsidRDefault="00053956" w:rsidP="00053956">
            <w:pPr>
              <w:keepNext/>
              <w:rPr>
                <w:rFonts w:ascii="Arial Narrow" w:hAnsi="Arial Narrow" w:cs="Calibri"/>
                <w:b/>
                <w:bCs/>
                <w:color w:val="000000"/>
                <w:sz w:val="18"/>
                <w:szCs w:val="18"/>
              </w:rPr>
            </w:pPr>
            <w:r w:rsidRPr="00794249">
              <w:rPr>
                <w:rFonts w:ascii="Arial Narrow" w:hAnsi="Arial Narrow" w:cs="Calibri"/>
                <w:b/>
                <w:bCs/>
                <w:color w:val="000000"/>
                <w:sz w:val="18"/>
                <w:szCs w:val="18"/>
              </w:rPr>
              <w:t>Category Reporting</w:t>
            </w:r>
          </w:p>
        </w:tc>
      </w:tr>
      <w:tr w:rsidR="00053956" w14:paraId="12CFA8F5" w14:textId="77777777" w:rsidTr="00B8298D">
        <w:tblPrEx>
          <w:tblCellMar>
            <w:left w:w="108" w:type="dxa"/>
            <w:right w:w="108" w:type="dxa"/>
          </w:tblCellMar>
        </w:tblPrEx>
        <w:trPr>
          <w:trHeight w:val="144"/>
          <w:jc w:val="center"/>
        </w:trPr>
        <w:tc>
          <w:tcPr>
            <w:tcW w:w="16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CE593" w14:textId="77777777" w:rsidR="00053956" w:rsidRPr="005E2542" w:rsidRDefault="00053956" w:rsidP="00053956">
            <w:pPr>
              <w:keepNext/>
              <w:rPr>
                <w:rFonts w:ascii="Arial Narrow" w:hAnsi="Arial Narrow" w:cs="Calibri"/>
                <w:color w:val="000000"/>
                <w:sz w:val="18"/>
                <w:szCs w:val="18"/>
              </w:rPr>
            </w:pPr>
            <w:r w:rsidRPr="00794249">
              <w:rPr>
                <w:rFonts w:ascii="Arial Narrow" w:hAnsi="Arial Narrow" w:cs="Calibri"/>
                <w:color w:val="000000"/>
                <w:sz w:val="18"/>
                <w:szCs w:val="18"/>
              </w:rPr>
              <w:t>Rule Familiarization increase due to increase regulatory complexity</w:t>
            </w:r>
          </w:p>
        </w:tc>
        <w:tc>
          <w:tcPr>
            <w:tcW w:w="481" w:type="pct"/>
            <w:tcBorders>
              <w:top w:val="single" w:sz="4" w:space="0" w:color="auto"/>
              <w:left w:val="nil"/>
              <w:bottom w:val="single" w:sz="4" w:space="0" w:color="auto"/>
              <w:right w:val="single" w:sz="4" w:space="0" w:color="auto"/>
            </w:tcBorders>
            <w:shd w:val="clear" w:color="auto" w:fill="auto"/>
            <w:vAlign w:val="center"/>
            <w:hideMark/>
          </w:tcPr>
          <w:p w14:paraId="5B2016A9"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single" w:sz="4" w:space="0" w:color="auto"/>
              <w:left w:val="nil"/>
              <w:bottom w:val="single" w:sz="4" w:space="0" w:color="auto"/>
              <w:right w:val="single" w:sz="4" w:space="0" w:color="auto"/>
            </w:tcBorders>
            <w:shd w:val="clear" w:color="auto" w:fill="auto"/>
            <w:vAlign w:val="center"/>
            <w:hideMark/>
          </w:tcPr>
          <w:p w14:paraId="79123E90"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single" w:sz="4" w:space="0" w:color="auto"/>
              <w:left w:val="nil"/>
              <w:bottom w:val="single" w:sz="4" w:space="0" w:color="auto"/>
              <w:right w:val="single" w:sz="4" w:space="0" w:color="auto"/>
            </w:tcBorders>
            <w:shd w:val="clear" w:color="auto" w:fill="auto"/>
            <w:vAlign w:val="center"/>
            <w:hideMark/>
          </w:tcPr>
          <w:p w14:paraId="4BF70D1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single" w:sz="4" w:space="0" w:color="auto"/>
              <w:left w:val="nil"/>
              <w:bottom w:val="single" w:sz="4" w:space="0" w:color="auto"/>
              <w:right w:val="single" w:sz="4" w:space="0" w:color="auto"/>
            </w:tcBorders>
            <w:shd w:val="clear" w:color="auto" w:fill="auto"/>
            <w:vAlign w:val="center"/>
            <w:hideMark/>
          </w:tcPr>
          <w:p w14:paraId="5FBE82C6"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single" w:sz="4" w:space="0" w:color="auto"/>
              <w:left w:val="nil"/>
              <w:bottom w:val="single" w:sz="4" w:space="0" w:color="auto"/>
              <w:right w:val="single" w:sz="4" w:space="0" w:color="auto"/>
            </w:tcBorders>
            <w:shd w:val="clear" w:color="auto" w:fill="auto"/>
            <w:vAlign w:val="center"/>
            <w:hideMark/>
          </w:tcPr>
          <w:p w14:paraId="2AABC816"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single" w:sz="4" w:space="0" w:color="auto"/>
              <w:left w:val="nil"/>
              <w:bottom w:val="single" w:sz="4" w:space="0" w:color="auto"/>
              <w:right w:val="single" w:sz="4" w:space="0" w:color="auto"/>
            </w:tcBorders>
            <w:shd w:val="clear" w:color="auto" w:fill="auto"/>
            <w:vAlign w:val="center"/>
            <w:hideMark/>
          </w:tcPr>
          <w:p w14:paraId="1B27CBE3"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single" w:sz="4" w:space="0" w:color="auto"/>
              <w:left w:val="nil"/>
              <w:bottom w:val="single" w:sz="4" w:space="0" w:color="auto"/>
              <w:right w:val="single" w:sz="4" w:space="0" w:color="auto"/>
            </w:tcBorders>
            <w:shd w:val="clear" w:color="auto" w:fill="auto"/>
            <w:vAlign w:val="center"/>
            <w:hideMark/>
          </w:tcPr>
          <w:p w14:paraId="60C5796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053956" w14:paraId="713E4FE2"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4391837D" w14:textId="77777777" w:rsidR="00053956" w:rsidRPr="005E2542"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Compliance Determination increase due to increase regulatory complexity</w:t>
            </w:r>
          </w:p>
        </w:tc>
        <w:tc>
          <w:tcPr>
            <w:tcW w:w="481" w:type="pct"/>
            <w:tcBorders>
              <w:top w:val="nil"/>
              <w:left w:val="nil"/>
              <w:bottom w:val="single" w:sz="4" w:space="0" w:color="auto"/>
              <w:right w:val="single" w:sz="4" w:space="0" w:color="auto"/>
            </w:tcBorders>
            <w:shd w:val="clear" w:color="auto" w:fill="auto"/>
            <w:vAlign w:val="center"/>
            <w:hideMark/>
          </w:tcPr>
          <w:p w14:paraId="406E2D00"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vAlign w:val="center"/>
            <w:hideMark/>
          </w:tcPr>
          <w:p w14:paraId="5DC123A1"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vAlign w:val="center"/>
            <w:hideMark/>
          </w:tcPr>
          <w:p w14:paraId="5580AE08"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vAlign w:val="center"/>
            <w:hideMark/>
          </w:tcPr>
          <w:p w14:paraId="44A13AE1"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vAlign w:val="center"/>
            <w:hideMark/>
          </w:tcPr>
          <w:p w14:paraId="785C98A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nil"/>
              <w:left w:val="nil"/>
              <w:bottom w:val="single" w:sz="4" w:space="0" w:color="auto"/>
              <w:right w:val="single" w:sz="4" w:space="0" w:color="auto"/>
            </w:tcBorders>
            <w:shd w:val="clear" w:color="auto" w:fill="auto"/>
            <w:vAlign w:val="center"/>
            <w:hideMark/>
          </w:tcPr>
          <w:p w14:paraId="13588952"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0.4037</w:t>
            </w:r>
          </w:p>
        </w:tc>
        <w:tc>
          <w:tcPr>
            <w:tcW w:w="551" w:type="pct"/>
            <w:tcBorders>
              <w:top w:val="nil"/>
              <w:left w:val="nil"/>
              <w:bottom w:val="single" w:sz="4" w:space="0" w:color="auto"/>
              <w:right w:val="single" w:sz="4" w:space="0" w:color="auto"/>
            </w:tcBorders>
            <w:shd w:val="clear" w:color="auto" w:fill="auto"/>
            <w:vAlign w:val="center"/>
            <w:hideMark/>
          </w:tcPr>
          <w:p w14:paraId="4698DC0A"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053956" w14:paraId="4B85ECC1" w14:textId="77777777" w:rsidTr="00B8298D">
        <w:tblPrEx>
          <w:tblCellMar>
            <w:left w:w="108" w:type="dxa"/>
            <w:right w:w="108" w:type="dxa"/>
          </w:tblCellMar>
        </w:tblPrEx>
        <w:trPr>
          <w:trHeight w:val="14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7E8B92A6" w14:textId="77777777" w:rsidR="00053956" w:rsidRPr="008C5171" w:rsidRDefault="00053956" w:rsidP="00053956">
            <w:pPr>
              <w:keepNext/>
              <w:rPr>
                <w:rFonts w:ascii="Arial Narrow" w:hAnsi="Arial Narrow" w:cs="Calibri"/>
                <w:color w:val="000000"/>
                <w:sz w:val="18"/>
                <w:szCs w:val="18"/>
              </w:rPr>
            </w:pPr>
            <w:r>
              <w:rPr>
                <w:rFonts w:ascii="Arial Narrow" w:hAnsi="Arial Narrow" w:cs="Calibri"/>
                <w:b/>
                <w:bCs/>
                <w:color w:val="000000"/>
                <w:sz w:val="18"/>
                <w:szCs w:val="18"/>
              </w:rPr>
              <w:t xml:space="preserve">Section </w:t>
            </w:r>
            <w:r w:rsidRPr="00794249">
              <w:rPr>
                <w:rFonts w:ascii="Arial Narrow" w:hAnsi="Arial Narrow" w:cs="Calibri"/>
                <w:b/>
                <w:bCs/>
                <w:color w:val="000000"/>
                <w:sz w:val="18"/>
                <w:szCs w:val="18"/>
              </w:rPr>
              <w:t>8(a) Small Manufacturer Definition</w:t>
            </w:r>
          </w:p>
        </w:tc>
      </w:tr>
      <w:tr w:rsidR="00053956" w14:paraId="0D5A251F"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6BD88B17" w14:textId="77777777" w:rsidR="00053956" w:rsidRPr="005E2542"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Rule Familiarization increase due to increase regulatory complexity</w:t>
            </w:r>
            <w:r w:rsidRPr="005E2542">
              <w:rPr>
                <w:rFonts w:ascii="Arial Narrow" w:hAnsi="Arial Narrow" w:cs="Calibri"/>
                <w:color w:val="000000"/>
                <w:sz w:val="18"/>
                <w:szCs w:val="18"/>
              </w:rPr>
              <w:t xml:space="preserve"> (Industry and Gov’t)</w:t>
            </w:r>
          </w:p>
        </w:tc>
        <w:tc>
          <w:tcPr>
            <w:tcW w:w="481" w:type="pct"/>
            <w:tcBorders>
              <w:top w:val="nil"/>
              <w:left w:val="nil"/>
              <w:bottom w:val="single" w:sz="4" w:space="0" w:color="auto"/>
              <w:right w:val="single" w:sz="4" w:space="0" w:color="auto"/>
            </w:tcBorders>
            <w:shd w:val="clear" w:color="auto" w:fill="auto"/>
            <w:vAlign w:val="center"/>
            <w:hideMark/>
          </w:tcPr>
          <w:p w14:paraId="6D5CEF88"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noWrap/>
            <w:vAlign w:val="center"/>
            <w:hideMark/>
          </w:tcPr>
          <w:p w14:paraId="215E301D"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noWrap/>
            <w:vAlign w:val="center"/>
            <w:hideMark/>
          </w:tcPr>
          <w:p w14:paraId="35689E2E"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noWrap/>
            <w:vAlign w:val="center"/>
            <w:hideMark/>
          </w:tcPr>
          <w:p w14:paraId="098915CB"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6B15C05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nil"/>
              <w:left w:val="nil"/>
              <w:bottom w:val="single" w:sz="4" w:space="0" w:color="auto"/>
              <w:right w:val="single" w:sz="4" w:space="0" w:color="auto"/>
            </w:tcBorders>
            <w:shd w:val="clear" w:color="auto" w:fill="auto"/>
            <w:vAlign w:val="center"/>
            <w:hideMark/>
          </w:tcPr>
          <w:p w14:paraId="3C81DC1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vAlign w:val="center"/>
            <w:hideMark/>
          </w:tcPr>
          <w:p w14:paraId="5CE66268"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053956" w14:paraId="18FA91CA"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hideMark/>
          </w:tcPr>
          <w:p w14:paraId="564EDAF8" w14:textId="77777777" w:rsidR="00053956" w:rsidRPr="005E2542"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 xml:space="preserve">Compliance Determination increase due to </w:t>
            </w:r>
            <w:r w:rsidRPr="005E2542">
              <w:rPr>
                <w:rFonts w:ascii="Arial Narrow" w:hAnsi="Arial Narrow" w:cs="Calibri"/>
                <w:color w:val="000000"/>
                <w:sz w:val="18"/>
                <w:szCs w:val="18"/>
              </w:rPr>
              <w:t>increase regulatory complexity (Industry)</w:t>
            </w:r>
          </w:p>
        </w:tc>
        <w:tc>
          <w:tcPr>
            <w:tcW w:w="481" w:type="pct"/>
            <w:tcBorders>
              <w:top w:val="nil"/>
              <w:left w:val="nil"/>
              <w:bottom w:val="single" w:sz="4" w:space="0" w:color="auto"/>
              <w:right w:val="single" w:sz="4" w:space="0" w:color="auto"/>
            </w:tcBorders>
            <w:shd w:val="clear" w:color="auto" w:fill="auto"/>
            <w:vAlign w:val="center"/>
            <w:hideMark/>
          </w:tcPr>
          <w:p w14:paraId="2A334B97"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noWrap/>
            <w:vAlign w:val="center"/>
            <w:hideMark/>
          </w:tcPr>
          <w:p w14:paraId="0CE79E20"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31" w:type="pct"/>
            <w:tcBorders>
              <w:top w:val="nil"/>
              <w:left w:val="nil"/>
              <w:bottom w:val="single" w:sz="4" w:space="0" w:color="auto"/>
              <w:right w:val="single" w:sz="4" w:space="0" w:color="auto"/>
            </w:tcBorders>
            <w:shd w:val="clear" w:color="auto" w:fill="auto"/>
            <w:noWrap/>
            <w:vAlign w:val="center"/>
            <w:hideMark/>
          </w:tcPr>
          <w:p w14:paraId="2CA9E2EE"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390" w:type="pct"/>
            <w:tcBorders>
              <w:top w:val="nil"/>
              <w:left w:val="nil"/>
              <w:bottom w:val="single" w:sz="4" w:space="0" w:color="auto"/>
              <w:right w:val="single" w:sz="4" w:space="0" w:color="auto"/>
            </w:tcBorders>
            <w:shd w:val="clear" w:color="auto" w:fill="auto"/>
            <w:noWrap/>
            <w:vAlign w:val="center"/>
            <w:hideMark/>
          </w:tcPr>
          <w:p w14:paraId="0C738BD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450" w:type="pct"/>
            <w:tcBorders>
              <w:top w:val="nil"/>
              <w:left w:val="nil"/>
              <w:bottom w:val="single" w:sz="4" w:space="0" w:color="auto"/>
              <w:right w:val="single" w:sz="4" w:space="0" w:color="auto"/>
            </w:tcBorders>
            <w:shd w:val="clear" w:color="auto" w:fill="auto"/>
            <w:noWrap/>
            <w:vAlign w:val="center"/>
            <w:hideMark/>
          </w:tcPr>
          <w:p w14:paraId="47C9A175"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c>
          <w:tcPr>
            <w:tcW w:w="574" w:type="pct"/>
            <w:tcBorders>
              <w:top w:val="nil"/>
              <w:left w:val="nil"/>
              <w:bottom w:val="single" w:sz="4" w:space="0" w:color="auto"/>
              <w:right w:val="single" w:sz="4" w:space="0" w:color="auto"/>
            </w:tcBorders>
            <w:shd w:val="clear" w:color="auto" w:fill="auto"/>
            <w:vAlign w:val="center"/>
            <w:hideMark/>
          </w:tcPr>
          <w:p w14:paraId="1D43EF3B"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1.000</w:t>
            </w:r>
          </w:p>
        </w:tc>
        <w:tc>
          <w:tcPr>
            <w:tcW w:w="551" w:type="pct"/>
            <w:tcBorders>
              <w:top w:val="nil"/>
              <w:left w:val="nil"/>
              <w:bottom w:val="single" w:sz="4" w:space="0" w:color="auto"/>
              <w:right w:val="single" w:sz="4" w:space="0" w:color="auto"/>
            </w:tcBorders>
            <w:shd w:val="clear" w:color="auto" w:fill="auto"/>
            <w:vAlign w:val="center"/>
            <w:hideMark/>
          </w:tcPr>
          <w:p w14:paraId="523D693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themeColor="text1"/>
                <w:sz w:val="18"/>
                <w:szCs w:val="18"/>
              </w:rPr>
              <w:t>0.000</w:t>
            </w:r>
          </w:p>
        </w:tc>
      </w:tr>
      <w:tr w:rsidR="00053956" w14:paraId="48947A55" w14:textId="77777777" w:rsidTr="00B8298D">
        <w:tblPrEx>
          <w:tblCellMar>
            <w:left w:w="108" w:type="dxa"/>
            <w:right w:w="108" w:type="dxa"/>
          </w:tblCellMar>
        </w:tblPrEx>
        <w:trPr>
          <w:trHeight w:val="144"/>
          <w:jc w:val="center"/>
        </w:trPr>
        <w:tc>
          <w:tcPr>
            <w:tcW w:w="1635" w:type="pct"/>
            <w:tcBorders>
              <w:top w:val="nil"/>
              <w:left w:val="single" w:sz="4" w:space="0" w:color="auto"/>
              <w:bottom w:val="single" w:sz="4" w:space="0" w:color="auto"/>
              <w:right w:val="single" w:sz="4" w:space="0" w:color="auto"/>
            </w:tcBorders>
            <w:shd w:val="clear" w:color="auto" w:fill="auto"/>
            <w:vAlign w:val="center"/>
          </w:tcPr>
          <w:p w14:paraId="5FB7C34E" w14:textId="77777777" w:rsidR="00053956" w:rsidRPr="005E2542"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Compliance Determination increase due to increase regulatory complexity (Gov't)</w:t>
            </w:r>
          </w:p>
        </w:tc>
        <w:tc>
          <w:tcPr>
            <w:tcW w:w="481" w:type="pct"/>
            <w:tcBorders>
              <w:top w:val="nil"/>
              <w:left w:val="nil"/>
              <w:bottom w:val="single" w:sz="4" w:space="0" w:color="auto"/>
              <w:right w:val="single" w:sz="4" w:space="0" w:color="auto"/>
            </w:tcBorders>
            <w:shd w:val="clear" w:color="auto" w:fill="auto"/>
            <w:vAlign w:val="center"/>
          </w:tcPr>
          <w:p w14:paraId="27CC67C5" w14:textId="77777777" w:rsidR="00053956" w:rsidRPr="005E2542" w:rsidRDefault="00053956" w:rsidP="00053956">
            <w:pPr>
              <w:rPr>
                <w:rFonts w:ascii="Arial Narrow" w:hAnsi="Arial Narrow" w:cs="Calibri"/>
                <w:color w:val="000000"/>
                <w:sz w:val="18"/>
                <w:szCs w:val="18"/>
              </w:rPr>
            </w:pPr>
            <w:r w:rsidRPr="005E2542">
              <w:rPr>
                <w:rFonts w:ascii="Arial Narrow" w:hAnsi="Arial Narrow" w:cs="Calibri"/>
                <w:color w:val="000000"/>
                <w:sz w:val="18"/>
                <w:szCs w:val="18"/>
              </w:rPr>
              <w:t>Site</w:t>
            </w:r>
          </w:p>
        </w:tc>
        <w:tc>
          <w:tcPr>
            <w:tcW w:w="488" w:type="pct"/>
            <w:tcBorders>
              <w:top w:val="nil"/>
              <w:left w:val="nil"/>
              <w:bottom w:val="single" w:sz="4" w:space="0" w:color="auto"/>
              <w:right w:val="single" w:sz="4" w:space="0" w:color="auto"/>
            </w:tcBorders>
            <w:shd w:val="clear" w:color="auto" w:fill="auto"/>
            <w:noWrap/>
            <w:vAlign w:val="center"/>
          </w:tcPr>
          <w:p w14:paraId="67B5C1A3"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sz w:val="18"/>
                <w:szCs w:val="18"/>
              </w:rPr>
              <w:t>0.052</w:t>
            </w:r>
          </w:p>
        </w:tc>
        <w:tc>
          <w:tcPr>
            <w:tcW w:w="431" w:type="pct"/>
            <w:tcBorders>
              <w:top w:val="nil"/>
              <w:left w:val="nil"/>
              <w:bottom w:val="single" w:sz="4" w:space="0" w:color="auto"/>
              <w:right w:val="single" w:sz="4" w:space="0" w:color="auto"/>
            </w:tcBorders>
            <w:shd w:val="clear" w:color="auto" w:fill="auto"/>
            <w:noWrap/>
            <w:vAlign w:val="center"/>
          </w:tcPr>
          <w:p w14:paraId="42D27896"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sz w:val="18"/>
                <w:szCs w:val="18"/>
              </w:rPr>
              <w:t>0.118</w:t>
            </w:r>
          </w:p>
        </w:tc>
        <w:tc>
          <w:tcPr>
            <w:tcW w:w="390" w:type="pct"/>
            <w:tcBorders>
              <w:top w:val="nil"/>
              <w:left w:val="nil"/>
              <w:bottom w:val="single" w:sz="4" w:space="0" w:color="auto"/>
              <w:right w:val="single" w:sz="4" w:space="0" w:color="auto"/>
            </w:tcBorders>
            <w:shd w:val="clear" w:color="auto" w:fill="auto"/>
            <w:noWrap/>
            <w:vAlign w:val="center"/>
          </w:tcPr>
          <w:p w14:paraId="1F68DB53"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sz w:val="18"/>
                <w:szCs w:val="18"/>
              </w:rPr>
              <w:t>0.000</w:t>
            </w:r>
          </w:p>
        </w:tc>
        <w:tc>
          <w:tcPr>
            <w:tcW w:w="450" w:type="pct"/>
            <w:tcBorders>
              <w:top w:val="nil"/>
              <w:left w:val="nil"/>
              <w:bottom w:val="single" w:sz="4" w:space="0" w:color="auto"/>
              <w:right w:val="single" w:sz="4" w:space="0" w:color="auto"/>
            </w:tcBorders>
            <w:shd w:val="clear" w:color="auto" w:fill="auto"/>
            <w:noWrap/>
            <w:vAlign w:val="center"/>
          </w:tcPr>
          <w:p w14:paraId="14B2C7E9"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sz w:val="18"/>
                <w:szCs w:val="18"/>
              </w:rPr>
              <w:t>0.170</w:t>
            </w:r>
          </w:p>
        </w:tc>
        <w:tc>
          <w:tcPr>
            <w:tcW w:w="574" w:type="pct"/>
            <w:tcBorders>
              <w:top w:val="nil"/>
              <w:left w:val="nil"/>
              <w:bottom w:val="single" w:sz="4" w:space="0" w:color="auto"/>
              <w:right w:val="single" w:sz="4" w:space="0" w:color="auto"/>
            </w:tcBorders>
            <w:shd w:val="clear" w:color="auto" w:fill="auto"/>
            <w:vAlign w:val="center"/>
          </w:tcPr>
          <w:p w14:paraId="29ABF76F"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sz w:val="18"/>
                <w:szCs w:val="18"/>
              </w:rPr>
              <w:t>1.000</w:t>
            </w:r>
          </w:p>
        </w:tc>
        <w:tc>
          <w:tcPr>
            <w:tcW w:w="551" w:type="pct"/>
            <w:tcBorders>
              <w:top w:val="nil"/>
              <w:left w:val="nil"/>
              <w:bottom w:val="single" w:sz="4" w:space="0" w:color="auto"/>
              <w:right w:val="single" w:sz="4" w:space="0" w:color="auto"/>
            </w:tcBorders>
            <w:shd w:val="clear" w:color="auto" w:fill="auto"/>
            <w:vAlign w:val="center"/>
          </w:tcPr>
          <w:p w14:paraId="4540233B" w14:textId="77777777" w:rsidR="00053956" w:rsidRPr="005E2542" w:rsidRDefault="00053956" w:rsidP="00053956">
            <w:pPr>
              <w:jc w:val="center"/>
              <w:rPr>
                <w:rFonts w:ascii="Arial Narrow" w:hAnsi="Arial Narrow" w:cs="Calibri"/>
                <w:color w:val="000000" w:themeColor="text1"/>
                <w:sz w:val="18"/>
                <w:szCs w:val="18"/>
              </w:rPr>
            </w:pPr>
            <w:r w:rsidRPr="005E2542">
              <w:rPr>
                <w:rFonts w:ascii="Arial Narrow" w:hAnsi="Arial Narrow" w:cs="Calibri"/>
                <w:color w:val="000000"/>
                <w:sz w:val="18"/>
                <w:szCs w:val="18"/>
              </w:rPr>
              <w:t>0.170</w:t>
            </w:r>
          </w:p>
        </w:tc>
      </w:tr>
      <w:tr w:rsidR="00053956" w14:paraId="5C9F5A8F" w14:textId="77777777" w:rsidTr="00B8298D">
        <w:trPr>
          <w:trHeight w:val="144"/>
          <w:jc w:val="center"/>
        </w:trPr>
        <w:tc>
          <w:tcPr>
            <w:tcW w:w="5000" w:type="pct"/>
            <w:gridSpan w:val="8"/>
            <w:tcBorders>
              <w:top w:val="single" w:sz="4" w:space="0" w:color="auto"/>
              <w:left w:val="single" w:sz="4" w:space="0" w:color="auto"/>
              <w:bottom w:val="single" w:sz="4" w:space="0" w:color="auto"/>
              <w:right w:val="single" w:sz="4" w:space="0" w:color="auto"/>
            </w:tcBorders>
            <w:shd w:val="clear" w:color="auto" w:fill="auto"/>
          </w:tcPr>
          <w:p w14:paraId="0325D7F0" w14:textId="77777777" w:rsidR="00053956" w:rsidRPr="00794249" w:rsidRDefault="00053956" w:rsidP="00053956">
            <w:pPr>
              <w:rPr>
                <w:rFonts w:ascii="Arial Narrow" w:hAnsi="Arial Narrow" w:cs="Calibri"/>
                <w:color w:val="000000"/>
                <w:sz w:val="18"/>
                <w:szCs w:val="18"/>
              </w:rPr>
            </w:pPr>
            <w:r w:rsidRPr="00794249">
              <w:rPr>
                <w:rFonts w:ascii="Arial Narrow" w:hAnsi="Arial Narrow" w:cs="Calibri"/>
                <w:color w:val="000000"/>
                <w:sz w:val="18"/>
                <w:szCs w:val="18"/>
              </w:rPr>
              <w:t>General Note:</w:t>
            </w:r>
          </w:p>
          <w:p w14:paraId="109C70C8" w14:textId="2B6C1920" w:rsidR="00053956" w:rsidRPr="008C5171" w:rsidRDefault="00053956" w:rsidP="00874EA2">
            <w:pPr>
              <w:pStyle w:val="ListParagraph"/>
              <w:numPr>
                <w:ilvl w:val="0"/>
                <w:numId w:val="60"/>
              </w:numPr>
              <w:ind w:left="144" w:hanging="144"/>
              <w:rPr>
                <w:rFonts w:cs="Calibri"/>
                <w:color w:val="000000"/>
              </w:rPr>
            </w:pPr>
            <w:r w:rsidRPr="00794249">
              <w:rPr>
                <w:rFonts w:ascii="Arial Narrow" w:hAnsi="Arial Narrow" w:cs="Calibri"/>
                <w:color w:val="000000"/>
                <w:sz w:val="18"/>
                <w:szCs w:val="18"/>
              </w:rPr>
              <w:t>For details on development and assumptions associated with items in this table, see source materials (EPA</w:t>
            </w:r>
            <w:r w:rsidR="00FF0FB5">
              <w:rPr>
                <w:rFonts w:ascii="Arial Narrow" w:hAnsi="Arial Narrow" w:cs="Calibri"/>
                <w:color w:val="000000"/>
                <w:sz w:val="18"/>
                <w:szCs w:val="18"/>
              </w:rPr>
              <w:t>,</w:t>
            </w:r>
            <w:r w:rsidRPr="00794249">
              <w:rPr>
                <w:rFonts w:ascii="Arial Narrow" w:hAnsi="Arial Narrow" w:cs="Calibri"/>
                <w:color w:val="000000"/>
                <w:sz w:val="18"/>
                <w:szCs w:val="18"/>
              </w:rPr>
              <w:t xml:space="preserve"> </w:t>
            </w:r>
            <w:r w:rsidR="00D8641B" w:rsidRPr="00794249">
              <w:rPr>
                <w:rFonts w:ascii="Arial Narrow" w:hAnsi="Arial Narrow" w:cs="Calibri"/>
                <w:color w:val="000000"/>
                <w:sz w:val="18"/>
                <w:szCs w:val="18"/>
              </w:rPr>
              <w:t>201</w:t>
            </w:r>
            <w:r w:rsidR="00FF0FB5">
              <w:rPr>
                <w:rFonts w:ascii="Arial Narrow" w:hAnsi="Arial Narrow" w:cs="Calibri"/>
                <w:color w:val="000000"/>
                <w:sz w:val="18"/>
                <w:szCs w:val="18"/>
              </w:rPr>
              <w:t>9a</w:t>
            </w:r>
            <w:r w:rsidRPr="00794249">
              <w:rPr>
                <w:rFonts w:ascii="Arial Narrow" w:hAnsi="Arial Narrow" w:cs="Calibri"/>
                <w:color w:val="000000"/>
                <w:sz w:val="18"/>
                <w:szCs w:val="18"/>
              </w:rPr>
              <w:t xml:space="preserve">, </w:t>
            </w:r>
            <w:r>
              <w:rPr>
                <w:rFonts w:ascii="Arial Narrow" w:hAnsi="Arial Narrow" w:cs="Calibri"/>
                <w:color w:val="000000"/>
                <w:sz w:val="18"/>
                <w:szCs w:val="18"/>
              </w:rPr>
              <w:t xml:space="preserve">EPA, </w:t>
            </w:r>
            <w:r w:rsidR="00FF0FB5">
              <w:rPr>
                <w:rFonts w:ascii="Arial Narrow" w:hAnsi="Arial Narrow" w:cs="Calibri"/>
                <w:color w:val="000000"/>
                <w:sz w:val="18"/>
                <w:szCs w:val="18"/>
              </w:rPr>
              <w:t>2019b</w:t>
            </w:r>
            <w:r w:rsidRPr="00794249">
              <w:rPr>
                <w:rFonts w:ascii="Arial Narrow" w:hAnsi="Arial Narrow" w:cs="Calibri"/>
                <w:color w:val="000000"/>
                <w:sz w:val="18"/>
                <w:szCs w:val="18"/>
              </w:rPr>
              <w:t xml:space="preserve">, and </w:t>
            </w:r>
            <w:r>
              <w:rPr>
                <w:rFonts w:ascii="Arial Narrow" w:hAnsi="Arial Narrow" w:cs="Calibri"/>
                <w:color w:val="000000"/>
                <w:sz w:val="18"/>
                <w:szCs w:val="18"/>
              </w:rPr>
              <w:t xml:space="preserve">EPA, </w:t>
            </w:r>
            <w:r w:rsidR="00FF0FB5">
              <w:rPr>
                <w:rFonts w:ascii="Arial Narrow" w:hAnsi="Arial Narrow" w:cs="Calibri"/>
                <w:color w:val="000000"/>
                <w:sz w:val="18"/>
                <w:szCs w:val="18"/>
              </w:rPr>
              <w:t>2018b</w:t>
            </w:r>
            <w:r w:rsidRPr="00794249">
              <w:rPr>
                <w:rFonts w:ascii="Arial Narrow" w:hAnsi="Arial Narrow" w:cs="Calibri"/>
                <w:color w:val="000000"/>
                <w:sz w:val="18"/>
                <w:szCs w:val="18"/>
              </w:rPr>
              <w:t>)</w:t>
            </w:r>
            <w:r w:rsidR="00CA16ED">
              <w:rPr>
                <w:rFonts w:ascii="Arial Narrow" w:hAnsi="Arial Narrow"/>
                <w:sz w:val="18"/>
                <w:szCs w:val="18"/>
              </w:rPr>
              <w:t>.</w:t>
            </w:r>
          </w:p>
        </w:tc>
      </w:tr>
    </w:tbl>
    <w:p w14:paraId="6861F8BD" w14:textId="618228C7" w:rsidR="00B8298D" w:rsidRPr="00AD1F77" w:rsidRDefault="00B8298D" w:rsidP="00B8298D">
      <w:pPr>
        <w:pStyle w:val="BodyText"/>
        <w:spacing w:before="240"/>
      </w:pPr>
      <w:r>
        <w:t xml:space="preserve">Incremental new reporter unit burden for form completion activities associated with CDR Revisions </w:t>
      </w:r>
      <w:r w:rsidR="00053956">
        <w:t xml:space="preserve">is </w:t>
      </w:r>
      <w:r>
        <w:t xml:space="preserve">based </w:t>
      </w:r>
      <w:r w:rsidRPr="00D50B35">
        <w:t xml:space="preserve">on estimates </w:t>
      </w:r>
      <w:r>
        <w:t>of</w:t>
      </w:r>
      <w:r w:rsidRPr="00D50B35">
        <w:t xml:space="preserve"> experienced reporter burden </w:t>
      </w:r>
      <w:r>
        <w:t xml:space="preserve">for the modifications and additions to form completion </w:t>
      </w:r>
      <w:r w:rsidRPr="00794249">
        <w:t>activities</w:t>
      </w:r>
      <w:r>
        <w:t xml:space="preserve"> proposed by the rule; new reporters are estimated to take 1.26 times longer than experienced reporters (</w:t>
      </w:r>
      <w:bookmarkStart w:id="72" w:name="_Hlk527375031"/>
      <w:r>
        <w:t xml:space="preserve">EPA, </w:t>
      </w:r>
      <w:r w:rsidR="00FF0FB5">
        <w:t>2018b</w:t>
      </w:r>
      <w:r>
        <w:t>)</w:t>
      </w:r>
      <w:bookmarkEnd w:id="72"/>
      <w:r>
        <w:t>.</w:t>
      </w:r>
      <w:r w:rsidRPr="00F5105C">
        <w:rPr>
          <w:rStyle w:val="FootnoteReference"/>
          <w:rFonts w:eastAsiaTheme="majorEastAsia"/>
          <w:bCs/>
          <w:color w:val="000000"/>
        </w:rPr>
        <w:t xml:space="preserve"> </w:t>
      </w:r>
      <w:r>
        <w:t xml:space="preserve">These unit burdens are </w:t>
      </w:r>
      <w:r w:rsidRPr="004D29D6">
        <w:t xml:space="preserve">applied to new reporters under </w:t>
      </w:r>
      <w:r w:rsidR="0041511D" w:rsidRPr="00A21CA1">
        <w:rPr>
          <w:color w:val="000000" w:themeColor="text1"/>
        </w:rPr>
        <w:t>future cycle</w:t>
      </w:r>
      <w:r w:rsidR="00053956" w:rsidRPr="00A21CA1">
        <w:rPr>
          <w:color w:val="000000" w:themeColor="text1"/>
        </w:rPr>
        <w:t xml:space="preserve"> </w:t>
      </w:r>
      <w:r w:rsidR="00053956" w:rsidRPr="00AD1F77">
        <w:t>conditions</w:t>
      </w:r>
      <w:r w:rsidR="00331D53">
        <w:t xml:space="preserve"> under the proposed rule option</w:t>
      </w:r>
      <w:r w:rsidRPr="00AD1F77">
        <w:t>.</w:t>
      </w:r>
    </w:p>
    <w:p w14:paraId="11904DDE" w14:textId="590BF25D" w:rsidR="00B8298D" w:rsidRPr="00AD1F77" w:rsidRDefault="00B8298D" w:rsidP="00B8298D">
      <w:pPr>
        <w:pStyle w:val="BodyText"/>
      </w:pPr>
      <w:r w:rsidRPr="004D29D6">
        <w:fldChar w:fldCharType="begin"/>
      </w:r>
      <w:r w:rsidRPr="00AD1F77">
        <w:instrText xml:space="preserve"> REF _Ref526352636 \h </w:instrText>
      </w:r>
      <w:r>
        <w:instrText xml:space="preserve"> \* MERGEFORMAT </w:instrText>
      </w:r>
      <w:r w:rsidRPr="004D29D6">
        <w:fldChar w:fldCharType="separate"/>
      </w:r>
      <w:r w:rsidR="00745E52" w:rsidRPr="00AD1F77">
        <w:t xml:space="preserve">Table </w:t>
      </w:r>
      <w:r w:rsidR="00745E52">
        <w:rPr>
          <w:noProof/>
        </w:rPr>
        <w:t>4</w:t>
      </w:r>
      <w:r w:rsidRPr="004D29D6">
        <w:fldChar w:fldCharType="end"/>
      </w:r>
      <w:r w:rsidRPr="004D29D6">
        <w:t xml:space="preserve"> presents the derivation of incremental unit </w:t>
      </w:r>
      <w:r w:rsidRPr="00AD1F77">
        <w:t xml:space="preserve">burdens for new reporters and the overall average reporter for activities relating to reportable data elements and CBI substantiation. For </w:t>
      </w:r>
      <w:r w:rsidR="0041511D">
        <w:t>future cycles</w:t>
      </w:r>
      <w:r w:rsidRPr="00AD1F77">
        <w:t>, EPA estimates conditions at about 15% new reporters</w:t>
      </w:r>
      <w:r w:rsidR="00F00686">
        <w:t>, 78% full reports</w:t>
      </w:r>
      <w:r w:rsidR="00F00686">
        <w:rPr>
          <w:rStyle w:val="FootnoteReference"/>
        </w:rPr>
        <w:footnoteReference w:id="7"/>
      </w:r>
      <w:r w:rsidR="00F00686">
        <w:t>,</w:t>
      </w:r>
      <w:r w:rsidRPr="00AD1F77">
        <w:t xml:space="preserve"> and 7.5 chemical reports per site (as in the analyses of EPA (</w:t>
      </w:r>
      <w:r w:rsidR="00FF0FB5" w:rsidRPr="00AD1F77">
        <w:t>201</w:t>
      </w:r>
      <w:r w:rsidR="00FF0FB5">
        <w:t>9a</w:t>
      </w:r>
      <w:r w:rsidRPr="00AD1F77">
        <w:t>)).</w:t>
      </w:r>
    </w:p>
    <w:tbl>
      <w:tblPr>
        <w:tblW w:w="5000" w:type="pct"/>
        <w:jc w:val="center"/>
        <w:tblLayout w:type="fixed"/>
        <w:tblCellMar>
          <w:left w:w="115" w:type="dxa"/>
          <w:right w:w="115" w:type="dxa"/>
        </w:tblCellMar>
        <w:tblLook w:val="04A0" w:firstRow="1" w:lastRow="0" w:firstColumn="1" w:lastColumn="0" w:noHBand="0" w:noVBand="1"/>
      </w:tblPr>
      <w:tblGrid>
        <w:gridCol w:w="281"/>
        <w:gridCol w:w="3869"/>
        <w:gridCol w:w="1936"/>
        <w:gridCol w:w="1752"/>
        <w:gridCol w:w="1752"/>
      </w:tblGrid>
      <w:tr w:rsidR="00B8298D" w14:paraId="168E89B6" w14:textId="77777777" w:rsidTr="00B8298D">
        <w:trPr>
          <w:tblHeader/>
          <w:jc w:val="center"/>
        </w:trPr>
        <w:tc>
          <w:tcPr>
            <w:tcW w:w="9360" w:type="dxa"/>
            <w:gridSpan w:val="5"/>
            <w:tcBorders>
              <w:top w:val="nil"/>
              <w:left w:val="nil"/>
              <w:bottom w:val="single" w:sz="4" w:space="0" w:color="auto"/>
              <w:right w:val="nil"/>
            </w:tcBorders>
            <w:shd w:val="clear" w:color="auto" w:fill="auto"/>
            <w:vAlign w:val="center"/>
            <w:hideMark/>
          </w:tcPr>
          <w:p w14:paraId="68080401" w14:textId="64149CAD" w:rsidR="00B8298D" w:rsidRPr="004D29D6" w:rsidRDefault="00B8298D" w:rsidP="00B8298D">
            <w:pPr>
              <w:pStyle w:val="Caption"/>
              <w:keepNext/>
              <w:rPr>
                <w:color w:val="000000"/>
              </w:rPr>
            </w:pPr>
            <w:bookmarkStart w:id="73" w:name="_Ref526352636"/>
            <w:bookmarkStart w:id="74" w:name="_Ref524342694"/>
            <w:r w:rsidRPr="00AD1F77">
              <w:t xml:space="preserve">Table </w:t>
            </w:r>
            <w:r>
              <w:rPr>
                <w:noProof/>
              </w:rPr>
              <w:fldChar w:fldCharType="begin"/>
            </w:r>
            <w:r>
              <w:rPr>
                <w:noProof/>
              </w:rPr>
              <w:instrText xml:space="preserve"> SEQ Table \* ARABIC </w:instrText>
            </w:r>
            <w:r>
              <w:rPr>
                <w:noProof/>
              </w:rPr>
              <w:fldChar w:fldCharType="separate"/>
            </w:r>
            <w:r w:rsidR="00745E52">
              <w:rPr>
                <w:noProof/>
              </w:rPr>
              <w:t>4</w:t>
            </w:r>
            <w:r>
              <w:rPr>
                <w:noProof/>
              </w:rPr>
              <w:fldChar w:fldCharType="end"/>
            </w:r>
            <w:bookmarkEnd w:id="73"/>
            <w:bookmarkEnd w:id="74"/>
            <w:r w:rsidRPr="004D29D6">
              <w:t xml:space="preserve">: </w:t>
            </w:r>
            <w:r w:rsidRPr="004D29D6">
              <w:rPr>
                <w:bCs w:val="0"/>
                <w:color w:val="000000"/>
              </w:rPr>
              <w:t>Reportable Data Elements and CBI Substantiation Incremental Burden, Experienced and New Reporters, Four-Year Cycle, Industry and Government</w:t>
            </w:r>
          </w:p>
        </w:tc>
      </w:tr>
      <w:tr w:rsidR="00B8298D" w14:paraId="3690BB72" w14:textId="77777777" w:rsidTr="00B8298D">
        <w:trPr>
          <w:tblHeader/>
          <w:jc w:val="center"/>
        </w:trPr>
        <w:tc>
          <w:tcPr>
            <w:tcW w:w="4050" w:type="dxa"/>
            <w:gridSpan w:val="2"/>
            <w:vMerge w:val="restart"/>
            <w:tcBorders>
              <w:top w:val="nil"/>
              <w:left w:val="single" w:sz="4" w:space="0" w:color="auto"/>
              <w:bottom w:val="single" w:sz="4" w:space="0" w:color="000000" w:themeColor="text1"/>
              <w:right w:val="single" w:sz="4" w:space="0" w:color="auto"/>
            </w:tcBorders>
            <w:shd w:val="clear" w:color="auto" w:fill="BFBFBF" w:themeFill="background1" w:themeFillShade="BF"/>
            <w:noWrap/>
            <w:vAlign w:val="bottom"/>
            <w:hideMark/>
          </w:tcPr>
          <w:p w14:paraId="7545BB71" w14:textId="77777777" w:rsidR="00B8298D" w:rsidRPr="00794249" w:rsidRDefault="00B8298D" w:rsidP="00B8298D">
            <w:pPr>
              <w:jc w:val="center"/>
              <w:rPr>
                <w:rFonts w:ascii="Arial Narrow" w:hAnsi="Arial Narrow" w:cs="Calibri"/>
                <w:b/>
                <w:bCs/>
                <w:color w:val="000000"/>
                <w:sz w:val="18"/>
                <w:szCs w:val="18"/>
              </w:rPr>
            </w:pPr>
            <w:r w:rsidRPr="00794249">
              <w:rPr>
                <w:rFonts w:ascii="Arial Narrow" w:hAnsi="Arial Narrow" w:cs="Calibri"/>
                <w:b/>
                <w:bCs/>
                <w:color w:val="000000"/>
                <w:sz w:val="18"/>
                <w:szCs w:val="18"/>
              </w:rPr>
              <w:t>Activity</w:t>
            </w:r>
          </w:p>
        </w:tc>
        <w:tc>
          <w:tcPr>
            <w:tcW w:w="1890" w:type="dxa"/>
            <w:tcBorders>
              <w:top w:val="nil"/>
              <w:left w:val="nil"/>
              <w:bottom w:val="single" w:sz="4" w:space="0" w:color="auto"/>
              <w:right w:val="single" w:sz="4" w:space="0" w:color="auto"/>
            </w:tcBorders>
            <w:shd w:val="clear" w:color="auto" w:fill="BFBFBF" w:themeFill="background1" w:themeFillShade="BF"/>
            <w:vAlign w:val="bottom"/>
            <w:hideMark/>
          </w:tcPr>
          <w:p w14:paraId="0F34E453" w14:textId="77777777" w:rsidR="00B8298D" w:rsidRPr="002F5DF8" w:rsidRDefault="00B8298D" w:rsidP="00B8298D">
            <w:pPr>
              <w:jc w:val="center"/>
              <w:rPr>
                <w:rFonts w:ascii="Arial Narrow" w:hAnsi="Arial Narrow" w:cs="Calibri"/>
                <w:b/>
                <w:bCs/>
                <w:color w:val="000000"/>
                <w:sz w:val="18"/>
                <w:szCs w:val="18"/>
              </w:rPr>
            </w:pPr>
            <w:r w:rsidRPr="002F5DF8">
              <w:rPr>
                <w:rFonts w:ascii="Arial Narrow" w:hAnsi="Arial Narrow" w:cs="Calibri"/>
                <w:b/>
                <w:bCs/>
                <w:color w:val="000000"/>
                <w:sz w:val="18"/>
                <w:szCs w:val="18"/>
              </w:rPr>
              <w:t>Experienced Reporters</w:t>
            </w:r>
          </w:p>
        </w:tc>
        <w:tc>
          <w:tcPr>
            <w:tcW w:w="1710" w:type="dxa"/>
            <w:tcBorders>
              <w:top w:val="nil"/>
              <w:left w:val="nil"/>
              <w:bottom w:val="single" w:sz="4" w:space="0" w:color="auto"/>
              <w:right w:val="single" w:sz="4" w:space="0" w:color="auto"/>
            </w:tcBorders>
            <w:shd w:val="clear" w:color="auto" w:fill="BFBFBF" w:themeFill="background1" w:themeFillShade="BF"/>
            <w:vAlign w:val="bottom"/>
            <w:hideMark/>
          </w:tcPr>
          <w:p w14:paraId="7B280ACE" w14:textId="77777777" w:rsidR="00B8298D" w:rsidRPr="002F5DF8" w:rsidRDefault="00B8298D" w:rsidP="00B8298D">
            <w:pPr>
              <w:jc w:val="center"/>
              <w:rPr>
                <w:rFonts w:ascii="Arial Narrow" w:hAnsi="Arial Narrow" w:cs="Calibri"/>
                <w:b/>
                <w:bCs/>
                <w:color w:val="000000"/>
                <w:sz w:val="18"/>
                <w:szCs w:val="18"/>
              </w:rPr>
            </w:pPr>
            <w:r w:rsidRPr="002F5DF8">
              <w:rPr>
                <w:rFonts w:ascii="Arial Narrow" w:hAnsi="Arial Narrow" w:cs="Calibri"/>
                <w:b/>
                <w:bCs/>
                <w:color w:val="000000"/>
                <w:sz w:val="18"/>
                <w:szCs w:val="18"/>
              </w:rPr>
              <w:t>New Reporters</w:t>
            </w:r>
            <w:r w:rsidRPr="002F5DF8">
              <w:rPr>
                <w:rFonts w:ascii="Arial Narrow" w:hAnsi="Arial Narrow" w:cs="Calibri"/>
                <w:b/>
                <w:bCs/>
                <w:color w:val="000000"/>
                <w:sz w:val="18"/>
                <w:szCs w:val="18"/>
                <w:vertAlign w:val="superscript"/>
              </w:rPr>
              <w:t>1</w:t>
            </w:r>
          </w:p>
        </w:tc>
        <w:tc>
          <w:tcPr>
            <w:tcW w:w="1710" w:type="dxa"/>
            <w:tcBorders>
              <w:top w:val="nil"/>
              <w:left w:val="nil"/>
              <w:bottom w:val="single" w:sz="4" w:space="0" w:color="auto"/>
              <w:right w:val="single" w:sz="4" w:space="0" w:color="auto"/>
            </w:tcBorders>
            <w:shd w:val="clear" w:color="auto" w:fill="BFBFBF" w:themeFill="background1" w:themeFillShade="BF"/>
            <w:vAlign w:val="bottom"/>
            <w:hideMark/>
          </w:tcPr>
          <w:p w14:paraId="4A338C0D" w14:textId="144CF5DC" w:rsidR="00B8298D" w:rsidRPr="002F5DF8" w:rsidRDefault="00536DA0" w:rsidP="00B8298D">
            <w:pPr>
              <w:jc w:val="center"/>
              <w:rPr>
                <w:rFonts w:ascii="Arial Narrow" w:hAnsi="Arial Narrow" w:cs="Calibri"/>
                <w:b/>
                <w:bCs/>
                <w:color w:val="000000"/>
                <w:sz w:val="18"/>
                <w:szCs w:val="18"/>
              </w:rPr>
            </w:pPr>
            <w:r w:rsidRPr="002F5DF8">
              <w:rPr>
                <w:rFonts w:ascii="Arial Narrow" w:hAnsi="Arial Narrow" w:cs="Calibri"/>
                <w:b/>
                <w:bCs/>
                <w:color w:val="000000"/>
                <w:sz w:val="18"/>
                <w:szCs w:val="18"/>
              </w:rPr>
              <w:t>Overall</w:t>
            </w:r>
            <w:r w:rsidR="00152B42" w:rsidRPr="00874EA2">
              <w:rPr>
                <w:rFonts w:ascii="Arial Narrow" w:hAnsi="Arial Narrow" w:cs="Calibri"/>
                <w:b/>
                <w:bCs/>
                <w:color w:val="000000"/>
                <w:sz w:val="18"/>
                <w:szCs w:val="18"/>
                <w:vertAlign w:val="superscript"/>
              </w:rPr>
              <w:t>2</w:t>
            </w:r>
          </w:p>
        </w:tc>
      </w:tr>
      <w:tr w:rsidR="00536DA0" w14:paraId="039B9EBF" w14:textId="77777777" w:rsidTr="00B8298D">
        <w:trPr>
          <w:tblHeader/>
          <w:jc w:val="center"/>
        </w:trPr>
        <w:tc>
          <w:tcPr>
            <w:tcW w:w="4050" w:type="dxa"/>
            <w:gridSpan w:val="2"/>
            <w:vMerge/>
            <w:tcBorders>
              <w:top w:val="nil"/>
              <w:left w:val="single" w:sz="4" w:space="0" w:color="auto"/>
              <w:bottom w:val="single" w:sz="4" w:space="0" w:color="000000"/>
              <w:right w:val="single" w:sz="4" w:space="0" w:color="auto"/>
            </w:tcBorders>
            <w:shd w:val="clear" w:color="auto" w:fill="BFBFBF"/>
            <w:vAlign w:val="center"/>
            <w:hideMark/>
          </w:tcPr>
          <w:p w14:paraId="6973CD64" w14:textId="77777777" w:rsidR="00536DA0" w:rsidRPr="002F5DF8" w:rsidRDefault="00536DA0" w:rsidP="00536DA0">
            <w:pPr>
              <w:rPr>
                <w:rFonts w:ascii="Arial Narrow" w:hAnsi="Arial Narrow" w:cs="Calibri"/>
                <w:b/>
                <w:bCs/>
                <w:color w:val="000000"/>
                <w:sz w:val="18"/>
                <w:szCs w:val="18"/>
              </w:rPr>
            </w:pPr>
          </w:p>
        </w:tc>
        <w:tc>
          <w:tcPr>
            <w:tcW w:w="1890" w:type="dxa"/>
            <w:tcBorders>
              <w:top w:val="nil"/>
              <w:left w:val="nil"/>
              <w:bottom w:val="single" w:sz="4" w:space="0" w:color="auto"/>
              <w:right w:val="single" w:sz="4" w:space="0" w:color="auto"/>
            </w:tcBorders>
            <w:shd w:val="clear" w:color="auto" w:fill="BFBFBF" w:themeFill="background1" w:themeFillShade="BF"/>
            <w:vAlign w:val="center"/>
            <w:hideMark/>
          </w:tcPr>
          <w:p w14:paraId="1A9B7263" w14:textId="258FED68" w:rsidR="00536DA0" w:rsidRPr="002F5DF8" w:rsidRDefault="00536DA0" w:rsidP="00536DA0">
            <w:pPr>
              <w:jc w:val="center"/>
              <w:rPr>
                <w:rFonts w:ascii="Arial Narrow" w:hAnsi="Arial Narrow" w:cs="Calibri"/>
                <w:b/>
                <w:bCs/>
                <w:color w:val="000000"/>
                <w:sz w:val="18"/>
                <w:szCs w:val="18"/>
              </w:rPr>
            </w:pPr>
            <w:r w:rsidRPr="002F5DF8">
              <w:rPr>
                <w:rFonts w:ascii="Arial Narrow" w:hAnsi="Arial Narrow" w:cs="Calibri"/>
                <w:b/>
                <w:bCs/>
                <w:color w:val="000000"/>
                <w:sz w:val="18"/>
                <w:szCs w:val="18"/>
              </w:rPr>
              <w:t>Unit Burden per Average Site (</w:t>
            </w:r>
            <w:r>
              <w:rPr>
                <w:rFonts w:ascii="Arial Narrow" w:hAnsi="Arial Narrow" w:cs="Calibri"/>
                <w:b/>
                <w:bCs/>
                <w:color w:val="000000"/>
                <w:sz w:val="18"/>
                <w:szCs w:val="18"/>
              </w:rPr>
              <w:t>h</w:t>
            </w:r>
            <w:r w:rsidRPr="002F5DF8">
              <w:rPr>
                <w:rFonts w:ascii="Arial Narrow" w:hAnsi="Arial Narrow" w:cs="Calibri"/>
                <w:b/>
                <w:bCs/>
                <w:color w:val="000000"/>
                <w:sz w:val="18"/>
                <w:szCs w:val="18"/>
              </w:rPr>
              <w:t>ours)</w:t>
            </w:r>
          </w:p>
        </w:tc>
        <w:tc>
          <w:tcPr>
            <w:tcW w:w="1710" w:type="dxa"/>
            <w:tcBorders>
              <w:top w:val="nil"/>
              <w:left w:val="nil"/>
              <w:bottom w:val="single" w:sz="4" w:space="0" w:color="auto"/>
              <w:right w:val="single" w:sz="4" w:space="0" w:color="auto"/>
            </w:tcBorders>
            <w:shd w:val="clear" w:color="auto" w:fill="BFBFBF" w:themeFill="background1" w:themeFillShade="BF"/>
            <w:vAlign w:val="center"/>
            <w:hideMark/>
          </w:tcPr>
          <w:p w14:paraId="587FF982" w14:textId="1D937A89" w:rsidR="00536DA0" w:rsidRPr="002F5DF8" w:rsidRDefault="00536DA0" w:rsidP="00536DA0">
            <w:pPr>
              <w:jc w:val="center"/>
              <w:rPr>
                <w:rFonts w:ascii="Arial Narrow" w:hAnsi="Arial Narrow" w:cs="Calibri"/>
                <w:b/>
                <w:bCs/>
                <w:color w:val="000000"/>
                <w:sz w:val="18"/>
                <w:szCs w:val="18"/>
              </w:rPr>
            </w:pPr>
            <w:r w:rsidRPr="002F5DF8">
              <w:rPr>
                <w:rFonts w:ascii="Arial Narrow" w:hAnsi="Arial Narrow" w:cs="Calibri"/>
                <w:b/>
                <w:bCs/>
                <w:color w:val="000000"/>
                <w:sz w:val="18"/>
                <w:szCs w:val="18"/>
              </w:rPr>
              <w:t>Unit Burden per Average Site (</w:t>
            </w:r>
            <w:r>
              <w:rPr>
                <w:rFonts w:ascii="Arial Narrow" w:hAnsi="Arial Narrow" w:cs="Calibri"/>
                <w:b/>
                <w:bCs/>
                <w:color w:val="000000"/>
                <w:sz w:val="18"/>
                <w:szCs w:val="18"/>
              </w:rPr>
              <w:t>h</w:t>
            </w:r>
            <w:r w:rsidRPr="002F5DF8">
              <w:rPr>
                <w:rFonts w:ascii="Arial Narrow" w:hAnsi="Arial Narrow" w:cs="Calibri"/>
                <w:b/>
                <w:bCs/>
                <w:color w:val="000000"/>
                <w:sz w:val="18"/>
                <w:szCs w:val="18"/>
              </w:rPr>
              <w:t>ours)</w:t>
            </w:r>
          </w:p>
        </w:tc>
        <w:tc>
          <w:tcPr>
            <w:tcW w:w="1710" w:type="dxa"/>
            <w:tcBorders>
              <w:top w:val="nil"/>
              <w:left w:val="nil"/>
              <w:bottom w:val="single" w:sz="4" w:space="0" w:color="auto"/>
              <w:right w:val="single" w:sz="4" w:space="0" w:color="auto"/>
            </w:tcBorders>
            <w:shd w:val="clear" w:color="auto" w:fill="BFBFBF" w:themeFill="background1" w:themeFillShade="BF"/>
            <w:vAlign w:val="center"/>
            <w:hideMark/>
          </w:tcPr>
          <w:p w14:paraId="4093DD3F" w14:textId="3DD0A5BF" w:rsidR="00536DA0" w:rsidRPr="002F5DF8" w:rsidRDefault="00536DA0" w:rsidP="00536DA0">
            <w:pPr>
              <w:jc w:val="center"/>
              <w:rPr>
                <w:rFonts w:ascii="Arial Narrow" w:hAnsi="Arial Narrow" w:cs="Calibri"/>
                <w:b/>
                <w:bCs/>
                <w:color w:val="000000"/>
                <w:sz w:val="18"/>
                <w:szCs w:val="18"/>
              </w:rPr>
            </w:pPr>
            <w:r w:rsidRPr="002F5DF8">
              <w:rPr>
                <w:rFonts w:ascii="Arial Narrow" w:hAnsi="Arial Narrow" w:cs="Calibri"/>
                <w:b/>
                <w:bCs/>
                <w:color w:val="000000"/>
                <w:sz w:val="18"/>
                <w:szCs w:val="18"/>
              </w:rPr>
              <w:t>Unit Burden per Average Site (</w:t>
            </w:r>
            <w:r>
              <w:rPr>
                <w:rFonts w:ascii="Arial Narrow" w:hAnsi="Arial Narrow" w:cs="Calibri"/>
                <w:b/>
                <w:bCs/>
                <w:color w:val="000000"/>
                <w:sz w:val="18"/>
                <w:szCs w:val="18"/>
              </w:rPr>
              <w:t>h</w:t>
            </w:r>
            <w:r w:rsidRPr="002F5DF8">
              <w:rPr>
                <w:rFonts w:ascii="Arial Narrow" w:hAnsi="Arial Narrow" w:cs="Calibri"/>
                <w:b/>
                <w:bCs/>
                <w:color w:val="000000"/>
                <w:sz w:val="18"/>
                <w:szCs w:val="18"/>
              </w:rPr>
              <w:t>ours)</w:t>
            </w:r>
          </w:p>
        </w:tc>
      </w:tr>
      <w:tr w:rsidR="00B8298D" w14:paraId="2A04BB73" w14:textId="77777777" w:rsidTr="00B8298D">
        <w:trPr>
          <w:jc w:val="center"/>
        </w:trPr>
        <w:tc>
          <w:tcPr>
            <w:tcW w:w="4050" w:type="dxa"/>
            <w:gridSpan w:val="2"/>
            <w:tcBorders>
              <w:top w:val="single" w:sz="4" w:space="0" w:color="auto"/>
              <w:left w:val="single" w:sz="4" w:space="0" w:color="auto"/>
              <w:bottom w:val="single" w:sz="4" w:space="0" w:color="auto"/>
              <w:right w:val="nil"/>
            </w:tcBorders>
            <w:shd w:val="clear" w:color="auto" w:fill="auto"/>
            <w:vAlign w:val="bottom"/>
            <w:hideMark/>
          </w:tcPr>
          <w:p w14:paraId="0425A53C" w14:textId="77777777" w:rsidR="00B8298D" w:rsidRPr="00794249" w:rsidRDefault="00B8298D" w:rsidP="00B8298D">
            <w:pPr>
              <w:rPr>
                <w:rFonts w:ascii="Arial Narrow" w:hAnsi="Arial Narrow" w:cs="Calibri"/>
                <w:b/>
                <w:bCs/>
                <w:color w:val="000000"/>
                <w:sz w:val="18"/>
                <w:szCs w:val="18"/>
              </w:rPr>
            </w:pPr>
            <w:r w:rsidRPr="00794249">
              <w:rPr>
                <w:rFonts w:ascii="Arial Narrow" w:hAnsi="Arial Narrow" w:cs="Calibri"/>
                <w:b/>
                <w:bCs/>
                <w:color w:val="000000"/>
                <w:sz w:val="18"/>
                <w:szCs w:val="18"/>
              </w:rPr>
              <w:t>Reportable Data Elements</w:t>
            </w:r>
          </w:p>
        </w:tc>
        <w:tc>
          <w:tcPr>
            <w:tcW w:w="1890" w:type="dxa"/>
            <w:tcBorders>
              <w:top w:val="nil"/>
              <w:left w:val="nil"/>
              <w:bottom w:val="single" w:sz="4" w:space="0" w:color="auto"/>
              <w:right w:val="nil"/>
            </w:tcBorders>
            <w:shd w:val="clear" w:color="auto" w:fill="auto"/>
            <w:noWrap/>
            <w:vAlign w:val="center"/>
            <w:hideMark/>
          </w:tcPr>
          <w:p w14:paraId="3340A9D7"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 </w:t>
            </w:r>
          </w:p>
        </w:tc>
        <w:tc>
          <w:tcPr>
            <w:tcW w:w="1710" w:type="dxa"/>
            <w:tcBorders>
              <w:top w:val="nil"/>
              <w:left w:val="nil"/>
              <w:bottom w:val="single" w:sz="4" w:space="0" w:color="auto"/>
              <w:right w:val="nil"/>
            </w:tcBorders>
            <w:shd w:val="clear" w:color="auto" w:fill="auto"/>
            <w:noWrap/>
            <w:vAlign w:val="center"/>
            <w:hideMark/>
          </w:tcPr>
          <w:p w14:paraId="52C07C0A"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 </w:t>
            </w:r>
          </w:p>
        </w:tc>
        <w:tc>
          <w:tcPr>
            <w:tcW w:w="1710" w:type="dxa"/>
            <w:tcBorders>
              <w:top w:val="nil"/>
              <w:left w:val="nil"/>
              <w:bottom w:val="single" w:sz="4" w:space="0" w:color="auto"/>
              <w:right w:val="single" w:sz="4" w:space="0" w:color="auto"/>
            </w:tcBorders>
            <w:shd w:val="clear" w:color="auto" w:fill="auto"/>
            <w:noWrap/>
            <w:vAlign w:val="center"/>
            <w:hideMark/>
          </w:tcPr>
          <w:p w14:paraId="3D636ACB"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 </w:t>
            </w:r>
          </w:p>
        </w:tc>
      </w:tr>
      <w:tr w:rsidR="00B8298D" w14:paraId="33988C08" w14:textId="77777777" w:rsidTr="00B8298D">
        <w:trPr>
          <w:jc w:val="center"/>
        </w:trPr>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297EC1E" w14:textId="08737146"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Rule Familiarization</w:t>
            </w:r>
            <w:r w:rsidR="00152B42">
              <w:rPr>
                <w:rFonts w:ascii="Arial Narrow" w:hAnsi="Arial Narrow" w:cs="Calibri"/>
                <w:color w:val="000000"/>
                <w:sz w:val="18"/>
                <w:szCs w:val="18"/>
                <w:vertAlign w:val="superscript"/>
              </w:rPr>
              <w:t>3</w:t>
            </w:r>
          </w:p>
        </w:tc>
        <w:tc>
          <w:tcPr>
            <w:tcW w:w="1890" w:type="dxa"/>
            <w:tcBorders>
              <w:top w:val="nil"/>
              <w:left w:val="nil"/>
              <w:bottom w:val="single" w:sz="4" w:space="0" w:color="auto"/>
              <w:right w:val="single" w:sz="4" w:space="0" w:color="auto"/>
            </w:tcBorders>
            <w:shd w:val="clear" w:color="auto" w:fill="auto"/>
            <w:noWrap/>
            <w:vAlign w:val="center"/>
            <w:hideMark/>
          </w:tcPr>
          <w:p w14:paraId="6949FD5C"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568990AE"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0.167</w:t>
            </w:r>
          </w:p>
        </w:tc>
        <w:tc>
          <w:tcPr>
            <w:tcW w:w="1710" w:type="dxa"/>
            <w:tcBorders>
              <w:top w:val="nil"/>
              <w:left w:val="nil"/>
              <w:bottom w:val="single" w:sz="4" w:space="0" w:color="auto"/>
              <w:right w:val="single" w:sz="4" w:space="0" w:color="auto"/>
            </w:tcBorders>
            <w:shd w:val="clear" w:color="auto" w:fill="auto"/>
            <w:noWrap/>
            <w:vAlign w:val="center"/>
            <w:hideMark/>
          </w:tcPr>
          <w:p w14:paraId="76805061"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0.025</w:t>
            </w:r>
          </w:p>
        </w:tc>
      </w:tr>
      <w:tr w:rsidR="00B8298D" w14:paraId="6B2B0A25" w14:textId="77777777" w:rsidTr="00B8298D">
        <w:trPr>
          <w:jc w:val="center"/>
        </w:trPr>
        <w:tc>
          <w:tcPr>
            <w:tcW w:w="4050" w:type="dxa"/>
            <w:gridSpan w:val="2"/>
            <w:tcBorders>
              <w:top w:val="nil"/>
              <w:left w:val="single" w:sz="4" w:space="0" w:color="auto"/>
              <w:bottom w:val="single" w:sz="4" w:space="0" w:color="auto"/>
              <w:right w:val="single" w:sz="4" w:space="0" w:color="auto"/>
            </w:tcBorders>
            <w:shd w:val="clear" w:color="auto" w:fill="auto"/>
            <w:vAlign w:val="bottom"/>
            <w:hideMark/>
          </w:tcPr>
          <w:p w14:paraId="7E40CCDE"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Compliance Determination</w:t>
            </w:r>
          </w:p>
        </w:tc>
        <w:tc>
          <w:tcPr>
            <w:tcW w:w="1890" w:type="dxa"/>
            <w:tcBorders>
              <w:top w:val="nil"/>
              <w:left w:val="nil"/>
              <w:bottom w:val="single" w:sz="4" w:space="0" w:color="auto"/>
              <w:right w:val="single" w:sz="4" w:space="0" w:color="auto"/>
            </w:tcBorders>
            <w:shd w:val="clear" w:color="auto" w:fill="auto"/>
            <w:noWrap/>
            <w:vAlign w:val="center"/>
            <w:hideMark/>
          </w:tcPr>
          <w:p w14:paraId="1700692C"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05CF6EAA"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01D533A6"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r>
      <w:tr w:rsidR="00B8298D" w14:paraId="55478346" w14:textId="77777777" w:rsidTr="00B8298D">
        <w:trPr>
          <w:jc w:val="center"/>
        </w:trPr>
        <w:tc>
          <w:tcPr>
            <w:tcW w:w="4050" w:type="dxa"/>
            <w:gridSpan w:val="2"/>
            <w:tcBorders>
              <w:top w:val="nil"/>
              <w:left w:val="single" w:sz="4" w:space="0" w:color="auto"/>
              <w:bottom w:val="single" w:sz="4" w:space="0" w:color="auto"/>
              <w:right w:val="single" w:sz="4" w:space="0" w:color="auto"/>
            </w:tcBorders>
            <w:shd w:val="clear" w:color="auto" w:fill="auto"/>
            <w:vAlign w:val="bottom"/>
            <w:hideMark/>
          </w:tcPr>
          <w:p w14:paraId="6D31190A"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Recordkeeping</w:t>
            </w:r>
          </w:p>
        </w:tc>
        <w:tc>
          <w:tcPr>
            <w:tcW w:w="1890" w:type="dxa"/>
            <w:tcBorders>
              <w:top w:val="nil"/>
              <w:left w:val="nil"/>
              <w:bottom w:val="single" w:sz="4" w:space="0" w:color="auto"/>
              <w:right w:val="single" w:sz="4" w:space="0" w:color="auto"/>
            </w:tcBorders>
            <w:shd w:val="clear" w:color="auto" w:fill="auto"/>
            <w:noWrap/>
            <w:vAlign w:val="center"/>
            <w:hideMark/>
          </w:tcPr>
          <w:p w14:paraId="0F9A7F42"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3510CCBC"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608B2641"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r>
      <w:tr w:rsidR="00B8298D" w:rsidRPr="00F135D2" w14:paraId="36CA163C" w14:textId="77777777" w:rsidTr="00B8298D">
        <w:trPr>
          <w:jc w:val="center"/>
        </w:trPr>
        <w:tc>
          <w:tcPr>
            <w:tcW w:w="4050" w:type="dxa"/>
            <w:gridSpan w:val="2"/>
            <w:tcBorders>
              <w:top w:val="nil"/>
              <w:left w:val="single" w:sz="4" w:space="0" w:color="auto"/>
              <w:bottom w:val="single" w:sz="4" w:space="0" w:color="auto"/>
              <w:right w:val="single" w:sz="4" w:space="0" w:color="auto"/>
            </w:tcBorders>
            <w:shd w:val="clear" w:color="auto" w:fill="auto"/>
            <w:vAlign w:val="center"/>
            <w:hideMark/>
          </w:tcPr>
          <w:p w14:paraId="3383F158"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Average Multi-Chemical Form Completion (7.5 chemicals)</w:t>
            </w:r>
          </w:p>
        </w:tc>
        <w:tc>
          <w:tcPr>
            <w:tcW w:w="1890" w:type="dxa"/>
            <w:tcBorders>
              <w:top w:val="nil"/>
              <w:left w:val="nil"/>
              <w:bottom w:val="single" w:sz="4" w:space="0" w:color="auto"/>
              <w:right w:val="single" w:sz="4" w:space="0" w:color="auto"/>
            </w:tcBorders>
            <w:shd w:val="clear" w:color="auto" w:fill="auto"/>
            <w:noWrap/>
            <w:vAlign w:val="center"/>
            <w:hideMark/>
          </w:tcPr>
          <w:p w14:paraId="67CE796F" w14:textId="4FCD3896" w:rsidR="00B8298D" w:rsidRPr="002F5DF8" w:rsidRDefault="00B8298D" w:rsidP="00B8298D">
            <w:pPr>
              <w:ind w:firstLineChars="100" w:firstLine="180"/>
              <w:jc w:val="right"/>
              <w:rPr>
                <w:rFonts w:ascii="Arial Narrow" w:hAnsi="Arial Narrow" w:cs="Calibri"/>
                <w:color w:val="000000" w:themeColor="text1"/>
                <w:sz w:val="18"/>
                <w:szCs w:val="18"/>
              </w:rPr>
            </w:pPr>
            <w:r>
              <w:rPr>
                <w:rFonts w:ascii="Arial Narrow" w:hAnsi="Arial Narrow" w:cs="Calibri"/>
                <w:color w:val="000000" w:themeColor="text1"/>
                <w:sz w:val="18"/>
                <w:szCs w:val="18"/>
              </w:rPr>
              <w:t>7.660</w:t>
            </w:r>
          </w:p>
        </w:tc>
        <w:tc>
          <w:tcPr>
            <w:tcW w:w="1710" w:type="dxa"/>
            <w:tcBorders>
              <w:top w:val="nil"/>
              <w:left w:val="nil"/>
              <w:bottom w:val="single" w:sz="4" w:space="0" w:color="auto"/>
              <w:right w:val="single" w:sz="4" w:space="0" w:color="auto"/>
            </w:tcBorders>
            <w:shd w:val="clear" w:color="auto" w:fill="auto"/>
            <w:noWrap/>
            <w:vAlign w:val="center"/>
            <w:hideMark/>
          </w:tcPr>
          <w:p w14:paraId="77158790" w14:textId="0F00A823" w:rsidR="00B8298D" w:rsidRPr="002F5DF8" w:rsidRDefault="00B8298D" w:rsidP="00B8298D">
            <w:pPr>
              <w:ind w:firstLineChars="100" w:firstLine="180"/>
              <w:jc w:val="right"/>
              <w:rPr>
                <w:rFonts w:ascii="Arial Narrow" w:hAnsi="Arial Narrow" w:cs="Calibri"/>
                <w:color w:val="000000" w:themeColor="text1"/>
                <w:sz w:val="18"/>
                <w:szCs w:val="18"/>
              </w:rPr>
            </w:pPr>
            <w:r>
              <w:rPr>
                <w:rFonts w:ascii="Arial Narrow" w:hAnsi="Arial Narrow" w:cs="Calibri"/>
                <w:color w:val="000000" w:themeColor="text1"/>
                <w:sz w:val="18"/>
                <w:szCs w:val="18"/>
              </w:rPr>
              <w:t>9.652</w:t>
            </w:r>
          </w:p>
        </w:tc>
        <w:tc>
          <w:tcPr>
            <w:tcW w:w="1710" w:type="dxa"/>
            <w:tcBorders>
              <w:top w:val="nil"/>
              <w:left w:val="nil"/>
              <w:bottom w:val="single" w:sz="4" w:space="0" w:color="auto"/>
              <w:right w:val="single" w:sz="4" w:space="0" w:color="auto"/>
            </w:tcBorders>
            <w:shd w:val="clear" w:color="auto" w:fill="auto"/>
            <w:noWrap/>
            <w:vAlign w:val="center"/>
            <w:hideMark/>
          </w:tcPr>
          <w:p w14:paraId="0FFEA344" w14:textId="399A72BC" w:rsidR="00B8298D" w:rsidRPr="00F135D2" w:rsidRDefault="00B8298D" w:rsidP="00B8298D">
            <w:pPr>
              <w:ind w:firstLineChars="100" w:firstLine="180"/>
              <w:jc w:val="right"/>
              <w:rPr>
                <w:rFonts w:ascii="Arial Narrow" w:hAnsi="Arial Narrow" w:cs="Calibri"/>
                <w:color w:val="000000" w:themeColor="text1"/>
                <w:sz w:val="18"/>
                <w:szCs w:val="18"/>
              </w:rPr>
            </w:pPr>
            <w:r w:rsidRPr="00F135D2">
              <w:rPr>
                <w:rFonts w:ascii="Arial Narrow" w:hAnsi="Arial Narrow" w:cs="Calibri"/>
                <w:color w:val="000000" w:themeColor="text1"/>
                <w:sz w:val="18"/>
                <w:szCs w:val="18"/>
              </w:rPr>
              <w:t>7.955</w:t>
            </w:r>
          </w:p>
        </w:tc>
      </w:tr>
      <w:tr w:rsidR="00B8298D" w14:paraId="02C61F12" w14:textId="77777777" w:rsidTr="00B8298D">
        <w:trPr>
          <w:jc w:val="center"/>
        </w:trPr>
        <w:tc>
          <w:tcPr>
            <w:tcW w:w="4050" w:type="dxa"/>
            <w:gridSpan w:val="2"/>
            <w:tcBorders>
              <w:top w:val="single" w:sz="4" w:space="0" w:color="auto"/>
              <w:left w:val="single" w:sz="4" w:space="0" w:color="auto"/>
              <w:bottom w:val="single" w:sz="4" w:space="0" w:color="auto"/>
              <w:right w:val="nil"/>
            </w:tcBorders>
            <w:shd w:val="clear" w:color="auto" w:fill="auto"/>
            <w:vAlign w:val="bottom"/>
            <w:hideMark/>
          </w:tcPr>
          <w:p w14:paraId="01C3CDEC" w14:textId="77777777" w:rsidR="00B8298D" w:rsidRPr="00794249" w:rsidRDefault="00B8298D" w:rsidP="00B8298D">
            <w:pPr>
              <w:rPr>
                <w:rFonts w:ascii="Arial Narrow" w:hAnsi="Arial Narrow" w:cs="Calibri"/>
                <w:b/>
                <w:bCs/>
                <w:color w:val="000000"/>
                <w:sz w:val="18"/>
                <w:szCs w:val="18"/>
              </w:rPr>
            </w:pPr>
            <w:r w:rsidRPr="00794249">
              <w:rPr>
                <w:rFonts w:ascii="Arial Narrow" w:hAnsi="Arial Narrow" w:cs="Calibri"/>
                <w:b/>
                <w:bCs/>
                <w:color w:val="000000"/>
                <w:sz w:val="18"/>
                <w:szCs w:val="18"/>
              </w:rPr>
              <w:t>CBI Substantiation</w:t>
            </w:r>
          </w:p>
        </w:tc>
        <w:tc>
          <w:tcPr>
            <w:tcW w:w="1890" w:type="dxa"/>
            <w:tcBorders>
              <w:top w:val="nil"/>
              <w:left w:val="nil"/>
              <w:bottom w:val="single" w:sz="4" w:space="0" w:color="auto"/>
              <w:right w:val="nil"/>
            </w:tcBorders>
            <w:shd w:val="clear" w:color="auto" w:fill="auto"/>
            <w:noWrap/>
            <w:vAlign w:val="center"/>
            <w:hideMark/>
          </w:tcPr>
          <w:p w14:paraId="4FBF8D35"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 </w:t>
            </w:r>
          </w:p>
        </w:tc>
        <w:tc>
          <w:tcPr>
            <w:tcW w:w="1710" w:type="dxa"/>
            <w:tcBorders>
              <w:top w:val="nil"/>
              <w:left w:val="nil"/>
              <w:bottom w:val="single" w:sz="4" w:space="0" w:color="auto"/>
              <w:right w:val="nil"/>
            </w:tcBorders>
            <w:shd w:val="clear" w:color="auto" w:fill="auto"/>
            <w:noWrap/>
            <w:vAlign w:val="center"/>
            <w:hideMark/>
          </w:tcPr>
          <w:p w14:paraId="0299061F"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 </w:t>
            </w:r>
          </w:p>
        </w:tc>
        <w:tc>
          <w:tcPr>
            <w:tcW w:w="1710" w:type="dxa"/>
            <w:tcBorders>
              <w:top w:val="nil"/>
              <w:left w:val="nil"/>
              <w:bottom w:val="single" w:sz="4" w:space="0" w:color="auto"/>
              <w:right w:val="single" w:sz="4" w:space="0" w:color="auto"/>
            </w:tcBorders>
            <w:shd w:val="clear" w:color="auto" w:fill="auto"/>
            <w:noWrap/>
            <w:vAlign w:val="center"/>
            <w:hideMark/>
          </w:tcPr>
          <w:p w14:paraId="438C91E7"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 </w:t>
            </w:r>
          </w:p>
        </w:tc>
      </w:tr>
      <w:tr w:rsidR="00B8298D" w14:paraId="54D3F93E" w14:textId="77777777" w:rsidTr="00B8298D">
        <w:trPr>
          <w:jc w:val="center"/>
        </w:trPr>
        <w:tc>
          <w:tcPr>
            <w:tcW w:w="405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05A298FC" w14:textId="753075E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Rule Familiarization</w:t>
            </w:r>
            <w:r w:rsidR="00152B42">
              <w:rPr>
                <w:rFonts w:ascii="Arial Narrow" w:hAnsi="Arial Narrow" w:cs="Calibri"/>
                <w:color w:val="000000"/>
                <w:sz w:val="18"/>
                <w:szCs w:val="18"/>
                <w:vertAlign w:val="superscript"/>
              </w:rPr>
              <w:t>4</w:t>
            </w:r>
          </w:p>
        </w:tc>
        <w:tc>
          <w:tcPr>
            <w:tcW w:w="1890" w:type="dxa"/>
            <w:tcBorders>
              <w:top w:val="nil"/>
              <w:left w:val="nil"/>
              <w:bottom w:val="single" w:sz="4" w:space="0" w:color="auto"/>
              <w:right w:val="single" w:sz="4" w:space="0" w:color="auto"/>
            </w:tcBorders>
            <w:shd w:val="clear" w:color="auto" w:fill="auto"/>
            <w:noWrap/>
            <w:vAlign w:val="center"/>
            <w:hideMark/>
          </w:tcPr>
          <w:p w14:paraId="49D3ABCE"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5872C768"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2.000</w:t>
            </w:r>
          </w:p>
        </w:tc>
        <w:tc>
          <w:tcPr>
            <w:tcW w:w="1710" w:type="dxa"/>
            <w:tcBorders>
              <w:top w:val="nil"/>
              <w:left w:val="nil"/>
              <w:bottom w:val="single" w:sz="4" w:space="0" w:color="auto"/>
              <w:right w:val="single" w:sz="4" w:space="0" w:color="auto"/>
            </w:tcBorders>
            <w:shd w:val="clear" w:color="auto" w:fill="auto"/>
            <w:noWrap/>
            <w:vAlign w:val="center"/>
            <w:hideMark/>
          </w:tcPr>
          <w:p w14:paraId="4658B992"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0.296</w:t>
            </w:r>
          </w:p>
        </w:tc>
      </w:tr>
      <w:tr w:rsidR="00B8298D" w14:paraId="0F96EF9D" w14:textId="77777777" w:rsidTr="00B8298D">
        <w:trPr>
          <w:jc w:val="center"/>
        </w:trPr>
        <w:tc>
          <w:tcPr>
            <w:tcW w:w="4050" w:type="dxa"/>
            <w:gridSpan w:val="2"/>
            <w:tcBorders>
              <w:top w:val="nil"/>
              <w:left w:val="single" w:sz="4" w:space="0" w:color="auto"/>
              <w:bottom w:val="single" w:sz="4" w:space="0" w:color="auto"/>
              <w:right w:val="single" w:sz="4" w:space="0" w:color="auto"/>
            </w:tcBorders>
            <w:shd w:val="clear" w:color="auto" w:fill="auto"/>
            <w:vAlign w:val="bottom"/>
            <w:hideMark/>
          </w:tcPr>
          <w:p w14:paraId="630DAC3E"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Compliance Determination</w:t>
            </w:r>
          </w:p>
        </w:tc>
        <w:tc>
          <w:tcPr>
            <w:tcW w:w="1890" w:type="dxa"/>
            <w:tcBorders>
              <w:top w:val="nil"/>
              <w:left w:val="nil"/>
              <w:bottom w:val="single" w:sz="4" w:space="0" w:color="auto"/>
              <w:right w:val="single" w:sz="4" w:space="0" w:color="auto"/>
            </w:tcBorders>
            <w:shd w:val="clear" w:color="auto" w:fill="auto"/>
            <w:noWrap/>
            <w:vAlign w:val="center"/>
            <w:hideMark/>
          </w:tcPr>
          <w:p w14:paraId="1E95B5DF"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0.500</w:t>
            </w:r>
          </w:p>
        </w:tc>
        <w:tc>
          <w:tcPr>
            <w:tcW w:w="1710" w:type="dxa"/>
            <w:tcBorders>
              <w:top w:val="nil"/>
              <w:left w:val="nil"/>
              <w:bottom w:val="single" w:sz="4" w:space="0" w:color="auto"/>
              <w:right w:val="single" w:sz="4" w:space="0" w:color="auto"/>
            </w:tcBorders>
            <w:shd w:val="clear" w:color="auto" w:fill="auto"/>
            <w:noWrap/>
            <w:vAlign w:val="center"/>
            <w:hideMark/>
          </w:tcPr>
          <w:p w14:paraId="706EDC56"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0.500</w:t>
            </w:r>
          </w:p>
        </w:tc>
        <w:tc>
          <w:tcPr>
            <w:tcW w:w="1710" w:type="dxa"/>
            <w:tcBorders>
              <w:top w:val="nil"/>
              <w:left w:val="nil"/>
              <w:bottom w:val="single" w:sz="4" w:space="0" w:color="auto"/>
              <w:right w:val="single" w:sz="4" w:space="0" w:color="auto"/>
            </w:tcBorders>
            <w:shd w:val="clear" w:color="auto" w:fill="auto"/>
            <w:noWrap/>
            <w:vAlign w:val="center"/>
            <w:hideMark/>
          </w:tcPr>
          <w:p w14:paraId="6807D583"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0.500</w:t>
            </w:r>
          </w:p>
        </w:tc>
      </w:tr>
      <w:tr w:rsidR="00B8298D" w14:paraId="3CEDB6E4" w14:textId="77777777" w:rsidTr="00B8298D">
        <w:trPr>
          <w:jc w:val="center"/>
        </w:trPr>
        <w:tc>
          <w:tcPr>
            <w:tcW w:w="4050" w:type="dxa"/>
            <w:gridSpan w:val="2"/>
            <w:tcBorders>
              <w:top w:val="nil"/>
              <w:left w:val="single" w:sz="4" w:space="0" w:color="auto"/>
              <w:bottom w:val="single" w:sz="4" w:space="0" w:color="auto"/>
              <w:right w:val="single" w:sz="4" w:space="0" w:color="auto"/>
            </w:tcBorders>
            <w:shd w:val="clear" w:color="auto" w:fill="auto"/>
            <w:vAlign w:val="bottom"/>
            <w:hideMark/>
          </w:tcPr>
          <w:p w14:paraId="2C731887"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Recordkeeping</w:t>
            </w:r>
          </w:p>
        </w:tc>
        <w:tc>
          <w:tcPr>
            <w:tcW w:w="1890" w:type="dxa"/>
            <w:tcBorders>
              <w:top w:val="nil"/>
              <w:left w:val="nil"/>
              <w:bottom w:val="single" w:sz="4" w:space="0" w:color="auto"/>
              <w:right w:val="single" w:sz="4" w:space="0" w:color="auto"/>
            </w:tcBorders>
            <w:shd w:val="clear" w:color="auto" w:fill="auto"/>
            <w:noWrap/>
            <w:vAlign w:val="center"/>
            <w:hideMark/>
          </w:tcPr>
          <w:p w14:paraId="5680B940"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234FADA9"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42C5E4F7" w14:textId="77777777" w:rsidR="00B8298D" w:rsidRPr="002F5DF8" w:rsidRDefault="00B8298D" w:rsidP="00B8298D">
            <w:pPr>
              <w:ind w:firstLineChars="100" w:firstLine="180"/>
              <w:jc w:val="right"/>
              <w:rPr>
                <w:rFonts w:ascii="Arial Narrow" w:hAnsi="Arial Narrow" w:cs="Calibri"/>
                <w:color w:val="000000" w:themeColor="text1"/>
                <w:sz w:val="18"/>
                <w:szCs w:val="18"/>
              </w:rPr>
            </w:pPr>
            <w:r w:rsidRPr="002F5DF8">
              <w:rPr>
                <w:rFonts w:ascii="Arial Narrow" w:hAnsi="Arial Narrow" w:cs="Calibri"/>
                <w:color w:val="000000" w:themeColor="text1"/>
                <w:sz w:val="18"/>
                <w:szCs w:val="18"/>
              </w:rPr>
              <w:t>0.000</w:t>
            </w:r>
          </w:p>
        </w:tc>
      </w:tr>
      <w:tr w:rsidR="00B8298D" w14:paraId="2B691F87" w14:textId="77777777" w:rsidTr="00B8298D">
        <w:trPr>
          <w:jc w:val="center"/>
        </w:trPr>
        <w:tc>
          <w:tcPr>
            <w:tcW w:w="4050" w:type="dxa"/>
            <w:gridSpan w:val="2"/>
            <w:tcBorders>
              <w:top w:val="nil"/>
              <w:left w:val="single" w:sz="4" w:space="0" w:color="auto"/>
              <w:bottom w:val="single" w:sz="12" w:space="0" w:color="auto"/>
              <w:right w:val="single" w:sz="4" w:space="0" w:color="auto"/>
            </w:tcBorders>
            <w:shd w:val="clear" w:color="auto" w:fill="auto"/>
            <w:vAlign w:val="bottom"/>
            <w:hideMark/>
          </w:tcPr>
          <w:p w14:paraId="068E1688" w14:textId="77777777" w:rsidR="00B8298D" w:rsidRPr="00794249" w:rsidRDefault="00B8298D" w:rsidP="00B8298D">
            <w:pPr>
              <w:rPr>
                <w:rFonts w:ascii="Arial Narrow" w:hAnsi="Arial Narrow" w:cs="Calibri"/>
                <w:color w:val="000000"/>
                <w:sz w:val="18"/>
                <w:szCs w:val="18"/>
              </w:rPr>
            </w:pPr>
            <w:r w:rsidRPr="00794249">
              <w:rPr>
                <w:rFonts w:ascii="Arial Narrow" w:hAnsi="Arial Narrow" w:cs="Calibri"/>
                <w:color w:val="000000"/>
                <w:sz w:val="18"/>
                <w:szCs w:val="18"/>
              </w:rPr>
              <w:t>Average Multi-Chemical Form Completion (7.5 chemicals)</w:t>
            </w:r>
          </w:p>
        </w:tc>
        <w:tc>
          <w:tcPr>
            <w:tcW w:w="1890" w:type="dxa"/>
            <w:tcBorders>
              <w:top w:val="nil"/>
              <w:left w:val="nil"/>
              <w:bottom w:val="single" w:sz="12" w:space="0" w:color="auto"/>
              <w:right w:val="single" w:sz="4" w:space="0" w:color="auto"/>
            </w:tcBorders>
            <w:shd w:val="clear" w:color="auto" w:fill="auto"/>
            <w:noWrap/>
            <w:vAlign w:val="center"/>
            <w:hideMark/>
          </w:tcPr>
          <w:p w14:paraId="140320BF" w14:textId="77777777" w:rsidR="00B8298D" w:rsidRPr="000626DB" w:rsidRDefault="00B8298D" w:rsidP="00B8298D">
            <w:pPr>
              <w:ind w:firstLineChars="100" w:firstLine="180"/>
              <w:jc w:val="right"/>
              <w:rPr>
                <w:rFonts w:ascii="Arial Narrow" w:hAnsi="Arial Narrow" w:cs="Calibri"/>
                <w:color w:val="000000" w:themeColor="text1"/>
                <w:sz w:val="18"/>
                <w:szCs w:val="18"/>
              </w:rPr>
            </w:pPr>
            <w:r w:rsidRPr="00FC1700">
              <w:rPr>
                <w:rFonts w:ascii="Arial Narrow" w:hAnsi="Arial Narrow" w:cs="Calibri"/>
                <w:color w:val="000000"/>
                <w:sz w:val="18"/>
                <w:szCs w:val="18"/>
              </w:rPr>
              <w:t>-0.825</w:t>
            </w:r>
          </w:p>
        </w:tc>
        <w:tc>
          <w:tcPr>
            <w:tcW w:w="1710" w:type="dxa"/>
            <w:tcBorders>
              <w:top w:val="nil"/>
              <w:left w:val="nil"/>
              <w:bottom w:val="single" w:sz="12" w:space="0" w:color="auto"/>
              <w:right w:val="single" w:sz="4" w:space="0" w:color="auto"/>
            </w:tcBorders>
            <w:shd w:val="clear" w:color="auto" w:fill="auto"/>
            <w:noWrap/>
            <w:vAlign w:val="center"/>
            <w:hideMark/>
          </w:tcPr>
          <w:p w14:paraId="570C01D9" w14:textId="77777777" w:rsidR="00B8298D" w:rsidRPr="005D30AF" w:rsidRDefault="00B8298D" w:rsidP="00B8298D">
            <w:pPr>
              <w:ind w:firstLineChars="100" w:firstLine="180"/>
              <w:jc w:val="right"/>
              <w:rPr>
                <w:rFonts w:ascii="Arial Narrow" w:hAnsi="Arial Narrow" w:cs="Calibri"/>
                <w:color w:val="000000" w:themeColor="text1"/>
                <w:sz w:val="18"/>
                <w:szCs w:val="18"/>
              </w:rPr>
            </w:pPr>
            <w:r w:rsidRPr="00FC1700">
              <w:rPr>
                <w:rFonts w:ascii="Arial Narrow" w:hAnsi="Arial Narrow" w:cs="Calibri"/>
                <w:color w:val="000000"/>
                <w:sz w:val="18"/>
                <w:szCs w:val="18"/>
              </w:rPr>
              <w:t>-1.040</w:t>
            </w:r>
          </w:p>
        </w:tc>
        <w:tc>
          <w:tcPr>
            <w:tcW w:w="1710" w:type="dxa"/>
            <w:tcBorders>
              <w:top w:val="nil"/>
              <w:left w:val="nil"/>
              <w:bottom w:val="single" w:sz="12" w:space="0" w:color="auto"/>
              <w:right w:val="single" w:sz="4" w:space="0" w:color="auto"/>
            </w:tcBorders>
            <w:shd w:val="clear" w:color="auto" w:fill="auto"/>
            <w:noWrap/>
            <w:vAlign w:val="center"/>
            <w:hideMark/>
          </w:tcPr>
          <w:p w14:paraId="02AFC019" w14:textId="77777777" w:rsidR="00B8298D" w:rsidRPr="005D30AF" w:rsidRDefault="00B8298D" w:rsidP="00B8298D">
            <w:pPr>
              <w:ind w:firstLineChars="100" w:firstLine="180"/>
              <w:jc w:val="right"/>
              <w:rPr>
                <w:rFonts w:ascii="Arial Narrow" w:hAnsi="Arial Narrow" w:cs="Calibri"/>
                <w:color w:val="000000" w:themeColor="text1"/>
                <w:sz w:val="18"/>
                <w:szCs w:val="18"/>
              </w:rPr>
            </w:pPr>
            <w:r w:rsidRPr="00FC1700">
              <w:rPr>
                <w:rFonts w:ascii="Arial Narrow" w:hAnsi="Arial Narrow" w:cs="Calibri"/>
                <w:color w:val="000000"/>
                <w:sz w:val="18"/>
                <w:szCs w:val="18"/>
              </w:rPr>
              <w:t>-0.857</w:t>
            </w:r>
          </w:p>
        </w:tc>
      </w:tr>
      <w:tr w:rsidR="00B8298D" w14:paraId="76AD6755" w14:textId="77777777" w:rsidTr="00B8298D">
        <w:trPr>
          <w:jc w:val="center"/>
        </w:trPr>
        <w:tc>
          <w:tcPr>
            <w:tcW w:w="4050" w:type="dxa"/>
            <w:gridSpan w:val="2"/>
            <w:tcBorders>
              <w:top w:val="single" w:sz="12" w:space="0" w:color="auto"/>
              <w:left w:val="single" w:sz="8" w:space="0" w:color="auto"/>
              <w:bottom w:val="single" w:sz="8" w:space="0" w:color="auto"/>
              <w:right w:val="single" w:sz="8" w:space="0" w:color="auto"/>
            </w:tcBorders>
            <w:shd w:val="clear" w:color="auto" w:fill="auto"/>
            <w:vAlign w:val="bottom"/>
            <w:hideMark/>
          </w:tcPr>
          <w:p w14:paraId="7AEB4A78" w14:textId="77777777" w:rsidR="00B8298D" w:rsidRPr="00794249" w:rsidRDefault="00B8298D" w:rsidP="00B8298D">
            <w:pPr>
              <w:rPr>
                <w:rFonts w:ascii="Arial Narrow" w:hAnsi="Arial Narrow" w:cs="Calibri"/>
                <w:b/>
                <w:bCs/>
                <w:color w:val="000000"/>
                <w:sz w:val="18"/>
                <w:szCs w:val="18"/>
              </w:rPr>
            </w:pPr>
            <w:r w:rsidRPr="00794249">
              <w:rPr>
                <w:rFonts w:ascii="Arial Narrow" w:hAnsi="Arial Narrow" w:cs="Calibri"/>
                <w:b/>
                <w:bCs/>
                <w:color w:val="000000"/>
                <w:sz w:val="18"/>
                <w:szCs w:val="18"/>
              </w:rPr>
              <w:t xml:space="preserve">Total </w:t>
            </w:r>
          </w:p>
        </w:tc>
        <w:tc>
          <w:tcPr>
            <w:tcW w:w="189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2F94D8ED" w14:textId="5F28166D" w:rsidR="00B8298D" w:rsidRPr="002F5DF8" w:rsidRDefault="00B8298D" w:rsidP="00B8298D">
            <w:pPr>
              <w:ind w:firstLineChars="100" w:firstLine="181"/>
              <w:jc w:val="right"/>
              <w:rPr>
                <w:rFonts w:ascii="Arial Narrow" w:hAnsi="Arial Narrow" w:cs="Calibri"/>
                <w:b/>
                <w:bCs/>
                <w:color w:val="000000" w:themeColor="text1"/>
                <w:sz w:val="18"/>
                <w:szCs w:val="18"/>
              </w:rPr>
            </w:pPr>
            <w:r>
              <w:rPr>
                <w:rFonts w:ascii="Arial Narrow" w:hAnsi="Arial Narrow" w:cs="Calibri"/>
                <w:b/>
                <w:bCs/>
                <w:color w:val="000000" w:themeColor="text1"/>
                <w:sz w:val="18"/>
                <w:szCs w:val="18"/>
              </w:rPr>
              <w:t>7.335</w:t>
            </w:r>
          </w:p>
        </w:tc>
        <w:tc>
          <w:tcPr>
            <w:tcW w:w="171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7C52D555" w14:textId="1FF14903" w:rsidR="00B8298D" w:rsidRPr="005D30AF" w:rsidRDefault="00B8298D" w:rsidP="00B8298D">
            <w:pPr>
              <w:ind w:firstLineChars="100" w:firstLine="181"/>
              <w:jc w:val="right"/>
              <w:rPr>
                <w:rFonts w:ascii="Arial Narrow" w:hAnsi="Arial Narrow" w:cs="Calibri"/>
                <w:b/>
                <w:bCs/>
                <w:color w:val="000000" w:themeColor="text1"/>
                <w:sz w:val="18"/>
                <w:szCs w:val="18"/>
              </w:rPr>
            </w:pPr>
            <w:r>
              <w:rPr>
                <w:rFonts w:ascii="Arial Narrow" w:hAnsi="Arial Narrow" w:cs="Calibri"/>
                <w:b/>
                <w:bCs/>
                <w:color w:val="000000"/>
                <w:sz w:val="18"/>
                <w:szCs w:val="18"/>
              </w:rPr>
              <w:t>11.279</w:t>
            </w:r>
          </w:p>
        </w:tc>
        <w:tc>
          <w:tcPr>
            <w:tcW w:w="1710" w:type="dxa"/>
            <w:tcBorders>
              <w:top w:val="single" w:sz="12" w:space="0" w:color="auto"/>
              <w:left w:val="single" w:sz="8" w:space="0" w:color="auto"/>
              <w:bottom w:val="single" w:sz="8" w:space="0" w:color="auto"/>
              <w:right w:val="single" w:sz="8" w:space="0" w:color="auto"/>
            </w:tcBorders>
            <w:shd w:val="clear" w:color="auto" w:fill="auto"/>
            <w:noWrap/>
            <w:vAlign w:val="bottom"/>
            <w:hideMark/>
          </w:tcPr>
          <w:p w14:paraId="10CF2AE6" w14:textId="068AC3C5" w:rsidR="00B8298D" w:rsidRPr="005D30AF" w:rsidRDefault="00B8298D" w:rsidP="00B8298D">
            <w:pPr>
              <w:ind w:firstLineChars="100" w:firstLine="181"/>
              <w:jc w:val="right"/>
              <w:rPr>
                <w:rFonts w:ascii="Arial Narrow" w:hAnsi="Arial Narrow" w:cs="Calibri"/>
                <w:b/>
                <w:bCs/>
                <w:color w:val="000000" w:themeColor="text1"/>
                <w:sz w:val="18"/>
                <w:szCs w:val="18"/>
              </w:rPr>
            </w:pPr>
            <w:r>
              <w:rPr>
                <w:rFonts w:ascii="Arial Narrow" w:hAnsi="Arial Narrow" w:cs="Calibri"/>
                <w:b/>
                <w:bCs/>
                <w:color w:val="000000"/>
                <w:sz w:val="18"/>
                <w:szCs w:val="18"/>
              </w:rPr>
              <w:t>7.919</w:t>
            </w:r>
          </w:p>
        </w:tc>
      </w:tr>
      <w:tr w:rsidR="00B8298D" w:rsidRPr="00885DF8" w14:paraId="518EA09D" w14:textId="77777777" w:rsidTr="00B8298D">
        <w:trPr>
          <w:jc w:val="center"/>
        </w:trPr>
        <w:tc>
          <w:tcPr>
            <w:tcW w:w="9360" w:type="dxa"/>
            <w:gridSpan w:val="5"/>
            <w:tcBorders>
              <w:top w:val="single" w:sz="8" w:space="0" w:color="auto"/>
              <w:left w:val="single" w:sz="4" w:space="0" w:color="auto"/>
              <w:bottom w:val="nil"/>
              <w:right w:val="single" w:sz="4" w:space="0" w:color="000000" w:themeColor="text1"/>
            </w:tcBorders>
            <w:shd w:val="clear" w:color="auto" w:fill="auto"/>
            <w:vAlign w:val="center"/>
            <w:hideMark/>
          </w:tcPr>
          <w:p w14:paraId="75622767" w14:textId="14852194" w:rsidR="00B8298D" w:rsidRPr="00794249" w:rsidRDefault="00B8298D" w:rsidP="00B8298D">
            <w:pPr>
              <w:rPr>
                <w:rFonts w:ascii="Arial Narrow" w:eastAsia="Times New Roman" w:hAnsi="Arial Narrow" w:cs="Calibri"/>
                <w:color w:val="000000"/>
                <w:sz w:val="18"/>
                <w:szCs w:val="18"/>
              </w:rPr>
            </w:pPr>
            <w:r w:rsidRPr="00794249">
              <w:rPr>
                <w:rFonts w:ascii="Arial Narrow" w:eastAsia="Times New Roman" w:hAnsi="Arial Narrow" w:cs="Calibri"/>
                <w:color w:val="000000"/>
                <w:sz w:val="18"/>
                <w:szCs w:val="18"/>
              </w:rPr>
              <w:t>General Note:</w:t>
            </w:r>
          </w:p>
        </w:tc>
      </w:tr>
      <w:tr w:rsidR="00565011" w:rsidRPr="006B5FC6" w14:paraId="434541DE" w14:textId="77777777" w:rsidTr="00B8298D">
        <w:trPr>
          <w:jc w:val="center"/>
        </w:trPr>
        <w:tc>
          <w:tcPr>
            <w:tcW w:w="9360" w:type="dxa"/>
            <w:gridSpan w:val="5"/>
            <w:tcBorders>
              <w:top w:val="nil"/>
              <w:left w:val="single" w:sz="4" w:space="0" w:color="auto"/>
              <w:bottom w:val="nil"/>
              <w:right w:val="single" w:sz="4" w:space="0" w:color="000000" w:themeColor="text1"/>
            </w:tcBorders>
            <w:shd w:val="clear" w:color="auto" w:fill="auto"/>
            <w:vAlign w:val="center"/>
          </w:tcPr>
          <w:p w14:paraId="1DC90158" w14:textId="4D651C01" w:rsidR="00565011" w:rsidRPr="00874EA2" w:rsidRDefault="00565011" w:rsidP="00565011">
            <w:pPr>
              <w:pStyle w:val="ListParagraph"/>
              <w:numPr>
                <w:ilvl w:val="0"/>
                <w:numId w:val="60"/>
              </w:numPr>
              <w:ind w:left="144" w:hanging="144"/>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Estimates of incremental until burden </w:t>
            </w:r>
            <w:r w:rsidRPr="003F7FA8">
              <w:rPr>
                <w:rFonts w:ascii="Arial Narrow" w:eastAsia="Times New Roman" w:hAnsi="Arial Narrow" w:cs="Calibri"/>
                <w:color w:val="000000"/>
                <w:sz w:val="18"/>
                <w:szCs w:val="18"/>
              </w:rPr>
              <w:t xml:space="preserve">in </w:t>
            </w:r>
            <w:r w:rsidRPr="003F7FA8">
              <w:rPr>
                <w:rFonts w:ascii="Arial Narrow" w:eastAsia="Times New Roman" w:hAnsi="Arial Narrow" w:cs="Calibri"/>
                <w:color w:val="000000"/>
                <w:sz w:val="18"/>
                <w:szCs w:val="18"/>
              </w:rPr>
              <w:fldChar w:fldCharType="begin"/>
            </w:r>
            <w:r w:rsidRPr="006077FE">
              <w:rPr>
                <w:rFonts w:ascii="Arial Narrow" w:eastAsia="Times New Roman" w:hAnsi="Arial Narrow" w:cs="Calibri"/>
                <w:color w:val="000000"/>
                <w:sz w:val="18"/>
                <w:szCs w:val="18"/>
              </w:rPr>
              <w:instrText xml:space="preserve"> REF _Ref526352636 \h  \* MERGEFORMAT </w:instrText>
            </w:r>
            <w:r w:rsidRPr="003F7FA8">
              <w:rPr>
                <w:rFonts w:ascii="Arial Narrow" w:eastAsia="Times New Roman" w:hAnsi="Arial Narrow" w:cs="Calibri"/>
                <w:color w:val="000000"/>
                <w:sz w:val="18"/>
                <w:szCs w:val="18"/>
              </w:rPr>
            </w:r>
            <w:r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4</w:t>
            </w:r>
            <w:r w:rsidRPr="003F7FA8">
              <w:rPr>
                <w:rFonts w:ascii="Arial Narrow" w:eastAsia="Times New Roman" w:hAnsi="Arial Narrow" w:cs="Calibri"/>
                <w:color w:val="000000"/>
                <w:sz w:val="18"/>
                <w:szCs w:val="18"/>
              </w:rPr>
              <w:fldChar w:fldCharType="end"/>
            </w:r>
            <w:r w:rsidRPr="003F7FA8">
              <w:rPr>
                <w:rFonts w:ascii="Arial Narrow" w:eastAsia="Times New Roman" w:hAnsi="Arial Narrow" w:cs="Calibri"/>
                <w:color w:val="000000"/>
                <w:sz w:val="18"/>
                <w:szCs w:val="18"/>
              </w:rPr>
              <w:t xml:space="preserve"> through </w:t>
            </w:r>
            <w:r w:rsidRPr="003F7FA8">
              <w:rPr>
                <w:rFonts w:ascii="Arial Narrow" w:eastAsia="Times New Roman" w:hAnsi="Arial Narrow" w:cs="Calibri"/>
                <w:color w:val="000000"/>
                <w:sz w:val="18"/>
                <w:szCs w:val="18"/>
              </w:rPr>
              <w:fldChar w:fldCharType="begin"/>
            </w:r>
            <w:r w:rsidRPr="006077FE">
              <w:rPr>
                <w:rFonts w:ascii="Arial Narrow" w:eastAsia="Times New Roman" w:hAnsi="Arial Narrow" w:cs="Calibri"/>
                <w:color w:val="000000"/>
                <w:sz w:val="18"/>
                <w:szCs w:val="18"/>
              </w:rPr>
              <w:instrText xml:space="preserve"> REF _Ref526353458 \h  \* MERGEFORMAT </w:instrText>
            </w:r>
            <w:r w:rsidRPr="003F7FA8">
              <w:rPr>
                <w:rFonts w:ascii="Arial Narrow" w:eastAsia="Times New Roman" w:hAnsi="Arial Narrow" w:cs="Calibri"/>
                <w:color w:val="000000"/>
                <w:sz w:val="18"/>
                <w:szCs w:val="18"/>
              </w:rPr>
            </w:r>
            <w:r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6</w:t>
            </w:r>
            <w:r w:rsidRPr="003F7FA8">
              <w:rPr>
                <w:rFonts w:ascii="Arial Narrow" w:eastAsia="Times New Roman" w:hAnsi="Arial Narrow" w:cs="Calibri"/>
                <w:color w:val="000000"/>
                <w:sz w:val="18"/>
                <w:szCs w:val="18"/>
              </w:rPr>
              <w:fldChar w:fldCharType="end"/>
            </w:r>
            <w:r w:rsidRPr="003F7FA8">
              <w:rPr>
                <w:rFonts w:ascii="Arial Narrow" w:eastAsia="Times New Roman" w:hAnsi="Arial Narrow" w:cs="Calibri"/>
                <w:color w:val="000000"/>
                <w:sz w:val="18"/>
                <w:szCs w:val="18"/>
              </w:rPr>
              <w:t xml:space="preserve"> </w:t>
            </w:r>
            <w:r w:rsidRPr="00565011">
              <w:rPr>
                <w:rFonts w:ascii="Arial Narrow" w:eastAsia="Times New Roman" w:hAnsi="Arial Narrow" w:cs="Calibri"/>
                <w:color w:val="000000"/>
                <w:sz w:val="18"/>
                <w:szCs w:val="18"/>
              </w:rPr>
              <w:t xml:space="preserve">and </w:t>
            </w:r>
            <w:r w:rsidRPr="003F7FA8">
              <w:rPr>
                <w:rFonts w:ascii="Arial Narrow" w:eastAsia="Times New Roman" w:hAnsi="Arial Narrow" w:cs="Calibri"/>
                <w:color w:val="000000"/>
                <w:sz w:val="18"/>
                <w:szCs w:val="18"/>
              </w:rPr>
              <w:fldChar w:fldCharType="begin"/>
            </w:r>
            <w:r w:rsidRPr="006077FE">
              <w:rPr>
                <w:rFonts w:ascii="Arial Narrow" w:eastAsia="Times New Roman" w:hAnsi="Arial Narrow" w:cs="Calibri"/>
                <w:color w:val="000000"/>
                <w:sz w:val="18"/>
                <w:szCs w:val="18"/>
              </w:rPr>
              <w:instrText xml:space="preserve"> REF _Ref526353586 \h  \* MERGEFORMAT </w:instrText>
            </w:r>
            <w:r w:rsidRPr="003F7FA8">
              <w:rPr>
                <w:rFonts w:ascii="Arial Narrow" w:eastAsia="Times New Roman" w:hAnsi="Arial Narrow" w:cs="Calibri"/>
                <w:color w:val="000000"/>
                <w:sz w:val="18"/>
                <w:szCs w:val="18"/>
              </w:rPr>
            </w:r>
            <w:r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8</w:t>
            </w:r>
            <w:r w:rsidRPr="003F7FA8">
              <w:rPr>
                <w:rFonts w:ascii="Arial Narrow" w:eastAsia="Times New Roman" w:hAnsi="Arial Narrow" w:cs="Calibri"/>
                <w:color w:val="000000"/>
                <w:sz w:val="18"/>
                <w:szCs w:val="18"/>
              </w:rPr>
              <w:fldChar w:fldCharType="end"/>
            </w:r>
            <w:r>
              <w:rPr>
                <w:rFonts w:ascii="Arial Narrow" w:eastAsia="Times New Roman" w:hAnsi="Arial Narrow" w:cs="Calibri"/>
                <w:color w:val="000000"/>
                <w:sz w:val="18"/>
                <w:szCs w:val="18"/>
              </w:rPr>
              <w:t xml:space="preserve"> differ slightly from results that would be obtained using information in the two EAs (</w:t>
            </w:r>
            <w:r w:rsidR="00FF0FB5">
              <w:rPr>
                <w:rFonts w:ascii="Arial Narrow" w:eastAsia="Times New Roman" w:hAnsi="Arial Narrow" w:cs="Calibri"/>
                <w:color w:val="000000"/>
                <w:sz w:val="18"/>
                <w:szCs w:val="18"/>
              </w:rPr>
              <w:t>EPA, 2019a</w:t>
            </w:r>
            <w:r>
              <w:rPr>
                <w:rFonts w:ascii="Arial Narrow" w:eastAsia="Times New Roman" w:hAnsi="Arial Narrow" w:cs="Calibri"/>
                <w:color w:val="000000"/>
                <w:sz w:val="18"/>
                <w:szCs w:val="18"/>
              </w:rPr>
              <w:t xml:space="preserve">, and EPA, </w:t>
            </w:r>
            <w:r w:rsidR="00FF0FB5">
              <w:rPr>
                <w:rFonts w:ascii="Arial Narrow" w:eastAsia="Times New Roman" w:hAnsi="Arial Narrow" w:cs="Calibri"/>
                <w:color w:val="000000"/>
                <w:sz w:val="18"/>
                <w:szCs w:val="18"/>
              </w:rPr>
              <w:t>2019b</w:t>
            </w:r>
            <w:r>
              <w:rPr>
                <w:rFonts w:ascii="Arial Narrow" w:eastAsia="Times New Roman" w:hAnsi="Arial Narrow" w:cs="Calibri"/>
                <w:color w:val="000000"/>
                <w:sz w:val="18"/>
                <w:szCs w:val="18"/>
              </w:rPr>
              <w:t>) due to rounding.</w:t>
            </w:r>
          </w:p>
        </w:tc>
      </w:tr>
      <w:tr w:rsidR="00B8298D" w:rsidRPr="006B5FC6" w14:paraId="36E6213B" w14:textId="77777777" w:rsidTr="00B8298D">
        <w:trPr>
          <w:jc w:val="center"/>
        </w:trPr>
        <w:tc>
          <w:tcPr>
            <w:tcW w:w="9360" w:type="dxa"/>
            <w:gridSpan w:val="5"/>
            <w:tcBorders>
              <w:top w:val="nil"/>
              <w:left w:val="single" w:sz="4" w:space="0" w:color="auto"/>
              <w:bottom w:val="nil"/>
              <w:right w:val="single" w:sz="4" w:space="0" w:color="000000" w:themeColor="text1"/>
            </w:tcBorders>
            <w:shd w:val="clear" w:color="auto" w:fill="auto"/>
            <w:vAlign w:val="center"/>
            <w:hideMark/>
          </w:tcPr>
          <w:p w14:paraId="31EEF2D2" w14:textId="226F4701" w:rsidR="00B8298D" w:rsidRPr="002F5DF8" w:rsidRDefault="00B8298D" w:rsidP="00B8298D">
            <w:pPr>
              <w:pStyle w:val="ListParagraph"/>
              <w:numPr>
                <w:ilvl w:val="0"/>
                <w:numId w:val="60"/>
              </w:numPr>
              <w:ind w:left="144" w:hanging="144"/>
              <w:rPr>
                <w:rFonts w:ascii="Arial Narrow" w:eastAsia="Times New Roman" w:hAnsi="Arial Narrow" w:cs="Calibri"/>
                <w:color w:val="000000"/>
                <w:sz w:val="18"/>
                <w:szCs w:val="18"/>
              </w:rPr>
            </w:pPr>
            <w:r w:rsidRPr="00794249">
              <w:rPr>
                <w:rFonts w:ascii="Arial Narrow" w:eastAsia="Times New Roman" w:hAnsi="Arial Narrow" w:cs="Calibri"/>
                <w:color w:val="000000"/>
                <w:sz w:val="18"/>
                <w:szCs w:val="18"/>
              </w:rPr>
              <w:t>There may be entities that incur burden from rule familiarization (if new to CDR) and compliance determination but that are not required to send a CDR submission. For purposes of this analysis, such effects are neglected per the convention used in EPA (</w:t>
            </w:r>
            <w:r w:rsidR="00FF0FB5">
              <w:rPr>
                <w:rFonts w:ascii="Arial Narrow" w:eastAsia="Times New Roman" w:hAnsi="Arial Narrow" w:cs="Calibri"/>
                <w:color w:val="000000"/>
                <w:sz w:val="18"/>
                <w:szCs w:val="18"/>
              </w:rPr>
              <w:t>2018b</w:t>
            </w:r>
            <w:r w:rsidRPr="00794249">
              <w:rPr>
                <w:rFonts w:ascii="Arial Narrow" w:eastAsia="Times New Roman" w:hAnsi="Arial Narrow" w:cs="Calibri"/>
                <w:color w:val="000000"/>
                <w:sz w:val="18"/>
                <w:szCs w:val="18"/>
              </w:rPr>
              <w:t>).</w:t>
            </w:r>
          </w:p>
        </w:tc>
      </w:tr>
      <w:tr w:rsidR="00B8298D" w:rsidRPr="00855347" w14:paraId="47DEA109" w14:textId="77777777" w:rsidTr="00B8298D">
        <w:trPr>
          <w:jc w:val="center"/>
        </w:trPr>
        <w:tc>
          <w:tcPr>
            <w:tcW w:w="9360" w:type="dxa"/>
            <w:gridSpan w:val="5"/>
            <w:tcBorders>
              <w:top w:val="nil"/>
              <w:left w:val="single" w:sz="4" w:space="0" w:color="auto"/>
              <w:bottom w:val="nil"/>
              <w:right w:val="single" w:sz="4" w:space="0" w:color="000000" w:themeColor="text1"/>
            </w:tcBorders>
            <w:shd w:val="clear" w:color="auto" w:fill="auto"/>
            <w:vAlign w:val="center"/>
            <w:hideMark/>
          </w:tcPr>
          <w:p w14:paraId="35959E17" w14:textId="77777777" w:rsidR="00B8298D" w:rsidRPr="00794249" w:rsidRDefault="00B8298D" w:rsidP="00B8298D">
            <w:pPr>
              <w:keepNext/>
              <w:rPr>
                <w:rFonts w:ascii="Arial Narrow" w:eastAsia="Times New Roman" w:hAnsi="Arial Narrow" w:cs="Calibri"/>
                <w:color w:val="000000"/>
                <w:sz w:val="18"/>
                <w:szCs w:val="18"/>
              </w:rPr>
            </w:pPr>
            <w:r w:rsidRPr="00794249">
              <w:rPr>
                <w:rFonts w:ascii="Arial Narrow" w:eastAsia="Times New Roman" w:hAnsi="Arial Narrow" w:cs="Calibri"/>
                <w:color w:val="000000"/>
                <w:sz w:val="18"/>
                <w:szCs w:val="18"/>
              </w:rPr>
              <w:t>Footnotes:</w:t>
            </w:r>
          </w:p>
        </w:tc>
      </w:tr>
      <w:tr w:rsidR="00B8298D" w:rsidRPr="00855347" w14:paraId="7CB00824" w14:textId="77777777" w:rsidTr="00B8298D">
        <w:trPr>
          <w:jc w:val="center"/>
        </w:trPr>
        <w:tc>
          <w:tcPr>
            <w:tcW w:w="274" w:type="dxa"/>
            <w:tcBorders>
              <w:top w:val="nil"/>
              <w:left w:val="single" w:sz="4" w:space="0" w:color="auto"/>
              <w:right w:val="nil"/>
            </w:tcBorders>
            <w:shd w:val="clear" w:color="auto" w:fill="auto"/>
            <w:hideMark/>
          </w:tcPr>
          <w:p w14:paraId="42D4B774" w14:textId="77777777" w:rsidR="00B8298D" w:rsidRPr="00794249" w:rsidRDefault="00B8298D" w:rsidP="00B8298D">
            <w:pPr>
              <w:rPr>
                <w:rFonts w:ascii="Arial Narrow" w:eastAsia="Times New Roman" w:hAnsi="Arial Narrow" w:cs="Calibri"/>
                <w:color w:val="000000" w:themeColor="text1"/>
                <w:sz w:val="18"/>
                <w:szCs w:val="18"/>
              </w:rPr>
            </w:pPr>
            <w:r w:rsidRPr="00794249">
              <w:rPr>
                <w:rFonts w:ascii="Arial Narrow" w:eastAsia="Times New Roman" w:hAnsi="Arial Narrow" w:cs="Calibri"/>
                <w:color w:val="000000" w:themeColor="text1"/>
                <w:sz w:val="18"/>
                <w:szCs w:val="18"/>
                <w:vertAlign w:val="superscript"/>
              </w:rPr>
              <w:t>1</w:t>
            </w:r>
          </w:p>
        </w:tc>
        <w:tc>
          <w:tcPr>
            <w:tcW w:w="9086" w:type="dxa"/>
            <w:gridSpan w:val="4"/>
            <w:tcBorders>
              <w:top w:val="nil"/>
              <w:left w:val="nil"/>
              <w:right w:val="single" w:sz="4" w:space="0" w:color="000000" w:themeColor="text1"/>
            </w:tcBorders>
            <w:shd w:val="clear" w:color="auto" w:fill="auto"/>
            <w:hideMark/>
          </w:tcPr>
          <w:p w14:paraId="758EA72B" w14:textId="06132184" w:rsidR="00B8298D" w:rsidRPr="002F5DF8" w:rsidRDefault="00B8298D" w:rsidP="00B8298D">
            <w:pPr>
              <w:ind w:left="-120"/>
              <w:rPr>
                <w:rFonts w:ascii="Arial Narrow" w:eastAsia="Times New Roman" w:hAnsi="Arial Narrow" w:cs="Calibri"/>
                <w:color w:val="000000"/>
                <w:sz w:val="18"/>
                <w:szCs w:val="18"/>
              </w:rPr>
            </w:pPr>
            <w:r w:rsidRPr="00794249">
              <w:rPr>
                <w:rFonts w:ascii="Arial Narrow" w:eastAsia="Times New Roman" w:hAnsi="Arial Narrow" w:cs="Calibri"/>
                <w:color w:val="000000"/>
                <w:sz w:val="18"/>
                <w:szCs w:val="18"/>
              </w:rPr>
              <w:t xml:space="preserve">The estimate for new reporter form completion is derived using the experienced reporter estimate and a First Time Filer Factor of 1.26 (see Section 6(g) of EPA </w:t>
            </w:r>
            <w:r w:rsidRPr="002F5DF8">
              <w:rPr>
                <w:rFonts w:ascii="Arial Narrow" w:eastAsia="Times New Roman" w:hAnsi="Arial Narrow" w:cs="Calibri"/>
                <w:color w:val="000000"/>
                <w:sz w:val="18"/>
                <w:szCs w:val="18"/>
              </w:rPr>
              <w:t>(</w:t>
            </w:r>
            <w:r w:rsidR="00FF0FB5">
              <w:rPr>
                <w:rFonts w:ascii="Arial Narrow" w:eastAsia="Times New Roman" w:hAnsi="Arial Narrow" w:cs="Calibri"/>
                <w:color w:val="000000"/>
                <w:sz w:val="18"/>
                <w:szCs w:val="18"/>
              </w:rPr>
              <w:t>2018b</w:t>
            </w:r>
            <w:r w:rsidRPr="002F5DF8">
              <w:rPr>
                <w:rFonts w:ascii="Arial Narrow" w:eastAsia="Times New Roman" w:hAnsi="Arial Narrow" w:cs="Calibri"/>
                <w:color w:val="000000"/>
                <w:sz w:val="18"/>
                <w:szCs w:val="18"/>
              </w:rPr>
              <w:t>)).</w:t>
            </w:r>
          </w:p>
        </w:tc>
      </w:tr>
      <w:tr w:rsidR="00152B42" w:rsidRPr="00855347" w14:paraId="56C878D8" w14:textId="77777777" w:rsidTr="00B8298D">
        <w:trPr>
          <w:jc w:val="center"/>
        </w:trPr>
        <w:tc>
          <w:tcPr>
            <w:tcW w:w="274" w:type="dxa"/>
            <w:tcBorders>
              <w:top w:val="nil"/>
              <w:left w:val="single" w:sz="4" w:space="0" w:color="auto"/>
              <w:right w:val="nil"/>
            </w:tcBorders>
            <w:shd w:val="clear" w:color="auto" w:fill="auto"/>
          </w:tcPr>
          <w:p w14:paraId="7610EF41" w14:textId="23CBE20A" w:rsidR="00152B42" w:rsidRPr="00794249" w:rsidRDefault="00152B42" w:rsidP="00B8298D">
            <w:pPr>
              <w:rPr>
                <w:rFonts w:ascii="Arial Narrow" w:eastAsia="Times New Roman" w:hAnsi="Arial Narrow" w:cs="Calibri"/>
                <w:color w:val="000000" w:themeColor="text1"/>
                <w:sz w:val="18"/>
                <w:szCs w:val="18"/>
                <w:vertAlign w:val="superscript"/>
              </w:rPr>
            </w:pPr>
            <w:r>
              <w:rPr>
                <w:rFonts w:ascii="Arial Narrow" w:eastAsia="Times New Roman" w:hAnsi="Arial Narrow" w:cs="Calibri"/>
                <w:color w:val="000000" w:themeColor="text1"/>
                <w:sz w:val="18"/>
                <w:szCs w:val="18"/>
                <w:vertAlign w:val="superscript"/>
              </w:rPr>
              <w:t>2</w:t>
            </w:r>
          </w:p>
        </w:tc>
        <w:tc>
          <w:tcPr>
            <w:tcW w:w="9086" w:type="dxa"/>
            <w:gridSpan w:val="4"/>
            <w:tcBorders>
              <w:top w:val="nil"/>
              <w:left w:val="nil"/>
              <w:right w:val="single" w:sz="4" w:space="0" w:color="000000" w:themeColor="text1"/>
            </w:tcBorders>
            <w:shd w:val="clear" w:color="auto" w:fill="auto"/>
          </w:tcPr>
          <w:p w14:paraId="02B78DD3" w14:textId="4B266A4A" w:rsidR="00152B42" w:rsidRPr="00794249" w:rsidRDefault="00506862" w:rsidP="00B8298D">
            <w:pPr>
              <w:ind w:left="-120"/>
              <w:rPr>
                <w:rFonts w:ascii="Arial Narrow" w:eastAsia="Times New Roman" w:hAnsi="Arial Narrow" w:cs="Calibri"/>
                <w:color w:val="000000"/>
                <w:sz w:val="18"/>
                <w:szCs w:val="18"/>
              </w:rPr>
            </w:pPr>
            <w:r w:rsidRPr="00CD5801">
              <w:rPr>
                <w:rFonts w:ascii="Arial Narrow" w:eastAsia="Times New Roman" w:hAnsi="Arial Narrow" w:cs="Calibri"/>
                <w:color w:val="000000"/>
                <w:sz w:val="18"/>
                <w:szCs w:val="18"/>
              </w:rPr>
              <w:t>As in the analys</w:t>
            </w:r>
            <w:r w:rsidR="00CD2CA3">
              <w:rPr>
                <w:rFonts w:ascii="Arial Narrow" w:eastAsia="Times New Roman" w:hAnsi="Arial Narrow" w:cs="Calibri"/>
                <w:color w:val="000000"/>
                <w:sz w:val="18"/>
                <w:szCs w:val="18"/>
              </w:rPr>
              <w:t>i</w:t>
            </w:r>
            <w:r w:rsidRPr="00CD5801">
              <w:rPr>
                <w:rFonts w:ascii="Arial Narrow" w:eastAsia="Times New Roman" w:hAnsi="Arial Narrow" w:cs="Calibri"/>
                <w:color w:val="000000"/>
                <w:sz w:val="18"/>
                <w:szCs w:val="18"/>
              </w:rPr>
              <w:t>s</w:t>
            </w:r>
            <w:r w:rsidR="00CD2CA3">
              <w:rPr>
                <w:rFonts w:ascii="Arial Narrow" w:eastAsia="Times New Roman" w:hAnsi="Arial Narrow" w:cs="Calibri"/>
                <w:color w:val="000000"/>
                <w:sz w:val="18"/>
                <w:szCs w:val="18"/>
              </w:rPr>
              <w:t xml:space="preserve"> in Table</w:t>
            </w:r>
            <w:r w:rsidR="00A12FD2">
              <w:rPr>
                <w:rFonts w:ascii="Arial Narrow" w:eastAsia="Times New Roman" w:hAnsi="Arial Narrow" w:cs="Calibri"/>
                <w:color w:val="000000"/>
                <w:sz w:val="18"/>
                <w:szCs w:val="18"/>
              </w:rPr>
              <w:t>s</w:t>
            </w:r>
            <w:r w:rsidR="00CD2CA3">
              <w:rPr>
                <w:rFonts w:ascii="Arial Narrow" w:eastAsia="Times New Roman" w:hAnsi="Arial Narrow" w:cs="Calibri"/>
                <w:color w:val="000000"/>
                <w:sz w:val="18"/>
                <w:szCs w:val="18"/>
              </w:rPr>
              <w:t xml:space="preserve"> </w:t>
            </w:r>
            <w:r w:rsidR="00A12FD2">
              <w:rPr>
                <w:rFonts w:ascii="Arial Narrow" w:eastAsia="Times New Roman" w:hAnsi="Arial Narrow" w:cs="Calibri"/>
                <w:color w:val="000000"/>
                <w:sz w:val="18"/>
                <w:szCs w:val="18"/>
              </w:rPr>
              <w:t>4-13 and 4-14</w:t>
            </w:r>
            <w:r w:rsidRPr="00CD5801">
              <w:rPr>
                <w:rFonts w:ascii="Arial Narrow" w:eastAsia="Times New Roman" w:hAnsi="Arial Narrow" w:cs="Calibri"/>
                <w:color w:val="000000"/>
                <w:sz w:val="18"/>
                <w:szCs w:val="18"/>
              </w:rPr>
              <w:t xml:space="preserve"> of </w:t>
            </w:r>
            <w:r w:rsidR="00FF0FB5">
              <w:rPr>
                <w:rFonts w:ascii="Arial Narrow" w:eastAsia="Times New Roman" w:hAnsi="Arial Narrow" w:cs="Calibri"/>
                <w:color w:val="000000"/>
                <w:sz w:val="18"/>
                <w:szCs w:val="18"/>
              </w:rPr>
              <w:t>EPA (2019a)</w:t>
            </w:r>
            <w:r w:rsidRPr="00CD5801">
              <w:rPr>
                <w:rFonts w:ascii="Arial Narrow" w:eastAsia="Times New Roman" w:hAnsi="Arial Narrow" w:cs="Calibri"/>
                <w:color w:val="000000"/>
                <w:sz w:val="18"/>
                <w:szCs w:val="18"/>
              </w:rPr>
              <w:t>, overall unit burden is based on 14.82% new reporting sites.</w:t>
            </w:r>
          </w:p>
        </w:tc>
      </w:tr>
      <w:tr w:rsidR="00B8298D" w:rsidRPr="00855347" w14:paraId="620E7584" w14:textId="77777777" w:rsidTr="00B8298D">
        <w:trPr>
          <w:jc w:val="center"/>
        </w:trPr>
        <w:tc>
          <w:tcPr>
            <w:tcW w:w="274" w:type="dxa"/>
            <w:tcBorders>
              <w:top w:val="nil"/>
              <w:left w:val="single" w:sz="4" w:space="0" w:color="auto"/>
              <w:right w:val="nil"/>
            </w:tcBorders>
            <w:shd w:val="clear" w:color="auto" w:fill="auto"/>
            <w:hideMark/>
          </w:tcPr>
          <w:p w14:paraId="08354019" w14:textId="1BC86D2E" w:rsidR="00B8298D" w:rsidRPr="00794249" w:rsidRDefault="00152B42" w:rsidP="00B8298D">
            <w:pPr>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vertAlign w:val="superscript"/>
              </w:rPr>
              <w:t>3</w:t>
            </w:r>
          </w:p>
        </w:tc>
        <w:tc>
          <w:tcPr>
            <w:tcW w:w="9086" w:type="dxa"/>
            <w:gridSpan w:val="4"/>
            <w:tcBorders>
              <w:top w:val="nil"/>
              <w:left w:val="nil"/>
              <w:right w:val="single" w:sz="4" w:space="0" w:color="000000" w:themeColor="text1"/>
            </w:tcBorders>
            <w:shd w:val="clear" w:color="auto" w:fill="auto"/>
            <w:hideMark/>
          </w:tcPr>
          <w:p w14:paraId="7DE8ABA9" w14:textId="77777777" w:rsidR="00B8298D" w:rsidRPr="002F5DF8" w:rsidRDefault="00B8298D" w:rsidP="00B8298D">
            <w:pPr>
              <w:ind w:left="-120"/>
              <w:rPr>
                <w:rFonts w:ascii="Arial Narrow" w:eastAsia="Times New Roman" w:hAnsi="Arial Narrow" w:cs="Calibri"/>
                <w:color w:val="000000"/>
                <w:sz w:val="18"/>
                <w:szCs w:val="18"/>
              </w:rPr>
            </w:pPr>
            <w:r w:rsidRPr="00794249">
              <w:rPr>
                <w:rFonts w:ascii="Arial Narrow" w:eastAsia="Times New Roman" w:hAnsi="Arial Narrow" w:cs="Calibri"/>
                <w:color w:val="000000"/>
                <w:sz w:val="18"/>
                <w:szCs w:val="18"/>
              </w:rPr>
              <w:t xml:space="preserve">The estimate for new reporter incremental Rule Familiarization burden consists of 0.049 hours of Managerial labor and 0.118 hours of Technical labor. Compliance Determination for new reporters is estimated at the same levels as for experienced reporters. </w:t>
            </w:r>
          </w:p>
        </w:tc>
      </w:tr>
      <w:tr w:rsidR="00B8298D" w:rsidRPr="00855347" w14:paraId="07450C48" w14:textId="77777777" w:rsidTr="00B8298D">
        <w:trPr>
          <w:jc w:val="center"/>
        </w:trPr>
        <w:tc>
          <w:tcPr>
            <w:tcW w:w="274" w:type="dxa"/>
            <w:tcBorders>
              <w:left w:val="single" w:sz="4" w:space="0" w:color="auto"/>
              <w:bottom w:val="single" w:sz="4" w:space="0" w:color="auto"/>
            </w:tcBorders>
            <w:shd w:val="clear" w:color="auto" w:fill="auto"/>
            <w:hideMark/>
          </w:tcPr>
          <w:p w14:paraId="5FBF445C" w14:textId="73113E72" w:rsidR="00B8298D" w:rsidRPr="00794249" w:rsidRDefault="00152B42" w:rsidP="00B8298D">
            <w:pPr>
              <w:keepNex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vertAlign w:val="superscript"/>
              </w:rPr>
              <w:t>4</w:t>
            </w:r>
          </w:p>
        </w:tc>
        <w:tc>
          <w:tcPr>
            <w:tcW w:w="9086" w:type="dxa"/>
            <w:gridSpan w:val="4"/>
            <w:tcBorders>
              <w:bottom w:val="single" w:sz="4" w:space="0" w:color="auto"/>
              <w:right w:val="single" w:sz="4" w:space="0" w:color="auto"/>
            </w:tcBorders>
            <w:shd w:val="clear" w:color="auto" w:fill="auto"/>
            <w:hideMark/>
          </w:tcPr>
          <w:p w14:paraId="47AE5D7B" w14:textId="77777777" w:rsidR="00B8298D" w:rsidRPr="002F5DF8" w:rsidRDefault="00B8298D" w:rsidP="00B8298D">
            <w:pPr>
              <w:keepNext/>
              <w:ind w:left="-115"/>
              <w:rPr>
                <w:rFonts w:ascii="Arial Narrow" w:eastAsia="Times New Roman" w:hAnsi="Arial Narrow" w:cs="Calibri"/>
                <w:color w:val="000000"/>
                <w:sz w:val="18"/>
                <w:szCs w:val="18"/>
              </w:rPr>
            </w:pPr>
            <w:r w:rsidRPr="00794249">
              <w:rPr>
                <w:rFonts w:ascii="Arial Narrow" w:eastAsia="Times New Roman" w:hAnsi="Arial Narrow" w:cs="Calibri"/>
                <w:color w:val="000000"/>
                <w:sz w:val="18"/>
                <w:szCs w:val="18"/>
              </w:rPr>
              <w:t>The estimate for new reporter incremental Rule Familiarization burden consists of 0.583 hours of Managerial labor and 1.417 hours of Technical labor. Compliance Determination for new reporters is estimated at the same levels as for experienced reporters</w:t>
            </w:r>
            <w:r w:rsidRPr="002F5DF8">
              <w:rPr>
                <w:rFonts w:ascii="Arial Narrow" w:eastAsia="Times New Roman" w:hAnsi="Arial Narrow" w:cs="Calibri"/>
                <w:color w:val="000000"/>
                <w:sz w:val="18"/>
                <w:szCs w:val="18"/>
              </w:rPr>
              <w:t xml:space="preserve">. </w:t>
            </w:r>
          </w:p>
        </w:tc>
      </w:tr>
    </w:tbl>
    <w:p w14:paraId="7EF4DC67" w14:textId="77777777" w:rsidR="00B8298D" w:rsidRDefault="00B8298D" w:rsidP="00B8298D"/>
    <w:p w14:paraId="43FA6FDD" w14:textId="28D1701A" w:rsidR="00F6333D" w:rsidRDefault="00B8298D" w:rsidP="00B8298D">
      <w:pPr>
        <w:pStyle w:val="BodyText"/>
      </w:pPr>
      <w:r w:rsidRPr="00AD1F77">
        <w:fldChar w:fldCharType="begin"/>
      </w:r>
      <w:r w:rsidRPr="00AD1F77">
        <w:instrText xml:space="preserve"> REF _Ref526353437 \h </w:instrText>
      </w:r>
      <w:r>
        <w:instrText xml:space="preserve"> \* MERGEFORMAT </w:instrText>
      </w:r>
      <w:r w:rsidRPr="00AD1F77">
        <w:fldChar w:fldCharType="separate"/>
      </w:r>
      <w:r w:rsidR="00745E52" w:rsidRPr="00AD1F77">
        <w:t xml:space="preserve">Table </w:t>
      </w:r>
      <w:r w:rsidR="00745E52">
        <w:rPr>
          <w:noProof/>
        </w:rPr>
        <w:t>5</w:t>
      </w:r>
      <w:r w:rsidRPr="00AD1F77">
        <w:fldChar w:fldCharType="end"/>
      </w:r>
      <w:r w:rsidRPr="00AD1F77">
        <w:t xml:space="preserve"> presents the derivation of unit burdens for new reporters and the overall average reporter for incremental increases to rule familiarization and compliance determination associated with the byproduct provisions of the proposed rule – byproduct exemptions and category reporting. These provisions primarily result in a reduction in number of chemical reports submitted and number of sites reporting.</w:t>
      </w:r>
      <w:bookmarkStart w:id="75" w:name="_Ref524344142"/>
    </w:p>
    <w:p w14:paraId="7A06DC0A" w14:textId="77777777" w:rsidR="00F6333D" w:rsidRDefault="00F6333D">
      <w:pPr>
        <w:spacing w:after="200" w:line="276" w:lineRule="auto"/>
        <w:rPr>
          <w:rFonts w:eastAsia="Times New Roman" w:cs="Times New Roman"/>
        </w:rPr>
      </w:pPr>
      <w:r>
        <w:br w:type="page"/>
      </w:r>
    </w:p>
    <w:tbl>
      <w:tblPr>
        <w:tblW w:w="4948" w:type="pct"/>
        <w:jc w:val="center"/>
        <w:tblLayout w:type="fixed"/>
        <w:tblCellMar>
          <w:left w:w="115" w:type="dxa"/>
          <w:right w:w="115" w:type="dxa"/>
        </w:tblCellMar>
        <w:tblLook w:val="04A0" w:firstRow="1" w:lastRow="0" w:firstColumn="1" w:lastColumn="0" w:noHBand="0" w:noVBand="1"/>
      </w:tblPr>
      <w:tblGrid>
        <w:gridCol w:w="277"/>
        <w:gridCol w:w="3780"/>
        <w:gridCol w:w="1936"/>
        <w:gridCol w:w="1752"/>
        <w:gridCol w:w="1745"/>
      </w:tblGrid>
      <w:tr w:rsidR="00B8298D" w:rsidRPr="003D0D65" w14:paraId="0D8C8324" w14:textId="77777777" w:rsidTr="00B8298D">
        <w:trPr>
          <w:tblHeader/>
          <w:jc w:val="center"/>
        </w:trPr>
        <w:tc>
          <w:tcPr>
            <w:tcW w:w="9263" w:type="dxa"/>
            <w:gridSpan w:val="5"/>
            <w:tcBorders>
              <w:top w:val="nil"/>
              <w:left w:val="nil"/>
              <w:bottom w:val="single" w:sz="4" w:space="0" w:color="auto"/>
              <w:right w:val="nil"/>
            </w:tcBorders>
            <w:shd w:val="clear" w:color="auto" w:fill="auto"/>
            <w:vAlign w:val="center"/>
            <w:hideMark/>
          </w:tcPr>
          <w:p w14:paraId="42CB5519" w14:textId="4A287109" w:rsidR="00B8298D" w:rsidRPr="00B0518F" w:rsidRDefault="00B8298D" w:rsidP="00B8298D">
            <w:pPr>
              <w:pStyle w:val="Caption"/>
              <w:keepNext/>
              <w:rPr>
                <w:b w:val="0"/>
                <w:bCs w:val="0"/>
              </w:rPr>
            </w:pPr>
            <w:bookmarkStart w:id="76" w:name="_Ref526353437"/>
            <w:bookmarkStart w:id="77" w:name="_Ref525022549"/>
            <w:r w:rsidRPr="00AD1F77">
              <w:t xml:space="preserve">Table </w:t>
            </w:r>
            <w:r>
              <w:rPr>
                <w:noProof/>
              </w:rPr>
              <w:fldChar w:fldCharType="begin"/>
            </w:r>
            <w:r>
              <w:rPr>
                <w:noProof/>
              </w:rPr>
              <w:instrText xml:space="preserve"> SEQ Table \* ARABIC </w:instrText>
            </w:r>
            <w:r>
              <w:rPr>
                <w:noProof/>
              </w:rPr>
              <w:fldChar w:fldCharType="separate"/>
            </w:r>
            <w:r w:rsidR="00745E52">
              <w:rPr>
                <w:noProof/>
              </w:rPr>
              <w:t>5</w:t>
            </w:r>
            <w:r>
              <w:rPr>
                <w:noProof/>
              </w:rPr>
              <w:fldChar w:fldCharType="end"/>
            </w:r>
            <w:bookmarkEnd w:id="75"/>
            <w:bookmarkEnd w:id="76"/>
            <w:bookmarkEnd w:id="77"/>
            <w:r w:rsidRPr="00AD1F77">
              <w:rPr>
                <w:rFonts w:eastAsia="Times New Roman" w:cs="Times New Roman"/>
                <w:color w:val="000000"/>
              </w:rPr>
              <w:t>: Byproduct Exemptions and Category Reporting Incremental Burden, Experienced and New Reporters, Four-Year Cycle, Industry and Government</w:t>
            </w:r>
          </w:p>
        </w:tc>
      </w:tr>
      <w:tr w:rsidR="00B8298D" w:rsidRPr="003D0D65" w14:paraId="257C4A22" w14:textId="77777777" w:rsidTr="00B8298D">
        <w:trPr>
          <w:tblHeader/>
          <w:jc w:val="center"/>
        </w:trPr>
        <w:tc>
          <w:tcPr>
            <w:tcW w:w="3960" w:type="dxa"/>
            <w:gridSpan w:val="2"/>
            <w:vMerge w:val="restart"/>
            <w:tcBorders>
              <w:top w:val="nil"/>
              <w:left w:val="single" w:sz="4" w:space="0" w:color="auto"/>
              <w:bottom w:val="single" w:sz="4" w:space="0" w:color="000000" w:themeColor="text1"/>
              <w:right w:val="single" w:sz="4" w:space="0" w:color="auto"/>
            </w:tcBorders>
            <w:shd w:val="clear" w:color="auto" w:fill="BFBFBF" w:themeFill="background1" w:themeFillShade="BF"/>
            <w:noWrap/>
            <w:vAlign w:val="bottom"/>
            <w:hideMark/>
          </w:tcPr>
          <w:p w14:paraId="628FB47F" w14:textId="77777777" w:rsidR="00B8298D" w:rsidRPr="002D0EB4" w:rsidRDefault="00B8298D" w:rsidP="00B8298D">
            <w:pPr>
              <w:jc w:val="cente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Activity</w:t>
            </w:r>
          </w:p>
        </w:tc>
        <w:tc>
          <w:tcPr>
            <w:tcW w:w="1890" w:type="dxa"/>
            <w:tcBorders>
              <w:top w:val="nil"/>
              <w:left w:val="nil"/>
              <w:bottom w:val="single" w:sz="4" w:space="0" w:color="auto"/>
              <w:right w:val="single" w:sz="4" w:space="0" w:color="auto"/>
            </w:tcBorders>
            <w:shd w:val="clear" w:color="auto" w:fill="BFBFBF" w:themeFill="background1" w:themeFillShade="BF"/>
            <w:vAlign w:val="bottom"/>
            <w:hideMark/>
          </w:tcPr>
          <w:p w14:paraId="3E0C63B9" w14:textId="77777777" w:rsidR="00B8298D" w:rsidRPr="002D0EB4" w:rsidRDefault="00B8298D" w:rsidP="00B8298D">
            <w:pPr>
              <w:jc w:val="cente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Experienced Reporters</w:t>
            </w:r>
          </w:p>
        </w:tc>
        <w:tc>
          <w:tcPr>
            <w:tcW w:w="1710" w:type="dxa"/>
            <w:tcBorders>
              <w:top w:val="nil"/>
              <w:left w:val="nil"/>
              <w:bottom w:val="single" w:sz="4" w:space="0" w:color="auto"/>
              <w:right w:val="single" w:sz="4" w:space="0" w:color="auto"/>
            </w:tcBorders>
            <w:shd w:val="clear" w:color="auto" w:fill="BFBFBF" w:themeFill="background1" w:themeFillShade="BF"/>
            <w:vAlign w:val="bottom"/>
            <w:hideMark/>
          </w:tcPr>
          <w:p w14:paraId="7C5A8625" w14:textId="77777777" w:rsidR="00B8298D" w:rsidRPr="002D0EB4" w:rsidRDefault="00B8298D" w:rsidP="00B8298D">
            <w:pPr>
              <w:jc w:val="cente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New Reporters</w:t>
            </w:r>
          </w:p>
        </w:tc>
        <w:tc>
          <w:tcPr>
            <w:tcW w:w="1703" w:type="dxa"/>
            <w:tcBorders>
              <w:top w:val="nil"/>
              <w:left w:val="nil"/>
              <w:bottom w:val="single" w:sz="4" w:space="0" w:color="auto"/>
              <w:right w:val="single" w:sz="4" w:space="0" w:color="auto"/>
            </w:tcBorders>
            <w:shd w:val="clear" w:color="auto" w:fill="BFBFBF" w:themeFill="background1" w:themeFillShade="BF"/>
            <w:vAlign w:val="bottom"/>
            <w:hideMark/>
          </w:tcPr>
          <w:p w14:paraId="37D946C2" w14:textId="1483D7CF" w:rsidR="00B8298D" w:rsidRPr="002D0EB4" w:rsidRDefault="00B8298D" w:rsidP="00B8298D">
            <w:pPr>
              <w:jc w:val="cente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Overall</w:t>
            </w:r>
            <w:r w:rsidR="00152B42" w:rsidRPr="00874EA2">
              <w:rPr>
                <w:rFonts w:ascii="Arial Narrow" w:eastAsia="Times New Roman" w:hAnsi="Arial Narrow" w:cs="Calibri"/>
                <w:b/>
                <w:bCs/>
                <w:color w:val="000000"/>
                <w:sz w:val="18"/>
                <w:szCs w:val="18"/>
                <w:vertAlign w:val="superscript"/>
              </w:rPr>
              <w:t>1</w:t>
            </w:r>
          </w:p>
        </w:tc>
      </w:tr>
      <w:tr w:rsidR="00536DA0" w:rsidRPr="003D0D65" w14:paraId="41949A34" w14:textId="77777777" w:rsidTr="00B8298D">
        <w:trPr>
          <w:tblHeader/>
          <w:jc w:val="center"/>
        </w:trPr>
        <w:tc>
          <w:tcPr>
            <w:tcW w:w="3960" w:type="dxa"/>
            <w:gridSpan w:val="2"/>
            <w:vMerge/>
            <w:tcBorders>
              <w:top w:val="nil"/>
              <w:left w:val="single" w:sz="4" w:space="0" w:color="auto"/>
              <w:bottom w:val="single" w:sz="4" w:space="0" w:color="000000"/>
              <w:right w:val="single" w:sz="4" w:space="0" w:color="auto"/>
            </w:tcBorders>
            <w:shd w:val="clear" w:color="auto" w:fill="BFBFBF"/>
            <w:vAlign w:val="center"/>
            <w:hideMark/>
          </w:tcPr>
          <w:p w14:paraId="2C34C309" w14:textId="77777777" w:rsidR="00536DA0" w:rsidRPr="002D0EB4" w:rsidRDefault="00536DA0" w:rsidP="00536DA0">
            <w:pPr>
              <w:rPr>
                <w:rFonts w:ascii="Arial Narrow" w:eastAsia="Times New Roman" w:hAnsi="Arial Narrow" w:cs="Calibri"/>
                <w:b/>
                <w:bCs/>
                <w:color w:val="000000"/>
                <w:sz w:val="18"/>
                <w:szCs w:val="18"/>
              </w:rPr>
            </w:pPr>
          </w:p>
        </w:tc>
        <w:tc>
          <w:tcPr>
            <w:tcW w:w="1890" w:type="dxa"/>
            <w:tcBorders>
              <w:top w:val="nil"/>
              <w:left w:val="nil"/>
              <w:bottom w:val="single" w:sz="4" w:space="0" w:color="auto"/>
              <w:right w:val="single" w:sz="4" w:space="0" w:color="auto"/>
            </w:tcBorders>
            <w:shd w:val="clear" w:color="auto" w:fill="BFBFBF" w:themeFill="background1" w:themeFillShade="BF"/>
            <w:vAlign w:val="center"/>
            <w:hideMark/>
          </w:tcPr>
          <w:p w14:paraId="7F2AEB16" w14:textId="4DB71E02" w:rsidR="00536DA0" w:rsidRPr="002D0EB4" w:rsidRDefault="00536DA0" w:rsidP="00536DA0">
            <w:pPr>
              <w:jc w:val="cente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Unit Burden per Average Site (</w:t>
            </w:r>
            <w:r>
              <w:rPr>
                <w:rFonts w:ascii="Arial Narrow" w:eastAsia="Times New Roman" w:hAnsi="Arial Narrow" w:cs="Calibri"/>
                <w:b/>
                <w:bCs/>
                <w:color w:val="000000"/>
                <w:sz w:val="18"/>
                <w:szCs w:val="18"/>
              </w:rPr>
              <w:t>h</w:t>
            </w:r>
            <w:r w:rsidRPr="002D0EB4">
              <w:rPr>
                <w:rFonts w:ascii="Arial Narrow" w:eastAsia="Times New Roman" w:hAnsi="Arial Narrow" w:cs="Calibri"/>
                <w:b/>
                <w:bCs/>
                <w:color w:val="000000"/>
                <w:sz w:val="18"/>
                <w:szCs w:val="18"/>
              </w:rPr>
              <w:t>ours)</w:t>
            </w:r>
          </w:p>
        </w:tc>
        <w:tc>
          <w:tcPr>
            <w:tcW w:w="1710" w:type="dxa"/>
            <w:tcBorders>
              <w:top w:val="nil"/>
              <w:left w:val="nil"/>
              <w:bottom w:val="single" w:sz="4" w:space="0" w:color="auto"/>
              <w:right w:val="single" w:sz="4" w:space="0" w:color="auto"/>
            </w:tcBorders>
            <w:shd w:val="clear" w:color="auto" w:fill="BFBFBF" w:themeFill="background1" w:themeFillShade="BF"/>
            <w:vAlign w:val="center"/>
            <w:hideMark/>
          </w:tcPr>
          <w:p w14:paraId="2C899B63" w14:textId="0506FFB8" w:rsidR="00536DA0" w:rsidRPr="002D0EB4" w:rsidRDefault="00536DA0" w:rsidP="00536DA0">
            <w:pPr>
              <w:jc w:val="cente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Unit Burden per Average Site (</w:t>
            </w:r>
            <w:r>
              <w:rPr>
                <w:rFonts w:ascii="Arial Narrow" w:eastAsia="Times New Roman" w:hAnsi="Arial Narrow" w:cs="Calibri"/>
                <w:b/>
                <w:bCs/>
                <w:color w:val="000000"/>
                <w:sz w:val="18"/>
                <w:szCs w:val="18"/>
              </w:rPr>
              <w:t>h</w:t>
            </w:r>
            <w:r w:rsidRPr="002D0EB4">
              <w:rPr>
                <w:rFonts w:ascii="Arial Narrow" w:eastAsia="Times New Roman" w:hAnsi="Arial Narrow" w:cs="Calibri"/>
                <w:b/>
                <w:bCs/>
                <w:color w:val="000000"/>
                <w:sz w:val="18"/>
                <w:szCs w:val="18"/>
              </w:rPr>
              <w:t>ours)</w:t>
            </w:r>
          </w:p>
        </w:tc>
        <w:tc>
          <w:tcPr>
            <w:tcW w:w="1703" w:type="dxa"/>
            <w:tcBorders>
              <w:top w:val="nil"/>
              <w:left w:val="nil"/>
              <w:bottom w:val="single" w:sz="4" w:space="0" w:color="auto"/>
              <w:right w:val="single" w:sz="4" w:space="0" w:color="auto"/>
            </w:tcBorders>
            <w:shd w:val="clear" w:color="auto" w:fill="BFBFBF" w:themeFill="background1" w:themeFillShade="BF"/>
            <w:vAlign w:val="center"/>
            <w:hideMark/>
          </w:tcPr>
          <w:p w14:paraId="361AEA20" w14:textId="788CEE7D" w:rsidR="00536DA0" w:rsidRPr="002D0EB4" w:rsidRDefault="00536DA0" w:rsidP="00536DA0">
            <w:pPr>
              <w:jc w:val="cente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Unit Burden per Average Site (</w:t>
            </w:r>
            <w:r>
              <w:rPr>
                <w:rFonts w:ascii="Arial Narrow" w:eastAsia="Times New Roman" w:hAnsi="Arial Narrow" w:cs="Calibri"/>
                <w:b/>
                <w:bCs/>
                <w:color w:val="000000"/>
                <w:sz w:val="18"/>
                <w:szCs w:val="18"/>
              </w:rPr>
              <w:t>h</w:t>
            </w:r>
            <w:r w:rsidRPr="002D0EB4">
              <w:rPr>
                <w:rFonts w:ascii="Arial Narrow" w:eastAsia="Times New Roman" w:hAnsi="Arial Narrow" w:cs="Calibri"/>
                <w:b/>
                <w:bCs/>
                <w:color w:val="000000"/>
                <w:sz w:val="18"/>
                <w:szCs w:val="18"/>
              </w:rPr>
              <w:t>ours)</w:t>
            </w:r>
          </w:p>
        </w:tc>
      </w:tr>
      <w:tr w:rsidR="00B8298D" w:rsidRPr="003D0D65" w14:paraId="3A241FBC" w14:textId="77777777" w:rsidTr="00B8298D">
        <w:trPr>
          <w:jc w:val="center"/>
        </w:trPr>
        <w:tc>
          <w:tcPr>
            <w:tcW w:w="3960" w:type="dxa"/>
            <w:gridSpan w:val="2"/>
            <w:tcBorders>
              <w:top w:val="single" w:sz="4" w:space="0" w:color="auto"/>
              <w:left w:val="single" w:sz="4" w:space="0" w:color="auto"/>
              <w:bottom w:val="single" w:sz="4" w:space="0" w:color="auto"/>
              <w:right w:val="nil"/>
            </w:tcBorders>
            <w:shd w:val="clear" w:color="auto" w:fill="auto"/>
            <w:vAlign w:val="bottom"/>
            <w:hideMark/>
          </w:tcPr>
          <w:p w14:paraId="7CEC88CA" w14:textId="51A61789" w:rsidR="00B8298D" w:rsidRPr="002D0EB4" w:rsidRDefault="00B8298D" w:rsidP="00B8298D">
            <w:pP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Byproduct Exemptions</w:t>
            </w:r>
          </w:p>
        </w:tc>
        <w:tc>
          <w:tcPr>
            <w:tcW w:w="1890" w:type="dxa"/>
            <w:tcBorders>
              <w:top w:val="nil"/>
              <w:left w:val="nil"/>
              <w:bottom w:val="single" w:sz="4" w:space="0" w:color="auto"/>
              <w:right w:val="nil"/>
            </w:tcBorders>
            <w:shd w:val="clear" w:color="auto" w:fill="auto"/>
            <w:noWrap/>
            <w:vAlign w:val="center"/>
            <w:hideMark/>
          </w:tcPr>
          <w:p w14:paraId="1948ADAA" w14:textId="77777777" w:rsidR="00B8298D" w:rsidRPr="002D0EB4" w:rsidRDefault="00B8298D" w:rsidP="00B8298D">
            <w:pPr>
              <w:ind w:firstLineChars="100" w:firstLine="180"/>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 </w:t>
            </w:r>
          </w:p>
        </w:tc>
        <w:tc>
          <w:tcPr>
            <w:tcW w:w="1710" w:type="dxa"/>
            <w:tcBorders>
              <w:top w:val="nil"/>
              <w:left w:val="nil"/>
              <w:bottom w:val="single" w:sz="4" w:space="0" w:color="auto"/>
              <w:right w:val="nil"/>
            </w:tcBorders>
            <w:shd w:val="clear" w:color="auto" w:fill="auto"/>
            <w:noWrap/>
            <w:vAlign w:val="center"/>
            <w:hideMark/>
          </w:tcPr>
          <w:p w14:paraId="143B050A" w14:textId="77777777" w:rsidR="00B8298D" w:rsidRPr="002D0EB4" w:rsidRDefault="00B8298D" w:rsidP="00B8298D">
            <w:pPr>
              <w:ind w:firstLineChars="100" w:firstLine="180"/>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 </w:t>
            </w:r>
          </w:p>
        </w:tc>
        <w:tc>
          <w:tcPr>
            <w:tcW w:w="1703" w:type="dxa"/>
            <w:tcBorders>
              <w:top w:val="nil"/>
              <w:left w:val="nil"/>
              <w:bottom w:val="single" w:sz="4" w:space="0" w:color="auto"/>
              <w:right w:val="single" w:sz="4" w:space="0" w:color="auto"/>
            </w:tcBorders>
            <w:shd w:val="clear" w:color="auto" w:fill="auto"/>
            <w:noWrap/>
            <w:vAlign w:val="center"/>
            <w:hideMark/>
          </w:tcPr>
          <w:p w14:paraId="373CFF8A" w14:textId="77777777" w:rsidR="00B8298D" w:rsidRPr="002D0EB4" w:rsidRDefault="00B8298D" w:rsidP="00B8298D">
            <w:pPr>
              <w:ind w:firstLineChars="100" w:firstLine="180"/>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 </w:t>
            </w:r>
          </w:p>
        </w:tc>
      </w:tr>
      <w:tr w:rsidR="00B8298D" w:rsidRPr="003D0D65" w14:paraId="42BF254D" w14:textId="77777777" w:rsidTr="00B8298D">
        <w:trPr>
          <w:jc w:val="center"/>
        </w:trPr>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16E23788" w14:textId="6BE1D2C9" w:rsidR="00B8298D" w:rsidRPr="002D0EB4" w:rsidRDefault="00B8298D" w:rsidP="00B8298D">
            <w:pPr>
              <w:rPr>
                <w:rFonts w:ascii="Arial Narrow" w:eastAsia="Times New Roman" w:hAnsi="Arial Narrow" w:cs="Calibri"/>
                <w:color w:val="000000"/>
                <w:sz w:val="18"/>
                <w:szCs w:val="18"/>
              </w:rPr>
            </w:pPr>
            <w:r w:rsidRPr="002D0EB4">
              <w:rPr>
                <w:rFonts w:ascii="Arial Narrow" w:hAnsi="Arial Narrow" w:cs="Calibri"/>
                <w:color w:val="000000"/>
                <w:sz w:val="18"/>
                <w:szCs w:val="18"/>
              </w:rPr>
              <w:t>Rule Familiarization</w:t>
            </w:r>
            <w:r w:rsidR="00152B42">
              <w:rPr>
                <w:rFonts w:ascii="Arial Narrow" w:hAnsi="Arial Narrow" w:cs="Calibri"/>
                <w:color w:val="000000"/>
                <w:sz w:val="18"/>
                <w:szCs w:val="18"/>
                <w:vertAlign w:val="superscript"/>
              </w:rPr>
              <w:t>2</w:t>
            </w:r>
          </w:p>
        </w:tc>
        <w:tc>
          <w:tcPr>
            <w:tcW w:w="1890" w:type="dxa"/>
            <w:tcBorders>
              <w:top w:val="nil"/>
              <w:left w:val="nil"/>
              <w:bottom w:val="single" w:sz="4" w:space="0" w:color="auto"/>
              <w:right w:val="single" w:sz="4" w:space="0" w:color="auto"/>
            </w:tcBorders>
            <w:shd w:val="clear" w:color="auto" w:fill="auto"/>
            <w:noWrap/>
            <w:vAlign w:val="bottom"/>
            <w:hideMark/>
          </w:tcPr>
          <w:p w14:paraId="7F7913C6"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bottom"/>
            <w:hideMark/>
          </w:tcPr>
          <w:p w14:paraId="62F89C0C"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0.500</w:t>
            </w:r>
          </w:p>
        </w:tc>
        <w:tc>
          <w:tcPr>
            <w:tcW w:w="1703" w:type="dxa"/>
            <w:tcBorders>
              <w:top w:val="nil"/>
              <w:left w:val="nil"/>
              <w:bottom w:val="single" w:sz="4" w:space="0" w:color="auto"/>
              <w:right w:val="single" w:sz="4" w:space="0" w:color="auto"/>
            </w:tcBorders>
            <w:shd w:val="clear" w:color="auto" w:fill="auto"/>
            <w:noWrap/>
            <w:vAlign w:val="bottom"/>
            <w:hideMark/>
          </w:tcPr>
          <w:p w14:paraId="768761C8"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0.074</w:t>
            </w:r>
          </w:p>
        </w:tc>
      </w:tr>
      <w:tr w:rsidR="00B8298D" w:rsidRPr="003D0D65" w14:paraId="18704E18" w14:textId="77777777" w:rsidTr="00B8298D">
        <w:trPr>
          <w:jc w:val="center"/>
        </w:trPr>
        <w:tc>
          <w:tcPr>
            <w:tcW w:w="3960" w:type="dxa"/>
            <w:gridSpan w:val="2"/>
            <w:tcBorders>
              <w:top w:val="nil"/>
              <w:left w:val="single" w:sz="4" w:space="0" w:color="auto"/>
              <w:bottom w:val="single" w:sz="4" w:space="0" w:color="auto"/>
              <w:right w:val="single" w:sz="4" w:space="0" w:color="auto"/>
            </w:tcBorders>
            <w:shd w:val="clear" w:color="auto" w:fill="auto"/>
            <w:vAlign w:val="bottom"/>
            <w:hideMark/>
          </w:tcPr>
          <w:p w14:paraId="3A06C753" w14:textId="51605810" w:rsidR="00B8298D" w:rsidRPr="002D0EB4" w:rsidRDefault="00B8298D" w:rsidP="00B8298D">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Compliance Determination</w:t>
            </w:r>
          </w:p>
        </w:tc>
        <w:tc>
          <w:tcPr>
            <w:tcW w:w="1890" w:type="dxa"/>
            <w:tcBorders>
              <w:top w:val="nil"/>
              <w:left w:val="nil"/>
              <w:bottom w:val="single" w:sz="4" w:space="0" w:color="auto"/>
              <w:right w:val="single" w:sz="4" w:space="0" w:color="auto"/>
            </w:tcBorders>
            <w:shd w:val="clear" w:color="auto" w:fill="auto"/>
            <w:noWrap/>
            <w:vAlign w:val="bottom"/>
            <w:hideMark/>
          </w:tcPr>
          <w:p w14:paraId="31199884"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0.404</w:t>
            </w:r>
          </w:p>
        </w:tc>
        <w:tc>
          <w:tcPr>
            <w:tcW w:w="1710" w:type="dxa"/>
            <w:tcBorders>
              <w:top w:val="nil"/>
              <w:left w:val="nil"/>
              <w:bottom w:val="single" w:sz="4" w:space="0" w:color="auto"/>
              <w:right w:val="single" w:sz="4" w:space="0" w:color="auto"/>
            </w:tcBorders>
            <w:shd w:val="clear" w:color="auto" w:fill="auto"/>
            <w:noWrap/>
            <w:vAlign w:val="bottom"/>
            <w:hideMark/>
          </w:tcPr>
          <w:p w14:paraId="3DFCBFDE"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0.404</w:t>
            </w:r>
          </w:p>
        </w:tc>
        <w:tc>
          <w:tcPr>
            <w:tcW w:w="1703" w:type="dxa"/>
            <w:tcBorders>
              <w:top w:val="nil"/>
              <w:left w:val="nil"/>
              <w:bottom w:val="single" w:sz="4" w:space="0" w:color="auto"/>
              <w:right w:val="single" w:sz="4" w:space="0" w:color="auto"/>
            </w:tcBorders>
            <w:shd w:val="clear" w:color="auto" w:fill="auto"/>
            <w:noWrap/>
            <w:vAlign w:val="bottom"/>
            <w:hideMark/>
          </w:tcPr>
          <w:p w14:paraId="24597F2B"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0.404</w:t>
            </w:r>
          </w:p>
        </w:tc>
      </w:tr>
      <w:tr w:rsidR="00CD5801" w:rsidRPr="003D0D65" w14:paraId="6C33F8A9" w14:textId="77777777" w:rsidTr="00874EA2">
        <w:trPr>
          <w:jc w:val="center"/>
        </w:trPr>
        <w:tc>
          <w:tcPr>
            <w:tcW w:w="3960" w:type="dxa"/>
            <w:gridSpan w:val="2"/>
            <w:tcBorders>
              <w:top w:val="nil"/>
              <w:left w:val="single" w:sz="4" w:space="0" w:color="auto"/>
              <w:bottom w:val="single" w:sz="4" w:space="0" w:color="auto"/>
              <w:right w:val="single" w:sz="4" w:space="0" w:color="auto"/>
            </w:tcBorders>
            <w:shd w:val="clear" w:color="auto" w:fill="auto"/>
            <w:vAlign w:val="bottom"/>
            <w:hideMark/>
          </w:tcPr>
          <w:p w14:paraId="2770AE69" w14:textId="70325D06" w:rsidR="00CD5801" w:rsidRPr="002D0EB4" w:rsidRDefault="00CD5801" w:rsidP="00CD5801">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Recordkeeping</w:t>
            </w:r>
          </w:p>
        </w:tc>
        <w:tc>
          <w:tcPr>
            <w:tcW w:w="1890" w:type="dxa"/>
            <w:tcBorders>
              <w:top w:val="nil"/>
              <w:left w:val="nil"/>
              <w:bottom w:val="single" w:sz="4" w:space="0" w:color="auto"/>
              <w:right w:val="single" w:sz="4" w:space="0" w:color="auto"/>
            </w:tcBorders>
            <w:shd w:val="clear" w:color="auto" w:fill="auto"/>
            <w:noWrap/>
            <w:vAlign w:val="bottom"/>
            <w:hideMark/>
          </w:tcPr>
          <w:p w14:paraId="28DFB4C2" w14:textId="781F3F24" w:rsidR="00CD5801" w:rsidRPr="002D0EB4" w:rsidRDefault="00CD5801" w:rsidP="00874EA2">
            <w:pPr>
              <w:jc w:val="right"/>
              <w:rPr>
                <w:rFonts w:ascii="Arial Narrow" w:eastAsia="Times New Roman" w:hAnsi="Arial Narrow" w:cs="Calibri"/>
                <w:color w:val="000000"/>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bottom"/>
            <w:hideMark/>
          </w:tcPr>
          <w:p w14:paraId="29263C50" w14:textId="61C64668" w:rsidR="00CD5801" w:rsidRPr="002D0EB4" w:rsidRDefault="00CD5801" w:rsidP="00874EA2">
            <w:pPr>
              <w:jc w:val="right"/>
              <w:rPr>
                <w:rFonts w:ascii="Arial Narrow" w:eastAsia="Times New Roman" w:hAnsi="Arial Narrow" w:cs="Calibri"/>
                <w:color w:val="000000"/>
                <w:sz w:val="18"/>
                <w:szCs w:val="18"/>
              </w:rPr>
            </w:pPr>
            <w:r w:rsidRPr="002F5DF8">
              <w:rPr>
                <w:rFonts w:ascii="Arial Narrow" w:hAnsi="Arial Narrow" w:cs="Calibri"/>
                <w:color w:val="000000" w:themeColor="text1"/>
                <w:sz w:val="18"/>
                <w:szCs w:val="18"/>
              </w:rPr>
              <w:t>0.000</w:t>
            </w:r>
          </w:p>
        </w:tc>
        <w:tc>
          <w:tcPr>
            <w:tcW w:w="1703" w:type="dxa"/>
            <w:tcBorders>
              <w:top w:val="nil"/>
              <w:left w:val="nil"/>
              <w:bottom w:val="single" w:sz="4" w:space="0" w:color="auto"/>
              <w:right w:val="single" w:sz="4" w:space="0" w:color="auto"/>
            </w:tcBorders>
            <w:shd w:val="clear" w:color="auto" w:fill="auto"/>
            <w:noWrap/>
            <w:vAlign w:val="bottom"/>
            <w:hideMark/>
          </w:tcPr>
          <w:p w14:paraId="3AE487A1" w14:textId="0E87E737" w:rsidR="00CD5801" w:rsidRPr="002D0EB4" w:rsidRDefault="00CD5801" w:rsidP="00874EA2">
            <w:pPr>
              <w:jc w:val="right"/>
              <w:rPr>
                <w:rFonts w:ascii="Arial Narrow" w:eastAsia="Times New Roman" w:hAnsi="Arial Narrow" w:cs="Calibri"/>
                <w:color w:val="000000"/>
                <w:sz w:val="18"/>
                <w:szCs w:val="18"/>
              </w:rPr>
            </w:pPr>
            <w:r>
              <w:rPr>
                <w:rFonts w:ascii="Arial Narrow" w:eastAsia="Times New Roman" w:hAnsi="Arial Narrow" w:cs="Calibri"/>
                <w:color w:val="000000"/>
                <w:sz w:val="18"/>
                <w:szCs w:val="18"/>
              </w:rPr>
              <w:t>0.000</w:t>
            </w:r>
          </w:p>
        </w:tc>
      </w:tr>
      <w:tr w:rsidR="00B8298D" w:rsidRPr="003D0D65" w14:paraId="6850B8C8" w14:textId="77777777" w:rsidTr="00874EA2">
        <w:trPr>
          <w:jc w:val="center"/>
        </w:trPr>
        <w:tc>
          <w:tcPr>
            <w:tcW w:w="3960" w:type="dxa"/>
            <w:gridSpan w:val="2"/>
            <w:tcBorders>
              <w:top w:val="nil"/>
              <w:left w:val="single" w:sz="4" w:space="0" w:color="auto"/>
              <w:bottom w:val="single" w:sz="4" w:space="0" w:color="auto"/>
              <w:right w:val="single" w:sz="4" w:space="0" w:color="auto"/>
            </w:tcBorders>
            <w:shd w:val="clear" w:color="auto" w:fill="auto"/>
            <w:vAlign w:val="bottom"/>
            <w:hideMark/>
          </w:tcPr>
          <w:p w14:paraId="20D76F0C" w14:textId="77777777" w:rsidR="00B8298D" w:rsidRPr="002D0EB4" w:rsidRDefault="00B8298D" w:rsidP="00B8298D">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Average Multi-Chemical Form Completion (7.5 chemicals)</w:t>
            </w:r>
          </w:p>
        </w:tc>
        <w:tc>
          <w:tcPr>
            <w:tcW w:w="1890" w:type="dxa"/>
            <w:tcBorders>
              <w:top w:val="nil"/>
              <w:left w:val="nil"/>
              <w:bottom w:val="single" w:sz="4" w:space="0" w:color="auto"/>
              <w:right w:val="single" w:sz="4" w:space="0" w:color="auto"/>
            </w:tcBorders>
            <w:shd w:val="clear" w:color="auto" w:fill="auto"/>
            <w:noWrap/>
            <w:vAlign w:val="bottom"/>
            <w:hideMark/>
          </w:tcPr>
          <w:p w14:paraId="03CBD862" w14:textId="324D8B3D" w:rsidR="00B8298D" w:rsidRPr="002D0EB4" w:rsidRDefault="00B8298D" w:rsidP="00CD5801">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10" w:type="dxa"/>
            <w:tcBorders>
              <w:top w:val="nil"/>
              <w:left w:val="nil"/>
              <w:bottom w:val="single" w:sz="4" w:space="0" w:color="auto"/>
              <w:right w:val="single" w:sz="4" w:space="0" w:color="auto"/>
            </w:tcBorders>
            <w:shd w:val="clear" w:color="auto" w:fill="auto"/>
            <w:noWrap/>
            <w:vAlign w:val="bottom"/>
            <w:hideMark/>
          </w:tcPr>
          <w:p w14:paraId="3E38E3D8" w14:textId="77777777" w:rsidR="00B8298D" w:rsidRPr="002D0EB4" w:rsidRDefault="00B8298D" w:rsidP="00602331">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03" w:type="dxa"/>
            <w:tcBorders>
              <w:top w:val="nil"/>
              <w:left w:val="nil"/>
              <w:bottom w:val="single" w:sz="4" w:space="0" w:color="auto"/>
              <w:right w:val="single" w:sz="4" w:space="0" w:color="auto"/>
            </w:tcBorders>
            <w:shd w:val="clear" w:color="auto" w:fill="auto"/>
            <w:noWrap/>
            <w:vAlign w:val="bottom"/>
            <w:hideMark/>
          </w:tcPr>
          <w:p w14:paraId="2789B0CF" w14:textId="77777777" w:rsidR="00B8298D" w:rsidRPr="002D0EB4" w:rsidRDefault="00B8298D" w:rsidP="00CA16ED">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r>
      <w:tr w:rsidR="00B8298D" w:rsidRPr="003D0D65" w14:paraId="0C5F5A0E" w14:textId="77777777" w:rsidTr="00B8298D">
        <w:trPr>
          <w:jc w:val="center"/>
        </w:trPr>
        <w:tc>
          <w:tcPr>
            <w:tcW w:w="3960" w:type="dxa"/>
            <w:gridSpan w:val="2"/>
            <w:tcBorders>
              <w:top w:val="single" w:sz="4" w:space="0" w:color="auto"/>
              <w:left w:val="single" w:sz="4" w:space="0" w:color="auto"/>
              <w:bottom w:val="single" w:sz="4" w:space="0" w:color="auto"/>
              <w:right w:val="nil"/>
            </w:tcBorders>
            <w:shd w:val="clear" w:color="auto" w:fill="auto"/>
            <w:vAlign w:val="bottom"/>
            <w:hideMark/>
          </w:tcPr>
          <w:p w14:paraId="7BCDCAB6" w14:textId="77777777" w:rsidR="00B8298D" w:rsidRPr="002D0EB4" w:rsidRDefault="00B8298D" w:rsidP="00B8298D">
            <w:pPr>
              <w:rPr>
                <w:rFonts w:ascii="Arial Narrow" w:eastAsia="Times New Roman" w:hAnsi="Arial Narrow" w:cs="Calibri"/>
                <w:b/>
                <w:bCs/>
                <w:color w:val="000000"/>
                <w:sz w:val="18"/>
                <w:szCs w:val="18"/>
              </w:rPr>
            </w:pPr>
            <w:r w:rsidRPr="002D0EB4">
              <w:rPr>
                <w:rFonts w:ascii="Arial Narrow" w:eastAsia="Times New Roman" w:hAnsi="Arial Narrow" w:cs="Calibri"/>
                <w:b/>
                <w:bCs/>
                <w:color w:val="000000"/>
                <w:sz w:val="18"/>
                <w:szCs w:val="18"/>
              </w:rPr>
              <w:t>Category Reporting</w:t>
            </w:r>
          </w:p>
        </w:tc>
        <w:tc>
          <w:tcPr>
            <w:tcW w:w="1890" w:type="dxa"/>
            <w:tcBorders>
              <w:top w:val="nil"/>
              <w:left w:val="nil"/>
              <w:bottom w:val="single" w:sz="4" w:space="0" w:color="auto"/>
              <w:right w:val="nil"/>
            </w:tcBorders>
            <w:shd w:val="clear" w:color="auto" w:fill="auto"/>
            <w:noWrap/>
            <w:vAlign w:val="center"/>
            <w:hideMark/>
          </w:tcPr>
          <w:p w14:paraId="20E6A433" w14:textId="77777777" w:rsidR="00B8298D" w:rsidRPr="002D0EB4" w:rsidRDefault="00B8298D" w:rsidP="00B8298D">
            <w:pPr>
              <w:ind w:firstLineChars="100" w:firstLine="180"/>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 </w:t>
            </w:r>
          </w:p>
        </w:tc>
        <w:tc>
          <w:tcPr>
            <w:tcW w:w="1710" w:type="dxa"/>
            <w:tcBorders>
              <w:top w:val="nil"/>
              <w:left w:val="nil"/>
              <w:bottom w:val="single" w:sz="4" w:space="0" w:color="auto"/>
              <w:right w:val="nil"/>
            </w:tcBorders>
            <w:shd w:val="clear" w:color="auto" w:fill="auto"/>
            <w:noWrap/>
            <w:vAlign w:val="center"/>
            <w:hideMark/>
          </w:tcPr>
          <w:p w14:paraId="4B360A93" w14:textId="77777777" w:rsidR="00B8298D" w:rsidRPr="002D0EB4" w:rsidRDefault="00B8298D" w:rsidP="00B8298D">
            <w:pPr>
              <w:ind w:firstLineChars="100" w:firstLine="180"/>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 </w:t>
            </w:r>
          </w:p>
        </w:tc>
        <w:tc>
          <w:tcPr>
            <w:tcW w:w="1703" w:type="dxa"/>
            <w:tcBorders>
              <w:top w:val="nil"/>
              <w:left w:val="nil"/>
              <w:bottom w:val="single" w:sz="4" w:space="0" w:color="auto"/>
              <w:right w:val="single" w:sz="4" w:space="0" w:color="auto"/>
            </w:tcBorders>
            <w:shd w:val="clear" w:color="auto" w:fill="auto"/>
            <w:noWrap/>
            <w:vAlign w:val="center"/>
            <w:hideMark/>
          </w:tcPr>
          <w:p w14:paraId="73407F44" w14:textId="77777777" w:rsidR="00B8298D" w:rsidRPr="002D0EB4" w:rsidRDefault="00B8298D" w:rsidP="00B8298D">
            <w:pPr>
              <w:ind w:firstLineChars="100" w:firstLine="180"/>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 </w:t>
            </w:r>
          </w:p>
        </w:tc>
      </w:tr>
      <w:tr w:rsidR="00B8298D" w:rsidRPr="003D0D65" w14:paraId="7A4D487B" w14:textId="77777777" w:rsidTr="00B8298D">
        <w:trPr>
          <w:jc w:val="center"/>
        </w:trPr>
        <w:tc>
          <w:tcPr>
            <w:tcW w:w="3960"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10E726C" w14:textId="0EBDDDE2" w:rsidR="00B8298D" w:rsidRPr="002D0EB4" w:rsidRDefault="00B8298D" w:rsidP="00B8298D">
            <w:pPr>
              <w:rPr>
                <w:rFonts w:ascii="Arial Narrow" w:eastAsia="Times New Roman" w:hAnsi="Arial Narrow" w:cs="Calibri"/>
                <w:color w:val="000000"/>
                <w:sz w:val="18"/>
                <w:szCs w:val="18"/>
              </w:rPr>
            </w:pPr>
            <w:r w:rsidRPr="002D0EB4">
              <w:rPr>
                <w:rFonts w:ascii="Arial Narrow" w:hAnsi="Arial Narrow" w:cs="Calibri"/>
                <w:color w:val="000000"/>
                <w:sz w:val="18"/>
                <w:szCs w:val="18"/>
              </w:rPr>
              <w:t>Rule Familiarization</w:t>
            </w:r>
            <w:r w:rsidR="000A5B6E">
              <w:rPr>
                <w:rFonts w:ascii="Arial Narrow" w:hAnsi="Arial Narrow" w:cs="Calibri"/>
                <w:color w:val="000000"/>
                <w:sz w:val="18"/>
                <w:szCs w:val="18"/>
                <w:vertAlign w:val="superscript"/>
              </w:rPr>
              <w:t>2</w:t>
            </w:r>
          </w:p>
        </w:tc>
        <w:tc>
          <w:tcPr>
            <w:tcW w:w="1890" w:type="dxa"/>
            <w:tcBorders>
              <w:top w:val="nil"/>
              <w:left w:val="nil"/>
              <w:bottom w:val="single" w:sz="4" w:space="0" w:color="auto"/>
              <w:right w:val="single" w:sz="4" w:space="0" w:color="auto"/>
            </w:tcBorders>
            <w:shd w:val="clear" w:color="auto" w:fill="auto"/>
            <w:noWrap/>
            <w:vAlign w:val="bottom"/>
            <w:hideMark/>
          </w:tcPr>
          <w:p w14:paraId="624880EF"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bottom"/>
            <w:hideMark/>
          </w:tcPr>
          <w:p w14:paraId="128739A7"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0.500</w:t>
            </w:r>
          </w:p>
        </w:tc>
        <w:tc>
          <w:tcPr>
            <w:tcW w:w="1703" w:type="dxa"/>
            <w:tcBorders>
              <w:top w:val="nil"/>
              <w:left w:val="nil"/>
              <w:bottom w:val="single" w:sz="4" w:space="0" w:color="auto"/>
              <w:right w:val="single" w:sz="4" w:space="0" w:color="auto"/>
            </w:tcBorders>
            <w:shd w:val="clear" w:color="auto" w:fill="auto"/>
            <w:noWrap/>
            <w:vAlign w:val="bottom"/>
            <w:hideMark/>
          </w:tcPr>
          <w:p w14:paraId="68BB7390" w14:textId="77777777" w:rsidR="00B8298D" w:rsidRPr="002D0EB4" w:rsidRDefault="00B8298D" w:rsidP="00B8298D">
            <w:pPr>
              <w:jc w:val="right"/>
              <w:rPr>
                <w:rFonts w:ascii="Arial Narrow" w:eastAsia="Times New Roman" w:hAnsi="Arial Narrow" w:cs="Calibri"/>
                <w:color w:val="000000" w:themeColor="text1"/>
                <w:sz w:val="18"/>
                <w:szCs w:val="18"/>
              </w:rPr>
            </w:pPr>
            <w:r w:rsidRPr="002D0EB4">
              <w:rPr>
                <w:rFonts w:ascii="Arial Narrow" w:eastAsia="Times New Roman" w:hAnsi="Arial Narrow" w:cs="Calibri"/>
                <w:color w:val="000000" w:themeColor="text1"/>
                <w:sz w:val="18"/>
                <w:szCs w:val="18"/>
              </w:rPr>
              <w:t>0.074</w:t>
            </w:r>
          </w:p>
        </w:tc>
      </w:tr>
      <w:tr w:rsidR="00B8298D" w:rsidRPr="003D0D65" w14:paraId="4BE2B445" w14:textId="77777777" w:rsidTr="00B8298D">
        <w:trPr>
          <w:jc w:val="center"/>
        </w:trPr>
        <w:tc>
          <w:tcPr>
            <w:tcW w:w="3960" w:type="dxa"/>
            <w:gridSpan w:val="2"/>
            <w:tcBorders>
              <w:top w:val="nil"/>
              <w:left w:val="single" w:sz="4" w:space="0" w:color="auto"/>
              <w:bottom w:val="single" w:sz="4" w:space="0" w:color="auto"/>
              <w:right w:val="single" w:sz="4" w:space="0" w:color="auto"/>
            </w:tcBorders>
            <w:shd w:val="clear" w:color="auto" w:fill="auto"/>
            <w:vAlign w:val="bottom"/>
            <w:hideMark/>
          </w:tcPr>
          <w:p w14:paraId="01E2897A" w14:textId="77777777" w:rsidR="00B8298D" w:rsidRPr="002D0EB4" w:rsidRDefault="00B8298D" w:rsidP="00B8298D">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Compliance Determination</w:t>
            </w:r>
          </w:p>
        </w:tc>
        <w:tc>
          <w:tcPr>
            <w:tcW w:w="1890" w:type="dxa"/>
            <w:tcBorders>
              <w:top w:val="nil"/>
              <w:left w:val="nil"/>
              <w:bottom w:val="single" w:sz="4" w:space="0" w:color="auto"/>
              <w:right w:val="single" w:sz="4" w:space="0" w:color="auto"/>
            </w:tcBorders>
            <w:shd w:val="clear" w:color="auto" w:fill="auto"/>
            <w:noWrap/>
            <w:hideMark/>
          </w:tcPr>
          <w:p w14:paraId="6AC0CB49" w14:textId="77777777" w:rsidR="00B8298D" w:rsidRPr="002D0EB4" w:rsidRDefault="00B8298D" w:rsidP="00B8298D">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10" w:type="dxa"/>
            <w:tcBorders>
              <w:top w:val="nil"/>
              <w:left w:val="nil"/>
              <w:bottom w:val="single" w:sz="4" w:space="0" w:color="auto"/>
              <w:right w:val="single" w:sz="4" w:space="0" w:color="auto"/>
            </w:tcBorders>
            <w:shd w:val="clear" w:color="auto" w:fill="auto"/>
            <w:noWrap/>
            <w:hideMark/>
          </w:tcPr>
          <w:p w14:paraId="014391AF" w14:textId="77777777" w:rsidR="00B8298D" w:rsidRPr="002D0EB4" w:rsidRDefault="00B8298D" w:rsidP="00B8298D">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03" w:type="dxa"/>
            <w:tcBorders>
              <w:top w:val="nil"/>
              <w:left w:val="nil"/>
              <w:bottom w:val="single" w:sz="4" w:space="0" w:color="auto"/>
              <w:right w:val="single" w:sz="4" w:space="0" w:color="auto"/>
            </w:tcBorders>
            <w:shd w:val="clear" w:color="auto" w:fill="auto"/>
            <w:noWrap/>
            <w:hideMark/>
          </w:tcPr>
          <w:p w14:paraId="183888BF" w14:textId="77777777" w:rsidR="00B8298D" w:rsidRPr="002D0EB4" w:rsidRDefault="00B8298D" w:rsidP="00B8298D">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r>
      <w:tr w:rsidR="00CD5801" w:rsidRPr="003D0D65" w14:paraId="13573AE1" w14:textId="77777777" w:rsidTr="00874EA2">
        <w:trPr>
          <w:jc w:val="center"/>
        </w:trPr>
        <w:tc>
          <w:tcPr>
            <w:tcW w:w="3960" w:type="dxa"/>
            <w:gridSpan w:val="2"/>
            <w:tcBorders>
              <w:top w:val="nil"/>
              <w:left w:val="single" w:sz="4" w:space="0" w:color="auto"/>
              <w:bottom w:val="single" w:sz="4" w:space="0" w:color="auto"/>
              <w:right w:val="single" w:sz="4" w:space="0" w:color="auto"/>
            </w:tcBorders>
            <w:shd w:val="clear" w:color="auto" w:fill="auto"/>
            <w:vAlign w:val="bottom"/>
            <w:hideMark/>
          </w:tcPr>
          <w:p w14:paraId="532A98D7" w14:textId="77777777" w:rsidR="00CD5801" w:rsidRPr="002D0EB4" w:rsidRDefault="00CD5801" w:rsidP="00CD5801">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Recordkeeping</w:t>
            </w:r>
          </w:p>
        </w:tc>
        <w:tc>
          <w:tcPr>
            <w:tcW w:w="1890" w:type="dxa"/>
            <w:tcBorders>
              <w:top w:val="nil"/>
              <w:left w:val="nil"/>
              <w:bottom w:val="single" w:sz="4" w:space="0" w:color="auto"/>
              <w:right w:val="single" w:sz="4" w:space="0" w:color="auto"/>
            </w:tcBorders>
            <w:shd w:val="clear" w:color="auto" w:fill="auto"/>
            <w:noWrap/>
            <w:vAlign w:val="center"/>
            <w:hideMark/>
          </w:tcPr>
          <w:p w14:paraId="24364321" w14:textId="24F5E3B8" w:rsidR="00CD5801" w:rsidRPr="002D0EB4" w:rsidRDefault="00CD5801" w:rsidP="00874EA2">
            <w:pPr>
              <w:jc w:val="right"/>
              <w:rPr>
                <w:rFonts w:ascii="Arial Narrow" w:eastAsia="Times New Roman" w:hAnsi="Arial Narrow" w:cs="Calibri"/>
                <w:color w:val="000000"/>
                <w:sz w:val="18"/>
                <w:szCs w:val="18"/>
              </w:rPr>
            </w:pPr>
            <w:r w:rsidRPr="002F5DF8">
              <w:rPr>
                <w:rFonts w:ascii="Arial Narrow" w:hAnsi="Arial Narrow" w:cs="Calibri"/>
                <w:color w:val="000000" w:themeColor="text1"/>
                <w:sz w:val="18"/>
                <w:szCs w:val="18"/>
              </w:rPr>
              <w:t>0.000</w:t>
            </w:r>
          </w:p>
        </w:tc>
        <w:tc>
          <w:tcPr>
            <w:tcW w:w="1710" w:type="dxa"/>
            <w:tcBorders>
              <w:top w:val="nil"/>
              <w:left w:val="nil"/>
              <w:bottom w:val="single" w:sz="4" w:space="0" w:color="auto"/>
              <w:right w:val="single" w:sz="4" w:space="0" w:color="auto"/>
            </w:tcBorders>
            <w:shd w:val="clear" w:color="auto" w:fill="auto"/>
            <w:noWrap/>
            <w:vAlign w:val="center"/>
            <w:hideMark/>
          </w:tcPr>
          <w:p w14:paraId="50BA065B" w14:textId="082DE1AA" w:rsidR="00CD5801" w:rsidRPr="002D0EB4" w:rsidRDefault="00CD5801" w:rsidP="00874EA2">
            <w:pPr>
              <w:jc w:val="right"/>
              <w:rPr>
                <w:rFonts w:ascii="Arial Narrow" w:eastAsia="Times New Roman" w:hAnsi="Arial Narrow" w:cs="Calibri"/>
                <w:color w:val="000000"/>
                <w:sz w:val="18"/>
                <w:szCs w:val="18"/>
              </w:rPr>
            </w:pPr>
            <w:r w:rsidRPr="002F5DF8">
              <w:rPr>
                <w:rFonts w:ascii="Arial Narrow" w:hAnsi="Arial Narrow" w:cs="Calibri"/>
                <w:color w:val="000000" w:themeColor="text1"/>
                <w:sz w:val="18"/>
                <w:szCs w:val="18"/>
              </w:rPr>
              <w:t>0.000</w:t>
            </w:r>
          </w:p>
        </w:tc>
        <w:tc>
          <w:tcPr>
            <w:tcW w:w="1703" w:type="dxa"/>
            <w:tcBorders>
              <w:top w:val="nil"/>
              <w:left w:val="nil"/>
              <w:bottom w:val="single" w:sz="4" w:space="0" w:color="auto"/>
              <w:right w:val="single" w:sz="4" w:space="0" w:color="auto"/>
            </w:tcBorders>
            <w:shd w:val="clear" w:color="auto" w:fill="auto"/>
            <w:noWrap/>
            <w:vAlign w:val="center"/>
            <w:hideMark/>
          </w:tcPr>
          <w:p w14:paraId="0B92A1D6" w14:textId="6336E5BC" w:rsidR="00CD5801" w:rsidRPr="002D0EB4" w:rsidRDefault="00CD5801" w:rsidP="00874EA2">
            <w:pPr>
              <w:jc w:val="right"/>
              <w:rPr>
                <w:rFonts w:ascii="Arial Narrow" w:eastAsia="Times New Roman" w:hAnsi="Arial Narrow" w:cs="Calibri"/>
                <w:color w:val="000000"/>
                <w:sz w:val="18"/>
                <w:szCs w:val="18"/>
              </w:rPr>
            </w:pPr>
            <w:r w:rsidRPr="002F5DF8">
              <w:rPr>
                <w:rFonts w:ascii="Arial Narrow" w:hAnsi="Arial Narrow" w:cs="Calibri"/>
                <w:color w:val="000000" w:themeColor="text1"/>
                <w:sz w:val="18"/>
                <w:szCs w:val="18"/>
              </w:rPr>
              <w:t>0.000</w:t>
            </w:r>
          </w:p>
        </w:tc>
      </w:tr>
      <w:tr w:rsidR="00B8298D" w:rsidRPr="003D0D65" w14:paraId="5CAFC604" w14:textId="77777777" w:rsidTr="00874EA2">
        <w:trPr>
          <w:jc w:val="center"/>
        </w:trPr>
        <w:tc>
          <w:tcPr>
            <w:tcW w:w="3960" w:type="dxa"/>
            <w:gridSpan w:val="2"/>
            <w:tcBorders>
              <w:top w:val="nil"/>
              <w:left w:val="single" w:sz="4" w:space="0" w:color="auto"/>
              <w:bottom w:val="single" w:sz="12" w:space="0" w:color="auto"/>
              <w:right w:val="single" w:sz="4" w:space="0" w:color="auto"/>
            </w:tcBorders>
            <w:shd w:val="clear" w:color="auto" w:fill="auto"/>
            <w:vAlign w:val="bottom"/>
            <w:hideMark/>
          </w:tcPr>
          <w:p w14:paraId="147A7CB1" w14:textId="77777777" w:rsidR="00B8298D" w:rsidRPr="002D0EB4" w:rsidRDefault="00B8298D" w:rsidP="00B8298D">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Average Multi-Chemical Form Completion (7.5 chemicals)</w:t>
            </w:r>
          </w:p>
        </w:tc>
        <w:tc>
          <w:tcPr>
            <w:tcW w:w="1890" w:type="dxa"/>
            <w:tcBorders>
              <w:top w:val="nil"/>
              <w:left w:val="nil"/>
              <w:bottom w:val="single" w:sz="12" w:space="0" w:color="auto"/>
              <w:right w:val="single" w:sz="4" w:space="0" w:color="auto"/>
            </w:tcBorders>
            <w:shd w:val="clear" w:color="auto" w:fill="auto"/>
            <w:noWrap/>
            <w:vAlign w:val="bottom"/>
            <w:hideMark/>
          </w:tcPr>
          <w:p w14:paraId="3A0E598F" w14:textId="77777777" w:rsidR="00B8298D" w:rsidRPr="002D0EB4" w:rsidRDefault="00B8298D" w:rsidP="00CD5801">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10" w:type="dxa"/>
            <w:tcBorders>
              <w:top w:val="nil"/>
              <w:left w:val="nil"/>
              <w:bottom w:val="single" w:sz="12" w:space="0" w:color="auto"/>
              <w:right w:val="single" w:sz="4" w:space="0" w:color="auto"/>
            </w:tcBorders>
            <w:shd w:val="clear" w:color="auto" w:fill="auto"/>
            <w:noWrap/>
            <w:vAlign w:val="bottom"/>
            <w:hideMark/>
          </w:tcPr>
          <w:p w14:paraId="538E92D2" w14:textId="77777777" w:rsidR="00B8298D" w:rsidRPr="002D0EB4" w:rsidRDefault="00B8298D" w:rsidP="00602331">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03" w:type="dxa"/>
            <w:tcBorders>
              <w:top w:val="nil"/>
              <w:left w:val="nil"/>
              <w:bottom w:val="single" w:sz="12" w:space="0" w:color="auto"/>
              <w:right w:val="single" w:sz="4" w:space="0" w:color="auto"/>
            </w:tcBorders>
            <w:shd w:val="clear" w:color="auto" w:fill="auto"/>
            <w:noWrap/>
            <w:vAlign w:val="bottom"/>
            <w:hideMark/>
          </w:tcPr>
          <w:p w14:paraId="1FA37442" w14:textId="77777777" w:rsidR="00B8298D" w:rsidRPr="002D0EB4" w:rsidRDefault="00B8298D" w:rsidP="00CA16ED">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r>
      <w:tr w:rsidR="00B8298D" w:rsidRPr="003D0D65" w14:paraId="76E08933" w14:textId="77777777" w:rsidTr="00B8298D">
        <w:trPr>
          <w:jc w:val="center"/>
        </w:trPr>
        <w:tc>
          <w:tcPr>
            <w:tcW w:w="3960" w:type="dxa"/>
            <w:gridSpan w:val="2"/>
            <w:tcBorders>
              <w:top w:val="single" w:sz="12" w:space="0" w:color="auto"/>
              <w:left w:val="single" w:sz="8" w:space="0" w:color="auto"/>
              <w:bottom w:val="single" w:sz="8" w:space="0" w:color="auto"/>
              <w:right w:val="single" w:sz="8" w:space="0" w:color="auto"/>
            </w:tcBorders>
            <w:shd w:val="clear" w:color="auto" w:fill="auto"/>
            <w:vAlign w:val="bottom"/>
          </w:tcPr>
          <w:p w14:paraId="5E4C7093" w14:textId="77777777" w:rsidR="00B8298D" w:rsidRPr="002D0EB4" w:rsidRDefault="00B8298D" w:rsidP="00B8298D">
            <w:pPr>
              <w:rPr>
                <w:rFonts w:ascii="Arial Narrow" w:eastAsia="Times New Roman" w:hAnsi="Arial Narrow" w:cs="Calibri"/>
                <w:b/>
                <w:color w:val="000000"/>
                <w:sz w:val="18"/>
                <w:szCs w:val="18"/>
              </w:rPr>
            </w:pPr>
            <w:r w:rsidRPr="002D0EB4">
              <w:rPr>
                <w:rFonts w:ascii="Arial Narrow" w:eastAsia="Times New Roman" w:hAnsi="Arial Narrow" w:cs="Calibri"/>
                <w:b/>
                <w:color w:val="000000"/>
                <w:sz w:val="18"/>
                <w:szCs w:val="18"/>
              </w:rPr>
              <w:t>Total</w:t>
            </w:r>
          </w:p>
        </w:tc>
        <w:tc>
          <w:tcPr>
            <w:tcW w:w="1890" w:type="dxa"/>
            <w:tcBorders>
              <w:top w:val="single" w:sz="12" w:space="0" w:color="auto"/>
              <w:left w:val="single" w:sz="8" w:space="0" w:color="auto"/>
              <w:bottom w:val="single" w:sz="8" w:space="0" w:color="auto"/>
              <w:right w:val="single" w:sz="8" w:space="0" w:color="auto"/>
            </w:tcBorders>
            <w:shd w:val="clear" w:color="auto" w:fill="auto"/>
            <w:noWrap/>
          </w:tcPr>
          <w:p w14:paraId="3587B189" w14:textId="77777777" w:rsidR="00B8298D" w:rsidRPr="002D0EB4" w:rsidRDefault="00B8298D" w:rsidP="00B8298D">
            <w:pPr>
              <w:jc w:val="right"/>
              <w:rPr>
                <w:rFonts w:ascii="Arial Narrow" w:eastAsia="Times New Roman" w:hAnsi="Arial Narrow" w:cs="Calibri"/>
                <w:b/>
                <w:bCs/>
                <w:color w:val="000000" w:themeColor="text1"/>
                <w:sz w:val="18"/>
                <w:szCs w:val="18"/>
              </w:rPr>
            </w:pPr>
            <w:r w:rsidRPr="002D0EB4">
              <w:rPr>
                <w:rFonts w:ascii="Arial Narrow" w:eastAsia="Times New Roman" w:hAnsi="Arial Narrow" w:cs="Calibri"/>
                <w:b/>
                <w:bCs/>
                <w:color w:val="000000" w:themeColor="text1"/>
                <w:sz w:val="18"/>
                <w:szCs w:val="18"/>
              </w:rPr>
              <w:t>0.404</w:t>
            </w:r>
          </w:p>
        </w:tc>
        <w:tc>
          <w:tcPr>
            <w:tcW w:w="1710" w:type="dxa"/>
            <w:tcBorders>
              <w:top w:val="single" w:sz="12" w:space="0" w:color="auto"/>
              <w:left w:val="single" w:sz="8" w:space="0" w:color="auto"/>
              <w:bottom w:val="single" w:sz="8" w:space="0" w:color="auto"/>
              <w:right w:val="single" w:sz="8" w:space="0" w:color="auto"/>
            </w:tcBorders>
            <w:shd w:val="clear" w:color="auto" w:fill="auto"/>
            <w:noWrap/>
          </w:tcPr>
          <w:p w14:paraId="31B2B175" w14:textId="77777777" w:rsidR="00B8298D" w:rsidRPr="002D0EB4" w:rsidRDefault="00B8298D" w:rsidP="00B8298D">
            <w:pPr>
              <w:jc w:val="right"/>
              <w:rPr>
                <w:rFonts w:ascii="Arial Narrow" w:eastAsia="Times New Roman" w:hAnsi="Arial Narrow" w:cs="Calibri"/>
                <w:b/>
                <w:bCs/>
                <w:color w:val="000000" w:themeColor="text1"/>
                <w:sz w:val="18"/>
                <w:szCs w:val="18"/>
              </w:rPr>
            </w:pPr>
            <w:r w:rsidRPr="002D0EB4">
              <w:rPr>
                <w:rFonts w:ascii="Arial Narrow" w:eastAsia="Times New Roman" w:hAnsi="Arial Narrow" w:cs="Calibri"/>
                <w:b/>
                <w:bCs/>
                <w:color w:val="000000" w:themeColor="text1"/>
                <w:sz w:val="18"/>
                <w:szCs w:val="18"/>
              </w:rPr>
              <w:t>1.404</w:t>
            </w:r>
          </w:p>
        </w:tc>
        <w:tc>
          <w:tcPr>
            <w:tcW w:w="1703" w:type="dxa"/>
            <w:tcBorders>
              <w:top w:val="single" w:sz="12" w:space="0" w:color="auto"/>
              <w:left w:val="single" w:sz="8" w:space="0" w:color="auto"/>
              <w:bottom w:val="single" w:sz="8" w:space="0" w:color="auto"/>
              <w:right w:val="single" w:sz="8" w:space="0" w:color="auto"/>
            </w:tcBorders>
            <w:shd w:val="clear" w:color="auto" w:fill="auto"/>
            <w:noWrap/>
          </w:tcPr>
          <w:p w14:paraId="2F4EA36E" w14:textId="77777777" w:rsidR="00B8298D" w:rsidRPr="002D0EB4" w:rsidRDefault="00B8298D" w:rsidP="00B8298D">
            <w:pPr>
              <w:jc w:val="right"/>
              <w:rPr>
                <w:rFonts w:ascii="Arial Narrow" w:eastAsia="Times New Roman" w:hAnsi="Arial Narrow" w:cs="Calibri"/>
                <w:b/>
                <w:bCs/>
                <w:color w:val="000000" w:themeColor="text1"/>
                <w:sz w:val="18"/>
                <w:szCs w:val="18"/>
              </w:rPr>
            </w:pPr>
            <w:r w:rsidRPr="002D0EB4">
              <w:rPr>
                <w:rFonts w:ascii="Arial Narrow" w:eastAsia="Times New Roman" w:hAnsi="Arial Narrow" w:cs="Calibri"/>
                <w:b/>
                <w:bCs/>
                <w:color w:val="000000" w:themeColor="text1"/>
                <w:sz w:val="18"/>
                <w:szCs w:val="18"/>
              </w:rPr>
              <w:t>0.552</w:t>
            </w:r>
          </w:p>
        </w:tc>
      </w:tr>
      <w:tr w:rsidR="00B8298D" w:rsidRPr="00855347" w14:paraId="54D5983A" w14:textId="77777777" w:rsidTr="00B8298D">
        <w:trPr>
          <w:jc w:val="center"/>
        </w:trPr>
        <w:tc>
          <w:tcPr>
            <w:tcW w:w="9263" w:type="dxa"/>
            <w:gridSpan w:val="5"/>
            <w:tcBorders>
              <w:top w:val="single" w:sz="8" w:space="0" w:color="auto"/>
              <w:left w:val="single" w:sz="4" w:space="0" w:color="auto"/>
              <w:bottom w:val="nil"/>
              <w:right w:val="single" w:sz="4" w:space="0" w:color="000000" w:themeColor="text1"/>
            </w:tcBorders>
            <w:shd w:val="clear" w:color="auto" w:fill="auto"/>
            <w:vAlign w:val="center"/>
            <w:hideMark/>
          </w:tcPr>
          <w:p w14:paraId="1EFC6C5B" w14:textId="4C18593A" w:rsidR="00B8298D" w:rsidRPr="002D0EB4" w:rsidRDefault="00B8298D" w:rsidP="00B8298D">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General Note:</w:t>
            </w:r>
          </w:p>
        </w:tc>
      </w:tr>
      <w:tr w:rsidR="00565011" w:rsidRPr="00855347" w14:paraId="2F8E678D" w14:textId="77777777" w:rsidTr="00B8298D">
        <w:trPr>
          <w:jc w:val="center"/>
        </w:trPr>
        <w:tc>
          <w:tcPr>
            <w:tcW w:w="9263" w:type="dxa"/>
            <w:gridSpan w:val="5"/>
            <w:tcBorders>
              <w:top w:val="nil"/>
              <w:left w:val="single" w:sz="4" w:space="0" w:color="auto"/>
              <w:bottom w:val="nil"/>
              <w:right w:val="single" w:sz="4" w:space="0" w:color="000000" w:themeColor="text1"/>
            </w:tcBorders>
            <w:shd w:val="clear" w:color="auto" w:fill="auto"/>
            <w:vAlign w:val="center"/>
          </w:tcPr>
          <w:p w14:paraId="7C3F9D9C" w14:textId="5E22E9AA" w:rsidR="00565011" w:rsidRPr="00874EA2" w:rsidRDefault="00565011" w:rsidP="00565011">
            <w:pPr>
              <w:pStyle w:val="ListParagraph"/>
              <w:numPr>
                <w:ilvl w:val="0"/>
                <w:numId w:val="65"/>
              </w:numPr>
              <w:ind w:left="144" w:hanging="144"/>
              <w:rPr>
                <w:rFonts w:ascii="Arial Narrow" w:eastAsia="Times New Roman" w:hAnsi="Arial Narrow" w:cs="Calibri"/>
                <w:color w:val="000000"/>
                <w:sz w:val="18"/>
                <w:szCs w:val="18"/>
              </w:rPr>
            </w:pPr>
            <w:r w:rsidRPr="00565011">
              <w:rPr>
                <w:rFonts w:ascii="Arial Narrow" w:eastAsia="Times New Roman" w:hAnsi="Arial Narrow" w:cs="Calibri"/>
                <w:color w:val="000000"/>
                <w:sz w:val="18"/>
                <w:szCs w:val="18"/>
              </w:rPr>
              <w:t xml:space="preserve">Estimates of incremental until burden </w:t>
            </w:r>
            <w:r w:rsidR="005A56D0" w:rsidRPr="003F7FA8">
              <w:rPr>
                <w:rFonts w:ascii="Arial Narrow" w:eastAsia="Times New Roman" w:hAnsi="Arial Narrow" w:cs="Calibri"/>
                <w:color w:val="000000"/>
                <w:sz w:val="18"/>
                <w:szCs w:val="18"/>
              </w:rPr>
              <w:t xml:space="preserve">in </w:t>
            </w:r>
            <w:r w:rsidR="005A56D0" w:rsidRPr="003F7FA8">
              <w:rPr>
                <w:rFonts w:ascii="Arial Narrow" w:eastAsia="Times New Roman" w:hAnsi="Arial Narrow" w:cs="Calibri"/>
                <w:color w:val="000000"/>
                <w:sz w:val="18"/>
                <w:szCs w:val="18"/>
              </w:rPr>
              <w:fldChar w:fldCharType="begin"/>
            </w:r>
            <w:r w:rsidR="005A56D0" w:rsidRPr="006077FE">
              <w:rPr>
                <w:rFonts w:ascii="Arial Narrow" w:eastAsia="Times New Roman" w:hAnsi="Arial Narrow" w:cs="Calibri"/>
                <w:color w:val="000000"/>
                <w:sz w:val="18"/>
                <w:szCs w:val="18"/>
              </w:rPr>
              <w:instrText xml:space="preserve"> REF _Ref526352636 \h  \* MERGEFORMAT </w:instrText>
            </w:r>
            <w:r w:rsidR="005A56D0" w:rsidRPr="003F7FA8">
              <w:rPr>
                <w:rFonts w:ascii="Arial Narrow" w:eastAsia="Times New Roman" w:hAnsi="Arial Narrow" w:cs="Calibri"/>
                <w:color w:val="000000"/>
                <w:sz w:val="18"/>
                <w:szCs w:val="18"/>
              </w:rPr>
            </w:r>
            <w:r w:rsidR="005A56D0"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4</w:t>
            </w:r>
            <w:r w:rsidR="005A56D0" w:rsidRPr="003F7FA8">
              <w:rPr>
                <w:rFonts w:ascii="Arial Narrow" w:eastAsia="Times New Roman" w:hAnsi="Arial Narrow" w:cs="Calibri"/>
                <w:color w:val="000000"/>
                <w:sz w:val="18"/>
                <w:szCs w:val="18"/>
              </w:rPr>
              <w:fldChar w:fldCharType="end"/>
            </w:r>
            <w:r w:rsidR="005A56D0" w:rsidRPr="003F7FA8">
              <w:rPr>
                <w:rFonts w:ascii="Arial Narrow" w:eastAsia="Times New Roman" w:hAnsi="Arial Narrow" w:cs="Calibri"/>
                <w:color w:val="000000"/>
                <w:sz w:val="18"/>
                <w:szCs w:val="18"/>
              </w:rPr>
              <w:t xml:space="preserve"> through </w:t>
            </w:r>
            <w:r w:rsidR="005A56D0" w:rsidRPr="003F7FA8">
              <w:rPr>
                <w:rFonts w:ascii="Arial Narrow" w:eastAsia="Times New Roman" w:hAnsi="Arial Narrow" w:cs="Calibri"/>
                <w:color w:val="000000"/>
                <w:sz w:val="18"/>
                <w:szCs w:val="18"/>
              </w:rPr>
              <w:fldChar w:fldCharType="begin"/>
            </w:r>
            <w:r w:rsidR="005A56D0" w:rsidRPr="006077FE">
              <w:rPr>
                <w:rFonts w:ascii="Arial Narrow" w:eastAsia="Times New Roman" w:hAnsi="Arial Narrow" w:cs="Calibri"/>
                <w:color w:val="000000"/>
                <w:sz w:val="18"/>
                <w:szCs w:val="18"/>
              </w:rPr>
              <w:instrText xml:space="preserve"> REF _Ref526353458 \h  \* MERGEFORMAT </w:instrText>
            </w:r>
            <w:r w:rsidR="005A56D0" w:rsidRPr="003F7FA8">
              <w:rPr>
                <w:rFonts w:ascii="Arial Narrow" w:eastAsia="Times New Roman" w:hAnsi="Arial Narrow" w:cs="Calibri"/>
                <w:color w:val="000000"/>
                <w:sz w:val="18"/>
                <w:szCs w:val="18"/>
              </w:rPr>
            </w:r>
            <w:r w:rsidR="005A56D0"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6</w:t>
            </w:r>
            <w:r w:rsidR="005A56D0" w:rsidRPr="003F7FA8">
              <w:rPr>
                <w:rFonts w:ascii="Arial Narrow" w:eastAsia="Times New Roman" w:hAnsi="Arial Narrow" w:cs="Calibri"/>
                <w:color w:val="000000"/>
                <w:sz w:val="18"/>
                <w:szCs w:val="18"/>
              </w:rPr>
              <w:fldChar w:fldCharType="end"/>
            </w:r>
            <w:r w:rsidR="005A56D0" w:rsidRPr="003F7FA8">
              <w:rPr>
                <w:rFonts w:ascii="Arial Narrow" w:eastAsia="Times New Roman" w:hAnsi="Arial Narrow" w:cs="Calibri"/>
                <w:color w:val="000000"/>
                <w:sz w:val="18"/>
                <w:szCs w:val="18"/>
              </w:rPr>
              <w:t xml:space="preserve"> </w:t>
            </w:r>
            <w:r w:rsidR="005A56D0" w:rsidRPr="00565011">
              <w:rPr>
                <w:rFonts w:ascii="Arial Narrow" w:eastAsia="Times New Roman" w:hAnsi="Arial Narrow" w:cs="Calibri"/>
                <w:color w:val="000000"/>
                <w:sz w:val="18"/>
                <w:szCs w:val="18"/>
              </w:rPr>
              <w:t xml:space="preserve">and </w:t>
            </w:r>
            <w:r w:rsidR="005A56D0" w:rsidRPr="003F7FA8">
              <w:rPr>
                <w:rFonts w:ascii="Arial Narrow" w:eastAsia="Times New Roman" w:hAnsi="Arial Narrow" w:cs="Calibri"/>
                <w:color w:val="000000"/>
                <w:sz w:val="18"/>
                <w:szCs w:val="18"/>
              </w:rPr>
              <w:fldChar w:fldCharType="begin"/>
            </w:r>
            <w:r w:rsidR="005A56D0" w:rsidRPr="006077FE">
              <w:rPr>
                <w:rFonts w:ascii="Arial Narrow" w:eastAsia="Times New Roman" w:hAnsi="Arial Narrow" w:cs="Calibri"/>
                <w:color w:val="000000"/>
                <w:sz w:val="18"/>
                <w:szCs w:val="18"/>
              </w:rPr>
              <w:instrText xml:space="preserve"> REF _Ref526353586 \h  \* MERGEFORMAT </w:instrText>
            </w:r>
            <w:r w:rsidR="005A56D0" w:rsidRPr="003F7FA8">
              <w:rPr>
                <w:rFonts w:ascii="Arial Narrow" w:eastAsia="Times New Roman" w:hAnsi="Arial Narrow" w:cs="Calibri"/>
                <w:color w:val="000000"/>
                <w:sz w:val="18"/>
                <w:szCs w:val="18"/>
              </w:rPr>
            </w:r>
            <w:r w:rsidR="005A56D0"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8</w:t>
            </w:r>
            <w:r w:rsidR="005A56D0" w:rsidRPr="003F7FA8">
              <w:rPr>
                <w:rFonts w:ascii="Arial Narrow" w:eastAsia="Times New Roman" w:hAnsi="Arial Narrow" w:cs="Calibri"/>
                <w:color w:val="000000"/>
                <w:sz w:val="18"/>
                <w:szCs w:val="18"/>
              </w:rPr>
              <w:fldChar w:fldCharType="end"/>
            </w:r>
            <w:r w:rsidR="005A56D0">
              <w:rPr>
                <w:rFonts w:ascii="Arial Narrow" w:eastAsia="Times New Roman" w:hAnsi="Arial Narrow" w:cs="Calibri"/>
                <w:color w:val="000000"/>
                <w:sz w:val="18"/>
                <w:szCs w:val="18"/>
              </w:rPr>
              <w:t xml:space="preserve"> </w:t>
            </w:r>
            <w:r w:rsidRPr="00565011">
              <w:rPr>
                <w:rFonts w:ascii="Arial Narrow" w:eastAsia="Times New Roman" w:hAnsi="Arial Narrow" w:cs="Calibri"/>
                <w:color w:val="000000"/>
                <w:sz w:val="18"/>
                <w:szCs w:val="18"/>
              </w:rPr>
              <w:t>differ slightly from results that would be obtained using information in the two EAs (</w:t>
            </w:r>
            <w:r w:rsidR="00FF0FB5">
              <w:rPr>
                <w:rFonts w:ascii="Arial Narrow" w:eastAsia="Times New Roman" w:hAnsi="Arial Narrow" w:cs="Calibri"/>
                <w:color w:val="000000"/>
                <w:sz w:val="18"/>
                <w:szCs w:val="18"/>
              </w:rPr>
              <w:t>EPA, 2019a</w:t>
            </w:r>
            <w:r w:rsidRPr="00565011">
              <w:rPr>
                <w:rFonts w:ascii="Arial Narrow" w:eastAsia="Times New Roman" w:hAnsi="Arial Narrow" w:cs="Calibri"/>
                <w:color w:val="000000"/>
                <w:sz w:val="18"/>
                <w:szCs w:val="18"/>
              </w:rPr>
              <w:t xml:space="preserve">, and EPA, </w:t>
            </w:r>
            <w:r w:rsidR="00FF0FB5">
              <w:rPr>
                <w:rFonts w:ascii="Arial Narrow" w:eastAsia="Times New Roman" w:hAnsi="Arial Narrow" w:cs="Calibri"/>
                <w:color w:val="000000"/>
                <w:sz w:val="18"/>
                <w:szCs w:val="18"/>
              </w:rPr>
              <w:t>2019b</w:t>
            </w:r>
            <w:r w:rsidRPr="00565011">
              <w:rPr>
                <w:rFonts w:ascii="Arial Narrow" w:eastAsia="Times New Roman" w:hAnsi="Arial Narrow" w:cs="Calibri"/>
                <w:color w:val="000000"/>
                <w:sz w:val="18"/>
                <w:szCs w:val="18"/>
              </w:rPr>
              <w:t>) due to rounding.</w:t>
            </w:r>
          </w:p>
        </w:tc>
      </w:tr>
      <w:tr w:rsidR="00B8298D" w:rsidRPr="00855347" w14:paraId="3605FF97" w14:textId="77777777" w:rsidTr="00B8298D">
        <w:trPr>
          <w:jc w:val="center"/>
        </w:trPr>
        <w:tc>
          <w:tcPr>
            <w:tcW w:w="9263" w:type="dxa"/>
            <w:gridSpan w:val="5"/>
            <w:tcBorders>
              <w:top w:val="nil"/>
              <w:left w:val="single" w:sz="4" w:space="0" w:color="auto"/>
              <w:bottom w:val="nil"/>
              <w:right w:val="single" w:sz="4" w:space="0" w:color="000000" w:themeColor="text1"/>
            </w:tcBorders>
            <w:shd w:val="clear" w:color="auto" w:fill="auto"/>
            <w:vAlign w:val="center"/>
            <w:hideMark/>
          </w:tcPr>
          <w:p w14:paraId="0666EFB1" w14:textId="46CFE29B" w:rsidR="00B8298D" w:rsidRPr="002D0EB4" w:rsidRDefault="00B8298D" w:rsidP="00B8298D">
            <w:pPr>
              <w:pStyle w:val="ListParagraph"/>
              <w:numPr>
                <w:ilvl w:val="0"/>
                <w:numId w:val="65"/>
              </w:numPr>
              <w:ind w:left="144" w:hanging="144"/>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There may be entities that incur burden from rule familiarization (if new to CDR) and compliance determination but that are not required to send a CDR submission. For purposes of this analysis, such effects are neglected per the convention used in EPA (</w:t>
            </w:r>
            <w:r w:rsidR="00FF0FB5">
              <w:rPr>
                <w:rFonts w:ascii="Arial Narrow" w:eastAsia="Times New Roman" w:hAnsi="Arial Narrow" w:cs="Calibri"/>
                <w:color w:val="000000"/>
                <w:sz w:val="18"/>
                <w:szCs w:val="18"/>
              </w:rPr>
              <w:t>2018b</w:t>
            </w:r>
            <w:r w:rsidRPr="002D0EB4">
              <w:rPr>
                <w:rFonts w:ascii="Arial Narrow" w:eastAsia="Times New Roman" w:hAnsi="Arial Narrow" w:cs="Calibri"/>
                <w:color w:val="000000"/>
                <w:sz w:val="18"/>
                <w:szCs w:val="18"/>
              </w:rPr>
              <w:t>).</w:t>
            </w:r>
          </w:p>
        </w:tc>
      </w:tr>
      <w:tr w:rsidR="00B8298D" w:rsidRPr="00855347" w14:paraId="5313B35D" w14:textId="77777777" w:rsidTr="00874EA2">
        <w:trPr>
          <w:jc w:val="center"/>
        </w:trPr>
        <w:tc>
          <w:tcPr>
            <w:tcW w:w="9263" w:type="dxa"/>
            <w:gridSpan w:val="5"/>
            <w:tcBorders>
              <w:top w:val="nil"/>
              <w:left w:val="single" w:sz="4" w:space="0" w:color="auto"/>
              <w:right w:val="single" w:sz="4" w:space="0" w:color="000000" w:themeColor="text1"/>
            </w:tcBorders>
            <w:shd w:val="clear" w:color="auto" w:fill="auto"/>
            <w:vAlign w:val="center"/>
            <w:hideMark/>
          </w:tcPr>
          <w:p w14:paraId="1F2B16BA" w14:textId="75A6A138" w:rsidR="00B8298D" w:rsidRPr="002D0EB4" w:rsidRDefault="00B8298D" w:rsidP="00B8298D">
            <w:pP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Footnote</w:t>
            </w:r>
            <w:r w:rsidR="00152B42">
              <w:rPr>
                <w:rFonts w:ascii="Arial Narrow" w:eastAsia="Times New Roman" w:hAnsi="Arial Narrow" w:cs="Calibri"/>
                <w:color w:val="000000"/>
                <w:sz w:val="18"/>
                <w:szCs w:val="18"/>
              </w:rPr>
              <w:t>s</w:t>
            </w:r>
            <w:r w:rsidRPr="002D0EB4">
              <w:rPr>
                <w:rFonts w:ascii="Arial Narrow" w:eastAsia="Times New Roman" w:hAnsi="Arial Narrow" w:cs="Calibri"/>
                <w:color w:val="000000"/>
                <w:sz w:val="18"/>
                <w:szCs w:val="18"/>
              </w:rPr>
              <w:t>:</w:t>
            </w:r>
          </w:p>
        </w:tc>
      </w:tr>
      <w:tr w:rsidR="00152B42" w:rsidRPr="00855347" w14:paraId="73D2B640" w14:textId="77777777" w:rsidTr="00874EA2">
        <w:trPr>
          <w:jc w:val="center"/>
        </w:trPr>
        <w:tc>
          <w:tcPr>
            <w:tcW w:w="270" w:type="dxa"/>
            <w:tcBorders>
              <w:top w:val="nil"/>
              <w:left w:val="single" w:sz="4" w:space="0" w:color="auto"/>
              <w:right w:val="nil"/>
            </w:tcBorders>
            <w:shd w:val="clear" w:color="auto" w:fill="auto"/>
          </w:tcPr>
          <w:p w14:paraId="21686EBC" w14:textId="767354C4" w:rsidR="00152B42" w:rsidRPr="002D0EB4" w:rsidRDefault="00152B42" w:rsidP="00B8298D">
            <w:pPr>
              <w:rPr>
                <w:rFonts w:ascii="Arial Narrow" w:eastAsia="Times New Roman" w:hAnsi="Arial Narrow" w:cs="Calibri"/>
                <w:color w:val="000000" w:themeColor="text1"/>
                <w:sz w:val="18"/>
                <w:szCs w:val="18"/>
                <w:vertAlign w:val="superscript"/>
              </w:rPr>
            </w:pPr>
            <w:r>
              <w:rPr>
                <w:rFonts w:ascii="Arial Narrow" w:eastAsia="Times New Roman" w:hAnsi="Arial Narrow" w:cs="Calibri"/>
                <w:color w:val="000000" w:themeColor="text1"/>
                <w:sz w:val="18"/>
                <w:szCs w:val="18"/>
                <w:vertAlign w:val="superscript"/>
              </w:rPr>
              <w:t>1</w:t>
            </w:r>
          </w:p>
        </w:tc>
        <w:tc>
          <w:tcPr>
            <w:tcW w:w="8993" w:type="dxa"/>
            <w:gridSpan w:val="4"/>
            <w:tcBorders>
              <w:top w:val="nil"/>
              <w:left w:val="nil"/>
              <w:right w:val="single" w:sz="4" w:space="0" w:color="000000" w:themeColor="text1"/>
            </w:tcBorders>
            <w:shd w:val="clear" w:color="auto" w:fill="auto"/>
          </w:tcPr>
          <w:p w14:paraId="3E6CED27" w14:textId="0407302B" w:rsidR="00152B42" w:rsidRPr="002D0EB4" w:rsidRDefault="00506862" w:rsidP="00B8298D">
            <w:pPr>
              <w:ind w:left="-103"/>
              <w:rPr>
                <w:rFonts w:ascii="Arial Narrow" w:eastAsia="Times New Roman" w:hAnsi="Arial Narrow" w:cs="Calibri"/>
                <w:color w:val="000000"/>
                <w:sz w:val="18"/>
                <w:szCs w:val="18"/>
              </w:rPr>
            </w:pPr>
            <w:r w:rsidRPr="00CD5801">
              <w:rPr>
                <w:rFonts w:ascii="Arial Narrow" w:eastAsia="Times New Roman" w:hAnsi="Arial Narrow" w:cs="Calibri"/>
                <w:color w:val="000000"/>
                <w:sz w:val="18"/>
                <w:szCs w:val="18"/>
              </w:rPr>
              <w:t>As in the analys</w:t>
            </w:r>
            <w:r w:rsidR="00CD2CA3">
              <w:rPr>
                <w:rFonts w:ascii="Arial Narrow" w:eastAsia="Times New Roman" w:hAnsi="Arial Narrow" w:cs="Calibri"/>
                <w:color w:val="000000"/>
                <w:sz w:val="18"/>
                <w:szCs w:val="18"/>
              </w:rPr>
              <w:t>is in Table</w:t>
            </w:r>
            <w:r w:rsidR="00565011">
              <w:rPr>
                <w:rFonts w:ascii="Arial Narrow" w:eastAsia="Times New Roman" w:hAnsi="Arial Narrow" w:cs="Calibri"/>
                <w:color w:val="000000"/>
                <w:sz w:val="18"/>
                <w:szCs w:val="18"/>
              </w:rPr>
              <w:t>s 4-15 and 4-16</w:t>
            </w:r>
            <w:r w:rsidRPr="00CD5801">
              <w:rPr>
                <w:rFonts w:ascii="Arial Narrow" w:eastAsia="Times New Roman" w:hAnsi="Arial Narrow" w:cs="Calibri"/>
                <w:color w:val="000000"/>
                <w:sz w:val="18"/>
                <w:szCs w:val="18"/>
              </w:rPr>
              <w:t xml:space="preserve"> of EPA (201</w:t>
            </w:r>
            <w:r w:rsidR="00FF0FB5">
              <w:rPr>
                <w:rFonts w:ascii="Arial Narrow" w:eastAsia="Times New Roman" w:hAnsi="Arial Narrow" w:cs="Calibri"/>
                <w:color w:val="000000"/>
                <w:sz w:val="18"/>
                <w:szCs w:val="18"/>
              </w:rPr>
              <w:t>9a</w:t>
            </w:r>
            <w:r w:rsidRPr="00CD5801">
              <w:rPr>
                <w:rFonts w:ascii="Arial Narrow" w:eastAsia="Times New Roman" w:hAnsi="Arial Narrow" w:cs="Calibri"/>
                <w:color w:val="000000"/>
                <w:sz w:val="18"/>
                <w:szCs w:val="18"/>
              </w:rPr>
              <w:t>), overall unit burden is based on 14.82% new reporting sites.</w:t>
            </w:r>
            <w:r>
              <w:rPr>
                <w:rFonts w:ascii="Arial Narrow" w:eastAsia="Times New Roman" w:hAnsi="Arial Narrow" w:cs="Calibri"/>
                <w:color w:val="000000"/>
                <w:sz w:val="18"/>
                <w:szCs w:val="18"/>
              </w:rPr>
              <w:t xml:space="preserve"> </w:t>
            </w:r>
          </w:p>
        </w:tc>
      </w:tr>
      <w:tr w:rsidR="00B8298D" w:rsidRPr="00855347" w14:paraId="424BEDB4" w14:textId="77777777" w:rsidTr="00874EA2">
        <w:trPr>
          <w:jc w:val="center"/>
        </w:trPr>
        <w:tc>
          <w:tcPr>
            <w:tcW w:w="270" w:type="dxa"/>
            <w:tcBorders>
              <w:left w:val="single" w:sz="4" w:space="0" w:color="auto"/>
              <w:bottom w:val="single" w:sz="4" w:space="0" w:color="auto"/>
              <w:right w:val="nil"/>
            </w:tcBorders>
            <w:shd w:val="clear" w:color="auto" w:fill="auto"/>
            <w:hideMark/>
          </w:tcPr>
          <w:p w14:paraId="35D4CFCD" w14:textId="22CF9ED7" w:rsidR="00B8298D" w:rsidRPr="002D0EB4" w:rsidRDefault="00152B42" w:rsidP="00B8298D">
            <w:pPr>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vertAlign w:val="superscript"/>
              </w:rPr>
              <w:t>2</w:t>
            </w:r>
          </w:p>
        </w:tc>
        <w:tc>
          <w:tcPr>
            <w:tcW w:w="8993" w:type="dxa"/>
            <w:gridSpan w:val="4"/>
            <w:tcBorders>
              <w:left w:val="nil"/>
              <w:bottom w:val="single" w:sz="4" w:space="0" w:color="auto"/>
              <w:right w:val="single" w:sz="4" w:space="0" w:color="000000" w:themeColor="text1"/>
            </w:tcBorders>
            <w:shd w:val="clear" w:color="auto" w:fill="auto"/>
            <w:hideMark/>
          </w:tcPr>
          <w:p w14:paraId="4034BD38" w14:textId="77777777" w:rsidR="00B8298D" w:rsidRPr="002D0EB4" w:rsidRDefault="00B8298D" w:rsidP="00B8298D">
            <w:pPr>
              <w:ind w:left="-103"/>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 xml:space="preserve">The estimate for new reporter incremental Rule Familiarization burden consists of 0.146 hours of Managerial labor and 0.354 hours of Technical labor. Compliance Determination for new reporters is estimated at the same levels as for experienced reporters. </w:t>
            </w:r>
          </w:p>
        </w:tc>
      </w:tr>
    </w:tbl>
    <w:p w14:paraId="75EADC7E" w14:textId="77777777" w:rsidR="00B8298D" w:rsidRDefault="00B8298D" w:rsidP="00B8298D"/>
    <w:p w14:paraId="4E19C043" w14:textId="6960B057" w:rsidR="00512ACA" w:rsidRDefault="00B8298D" w:rsidP="00B8298D">
      <w:pPr>
        <w:pStyle w:val="BodyText"/>
      </w:pPr>
      <w:r>
        <w:fldChar w:fldCharType="begin"/>
      </w:r>
      <w:r>
        <w:instrText xml:space="preserve"> REF _Ref526353458 \h </w:instrText>
      </w:r>
      <w:r>
        <w:fldChar w:fldCharType="separate"/>
      </w:r>
      <w:r w:rsidR="00745E52">
        <w:t xml:space="preserve">Table </w:t>
      </w:r>
      <w:r w:rsidR="00745E52">
        <w:rPr>
          <w:noProof/>
        </w:rPr>
        <w:t>6</w:t>
      </w:r>
      <w:r>
        <w:fldChar w:fldCharType="end"/>
      </w:r>
      <w:r>
        <w:t xml:space="preserve"> presents the derivation of unit burdens for new reporters and the overall average reporter for incremental increases in rule familiarization and compliance determination associated with the proposed small manufacturer definition.</w:t>
      </w:r>
      <w:r>
        <w:rPr>
          <w:rStyle w:val="FootnoteReference"/>
        </w:rPr>
        <w:footnoteReference w:id="8"/>
      </w:r>
      <w:r>
        <w:t xml:space="preserve"> This definition change primarily results in a reduction in number of chemical reports submitted and number of sites reporting. </w:t>
      </w:r>
      <w:bookmarkStart w:id="79" w:name="_Ref524344416"/>
    </w:p>
    <w:p w14:paraId="4F74C0C7" w14:textId="77777777" w:rsidR="00512ACA" w:rsidRDefault="00512ACA">
      <w:pPr>
        <w:spacing w:after="200" w:line="276" w:lineRule="auto"/>
        <w:rPr>
          <w:rFonts w:eastAsia="Times New Roman" w:cs="Times New Roman"/>
        </w:rPr>
      </w:pPr>
      <w:r>
        <w:br w:type="page"/>
      </w:r>
    </w:p>
    <w:p w14:paraId="72B16BCC" w14:textId="77777777" w:rsidR="00B8298D" w:rsidRDefault="00B8298D" w:rsidP="00B8298D">
      <w:pPr>
        <w:pStyle w:val="BodyText"/>
      </w:pPr>
    </w:p>
    <w:tbl>
      <w:tblPr>
        <w:tblW w:w="5002" w:type="pct"/>
        <w:jc w:val="center"/>
        <w:tblLayout w:type="fixed"/>
        <w:tblCellMar>
          <w:left w:w="115" w:type="dxa"/>
          <w:right w:w="115" w:type="dxa"/>
        </w:tblCellMar>
        <w:tblLook w:val="04A0" w:firstRow="1" w:lastRow="0" w:firstColumn="1" w:lastColumn="0" w:noHBand="0" w:noVBand="1"/>
      </w:tblPr>
      <w:tblGrid>
        <w:gridCol w:w="281"/>
        <w:gridCol w:w="3756"/>
        <w:gridCol w:w="1970"/>
        <w:gridCol w:w="1782"/>
        <w:gridCol w:w="1805"/>
      </w:tblGrid>
      <w:tr w:rsidR="00B8298D" w:rsidRPr="00193670" w14:paraId="7059262B" w14:textId="77777777" w:rsidTr="004C275D">
        <w:trPr>
          <w:tblHeader/>
          <w:jc w:val="center"/>
        </w:trPr>
        <w:tc>
          <w:tcPr>
            <w:tcW w:w="9360" w:type="dxa"/>
            <w:gridSpan w:val="5"/>
            <w:tcBorders>
              <w:top w:val="nil"/>
              <w:left w:val="nil"/>
              <w:bottom w:val="single" w:sz="4" w:space="0" w:color="auto"/>
              <w:right w:val="nil"/>
            </w:tcBorders>
            <w:shd w:val="clear" w:color="auto" w:fill="auto"/>
            <w:vAlign w:val="bottom"/>
            <w:hideMark/>
          </w:tcPr>
          <w:p w14:paraId="4CF1B929" w14:textId="6FFD7902" w:rsidR="00B8298D" w:rsidRPr="00193670" w:rsidRDefault="00B8298D" w:rsidP="00B8298D">
            <w:pPr>
              <w:pStyle w:val="Caption"/>
              <w:keepNext/>
              <w:rPr>
                <w:rFonts w:eastAsia="Times New Roman" w:cs="Times New Roman"/>
                <w:color w:val="000000"/>
              </w:rPr>
            </w:pPr>
            <w:bookmarkStart w:id="80" w:name="_Ref526353458"/>
            <w:bookmarkStart w:id="81" w:name="_Ref525022621"/>
            <w:r>
              <w:t xml:space="preserve">Table </w:t>
            </w:r>
            <w:r>
              <w:rPr>
                <w:noProof/>
              </w:rPr>
              <w:fldChar w:fldCharType="begin"/>
            </w:r>
            <w:r>
              <w:rPr>
                <w:noProof/>
              </w:rPr>
              <w:instrText xml:space="preserve"> SEQ Table \* ARABIC </w:instrText>
            </w:r>
            <w:r>
              <w:rPr>
                <w:noProof/>
              </w:rPr>
              <w:fldChar w:fldCharType="separate"/>
            </w:r>
            <w:r w:rsidR="00745E52">
              <w:rPr>
                <w:noProof/>
              </w:rPr>
              <w:t>6</w:t>
            </w:r>
            <w:r>
              <w:rPr>
                <w:noProof/>
              </w:rPr>
              <w:fldChar w:fldCharType="end"/>
            </w:r>
            <w:bookmarkEnd w:id="79"/>
            <w:bookmarkEnd w:id="80"/>
            <w:bookmarkEnd w:id="81"/>
            <w:r>
              <w:t xml:space="preserve">: TSCA Section </w:t>
            </w:r>
            <w:r w:rsidRPr="00193670">
              <w:rPr>
                <w:rFonts w:eastAsia="Times New Roman" w:cs="Times New Roman"/>
                <w:color w:val="000000"/>
              </w:rPr>
              <w:t>8(a) SMD Update Incremental Burden, Four-Year Cycle, Experienced and New Reporters, Industry and Government</w:t>
            </w:r>
          </w:p>
        </w:tc>
      </w:tr>
      <w:tr w:rsidR="00536DA0" w:rsidRPr="00193670" w14:paraId="1AB5EC31" w14:textId="77777777" w:rsidTr="004C275D">
        <w:trPr>
          <w:tblHeader/>
          <w:jc w:val="center"/>
        </w:trPr>
        <w:tc>
          <w:tcPr>
            <w:tcW w:w="3938" w:type="dxa"/>
            <w:gridSpan w:val="2"/>
            <w:vMerge w:val="restart"/>
            <w:tcBorders>
              <w:top w:val="nil"/>
              <w:left w:val="single" w:sz="4" w:space="0" w:color="auto"/>
              <w:bottom w:val="single" w:sz="4" w:space="0" w:color="000000" w:themeColor="text1"/>
              <w:right w:val="single" w:sz="4" w:space="0" w:color="auto"/>
            </w:tcBorders>
            <w:shd w:val="clear" w:color="auto" w:fill="BFBFBF" w:themeFill="background1" w:themeFillShade="BF"/>
            <w:noWrap/>
            <w:vAlign w:val="bottom"/>
            <w:hideMark/>
          </w:tcPr>
          <w:p w14:paraId="271A3C61" w14:textId="59C7450C" w:rsidR="00536DA0" w:rsidRPr="000428AE" w:rsidRDefault="00536DA0" w:rsidP="00536DA0">
            <w:pPr>
              <w:jc w:val="center"/>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Activity</w:t>
            </w:r>
          </w:p>
        </w:tc>
        <w:tc>
          <w:tcPr>
            <w:tcW w:w="1922" w:type="dxa"/>
            <w:tcBorders>
              <w:top w:val="nil"/>
              <w:left w:val="nil"/>
              <w:bottom w:val="single" w:sz="4" w:space="0" w:color="auto"/>
              <w:right w:val="single" w:sz="4" w:space="0" w:color="auto"/>
            </w:tcBorders>
            <w:shd w:val="clear" w:color="auto" w:fill="BFBFBF" w:themeFill="background1" w:themeFillShade="BF"/>
            <w:vAlign w:val="bottom"/>
            <w:hideMark/>
          </w:tcPr>
          <w:p w14:paraId="348B1959" w14:textId="328AD009" w:rsidR="00536DA0" w:rsidRPr="000428AE" w:rsidRDefault="00536DA0" w:rsidP="00536DA0">
            <w:pPr>
              <w:jc w:val="center"/>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Experienced Reporters</w:t>
            </w:r>
          </w:p>
        </w:tc>
        <w:tc>
          <w:tcPr>
            <w:tcW w:w="1739" w:type="dxa"/>
            <w:tcBorders>
              <w:top w:val="nil"/>
              <w:left w:val="nil"/>
              <w:bottom w:val="single" w:sz="4" w:space="0" w:color="auto"/>
              <w:right w:val="single" w:sz="4" w:space="0" w:color="auto"/>
            </w:tcBorders>
            <w:shd w:val="clear" w:color="auto" w:fill="BFBFBF" w:themeFill="background1" w:themeFillShade="BF"/>
            <w:vAlign w:val="bottom"/>
            <w:hideMark/>
          </w:tcPr>
          <w:p w14:paraId="57584971" w14:textId="264CD84A" w:rsidR="00536DA0" w:rsidRPr="000428AE" w:rsidRDefault="00536DA0" w:rsidP="00536DA0">
            <w:pPr>
              <w:jc w:val="center"/>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New Reporters</w:t>
            </w:r>
          </w:p>
        </w:tc>
        <w:tc>
          <w:tcPr>
            <w:tcW w:w="1761" w:type="dxa"/>
            <w:tcBorders>
              <w:top w:val="nil"/>
              <w:left w:val="nil"/>
              <w:bottom w:val="single" w:sz="4" w:space="0" w:color="auto"/>
              <w:right w:val="single" w:sz="4" w:space="0" w:color="auto"/>
            </w:tcBorders>
            <w:shd w:val="clear" w:color="auto" w:fill="BFBFBF" w:themeFill="background1" w:themeFillShade="BF"/>
            <w:vAlign w:val="bottom"/>
            <w:hideMark/>
          </w:tcPr>
          <w:p w14:paraId="71065348" w14:textId="08390977" w:rsidR="00536DA0" w:rsidRPr="000428AE" w:rsidRDefault="00536DA0" w:rsidP="00536DA0">
            <w:pPr>
              <w:jc w:val="center"/>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Overall</w:t>
            </w:r>
            <w:r w:rsidR="00CD5801" w:rsidRPr="00874EA2">
              <w:rPr>
                <w:rFonts w:ascii="Arial Narrow" w:eastAsia="Times New Roman" w:hAnsi="Arial Narrow" w:cs="Calibri"/>
                <w:b/>
                <w:bCs/>
                <w:color w:val="000000"/>
                <w:sz w:val="18"/>
                <w:szCs w:val="18"/>
                <w:vertAlign w:val="superscript"/>
              </w:rPr>
              <w:t>1</w:t>
            </w:r>
          </w:p>
        </w:tc>
      </w:tr>
      <w:tr w:rsidR="00536DA0" w:rsidRPr="00193670" w14:paraId="27459D5F" w14:textId="77777777" w:rsidTr="004C275D">
        <w:trPr>
          <w:tblHeader/>
          <w:jc w:val="center"/>
        </w:trPr>
        <w:tc>
          <w:tcPr>
            <w:tcW w:w="3938" w:type="dxa"/>
            <w:gridSpan w:val="2"/>
            <w:vMerge/>
            <w:tcBorders>
              <w:top w:val="nil"/>
              <w:left w:val="single" w:sz="4" w:space="0" w:color="auto"/>
              <w:bottom w:val="single" w:sz="4" w:space="0" w:color="000000"/>
              <w:right w:val="single" w:sz="4" w:space="0" w:color="auto"/>
            </w:tcBorders>
            <w:shd w:val="clear" w:color="auto" w:fill="BFBFBF"/>
            <w:vAlign w:val="center"/>
            <w:hideMark/>
          </w:tcPr>
          <w:p w14:paraId="5032D12B" w14:textId="77777777" w:rsidR="00536DA0" w:rsidRPr="000428AE" w:rsidRDefault="00536DA0" w:rsidP="00536DA0">
            <w:pPr>
              <w:rPr>
                <w:rFonts w:ascii="Arial Narrow" w:eastAsia="Times New Roman" w:hAnsi="Arial Narrow" w:cs="Calibri"/>
                <w:b/>
                <w:bCs/>
                <w:color w:val="000000"/>
                <w:sz w:val="18"/>
                <w:szCs w:val="18"/>
              </w:rPr>
            </w:pPr>
          </w:p>
        </w:tc>
        <w:tc>
          <w:tcPr>
            <w:tcW w:w="1922" w:type="dxa"/>
            <w:tcBorders>
              <w:top w:val="nil"/>
              <w:left w:val="nil"/>
              <w:bottom w:val="single" w:sz="4" w:space="0" w:color="auto"/>
              <w:right w:val="single" w:sz="4" w:space="0" w:color="auto"/>
            </w:tcBorders>
            <w:shd w:val="clear" w:color="auto" w:fill="BFBFBF" w:themeFill="background1" w:themeFillShade="BF"/>
            <w:vAlign w:val="center"/>
            <w:hideMark/>
          </w:tcPr>
          <w:p w14:paraId="488F2F65" w14:textId="6D126772" w:rsidR="00536DA0" w:rsidRPr="000428AE" w:rsidRDefault="00536DA0" w:rsidP="00536DA0">
            <w:pPr>
              <w:jc w:val="center"/>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Unit Burden per Average Site (</w:t>
            </w:r>
            <w:r>
              <w:rPr>
                <w:rFonts w:ascii="Arial Narrow" w:eastAsia="Times New Roman" w:hAnsi="Arial Narrow" w:cs="Calibri"/>
                <w:b/>
                <w:bCs/>
                <w:color w:val="000000"/>
                <w:sz w:val="18"/>
                <w:szCs w:val="18"/>
              </w:rPr>
              <w:t>h</w:t>
            </w:r>
            <w:r w:rsidRPr="000428AE">
              <w:rPr>
                <w:rFonts w:ascii="Arial Narrow" w:eastAsia="Times New Roman" w:hAnsi="Arial Narrow" w:cs="Calibri"/>
                <w:b/>
                <w:bCs/>
                <w:color w:val="000000"/>
                <w:sz w:val="18"/>
                <w:szCs w:val="18"/>
              </w:rPr>
              <w:t>ours)</w:t>
            </w:r>
          </w:p>
        </w:tc>
        <w:tc>
          <w:tcPr>
            <w:tcW w:w="1739" w:type="dxa"/>
            <w:tcBorders>
              <w:top w:val="nil"/>
              <w:left w:val="nil"/>
              <w:bottom w:val="single" w:sz="4" w:space="0" w:color="auto"/>
              <w:right w:val="single" w:sz="4" w:space="0" w:color="auto"/>
            </w:tcBorders>
            <w:shd w:val="clear" w:color="auto" w:fill="BFBFBF" w:themeFill="background1" w:themeFillShade="BF"/>
            <w:vAlign w:val="center"/>
            <w:hideMark/>
          </w:tcPr>
          <w:p w14:paraId="381A0830" w14:textId="76177513" w:rsidR="00536DA0" w:rsidRPr="000428AE" w:rsidRDefault="00536DA0" w:rsidP="00536DA0">
            <w:pPr>
              <w:jc w:val="center"/>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Unit Burden per Average Site (</w:t>
            </w:r>
            <w:r>
              <w:rPr>
                <w:rFonts w:ascii="Arial Narrow" w:eastAsia="Times New Roman" w:hAnsi="Arial Narrow" w:cs="Calibri"/>
                <w:b/>
                <w:bCs/>
                <w:color w:val="000000"/>
                <w:sz w:val="18"/>
                <w:szCs w:val="18"/>
              </w:rPr>
              <w:t>h</w:t>
            </w:r>
            <w:r w:rsidRPr="000428AE">
              <w:rPr>
                <w:rFonts w:ascii="Arial Narrow" w:eastAsia="Times New Roman" w:hAnsi="Arial Narrow" w:cs="Calibri"/>
                <w:b/>
                <w:bCs/>
                <w:color w:val="000000"/>
                <w:sz w:val="18"/>
                <w:szCs w:val="18"/>
              </w:rPr>
              <w:t>ours)</w:t>
            </w:r>
          </w:p>
        </w:tc>
        <w:tc>
          <w:tcPr>
            <w:tcW w:w="1761" w:type="dxa"/>
            <w:tcBorders>
              <w:top w:val="nil"/>
              <w:left w:val="nil"/>
              <w:bottom w:val="single" w:sz="4" w:space="0" w:color="auto"/>
              <w:right w:val="single" w:sz="4" w:space="0" w:color="auto"/>
            </w:tcBorders>
            <w:shd w:val="clear" w:color="auto" w:fill="BFBFBF" w:themeFill="background1" w:themeFillShade="BF"/>
            <w:vAlign w:val="center"/>
            <w:hideMark/>
          </w:tcPr>
          <w:p w14:paraId="59B8F2C0" w14:textId="7CF3530F" w:rsidR="00536DA0" w:rsidRPr="000428AE" w:rsidRDefault="00536DA0" w:rsidP="00536DA0">
            <w:pPr>
              <w:jc w:val="center"/>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Unit Burden per Average Site (</w:t>
            </w:r>
            <w:r>
              <w:rPr>
                <w:rFonts w:ascii="Arial Narrow" w:eastAsia="Times New Roman" w:hAnsi="Arial Narrow" w:cs="Calibri"/>
                <w:b/>
                <w:bCs/>
                <w:color w:val="000000"/>
                <w:sz w:val="18"/>
                <w:szCs w:val="18"/>
              </w:rPr>
              <w:t>h</w:t>
            </w:r>
            <w:r w:rsidRPr="000428AE">
              <w:rPr>
                <w:rFonts w:ascii="Arial Narrow" w:eastAsia="Times New Roman" w:hAnsi="Arial Narrow" w:cs="Calibri"/>
                <w:b/>
                <w:bCs/>
                <w:color w:val="000000"/>
                <w:sz w:val="18"/>
                <w:szCs w:val="18"/>
              </w:rPr>
              <w:t>ours)</w:t>
            </w:r>
          </w:p>
        </w:tc>
      </w:tr>
      <w:tr w:rsidR="00536DA0" w:rsidRPr="00D527CA" w14:paraId="55484291" w14:textId="77777777" w:rsidTr="004C275D">
        <w:trPr>
          <w:jc w:val="center"/>
        </w:trPr>
        <w:tc>
          <w:tcPr>
            <w:tcW w:w="9360" w:type="dxa"/>
            <w:gridSpan w:val="5"/>
            <w:tcBorders>
              <w:top w:val="single" w:sz="4" w:space="0" w:color="auto"/>
              <w:left w:val="single" w:sz="4" w:space="0" w:color="auto"/>
              <w:bottom w:val="single" w:sz="4" w:space="0" w:color="auto"/>
              <w:right w:val="single" w:sz="4" w:space="0" w:color="auto"/>
            </w:tcBorders>
            <w:shd w:val="clear" w:color="auto" w:fill="auto"/>
            <w:vAlign w:val="bottom"/>
          </w:tcPr>
          <w:p w14:paraId="34B31563" w14:textId="45E28DAD" w:rsidR="00536DA0" w:rsidRPr="008C5171" w:rsidRDefault="00536DA0" w:rsidP="00536DA0">
            <w:pPr>
              <w:rPr>
                <w:rFonts w:ascii="Arial Narrow" w:eastAsia="Times New Roman" w:hAnsi="Arial Narrow" w:cs="Calibri"/>
                <w:b/>
                <w:color w:val="000000"/>
                <w:sz w:val="18"/>
                <w:szCs w:val="18"/>
              </w:rPr>
            </w:pPr>
            <w:r w:rsidRPr="008C5171">
              <w:rPr>
                <w:rFonts w:ascii="Arial Narrow" w:eastAsia="Times New Roman" w:hAnsi="Arial Narrow" w:cs="Calibri"/>
                <w:b/>
                <w:color w:val="000000"/>
                <w:sz w:val="18"/>
                <w:szCs w:val="18"/>
              </w:rPr>
              <w:t>Industry</w:t>
            </w:r>
          </w:p>
        </w:tc>
      </w:tr>
      <w:tr w:rsidR="00536DA0" w:rsidRPr="00D527CA" w14:paraId="6AC4637D" w14:textId="77777777" w:rsidTr="004C275D">
        <w:trPr>
          <w:jc w:val="center"/>
        </w:trPr>
        <w:tc>
          <w:tcPr>
            <w:tcW w:w="3938"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502E9914" w14:textId="5DB9394B" w:rsidR="00536DA0" w:rsidRPr="000428AE" w:rsidRDefault="00536DA0" w:rsidP="00536DA0">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Rule Familiarization</w:t>
            </w:r>
            <w:r w:rsidR="00CD5801">
              <w:rPr>
                <w:rFonts w:ascii="Arial Narrow" w:eastAsia="Times New Roman" w:hAnsi="Arial Narrow" w:cs="Calibri"/>
                <w:color w:val="000000"/>
                <w:sz w:val="18"/>
                <w:szCs w:val="18"/>
                <w:vertAlign w:val="superscript"/>
              </w:rPr>
              <w:t>2</w:t>
            </w:r>
          </w:p>
        </w:tc>
        <w:tc>
          <w:tcPr>
            <w:tcW w:w="1922" w:type="dxa"/>
            <w:tcBorders>
              <w:top w:val="single" w:sz="4" w:space="0" w:color="auto"/>
              <w:left w:val="nil"/>
              <w:bottom w:val="single" w:sz="4" w:space="0" w:color="auto"/>
              <w:right w:val="single" w:sz="4" w:space="0" w:color="auto"/>
            </w:tcBorders>
            <w:shd w:val="clear" w:color="auto" w:fill="auto"/>
            <w:noWrap/>
            <w:vAlign w:val="bottom"/>
            <w:hideMark/>
          </w:tcPr>
          <w:p w14:paraId="26B37D64" w14:textId="4AB80E50"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39" w:type="dxa"/>
            <w:tcBorders>
              <w:top w:val="single" w:sz="4" w:space="0" w:color="auto"/>
              <w:left w:val="nil"/>
              <w:bottom w:val="single" w:sz="4" w:space="0" w:color="auto"/>
              <w:right w:val="single" w:sz="4" w:space="0" w:color="auto"/>
            </w:tcBorders>
            <w:shd w:val="clear" w:color="auto" w:fill="auto"/>
            <w:noWrap/>
            <w:vAlign w:val="bottom"/>
            <w:hideMark/>
          </w:tcPr>
          <w:p w14:paraId="4EDE3919" w14:textId="246D0D97"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1.730</w:t>
            </w:r>
          </w:p>
        </w:tc>
        <w:tc>
          <w:tcPr>
            <w:tcW w:w="1761" w:type="dxa"/>
            <w:tcBorders>
              <w:top w:val="single" w:sz="4" w:space="0" w:color="auto"/>
              <w:left w:val="nil"/>
              <w:bottom w:val="single" w:sz="4" w:space="0" w:color="auto"/>
              <w:right w:val="single" w:sz="4" w:space="0" w:color="auto"/>
            </w:tcBorders>
            <w:shd w:val="clear" w:color="auto" w:fill="auto"/>
            <w:noWrap/>
            <w:vAlign w:val="bottom"/>
            <w:hideMark/>
          </w:tcPr>
          <w:p w14:paraId="3E4150C5" w14:textId="05010328"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0.256</w:t>
            </w:r>
          </w:p>
        </w:tc>
      </w:tr>
      <w:tr w:rsidR="00536DA0" w:rsidRPr="00D527CA" w14:paraId="23803A5E" w14:textId="77777777" w:rsidTr="004C275D">
        <w:trPr>
          <w:jc w:val="center"/>
        </w:trPr>
        <w:tc>
          <w:tcPr>
            <w:tcW w:w="3938" w:type="dxa"/>
            <w:gridSpan w:val="2"/>
            <w:tcBorders>
              <w:top w:val="nil"/>
              <w:left w:val="single" w:sz="4" w:space="0" w:color="auto"/>
              <w:bottom w:val="single" w:sz="4" w:space="0" w:color="auto"/>
              <w:right w:val="single" w:sz="4" w:space="0" w:color="auto"/>
            </w:tcBorders>
            <w:shd w:val="clear" w:color="auto" w:fill="auto"/>
            <w:vAlign w:val="bottom"/>
          </w:tcPr>
          <w:p w14:paraId="0B29AF05" w14:textId="25D7ECD5" w:rsidR="00536DA0" w:rsidRPr="000428AE" w:rsidRDefault="00536DA0" w:rsidP="00536DA0">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Compliance Determination</w:t>
            </w:r>
            <w:r w:rsidR="005427BE">
              <w:rPr>
                <w:rFonts w:ascii="Arial Narrow" w:eastAsia="Times New Roman" w:hAnsi="Arial Narrow" w:cs="Calibri"/>
                <w:color w:val="000000"/>
                <w:sz w:val="18"/>
                <w:szCs w:val="18"/>
                <w:vertAlign w:val="superscript"/>
              </w:rPr>
              <w:t>3</w:t>
            </w:r>
          </w:p>
        </w:tc>
        <w:tc>
          <w:tcPr>
            <w:tcW w:w="1922" w:type="dxa"/>
            <w:tcBorders>
              <w:top w:val="nil"/>
              <w:left w:val="nil"/>
              <w:bottom w:val="single" w:sz="4" w:space="0" w:color="auto"/>
              <w:right w:val="single" w:sz="4" w:space="0" w:color="auto"/>
            </w:tcBorders>
            <w:shd w:val="clear" w:color="auto" w:fill="auto"/>
            <w:noWrap/>
            <w:vAlign w:val="bottom"/>
          </w:tcPr>
          <w:p w14:paraId="592C08FD" w14:textId="5D909B83"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39" w:type="dxa"/>
            <w:tcBorders>
              <w:top w:val="nil"/>
              <w:left w:val="nil"/>
              <w:bottom w:val="single" w:sz="4" w:space="0" w:color="auto"/>
              <w:right w:val="single" w:sz="4" w:space="0" w:color="auto"/>
            </w:tcBorders>
            <w:shd w:val="clear" w:color="auto" w:fill="auto"/>
            <w:noWrap/>
            <w:vAlign w:val="bottom"/>
          </w:tcPr>
          <w:p w14:paraId="0961B844" w14:textId="2AFE77C4"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61" w:type="dxa"/>
            <w:tcBorders>
              <w:top w:val="nil"/>
              <w:left w:val="nil"/>
              <w:bottom w:val="single" w:sz="4" w:space="0" w:color="auto"/>
              <w:right w:val="single" w:sz="4" w:space="0" w:color="auto"/>
            </w:tcBorders>
            <w:shd w:val="clear" w:color="auto" w:fill="auto"/>
            <w:noWrap/>
            <w:vAlign w:val="bottom"/>
          </w:tcPr>
          <w:p w14:paraId="04E6C0D4" w14:textId="241A7758"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r>
      <w:tr w:rsidR="00536DA0" w:rsidRPr="00D527CA" w14:paraId="5A2D5250" w14:textId="77777777" w:rsidTr="004C275D">
        <w:trPr>
          <w:jc w:val="center"/>
        </w:trPr>
        <w:tc>
          <w:tcPr>
            <w:tcW w:w="3938" w:type="dxa"/>
            <w:gridSpan w:val="2"/>
            <w:tcBorders>
              <w:top w:val="nil"/>
              <w:left w:val="single" w:sz="4" w:space="0" w:color="auto"/>
              <w:bottom w:val="single" w:sz="4" w:space="0" w:color="auto"/>
              <w:right w:val="single" w:sz="4" w:space="0" w:color="auto"/>
            </w:tcBorders>
            <w:shd w:val="clear" w:color="auto" w:fill="auto"/>
            <w:vAlign w:val="bottom"/>
          </w:tcPr>
          <w:p w14:paraId="094BE837" w14:textId="7C770C6B" w:rsidR="00536DA0" w:rsidRPr="000428AE" w:rsidRDefault="00536DA0" w:rsidP="00536DA0">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Recordkeeping</w:t>
            </w:r>
          </w:p>
        </w:tc>
        <w:tc>
          <w:tcPr>
            <w:tcW w:w="1922" w:type="dxa"/>
            <w:tcBorders>
              <w:top w:val="nil"/>
              <w:left w:val="nil"/>
              <w:bottom w:val="single" w:sz="4" w:space="0" w:color="auto"/>
              <w:right w:val="single" w:sz="4" w:space="0" w:color="auto"/>
            </w:tcBorders>
            <w:shd w:val="clear" w:color="auto" w:fill="auto"/>
            <w:noWrap/>
            <w:vAlign w:val="bottom"/>
          </w:tcPr>
          <w:p w14:paraId="40184512" w14:textId="56DE8949"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39" w:type="dxa"/>
            <w:tcBorders>
              <w:top w:val="nil"/>
              <w:left w:val="nil"/>
              <w:bottom w:val="single" w:sz="4" w:space="0" w:color="auto"/>
              <w:right w:val="single" w:sz="4" w:space="0" w:color="auto"/>
            </w:tcBorders>
            <w:shd w:val="clear" w:color="auto" w:fill="auto"/>
            <w:noWrap/>
            <w:vAlign w:val="bottom"/>
          </w:tcPr>
          <w:p w14:paraId="7E1E9B20" w14:textId="3120D387"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61" w:type="dxa"/>
            <w:tcBorders>
              <w:top w:val="nil"/>
              <w:left w:val="nil"/>
              <w:bottom w:val="single" w:sz="4" w:space="0" w:color="auto"/>
              <w:right w:val="single" w:sz="4" w:space="0" w:color="auto"/>
            </w:tcBorders>
            <w:shd w:val="clear" w:color="auto" w:fill="auto"/>
            <w:noWrap/>
            <w:vAlign w:val="bottom"/>
          </w:tcPr>
          <w:p w14:paraId="773227C9" w14:textId="17D7BFE2"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r>
      <w:tr w:rsidR="00CD5801" w:rsidRPr="00D527CA" w14:paraId="194E990B" w14:textId="77777777" w:rsidTr="00874EA2">
        <w:trPr>
          <w:jc w:val="center"/>
        </w:trPr>
        <w:tc>
          <w:tcPr>
            <w:tcW w:w="3938" w:type="dxa"/>
            <w:gridSpan w:val="2"/>
            <w:tcBorders>
              <w:top w:val="nil"/>
              <w:left w:val="single" w:sz="4" w:space="0" w:color="auto"/>
              <w:bottom w:val="single" w:sz="12" w:space="0" w:color="auto"/>
              <w:right w:val="single" w:sz="4" w:space="0" w:color="auto"/>
            </w:tcBorders>
            <w:shd w:val="clear" w:color="auto" w:fill="auto"/>
            <w:vAlign w:val="bottom"/>
          </w:tcPr>
          <w:p w14:paraId="17BBB07D" w14:textId="68CA431B" w:rsidR="00CD5801" w:rsidRPr="000428AE" w:rsidRDefault="00CD5801" w:rsidP="00CD5801">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 xml:space="preserve">Average Multi-Chemical Form Completion (7.5 chemicals) </w:t>
            </w:r>
          </w:p>
        </w:tc>
        <w:tc>
          <w:tcPr>
            <w:tcW w:w="1922" w:type="dxa"/>
            <w:tcBorders>
              <w:top w:val="nil"/>
              <w:left w:val="nil"/>
              <w:bottom w:val="single" w:sz="12" w:space="0" w:color="auto"/>
              <w:right w:val="single" w:sz="4" w:space="0" w:color="auto"/>
            </w:tcBorders>
            <w:shd w:val="clear" w:color="auto" w:fill="auto"/>
            <w:noWrap/>
            <w:vAlign w:val="bottom"/>
          </w:tcPr>
          <w:p w14:paraId="166E74B1" w14:textId="67A56126" w:rsidR="00CD5801" w:rsidRPr="000428AE" w:rsidRDefault="00CD5801" w:rsidP="00874EA2">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39" w:type="dxa"/>
            <w:tcBorders>
              <w:top w:val="nil"/>
              <w:left w:val="nil"/>
              <w:bottom w:val="single" w:sz="12" w:space="0" w:color="auto"/>
              <w:right w:val="single" w:sz="4" w:space="0" w:color="auto"/>
            </w:tcBorders>
            <w:shd w:val="clear" w:color="auto" w:fill="auto"/>
            <w:noWrap/>
            <w:vAlign w:val="bottom"/>
          </w:tcPr>
          <w:p w14:paraId="267F7681" w14:textId="4E8CCA5E" w:rsidR="00CD5801" w:rsidRPr="000428AE" w:rsidRDefault="00CD5801" w:rsidP="00874EA2">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61" w:type="dxa"/>
            <w:tcBorders>
              <w:top w:val="nil"/>
              <w:left w:val="nil"/>
              <w:bottom w:val="single" w:sz="12" w:space="0" w:color="auto"/>
              <w:right w:val="single" w:sz="4" w:space="0" w:color="auto"/>
            </w:tcBorders>
            <w:shd w:val="clear" w:color="auto" w:fill="auto"/>
            <w:noWrap/>
            <w:vAlign w:val="bottom"/>
          </w:tcPr>
          <w:p w14:paraId="02F2024B" w14:textId="0A3C50A4" w:rsidR="00CD5801" w:rsidRPr="000428AE" w:rsidRDefault="00CD5801" w:rsidP="00874EA2">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r>
      <w:tr w:rsidR="00536DA0" w:rsidRPr="00D527CA" w14:paraId="498C5E9A" w14:textId="77777777" w:rsidTr="004C275D">
        <w:trPr>
          <w:jc w:val="center"/>
        </w:trPr>
        <w:tc>
          <w:tcPr>
            <w:tcW w:w="3938" w:type="dxa"/>
            <w:gridSpan w:val="2"/>
            <w:tcBorders>
              <w:top w:val="single" w:sz="12" w:space="0" w:color="auto"/>
              <w:left w:val="single" w:sz="4" w:space="0" w:color="auto"/>
              <w:bottom w:val="single" w:sz="12" w:space="0" w:color="auto"/>
              <w:right w:val="single" w:sz="4" w:space="0" w:color="auto"/>
            </w:tcBorders>
            <w:shd w:val="clear" w:color="auto" w:fill="auto"/>
            <w:vAlign w:val="bottom"/>
          </w:tcPr>
          <w:p w14:paraId="7751EB66" w14:textId="4BE4728A" w:rsidR="00536DA0" w:rsidRPr="000428AE" w:rsidRDefault="00536DA0" w:rsidP="00536DA0">
            <w:pPr>
              <w:rPr>
                <w:rFonts w:ascii="Arial Narrow" w:eastAsia="Times New Roman" w:hAnsi="Arial Narrow" w:cs="Calibri"/>
                <w:b/>
                <w:color w:val="000000"/>
                <w:sz w:val="18"/>
                <w:szCs w:val="18"/>
              </w:rPr>
            </w:pPr>
            <w:r>
              <w:rPr>
                <w:rFonts w:ascii="Arial Narrow" w:eastAsia="Times New Roman" w:hAnsi="Arial Narrow" w:cs="Calibri"/>
                <w:b/>
                <w:bCs/>
                <w:color w:val="000000"/>
                <w:sz w:val="18"/>
                <w:szCs w:val="18"/>
              </w:rPr>
              <w:t xml:space="preserve">Section </w:t>
            </w:r>
            <w:r w:rsidRPr="000428AE">
              <w:rPr>
                <w:rFonts w:ascii="Arial Narrow" w:eastAsia="Times New Roman" w:hAnsi="Arial Narrow" w:cs="Calibri"/>
                <w:b/>
                <w:bCs/>
                <w:color w:val="000000"/>
                <w:sz w:val="18"/>
                <w:szCs w:val="18"/>
              </w:rPr>
              <w:t>8(a) SMD Total</w:t>
            </w:r>
          </w:p>
        </w:tc>
        <w:tc>
          <w:tcPr>
            <w:tcW w:w="1922" w:type="dxa"/>
            <w:tcBorders>
              <w:top w:val="single" w:sz="12" w:space="0" w:color="auto"/>
              <w:left w:val="single" w:sz="4" w:space="0" w:color="auto"/>
              <w:bottom w:val="single" w:sz="12" w:space="0" w:color="auto"/>
              <w:right w:val="single" w:sz="4" w:space="0" w:color="auto"/>
            </w:tcBorders>
            <w:shd w:val="clear" w:color="auto" w:fill="auto"/>
            <w:vAlign w:val="bottom"/>
          </w:tcPr>
          <w:p w14:paraId="1CC0A5F0" w14:textId="3CA4129F" w:rsidR="00536DA0" w:rsidRPr="000428AE" w:rsidRDefault="00536DA0" w:rsidP="00536DA0">
            <w:pPr>
              <w:jc w:val="right"/>
              <w:rPr>
                <w:rFonts w:ascii="Arial Narrow" w:eastAsia="Times New Roman" w:hAnsi="Arial Narrow" w:cs="Calibri"/>
                <w:b/>
                <w:color w:val="000000"/>
                <w:sz w:val="18"/>
                <w:szCs w:val="18"/>
              </w:rPr>
            </w:pPr>
            <w:r w:rsidRPr="000428AE">
              <w:rPr>
                <w:rFonts w:ascii="Arial Narrow" w:eastAsia="Times New Roman" w:hAnsi="Arial Narrow" w:cs="Calibri"/>
                <w:b/>
                <w:bCs/>
                <w:color w:val="000000"/>
                <w:sz w:val="18"/>
                <w:szCs w:val="18"/>
              </w:rPr>
              <w:t>0.000</w:t>
            </w:r>
          </w:p>
        </w:tc>
        <w:tc>
          <w:tcPr>
            <w:tcW w:w="1739" w:type="dxa"/>
            <w:tcBorders>
              <w:top w:val="single" w:sz="12" w:space="0" w:color="auto"/>
              <w:left w:val="single" w:sz="4" w:space="0" w:color="auto"/>
              <w:bottom w:val="single" w:sz="12" w:space="0" w:color="auto"/>
              <w:right w:val="single" w:sz="4" w:space="0" w:color="auto"/>
            </w:tcBorders>
            <w:shd w:val="clear" w:color="auto" w:fill="auto"/>
            <w:vAlign w:val="bottom"/>
          </w:tcPr>
          <w:p w14:paraId="25AAA1A9" w14:textId="149D07FE" w:rsidR="00536DA0" w:rsidRPr="000428AE" w:rsidRDefault="00536DA0" w:rsidP="00536DA0">
            <w:pPr>
              <w:jc w:val="right"/>
              <w:rPr>
                <w:rFonts w:ascii="Arial Narrow" w:eastAsia="Times New Roman" w:hAnsi="Arial Narrow" w:cs="Calibri"/>
                <w:b/>
                <w:color w:val="000000"/>
                <w:sz w:val="18"/>
                <w:szCs w:val="18"/>
              </w:rPr>
            </w:pPr>
            <w:r w:rsidRPr="000428AE">
              <w:rPr>
                <w:rFonts w:ascii="Arial Narrow" w:eastAsia="Times New Roman" w:hAnsi="Arial Narrow" w:cs="Calibri"/>
                <w:b/>
                <w:bCs/>
                <w:color w:val="000000"/>
                <w:sz w:val="18"/>
                <w:szCs w:val="18"/>
              </w:rPr>
              <w:t>1.730</w:t>
            </w:r>
          </w:p>
        </w:tc>
        <w:tc>
          <w:tcPr>
            <w:tcW w:w="1761" w:type="dxa"/>
            <w:tcBorders>
              <w:top w:val="single" w:sz="12" w:space="0" w:color="auto"/>
              <w:left w:val="single" w:sz="4" w:space="0" w:color="auto"/>
              <w:bottom w:val="single" w:sz="12" w:space="0" w:color="auto"/>
              <w:right w:val="single" w:sz="4" w:space="0" w:color="auto"/>
            </w:tcBorders>
            <w:shd w:val="clear" w:color="auto" w:fill="auto"/>
            <w:vAlign w:val="bottom"/>
          </w:tcPr>
          <w:p w14:paraId="1E089016" w14:textId="5CA8A5EB" w:rsidR="00536DA0" w:rsidRPr="000428AE" w:rsidRDefault="00536DA0" w:rsidP="00536DA0">
            <w:pPr>
              <w:jc w:val="right"/>
              <w:rPr>
                <w:rFonts w:ascii="Arial Narrow" w:eastAsia="Times New Roman" w:hAnsi="Arial Narrow" w:cs="Calibri"/>
                <w:b/>
                <w:color w:val="000000"/>
                <w:sz w:val="18"/>
                <w:szCs w:val="18"/>
              </w:rPr>
            </w:pPr>
            <w:r w:rsidRPr="000428AE">
              <w:rPr>
                <w:rFonts w:ascii="Arial Narrow" w:eastAsia="Times New Roman" w:hAnsi="Arial Narrow" w:cs="Calibri"/>
                <w:b/>
                <w:bCs/>
                <w:color w:val="000000"/>
                <w:sz w:val="18"/>
                <w:szCs w:val="18"/>
              </w:rPr>
              <w:t>0.256</w:t>
            </w:r>
          </w:p>
        </w:tc>
      </w:tr>
      <w:tr w:rsidR="00536DA0" w:rsidRPr="00D527CA" w14:paraId="51C21801" w14:textId="77777777" w:rsidTr="00874EA2">
        <w:trPr>
          <w:jc w:val="center"/>
        </w:trPr>
        <w:tc>
          <w:tcPr>
            <w:tcW w:w="9359" w:type="dxa"/>
            <w:gridSpan w:val="5"/>
            <w:tcBorders>
              <w:top w:val="single" w:sz="12" w:space="0" w:color="auto"/>
              <w:left w:val="single" w:sz="4" w:space="0" w:color="auto"/>
              <w:bottom w:val="single" w:sz="4" w:space="0" w:color="auto"/>
              <w:right w:val="single" w:sz="4" w:space="0" w:color="auto"/>
            </w:tcBorders>
            <w:shd w:val="clear" w:color="auto" w:fill="auto"/>
            <w:vAlign w:val="bottom"/>
          </w:tcPr>
          <w:p w14:paraId="29162625" w14:textId="2174BBD3" w:rsidR="00536DA0" w:rsidRPr="008C5171" w:rsidRDefault="00536DA0" w:rsidP="00536DA0">
            <w:pPr>
              <w:rPr>
                <w:rFonts w:ascii="Arial Narrow" w:eastAsia="Times New Roman" w:hAnsi="Arial Narrow" w:cs="Calibri"/>
                <w:b/>
                <w:color w:val="000000"/>
                <w:sz w:val="18"/>
                <w:szCs w:val="18"/>
              </w:rPr>
            </w:pPr>
            <w:r w:rsidRPr="008C5171">
              <w:rPr>
                <w:rFonts w:ascii="Arial Narrow" w:eastAsia="Times New Roman" w:hAnsi="Arial Narrow" w:cs="Calibri"/>
                <w:b/>
                <w:color w:val="000000"/>
                <w:sz w:val="18"/>
                <w:szCs w:val="18"/>
              </w:rPr>
              <w:t>Government</w:t>
            </w:r>
          </w:p>
        </w:tc>
      </w:tr>
      <w:tr w:rsidR="00536DA0" w:rsidRPr="00D527CA" w14:paraId="5D572CB7" w14:textId="77777777" w:rsidTr="00874EA2">
        <w:trPr>
          <w:jc w:val="center"/>
        </w:trPr>
        <w:tc>
          <w:tcPr>
            <w:tcW w:w="3937" w:type="dxa"/>
            <w:gridSpan w:val="2"/>
            <w:tcBorders>
              <w:top w:val="nil"/>
              <w:left w:val="single" w:sz="4" w:space="0" w:color="auto"/>
              <w:bottom w:val="single" w:sz="4" w:space="0" w:color="auto"/>
              <w:right w:val="single" w:sz="4" w:space="0" w:color="auto"/>
            </w:tcBorders>
            <w:shd w:val="clear" w:color="auto" w:fill="auto"/>
            <w:vAlign w:val="bottom"/>
          </w:tcPr>
          <w:p w14:paraId="1E1FD1E8" w14:textId="46EE6AE9" w:rsidR="00536DA0" w:rsidRPr="000428AE" w:rsidRDefault="00536DA0" w:rsidP="00536DA0">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Rule Familiarization</w:t>
            </w:r>
            <w:r w:rsidR="005427BE">
              <w:rPr>
                <w:rFonts w:ascii="Arial Narrow" w:eastAsia="Times New Roman" w:hAnsi="Arial Narrow" w:cs="Calibri"/>
                <w:color w:val="000000"/>
                <w:sz w:val="18"/>
                <w:szCs w:val="18"/>
                <w:vertAlign w:val="superscript"/>
              </w:rPr>
              <w:t>4</w:t>
            </w:r>
          </w:p>
        </w:tc>
        <w:tc>
          <w:tcPr>
            <w:tcW w:w="1922" w:type="dxa"/>
            <w:tcBorders>
              <w:top w:val="nil"/>
              <w:left w:val="nil"/>
              <w:bottom w:val="single" w:sz="4" w:space="0" w:color="auto"/>
              <w:right w:val="single" w:sz="4" w:space="0" w:color="auto"/>
            </w:tcBorders>
            <w:shd w:val="clear" w:color="auto" w:fill="auto"/>
            <w:noWrap/>
            <w:vAlign w:val="bottom"/>
          </w:tcPr>
          <w:p w14:paraId="45C46834" w14:textId="32FF7A96"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39" w:type="dxa"/>
            <w:tcBorders>
              <w:top w:val="nil"/>
              <w:left w:val="nil"/>
              <w:bottom w:val="single" w:sz="4" w:space="0" w:color="auto"/>
              <w:right w:val="single" w:sz="4" w:space="0" w:color="auto"/>
            </w:tcBorders>
            <w:shd w:val="clear" w:color="auto" w:fill="auto"/>
            <w:noWrap/>
            <w:vAlign w:val="bottom"/>
          </w:tcPr>
          <w:p w14:paraId="1ADE7234" w14:textId="63DBF35E"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61" w:type="dxa"/>
            <w:tcBorders>
              <w:top w:val="nil"/>
              <w:left w:val="nil"/>
              <w:bottom w:val="single" w:sz="4" w:space="0" w:color="auto"/>
              <w:right w:val="single" w:sz="4" w:space="0" w:color="auto"/>
            </w:tcBorders>
            <w:shd w:val="clear" w:color="auto" w:fill="auto"/>
            <w:noWrap/>
            <w:vAlign w:val="bottom"/>
          </w:tcPr>
          <w:p w14:paraId="62CFEA2A" w14:textId="0CA221A9"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r>
      <w:tr w:rsidR="00536DA0" w:rsidRPr="00D527CA" w14:paraId="69B7FD00" w14:textId="77777777" w:rsidTr="00874EA2">
        <w:trPr>
          <w:jc w:val="center"/>
        </w:trPr>
        <w:tc>
          <w:tcPr>
            <w:tcW w:w="3937" w:type="dxa"/>
            <w:gridSpan w:val="2"/>
            <w:tcBorders>
              <w:top w:val="nil"/>
              <w:left w:val="single" w:sz="4" w:space="0" w:color="auto"/>
              <w:bottom w:val="single" w:sz="4" w:space="0" w:color="auto"/>
              <w:right w:val="single" w:sz="4" w:space="0" w:color="auto"/>
            </w:tcBorders>
            <w:shd w:val="clear" w:color="auto" w:fill="auto"/>
            <w:vAlign w:val="bottom"/>
            <w:hideMark/>
          </w:tcPr>
          <w:p w14:paraId="745B520D" w14:textId="4388437D" w:rsidR="00536DA0" w:rsidRPr="000428AE" w:rsidRDefault="00536DA0" w:rsidP="00536DA0">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Compliance Determination</w:t>
            </w:r>
            <w:r w:rsidR="005427BE">
              <w:rPr>
                <w:rFonts w:ascii="Arial Narrow" w:eastAsia="Times New Roman" w:hAnsi="Arial Narrow" w:cs="Calibri"/>
                <w:color w:val="000000"/>
                <w:sz w:val="18"/>
                <w:szCs w:val="18"/>
                <w:vertAlign w:val="superscript"/>
              </w:rPr>
              <w:t>5</w:t>
            </w:r>
          </w:p>
        </w:tc>
        <w:tc>
          <w:tcPr>
            <w:tcW w:w="1922" w:type="dxa"/>
            <w:tcBorders>
              <w:top w:val="nil"/>
              <w:left w:val="nil"/>
              <w:bottom w:val="single" w:sz="4" w:space="0" w:color="auto"/>
              <w:right w:val="single" w:sz="4" w:space="0" w:color="auto"/>
            </w:tcBorders>
            <w:shd w:val="clear" w:color="auto" w:fill="auto"/>
            <w:noWrap/>
            <w:vAlign w:val="bottom"/>
            <w:hideMark/>
          </w:tcPr>
          <w:p w14:paraId="6E67BA4D" w14:textId="1F5102EC"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0.170</w:t>
            </w:r>
          </w:p>
        </w:tc>
        <w:tc>
          <w:tcPr>
            <w:tcW w:w="1739" w:type="dxa"/>
            <w:tcBorders>
              <w:top w:val="nil"/>
              <w:left w:val="nil"/>
              <w:bottom w:val="single" w:sz="4" w:space="0" w:color="auto"/>
              <w:right w:val="single" w:sz="4" w:space="0" w:color="auto"/>
            </w:tcBorders>
            <w:shd w:val="clear" w:color="auto" w:fill="auto"/>
            <w:noWrap/>
            <w:vAlign w:val="bottom"/>
            <w:hideMark/>
          </w:tcPr>
          <w:p w14:paraId="1C63064C" w14:textId="0264B9F0"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0.170</w:t>
            </w:r>
          </w:p>
        </w:tc>
        <w:tc>
          <w:tcPr>
            <w:tcW w:w="1761" w:type="dxa"/>
            <w:tcBorders>
              <w:top w:val="nil"/>
              <w:left w:val="nil"/>
              <w:bottom w:val="single" w:sz="4" w:space="0" w:color="auto"/>
              <w:right w:val="single" w:sz="4" w:space="0" w:color="auto"/>
            </w:tcBorders>
            <w:shd w:val="clear" w:color="auto" w:fill="auto"/>
            <w:noWrap/>
            <w:vAlign w:val="bottom"/>
            <w:hideMark/>
          </w:tcPr>
          <w:p w14:paraId="1DF561DC" w14:textId="7A194128" w:rsidR="00536DA0" w:rsidRPr="000428AE" w:rsidRDefault="00536DA0" w:rsidP="00536DA0">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0.170</w:t>
            </w:r>
          </w:p>
        </w:tc>
      </w:tr>
      <w:tr w:rsidR="00B8298D" w:rsidRPr="00D527CA" w14:paraId="6C79C2A6" w14:textId="77777777" w:rsidTr="00874EA2">
        <w:trPr>
          <w:jc w:val="center"/>
        </w:trPr>
        <w:tc>
          <w:tcPr>
            <w:tcW w:w="3937" w:type="dxa"/>
            <w:gridSpan w:val="2"/>
            <w:tcBorders>
              <w:top w:val="nil"/>
              <w:left w:val="single" w:sz="4" w:space="0" w:color="auto"/>
              <w:bottom w:val="single" w:sz="4" w:space="0" w:color="auto"/>
              <w:right w:val="single" w:sz="4" w:space="0" w:color="auto"/>
            </w:tcBorders>
            <w:shd w:val="clear" w:color="auto" w:fill="auto"/>
            <w:vAlign w:val="bottom"/>
            <w:hideMark/>
          </w:tcPr>
          <w:p w14:paraId="5271DF29" w14:textId="77777777" w:rsidR="00B8298D" w:rsidRPr="000428AE" w:rsidRDefault="00B8298D" w:rsidP="00B8298D">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 xml:space="preserve">Recordkeeping </w:t>
            </w:r>
          </w:p>
        </w:tc>
        <w:tc>
          <w:tcPr>
            <w:tcW w:w="1922" w:type="dxa"/>
            <w:tcBorders>
              <w:top w:val="nil"/>
              <w:left w:val="nil"/>
              <w:bottom w:val="single" w:sz="4" w:space="0" w:color="auto"/>
              <w:right w:val="single" w:sz="4" w:space="0" w:color="auto"/>
            </w:tcBorders>
            <w:shd w:val="clear" w:color="auto" w:fill="auto"/>
            <w:noWrap/>
            <w:vAlign w:val="bottom"/>
            <w:hideMark/>
          </w:tcPr>
          <w:p w14:paraId="758B12E4" w14:textId="77777777" w:rsidR="00B8298D" w:rsidRPr="000428AE" w:rsidRDefault="00B8298D" w:rsidP="00B8298D">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39" w:type="dxa"/>
            <w:tcBorders>
              <w:top w:val="nil"/>
              <w:left w:val="nil"/>
              <w:bottom w:val="single" w:sz="4" w:space="0" w:color="auto"/>
              <w:right w:val="single" w:sz="4" w:space="0" w:color="auto"/>
            </w:tcBorders>
            <w:shd w:val="clear" w:color="auto" w:fill="auto"/>
            <w:noWrap/>
            <w:vAlign w:val="bottom"/>
            <w:hideMark/>
          </w:tcPr>
          <w:p w14:paraId="73609D5A" w14:textId="77777777" w:rsidR="00B8298D" w:rsidRPr="000428AE" w:rsidRDefault="00B8298D" w:rsidP="00B8298D">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c>
          <w:tcPr>
            <w:tcW w:w="1761" w:type="dxa"/>
            <w:tcBorders>
              <w:top w:val="nil"/>
              <w:left w:val="nil"/>
              <w:bottom w:val="single" w:sz="4" w:space="0" w:color="auto"/>
              <w:right w:val="single" w:sz="4" w:space="0" w:color="auto"/>
            </w:tcBorders>
            <w:shd w:val="clear" w:color="auto" w:fill="auto"/>
            <w:noWrap/>
            <w:vAlign w:val="bottom"/>
            <w:hideMark/>
          </w:tcPr>
          <w:p w14:paraId="5C816E85" w14:textId="77777777" w:rsidR="00B8298D" w:rsidRPr="000428AE" w:rsidRDefault="00B8298D" w:rsidP="00B8298D">
            <w:pPr>
              <w:jc w:val="right"/>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0.000</w:t>
            </w:r>
          </w:p>
        </w:tc>
      </w:tr>
      <w:tr w:rsidR="00CD5801" w:rsidRPr="00D527CA" w14:paraId="1776AEE8" w14:textId="77777777" w:rsidTr="00874EA2">
        <w:trPr>
          <w:jc w:val="center"/>
        </w:trPr>
        <w:tc>
          <w:tcPr>
            <w:tcW w:w="3937" w:type="dxa"/>
            <w:gridSpan w:val="2"/>
            <w:tcBorders>
              <w:top w:val="single" w:sz="4" w:space="0" w:color="auto"/>
              <w:left w:val="single" w:sz="4" w:space="0" w:color="auto"/>
              <w:bottom w:val="single" w:sz="12" w:space="0" w:color="auto"/>
              <w:right w:val="single" w:sz="4" w:space="0" w:color="auto"/>
            </w:tcBorders>
            <w:shd w:val="clear" w:color="auto" w:fill="auto"/>
            <w:vAlign w:val="bottom"/>
            <w:hideMark/>
          </w:tcPr>
          <w:p w14:paraId="162D4E72" w14:textId="77777777" w:rsidR="00CD5801" w:rsidRPr="000428AE" w:rsidRDefault="00CD5801" w:rsidP="00CD5801">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 xml:space="preserve">Average Multi-Chemical Form Completion (7.5 chemicals) </w:t>
            </w:r>
          </w:p>
        </w:tc>
        <w:tc>
          <w:tcPr>
            <w:tcW w:w="1922" w:type="dxa"/>
            <w:tcBorders>
              <w:top w:val="single" w:sz="4" w:space="0" w:color="auto"/>
              <w:left w:val="nil"/>
              <w:bottom w:val="single" w:sz="12" w:space="0" w:color="auto"/>
              <w:right w:val="single" w:sz="4" w:space="0" w:color="auto"/>
            </w:tcBorders>
            <w:shd w:val="clear" w:color="auto" w:fill="auto"/>
            <w:noWrap/>
            <w:vAlign w:val="bottom"/>
            <w:hideMark/>
          </w:tcPr>
          <w:p w14:paraId="632733DE" w14:textId="5D91D9E4" w:rsidR="00CD5801" w:rsidRPr="000428AE" w:rsidRDefault="00CD5801" w:rsidP="00874EA2">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39" w:type="dxa"/>
            <w:tcBorders>
              <w:top w:val="single" w:sz="4" w:space="0" w:color="auto"/>
              <w:left w:val="nil"/>
              <w:bottom w:val="single" w:sz="12" w:space="0" w:color="auto"/>
              <w:right w:val="single" w:sz="4" w:space="0" w:color="auto"/>
            </w:tcBorders>
            <w:shd w:val="clear" w:color="auto" w:fill="auto"/>
            <w:noWrap/>
            <w:vAlign w:val="bottom"/>
            <w:hideMark/>
          </w:tcPr>
          <w:p w14:paraId="71FDBE49" w14:textId="3F60E49B" w:rsidR="00CD5801" w:rsidRPr="000428AE" w:rsidRDefault="00CD5801" w:rsidP="00874EA2">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c>
          <w:tcPr>
            <w:tcW w:w="1761" w:type="dxa"/>
            <w:tcBorders>
              <w:top w:val="single" w:sz="4" w:space="0" w:color="auto"/>
              <w:left w:val="nil"/>
              <w:bottom w:val="single" w:sz="12" w:space="0" w:color="auto"/>
              <w:right w:val="single" w:sz="4" w:space="0" w:color="auto"/>
            </w:tcBorders>
            <w:shd w:val="clear" w:color="auto" w:fill="auto"/>
            <w:noWrap/>
            <w:vAlign w:val="bottom"/>
            <w:hideMark/>
          </w:tcPr>
          <w:p w14:paraId="2E79F347" w14:textId="032EF3EA" w:rsidR="00CD5801" w:rsidRPr="000428AE" w:rsidRDefault="00CD5801" w:rsidP="00874EA2">
            <w:pPr>
              <w:jc w:val="center"/>
              <w:rPr>
                <w:rFonts w:ascii="Arial Narrow" w:eastAsia="Times New Roman" w:hAnsi="Arial Narrow" w:cs="Calibri"/>
                <w:color w:val="000000"/>
                <w:sz w:val="18"/>
                <w:szCs w:val="18"/>
              </w:rPr>
            </w:pPr>
            <w:r w:rsidRPr="002D0EB4">
              <w:rPr>
                <w:rFonts w:ascii="Arial Narrow" w:eastAsia="Times New Roman" w:hAnsi="Arial Narrow" w:cs="Calibri"/>
                <w:color w:val="000000"/>
                <w:sz w:val="18"/>
                <w:szCs w:val="18"/>
              </w:rPr>
              <w:t>N/A</w:t>
            </w:r>
          </w:p>
        </w:tc>
      </w:tr>
      <w:tr w:rsidR="00B8298D" w:rsidRPr="00D527CA" w14:paraId="12FB2C1E" w14:textId="77777777" w:rsidTr="00874EA2">
        <w:trPr>
          <w:jc w:val="center"/>
        </w:trPr>
        <w:tc>
          <w:tcPr>
            <w:tcW w:w="3937" w:type="dxa"/>
            <w:gridSpan w:val="2"/>
            <w:tcBorders>
              <w:top w:val="single" w:sz="12" w:space="0" w:color="auto"/>
              <w:left w:val="single" w:sz="4" w:space="0" w:color="auto"/>
              <w:bottom w:val="single" w:sz="8" w:space="0" w:color="auto"/>
              <w:right w:val="single" w:sz="4" w:space="0" w:color="auto"/>
            </w:tcBorders>
            <w:shd w:val="clear" w:color="auto" w:fill="auto"/>
            <w:vAlign w:val="bottom"/>
            <w:hideMark/>
          </w:tcPr>
          <w:p w14:paraId="3F20B207" w14:textId="77777777" w:rsidR="00B8298D" w:rsidRPr="000428AE" w:rsidRDefault="00B8298D" w:rsidP="00B8298D">
            <w:pP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Section </w:t>
            </w:r>
            <w:r w:rsidRPr="000428AE">
              <w:rPr>
                <w:rFonts w:ascii="Arial Narrow" w:eastAsia="Times New Roman" w:hAnsi="Arial Narrow" w:cs="Calibri"/>
                <w:b/>
                <w:bCs/>
                <w:color w:val="000000"/>
                <w:sz w:val="18"/>
                <w:szCs w:val="18"/>
              </w:rPr>
              <w:t>8(a) SGD Total</w:t>
            </w:r>
          </w:p>
        </w:tc>
        <w:tc>
          <w:tcPr>
            <w:tcW w:w="1922" w:type="dxa"/>
            <w:tcBorders>
              <w:top w:val="single" w:sz="12" w:space="0" w:color="auto"/>
              <w:left w:val="nil"/>
              <w:bottom w:val="single" w:sz="8" w:space="0" w:color="auto"/>
              <w:right w:val="single" w:sz="4" w:space="0" w:color="auto"/>
            </w:tcBorders>
            <w:shd w:val="clear" w:color="auto" w:fill="auto"/>
            <w:noWrap/>
            <w:vAlign w:val="bottom"/>
            <w:hideMark/>
          </w:tcPr>
          <w:p w14:paraId="645A95C6" w14:textId="77777777" w:rsidR="00B8298D" w:rsidRPr="000428AE" w:rsidRDefault="00B8298D" w:rsidP="00B8298D">
            <w:pPr>
              <w:jc w:val="right"/>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0.170</w:t>
            </w:r>
          </w:p>
        </w:tc>
        <w:tc>
          <w:tcPr>
            <w:tcW w:w="1739" w:type="dxa"/>
            <w:tcBorders>
              <w:top w:val="single" w:sz="12" w:space="0" w:color="auto"/>
              <w:left w:val="nil"/>
              <w:bottom w:val="single" w:sz="8" w:space="0" w:color="auto"/>
              <w:right w:val="single" w:sz="4" w:space="0" w:color="auto"/>
            </w:tcBorders>
            <w:shd w:val="clear" w:color="auto" w:fill="auto"/>
            <w:noWrap/>
            <w:vAlign w:val="bottom"/>
            <w:hideMark/>
          </w:tcPr>
          <w:p w14:paraId="0230C7F7" w14:textId="77777777" w:rsidR="00B8298D" w:rsidRPr="000428AE" w:rsidRDefault="00B8298D" w:rsidP="00B8298D">
            <w:pPr>
              <w:jc w:val="right"/>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0.170</w:t>
            </w:r>
          </w:p>
        </w:tc>
        <w:tc>
          <w:tcPr>
            <w:tcW w:w="1761" w:type="dxa"/>
            <w:tcBorders>
              <w:top w:val="single" w:sz="12" w:space="0" w:color="auto"/>
              <w:left w:val="nil"/>
              <w:bottom w:val="single" w:sz="8" w:space="0" w:color="auto"/>
              <w:right w:val="single" w:sz="4" w:space="0" w:color="auto"/>
            </w:tcBorders>
            <w:shd w:val="clear" w:color="auto" w:fill="auto"/>
            <w:noWrap/>
            <w:vAlign w:val="bottom"/>
            <w:hideMark/>
          </w:tcPr>
          <w:p w14:paraId="24740BF3" w14:textId="77777777" w:rsidR="00B8298D" w:rsidRPr="000428AE" w:rsidRDefault="00B8298D" w:rsidP="00B8298D">
            <w:pPr>
              <w:jc w:val="right"/>
              <w:rPr>
                <w:rFonts w:ascii="Arial Narrow" w:eastAsia="Times New Roman" w:hAnsi="Arial Narrow" w:cs="Calibri"/>
                <w:b/>
                <w:bCs/>
                <w:color w:val="000000"/>
                <w:sz w:val="18"/>
                <w:szCs w:val="18"/>
              </w:rPr>
            </w:pPr>
            <w:r w:rsidRPr="000428AE">
              <w:rPr>
                <w:rFonts w:ascii="Arial Narrow" w:eastAsia="Times New Roman" w:hAnsi="Arial Narrow" w:cs="Calibri"/>
                <w:b/>
                <w:bCs/>
                <w:color w:val="000000"/>
                <w:sz w:val="18"/>
                <w:szCs w:val="18"/>
              </w:rPr>
              <w:t>0.170</w:t>
            </w:r>
          </w:p>
        </w:tc>
      </w:tr>
      <w:tr w:rsidR="00536DA0" w:rsidRPr="000428AE" w14:paraId="12B3E476" w14:textId="77777777" w:rsidTr="00874EA2">
        <w:trPr>
          <w:jc w:val="center"/>
        </w:trPr>
        <w:tc>
          <w:tcPr>
            <w:tcW w:w="9359" w:type="dxa"/>
            <w:gridSpan w:val="5"/>
            <w:tcBorders>
              <w:top w:val="single" w:sz="12" w:space="0" w:color="auto"/>
              <w:left w:val="single" w:sz="4" w:space="0" w:color="auto"/>
              <w:bottom w:val="nil"/>
              <w:right w:val="single" w:sz="4" w:space="0" w:color="000000" w:themeColor="text1"/>
            </w:tcBorders>
            <w:shd w:val="clear" w:color="auto" w:fill="auto"/>
            <w:vAlign w:val="center"/>
            <w:hideMark/>
          </w:tcPr>
          <w:p w14:paraId="2C4FF698" w14:textId="77777777" w:rsidR="00536DA0" w:rsidRPr="000428AE" w:rsidRDefault="00536DA0" w:rsidP="000876E8">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General Notes:</w:t>
            </w:r>
          </w:p>
        </w:tc>
      </w:tr>
      <w:tr w:rsidR="00536DA0" w:rsidRPr="000428AE" w14:paraId="14020B78" w14:textId="77777777" w:rsidTr="00874EA2">
        <w:trPr>
          <w:jc w:val="center"/>
        </w:trPr>
        <w:tc>
          <w:tcPr>
            <w:tcW w:w="9359" w:type="dxa"/>
            <w:gridSpan w:val="5"/>
            <w:tcBorders>
              <w:top w:val="nil"/>
              <w:left w:val="single" w:sz="4" w:space="0" w:color="auto"/>
              <w:bottom w:val="nil"/>
              <w:right w:val="single" w:sz="4" w:space="0" w:color="000000" w:themeColor="text1"/>
            </w:tcBorders>
            <w:shd w:val="clear" w:color="auto" w:fill="auto"/>
            <w:vAlign w:val="center"/>
            <w:hideMark/>
          </w:tcPr>
          <w:p w14:paraId="1A504209" w14:textId="54DDACF3" w:rsidR="00536DA0" w:rsidRPr="000428AE" w:rsidRDefault="005427BE" w:rsidP="000876E8">
            <w:pPr>
              <w:pStyle w:val="ListParagraph"/>
              <w:numPr>
                <w:ilvl w:val="0"/>
                <w:numId w:val="66"/>
              </w:numPr>
              <w:ind w:left="144" w:hanging="144"/>
              <w:rPr>
                <w:rFonts w:ascii="Arial Narrow" w:eastAsia="Times New Roman" w:hAnsi="Arial Narrow" w:cs="Calibri"/>
                <w:color w:val="000000"/>
                <w:sz w:val="18"/>
                <w:szCs w:val="18"/>
              </w:rPr>
            </w:pPr>
            <w:r w:rsidRPr="00794249">
              <w:rPr>
                <w:rFonts w:ascii="Arial Narrow" w:hAnsi="Arial Narrow" w:cs="Calibri"/>
                <w:color w:val="000000"/>
                <w:sz w:val="18"/>
                <w:szCs w:val="18"/>
              </w:rPr>
              <w:t xml:space="preserve">For details on development and assumptions associated with items in this table, see source materials </w:t>
            </w:r>
            <w:r>
              <w:rPr>
                <w:rFonts w:ascii="Arial Narrow" w:hAnsi="Arial Narrow" w:cs="Calibri"/>
                <w:color w:val="000000"/>
                <w:sz w:val="18"/>
                <w:szCs w:val="18"/>
              </w:rPr>
              <w:t>(</w:t>
            </w:r>
            <w:r>
              <w:rPr>
                <w:rFonts w:ascii="Arial Narrow" w:eastAsia="Times New Roman" w:hAnsi="Arial Narrow" w:cs="Calibri"/>
                <w:color w:val="000000"/>
                <w:sz w:val="18"/>
                <w:szCs w:val="18"/>
              </w:rPr>
              <w:t xml:space="preserve">EPA, </w:t>
            </w:r>
            <w:r w:rsidR="00FF0FB5">
              <w:rPr>
                <w:rFonts w:ascii="Arial Narrow" w:eastAsia="Times New Roman" w:hAnsi="Arial Narrow" w:cs="Calibri"/>
                <w:color w:val="000000"/>
                <w:sz w:val="18"/>
                <w:szCs w:val="18"/>
              </w:rPr>
              <w:t>2019b</w:t>
            </w:r>
            <w:r>
              <w:rPr>
                <w:rFonts w:ascii="Arial Narrow" w:eastAsia="Times New Roman" w:hAnsi="Arial Narrow" w:cs="Calibri"/>
                <w:color w:val="000000"/>
                <w:sz w:val="18"/>
                <w:szCs w:val="18"/>
              </w:rPr>
              <w:t>).</w:t>
            </w:r>
          </w:p>
        </w:tc>
      </w:tr>
      <w:tr w:rsidR="00565011" w:rsidRPr="000428AE" w14:paraId="2392D12C" w14:textId="77777777" w:rsidTr="00874EA2">
        <w:trPr>
          <w:jc w:val="center"/>
        </w:trPr>
        <w:tc>
          <w:tcPr>
            <w:tcW w:w="9359" w:type="dxa"/>
            <w:gridSpan w:val="5"/>
            <w:tcBorders>
              <w:top w:val="nil"/>
              <w:left w:val="single" w:sz="4" w:space="0" w:color="auto"/>
              <w:bottom w:val="nil"/>
              <w:right w:val="single" w:sz="4" w:space="0" w:color="000000" w:themeColor="text1"/>
            </w:tcBorders>
            <w:shd w:val="clear" w:color="auto" w:fill="auto"/>
            <w:vAlign w:val="center"/>
          </w:tcPr>
          <w:p w14:paraId="0010E7A2" w14:textId="1A61B2FD" w:rsidR="00565011" w:rsidRPr="00874EA2" w:rsidDel="005427BE" w:rsidRDefault="00565011" w:rsidP="00874EA2">
            <w:pPr>
              <w:pStyle w:val="ListParagraph"/>
              <w:numPr>
                <w:ilvl w:val="0"/>
                <w:numId w:val="65"/>
              </w:numPr>
              <w:ind w:left="144" w:hanging="144"/>
              <w:rPr>
                <w:rFonts w:ascii="Arial Narrow" w:eastAsia="Times New Roman" w:hAnsi="Arial Narrow" w:cs="Calibri"/>
                <w:color w:val="000000"/>
                <w:sz w:val="18"/>
                <w:szCs w:val="18"/>
              </w:rPr>
            </w:pPr>
            <w:r w:rsidRPr="00565011">
              <w:rPr>
                <w:rFonts w:ascii="Arial Narrow" w:eastAsia="Times New Roman" w:hAnsi="Arial Narrow" w:cs="Calibri"/>
                <w:color w:val="000000"/>
                <w:sz w:val="18"/>
                <w:szCs w:val="18"/>
              </w:rPr>
              <w:t xml:space="preserve">Estimates of incremental until burden </w:t>
            </w:r>
            <w:r w:rsidR="005A56D0" w:rsidRPr="003F7FA8">
              <w:rPr>
                <w:rFonts w:ascii="Arial Narrow" w:eastAsia="Times New Roman" w:hAnsi="Arial Narrow" w:cs="Calibri"/>
                <w:color w:val="000000"/>
                <w:sz w:val="18"/>
                <w:szCs w:val="18"/>
              </w:rPr>
              <w:t xml:space="preserve">in </w:t>
            </w:r>
            <w:r w:rsidR="005A56D0" w:rsidRPr="003F7FA8">
              <w:rPr>
                <w:rFonts w:ascii="Arial Narrow" w:eastAsia="Times New Roman" w:hAnsi="Arial Narrow" w:cs="Calibri"/>
                <w:color w:val="000000"/>
                <w:sz w:val="18"/>
                <w:szCs w:val="18"/>
              </w:rPr>
              <w:fldChar w:fldCharType="begin"/>
            </w:r>
            <w:r w:rsidR="005A56D0" w:rsidRPr="006077FE">
              <w:rPr>
                <w:rFonts w:ascii="Arial Narrow" w:eastAsia="Times New Roman" w:hAnsi="Arial Narrow" w:cs="Calibri"/>
                <w:color w:val="000000"/>
                <w:sz w:val="18"/>
                <w:szCs w:val="18"/>
              </w:rPr>
              <w:instrText xml:space="preserve"> REF _Ref526352636 \h  \* MERGEFORMAT </w:instrText>
            </w:r>
            <w:r w:rsidR="005A56D0" w:rsidRPr="003F7FA8">
              <w:rPr>
                <w:rFonts w:ascii="Arial Narrow" w:eastAsia="Times New Roman" w:hAnsi="Arial Narrow" w:cs="Calibri"/>
                <w:color w:val="000000"/>
                <w:sz w:val="18"/>
                <w:szCs w:val="18"/>
              </w:rPr>
            </w:r>
            <w:r w:rsidR="005A56D0"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4</w:t>
            </w:r>
            <w:r w:rsidR="005A56D0" w:rsidRPr="003F7FA8">
              <w:rPr>
                <w:rFonts w:ascii="Arial Narrow" w:eastAsia="Times New Roman" w:hAnsi="Arial Narrow" w:cs="Calibri"/>
                <w:color w:val="000000"/>
                <w:sz w:val="18"/>
                <w:szCs w:val="18"/>
              </w:rPr>
              <w:fldChar w:fldCharType="end"/>
            </w:r>
            <w:r w:rsidR="005A56D0" w:rsidRPr="003F7FA8">
              <w:rPr>
                <w:rFonts w:ascii="Arial Narrow" w:eastAsia="Times New Roman" w:hAnsi="Arial Narrow" w:cs="Calibri"/>
                <w:color w:val="000000"/>
                <w:sz w:val="18"/>
                <w:szCs w:val="18"/>
              </w:rPr>
              <w:t xml:space="preserve"> through </w:t>
            </w:r>
            <w:r w:rsidR="005A56D0" w:rsidRPr="003F7FA8">
              <w:rPr>
                <w:rFonts w:ascii="Arial Narrow" w:eastAsia="Times New Roman" w:hAnsi="Arial Narrow" w:cs="Calibri"/>
                <w:color w:val="000000"/>
                <w:sz w:val="18"/>
                <w:szCs w:val="18"/>
              </w:rPr>
              <w:fldChar w:fldCharType="begin"/>
            </w:r>
            <w:r w:rsidR="005A56D0" w:rsidRPr="006077FE">
              <w:rPr>
                <w:rFonts w:ascii="Arial Narrow" w:eastAsia="Times New Roman" w:hAnsi="Arial Narrow" w:cs="Calibri"/>
                <w:color w:val="000000"/>
                <w:sz w:val="18"/>
                <w:szCs w:val="18"/>
              </w:rPr>
              <w:instrText xml:space="preserve"> REF _Ref526353458 \h  \* MERGEFORMAT </w:instrText>
            </w:r>
            <w:r w:rsidR="005A56D0" w:rsidRPr="003F7FA8">
              <w:rPr>
                <w:rFonts w:ascii="Arial Narrow" w:eastAsia="Times New Roman" w:hAnsi="Arial Narrow" w:cs="Calibri"/>
                <w:color w:val="000000"/>
                <w:sz w:val="18"/>
                <w:szCs w:val="18"/>
              </w:rPr>
            </w:r>
            <w:r w:rsidR="005A56D0"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6</w:t>
            </w:r>
            <w:r w:rsidR="005A56D0" w:rsidRPr="003F7FA8">
              <w:rPr>
                <w:rFonts w:ascii="Arial Narrow" w:eastAsia="Times New Roman" w:hAnsi="Arial Narrow" w:cs="Calibri"/>
                <w:color w:val="000000"/>
                <w:sz w:val="18"/>
                <w:szCs w:val="18"/>
              </w:rPr>
              <w:fldChar w:fldCharType="end"/>
            </w:r>
            <w:r w:rsidR="005A56D0" w:rsidRPr="003F7FA8">
              <w:rPr>
                <w:rFonts w:ascii="Arial Narrow" w:eastAsia="Times New Roman" w:hAnsi="Arial Narrow" w:cs="Calibri"/>
                <w:color w:val="000000"/>
                <w:sz w:val="18"/>
                <w:szCs w:val="18"/>
              </w:rPr>
              <w:t xml:space="preserve"> </w:t>
            </w:r>
            <w:r w:rsidR="005A56D0" w:rsidRPr="00565011">
              <w:rPr>
                <w:rFonts w:ascii="Arial Narrow" w:eastAsia="Times New Roman" w:hAnsi="Arial Narrow" w:cs="Calibri"/>
                <w:color w:val="000000"/>
                <w:sz w:val="18"/>
                <w:szCs w:val="18"/>
              </w:rPr>
              <w:t xml:space="preserve">and </w:t>
            </w:r>
            <w:r w:rsidR="005A56D0" w:rsidRPr="003F7FA8">
              <w:rPr>
                <w:rFonts w:ascii="Arial Narrow" w:eastAsia="Times New Roman" w:hAnsi="Arial Narrow" w:cs="Calibri"/>
                <w:color w:val="000000"/>
                <w:sz w:val="18"/>
                <w:szCs w:val="18"/>
              </w:rPr>
              <w:fldChar w:fldCharType="begin"/>
            </w:r>
            <w:r w:rsidR="005A56D0" w:rsidRPr="006077FE">
              <w:rPr>
                <w:rFonts w:ascii="Arial Narrow" w:eastAsia="Times New Roman" w:hAnsi="Arial Narrow" w:cs="Calibri"/>
                <w:color w:val="000000"/>
                <w:sz w:val="18"/>
                <w:szCs w:val="18"/>
              </w:rPr>
              <w:instrText xml:space="preserve"> REF _Ref526353586 \h  \* MERGEFORMAT </w:instrText>
            </w:r>
            <w:r w:rsidR="005A56D0" w:rsidRPr="003F7FA8">
              <w:rPr>
                <w:rFonts w:ascii="Arial Narrow" w:eastAsia="Times New Roman" w:hAnsi="Arial Narrow" w:cs="Calibri"/>
                <w:color w:val="000000"/>
                <w:sz w:val="18"/>
                <w:szCs w:val="18"/>
              </w:rPr>
            </w:r>
            <w:r w:rsidR="005A56D0"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8</w:t>
            </w:r>
            <w:r w:rsidR="005A56D0" w:rsidRPr="003F7FA8">
              <w:rPr>
                <w:rFonts w:ascii="Arial Narrow" w:eastAsia="Times New Roman" w:hAnsi="Arial Narrow" w:cs="Calibri"/>
                <w:color w:val="000000"/>
                <w:sz w:val="18"/>
                <w:szCs w:val="18"/>
              </w:rPr>
              <w:fldChar w:fldCharType="end"/>
            </w:r>
            <w:r w:rsidR="005A56D0">
              <w:rPr>
                <w:rFonts w:ascii="Arial Narrow" w:eastAsia="Times New Roman" w:hAnsi="Arial Narrow" w:cs="Calibri"/>
                <w:color w:val="000000"/>
                <w:sz w:val="18"/>
                <w:szCs w:val="18"/>
              </w:rPr>
              <w:t xml:space="preserve"> </w:t>
            </w:r>
            <w:r w:rsidRPr="00565011">
              <w:rPr>
                <w:rFonts w:ascii="Arial Narrow" w:eastAsia="Times New Roman" w:hAnsi="Arial Narrow" w:cs="Calibri"/>
                <w:color w:val="000000"/>
                <w:sz w:val="18"/>
                <w:szCs w:val="18"/>
              </w:rPr>
              <w:t>differ slightly from results that would be obtained using information in the two EAs (</w:t>
            </w:r>
            <w:r w:rsidR="00FF0FB5">
              <w:rPr>
                <w:rFonts w:ascii="Arial Narrow" w:eastAsia="Times New Roman" w:hAnsi="Arial Narrow" w:cs="Calibri"/>
                <w:color w:val="000000"/>
                <w:sz w:val="18"/>
                <w:szCs w:val="18"/>
              </w:rPr>
              <w:t>EPA, 2019a</w:t>
            </w:r>
            <w:r w:rsidRPr="00565011">
              <w:rPr>
                <w:rFonts w:ascii="Arial Narrow" w:eastAsia="Times New Roman" w:hAnsi="Arial Narrow" w:cs="Calibri"/>
                <w:color w:val="000000"/>
                <w:sz w:val="18"/>
                <w:szCs w:val="18"/>
              </w:rPr>
              <w:t xml:space="preserve">, and EPA, </w:t>
            </w:r>
            <w:r w:rsidR="00FF0FB5">
              <w:rPr>
                <w:rFonts w:ascii="Arial Narrow" w:eastAsia="Times New Roman" w:hAnsi="Arial Narrow" w:cs="Calibri"/>
                <w:color w:val="000000"/>
                <w:sz w:val="18"/>
                <w:szCs w:val="18"/>
              </w:rPr>
              <w:t>2019b</w:t>
            </w:r>
            <w:r w:rsidRPr="00565011">
              <w:rPr>
                <w:rFonts w:ascii="Arial Narrow" w:eastAsia="Times New Roman" w:hAnsi="Arial Narrow" w:cs="Calibri"/>
                <w:color w:val="000000"/>
                <w:sz w:val="18"/>
                <w:szCs w:val="18"/>
              </w:rPr>
              <w:t>) due to rounding.</w:t>
            </w:r>
          </w:p>
        </w:tc>
      </w:tr>
      <w:tr w:rsidR="00536DA0" w:rsidRPr="000428AE" w14:paraId="713BEAF3" w14:textId="77777777" w:rsidTr="00874EA2">
        <w:trPr>
          <w:jc w:val="center"/>
        </w:trPr>
        <w:tc>
          <w:tcPr>
            <w:tcW w:w="9359" w:type="dxa"/>
            <w:gridSpan w:val="5"/>
            <w:tcBorders>
              <w:top w:val="nil"/>
              <w:left w:val="single" w:sz="4" w:space="0" w:color="auto"/>
              <w:bottom w:val="nil"/>
              <w:right w:val="single" w:sz="4" w:space="0" w:color="000000" w:themeColor="text1"/>
            </w:tcBorders>
            <w:shd w:val="clear" w:color="auto" w:fill="auto"/>
            <w:vAlign w:val="center"/>
            <w:hideMark/>
          </w:tcPr>
          <w:p w14:paraId="2D7EB6EA" w14:textId="6C029A74" w:rsidR="00536DA0" w:rsidRPr="000428AE" w:rsidRDefault="00536DA0" w:rsidP="000876E8">
            <w:pPr>
              <w:pStyle w:val="ListParagraph"/>
              <w:numPr>
                <w:ilvl w:val="0"/>
                <w:numId w:val="66"/>
              </w:numPr>
              <w:ind w:left="144" w:hanging="144"/>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There may be entities that incur burden from rule familiarization (if new to CDR) and compliance determination but that are not required to send a CDR submission. For purposes of this analysis, such effects are neglected per the convention used in EPA (</w:t>
            </w:r>
            <w:r w:rsidR="00FF0FB5">
              <w:rPr>
                <w:rFonts w:ascii="Arial Narrow" w:eastAsia="Times New Roman" w:hAnsi="Arial Narrow" w:cs="Calibri"/>
                <w:color w:val="000000"/>
                <w:sz w:val="18"/>
                <w:szCs w:val="18"/>
              </w:rPr>
              <w:t>2018b</w:t>
            </w:r>
            <w:r w:rsidRPr="000428AE">
              <w:rPr>
                <w:rFonts w:ascii="Arial Narrow" w:eastAsia="Times New Roman" w:hAnsi="Arial Narrow" w:cs="Calibri"/>
                <w:color w:val="000000"/>
                <w:sz w:val="18"/>
                <w:szCs w:val="18"/>
              </w:rPr>
              <w:t>).</w:t>
            </w:r>
          </w:p>
        </w:tc>
      </w:tr>
      <w:tr w:rsidR="00536DA0" w:rsidRPr="000428AE" w14:paraId="07A7A9F5" w14:textId="77777777" w:rsidTr="00874EA2">
        <w:trPr>
          <w:jc w:val="center"/>
        </w:trPr>
        <w:tc>
          <w:tcPr>
            <w:tcW w:w="9359" w:type="dxa"/>
            <w:gridSpan w:val="5"/>
            <w:tcBorders>
              <w:top w:val="nil"/>
              <w:left w:val="single" w:sz="4" w:space="0" w:color="auto"/>
              <w:bottom w:val="nil"/>
              <w:right w:val="single" w:sz="4" w:space="0" w:color="000000" w:themeColor="text1"/>
            </w:tcBorders>
            <w:shd w:val="clear" w:color="auto" w:fill="auto"/>
            <w:vAlign w:val="center"/>
            <w:hideMark/>
          </w:tcPr>
          <w:p w14:paraId="22B1521B" w14:textId="3AEC45BC" w:rsidR="00536DA0" w:rsidRPr="000428AE" w:rsidRDefault="00536DA0" w:rsidP="000876E8">
            <w:pPr>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Footnote:</w:t>
            </w:r>
          </w:p>
        </w:tc>
      </w:tr>
      <w:tr w:rsidR="00A12FD2" w:rsidRPr="000428AE" w14:paraId="419FDFAC" w14:textId="77777777" w:rsidTr="00874EA2">
        <w:trPr>
          <w:jc w:val="center"/>
        </w:trPr>
        <w:tc>
          <w:tcPr>
            <w:tcW w:w="274" w:type="dxa"/>
            <w:tcBorders>
              <w:top w:val="nil"/>
              <w:left w:val="single" w:sz="4" w:space="0" w:color="auto"/>
              <w:bottom w:val="nil"/>
              <w:right w:val="nil"/>
            </w:tcBorders>
            <w:shd w:val="clear" w:color="auto" w:fill="auto"/>
          </w:tcPr>
          <w:p w14:paraId="67B3DF67" w14:textId="2D54A593" w:rsidR="00A12FD2" w:rsidRDefault="00A12FD2" w:rsidP="000876E8">
            <w:pPr>
              <w:rPr>
                <w:rFonts w:ascii="Arial Narrow" w:eastAsia="Times New Roman" w:hAnsi="Arial Narrow" w:cs="Calibri"/>
                <w:color w:val="000000" w:themeColor="text1"/>
                <w:sz w:val="18"/>
                <w:szCs w:val="18"/>
                <w:vertAlign w:val="superscript"/>
              </w:rPr>
            </w:pPr>
            <w:r>
              <w:rPr>
                <w:rFonts w:ascii="Arial Narrow" w:eastAsia="Times New Roman" w:hAnsi="Arial Narrow" w:cs="Calibri"/>
                <w:color w:val="000000" w:themeColor="text1"/>
                <w:sz w:val="18"/>
                <w:szCs w:val="18"/>
                <w:vertAlign w:val="superscript"/>
              </w:rPr>
              <w:t>1</w:t>
            </w:r>
          </w:p>
        </w:tc>
        <w:tc>
          <w:tcPr>
            <w:tcW w:w="9085" w:type="dxa"/>
            <w:gridSpan w:val="4"/>
            <w:tcBorders>
              <w:top w:val="nil"/>
              <w:left w:val="nil"/>
              <w:bottom w:val="nil"/>
              <w:right w:val="single" w:sz="4" w:space="0" w:color="000000" w:themeColor="text1"/>
            </w:tcBorders>
            <w:shd w:val="clear" w:color="auto" w:fill="auto"/>
          </w:tcPr>
          <w:p w14:paraId="7A8E56AB" w14:textId="04149B19" w:rsidR="00A12FD2" w:rsidRPr="000428AE" w:rsidRDefault="00A12FD2" w:rsidP="000876E8">
            <w:pPr>
              <w:ind w:left="-103"/>
              <w:rPr>
                <w:rFonts w:ascii="Arial Narrow" w:eastAsia="Times New Roman" w:hAnsi="Arial Narrow" w:cs="Calibri"/>
                <w:color w:val="000000"/>
                <w:sz w:val="18"/>
                <w:szCs w:val="18"/>
              </w:rPr>
            </w:pPr>
            <w:r>
              <w:rPr>
                <w:rFonts w:ascii="Arial Narrow" w:eastAsia="Times New Roman" w:hAnsi="Arial Narrow" w:cs="Calibri"/>
                <w:color w:val="000000"/>
                <w:sz w:val="18"/>
                <w:szCs w:val="18"/>
              </w:rPr>
              <w:t>As in the analysis in Table</w:t>
            </w:r>
            <w:r w:rsidR="005A56D0">
              <w:rPr>
                <w:rFonts w:ascii="Arial Narrow" w:eastAsia="Times New Roman" w:hAnsi="Arial Narrow" w:cs="Calibri"/>
                <w:color w:val="000000"/>
                <w:sz w:val="18"/>
                <w:szCs w:val="18"/>
              </w:rPr>
              <w:t xml:space="preserve"> 5-17</w:t>
            </w:r>
            <w:r>
              <w:rPr>
                <w:rFonts w:ascii="Arial Narrow" w:eastAsia="Times New Roman" w:hAnsi="Arial Narrow" w:cs="Calibri"/>
                <w:color w:val="000000"/>
                <w:sz w:val="18"/>
                <w:szCs w:val="18"/>
              </w:rPr>
              <w:t xml:space="preserve"> of EPA (</w:t>
            </w:r>
            <w:r w:rsidR="00FF0FB5">
              <w:rPr>
                <w:rFonts w:ascii="Arial Narrow" w:eastAsia="Times New Roman" w:hAnsi="Arial Narrow" w:cs="Calibri"/>
                <w:color w:val="000000"/>
                <w:sz w:val="18"/>
                <w:szCs w:val="18"/>
              </w:rPr>
              <w:t>2019b</w:t>
            </w:r>
            <w:r>
              <w:rPr>
                <w:rFonts w:ascii="Arial Narrow" w:eastAsia="Times New Roman" w:hAnsi="Arial Narrow" w:cs="Calibri"/>
                <w:color w:val="000000"/>
                <w:sz w:val="18"/>
                <w:szCs w:val="18"/>
              </w:rPr>
              <w:t>), overall unit burden is based on 14.82% new reporting sites. The exception is government entities, which are assumed to have 100% experienced sites.</w:t>
            </w:r>
          </w:p>
        </w:tc>
      </w:tr>
      <w:tr w:rsidR="00536DA0" w:rsidRPr="000428AE" w14:paraId="28FF03B8" w14:textId="77777777" w:rsidTr="00874EA2">
        <w:trPr>
          <w:jc w:val="center"/>
        </w:trPr>
        <w:tc>
          <w:tcPr>
            <w:tcW w:w="274" w:type="dxa"/>
            <w:tcBorders>
              <w:top w:val="nil"/>
              <w:left w:val="single" w:sz="4" w:space="0" w:color="auto"/>
              <w:bottom w:val="nil"/>
              <w:right w:val="nil"/>
            </w:tcBorders>
            <w:shd w:val="clear" w:color="auto" w:fill="auto"/>
            <w:hideMark/>
          </w:tcPr>
          <w:p w14:paraId="37E68F2E" w14:textId="153BFEDD" w:rsidR="00536DA0" w:rsidRPr="000428AE" w:rsidRDefault="00A12FD2" w:rsidP="000876E8">
            <w:pPr>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vertAlign w:val="superscript"/>
              </w:rPr>
              <w:t>2</w:t>
            </w:r>
          </w:p>
        </w:tc>
        <w:tc>
          <w:tcPr>
            <w:tcW w:w="9085" w:type="dxa"/>
            <w:gridSpan w:val="4"/>
            <w:tcBorders>
              <w:top w:val="nil"/>
              <w:left w:val="nil"/>
              <w:bottom w:val="nil"/>
              <w:right w:val="single" w:sz="4" w:space="0" w:color="000000" w:themeColor="text1"/>
            </w:tcBorders>
            <w:shd w:val="clear" w:color="auto" w:fill="auto"/>
            <w:hideMark/>
          </w:tcPr>
          <w:p w14:paraId="230F9CCC" w14:textId="7E01B3B7" w:rsidR="00536DA0" w:rsidRPr="000428AE" w:rsidRDefault="00536DA0" w:rsidP="000876E8">
            <w:pPr>
              <w:ind w:left="-103"/>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 xml:space="preserve">The estimate for </w:t>
            </w:r>
            <w:r>
              <w:rPr>
                <w:rFonts w:ascii="Arial Narrow" w:eastAsia="Times New Roman" w:hAnsi="Arial Narrow" w:cs="Calibri"/>
                <w:color w:val="000000"/>
                <w:sz w:val="18"/>
                <w:szCs w:val="18"/>
              </w:rPr>
              <w:t xml:space="preserve">industry </w:t>
            </w:r>
            <w:r w:rsidRPr="000428AE">
              <w:rPr>
                <w:rFonts w:ascii="Arial Narrow" w:eastAsia="Times New Roman" w:hAnsi="Arial Narrow" w:cs="Calibri"/>
                <w:color w:val="000000"/>
                <w:sz w:val="18"/>
                <w:szCs w:val="18"/>
              </w:rPr>
              <w:t>new reporter incremental Rule Familiarization burden consists of 0.505 hours of Managerial labor and 1.225 hours of Technical labor</w:t>
            </w:r>
            <w:r>
              <w:rPr>
                <w:rFonts w:ascii="Arial Narrow" w:eastAsia="Times New Roman" w:hAnsi="Arial Narrow" w:cs="Calibri"/>
                <w:color w:val="000000"/>
                <w:sz w:val="18"/>
                <w:szCs w:val="18"/>
              </w:rPr>
              <w:t xml:space="preserve"> (see EPA (201</w:t>
            </w:r>
            <w:r w:rsidR="00FF0FB5">
              <w:rPr>
                <w:rFonts w:ascii="Arial Narrow" w:eastAsia="Times New Roman" w:hAnsi="Arial Narrow" w:cs="Calibri"/>
                <w:color w:val="000000"/>
                <w:sz w:val="18"/>
                <w:szCs w:val="18"/>
              </w:rPr>
              <w:t>9b</w:t>
            </w:r>
            <w:r>
              <w:rPr>
                <w:rFonts w:ascii="Arial Narrow" w:eastAsia="Times New Roman" w:hAnsi="Arial Narrow" w:cs="Calibri"/>
                <w:color w:val="000000"/>
                <w:sz w:val="18"/>
                <w:szCs w:val="18"/>
              </w:rPr>
              <w:t>) for justification)</w:t>
            </w:r>
            <w:r w:rsidRPr="000428AE">
              <w:rPr>
                <w:rFonts w:ascii="Arial Narrow" w:eastAsia="Times New Roman" w:hAnsi="Arial Narrow" w:cs="Calibri"/>
                <w:color w:val="000000"/>
                <w:sz w:val="18"/>
                <w:szCs w:val="18"/>
              </w:rPr>
              <w:t xml:space="preserve">. </w:t>
            </w:r>
          </w:p>
        </w:tc>
      </w:tr>
      <w:tr w:rsidR="00536DA0" w:rsidRPr="000428AE" w14:paraId="14AAF49A" w14:textId="77777777" w:rsidTr="00874EA2">
        <w:trPr>
          <w:jc w:val="center"/>
        </w:trPr>
        <w:tc>
          <w:tcPr>
            <w:tcW w:w="274" w:type="dxa"/>
            <w:tcBorders>
              <w:top w:val="nil"/>
              <w:left w:val="single" w:sz="4" w:space="0" w:color="auto"/>
              <w:bottom w:val="nil"/>
              <w:right w:val="nil"/>
            </w:tcBorders>
            <w:shd w:val="clear" w:color="auto" w:fill="auto"/>
          </w:tcPr>
          <w:p w14:paraId="5A3E79DE" w14:textId="225866B9" w:rsidR="00536DA0" w:rsidRDefault="005427BE" w:rsidP="000876E8">
            <w:pPr>
              <w:rPr>
                <w:rFonts w:ascii="Arial Narrow" w:eastAsia="Times New Roman" w:hAnsi="Arial Narrow" w:cs="Calibri"/>
                <w:color w:val="000000" w:themeColor="text1"/>
                <w:sz w:val="18"/>
                <w:szCs w:val="18"/>
                <w:vertAlign w:val="superscript"/>
              </w:rPr>
            </w:pPr>
            <w:r>
              <w:rPr>
                <w:rFonts w:ascii="Arial Narrow" w:eastAsia="Times New Roman" w:hAnsi="Arial Narrow" w:cs="Calibri"/>
                <w:color w:val="000000" w:themeColor="text1"/>
                <w:sz w:val="18"/>
                <w:szCs w:val="18"/>
                <w:vertAlign w:val="superscript"/>
              </w:rPr>
              <w:t>3</w:t>
            </w:r>
          </w:p>
        </w:tc>
        <w:tc>
          <w:tcPr>
            <w:tcW w:w="9085" w:type="dxa"/>
            <w:gridSpan w:val="4"/>
            <w:tcBorders>
              <w:top w:val="nil"/>
              <w:left w:val="nil"/>
              <w:bottom w:val="nil"/>
              <w:right w:val="single" w:sz="4" w:space="0" w:color="000000" w:themeColor="text1"/>
            </w:tcBorders>
            <w:shd w:val="clear" w:color="auto" w:fill="auto"/>
          </w:tcPr>
          <w:p w14:paraId="29D61330" w14:textId="77777777" w:rsidR="00536DA0" w:rsidRPr="000428AE" w:rsidRDefault="00536DA0" w:rsidP="000876E8">
            <w:pPr>
              <w:ind w:left="-103"/>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 xml:space="preserve">Compliance Determination for </w:t>
            </w:r>
            <w:r>
              <w:rPr>
                <w:rFonts w:ascii="Arial Narrow" w:eastAsia="Times New Roman" w:hAnsi="Arial Narrow" w:cs="Calibri"/>
                <w:color w:val="000000"/>
                <w:sz w:val="18"/>
                <w:szCs w:val="18"/>
              </w:rPr>
              <w:t xml:space="preserve">industry </w:t>
            </w:r>
            <w:r w:rsidRPr="000428AE">
              <w:rPr>
                <w:rFonts w:ascii="Arial Narrow" w:eastAsia="Times New Roman" w:hAnsi="Arial Narrow" w:cs="Calibri"/>
                <w:color w:val="000000"/>
                <w:sz w:val="18"/>
                <w:szCs w:val="18"/>
              </w:rPr>
              <w:t>new reporters is estimated at the same levels as for experienced reporters.</w:t>
            </w:r>
          </w:p>
        </w:tc>
      </w:tr>
      <w:tr w:rsidR="00536DA0" w:rsidRPr="000428AE" w14:paraId="358E2546" w14:textId="77777777" w:rsidTr="00874EA2">
        <w:trPr>
          <w:jc w:val="center"/>
        </w:trPr>
        <w:tc>
          <w:tcPr>
            <w:tcW w:w="274" w:type="dxa"/>
            <w:tcBorders>
              <w:top w:val="nil"/>
              <w:left w:val="single" w:sz="4" w:space="0" w:color="auto"/>
              <w:bottom w:val="nil"/>
              <w:right w:val="nil"/>
            </w:tcBorders>
            <w:shd w:val="clear" w:color="auto" w:fill="auto"/>
          </w:tcPr>
          <w:p w14:paraId="7D767B74" w14:textId="346988C5" w:rsidR="00536DA0" w:rsidRDefault="005427BE" w:rsidP="000876E8">
            <w:pPr>
              <w:rPr>
                <w:rFonts w:ascii="Arial Narrow" w:eastAsia="Times New Roman" w:hAnsi="Arial Narrow" w:cs="Calibri"/>
                <w:color w:val="000000" w:themeColor="text1"/>
                <w:sz w:val="18"/>
                <w:szCs w:val="18"/>
                <w:vertAlign w:val="superscript"/>
              </w:rPr>
            </w:pPr>
            <w:r>
              <w:rPr>
                <w:rFonts w:ascii="Arial Narrow" w:eastAsia="Times New Roman" w:hAnsi="Arial Narrow" w:cs="Calibri"/>
                <w:color w:val="000000" w:themeColor="text1"/>
                <w:sz w:val="18"/>
                <w:szCs w:val="18"/>
                <w:vertAlign w:val="superscript"/>
              </w:rPr>
              <w:t>4</w:t>
            </w:r>
          </w:p>
        </w:tc>
        <w:tc>
          <w:tcPr>
            <w:tcW w:w="9085" w:type="dxa"/>
            <w:gridSpan w:val="4"/>
            <w:tcBorders>
              <w:top w:val="nil"/>
              <w:left w:val="nil"/>
              <w:right w:val="single" w:sz="4" w:space="0" w:color="000000" w:themeColor="text1"/>
            </w:tcBorders>
            <w:shd w:val="clear" w:color="auto" w:fill="auto"/>
          </w:tcPr>
          <w:p w14:paraId="456B043B" w14:textId="77777777" w:rsidR="00536DA0" w:rsidRPr="000428AE" w:rsidRDefault="00536DA0" w:rsidP="000876E8">
            <w:pPr>
              <w:ind w:left="-103"/>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 xml:space="preserve">The estimate for </w:t>
            </w:r>
            <w:r>
              <w:rPr>
                <w:rFonts w:ascii="Arial Narrow" w:eastAsia="Times New Roman" w:hAnsi="Arial Narrow" w:cs="Calibri"/>
                <w:color w:val="000000"/>
                <w:sz w:val="18"/>
                <w:szCs w:val="18"/>
              </w:rPr>
              <w:t xml:space="preserve">industry </w:t>
            </w:r>
            <w:r w:rsidRPr="000428AE">
              <w:rPr>
                <w:rFonts w:ascii="Arial Narrow" w:eastAsia="Times New Roman" w:hAnsi="Arial Narrow" w:cs="Calibri"/>
                <w:color w:val="000000"/>
                <w:sz w:val="18"/>
                <w:szCs w:val="18"/>
              </w:rPr>
              <w:t xml:space="preserve">new reporter incremental Rule Familiarization burden </w:t>
            </w:r>
            <w:r>
              <w:rPr>
                <w:rFonts w:ascii="Arial Narrow" w:eastAsia="Times New Roman" w:hAnsi="Arial Narrow" w:cs="Calibri"/>
                <w:color w:val="000000"/>
                <w:sz w:val="18"/>
                <w:szCs w:val="18"/>
              </w:rPr>
              <w:t xml:space="preserve">is zero because all governments are assumed to be experienced. </w:t>
            </w:r>
          </w:p>
        </w:tc>
      </w:tr>
      <w:tr w:rsidR="00536DA0" w:rsidRPr="000428AE" w14:paraId="6FC4A5F7" w14:textId="77777777" w:rsidTr="00874EA2">
        <w:trPr>
          <w:jc w:val="center"/>
        </w:trPr>
        <w:tc>
          <w:tcPr>
            <w:tcW w:w="274" w:type="dxa"/>
            <w:tcBorders>
              <w:top w:val="nil"/>
              <w:left w:val="single" w:sz="4" w:space="0" w:color="auto"/>
              <w:bottom w:val="single" w:sz="4" w:space="0" w:color="auto"/>
              <w:right w:val="nil"/>
            </w:tcBorders>
            <w:shd w:val="clear" w:color="auto" w:fill="auto"/>
          </w:tcPr>
          <w:p w14:paraId="2938C01A" w14:textId="4FB0C4EF" w:rsidR="00536DA0" w:rsidRDefault="005427BE" w:rsidP="000876E8">
            <w:pPr>
              <w:rPr>
                <w:rFonts w:ascii="Arial Narrow" w:eastAsia="Times New Roman" w:hAnsi="Arial Narrow" w:cs="Calibri"/>
                <w:color w:val="000000" w:themeColor="text1"/>
                <w:sz w:val="18"/>
                <w:szCs w:val="18"/>
                <w:vertAlign w:val="superscript"/>
              </w:rPr>
            </w:pPr>
            <w:r>
              <w:rPr>
                <w:rFonts w:ascii="Arial Narrow" w:eastAsia="Times New Roman" w:hAnsi="Arial Narrow" w:cs="Calibri"/>
                <w:color w:val="000000" w:themeColor="text1"/>
                <w:sz w:val="18"/>
                <w:szCs w:val="18"/>
                <w:vertAlign w:val="superscript"/>
              </w:rPr>
              <w:t>5</w:t>
            </w:r>
          </w:p>
        </w:tc>
        <w:tc>
          <w:tcPr>
            <w:tcW w:w="9085" w:type="dxa"/>
            <w:gridSpan w:val="4"/>
            <w:tcBorders>
              <w:top w:val="nil"/>
              <w:left w:val="nil"/>
              <w:bottom w:val="single" w:sz="4" w:space="0" w:color="auto"/>
              <w:right w:val="single" w:sz="4" w:space="0" w:color="000000" w:themeColor="text1"/>
            </w:tcBorders>
            <w:shd w:val="clear" w:color="auto" w:fill="auto"/>
          </w:tcPr>
          <w:p w14:paraId="012E7ED7" w14:textId="34E8B49A" w:rsidR="00536DA0" w:rsidRPr="000428AE" w:rsidRDefault="00536DA0" w:rsidP="000876E8">
            <w:pPr>
              <w:ind w:left="-103"/>
              <w:rPr>
                <w:rFonts w:ascii="Arial Narrow" w:eastAsia="Times New Roman" w:hAnsi="Arial Narrow" w:cs="Calibri"/>
                <w:color w:val="000000"/>
                <w:sz w:val="18"/>
                <w:szCs w:val="18"/>
              </w:rPr>
            </w:pPr>
            <w:r w:rsidRPr="000428AE">
              <w:rPr>
                <w:rFonts w:ascii="Arial Narrow" w:eastAsia="Times New Roman" w:hAnsi="Arial Narrow" w:cs="Calibri"/>
                <w:color w:val="000000"/>
                <w:sz w:val="18"/>
                <w:szCs w:val="18"/>
              </w:rPr>
              <w:t xml:space="preserve">Compliance Determination for </w:t>
            </w:r>
            <w:r>
              <w:rPr>
                <w:rFonts w:ascii="Arial Narrow" w:eastAsia="Times New Roman" w:hAnsi="Arial Narrow" w:cs="Calibri"/>
                <w:color w:val="000000"/>
                <w:sz w:val="18"/>
                <w:szCs w:val="18"/>
              </w:rPr>
              <w:t>government</w:t>
            </w:r>
            <w:r w:rsidRPr="000428AE">
              <w:rPr>
                <w:rFonts w:ascii="Arial Narrow" w:eastAsia="Times New Roman" w:hAnsi="Arial Narrow" w:cs="Calibri"/>
                <w:color w:val="000000"/>
                <w:sz w:val="18"/>
                <w:szCs w:val="18"/>
              </w:rPr>
              <w:t xml:space="preserve"> reporters consists of 0.</w:t>
            </w:r>
            <w:r w:rsidR="00295027">
              <w:rPr>
                <w:rFonts w:ascii="Arial Narrow" w:eastAsia="Times New Roman" w:hAnsi="Arial Narrow" w:cs="Calibri"/>
                <w:color w:val="000000"/>
                <w:sz w:val="18"/>
                <w:szCs w:val="18"/>
              </w:rPr>
              <w:t>052</w:t>
            </w:r>
            <w:r>
              <w:rPr>
                <w:rFonts w:ascii="Arial Narrow" w:eastAsia="Times New Roman" w:hAnsi="Arial Narrow" w:cs="Calibri"/>
                <w:color w:val="000000"/>
                <w:sz w:val="18"/>
                <w:szCs w:val="18"/>
              </w:rPr>
              <w:t xml:space="preserve"> </w:t>
            </w:r>
            <w:r w:rsidRPr="000428AE">
              <w:rPr>
                <w:rFonts w:ascii="Arial Narrow" w:eastAsia="Times New Roman" w:hAnsi="Arial Narrow" w:cs="Calibri"/>
                <w:color w:val="000000"/>
                <w:sz w:val="18"/>
                <w:szCs w:val="18"/>
              </w:rPr>
              <w:t xml:space="preserve">hours of Managerial labor and </w:t>
            </w:r>
            <w:r w:rsidR="00295027">
              <w:rPr>
                <w:rFonts w:ascii="Arial Narrow" w:eastAsia="Times New Roman" w:hAnsi="Arial Narrow" w:cs="Calibri"/>
                <w:color w:val="000000"/>
                <w:sz w:val="18"/>
                <w:szCs w:val="18"/>
              </w:rPr>
              <w:t>0.118</w:t>
            </w:r>
            <w:r w:rsidRPr="000428AE">
              <w:rPr>
                <w:rFonts w:ascii="Arial Narrow" w:eastAsia="Times New Roman" w:hAnsi="Arial Narrow" w:cs="Calibri"/>
                <w:color w:val="000000"/>
                <w:sz w:val="18"/>
                <w:szCs w:val="18"/>
              </w:rPr>
              <w:t xml:space="preserve"> hours of Technical labor</w:t>
            </w:r>
            <w:r>
              <w:rPr>
                <w:rFonts w:ascii="Arial Narrow" w:eastAsia="Times New Roman" w:hAnsi="Arial Narrow" w:cs="Calibri"/>
                <w:color w:val="000000"/>
                <w:sz w:val="18"/>
                <w:szCs w:val="18"/>
              </w:rPr>
              <w:t xml:space="preserve"> (see EPA (201</w:t>
            </w:r>
            <w:r w:rsidR="00FF0FB5">
              <w:rPr>
                <w:rFonts w:ascii="Arial Narrow" w:eastAsia="Times New Roman" w:hAnsi="Arial Narrow" w:cs="Calibri"/>
                <w:color w:val="000000"/>
                <w:sz w:val="18"/>
                <w:szCs w:val="18"/>
              </w:rPr>
              <w:t>9b</w:t>
            </w:r>
            <w:r>
              <w:rPr>
                <w:rFonts w:ascii="Arial Narrow" w:eastAsia="Times New Roman" w:hAnsi="Arial Narrow" w:cs="Calibri"/>
                <w:color w:val="000000"/>
                <w:sz w:val="18"/>
                <w:szCs w:val="18"/>
              </w:rPr>
              <w:t>) for justification)</w:t>
            </w:r>
            <w:r w:rsidRPr="000428AE">
              <w:rPr>
                <w:rFonts w:ascii="Arial Narrow" w:eastAsia="Times New Roman" w:hAnsi="Arial Narrow" w:cs="Calibri"/>
                <w:color w:val="000000"/>
                <w:sz w:val="18"/>
                <w:szCs w:val="18"/>
              </w:rPr>
              <w:t>.</w:t>
            </w:r>
          </w:p>
        </w:tc>
      </w:tr>
    </w:tbl>
    <w:p w14:paraId="4CFB9055" w14:textId="77777777" w:rsidR="00B8298D" w:rsidRPr="007924E4" w:rsidRDefault="00B8298D" w:rsidP="00B8298D">
      <w:pPr>
        <w:pStyle w:val="Heading2"/>
      </w:pPr>
      <w:r w:rsidRPr="007924E4">
        <w:t xml:space="preserve">Estimating </w:t>
      </w:r>
      <w:r>
        <w:t xml:space="preserve">Respondent </w:t>
      </w:r>
      <w:r w:rsidRPr="007924E4">
        <w:t>Cost</w:t>
      </w:r>
    </w:p>
    <w:p w14:paraId="69DCE67E" w14:textId="27699B9E" w:rsidR="00B8298D" w:rsidRPr="003E03CF" w:rsidRDefault="00B8298D" w:rsidP="00B8298D">
      <w:pPr>
        <w:pStyle w:val="BodyText"/>
      </w:pPr>
      <w:r>
        <w:t xml:space="preserve">Wage </w:t>
      </w:r>
      <w:r w:rsidR="00C303F2">
        <w:t xml:space="preserve">rates </w:t>
      </w:r>
      <w:r>
        <w:t xml:space="preserve">for </w:t>
      </w:r>
      <w:r w:rsidRPr="007924E4">
        <w:t xml:space="preserve">managerial, technical, and clerical </w:t>
      </w:r>
      <w:r>
        <w:t xml:space="preserve">labor are derived and presented in </w:t>
      </w:r>
      <w:r>
        <w:fldChar w:fldCharType="begin"/>
      </w:r>
      <w:r>
        <w:instrText xml:space="preserve"> REF _Ref526353488 \h </w:instrText>
      </w:r>
      <w:r>
        <w:fldChar w:fldCharType="separate"/>
      </w:r>
      <w:r w:rsidR="00745E52">
        <w:t xml:space="preserve">Table </w:t>
      </w:r>
      <w:r w:rsidR="00745E52">
        <w:rPr>
          <w:noProof/>
        </w:rPr>
        <w:t>7</w:t>
      </w:r>
      <w:r>
        <w:fldChar w:fldCharType="end"/>
      </w:r>
      <w:r>
        <w:t xml:space="preserve">. </w:t>
      </w:r>
      <w:r w:rsidRPr="003E03CF">
        <w:t>As a simplification and for purposes of ease of presentation, personnel at government-owned reporting sites are assumed to have the same wage rate as the equivalent industry personnel. This section describes the industry wage data used to develop estimates</w:t>
      </w:r>
      <w:r>
        <w:t xml:space="preserve"> for both CDR Revisions and the </w:t>
      </w:r>
      <w:bookmarkStart w:id="82" w:name="_Hlk527376216"/>
      <w:r>
        <w:t xml:space="preserve">TSCA section </w:t>
      </w:r>
      <w:bookmarkEnd w:id="82"/>
      <w:r>
        <w:t xml:space="preserve">8(a) SMD Update. </w:t>
      </w:r>
    </w:p>
    <w:p w14:paraId="5A8352E7" w14:textId="77777777" w:rsidR="00B8298D" w:rsidRDefault="00B8298D" w:rsidP="00B8298D">
      <w:pPr>
        <w:pStyle w:val="BodyText"/>
        <w:rPr>
          <w:i/>
          <w:iCs/>
        </w:rPr>
      </w:pPr>
      <w:r w:rsidRPr="003E03CF">
        <w:t xml:space="preserve">Standard wage rates for managerial, technical, and clerical levels </w:t>
      </w:r>
      <w:r>
        <w:t>are</w:t>
      </w:r>
      <w:r w:rsidRPr="003E03CF">
        <w:t xml:space="preserve"> developed from information published by the Bureau of Labor Statistics (BLS) and a method outlined in the document </w:t>
      </w:r>
      <w:r w:rsidRPr="003E03CF">
        <w:rPr>
          <w:i/>
          <w:iCs/>
        </w:rPr>
        <w:t xml:space="preserve">Wage Rates for Economic Analyses of the Toxics Release Inventory Program </w:t>
      </w:r>
      <w:r w:rsidRPr="003E03CF">
        <w:t>(</w:t>
      </w:r>
      <w:r>
        <w:t>Rice</w:t>
      </w:r>
      <w:r w:rsidRPr="003E03CF">
        <w:t>, 2002). Average wage data for the three major occupational groups are published quarterly by the BLS in the Employer Costs for Employer Compensation (ECEC) reports</w:t>
      </w:r>
      <w:r>
        <w:t xml:space="preserve"> (per </w:t>
      </w:r>
      <w:r w:rsidRPr="003E03CF">
        <w:rPr>
          <w:i/>
          <w:iCs/>
        </w:rPr>
        <w:t xml:space="preserve">Employer Costs for Employee Compensation Supplementary Tables: December 2006 – December 2017 </w:t>
      </w:r>
      <w:r w:rsidRPr="003E03CF">
        <w:rPr>
          <w:iCs/>
        </w:rPr>
        <w:t>(</w:t>
      </w:r>
      <w:r>
        <w:rPr>
          <w:iCs/>
        </w:rPr>
        <w:t>BLS</w:t>
      </w:r>
      <w:r w:rsidRPr="003E03CF">
        <w:rPr>
          <w:iCs/>
        </w:rPr>
        <w:t>, 2018</w:t>
      </w:r>
      <w:r>
        <w:rPr>
          <w:iCs/>
        </w:rPr>
        <w:t>)</w:t>
      </w:r>
      <w:r w:rsidRPr="003E03CF">
        <w:rPr>
          <w:iCs/>
        </w:rPr>
        <w:t>)</w:t>
      </w:r>
      <w:r w:rsidRPr="003E03CF">
        <w:rPr>
          <w:i/>
          <w:iCs/>
        </w:rPr>
        <w:t>.</w:t>
      </w:r>
    </w:p>
    <w:p w14:paraId="7B104DAB" w14:textId="311C5639" w:rsidR="00B8298D" w:rsidRDefault="00B8298D" w:rsidP="00B8298D">
      <w:pPr>
        <w:pStyle w:val="BodyText"/>
      </w:pPr>
      <w:r w:rsidRPr="003E03CF">
        <w:t xml:space="preserve">Fringe benefits costs, such as health insurance and vacation for each labor category are taken from the same ECEC series. Following the methodology outlined in </w:t>
      </w:r>
      <w:r>
        <w:t>Rice (2002)</w:t>
      </w:r>
      <w:r w:rsidRPr="003E03CF">
        <w:t>, fringe benefits are calculated as a percentage of total wages for each category. An additional 17</w:t>
      </w:r>
      <w:r>
        <w:t>%</w:t>
      </w:r>
      <w:r w:rsidRPr="003E03CF">
        <w:t xml:space="preserve"> is added to the wages in each category to account for overhead, based on information provided by the chemical industry and chemical industry trade associations in the </w:t>
      </w:r>
      <w:r w:rsidRPr="003E03CF">
        <w:rPr>
          <w:i/>
          <w:iCs/>
        </w:rPr>
        <w:t xml:space="preserve">Revised Economic Analysis for the Amended Inventory Update Rule: Final Report </w:t>
      </w:r>
      <w:r w:rsidRPr="003E03CF">
        <w:t xml:space="preserve">(EPA, 2002). The wages for each of the three categories are then multiplied by benefits and overhead factors to estimate loaded, annual salaries in 2017 dollars. </w:t>
      </w:r>
      <w:r>
        <w:fldChar w:fldCharType="begin"/>
      </w:r>
      <w:r>
        <w:instrText xml:space="preserve"> REF _Ref526353488 \h </w:instrText>
      </w:r>
      <w:r>
        <w:fldChar w:fldCharType="separate"/>
      </w:r>
      <w:r w:rsidR="00745E52">
        <w:t xml:space="preserve">Table </w:t>
      </w:r>
      <w:r w:rsidR="00745E52">
        <w:rPr>
          <w:noProof/>
        </w:rPr>
        <w:t>7</w:t>
      </w:r>
      <w:r>
        <w:fldChar w:fldCharType="end"/>
      </w:r>
      <w:r>
        <w:t xml:space="preserve"> </w:t>
      </w:r>
      <w:r w:rsidRPr="003E03CF">
        <w:t>contains the loaded wage rates for the managerial, technical and clerical occupation categories</w:t>
      </w:r>
      <w: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206"/>
        <w:gridCol w:w="1930"/>
        <w:gridCol w:w="744"/>
        <w:gridCol w:w="823"/>
        <w:gridCol w:w="830"/>
        <w:gridCol w:w="1015"/>
        <w:gridCol w:w="830"/>
        <w:gridCol w:w="1201"/>
        <w:gridCol w:w="1011"/>
      </w:tblGrid>
      <w:tr w:rsidR="00B8298D" w:rsidRPr="003E03CF" w14:paraId="4D9E2CE2" w14:textId="77777777" w:rsidTr="00B8298D">
        <w:trPr>
          <w:tblHeader/>
          <w:jc w:val="center"/>
        </w:trPr>
        <w:tc>
          <w:tcPr>
            <w:tcW w:w="5000" w:type="pct"/>
            <w:gridSpan w:val="9"/>
            <w:tcBorders>
              <w:top w:val="nil"/>
              <w:left w:val="nil"/>
              <w:right w:val="nil"/>
            </w:tcBorders>
            <w:shd w:val="clear" w:color="auto" w:fill="auto"/>
            <w:vAlign w:val="center"/>
          </w:tcPr>
          <w:p w14:paraId="3B808C96" w14:textId="544FB510" w:rsidR="00B8298D" w:rsidRPr="00616661" w:rsidRDefault="00B8298D" w:rsidP="00B8298D">
            <w:pPr>
              <w:pStyle w:val="Caption"/>
              <w:keepNext/>
            </w:pPr>
            <w:bookmarkStart w:id="83" w:name="_Ref526353488"/>
            <w:bookmarkStart w:id="84" w:name="_Ref523226571"/>
            <w:r>
              <w:t xml:space="preserve">Table </w:t>
            </w:r>
            <w:r>
              <w:rPr>
                <w:noProof/>
              </w:rPr>
              <w:fldChar w:fldCharType="begin"/>
            </w:r>
            <w:r>
              <w:rPr>
                <w:noProof/>
              </w:rPr>
              <w:instrText xml:space="preserve"> SEQ Table \* ARABIC </w:instrText>
            </w:r>
            <w:r>
              <w:rPr>
                <w:noProof/>
              </w:rPr>
              <w:fldChar w:fldCharType="separate"/>
            </w:r>
            <w:r w:rsidR="00745E52">
              <w:rPr>
                <w:noProof/>
              </w:rPr>
              <w:t>7</w:t>
            </w:r>
            <w:r>
              <w:rPr>
                <w:noProof/>
              </w:rPr>
              <w:fldChar w:fldCharType="end"/>
            </w:r>
            <w:bookmarkEnd w:id="83"/>
            <w:bookmarkEnd w:id="84"/>
            <w:r w:rsidRPr="00616661">
              <w:t>: Reporter Wage Rates (2017$)</w:t>
            </w:r>
          </w:p>
        </w:tc>
      </w:tr>
      <w:tr w:rsidR="00C303F2" w:rsidRPr="003E03CF" w14:paraId="3ACD4EE0" w14:textId="77777777" w:rsidTr="00874EA2">
        <w:trPr>
          <w:tblHeader/>
          <w:jc w:val="center"/>
        </w:trPr>
        <w:tc>
          <w:tcPr>
            <w:tcW w:w="629" w:type="pct"/>
            <w:vMerge w:val="restart"/>
            <w:shd w:val="clear" w:color="auto" w:fill="BFBFBF" w:themeFill="background1" w:themeFillShade="BF"/>
            <w:vAlign w:val="bottom"/>
            <w:hideMark/>
          </w:tcPr>
          <w:p w14:paraId="482CC480" w14:textId="77777777" w:rsidR="00C303F2" w:rsidRPr="003E03CF" w:rsidRDefault="00C303F2" w:rsidP="00C303F2">
            <w:pPr>
              <w:jc w:val="center"/>
              <w:rPr>
                <w:rFonts w:ascii="Arial Narrow" w:hAnsi="Arial Narrow"/>
                <w:b/>
                <w:sz w:val="18"/>
              </w:rPr>
            </w:pPr>
            <w:r w:rsidRPr="003E03CF">
              <w:rPr>
                <w:rFonts w:ascii="Arial Narrow" w:hAnsi="Arial Narrow"/>
                <w:b/>
                <w:sz w:val="18"/>
              </w:rPr>
              <w:t>Labor Category</w:t>
            </w:r>
          </w:p>
        </w:tc>
        <w:tc>
          <w:tcPr>
            <w:tcW w:w="1006" w:type="pct"/>
            <w:vMerge w:val="restart"/>
            <w:shd w:val="clear" w:color="auto" w:fill="BFBFBF" w:themeFill="background1" w:themeFillShade="BF"/>
            <w:vAlign w:val="bottom"/>
            <w:hideMark/>
          </w:tcPr>
          <w:p w14:paraId="787B39A3" w14:textId="77777777" w:rsidR="00C303F2" w:rsidRPr="003E03CF" w:rsidRDefault="00C303F2" w:rsidP="00C303F2">
            <w:pPr>
              <w:jc w:val="center"/>
              <w:rPr>
                <w:rFonts w:ascii="Arial Narrow" w:hAnsi="Arial Narrow"/>
                <w:b/>
                <w:sz w:val="18"/>
              </w:rPr>
            </w:pPr>
            <w:r w:rsidRPr="003E03CF">
              <w:rPr>
                <w:rFonts w:ascii="Arial Narrow" w:hAnsi="Arial Narrow"/>
                <w:b/>
                <w:sz w:val="18"/>
              </w:rPr>
              <w:t>Data Series</w:t>
            </w:r>
            <w:r w:rsidRPr="003E03CF">
              <w:rPr>
                <w:rFonts w:ascii="Arial Narrow" w:hAnsi="Arial Narrow"/>
                <w:b/>
                <w:sz w:val="18"/>
                <w:vertAlign w:val="superscript"/>
              </w:rPr>
              <w:t xml:space="preserve"> 1</w:t>
            </w:r>
          </w:p>
        </w:tc>
        <w:tc>
          <w:tcPr>
            <w:tcW w:w="388" w:type="pct"/>
            <w:vMerge w:val="restart"/>
            <w:shd w:val="clear" w:color="auto" w:fill="BFBFBF" w:themeFill="background1" w:themeFillShade="BF"/>
            <w:vAlign w:val="bottom"/>
            <w:hideMark/>
          </w:tcPr>
          <w:p w14:paraId="2A5F2BEF" w14:textId="77777777" w:rsidR="00C303F2" w:rsidRPr="003E03CF" w:rsidRDefault="00C303F2" w:rsidP="00C303F2">
            <w:pPr>
              <w:jc w:val="center"/>
              <w:rPr>
                <w:rFonts w:ascii="Arial Narrow" w:hAnsi="Arial Narrow"/>
                <w:b/>
                <w:sz w:val="18"/>
              </w:rPr>
            </w:pPr>
            <w:r w:rsidRPr="003E03CF">
              <w:rPr>
                <w:rFonts w:ascii="Arial Narrow" w:hAnsi="Arial Narrow"/>
                <w:b/>
                <w:sz w:val="18"/>
              </w:rPr>
              <w:t>Date</w:t>
            </w:r>
          </w:p>
        </w:tc>
        <w:tc>
          <w:tcPr>
            <w:tcW w:w="429" w:type="pct"/>
            <w:shd w:val="clear" w:color="auto" w:fill="BFBFBF" w:themeFill="background1" w:themeFillShade="BF"/>
            <w:vAlign w:val="bottom"/>
            <w:hideMark/>
          </w:tcPr>
          <w:p w14:paraId="20254445" w14:textId="46CAA86B" w:rsidR="00C303F2" w:rsidRPr="003E03CF" w:rsidRDefault="00C303F2" w:rsidP="00C303F2">
            <w:pPr>
              <w:jc w:val="center"/>
              <w:rPr>
                <w:rFonts w:ascii="Arial Narrow" w:hAnsi="Arial Narrow"/>
                <w:b/>
                <w:sz w:val="18"/>
              </w:rPr>
            </w:pPr>
            <w:r w:rsidRPr="003E03CF">
              <w:rPr>
                <w:rFonts w:ascii="Arial Narrow" w:hAnsi="Arial Narrow"/>
                <w:b/>
                <w:sz w:val="18"/>
              </w:rPr>
              <w:t>Wage</w:t>
            </w:r>
            <w:r>
              <w:rPr>
                <w:rFonts w:ascii="Arial Narrow" w:hAnsi="Arial Narrow"/>
                <w:b/>
                <w:sz w:val="18"/>
              </w:rPr>
              <w:t xml:space="preserve"> ($/hour)</w:t>
            </w:r>
          </w:p>
        </w:tc>
        <w:tc>
          <w:tcPr>
            <w:tcW w:w="433" w:type="pct"/>
            <w:shd w:val="clear" w:color="auto" w:fill="BFBFBF" w:themeFill="background1" w:themeFillShade="BF"/>
            <w:vAlign w:val="bottom"/>
            <w:hideMark/>
          </w:tcPr>
          <w:p w14:paraId="50B8D9BE" w14:textId="492A1BDC" w:rsidR="00C303F2" w:rsidRPr="003E03CF" w:rsidRDefault="00C303F2" w:rsidP="00C303F2">
            <w:pPr>
              <w:jc w:val="center"/>
              <w:rPr>
                <w:rFonts w:ascii="Arial Narrow" w:hAnsi="Arial Narrow"/>
                <w:b/>
                <w:sz w:val="18"/>
              </w:rPr>
            </w:pPr>
            <w:r w:rsidRPr="003E03CF">
              <w:rPr>
                <w:rFonts w:ascii="Arial Narrow" w:hAnsi="Arial Narrow"/>
                <w:b/>
                <w:sz w:val="18"/>
              </w:rPr>
              <w:t>Fringe Benefit</w:t>
            </w:r>
          </w:p>
        </w:tc>
        <w:tc>
          <w:tcPr>
            <w:tcW w:w="529" w:type="pct"/>
            <w:shd w:val="clear" w:color="auto" w:fill="BFBFBF" w:themeFill="background1" w:themeFillShade="BF"/>
            <w:vAlign w:val="bottom"/>
            <w:hideMark/>
          </w:tcPr>
          <w:p w14:paraId="5E861D39" w14:textId="7323FDE8" w:rsidR="00C303F2" w:rsidRPr="003E03CF" w:rsidRDefault="00C303F2" w:rsidP="00C303F2">
            <w:pPr>
              <w:jc w:val="center"/>
              <w:rPr>
                <w:rFonts w:ascii="Arial Narrow" w:hAnsi="Arial Narrow"/>
                <w:b/>
                <w:sz w:val="18"/>
              </w:rPr>
            </w:pPr>
            <w:r w:rsidRPr="003E03CF">
              <w:rPr>
                <w:rFonts w:ascii="Arial Narrow" w:hAnsi="Arial Narrow"/>
                <w:b/>
                <w:sz w:val="18"/>
              </w:rPr>
              <w:t>Fringes as % Wage</w:t>
            </w:r>
          </w:p>
        </w:tc>
        <w:tc>
          <w:tcPr>
            <w:tcW w:w="433" w:type="pct"/>
            <w:shd w:val="clear" w:color="auto" w:fill="BFBFBF" w:themeFill="background1" w:themeFillShade="BF"/>
            <w:vAlign w:val="bottom"/>
            <w:hideMark/>
          </w:tcPr>
          <w:p w14:paraId="5A1BED52" w14:textId="702A7BC0" w:rsidR="00C303F2" w:rsidRPr="003E03CF" w:rsidRDefault="00C303F2" w:rsidP="00C303F2">
            <w:pPr>
              <w:jc w:val="center"/>
              <w:rPr>
                <w:rFonts w:ascii="Arial Narrow" w:hAnsi="Arial Narrow"/>
                <w:b/>
                <w:sz w:val="18"/>
              </w:rPr>
            </w:pPr>
            <w:r w:rsidRPr="003E03CF">
              <w:rPr>
                <w:rFonts w:ascii="Arial Narrow" w:hAnsi="Arial Narrow"/>
                <w:b/>
                <w:sz w:val="18"/>
              </w:rPr>
              <w:t>Over</w:t>
            </w:r>
            <w:r>
              <w:rPr>
                <w:rFonts w:ascii="Arial Narrow" w:hAnsi="Arial Narrow"/>
                <w:b/>
                <w:sz w:val="18"/>
              </w:rPr>
              <w:t>-</w:t>
            </w:r>
            <w:r w:rsidRPr="003E03CF">
              <w:rPr>
                <w:rFonts w:ascii="Arial Narrow" w:hAnsi="Arial Narrow"/>
                <w:b/>
                <w:sz w:val="18"/>
              </w:rPr>
              <w:t xml:space="preserve">head % </w:t>
            </w:r>
            <w:r>
              <w:rPr>
                <w:rFonts w:ascii="Arial Narrow" w:hAnsi="Arial Narrow"/>
                <w:b/>
                <w:sz w:val="18"/>
              </w:rPr>
              <w:t>W</w:t>
            </w:r>
            <w:r w:rsidRPr="003E03CF">
              <w:rPr>
                <w:rFonts w:ascii="Arial Narrow" w:hAnsi="Arial Narrow"/>
                <w:b/>
                <w:sz w:val="18"/>
              </w:rPr>
              <w:t xml:space="preserve">age </w:t>
            </w:r>
            <w:r w:rsidRPr="003E03CF">
              <w:rPr>
                <w:rFonts w:ascii="Arial Narrow" w:hAnsi="Arial Narrow"/>
                <w:b/>
                <w:sz w:val="18"/>
                <w:vertAlign w:val="superscript"/>
              </w:rPr>
              <w:t>2</w:t>
            </w:r>
          </w:p>
        </w:tc>
        <w:tc>
          <w:tcPr>
            <w:tcW w:w="626" w:type="pct"/>
            <w:shd w:val="clear" w:color="auto" w:fill="BFBFBF" w:themeFill="background1" w:themeFillShade="BF"/>
            <w:vAlign w:val="bottom"/>
            <w:hideMark/>
          </w:tcPr>
          <w:p w14:paraId="7C6C45EA" w14:textId="26C43375" w:rsidR="00C303F2" w:rsidRPr="003E03CF" w:rsidRDefault="00C303F2" w:rsidP="00C303F2">
            <w:pPr>
              <w:jc w:val="center"/>
              <w:rPr>
                <w:rFonts w:ascii="Arial Narrow" w:hAnsi="Arial Narrow"/>
                <w:b/>
                <w:sz w:val="18"/>
              </w:rPr>
            </w:pPr>
            <w:r w:rsidRPr="003E03CF">
              <w:rPr>
                <w:rFonts w:ascii="Arial Narrow" w:hAnsi="Arial Narrow"/>
                <w:b/>
                <w:sz w:val="18"/>
              </w:rPr>
              <w:t xml:space="preserve">Fringe + Overhead Factor </w:t>
            </w:r>
            <w:r w:rsidRPr="003E03CF">
              <w:rPr>
                <w:rFonts w:ascii="Arial Narrow" w:hAnsi="Arial Narrow"/>
                <w:b/>
                <w:sz w:val="18"/>
                <w:vertAlign w:val="superscript"/>
              </w:rPr>
              <w:t>3</w:t>
            </w:r>
          </w:p>
        </w:tc>
        <w:tc>
          <w:tcPr>
            <w:tcW w:w="527" w:type="pct"/>
            <w:shd w:val="clear" w:color="auto" w:fill="BFBFBF" w:themeFill="background1" w:themeFillShade="BF"/>
            <w:vAlign w:val="bottom"/>
            <w:hideMark/>
          </w:tcPr>
          <w:p w14:paraId="60C32E1F" w14:textId="4E009154" w:rsidR="00C303F2" w:rsidRPr="003E03CF" w:rsidRDefault="00C303F2" w:rsidP="00C303F2">
            <w:pPr>
              <w:jc w:val="center"/>
              <w:rPr>
                <w:rFonts w:ascii="Arial Narrow" w:hAnsi="Arial Narrow"/>
                <w:b/>
                <w:sz w:val="18"/>
              </w:rPr>
            </w:pPr>
            <w:r w:rsidRPr="003E03CF">
              <w:rPr>
                <w:rFonts w:ascii="Arial Narrow" w:hAnsi="Arial Narrow"/>
                <w:b/>
                <w:sz w:val="18"/>
              </w:rPr>
              <w:t>Loaded Wage</w:t>
            </w:r>
            <w:r>
              <w:rPr>
                <w:rFonts w:ascii="Arial Narrow" w:hAnsi="Arial Narrow"/>
                <w:b/>
                <w:sz w:val="18"/>
              </w:rPr>
              <w:t xml:space="preserve"> ($/hour)</w:t>
            </w:r>
            <w:r w:rsidRPr="003E03CF">
              <w:rPr>
                <w:rFonts w:ascii="Arial Narrow" w:hAnsi="Arial Narrow"/>
                <w:b/>
                <w:sz w:val="18"/>
                <w:vertAlign w:val="superscript"/>
              </w:rPr>
              <w:t>4</w:t>
            </w:r>
          </w:p>
        </w:tc>
      </w:tr>
      <w:tr w:rsidR="00B8298D" w:rsidRPr="003E03CF" w14:paraId="59B50789" w14:textId="77777777" w:rsidTr="00874EA2">
        <w:trPr>
          <w:tblHeader/>
          <w:jc w:val="center"/>
        </w:trPr>
        <w:tc>
          <w:tcPr>
            <w:tcW w:w="629" w:type="pct"/>
            <w:vMerge/>
            <w:shd w:val="clear" w:color="auto" w:fill="BFBFBF"/>
            <w:vAlign w:val="center"/>
            <w:hideMark/>
          </w:tcPr>
          <w:p w14:paraId="7157CBA0" w14:textId="77777777" w:rsidR="00B8298D" w:rsidRPr="003E03CF" w:rsidRDefault="00B8298D" w:rsidP="00B8298D">
            <w:pPr>
              <w:rPr>
                <w:rFonts w:ascii="Arial Narrow" w:hAnsi="Arial Narrow"/>
                <w:b/>
                <w:sz w:val="18"/>
              </w:rPr>
            </w:pPr>
          </w:p>
        </w:tc>
        <w:tc>
          <w:tcPr>
            <w:tcW w:w="1006" w:type="pct"/>
            <w:vMerge/>
            <w:shd w:val="clear" w:color="auto" w:fill="BFBFBF"/>
            <w:vAlign w:val="center"/>
            <w:hideMark/>
          </w:tcPr>
          <w:p w14:paraId="502BBAAD" w14:textId="77777777" w:rsidR="00B8298D" w:rsidRPr="003E03CF" w:rsidRDefault="00B8298D" w:rsidP="00B8298D">
            <w:pPr>
              <w:rPr>
                <w:rFonts w:ascii="Arial Narrow" w:hAnsi="Arial Narrow"/>
                <w:b/>
                <w:sz w:val="18"/>
              </w:rPr>
            </w:pPr>
          </w:p>
        </w:tc>
        <w:tc>
          <w:tcPr>
            <w:tcW w:w="388" w:type="pct"/>
            <w:vMerge/>
            <w:shd w:val="clear" w:color="auto" w:fill="BFBFBF"/>
            <w:vAlign w:val="center"/>
            <w:hideMark/>
          </w:tcPr>
          <w:p w14:paraId="38A55AEF" w14:textId="77777777" w:rsidR="00B8298D" w:rsidRPr="003E03CF" w:rsidRDefault="00B8298D" w:rsidP="00B8298D">
            <w:pPr>
              <w:rPr>
                <w:rFonts w:ascii="Arial Narrow" w:hAnsi="Arial Narrow"/>
                <w:b/>
                <w:sz w:val="18"/>
              </w:rPr>
            </w:pPr>
          </w:p>
        </w:tc>
        <w:tc>
          <w:tcPr>
            <w:tcW w:w="429" w:type="pct"/>
            <w:shd w:val="clear" w:color="auto" w:fill="BFBFBF" w:themeFill="background1" w:themeFillShade="BF"/>
            <w:vAlign w:val="center"/>
            <w:hideMark/>
          </w:tcPr>
          <w:p w14:paraId="3A9E65BB" w14:textId="77777777" w:rsidR="00B8298D" w:rsidRPr="003E03CF" w:rsidRDefault="00B8298D" w:rsidP="00B8298D">
            <w:pPr>
              <w:jc w:val="center"/>
              <w:rPr>
                <w:rFonts w:ascii="Arial Narrow" w:hAnsi="Arial Narrow"/>
                <w:b/>
                <w:sz w:val="18"/>
              </w:rPr>
            </w:pPr>
            <w:r w:rsidRPr="003E03CF">
              <w:rPr>
                <w:rFonts w:ascii="Arial Narrow" w:hAnsi="Arial Narrow"/>
                <w:b/>
                <w:sz w:val="18"/>
              </w:rPr>
              <w:t>(a)</w:t>
            </w:r>
          </w:p>
        </w:tc>
        <w:tc>
          <w:tcPr>
            <w:tcW w:w="433" w:type="pct"/>
            <w:shd w:val="clear" w:color="auto" w:fill="BFBFBF" w:themeFill="background1" w:themeFillShade="BF"/>
            <w:vAlign w:val="center"/>
            <w:hideMark/>
          </w:tcPr>
          <w:p w14:paraId="69B187C7" w14:textId="77777777" w:rsidR="00B8298D" w:rsidRPr="003E03CF" w:rsidRDefault="00B8298D" w:rsidP="00B8298D">
            <w:pPr>
              <w:jc w:val="center"/>
              <w:rPr>
                <w:rFonts w:ascii="Arial Narrow" w:hAnsi="Arial Narrow"/>
                <w:b/>
                <w:sz w:val="18"/>
              </w:rPr>
            </w:pPr>
            <w:r w:rsidRPr="003E03CF">
              <w:rPr>
                <w:rFonts w:ascii="Arial Narrow" w:hAnsi="Arial Narrow"/>
                <w:b/>
                <w:sz w:val="18"/>
              </w:rPr>
              <w:t>(b)</w:t>
            </w:r>
          </w:p>
        </w:tc>
        <w:tc>
          <w:tcPr>
            <w:tcW w:w="529" w:type="pct"/>
            <w:shd w:val="clear" w:color="auto" w:fill="BFBFBF" w:themeFill="background1" w:themeFillShade="BF"/>
            <w:vAlign w:val="center"/>
            <w:hideMark/>
          </w:tcPr>
          <w:p w14:paraId="5AB2DD1F" w14:textId="77777777" w:rsidR="00B8298D" w:rsidRPr="003E03CF" w:rsidRDefault="00B8298D" w:rsidP="00B8298D">
            <w:pPr>
              <w:jc w:val="center"/>
              <w:rPr>
                <w:rFonts w:ascii="Arial Narrow" w:hAnsi="Arial Narrow"/>
                <w:b/>
                <w:sz w:val="18"/>
              </w:rPr>
            </w:pPr>
            <w:r w:rsidRPr="003E03CF">
              <w:rPr>
                <w:rFonts w:ascii="Arial Narrow" w:hAnsi="Arial Narrow"/>
                <w:b/>
                <w:sz w:val="18"/>
              </w:rPr>
              <w:t>(c) =(b)/(a)</w:t>
            </w:r>
          </w:p>
        </w:tc>
        <w:tc>
          <w:tcPr>
            <w:tcW w:w="433" w:type="pct"/>
            <w:shd w:val="clear" w:color="auto" w:fill="BFBFBF" w:themeFill="background1" w:themeFillShade="BF"/>
            <w:vAlign w:val="center"/>
            <w:hideMark/>
          </w:tcPr>
          <w:p w14:paraId="1AD9C375" w14:textId="77777777" w:rsidR="00B8298D" w:rsidRPr="003E03CF" w:rsidRDefault="00B8298D" w:rsidP="00B8298D">
            <w:pPr>
              <w:jc w:val="center"/>
              <w:rPr>
                <w:rFonts w:ascii="Arial Narrow" w:hAnsi="Arial Narrow"/>
                <w:b/>
                <w:sz w:val="18"/>
              </w:rPr>
            </w:pPr>
            <w:r w:rsidRPr="003E03CF">
              <w:rPr>
                <w:rFonts w:ascii="Arial Narrow" w:hAnsi="Arial Narrow"/>
                <w:b/>
                <w:sz w:val="18"/>
              </w:rPr>
              <w:t>(d)</w:t>
            </w:r>
          </w:p>
        </w:tc>
        <w:tc>
          <w:tcPr>
            <w:tcW w:w="626" w:type="pct"/>
            <w:shd w:val="clear" w:color="auto" w:fill="BFBFBF" w:themeFill="background1" w:themeFillShade="BF"/>
            <w:vAlign w:val="center"/>
            <w:hideMark/>
          </w:tcPr>
          <w:p w14:paraId="2F2C2723" w14:textId="77777777" w:rsidR="00B8298D" w:rsidRPr="003E03CF" w:rsidRDefault="00B8298D" w:rsidP="00B8298D">
            <w:pPr>
              <w:jc w:val="center"/>
              <w:rPr>
                <w:rFonts w:ascii="Arial Narrow" w:hAnsi="Arial Narrow"/>
                <w:b/>
                <w:sz w:val="18"/>
              </w:rPr>
            </w:pPr>
            <w:r w:rsidRPr="003E03CF">
              <w:rPr>
                <w:rFonts w:ascii="Arial Narrow" w:hAnsi="Arial Narrow"/>
                <w:b/>
                <w:sz w:val="18"/>
              </w:rPr>
              <w:t>(e)=(c)+(d)+1</w:t>
            </w:r>
          </w:p>
        </w:tc>
        <w:tc>
          <w:tcPr>
            <w:tcW w:w="527" w:type="pct"/>
            <w:shd w:val="clear" w:color="auto" w:fill="BFBFBF" w:themeFill="background1" w:themeFillShade="BF"/>
            <w:vAlign w:val="center"/>
            <w:hideMark/>
          </w:tcPr>
          <w:p w14:paraId="4BE63611" w14:textId="77777777" w:rsidR="00B8298D" w:rsidRPr="003E03CF" w:rsidRDefault="00B8298D" w:rsidP="00B8298D">
            <w:pPr>
              <w:jc w:val="center"/>
              <w:rPr>
                <w:rFonts w:ascii="Arial Narrow" w:hAnsi="Arial Narrow"/>
                <w:b/>
                <w:sz w:val="18"/>
              </w:rPr>
            </w:pPr>
            <w:r w:rsidRPr="003E03CF">
              <w:rPr>
                <w:rFonts w:ascii="Arial Narrow" w:hAnsi="Arial Narrow"/>
                <w:b/>
                <w:sz w:val="18"/>
              </w:rPr>
              <w:t>(f)=(a)×(e)</w:t>
            </w:r>
          </w:p>
        </w:tc>
      </w:tr>
      <w:tr w:rsidR="00B8298D" w:rsidRPr="003E03CF" w14:paraId="6B84D394" w14:textId="77777777" w:rsidTr="00874EA2">
        <w:trPr>
          <w:jc w:val="center"/>
        </w:trPr>
        <w:tc>
          <w:tcPr>
            <w:tcW w:w="629" w:type="pct"/>
            <w:shd w:val="clear" w:color="auto" w:fill="auto"/>
            <w:vAlign w:val="center"/>
            <w:hideMark/>
          </w:tcPr>
          <w:p w14:paraId="10EEF90D"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Managerial</w:t>
            </w:r>
          </w:p>
        </w:tc>
        <w:tc>
          <w:tcPr>
            <w:tcW w:w="1006" w:type="pct"/>
            <w:shd w:val="clear" w:color="auto" w:fill="auto"/>
            <w:vAlign w:val="center"/>
            <w:hideMark/>
          </w:tcPr>
          <w:p w14:paraId="3AD518E0"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BLS ECEC, Private Manufacturing industries, “Mgt, Business, and Financial”</w:t>
            </w:r>
          </w:p>
        </w:tc>
        <w:tc>
          <w:tcPr>
            <w:tcW w:w="388" w:type="pct"/>
            <w:shd w:val="clear" w:color="auto" w:fill="auto"/>
            <w:vAlign w:val="center"/>
            <w:hideMark/>
          </w:tcPr>
          <w:p w14:paraId="1C282936"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Dec-17</w:t>
            </w:r>
          </w:p>
        </w:tc>
        <w:tc>
          <w:tcPr>
            <w:tcW w:w="429" w:type="pct"/>
            <w:shd w:val="clear" w:color="auto" w:fill="auto"/>
            <w:vAlign w:val="center"/>
            <w:hideMark/>
          </w:tcPr>
          <w:p w14:paraId="4BC1BC4E"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$46.59</w:t>
            </w:r>
          </w:p>
        </w:tc>
        <w:tc>
          <w:tcPr>
            <w:tcW w:w="433" w:type="pct"/>
            <w:shd w:val="clear" w:color="auto" w:fill="auto"/>
            <w:vAlign w:val="center"/>
            <w:hideMark/>
          </w:tcPr>
          <w:p w14:paraId="6261E54F"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$22.16</w:t>
            </w:r>
          </w:p>
        </w:tc>
        <w:tc>
          <w:tcPr>
            <w:tcW w:w="529" w:type="pct"/>
            <w:shd w:val="clear" w:color="auto" w:fill="auto"/>
            <w:vAlign w:val="center"/>
            <w:hideMark/>
          </w:tcPr>
          <w:p w14:paraId="60A6F3E5"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48%</w:t>
            </w:r>
          </w:p>
        </w:tc>
        <w:tc>
          <w:tcPr>
            <w:tcW w:w="433" w:type="pct"/>
            <w:shd w:val="clear" w:color="auto" w:fill="auto"/>
            <w:vAlign w:val="center"/>
            <w:hideMark/>
          </w:tcPr>
          <w:p w14:paraId="7FE77D1E"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14:paraId="6EB7DB6F" w14:textId="77777777" w:rsidR="00B8298D" w:rsidRPr="003E03CF" w:rsidRDefault="00B8298D" w:rsidP="00B8298D">
            <w:pPr>
              <w:jc w:val="center"/>
              <w:rPr>
                <w:rFonts w:ascii="Arial Narrow" w:hAnsi="Arial Narrow"/>
                <w:sz w:val="18"/>
                <w:szCs w:val="18"/>
              </w:rPr>
            </w:pPr>
            <w:r w:rsidRPr="0B02F8A5">
              <w:rPr>
                <w:rFonts w:ascii="Arial Narrow" w:hAnsi="Arial Narrow"/>
                <w:color w:val="000000" w:themeColor="text1"/>
                <w:sz w:val="18"/>
                <w:szCs w:val="18"/>
              </w:rPr>
              <w:t>1.65</w:t>
            </w:r>
          </w:p>
        </w:tc>
        <w:tc>
          <w:tcPr>
            <w:tcW w:w="527" w:type="pct"/>
            <w:shd w:val="clear" w:color="auto" w:fill="auto"/>
            <w:vAlign w:val="center"/>
            <w:hideMark/>
          </w:tcPr>
          <w:p w14:paraId="1E6A3520"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$76.87</w:t>
            </w:r>
          </w:p>
        </w:tc>
      </w:tr>
      <w:tr w:rsidR="00B8298D" w:rsidRPr="003E03CF" w14:paraId="1EBEF4B2" w14:textId="77777777" w:rsidTr="00874EA2">
        <w:trPr>
          <w:jc w:val="center"/>
        </w:trPr>
        <w:tc>
          <w:tcPr>
            <w:tcW w:w="629" w:type="pct"/>
            <w:shd w:val="clear" w:color="auto" w:fill="auto"/>
            <w:vAlign w:val="center"/>
            <w:hideMark/>
          </w:tcPr>
          <w:p w14:paraId="61B5D57E"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Professional / Technical</w:t>
            </w:r>
          </w:p>
        </w:tc>
        <w:tc>
          <w:tcPr>
            <w:tcW w:w="1006" w:type="pct"/>
            <w:shd w:val="clear" w:color="auto" w:fill="auto"/>
            <w:vAlign w:val="center"/>
            <w:hideMark/>
          </w:tcPr>
          <w:p w14:paraId="17CC1F03"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BLS ECEC, Private Manufacturing industries, “Professional and related“</w:t>
            </w:r>
          </w:p>
        </w:tc>
        <w:tc>
          <w:tcPr>
            <w:tcW w:w="388" w:type="pct"/>
            <w:shd w:val="clear" w:color="auto" w:fill="auto"/>
            <w:vAlign w:val="center"/>
            <w:hideMark/>
          </w:tcPr>
          <w:p w14:paraId="0CCE8092"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Dec-17</w:t>
            </w:r>
          </w:p>
        </w:tc>
        <w:tc>
          <w:tcPr>
            <w:tcW w:w="429" w:type="pct"/>
            <w:shd w:val="clear" w:color="auto" w:fill="auto"/>
            <w:vAlign w:val="center"/>
            <w:hideMark/>
          </w:tcPr>
          <w:p w14:paraId="692729A4"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$45.82</w:t>
            </w:r>
          </w:p>
        </w:tc>
        <w:tc>
          <w:tcPr>
            <w:tcW w:w="433" w:type="pct"/>
            <w:shd w:val="clear" w:color="auto" w:fill="auto"/>
            <w:vAlign w:val="center"/>
            <w:hideMark/>
          </w:tcPr>
          <w:p w14:paraId="1E757928"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$24.33</w:t>
            </w:r>
          </w:p>
        </w:tc>
        <w:tc>
          <w:tcPr>
            <w:tcW w:w="529" w:type="pct"/>
            <w:shd w:val="clear" w:color="auto" w:fill="auto"/>
            <w:vAlign w:val="center"/>
            <w:hideMark/>
          </w:tcPr>
          <w:p w14:paraId="1BB5C1AF"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53%</w:t>
            </w:r>
          </w:p>
        </w:tc>
        <w:tc>
          <w:tcPr>
            <w:tcW w:w="433" w:type="pct"/>
            <w:shd w:val="clear" w:color="auto" w:fill="auto"/>
            <w:vAlign w:val="center"/>
            <w:hideMark/>
          </w:tcPr>
          <w:p w14:paraId="26D41B5C"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14:paraId="322A6885" w14:textId="77777777" w:rsidR="00B8298D" w:rsidRPr="003E03CF" w:rsidRDefault="00B8298D" w:rsidP="00B8298D">
            <w:pPr>
              <w:jc w:val="center"/>
              <w:rPr>
                <w:rFonts w:ascii="Arial Narrow" w:hAnsi="Arial Narrow"/>
                <w:sz w:val="18"/>
                <w:szCs w:val="18"/>
              </w:rPr>
            </w:pPr>
            <w:r w:rsidRPr="0B02F8A5">
              <w:rPr>
                <w:rFonts w:ascii="Arial Narrow" w:hAnsi="Arial Narrow"/>
                <w:color w:val="000000" w:themeColor="text1"/>
                <w:sz w:val="18"/>
                <w:szCs w:val="18"/>
              </w:rPr>
              <w:t>1.70</w:t>
            </w:r>
          </w:p>
        </w:tc>
        <w:tc>
          <w:tcPr>
            <w:tcW w:w="527" w:type="pct"/>
            <w:shd w:val="clear" w:color="auto" w:fill="auto"/>
            <w:vAlign w:val="center"/>
            <w:hideMark/>
          </w:tcPr>
          <w:p w14:paraId="1FF896D4"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$77.89</w:t>
            </w:r>
          </w:p>
        </w:tc>
      </w:tr>
      <w:tr w:rsidR="00B8298D" w:rsidRPr="003E03CF" w14:paraId="7CEFA65E" w14:textId="77777777" w:rsidTr="00874EA2">
        <w:trPr>
          <w:jc w:val="center"/>
        </w:trPr>
        <w:tc>
          <w:tcPr>
            <w:tcW w:w="629" w:type="pct"/>
            <w:shd w:val="clear" w:color="auto" w:fill="auto"/>
            <w:vAlign w:val="center"/>
            <w:hideMark/>
          </w:tcPr>
          <w:p w14:paraId="1EBE148D"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Clerical</w:t>
            </w:r>
          </w:p>
        </w:tc>
        <w:tc>
          <w:tcPr>
            <w:tcW w:w="1006" w:type="pct"/>
            <w:shd w:val="clear" w:color="auto" w:fill="auto"/>
            <w:vAlign w:val="center"/>
            <w:hideMark/>
          </w:tcPr>
          <w:p w14:paraId="7D272E6D"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BLS ECEC, Private Manufacturing industries, “Office and Administrative Support”</w:t>
            </w:r>
          </w:p>
        </w:tc>
        <w:tc>
          <w:tcPr>
            <w:tcW w:w="388" w:type="pct"/>
            <w:shd w:val="clear" w:color="auto" w:fill="auto"/>
            <w:vAlign w:val="center"/>
            <w:hideMark/>
          </w:tcPr>
          <w:p w14:paraId="632CF731"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Dec-17</w:t>
            </w:r>
          </w:p>
        </w:tc>
        <w:tc>
          <w:tcPr>
            <w:tcW w:w="429" w:type="pct"/>
            <w:shd w:val="clear" w:color="auto" w:fill="auto"/>
            <w:vAlign w:val="center"/>
            <w:hideMark/>
          </w:tcPr>
          <w:p w14:paraId="4F140CB5"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$20.49</w:t>
            </w:r>
          </w:p>
        </w:tc>
        <w:tc>
          <w:tcPr>
            <w:tcW w:w="433" w:type="pct"/>
            <w:shd w:val="clear" w:color="auto" w:fill="auto"/>
            <w:vAlign w:val="center"/>
            <w:hideMark/>
          </w:tcPr>
          <w:p w14:paraId="4F3869E6"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$11.02</w:t>
            </w:r>
          </w:p>
        </w:tc>
        <w:tc>
          <w:tcPr>
            <w:tcW w:w="529" w:type="pct"/>
            <w:shd w:val="clear" w:color="auto" w:fill="auto"/>
            <w:vAlign w:val="center"/>
            <w:hideMark/>
          </w:tcPr>
          <w:p w14:paraId="424376D8"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54%</w:t>
            </w:r>
          </w:p>
        </w:tc>
        <w:tc>
          <w:tcPr>
            <w:tcW w:w="433" w:type="pct"/>
            <w:shd w:val="clear" w:color="auto" w:fill="auto"/>
            <w:vAlign w:val="center"/>
            <w:hideMark/>
          </w:tcPr>
          <w:p w14:paraId="31331197"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17%</w:t>
            </w:r>
          </w:p>
        </w:tc>
        <w:tc>
          <w:tcPr>
            <w:tcW w:w="626" w:type="pct"/>
            <w:shd w:val="clear" w:color="auto" w:fill="auto"/>
            <w:vAlign w:val="center"/>
            <w:hideMark/>
          </w:tcPr>
          <w:p w14:paraId="0F368E86" w14:textId="77777777" w:rsidR="00B8298D" w:rsidRPr="003E03CF" w:rsidRDefault="00B8298D" w:rsidP="00B8298D">
            <w:pPr>
              <w:jc w:val="center"/>
              <w:rPr>
                <w:rFonts w:ascii="Arial Narrow" w:hAnsi="Arial Narrow"/>
                <w:sz w:val="18"/>
                <w:szCs w:val="18"/>
              </w:rPr>
            </w:pPr>
            <w:r w:rsidRPr="0B02F8A5">
              <w:rPr>
                <w:rFonts w:ascii="Arial Narrow" w:hAnsi="Arial Narrow"/>
                <w:color w:val="000000" w:themeColor="text1"/>
                <w:sz w:val="18"/>
                <w:szCs w:val="18"/>
              </w:rPr>
              <w:t>1.71</w:t>
            </w:r>
          </w:p>
        </w:tc>
        <w:tc>
          <w:tcPr>
            <w:tcW w:w="527" w:type="pct"/>
            <w:shd w:val="clear" w:color="auto" w:fill="auto"/>
            <w:vAlign w:val="center"/>
            <w:hideMark/>
          </w:tcPr>
          <w:p w14:paraId="3B0654CA" w14:textId="77777777" w:rsidR="00B8298D" w:rsidRPr="003E03CF" w:rsidRDefault="00B8298D" w:rsidP="00B8298D">
            <w:pPr>
              <w:jc w:val="center"/>
              <w:rPr>
                <w:rFonts w:ascii="Arial Narrow" w:hAnsi="Arial Narrow"/>
                <w:sz w:val="18"/>
                <w:szCs w:val="18"/>
              </w:rPr>
            </w:pPr>
            <w:r w:rsidRPr="003E03CF">
              <w:rPr>
                <w:rFonts w:ascii="Arial Narrow" w:hAnsi="Arial Narrow"/>
                <w:color w:val="000000"/>
                <w:sz w:val="18"/>
                <w:szCs w:val="18"/>
              </w:rPr>
              <w:t>$35.04</w:t>
            </w:r>
          </w:p>
        </w:tc>
      </w:tr>
      <w:tr w:rsidR="00B8298D" w:rsidRPr="003E03CF" w14:paraId="55912909" w14:textId="77777777" w:rsidTr="00B8298D">
        <w:trPr>
          <w:jc w:val="center"/>
        </w:trPr>
        <w:tc>
          <w:tcPr>
            <w:tcW w:w="5000" w:type="pct"/>
            <w:gridSpan w:val="9"/>
            <w:shd w:val="clear" w:color="auto" w:fill="auto"/>
            <w:hideMark/>
          </w:tcPr>
          <w:p w14:paraId="10CE4DF3" w14:textId="77777777" w:rsidR="00B8298D" w:rsidRPr="003E03CF" w:rsidRDefault="00B8298D" w:rsidP="00B8298D">
            <w:pPr>
              <w:rPr>
                <w:rFonts w:ascii="Arial Narrow" w:hAnsi="Arial Narrow"/>
                <w:sz w:val="18"/>
                <w:szCs w:val="18"/>
              </w:rPr>
            </w:pPr>
            <w:r w:rsidRPr="003E03CF">
              <w:rPr>
                <w:rFonts w:ascii="Arial Narrow" w:hAnsi="Arial Narrow"/>
                <w:sz w:val="18"/>
                <w:szCs w:val="18"/>
              </w:rPr>
              <w:t>Footnotes</w:t>
            </w:r>
            <w:r>
              <w:rPr>
                <w:rFonts w:ascii="Arial Narrow" w:hAnsi="Arial Narrow"/>
                <w:sz w:val="18"/>
                <w:szCs w:val="18"/>
              </w:rPr>
              <w:t>:</w:t>
            </w:r>
            <w:r w:rsidRPr="003E03CF">
              <w:rPr>
                <w:rFonts w:ascii="Arial Narrow" w:hAnsi="Arial Narrow"/>
                <w:sz w:val="18"/>
                <w:szCs w:val="18"/>
              </w:rPr>
              <w:br/>
            </w:r>
            <w:r w:rsidRPr="003E03CF">
              <w:rPr>
                <w:rFonts w:ascii="Arial Narrow" w:hAnsi="Arial Narrow"/>
                <w:sz w:val="18"/>
                <w:szCs w:val="18"/>
                <w:vertAlign w:val="superscript"/>
              </w:rPr>
              <w:t>1</w:t>
            </w:r>
            <w:r w:rsidRPr="003E03CF">
              <w:rPr>
                <w:rFonts w:ascii="Arial Narrow" w:hAnsi="Arial Narrow"/>
                <w:sz w:val="18"/>
                <w:szCs w:val="18"/>
              </w:rPr>
              <w:t xml:space="preserve"> </w:t>
            </w:r>
            <w:r w:rsidRPr="003E03CF">
              <w:rPr>
                <w:rFonts w:ascii="Arial Narrow" w:hAnsi="Arial Narrow"/>
                <w:i/>
                <w:sz w:val="18"/>
                <w:szCs w:val="18"/>
              </w:rPr>
              <w:t>Employer Costs for Employee Compensation Supplementary Tables</w:t>
            </w:r>
            <w:r w:rsidRPr="003E03CF">
              <w:rPr>
                <w:rFonts w:ascii="Arial Narrow" w:hAnsi="Arial Narrow"/>
                <w:sz w:val="18"/>
                <w:szCs w:val="18"/>
              </w:rPr>
              <w:t>: December 2006 – December 2017 (</w:t>
            </w:r>
            <w:r>
              <w:rPr>
                <w:rFonts w:ascii="Arial Narrow" w:hAnsi="Arial Narrow"/>
                <w:sz w:val="18"/>
                <w:szCs w:val="18"/>
              </w:rPr>
              <w:t>BLS</w:t>
            </w:r>
            <w:r w:rsidRPr="003E03CF">
              <w:rPr>
                <w:rFonts w:ascii="Arial Narrow" w:hAnsi="Arial Narrow"/>
                <w:sz w:val="18"/>
                <w:szCs w:val="18"/>
              </w:rPr>
              <w:t>, 2018).</w:t>
            </w:r>
            <w:r w:rsidRPr="003E03CF">
              <w:rPr>
                <w:rFonts w:ascii="Arial Narrow" w:hAnsi="Arial Narrow"/>
                <w:sz w:val="18"/>
                <w:szCs w:val="18"/>
              </w:rPr>
              <w:br/>
            </w:r>
            <w:r w:rsidRPr="003E03CF">
              <w:rPr>
                <w:rFonts w:ascii="Arial Narrow" w:hAnsi="Arial Narrow"/>
                <w:sz w:val="18"/>
                <w:szCs w:val="18"/>
                <w:vertAlign w:val="superscript"/>
              </w:rPr>
              <w:t>2</w:t>
            </w:r>
            <w:r w:rsidRPr="003E03CF">
              <w:rPr>
                <w:rFonts w:ascii="Arial Narrow" w:hAnsi="Arial Narrow"/>
                <w:sz w:val="18"/>
                <w:szCs w:val="18"/>
              </w:rPr>
              <w:t xml:space="preserve"> An overhead rate of 17% is used based on assumptions in </w:t>
            </w:r>
            <w:r w:rsidRPr="003E03CF">
              <w:rPr>
                <w:rFonts w:ascii="Arial Narrow" w:hAnsi="Arial Narrow"/>
                <w:i/>
                <w:sz w:val="18"/>
                <w:szCs w:val="18"/>
              </w:rPr>
              <w:t>Wage Rates for Economic Analysis of the Toxics Release Inventory Program</w:t>
            </w:r>
            <w:r w:rsidRPr="003E03CF">
              <w:rPr>
                <w:rFonts w:ascii="Arial Narrow" w:hAnsi="Arial Narrow"/>
                <w:sz w:val="18"/>
                <w:szCs w:val="18"/>
              </w:rPr>
              <w:t xml:space="preserve"> (</w:t>
            </w:r>
            <w:r>
              <w:rPr>
                <w:rFonts w:ascii="Arial Narrow" w:hAnsi="Arial Narrow"/>
                <w:sz w:val="18"/>
                <w:szCs w:val="18"/>
              </w:rPr>
              <w:t>Rice</w:t>
            </w:r>
            <w:r w:rsidRPr="003E03CF">
              <w:rPr>
                <w:rFonts w:ascii="Arial Narrow" w:hAnsi="Arial Narrow"/>
                <w:sz w:val="18"/>
                <w:szCs w:val="18"/>
              </w:rPr>
              <w:t xml:space="preserve">, 2002), and the </w:t>
            </w:r>
            <w:r w:rsidRPr="003E03CF">
              <w:rPr>
                <w:rFonts w:ascii="Arial Narrow" w:hAnsi="Arial Narrow"/>
                <w:i/>
                <w:sz w:val="18"/>
                <w:szCs w:val="18"/>
              </w:rPr>
              <w:t>Revised Economic Analysis for the Amended Inventory Update Rule: Final Report</w:t>
            </w:r>
            <w:r w:rsidRPr="003E03CF">
              <w:rPr>
                <w:rFonts w:ascii="Arial Narrow" w:hAnsi="Arial Narrow"/>
                <w:sz w:val="18"/>
                <w:szCs w:val="18"/>
              </w:rPr>
              <w:t xml:space="preserve"> (EPA, 2002).</w:t>
            </w:r>
            <w:r w:rsidRPr="003E03CF">
              <w:rPr>
                <w:rFonts w:ascii="Arial Narrow" w:hAnsi="Arial Narrow"/>
                <w:sz w:val="18"/>
                <w:szCs w:val="18"/>
              </w:rPr>
              <w:br/>
            </w:r>
            <w:r w:rsidRPr="003E03CF">
              <w:rPr>
                <w:rFonts w:ascii="Arial Narrow" w:hAnsi="Arial Narrow"/>
                <w:sz w:val="18"/>
                <w:szCs w:val="18"/>
                <w:vertAlign w:val="superscript"/>
              </w:rPr>
              <w:t>3</w:t>
            </w:r>
            <w:r w:rsidRPr="003E03CF">
              <w:rPr>
                <w:rFonts w:ascii="Arial Narrow" w:hAnsi="Arial Narrow"/>
                <w:sz w:val="18"/>
                <w:szCs w:val="18"/>
              </w:rPr>
              <w:t xml:space="preserve"> The inflation factor of “1” in the formula for calculating the fringe + overhead factor means wage data are not escalated to reflect inflation.</w:t>
            </w:r>
            <w:r w:rsidRPr="003E03CF">
              <w:rPr>
                <w:rFonts w:ascii="Arial Narrow" w:hAnsi="Arial Narrow"/>
                <w:sz w:val="18"/>
                <w:szCs w:val="18"/>
              </w:rPr>
              <w:br/>
            </w:r>
            <w:r w:rsidRPr="003E03CF">
              <w:rPr>
                <w:rFonts w:ascii="Arial Narrow" w:hAnsi="Arial Narrow"/>
                <w:sz w:val="18"/>
                <w:szCs w:val="18"/>
                <w:vertAlign w:val="superscript"/>
              </w:rPr>
              <w:t>4</w:t>
            </w:r>
            <w:r w:rsidRPr="003E03CF">
              <w:rPr>
                <w:rFonts w:ascii="Arial Narrow" w:hAnsi="Arial Narrow"/>
                <w:sz w:val="18"/>
                <w:szCs w:val="18"/>
              </w:rPr>
              <w:t xml:space="preserve"> Wage data are rounded to the closest cent in this analysis.</w:t>
            </w:r>
          </w:p>
        </w:tc>
      </w:tr>
    </w:tbl>
    <w:p w14:paraId="3CE01C3B" w14:textId="77777777" w:rsidR="00B8298D" w:rsidRPr="006567EE" w:rsidRDefault="00B8298D" w:rsidP="00B8298D"/>
    <w:p w14:paraId="7CA7D4BA" w14:textId="09847A64" w:rsidR="004C275D" w:rsidRDefault="00B8298D" w:rsidP="00B8298D">
      <w:pPr>
        <w:pStyle w:val="BodyText"/>
      </w:pPr>
      <w:r>
        <w:t xml:space="preserve">Unit reporter burden and reporter cost per site are derived for reportable data elements, CBI substantiation, and the incremental increases in rule familiarization and compliance determination associated with byproduct provisions and the SMD Update in </w:t>
      </w:r>
      <w:r>
        <w:fldChar w:fldCharType="begin"/>
      </w:r>
      <w:r>
        <w:instrText xml:space="preserve"> REF _Ref526353586 \h </w:instrText>
      </w:r>
      <w:r>
        <w:fldChar w:fldCharType="separate"/>
      </w:r>
      <w:r w:rsidR="00745E52">
        <w:t xml:space="preserve">Table </w:t>
      </w:r>
      <w:r w:rsidR="00745E52">
        <w:rPr>
          <w:noProof/>
        </w:rPr>
        <w:t>8</w:t>
      </w:r>
      <w:r>
        <w:fldChar w:fldCharType="end"/>
      </w:r>
      <w:r>
        <w:t>.</w:t>
      </w:r>
      <w:r w:rsidRPr="00A4148E">
        <w:t xml:space="preserve"> </w:t>
      </w:r>
      <w:r w:rsidRPr="009E313C">
        <w:t xml:space="preserve">EPA estimates </w:t>
      </w:r>
      <w:r>
        <w:t>incremental reporter burden and cost at approximately nine</w:t>
      </w:r>
      <w:r w:rsidRPr="00781C0F">
        <w:t xml:space="preserve"> hours and $</w:t>
      </w:r>
      <w:r>
        <w:t xml:space="preserve">678 per industry site and approximately nine hours and $671 per government site per four-year reporting cycle. </w:t>
      </w:r>
      <w:bookmarkStart w:id="85" w:name="_Ref524344792"/>
    </w:p>
    <w:p w14:paraId="219C150C" w14:textId="77777777" w:rsidR="004C275D" w:rsidRDefault="004C275D">
      <w:pPr>
        <w:spacing w:after="200" w:line="276" w:lineRule="auto"/>
        <w:rPr>
          <w:rFonts w:eastAsia="Times New Roman" w:cs="Times New Roman"/>
        </w:rPr>
      </w:pPr>
      <w:r>
        <w:br w:type="page"/>
      </w:r>
    </w:p>
    <w:p w14:paraId="392536BA" w14:textId="77777777" w:rsidR="00B8298D" w:rsidRDefault="00B8298D" w:rsidP="00B8298D">
      <w:pPr>
        <w:pStyle w:val="BodyText"/>
      </w:pPr>
    </w:p>
    <w:tbl>
      <w:tblPr>
        <w:tblW w:w="5000" w:type="pct"/>
        <w:jc w:val="center"/>
        <w:tblLook w:val="04A0" w:firstRow="1" w:lastRow="0" w:firstColumn="1" w:lastColumn="0" w:noHBand="0" w:noVBand="1"/>
      </w:tblPr>
      <w:tblGrid>
        <w:gridCol w:w="6802"/>
        <w:gridCol w:w="1420"/>
        <w:gridCol w:w="1354"/>
      </w:tblGrid>
      <w:tr w:rsidR="00B8298D" w:rsidRPr="0026317C" w14:paraId="7DDCCF4C" w14:textId="77777777" w:rsidTr="00B8298D">
        <w:trPr>
          <w:tblHeader/>
          <w:jc w:val="center"/>
        </w:trPr>
        <w:tc>
          <w:tcPr>
            <w:tcW w:w="9360" w:type="dxa"/>
            <w:gridSpan w:val="3"/>
            <w:tcBorders>
              <w:top w:val="nil"/>
              <w:left w:val="nil"/>
              <w:bottom w:val="single" w:sz="4" w:space="0" w:color="auto"/>
              <w:right w:val="nil"/>
            </w:tcBorders>
            <w:shd w:val="clear" w:color="auto" w:fill="auto"/>
            <w:vAlign w:val="bottom"/>
            <w:hideMark/>
          </w:tcPr>
          <w:p w14:paraId="4D98E6D8" w14:textId="126A43D3" w:rsidR="00B8298D" w:rsidRPr="00B0518F" w:rsidRDefault="00B8298D" w:rsidP="00B8298D">
            <w:pPr>
              <w:pStyle w:val="Caption"/>
              <w:keepNext/>
              <w:rPr>
                <w:b w:val="0"/>
                <w:bCs w:val="0"/>
              </w:rPr>
            </w:pPr>
            <w:bookmarkStart w:id="86" w:name="_Ref526353586"/>
            <w:bookmarkStart w:id="87" w:name="_Ref525829571"/>
            <w:bookmarkStart w:id="88" w:name="_Ref525826990"/>
            <w:r>
              <w:t xml:space="preserve">Table </w:t>
            </w:r>
            <w:r>
              <w:rPr>
                <w:noProof/>
              </w:rPr>
              <w:fldChar w:fldCharType="begin"/>
            </w:r>
            <w:r>
              <w:rPr>
                <w:noProof/>
              </w:rPr>
              <w:instrText xml:space="preserve"> SEQ Table \* ARABIC </w:instrText>
            </w:r>
            <w:r>
              <w:rPr>
                <w:noProof/>
              </w:rPr>
              <w:fldChar w:fldCharType="separate"/>
            </w:r>
            <w:r w:rsidR="00745E52">
              <w:rPr>
                <w:noProof/>
              </w:rPr>
              <w:t>8</w:t>
            </w:r>
            <w:r>
              <w:rPr>
                <w:noProof/>
              </w:rPr>
              <w:fldChar w:fldCharType="end"/>
            </w:r>
            <w:bookmarkEnd w:id="85"/>
            <w:bookmarkEnd w:id="86"/>
            <w:bookmarkEnd w:id="87"/>
            <w:bookmarkEnd w:id="88"/>
            <w:r>
              <w:t xml:space="preserve">: </w:t>
            </w:r>
            <w:r w:rsidRPr="0026317C">
              <w:rPr>
                <w:rFonts w:eastAsia="Times New Roman" w:cs="Times New Roman"/>
                <w:color w:val="000000"/>
              </w:rPr>
              <w:t>Incremental Unit Burden and Cost</w:t>
            </w:r>
            <w:r>
              <w:rPr>
                <w:rFonts w:eastAsia="Times New Roman" w:cs="Times New Roman"/>
                <w:color w:val="000000"/>
              </w:rPr>
              <w:t xml:space="preserve"> per Site</w:t>
            </w:r>
            <w:r w:rsidRPr="0026317C">
              <w:rPr>
                <w:rFonts w:eastAsia="Times New Roman" w:cs="Times New Roman"/>
                <w:color w:val="000000"/>
              </w:rPr>
              <w:t xml:space="preserve">, </w:t>
            </w:r>
            <w:r>
              <w:rPr>
                <w:rFonts w:eastAsia="Times New Roman" w:cs="Times New Roman"/>
                <w:color w:val="000000"/>
              </w:rPr>
              <w:t xml:space="preserve">Four-Year Cycle, </w:t>
            </w:r>
            <w:r w:rsidRPr="0026317C">
              <w:rPr>
                <w:rFonts w:eastAsia="Times New Roman" w:cs="Times New Roman"/>
                <w:color w:val="000000"/>
              </w:rPr>
              <w:t>Experienced and New Reporters</w:t>
            </w:r>
            <w:r>
              <w:rPr>
                <w:rFonts w:eastAsia="Times New Roman" w:cs="Times New Roman"/>
                <w:color w:val="000000"/>
              </w:rPr>
              <w:t>, Industry and Government</w:t>
            </w:r>
          </w:p>
        </w:tc>
      </w:tr>
      <w:tr w:rsidR="00B8298D" w:rsidRPr="0026317C" w14:paraId="06ADC642" w14:textId="77777777" w:rsidTr="00565011">
        <w:trPr>
          <w:tblHeader/>
          <w:jc w:val="center"/>
        </w:trPr>
        <w:tc>
          <w:tcPr>
            <w:tcW w:w="6649" w:type="dxa"/>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1B0986DB" w14:textId="77777777" w:rsidR="00B8298D" w:rsidRPr="000B0C5D" w:rsidRDefault="00B8298D" w:rsidP="00B8298D">
            <w:pPr>
              <w:rPr>
                <w:rFonts w:ascii="Arial Narrow" w:eastAsia="Times New Roman" w:hAnsi="Arial Narrow" w:cs="Calibri"/>
                <w:b/>
                <w:bCs/>
                <w:color w:val="000000"/>
                <w:sz w:val="18"/>
                <w:szCs w:val="18"/>
              </w:rPr>
            </w:pPr>
          </w:p>
        </w:tc>
        <w:tc>
          <w:tcPr>
            <w:tcW w:w="1388" w:type="dxa"/>
            <w:tcBorders>
              <w:top w:val="nil"/>
              <w:left w:val="nil"/>
              <w:bottom w:val="single" w:sz="4" w:space="0" w:color="auto"/>
              <w:right w:val="single" w:sz="4" w:space="0" w:color="auto"/>
            </w:tcBorders>
            <w:shd w:val="clear" w:color="auto" w:fill="BFBFBF" w:themeFill="background1" w:themeFillShade="BF"/>
            <w:vAlign w:val="bottom"/>
            <w:hideMark/>
          </w:tcPr>
          <w:p w14:paraId="578736EE" w14:textId="77777777" w:rsidR="00B8298D" w:rsidRPr="000B0C5D" w:rsidRDefault="00B8298D" w:rsidP="00B8298D">
            <w:pPr>
              <w:jc w:val="center"/>
              <w:rPr>
                <w:rFonts w:ascii="Arial Narrow" w:eastAsia="Times New Roman" w:hAnsi="Arial Narrow" w:cs="Calibri"/>
                <w:b/>
                <w:bCs/>
                <w:color w:val="000000"/>
                <w:sz w:val="18"/>
                <w:szCs w:val="18"/>
              </w:rPr>
            </w:pPr>
            <w:r w:rsidRPr="000B0C5D">
              <w:rPr>
                <w:rFonts w:ascii="Arial Narrow" w:eastAsia="Times New Roman" w:hAnsi="Arial Narrow" w:cs="Calibri"/>
                <w:b/>
                <w:bCs/>
                <w:color w:val="000000"/>
                <w:sz w:val="18"/>
                <w:szCs w:val="18"/>
              </w:rPr>
              <w:t>Overall average burden per site (hours)</w:t>
            </w:r>
          </w:p>
        </w:tc>
        <w:tc>
          <w:tcPr>
            <w:tcW w:w="1323" w:type="dxa"/>
            <w:tcBorders>
              <w:top w:val="nil"/>
              <w:left w:val="nil"/>
              <w:bottom w:val="single" w:sz="4" w:space="0" w:color="auto"/>
              <w:right w:val="single" w:sz="4" w:space="0" w:color="auto"/>
            </w:tcBorders>
            <w:shd w:val="clear" w:color="auto" w:fill="BFBFBF" w:themeFill="background1" w:themeFillShade="BF"/>
            <w:vAlign w:val="bottom"/>
            <w:hideMark/>
          </w:tcPr>
          <w:p w14:paraId="79532B37" w14:textId="77777777" w:rsidR="00B8298D" w:rsidRPr="000B0C5D" w:rsidRDefault="00B8298D" w:rsidP="00B8298D">
            <w:pPr>
              <w:jc w:val="center"/>
              <w:rPr>
                <w:rFonts w:ascii="Arial Narrow" w:eastAsia="Times New Roman" w:hAnsi="Arial Narrow" w:cs="Calibri"/>
                <w:b/>
                <w:bCs/>
                <w:color w:val="000000"/>
                <w:sz w:val="18"/>
                <w:szCs w:val="18"/>
              </w:rPr>
            </w:pPr>
            <w:r w:rsidRPr="000B0C5D">
              <w:rPr>
                <w:rFonts w:ascii="Arial Narrow" w:eastAsia="Times New Roman" w:hAnsi="Arial Narrow" w:cs="Calibri"/>
                <w:b/>
                <w:bCs/>
                <w:color w:val="000000"/>
                <w:sz w:val="18"/>
                <w:szCs w:val="18"/>
              </w:rPr>
              <w:t>Overall average cost per site (2017$)</w:t>
            </w:r>
          </w:p>
        </w:tc>
      </w:tr>
      <w:tr w:rsidR="00B8298D" w:rsidRPr="0026317C" w14:paraId="118C371B" w14:textId="77777777" w:rsidTr="00B8298D">
        <w:trPr>
          <w:jc w:val="center"/>
        </w:trPr>
        <w:tc>
          <w:tcPr>
            <w:tcW w:w="936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39B8D65" w14:textId="77777777" w:rsidR="00B8298D" w:rsidRPr="000B0C5D" w:rsidRDefault="00B8298D" w:rsidP="00B8298D">
            <w:pPr>
              <w:rPr>
                <w:rFonts w:ascii="Arial Narrow" w:eastAsia="Times New Roman" w:hAnsi="Arial Narrow" w:cs="Calibri"/>
                <w:b/>
                <w:bCs/>
                <w:color w:val="000000"/>
                <w:sz w:val="18"/>
                <w:szCs w:val="18"/>
              </w:rPr>
            </w:pPr>
            <w:r w:rsidRPr="000B0C5D">
              <w:rPr>
                <w:rFonts w:ascii="Arial Narrow" w:eastAsia="Times New Roman" w:hAnsi="Arial Narrow" w:cs="Calibri"/>
                <w:b/>
                <w:bCs/>
                <w:color w:val="000000"/>
                <w:sz w:val="18"/>
                <w:szCs w:val="18"/>
              </w:rPr>
              <w:t>Universal Changes</w:t>
            </w:r>
          </w:p>
        </w:tc>
      </w:tr>
      <w:tr w:rsidR="00B8298D" w:rsidRPr="0026317C" w14:paraId="44AEAC5C" w14:textId="77777777" w:rsidTr="00B8298D">
        <w:trPr>
          <w:jc w:val="center"/>
        </w:trPr>
        <w:tc>
          <w:tcPr>
            <w:tcW w:w="9360" w:type="dxa"/>
            <w:gridSpan w:val="3"/>
            <w:tcBorders>
              <w:top w:val="nil"/>
              <w:left w:val="single" w:sz="4" w:space="0" w:color="auto"/>
              <w:bottom w:val="single" w:sz="4" w:space="0" w:color="auto"/>
              <w:right w:val="single" w:sz="4" w:space="0" w:color="auto"/>
            </w:tcBorders>
            <w:shd w:val="clear" w:color="auto" w:fill="auto"/>
            <w:vAlign w:val="center"/>
          </w:tcPr>
          <w:p w14:paraId="4B2AD15D" w14:textId="77777777" w:rsidR="00B8298D" w:rsidRPr="008C5171" w:rsidRDefault="00B8298D" w:rsidP="00B8298D">
            <w:pPr>
              <w:rPr>
                <w:rFonts w:ascii="Arial Narrow" w:eastAsia="Times New Roman" w:hAnsi="Arial Narrow" w:cs="Calibri"/>
                <w:b/>
                <w:color w:val="000000"/>
                <w:sz w:val="18"/>
                <w:szCs w:val="18"/>
              </w:rPr>
            </w:pPr>
            <w:r w:rsidRPr="008C5171">
              <w:rPr>
                <w:rFonts w:ascii="Arial Narrow" w:eastAsia="Times New Roman" w:hAnsi="Arial Narrow" w:cs="Calibri"/>
                <w:b/>
                <w:color w:val="000000"/>
                <w:sz w:val="18"/>
                <w:szCs w:val="18"/>
              </w:rPr>
              <w:t>Industry</w:t>
            </w:r>
          </w:p>
        </w:tc>
      </w:tr>
      <w:tr w:rsidR="00B8298D" w:rsidRPr="0026317C" w14:paraId="165E85C6" w14:textId="77777777" w:rsidTr="00565011">
        <w:trPr>
          <w:jc w:val="center"/>
        </w:trPr>
        <w:tc>
          <w:tcPr>
            <w:tcW w:w="6649" w:type="dxa"/>
            <w:tcBorders>
              <w:top w:val="nil"/>
              <w:left w:val="single" w:sz="4" w:space="0" w:color="auto"/>
              <w:bottom w:val="single" w:sz="4" w:space="0" w:color="auto"/>
              <w:right w:val="single" w:sz="4" w:space="0" w:color="auto"/>
            </w:tcBorders>
            <w:shd w:val="clear" w:color="auto" w:fill="auto"/>
            <w:vAlign w:val="center"/>
            <w:hideMark/>
          </w:tcPr>
          <w:p w14:paraId="7C171B83" w14:textId="77777777" w:rsidR="00B8298D" w:rsidRPr="000B0C5D" w:rsidRDefault="00B8298D" w:rsidP="00B8298D">
            <w:pPr>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Reportable Data Elements and CBI Substantiation, including incremental rule familiarization and compliance determination</w:t>
            </w:r>
          </w:p>
        </w:tc>
        <w:tc>
          <w:tcPr>
            <w:tcW w:w="1388" w:type="dxa"/>
            <w:tcBorders>
              <w:top w:val="nil"/>
              <w:left w:val="nil"/>
              <w:bottom w:val="single" w:sz="4" w:space="0" w:color="auto"/>
              <w:right w:val="single" w:sz="4" w:space="0" w:color="auto"/>
            </w:tcBorders>
            <w:shd w:val="clear" w:color="auto" w:fill="auto"/>
            <w:noWrap/>
            <w:vAlign w:val="center"/>
            <w:hideMark/>
          </w:tcPr>
          <w:p w14:paraId="1D87657B" w14:textId="38D56408" w:rsidR="00B8298D" w:rsidRPr="000B0C5D"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7.919</w:t>
            </w:r>
          </w:p>
        </w:tc>
        <w:tc>
          <w:tcPr>
            <w:tcW w:w="1323" w:type="dxa"/>
            <w:tcBorders>
              <w:top w:val="nil"/>
              <w:left w:val="nil"/>
              <w:bottom w:val="single" w:sz="4" w:space="0" w:color="auto"/>
              <w:right w:val="single" w:sz="4" w:space="0" w:color="auto"/>
            </w:tcBorders>
            <w:shd w:val="clear" w:color="auto" w:fill="auto"/>
            <w:noWrap/>
            <w:vAlign w:val="center"/>
            <w:hideMark/>
          </w:tcPr>
          <w:p w14:paraId="6E4CE0F2" w14:textId="6D6B5FD8" w:rsidR="00B8298D" w:rsidRPr="000B0C5D" w:rsidRDefault="00B8298D" w:rsidP="00B8298D">
            <w:pPr>
              <w:jc w:val="right"/>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614.87</w:t>
            </w:r>
          </w:p>
        </w:tc>
      </w:tr>
      <w:tr w:rsidR="00B8298D" w:rsidRPr="0026317C" w14:paraId="64844526" w14:textId="77777777" w:rsidTr="00565011">
        <w:trPr>
          <w:jc w:val="center"/>
        </w:trPr>
        <w:tc>
          <w:tcPr>
            <w:tcW w:w="6649" w:type="dxa"/>
            <w:tcBorders>
              <w:top w:val="nil"/>
              <w:left w:val="single" w:sz="4" w:space="0" w:color="auto"/>
              <w:bottom w:val="single" w:sz="4" w:space="0" w:color="auto"/>
              <w:right w:val="single" w:sz="4" w:space="0" w:color="auto"/>
            </w:tcBorders>
            <w:shd w:val="clear" w:color="auto" w:fill="auto"/>
            <w:vAlign w:val="center"/>
            <w:hideMark/>
          </w:tcPr>
          <w:p w14:paraId="433EB919" w14:textId="77777777" w:rsidR="00B8298D" w:rsidRPr="000B0C5D" w:rsidRDefault="00B8298D" w:rsidP="00B8298D">
            <w:pPr>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Byproduct Provisions incremental rule familiarization and compliance determination</w:t>
            </w:r>
          </w:p>
        </w:tc>
        <w:tc>
          <w:tcPr>
            <w:tcW w:w="1388" w:type="dxa"/>
            <w:tcBorders>
              <w:top w:val="nil"/>
              <w:left w:val="nil"/>
              <w:bottom w:val="single" w:sz="4" w:space="0" w:color="auto"/>
              <w:right w:val="single" w:sz="4" w:space="0" w:color="auto"/>
            </w:tcBorders>
            <w:shd w:val="clear" w:color="auto" w:fill="auto"/>
            <w:noWrap/>
            <w:vAlign w:val="center"/>
            <w:hideMark/>
          </w:tcPr>
          <w:p w14:paraId="584FC873" w14:textId="77777777" w:rsidR="00B8298D" w:rsidRPr="000B0C5D" w:rsidRDefault="00B8298D" w:rsidP="00B8298D">
            <w:pPr>
              <w:jc w:val="right"/>
              <w:rPr>
                <w:rFonts w:ascii="Arial Narrow" w:eastAsia="Times New Roman" w:hAnsi="Arial Narrow" w:cs="Calibri"/>
                <w:color w:val="000000" w:themeColor="text1"/>
                <w:sz w:val="18"/>
                <w:szCs w:val="18"/>
              </w:rPr>
            </w:pPr>
            <w:r w:rsidRPr="000B0C5D">
              <w:rPr>
                <w:rFonts w:ascii="Arial Narrow" w:eastAsia="Times New Roman" w:hAnsi="Arial Narrow" w:cs="Calibri"/>
                <w:color w:val="000000" w:themeColor="text1"/>
                <w:sz w:val="18"/>
                <w:szCs w:val="18"/>
              </w:rPr>
              <w:t>0.552</w:t>
            </w:r>
          </w:p>
        </w:tc>
        <w:tc>
          <w:tcPr>
            <w:tcW w:w="1323" w:type="dxa"/>
            <w:tcBorders>
              <w:top w:val="nil"/>
              <w:left w:val="nil"/>
              <w:bottom w:val="single" w:sz="4" w:space="0" w:color="auto"/>
              <w:right w:val="single" w:sz="4" w:space="0" w:color="auto"/>
            </w:tcBorders>
            <w:shd w:val="clear" w:color="auto" w:fill="auto"/>
            <w:noWrap/>
            <w:vAlign w:val="center"/>
            <w:hideMark/>
          </w:tcPr>
          <w:p w14:paraId="07C9D1DA" w14:textId="77777777" w:rsidR="00B8298D" w:rsidRPr="000B0C5D" w:rsidRDefault="00B8298D" w:rsidP="00B8298D">
            <w:pPr>
              <w:jc w:val="right"/>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$42.82</w:t>
            </w:r>
          </w:p>
        </w:tc>
      </w:tr>
      <w:tr w:rsidR="00B8298D" w:rsidRPr="0026317C" w14:paraId="159F1905" w14:textId="77777777" w:rsidTr="00565011">
        <w:trPr>
          <w:jc w:val="center"/>
        </w:trPr>
        <w:tc>
          <w:tcPr>
            <w:tcW w:w="6649" w:type="dxa"/>
            <w:tcBorders>
              <w:top w:val="nil"/>
              <w:left w:val="single" w:sz="4" w:space="0" w:color="auto"/>
              <w:bottom w:val="single" w:sz="12" w:space="0" w:color="auto"/>
              <w:right w:val="single" w:sz="4" w:space="0" w:color="auto"/>
            </w:tcBorders>
            <w:shd w:val="clear" w:color="auto" w:fill="auto"/>
            <w:vAlign w:val="center"/>
            <w:hideMark/>
          </w:tcPr>
          <w:p w14:paraId="415DC268" w14:textId="77777777" w:rsidR="00B8298D" w:rsidRPr="000B0C5D"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0B0C5D">
              <w:rPr>
                <w:rFonts w:ascii="Arial Narrow" w:eastAsia="Times New Roman" w:hAnsi="Arial Narrow" w:cs="Calibri"/>
                <w:color w:val="000000"/>
                <w:sz w:val="18"/>
                <w:szCs w:val="18"/>
              </w:rPr>
              <w:t>8(a) SMD incremental rule familiarization and compliance determination</w:t>
            </w:r>
          </w:p>
        </w:tc>
        <w:tc>
          <w:tcPr>
            <w:tcW w:w="1388" w:type="dxa"/>
            <w:tcBorders>
              <w:top w:val="nil"/>
              <w:left w:val="nil"/>
              <w:bottom w:val="single" w:sz="12" w:space="0" w:color="auto"/>
              <w:right w:val="single" w:sz="4" w:space="0" w:color="auto"/>
            </w:tcBorders>
            <w:shd w:val="clear" w:color="auto" w:fill="auto"/>
            <w:noWrap/>
            <w:vAlign w:val="center"/>
            <w:hideMark/>
          </w:tcPr>
          <w:p w14:paraId="44F7F66F" w14:textId="77777777" w:rsidR="00B8298D" w:rsidRPr="000B0C5D" w:rsidRDefault="00B8298D" w:rsidP="00B8298D">
            <w:pPr>
              <w:jc w:val="right"/>
              <w:rPr>
                <w:rFonts w:ascii="Arial Narrow" w:eastAsia="Times New Roman" w:hAnsi="Arial Narrow" w:cs="Calibri"/>
                <w:color w:val="000000" w:themeColor="text1"/>
                <w:sz w:val="18"/>
                <w:szCs w:val="18"/>
              </w:rPr>
            </w:pPr>
            <w:r w:rsidRPr="000B0C5D">
              <w:rPr>
                <w:rFonts w:ascii="Arial Narrow" w:eastAsia="Times New Roman" w:hAnsi="Arial Narrow" w:cs="Calibri"/>
                <w:color w:val="000000" w:themeColor="text1"/>
                <w:sz w:val="18"/>
                <w:szCs w:val="18"/>
              </w:rPr>
              <w:t>0.256</w:t>
            </w:r>
          </w:p>
        </w:tc>
        <w:tc>
          <w:tcPr>
            <w:tcW w:w="1323" w:type="dxa"/>
            <w:tcBorders>
              <w:top w:val="nil"/>
              <w:left w:val="nil"/>
              <w:bottom w:val="single" w:sz="12" w:space="0" w:color="auto"/>
              <w:right w:val="single" w:sz="4" w:space="0" w:color="auto"/>
            </w:tcBorders>
            <w:shd w:val="clear" w:color="auto" w:fill="auto"/>
            <w:noWrap/>
            <w:vAlign w:val="center"/>
            <w:hideMark/>
          </w:tcPr>
          <w:p w14:paraId="77B5D451" w14:textId="77777777" w:rsidR="00B8298D" w:rsidRPr="000B0C5D" w:rsidRDefault="00B8298D" w:rsidP="00B8298D">
            <w:pPr>
              <w:jc w:val="right"/>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$19.89</w:t>
            </w:r>
          </w:p>
        </w:tc>
      </w:tr>
      <w:tr w:rsidR="00B8298D" w:rsidRPr="0026317C" w14:paraId="20516330" w14:textId="77777777" w:rsidTr="00565011">
        <w:trPr>
          <w:jc w:val="center"/>
        </w:trPr>
        <w:tc>
          <w:tcPr>
            <w:tcW w:w="6649" w:type="dxa"/>
            <w:tcBorders>
              <w:top w:val="single" w:sz="12" w:space="0" w:color="auto"/>
              <w:left w:val="single" w:sz="4" w:space="0" w:color="auto"/>
              <w:bottom w:val="single" w:sz="12" w:space="0" w:color="auto"/>
              <w:right w:val="single" w:sz="4" w:space="0" w:color="auto"/>
            </w:tcBorders>
            <w:shd w:val="clear" w:color="auto" w:fill="auto"/>
            <w:vAlign w:val="center"/>
          </w:tcPr>
          <w:p w14:paraId="138F9662" w14:textId="77777777" w:rsidR="00B8298D" w:rsidRPr="000B0C5D" w:rsidRDefault="00B8298D" w:rsidP="00B8298D">
            <w:pPr>
              <w:rPr>
                <w:rFonts w:ascii="Arial Narrow" w:eastAsia="Times New Roman" w:hAnsi="Arial Narrow" w:cs="Calibri"/>
                <w:color w:val="000000"/>
                <w:sz w:val="18"/>
                <w:szCs w:val="18"/>
              </w:rPr>
            </w:pPr>
            <w:r w:rsidRPr="000B0C5D">
              <w:rPr>
                <w:rFonts w:ascii="Arial Narrow" w:eastAsia="Times New Roman" w:hAnsi="Arial Narrow" w:cs="Calibri"/>
                <w:b/>
                <w:bCs/>
                <w:color w:val="000000"/>
                <w:sz w:val="18"/>
                <w:szCs w:val="18"/>
              </w:rPr>
              <w:t>Industry Total</w:t>
            </w:r>
          </w:p>
        </w:tc>
        <w:tc>
          <w:tcPr>
            <w:tcW w:w="1388" w:type="dxa"/>
            <w:tcBorders>
              <w:top w:val="single" w:sz="12" w:space="0" w:color="auto"/>
              <w:left w:val="nil"/>
              <w:bottom w:val="single" w:sz="12" w:space="0" w:color="auto"/>
              <w:right w:val="single" w:sz="4" w:space="0" w:color="auto"/>
            </w:tcBorders>
            <w:shd w:val="clear" w:color="auto" w:fill="auto"/>
            <w:noWrap/>
            <w:vAlign w:val="center"/>
          </w:tcPr>
          <w:p w14:paraId="0688DE9C" w14:textId="43C48F4D" w:rsidR="00B8298D" w:rsidRPr="000B0C5D"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b/>
                <w:bCs/>
                <w:color w:val="000000" w:themeColor="text1"/>
                <w:sz w:val="18"/>
                <w:szCs w:val="18"/>
              </w:rPr>
              <w:t>8.727</w:t>
            </w:r>
          </w:p>
        </w:tc>
        <w:tc>
          <w:tcPr>
            <w:tcW w:w="1323" w:type="dxa"/>
            <w:tcBorders>
              <w:top w:val="single" w:sz="12" w:space="0" w:color="auto"/>
              <w:left w:val="nil"/>
              <w:bottom w:val="single" w:sz="12" w:space="0" w:color="auto"/>
              <w:right w:val="single" w:sz="4" w:space="0" w:color="auto"/>
            </w:tcBorders>
            <w:shd w:val="clear" w:color="auto" w:fill="auto"/>
            <w:noWrap/>
            <w:vAlign w:val="center"/>
          </w:tcPr>
          <w:p w14:paraId="4BD0B234" w14:textId="66BA54A3" w:rsidR="00B8298D" w:rsidRPr="000B0C5D" w:rsidRDefault="00B8298D" w:rsidP="00B8298D">
            <w:pPr>
              <w:jc w:val="right"/>
              <w:rPr>
                <w:rFonts w:ascii="Arial Narrow" w:eastAsia="Times New Roman" w:hAnsi="Arial Narrow" w:cs="Calibri"/>
                <w:color w:val="000000"/>
                <w:sz w:val="18"/>
                <w:szCs w:val="18"/>
              </w:rPr>
            </w:pPr>
            <w:r w:rsidRPr="000B0C5D">
              <w:rPr>
                <w:rFonts w:ascii="Arial Narrow" w:eastAsia="Times New Roman" w:hAnsi="Arial Narrow" w:cs="Calibri"/>
                <w:b/>
                <w:bCs/>
                <w:color w:val="000000"/>
                <w:sz w:val="18"/>
                <w:szCs w:val="18"/>
              </w:rPr>
              <w:t>$</w:t>
            </w:r>
            <w:r>
              <w:rPr>
                <w:rFonts w:ascii="Arial Narrow" w:eastAsia="Times New Roman" w:hAnsi="Arial Narrow" w:cs="Calibri"/>
                <w:b/>
                <w:bCs/>
                <w:color w:val="000000"/>
                <w:sz w:val="18"/>
                <w:szCs w:val="18"/>
              </w:rPr>
              <w:t>677.58</w:t>
            </w:r>
          </w:p>
        </w:tc>
      </w:tr>
      <w:tr w:rsidR="00B8298D" w:rsidRPr="0026317C" w14:paraId="3A6758DA" w14:textId="77777777" w:rsidTr="00B8298D">
        <w:trPr>
          <w:jc w:val="center"/>
        </w:trPr>
        <w:tc>
          <w:tcPr>
            <w:tcW w:w="9360" w:type="dxa"/>
            <w:gridSpan w:val="3"/>
            <w:tcBorders>
              <w:top w:val="single" w:sz="12" w:space="0" w:color="auto"/>
              <w:left w:val="single" w:sz="4" w:space="0" w:color="auto"/>
              <w:bottom w:val="single" w:sz="2" w:space="0" w:color="auto"/>
              <w:right w:val="single" w:sz="4" w:space="0" w:color="auto"/>
            </w:tcBorders>
            <w:shd w:val="clear" w:color="auto" w:fill="auto"/>
            <w:vAlign w:val="center"/>
          </w:tcPr>
          <w:p w14:paraId="6D56EA4C" w14:textId="77777777" w:rsidR="00B8298D" w:rsidRPr="000B0C5D" w:rsidRDefault="00B8298D" w:rsidP="00B8298D">
            <w:pPr>
              <w:rPr>
                <w:rFonts w:ascii="Arial Narrow" w:eastAsia="Times New Roman" w:hAnsi="Arial Narrow" w:cs="Calibri"/>
                <w:color w:val="000000"/>
                <w:sz w:val="18"/>
                <w:szCs w:val="18"/>
              </w:rPr>
            </w:pPr>
            <w:r w:rsidRPr="008C5171">
              <w:rPr>
                <w:rFonts w:ascii="Arial Narrow" w:eastAsia="Times New Roman" w:hAnsi="Arial Narrow" w:cs="Calibri"/>
                <w:b/>
                <w:color w:val="000000"/>
                <w:sz w:val="18"/>
                <w:szCs w:val="18"/>
              </w:rPr>
              <w:t>Government</w:t>
            </w:r>
          </w:p>
        </w:tc>
      </w:tr>
      <w:tr w:rsidR="00B8298D" w:rsidRPr="0026317C" w14:paraId="169C3315" w14:textId="77777777" w:rsidTr="00565011">
        <w:trPr>
          <w:jc w:val="center"/>
        </w:trPr>
        <w:tc>
          <w:tcPr>
            <w:tcW w:w="6649" w:type="dxa"/>
            <w:tcBorders>
              <w:top w:val="nil"/>
              <w:left w:val="single" w:sz="4" w:space="0" w:color="auto"/>
              <w:bottom w:val="single" w:sz="2" w:space="0" w:color="auto"/>
              <w:right w:val="single" w:sz="4" w:space="0" w:color="auto"/>
            </w:tcBorders>
            <w:shd w:val="clear" w:color="auto" w:fill="auto"/>
            <w:vAlign w:val="center"/>
          </w:tcPr>
          <w:p w14:paraId="29C864C2" w14:textId="77777777" w:rsidR="00B8298D" w:rsidRPr="000B0C5D" w:rsidRDefault="00B8298D" w:rsidP="00B8298D">
            <w:pPr>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Reportable Data Elements and CBI Substantiation, including incremental rule familiarization and compliance determination</w:t>
            </w:r>
          </w:p>
        </w:tc>
        <w:tc>
          <w:tcPr>
            <w:tcW w:w="1388" w:type="dxa"/>
            <w:tcBorders>
              <w:top w:val="nil"/>
              <w:left w:val="nil"/>
              <w:bottom w:val="single" w:sz="2" w:space="0" w:color="auto"/>
              <w:right w:val="single" w:sz="4" w:space="0" w:color="auto"/>
            </w:tcBorders>
            <w:shd w:val="clear" w:color="auto" w:fill="auto"/>
            <w:noWrap/>
            <w:vAlign w:val="center"/>
          </w:tcPr>
          <w:p w14:paraId="07CE3DD9" w14:textId="154DDEFD" w:rsidR="00B8298D" w:rsidRPr="000B0C5D" w:rsidRDefault="00B8298D" w:rsidP="00B8298D">
            <w:pPr>
              <w:jc w:val="right"/>
              <w:rPr>
                <w:rFonts w:ascii="Arial Narrow" w:eastAsia="Times New Roman" w:hAnsi="Arial Narrow" w:cs="Calibri"/>
                <w:color w:val="000000" w:themeColor="text1"/>
                <w:sz w:val="18"/>
                <w:szCs w:val="18"/>
              </w:rPr>
            </w:pPr>
            <w:r w:rsidRPr="007B4CA0">
              <w:rPr>
                <w:rFonts w:ascii="Arial Narrow" w:eastAsia="Times New Roman" w:hAnsi="Arial Narrow" w:cs="Calibri"/>
                <w:color w:val="000000" w:themeColor="text1"/>
                <w:sz w:val="18"/>
                <w:szCs w:val="18"/>
              </w:rPr>
              <w:t>7.919</w:t>
            </w:r>
          </w:p>
        </w:tc>
        <w:tc>
          <w:tcPr>
            <w:tcW w:w="1323" w:type="dxa"/>
            <w:tcBorders>
              <w:top w:val="nil"/>
              <w:left w:val="nil"/>
              <w:bottom w:val="single" w:sz="2" w:space="0" w:color="auto"/>
              <w:right w:val="single" w:sz="4" w:space="0" w:color="auto"/>
            </w:tcBorders>
            <w:shd w:val="clear" w:color="auto" w:fill="auto"/>
            <w:noWrap/>
            <w:vAlign w:val="center"/>
          </w:tcPr>
          <w:p w14:paraId="0E27595E" w14:textId="6770475B" w:rsidR="00B8298D" w:rsidRPr="000B0C5D" w:rsidRDefault="00B8298D" w:rsidP="00B8298D">
            <w:pPr>
              <w:jc w:val="right"/>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614.87</w:t>
            </w:r>
          </w:p>
        </w:tc>
      </w:tr>
      <w:tr w:rsidR="00B8298D" w:rsidRPr="0026317C" w14:paraId="1BA166AD" w14:textId="77777777" w:rsidTr="00565011">
        <w:trPr>
          <w:jc w:val="center"/>
        </w:trPr>
        <w:tc>
          <w:tcPr>
            <w:tcW w:w="6649" w:type="dxa"/>
            <w:tcBorders>
              <w:top w:val="nil"/>
              <w:left w:val="single" w:sz="4" w:space="0" w:color="auto"/>
              <w:bottom w:val="single" w:sz="2" w:space="0" w:color="auto"/>
              <w:right w:val="single" w:sz="4" w:space="0" w:color="auto"/>
            </w:tcBorders>
            <w:shd w:val="clear" w:color="auto" w:fill="auto"/>
            <w:vAlign w:val="center"/>
          </w:tcPr>
          <w:p w14:paraId="01606E7F" w14:textId="77777777" w:rsidR="00B8298D" w:rsidRPr="000B0C5D" w:rsidRDefault="00B8298D" w:rsidP="00B8298D">
            <w:pPr>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Byproduct Provisions incremental rule familiarization and compliance determination</w:t>
            </w:r>
          </w:p>
        </w:tc>
        <w:tc>
          <w:tcPr>
            <w:tcW w:w="1388" w:type="dxa"/>
            <w:tcBorders>
              <w:top w:val="nil"/>
              <w:left w:val="nil"/>
              <w:bottom w:val="single" w:sz="2" w:space="0" w:color="auto"/>
              <w:right w:val="single" w:sz="4" w:space="0" w:color="auto"/>
            </w:tcBorders>
            <w:shd w:val="clear" w:color="auto" w:fill="auto"/>
            <w:noWrap/>
            <w:vAlign w:val="center"/>
          </w:tcPr>
          <w:p w14:paraId="6B7BA4A6" w14:textId="77777777" w:rsidR="00B8298D" w:rsidRPr="000B0C5D" w:rsidRDefault="00B8298D" w:rsidP="00B8298D">
            <w:pPr>
              <w:jc w:val="right"/>
              <w:rPr>
                <w:rFonts w:ascii="Arial Narrow" w:eastAsia="Times New Roman" w:hAnsi="Arial Narrow" w:cs="Calibri"/>
                <w:color w:val="000000" w:themeColor="text1"/>
                <w:sz w:val="18"/>
                <w:szCs w:val="18"/>
              </w:rPr>
            </w:pPr>
            <w:r w:rsidRPr="000B0C5D">
              <w:rPr>
                <w:rFonts w:ascii="Arial Narrow" w:eastAsia="Times New Roman" w:hAnsi="Arial Narrow" w:cs="Calibri"/>
                <w:color w:val="000000" w:themeColor="text1"/>
                <w:sz w:val="18"/>
                <w:szCs w:val="18"/>
              </w:rPr>
              <w:t>0.552</w:t>
            </w:r>
          </w:p>
        </w:tc>
        <w:tc>
          <w:tcPr>
            <w:tcW w:w="1323" w:type="dxa"/>
            <w:tcBorders>
              <w:top w:val="nil"/>
              <w:left w:val="nil"/>
              <w:bottom w:val="single" w:sz="2" w:space="0" w:color="auto"/>
              <w:right w:val="single" w:sz="4" w:space="0" w:color="auto"/>
            </w:tcBorders>
            <w:shd w:val="clear" w:color="auto" w:fill="auto"/>
            <w:noWrap/>
            <w:vAlign w:val="center"/>
          </w:tcPr>
          <w:p w14:paraId="01685C16" w14:textId="77777777" w:rsidR="00B8298D" w:rsidRPr="000B0C5D" w:rsidRDefault="00B8298D" w:rsidP="00B8298D">
            <w:pPr>
              <w:jc w:val="right"/>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$42.82</w:t>
            </w:r>
          </w:p>
        </w:tc>
      </w:tr>
      <w:tr w:rsidR="00B8298D" w:rsidRPr="0026317C" w14:paraId="035CFA46" w14:textId="77777777" w:rsidTr="00565011">
        <w:trPr>
          <w:jc w:val="center"/>
        </w:trPr>
        <w:tc>
          <w:tcPr>
            <w:tcW w:w="6649" w:type="dxa"/>
            <w:tcBorders>
              <w:top w:val="single" w:sz="2" w:space="0" w:color="auto"/>
              <w:left w:val="single" w:sz="2" w:space="0" w:color="auto"/>
              <w:bottom w:val="single" w:sz="12" w:space="0" w:color="auto"/>
              <w:right w:val="single" w:sz="2" w:space="0" w:color="auto"/>
            </w:tcBorders>
            <w:shd w:val="clear" w:color="auto" w:fill="auto"/>
            <w:vAlign w:val="center"/>
          </w:tcPr>
          <w:p w14:paraId="19ECB48C" w14:textId="77777777" w:rsidR="00B8298D" w:rsidRPr="000B0C5D"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0B0C5D">
              <w:rPr>
                <w:rFonts w:ascii="Arial Narrow" w:eastAsia="Times New Roman" w:hAnsi="Arial Narrow" w:cs="Calibri"/>
                <w:color w:val="000000"/>
                <w:sz w:val="18"/>
                <w:szCs w:val="18"/>
              </w:rPr>
              <w:t>8(a) SGD incremental rule familiarization and compliance determination</w:t>
            </w:r>
          </w:p>
        </w:tc>
        <w:tc>
          <w:tcPr>
            <w:tcW w:w="1388"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28D71898" w14:textId="77777777" w:rsidR="00B8298D" w:rsidRPr="000B0C5D" w:rsidRDefault="00B8298D" w:rsidP="00B8298D">
            <w:pPr>
              <w:jc w:val="right"/>
              <w:rPr>
                <w:rFonts w:ascii="Arial Narrow" w:eastAsia="Times New Roman" w:hAnsi="Arial Narrow" w:cs="Calibri"/>
                <w:color w:val="000000" w:themeColor="text1"/>
                <w:sz w:val="18"/>
                <w:szCs w:val="18"/>
              </w:rPr>
            </w:pPr>
            <w:r w:rsidRPr="000B0C5D">
              <w:rPr>
                <w:rFonts w:ascii="Arial Narrow" w:eastAsia="Times New Roman" w:hAnsi="Arial Narrow" w:cs="Calibri"/>
                <w:color w:val="000000" w:themeColor="text1"/>
                <w:sz w:val="18"/>
                <w:szCs w:val="18"/>
              </w:rPr>
              <w:t>0.170</w:t>
            </w:r>
          </w:p>
        </w:tc>
        <w:tc>
          <w:tcPr>
            <w:tcW w:w="1323" w:type="dxa"/>
            <w:tcBorders>
              <w:top w:val="single" w:sz="2" w:space="0" w:color="auto"/>
              <w:left w:val="single" w:sz="2" w:space="0" w:color="auto"/>
              <w:bottom w:val="single" w:sz="12" w:space="0" w:color="auto"/>
              <w:right w:val="single" w:sz="2" w:space="0" w:color="auto"/>
            </w:tcBorders>
            <w:shd w:val="clear" w:color="auto" w:fill="auto"/>
            <w:noWrap/>
            <w:vAlign w:val="center"/>
          </w:tcPr>
          <w:p w14:paraId="5ED7441D" w14:textId="77777777" w:rsidR="00B8298D" w:rsidRPr="000B0C5D" w:rsidRDefault="00B8298D" w:rsidP="00B8298D">
            <w:pPr>
              <w:jc w:val="right"/>
              <w:rPr>
                <w:rFonts w:ascii="Arial Narrow" w:eastAsia="Times New Roman" w:hAnsi="Arial Narrow" w:cs="Calibri"/>
                <w:color w:val="000000"/>
                <w:sz w:val="18"/>
                <w:szCs w:val="18"/>
              </w:rPr>
            </w:pPr>
            <w:r w:rsidRPr="000B0C5D">
              <w:rPr>
                <w:rFonts w:ascii="Arial Narrow" w:eastAsia="Times New Roman" w:hAnsi="Arial Narrow" w:cs="Calibri"/>
                <w:color w:val="000000"/>
                <w:sz w:val="18"/>
                <w:szCs w:val="18"/>
              </w:rPr>
              <w:t>$13.19</w:t>
            </w:r>
          </w:p>
        </w:tc>
      </w:tr>
      <w:tr w:rsidR="00B8298D" w:rsidRPr="0026317C" w14:paraId="5D5287A4" w14:textId="77777777" w:rsidTr="00874EA2">
        <w:trPr>
          <w:jc w:val="center"/>
        </w:trPr>
        <w:tc>
          <w:tcPr>
            <w:tcW w:w="6649" w:type="dxa"/>
            <w:tcBorders>
              <w:top w:val="single" w:sz="12" w:space="0" w:color="auto"/>
              <w:left w:val="single" w:sz="4" w:space="0" w:color="auto"/>
              <w:bottom w:val="single" w:sz="12" w:space="0" w:color="auto"/>
              <w:right w:val="single" w:sz="4" w:space="0" w:color="auto"/>
            </w:tcBorders>
            <w:shd w:val="clear" w:color="auto" w:fill="auto"/>
            <w:vAlign w:val="center"/>
          </w:tcPr>
          <w:p w14:paraId="20F9F040" w14:textId="77777777" w:rsidR="00B8298D" w:rsidRPr="000B0C5D" w:rsidRDefault="00B8298D" w:rsidP="00B8298D">
            <w:pPr>
              <w:rPr>
                <w:rFonts w:ascii="Arial Narrow" w:eastAsia="Times New Roman" w:hAnsi="Arial Narrow" w:cs="Calibri"/>
                <w:b/>
                <w:bCs/>
                <w:color w:val="000000"/>
                <w:sz w:val="18"/>
                <w:szCs w:val="18"/>
              </w:rPr>
            </w:pPr>
            <w:r w:rsidRPr="000B0C5D">
              <w:rPr>
                <w:rFonts w:ascii="Arial Narrow" w:eastAsia="Times New Roman" w:hAnsi="Arial Narrow" w:cs="Calibri"/>
                <w:b/>
                <w:bCs/>
                <w:color w:val="000000"/>
                <w:sz w:val="18"/>
                <w:szCs w:val="18"/>
              </w:rPr>
              <w:t xml:space="preserve">Government Total </w:t>
            </w:r>
          </w:p>
        </w:tc>
        <w:tc>
          <w:tcPr>
            <w:tcW w:w="1388"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2F829028" w14:textId="596E57C8" w:rsidR="00B8298D" w:rsidRPr="000B0C5D" w:rsidRDefault="00B8298D" w:rsidP="00B8298D">
            <w:pPr>
              <w:jc w:val="right"/>
              <w:rPr>
                <w:rFonts w:ascii="Arial Narrow" w:eastAsia="Times New Roman" w:hAnsi="Arial Narrow" w:cs="Calibri"/>
                <w:b/>
                <w:bCs/>
                <w:color w:val="000000" w:themeColor="text1"/>
                <w:sz w:val="18"/>
                <w:szCs w:val="18"/>
              </w:rPr>
            </w:pPr>
            <w:r>
              <w:rPr>
                <w:rFonts w:ascii="Arial Narrow" w:eastAsia="Times New Roman" w:hAnsi="Arial Narrow" w:cs="Calibri"/>
                <w:b/>
                <w:bCs/>
                <w:color w:val="000000" w:themeColor="text1"/>
                <w:sz w:val="18"/>
                <w:szCs w:val="18"/>
              </w:rPr>
              <w:t>8.641</w:t>
            </w:r>
          </w:p>
        </w:tc>
        <w:tc>
          <w:tcPr>
            <w:tcW w:w="1323" w:type="dxa"/>
            <w:tcBorders>
              <w:top w:val="single" w:sz="12" w:space="0" w:color="auto"/>
              <w:left w:val="single" w:sz="4" w:space="0" w:color="auto"/>
              <w:bottom w:val="single" w:sz="12" w:space="0" w:color="auto"/>
              <w:right w:val="single" w:sz="4" w:space="0" w:color="auto"/>
            </w:tcBorders>
            <w:shd w:val="clear" w:color="auto" w:fill="auto"/>
            <w:noWrap/>
            <w:vAlign w:val="center"/>
          </w:tcPr>
          <w:p w14:paraId="3EE11E41" w14:textId="792A78CE" w:rsidR="00B8298D" w:rsidRPr="000B0C5D" w:rsidRDefault="00B8298D" w:rsidP="00B8298D">
            <w:pPr>
              <w:jc w:val="right"/>
              <w:rPr>
                <w:rFonts w:ascii="Arial Narrow" w:eastAsia="Times New Roman" w:hAnsi="Arial Narrow" w:cs="Calibri"/>
                <w:b/>
                <w:bCs/>
                <w:color w:val="000000"/>
                <w:sz w:val="18"/>
                <w:szCs w:val="18"/>
              </w:rPr>
            </w:pPr>
            <w:r w:rsidRPr="000B0C5D">
              <w:rPr>
                <w:rFonts w:ascii="Arial Narrow" w:eastAsia="Times New Roman" w:hAnsi="Arial Narrow" w:cs="Calibri"/>
                <w:b/>
                <w:bCs/>
                <w:color w:val="000000"/>
                <w:sz w:val="18"/>
                <w:szCs w:val="18"/>
              </w:rPr>
              <w:t>$</w:t>
            </w:r>
            <w:r>
              <w:rPr>
                <w:rFonts w:ascii="Arial Narrow" w:eastAsia="Times New Roman" w:hAnsi="Arial Narrow" w:cs="Calibri"/>
                <w:b/>
                <w:bCs/>
                <w:color w:val="000000"/>
                <w:sz w:val="18"/>
                <w:szCs w:val="18"/>
              </w:rPr>
              <w:t>670.88</w:t>
            </w:r>
          </w:p>
        </w:tc>
      </w:tr>
      <w:tr w:rsidR="00565011" w:rsidRPr="0026317C" w14:paraId="2A2EB1EC" w14:textId="77777777" w:rsidTr="00874EA2">
        <w:trPr>
          <w:jc w:val="center"/>
        </w:trPr>
        <w:tc>
          <w:tcPr>
            <w:tcW w:w="9360" w:type="dxa"/>
            <w:gridSpan w:val="3"/>
            <w:tcBorders>
              <w:top w:val="single" w:sz="12" w:space="0" w:color="auto"/>
              <w:left w:val="single" w:sz="4" w:space="0" w:color="auto"/>
              <w:right w:val="single" w:sz="4" w:space="0" w:color="auto"/>
            </w:tcBorders>
            <w:shd w:val="clear" w:color="auto" w:fill="auto"/>
            <w:vAlign w:val="center"/>
          </w:tcPr>
          <w:p w14:paraId="19674780" w14:textId="183D82B8" w:rsidR="00565011" w:rsidRPr="00874EA2" w:rsidRDefault="00565011" w:rsidP="00874EA2">
            <w:pPr>
              <w:rPr>
                <w:rFonts w:ascii="Arial Narrow" w:eastAsia="Times New Roman" w:hAnsi="Arial Narrow" w:cs="Calibri"/>
                <w:bCs/>
                <w:color w:val="000000"/>
                <w:sz w:val="18"/>
                <w:szCs w:val="18"/>
              </w:rPr>
            </w:pPr>
            <w:r w:rsidRPr="00874EA2">
              <w:rPr>
                <w:rFonts w:ascii="Arial Narrow" w:eastAsia="Times New Roman" w:hAnsi="Arial Narrow" w:cs="Calibri"/>
                <w:bCs/>
                <w:color w:val="000000"/>
                <w:sz w:val="18"/>
                <w:szCs w:val="18"/>
              </w:rPr>
              <w:t>General Note:</w:t>
            </w:r>
          </w:p>
        </w:tc>
      </w:tr>
      <w:tr w:rsidR="00565011" w:rsidRPr="0026317C" w14:paraId="183018D7" w14:textId="77777777" w:rsidTr="00874EA2">
        <w:trPr>
          <w:jc w:val="center"/>
        </w:trPr>
        <w:tc>
          <w:tcPr>
            <w:tcW w:w="9360" w:type="dxa"/>
            <w:gridSpan w:val="3"/>
            <w:tcBorders>
              <w:left w:val="single" w:sz="4" w:space="0" w:color="auto"/>
              <w:bottom w:val="single" w:sz="2" w:space="0" w:color="auto"/>
              <w:right w:val="single" w:sz="4" w:space="0" w:color="auto"/>
            </w:tcBorders>
            <w:shd w:val="clear" w:color="auto" w:fill="auto"/>
            <w:vAlign w:val="center"/>
          </w:tcPr>
          <w:p w14:paraId="082896DC" w14:textId="1E14EF5E" w:rsidR="00565011" w:rsidRPr="00874EA2" w:rsidRDefault="00565011" w:rsidP="00874EA2">
            <w:pPr>
              <w:pStyle w:val="ListParagraph"/>
              <w:numPr>
                <w:ilvl w:val="0"/>
                <w:numId w:val="60"/>
              </w:numPr>
              <w:ind w:left="144" w:hanging="144"/>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Estimates of incremental until burden </w:t>
            </w:r>
            <w:r w:rsidRPr="003F7FA8">
              <w:rPr>
                <w:rFonts w:ascii="Arial Narrow" w:eastAsia="Times New Roman" w:hAnsi="Arial Narrow" w:cs="Calibri"/>
                <w:color w:val="000000"/>
                <w:sz w:val="18"/>
                <w:szCs w:val="18"/>
              </w:rPr>
              <w:t xml:space="preserve">in </w:t>
            </w:r>
            <w:r w:rsidRPr="003F7FA8">
              <w:rPr>
                <w:rFonts w:ascii="Arial Narrow" w:eastAsia="Times New Roman" w:hAnsi="Arial Narrow" w:cs="Calibri"/>
                <w:color w:val="000000"/>
                <w:sz w:val="18"/>
                <w:szCs w:val="18"/>
              </w:rPr>
              <w:fldChar w:fldCharType="begin"/>
            </w:r>
            <w:r w:rsidRPr="006077FE">
              <w:rPr>
                <w:rFonts w:ascii="Arial Narrow" w:eastAsia="Times New Roman" w:hAnsi="Arial Narrow" w:cs="Calibri"/>
                <w:color w:val="000000"/>
                <w:sz w:val="18"/>
                <w:szCs w:val="18"/>
              </w:rPr>
              <w:instrText xml:space="preserve"> REF _Ref526352636 \h  \* MERGEFORMAT </w:instrText>
            </w:r>
            <w:r w:rsidRPr="003F7FA8">
              <w:rPr>
                <w:rFonts w:ascii="Arial Narrow" w:eastAsia="Times New Roman" w:hAnsi="Arial Narrow" w:cs="Calibri"/>
                <w:color w:val="000000"/>
                <w:sz w:val="18"/>
                <w:szCs w:val="18"/>
              </w:rPr>
            </w:r>
            <w:r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4</w:t>
            </w:r>
            <w:r w:rsidRPr="003F7FA8">
              <w:rPr>
                <w:rFonts w:ascii="Arial Narrow" w:eastAsia="Times New Roman" w:hAnsi="Arial Narrow" w:cs="Calibri"/>
                <w:color w:val="000000"/>
                <w:sz w:val="18"/>
                <w:szCs w:val="18"/>
              </w:rPr>
              <w:fldChar w:fldCharType="end"/>
            </w:r>
            <w:r w:rsidRPr="003F7FA8">
              <w:rPr>
                <w:rFonts w:ascii="Arial Narrow" w:eastAsia="Times New Roman" w:hAnsi="Arial Narrow" w:cs="Calibri"/>
                <w:color w:val="000000"/>
                <w:sz w:val="18"/>
                <w:szCs w:val="18"/>
              </w:rPr>
              <w:t xml:space="preserve"> through </w:t>
            </w:r>
            <w:r w:rsidRPr="003F7FA8">
              <w:rPr>
                <w:rFonts w:ascii="Arial Narrow" w:eastAsia="Times New Roman" w:hAnsi="Arial Narrow" w:cs="Calibri"/>
                <w:color w:val="000000"/>
                <w:sz w:val="18"/>
                <w:szCs w:val="18"/>
              </w:rPr>
              <w:fldChar w:fldCharType="begin"/>
            </w:r>
            <w:r w:rsidRPr="006077FE">
              <w:rPr>
                <w:rFonts w:ascii="Arial Narrow" w:eastAsia="Times New Roman" w:hAnsi="Arial Narrow" w:cs="Calibri"/>
                <w:color w:val="000000"/>
                <w:sz w:val="18"/>
                <w:szCs w:val="18"/>
              </w:rPr>
              <w:instrText xml:space="preserve"> REF _Ref526353458 \h  \* MERGEFORMAT </w:instrText>
            </w:r>
            <w:r w:rsidRPr="003F7FA8">
              <w:rPr>
                <w:rFonts w:ascii="Arial Narrow" w:eastAsia="Times New Roman" w:hAnsi="Arial Narrow" w:cs="Calibri"/>
                <w:color w:val="000000"/>
                <w:sz w:val="18"/>
                <w:szCs w:val="18"/>
              </w:rPr>
            </w:r>
            <w:r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6</w:t>
            </w:r>
            <w:r w:rsidRPr="003F7FA8">
              <w:rPr>
                <w:rFonts w:ascii="Arial Narrow" w:eastAsia="Times New Roman" w:hAnsi="Arial Narrow" w:cs="Calibri"/>
                <w:color w:val="000000"/>
                <w:sz w:val="18"/>
                <w:szCs w:val="18"/>
              </w:rPr>
              <w:fldChar w:fldCharType="end"/>
            </w:r>
            <w:r w:rsidRPr="003F7FA8">
              <w:rPr>
                <w:rFonts w:ascii="Arial Narrow" w:eastAsia="Times New Roman" w:hAnsi="Arial Narrow" w:cs="Calibri"/>
                <w:color w:val="000000"/>
                <w:sz w:val="18"/>
                <w:szCs w:val="18"/>
              </w:rPr>
              <w:t xml:space="preserve"> </w:t>
            </w:r>
            <w:r w:rsidRPr="00565011">
              <w:rPr>
                <w:rFonts w:ascii="Arial Narrow" w:eastAsia="Times New Roman" w:hAnsi="Arial Narrow" w:cs="Calibri"/>
                <w:color w:val="000000"/>
                <w:sz w:val="18"/>
                <w:szCs w:val="18"/>
              </w:rPr>
              <w:t xml:space="preserve">and </w:t>
            </w:r>
            <w:r w:rsidRPr="003F7FA8">
              <w:rPr>
                <w:rFonts w:ascii="Arial Narrow" w:eastAsia="Times New Roman" w:hAnsi="Arial Narrow" w:cs="Calibri"/>
                <w:color w:val="000000"/>
                <w:sz w:val="18"/>
                <w:szCs w:val="18"/>
              </w:rPr>
              <w:fldChar w:fldCharType="begin"/>
            </w:r>
            <w:r w:rsidRPr="006077FE">
              <w:rPr>
                <w:rFonts w:ascii="Arial Narrow" w:eastAsia="Times New Roman" w:hAnsi="Arial Narrow" w:cs="Calibri"/>
                <w:color w:val="000000"/>
                <w:sz w:val="18"/>
                <w:szCs w:val="18"/>
              </w:rPr>
              <w:instrText xml:space="preserve"> REF _Ref526353586 \h  \* MERGEFORMAT </w:instrText>
            </w:r>
            <w:r w:rsidRPr="003F7FA8">
              <w:rPr>
                <w:rFonts w:ascii="Arial Narrow" w:eastAsia="Times New Roman" w:hAnsi="Arial Narrow" w:cs="Calibri"/>
                <w:color w:val="000000"/>
                <w:sz w:val="18"/>
                <w:szCs w:val="18"/>
              </w:rPr>
            </w:r>
            <w:r w:rsidRPr="003F7FA8">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8</w:t>
            </w:r>
            <w:r w:rsidRPr="003F7FA8">
              <w:rPr>
                <w:rFonts w:ascii="Arial Narrow" w:eastAsia="Times New Roman" w:hAnsi="Arial Narrow" w:cs="Calibri"/>
                <w:color w:val="000000"/>
                <w:sz w:val="18"/>
                <w:szCs w:val="18"/>
              </w:rPr>
              <w:fldChar w:fldCharType="end"/>
            </w:r>
            <w:r>
              <w:rPr>
                <w:rFonts w:ascii="Arial Narrow" w:eastAsia="Times New Roman" w:hAnsi="Arial Narrow" w:cs="Calibri"/>
                <w:color w:val="000000"/>
                <w:sz w:val="18"/>
                <w:szCs w:val="18"/>
              </w:rPr>
              <w:t xml:space="preserve"> differ slightly from results that would be obtained using information in the two EAs (</w:t>
            </w:r>
            <w:r w:rsidR="00FF0FB5">
              <w:rPr>
                <w:rFonts w:ascii="Arial Narrow" w:eastAsia="Times New Roman" w:hAnsi="Arial Narrow" w:cs="Calibri"/>
                <w:color w:val="000000"/>
                <w:sz w:val="18"/>
                <w:szCs w:val="18"/>
              </w:rPr>
              <w:t>EPA, 2019a</w:t>
            </w:r>
            <w:r>
              <w:rPr>
                <w:rFonts w:ascii="Arial Narrow" w:eastAsia="Times New Roman" w:hAnsi="Arial Narrow" w:cs="Calibri"/>
                <w:color w:val="000000"/>
                <w:sz w:val="18"/>
                <w:szCs w:val="18"/>
              </w:rPr>
              <w:t xml:space="preserve">, and EPA, </w:t>
            </w:r>
            <w:r w:rsidR="00FF0FB5">
              <w:rPr>
                <w:rFonts w:ascii="Arial Narrow" w:eastAsia="Times New Roman" w:hAnsi="Arial Narrow" w:cs="Calibri"/>
                <w:color w:val="000000"/>
                <w:sz w:val="18"/>
                <w:szCs w:val="18"/>
              </w:rPr>
              <w:t>2019b</w:t>
            </w:r>
            <w:r>
              <w:rPr>
                <w:rFonts w:ascii="Arial Narrow" w:eastAsia="Times New Roman" w:hAnsi="Arial Narrow" w:cs="Calibri"/>
                <w:color w:val="000000"/>
                <w:sz w:val="18"/>
                <w:szCs w:val="18"/>
              </w:rPr>
              <w:t>) due to rounding.</w:t>
            </w:r>
          </w:p>
        </w:tc>
      </w:tr>
    </w:tbl>
    <w:p w14:paraId="422A8B39" w14:textId="77777777" w:rsidR="00B8298D" w:rsidRPr="008A7FB7" w:rsidRDefault="00B8298D" w:rsidP="00B8298D">
      <w:pPr>
        <w:pStyle w:val="Heading2"/>
      </w:pPr>
      <w:r w:rsidRPr="008A7FB7">
        <w:t>Estimating Agency Burden and Cost</w:t>
      </w:r>
    </w:p>
    <w:p w14:paraId="752BF214" w14:textId="77777777" w:rsidR="00B8298D" w:rsidRPr="008A7FB7" w:rsidRDefault="00B8298D" w:rsidP="00B8298D">
      <w:pPr>
        <w:pStyle w:val="Heading3"/>
      </w:pPr>
      <w:r w:rsidRPr="00E43E85">
        <w:t>EPA Staff Activities</w:t>
      </w:r>
    </w:p>
    <w:p w14:paraId="31F2EA71" w14:textId="77777777" w:rsidR="00B8298D" w:rsidRPr="00E43E85" w:rsidRDefault="00B8298D" w:rsidP="00B8298D">
      <w:pPr>
        <w:pStyle w:val="BodyText"/>
      </w:pPr>
      <w:r>
        <w:t xml:space="preserve">EPA activities affected by the proposed rule involve submission receipt and tracking, data review, and quality control. Agency burden is reduced given that these activities are related to the quantity of sites, chemical reports, and CDX registrations, all of which decrease under the proposed rule. The following analysis of Agency burden is limited to incremental change in these variable costs, since fixed costs do not change. Additionally, </w:t>
      </w:r>
      <w:r w:rsidRPr="00E43E85">
        <w:t>costs related to EPA activities that involve data</w:t>
      </w:r>
      <w:r>
        <w:t xml:space="preserve"> use</w:t>
      </w:r>
      <w:r w:rsidRPr="00E43E85">
        <w:t xml:space="preserve"> are not included. </w:t>
      </w:r>
    </w:p>
    <w:p w14:paraId="4F18D095" w14:textId="77777777" w:rsidR="00B8298D" w:rsidRDefault="00B8298D" w:rsidP="00B8298D">
      <w:pPr>
        <w:pStyle w:val="BodyText"/>
      </w:pPr>
      <w:r w:rsidRPr="008A7FB7">
        <w:t>Agency personnel are responsible for quality control of data</w:t>
      </w:r>
      <w:r>
        <w:t xml:space="preserve">, while contractors perform data processing tasks. Additionally, change in number of CDX registrations is considered to be negligible, and therefore for ease of presentation is not included in estimate of associated Agency cost. </w:t>
      </w:r>
    </w:p>
    <w:p w14:paraId="0606D4AD" w14:textId="354FD088" w:rsidR="004C275D" w:rsidRDefault="00B8298D" w:rsidP="00B8298D">
      <w:pPr>
        <w:pStyle w:val="BodyText"/>
      </w:pPr>
      <w:r w:rsidRPr="008A7FB7">
        <w:t>EPA labor costs are based on annual federal wage rates</w:t>
      </w:r>
      <w:r>
        <w:t>,</w:t>
      </w:r>
      <w:r w:rsidRPr="008A7FB7">
        <w:t xml:space="preserve"> </w:t>
      </w:r>
      <w:r>
        <w:t xml:space="preserve">as presented </w:t>
      </w:r>
      <w:r>
        <w:fldChar w:fldCharType="begin"/>
      </w:r>
      <w:r>
        <w:instrText xml:space="preserve"> REF _Ref526353620 \h </w:instrText>
      </w:r>
      <w:r>
        <w:fldChar w:fldCharType="separate"/>
      </w:r>
      <w:r w:rsidR="00745E52">
        <w:t xml:space="preserve">Table </w:t>
      </w:r>
      <w:r w:rsidR="00745E52">
        <w:rPr>
          <w:noProof/>
        </w:rPr>
        <w:t>9</w:t>
      </w:r>
      <w:r>
        <w:fldChar w:fldCharType="end"/>
      </w:r>
      <w:r>
        <w:t xml:space="preserve">. As in the ICR renewal (EPA, </w:t>
      </w:r>
      <w:r w:rsidR="00FF0FB5">
        <w:t>2018b</w:t>
      </w:r>
      <w:r>
        <w:t>), a GS-12 Step 3 is assumed for program staff hours and a GS-13</w:t>
      </w:r>
      <w:r w:rsidRPr="008A7FB7">
        <w:t xml:space="preserve"> Step 3 is assumed for </w:t>
      </w:r>
      <w:r w:rsidR="00C303F2">
        <w:t>information technology (IT) staff hours</w:t>
      </w:r>
      <w:r>
        <w:t xml:space="preserve">. </w:t>
      </w:r>
      <w:r w:rsidRPr="008A7FB7">
        <w:t xml:space="preserve"> </w:t>
      </w:r>
    </w:p>
    <w:p w14:paraId="0F997B13" w14:textId="77777777" w:rsidR="004C275D" w:rsidRDefault="004C275D">
      <w:pPr>
        <w:spacing w:after="200" w:line="276" w:lineRule="auto"/>
        <w:rPr>
          <w:rFonts w:eastAsia="Times New Roman" w:cs="Times New Roman"/>
        </w:rPr>
      </w:pPr>
      <w:r>
        <w:br w:type="page"/>
      </w:r>
    </w:p>
    <w:p w14:paraId="54046B8D" w14:textId="77777777" w:rsidR="00B8298D" w:rsidRDefault="00B8298D" w:rsidP="00B8298D">
      <w:pPr>
        <w:pStyle w:val="BodyText"/>
      </w:pPr>
    </w:p>
    <w:tbl>
      <w:tblPr>
        <w:tblW w:w="5000" w:type="pct"/>
        <w:jc w:val="center"/>
        <w:tblLook w:val="04A0" w:firstRow="1" w:lastRow="0" w:firstColumn="1" w:lastColumn="0" w:noHBand="0" w:noVBand="1"/>
      </w:tblPr>
      <w:tblGrid>
        <w:gridCol w:w="1082"/>
        <w:gridCol w:w="1783"/>
        <w:gridCol w:w="888"/>
        <w:gridCol w:w="914"/>
        <w:gridCol w:w="1160"/>
        <w:gridCol w:w="1076"/>
        <w:gridCol w:w="1510"/>
        <w:gridCol w:w="1163"/>
      </w:tblGrid>
      <w:tr w:rsidR="00B8298D" w:rsidRPr="003D75E2" w14:paraId="24BF2177" w14:textId="77777777" w:rsidTr="00B8298D">
        <w:trPr>
          <w:tblHeader/>
          <w:jc w:val="center"/>
        </w:trPr>
        <w:tc>
          <w:tcPr>
            <w:tcW w:w="9360" w:type="dxa"/>
            <w:gridSpan w:val="8"/>
            <w:tcBorders>
              <w:bottom w:val="single" w:sz="4" w:space="0" w:color="auto"/>
            </w:tcBorders>
            <w:shd w:val="clear" w:color="auto" w:fill="auto"/>
            <w:vAlign w:val="center"/>
          </w:tcPr>
          <w:p w14:paraId="4F199D94" w14:textId="442F8DD8" w:rsidR="00B8298D" w:rsidRPr="003D75E2" w:rsidRDefault="00B8298D" w:rsidP="00B8298D">
            <w:pPr>
              <w:pStyle w:val="Caption"/>
              <w:keepNext/>
              <w:rPr>
                <w:rFonts w:ascii="Arial Narrow" w:hAnsi="Arial Narrow"/>
                <w:sz w:val="20"/>
              </w:rPr>
            </w:pPr>
            <w:bookmarkStart w:id="89" w:name="_Ref526353620"/>
            <w:bookmarkStart w:id="90" w:name="_Ref523226744"/>
            <w:bookmarkStart w:id="91" w:name="_Ref520375301"/>
            <w:bookmarkStart w:id="92" w:name="_Ref525022682"/>
            <w:bookmarkStart w:id="93" w:name="_Toc519866158"/>
            <w:bookmarkStart w:id="94" w:name="_Toc521241618"/>
            <w:bookmarkStart w:id="95" w:name="_Toc521331636"/>
            <w:bookmarkStart w:id="96" w:name="_Toc521468920"/>
            <w:r>
              <w:t xml:space="preserve">Table </w:t>
            </w:r>
            <w:r>
              <w:rPr>
                <w:noProof/>
              </w:rPr>
              <w:fldChar w:fldCharType="begin"/>
            </w:r>
            <w:r>
              <w:rPr>
                <w:noProof/>
              </w:rPr>
              <w:instrText xml:space="preserve"> SEQ Table \* ARABIC </w:instrText>
            </w:r>
            <w:r>
              <w:rPr>
                <w:noProof/>
              </w:rPr>
              <w:fldChar w:fldCharType="separate"/>
            </w:r>
            <w:r w:rsidR="00745E52">
              <w:rPr>
                <w:noProof/>
              </w:rPr>
              <w:t>9</w:t>
            </w:r>
            <w:r>
              <w:rPr>
                <w:noProof/>
              </w:rPr>
              <w:fldChar w:fldCharType="end"/>
            </w:r>
            <w:bookmarkEnd w:id="89"/>
            <w:bookmarkEnd w:id="90"/>
            <w:bookmarkEnd w:id="91"/>
            <w:bookmarkEnd w:id="92"/>
            <w:r>
              <w:t>:</w:t>
            </w:r>
            <w:r w:rsidRPr="00445FBA">
              <w:t xml:space="preserve"> Agency Wage Rate (201</w:t>
            </w:r>
            <w:r>
              <w:t>7</w:t>
            </w:r>
            <w:r w:rsidRPr="00445FBA">
              <w:t>$)</w:t>
            </w:r>
            <w:bookmarkEnd w:id="93"/>
            <w:bookmarkEnd w:id="94"/>
            <w:bookmarkEnd w:id="95"/>
            <w:bookmarkEnd w:id="96"/>
          </w:p>
        </w:tc>
      </w:tr>
      <w:tr w:rsidR="00C303F2" w:rsidRPr="003D75E2" w14:paraId="1FEA0343" w14:textId="77777777" w:rsidTr="00B8298D">
        <w:trPr>
          <w:tblHeader/>
          <w:jc w:val="center"/>
        </w:trPr>
        <w:tc>
          <w:tcPr>
            <w:tcW w:w="1057"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3739EE2" w14:textId="77777777"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Labor Category</w:t>
            </w:r>
          </w:p>
        </w:tc>
        <w:tc>
          <w:tcPr>
            <w:tcW w:w="174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5A316FA" w14:textId="77777777"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Data Source for Wage Information</w:t>
            </w:r>
          </w:p>
        </w:tc>
        <w:tc>
          <w:tcPr>
            <w:tcW w:w="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CB52440" w14:textId="77777777"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Wage ($/hour)</w:t>
            </w:r>
            <w:r w:rsidRPr="006B5FC6">
              <w:rPr>
                <w:rFonts w:ascii="Arial Narrow" w:hAnsi="Arial Narrow"/>
                <w:b/>
                <w:sz w:val="18"/>
                <w:szCs w:val="18"/>
                <w:vertAlign w:val="superscript"/>
              </w:rPr>
              <w:t>1</w:t>
            </w:r>
          </w:p>
        </w:tc>
        <w:tc>
          <w:tcPr>
            <w:tcW w:w="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C3C8444" w14:textId="77777777"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Fringe Benefit</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8AAF672" w14:textId="0344BE28"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 xml:space="preserve">Fringes as % </w:t>
            </w:r>
            <w:r>
              <w:rPr>
                <w:rFonts w:ascii="Arial Narrow" w:hAnsi="Arial Narrow"/>
                <w:b/>
                <w:sz w:val="18"/>
                <w:szCs w:val="18"/>
              </w:rPr>
              <w:t>W</w:t>
            </w:r>
            <w:r w:rsidRPr="006B5FC6">
              <w:rPr>
                <w:rFonts w:ascii="Arial Narrow" w:hAnsi="Arial Narrow"/>
                <w:b/>
                <w:sz w:val="18"/>
                <w:szCs w:val="18"/>
              </w:rPr>
              <w:t>age</w:t>
            </w:r>
          </w:p>
        </w:tc>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1BD7A22" w14:textId="7F3FC5A4"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 xml:space="preserve">Overhead as % </w:t>
            </w:r>
            <w:r>
              <w:rPr>
                <w:rFonts w:ascii="Arial Narrow" w:hAnsi="Arial Narrow"/>
                <w:b/>
                <w:sz w:val="18"/>
                <w:szCs w:val="18"/>
              </w:rPr>
              <w:t>W</w:t>
            </w:r>
            <w:r w:rsidRPr="006B5FC6">
              <w:rPr>
                <w:rFonts w:ascii="Arial Narrow" w:hAnsi="Arial Narrow"/>
                <w:b/>
                <w:sz w:val="18"/>
                <w:szCs w:val="18"/>
              </w:rPr>
              <w:t>age</w:t>
            </w:r>
            <w:r w:rsidRPr="006B5FC6">
              <w:rPr>
                <w:rFonts w:ascii="Arial Narrow" w:hAnsi="Arial Narrow"/>
                <w:b/>
                <w:sz w:val="18"/>
                <w:szCs w:val="18"/>
                <w:vertAlign w:val="superscript"/>
              </w:rPr>
              <w:t>2</w:t>
            </w:r>
          </w:p>
        </w:tc>
        <w:tc>
          <w:tcPr>
            <w:tcW w:w="1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D035AF7" w14:textId="69D5F453"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Fringe + Overhead Factor</w:t>
            </w:r>
          </w:p>
        </w:tc>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4C5B629" w14:textId="507B225F" w:rsidR="00C303F2" w:rsidRPr="006B5FC6" w:rsidRDefault="00C303F2" w:rsidP="00C303F2">
            <w:pPr>
              <w:jc w:val="center"/>
              <w:rPr>
                <w:rFonts w:ascii="Arial Narrow" w:hAnsi="Arial Narrow"/>
                <w:b/>
                <w:bCs/>
                <w:sz w:val="18"/>
                <w:szCs w:val="18"/>
              </w:rPr>
            </w:pPr>
            <w:r w:rsidRPr="0B02F8A5">
              <w:rPr>
                <w:rFonts w:ascii="Arial Narrow" w:hAnsi="Arial Narrow"/>
                <w:b/>
                <w:bCs/>
                <w:sz w:val="18"/>
                <w:szCs w:val="18"/>
              </w:rPr>
              <w:t>Loaded Wage ($/h</w:t>
            </w:r>
            <w:r>
              <w:rPr>
                <w:rFonts w:ascii="Arial Narrow" w:hAnsi="Arial Narrow"/>
                <w:b/>
                <w:bCs/>
                <w:sz w:val="18"/>
                <w:szCs w:val="18"/>
              </w:rPr>
              <w:t>ou</w:t>
            </w:r>
            <w:r w:rsidRPr="0B02F8A5">
              <w:rPr>
                <w:rFonts w:ascii="Arial Narrow" w:hAnsi="Arial Narrow"/>
                <w:b/>
                <w:bCs/>
                <w:sz w:val="18"/>
                <w:szCs w:val="18"/>
              </w:rPr>
              <w:t>r)</w:t>
            </w:r>
          </w:p>
        </w:tc>
      </w:tr>
      <w:tr w:rsidR="00C303F2" w:rsidRPr="003D75E2" w14:paraId="44BB2AFD" w14:textId="77777777" w:rsidTr="00B8298D">
        <w:trPr>
          <w:tblHeader/>
          <w:jc w:val="center"/>
        </w:trPr>
        <w:tc>
          <w:tcPr>
            <w:tcW w:w="1057" w:type="dxa"/>
            <w:vMerge/>
            <w:tcBorders>
              <w:top w:val="single" w:sz="4" w:space="0" w:color="auto"/>
              <w:left w:val="single" w:sz="4" w:space="0" w:color="auto"/>
              <w:bottom w:val="single" w:sz="4" w:space="0" w:color="auto"/>
              <w:right w:val="single" w:sz="4" w:space="0" w:color="auto"/>
            </w:tcBorders>
            <w:shd w:val="clear" w:color="auto" w:fill="BFBFBF"/>
            <w:vAlign w:val="bottom"/>
            <w:hideMark/>
          </w:tcPr>
          <w:p w14:paraId="6F8BD5F0" w14:textId="77777777" w:rsidR="00C303F2" w:rsidRPr="006B5FC6" w:rsidRDefault="00C303F2" w:rsidP="00C303F2">
            <w:pPr>
              <w:jc w:val="center"/>
              <w:rPr>
                <w:rFonts w:ascii="Arial Narrow" w:hAnsi="Arial Narrow"/>
                <w:b/>
                <w:sz w:val="18"/>
                <w:szCs w:val="18"/>
              </w:rPr>
            </w:pPr>
          </w:p>
        </w:tc>
        <w:tc>
          <w:tcPr>
            <w:tcW w:w="0" w:type="auto"/>
            <w:vMerge/>
            <w:tcBorders>
              <w:top w:val="single" w:sz="4" w:space="0" w:color="auto"/>
              <w:left w:val="single" w:sz="4" w:space="0" w:color="auto"/>
              <w:bottom w:val="single" w:sz="4" w:space="0" w:color="auto"/>
              <w:right w:val="single" w:sz="4" w:space="0" w:color="auto"/>
            </w:tcBorders>
            <w:shd w:val="clear" w:color="auto" w:fill="BFBFBF"/>
            <w:vAlign w:val="bottom"/>
            <w:hideMark/>
          </w:tcPr>
          <w:p w14:paraId="629B45A8" w14:textId="77777777" w:rsidR="00C303F2" w:rsidRPr="006B5FC6" w:rsidRDefault="00C303F2" w:rsidP="00C303F2">
            <w:pPr>
              <w:jc w:val="center"/>
              <w:rPr>
                <w:rFonts w:ascii="Arial Narrow" w:hAnsi="Arial Narrow"/>
                <w:b/>
                <w:sz w:val="18"/>
                <w:szCs w:val="18"/>
              </w:rPr>
            </w:pPr>
          </w:p>
        </w:tc>
        <w:tc>
          <w:tcPr>
            <w:tcW w:w="8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9CC2667" w14:textId="77777777"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(a)</w:t>
            </w:r>
          </w:p>
        </w:tc>
        <w:tc>
          <w:tcPr>
            <w:tcW w:w="8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7EA3E99" w14:textId="77777777"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(b)</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0702CC0" w14:textId="3AB2D9D1"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(c)=(b)/(a)</w:t>
            </w:r>
          </w:p>
        </w:tc>
        <w:tc>
          <w:tcPr>
            <w:tcW w:w="105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A71B24B" w14:textId="7ACA7973"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(d)</w:t>
            </w:r>
          </w:p>
        </w:tc>
        <w:tc>
          <w:tcPr>
            <w:tcW w:w="1476"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6D1BA58" w14:textId="402606EE"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(e)=(c)+(d)+1</w:t>
            </w:r>
          </w:p>
        </w:tc>
        <w:tc>
          <w:tcPr>
            <w:tcW w:w="11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6E6864E" w14:textId="701E486E" w:rsidR="00C303F2" w:rsidRPr="006B5FC6" w:rsidRDefault="00C303F2" w:rsidP="00C303F2">
            <w:pPr>
              <w:jc w:val="center"/>
              <w:rPr>
                <w:rFonts w:ascii="Arial Narrow" w:hAnsi="Arial Narrow"/>
                <w:b/>
                <w:sz w:val="18"/>
                <w:szCs w:val="18"/>
              </w:rPr>
            </w:pPr>
            <w:r w:rsidRPr="006B5FC6">
              <w:rPr>
                <w:rFonts w:ascii="Arial Narrow" w:hAnsi="Arial Narrow"/>
                <w:b/>
                <w:sz w:val="18"/>
                <w:szCs w:val="18"/>
              </w:rPr>
              <w:t>(f)=(a)*(e)</w:t>
            </w:r>
          </w:p>
        </w:tc>
      </w:tr>
      <w:tr w:rsidR="00B8298D" w:rsidRPr="003D75E2" w14:paraId="5075E70D" w14:textId="77777777" w:rsidTr="00B8298D">
        <w:trPr>
          <w:jc w:val="center"/>
        </w:trPr>
        <w:tc>
          <w:tcPr>
            <w:tcW w:w="1057" w:type="dxa"/>
            <w:tcBorders>
              <w:top w:val="single" w:sz="4" w:space="0" w:color="auto"/>
              <w:left w:val="single" w:sz="4" w:space="0" w:color="auto"/>
              <w:bottom w:val="single" w:sz="4" w:space="0" w:color="auto"/>
              <w:right w:val="single" w:sz="4" w:space="0" w:color="auto"/>
            </w:tcBorders>
            <w:vAlign w:val="center"/>
            <w:hideMark/>
          </w:tcPr>
          <w:p w14:paraId="5B6CFEC8" w14:textId="77777777" w:rsidR="00B8298D" w:rsidRPr="006B5FC6" w:rsidRDefault="00B8298D" w:rsidP="00B8298D">
            <w:pPr>
              <w:rPr>
                <w:rFonts w:ascii="Arial Narrow" w:hAnsi="Arial Narrow"/>
                <w:sz w:val="18"/>
                <w:szCs w:val="18"/>
              </w:rPr>
            </w:pPr>
            <w:r w:rsidRPr="006B5FC6">
              <w:rPr>
                <w:rFonts w:ascii="Arial Narrow" w:hAnsi="Arial Narrow"/>
                <w:sz w:val="18"/>
                <w:szCs w:val="18"/>
              </w:rPr>
              <w:t>EPA program staff</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F771472" w14:textId="77777777" w:rsidR="00B8298D" w:rsidRPr="006B5FC6" w:rsidRDefault="00B8298D" w:rsidP="00B8298D">
            <w:pPr>
              <w:rPr>
                <w:rFonts w:ascii="Arial Narrow" w:hAnsi="Arial Narrow"/>
                <w:sz w:val="18"/>
                <w:szCs w:val="18"/>
              </w:rPr>
            </w:pPr>
            <w:r w:rsidRPr="006B5FC6">
              <w:rPr>
                <w:rFonts w:ascii="Arial Narrow" w:hAnsi="Arial Narrow"/>
                <w:sz w:val="18"/>
                <w:szCs w:val="18"/>
              </w:rPr>
              <w:t>Annual federal staff cost: OPM Washington-Baltimore-Northern Virginia, DC-MD-PA-VA-WV area,</w:t>
            </w:r>
            <w:r w:rsidRPr="006B5FC6">
              <w:rPr>
                <w:rFonts w:ascii="Arial Narrow" w:hAnsi="Arial Narrow"/>
                <w:sz w:val="18"/>
                <w:szCs w:val="18"/>
                <w:u w:val="single"/>
              </w:rPr>
              <w:t xml:space="preserve"> </w:t>
            </w:r>
            <w:r w:rsidRPr="006B5FC6">
              <w:rPr>
                <w:rFonts w:ascii="Arial Narrow" w:hAnsi="Arial Narrow"/>
                <w:sz w:val="18"/>
                <w:szCs w:val="18"/>
              </w:rPr>
              <w:t xml:space="preserve">GS-12 Step 3 pay rates </w:t>
            </w:r>
          </w:p>
        </w:tc>
        <w:tc>
          <w:tcPr>
            <w:tcW w:w="868" w:type="dxa"/>
            <w:tcBorders>
              <w:top w:val="single" w:sz="4" w:space="0" w:color="auto"/>
              <w:left w:val="single" w:sz="4" w:space="0" w:color="auto"/>
              <w:bottom w:val="single" w:sz="4" w:space="0" w:color="auto"/>
              <w:right w:val="single" w:sz="4" w:space="0" w:color="auto"/>
            </w:tcBorders>
            <w:vAlign w:val="center"/>
            <w:hideMark/>
          </w:tcPr>
          <w:p w14:paraId="165858CC" w14:textId="77777777" w:rsidR="00B8298D" w:rsidRPr="000626DB" w:rsidRDefault="00B8298D" w:rsidP="00B8298D">
            <w:pPr>
              <w:jc w:val="center"/>
              <w:rPr>
                <w:rFonts w:ascii="Arial Narrow" w:hAnsi="Arial Narrow"/>
                <w:sz w:val="18"/>
                <w:szCs w:val="18"/>
              </w:rPr>
            </w:pPr>
            <w:r w:rsidRPr="00FC1700">
              <w:rPr>
                <w:rFonts w:ascii="Arial Narrow" w:hAnsi="Arial Narrow" w:cs="Calibri"/>
                <w:color w:val="000000"/>
                <w:sz w:val="18"/>
                <w:szCs w:val="18"/>
              </w:rPr>
              <w:t xml:space="preserve">$40.75 </w:t>
            </w:r>
          </w:p>
        </w:tc>
        <w:tc>
          <w:tcPr>
            <w:tcW w:w="893" w:type="dxa"/>
            <w:tcBorders>
              <w:top w:val="single" w:sz="4" w:space="0" w:color="auto"/>
              <w:left w:val="single" w:sz="4" w:space="0" w:color="auto"/>
              <w:bottom w:val="single" w:sz="4" w:space="0" w:color="auto"/>
              <w:right w:val="single" w:sz="4" w:space="0" w:color="auto"/>
            </w:tcBorders>
            <w:vAlign w:val="center"/>
            <w:hideMark/>
          </w:tcPr>
          <w:p w14:paraId="5653357E" w14:textId="77777777" w:rsidR="00B8298D" w:rsidRPr="006B5FC6" w:rsidRDefault="00B8298D" w:rsidP="00B8298D">
            <w:pPr>
              <w:jc w:val="center"/>
              <w:rPr>
                <w:rFonts w:ascii="Arial Narrow" w:hAnsi="Arial Narrow"/>
                <w:sz w:val="18"/>
                <w:szCs w:val="18"/>
              </w:rPr>
            </w:pPr>
            <w:r w:rsidRPr="006B5FC6">
              <w:rPr>
                <w:rFonts w:ascii="Arial Narrow" w:hAnsi="Arial Narrow"/>
                <w:sz w:val="18"/>
                <w:szCs w:val="18"/>
              </w:rPr>
              <w:t>Included in 60% overhead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1380321" w14:textId="77777777" w:rsidR="00B8298D" w:rsidRPr="006B5FC6" w:rsidRDefault="00B8298D" w:rsidP="00B8298D">
            <w:pPr>
              <w:jc w:val="center"/>
              <w:rPr>
                <w:rFonts w:ascii="Arial Narrow" w:hAnsi="Arial Narrow"/>
                <w:sz w:val="18"/>
                <w:szCs w:val="18"/>
              </w:rPr>
            </w:pPr>
            <w:r w:rsidRPr="006B5FC6">
              <w:rPr>
                <w:rFonts w:ascii="Arial Narrow" w:hAnsi="Arial Narrow"/>
                <w:sz w:val="18"/>
                <w:szCs w:val="18"/>
              </w:rPr>
              <w:t>N/A</w:t>
            </w:r>
          </w:p>
        </w:tc>
        <w:tc>
          <w:tcPr>
            <w:tcW w:w="1052" w:type="dxa"/>
            <w:tcBorders>
              <w:top w:val="single" w:sz="4" w:space="0" w:color="auto"/>
              <w:left w:val="single" w:sz="4" w:space="0" w:color="auto"/>
              <w:bottom w:val="single" w:sz="4" w:space="0" w:color="auto"/>
              <w:right w:val="single" w:sz="4" w:space="0" w:color="auto"/>
            </w:tcBorders>
            <w:vAlign w:val="center"/>
            <w:hideMark/>
          </w:tcPr>
          <w:p w14:paraId="6CDCF974" w14:textId="77777777" w:rsidR="00B8298D" w:rsidRPr="006B5FC6" w:rsidRDefault="00B8298D" w:rsidP="00B8298D">
            <w:pPr>
              <w:jc w:val="center"/>
              <w:rPr>
                <w:rFonts w:ascii="Arial Narrow" w:hAnsi="Arial Narrow"/>
                <w:sz w:val="18"/>
                <w:szCs w:val="18"/>
              </w:rPr>
            </w:pPr>
            <w:r w:rsidRPr="006B5FC6">
              <w:rPr>
                <w:rFonts w:ascii="Arial Narrow" w:hAnsi="Arial Narrow"/>
                <w:sz w:val="18"/>
                <w:szCs w:val="18"/>
              </w:rPr>
              <w:t xml:space="preserve">60% </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45AC9A1" w14:textId="77777777" w:rsidR="00B8298D" w:rsidRPr="006B5FC6" w:rsidRDefault="00B8298D" w:rsidP="00B8298D">
            <w:pPr>
              <w:jc w:val="center"/>
              <w:rPr>
                <w:rFonts w:ascii="Arial Narrow" w:hAnsi="Arial Narrow"/>
                <w:sz w:val="18"/>
                <w:szCs w:val="18"/>
              </w:rPr>
            </w:pPr>
            <w:r w:rsidRPr="0B02F8A5">
              <w:rPr>
                <w:rFonts w:ascii="Arial Narrow" w:hAnsi="Arial Narrow"/>
                <w:sz w:val="18"/>
                <w:szCs w:val="18"/>
              </w:rPr>
              <w:t>1.6</w:t>
            </w:r>
          </w:p>
        </w:tc>
        <w:tc>
          <w:tcPr>
            <w:tcW w:w="1137" w:type="dxa"/>
            <w:tcBorders>
              <w:top w:val="single" w:sz="4" w:space="0" w:color="auto"/>
              <w:left w:val="single" w:sz="4" w:space="0" w:color="auto"/>
              <w:bottom w:val="single" w:sz="4" w:space="0" w:color="auto"/>
              <w:right w:val="single" w:sz="4" w:space="0" w:color="auto"/>
            </w:tcBorders>
            <w:vAlign w:val="center"/>
            <w:hideMark/>
          </w:tcPr>
          <w:p w14:paraId="59F6144E" w14:textId="54CD8DAF" w:rsidR="00B8298D" w:rsidRPr="000626DB" w:rsidRDefault="00B8298D" w:rsidP="00B8298D">
            <w:pPr>
              <w:jc w:val="center"/>
              <w:rPr>
                <w:rFonts w:ascii="Arial Narrow" w:hAnsi="Arial Narrow"/>
                <w:sz w:val="18"/>
                <w:szCs w:val="18"/>
              </w:rPr>
            </w:pPr>
            <w:r w:rsidRPr="00FC1700">
              <w:rPr>
                <w:rFonts w:ascii="Arial Narrow" w:hAnsi="Arial Narrow" w:cs="Calibri"/>
                <w:color w:val="000000"/>
                <w:sz w:val="18"/>
                <w:szCs w:val="18"/>
              </w:rPr>
              <w:t>$</w:t>
            </w:r>
            <w:r>
              <w:rPr>
                <w:rFonts w:ascii="Arial Narrow" w:hAnsi="Arial Narrow" w:cs="Calibri"/>
                <w:color w:val="000000"/>
                <w:sz w:val="18"/>
                <w:szCs w:val="18"/>
              </w:rPr>
              <w:t>65.20</w:t>
            </w:r>
            <w:r w:rsidRPr="00FC1700">
              <w:rPr>
                <w:rFonts w:ascii="Arial Narrow" w:hAnsi="Arial Narrow" w:cs="Calibri"/>
                <w:color w:val="000000"/>
                <w:sz w:val="18"/>
                <w:szCs w:val="18"/>
              </w:rPr>
              <w:t xml:space="preserve"> </w:t>
            </w:r>
          </w:p>
        </w:tc>
      </w:tr>
      <w:tr w:rsidR="00B8298D" w:rsidRPr="003D75E2" w14:paraId="6DCAE68F" w14:textId="77777777" w:rsidTr="00B8298D">
        <w:trPr>
          <w:jc w:val="center"/>
        </w:trPr>
        <w:tc>
          <w:tcPr>
            <w:tcW w:w="1057" w:type="dxa"/>
            <w:tcBorders>
              <w:top w:val="single" w:sz="4" w:space="0" w:color="auto"/>
              <w:left w:val="single" w:sz="4" w:space="0" w:color="auto"/>
              <w:bottom w:val="single" w:sz="4" w:space="0" w:color="auto"/>
              <w:right w:val="single" w:sz="4" w:space="0" w:color="auto"/>
            </w:tcBorders>
            <w:vAlign w:val="center"/>
            <w:hideMark/>
          </w:tcPr>
          <w:p w14:paraId="562DBB15" w14:textId="77777777" w:rsidR="00B8298D" w:rsidRPr="006B5FC6" w:rsidRDefault="00B8298D" w:rsidP="00B8298D">
            <w:pPr>
              <w:rPr>
                <w:rFonts w:ascii="Arial Narrow" w:hAnsi="Arial Narrow"/>
                <w:sz w:val="18"/>
                <w:szCs w:val="18"/>
              </w:rPr>
            </w:pPr>
            <w:r w:rsidRPr="006B5FC6">
              <w:rPr>
                <w:rFonts w:ascii="Arial Narrow" w:hAnsi="Arial Narrow"/>
                <w:sz w:val="18"/>
                <w:szCs w:val="18"/>
              </w:rPr>
              <w:t>EPA IT staff</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36EFAE8" w14:textId="77777777" w:rsidR="00B8298D" w:rsidRPr="006B5FC6" w:rsidRDefault="00B8298D" w:rsidP="00B8298D">
            <w:pPr>
              <w:rPr>
                <w:rFonts w:ascii="Arial Narrow" w:hAnsi="Arial Narrow"/>
                <w:sz w:val="18"/>
                <w:szCs w:val="18"/>
              </w:rPr>
            </w:pPr>
            <w:r w:rsidRPr="006B5FC6">
              <w:rPr>
                <w:rFonts w:ascii="Arial Narrow" w:hAnsi="Arial Narrow"/>
                <w:sz w:val="18"/>
                <w:szCs w:val="18"/>
              </w:rPr>
              <w:t>Annual federal staff cost: OPM Washington-Baltimore-Northern Virginia, DC-MD-PA-VA-WV area,</w:t>
            </w:r>
            <w:r w:rsidRPr="006B5FC6">
              <w:rPr>
                <w:rFonts w:ascii="Arial Narrow" w:hAnsi="Arial Narrow"/>
                <w:sz w:val="18"/>
                <w:szCs w:val="18"/>
                <w:u w:val="single"/>
              </w:rPr>
              <w:t xml:space="preserve"> </w:t>
            </w:r>
            <w:r w:rsidRPr="006B5FC6">
              <w:rPr>
                <w:rFonts w:ascii="Arial Narrow" w:hAnsi="Arial Narrow"/>
                <w:sz w:val="18"/>
                <w:szCs w:val="18"/>
              </w:rPr>
              <w:t>GS-13 Step 3 pay rates</w:t>
            </w:r>
          </w:p>
        </w:tc>
        <w:tc>
          <w:tcPr>
            <w:tcW w:w="868" w:type="dxa"/>
            <w:tcBorders>
              <w:top w:val="single" w:sz="4" w:space="0" w:color="auto"/>
              <w:left w:val="single" w:sz="4" w:space="0" w:color="auto"/>
              <w:bottom w:val="single" w:sz="4" w:space="0" w:color="auto"/>
              <w:right w:val="single" w:sz="4" w:space="0" w:color="auto"/>
            </w:tcBorders>
            <w:vAlign w:val="center"/>
            <w:hideMark/>
          </w:tcPr>
          <w:p w14:paraId="439C6DCC" w14:textId="77777777" w:rsidR="00B8298D" w:rsidRPr="000626DB" w:rsidRDefault="00B8298D" w:rsidP="00B8298D">
            <w:pPr>
              <w:jc w:val="center"/>
              <w:rPr>
                <w:rFonts w:ascii="Arial Narrow" w:hAnsi="Arial Narrow"/>
                <w:sz w:val="18"/>
                <w:szCs w:val="18"/>
              </w:rPr>
            </w:pPr>
            <w:r w:rsidRPr="00FC1700">
              <w:rPr>
                <w:rFonts w:ascii="Arial Narrow" w:hAnsi="Arial Narrow" w:cs="Calibri"/>
                <w:color w:val="000000"/>
                <w:sz w:val="18"/>
                <w:szCs w:val="18"/>
              </w:rPr>
              <w:t xml:space="preserve">$48.45 </w:t>
            </w:r>
          </w:p>
        </w:tc>
        <w:tc>
          <w:tcPr>
            <w:tcW w:w="893" w:type="dxa"/>
            <w:tcBorders>
              <w:top w:val="single" w:sz="4" w:space="0" w:color="auto"/>
              <w:left w:val="single" w:sz="4" w:space="0" w:color="auto"/>
              <w:bottom w:val="single" w:sz="4" w:space="0" w:color="auto"/>
              <w:right w:val="single" w:sz="4" w:space="0" w:color="auto"/>
            </w:tcBorders>
            <w:vAlign w:val="center"/>
            <w:hideMark/>
          </w:tcPr>
          <w:p w14:paraId="632D0AF1" w14:textId="77777777" w:rsidR="00B8298D" w:rsidRPr="006B5FC6" w:rsidRDefault="00B8298D" w:rsidP="00B8298D">
            <w:pPr>
              <w:jc w:val="center"/>
              <w:rPr>
                <w:rFonts w:ascii="Arial Narrow" w:hAnsi="Arial Narrow"/>
                <w:sz w:val="18"/>
                <w:szCs w:val="18"/>
              </w:rPr>
            </w:pPr>
            <w:r w:rsidRPr="006B5FC6">
              <w:rPr>
                <w:rFonts w:ascii="Arial Narrow" w:hAnsi="Arial Narrow"/>
                <w:sz w:val="18"/>
                <w:szCs w:val="18"/>
              </w:rPr>
              <w:t>Included in 60% overhead</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209A59A" w14:textId="77777777" w:rsidR="00B8298D" w:rsidRPr="006B5FC6" w:rsidRDefault="00B8298D" w:rsidP="00B8298D">
            <w:pPr>
              <w:jc w:val="center"/>
              <w:rPr>
                <w:rFonts w:ascii="Arial Narrow" w:hAnsi="Arial Narrow"/>
                <w:sz w:val="18"/>
                <w:szCs w:val="18"/>
              </w:rPr>
            </w:pPr>
            <w:r w:rsidRPr="006B5FC6">
              <w:rPr>
                <w:rFonts w:ascii="Arial Narrow" w:hAnsi="Arial Narrow"/>
                <w:sz w:val="18"/>
                <w:szCs w:val="18"/>
              </w:rPr>
              <w:t>N/A</w:t>
            </w:r>
          </w:p>
        </w:tc>
        <w:tc>
          <w:tcPr>
            <w:tcW w:w="1052" w:type="dxa"/>
            <w:tcBorders>
              <w:top w:val="single" w:sz="4" w:space="0" w:color="auto"/>
              <w:left w:val="single" w:sz="4" w:space="0" w:color="auto"/>
              <w:bottom w:val="single" w:sz="4" w:space="0" w:color="auto"/>
              <w:right w:val="single" w:sz="4" w:space="0" w:color="auto"/>
            </w:tcBorders>
            <w:vAlign w:val="center"/>
            <w:hideMark/>
          </w:tcPr>
          <w:p w14:paraId="5722EDEB" w14:textId="77777777" w:rsidR="00B8298D" w:rsidRPr="006B5FC6" w:rsidRDefault="00B8298D" w:rsidP="00B8298D">
            <w:pPr>
              <w:jc w:val="center"/>
              <w:rPr>
                <w:rFonts w:ascii="Arial Narrow" w:hAnsi="Arial Narrow"/>
                <w:sz w:val="18"/>
                <w:szCs w:val="18"/>
              </w:rPr>
            </w:pPr>
            <w:r w:rsidRPr="006B5FC6">
              <w:rPr>
                <w:rFonts w:ascii="Arial Narrow" w:hAnsi="Arial Narrow"/>
                <w:sz w:val="18"/>
                <w:szCs w:val="18"/>
              </w:rPr>
              <w:t xml:space="preserve">60% </w:t>
            </w:r>
          </w:p>
        </w:tc>
        <w:tc>
          <w:tcPr>
            <w:tcW w:w="1476" w:type="dxa"/>
            <w:tcBorders>
              <w:top w:val="single" w:sz="4" w:space="0" w:color="auto"/>
              <w:left w:val="single" w:sz="4" w:space="0" w:color="auto"/>
              <w:bottom w:val="single" w:sz="4" w:space="0" w:color="auto"/>
              <w:right w:val="single" w:sz="4" w:space="0" w:color="auto"/>
            </w:tcBorders>
            <w:vAlign w:val="center"/>
            <w:hideMark/>
          </w:tcPr>
          <w:p w14:paraId="720E3C91" w14:textId="77777777" w:rsidR="00B8298D" w:rsidRPr="006B5FC6" w:rsidRDefault="00B8298D" w:rsidP="00B8298D">
            <w:pPr>
              <w:jc w:val="center"/>
              <w:rPr>
                <w:rFonts w:ascii="Arial Narrow" w:hAnsi="Arial Narrow"/>
                <w:sz w:val="18"/>
                <w:szCs w:val="18"/>
              </w:rPr>
            </w:pPr>
            <w:r w:rsidRPr="0B02F8A5">
              <w:rPr>
                <w:rFonts w:ascii="Arial Narrow" w:hAnsi="Arial Narrow"/>
                <w:sz w:val="18"/>
                <w:szCs w:val="18"/>
              </w:rPr>
              <w:t>1.6</w:t>
            </w:r>
          </w:p>
        </w:tc>
        <w:tc>
          <w:tcPr>
            <w:tcW w:w="1137" w:type="dxa"/>
            <w:tcBorders>
              <w:top w:val="single" w:sz="4" w:space="0" w:color="auto"/>
              <w:left w:val="single" w:sz="4" w:space="0" w:color="auto"/>
              <w:bottom w:val="single" w:sz="4" w:space="0" w:color="auto"/>
              <w:right w:val="single" w:sz="4" w:space="0" w:color="auto"/>
            </w:tcBorders>
            <w:vAlign w:val="center"/>
            <w:hideMark/>
          </w:tcPr>
          <w:p w14:paraId="27366B9B" w14:textId="6CC157CD" w:rsidR="00B8298D" w:rsidRPr="000626DB" w:rsidRDefault="00B8298D" w:rsidP="00B8298D">
            <w:pPr>
              <w:jc w:val="center"/>
              <w:rPr>
                <w:rFonts w:ascii="Arial Narrow" w:hAnsi="Arial Narrow"/>
                <w:sz w:val="18"/>
                <w:szCs w:val="18"/>
              </w:rPr>
            </w:pPr>
            <w:r w:rsidRPr="00FC1700">
              <w:rPr>
                <w:rFonts w:ascii="Arial Narrow" w:hAnsi="Arial Narrow" w:cs="Calibri"/>
                <w:color w:val="000000"/>
                <w:sz w:val="18"/>
                <w:szCs w:val="18"/>
              </w:rPr>
              <w:t>$7</w:t>
            </w:r>
            <w:r>
              <w:rPr>
                <w:rFonts w:ascii="Arial Narrow" w:hAnsi="Arial Narrow" w:cs="Calibri"/>
                <w:color w:val="000000"/>
                <w:sz w:val="18"/>
                <w:szCs w:val="18"/>
              </w:rPr>
              <w:t>7.52</w:t>
            </w:r>
            <w:r w:rsidRPr="00FC1700">
              <w:rPr>
                <w:rFonts w:ascii="Arial Narrow" w:hAnsi="Arial Narrow" w:cs="Calibri"/>
                <w:color w:val="000000"/>
                <w:sz w:val="18"/>
                <w:szCs w:val="18"/>
              </w:rPr>
              <w:t xml:space="preserve"> </w:t>
            </w:r>
          </w:p>
        </w:tc>
      </w:tr>
      <w:tr w:rsidR="00B8298D" w:rsidRPr="005E662A" w14:paraId="75989882" w14:textId="77777777" w:rsidTr="00B8298D">
        <w:trPr>
          <w:jc w:val="center"/>
        </w:trPr>
        <w:tc>
          <w:tcPr>
            <w:tcW w:w="9360" w:type="dxa"/>
            <w:gridSpan w:val="8"/>
            <w:tcBorders>
              <w:top w:val="single" w:sz="4" w:space="0" w:color="auto"/>
              <w:left w:val="single" w:sz="4" w:space="0" w:color="auto"/>
              <w:bottom w:val="single" w:sz="4" w:space="0" w:color="auto"/>
              <w:right w:val="single" w:sz="4" w:space="0" w:color="auto"/>
            </w:tcBorders>
            <w:vAlign w:val="center"/>
            <w:hideMark/>
          </w:tcPr>
          <w:p w14:paraId="1BFBE035" w14:textId="77777777" w:rsidR="00B8298D" w:rsidRDefault="00B8298D" w:rsidP="00B8298D">
            <w:pPr>
              <w:rPr>
                <w:rFonts w:ascii="Arial Narrow" w:hAnsi="Arial Narrow"/>
                <w:sz w:val="18"/>
                <w:szCs w:val="18"/>
              </w:rPr>
            </w:pPr>
            <w:r w:rsidRPr="00885DF8">
              <w:rPr>
                <w:rFonts w:ascii="Arial Narrow" w:hAnsi="Arial Narrow"/>
                <w:sz w:val="18"/>
                <w:szCs w:val="18"/>
              </w:rPr>
              <w:t>Footnotes</w:t>
            </w:r>
            <w:r>
              <w:rPr>
                <w:rFonts w:ascii="Arial Narrow" w:hAnsi="Arial Narrow"/>
                <w:sz w:val="18"/>
                <w:szCs w:val="18"/>
              </w:rPr>
              <w:t>:</w:t>
            </w:r>
          </w:p>
          <w:p w14:paraId="28D5063B" w14:textId="77777777" w:rsidR="00B8298D" w:rsidRDefault="00B8298D" w:rsidP="00B8298D">
            <w:pPr>
              <w:ind w:left="144" w:hanging="144"/>
              <w:rPr>
                <w:rFonts w:ascii="Arial Narrow" w:hAnsi="Arial Narrow"/>
                <w:sz w:val="18"/>
                <w:szCs w:val="18"/>
              </w:rPr>
            </w:pPr>
            <w:bookmarkStart w:id="97" w:name="_Hlk519781728"/>
            <w:r w:rsidRPr="00885DF8">
              <w:rPr>
                <w:rFonts w:ascii="Arial Narrow" w:hAnsi="Arial Narrow"/>
                <w:sz w:val="18"/>
                <w:szCs w:val="18"/>
                <w:vertAlign w:val="superscript"/>
              </w:rPr>
              <w:t>1</w:t>
            </w:r>
            <w:r>
              <w:rPr>
                <w:rFonts w:ascii="Arial Narrow" w:hAnsi="Arial Narrow"/>
                <w:sz w:val="18"/>
                <w:szCs w:val="18"/>
              </w:rPr>
              <w:tab/>
            </w:r>
            <w:r w:rsidRPr="00885DF8">
              <w:rPr>
                <w:rFonts w:ascii="Arial Narrow" w:hAnsi="Arial Narrow"/>
                <w:sz w:val="18"/>
                <w:szCs w:val="18"/>
              </w:rPr>
              <w:t xml:space="preserve">Source:  </w:t>
            </w:r>
            <w:r w:rsidRPr="00885DF8">
              <w:rPr>
                <w:rFonts w:ascii="Arial Narrow" w:hAnsi="Arial Narrow"/>
                <w:i/>
                <w:sz w:val="18"/>
                <w:szCs w:val="18"/>
              </w:rPr>
              <w:t>Salary Table</w:t>
            </w:r>
            <w:r w:rsidRPr="00885DF8">
              <w:rPr>
                <w:rFonts w:ascii="Arial Narrow" w:hAnsi="Arial Narrow"/>
                <w:sz w:val="18"/>
                <w:szCs w:val="18"/>
              </w:rPr>
              <w:t xml:space="preserve"> 201</w:t>
            </w:r>
            <w:r>
              <w:rPr>
                <w:rFonts w:ascii="Arial Narrow" w:hAnsi="Arial Narrow"/>
                <w:sz w:val="18"/>
                <w:szCs w:val="18"/>
              </w:rPr>
              <w:t>7</w:t>
            </w:r>
            <w:r w:rsidRPr="00885DF8">
              <w:rPr>
                <w:rFonts w:ascii="Arial Narrow" w:hAnsi="Arial Narrow"/>
                <w:sz w:val="18"/>
                <w:szCs w:val="18"/>
              </w:rPr>
              <w:t>-DCB. (OPM, 2018).</w:t>
            </w:r>
          </w:p>
          <w:p w14:paraId="0F5CC906" w14:textId="3EFF7EF0" w:rsidR="00B8298D" w:rsidRPr="00885DF8" w:rsidRDefault="00B8298D" w:rsidP="00B8298D">
            <w:pPr>
              <w:ind w:left="144" w:hanging="144"/>
              <w:rPr>
                <w:rFonts w:ascii="Arial Narrow" w:hAnsi="Arial Narrow"/>
                <w:sz w:val="18"/>
                <w:szCs w:val="18"/>
              </w:rPr>
            </w:pPr>
            <w:r w:rsidRPr="00885DF8">
              <w:rPr>
                <w:rFonts w:ascii="Arial Narrow" w:hAnsi="Arial Narrow"/>
                <w:sz w:val="18"/>
                <w:szCs w:val="18"/>
                <w:vertAlign w:val="superscript"/>
              </w:rPr>
              <w:t>2</w:t>
            </w:r>
            <w:r>
              <w:rPr>
                <w:rFonts w:ascii="Arial Narrow" w:hAnsi="Arial Narrow"/>
                <w:sz w:val="18"/>
                <w:szCs w:val="18"/>
              </w:rPr>
              <w:tab/>
            </w:r>
            <w:r w:rsidRPr="00885DF8">
              <w:rPr>
                <w:rFonts w:ascii="Arial Narrow" w:hAnsi="Arial Narrow"/>
                <w:sz w:val="18"/>
                <w:szCs w:val="18"/>
              </w:rPr>
              <w:t xml:space="preserve">The 60 </w:t>
            </w:r>
            <w:r>
              <w:rPr>
                <w:rFonts w:ascii="Arial Narrow" w:hAnsi="Arial Narrow"/>
                <w:sz w:val="18"/>
                <w:szCs w:val="18"/>
              </w:rPr>
              <w:t>%</w:t>
            </w:r>
            <w:r w:rsidRPr="00885DF8">
              <w:rPr>
                <w:rFonts w:ascii="Arial Narrow" w:hAnsi="Arial Narrow"/>
                <w:sz w:val="18"/>
                <w:szCs w:val="18"/>
              </w:rPr>
              <w:t xml:space="preserve"> fringes-and-overhead rate is from an EPA guide, </w:t>
            </w:r>
            <w:r w:rsidRPr="00885DF8">
              <w:rPr>
                <w:rFonts w:ascii="Arial Narrow" w:hAnsi="Arial Narrow"/>
                <w:i/>
                <w:iCs/>
                <w:sz w:val="18"/>
                <w:szCs w:val="18"/>
              </w:rPr>
              <w:t>Instructions for Preparing ICRs</w:t>
            </w:r>
            <w:r w:rsidRPr="00885DF8">
              <w:rPr>
                <w:rFonts w:ascii="Arial Narrow" w:hAnsi="Arial Narrow"/>
                <w:sz w:val="18"/>
                <w:szCs w:val="18"/>
              </w:rPr>
              <w:t xml:space="preserve"> (EPA, 2009).</w:t>
            </w:r>
            <w:bookmarkEnd w:id="97"/>
          </w:p>
        </w:tc>
      </w:tr>
    </w:tbl>
    <w:p w14:paraId="7A1FAF4E" w14:textId="6AEA45E5" w:rsidR="00B8298D" w:rsidRDefault="00B8298D" w:rsidP="00B8298D">
      <w:pPr>
        <w:pStyle w:val="BodyText"/>
        <w:spacing w:before="240"/>
      </w:pPr>
      <w:r w:rsidRPr="004523B1">
        <w:t xml:space="preserve">Unit </w:t>
      </w:r>
      <w:r>
        <w:t>b</w:t>
      </w:r>
      <w:r w:rsidRPr="004523B1">
        <w:t>urden and cost associated with EPA staff activities per four-year reporting cycle are the same as in the</w:t>
      </w:r>
      <w:r>
        <w:t xml:space="preserve"> </w:t>
      </w:r>
      <w:r w:rsidRPr="004523B1">
        <w:t xml:space="preserve">ICR </w:t>
      </w:r>
      <w:r>
        <w:t xml:space="preserve">Renewal (EPA, </w:t>
      </w:r>
      <w:r w:rsidR="00FF0FB5">
        <w:t>2018b</w:t>
      </w:r>
      <w:r>
        <w:t xml:space="preserve">) </w:t>
      </w:r>
      <w:r w:rsidRPr="004523B1">
        <w:t xml:space="preserve">and </w:t>
      </w:r>
      <w:r>
        <w:t xml:space="preserve">are </w:t>
      </w:r>
      <w:r w:rsidRPr="004523B1">
        <w:t>presented in</w:t>
      </w:r>
      <w:r>
        <w:t xml:space="preserve"> </w:t>
      </w:r>
      <w:r>
        <w:fldChar w:fldCharType="begin"/>
      </w:r>
      <w:r>
        <w:instrText xml:space="preserve"> REF _Ref526353645 \h </w:instrText>
      </w:r>
      <w:r>
        <w:fldChar w:fldCharType="separate"/>
      </w:r>
      <w:r w:rsidR="00745E52">
        <w:t xml:space="preserve">Table </w:t>
      </w:r>
      <w:r w:rsidR="00745E52">
        <w:rPr>
          <w:noProof/>
        </w:rPr>
        <w:t>10</w:t>
      </w:r>
      <w:r>
        <w:fldChar w:fldCharType="end"/>
      </w:r>
      <w:r w:rsidRPr="004523B1">
        <w:t xml:space="preserve">. The cost associated with quality control of data is performed by program staff and is dependent on the number of </w:t>
      </w:r>
      <w:r>
        <w:t xml:space="preserve">chemical </w:t>
      </w:r>
      <w:r w:rsidRPr="004523B1">
        <w:t xml:space="preserve">reports received.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0"/>
        <w:gridCol w:w="1659"/>
        <w:gridCol w:w="1457"/>
        <w:gridCol w:w="1580"/>
      </w:tblGrid>
      <w:tr w:rsidR="00B8298D" w:rsidRPr="003A0A3F" w14:paraId="7421E454" w14:textId="77777777" w:rsidTr="00310FD7">
        <w:trPr>
          <w:tblHeader/>
          <w:jc w:val="center"/>
        </w:trPr>
        <w:tc>
          <w:tcPr>
            <w:tcW w:w="5000" w:type="pct"/>
            <w:gridSpan w:val="4"/>
            <w:tcBorders>
              <w:top w:val="nil"/>
              <w:left w:val="nil"/>
              <w:bottom w:val="single" w:sz="4" w:space="0" w:color="auto"/>
              <w:right w:val="nil"/>
            </w:tcBorders>
            <w:shd w:val="clear" w:color="auto" w:fill="auto"/>
            <w:vAlign w:val="bottom"/>
          </w:tcPr>
          <w:p w14:paraId="2C953BBF" w14:textId="12D76DDF" w:rsidR="00B8298D" w:rsidRPr="00C3255F" w:rsidRDefault="00B8298D" w:rsidP="00B8298D">
            <w:pPr>
              <w:pStyle w:val="Caption"/>
              <w:keepNext/>
              <w:rPr>
                <w:rFonts w:ascii="Arial Narrow" w:hAnsi="Arial Narrow"/>
                <w:sz w:val="20"/>
              </w:rPr>
            </w:pPr>
            <w:bookmarkStart w:id="98" w:name="_Ref526353645"/>
            <w:bookmarkStart w:id="99" w:name="_Ref523226767"/>
            <w:bookmarkStart w:id="100" w:name="_Ref520368963"/>
            <w:bookmarkStart w:id="101" w:name="_Toc519866159"/>
            <w:bookmarkStart w:id="102" w:name="_Toc521241619"/>
            <w:bookmarkStart w:id="103" w:name="_Toc521331637"/>
            <w:bookmarkStart w:id="104" w:name="_Toc521468921"/>
            <w:r>
              <w:t xml:space="preserve">Table </w:t>
            </w:r>
            <w:r>
              <w:rPr>
                <w:noProof/>
              </w:rPr>
              <w:fldChar w:fldCharType="begin"/>
            </w:r>
            <w:r>
              <w:rPr>
                <w:noProof/>
              </w:rPr>
              <w:instrText xml:space="preserve"> SEQ Table \* ARABIC </w:instrText>
            </w:r>
            <w:r>
              <w:rPr>
                <w:noProof/>
              </w:rPr>
              <w:fldChar w:fldCharType="separate"/>
            </w:r>
            <w:r w:rsidR="00745E52">
              <w:rPr>
                <w:noProof/>
              </w:rPr>
              <w:t>10</w:t>
            </w:r>
            <w:r>
              <w:rPr>
                <w:noProof/>
              </w:rPr>
              <w:fldChar w:fldCharType="end"/>
            </w:r>
            <w:bookmarkEnd w:id="98"/>
            <w:bookmarkEnd w:id="99"/>
            <w:bookmarkEnd w:id="100"/>
            <w:r w:rsidRPr="00445FBA">
              <w:t>: EPA Staff Burden and Cost of Processing Report</w:t>
            </w:r>
            <w:r>
              <w:t>s</w:t>
            </w:r>
            <w:r w:rsidRPr="00445FBA">
              <w:t xml:space="preserve"> per Four</w:t>
            </w:r>
            <w:r>
              <w:t>-</w:t>
            </w:r>
            <w:r w:rsidRPr="00445FBA">
              <w:t>Year Reporting Cycle</w:t>
            </w:r>
            <w:bookmarkEnd w:id="101"/>
            <w:bookmarkEnd w:id="102"/>
            <w:bookmarkEnd w:id="103"/>
            <w:bookmarkEnd w:id="104"/>
          </w:p>
        </w:tc>
      </w:tr>
      <w:tr w:rsidR="00B8298D" w:rsidRPr="003A0A3F" w14:paraId="2A8993F9" w14:textId="77777777" w:rsidTr="00310FD7">
        <w:trPr>
          <w:tblHeader/>
          <w:jc w:val="center"/>
        </w:trPr>
        <w:tc>
          <w:tcPr>
            <w:tcW w:w="2548" w:type="pct"/>
            <w:tcBorders>
              <w:top w:val="single" w:sz="4" w:space="0" w:color="auto"/>
            </w:tcBorders>
            <w:shd w:val="clear" w:color="auto" w:fill="BFBFBF" w:themeFill="background1" w:themeFillShade="BF"/>
            <w:vAlign w:val="bottom"/>
            <w:hideMark/>
          </w:tcPr>
          <w:p w14:paraId="53415177" w14:textId="77777777" w:rsidR="00B8298D" w:rsidRPr="006B5FC6" w:rsidRDefault="00B8298D" w:rsidP="00B8298D">
            <w:pPr>
              <w:keepNext/>
              <w:jc w:val="center"/>
              <w:rPr>
                <w:rFonts w:ascii="Arial Narrow" w:hAnsi="Arial Narrow"/>
                <w:b/>
                <w:sz w:val="18"/>
                <w:szCs w:val="18"/>
              </w:rPr>
            </w:pPr>
            <w:r w:rsidRPr="006B5FC6">
              <w:rPr>
                <w:rFonts w:ascii="Arial Narrow" w:hAnsi="Arial Narrow"/>
                <w:b/>
                <w:sz w:val="18"/>
                <w:szCs w:val="18"/>
              </w:rPr>
              <w:t>Activity</w:t>
            </w:r>
          </w:p>
        </w:tc>
        <w:tc>
          <w:tcPr>
            <w:tcW w:w="866" w:type="pct"/>
            <w:tcBorders>
              <w:top w:val="single" w:sz="4" w:space="0" w:color="auto"/>
            </w:tcBorders>
            <w:shd w:val="clear" w:color="auto" w:fill="BFBFBF" w:themeFill="background1" w:themeFillShade="BF"/>
            <w:vAlign w:val="bottom"/>
            <w:hideMark/>
          </w:tcPr>
          <w:p w14:paraId="0BDF3240" w14:textId="77777777" w:rsidR="00B8298D" w:rsidRPr="006B5FC6" w:rsidRDefault="00B8298D" w:rsidP="00B8298D">
            <w:pPr>
              <w:keepNext/>
              <w:jc w:val="center"/>
              <w:rPr>
                <w:rFonts w:ascii="Arial Narrow" w:hAnsi="Arial Narrow"/>
                <w:b/>
                <w:sz w:val="18"/>
                <w:szCs w:val="18"/>
              </w:rPr>
            </w:pPr>
            <w:r w:rsidRPr="006B5FC6">
              <w:rPr>
                <w:rFonts w:ascii="Arial Narrow" w:hAnsi="Arial Narrow"/>
                <w:b/>
                <w:sz w:val="18"/>
                <w:szCs w:val="18"/>
              </w:rPr>
              <w:t>Unit of Analysis</w:t>
            </w:r>
          </w:p>
        </w:tc>
        <w:tc>
          <w:tcPr>
            <w:tcW w:w="761" w:type="pct"/>
            <w:tcBorders>
              <w:top w:val="single" w:sz="4" w:space="0" w:color="auto"/>
            </w:tcBorders>
            <w:shd w:val="clear" w:color="auto" w:fill="BFBFBF" w:themeFill="background1" w:themeFillShade="BF"/>
            <w:vAlign w:val="bottom"/>
            <w:hideMark/>
          </w:tcPr>
          <w:p w14:paraId="0C9789EF" w14:textId="77777777" w:rsidR="00B8298D" w:rsidRPr="006B5FC6" w:rsidRDefault="00B8298D" w:rsidP="00B8298D">
            <w:pPr>
              <w:keepNext/>
              <w:jc w:val="center"/>
              <w:rPr>
                <w:rFonts w:ascii="Arial Narrow" w:hAnsi="Arial Narrow"/>
                <w:b/>
                <w:sz w:val="18"/>
                <w:szCs w:val="18"/>
              </w:rPr>
            </w:pPr>
            <w:r w:rsidRPr="006B5FC6">
              <w:rPr>
                <w:rFonts w:ascii="Arial Narrow" w:hAnsi="Arial Narrow"/>
                <w:b/>
                <w:sz w:val="18"/>
                <w:szCs w:val="18"/>
              </w:rPr>
              <w:t>Agency Burden per Activity</w:t>
            </w:r>
            <w:r w:rsidRPr="006B5FC6">
              <w:rPr>
                <w:rFonts w:ascii="Arial Narrow" w:hAnsi="Arial Narrow"/>
                <w:b/>
                <w:sz w:val="18"/>
                <w:szCs w:val="18"/>
              </w:rPr>
              <w:br/>
              <w:t>(Hours)</w:t>
            </w:r>
          </w:p>
        </w:tc>
        <w:tc>
          <w:tcPr>
            <w:tcW w:w="825" w:type="pct"/>
            <w:tcBorders>
              <w:top w:val="single" w:sz="4" w:space="0" w:color="auto"/>
            </w:tcBorders>
            <w:shd w:val="clear" w:color="auto" w:fill="BFBFBF" w:themeFill="background1" w:themeFillShade="BF"/>
            <w:vAlign w:val="bottom"/>
            <w:hideMark/>
          </w:tcPr>
          <w:p w14:paraId="2C9350A5" w14:textId="77777777" w:rsidR="00B8298D" w:rsidRPr="006B5FC6" w:rsidRDefault="00B8298D" w:rsidP="00B8298D">
            <w:pPr>
              <w:keepNext/>
              <w:jc w:val="center"/>
              <w:rPr>
                <w:rFonts w:ascii="Arial Narrow" w:hAnsi="Arial Narrow"/>
                <w:b/>
                <w:sz w:val="18"/>
                <w:szCs w:val="18"/>
              </w:rPr>
            </w:pPr>
            <w:r w:rsidRPr="006B5FC6">
              <w:rPr>
                <w:rFonts w:ascii="Arial Narrow" w:hAnsi="Arial Narrow"/>
                <w:b/>
                <w:sz w:val="18"/>
                <w:szCs w:val="18"/>
              </w:rPr>
              <w:t>Agency Cost per Activity (201</w:t>
            </w:r>
            <w:r>
              <w:rPr>
                <w:rFonts w:ascii="Arial Narrow" w:hAnsi="Arial Narrow"/>
                <w:b/>
                <w:sz w:val="18"/>
                <w:szCs w:val="18"/>
              </w:rPr>
              <w:t>7</w:t>
            </w:r>
            <w:r w:rsidRPr="006B5FC6">
              <w:rPr>
                <w:rFonts w:ascii="Arial Narrow" w:hAnsi="Arial Narrow"/>
                <w:b/>
                <w:sz w:val="18"/>
                <w:szCs w:val="18"/>
              </w:rPr>
              <w:t>)</w:t>
            </w:r>
            <w:r w:rsidRPr="006B5FC6">
              <w:rPr>
                <w:rFonts w:ascii="Arial Narrow" w:hAnsi="Arial Narrow"/>
                <w:b/>
                <w:sz w:val="18"/>
                <w:szCs w:val="18"/>
                <w:vertAlign w:val="superscript"/>
              </w:rPr>
              <w:t>1</w:t>
            </w:r>
          </w:p>
        </w:tc>
      </w:tr>
      <w:tr w:rsidR="00B8298D" w:rsidRPr="003A0A3F" w14:paraId="1D4323B0" w14:textId="77777777" w:rsidTr="00310FD7">
        <w:trPr>
          <w:jc w:val="center"/>
        </w:trPr>
        <w:tc>
          <w:tcPr>
            <w:tcW w:w="2548" w:type="pct"/>
            <w:vAlign w:val="center"/>
            <w:hideMark/>
          </w:tcPr>
          <w:p w14:paraId="7AFE7C9D" w14:textId="77777777" w:rsidR="00B8298D" w:rsidRPr="006B5FC6" w:rsidRDefault="00B8298D" w:rsidP="00B8298D">
            <w:pPr>
              <w:keepNext/>
              <w:rPr>
                <w:rFonts w:ascii="Arial Narrow" w:hAnsi="Arial Narrow"/>
                <w:sz w:val="18"/>
                <w:szCs w:val="18"/>
              </w:rPr>
            </w:pPr>
            <w:r w:rsidRPr="006B5FC6">
              <w:rPr>
                <w:rFonts w:ascii="Arial Narrow" w:hAnsi="Arial Narrow"/>
                <w:sz w:val="18"/>
                <w:szCs w:val="18"/>
              </w:rPr>
              <w:t>Quality Control of Data for Part I</w:t>
            </w:r>
          </w:p>
        </w:tc>
        <w:tc>
          <w:tcPr>
            <w:tcW w:w="866" w:type="pct"/>
            <w:shd w:val="clear" w:color="auto" w:fill="FFFFFF" w:themeFill="background1"/>
            <w:vAlign w:val="center"/>
            <w:hideMark/>
          </w:tcPr>
          <w:p w14:paraId="0FFF85FA" w14:textId="77777777" w:rsidR="00B8298D" w:rsidRPr="006B5FC6" w:rsidRDefault="00B8298D" w:rsidP="00B8298D">
            <w:pPr>
              <w:keepNext/>
              <w:rPr>
                <w:rFonts w:ascii="Arial Narrow" w:hAnsi="Arial Narrow"/>
                <w:sz w:val="18"/>
                <w:szCs w:val="18"/>
              </w:rPr>
            </w:pPr>
            <w:r w:rsidRPr="006B5FC6">
              <w:rPr>
                <w:rFonts w:ascii="Arial Narrow" w:hAnsi="Arial Narrow"/>
                <w:sz w:val="18"/>
                <w:szCs w:val="18"/>
              </w:rPr>
              <w:t>Per Site</w:t>
            </w:r>
          </w:p>
        </w:tc>
        <w:tc>
          <w:tcPr>
            <w:tcW w:w="761" w:type="pct"/>
            <w:vAlign w:val="center"/>
            <w:hideMark/>
          </w:tcPr>
          <w:p w14:paraId="58C393DF" w14:textId="77777777" w:rsidR="00B8298D" w:rsidRPr="006B5FC6" w:rsidRDefault="00B8298D" w:rsidP="00B8298D">
            <w:pPr>
              <w:keepNext/>
              <w:jc w:val="right"/>
              <w:rPr>
                <w:rFonts w:ascii="Arial Narrow" w:hAnsi="Arial Narrow"/>
                <w:sz w:val="18"/>
                <w:szCs w:val="18"/>
              </w:rPr>
            </w:pPr>
            <w:r w:rsidRPr="0B02F8A5">
              <w:rPr>
                <w:rFonts w:ascii="Arial Narrow" w:hAnsi="Arial Narrow"/>
                <w:sz w:val="18"/>
                <w:szCs w:val="18"/>
              </w:rPr>
              <w:t>0.0019</w:t>
            </w:r>
          </w:p>
        </w:tc>
        <w:tc>
          <w:tcPr>
            <w:tcW w:w="825" w:type="pct"/>
            <w:vAlign w:val="center"/>
            <w:hideMark/>
          </w:tcPr>
          <w:p w14:paraId="620CB9DC" w14:textId="77777777" w:rsidR="00B8298D" w:rsidRPr="006B5FC6" w:rsidRDefault="00B8298D" w:rsidP="00B8298D">
            <w:pPr>
              <w:keepNext/>
              <w:jc w:val="right"/>
              <w:rPr>
                <w:rFonts w:ascii="Arial Narrow" w:hAnsi="Arial Narrow"/>
                <w:sz w:val="18"/>
                <w:szCs w:val="18"/>
              </w:rPr>
            </w:pPr>
            <w:r>
              <w:rPr>
                <w:rFonts w:ascii="Arial Narrow" w:hAnsi="Arial Narrow" w:cs="Calibri"/>
                <w:color w:val="000000"/>
                <w:sz w:val="18"/>
                <w:szCs w:val="18"/>
              </w:rPr>
              <w:t xml:space="preserve">$0.12 </w:t>
            </w:r>
          </w:p>
        </w:tc>
      </w:tr>
      <w:tr w:rsidR="00B8298D" w:rsidRPr="003A0A3F" w14:paraId="73210D3B" w14:textId="77777777" w:rsidTr="00310FD7">
        <w:trPr>
          <w:jc w:val="center"/>
        </w:trPr>
        <w:tc>
          <w:tcPr>
            <w:tcW w:w="2548" w:type="pct"/>
            <w:vAlign w:val="center"/>
            <w:hideMark/>
          </w:tcPr>
          <w:p w14:paraId="33BCC698" w14:textId="77777777" w:rsidR="00B8298D" w:rsidRPr="006B5FC6" w:rsidRDefault="00B8298D" w:rsidP="00B8298D">
            <w:pPr>
              <w:keepNext/>
              <w:rPr>
                <w:rFonts w:ascii="Arial Narrow" w:hAnsi="Arial Narrow"/>
                <w:sz w:val="18"/>
                <w:szCs w:val="18"/>
              </w:rPr>
            </w:pPr>
            <w:r w:rsidRPr="006B5FC6">
              <w:rPr>
                <w:rFonts w:ascii="Arial Narrow" w:hAnsi="Arial Narrow"/>
                <w:sz w:val="18"/>
                <w:szCs w:val="18"/>
              </w:rPr>
              <w:t>Quality Control of Data for Part II</w:t>
            </w:r>
          </w:p>
        </w:tc>
        <w:tc>
          <w:tcPr>
            <w:tcW w:w="866" w:type="pct"/>
            <w:vAlign w:val="center"/>
            <w:hideMark/>
          </w:tcPr>
          <w:p w14:paraId="6C1B7CC6" w14:textId="77777777" w:rsidR="00B8298D" w:rsidRPr="006B5FC6" w:rsidRDefault="00B8298D" w:rsidP="00B8298D">
            <w:pPr>
              <w:keepNext/>
              <w:rPr>
                <w:rFonts w:ascii="Arial Narrow" w:hAnsi="Arial Narrow"/>
                <w:sz w:val="18"/>
                <w:szCs w:val="18"/>
              </w:rPr>
            </w:pPr>
            <w:r w:rsidRPr="006B5FC6">
              <w:rPr>
                <w:rFonts w:ascii="Arial Narrow" w:hAnsi="Arial Narrow"/>
                <w:sz w:val="18"/>
                <w:szCs w:val="18"/>
              </w:rPr>
              <w:t>Per Chemical Report</w:t>
            </w:r>
          </w:p>
        </w:tc>
        <w:tc>
          <w:tcPr>
            <w:tcW w:w="761" w:type="pct"/>
            <w:vAlign w:val="center"/>
            <w:hideMark/>
          </w:tcPr>
          <w:p w14:paraId="758EA3AC" w14:textId="77777777" w:rsidR="00B8298D" w:rsidRPr="006B5FC6" w:rsidRDefault="00B8298D" w:rsidP="00B8298D">
            <w:pPr>
              <w:keepNext/>
              <w:jc w:val="right"/>
              <w:rPr>
                <w:rFonts w:ascii="Arial Narrow" w:hAnsi="Arial Narrow"/>
                <w:sz w:val="18"/>
                <w:szCs w:val="18"/>
              </w:rPr>
            </w:pPr>
            <w:r w:rsidRPr="0B02F8A5">
              <w:rPr>
                <w:rFonts w:ascii="Arial Narrow" w:hAnsi="Arial Narrow"/>
                <w:sz w:val="18"/>
                <w:szCs w:val="18"/>
              </w:rPr>
              <w:t>0.0054</w:t>
            </w:r>
          </w:p>
        </w:tc>
        <w:tc>
          <w:tcPr>
            <w:tcW w:w="825" w:type="pct"/>
            <w:vAlign w:val="center"/>
            <w:hideMark/>
          </w:tcPr>
          <w:p w14:paraId="7C2A057A" w14:textId="77777777" w:rsidR="00B8298D" w:rsidRPr="006B5FC6" w:rsidRDefault="00B8298D" w:rsidP="00B8298D">
            <w:pPr>
              <w:keepNext/>
              <w:jc w:val="right"/>
              <w:rPr>
                <w:rFonts w:ascii="Arial Narrow" w:hAnsi="Arial Narrow"/>
                <w:sz w:val="18"/>
                <w:szCs w:val="18"/>
              </w:rPr>
            </w:pPr>
            <w:r>
              <w:rPr>
                <w:rFonts w:ascii="Arial Narrow" w:hAnsi="Arial Narrow" w:cs="Calibri"/>
                <w:color w:val="000000"/>
                <w:sz w:val="18"/>
                <w:szCs w:val="18"/>
              </w:rPr>
              <w:t xml:space="preserve">$0.35 </w:t>
            </w:r>
          </w:p>
        </w:tc>
      </w:tr>
      <w:tr w:rsidR="00B8298D" w:rsidRPr="003A0A3F" w14:paraId="493D48F9" w14:textId="77777777" w:rsidTr="00310FD7">
        <w:trPr>
          <w:jc w:val="center"/>
        </w:trPr>
        <w:tc>
          <w:tcPr>
            <w:tcW w:w="2548" w:type="pct"/>
            <w:vAlign w:val="center"/>
            <w:hideMark/>
          </w:tcPr>
          <w:p w14:paraId="560590A3" w14:textId="77777777" w:rsidR="00B8298D" w:rsidRPr="006B5FC6" w:rsidRDefault="00B8298D" w:rsidP="00B8298D">
            <w:pPr>
              <w:keepNext/>
              <w:rPr>
                <w:rFonts w:ascii="Arial Narrow" w:hAnsi="Arial Narrow"/>
                <w:sz w:val="18"/>
                <w:szCs w:val="18"/>
              </w:rPr>
            </w:pPr>
            <w:r w:rsidRPr="006B5FC6">
              <w:rPr>
                <w:rFonts w:ascii="Arial Narrow" w:hAnsi="Arial Narrow"/>
                <w:sz w:val="18"/>
                <w:szCs w:val="18"/>
              </w:rPr>
              <w:t>Quality Control of Data for Part III</w:t>
            </w:r>
          </w:p>
        </w:tc>
        <w:tc>
          <w:tcPr>
            <w:tcW w:w="866" w:type="pct"/>
            <w:vAlign w:val="center"/>
            <w:hideMark/>
          </w:tcPr>
          <w:p w14:paraId="2E8A8EF7" w14:textId="77777777" w:rsidR="00B8298D" w:rsidRPr="006B5FC6" w:rsidRDefault="00B8298D" w:rsidP="00B8298D">
            <w:pPr>
              <w:keepNext/>
              <w:rPr>
                <w:rFonts w:ascii="Arial Narrow" w:hAnsi="Arial Narrow"/>
                <w:sz w:val="18"/>
                <w:szCs w:val="18"/>
              </w:rPr>
            </w:pPr>
            <w:r w:rsidRPr="006B5FC6">
              <w:rPr>
                <w:rFonts w:ascii="Arial Narrow" w:hAnsi="Arial Narrow"/>
                <w:sz w:val="18"/>
                <w:szCs w:val="18"/>
              </w:rPr>
              <w:t>Per Chemical Report</w:t>
            </w:r>
          </w:p>
        </w:tc>
        <w:tc>
          <w:tcPr>
            <w:tcW w:w="761" w:type="pct"/>
            <w:vAlign w:val="center"/>
            <w:hideMark/>
          </w:tcPr>
          <w:p w14:paraId="149B53BA" w14:textId="77777777" w:rsidR="00B8298D" w:rsidRPr="006B5FC6" w:rsidRDefault="00B8298D" w:rsidP="00B8298D">
            <w:pPr>
              <w:keepNext/>
              <w:jc w:val="right"/>
              <w:rPr>
                <w:rFonts w:ascii="Arial Narrow" w:hAnsi="Arial Narrow"/>
                <w:sz w:val="18"/>
                <w:szCs w:val="18"/>
              </w:rPr>
            </w:pPr>
            <w:r w:rsidRPr="0B02F8A5">
              <w:rPr>
                <w:rFonts w:ascii="Arial Narrow" w:hAnsi="Arial Narrow"/>
                <w:sz w:val="18"/>
                <w:szCs w:val="18"/>
              </w:rPr>
              <w:t>0.0063</w:t>
            </w:r>
          </w:p>
        </w:tc>
        <w:tc>
          <w:tcPr>
            <w:tcW w:w="825" w:type="pct"/>
            <w:vAlign w:val="center"/>
            <w:hideMark/>
          </w:tcPr>
          <w:p w14:paraId="25E7D0AD" w14:textId="77777777" w:rsidR="00B8298D" w:rsidRPr="006B5FC6" w:rsidRDefault="00B8298D" w:rsidP="00B8298D">
            <w:pPr>
              <w:keepNext/>
              <w:jc w:val="right"/>
              <w:rPr>
                <w:rFonts w:ascii="Arial Narrow" w:hAnsi="Arial Narrow"/>
                <w:sz w:val="18"/>
                <w:szCs w:val="18"/>
              </w:rPr>
            </w:pPr>
            <w:r>
              <w:rPr>
                <w:rFonts w:ascii="Arial Narrow" w:hAnsi="Arial Narrow" w:cs="Calibri"/>
                <w:color w:val="000000"/>
                <w:sz w:val="18"/>
                <w:szCs w:val="18"/>
              </w:rPr>
              <w:t xml:space="preserve">$0.41 </w:t>
            </w:r>
          </w:p>
        </w:tc>
      </w:tr>
      <w:tr w:rsidR="00B8298D" w:rsidRPr="003A0A3F" w14:paraId="0A4EEFDD" w14:textId="77777777" w:rsidTr="00310FD7">
        <w:trPr>
          <w:jc w:val="center"/>
        </w:trPr>
        <w:tc>
          <w:tcPr>
            <w:tcW w:w="5000" w:type="pct"/>
            <w:gridSpan w:val="4"/>
            <w:tcBorders>
              <w:left w:val="single" w:sz="4" w:space="0" w:color="auto"/>
              <w:bottom w:val="single" w:sz="4" w:space="0" w:color="auto"/>
              <w:right w:val="single" w:sz="4" w:space="0" w:color="auto"/>
            </w:tcBorders>
            <w:hideMark/>
          </w:tcPr>
          <w:p w14:paraId="4F256746" w14:textId="5DCFA510" w:rsidR="00B8298D" w:rsidRPr="008C5171" w:rsidRDefault="00B8298D" w:rsidP="00B8298D">
            <w:pPr>
              <w:rPr>
                <w:rFonts w:ascii="Arial Narrow" w:hAnsi="Arial Narrow"/>
                <w:sz w:val="18"/>
                <w:szCs w:val="18"/>
              </w:rPr>
            </w:pPr>
            <w:r w:rsidRPr="008C5171">
              <w:rPr>
                <w:rFonts w:ascii="Arial Narrow" w:hAnsi="Arial Narrow"/>
                <w:sz w:val="18"/>
                <w:szCs w:val="18"/>
              </w:rPr>
              <w:t xml:space="preserve">Sources include EPA </w:t>
            </w:r>
            <w:r w:rsidR="00C303F2">
              <w:rPr>
                <w:rFonts w:ascii="Arial Narrow" w:hAnsi="Arial Narrow"/>
                <w:sz w:val="18"/>
                <w:szCs w:val="18"/>
              </w:rPr>
              <w:t>(</w:t>
            </w:r>
            <w:r w:rsidRPr="008C5171">
              <w:rPr>
                <w:rFonts w:ascii="Arial Narrow" w:hAnsi="Arial Narrow"/>
                <w:sz w:val="18"/>
                <w:szCs w:val="18"/>
              </w:rPr>
              <w:t>2015</w:t>
            </w:r>
            <w:r w:rsidR="00C303F2">
              <w:rPr>
                <w:rFonts w:ascii="Arial Narrow" w:hAnsi="Arial Narrow"/>
                <w:sz w:val="18"/>
                <w:szCs w:val="18"/>
              </w:rPr>
              <w:t>)</w:t>
            </w:r>
            <w:r w:rsidRPr="008C5171">
              <w:rPr>
                <w:rFonts w:ascii="Arial Narrow" w:hAnsi="Arial Narrow"/>
                <w:sz w:val="18"/>
                <w:szCs w:val="18"/>
              </w:rPr>
              <w:t xml:space="preserve"> and </w:t>
            </w:r>
            <w:r>
              <w:rPr>
                <w:rFonts w:ascii="Arial Narrow" w:hAnsi="Arial Narrow"/>
                <w:sz w:val="18"/>
                <w:szCs w:val="18"/>
              </w:rPr>
              <w:t xml:space="preserve">EPA </w:t>
            </w:r>
            <w:r w:rsidR="00C303F2">
              <w:rPr>
                <w:rFonts w:ascii="Arial Narrow" w:hAnsi="Arial Narrow"/>
                <w:sz w:val="18"/>
                <w:szCs w:val="18"/>
              </w:rPr>
              <w:t>(</w:t>
            </w:r>
            <w:r w:rsidR="00FF0FB5">
              <w:rPr>
                <w:rFonts w:ascii="Arial Narrow" w:hAnsi="Arial Narrow"/>
                <w:sz w:val="18"/>
                <w:szCs w:val="18"/>
              </w:rPr>
              <w:t>2018b</w:t>
            </w:r>
            <w:r w:rsidR="00C303F2">
              <w:rPr>
                <w:rFonts w:ascii="Arial Narrow" w:hAnsi="Arial Narrow"/>
                <w:sz w:val="18"/>
                <w:szCs w:val="18"/>
              </w:rPr>
              <w:t>)</w:t>
            </w:r>
          </w:p>
          <w:p w14:paraId="68F7DB11" w14:textId="77777777" w:rsidR="00B8298D" w:rsidRDefault="00B8298D" w:rsidP="00B8298D">
            <w:pPr>
              <w:rPr>
                <w:rFonts w:ascii="Arial Narrow" w:hAnsi="Arial Narrow"/>
                <w:sz w:val="18"/>
                <w:szCs w:val="18"/>
              </w:rPr>
            </w:pPr>
            <w:r w:rsidRPr="00885DF8">
              <w:rPr>
                <w:rFonts w:ascii="Arial Narrow" w:hAnsi="Arial Narrow"/>
                <w:sz w:val="18"/>
                <w:szCs w:val="18"/>
              </w:rPr>
              <w:t>Footnote</w:t>
            </w:r>
            <w:r>
              <w:rPr>
                <w:rFonts w:ascii="Arial Narrow" w:hAnsi="Arial Narrow"/>
                <w:sz w:val="18"/>
                <w:szCs w:val="18"/>
              </w:rPr>
              <w:t>:</w:t>
            </w:r>
          </w:p>
          <w:p w14:paraId="079C17EF" w14:textId="56A03DDC" w:rsidR="00B8298D" w:rsidRPr="00885DF8" w:rsidRDefault="00C303F2" w:rsidP="00B8298D">
            <w:pPr>
              <w:rPr>
                <w:rFonts w:ascii="Arial Narrow" w:hAnsi="Arial Narrow"/>
                <w:sz w:val="18"/>
                <w:szCs w:val="18"/>
              </w:rPr>
            </w:pPr>
            <w:r w:rsidRPr="00885DF8">
              <w:rPr>
                <w:rFonts w:ascii="Arial Narrow" w:hAnsi="Arial Narrow"/>
                <w:sz w:val="18"/>
                <w:szCs w:val="18"/>
                <w:vertAlign w:val="superscript"/>
              </w:rPr>
              <w:t>1</w:t>
            </w:r>
            <w:r>
              <w:rPr>
                <w:rFonts w:ascii="Arial Narrow" w:hAnsi="Arial Narrow"/>
                <w:sz w:val="18"/>
                <w:szCs w:val="18"/>
              </w:rPr>
              <w:t xml:space="preserve"> Based on labor </w:t>
            </w:r>
            <w:r w:rsidRPr="00E074AB">
              <w:rPr>
                <w:rFonts w:ascii="Arial Narrow" w:hAnsi="Arial Narrow"/>
                <w:sz w:val="18"/>
                <w:szCs w:val="18"/>
              </w:rPr>
              <w:t xml:space="preserve">rates </w:t>
            </w:r>
            <w:r w:rsidRPr="00E074AB">
              <w:rPr>
                <w:rFonts w:ascii="Arial Narrow" w:eastAsia="Times New Roman" w:hAnsi="Arial Narrow" w:cs="Calibri"/>
                <w:color w:val="000000"/>
                <w:sz w:val="18"/>
                <w:szCs w:val="18"/>
              </w:rPr>
              <w:t xml:space="preserve">(see </w:t>
            </w:r>
            <w:r w:rsidRPr="00E074AB">
              <w:rPr>
                <w:rFonts w:ascii="Arial Narrow" w:eastAsia="Times New Roman" w:hAnsi="Arial Narrow" w:cs="Calibri"/>
                <w:color w:val="000000"/>
                <w:sz w:val="18"/>
                <w:szCs w:val="18"/>
              </w:rPr>
              <w:fldChar w:fldCharType="begin"/>
            </w:r>
            <w:r w:rsidRPr="00E074AB">
              <w:rPr>
                <w:rFonts w:ascii="Arial Narrow" w:eastAsia="Times New Roman" w:hAnsi="Arial Narrow" w:cs="Calibri"/>
                <w:color w:val="000000"/>
                <w:sz w:val="18"/>
                <w:szCs w:val="18"/>
              </w:rPr>
              <w:instrText xml:space="preserve"> REF _Ref526353620 \h  \* MERGEFORMAT </w:instrText>
            </w:r>
            <w:r w:rsidRPr="00E074AB">
              <w:rPr>
                <w:rFonts w:ascii="Arial Narrow" w:eastAsia="Times New Roman" w:hAnsi="Arial Narrow" w:cs="Calibri"/>
                <w:color w:val="000000"/>
                <w:sz w:val="18"/>
                <w:szCs w:val="18"/>
              </w:rPr>
            </w:r>
            <w:r w:rsidRPr="00E074AB">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9</w:t>
            </w:r>
            <w:r w:rsidRPr="00E074AB">
              <w:rPr>
                <w:rFonts w:ascii="Arial Narrow" w:eastAsia="Times New Roman" w:hAnsi="Arial Narrow" w:cs="Calibri"/>
                <w:color w:val="000000"/>
                <w:sz w:val="18"/>
                <w:szCs w:val="18"/>
              </w:rPr>
              <w:fldChar w:fldCharType="end"/>
            </w:r>
            <w:r w:rsidRPr="00E074AB">
              <w:rPr>
                <w:rFonts w:ascii="Arial Narrow" w:eastAsia="Times New Roman" w:hAnsi="Arial Narrow" w:cs="Calibri"/>
                <w:color w:val="000000"/>
                <w:sz w:val="18"/>
                <w:szCs w:val="18"/>
              </w:rPr>
              <w:t>)</w:t>
            </w:r>
            <w:r w:rsidRPr="00E074AB">
              <w:rPr>
                <w:rFonts w:ascii="Arial Narrow" w:hAnsi="Arial Narrow"/>
                <w:sz w:val="18"/>
                <w:szCs w:val="18"/>
              </w:rPr>
              <w:t xml:space="preserve"> for</w:t>
            </w:r>
            <w:r w:rsidRPr="00885DF8">
              <w:rPr>
                <w:rFonts w:ascii="Arial Narrow" w:hAnsi="Arial Narrow"/>
                <w:sz w:val="18"/>
                <w:szCs w:val="18"/>
              </w:rPr>
              <w:t xml:space="preserve"> </w:t>
            </w:r>
            <w:r>
              <w:rPr>
                <w:rFonts w:ascii="Arial Narrow" w:hAnsi="Arial Narrow"/>
                <w:sz w:val="18"/>
                <w:szCs w:val="18"/>
              </w:rPr>
              <w:t>q</w:t>
            </w:r>
            <w:r w:rsidRPr="00885DF8">
              <w:rPr>
                <w:rFonts w:ascii="Arial Narrow" w:hAnsi="Arial Narrow"/>
                <w:sz w:val="18"/>
                <w:szCs w:val="18"/>
              </w:rPr>
              <w:t xml:space="preserve">uality </w:t>
            </w:r>
            <w:r>
              <w:rPr>
                <w:rFonts w:ascii="Arial Narrow" w:hAnsi="Arial Narrow"/>
                <w:sz w:val="18"/>
                <w:szCs w:val="18"/>
              </w:rPr>
              <w:t>c</w:t>
            </w:r>
            <w:r w:rsidRPr="00885DF8">
              <w:rPr>
                <w:rFonts w:ascii="Arial Narrow" w:hAnsi="Arial Narrow"/>
                <w:sz w:val="18"/>
                <w:szCs w:val="18"/>
              </w:rPr>
              <w:t xml:space="preserve">ontrol activities and </w:t>
            </w:r>
            <w:r>
              <w:rPr>
                <w:rFonts w:ascii="Arial Narrow" w:hAnsi="Arial Narrow"/>
                <w:sz w:val="18"/>
                <w:szCs w:val="18"/>
              </w:rPr>
              <w:t>r</w:t>
            </w:r>
            <w:r w:rsidRPr="00885DF8">
              <w:rPr>
                <w:rFonts w:ascii="Arial Narrow" w:hAnsi="Arial Narrow"/>
                <w:sz w:val="18"/>
                <w:szCs w:val="18"/>
              </w:rPr>
              <w:t>eview of e-</w:t>
            </w:r>
            <w:r>
              <w:rPr>
                <w:rFonts w:ascii="Arial Narrow" w:hAnsi="Arial Narrow"/>
                <w:sz w:val="18"/>
                <w:szCs w:val="18"/>
              </w:rPr>
              <w:t>s</w:t>
            </w:r>
            <w:r w:rsidRPr="00885DF8">
              <w:rPr>
                <w:rFonts w:ascii="Arial Narrow" w:hAnsi="Arial Narrow"/>
                <w:sz w:val="18"/>
                <w:szCs w:val="18"/>
              </w:rPr>
              <w:t xml:space="preserve">ignatures by </w:t>
            </w:r>
            <w:r>
              <w:rPr>
                <w:rFonts w:ascii="Arial Narrow" w:hAnsi="Arial Narrow"/>
                <w:sz w:val="18"/>
                <w:szCs w:val="18"/>
              </w:rPr>
              <w:t>p</w:t>
            </w:r>
            <w:r w:rsidRPr="00885DF8">
              <w:rPr>
                <w:rFonts w:ascii="Arial Narrow" w:hAnsi="Arial Narrow"/>
                <w:sz w:val="18"/>
                <w:szCs w:val="18"/>
              </w:rPr>
              <w:t xml:space="preserve">rogram </w:t>
            </w:r>
            <w:r>
              <w:rPr>
                <w:rFonts w:ascii="Arial Narrow" w:hAnsi="Arial Narrow"/>
                <w:sz w:val="18"/>
                <w:szCs w:val="18"/>
              </w:rPr>
              <w:t>s</w:t>
            </w:r>
            <w:r w:rsidRPr="00885DF8">
              <w:rPr>
                <w:rFonts w:ascii="Arial Narrow" w:hAnsi="Arial Narrow"/>
                <w:sz w:val="18"/>
                <w:szCs w:val="18"/>
              </w:rPr>
              <w:t>taff GS12 Step 3</w:t>
            </w:r>
            <w:r>
              <w:rPr>
                <w:rFonts w:ascii="Arial Narrow" w:hAnsi="Arial Narrow"/>
                <w:sz w:val="18"/>
                <w:szCs w:val="18"/>
              </w:rPr>
              <w:t>.</w:t>
            </w:r>
          </w:p>
        </w:tc>
      </w:tr>
    </w:tbl>
    <w:p w14:paraId="1154A211" w14:textId="77777777" w:rsidR="00B8298D" w:rsidRPr="008A7FB7" w:rsidRDefault="00B8298D" w:rsidP="00B8298D">
      <w:pPr>
        <w:pStyle w:val="Heading3"/>
      </w:pPr>
      <w:r w:rsidRPr="008A7FB7">
        <w:t>Contractor Activities</w:t>
      </w:r>
    </w:p>
    <w:p w14:paraId="76DA232A" w14:textId="51EC4D80" w:rsidR="004C275D" w:rsidRDefault="00B8298D" w:rsidP="00B8298D">
      <w:pPr>
        <w:pStyle w:val="BodyText"/>
      </w:pPr>
      <w:r w:rsidRPr="008A7FB7">
        <w:t>Agency costs also include payment for extramural tasks completed by contractors (this category includes costs to EPA, but not burden hours). Contractor activities</w:t>
      </w:r>
      <w:r>
        <w:t xml:space="preserve"> affected by the proposed rule</w:t>
      </w:r>
      <w:r w:rsidRPr="008A7FB7">
        <w:t xml:space="preserve"> include document receipt, tracking, </w:t>
      </w:r>
      <w:r>
        <w:t xml:space="preserve">and </w:t>
      </w:r>
      <w:r w:rsidRPr="008A7FB7">
        <w:t>data review</w:t>
      </w:r>
      <w:r>
        <w:t xml:space="preserve"> </w:t>
      </w:r>
      <w:r w:rsidRPr="008A7FB7">
        <w:t>as presented in</w:t>
      </w:r>
      <w:r>
        <w:t xml:space="preserve"> </w:t>
      </w:r>
      <w:r>
        <w:fldChar w:fldCharType="begin"/>
      </w:r>
      <w:r>
        <w:instrText xml:space="preserve"> REF _Ref526353712 \h </w:instrText>
      </w:r>
      <w:r>
        <w:fldChar w:fldCharType="separate"/>
      </w:r>
      <w:r w:rsidR="00745E52">
        <w:t xml:space="preserve">Table </w:t>
      </w:r>
      <w:r w:rsidR="00745E52">
        <w:rPr>
          <w:noProof/>
        </w:rPr>
        <w:t>11</w:t>
      </w:r>
      <w:r>
        <w:fldChar w:fldCharType="end"/>
      </w:r>
      <w:r w:rsidRPr="008A7FB7">
        <w:t xml:space="preserve">. </w:t>
      </w:r>
      <w:r>
        <w:t xml:space="preserve"> These </w:t>
      </w:r>
      <w:r w:rsidRPr="008A7FB7">
        <w:t xml:space="preserve">costs are taken from the ICR </w:t>
      </w:r>
      <w:r>
        <w:t xml:space="preserve">renewal (EPA, </w:t>
      </w:r>
      <w:r w:rsidR="00FF0FB5">
        <w:t>2018b</w:t>
      </w:r>
      <w:r>
        <w:t xml:space="preserve">) </w:t>
      </w:r>
      <w:r w:rsidRPr="008A7FB7">
        <w:t xml:space="preserve">and </w:t>
      </w:r>
      <w:r>
        <w:t>are</w:t>
      </w:r>
      <w:r w:rsidRPr="008A7FB7">
        <w:t xml:space="preserve"> inflated from 20</w:t>
      </w:r>
      <w:r>
        <w:t>12</w:t>
      </w:r>
      <w:r w:rsidRPr="008A7FB7">
        <w:t xml:space="preserve"> to 20</w:t>
      </w:r>
      <w:r>
        <w:t>17</w:t>
      </w:r>
      <w:r w:rsidRPr="008A7FB7">
        <w:t xml:space="preserve"> dollars with an inflation factor calculated using the Employment Cost Index (ECI), seasonally adjusted, for management, professional, and related occupations in private industry (BLS, 201</w:t>
      </w:r>
      <w:r>
        <w:t>8)</w:t>
      </w:r>
      <w:r w:rsidRPr="008A7FB7">
        <w:t xml:space="preserve">. </w:t>
      </w:r>
    </w:p>
    <w:p w14:paraId="2D05D6E1" w14:textId="77777777" w:rsidR="004C275D" w:rsidRDefault="004C275D">
      <w:pPr>
        <w:spacing w:after="200" w:line="276" w:lineRule="auto"/>
        <w:rPr>
          <w:rFonts w:eastAsia="Times New Roman" w:cs="Times New Roman"/>
        </w:rPr>
      </w:pPr>
      <w:r>
        <w:br w:type="page"/>
      </w:r>
    </w:p>
    <w:p w14:paraId="72752C48" w14:textId="77777777" w:rsidR="00B8298D" w:rsidRDefault="00B8298D" w:rsidP="00B8298D">
      <w:pPr>
        <w:pStyle w:val="BodyText"/>
      </w:pPr>
    </w:p>
    <w:tbl>
      <w:tblPr>
        <w:tblW w:w="5000" w:type="pct"/>
        <w:jc w:val="center"/>
        <w:tblLook w:val="04A0" w:firstRow="1" w:lastRow="0" w:firstColumn="1" w:lastColumn="0" w:noHBand="0" w:noVBand="1"/>
      </w:tblPr>
      <w:tblGrid>
        <w:gridCol w:w="7158"/>
        <w:gridCol w:w="1302"/>
        <w:gridCol w:w="1116"/>
      </w:tblGrid>
      <w:tr w:rsidR="00B8298D" w:rsidRPr="003D75E2" w14:paraId="478A842F" w14:textId="77777777" w:rsidTr="00B8298D">
        <w:trPr>
          <w:tblHeader/>
          <w:jc w:val="center"/>
        </w:trPr>
        <w:tc>
          <w:tcPr>
            <w:tcW w:w="9270" w:type="dxa"/>
            <w:gridSpan w:val="3"/>
            <w:tcBorders>
              <w:bottom w:val="single" w:sz="4" w:space="0" w:color="auto"/>
            </w:tcBorders>
            <w:shd w:val="clear" w:color="auto" w:fill="auto"/>
            <w:vAlign w:val="bottom"/>
          </w:tcPr>
          <w:p w14:paraId="2983FCEB" w14:textId="1837BEAC" w:rsidR="00B8298D" w:rsidRPr="003D75E2" w:rsidRDefault="00B8298D" w:rsidP="00B8298D">
            <w:pPr>
              <w:pStyle w:val="Caption"/>
              <w:keepNext/>
              <w:rPr>
                <w:rFonts w:ascii="Arial Narrow" w:hAnsi="Arial Narrow"/>
                <w:sz w:val="20"/>
              </w:rPr>
            </w:pPr>
            <w:bookmarkStart w:id="105" w:name="_Ref526353712"/>
            <w:bookmarkStart w:id="106" w:name="_Ref523226786"/>
            <w:bookmarkStart w:id="107" w:name="_Ref520369016"/>
            <w:bookmarkStart w:id="108" w:name="_Toc519866160"/>
            <w:bookmarkStart w:id="109" w:name="_Toc521241620"/>
            <w:bookmarkStart w:id="110" w:name="_Toc521331638"/>
            <w:bookmarkStart w:id="111" w:name="_Toc521468922"/>
            <w:r>
              <w:t xml:space="preserve">Table </w:t>
            </w:r>
            <w:r>
              <w:rPr>
                <w:noProof/>
              </w:rPr>
              <w:fldChar w:fldCharType="begin"/>
            </w:r>
            <w:r>
              <w:rPr>
                <w:noProof/>
              </w:rPr>
              <w:instrText xml:space="preserve"> SEQ Table \* ARABIC </w:instrText>
            </w:r>
            <w:r>
              <w:rPr>
                <w:noProof/>
              </w:rPr>
              <w:fldChar w:fldCharType="separate"/>
            </w:r>
            <w:r w:rsidR="00745E52">
              <w:rPr>
                <w:noProof/>
              </w:rPr>
              <w:t>11</w:t>
            </w:r>
            <w:r>
              <w:rPr>
                <w:noProof/>
              </w:rPr>
              <w:fldChar w:fldCharType="end"/>
            </w:r>
            <w:bookmarkEnd w:id="105"/>
            <w:bookmarkEnd w:id="106"/>
            <w:bookmarkEnd w:id="107"/>
            <w:r w:rsidRPr="00B36F19">
              <w:t>:</w:t>
            </w:r>
            <w:r>
              <w:t xml:space="preserve"> </w:t>
            </w:r>
            <w:r w:rsidRPr="00B36F19">
              <w:t>Unit Cost of Contractor Activities for Four</w:t>
            </w:r>
            <w:r>
              <w:t>-</w:t>
            </w:r>
            <w:r w:rsidRPr="00B36F19">
              <w:t>Year Reporting Cycle</w:t>
            </w:r>
            <w:bookmarkEnd w:id="108"/>
            <w:bookmarkEnd w:id="109"/>
            <w:bookmarkEnd w:id="110"/>
            <w:bookmarkEnd w:id="111"/>
          </w:p>
        </w:tc>
      </w:tr>
      <w:tr w:rsidR="00B8298D" w:rsidRPr="003D75E2" w14:paraId="79A66489" w14:textId="77777777" w:rsidTr="00B8298D">
        <w:trPr>
          <w:tblHeader/>
          <w:jc w:val="center"/>
        </w:trPr>
        <w:tc>
          <w:tcPr>
            <w:tcW w:w="6930" w:type="dxa"/>
            <w:tcBorders>
              <w:top w:val="single" w:sz="4" w:space="0" w:color="auto"/>
              <w:left w:val="single" w:sz="4" w:space="0" w:color="auto"/>
              <w:bottom w:val="single" w:sz="4" w:space="0" w:color="auto"/>
              <w:right w:val="single" w:sz="4" w:space="0" w:color="auto"/>
            </w:tcBorders>
            <w:shd w:val="clear" w:color="auto" w:fill="BFBFBF"/>
            <w:vAlign w:val="bottom"/>
          </w:tcPr>
          <w:p w14:paraId="27FDDD7C" w14:textId="77777777" w:rsidR="00B8298D" w:rsidRPr="006B5FC6" w:rsidRDefault="00B8298D" w:rsidP="00B8298D">
            <w:pPr>
              <w:spacing w:before="10" w:after="10"/>
              <w:jc w:val="center"/>
              <w:rPr>
                <w:rFonts w:ascii="Arial Narrow" w:hAnsi="Arial Narrow"/>
                <w:b/>
                <w:sz w:val="18"/>
                <w:szCs w:val="18"/>
              </w:rPr>
            </w:pPr>
            <w:r>
              <w:rPr>
                <w:rFonts w:ascii="Arial Narrow" w:hAnsi="Arial Narrow"/>
                <w:b/>
                <w:sz w:val="18"/>
                <w:szCs w:val="18"/>
              </w:rPr>
              <w:t>Activity</w:t>
            </w:r>
          </w:p>
        </w:tc>
        <w:tc>
          <w:tcPr>
            <w:tcW w:w="1260" w:type="dxa"/>
            <w:tcBorders>
              <w:top w:val="single" w:sz="4" w:space="0" w:color="auto"/>
              <w:left w:val="single" w:sz="4" w:space="0" w:color="auto"/>
              <w:bottom w:val="single" w:sz="4" w:space="0" w:color="auto"/>
              <w:right w:val="single" w:sz="4" w:space="0" w:color="auto"/>
            </w:tcBorders>
            <w:shd w:val="clear" w:color="auto" w:fill="BFBFBF"/>
            <w:vAlign w:val="bottom"/>
          </w:tcPr>
          <w:p w14:paraId="5126B2CA" w14:textId="77777777" w:rsidR="00B8298D" w:rsidRPr="006B5FC6" w:rsidRDefault="00B8298D" w:rsidP="00B8298D">
            <w:pPr>
              <w:spacing w:before="10" w:after="10"/>
              <w:jc w:val="center"/>
              <w:rPr>
                <w:rFonts w:ascii="Arial Narrow" w:hAnsi="Arial Narrow"/>
                <w:b/>
                <w:sz w:val="18"/>
                <w:szCs w:val="18"/>
              </w:rPr>
            </w:pPr>
            <w:r w:rsidRPr="006B5FC6">
              <w:rPr>
                <w:rFonts w:ascii="Arial Narrow" w:hAnsi="Arial Narrow"/>
                <w:b/>
                <w:sz w:val="18"/>
                <w:szCs w:val="18"/>
              </w:rPr>
              <w:t xml:space="preserve">Cost </w:t>
            </w:r>
            <w:r w:rsidRPr="006B5FC6">
              <w:rPr>
                <w:rFonts w:ascii="Arial Narrow" w:hAnsi="Arial Narrow"/>
                <w:b/>
                <w:sz w:val="18"/>
                <w:szCs w:val="18"/>
              </w:rPr>
              <w:br/>
              <w:t>2012$</w:t>
            </w:r>
          </w:p>
        </w:tc>
        <w:tc>
          <w:tcPr>
            <w:tcW w:w="1080" w:type="dxa"/>
            <w:tcBorders>
              <w:top w:val="single" w:sz="4" w:space="0" w:color="auto"/>
              <w:left w:val="single" w:sz="4" w:space="0" w:color="auto"/>
              <w:bottom w:val="single" w:sz="4" w:space="0" w:color="auto"/>
              <w:right w:val="single" w:sz="4" w:space="0" w:color="auto"/>
            </w:tcBorders>
            <w:shd w:val="clear" w:color="auto" w:fill="BFBFBF"/>
            <w:vAlign w:val="bottom"/>
          </w:tcPr>
          <w:p w14:paraId="54A5D9EE" w14:textId="77777777" w:rsidR="00B8298D" w:rsidRPr="006B5FC6" w:rsidRDefault="00B8298D" w:rsidP="00B8298D">
            <w:pPr>
              <w:spacing w:before="10" w:after="10"/>
              <w:jc w:val="center"/>
              <w:rPr>
                <w:rFonts w:ascii="Arial Narrow" w:hAnsi="Arial Narrow"/>
                <w:b/>
                <w:sz w:val="18"/>
                <w:szCs w:val="18"/>
              </w:rPr>
            </w:pPr>
            <w:r w:rsidRPr="006B5FC6">
              <w:rPr>
                <w:rFonts w:ascii="Arial Narrow" w:hAnsi="Arial Narrow"/>
                <w:b/>
                <w:sz w:val="18"/>
                <w:szCs w:val="18"/>
              </w:rPr>
              <w:t>Cost</w:t>
            </w:r>
            <w:r w:rsidRPr="006B5FC6">
              <w:rPr>
                <w:rFonts w:ascii="Arial Narrow" w:hAnsi="Arial Narrow"/>
                <w:b/>
                <w:sz w:val="18"/>
                <w:szCs w:val="18"/>
                <w:vertAlign w:val="superscript"/>
              </w:rPr>
              <w:t>1</w:t>
            </w:r>
            <w:r w:rsidRPr="006B5FC6">
              <w:rPr>
                <w:rFonts w:ascii="Arial Narrow" w:hAnsi="Arial Narrow"/>
                <w:b/>
                <w:sz w:val="18"/>
                <w:szCs w:val="18"/>
              </w:rPr>
              <w:br/>
              <w:t>2017$</w:t>
            </w:r>
          </w:p>
        </w:tc>
      </w:tr>
      <w:tr w:rsidR="00B8298D" w:rsidRPr="003D75E2" w14:paraId="68138EEE" w14:textId="77777777" w:rsidTr="00B8298D">
        <w:trPr>
          <w:jc w:val="center"/>
        </w:trPr>
        <w:tc>
          <w:tcPr>
            <w:tcW w:w="9270" w:type="dxa"/>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F6BDD3E" w14:textId="77777777" w:rsidR="00B8298D" w:rsidRPr="006B5FC6" w:rsidRDefault="00B8298D" w:rsidP="00B8298D">
            <w:pPr>
              <w:spacing w:before="10" w:after="10"/>
              <w:rPr>
                <w:rFonts w:ascii="Arial Narrow" w:hAnsi="Arial Narrow"/>
                <w:sz w:val="18"/>
                <w:szCs w:val="18"/>
              </w:rPr>
            </w:pPr>
            <w:r w:rsidRPr="006B5FC6">
              <w:rPr>
                <w:rFonts w:ascii="Arial Narrow" w:hAnsi="Arial Narrow"/>
                <w:b/>
                <w:sz w:val="18"/>
                <w:szCs w:val="18"/>
              </w:rPr>
              <w:t xml:space="preserve">Variable Costs (cost per </w:t>
            </w:r>
            <w:r>
              <w:rPr>
                <w:rFonts w:ascii="Arial Narrow" w:hAnsi="Arial Narrow"/>
                <w:b/>
                <w:sz w:val="18"/>
                <w:szCs w:val="18"/>
              </w:rPr>
              <w:t xml:space="preserve">chemical </w:t>
            </w:r>
            <w:r w:rsidRPr="006B5FC6">
              <w:rPr>
                <w:rFonts w:ascii="Arial Narrow" w:hAnsi="Arial Narrow"/>
                <w:b/>
                <w:sz w:val="18"/>
                <w:szCs w:val="18"/>
              </w:rPr>
              <w:t>report)</w:t>
            </w:r>
          </w:p>
        </w:tc>
      </w:tr>
      <w:tr w:rsidR="00B8298D" w:rsidRPr="003D75E2" w14:paraId="18163824" w14:textId="77777777" w:rsidTr="00B8298D">
        <w:trPr>
          <w:jc w:val="center"/>
        </w:trPr>
        <w:tc>
          <w:tcPr>
            <w:tcW w:w="6930" w:type="dxa"/>
            <w:tcBorders>
              <w:top w:val="single" w:sz="4" w:space="0" w:color="auto"/>
              <w:left w:val="single" w:sz="4" w:space="0" w:color="auto"/>
              <w:bottom w:val="single" w:sz="4" w:space="0" w:color="auto"/>
              <w:right w:val="single" w:sz="4" w:space="0" w:color="auto"/>
            </w:tcBorders>
            <w:vAlign w:val="center"/>
            <w:hideMark/>
          </w:tcPr>
          <w:p w14:paraId="515F2098" w14:textId="77777777" w:rsidR="00B8298D" w:rsidRPr="006B5FC6" w:rsidRDefault="00B8298D" w:rsidP="00B8298D">
            <w:pPr>
              <w:spacing w:before="10" w:after="10"/>
              <w:rPr>
                <w:rFonts w:ascii="Arial Narrow" w:hAnsi="Arial Narrow"/>
                <w:sz w:val="18"/>
                <w:szCs w:val="18"/>
              </w:rPr>
            </w:pPr>
            <w:r w:rsidRPr="006B5FC6">
              <w:rPr>
                <w:rFonts w:ascii="Arial Narrow" w:hAnsi="Arial Narrow"/>
                <w:sz w:val="18"/>
                <w:szCs w:val="18"/>
              </w:rPr>
              <w:t>Document receipt, tracking, and data review for Part 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497242C8" w14:textId="77777777" w:rsidR="00B8298D" w:rsidRPr="006B5FC6" w:rsidRDefault="00B8298D" w:rsidP="00B8298D">
            <w:pPr>
              <w:spacing w:before="10" w:after="10"/>
              <w:jc w:val="right"/>
              <w:rPr>
                <w:rFonts w:ascii="Arial Narrow" w:hAnsi="Arial Narrow"/>
                <w:sz w:val="18"/>
                <w:szCs w:val="18"/>
              </w:rPr>
            </w:pPr>
            <w:r w:rsidRPr="006B5FC6">
              <w:rPr>
                <w:rFonts w:ascii="Arial Narrow" w:hAnsi="Arial Narrow"/>
                <w:sz w:val="18"/>
                <w:szCs w:val="18"/>
              </w:rPr>
              <w:t xml:space="preserve">$0.10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F78CB26" w14:textId="77777777" w:rsidR="00B8298D" w:rsidRPr="006B5FC6" w:rsidRDefault="00B8298D" w:rsidP="00B8298D">
            <w:pPr>
              <w:spacing w:before="10" w:after="10"/>
              <w:jc w:val="right"/>
              <w:rPr>
                <w:rFonts w:ascii="Arial Narrow" w:hAnsi="Arial Narrow"/>
                <w:sz w:val="18"/>
                <w:szCs w:val="18"/>
              </w:rPr>
            </w:pPr>
            <w:r w:rsidRPr="006B5FC6">
              <w:rPr>
                <w:rFonts w:ascii="Arial Narrow" w:hAnsi="Arial Narrow" w:cs="Calibri"/>
                <w:color w:val="000000"/>
                <w:sz w:val="18"/>
                <w:szCs w:val="18"/>
              </w:rPr>
              <w:t xml:space="preserve">$0.11 </w:t>
            </w:r>
          </w:p>
        </w:tc>
      </w:tr>
      <w:tr w:rsidR="00B8298D" w:rsidRPr="003D75E2" w14:paraId="7C7FD642" w14:textId="77777777" w:rsidTr="00B8298D">
        <w:trPr>
          <w:jc w:val="center"/>
        </w:trPr>
        <w:tc>
          <w:tcPr>
            <w:tcW w:w="6930" w:type="dxa"/>
            <w:tcBorders>
              <w:top w:val="single" w:sz="4" w:space="0" w:color="auto"/>
              <w:left w:val="single" w:sz="4" w:space="0" w:color="auto"/>
              <w:bottom w:val="single" w:sz="4" w:space="0" w:color="auto"/>
              <w:right w:val="single" w:sz="4" w:space="0" w:color="auto"/>
            </w:tcBorders>
            <w:vAlign w:val="center"/>
            <w:hideMark/>
          </w:tcPr>
          <w:p w14:paraId="27746D8F" w14:textId="77777777" w:rsidR="00B8298D" w:rsidRPr="006B5FC6" w:rsidRDefault="00B8298D" w:rsidP="00B8298D">
            <w:pPr>
              <w:spacing w:before="10" w:after="10"/>
              <w:rPr>
                <w:rFonts w:ascii="Arial Narrow" w:hAnsi="Arial Narrow"/>
                <w:sz w:val="18"/>
                <w:szCs w:val="18"/>
              </w:rPr>
            </w:pPr>
            <w:r w:rsidRPr="006B5FC6">
              <w:rPr>
                <w:rFonts w:ascii="Arial Narrow" w:hAnsi="Arial Narrow"/>
                <w:sz w:val="18"/>
                <w:szCs w:val="18"/>
              </w:rPr>
              <w:t>Document receipt, tracking, and data review for Part II</w:t>
            </w:r>
          </w:p>
        </w:tc>
        <w:tc>
          <w:tcPr>
            <w:tcW w:w="1260" w:type="dxa"/>
            <w:tcBorders>
              <w:top w:val="single" w:sz="4" w:space="0" w:color="auto"/>
              <w:left w:val="single" w:sz="4" w:space="0" w:color="auto"/>
              <w:bottom w:val="single" w:sz="4" w:space="0" w:color="auto"/>
              <w:right w:val="single" w:sz="4" w:space="0" w:color="auto"/>
            </w:tcBorders>
            <w:vAlign w:val="center"/>
            <w:hideMark/>
          </w:tcPr>
          <w:p w14:paraId="389BCE6E" w14:textId="77777777" w:rsidR="00B8298D" w:rsidRPr="006B5FC6" w:rsidRDefault="00B8298D" w:rsidP="00B8298D">
            <w:pPr>
              <w:spacing w:before="10" w:after="10"/>
              <w:jc w:val="right"/>
              <w:rPr>
                <w:rFonts w:ascii="Arial Narrow" w:hAnsi="Arial Narrow"/>
                <w:sz w:val="18"/>
                <w:szCs w:val="18"/>
              </w:rPr>
            </w:pPr>
            <w:r w:rsidRPr="006B5FC6">
              <w:rPr>
                <w:rFonts w:ascii="Arial Narrow" w:hAnsi="Arial Narrow"/>
                <w:sz w:val="18"/>
                <w:szCs w:val="18"/>
              </w:rPr>
              <w:t xml:space="preserve">$0.28 </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C4B36BD" w14:textId="77777777" w:rsidR="00B8298D" w:rsidRPr="006B5FC6" w:rsidRDefault="00B8298D" w:rsidP="00B8298D">
            <w:pPr>
              <w:spacing w:before="10" w:after="10"/>
              <w:jc w:val="right"/>
              <w:rPr>
                <w:rFonts w:ascii="Arial Narrow" w:hAnsi="Arial Narrow"/>
                <w:sz w:val="18"/>
                <w:szCs w:val="18"/>
              </w:rPr>
            </w:pPr>
            <w:r w:rsidRPr="006B5FC6">
              <w:rPr>
                <w:rFonts w:ascii="Arial Narrow" w:hAnsi="Arial Narrow" w:cs="Calibri"/>
                <w:color w:val="000000"/>
                <w:sz w:val="18"/>
                <w:szCs w:val="18"/>
              </w:rPr>
              <w:t xml:space="preserve">$0.31 </w:t>
            </w:r>
          </w:p>
        </w:tc>
      </w:tr>
      <w:tr w:rsidR="00B8298D" w:rsidRPr="003D75E2" w14:paraId="3E0CA005" w14:textId="77777777" w:rsidTr="00B8298D">
        <w:trPr>
          <w:jc w:val="center"/>
        </w:trPr>
        <w:tc>
          <w:tcPr>
            <w:tcW w:w="6930" w:type="dxa"/>
            <w:tcBorders>
              <w:top w:val="single" w:sz="4" w:space="0" w:color="auto"/>
              <w:left w:val="single" w:sz="4" w:space="0" w:color="auto"/>
              <w:bottom w:val="single" w:sz="12" w:space="0" w:color="auto"/>
              <w:right w:val="single" w:sz="4" w:space="0" w:color="auto"/>
            </w:tcBorders>
            <w:vAlign w:val="center"/>
            <w:hideMark/>
          </w:tcPr>
          <w:p w14:paraId="4F4BADDE" w14:textId="77777777" w:rsidR="00B8298D" w:rsidRPr="006B5FC6" w:rsidRDefault="00B8298D" w:rsidP="00B8298D">
            <w:pPr>
              <w:spacing w:before="10" w:after="10"/>
              <w:rPr>
                <w:rFonts w:ascii="Arial Narrow" w:hAnsi="Arial Narrow"/>
                <w:sz w:val="18"/>
                <w:szCs w:val="18"/>
              </w:rPr>
            </w:pPr>
            <w:r w:rsidRPr="006B5FC6">
              <w:rPr>
                <w:rFonts w:ascii="Arial Narrow" w:hAnsi="Arial Narrow"/>
                <w:sz w:val="18"/>
                <w:szCs w:val="18"/>
              </w:rPr>
              <w:t>Document receipt, tracking, and data review for Part III</w:t>
            </w:r>
          </w:p>
        </w:tc>
        <w:tc>
          <w:tcPr>
            <w:tcW w:w="1260" w:type="dxa"/>
            <w:tcBorders>
              <w:top w:val="single" w:sz="4" w:space="0" w:color="auto"/>
              <w:left w:val="single" w:sz="4" w:space="0" w:color="auto"/>
              <w:bottom w:val="single" w:sz="12" w:space="0" w:color="auto"/>
              <w:right w:val="single" w:sz="4" w:space="0" w:color="auto"/>
            </w:tcBorders>
            <w:vAlign w:val="center"/>
            <w:hideMark/>
          </w:tcPr>
          <w:p w14:paraId="2559FC49" w14:textId="77777777" w:rsidR="00B8298D" w:rsidRPr="006B5FC6" w:rsidRDefault="00B8298D" w:rsidP="00B8298D">
            <w:pPr>
              <w:spacing w:before="10" w:after="10"/>
              <w:jc w:val="right"/>
              <w:rPr>
                <w:rFonts w:ascii="Arial Narrow" w:hAnsi="Arial Narrow"/>
                <w:sz w:val="18"/>
                <w:szCs w:val="18"/>
              </w:rPr>
            </w:pPr>
            <w:r w:rsidRPr="006B5FC6">
              <w:rPr>
                <w:rFonts w:ascii="Arial Narrow" w:hAnsi="Arial Narrow"/>
                <w:sz w:val="18"/>
                <w:szCs w:val="18"/>
              </w:rPr>
              <w:t xml:space="preserve">$0.32 </w:t>
            </w:r>
          </w:p>
        </w:tc>
        <w:tc>
          <w:tcPr>
            <w:tcW w:w="1080" w:type="dxa"/>
            <w:tcBorders>
              <w:top w:val="single" w:sz="4" w:space="0" w:color="auto"/>
              <w:left w:val="single" w:sz="4" w:space="0" w:color="auto"/>
              <w:bottom w:val="single" w:sz="12" w:space="0" w:color="auto"/>
              <w:right w:val="single" w:sz="4" w:space="0" w:color="auto"/>
            </w:tcBorders>
            <w:vAlign w:val="center"/>
            <w:hideMark/>
          </w:tcPr>
          <w:p w14:paraId="08303FCF" w14:textId="77777777" w:rsidR="00B8298D" w:rsidRPr="006B5FC6" w:rsidRDefault="00B8298D" w:rsidP="00B8298D">
            <w:pPr>
              <w:spacing w:before="10" w:after="10"/>
              <w:jc w:val="right"/>
              <w:rPr>
                <w:rFonts w:ascii="Arial Narrow" w:hAnsi="Arial Narrow"/>
                <w:sz w:val="18"/>
                <w:szCs w:val="18"/>
              </w:rPr>
            </w:pPr>
            <w:r w:rsidRPr="006B5FC6">
              <w:rPr>
                <w:rFonts w:ascii="Arial Narrow" w:hAnsi="Arial Narrow" w:cs="Calibri"/>
                <w:color w:val="000000"/>
                <w:sz w:val="18"/>
                <w:szCs w:val="18"/>
              </w:rPr>
              <w:t xml:space="preserve">$0.36 </w:t>
            </w:r>
          </w:p>
        </w:tc>
      </w:tr>
      <w:tr w:rsidR="00B8298D" w:rsidRPr="003D75E2" w14:paraId="5FD2CD56" w14:textId="77777777" w:rsidTr="00B8298D">
        <w:trPr>
          <w:jc w:val="center"/>
        </w:trPr>
        <w:tc>
          <w:tcPr>
            <w:tcW w:w="6930" w:type="dxa"/>
            <w:tcBorders>
              <w:top w:val="single" w:sz="12" w:space="0" w:color="auto"/>
              <w:left w:val="single" w:sz="8" w:space="0" w:color="auto"/>
              <w:bottom w:val="single" w:sz="8" w:space="0" w:color="auto"/>
              <w:right w:val="single" w:sz="4" w:space="0" w:color="auto"/>
            </w:tcBorders>
            <w:vAlign w:val="center"/>
            <w:hideMark/>
          </w:tcPr>
          <w:p w14:paraId="0563C606" w14:textId="77777777" w:rsidR="00B8298D" w:rsidRPr="006B5FC6" w:rsidRDefault="00B8298D" w:rsidP="00B8298D">
            <w:pPr>
              <w:spacing w:before="10" w:after="10"/>
              <w:rPr>
                <w:rFonts w:ascii="Arial Narrow" w:hAnsi="Arial Narrow"/>
                <w:b/>
                <w:sz w:val="18"/>
                <w:szCs w:val="18"/>
              </w:rPr>
            </w:pPr>
            <w:r w:rsidRPr="006B5FC6">
              <w:rPr>
                <w:rFonts w:ascii="Arial Narrow" w:hAnsi="Arial Narrow"/>
                <w:b/>
                <w:sz w:val="18"/>
                <w:szCs w:val="18"/>
              </w:rPr>
              <w:t>Total Cost of Document receipt, tracking, and data review, per single chemical full report</w:t>
            </w:r>
          </w:p>
        </w:tc>
        <w:tc>
          <w:tcPr>
            <w:tcW w:w="1260" w:type="dxa"/>
            <w:tcBorders>
              <w:top w:val="single" w:sz="12" w:space="0" w:color="auto"/>
              <w:left w:val="single" w:sz="4" w:space="0" w:color="auto"/>
              <w:bottom w:val="single" w:sz="8" w:space="0" w:color="auto"/>
              <w:right w:val="single" w:sz="4" w:space="0" w:color="auto"/>
            </w:tcBorders>
            <w:vAlign w:val="center"/>
            <w:hideMark/>
          </w:tcPr>
          <w:p w14:paraId="5FB07E5D" w14:textId="77777777" w:rsidR="00B8298D" w:rsidRPr="006B5FC6" w:rsidRDefault="00B8298D" w:rsidP="00B8298D">
            <w:pPr>
              <w:spacing w:before="10" w:after="10"/>
              <w:jc w:val="right"/>
              <w:rPr>
                <w:rFonts w:ascii="Arial Narrow" w:hAnsi="Arial Narrow"/>
                <w:b/>
                <w:sz w:val="18"/>
                <w:szCs w:val="18"/>
              </w:rPr>
            </w:pPr>
            <w:r w:rsidRPr="006B5FC6">
              <w:rPr>
                <w:rFonts w:ascii="Arial Narrow" w:hAnsi="Arial Narrow"/>
                <w:b/>
                <w:sz w:val="18"/>
                <w:szCs w:val="18"/>
              </w:rPr>
              <w:t xml:space="preserve">$0.70 </w:t>
            </w:r>
          </w:p>
        </w:tc>
        <w:tc>
          <w:tcPr>
            <w:tcW w:w="1080" w:type="dxa"/>
            <w:tcBorders>
              <w:top w:val="single" w:sz="12" w:space="0" w:color="auto"/>
              <w:left w:val="single" w:sz="4" w:space="0" w:color="auto"/>
              <w:bottom w:val="single" w:sz="8" w:space="0" w:color="auto"/>
              <w:right w:val="single" w:sz="8" w:space="0" w:color="auto"/>
            </w:tcBorders>
            <w:vAlign w:val="center"/>
            <w:hideMark/>
          </w:tcPr>
          <w:p w14:paraId="10EC99BE" w14:textId="77777777" w:rsidR="00B8298D" w:rsidRPr="006B5FC6" w:rsidRDefault="00B8298D" w:rsidP="00B8298D">
            <w:pPr>
              <w:spacing w:before="10" w:after="10"/>
              <w:jc w:val="right"/>
              <w:rPr>
                <w:rFonts w:ascii="Arial Narrow" w:hAnsi="Arial Narrow"/>
                <w:b/>
                <w:sz w:val="18"/>
                <w:szCs w:val="18"/>
              </w:rPr>
            </w:pPr>
            <w:r w:rsidRPr="006B5FC6">
              <w:rPr>
                <w:rFonts w:ascii="Arial Narrow" w:hAnsi="Arial Narrow" w:cs="Calibri"/>
                <w:b/>
                <w:bCs/>
                <w:color w:val="000000"/>
                <w:sz w:val="18"/>
                <w:szCs w:val="18"/>
              </w:rPr>
              <w:t xml:space="preserve">$0.78 </w:t>
            </w:r>
          </w:p>
        </w:tc>
      </w:tr>
      <w:tr w:rsidR="00B8298D" w:rsidRPr="005E662A" w14:paraId="2E83B480" w14:textId="77777777" w:rsidTr="00B8298D">
        <w:trPr>
          <w:jc w:val="center"/>
        </w:trPr>
        <w:tc>
          <w:tcPr>
            <w:tcW w:w="9270" w:type="dxa"/>
            <w:gridSpan w:val="3"/>
            <w:tcBorders>
              <w:top w:val="single" w:sz="8" w:space="0" w:color="auto"/>
              <w:left w:val="single" w:sz="4" w:space="0" w:color="auto"/>
              <w:bottom w:val="single" w:sz="4" w:space="0" w:color="auto"/>
              <w:right w:val="single" w:sz="4" w:space="0" w:color="auto"/>
            </w:tcBorders>
            <w:vAlign w:val="bottom"/>
            <w:hideMark/>
          </w:tcPr>
          <w:p w14:paraId="20AEF43B" w14:textId="5A82871A" w:rsidR="00C303F2" w:rsidRPr="008C5171" w:rsidRDefault="00C303F2" w:rsidP="00C303F2">
            <w:pPr>
              <w:rPr>
                <w:rFonts w:ascii="Arial Narrow" w:hAnsi="Arial Narrow"/>
                <w:sz w:val="18"/>
                <w:szCs w:val="18"/>
              </w:rPr>
            </w:pPr>
            <w:r w:rsidRPr="008C5171">
              <w:rPr>
                <w:rFonts w:ascii="Arial Narrow" w:hAnsi="Arial Narrow"/>
                <w:sz w:val="18"/>
                <w:szCs w:val="18"/>
              </w:rPr>
              <w:t xml:space="preserve">Sources include EPA </w:t>
            </w:r>
            <w:r>
              <w:rPr>
                <w:rFonts w:ascii="Arial Narrow" w:hAnsi="Arial Narrow"/>
                <w:sz w:val="18"/>
                <w:szCs w:val="18"/>
              </w:rPr>
              <w:t>(</w:t>
            </w:r>
            <w:r w:rsidRPr="008C5171">
              <w:rPr>
                <w:rFonts w:ascii="Arial Narrow" w:hAnsi="Arial Narrow"/>
                <w:sz w:val="18"/>
                <w:szCs w:val="18"/>
              </w:rPr>
              <w:t>2015</w:t>
            </w:r>
            <w:r>
              <w:rPr>
                <w:rFonts w:ascii="Arial Narrow" w:hAnsi="Arial Narrow"/>
                <w:sz w:val="18"/>
                <w:szCs w:val="18"/>
              </w:rPr>
              <w:t>),</w:t>
            </w:r>
            <w:r w:rsidRPr="008C5171">
              <w:rPr>
                <w:rFonts w:ascii="Arial Narrow" w:hAnsi="Arial Narrow"/>
                <w:sz w:val="18"/>
                <w:szCs w:val="18"/>
              </w:rPr>
              <w:t xml:space="preserve"> </w:t>
            </w:r>
            <w:r>
              <w:rPr>
                <w:rFonts w:ascii="Arial Narrow" w:hAnsi="Arial Narrow"/>
                <w:sz w:val="18"/>
                <w:szCs w:val="18"/>
              </w:rPr>
              <w:t>EPA (</w:t>
            </w:r>
            <w:r w:rsidR="00FF0FB5">
              <w:rPr>
                <w:rFonts w:ascii="Arial Narrow" w:hAnsi="Arial Narrow"/>
                <w:sz w:val="18"/>
                <w:szCs w:val="18"/>
              </w:rPr>
              <w:t>2018b</w:t>
            </w:r>
            <w:r>
              <w:rPr>
                <w:rFonts w:ascii="Arial Narrow" w:hAnsi="Arial Narrow"/>
                <w:sz w:val="18"/>
                <w:szCs w:val="18"/>
              </w:rPr>
              <w:t>),</w:t>
            </w:r>
            <w:r w:rsidRPr="008C5171">
              <w:rPr>
                <w:rFonts w:ascii="Arial Narrow" w:hAnsi="Arial Narrow"/>
                <w:sz w:val="18"/>
                <w:szCs w:val="18"/>
              </w:rPr>
              <w:t xml:space="preserve"> and BLS </w:t>
            </w:r>
            <w:r>
              <w:rPr>
                <w:rFonts w:ascii="Arial Narrow" w:hAnsi="Arial Narrow"/>
                <w:sz w:val="18"/>
                <w:szCs w:val="18"/>
              </w:rPr>
              <w:t>(</w:t>
            </w:r>
            <w:r w:rsidRPr="008C5171">
              <w:rPr>
                <w:rFonts w:ascii="Arial Narrow" w:hAnsi="Arial Narrow"/>
                <w:sz w:val="18"/>
                <w:szCs w:val="18"/>
              </w:rPr>
              <w:t>2018</w:t>
            </w:r>
            <w:r>
              <w:rPr>
                <w:rFonts w:ascii="Arial Narrow" w:hAnsi="Arial Narrow"/>
                <w:sz w:val="18"/>
                <w:szCs w:val="18"/>
              </w:rPr>
              <w:t>)</w:t>
            </w:r>
          </w:p>
          <w:p w14:paraId="191F551A" w14:textId="77777777" w:rsidR="00B8298D" w:rsidRDefault="00B8298D" w:rsidP="00B8298D">
            <w:pPr>
              <w:spacing w:before="10" w:after="10"/>
              <w:rPr>
                <w:rFonts w:ascii="Arial Narrow" w:hAnsi="Arial Narrow"/>
                <w:sz w:val="18"/>
                <w:szCs w:val="18"/>
              </w:rPr>
            </w:pPr>
            <w:r w:rsidRPr="00885DF8">
              <w:rPr>
                <w:rFonts w:ascii="Arial Narrow" w:hAnsi="Arial Narrow"/>
                <w:sz w:val="18"/>
                <w:szCs w:val="18"/>
              </w:rPr>
              <w:t>Footnote</w:t>
            </w:r>
            <w:r>
              <w:rPr>
                <w:rFonts w:ascii="Arial Narrow" w:hAnsi="Arial Narrow"/>
                <w:sz w:val="18"/>
                <w:szCs w:val="18"/>
              </w:rPr>
              <w:t>:</w:t>
            </w:r>
          </w:p>
          <w:p w14:paraId="62108323" w14:textId="77777777" w:rsidR="00B8298D" w:rsidRPr="00885DF8" w:rsidRDefault="00B8298D" w:rsidP="00B8298D">
            <w:pPr>
              <w:spacing w:before="10" w:after="10"/>
              <w:ind w:left="144" w:hanging="144"/>
              <w:rPr>
                <w:rFonts w:ascii="Arial Narrow" w:hAnsi="Arial Narrow"/>
                <w:sz w:val="18"/>
                <w:szCs w:val="18"/>
              </w:rPr>
            </w:pPr>
            <w:r w:rsidRPr="00885DF8">
              <w:rPr>
                <w:rFonts w:ascii="Arial Narrow" w:hAnsi="Arial Narrow"/>
                <w:sz w:val="18"/>
                <w:szCs w:val="18"/>
                <w:vertAlign w:val="superscript"/>
              </w:rPr>
              <w:t>1</w:t>
            </w:r>
            <w:r>
              <w:rPr>
                <w:rFonts w:ascii="Arial Narrow" w:hAnsi="Arial Narrow"/>
                <w:sz w:val="18"/>
                <w:szCs w:val="18"/>
              </w:rPr>
              <w:tab/>
            </w:r>
            <w:r w:rsidRPr="00885DF8">
              <w:rPr>
                <w:rFonts w:ascii="Arial Narrow" w:hAnsi="Arial Narrow"/>
                <w:sz w:val="18"/>
                <w:szCs w:val="18"/>
              </w:rPr>
              <w:t>The inflation rate of 1.12 is calculated as the total compensation Employment Cost Index (ECI) for 2017 divided by the ECI for 2012.</w:t>
            </w:r>
          </w:p>
        </w:tc>
      </w:tr>
    </w:tbl>
    <w:p w14:paraId="0DB063BA" w14:textId="77777777" w:rsidR="00B8298D" w:rsidRPr="008A7FB7" w:rsidRDefault="00B8298D" w:rsidP="00B8298D">
      <w:pPr>
        <w:pStyle w:val="Heading2"/>
      </w:pPr>
      <w:r w:rsidRPr="008A7FB7">
        <w:t xml:space="preserve">Bottom-Line </w:t>
      </w:r>
      <w:r>
        <w:t>Respondent and Agency</w:t>
      </w:r>
      <w:r w:rsidRPr="008A7FB7">
        <w:t xml:space="preserve"> Burden and Cost Estimates</w:t>
      </w:r>
    </w:p>
    <w:p w14:paraId="42EE8626" w14:textId="51889534" w:rsidR="00B8298D" w:rsidRPr="008A7FB7" w:rsidRDefault="00B8298D" w:rsidP="00B8298D">
      <w:pPr>
        <w:pStyle w:val="BodyText"/>
      </w:pPr>
      <w:r w:rsidRPr="008A7FB7">
        <w:t xml:space="preserve">This section describes the estimated </w:t>
      </w:r>
      <w:r>
        <w:t xml:space="preserve">incremental </w:t>
      </w:r>
      <w:r w:rsidRPr="008A7FB7">
        <w:t xml:space="preserve">social burden and cost of paperwork </w:t>
      </w:r>
      <w:r>
        <w:t xml:space="preserve">associated with the proposed rule </w:t>
      </w:r>
      <w:r w:rsidRPr="008A7FB7">
        <w:t>over the three</w:t>
      </w:r>
      <w:r>
        <w:t>-</w:t>
      </w:r>
      <w:r w:rsidRPr="008A7FB7">
        <w:t xml:space="preserve">year ICR period. </w:t>
      </w:r>
      <w:r w:rsidR="009B16FF">
        <w:t xml:space="preserve">EPA estimates that the proposed rule will have increases and decreases in burden and cost with an overall burden reduction and cost savings. </w:t>
      </w:r>
      <w:r w:rsidRPr="008A7FB7">
        <w:t>The next CDR submission period will occur in 20</w:t>
      </w:r>
      <w:r>
        <w:t>20</w:t>
      </w:r>
      <w:r w:rsidRPr="008A7FB7">
        <w:t xml:space="preserve"> for chemical substances manufactured (including imported) during the calendar years 201</w:t>
      </w:r>
      <w:r>
        <w:t>6</w:t>
      </w:r>
      <w:r w:rsidRPr="008A7FB7">
        <w:t>-20</w:t>
      </w:r>
      <w:r>
        <w:t>19</w:t>
      </w:r>
      <w:r w:rsidRPr="008A7FB7">
        <w:t xml:space="preserve">. Even though reporting occurs only once every </w:t>
      </w:r>
      <w:r>
        <w:t>four</w:t>
      </w:r>
      <w:r w:rsidRPr="008A7FB7">
        <w:t xml:space="preserve"> years, </w:t>
      </w:r>
      <w:r w:rsidRPr="008A7FB7">
        <w:rPr>
          <w:color w:val="000000"/>
          <w:szCs w:val="22"/>
        </w:rPr>
        <w:t xml:space="preserve">EPA </w:t>
      </w:r>
      <w:r>
        <w:rPr>
          <w:color w:val="000000"/>
          <w:szCs w:val="22"/>
        </w:rPr>
        <w:t>recognizes that activities associated with the submission are performed over the entire course of the reporting cycle. This section first provides burden and cost estimates for the four-year CDR reporting cycle for respondents (including industry and government entities) and the Agency, followed by a summary of estimates that apply for the three-year ICR renewal period</w:t>
      </w:r>
      <w:r>
        <w:t>.</w:t>
      </w:r>
    </w:p>
    <w:p w14:paraId="539D46C1" w14:textId="77777777" w:rsidR="00B8298D" w:rsidRPr="008A7FB7" w:rsidRDefault="00B8298D" w:rsidP="00B8298D">
      <w:pPr>
        <w:pStyle w:val="Heading3nonumber"/>
      </w:pPr>
      <w:r w:rsidRPr="008A7FB7">
        <w:t>Respondent Tally</w:t>
      </w:r>
    </w:p>
    <w:bookmarkStart w:id="112" w:name="_Hlk523225754"/>
    <w:p w14:paraId="53B049FB" w14:textId="1458E5ED" w:rsidR="00B8298D" w:rsidRDefault="00B8298D" w:rsidP="00B8298D">
      <w:pPr>
        <w:ind w:firstLine="720"/>
        <w:rPr>
          <w:b/>
        </w:rPr>
      </w:pPr>
      <w:r>
        <w:fldChar w:fldCharType="begin"/>
      </w:r>
      <w:r>
        <w:instrText xml:space="preserve"> REF _Ref526353750 \h </w:instrText>
      </w:r>
      <w:r>
        <w:fldChar w:fldCharType="separate"/>
      </w:r>
      <w:r w:rsidR="00745E52">
        <w:t xml:space="preserve">Table </w:t>
      </w:r>
      <w:r w:rsidR="00745E52">
        <w:rPr>
          <w:noProof/>
        </w:rPr>
        <w:t>12</w:t>
      </w:r>
      <w:r>
        <w:fldChar w:fldCharType="end"/>
      </w:r>
      <w:r>
        <w:t xml:space="preserve"> presents the change in numbers of </w:t>
      </w:r>
      <w:r w:rsidRPr="008A7FB7">
        <w:t>sites</w:t>
      </w:r>
      <w:r>
        <w:t xml:space="preserve"> and chemical </w:t>
      </w:r>
      <w:r w:rsidRPr="008A7FB7">
        <w:t xml:space="preserve">reports </w:t>
      </w:r>
      <w:r>
        <w:t>due to the proposed rule (</w:t>
      </w:r>
      <w:r w:rsidR="00FF0FB5">
        <w:t>EPA, 2019a</w:t>
      </w:r>
      <w:r>
        <w:t xml:space="preserve"> and EPA, </w:t>
      </w:r>
      <w:r w:rsidR="00FF0FB5">
        <w:t>2019b</w:t>
      </w:r>
      <w:r>
        <w:t xml:space="preserve">). </w:t>
      </w:r>
      <w:r w:rsidRPr="009132EA">
        <w:t>Note that</w:t>
      </w:r>
      <w:r>
        <w:t xml:space="preserve"> in the following calculation,</w:t>
      </w:r>
      <w:r w:rsidRPr="009132EA">
        <w:t xml:space="preserve"> all sites in the baseline are also additionally affected by the revisions to CDR </w:t>
      </w:r>
      <w:r>
        <w:t xml:space="preserve">reporting requirements </w:t>
      </w:r>
      <w:r w:rsidRPr="009132EA">
        <w:t xml:space="preserve">and some combination of incremental rule familiarization and compliance determination for both </w:t>
      </w:r>
      <w:r>
        <w:t>the CDR Revisions and TSCA section 8(a) SMD Update portions</w:t>
      </w:r>
      <w:r w:rsidRPr="009132EA">
        <w:t xml:space="preserve"> of the proposed rule. </w:t>
      </w:r>
      <w:bookmarkEnd w:id="112"/>
    </w:p>
    <w:p w14:paraId="2D13034B" w14:textId="77777777" w:rsidR="00B8298D" w:rsidRDefault="00B8298D" w:rsidP="00B8298D">
      <w:bookmarkStart w:id="113" w:name="_Ref524345693"/>
    </w:p>
    <w:tbl>
      <w:tblPr>
        <w:tblW w:w="5000" w:type="pct"/>
        <w:jc w:val="center"/>
        <w:tblLayout w:type="fixed"/>
        <w:tblLook w:val="04A0" w:firstRow="1" w:lastRow="0" w:firstColumn="1" w:lastColumn="0" w:noHBand="0" w:noVBand="1"/>
      </w:tblPr>
      <w:tblGrid>
        <w:gridCol w:w="242"/>
        <w:gridCol w:w="5251"/>
        <w:gridCol w:w="1360"/>
        <w:gridCol w:w="1360"/>
        <w:gridCol w:w="1363"/>
      </w:tblGrid>
      <w:tr w:rsidR="00B8298D" w:rsidRPr="0026317C" w14:paraId="2CF4FAFB" w14:textId="77777777" w:rsidTr="00C303F2">
        <w:trPr>
          <w:tblHeader/>
          <w:jc w:val="center"/>
        </w:trPr>
        <w:tc>
          <w:tcPr>
            <w:tcW w:w="9360" w:type="dxa"/>
            <w:gridSpan w:val="5"/>
            <w:tcBorders>
              <w:top w:val="nil"/>
              <w:left w:val="nil"/>
              <w:bottom w:val="single" w:sz="4" w:space="0" w:color="auto"/>
              <w:right w:val="nil"/>
            </w:tcBorders>
            <w:shd w:val="clear" w:color="auto" w:fill="auto"/>
            <w:vAlign w:val="bottom"/>
            <w:hideMark/>
          </w:tcPr>
          <w:p w14:paraId="4D72174E" w14:textId="1CFC24CF" w:rsidR="00B8298D" w:rsidRPr="0026317C" w:rsidRDefault="00B8298D" w:rsidP="00B8298D">
            <w:pPr>
              <w:pStyle w:val="Caption"/>
              <w:keepNext/>
              <w:rPr>
                <w:rFonts w:eastAsia="Times New Roman" w:cs="Times New Roman"/>
                <w:color w:val="000000"/>
              </w:rPr>
            </w:pPr>
            <w:bookmarkStart w:id="114" w:name="_Ref526353750"/>
            <w:bookmarkStart w:id="115" w:name="_Ref525022725"/>
            <w:r>
              <w:t xml:space="preserve">Table </w:t>
            </w:r>
            <w:r>
              <w:rPr>
                <w:noProof/>
              </w:rPr>
              <w:fldChar w:fldCharType="begin"/>
            </w:r>
            <w:r>
              <w:rPr>
                <w:noProof/>
              </w:rPr>
              <w:instrText xml:space="preserve"> SEQ Table \* ARABIC </w:instrText>
            </w:r>
            <w:r>
              <w:rPr>
                <w:noProof/>
              </w:rPr>
              <w:fldChar w:fldCharType="separate"/>
            </w:r>
            <w:r w:rsidR="00745E52">
              <w:rPr>
                <w:noProof/>
              </w:rPr>
              <w:t>12</w:t>
            </w:r>
            <w:r>
              <w:rPr>
                <w:noProof/>
              </w:rPr>
              <w:fldChar w:fldCharType="end"/>
            </w:r>
            <w:bookmarkEnd w:id="113"/>
            <w:bookmarkEnd w:id="114"/>
            <w:bookmarkEnd w:id="115"/>
            <w:r>
              <w:t>:</w:t>
            </w:r>
            <w:r w:rsidRPr="0026317C">
              <w:rPr>
                <w:rFonts w:eastAsia="Times New Roman" w:cs="Times New Roman"/>
                <w:color w:val="000000"/>
              </w:rPr>
              <w:t xml:space="preserve"> Change in Sites and Chemical Reports </w:t>
            </w:r>
          </w:p>
        </w:tc>
      </w:tr>
      <w:tr w:rsidR="00B8298D" w:rsidRPr="0026317C" w14:paraId="52353970" w14:textId="77777777" w:rsidTr="00C303F2">
        <w:trPr>
          <w:tblHeader/>
          <w:jc w:val="center"/>
        </w:trPr>
        <w:tc>
          <w:tcPr>
            <w:tcW w:w="5370" w:type="dxa"/>
            <w:gridSpan w:val="2"/>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14:paraId="4D4D3B63" w14:textId="77777777" w:rsidR="00B8298D" w:rsidRPr="00885DF8" w:rsidRDefault="00B8298D" w:rsidP="00B8298D">
            <w:pPr>
              <w:jc w:val="center"/>
              <w:rPr>
                <w:rFonts w:ascii="Arial Narrow" w:eastAsia="Times New Roman" w:hAnsi="Arial Narrow" w:cs="Calibri"/>
                <w:b/>
                <w:bCs/>
                <w:color w:val="000000"/>
                <w:sz w:val="18"/>
                <w:szCs w:val="18"/>
              </w:rPr>
            </w:pPr>
            <w:r w:rsidRPr="00885DF8">
              <w:rPr>
                <w:rFonts w:ascii="Arial Narrow" w:eastAsia="Times New Roman" w:hAnsi="Arial Narrow" w:cs="Calibri"/>
                <w:b/>
                <w:bCs/>
                <w:color w:val="000000"/>
                <w:sz w:val="18"/>
                <w:szCs w:val="18"/>
              </w:rPr>
              <w:t>Regulatory Provision Description</w:t>
            </w:r>
          </w:p>
        </w:tc>
        <w:tc>
          <w:tcPr>
            <w:tcW w:w="1329" w:type="dxa"/>
            <w:tcBorders>
              <w:top w:val="nil"/>
              <w:left w:val="nil"/>
              <w:bottom w:val="single" w:sz="4" w:space="0" w:color="auto"/>
              <w:right w:val="single" w:sz="4" w:space="0" w:color="auto"/>
            </w:tcBorders>
            <w:shd w:val="clear" w:color="auto" w:fill="BFBFBF" w:themeFill="background1" w:themeFillShade="BF"/>
            <w:vAlign w:val="bottom"/>
            <w:hideMark/>
          </w:tcPr>
          <w:p w14:paraId="26EC1464" w14:textId="77777777" w:rsidR="00B8298D" w:rsidRPr="00885DF8" w:rsidRDefault="00B8298D" w:rsidP="00B8298D">
            <w:pPr>
              <w:jc w:val="center"/>
              <w:rPr>
                <w:rFonts w:ascii="Arial Narrow" w:eastAsia="Times New Roman" w:hAnsi="Arial Narrow" w:cs="Calibri"/>
                <w:b/>
                <w:bCs/>
                <w:color w:val="000000"/>
                <w:sz w:val="18"/>
                <w:szCs w:val="18"/>
              </w:rPr>
            </w:pPr>
            <w:r w:rsidRPr="00885DF8">
              <w:rPr>
                <w:rFonts w:ascii="Arial Narrow" w:eastAsia="Times New Roman" w:hAnsi="Arial Narrow" w:cs="Calibri"/>
                <w:b/>
                <w:bCs/>
                <w:color w:val="000000"/>
                <w:sz w:val="18"/>
                <w:szCs w:val="18"/>
              </w:rPr>
              <w:t>Change in Number of Sites</w:t>
            </w:r>
          </w:p>
        </w:tc>
        <w:tc>
          <w:tcPr>
            <w:tcW w:w="1329" w:type="dxa"/>
            <w:tcBorders>
              <w:top w:val="nil"/>
              <w:left w:val="nil"/>
              <w:bottom w:val="single" w:sz="4" w:space="0" w:color="auto"/>
              <w:right w:val="single" w:sz="4" w:space="0" w:color="auto"/>
            </w:tcBorders>
            <w:shd w:val="clear" w:color="auto" w:fill="BFBFBF" w:themeFill="background1" w:themeFillShade="BF"/>
            <w:vAlign w:val="bottom"/>
            <w:hideMark/>
          </w:tcPr>
          <w:p w14:paraId="49D7087C" w14:textId="77777777" w:rsidR="00B8298D" w:rsidRPr="00885DF8" w:rsidRDefault="00B8298D" w:rsidP="00B8298D">
            <w:pPr>
              <w:jc w:val="center"/>
              <w:rPr>
                <w:rFonts w:ascii="Arial Narrow" w:eastAsia="Times New Roman" w:hAnsi="Arial Narrow" w:cs="Calibri"/>
                <w:b/>
                <w:bCs/>
                <w:color w:val="000000"/>
                <w:sz w:val="18"/>
                <w:szCs w:val="18"/>
              </w:rPr>
            </w:pPr>
            <w:r w:rsidRPr="00885DF8">
              <w:rPr>
                <w:rFonts w:ascii="Arial Narrow" w:eastAsia="Times New Roman" w:hAnsi="Arial Narrow" w:cs="Calibri"/>
                <w:b/>
                <w:bCs/>
                <w:color w:val="000000"/>
                <w:sz w:val="18"/>
                <w:szCs w:val="18"/>
              </w:rPr>
              <w:t>Change in Number of Chemical Reports</w:t>
            </w:r>
          </w:p>
        </w:tc>
        <w:tc>
          <w:tcPr>
            <w:tcW w:w="1332" w:type="dxa"/>
            <w:tcBorders>
              <w:top w:val="nil"/>
              <w:left w:val="nil"/>
              <w:bottom w:val="single" w:sz="4" w:space="0" w:color="auto"/>
              <w:right w:val="single" w:sz="4" w:space="0" w:color="auto"/>
            </w:tcBorders>
            <w:shd w:val="clear" w:color="auto" w:fill="BFBFBF" w:themeFill="background1" w:themeFillShade="BF"/>
            <w:vAlign w:val="bottom"/>
            <w:hideMark/>
          </w:tcPr>
          <w:p w14:paraId="596D53D0" w14:textId="77777777" w:rsidR="00B8298D" w:rsidRPr="00885DF8" w:rsidRDefault="00B8298D" w:rsidP="00B8298D">
            <w:pPr>
              <w:jc w:val="center"/>
              <w:rPr>
                <w:rFonts w:ascii="Arial Narrow" w:eastAsia="Times New Roman" w:hAnsi="Arial Narrow" w:cs="Calibri"/>
                <w:b/>
                <w:bCs/>
                <w:color w:val="000000"/>
                <w:sz w:val="18"/>
                <w:szCs w:val="18"/>
              </w:rPr>
            </w:pPr>
            <w:r w:rsidRPr="00885DF8">
              <w:rPr>
                <w:rFonts w:ascii="Arial Narrow" w:eastAsia="Times New Roman" w:hAnsi="Arial Narrow" w:cs="Calibri"/>
                <w:b/>
                <w:bCs/>
                <w:color w:val="000000"/>
                <w:sz w:val="18"/>
                <w:szCs w:val="18"/>
              </w:rPr>
              <w:t>Change in Number of Full Chemical Reports</w:t>
            </w:r>
            <w:r w:rsidRPr="00885DF8">
              <w:rPr>
                <w:rFonts w:ascii="Arial Narrow" w:eastAsia="Times New Roman" w:hAnsi="Arial Narrow" w:cs="Calibri"/>
                <w:b/>
                <w:bCs/>
                <w:color w:val="000000"/>
                <w:sz w:val="18"/>
                <w:szCs w:val="18"/>
                <w:vertAlign w:val="superscript"/>
              </w:rPr>
              <w:t>1</w:t>
            </w:r>
          </w:p>
        </w:tc>
      </w:tr>
      <w:tr w:rsidR="00B8298D" w:rsidRPr="0026317C" w14:paraId="0FB52E16" w14:textId="77777777" w:rsidTr="00C303F2">
        <w:trPr>
          <w:jc w:val="center"/>
        </w:trPr>
        <w:tc>
          <w:tcPr>
            <w:tcW w:w="53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5EE96696" w14:textId="77777777" w:rsidR="00B8298D" w:rsidRPr="00885DF8" w:rsidRDefault="00B8298D" w:rsidP="00B8298D">
            <w:pPr>
              <w:rPr>
                <w:rFonts w:ascii="Arial Narrow" w:eastAsia="Times New Roman" w:hAnsi="Arial Narrow" w:cs="Calibri"/>
                <w:color w:val="000000"/>
                <w:sz w:val="18"/>
                <w:szCs w:val="18"/>
              </w:rPr>
            </w:pPr>
            <w:r w:rsidRPr="00885DF8">
              <w:rPr>
                <w:rFonts w:ascii="Arial Narrow" w:eastAsia="Times New Roman" w:hAnsi="Arial Narrow" w:cs="Calibri"/>
                <w:color w:val="000000"/>
                <w:sz w:val="18"/>
                <w:szCs w:val="18"/>
              </w:rPr>
              <w:t>CDR Revisions</w:t>
            </w:r>
            <w:r w:rsidRPr="00885DF8">
              <w:rPr>
                <w:rFonts w:ascii="Arial Narrow" w:eastAsia="Times New Roman" w:hAnsi="Arial Narrow" w:cs="Calibri"/>
                <w:color w:val="000000"/>
                <w:sz w:val="18"/>
                <w:szCs w:val="18"/>
                <w:vertAlign w:val="superscript"/>
              </w:rPr>
              <w:t>2</w:t>
            </w:r>
          </w:p>
        </w:tc>
        <w:tc>
          <w:tcPr>
            <w:tcW w:w="1329" w:type="dxa"/>
            <w:tcBorders>
              <w:top w:val="nil"/>
              <w:left w:val="nil"/>
              <w:bottom w:val="single" w:sz="4" w:space="0" w:color="auto"/>
              <w:right w:val="single" w:sz="4" w:space="0" w:color="auto"/>
            </w:tcBorders>
            <w:shd w:val="clear" w:color="auto" w:fill="auto"/>
            <w:noWrap/>
            <w:vAlign w:val="bottom"/>
            <w:hideMark/>
          </w:tcPr>
          <w:p w14:paraId="3B116DB9" w14:textId="77777777" w:rsidR="00B8298D" w:rsidRPr="00885DF8"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-70</w:t>
            </w:r>
          </w:p>
        </w:tc>
        <w:tc>
          <w:tcPr>
            <w:tcW w:w="1329" w:type="dxa"/>
            <w:tcBorders>
              <w:top w:val="nil"/>
              <w:left w:val="nil"/>
              <w:bottom w:val="single" w:sz="4" w:space="0" w:color="auto"/>
              <w:right w:val="single" w:sz="4" w:space="0" w:color="auto"/>
            </w:tcBorders>
            <w:shd w:val="clear" w:color="auto" w:fill="auto"/>
            <w:noWrap/>
            <w:vAlign w:val="bottom"/>
            <w:hideMark/>
          </w:tcPr>
          <w:p w14:paraId="26AB14E5" w14:textId="77777777" w:rsidR="00B8298D" w:rsidRPr="00885DF8"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-1,</w:t>
            </w:r>
            <w:r>
              <w:rPr>
                <w:rFonts w:ascii="Arial Narrow" w:eastAsia="Times New Roman" w:hAnsi="Arial Narrow" w:cs="Calibri"/>
                <w:color w:val="000000" w:themeColor="text1"/>
                <w:sz w:val="18"/>
                <w:szCs w:val="18"/>
              </w:rPr>
              <w:t>167</w:t>
            </w:r>
          </w:p>
        </w:tc>
        <w:tc>
          <w:tcPr>
            <w:tcW w:w="1332" w:type="dxa"/>
            <w:tcBorders>
              <w:top w:val="nil"/>
              <w:left w:val="nil"/>
              <w:bottom w:val="single" w:sz="4" w:space="0" w:color="auto"/>
              <w:right w:val="single" w:sz="4" w:space="0" w:color="auto"/>
            </w:tcBorders>
            <w:shd w:val="clear" w:color="auto" w:fill="auto"/>
            <w:noWrap/>
            <w:vAlign w:val="bottom"/>
            <w:hideMark/>
          </w:tcPr>
          <w:p w14:paraId="0C4D61FF" w14:textId="77777777" w:rsidR="00B8298D" w:rsidRPr="00885DF8"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-1,</w:t>
            </w:r>
            <w:r>
              <w:rPr>
                <w:rFonts w:ascii="Arial Narrow" w:eastAsia="Times New Roman" w:hAnsi="Arial Narrow" w:cs="Calibri"/>
                <w:color w:val="000000" w:themeColor="text1"/>
                <w:sz w:val="18"/>
                <w:szCs w:val="18"/>
              </w:rPr>
              <w:t>007</w:t>
            </w:r>
          </w:p>
        </w:tc>
      </w:tr>
      <w:tr w:rsidR="00B8298D" w:rsidRPr="0026317C" w14:paraId="30A6C527" w14:textId="77777777" w:rsidTr="00C303F2">
        <w:trPr>
          <w:jc w:val="center"/>
        </w:trPr>
        <w:tc>
          <w:tcPr>
            <w:tcW w:w="5370" w:type="dxa"/>
            <w:gridSpan w:val="2"/>
            <w:tcBorders>
              <w:top w:val="nil"/>
              <w:left w:val="single" w:sz="4" w:space="0" w:color="auto"/>
              <w:bottom w:val="single" w:sz="4" w:space="0" w:color="auto"/>
              <w:right w:val="single" w:sz="4" w:space="0" w:color="auto"/>
            </w:tcBorders>
            <w:shd w:val="clear" w:color="auto" w:fill="auto"/>
            <w:noWrap/>
            <w:vAlign w:val="bottom"/>
            <w:hideMark/>
          </w:tcPr>
          <w:p w14:paraId="34B5A92E" w14:textId="77777777" w:rsidR="00B8298D" w:rsidRPr="00885DF8"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885DF8">
              <w:rPr>
                <w:rFonts w:ascii="Arial Narrow" w:eastAsia="Times New Roman" w:hAnsi="Arial Narrow" w:cs="Calibri"/>
                <w:color w:val="000000"/>
                <w:sz w:val="18"/>
                <w:szCs w:val="18"/>
              </w:rPr>
              <w:t xml:space="preserve">8(a) SMD Update </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28237A" w14:textId="77777777" w:rsidR="00B8298D" w:rsidRPr="00885DF8" w:rsidRDefault="00B8298D" w:rsidP="00B8298D">
            <w:pPr>
              <w:jc w:val="right"/>
              <w:rPr>
                <w:rFonts w:ascii="Arial Narrow" w:eastAsia="Times New Roman" w:hAnsi="Arial Narrow" w:cs="Calibri"/>
                <w:color w:val="000000"/>
                <w:sz w:val="18"/>
                <w:szCs w:val="18"/>
              </w:rPr>
            </w:pPr>
            <w:r w:rsidRPr="0B02F8A5">
              <w:rPr>
                <w:rFonts w:ascii="Arial Narrow" w:eastAsia="Times New Roman" w:hAnsi="Arial Narrow" w:cs="Calibri"/>
                <w:color w:val="000000" w:themeColor="text1"/>
                <w:sz w:val="18"/>
                <w:szCs w:val="18"/>
              </w:rPr>
              <w:t>-93</w:t>
            </w:r>
          </w:p>
        </w:tc>
        <w:tc>
          <w:tcPr>
            <w:tcW w:w="132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E5CA05" w14:textId="77777777" w:rsidR="00B8298D" w:rsidRPr="00885DF8" w:rsidRDefault="00B8298D" w:rsidP="00B8298D">
            <w:pPr>
              <w:jc w:val="right"/>
              <w:rPr>
                <w:rFonts w:ascii="Arial Narrow" w:eastAsia="Times New Roman" w:hAnsi="Arial Narrow" w:cs="Calibri"/>
                <w:color w:val="000000"/>
                <w:sz w:val="18"/>
                <w:szCs w:val="18"/>
              </w:rPr>
            </w:pPr>
            <w:r w:rsidRPr="0B02F8A5">
              <w:rPr>
                <w:rFonts w:ascii="Arial Narrow" w:eastAsia="Times New Roman" w:hAnsi="Arial Narrow" w:cs="Calibri"/>
                <w:color w:val="000000" w:themeColor="text1"/>
                <w:sz w:val="18"/>
                <w:szCs w:val="18"/>
              </w:rPr>
              <w:t>-888</w:t>
            </w:r>
          </w:p>
        </w:tc>
        <w:tc>
          <w:tcPr>
            <w:tcW w:w="13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8425B0" w14:textId="77777777" w:rsidR="00B8298D" w:rsidRPr="00885DF8" w:rsidRDefault="00B8298D" w:rsidP="00B8298D">
            <w:pPr>
              <w:jc w:val="right"/>
              <w:rPr>
                <w:rFonts w:ascii="Arial Narrow" w:eastAsia="Times New Roman" w:hAnsi="Arial Narrow" w:cs="Calibri"/>
                <w:color w:val="000000"/>
                <w:sz w:val="18"/>
                <w:szCs w:val="18"/>
              </w:rPr>
            </w:pPr>
            <w:r w:rsidRPr="0B02F8A5">
              <w:rPr>
                <w:rFonts w:ascii="Arial Narrow" w:eastAsia="Times New Roman" w:hAnsi="Arial Narrow" w:cs="Calibri"/>
                <w:color w:val="000000" w:themeColor="text1"/>
                <w:sz w:val="18"/>
                <w:szCs w:val="18"/>
              </w:rPr>
              <w:t> -827</w:t>
            </w:r>
          </w:p>
        </w:tc>
      </w:tr>
      <w:tr w:rsidR="00B8298D" w:rsidRPr="0026317C" w14:paraId="73F0494D" w14:textId="77777777" w:rsidTr="00C303F2">
        <w:trPr>
          <w:jc w:val="center"/>
        </w:trPr>
        <w:tc>
          <w:tcPr>
            <w:tcW w:w="5370" w:type="dxa"/>
            <w:gridSpan w:val="2"/>
            <w:tcBorders>
              <w:top w:val="nil"/>
              <w:left w:val="single" w:sz="4" w:space="0" w:color="auto"/>
              <w:bottom w:val="single" w:sz="12" w:space="0" w:color="000000"/>
              <w:right w:val="single" w:sz="4" w:space="0" w:color="auto"/>
            </w:tcBorders>
            <w:shd w:val="clear" w:color="auto" w:fill="auto"/>
            <w:vAlign w:val="bottom"/>
            <w:hideMark/>
          </w:tcPr>
          <w:p w14:paraId="08E63872" w14:textId="77777777" w:rsidR="00B8298D" w:rsidRPr="00885DF8"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885DF8">
              <w:rPr>
                <w:rFonts w:ascii="Arial Narrow" w:eastAsia="Times New Roman" w:hAnsi="Arial Narrow" w:cs="Calibri"/>
                <w:color w:val="000000"/>
                <w:sz w:val="18"/>
                <w:szCs w:val="18"/>
              </w:rPr>
              <w:t>8(a) S</w:t>
            </w:r>
            <w:r>
              <w:rPr>
                <w:rFonts w:ascii="Arial Narrow" w:eastAsia="Times New Roman" w:hAnsi="Arial Narrow" w:cs="Calibri"/>
                <w:color w:val="000000"/>
                <w:sz w:val="18"/>
                <w:szCs w:val="18"/>
              </w:rPr>
              <w:t>GD</w:t>
            </w:r>
          </w:p>
        </w:tc>
        <w:tc>
          <w:tcPr>
            <w:tcW w:w="1329" w:type="dxa"/>
            <w:tcBorders>
              <w:top w:val="nil"/>
              <w:left w:val="nil"/>
              <w:bottom w:val="single" w:sz="12" w:space="0" w:color="000000"/>
              <w:right w:val="single" w:sz="4" w:space="0" w:color="auto"/>
            </w:tcBorders>
            <w:shd w:val="clear" w:color="auto" w:fill="auto"/>
            <w:noWrap/>
            <w:vAlign w:val="bottom"/>
            <w:hideMark/>
          </w:tcPr>
          <w:p w14:paraId="031027A3" w14:textId="77777777" w:rsidR="00B8298D" w:rsidRPr="00885DF8"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-4</w:t>
            </w:r>
          </w:p>
        </w:tc>
        <w:tc>
          <w:tcPr>
            <w:tcW w:w="1329" w:type="dxa"/>
            <w:tcBorders>
              <w:top w:val="nil"/>
              <w:left w:val="nil"/>
              <w:bottom w:val="single" w:sz="12" w:space="0" w:color="000000"/>
              <w:right w:val="single" w:sz="4" w:space="0" w:color="auto"/>
            </w:tcBorders>
            <w:shd w:val="clear" w:color="auto" w:fill="auto"/>
            <w:noWrap/>
            <w:vAlign w:val="bottom"/>
            <w:hideMark/>
          </w:tcPr>
          <w:p w14:paraId="1DCD50DD" w14:textId="77777777" w:rsidR="00B8298D" w:rsidRPr="00885DF8"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-6</w:t>
            </w:r>
          </w:p>
        </w:tc>
        <w:tc>
          <w:tcPr>
            <w:tcW w:w="1332" w:type="dxa"/>
            <w:tcBorders>
              <w:top w:val="nil"/>
              <w:left w:val="nil"/>
              <w:bottom w:val="single" w:sz="12" w:space="0" w:color="000000"/>
              <w:right w:val="single" w:sz="4" w:space="0" w:color="auto"/>
            </w:tcBorders>
            <w:shd w:val="clear" w:color="auto" w:fill="auto"/>
            <w:noWrap/>
            <w:vAlign w:val="bottom"/>
            <w:hideMark/>
          </w:tcPr>
          <w:p w14:paraId="68A3EE0D" w14:textId="77777777" w:rsidR="00B8298D" w:rsidRPr="00885DF8"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-6</w:t>
            </w:r>
          </w:p>
        </w:tc>
      </w:tr>
      <w:tr w:rsidR="00B8298D" w:rsidRPr="0026317C" w14:paraId="658499A3" w14:textId="77777777" w:rsidTr="00C303F2">
        <w:trPr>
          <w:jc w:val="center"/>
        </w:trPr>
        <w:tc>
          <w:tcPr>
            <w:tcW w:w="5370" w:type="dxa"/>
            <w:gridSpan w:val="2"/>
            <w:tcBorders>
              <w:top w:val="single" w:sz="12" w:space="0" w:color="000000"/>
              <w:left w:val="single" w:sz="4" w:space="0" w:color="auto"/>
              <w:bottom w:val="single" w:sz="4" w:space="0" w:color="auto"/>
              <w:right w:val="single" w:sz="4" w:space="0" w:color="auto"/>
            </w:tcBorders>
            <w:shd w:val="clear" w:color="auto" w:fill="auto"/>
            <w:vAlign w:val="bottom"/>
            <w:hideMark/>
          </w:tcPr>
          <w:p w14:paraId="64391458" w14:textId="77777777" w:rsidR="00B8298D" w:rsidRPr="00885DF8" w:rsidRDefault="00B8298D" w:rsidP="00B8298D">
            <w:pPr>
              <w:rPr>
                <w:rFonts w:ascii="Arial Narrow" w:eastAsia="Times New Roman" w:hAnsi="Arial Narrow" w:cs="Calibri"/>
                <w:b/>
                <w:bCs/>
                <w:color w:val="000000"/>
                <w:sz w:val="18"/>
                <w:szCs w:val="18"/>
              </w:rPr>
            </w:pPr>
            <w:r w:rsidRPr="00885DF8">
              <w:rPr>
                <w:rFonts w:ascii="Arial Narrow" w:eastAsia="Times New Roman" w:hAnsi="Arial Narrow" w:cs="Calibri"/>
                <w:b/>
                <w:bCs/>
                <w:color w:val="000000"/>
                <w:sz w:val="18"/>
                <w:szCs w:val="18"/>
              </w:rPr>
              <w:t xml:space="preserve">Overall </w:t>
            </w:r>
          </w:p>
        </w:tc>
        <w:tc>
          <w:tcPr>
            <w:tcW w:w="1329" w:type="dxa"/>
            <w:tcBorders>
              <w:top w:val="single" w:sz="12" w:space="0" w:color="000000"/>
              <w:left w:val="nil"/>
              <w:bottom w:val="single" w:sz="4" w:space="0" w:color="auto"/>
              <w:right w:val="single" w:sz="4" w:space="0" w:color="auto"/>
            </w:tcBorders>
            <w:shd w:val="clear" w:color="auto" w:fill="auto"/>
            <w:noWrap/>
            <w:vAlign w:val="bottom"/>
            <w:hideMark/>
          </w:tcPr>
          <w:p w14:paraId="7CCE5A18" w14:textId="77777777" w:rsidR="00B8298D" w:rsidRPr="00885DF8"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-167</w:t>
            </w:r>
          </w:p>
        </w:tc>
        <w:tc>
          <w:tcPr>
            <w:tcW w:w="1329" w:type="dxa"/>
            <w:tcBorders>
              <w:top w:val="single" w:sz="12" w:space="0" w:color="000000"/>
              <w:left w:val="nil"/>
              <w:bottom w:val="single" w:sz="4" w:space="0" w:color="auto"/>
              <w:right w:val="single" w:sz="4" w:space="0" w:color="auto"/>
            </w:tcBorders>
            <w:shd w:val="clear" w:color="auto" w:fill="auto"/>
            <w:noWrap/>
            <w:vAlign w:val="bottom"/>
            <w:hideMark/>
          </w:tcPr>
          <w:p w14:paraId="13633AAA" w14:textId="77777777" w:rsidR="00B8298D" w:rsidRPr="00885DF8"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-2,</w:t>
            </w:r>
            <w:r>
              <w:rPr>
                <w:rFonts w:ascii="Arial Narrow" w:eastAsia="Times New Roman" w:hAnsi="Arial Narrow" w:cs="Calibri"/>
                <w:b/>
                <w:bCs/>
                <w:color w:val="000000" w:themeColor="text1"/>
                <w:sz w:val="18"/>
                <w:szCs w:val="18"/>
              </w:rPr>
              <w:t>061</w:t>
            </w:r>
          </w:p>
        </w:tc>
        <w:tc>
          <w:tcPr>
            <w:tcW w:w="1332" w:type="dxa"/>
            <w:tcBorders>
              <w:top w:val="single" w:sz="12" w:space="0" w:color="000000"/>
              <w:left w:val="nil"/>
              <w:bottom w:val="single" w:sz="4" w:space="0" w:color="auto"/>
              <w:right w:val="single" w:sz="4" w:space="0" w:color="auto"/>
            </w:tcBorders>
            <w:shd w:val="clear" w:color="auto" w:fill="auto"/>
            <w:noWrap/>
            <w:vAlign w:val="bottom"/>
            <w:hideMark/>
          </w:tcPr>
          <w:p w14:paraId="60CE4D9E" w14:textId="77777777" w:rsidR="00B8298D" w:rsidRPr="00885DF8"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-1,</w:t>
            </w:r>
            <w:r>
              <w:rPr>
                <w:rFonts w:ascii="Arial Narrow" w:eastAsia="Times New Roman" w:hAnsi="Arial Narrow" w:cs="Calibri"/>
                <w:b/>
                <w:bCs/>
                <w:color w:val="000000" w:themeColor="text1"/>
                <w:sz w:val="18"/>
                <w:szCs w:val="18"/>
              </w:rPr>
              <w:t>840</w:t>
            </w:r>
          </w:p>
        </w:tc>
      </w:tr>
      <w:tr w:rsidR="00B8298D" w:rsidRPr="0026317C" w14:paraId="434B7EB4" w14:textId="77777777" w:rsidTr="00C303F2">
        <w:trPr>
          <w:jc w:val="center"/>
        </w:trPr>
        <w:tc>
          <w:tcPr>
            <w:tcW w:w="9360" w:type="dxa"/>
            <w:gridSpan w:val="5"/>
            <w:tcBorders>
              <w:top w:val="single" w:sz="4" w:space="0" w:color="auto"/>
              <w:left w:val="single" w:sz="4" w:space="0" w:color="auto"/>
              <w:bottom w:val="nil"/>
              <w:right w:val="single" w:sz="4" w:space="0" w:color="000000" w:themeColor="text1"/>
            </w:tcBorders>
            <w:shd w:val="clear" w:color="auto" w:fill="auto"/>
            <w:noWrap/>
            <w:vAlign w:val="center"/>
            <w:hideMark/>
          </w:tcPr>
          <w:p w14:paraId="2B06E9FE" w14:textId="77777777" w:rsidR="00B8298D" w:rsidRPr="00885DF8" w:rsidRDefault="00B8298D" w:rsidP="00B8298D">
            <w:pPr>
              <w:rPr>
                <w:rFonts w:ascii="Arial Narrow" w:eastAsia="Times New Roman" w:hAnsi="Arial Narrow" w:cs="Calibri"/>
                <w:color w:val="000000"/>
                <w:sz w:val="18"/>
                <w:szCs w:val="18"/>
              </w:rPr>
            </w:pPr>
            <w:r w:rsidRPr="00885DF8">
              <w:rPr>
                <w:rFonts w:ascii="Arial Narrow" w:eastAsia="Times New Roman" w:hAnsi="Arial Narrow" w:cs="Calibri"/>
                <w:color w:val="000000"/>
                <w:sz w:val="18"/>
                <w:szCs w:val="18"/>
              </w:rPr>
              <w:t>Footnotes</w:t>
            </w:r>
            <w:r>
              <w:rPr>
                <w:rFonts w:ascii="Arial Narrow" w:eastAsia="Times New Roman" w:hAnsi="Arial Narrow" w:cs="Calibri"/>
                <w:color w:val="000000"/>
                <w:sz w:val="18"/>
                <w:szCs w:val="18"/>
              </w:rPr>
              <w:t>:</w:t>
            </w:r>
          </w:p>
        </w:tc>
      </w:tr>
      <w:tr w:rsidR="00C303F2" w:rsidRPr="0026317C" w14:paraId="2D1412C3" w14:textId="77777777" w:rsidTr="00C303F2">
        <w:trPr>
          <w:jc w:val="center"/>
        </w:trPr>
        <w:tc>
          <w:tcPr>
            <w:tcW w:w="237" w:type="dxa"/>
            <w:tcBorders>
              <w:top w:val="nil"/>
              <w:left w:val="single" w:sz="4" w:space="0" w:color="auto"/>
              <w:right w:val="nil"/>
            </w:tcBorders>
            <w:shd w:val="clear" w:color="auto" w:fill="auto"/>
            <w:noWrap/>
            <w:hideMark/>
          </w:tcPr>
          <w:p w14:paraId="42489988" w14:textId="77777777" w:rsidR="00C303F2" w:rsidRPr="00885DF8" w:rsidRDefault="00C303F2" w:rsidP="00C303F2">
            <w:pPr>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vertAlign w:val="superscript"/>
              </w:rPr>
              <w:t>1</w:t>
            </w:r>
          </w:p>
        </w:tc>
        <w:tc>
          <w:tcPr>
            <w:tcW w:w="9123" w:type="dxa"/>
            <w:gridSpan w:val="4"/>
            <w:tcBorders>
              <w:top w:val="nil"/>
              <w:left w:val="nil"/>
              <w:right w:val="single" w:sz="4" w:space="0" w:color="000000" w:themeColor="text1"/>
            </w:tcBorders>
            <w:shd w:val="clear" w:color="auto" w:fill="auto"/>
            <w:hideMark/>
          </w:tcPr>
          <w:p w14:paraId="7636BD96" w14:textId="43F9205E" w:rsidR="00C303F2" w:rsidRPr="00885DF8" w:rsidRDefault="00C303F2" w:rsidP="00C303F2">
            <w:pPr>
              <w:rPr>
                <w:rFonts w:ascii="Arial Narrow" w:eastAsia="Times New Roman" w:hAnsi="Arial Narrow" w:cs="Calibri"/>
                <w:color w:val="000000"/>
                <w:sz w:val="18"/>
                <w:szCs w:val="18"/>
              </w:rPr>
            </w:pPr>
            <w:r w:rsidRPr="00885DF8">
              <w:rPr>
                <w:rFonts w:ascii="Arial Narrow" w:eastAsia="Times New Roman" w:hAnsi="Arial Narrow" w:cs="Calibri"/>
                <w:color w:val="000000"/>
                <w:sz w:val="18"/>
                <w:szCs w:val="18"/>
              </w:rPr>
              <w:t xml:space="preserve">Full </w:t>
            </w:r>
            <w:r>
              <w:rPr>
                <w:rFonts w:ascii="Arial Narrow" w:eastAsia="Times New Roman" w:hAnsi="Arial Narrow" w:cs="Calibri"/>
                <w:color w:val="000000"/>
                <w:sz w:val="18"/>
                <w:szCs w:val="18"/>
              </w:rPr>
              <w:t>c</w:t>
            </w:r>
            <w:r w:rsidRPr="00885DF8">
              <w:rPr>
                <w:rFonts w:ascii="Arial Narrow" w:eastAsia="Times New Roman" w:hAnsi="Arial Narrow" w:cs="Calibri"/>
                <w:color w:val="000000"/>
                <w:sz w:val="18"/>
                <w:szCs w:val="18"/>
              </w:rPr>
              <w:t xml:space="preserve">hemical </w:t>
            </w:r>
            <w:r>
              <w:rPr>
                <w:rFonts w:ascii="Arial Narrow" w:eastAsia="Times New Roman" w:hAnsi="Arial Narrow" w:cs="Calibri"/>
                <w:color w:val="000000"/>
                <w:sz w:val="18"/>
                <w:szCs w:val="18"/>
              </w:rPr>
              <w:t>r</w:t>
            </w:r>
            <w:r w:rsidRPr="00885DF8">
              <w:rPr>
                <w:rFonts w:ascii="Arial Narrow" w:eastAsia="Times New Roman" w:hAnsi="Arial Narrow" w:cs="Calibri"/>
                <w:color w:val="000000"/>
                <w:sz w:val="18"/>
                <w:szCs w:val="18"/>
              </w:rPr>
              <w:t xml:space="preserve">eport counts are used later in this analysis to calculate incremental Agency burden. </w:t>
            </w:r>
          </w:p>
        </w:tc>
      </w:tr>
      <w:tr w:rsidR="00B8298D" w:rsidRPr="0026317C" w14:paraId="3C129A25" w14:textId="77777777" w:rsidTr="00C303F2">
        <w:trPr>
          <w:jc w:val="center"/>
        </w:trPr>
        <w:tc>
          <w:tcPr>
            <w:tcW w:w="237" w:type="dxa"/>
            <w:tcBorders>
              <w:left w:val="single" w:sz="4" w:space="0" w:color="auto"/>
              <w:bottom w:val="single" w:sz="4" w:space="0" w:color="auto"/>
              <w:right w:val="nil"/>
            </w:tcBorders>
            <w:shd w:val="clear" w:color="auto" w:fill="auto"/>
            <w:noWrap/>
            <w:hideMark/>
          </w:tcPr>
          <w:p w14:paraId="762092A3" w14:textId="77777777" w:rsidR="00B8298D" w:rsidRPr="00885DF8" w:rsidRDefault="00B8298D" w:rsidP="00B8298D">
            <w:pPr>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vertAlign w:val="superscript"/>
              </w:rPr>
              <w:t>2</w:t>
            </w:r>
          </w:p>
        </w:tc>
        <w:tc>
          <w:tcPr>
            <w:tcW w:w="9123" w:type="dxa"/>
            <w:gridSpan w:val="4"/>
            <w:tcBorders>
              <w:left w:val="nil"/>
              <w:bottom w:val="single" w:sz="4" w:space="0" w:color="auto"/>
              <w:right w:val="single" w:sz="4" w:space="0" w:color="auto"/>
            </w:tcBorders>
            <w:shd w:val="clear" w:color="auto" w:fill="auto"/>
            <w:hideMark/>
          </w:tcPr>
          <w:p w14:paraId="5AA66236" w14:textId="77777777" w:rsidR="00B8298D" w:rsidRPr="00885DF8" w:rsidRDefault="00B8298D" w:rsidP="00B8298D">
            <w:pPr>
              <w:rPr>
                <w:rFonts w:ascii="Arial Narrow" w:hAnsi="Arial Narrow" w:cs="Calibri"/>
                <w:color w:val="000000"/>
                <w:sz w:val="18"/>
                <w:szCs w:val="18"/>
              </w:rPr>
            </w:pPr>
            <w:r w:rsidRPr="00885DF8">
              <w:rPr>
                <w:rFonts w:ascii="Arial Narrow" w:hAnsi="Arial Narrow" w:cs="Calibri"/>
                <w:color w:val="000000"/>
                <w:sz w:val="18"/>
                <w:szCs w:val="18"/>
              </w:rPr>
              <w:t>CDR Revisions include modifications and additions to reportable data elements, changes to CBI substantiation requirements, specific inorganic byproduct reporting exemptions, and voluntary alternative reporting in metal compound categories for inorganic products. Of these provisions in the proposed rule, byproduct exemptions and category reporting will result in sites with some or all of their chemical reports exempted.</w:t>
            </w:r>
          </w:p>
        </w:tc>
      </w:tr>
    </w:tbl>
    <w:p w14:paraId="30B03FD4" w14:textId="77777777" w:rsidR="00B8298D" w:rsidRDefault="00B8298D" w:rsidP="00B8298D">
      <w:pPr>
        <w:rPr>
          <w:b/>
        </w:rPr>
      </w:pPr>
    </w:p>
    <w:p w14:paraId="748D7F4E" w14:textId="6E154C1D" w:rsidR="00B8298D" w:rsidRDefault="00B8298D" w:rsidP="00B8298D">
      <w:pPr>
        <w:pStyle w:val="BodyText"/>
      </w:pPr>
      <w:r w:rsidRPr="008A7FB7">
        <w:rPr>
          <w:b/>
        </w:rPr>
        <w:t xml:space="preserve">Total </w:t>
      </w:r>
      <w:r>
        <w:rPr>
          <w:b/>
        </w:rPr>
        <w:t>Reporter</w:t>
      </w:r>
      <w:r w:rsidRPr="008A7FB7">
        <w:rPr>
          <w:b/>
        </w:rPr>
        <w:t xml:space="preserve"> Burden/Cost</w:t>
      </w:r>
      <w:r w:rsidRPr="008A7FB7">
        <w:t xml:space="preserve">. </w:t>
      </w:r>
      <w:r>
        <w:t xml:space="preserve">Estimates of the </w:t>
      </w:r>
      <w:r w:rsidRPr="00A21CA1">
        <w:rPr>
          <w:color w:val="000000" w:themeColor="text1"/>
        </w:rPr>
        <w:t xml:space="preserve">reporting burden and cost per four-year reporting cycle are shown in </w:t>
      </w:r>
      <w:r w:rsidRPr="00A21CA1">
        <w:rPr>
          <w:color w:val="000000" w:themeColor="text1"/>
        </w:rPr>
        <w:fldChar w:fldCharType="begin"/>
      </w:r>
      <w:r w:rsidRPr="00A21CA1">
        <w:rPr>
          <w:color w:val="000000" w:themeColor="text1"/>
        </w:rPr>
        <w:instrText xml:space="preserve"> REF _Ref526353789 \h </w:instrText>
      </w:r>
      <w:r w:rsidRPr="00A21CA1">
        <w:rPr>
          <w:color w:val="000000" w:themeColor="text1"/>
        </w:rPr>
      </w:r>
      <w:r w:rsidRPr="00A21CA1">
        <w:rPr>
          <w:color w:val="000000" w:themeColor="text1"/>
        </w:rPr>
        <w:fldChar w:fldCharType="separate"/>
      </w:r>
      <w:r w:rsidR="00745E52" w:rsidRPr="00A21CA1">
        <w:rPr>
          <w:color w:val="000000" w:themeColor="text1"/>
        </w:rPr>
        <w:t xml:space="preserve">Table </w:t>
      </w:r>
      <w:r w:rsidR="00745E52" w:rsidRPr="00A21CA1">
        <w:rPr>
          <w:noProof/>
          <w:color w:val="000000" w:themeColor="text1"/>
        </w:rPr>
        <w:t>13</w:t>
      </w:r>
      <w:r w:rsidRPr="00A21CA1">
        <w:rPr>
          <w:color w:val="000000" w:themeColor="text1"/>
        </w:rPr>
        <w:fldChar w:fldCharType="end"/>
      </w:r>
      <w:r w:rsidRPr="00A21CA1">
        <w:rPr>
          <w:color w:val="000000" w:themeColor="text1"/>
        </w:rPr>
        <w:t xml:space="preserve">. Total burden and cost are calculated for changes to reporting activities by multiplying the unit burdens and costs in </w:t>
      </w:r>
      <w:r w:rsidRPr="00A21CA1">
        <w:rPr>
          <w:color w:val="000000" w:themeColor="text1"/>
        </w:rPr>
        <w:fldChar w:fldCharType="begin"/>
      </w:r>
      <w:r w:rsidRPr="00A21CA1">
        <w:rPr>
          <w:color w:val="000000" w:themeColor="text1"/>
        </w:rPr>
        <w:instrText xml:space="preserve"> REF _Ref526353586 \h </w:instrText>
      </w:r>
      <w:r w:rsidRPr="00A21CA1">
        <w:rPr>
          <w:color w:val="000000" w:themeColor="text1"/>
        </w:rPr>
      </w:r>
      <w:r w:rsidRPr="00A21CA1">
        <w:rPr>
          <w:color w:val="000000" w:themeColor="text1"/>
        </w:rPr>
        <w:fldChar w:fldCharType="separate"/>
      </w:r>
      <w:r w:rsidR="00745E52" w:rsidRPr="00A21CA1">
        <w:rPr>
          <w:color w:val="000000" w:themeColor="text1"/>
        </w:rPr>
        <w:t xml:space="preserve">Table </w:t>
      </w:r>
      <w:r w:rsidR="00745E52" w:rsidRPr="00A21CA1">
        <w:rPr>
          <w:noProof/>
          <w:color w:val="000000" w:themeColor="text1"/>
        </w:rPr>
        <w:t>8</w:t>
      </w:r>
      <w:r w:rsidRPr="00A21CA1">
        <w:rPr>
          <w:color w:val="000000" w:themeColor="text1"/>
        </w:rPr>
        <w:fldChar w:fldCharType="end"/>
      </w:r>
      <w:r w:rsidRPr="00A21CA1">
        <w:rPr>
          <w:color w:val="000000" w:themeColor="text1"/>
        </w:rPr>
        <w:t xml:space="preserve"> by the respective number of reporting sites. Total burden and cost attributable to reporting </w:t>
      </w:r>
      <w:r>
        <w:t xml:space="preserve">universe changes (reductions) are calculated for relevant sites and chemical reports using baseline information (for more detail, see </w:t>
      </w:r>
      <w:r w:rsidRPr="00B0518F">
        <w:t xml:space="preserve">EPA </w:t>
      </w:r>
      <w:r>
        <w:t>(</w:t>
      </w:r>
      <w:r w:rsidRPr="00B0518F">
        <w:t>201</w:t>
      </w:r>
      <w:r w:rsidR="00FF0FB5">
        <w:t>9a</w:t>
      </w:r>
      <w:r>
        <w:t>)</w:t>
      </w:r>
      <w:r w:rsidRPr="00395674">
        <w:t xml:space="preserve"> and </w:t>
      </w:r>
      <w:r w:rsidRPr="00B0518F">
        <w:t xml:space="preserve">EPA </w:t>
      </w:r>
      <w:r>
        <w:t>(</w:t>
      </w:r>
      <w:r w:rsidRPr="00B0518F">
        <w:t>201</w:t>
      </w:r>
      <w:r w:rsidR="00FF0FB5">
        <w:t>9b</w:t>
      </w:r>
      <w:r>
        <w:t>))</w:t>
      </w:r>
      <w:r w:rsidRPr="00B0518F">
        <w:t>.</w:t>
      </w:r>
      <w:r>
        <w:t xml:space="preserve"> </w:t>
      </w:r>
      <w:bookmarkStart w:id="116" w:name="_Ref524346286"/>
    </w:p>
    <w:tbl>
      <w:tblPr>
        <w:tblW w:w="5144" w:type="pct"/>
        <w:jc w:val="center"/>
        <w:tblLayout w:type="fixed"/>
        <w:tblLook w:val="04A0" w:firstRow="1" w:lastRow="0" w:firstColumn="1" w:lastColumn="0" w:noHBand="0" w:noVBand="1"/>
      </w:tblPr>
      <w:tblGrid>
        <w:gridCol w:w="277"/>
        <w:gridCol w:w="3417"/>
        <w:gridCol w:w="995"/>
        <w:gridCol w:w="995"/>
        <w:gridCol w:w="995"/>
        <w:gridCol w:w="963"/>
        <w:gridCol w:w="921"/>
        <w:gridCol w:w="1289"/>
      </w:tblGrid>
      <w:tr w:rsidR="00B8298D" w:rsidRPr="00945F41" w14:paraId="55D9208A" w14:textId="77777777" w:rsidTr="00392C79">
        <w:trPr>
          <w:tblHeader/>
          <w:jc w:val="center"/>
        </w:trPr>
        <w:tc>
          <w:tcPr>
            <w:tcW w:w="9630" w:type="dxa"/>
            <w:gridSpan w:val="8"/>
            <w:tcBorders>
              <w:top w:val="nil"/>
              <w:left w:val="nil"/>
              <w:bottom w:val="single" w:sz="4" w:space="0" w:color="auto"/>
              <w:right w:val="nil"/>
            </w:tcBorders>
            <w:shd w:val="clear" w:color="auto" w:fill="auto"/>
            <w:vAlign w:val="bottom"/>
            <w:hideMark/>
          </w:tcPr>
          <w:p w14:paraId="7359C4A0" w14:textId="5A89BF11" w:rsidR="00B8298D" w:rsidRPr="00945F41" w:rsidRDefault="00B8298D" w:rsidP="00B8298D">
            <w:pPr>
              <w:pStyle w:val="Caption"/>
              <w:keepNext/>
              <w:rPr>
                <w:rFonts w:eastAsia="Times New Roman" w:cs="Times New Roman"/>
                <w:color w:val="000000"/>
              </w:rPr>
            </w:pPr>
            <w:bookmarkStart w:id="117" w:name="_Ref526353789"/>
            <w:bookmarkStart w:id="118" w:name="_Ref525022776"/>
            <w:r>
              <w:t xml:space="preserve">Table </w:t>
            </w:r>
            <w:r>
              <w:rPr>
                <w:noProof/>
              </w:rPr>
              <w:fldChar w:fldCharType="begin"/>
            </w:r>
            <w:r>
              <w:rPr>
                <w:noProof/>
              </w:rPr>
              <w:instrText xml:space="preserve"> SEQ Table \* ARABIC </w:instrText>
            </w:r>
            <w:r>
              <w:rPr>
                <w:noProof/>
              </w:rPr>
              <w:fldChar w:fldCharType="separate"/>
            </w:r>
            <w:r w:rsidR="00745E52">
              <w:rPr>
                <w:noProof/>
              </w:rPr>
              <w:t>13</w:t>
            </w:r>
            <w:r>
              <w:rPr>
                <w:noProof/>
              </w:rPr>
              <w:fldChar w:fldCharType="end"/>
            </w:r>
            <w:bookmarkEnd w:id="116"/>
            <w:bookmarkEnd w:id="117"/>
            <w:bookmarkEnd w:id="118"/>
            <w:r w:rsidRPr="00945F41">
              <w:rPr>
                <w:rFonts w:eastAsia="Times New Roman" w:cs="Times New Roman"/>
                <w:color w:val="000000"/>
              </w:rPr>
              <w:t xml:space="preserve">: CDR Revisions and </w:t>
            </w:r>
            <w:r>
              <w:rPr>
                <w:rFonts w:eastAsia="Times New Roman" w:cs="Times New Roman"/>
                <w:color w:val="000000"/>
              </w:rPr>
              <w:t xml:space="preserve">TSCA </w:t>
            </w:r>
            <w:r w:rsidR="007A7147">
              <w:rPr>
                <w:rFonts w:eastAsia="Times New Roman" w:cs="Times New Roman"/>
                <w:color w:val="000000"/>
              </w:rPr>
              <w:t xml:space="preserve">Section </w:t>
            </w:r>
            <w:r w:rsidRPr="00945F41">
              <w:rPr>
                <w:rFonts w:eastAsia="Times New Roman" w:cs="Times New Roman"/>
                <w:color w:val="000000"/>
              </w:rPr>
              <w:t>8(a) SMD Update Incremental Reporting Burden and Cost for Four Year-Reporting Cycle, New and Experienced Reporters</w:t>
            </w:r>
          </w:p>
        </w:tc>
      </w:tr>
      <w:tr w:rsidR="00B8298D" w:rsidRPr="00945F41" w14:paraId="23AA495B" w14:textId="77777777" w:rsidTr="00392C79">
        <w:trPr>
          <w:tblHeader/>
          <w:jc w:val="center"/>
        </w:trPr>
        <w:tc>
          <w:tcPr>
            <w:tcW w:w="361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05C23610" w14:textId="77777777" w:rsidR="00B8298D" w:rsidRPr="00F0228D" w:rsidRDefault="00B8298D" w:rsidP="00B8298D">
            <w:pPr>
              <w:jc w:val="center"/>
              <w:rPr>
                <w:rFonts w:ascii="Arial Narrow" w:eastAsia="Times New Roman" w:hAnsi="Arial Narrow" w:cs="Calibri"/>
                <w:b/>
                <w:bCs/>
                <w:color w:val="000000" w:themeColor="text1"/>
                <w:sz w:val="18"/>
                <w:szCs w:val="18"/>
              </w:rPr>
            </w:pPr>
            <w:r w:rsidRPr="00F0228D">
              <w:rPr>
                <w:rFonts w:ascii="Arial Narrow" w:eastAsia="Times New Roman" w:hAnsi="Arial Narrow" w:cs="Calibri"/>
                <w:b/>
                <w:bCs/>
                <w:color w:val="000000" w:themeColor="text1"/>
                <w:sz w:val="18"/>
                <w:szCs w:val="18"/>
              </w:rPr>
              <w:t> </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6A0B4D2" w14:textId="77777777" w:rsidR="00B8298D" w:rsidRPr="00F0228D" w:rsidRDefault="00B8298D" w:rsidP="00B8298D">
            <w:pPr>
              <w:jc w:val="center"/>
              <w:rPr>
                <w:rFonts w:ascii="Arial Narrow" w:eastAsia="Times New Roman" w:hAnsi="Arial Narrow" w:cs="Calibri"/>
                <w:b/>
                <w:color w:val="000000"/>
                <w:sz w:val="18"/>
                <w:szCs w:val="18"/>
              </w:rPr>
            </w:pPr>
            <w:r w:rsidRPr="00F0228D">
              <w:rPr>
                <w:rFonts w:ascii="Arial Narrow" w:eastAsia="Times New Roman" w:hAnsi="Arial Narrow" w:cs="Calibri"/>
                <w:b/>
                <w:color w:val="000000"/>
                <w:sz w:val="18"/>
                <w:szCs w:val="18"/>
              </w:rPr>
              <w:t>Baseline Number of Sites</w:t>
            </w:r>
          </w:p>
        </w:tc>
        <w:tc>
          <w:tcPr>
            <w:tcW w:w="973"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5E4587D2" w14:textId="5C71F584" w:rsidR="00B8298D" w:rsidRPr="00F0228D" w:rsidRDefault="00C303F2" w:rsidP="00B8298D">
            <w:pPr>
              <w:jc w:val="center"/>
              <w:rPr>
                <w:rFonts w:ascii="Arial Narrow" w:eastAsia="Times New Roman" w:hAnsi="Arial Narrow" w:cs="Calibri"/>
                <w:b/>
                <w:color w:val="000000"/>
                <w:sz w:val="18"/>
                <w:szCs w:val="18"/>
              </w:rPr>
            </w:pPr>
            <w:r w:rsidRPr="00F0228D">
              <w:rPr>
                <w:rFonts w:ascii="Arial Narrow" w:eastAsia="Times New Roman" w:hAnsi="Arial Narrow" w:cs="Calibri"/>
                <w:b/>
                <w:color w:val="000000"/>
                <w:sz w:val="18"/>
                <w:szCs w:val="18"/>
              </w:rPr>
              <w:t>Number of Sites</w:t>
            </w:r>
            <w:r w:rsidR="00331D53">
              <w:rPr>
                <w:rFonts w:ascii="Arial Narrow" w:eastAsia="Times New Roman" w:hAnsi="Arial Narrow" w:cs="Calibri"/>
                <w:b/>
                <w:color w:val="000000"/>
                <w:sz w:val="18"/>
                <w:szCs w:val="18"/>
              </w:rPr>
              <w:t xml:space="preserve"> under Proposed Rule Option</w:t>
            </w:r>
          </w:p>
        </w:tc>
        <w:tc>
          <w:tcPr>
            <w:tcW w:w="4074"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2C787196" w14:textId="1C2A8B38" w:rsidR="00B8298D" w:rsidRPr="00F0228D" w:rsidRDefault="00E3146D" w:rsidP="00B8298D">
            <w:pPr>
              <w:jc w:val="center"/>
              <w:rPr>
                <w:rFonts w:ascii="Arial Narrow" w:eastAsia="Times New Roman" w:hAnsi="Arial Narrow" w:cs="Calibri"/>
                <w:b/>
                <w:color w:val="000000"/>
                <w:sz w:val="18"/>
                <w:szCs w:val="18"/>
              </w:rPr>
            </w:pPr>
            <w:r w:rsidRPr="00A21CA1">
              <w:rPr>
                <w:rFonts w:ascii="Arial Narrow" w:eastAsia="Times New Roman" w:hAnsi="Arial Narrow" w:cs="Calibri"/>
                <w:b/>
                <w:color w:val="000000" w:themeColor="text1"/>
                <w:sz w:val="18"/>
                <w:szCs w:val="18"/>
              </w:rPr>
              <w:t>Future</w:t>
            </w:r>
            <w:r w:rsidR="00B8298D" w:rsidRPr="00F0228D">
              <w:rPr>
                <w:rFonts w:ascii="Arial Narrow" w:eastAsia="Times New Roman" w:hAnsi="Arial Narrow" w:cs="Calibri"/>
                <w:b/>
                <w:color w:val="000000"/>
                <w:sz w:val="18"/>
                <w:szCs w:val="18"/>
              </w:rPr>
              <w:t xml:space="preserve"> Cycle</w:t>
            </w:r>
            <w:r w:rsidR="003E55FD">
              <w:rPr>
                <w:rFonts w:ascii="Arial Narrow" w:eastAsia="Times New Roman" w:hAnsi="Arial Narrow" w:cs="Calibri"/>
                <w:b/>
                <w:color w:val="000000"/>
                <w:sz w:val="18"/>
                <w:szCs w:val="18"/>
              </w:rPr>
              <w:t>s</w:t>
            </w:r>
          </w:p>
        </w:tc>
      </w:tr>
      <w:tr w:rsidR="00B8298D" w:rsidRPr="00945F41" w14:paraId="4BBF7393" w14:textId="77777777" w:rsidTr="00392C79">
        <w:trPr>
          <w:tblHeader/>
          <w:jc w:val="center"/>
        </w:trPr>
        <w:tc>
          <w:tcPr>
            <w:tcW w:w="3610" w:type="dxa"/>
            <w:gridSpan w:val="2"/>
            <w:vMerge/>
            <w:tcBorders>
              <w:top w:val="single" w:sz="4" w:space="0" w:color="auto"/>
              <w:left w:val="single" w:sz="4" w:space="0" w:color="auto"/>
              <w:bottom w:val="single" w:sz="4" w:space="0" w:color="auto"/>
              <w:right w:val="single" w:sz="4" w:space="0" w:color="auto"/>
            </w:tcBorders>
            <w:vAlign w:val="center"/>
            <w:hideMark/>
          </w:tcPr>
          <w:p w14:paraId="56CCF4EF" w14:textId="77777777" w:rsidR="00B8298D" w:rsidRPr="00D3042C" w:rsidRDefault="00B8298D" w:rsidP="00B8298D">
            <w:pPr>
              <w:rPr>
                <w:rFonts w:ascii="Arial Narrow" w:eastAsia="Times New Roman" w:hAnsi="Arial Narrow" w:cs="Calibri"/>
                <w:b/>
                <w:color w:val="000000"/>
                <w:sz w:val="18"/>
                <w:szCs w:val="18"/>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0FDD5C9A" w14:textId="77777777" w:rsidR="00B8298D" w:rsidRPr="00D3042C" w:rsidRDefault="00B8298D" w:rsidP="00B8298D">
            <w:pPr>
              <w:rPr>
                <w:rFonts w:ascii="Arial Narrow" w:eastAsia="Times New Roman" w:hAnsi="Arial Narrow" w:cs="Calibri"/>
                <w:b/>
                <w:color w:val="000000"/>
                <w:sz w:val="18"/>
                <w:szCs w:val="18"/>
              </w:rPr>
            </w:pPr>
          </w:p>
        </w:tc>
        <w:tc>
          <w:tcPr>
            <w:tcW w:w="973" w:type="dxa"/>
            <w:vMerge/>
            <w:tcBorders>
              <w:top w:val="single" w:sz="4" w:space="0" w:color="auto"/>
              <w:left w:val="single" w:sz="4" w:space="0" w:color="auto"/>
              <w:bottom w:val="single" w:sz="4" w:space="0" w:color="auto"/>
              <w:right w:val="single" w:sz="4" w:space="0" w:color="auto"/>
            </w:tcBorders>
            <w:vAlign w:val="center"/>
            <w:hideMark/>
          </w:tcPr>
          <w:p w14:paraId="3A364960" w14:textId="77777777" w:rsidR="00B8298D" w:rsidRPr="00D3042C" w:rsidRDefault="00B8298D" w:rsidP="00B8298D">
            <w:pPr>
              <w:rPr>
                <w:rFonts w:ascii="Arial Narrow" w:eastAsia="Times New Roman" w:hAnsi="Arial Narrow" w:cs="Calibri"/>
                <w:b/>
                <w:color w:val="000000"/>
                <w:sz w:val="18"/>
                <w:szCs w:val="18"/>
              </w:rPr>
            </w:pPr>
          </w:p>
        </w:tc>
        <w:tc>
          <w:tcPr>
            <w:tcW w:w="97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FA9C203" w14:textId="2B2375DA" w:rsidR="00B8298D" w:rsidRPr="00D3042C" w:rsidRDefault="002968E4" w:rsidP="00B8298D">
            <w:pPr>
              <w:jc w:val="center"/>
              <w:rPr>
                <w:rFonts w:ascii="Arial Narrow" w:eastAsia="Times New Roman" w:hAnsi="Arial Narrow" w:cs="Calibri"/>
                <w:b/>
                <w:color w:val="000000"/>
                <w:sz w:val="18"/>
                <w:szCs w:val="18"/>
              </w:rPr>
            </w:pPr>
            <w:r>
              <w:rPr>
                <w:rFonts w:ascii="Arial Narrow" w:eastAsia="Times New Roman" w:hAnsi="Arial Narrow" w:cs="Calibri"/>
                <w:b/>
                <w:color w:val="000000"/>
                <w:sz w:val="18"/>
                <w:szCs w:val="18"/>
              </w:rPr>
              <w:t>U</w:t>
            </w:r>
            <w:r w:rsidR="00B8298D" w:rsidRPr="00D3042C">
              <w:rPr>
                <w:rFonts w:ascii="Arial Narrow" w:eastAsia="Times New Roman" w:hAnsi="Arial Narrow" w:cs="Calibri"/>
                <w:b/>
                <w:color w:val="000000"/>
                <w:sz w:val="18"/>
                <w:szCs w:val="18"/>
              </w:rPr>
              <w:t>nit burden (hours)</w:t>
            </w:r>
            <w:r w:rsidR="00565011">
              <w:rPr>
                <w:rFonts w:ascii="Arial Narrow" w:eastAsia="Times New Roman" w:hAnsi="Arial Narrow" w:cs="Calibri"/>
                <w:b/>
                <w:color w:val="000000"/>
                <w:sz w:val="18"/>
                <w:szCs w:val="18"/>
                <w:vertAlign w:val="superscript"/>
              </w:rPr>
              <w:t>1</w:t>
            </w:r>
          </w:p>
        </w:tc>
        <w:tc>
          <w:tcPr>
            <w:tcW w:w="94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E84DAA3" w14:textId="4EB5C64A" w:rsidR="00B8298D" w:rsidRPr="00D3042C" w:rsidRDefault="002968E4" w:rsidP="00B8298D">
            <w:pPr>
              <w:jc w:val="center"/>
              <w:rPr>
                <w:rFonts w:ascii="Arial Narrow" w:eastAsia="Times New Roman" w:hAnsi="Arial Narrow" w:cs="Calibri"/>
                <w:b/>
                <w:color w:val="000000"/>
                <w:sz w:val="18"/>
                <w:szCs w:val="18"/>
              </w:rPr>
            </w:pPr>
            <w:r>
              <w:rPr>
                <w:rFonts w:ascii="Arial Narrow" w:eastAsia="Times New Roman" w:hAnsi="Arial Narrow" w:cs="Calibri"/>
                <w:b/>
                <w:color w:val="000000"/>
                <w:sz w:val="18"/>
                <w:szCs w:val="18"/>
              </w:rPr>
              <w:t>U</w:t>
            </w:r>
            <w:r w:rsidR="00B8298D" w:rsidRPr="00D3042C">
              <w:rPr>
                <w:rFonts w:ascii="Arial Narrow" w:eastAsia="Times New Roman" w:hAnsi="Arial Narrow" w:cs="Calibri"/>
                <w:b/>
                <w:color w:val="000000"/>
                <w:sz w:val="18"/>
                <w:szCs w:val="18"/>
              </w:rPr>
              <w:t>nit cost (2017$)</w:t>
            </w:r>
            <w:r w:rsidR="00565011">
              <w:rPr>
                <w:rFonts w:ascii="Arial Narrow" w:eastAsia="Times New Roman" w:hAnsi="Arial Narrow" w:cs="Calibri"/>
                <w:b/>
                <w:color w:val="000000"/>
                <w:sz w:val="18"/>
                <w:szCs w:val="18"/>
                <w:vertAlign w:val="superscript"/>
              </w:rPr>
              <w:t>1</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09C46820" w14:textId="77777777" w:rsidR="00B8298D" w:rsidRPr="00D3042C" w:rsidRDefault="00B8298D" w:rsidP="00B8298D">
            <w:pPr>
              <w:jc w:val="center"/>
              <w:rPr>
                <w:rFonts w:ascii="Arial Narrow" w:eastAsia="Times New Roman" w:hAnsi="Arial Narrow" w:cs="Calibri"/>
                <w:b/>
                <w:color w:val="000000"/>
                <w:sz w:val="18"/>
                <w:szCs w:val="18"/>
              </w:rPr>
            </w:pPr>
            <w:r w:rsidRPr="00D3042C">
              <w:rPr>
                <w:rFonts w:ascii="Arial Narrow" w:eastAsia="Times New Roman" w:hAnsi="Arial Narrow" w:cs="Calibri"/>
                <w:b/>
                <w:color w:val="000000"/>
                <w:sz w:val="18"/>
                <w:szCs w:val="18"/>
              </w:rPr>
              <w:t>Burden (hours)</w:t>
            </w:r>
          </w:p>
        </w:tc>
        <w:tc>
          <w:tcPr>
            <w:tcW w:w="126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EDB3CFC" w14:textId="77777777" w:rsidR="00B8298D" w:rsidRPr="00F0228D" w:rsidRDefault="00B8298D" w:rsidP="00B8298D">
            <w:pPr>
              <w:jc w:val="center"/>
              <w:rPr>
                <w:rFonts w:ascii="Arial Narrow" w:eastAsia="Times New Roman" w:hAnsi="Arial Narrow" w:cs="Calibri"/>
                <w:b/>
                <w:color w:val="000000"/>
                <w:sz w:val="18"/>
                <w:szCs w:val="18"/>
              </w:rPr>
            </w:pPr>
            <w:r w:rsidRPr="00F0228D">
              <w:rPr>
                <w:rFonts w:ascii="Arial Narrow" w:eastAsia="Times New Roman" w:hAnsi="Arial Narrow" w:cs="Calibri"/>
                <w:b/>
                <w:color w:val="000000"/>
                <w:sz w:val="18"/>
                <w:szCs w:val="18"/>
              </w:rPr>
              <w:t>Cost (2017$)</w:t>
            </w:r>
          </w:p>
        </w:tc>
      </w:tr>
      <w:tr w:rsidR="00B8298D" w:rsidRPr="00945F41" w14:paraId="4531A3BC" w14:textId="77777777" w:rsidTr="00392C79">
        <w:trPr>
          <w:jc w:val="center"/>
        </w:trPr>
        <w:tc>
          <w:tcPr>
            <w:tcW w:w="963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0AC1BB0D" w14:textId="412F6E9E" w:rsidR="00B8298D" w:rsidRPr="00D3042C" w:rsidRDefault="00B8298D" w:rsidP="00B8298D">
            <w:pPr>
              <w:rPr>
                <w:rFonts w:ascii="Arial Narrow" w:eastAsia="Times New Roman" w:hAnsi="Arial Narrow" w:cs="Calibri"/>
                <w:b/>
                <w:color w:val="000000"/>
                <w:sz w:val="18"/>
                <w:szCs w:val="18"/>
              </w:rPr>
            </w:pPr>
            <w:r w:rsidRPr="00D3042C">
              <w:rPr>
                <w:rFonts w:ascii="Arial Narrow" w:eastAsia="Times New Roman" w:hAnsi="Arial Narrow" w:cs="Calibri"/>
                <w:b/>
                <w:color w:val="000000"/>
                <w:sz w:val="18"/>
                <w:szCs w:val="18"/>
              </w:rPr>
              <w:t>Changes to Reporting Activities</w:t>
            </w:r>
            <w:r w:rsidR="00565011">
              <w:rPr>
                <w:rFonts w:ascii="Arial Narrow" w:eastAsia="Times New Roman" w:hAnsi="Arial Narrow" w:cs="Calibri"/>
                <w:b/>
                <w:color w:val="000000"/>
                <w:sz w:val="18"/>
                <w:szCs w:val="18"/>
                <w:vertAlign w:val="superscript"/>
              </w:rPr>
              <w:t>2</w:t>
            </w:r>
          </w:p>
        </w:tc>
      </w:tr>
      <w:tr w:rsidR="00B8298D" w:rsidRPr="00945F41" w14:paraId="4A3DC647"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hideMark/>
          </w:tcPr>
          <w:p w14:paraId="1C633E1D" w14:textId="77777777" w:rsidR="00B8298D" w:rsidRPr="00D3042C" w:rsidRDefault="00B8298D" w:rsidP="00B8298D">
            <w:pP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Reportable Data Elements + CBI Substantiation, including incremental rule familiarization and compliance determination</w:t>
            </w:r>
          </w:p>
        </w:tc>
        <w:tc>
          <w:tcPr>
            <w:tcW w:w="973" w:type="dxa"/>
            <w:tcBorders>
              <w:top w:val="nil"/>
              <w:left w:val="nil"/>
              <w:bottom w:val="single" w:sz="4" w:space="0" w:color="auto"/>
              <w:right w:val="single" w:sz="4" w:space="0" w:color="auto"/>
            </w:tcBorders>
            <w:shd w:val="clear" w:color="auto" w:fill="auto"/>
            <w:noWrap/>
            <w:vAlign w:val="center"/>
            <w:hideMark/>
          </w:tcPr>
          <w:p w14:paraId="265297B5"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5,660 </w:t>
            </w:r>
          </w:p>
        </w:tc>
        <w:tc>
          <w:tcPr>
            <w:tcW w:w="973" w:type="dxa"/>
            <w:tcBorders>
              <w:top w:val="nil"/>
              <w:left w:val="nil"/>
              <w:bottom w:val="single" w:sz="4" w:space="0" w:color="auto"/>
              <w:right w:val="double" w:sz="4" w:space="0" w:color="auto"/>
            </w:tcBorders>
            <w:shd w:val="clear" w:color="auto" w:fill="auto"/>
            <w:noWrap/>
            <w:vAlign w:val="center"/>
            <w:hideMark/>
          </w:tcPr>
          <w:p w14:paraId="4992C4EF"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5,660 </w:t>
            </w:r>
          </w:p>
        </w:tc>
        <w:tc>
          <w:tcPr>
            <w:tcW w:w="973" w:type="dxa"/>
            <w:tcBorders>
              <w:top w:val="nil"/>
              <w:left w:val="double" w:sz="4" w:space="0" w:color="auto"/>
              <w:bottom w:val="single" w:sz="4" w:space="0" w:color="auto"/>
              <w:right w:val="single" w:sz="4" w:space="0" w:color="auto"/>
            </w:tcBorders>
            <w:shd w:val="clear" w:color="auto" w:fill="auto"/>
            <w:noWrap/>
            <w:vAlign w:val="center"/>
            <w:hideMark/>
          </w:tcPr>
          <w:p w14:paraId="1E99D7EC" w14:textId="2E84D3EF" w:rsidR="00B8298D" w:rsidRPr="00D3042C"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7.920</w:t>
            </w:r>
          </w:p>
        </w:tc>
        <w:tc>
          <w:tcPr>
            <w:tcW w:w="941" w:type="dxa"/>
            <w:tcBorders>
              <w:top w:val="nil"/>
              <w:left w:val="nil"/>
              <w:bottom w:val="single" w:sz="4" w:space="0" w:color="auto"/>
              <w:right w:val="double" w:sz="4" w:space="0" w:color="auto"/>
            </w:tcBorders>
            <w:shd w:val="clear" w:color="auto" w:fill="auto"/>
            <w:noWrap/>
            <w:vAlign w:val="center"/>
            <w:hideMark/>
          </w:tcPr>
          <w:p w14:paraId="0EFD3D13" w14:textId="38C34381" w:rsidR="00B8298D" w:rsidRPr="00D3042C" w:rsidRDefault="00B8298D" w:rsidP="00B8298D">
            <w:pPr>
              <w:jc w:val="right"/>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614.87</w:t>
            </w:r>
          </w:p>
        </w:tc>
        <w:tc>
          <w:tcPr>
            <w:tcW w:w="900" w:type="dxa"/>
            <w:tcBorders>
              <w:top w:val="nil"/>
              <w:left w:val="double" w:sz="4" w:space="0" w:color="auto"/>
              <w:bottom w:val="single" w:sz="4" w:space="0" w:color="auto"/>
              <w:right w:val="single" w:sz="4" w:space="0" w:color="auto"/>
            </w:tcBorders>
            <w:shd w:val="clear" w:color="auto" w:fill="auto"/>
            <w:noWrap/>
            <w:vAlign w:val="center"/>
            <w:hideMark/>
          </w:tcPr>
          <w:p w14:paraId="241CA831" w14:textId="360170E0" w:rsidR="00B8298D" w:rsidRPr="00D3042C"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44,827</w:t>
            </w:r>
          </w:p>
        </w:tc>
        <w:tc>
          <w:tcPr>
            <w:tcW w:w="1260" w:type="dxa"/>
            <w:tcBorders>
              <w:top w:val="nil"/>
              <w:left w:val="nil"/>
              <w:bottom w:val="single" w:sz="4" w:space="0" w:color="auto"/>
              <w:right w:val="single" w:sz="4" w:space="0" w:color="auto"/>
            </w:tcBorders>
            <w:shd w:val="clear" w:color="auto" w:fill="auto"/>
            <w:noWrap/>
            <w:vAlign w:val="center"/>
            <w:hideMark/>
          </w:tcPr>
          <w:p w14:paraId="7A6D32AB" w14:textId="61916D99" w:rsidR="00B8298D" w:rsidRPr="00F0228D" w:rsidRDefault="00B8298D" w:rsidP="00B8298D">
            <w:pPr>
              <w:jc w:val="right"/>
              <w:rPr>
                <w:rFonts w:ascii="Arial Narrow" w:eastAsia="Times New Roman" w:hAnsi="Arial Narrow" w:cs="Calibri"/>
                <w:color w:val="000000"/>
                <w:sz w:val="18"/>
                <w:szCs w:val="18"/>
              </w:rPr>
            </w:pPr>
            <w:r w:rsidRPr="00F0228D">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3,480,165</w:t>
            </w:r>
          </w:p>
        </w:tc>
      </w:tr>
      <w:tr w:rsidR="00B8298D" w:rsidRPr="00945F41" w14:paraId="41CE48C3"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hideMark/>
          </w:tcPr>
          <w:p w14:paraId="3EEC6AE2" w14:textId="77777777" w:rsidR="00B8298D" w:rsidRPr="00D3042C" w:rsidRDefault="00B8298D" w:rsidP="00B8298D">
            <w:pP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Byproduct Provisions incremental rule familiarization and compliance determination</w:t>
            </w:r>
          </w:p>
        </w:tc>
        <w:tc>
          <w:tcPr>
            <w:tcW w:w="973" w:type="dxa"/>
            <w:tcBorders>
              <w:top w:val="nil"/>
              <w:left w:val="nil"/>
              <w:bottom w:val="single" w:sz="4" w:space="0" w:color="auto"/>
              <w:right w:val="single" w:sz="4" w:space="0" w:color="auto"/>
            </w:tcBorders>
            <w:shd w:val="clear" w:color="auto" w:fill="auto"/>
            <w:noWrap/>
            <w:vAlign w:val="center"/>
            <w:hideMark/>
          </w:tcPr>
          <w:p w14:paraId="0ECD38D2"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5,660 </w:t>
            </w:r>
          </w:p>
        </w:tc>
        <w:tc>
          <w:tcPr>
            <w:tcW w:w="973" w:type="dxa"/>
            <w:tcBorders>
              <w:top w:val="nil"/>
              <w:left w:val="nil"/>
              <w:bottom w:val="single" w:sz="4" w:space="0" w:color="auto"/>
              <w:right w:val="double" w:sz="4" w:space="0" w:color="auto"/>
            </w:tcBorders>
            <w:shd w:val="clear" w:color="auto" w:fill="auto"/>
            <w:noWrap/>
            <w:vAlign w:val="center"/>
            <w:hideMark/>
          </w:tcPr>
          <w:p w14:paraId="72098629"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5,660 </w:t>
            </w:r>
          </w:p>
        </w:tc>
        <w:tc>
          <w:tcPr>
            <w:tcW w:w="97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726CC3BC"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0.552</w:t>
            </w:r>
          </w:p>
        </w:tc>
        <w:tc>
          <w:tcPr>
            <w:tcW w:w="941" w:type="dxa"/>
            <w:tcBorders>
              <w:top w:val="single" w:sz="4" w:space="0" w:color="auto"/>
              <w:left w:val="nil"/>
              <w:bottom w:val="single" w:sz="4" w:space="0" w:color="auto"/>
              <w:right w:val="double" w:sz="4" w:space="0" w:color="auto"/>
            </w:tcBorders>
            <w:shd w:val="clear" w:color="auto" w:fill="auto"/>
            <w:noWrap/>
            <w:vAlign w:val="center"/>
            <w:hideMark/>
          </w:tcPr>
          <w:p w14:paraId="519DF26A" w14:textId="77777777" w:rsidR="00B8298D" w:rsidRPr="00D3042C" w:rsidRDefault="00B8298D" w:rsidP="00B8298D">
            <w:pPr>
              <w:jc w:val="right"/>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$42.82</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369B4BC"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3,123</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9475D2C" w14:textId="77777777" w:rsidR="00B8298D" w:rsidRPr="00F0228D" w:rsidRDefault="00B8298D" w:rsidP="00B8298D">
            <w:pPr>
              <w:jc w:val="right"/>
              <w:rPr>
                <w:rFonts w:ascii="Arial Narrow" w:eastAsia="Times New Roman" w:hAnsi="Arial Narrow" w:cs="Calibri"/>
                <w:color w:val="000000"/>
                <w:sz w:val="18"/>
                <w:szCs w:val="18"/>
              </w:rPr>
            </w:pPr>
            <w:r w:rsidRPr="00F0228D">
              <w:rPr>
                <w:rFonts w:ascii="Arial Narrow" w:eastAsia="Times New Roman" w:hAnsi="Arial Narrow" w:cs="Calibri"/>
                <w:color w:val="000000"/>
                <w:sz w:val="18"/>
                <w:szCs w:val="18"/>
              </w:rPr>
              <w:t>$242,36</w:t>
            </w:r>
            <w:r>
              <w:rPr>
                <w:rFonts w:ascii="Arial Narrow" w:eastAsia="Times New Roman" w:hAnsi="Arial Narrow" w:cs="Calibri"/>
                <w:color w:val="000000"/>
                <w:sz w:val="18"/>
                <w:szCs w:val="18"/>
              </w:rPr>
              <w:t>0</w:t>
            </w:r>
          </w:p>
        </w:tc>
      </w:tr>
      <w:tr w:rsidR="00B8298D" w:rsidRPr="00945F41" w14:paraId="57E7CE97"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hideMark/>
          </w:tcPr>
          <w:p w14:paraId="21CA2A59" w14:textId="77777777" w:rsidR="00B8298D" w:rsidRPr="00D3042C" w:rsidRDefault="00B8298D" w:rsidP="00B8298D">
            <w:pPr>
              <w:rPr>
                <w:rFonts w:ascii="Arial Narrow" w:eastAsia="Times New Roman" w:hAnsi="Arial Narrow" w:cs="Calibri"/>
                <w:color w:val="000000"/>
                <w:sz w:val="18"/>
                <w:szCs w:val="18"/>
              </w:rPr>
            </w:pPr>
            <w:r>
              <w:rPr>
                <w:rFonts w:ascii="Arial Narrow" w:hAnsi="Arial Narrow" w:cs="Calibri"/>
                <w:color w:val="000000"/>
                <w:sz w:val="18"/>
                <w:szCs w:val="18"/>
              </w:rPr>
              <w:t xml:space="preserve">Section </w:t>
            </w:r>
            <w:r w:rsidRPr="008C5171">
              <w:rPr>
                <w:rFonts w:ascii="Arial Narrow" w:hAnsi="Arial Narrow" w:cs="Calibri"/>
                <w:color w:val="000000"/>
                <w:sz w:val="18"/>
                <w:szCs w:val="18"/>
              </w:rPr>
              <w:t>8(a) SMD Update incremental rule familiarization and compliance determination</w:t>
            </w:r>
          </w:p>
        </w:tc>
        <w:tc>
          <w:tcPr>
            <w:tcW w:w="973" w:type="dxa"/>
            <w:tcBorders>
              <w:top w:val="nil"/>
              <w:left w:val="nil"/>
              <w:bottom w:val="single" w:sz="4" w:space="0" w:color="auto"/>
              <w:right w:val="single" w:sz="4" w:space="0" w:color="auto"/>
            </w:tcBorders>
            <w:shd w:val="clear" w:color="auto" w:fill="auto"/>
            <w:noWrap/>
            <w:vAlign w:val="center"/>
            <w:hideMark/>
          </w:tcPr>
          <w:p w14:paraId="63C75313" w14:textId="77777777" w:rsidR="00B8298D" w:rsidRPr="00D3042C"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 xml:space="preserve">5,627 </w:t>
            </w:r>
          </w:p>
        </w:tc>
        <w:tc>
          <w:tcPr>
            <w:tcW w:w="973" w:type="dxa"/>
            <w:tcBorders>
              <w:top w:val="nil"/>
              <w:left w:val="nil"/>
              <w:bottom w:val="single" w:sz="4" w:space="0" w:color="auto"/>
              <w:right w:val="double" w:sz="4" w:space="0" w:color="auto"/>
            </w:tcBorders>
            <w:shd w:val="clear" w:color="auto" w:fill="auto"/>
            <w:noWrap/>
            <w:vAlign w:val="center"/>
            <w:hideMark/>
          </w:tcPr>
          <w:p w14:paraId="70CAE953" w14:textId="77777777" w:rsidR="00B8298D" w:rsidRPr="00D3042C"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 xml:space="preserve">5,627 </w:t>
            </w:r>
          </w:p>
        </w:tc>
        <w:tc>
          <w:tcPr>
            <w:tcW w:w="973"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336604CC" w14:textId="77777777" w:rsidR="00B8298D" w:rsidRPr="00D3042C"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0.256</w:t>
            </w:r>
          </w:p>
        </w:tc>
        <w:tc>
          <w:tcPr>
            <w:tcW w:w="941" w:type="dxa"/>
            <w:tcBorders>
              <w:top w:val="single" w:sz="4" w:space="0" w:color="auto"/>
              <w:left w:val="nil"/>
              <w:bottom w:val="single" w:sz="4" w:space="0" w:color="auto"/>
              <w:right w:val="double" w:sz="4" w:space="0" w:color="auto"/>
            </w:tcBorders>
            <w:shd w:val="clear" w:color="auto" w:fill="auto"/>
            <w:noWrap/>
            <w:vAlign w:val="center"/>
            <w:hideMark/>
          </w:tcPr>
          <w:p w14:paraId="6BD2D275" w14:textId="77777777" w:rsidR="00B8298D" w:rsidRPr="00D3042C" w:rsidRDefault="00B8298D" w:rsidP="00B8298D">
            <w:pPr>
              <w:jc w:val="right"/>
              <w:rPr>
                <w:rFonts w:ascii="Arial Narrow" w:eastAsia="Times New Roman" w:hAnsi="Arial Narrow" w:cs="Calibri"/>
                <w:color w:val="000000"/>
                <w:sz w:val="18"/>
                <w:szCs w:val="18"/>
              </w:rPr>
            </w:pPr>
            <w:r w:rsidRPr="008C5171">
              <w:rPr>
                <w:rFonts w:ascii="Arial Narrow" w:hAnsi="Arial Narrow" w:cs="Calibri"/>
                <w:color w:val="000000"/>
                <w:sz w:val="18"/>
                <w:szCs w:val="18"/>
              </w:rPr>
              <w:t>$19.89</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11E0D63B" w14:textId="77777777" w:rsidR="00B8298D" w:rsidRPr="00D3042C"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1,441</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14:paraId="7987557E" w14:textId="77777777" w:rsidR="00B8298D" w:rsidRPr="00F0228D" w:rsidRDefault="00B8298D" w:rsidP="00B8298D">
            <w:pPr>
              <w:jc w:val="right"/>
              <w:rPr>
                <w:rFonts w:ascii="Arial Narrow" w:eastAsia="Times New Roman" w:hAnsi="Arial Narrow" w:cs="Calibri"/>
                <w:color w:val="000000"/>
                <w:sz w:val="18"/>
                <w:szCs w:val="18"/>
              </w:rPr>
            </w:pPr>
            <w:r w:rsidRPr="008C5171">
              <w:rPr>
                <w:rFonts w:ascii="Arial Narrow" w:hAnsi="Arial Narrow" w:cs="Calibri"/>
                <w:color w:val="000000"/>
                <w:sz w:val="18"/>
                <w:szCs w:val="18"/>
              </w:rPr>
              <w:t>$111,921</w:t>
            </w:r>
          </w:p>
        </w:tc>
      </w:tr>
      <w:tr w:rsidR="00B8298D" w:rsidRPr="00945F41" w14:paraId="27AABFDE"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tcPr>
          <w:p w14:paraId="72ED4E98" w14:textId="77777777" w:rsidR="00B8298D" w:rsidRPr="00D3042C" w:rsidRDefault="00B8298D" w:rsidP="00B8298D">
            <w:pPr>
              <w:rPr>
                <w:rFonts w:ascii="Arial Narrow" w:eastAsia="Times New Roman" w:hAnsi="Arial Narrow" w:cs="Calibri"/>
                <w:color w:val="000000"/>
                <w:sz w:val="18"/>
                <w:szCs w:val="18"/>
              </w:rPr>
            </w:pPr>
            <w:r>
              <w:rPr>
                <w:rFonts w:ascii="Arial Narrow" w:hAnsi="Arial Narrow" w:cs="Calibri"/>
                <w:color w:val="000000"/>
                <w:sz w:val="18"/>
                <w:szCs w:val="18"/>
              </w:rPr>
              <w:t xml:space="preserve">Section </w:t>
            </w:r>
            <w:r w:rsidRPr="008C5171">
              <w:rPr>
                <w:rFonts w:ascii="Arial Narrow" w:hAnsi="Arial Narrow" w:cs="Calibri"/>
                <w:color w:val="000000"/>
                <w:sz w:val="18"/>
                <w:szCs w:val="18"/>
              </w:rPr>
              <w:t>8(a) SGD incremental rule familiarization and compliance determination</w:t>
            </w:r>
          </w:p>
        </w:tc>
        <w:tc>
          <w:tcPr>
            <w:tcW w:w="973" w:type="dxa"/>
            <w:tcBorders>
              <w:top w:val="nil"/>
              <w:left w:val="nil"/>
              <w:bottom w:val="single" w:sz="4" w:space="0" w:color="auto"/>
              <w:right w:val="single" w:sz="4" w:space="0" w:color="auto"/>
            </w:tcBorders>
            <w:shd w:val="clear" w:color="auto" w:fill="auto"/>
            <w:noWrap/>
            <w:vAlign w:val="center"/>
          </w:tcPr>
          <w:p w14:paraId="14ED11F6" w14:textId="77777777" w:rsidR="00B8298D" w:rsidRPr="00D3042C" w:rsidDel="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 xml:space="preserve">33 </w:t>
            </w:r>
          </w:p>
        </w:tc>
        <w:tc>
          <w:tcPr>
            <w:tcW w:w="973" w:type="dxa"/>
            <w:tcBorders>
              <w:top w:val="nil"/>
              <w:left w:val="nil"/>
              <w:bottom w:val="single" w:sz="4" w:space="0" w:color="auto"/>
              <w:right w:val="double" w:sz="4" w:space="0" w:color="auto"/>
            </w:tcBorders>
            <w:shd w:val="clear" w:color="auto" w:fill="auto"/>
            <w:noWrap/>
            <w:vAlign w:val="center"/>
          </w:tcPr>
          <w:p w14:paraId="65D6BDD7" w14:textId="77777777" w:rsidR="00B8298D" w:rsidRPr="00D3042C"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 xml:space="preserve">33 </w:t>
            </w:r>
          </w:p>
        </w:tc>
        <w:tc>
          <w:tcPr>
            <w:tcW w:w="973" w:type="dxa"/>
            <w:tcBorders>
              <w:top w:val="single" w:sz="4" w:space="0" w:color="auto"/>
              <w:left w:val="double" w:sz="4" w:space="0" w:color="auto"/>
              <w:bottom w:val="single" w:sz="4" w:space="0" w:color="auto"/>
              <w:right w:val="single" w:sz="4" w:space="0" w:color="auto"/>
            </w:tcBorders>
            <w:shd w:val="clear" w:color="auto" w:fill="auto"/>
            <w:noWrap/>
            <w:vAlign w:val="center"/>
          </w:tcPr>
          <w:p w14:paraId="7A3DD923" w14:textId="77777777" w:rsidR="00B8298D" w:rsidRPr="000626DB" w:rsidRDefault="00B8298D" w:rsidP="00B8298D">
            <w:pPr>
              <w:jc w:val="right"/>
              <w:rPr>
                <w:rFonts w:ascii="Arial Narrow" w:eastAsia="Times New Roman" w:hAnsi="Arial Narrow" w:cs="Calibri"/>
                <w:color w:val="000000" w:themeColor="text1"/>
                <w:sz w:val="18"/>
                <w:szCs w:val="18"/>
              </w:rPr>
            </w:pPr>
            <w:r w:rsidRPr="00FC1700">
              <w:rPr>
                <w:rFonts w:ascii="Arial Narrow" w:hAnsi="Arial Narrow" w:cs="Calibri"/>
                <w:color w:val="000000"/>
                <w:sz w:val="18"/>
                <w:szCs w:val="18"/>
              </w:rPr>
              <w:t>0.182</w:t>
            </w:r>
          </w:p>
        </w:tc>
        <w:tc>
          <w:tcPr>
            <w:tcW w:w="941" w:type="dxa"/>
            <w:tcBorders>
              <w:top w:val="single" w:sz="4" w:space="0" w:color="auto"/>
              <w:left w:val="nil"/>
              <w:bottom w:val="single" w:sz="4" w:space="0" w:color="auto"/>
              <w:right w:val="double" w:sz="4" w:space="0" w:color="auto"/>
            </w:tcBorders>
            <w:shd w:val="clear" w:color="auto" w:fill="auto"/>
            <w:noWrap/>
            <w:vAlign w:val="center"/>
          </w:tcPr>
          <w:p w14:paraId="31C01378" w14:textId="77777777" w:rsidR="00B8298D" w:rsidRPr="001D5EBB" w:rsidRDefault="00B8298D" w:rsidP="00B8298D">
            <w:pPr>
              <w:jc w:val="right"/>
              <w:rPr>
                <w:rFonts w:ascii="Arial Narrow" w:eastAsia="Times New Roman" w:hAnsi="Arial Narrow" w:cs="Calibri"/>
                <w:color w:val="000000"/>
                <w:sz w:val="18"/>
                <w:szCs w:val="18"/>
              </w:rPr>
            </w:pPr>
            <w:r w:rsidRPr="00FC1700">
              <w:rPr>
                <w:rFonts w:ascii="Arial Narrow" w:hAnsi="Arial Narrow" w:cs="Calibri"/>
                <w:color w:val="000000"/>
                <w:sz w:val="18"/>
                <w:szCs w:val="18"/>
              </w:rPr>
              <w:t>$13.18</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center"/>
          </w:tcPr>
          <w:p w14:paraId="30B7B0E5" w14:textId="77777777" w:rsidR="00B8298D" w:rsidRPr="00D3042C"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6</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120A13EA" w14:textId="77777777" w:rsidR="00B8298D" w:rsidRPr="00F0228D" w:rsidRDefault="00B8298D" w:rsidP="00B8298D">
            <w:pPr>
              <w:jc w:val="right"/>
              <w:rPr>
                <w:rFonts w:ascii="Arial Narrow" w:eastAsia="Times New Roman" w:hAnsi="Arial Narrow" w:cs="Calibri"/>
                <w:color w:val="000000"/>
                <w:sz w:val="18"/>
                <w:szCs w:val="18"/>
              </w:rPr>
            </w:pPr>
            <w:r w:rsidRPr="008C5171">
              <w:rPr>
                <w:rFonts w:ascii="Arial Narrow" w:hAnsi="Arial Narrow" w:cs="Calibri"/>
                <w:color w:val="000000"/>
                <w:sz w:val="18"/>
                <w:szCs w:val="18"/>
              </w:rPr>
              <w:t>$435</w:t>
            </w:r>
          </w:p>
        </w:tc>
      </w:tr>
      <w:tr w:rsidR="00B8298D" w:rsidRPr="00945F41" w14:paraId="060E074E" w14:textId="77777777" w:rsidTr="00310FD7">
        <w:trPr>
          <w:jc w:val="center"/>
        </w:trPr>
        <w:tc>
          <w:tcPr>
            <w:tcW w:w="7470" w:type="dxa"/>
            <w:gridSpan w:val="6"/>
            <w:tcBorders>
              <w:top w:val="nil"/>
              <w:left w:val="single" w:sz="4" w:space="0" w:color="auto"/>
              <w:bottom w:val="single" w:sz="4" w:space="0" w:color="auto"/>
              <w:right w:val="double" w:sz="4" w:space="0" w:color="auto"/>
            </w:tcBorders>
            <w:shd w:val="clear" w:color="auto" w:fill="auto"/>
            <w:vAlign w:val="center"/>
          </w:tcPr>
          <w:p w14:paraId="5C8F628A" w14:textId="77777777" w:rsidR="00B8298D" w:rsidRPr="000F2A3A" w:rsidRDefault="00B8298D" w:rsidP="00874EA2">
            <w:pPr>
              <w:rPr>
                <w:rFonts w:ascii="Arial Narrow" w:hAnsi="Arial Narrow" w:cs="Calibri"/>
                <w:color w:val="000000"/>
                <w:sz w:val="18"/>
                <w:szCs w:val="18"/>
              </w:rPr>
            </w:pPr>
            <w:r w:rsidRPr="000F2A3A">
              <w:rPr>
                <w:rFonts w:ascii="Arial Narrow" w:hAnsi="Arial Narrow" w:cs="Calibri"/>
                <w:color w:val="000000"/>
                <w:sz w:val="18"/>
                <w:szCs w:val="18"/>
              </w:rPr>
              <w:t>Subtotal, Changes to Reporting Activities</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03C43F7F" w14:textId="77777777" w:rsidR="00B8298D" w:rsidRPr="00874EA2" w:rsidRDefault="00B8298D" w:rsidP="00B8298D">
            <w:pPr>
              <w:jc w:val="right"/>
              <w:rPr>
                <w:rFonts w:ascii="Arial Narrow" w:hAnsi="Arial Narrow" w:cs="Calibri"/>
                <w:b/>
                <w:color w:val="000000"/>
                <w:sz w:val="18"/>
                <w:szCs w:val="18"/>
              </w:rPr>
            </w:pPr>
            <w:r w:rsidRPr="00874EA2">
              <w:rPr>
                <w:rFonts w:ascii="Arial Narrow" w:hAnsi="Arial Narrow" w:cs="Calibri"/>
                <w:color w:val="000000"/>
                <w:sz w:val="18"/>
                <w:szCs w:val="18"/>
              </w:rPr>
              <w:t>49,397</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1AC4AC2D" w14:textId="77777777" w:rsidR="00B8298D" w:rsidRPr="00874EA2" w:rsidRDefault="00B8298D" w:rsidP="00B8298D">
            <w:pPr>
              <w:jc w:val="right"/>
              <w:rPr>
                <w:rFonts w:ascii="Arial Narrow" w:hAnsi="Arial Narrow" w:cs="Calibri"/>
                <w:b/>
                <w:color w:val="000000"/>
                <w:sz w:val="18"/>
                <w:szCs w:val="18"/>
              </w:rPr>
            </w:pPr>
            <w:r w:rsidRPr="00874EA2">
              <w:rPr>
                <w:rFonts w:ascii="Arial Narrow" w:hAnsi="Arial Narrow" w:cs="Calibri"/>
                <w:color w:val="000000"/>
                <w:sz w:val="18"/>
                <w:szCs w:val="18"/>
              </w:rPr>
              <w:t>$3,834,881</w:t>
            </w:r>
          </w:p>
        </w:tc>
      </w:tr>
      <w:tr w:rsidR="00B8298D" w:rsidRPr="00945F41" w14:paraId="644AB15E" w14:textId="77777777" w:rsidTr="00310FD7">
        <w:trPr>
          <w:jc w:val="center"/>
        </w:trPr>
        <w:tc>
          <w:tcPr>
            <w:tcW w:w="9630" w:type="dxa"/>
            <w:gridSpan w:val="8"/>
            <w:tcBorders>
              <w:top w:val="nil"/>
              <w:left w:val="single" w:sz="4" w:space="0" w:color="auto"/>
              <w:bottom w:val="single" w:sz="4" w:space="0" w:color="auto"/>
              <w:right w:val="single" w:sz="4" w:space="0" w:color="auto"/>
            </w:tcBorders>
            <w:shd w:val="clear" w:color="auto" w:fill="auto"/>
            <w:vAlign w:val="center"/>
          </w:tcPr>
          <w:p w14:paraId="633ADD5A" w14:textId="77777777" w:rsidR="00B8298D" w:rsidRPr="000F2A3A" w:rsidRDefault="00B8298D" w:rsidP="00B8298D">
            <w:pPr>
              <w:rPr>
                <w:rFonts w:ascii="Arial Narrow" w:eastAsia="Times New Roman" w:hAnsi="Arial Narrow" w:cs="Calibri"/>
                <w:b/>
                <w:color w:val="000000"/>
                <w:sz w:val="18"/>
                <w:szCs w:val="18"/>
              </w:rPr>
            </w:pPr>
            <w:r w:rsidRPr="000F2A3A">
              <w:rPr>
                <w:rFonts w:ascii="Arial Narrow" w:eastAsia="Times New Roman" w:hAnsi="Arial Narrow" w:cs="Calibri"/>
                <w:b/>
                <w:color w:val="000000"/>
                <w:sz w:val="18"/>
                <w:szCs w:val="18"/>
              </w:rPr>
              <w:t>Changes to Reporting Universe</w:t>
            </w:r>
          </w:p>
        </w:tc>
      </w:tr>
      <w:tr w:rsidR="00B8298D" w:rsidRPr="00945F41" w14:paraId="2B935578"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hideMark/>
          </w:tcPr>
          <w:p w14:paraId="20833DAA" w14:textId="23265FD3" w:rsidR="00B8298D" w:rsidRPr="00D3042C" w:rsidRDefault="00B8298D" w:rsidP="00B8298D">
            <w:pP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Byproduct Exemptions</w:t>
            </w:r>
          </w:p>
        </w:tc>
        <w:tc>
          <w:tcPr>
            <w:tcW w:w="973" w:type="dxa"/>
            <w:tcBorders>
              <w:top w:val="nil"/>
              <w:left w:val="nil"/>
              <w:bottom w:val="single" w:sz="4" w:space="0" w:color="auto"/>
              <w:right w:val="single" w:sz="4" w:space="0" w:color="auto"/>
            </w:tcBorders>
            <w:shd w:val="clear" w:color="auto" w:fill="auto"/>
            <w:noWrap/>
            <w:vAlign w:val="center"/>
            <w:hideMark/>
          </w:tcPr>
          <w:p w14:paraId="65E1666B"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601 </w:t>
            </w:r>
          </w:p>
        </w:tc>
        <w:tc>
          <w:tcPr>
            <w:tcW w:w="973" w:type="dxa"/>
            <w:tcBorders>
              <w:top w:val="nil"/>
              <w:left w:val="nil"/>
              <w:bottom w:val="single" w:sz="4" w:space="0" w:color="auto"/>
              <w:right w:val="double" w:sz="4" w:space="0" w:color="auto"/>
            </w:tcBorders>
            <w:shd w:val="clear" w:color="auto" w:fill="auto"/>
            <w:noWrap/>
            <w:vAlign w:val="center"/>
            <w:hideMark/>
          </w:tcPr>
          <w:p w14:paraId="1322F18A"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531 </w:t>
            </w:r>
          </w:p>
        </w:tc>
        <w:tc>
          <w:tcPr>
            <w:tcW w:w="973" w:type="dxa"/>
            <w:tcBorders>
              <w:top w:val="nil"/>
              <w:left w:val="double" w:sz="4" w:space="0" w:color="auto"/>
              <w:bottom w:val="single" w:sz="4" w:space="0" w:color="auto"/>
              <w:right w:val="single" w:sz="4" w:space="0" w:color="auto"/>
            </w:tcBorders>
            <w:shd w:val="clear" w:color="auto" w:fill="FFFFFF" w:themeFill="background1"/>
            <w:noWrap/>
            <w:vAlign w:val="center"/>
            <w:hideMark/>
          </w:tcPr>
          <w:p w14:paraId="3E98E65E"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41" w:type="dxa"/>
            <w:tcBorders>
              <w:top w:val="nil"/>
              <w:left w:val="nil"/>
              <w:bottom w:val="single" w:sz="4" w:space="0" w:color="auto"/>
              <w:right w:val="double" w:sz="4" w:space="0" w:color="auto"/>
            </w:tcBorders>
            <w:shd w:val="clear" w:color="auto" w:fill="FFFFFF" w:themeFill="background1"/>
            <w:noWrap/>
            <w:vAlign w:val="center"/>
            <w:hideMark/>
          </w:tcPr>
          <w:p w14:paraId="0ACA7693"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00" w:type="dxa"/>
            <w:tcBorders>
              <w:top w:val="nil"/>
              <w:left w:val="double" w:sz="4" w:space="0" w:color="auto"/>
              <w:bottom w:val="single" w:sz="4" w:space="0" w:color="auto"/>
              <w:right w:val="single" w:sz="4" w:space="0" w:color="auto"/>
            </w:tcBorders>
            <w:shd w:val="clear" w:color="auto" w:fill="auto"/>
            <w:noWrap/>
            <w:vAlign w:val="center"/>
            <w:hideMark/>
          </w:tcPr>
          <w:p w14:paraId="14339163" w14:textId="77777777" w:rsidR="00B8298D" w:rsidRPr="000626DB" w:rsidRDefault="00B8298D" w:rsidP="00B8298D">
            <w:pPr>
              <w:jc w:val="right"/>
              <w:rPr>
                <w:rFonts w:ascii="Arial Narrow" w:eastAsia="Times New Roman" w:hAnsi="Arial Narrow" w:cs="Calibri"/>
                <w:color w:val="000000" w:themeColor="text1"/>
                <w:sz w:val="18"/>
                <w:szCs w:val="18"/>
              </w:rPr>
            </w:pPr>
            <w:r w:rsidRPr="000626DB">
              <w:rPr>
                <w:rFonts w:ascii="Arial Narrow" w:eastAsia="Times New Roman" w:hAnsi="Arial Narrow" w:cs="Calibri"/>
                <w:color w:val="000000" w:themeColor="text1"/>
                <w:sz w:val="18"/>
                <w:szCs w:val="18"/>
              </w:rPr>
              <w:t>-70,271</w:t>
            </w:r>
          </w:p>
        </w:tc>
        <w:tc>
          <w:tcPr>
            <w:tcW w:w="1260" w:type="dxa"/>
            <w:tcBorders>
              <w:top w:val="nil"/>
              <w:left w:val="nil"/>
              <w:bottom w:val="single" w:sz="4" w:space="0" w:color="auto"/>
              <w:right w:val="single" w:sz="4" w:space="0" w:color="auto"/>
            </w:tcBorders>
            <w:shd w:val="clear" w:color="auto" w:fill="auto"/>
            <w:noWrap/>
            <w:vAlign w:val="bottom"/>
            <w:hideMark/>
          </w:tcPr>
          <w:p w14:paraId="195D4E58" w14:textId="77777777" w:rsidR="00B8298D" w:rsidRPr="001D5EBB" w:rsidRDefault="00B8298D" w:rsidP="00B8298D">
            <w:pPr>
              <w:jc w:val="right"/>
              <w:rPr>
                <w:rFonts w:ascii="Arial Narrow" w:eastAsia="Times New Roman" w:hAnsi="Arial Narrow" w:cs="Calibri"/>
                <w:color w:val="000000"/>
                <w:sz w:val="18"/>
                <w:szCs w:val="18"/>
              </w:rPr>
            </w:pPr>
            <w:r w:rsidRPr="00FC1700">
              <w:rPr>
                <w:rFonts w:ascii="Arial Narrow" w:hAnsi="Arial Narrow" w:cs="Calibri"/>
                <w:color w:val="000000"/>
                <w:sz w:val="18"/>
                <w:szCs w:val="18"/>
              </w:rPr>
              <w:t>-$5,453,041</w:t>
            </w:r>
          </w:p>
        </w:tc>
      </w:tr>
      <w:tr w:rsidR="00B8298D" w:rsidRPr="00945F41" w14:paraId="79B57C3E"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hideMark/>
          </w:tcPr>
          <w:p w14:paraId="4E42ABB8" w14:textId="77777777" w:rsidR="00B8298D" w:rsidRPr="00D3042C" w:rsidRDefault="00B8298D" w:rsidP="00B8298D">
            <w:pP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Category Reporting</w:t>
            </w:r>
          </w:p>
        </w:tc>
        <w:tc>
          <w:tcPr>
            <w:tcW w:w="973" w:type="dxa"/>
            <w:tcBorders>
              <w:top w:val="nil"/>
              <w:left w:val="nil"/>
              <w:bottom w:val="single" w:sz="4" w:space="0" w:color="auto"/>
              <w:right w:val="single" w:sz="4" w:space="0" w:color="auto"/>
            </w:tcBorders>
            <w:shd w:val="clear" w:color="auto" w:fill="auto"/>
            <w:noWrap/>
            <w:vAlign w:val="center"/>
            <w:hideMark/>
          </w:tcPr>
          <w:p w14:paraId="6EC2847D"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373 </w:t>
            </w:r>
          </w:p>
        </w:tc>
        <w:tc>
          <w:tcPr>
            <w:tcW w:w="973" w:type="dxa"/>
            <w:tcBorders>
              <w:top w:val="nil"/>
              <w:left w:val="nil"/>
              <w:bottom w:val="single" w:sz="4" w:space="0" w:color="auto"/>
              <w:right w:val="double" w:sz="4" w:space="0" w:color="auto"/>
            </w:tcBorders>
            <w:shd w:val="clear" w:color="auto" w:fill="auto"/>
            <w:noWrap/>
            <w:vAlign w:val="center"/>
            <w:hideMark/>
          </w:tcPr>
          <w:p w14:paraId="376196AA"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373 </w:t>
            </w:r>
          </w:p>
        </w:tc>
        <w:tc>
          <w:tcPr>
            <w:tcW w:w="973"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35DDB6EC"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41" w:type="dxa"/>
            <w:tcBorders>
              <w:top w:val="single" w:sz="4" w:space="0" w:color="auto"/>
              <w:left w:val="nil"/>
              <w:bottom w:val="single" w:sz="4" w:space="0" w:color="auto"/>
              <w:right w:val="double" w:sz="4" w:space="0" w:color="auto"/>
            </w:tcBorders>
            <w:shd w:val="clear" w:color="auto" w:fill="FFFFFF" w:themeFill="background1"/>
            <w:noWrap/>
            <w:vAlign w:val="center"/>
            <w:hideMark/>
          </w:tcPr>
          <w:p w14:paraId="15BF5A4C"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center"/>
            <w:hideMark/>
          </w:tcPr>
          <w:p w14:paraId="68F7D1ED" w14:textId="77777777" w:rsidR="00B8298D" w:rsidRPr="000626DB" w:rsidRDefault="00B8298D" w:rsidP="00B8298D">
            <w:pPr>
              <w:jc w:val="right"/>
              <w:rPr>
                <w:rFonts w:ascii="Arial Narrow" w:eastAsia="Times New Roman" w:hAnsi="Arial Narrow" w:cs="Calibri"/>
                <w:color w:val="000000" w:themeColor="text1"/>
                <w:sz w:val="18"/>
                <w:szCs w:val="18"/>
              </w:rPr>
            </w:pPr>
            <w:r w:rsidRPr="000626DB">
              <w:rPr>
                <w:rFonts w:ascii="Arial Narrow" w:eastAsia="Times New Roman" w:hAnsi="Arial Narrow" w:cs="Calibri"/>
                <w:color w:val="000000" w:themeColor="text1"/>
                <w:sz w:val="18"/>
                <w:szCs w:val="18"/>
              </w:rPr>
              <w:t>-13,684</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63D5368" w14:textId="77777777" w:rsidR="00B8298D" w:rsidRPr="001D5EBB" w:rsidRDefault="00B8298D" w:rsidP="00B8298D">
            <w:pPr>
              <w:jc w:val="right"/>
              <w:rPr>
                <w:rFonts w:ascii="Arial Narrow" w:eastAsia="Times New Roman" w:hAnsi="Arial Narrow" w:cs="Calibri"/>
                <w:color w:val="000000"/>
                <w:sz w:val="18"/>
                <w:szCs w:val="18"/>
              </w:rPr>
            </w:pPr>
            <w:r w:rsidRPr="00FC1700">
              <w:rPr>
                <w:rFonts w:ascii="Arial Narrow" w:hAnsi="Arial Narrow" w:cs="Calibri"/>
                <w:color w:val="000000"/>
                <w:sz w:val="18"/>
                <w:szCs w:val="18"/>
              </w:rPr>
              <w:t>-$1,062,355</w:t>
            </w:r>
          </w:p>
        </w:tc>
      </w:tr>
      <w:tr w:rsidR="00B8298D" w:rsidRPr="00945F41" w14:paraId="45092DE5"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hideMark/>
          </w:tcPr>
          <w:p w14:paraId="426C50F5" w14:textId="77777777" w:rsidR="00B8298D" w:rsidRPr="00D3042C"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D3042C">
              <w:rPr>
                <w:rFonts w:ascii="Arial Narrow" w:eastAsia="Times New Roman" w:hAnsi="Arial Narrow" w:cs="Calibri"/>
                <w:color w:val="000000"/>
                <w:sz w:val="18"/>
                <w:szCs w:val="18"/>
              </w:rPr>
              <w:t>8(a) SMD Update</w:t>
            </w:r>
          </w:p>
        </w:tc>
        <w:tc>
          <w:tcPr>
            <w:tcW w:w="973" w:type="dxa"/>
            <w:tcBorders>
              <w:top w:val="nil"/>
              <w:left w:val="nil"/>
              <w:bottom w:val="single" w:sz="4" w:space="0" w:color="auto"/>
              <w:right w:val="single" w:sz="4" w:space="0" w:color="auto"/>
            </w:tcBorders>
            <w:shd w:val="clear" w:color="auto" w:fill="auto"/>
            <w:noWrap/>
            <w:vAlign w:val="center"/>
            <w:hideMark/>
          </w:tcPr>
          <w:p w14:paraId="506A9959"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5,627 </w:t>
            </w:r>
          </w:p>
        </w:tc>
        <w:tc>
          <w:tcPr>
            <w:tcW w:w="973" w:type="dxa"/>
            <w:tcBorders>
              <w:top w:val="nil"/>
              <w:left w:val="nil"/>
              <w:bottom w:val="single" w:sz="4" w:space="0" w:color="auto"/>
              <w:right w:val="double" w:sz="4" w:space="0" w:color="auto"/>
            </w:tcBorders>
            <w:shd w:val="clear" w:color="auto" w:fill="auto"/>
            <w:noWrap/>
            <w:vAlign w:val="center"/>
            <w:hideMark/>
          </w:tcPr>
          <w:p w14:paraId="2489DD13"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5,534 </w:t>
            </w:r>
          </w:p>
        </w:tc>
        <w:tc>
          <w:tcPr>
            <w:tcW w:w="973"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57F2F166"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41" w:type="dxa"/>
            <w:tcBorders>
              <w:top w:val="single" w:sz="4" w:space="0" w:color="auto"/>
              <w:left w:val="nil"/>
              <w:bottom w:val="single" w:sz="4" w:space="0" w:color="auto"/>
              <w:right w:val="double" w:sz="4" w:space="0" w:color="auto"/>
            </w:tcBorders>
            <w:shd w:val="clear" w:color="auto" w:fill="FFFFFF" w:themeFill="background1"/>
            <w:noWrap/>
            <w:vAlign w:val="center"/>
            <w:hideMark/>
          </w:tcPr>
          <w:p w14:paraId="1E23CB8B"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5E446624" w14:textId="77777777" w:rsidR="00B8298D" w:rsidRPr="001D5EBB" w:rsidRDefault="00B8298D" w:rsidP="00B8298D">
            <w:pPr>
              <w:jc w:val="right"/>
              <w:rPr>
                <w:rFonts w:ascii="Arial Narrow" w:eastAsia="Times New Roman" w:hAnsi="Arial Narrow" w:cs="Calibri"/>
                <w:color w:val="000000" w:themeColor="text1"/>
                <w:sz w:val="18"/>
                <w:szCs w:val="18"/>
              </w:rPr>
            </w:pPr>
            <w:r w:rsidRPr="00FC1700">
              <w:rPr>
                <w:rFonts w:ascii="Arial Narrow" w:hAnsi="Arial Narrow" w:cs="Calibri"/>
                <w:color w:val="000000"/>
                <w:sz w:val="18"/>
                <w:szCs w:val="18"/>
              </w:rPr>
              <w:t>-65,736</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10F5A55" w14:textId="77777777" w:rsidR="00B8298D" w:rsidRPr="001D5EBB" w:rsidRDefault="00B8298D" w:rsidP="00B8298D">
            <w:pPr>
              <w:jc w:val="right"/>
              <w:rPr>
                <w:rFonts w:ascii="Arial Narrow" w:eastAsia="Times New Roman" w:hAnsi="Arial Narrow" w:cs="Calibri"/>
                <w:color w:val="000000"/>
                <w:sz w:val="18"/>
                <w:szCs w:val="18"/>
              </w:rPr>
            </w:pPr>
            <w:r w:rsidRPr="00FC1700">
              <w:rPr>
                <w:rFonts w:ascii="Arial Narrow" w:hAnsi="Arial Narrow" w:cs="Calibri"/>
                <w:color w:val="000000"/>
                <w:sz w:val="18"/>
                <w:szCs w:val="18"/>
              </w:rPr>
              <w:t>-$5,100,191</w:t>
            </w:r>
          </w:p>
        </w:tc>
      </w:tr>
      <w:tr w:rsidR="00B8298D" w:rsidRPr="00945F41" w14:paraId="3BB23C27" w14:textId="77777777" w:rsidTr="00310FD7">
        <w:trPr>
          <w:jc w:val="center"/>
        </w:trPr>
        <w:tc>
          <w:tcPr>
            <w:tcW w:w="3610" w:type="dxa"/>
            <w:gridSpan w:val="2"/>
            <w:tcBorders>
              <w:top w:val="nil"/>
              <w:left w:val="single" w:sz="4" w:space="0" w:color="auto"/>
              <w:bottom w:val="single" w:sz="4" w:space="0" w:color="auto"/>
              <w:right w:val="single" w:sz="4" w:space="0" w:color="auto"/>
            </w:tcBorders>
            <w:shd w:val="clear" w:color="auto" w:fill="auto"/>
            <w:vAlign w:val="center"/>
            <w:hideMark/>
          </w:tcPr>
          <w:p w14:paraId="0C327AD2" w14:textId="77777777" w:rsidR="00B8298D" w:rsidRPr="00D3042C"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D3042C">
              <w:rPr>
                <w:rFonts w:ascii="Arial Narrow" w:eastAsia="Times New Roman" w:hAnsi="Arial Narrow" w:cs="Calibri"/>
                <w:color w:val="000000"/>
                <w:sz w:val="18"/>
                <w:szCs w:val="18"/>
              </w:rPr>
              <w:t>8(a) SGD</w:t>
            </w:r>
          </w:p>
        </w:tc>
        <w:tc>
          <w:tcPr>
            <w:tcW w:w="973" w:type="dxa"/>
            <w:tcBorders>
              <w:top w:val="nil"/>
              <w:left w:val="nil"/>
              <w:bottom w:val="single" w:sz="4" w:space="0" w:color="auto"/>
              <w:right w:val="single" w:sz="4" w:space="0" w:color="auto"/>
            </w:tcBorders>
            <w:shd w:val="clear" w:color="auto" w:fill="auto"/>
            <w:noWrap/>
            <w:vAlign w:val="center"/>
            <w:hideMark/>
          </w:tcPr>
          <w:p w14:paraId="079E73F4"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33 </w:t>
            </w:r>
          </w:p>
        </w:tc>
        <w:tc>
          <w:tcPr>
            <w:tcW w:w="973" w:type="dxa"/>
            <w:tcBorders>
              <w:top w:val="nil"/>
              <w:left w:val="nil"/>
              <w:bottom w:val="single" w:sz="4" w:space="0" w:color="auto"/>
              <w:right w:val="double" w:sz="4" w:space="0" w:color="auto"/>
            </w:tcBorders>
            <w:shd w:val="clear" w:color="auto" w:fill="auto"/>
            <w:noWrap/>
            <w:vAlign w:val="center"/>
            <w:hideMark/>
          </w:tcPr>
          <w:p w14:paraId="64D30AD1" w14:textId="77777777" w:rsidR="00B8298D" w:rsidRPr="00D3042C" w:rsidRDefault="00B8298D" w:rsidP="00B8298D">
            <w:pPr>
              <w:jc w:val="right"/>
              <w:rPr>
                <w:rFonts w:ascii="Arial Narrow" w:eastAsia="Times New Roman" w:hAnsi="Arial Narrow" w:cs="Calibri"/>
                <w:color w:val="000000" w:themeColor="text1"/>
                <w:sz w:val="18"/>
                <w:szCs w:val="18"/>
              </w:rPr>
            </w:pPr>
            <w:r w:rsidRPr="00D3042C">
              <w:rPr>
                <w:rFonts w:ascii="Arial Narrow" w:eastAsia="Times New Roman" w:hAnsi="Arial Narrow" w:cs="Calibri"/>
                <w:color w:val="000000" w:themeColor="text1"/>
                <w:sz w:val="18"/>
                <w:szCs w:val="18"/>
              </w:rPr>
              <w:t xml:space="preserve">29 </w:t>
            </w:r>
          </w:p>
        </w:tc>
        <w:tc>
          <w:tcPr>
            <w:tcW w:w="973" w:type="dxa"/>
            <w:tcBorders>
              <w:top w:val="single" w:sz="4" w:space="0" w:color="auto"/>
              <w:left w:val="double" w:sz="4" w:space="0" w:color="auto"/>
              <w:bottom w:val="single" w:sz="4" w:space="0" w:color="auto"/>
              <w:right w:val="single" w:sz="4" w:space="0" w:color="auto"/>
            </w:tcBorders>
            <w:shd w:val="clear" w:color="auto" w:fill="FFFFFF" w:themeFill="background1"/>
            <w:noWrap/>
            <w:vAlign w:val="center"/>
            <w:hideMark/>
          </w:tcPr>
          <w:p w14:paraId="0F52D017"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41" w:type="dxa"/>
            <w:tcBorders>
              <w:top w:val="single" w:sz="4" w:space="0" w:color="auto"/>
              <w:left w:val="nil"/>
              <w:bottom w:val="single" w:sz="4" w:space="0" w:color="auto"/>
              <w:right w:val="double" w:sz="4" w:space="0" w:color="auto"/>
            </w:tcBorders>
            <w:shd w:val="clear" w:color="auto" w:fill="FFFFFF" w:themeFill="background1"/>
            <w:noWrap/>
            <w:vAlign w:val="center"/>
            <w:hideMark/>
          </w:tcPr>
          <w:p w14:paraId="7705C5DD" w14:textId="77777777" w:rsidR="00B8298D" w:rsidRPr="00D3042C" w:rsidRDefault="00B8298D" w:rsidP="00B8298D">
            <w:pPr>
              <w:jc w:val="center"/>
              <w:rPr>
                <w:rFonts w:ascii="Arial Narrow" w:eastAsia="Times New Roman" w:hAnsi="Arial Narrow" w:cs="Calibri"/>
                <w:color w:val="000000"/>
                <w:sz w:val="18"/>
                <w:szCs w:val="18"/>
              </w:rPr>
            </w:pPr>
            <w:r w:rsidRPr="00D3042C">
              <w:rPr>
                <w:rFonts w:ascii="Arial Narrow" w:eastAsia="Times New Roman" w:hAnsi="Arial Narrow" w:cs="Calibri"/>
                <w:color w:val="000000"/>
                <w:sz w:val="18"/>
                <w:szCs w:val="18"/>
              </w:rPr>
              <w:t>N/A</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hideMark/>
          </w:tcPr>
          <w:p w14:paraId="3384A260" w14:textId="77777777" w:rsidR="00B8298D" w:rsidRPr="000626DB" w:rsidRDefault="00B8298D" w:rsidP="00B8298D">
            <w:pPr>
              <w:jc w:val="right"/>
              <w:rPr>
                <w:rFonts w:ascii="Arial Narrow" w:eastAsia="Times New Roman" w:hAnsi="Arial Narrow" w:cs="Calibri"/>
                <w:color w:val="000000" w:themeColor="text1"/>
                <w:sz w:val="18"/>
                <w:szCs w:val="18"/>
              </w:rPr>
            </w:pPr>
            <w:r w:rsidRPr="00FC1700">
              <w:rPr>
                <w:rFonts w:ascii="Arial Narrow" w:hAnsi="Arial Narrow" w:cs="Calibri"/>
                <w:color w:val="000000"/>
                <w:sz w:val="18"/>
                <w:szCs w:val="18"/>
              </w:rPr>
              <w:t>-510</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025616B8" w14:textId="77777777" w:rsidR="00B8298D" w:rsidRPr="001D5EBB" w:rsidRDefault="00B8298D" w:rsidP="00B8298D">
            <w:pPr>
              <w:jc w:val="right"/>
              <w:rPr>
                <w:rFonts w:ascii="Arial Narrow" w:eastAsia="Times New Roman" w:hAnsi="Arial Narrow" w:cs="Calibri"/>
                <w:color w:val="000000"/>
                <w:sz w:val="18"/>
                <w:szCs w:val="18"/>
              </w:rPr>
            </w:pPr>
            <w:r w:rsidRPr="00FC1700">
              <w:rPr>
                <w:rFonts w:ascii="Arial Narrow" w:hAnsi="Arial Narrow" w:cs="Calibri"/>
                <w:color w:val="000000"/>
                <w:sz w:val="18"/>
                <w:szCs w:val="18"/>
              </w:rPr>
              <w:t>-$39,460</w:t>
            </w:r>
          </w:p>
        </w:tc>
      </w:tr>
      <w:tr w:rsidR="00B8298D" w:rsidRPr="00945F41" w14:paraId="65905D01" w14:textId="77777777" w:rsidTr="00310FD7">
        <w:trPr>
          <w:jc w:val="center"/>
        </w:trPr>
        <w:tc>
          <w:tcPr>
            <w:tcW w:w="7470"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3FBA7D8F" w14:textId="77777777" w:rsidR="00B8298D" w:rsidRPr="000F2A3A" w:rsidRDefault="00B8298D" w:rsidP="00874EA2">
            <w:pPr>
              <w:rPr>
                <w:rFonts w:ascii="Arial Narrow" w:eastAsia="Times New Roman" w:hAnsi="Arial Narrow" w:cs="Calibri"/>
                <w:color w:val="000000"/>
                <w:sz w:val="18"/>
                <w:szCs w:val="18"/>
              </w:rPr>
            </w:pPr>
            <w:r w:rsidRPr="000F2A3A">
              <w:rPr>
                <w:rFonts w:ascii="Arial Narrow" w:eastAsia="Times New Roman" w:hAnsi="Arial Narrow" w:cs="Calibri"/>
                <w:color w:val="000000"/>
                <w:sz w:val="18"/>
                <w:szCs w:val="18"/>
              </w:rPr>
              <w:t>Subtotal, Changes to Reporting Universe</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706FBC2D" w14:textId="77777777" w:rsidR="00B8298D" w:rsidRPr="000F2A3A" w:rsidRDefault="00B8298D" w:rsidP="00B8298D">
            <w:pPr>
              <w:jc w:val="right"/>
              <w:rPr>
                <w:rFonts w:ascii="Arial Narrow" w:hAnsi="Arial Narrow" w:cs="Calibri"/>
                <w:color w:val="000000"/>
                <w:sz w:val="18"/>
                <w:szCs w:val="18"/>
              </w:rPr>
            </w:pPr>
            <w:r w:rsidRPr="00874EA2">
              <w:rPr>
                <w:rFonts w:ascii="Arial Narrow" w:hAnsi="Arial Narrow" w:cs="Calibri"/>
                <w:color w:val="000000"/>
                <w:sz w:val="18"/>
                <w:szCs w:val="18"/>
              </w:rPr>
              <w:t>-150,201</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0992F367" w14:textId="77777777" w:rsidR="00B8298D" w:rsidRPr="000F2A3A" w:rsidRDefault="00B8298D" w:rsidP="00B8298D">
            <w:pPr>
              <w:jc w:val="right"/>
              <w:rPr>
                <w:rFonts w:ascii="Arial Narrow" w:hAnsi="Arial Narrow" w:cs="Calibri"/>
                <w:color w:val="000000"/>
                <w:sz w:val="18"/>
                <w:szCs w:val="18"/>
              </w:rPr>
            </w:pPr>
            <w:r w:rsidRPr="00874EA2">
              <w:rPr>
                <w:rFonts w:ascii="Arial Narrow" w:hAnsi="Arial Narrow" w:cs="Calibri"/>
                <w:color w:val="000000"/>
                <w:sz w:val="18"/>
                <w:szCs w:val="18"/>
              </w:rPr>
              <w:t>-$11,655,047</w:t>
            </w:r>
          </w:p>
        </w:tc>
      </w:tr>
      <w:tr w:rsidR="00B8298D" w:rsidRPr="00945F41" w14:paraId="58E8120F" w14:textId="77777777" w:rsidTr="00310FD7">
        <w:trPr>
          <w:jc w:val="center"/>
        </w:trPr>
        <w:tc>
          <w:tcPr>
            <w:tcW w:w="7470" w:type="dxa"/>
            <w:gridSpan w:val="6"/>
            <w:tcBorders>
              <w:top w:val="single" w:sz="4" w:space="0" w:color="auto"/>
              <w:left w:val="single" w:sz="4" w:space="0" w:color="auto"/>
              <w:bottom w:val="single" w:sz="4" w:space="0" w:color="auto"/>
              <w:right w:val="double" w:sz="4" w:space="0" w:color="auto"/>
            </w:tcBorders>
            <w:shd w:val="clear" w:color="auto" w:fill="auto"/>
            <w:vAlign w:val="center"/>
          </w:tcPr>
          <w:p w14:paraId="6E4CDE1B" w14:textId="77777777" w:rsidR="00B8298D" w:rsidRPr="00874EA2" w:rsidRDefault="00B8298D" w:rsidP="00874EA2">
            <w:pPr>
              <w:rPr>
                <w:rFonts w:ascii="Arial Narrow" w:eastAsia="Times New Roman" w:hAnsi="Arial Narrow" w:cs="Calibri"/>
                <w:b/>
                <w:color w:val="000000"/>
                <w:sz w:val="18"/>
                <w:szCs w:val="18"/>
              </w:rPr>
            </w:pPr>
            <w:r w:rsidRPr="00874EA2">
              <w:rPr>
                <w:rFonts w:ascii="Arial Narrow" w:eastAsia="Times New Roman" w:hAnsi="Arial Narrow" w:cs="Calibri"/>
                <w:b/>
                <w:color w:val="000000"/>
                <w:sz w:val="18"/>
                <w:szCs w:val="18"/>
              </w:rPr>
              <w:t>Net Incremental Change</w:t>
            </w:r>
          </w:p>
        </w:tc>
        <w:tc>
          <w:tcPr>
            <w:tcW w:w="900" w:type="dxa"/>
            <w:tcBorders>
              <w:top w:val="single" w:sz="4" w:space="0" w:color="auto"/>
              <w:left w:val="double" w:sz="4" w:space="0" w:color="auto"/>
              <w:bottom w:val="single" w:sz="4" w:space="0" w:color="auto"/>
              <w:right w:val="single" w:sz="4" w:space="0" w:color="auto"/>
            </w:tcBorders>
            <w:shd w:val="clear" w:color="auto" w:fill="auto"/>
            <w:noWrap/>
            <w:vAlign w:val="bottom"/>
          </w:tcPr>
          <w:p w14:paraId="15F19D7C" w14:textId="77777777" w:rsidR="00B8298D" w:rsidRPr="000F2A3A" w:rsidRDefault="00B8298D" w:rsidP="00B8298D">
            <w:pPr>
              <w:jc w:val="right"/>
              <w:rPr>
                <w:rFonts w:ascii="Arial Narrow" w:hAnsi="Arial Narrow" w:cs="Calibri"/>
                <w:color w:val="000000"/>
                <w:sz w:val="18"/>
                <w:szCs w:val="18"/>
              </w:rPr>
            </w:pPr>
            <w:r w:rsidRPr="00874EA2">
              <w:rPr>
                <w:rFonts w:ascii="Arial Narrow" w:hAnsi="Arial Narrow" w:cs="Calibri"/>
                <w:b/>
                <w:bCs/>
                <w:color w:val="000000"/>
                <w:sz w:val="18"/>
                <w:szCs w:val="18"/>
              </w:rPr>
              <w:t>-100,804</w:t>
            </w:r>
          </w:p>
        </w:tc>
        <w:tc>
          <w:tcPr>
            <w:tcW w:w="1260" w:type="dxa"/>
            <w:tcBorders>
              <w:top w:val="single" w:sz="4" w:space="0" w:color="auto"/>
              <w:left w:val="nil"/>
              <w:bottom w:val="single" w:sz="4" w:space="0" w:color="auto"/>
              <w:right w:val="single" w:sz="4" w:space="0" w:color="auto"/>
            </w:tcBorders>
            <w:shd w:val="clear" w:color="auto" w:fill="auto"/>
            <w:noWrap/>
            <w:vAlign w:val="bottom"/>
          </w:tcPr>
          <w:p w14:paraId="71335245" w14:textId="77777777" w:rsidR="00B8298D" w:rsidRPr="000F2A3A" w:rsidRDefault="00B8298D" w:rsidP="00B8298D">
            <w:pPr>
              <w:jc w:val="right"/>
              <w:rPr>
                <w:rFonts w:ascii="Arial Narrow" w:hAnsi="Arial Narrow" w:cs="Calibri"/>
                <w:color w:val="000000"/>
                <w:sz w:val="18"/>
                <w:szCs w:val="18"/>
              </w:rPr>
            </w:pPr>
            <w:r w:rsidRPr="00874EA2">
              <w:rPr>
                <w:rFonts w:ascii="Arial Narrow" w:hAnsi="Arial Narrow" w:cs="Calibri"/>
                <w:b/>
                <w:bCs/>
                <w:color w:val="000000"/>
                <w:sz w:val="18"/>
                <w:szCs w:val="18"/>
              </w:rPr>
              <w:t>-$7,820,166</w:t>
            </w:r>
          </w:p>
        </w:tc>
      </w:tr>
      <w:tr w:rsidR="00295027" w:rsidRPr="00945F41" w14:paraId="4246E39A" w14:textId="77777777" w:rsidTr="00310FD7">
        <w:trPr>
          <w:jc w:val="center"/>
        </w:trPr>
        <w:tc>
          <w:tcPr>
            <w:tcW w:w="9630" w:type="dxa"/>
            <w:gridSpan w:val="8"/>
            <w:tcBorders>
              <w:top w:val="single" w:sz="4" w:space="0" w:color="auto"/>
              <w:left w:val="single" w:sz="4" w:space="0" w:color="auto"/>
              <w:right w:val="single" w:sz="4" w:space="0" w:color="auto"/>
            </w:tcBorders>
            <w:shd w:val="clear" w:color="auto" w:fill="auto"/>
          </w:tcPr>
          <w:p w14:paraId="0E8FEB69" w14:textId="176152F7" w:rsidR="00295027" w:rsidRPr="00874EA2" w:rsidRDefault="00295027" w:rsidP="00874EA2">
            <w:pPr>
              <w:rPr>
                <w:rFonts w:ascii="Arial Narrow" w:hAnsi="Arial Narrow" w:cs="Calibri"/>
                <w:bCs/>
                <w:color w:val="000000"/>
                <w:sz w:val="18"/>
                <w:szCs w:val="18"/>
              </w:rPr>
            </w:pPr>
            <w:r w:rsidRPr="00874EA2">
              <w:rPr>
                <w:rFonts w:ascii="Arial Narrow" w:hAnsi="Arial Narrow" w:cs="Calibri"/>
                <w:bCs/>
                <w:color w:val="000000"/>
                <w:sz w:val="18"/>
                <w:szCs w:val="18"/>
              </w:rPr>
              <w:t>Footnote</w:t>
            </w:r>
            <w:r w:rsidR="00BC3475">
              <w:rPr>
                <w:rFonts w:ascii="Arial Narrow" w:hAnsi="Arial Narrow" w:cs="Calibri"/>
                <w:bCs/>
                <w:color w:val="000000"/>
                <w:sz w:val="18"/>
                <w:szCs w:val="18"/>
              </w:rPr>
              <w:t>s</w:t>
            </w:r>
            <w:r w:rsidRPr="00874EA2">
              <w:rPr>
                <w:rFonts w:ascii="Arial Narrow" w:hAnsi="Arial Narrow" w:cs="Calibri"/>
                <w:bCs/>
                <w:color w:val="000000"/>
                <w:sz w:val="18"/>
                <w:szCs w:val="18"/>
              </w:rPr>
              <w:t>:</w:t>
            </w:r>
          </w:p>
        </w:tc>
      </w:tr>
      <w:tr w:rsidR="00565011" w:rsidRPr="00945F41" w14:paraId="6F55F2DC" w14:textId="77777777" w:rsidTr="00310FD7">
        <w:trPr>
          <w:jc w:val="center"/>
        </w:trPr>
        <w:tc>
          <w:tcPr>
            <w:tcW w:w="270" w:type="dxa"/>
            <w:tcBorders>
              <w:left w:val="single" w:sz="4" w:space="0" w:color="auto"/>
            </w:tcBorders>
            <w:shd w:val="clear" w:color="auto" w:fill="auto"/>
          </w:tcPr>
          <w:p w14:paraId="738CB7C5" w14:textId="0B868E9D" w:rsidR="00565011" w:rsidRDefault="00565011">
            <w:pPr>
              <w:jc w:val="right"/>
              <w:rPr>
                <w:rFonts w:ascii="Arial Narrow" w:eastAsia="Times New Roman" w:hAnsi="Arial Narrow" w:cs="Calibri"/>
                <w:b/>
                <w:color w:val="000000"/>
                <w:sz w:val="18"/>
                <w:szCs w:val="18"/>
                <w:vertAlign w:val="superscript"/>
              </w:rPr>
            </w:pPr>
            <w:r>
              <w:rPr>
                <w:rFonts w:ascii="Arial Narrow" w:eastAsia="Times New Roman" w:hAnsi="Arial Narrow" w:cs="Calibri"/>
                <w:b/>
                <w:color w:val="000000"/>
                <w:sz w:val="18"/>
                <w:szCs w:val="18"/>
                <w:vertAlign w:val="superscript"/>
              </w:rPr>
              <w:t>1</w:t>
            </w:r>
          </w:p>
        </w:tc>
        <w:tc>
          <w:tcPr>
            <w:tcW w:w="9360" w:type="dxa"/>
            <w:gridSpan w:val="7"/>
            <w:tcBorders>
              <w:right w:val="single" w:sz="4" w:space="0" w:color="auto"/>
            </w:tcBorders>
            <w:shd w:val="clear" w:color="auto" w:fill="auto"/>
            <w:noWrap/>
          </w:tcPr>
          <w:p w14:paraId="78730363" w14:textId="7430A49C" w:rsidR="00A12FD2" w:rsidRPr="00565011" w:rsidRDefault="007A7147" w:rsidP="00A12FD2">
            <w:pPr>
              <w:rPr>
                <w:rFonts w:ascii="Arial Narrow" w:hAnsi="Arial Narrow" w:cs="Calibri"/>
                <w:bCs/>
                <w:color w:val="000000"/>
                <w:sz w:val="18"/>
                <w:szCs w:val="18"/>
              </w:rPr>
            </w:pPr>
            <w:r w:rsidRPr="007A7147">
              <w:rPr>
                <w:rFonts w:ascii="Arial Narrow" w:hAnsi="Arial Narrow" w:cs="Calibri"/>
                <w:bCs/>
                <w:color w:val="000000"/>
                <w:sz w:val="18"/>
                <w:szCs w:val="18"/>
              </w:rPr>
              <w:t xml:space="preserve">Estimates of incremental until burden </w:t>
            </w:r>
            <w:r>
              <w:rPr>
                <w:rFonts w:ascii="Arial Narrow" w:hAnsi="Arial Narrow" w:cs="Calibri"/>
                <w:bCs/>
                <w:color w:val="000000"/>
                <w:sz w:val="18"/>
                <w:szCs w:val="18"/>
              </w:rPr>
              <w:t xml:space="preserve">and unit cost are back-calculated </w:t>
            </w:r>
            <w:r w:rsidR="00A12FD2">
              <w:rPr>
                <w:rFonts w:ascii="Arial Narrow" w:hAnsi="Arial Narrow" w:cs="Calibri"/>
                <w:bCs/>
                <w:color w:val="000000"/>
                <w:sz w:val="18"/>
                <w:szCs w:val="18"/>
              </w:rPr>
              <w:t>to ensure table presentation consistency</w:t>
            </w:r>
            <w:r w:rsidR="00C3366F">
              <w:rPr>
                <w:rFonts w:ascii="Arial Narrow" w:hAnsi="Arial Narrow" w:cs="Calibri"/>
                <w:bCs/>
                <w:color w:val="000000"/>
                <w:sz w:val="18"/>
                <w:szCs w:val="18"/>
              </w:rPr>
              <w:t>,</w:t>
            </w:r>
            <w:r>
              <w:rPr>
                <w:rFonts w:ascii="Arial Narrow" w:hAnsi="Arial Narrow" w:cs="Calibri"/>
                <w:bCs/>
                <w:color w:val="000000"/>
                <w:sz w:val="18"/>
                <w:szCs w:val="18"/>
              </w:rPr>
              <w:t xml:space="preserve"> and therefore differ slightly from </w:t>
            </w:r>
            <w:r w:rsidR="00A12FD2">
              <w:rPr>
                <w:rFonts w:ascii="Arial Narrow" w:hAnsi="Arial Narrow" w:cs="Calibri"/>
                <w:bCs/>
                <w:color w:val="000000"/>
                <w:sz w:val="18"/>
                <w:szCs w:val="18"/>
              </w:rPr>
              <w:t>corresponding estimates</w:t>
            </w:r>
            <w:r>
              <w:rPr>
                <w:rFonts w:ascii="Arial Narrow" w:hAnsi="Arial Narrow" w:cs="Calibri"/>
                <w:bCs/>
                <w:color w:val="000000"/>
                <w:sz w:val="18"/>
                <w:szCs w:val="18"/>
              </w:rPr>
              <w:t xml:space="preserve"> in </w:t>
            </w:r>
            <w:r w:rsidRPr="007A7147">
              <w:rPr>
                <w:rFonts w:ascii="Arial Narrow" w:hAnsi="Arial Narrow" w:cs="Calibri"/>
                <w:bCs/>
                <w:color w:val="000000"/>
                <w:sz w:val="18"/>
                <w:szCs w:val="18"/>
              </w:rPr>
              <w:fldChar w:fldCharType="begin"/>
            </w:r>
            <w:r w:rsidRPr="007A7147">
              <w:rPr>
                <w:rFonts w:ascii="Arial Narrow" w:hAnsi="Arial Narrow" w:cs="Calibri"/>
                <w:bCs/>
                <w:color w:val="000000"/>
                <w:sz w:val="18"/>
                <w:szCs w:val="18"/>
              </w:rPr>
              <w:instrText xml:space="preserve"> REF _Ref526352636 \h  \* MERGEFORMAT </w:instrText>
            </w:r>
            <w:r w:rsidRPr="007A7147">
              <w:rPr>
                <w:rFonts w:ascii="Arial Narrow" w:hAnsi="Arial Narrow" w:cs="Calibri"/>
                <w:bCs/>
                <w:color w:val="000000"/>
                <w:sz w:val="18"/>
                <w:szCs w:val="18"/>
              </w:rPr>
            </w:r>
            <w:r w:rsidRPr="007A7147">
              <w:rPr>
                <w:rFonts w:ascii="Arial Narrow" w:hAnsi="Arial Narrow" w:cs="Calibri"/>
                <w:bCs/>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4</w:t>
            </w:r>
            <w:r w:rsidRPr="007A7147">
              <w:rPr>
                <w:rFonts w:ascii="Arial Narrow" w:hAnsi="Arial Narrow" w:cs="Calibri"/>
                <w:bCs/>
                <w:color w:val="000000"/>
                <w:sz w:val="18"/>
                <w:szCs w:val="18"/>
              </w:rPr>
              <w:fldChar w:fldCharType="end"/>
            </w:r>
            <w:r w:rsidRPr="007A7147">
              <w:rPr>
                <w:rFonts w:ascii="Arial Narrow" w:hAnsi="Arial Narrow" w:cs="Calibri"/>
                <w:bCs/>
                <w:color w:val="000000"/>
                <w:sz w:val="18"/>
                <w:szCs w:val="18"/>
              </w:rPr>
              <w:t xml:space="preserve"> through </w:t>
            </w:r>
            <w:r w:rsidRPr="007A7147">
              <w:rPr>
                <w:rFonts w:ascii="Arial Narrow" w:hAnsi="Arial Narrow" w:cs="Calibri"/>
                <w:bCs/>
                <w:color w:val="000000"/>
                <w:sz w:val="18"/>
                <w:szCs w:val="18"/>
              </w:rPr>
              <w:fldChar w:fldCharType="begin"/>
            </w:r>
            <w:r w:rsidRPr="007A7147">
              <w:rPr>
                <w:rFonts w:ascii="Arial Narrow" w:hAnsi="Arial Narrow" w:cs="Calibri"/>
                <w:bCs/>
                <w:color w:val="000000"/>
                <w:sz w:val="18"/>
                <w:szCs w:val="18"/>
              </w:rPr>
              <w:instrText xml:space="preserve"> REF _Ref526353458 \h  \* MERGEFORMAT </w:instrText>
            </w:r>
            <w:r w:rsidRPr="007A7147">
              <w:rPr>
                <w:rFonts w:ascii="Arial Narrow" w:hAnsi="Arial Narrow" w:cs="Calibri"/>
                <w:bCs/>
                <w:color w:val="000000"/>
                <w:sz w:val="18"/>
                <w:szCs w:val="18"/>
              </w:rPr>
            </w:r>
            <w:r w:rsidRPr="007A7147">
              <w:rPr>
                <w:rFonts w:ascii="Arial Narrow" w:hAnsi="Arial Narrow" w:cs="Calibri"/>
                <w:bCs/>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6</w:t>
            </w:r>
            <w:r w:rsidRPr="007A7147">
              <w:rPr>
                <w:rFonts w:ascii="Arial Narrow" w:hAnsi="Arial Narrow" w:cs="Calibri"/>
                <w:bCs/>
                <w:color w:val="000000"/>
                <w:sz w:val="18"/>
                <w:szCs w:val="18"/>
              </w:rPr>
              <w:fldChar w:fldCharType="end"/>
            </w:r>
            <w:r w:rsidRPr="007A7147">
              <w:rPr>
                <w:rFonts w:ascii="Arial Narrow" w:hAnsi="Arial Narrow" w:cs="Calibri"/>
                <w:bCs/>
                <w:color w:val="000000"/>
                <w:sz w:val="18"/>
                <w:szCs w:val="18"/>
              </w:rPr>
              <w:t xml:space="preserve"> and </w:t>
            </w:r>
            <w:r w:rsidRPr="007A7147">
              <w:rPr>
                <w:rFonts w:ascii="Arial Narrow" w:hAnsi="Arial Narrow" w:cs="Calibri"/>
                <w:bCs/>
                <w:color w:val="000000"/>
                <w:sz w:val="18"/>
                <w:szCs w:val="18"/>
              </w:rPr>
              <w:fldChar w:fldCharType="begin"/>
            </w:r>
            <w:r w:rsidRPr="007A7147">
              <w:rPr>
                <w:rFonts w:ascii="Arial Narrow" w:hAnsi="Arial Narrow" w:cs="Calibri"/>
                <w:bCs/>
                <w:color w:val="000000"/>
                <w:sz w:val="18"/>
                <w:szCs w:val="18"/>
              </w:rPr>
              <w:instrText xml:space="preserve"> REF _Ref526353586 \h  \* MERGEFORMAT </w:instrText>
            </w:r>
            <w:r w:rsidRPr="007A7147">
              <w:rPr>
                <w:rFonts w:ascii="Arial Narrow" w:hAnsi="Arial Narrow" w:cs="Calibri"/>
                <w:bCs/>
                <w:color w:val="000000"/>
                <w:sz w:val="18"/>
                <w:szCs w:val="18"/>
              </w:rPr>
            </w:r>
            <w:r w:rsidRPr="007A7147">
              <w:rPr>
                <w:rFonts w:ascii="Arial Narrow" w:hAnsi="Arial Narrow" w:cs="Calibri"/>
                <w:bCs/>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8</w:t>
            </w:r>
            <w:r w:rsidRPr="007A7147">
              <w:rPr>
                <w:rFonts w:ascii="Arial Narrow" w:hAnsi="Arial Narrow" w:cs="Calibri"/>
                <w:bCs/>
                <w:color w:val="000000"/>
                <w:sz w:val="18"/>
                <w:szCs w:val="18"/>
              </w:rPr>
              <w:fldChar w:fldCharType="end"/>
            </w:r>
            <w:r w:rsidR="00A12FD2">
              <w:rPr>
                <w:rFonts w:ascii="Arial Narrow" w:hAnsi="Arial Narrow" w:cs="Calibri"/>
                <w:bCs/>
                <w:color w:val="000000"/>
                <w:sz w:val="18"/>
                <w:szCs w:val="18"/>
              </w:rPr>
              <w:t xml:space="preserve"> in this document</w:t>
            </w:r>
            <w:r w:rsidRPr="007A7147">
              <w:rPr>
                <w:rFonts w:ascii="Arial Narrow" w:hAnsi="Arial Narrow" w:cs="Calibri"/>
                <w:bCs/>
                <w:color w:val="000000"/>
                <w:sz w:val="18"/>
                <w:szCs w:val="18"/>
              </w:rPr>
              <w:t>.</w:t>
            </w:r>
          </w:p>
        </w:tc>
      </w:tr>
      <w:tr w:rsidR="00295027" w:rsidRPr="00945F41" w14:paraId="032753EC" w14:textId="77777777" w:rsidTr="00310FD7">
        <w:trPr>
          <w:jc w:val="center"/>
        </w:trPr>
        <w:tc>
          <w:tcPr>
            <w:tcW w:w="270" w:type="dxa"/>
            <w:tcBorders>
              <w:left w:val="single" w:sz="4" w:space="0" w:color="auto"/>
              <w:bottom w:val="single" w:sz="4" w:space="0" w:color="auto"/>
            </w:tcBorders>
            <w:shd w:val="clear" w:color="auto" w:fill="auto"/>
          </w:tcPr>
          <w:p w14:paraId="049086D4" w14:textId="2A22C474" w:rsidR="00295027" w:rsidRPr="00874EA2" w:rsidRDefault="00565011" w:rsidP="00874EA2">
            <w:pPr>
              <w:jc w:val="right"/>
              <w:rPr>
                <w:rFonts w:ascii="Arial Narrow" w:eastAsia="Times New Roman" w:hAnsi="Arial Narrow" w:cs="Calibri"/>
                <w:b/>
                <w:color w:val="000000"/>
                <w:sz w:val="18"/>
                <w:szCs w:val="18"/>
                <w:vertAlign w:val="superscript"/>
              </w:rPr>
            </w:pPr>
            <w:r>
              <w:rPr>
                <w:rFonts w:ascii="Arial Narrow" w:eastAsia="Times New Roman" w:hAnsi="Arial Narrow" w:cs="Calibri"/>
                <w:b/>
                <w:color w:val="000000"/>
                <w:sz w:val="18"/>
                <w:szCs w:val="18"/>
                <w:vertAlign w:val="superscript"/>
              </w:rPr>
              <w:t>2</w:t>
            </w:r>
          </w:p>
        </w:tc>
        <w:tc>
          <w:tcPr>
            <w:tcW w:w="9360" w:type="dxa"/>
            <w:gridSpan w:val="7"/>
            <w:tcBorders>
              <w:bottom w:val="single" w:sz="4" w:space="0" w:color="auto"/>
              <w:right w:val="single" w:sz="4" w:space="0" w:color="auto"/>
            </w:tcBorders>
            <w:shd w:val="clear" w:color="auto" w:fill="auto"/>
            <w:noWrap/>
          </w:tcPr>
          <w:p w14:paraId="57EB9105" w14:textId="61235AA0" w:rsidR="00295027" w:rsidRPr="00874EA2" w:rsidRDefault="00295027" w:rsidP="00874EA2">
            <w:pPr>
              <w:rPr>
                <w:rFonts w:ascii="Arial Narrow" w:hAnsi="Arial Narrow" w:cs="Calibri"/>
                <w:bCs/>
                <w:color w:val="000000"/>
                <w:sz w:val="18"/>
                <w:szCs w:val="18"/>
              </w:rPr>
            </w:pPr>
            <w:r w:rsidRPr="00874EA2">
              <w:rPr>
                <w:rFonts w:ascii="Arial Narrow" w:hAnsi="Arial Narrow" w:cs="Calibri"/>
                <w:bCs/>
                <w:color w:val="000000"/>
                <w:sz w:val="18"/>
                <w:szCs w:val="18"/>
              </w:rPr>
              <w:t xml:space="preserve">Note that the calculations in the top half of this table apply the unit burdens to the entire baseline reporting universe. This “calculation in parallel” is necessary to separately present the distinct provisions of the proposal and to reconcile estimates across all relevant documents (two EAs and this ICR Addendum). See Sections </w:t>
            </w:r>
            <w:r w:rsidR="00CA16ED">
              <w:rPr>
                <w:rFonts w:ascii="Arial Narrow" w:hAnsi="Arial Narrow" w:cs="Calibri"/>
                <w:bCs/>
                <w:color w:val="000000"/>
                <w:sz w:val="18"/>
                <w:szCs w:val="18"/>
              </w:rPr>
              <w:fldChar w:fldCharType="begin"/>
            </w:r>
            <w:r w:rsidR="00CA16ED">
              <w:rPr>
                <w:rFonts w:ascii="Arial Narrow" w:hAnsi="Arial Narrow" w:cs="Calibri"/>
                <w:bCs/>
                <w:color w:val="000000"/>
                <w:sz w:val="18"/>
                <w:szCs w:val="18"/>
              </w:rPr>
              <w:instrText xml:space="preserve"> REF _Ref524367133 \r \h </w:instrText>
            </w:r>
            <w:r w:rsidR="00CA16ED">
              <w:rPr>
                <w:rFonts w:ascii="Arial Narrow" w:hAnsi="Arial Narrow" w:cs="Calibri"/>
                <w:bCs/>
                <w:color w:val="000000"/>
                <w:sz w:val="18"/>
                <w:szCs w:val="18"/>
              </w:rPr>
            </w:r>
            <w:r w:rsidR="00CA16ED">
              <w:rPr>
                <w:rFonts w:ascii="Arial Narrow" w:hAnsi="Arial Narrow" w:cs="Calibri"/>
                <w:bCs/>
                <w:color w:val="000000"/>
                <w:sz w:val="18"/>
                <w:szCs w:val="18"/>
              </w:rPr>
              <w:fldChar w:fldCharType="separate"/>
            </w:r>
            <w:r w:rsidR="00745E52">
              <w:rPr>
                <w:rFonts w:ascii="Arial Narrow" w:hAnsi="Arial Narrow" w:cs="Calibri"/>
                <w:bCs/>
                <w:color w:val="000000"/>
                <w:sz w:val="18"/>
                <w:szCs w:val="18"/>
              </w:rPr>
              <w:t>6(e)</w:t>
            </w:r>
            <w:r w:rsidR="00CA16ED">
              <w:rPr>
                <w:rFonts w:ascii="Arial Narrow" w:hAnsi="Arial Narrow" w:cs="Calibri"/>
                <w:bCs/>
                <w:color w:val="000000"/>
                <w:sz w:val="18"/>
                <w:szCs w:val="18"/>
              </w:rPr>
              <w:fldChar w:fldCharType="end"/>
            </w:r>
            <w:r w:rsidRPr="00874EA2">
              <w:rPr>
                <w:rFonts w:ascii="Arial Narrow" w:hAnsi="Arial Narrow" w:cs="Calibri"/>
                <w:bCs/>
                <w:color w:val="000000"/>
                <w:sz w:val="18"/>
                <w:szCs w:val="18"/>
              </w:rPr>
              <w:t xml:space="preserve"> and </w:t>
            </w:r>
            <w:r w:rsidR="00CA16ED">
              <w:rPr>
                <w:rFonts w:ascii="Arial Narrow" w:hAnsi="Arial Narrow" w:cs="Calibri"/>
                <w:bCs/>
                <w:color w:val="000000"/>
                <w:sz w:val="18"/>
                <w:szCs w:val="18"/>
              </w:rPr>
              <w:fldChar w:fldCharType="begin"/>
            </w:r>
            <w:r w:rsidR="00CA16ED">
              <w:rPr>
                <w:rFonts w:ascii="Arial Narrow" w:hAnsi="Arial Narrow" w:cs="Calibri"/>
                <w:bCs/>
                <w:color w:val="000000"/>
                <w:sz w:val="18"/>
                <w:szCs w:val="18"/>
              </w:rPr>
              <w:instrText xml:space="preserve"> REF _Ref534025817 \r \h </w:instrText>
            </w:r>
            <w:r w:rsidR="00CA16ED">
              <w:rPr>
                <w:rFonts w:ascii="Arial Narrow" w:hAnsi="Arial Narrow" w:cs="Calibri"/>
                <w:bCs/>
                <w:color w:val="000000"/>
                <w:sz w:val="18"/>
                <w:szCs w:val="18"/>
              </w:rPr>
            </w:r>
            <w:r w:rsidR="00CA16ED">
              <w:rPr>
                <w:rFonts w:ascii="Arial Narrow" w:hAnsi="Arial Narrow" w:cs="Calibri"/>
                <w:bCs/>
                <w:color w:val="000000"/>
                <w:sz w:val="18"/>
                <w:szCs w:val="18"/>
              </w:rPr>
              <w:fldChar w:fldCharType="separate"/>
            </w:r>
            <w:r w:rsidR="00745E52">
              <w:rPr>
                <w:rFonts w:ascii="Arial Narrow" w:hAnsi="Arial Narrow" w:cs="Calibri"/>
                <w:bCs/>
                <w:color w:val="000000"/>
                <w:sz w:val="18"/>
                <w:szCs w:val="18"/>
              </w:rPr>
              <w:t>6(g)</w:t>
            </w:r>
            <w:r w:rsidR="00CA16ED">
              <w:rPr>
                <w:rFonts w:ascii="Arial Narrow" w:hAnsi="Arial Narrow" w:cs="Calibri"/>
                <w:bCs/>
                <w:color w:val="000000"/>
                <w:sz w:val="18"/>
                <w:szCs w:val="18"/>
              </w:rPr>
              <w:fldChar w:fldCharType="end"/>
            </w:r>
            <w:r w:rsidRPr="00874EA2">
              <w:rPr>
                <w:rFonts w:ascii="Arial Narrow" w:hAnsi="Arial Narrow" w:cs="Calibri"/>
                <w:bCs/>
                <w:color w:val="000000"/>
                <w:sz w:val="18"/>
                <w:szCs w:val="18"/>
              </w:rPr>
              <w:t xml:space="preserve"> for more information on different calculation methodologies.</w:t>
            </w:r>
          </w:p>
        </w:tc>
      </w:tr>
    </w:tbl>
    <w:p w14:paraId="5A099FFD" w14:textId="77777777" w:rsidR="00B8298D" w:rsidRPr="008A7FB7" w:rsidRDefault="00B8298D" w:rsidP="00B8298D">
      <w:pPr>
        <w:pStyle w:val="Heading3nonumber"/>
      </w:pPr>
      <w:r w:rsidRPr="008A7FB7">
        <w:t>Agency Tally</w:t>
      </w:r>
    </w:p>
    <w:p w14:paraId="3E4BA53F" w14:textId="5B0258FC" w:rsidR="004C275D" w:rsidRDefault="00B8298D">
      <w:pPr>
        <w:pStyle w:val="BodyText"/>
      </w:pPr>
      <w:r>
        <w:t xml:space="preserve">The proposed rule will result in net reporting exemptions, which will result in lower Agency burden and cost associated with quality control. </w:t>
      </w:r>
      <w:r>
        <w:fldChar w:fldCharType="begin"/>
      </w:r>
      <w:r>
        <w:instrText xml:space="preserve"> REF _Ref526352568 \h </w:instrText>
      </w:r>
      <w:r>
        <w:fldChar w:fldCharType="separate"/>
      </w:r>
      <w:r w:rsidR="00745E52">
        <w:t xml:space="preserve">Table </w:t>
      </w:r>
      <w:r w:rsidR="00745E52">
        <w:rPr>
          <w:noProof/>
        </w:rPr>
        <w:t>14</w:t>
      </w:r>
      <w:r>
        <w:fldChar w:fldCharType="end"/>
      </w:r>
      <w:r>
        <w:t xml:space="preserve"> presents the estimated incremental Agency burden and </w:t>
      </w:r>
      <w:r w:rsidRPr="00794249">
        <w:t>cost</w:t>
      </w:r>
      <w:r>
        <w:t xml:space="preserve"> associated with the proposed rule. </w:t>
      </w:r>
    </w:p>
    <w:p w14:paraId="01AFD7D4" w14:textId="77777777" w:rsidR="004C275D" w:rsidRDefault="004C275D">
      <w:pPr>
        <w:spacing w:after="200" w:line="276" w:lineRule="auto"/>
        <w:rPr>
          <w:rFonts w:eastAsia="Times New Roman" w:cs="Times New Roman"/>
        </w:rPr>
      </w:pPr>
      <w:r>
        <w:br w:type="page"/>
      </w:r>
    </w:p>
    <w:p w14:paraId="770F30C8" w14:textId="1236E1F2" w:rsidR="00B8298D" w:rsidRDefault="00B8298D" w:rsidP="00874EA2">
      <w:pPr>
        <w:pStyle w:val="BodyText"/>
      </w:pPr>
    </w:p>
    <w:tbl>
      <w:tblPr>
        <w:tblW w:w="5000" w:type="pct"/>
        <w:jc w:val="center"/>
        <w:tblLayout w:type="fixed"/>
        <w:tblCellMar>
          <w:left w:w="115" w:type="dxa"/>
          <w:right w:w="115" w:type="dxa"/>
        </w:tblCellMar>
        <w:tblLook w:val="04A0" w:firstRow="1" w:lastRow="0" w:firstColumn="1" w:lastColumn="0" w:noHBand="0" w:noVBand="1"/>
      </w:tblPr>
      <w:tblGrid>
        <w:gridCol w:w="260"/>
        <w:gridCol w:w="833"/>
        <w:gridCol w:w="990"/>
        <w:gridCol w:w="1124"/>
        <w:gridCol w:w="1240"/>
        <w:gridCol w:w="988"/>
        <w:gridCol w:w="1312"/>
        <w:gridCol w:w="1028"/>
        <w:gridCol w:w="860"/>
        <w:gridCol w:w="944"/>
        <w:gridCol w:w="11"/>
      </w:tblGrid>
      <w:tr w:rsidR="00B8298D" w:rsidRPr="00C31FCD" w14:paraId="5D805FE0" w14:textId="77777777" w:rsidTr="00392C79">
        <w:trPr>
          <w:gridAfter w:val="1"/>
          <w:wAfter w:w="11" w:type="dxa"/>
          <w:tblHeader/>
          <w:jc w:val="center"/>
        </w:trPr>
        <w:tc>
          <w:tcPr>
            <w:tcW w:w="9349" w:type="dxa"/>
            <w:gridSpan w:val="10"/>
            <w:tcBorders>
              <w:top w:val="nil"/>
              <w:bottom w:val="single" w:sz="4" w:space="0" w:color="auto"/>
              <w:right w:val="nil"/>
            </w:tcBorders>
            <w:shd w:val="clear" w:color="auto" w:fill="auto"/>
            <w:vAlign w:val="bottom"/>
            <w:hideMark/>
          </w:tcPr>
          <w:p w14:paraId="1CCF7320" w14:textId="37A84BEE" w:rsidR="00B8298D" w:rsidRPr="00C31FCD" w:rsidRDefault="00B8298D" w:rsidP="00B8298D">
            <w:pPr>
              <w:pStyle w:val="Caption"/>
              <w:keepNext/>
              <w:rPr>
                <w:rFonts w:eastAsia="Times New Roman" w:cs="Times New Roman"/>
                <w:color w:val="000000"/>
              </w:rPr>
            </w:pPr>
            <w:bookmarkStart w:id="119" w:name="_Ref526352568"/>
            <w:bookmarkStart w:id="120" w:name="_Ref524347255"/>
            <w:r>
              <w:t xml:space="preserve">Table </w:t>
            </w:r>
            <w:r>
              <w:rPr>
                <w:noProof/>
              </w:rPr>
              <w:fldChar w:fldCharType="begin"/>
            </w:r>
            <w:r>
              <w:rPr>
                <w:noProof/>
              </w:rPr>
              <w:instrText xml:space="preserve"> SEQ Table \* ARABIC </w:instrText>
            </w:r>
            <w:r>
              <w:rPr>
                <w:noProof/>
              </w:rPr>
              <w:fldChar w:fldCharType="separate"/>
            </w:r>
            <w:r w:rsidR="00745E52">
              <w:rPr>
                <w:noProof/>
              </w:rPr>
              <w:t>14</w:t>
            </w:r>
            <w:r>
              <w:rPr>
                <w:noProof/>
              </w:rPr>
              <w:fldChar w:fldCharType="end"/>
            </w:r>
            <w:bookmarkEnd w:id="119"/>
            <w:bookmarkEnd w:id="120"/>
            <w:r w:rsidRPr="00C31FCD">
              <w:rPr>
                <w:rFonts w:eastAsia="Times New Roman" w:cs="Times New Roman"/>
                <w:color w:val="000000"/>
              </w:rPr>
              <w:t xml:space="preserve">: Incremental Agency Burden and Cost of CDR Revisions and </w:t>
            </w:r>
            <w:r>
              <w:rPr>
                <w:rFonts w:eastAsia="Times New Roman" w:cs="Times New Roman"/>
                <w:color w:val="000000"/>
              </w:rPr>
              <w:t xml:space="preserve">TSCA Section </w:t>
            </w:r>
            <w:r w:rsidRPr="00C31FCD">
              <w:rPr>
                <w:rFonts w:eastAsia="Times New Roman" w:cs="Times New Roman"/>
                <w:color w:val="000000"/>
              </w:rPr>
              <w:t>8(a) SMD Update, Four-Year Cycle</w:t>
            </w:r>
          </w:p>
        </w:tc>
      </w:tr>
      <w:tr w:rsidR="00B8298D" w:rsidRPr="00C31FCD" w14:paraId="4E6CAFDC" w14:textId="77777777" w:rsidTr="00310FD7">
        <w:trPr>
          <w:gridAfter w:val="1"/>
          <w:wAfter w:w="11" w:type="dxa"/>
          <w:tblHeader/>
          <w:jc w:val="center"/>
        </w:trPr>
        <w:tc>
          <w:tcPr>
            <w:tcW w:w="6586" w:type="dxa"/>
            <w:gridSpan w:val="7"/>
            <w:tcBorders>
              <w:top w:val="single" w:sz="4" w:space="0" w:color="auto"/>
              <w:left w:val="single" w:sz="4" w:space="0" w:color="auto"/>
              <w:bottom w:val="single" w:sz="4" w:space="0" w:color="auto"/>
              <w:right w:val="double" w:sz="4" w:space="0" w:color="auto"/>
            </w:tcBorders>
            <w:shd w:val="clear" w:color="auto" w:fill="BFBFBF" w:themeFill="background1" w:themeFillShade="BF"/>
            <w:vAlign w:val="center"/>
            <w:hideMark/>
          </w:tcPr>
          <w:p w14:paraId="20EAF8A2" w14:textId="77777777" w:rsidR="00B8298D" w:rsidRPr="004E5265" w:rsidRDefault="00B8298D" w:rsidP="00B8298D">
            <w:pPr>
              <w:jc w:val="center"/>
              <w:rPr>
                <w:rFonts w:ascii="Arial Narrow" w:eastAsia="Times New Roman" w:hAnsi="Arial Narrow" w:cs="Calibri"/>
                <w:b/>
                <w:bCs/>
                <w:color w:val="000000" w:themeColor="text1"/>
                <w:sz w:val="18"/>
                <w:szCs w:val="18"/>
              </w:rPr>
            </w:pPr>
            <w:r w:rsidRPr="004E5265">
              <w:rPr>
                <w:rFonts w:ascii="Arial Narrow" w:eastAsia="Times New Roman" w:hAnsi="Arial Narrow" w:cs="Calibri"/>
                <w:b/>
                <w:bCs/>
                <w:color w:val="000000" w:themeColor="text1"/>
                <w:sz w:val="18"/>
                <w:szCs w:val="18"/>
              </w:rPr>
              <w:t> </w:t>
            </w:r>
          </w:p>
        </w:tc>
        <w:tc>
          <w:tcPr>
            <w:tcW w:w="2763" w:type="dxa"/>
            <w:gridSpan w:val="3"/>
            <w:tcBorders>
              <w:top w:val="single" w:sz="4" w:space="0" w:color="auto"/>
              <w:left w:val="double" w:sz="4" w:space="0" w:color="auto"/>
              <w:bottom w:val="single" w:sz="4" w:space="0" w:color="auto"/>
              <w:right w:val="single" w:sz="4" w:space="0" w:color="auto"/>
            </w:tcBorders>
            <w:shd w:val="clear" w:color="auto" w:fill="BFBFBF" w:themeFill="background1" w:themeFillShade="BF"/>
            <w:vAlign w:val="center"/>
            <w:hideMark/>
          </w:tcPr>
          <w:p w14:paraId="715113AC"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Incremental Change</w:t>
            </w:r>
          </w:p>
        </w:tc>
      </w:tr>
      <w:tr w:rsidR="00B8298D" w:rsidRPr="00C31FCD" w14:paraId="1165AD35" w14:textId="77777777" w:rsidTr="00310FD7">
        <w:trPr>
          <w:gridAfter w:val="1"/>
          <w:wAfter w:w="11" w:type="dxa"/>
          <w:tblHeader/>
          <w:jc w:val="center"/>
        </w:trPr>
        <w:tc>
          <w:tcPr>
            <w:tcW w:w="1068" w:type="dxa"/>
            <w:gridSpan w:val="2"/>
            <w:tcBorders>
              <w:top w:val="nil"/>
              <w:left w:val="single" w:sz="4" w:space="0" w:color="auto"/>
              <w:bottom w:val="single" w:sz="4" w:space="0" w:color="auto"/>
              <w:right w:val="single" w:sz="4" w:space="0" w:color="auto"/>
            </w:tcBorders>
            <w:shd w:val="clear" w:color="auto" w:fill="BFBFBF" w:themeFill="background1" w:themeFillShade="BF"/>
            <w:vAlign w:val="bottom"/>
            <w:hideMark/>
          </w:tcPr>
          <w:p w14:paraId="3AA366DC"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Activity</w:t>
            </w:r>
          </w:p>
        </w:tc>
        <w:tc>
          <w:tcPr>
            <w:tcW w:w="966" w:type="dxa"/>
            <w:tcBorders>
              <w:top w:val="nil"/>
              <w:left w:val="nil"/>
              <w:bottom w:val="single" w:sz="4" w:space="0" w:color="auto"/>
              <w:right w:val="single" w:sz="4" w:space="0" w:color="auto"/>
            </w:tcBorders>
            <w:shd w:val="clear" w:color="auto" w:fill="BFBFBF" w:themeFill="background1" w:themeFillShade="BF"/>
            <w:vAlign w:val="bottom"/>
            <w:hideMark/>
          </w:tcPr>
          <w:p w14:paraId="29ADDAE4"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Staff</w:t>
            </w:r>
          </w:p>
        </w:tc>
        <w:tc>
          <w:tcPr>
            <w:tcW w:w="1097" w:type="dxa"/>
            <w:tcBorders>
              <w:top w:val="nil"/>
              <w:left w:val="nil"/>
              <w:bottom w:val="single" w:sz="4" w:space="0" w:color="auto"/>
              <w:right w:val="single" w:sz="4" w:space="0" w:color="auto"/>
            </w:tcBorders>
            <w:shd w:val="clear" w:color="auto" w:fill="BFBFBF" w:themeFill="background1" w:themeFillShade="BF"/>
            <w:vAlign w:val="bottom"/>
            <w:hideMark/>
          </w:tcPr>
          <w:p w14:paraId="0DB335EC"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Form U Section</w:t>
            </w:r>
          </w:p>
        </w:tc>
        <w:tc>
          <w:tcPr>
            <w:tcW w:w="1210" w:type="dxa"/>
            <w:tcBorders>
              <w:top w:val="nil"/>
              <w:left w:val="nil"/>
              <w:bottom w:val="single" w:sz="4" w:space="0" w:color="auto"/>
              <w:right w:val="single" w:sz="4" w:space="0" w:color="auto"/>
            </w:tcBorders>
            <w:shd w:val="clear" w:color="auto" w:fill="BFBFBF" w:themeFill="background1" w:themeFillShade="BF"/>
            <w:vAlign w:val="bottom"/>
            <w:hideMark/>
          </w:tcPr>
          <w:p w14:paraId="2F285116"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Burden per Activity (hours)</w:t>
            </w:r>
          </w:p>
        </w:tc>
        <w:tc>
          <w:tcPr>
            <w:tcW w:w="964" w:type="dxa"/>
            <w:tcBorders>
              <w:top w:val="nil"/>
              <w:left w:val="nil"/>
              <w:bottom w:val="single" w:sz="4" w:space="0" w:color="auto"/>
              <w:right w:val="single" w:sz="4" w:space="0" w:color="auto"/>
            </w:tcBorders>
            <w:shd w:val="clear" w:color="auto" w:fill="BFBFBF" w:themeFill="background1" w:themeFillShade="BF"/>
            <w:vAlign w:val="bottom"/>
            <w:hideMark/>
          </w:tcPr>
          <w:p w14:paraId="38BB953B"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Cost per Activity</w:t>
            </w:r>
            <w:r w:rsidRPr="004E5265">
              <w:rPr>
                <w:rFonts w:ascii="Arial Narrow" w:eastAsia="Times New Roman" w:hAnsi="Arial Narrow" w:cs="Calibri"/>
                <w:b/>
                <w:bCs/>
                <w:color w:val="000000"/>
                <w:sz w:val="18"/>
                <w:szCs w:val="18"/>
              </w:rPr>
              <w:br/>
              <w:t>(201</w:t>
            </w:r>
            <w:r>
              <w:rPr>
                <w:rFonts w:ascii="Arial Narrow" w:eastAsia="Times New Roman" w:hAnsi="Arial Narrow" w:cs="Calibri"/>
                <w:b/>
                <w:bCs/>
                <w:color w:val="000000"/>
                <w:sz w:val="18"/>
                <w:szCs w:val="18"/>
              </w:rPr>
              <w:t>7</w:t>
            </w:r>
            <w:r w:rsidRPr="004E5265">
              <w:rPr>
                <w:rFonts w:ascii="Arial Narrow" w:eastAsia="Times New Roman" w:hAnsi="Arial Narrow" w:cs="Calibri"/>
                <w:b/>
                <w:bCs/>
                <w:color w:val="000000"/>
                <w:sz w:val="18"/>
                <w:szCs w:val="18"/>
              </w:rPr>
              <w:t>$)</w:t>
            </w:r>
          </w:p>
        </w:tc>
        <w:tc>
          <w:tcPr>
            <w:tcW w:w="1281" w:type="dxa"/>
            <w:tcBorders>
              <w:top w:val="nil"/>
              <w:left w:val="nil"/>
              <w:bottom w:val="single" w:sz="4" w:space="0" w:color="auto"/>
              <w:right w:val="double" w:sz="4" w:space="0" w:color="auto"/>
            </w:tcBorders>
            <w:shd w:val="clear" w:color="auto" w:fill="BFBFBF" w:themeFill="background1" w:themeFillShade="BF"/>
            <w:vAlign w:val="bottom"/>
            <w:hideMark/>
          </w:tcPr>
          <w:p w14:paraId="0F58C2EA"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Unit of Analysis</w:t>
            </w:r>
          </w:p>
        </w:tc>
        <w:tc>
          <w:tcPr>
            <w:tcW w:w="1003" w:type="dxa"/>
            <w:tcBorders>
              <w:top w:val="nil"/>
              <w:left w:val="double" w:sz="4" w:space="0" w:color="auto"/>
              <w:bottom w:val="single" w:sz="4" w:space="0" w:color="auto"/>
              <w:right w:val="single" w:sz="4" w:space="0" w:color="auto"/>
            </w:tcBorders>
            <w:shd w:val="clear" w:color="auto" w:fill="BFBFBF" w:themeFill="background1" w:themeFillShade="BF"/>
            <w:vAlign w:val="bottom"/>
            <w:hideMark/>
          </w:tcPr>
          <w:p w14:paraId="5B3A539D"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Affected Universe</w:t>
            </w:r>
          </w:p>
        </w:tc>
        <w:tc>
          <w:tcPr>
            <w:tcW w:w="839" w:type="dxa"/>
            <w:tcBorders>
              <w:top w:val="nil"/>
              <w:left w:val="nil"/>
              <w:bottom w:val="single" w:sz="4" w:space="0" w:color="auto"/>
              <w:right w:val="single" w:sz="4" w:space="0" w:color="auto"/>
            </w:tcBorders>
            <w:shd w:val="clear" w:color="auto" w:fill="BFBFBF" w:themeFill="background1" w:themeFillShade="BF"/>
            <w:vAlign w:val="bottom"/>
            <w:hideMark/>
          </w:tcPr>
          <w:p w14:paraId="67A6883F"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Total Burden (hours)</w:t>
            </w:r>
          </w:p>
        </w:tc>
        <w:tc>
          <w:tcPr>
            <w:tcW w:w="921" w:type="dxa"/>
            <w:tcBorders>
              <w:top w:val="nil"/>
              <w:left w:val="nil"/>
              <w:bottom w:val="single" w:sz="4" w:space="0" w:color="auto"/>
              <w:right w:val="single" w:sz="4" w:space="0" w:color="auto"/>
            </w:tcBorders>
            <w:shd w:val="clear" w:color="auto" w:fill="BFBFBF" w:themeFill="background1" w:themeFillShade="BF"/>
            <w:vAlign w:val="bottom"/>
            <w:hideMark/>
          </w:tcPr>
          <w:p w14:paraId="7AC5CD66" w14:textId="77777777" w:rsidR="00B8298D" w:rsidRPr="004E5265" w:rsidRDefault="00B8298D" w:rsidP="00B8298D">
            <w:pPr>
              <w:jc w:val="cente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Total Cost (2018$)</w:t>
            </w:r>
            <w:r w:rsidRPr="004E5265">
              <w:rPr>
                <w:rFonts w:ascii="Arial Narrow" w:eastAsia="Times New Roman" w:hAnsi="Arial Narrow" w:cs="Calibri"/>
                <w:b/>
                <w:bCs/>
                <w:color w:val="000000"/>
                <w:sz w:val="18"/>
                <w:szCs w:val="18"/>
                <w:vertAlign w:val="superscript"/>
              </w:rPr>
              <w:t>1</w:t>
            </w:r>
          </w:p>
        </w:tc>
      </w:tr>
      <w:tr w:rsidR="00B8298D" w:rsidRPr="00C31FCD" w14:paraId="4D1E5129" w14:textId="77777777" w:rsidTr="00310FD7">
        <w:trPr>
          <w:gridAfter w:val="1"/>
          <w:wAfter w:w="11" w:type="dxa"/>
          <w:jc w:val="center"/>
        </w:trPr>
        <w:tc>
          <w:tcPr>
            <w:tcW w:w="9349" w:type="dxa"/>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14:paraId="04B27425" w14:textId="77777777" w:rsidR="00B8298D" w:rsidRPr="004E5265" w:rsidRDefault="00B8298D" w:rsidP="00B8298D">
            <w:pP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Variable Burden and Cost</w:t>
            </w:r>
          </w:p>
        </w:tc>
      </w:tr>
      <w:tr w:rsidR="00B8298D" w:rsidRPr="00C31FCD" w14:paraId="43FD87C5" w14:textId="77777777" w:rsidTr="00BF28DA">
        <w:trPr>
          <w:gridAfter w:val="1"/>
          <w:wAfter w:w="11" w:type="dxa"/>
          <w:jc w:val="center"/>
        </w:trPr>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1C61B2" w14:textId="06CD61FE" w:rsidR="00B8298D" w:rsidRPr="004E5265" w:rsidRDefault="00BF28DA"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Submission Receipt and Tracking: Data Review</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EDCAE4D"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Contractor</w:t>
            </w:r>
          </w:p>
        </w:tc>
        <w:tc>
          <w:tcPr>
            <w:tcW w:w="1097" w:type="dxa"/>
            <w:tcBorders>
              <w:top w:val="nil"/>
              <w:left w:val="nil"/>
              <w:bottom w:val="single" w:sz="4" w:space="0" w:color="auto"/>
              <w:right w:val="single" w:sz="4" w:space="0" w:color="auto"/>
            </w:tcBorders>
            <w:shd w:val="clear" w:color="auto" w:fill="auto"/>
            <w:vAlign w:val="center"/>
            <w:hideMark/>
          </w:tcPr>
          <w:p w14:paraId="13178223"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Part I</w:t>
            </w:r>
          </w:p>
        </w:tc>
        <w:tc>
          <w:tcPr>
            <w:tcW w:w="1210" w:type="dxa"/>
            <w:tcBorders>
              <w:top w:val="nil"/>
              <w:left w:val="nil"/>
              <w:bottom w:val="single" w:sz="4" w:space="0" w:color="auto"/>
              <w:right w:val="single" w:sz="4" w:space="0" w:color="auto"/>
            </w:tcBorders>
            <w:shd w:val="clear" w:color="auto" w:fill="FFFFFF" w:themeFill="background1"/>
            <w:vAlign w:val="center"/>
            <w:hideMark/>
          </w:tcPr>
          <w:p w14:paraId="07E83B1B"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N/A</w:t>
            </w:r>
          </w:p>
        </w:tc>
        <w:tc>
          <w:tcPr>
            <w:tcW w:w="964" w:type="dxa"/>
            <w:tcBorders>
              <w:top w:val="nil"/>
              <w:left w:val="nil"/>
              <w:bottom w:val="single" w:sz="4" w:space="0" w:color="auto"/>
              <w:right w:val="single" w:sz="4" w:space="0" w:color="auto"/>
            </w:tcBorders>
            <w:shd w:val="clear" w:color="auto" w:fill="auto"/>
            <w:vAlign w:val="center"/>
            <w:hideMark/>
          </w:tcPr>
          <w:p w14:paraId="73302BBC"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 xml:space="preserve">$0.11 </w:t>
            </w:r>
          </w:p>
        </w:tc>
        <w:tc>
          <w:tcPr>
            <w:tcW w:w="1281" w:type="dxa"/>
            <w:tcBorders>
              <w:top w:val="nil"/>
              <w:left w:val="nil"/>
              <w:bottom w:val="single" w:sz="4" w:space="0" w:color="auto"/>
              <w:right w:val="double" w:sz="4" w:space="0" w:color="auto"/>
            </w:tcBorders>
            <w:shd w:val="clear" w:color="auto" w:fill="auto"/>
            <w:vAlign w:val="center"/>
            <w:hideMark/>
          </w:tcPr>
          <w:p w14:paraId="1A0ABC97"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Sites</w:t>
            </w:r>
          </w:p>
        </w:tc>
        <w:tc>
          <w:tcPr>
            <w:tcW w:w="1003" w:type="dxa"/>
            <w:tcBorders>
              <w:top w:val="nil"/>
              <w:left w:val="double" w:sz="4" w:space="0" w:color="auto"/>
              <w:bottom w:val="single" w:sz="4" w:space="0" w:color="auto"/>
              <w:right w:val="single" w:sz="4" w:space="0" w:color="auto"/>
            </w:tcBorders>
            <w:shd w:val="clear" w:color="auto" w:fill="FFFFFF" w:themeFill="background1"/>
            <w:vAlign w:val="center"/>
            <w:hideMark/>
          </w:tcPr>
          <w:p w14:paraId="28F1B8E9"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-167</w:t>
            </w:r>
          </w:p>
        </w:tc>
        <w:tc>
          <w:tcPr>
            <w:tcW w:w="839" w:type="dxa"/>
            <w:tcBorders>
              <w:top w:val="nil"/>
              <w:left w:val="nil"/>
              <w:bottom w:val="single" w:sz="4" w:space="0" w:color="auto"/>
              <w:right w:val="single" w:sz="4" w:space="0" w:color="auto"/>
            </w:tcBorders>
            <w:shd w:val="clear" w:color="auto" w:fill="auto"/>
            <w:vAlign w:val="center"/>
            <w:hideMark/>
          </w:tcPr>
          <w:p w14:paraId="5C4F8421" w14:textId="77777777" w:rsidR="00B8298D" w:rsidRPr="004E5265" w:rsidRDefault="00B8298D" w:rsidP="00B8298D">
            <w:pPr>
              <w:jc w:val="right"/>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N/A</w:t>
            </w:r>
          </w:p>
        </w:tc>
        <w:tc>
          <w:tcPr>
            <w:tcW w:w="921" w:type="dxa"/>
            <w:tcBorders>
              <w:top w:val="nil"/>
              <w:left w:val="nil"/>
              <w:bottom w:val="single" w:sz="4" w:space="0" w:color="auto"/>
              <w:right w:val="single" w:sz="4" w:space="0" w:color="auto"/>
            </w:tcBorders>
            <w:shd w:val="clear" w:color="auto" w:fill="FFFFFF" w:themeFill="background1"/>
            <w:vAlign w:val="center"/>
            <w:hideMark/>
          </w:tcPr>
          <w:p w14:paraId="718CDCBF" w14:textId="77777777" w:rsidR="00B8298D" w:rsidRPr="004E5265" w:rsidRDefault="00B8298D" w:rsidP="00B8298D">
            <w:pPr>
              <w:jc w:val="right"/>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-$18</w:t>
            </w:r>
          </w:p>
        </w:tc>
      </w:tr>
      <w:tr w:rsidR="00B8298D" w:rsidRPr="00C31FCD" w14:paraId="04AE7F4F" w14:textId="77777777" w:rsidTr="00BF28DA">
        <w:trPr>
          <w:gridAfter w:val="1"/>
          <w:wAfter w:w="11" w:type="dxa"/>
          <w:jc w:val="center"/>
        </w:trPr>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704E581F" w14:textId="77777777" w:rsidR="00B8298D" w:rsidRPr="004E5265" w:rsidRDefault="00B8298D" w:rsidP="00B8298D">
            <w:pPr>
              <w:rPr>
                <w:rFonts w:ascii="Arial Narrow" w:eastAsia="Times New Roman" w:hAnsi="Arial Narrow" w:cs="Calibri"/>
                <w:color w:val="000000"/>
                <w:sz w:val="18"/>
                <w:szCs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08978903" w14:textId="77777777" w:rsidR="00B8298D" w:rsidRPr="004E5265" w:rsidRDefault="00B8298D" w:rsidP="00B8298D">
            <w:pPr>
              <w:rPr>
                <w:rFonts w:ascii="Arial Narrow" w:eastAsia="Times New Roman" w:hAnsi="Arial Narrow" w:cs="Calibri"/>
                <w:color w:val="000000"/>
                <w:sz w:val="18"/>
                <w:szCs w:val="18"/>
              </w:rPr>
            </w:pPr>
          </w:p>
        </w:tc>
        <w:tc>
          <w:tcPr>
            <w:tcW w:w="1097" w:type="dxa"/>
            <w:tcBorders>
              <w:top w:val="nil"/>
              <w:left w:val="single" w:sz="4" w:space="0" w:color="auto"/>
              <w:bottom w:val="single" w:sz="4" w:space="0" w:color="auto"/>
              <w:right w:val="single" w:sz="4" w:space="0" w:color="auto"/>
            </w:tcBorders>
            <w:shd w:val="clear" w:color="auto" w:fill="auto"/>
            <w:vAlign w:val="center"/>
            <w:hideMark/>
          </w:tcPr>
          <w:p w14:paraId="386FF35C"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Part II</w:t>
            </w:r>
          </w:p>
        </w:tc>
        <w:tc>
          <w:tcPr>
            <w:tcW w:w="1210" w:type="dxa"/>
            <w:tcBorders>
              <w:top w:val="nil"/>
              <w:left w:val="nil"/>
              <w:bottom w:val="single" w:sz="4" w:space="0" w:color="auto"/>
              <w:right w:val="single" w:sz="4" w:space="0" w:color="auto"/>
            </w:tcBorders>
            <w:shd w:val="clear" w:color="auto" w:fill="FFFFFF" w:themeFill="background1"/>
            <w:vAlign w:val="center"/>
            <w:hideMark/>
          </w:tcPr>
          <w:p w14:paraId="39D7DDE6"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N/A</w:t>
            </w:r>
          </w:p>
        </w:tc>
        <w:tc>
          <w:tcPr>
            <w:tcW w:w="964" w:type="dxa"/>
            <w:tcBorders>
              <w:top w:val="nil"/>
              <w:left w:val="nil"/>
              <w:bottom w:val="single" w:sz="4" w:space="0" w:color="auto"/>
              <w:right w:val="single" w:sz="4" w:space="0" w:color="auto"/>
            </w:tcBorders>
            <w:shd w:val="clear" w:color="auto" w:fill="auto"/>
            <w:vAlign w:val="center"/>
            <w:hideMark/>
          </w:tcPr>
          <w:p w14:paraId="2968935A"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 xml:space="preserve">$0.31 </w:t>
            </w:r>
          </w:p>
        </w:tc>
        <w:tc>
          <w:tcPr>
            <w:tcW w:w="1281" w:type="dxa"/>
            <w:tcBorders>
              <w:top w:val="nil"/>
              <w:left w:val="nil"/>
              <w:bottom w:val="single" w:sz="4" w:space="0" w:color="auto"/>
              <w:right w:val="double" w:sz="4" w:space="0" w:color="auto"/>
            </w:tcBorders>
            <w:shd w:val="clear" w:color="auto" w:fill="auto"/>
            <w:vAlign w:val="center"/>
            <w:hideMark/>
          </w:tcPr>
          <w:p w14:paraId="2BE9B285"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Full and Partial Chemical Reports</w:t>
            </w:r>
          </w:p>
        </w:tc>
        <w:tc>
          <w:tcPr>
            <w:tcW w:w="1003" w:type="dxa"/>
            <w:tcBorders>
              <w:top w:val="nil"/>
              <w:left w:val="double" w:sz="4" w:space="0" w:color="auto"/>
              <w:bottom w:val="single" w:sz="4" w:space="0" w:color="auto"/>
              <w:right w:val="single" w:sz="4" w:space="0" w:color="auto"/>
            </w:tcBorders>
            <w:shd w:val="clear" w:color="auto" w:fill="FFFFFF" w:themeFill="background1"/>
            <w:vAlign w:val="center"/>
            <w:hideMark/>
          </w:tcPr>
          <w:p w14:paraId="3F727574"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-2,</w:t>
            </w:r>
            <w:r>
              <w:rPr>
                <w:rFonts w:ascii="Arial Narrow" w:eastAsia="Times New Roman" w:hAnsi="Arial Narrow" w:cs="Calibri"/>
                <w:color w:val="000000" w:themeColor="text1"/>
                <w:sz w:val="18"/>
                <w:szCs w:val="18"/>
              </w:rPr>
              <w:t>061</w:t>
            </w:r>
          </w:p>
        </w:tc>
        <w:tc>
          <w:tcPr>
            <w:tcW w:w="839" w:type="dxa"/>
            <w:tcBorders>
              <w:top w:val="nil"/>
              <w:left w:val="nil"/>
              <w:bottom w:val="single" w:sz="4" w:space="0" w:color="auto"/>
              <w:right w:val="single" w:sz="4" w:space="0" w:color="auto"/>
            </w:tcBorders>
            <w:shd w:val="clear" w:color="auto" w:fill="auto"/>
            <w:vAlign w:val="center"/>
            <w:hideMark/>
          </w:tcPr>
          <w:p w14:paraId="2510B484" w14:textId="77777777" w:rsidR="00B8298D" w:rsidRPr="004E5265" w:rsidRDefault="00B8298D" w:rsidP="00B8298D">
            <w:pPr>
              <w:jc w:val="right"/>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N/A</w:t>
            </w:r>
          </w:p>
        </w:tc>
        <w:tc>
          <w:tcPr>
            <w:tcW w:w="921" w:type="dxa"/>
            <w:tcBorders>
              <w:top w:val="nil"/>
              <w:left w:val="nil"/>
              <w:bottom w:val="single" w:sz="4" w:space="0" w:color="auto"/>
              <w:right w:val="single" w:sz="4" w:space="0" w:color="auto"/>
            </w:tcBorders>
            <w:shd w:val="clear" w:color="auto" w:fill="FFFFFF" w:themeFill="background1"/>
            <w:vAlign w:val="center"/>
            <w:hideMark/>
          </w:tcPr>
          <w:p w14:paraId="0CE9E979" w14:textId="77777777" w:rsidR="00B8298D" w:rsidRPr="004E5265" w:rsidRDefault="00B8298D" w:rsidP="00B8298D">
            <w:pPr>
              <w:jc w:val="right"/>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639</w:t>
            </w:r>
          </w:p>
        </w:tc>
      </w:tr>
      <w:tr w:rsidR="00B8298D" w:rsidRPr="00C31FCD" w14:paraId="655C78C3" w14:textId="77777777" w:rsidTr="00BF28DA">
        <w:trPr>
          <w:gridAfter w:val="1"/>
          <w:wAfter w:w="11" w:type="dxa"/>
          <w:jc w:val="center"/>
        </w:trPr>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35569D97" w14:textId="77777777" w:rsidR="00B8298D" w:rsidRPr="004E5265" w:rsidRDefault="00B8298D" w:rsidP="00B8298D">
            <w:pPr>
              <w:rPr>
                <w:rFonts w:ascii="Arial Narrow" w:eastAsia="Times New Roman" w:hAnsi="Arial Narrow" w:cs="Calibri"/>
                <w:color w:val="000000"/>
                <w:sz w:val="18"/>
                <w:szCs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6E883EB" w14:textId="77777777" w:rsidR="00B8298D" w:rsidRPr="004E5265" w:rsidRDefault="00B8298D" w:rsidP="00B8298D">
            <w:pPr>
              <w:rPr>
                <w:rFonts w:ascii="Arial Narrow" w:eastAsia="Times New Roman" w:hAnsi="Arial Narrow" w:cs="Calibri"/>
                <w:color w:val="000000"/>
                <w:sz w:val="18"/>
                <w:szCs w:val="18"/>
              </w:rPr>
            </w:pPr>
          </w:p>
        </w:tc>
        <w:tc>
          <w:tcPr>
            <w:tcW w:w="1097" w:type="dxa"/>
            <w:tcBorders>
              <w:top w:val="nil"/>
              <w:left w:val="single" w:sz="4" w:space="0" w:color="auto"/>
              <w:bottom w:val="single" w:sz="4" w:space="0" w:color="auto"/>
              <w:right w:val="single" w:sz="4" w:space="0" w:color="auto"/>
            </w:tcBorders>
            <w:shd w:val="clear" w:color="auto" w:fill="auto"/>
            <w:vAlign w:val="center"/>
            <w:hideMark/>
          </w:tcPr>
          <w:p w14:paraId="3119B4F3"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Part III</w:t>
            </w:r>
          </w:p>
        </w:tc>
        <w:tc>
          <w:tcPr>
            <w:tcW w:w="1210" w:type="dxa"/>
            <w:tcBorders>
              <w:top w:val="nil"/>
              <w:left w:val="nil"/>
              <w:bottom w:val="single" w:sz="4" w:space="0" w:color="auto"/>
              <w:right w:val="single" w:sz="4" w:space="0" w:color="auto"/>
            </w:tcBorders>
            <w:shd w:val="clear" w:color="auto" w:fill="FFFFFF" w:themeFill="background1"/>
            <w:vAlign w:val="center"/>
            <w:hideMark/>
          </w:tcPr>
          <w:p w14:paraId="423F9B4E"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N/A</w:t>
            </w:r>
          </w:p>
        </w:tc>
        <w:tc>
          <w:tcPr>
            <w:tcW w:w="964" w:type="dxa"/>
            <w:tcBorders>
              <w:top w:val="nil"/>
              <w:left w:val="nil"/>
              <w:bottom w:val="single" w:sz="4" w:space="0" w:color="auto"/>
              <w:right w:val="single" w:sz="4" w:space="0" w:color="auto"/>
            </w:tcBorders>
            <w:shd w:val="clear" w:color="auto" w:fill="auto"/>
            <w:vAlign w:val="center"/>
            <w:hideMark/>
          </w:tcPr>
          <w:p w14:paraId="1D35CEB0"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 xml:space="preserve">$0.36 </w:t>
            </w:r>
          </w:p>
        </w:tc>
        <w:tc>
          <w:tcPr>
            <w:tcW w:w="1281" w:type="dxa"/>
            <w:tcBorders>
              <w:top w:val="nil"/>
              <w:left w:val="nil"/>
              <w:bottom w:val="single" w:sz="4" w:space="0" w:color="auto"/>
              <w:right w:val="double" w:sz="4" w:space="0" w:color="auto"/>
            </w:tcBorders>
            <w:shd w:val="clear" w:color="auto" w:fill="auto"/>
            <w:vAlign w:val="center"/>
            <w:hideMark/>
          </w:tcPr>
          <w:p w14:paraId="3446F720"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Full Chemical Reports</w:t>
            </w:r>
          </w:p>
        </w:tc>
        <w:tc>
          <w:tcPr>
            <w:tcW w:w="1003" w:type="dxa"/>
            <w:tcBorders>
              <w:top w:val="nil"/>
              <w:left w:val="double" w:sz="4" w:space="0" w:color="auto"/>
              <w:bottom w:val="single" w:sz="4" w:space="0" w:color="auto"/>
              <w:right w:val="single" w:sz="4" w:space="0" w:color="auto"/>
            </w:tcBorders>
            <w:shd w:val="clear" w:color="auto" w:fill="FFFFFF" w:themeFill="background1"/>
            <w:vAlign w:val="center"/>
            <w:hideMark/>
          </w:tcPr>
          <w:p w14:paraId="21836184"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-1,</w:t>
            </w:r>
            <w:r>
              <w:rPr>
                <w:rFonts w:ascii="Arial Narrow" w:eastAsia="Times New Roman" w:hAnsi="Arial Narrow" w:cs="Calibri"/>
                <w:color w:val="000000" w:themeColor="text1"/>
                <w:sz w:val="18"/>
                <w:szCs w:val="18"/>
              </w:rPr>
              <w:t>840</w:t>
            </w:r>
          </w:p>
        </w:tc>
        <w:tc>
          <w:tcPr>
            <w:tcW w:w="839" w:type="dxa"/>
            <w:tcBorders>
              <w:top w:val="nil"/>
              <w:left w:val="nil"/>
              <w:bottom w:val="single" w:sz="4" w:space="0" w:color="auto"/>
              <w:right w:val="single" w:sz="4" w:space="0" w:color="auto"/>
            </w:tcBorders>
            <w:shd w:val="clear" w:color="auto" w:fill="auto"/>
            <w:vAlign w:val="center"/>
            <w:hideMark/>
          </w:tcPr>
          <w:p w14:paraId="4840C517" w14:textId="77777777" w:rsidR="00B8298D" w:rsidRPr="004E5265" w:rsidRDefault="00B8298D" w:rsidP="00B8298D">
            <w:pPr>
              <w:jc w:val="right"/>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N/A</w:t>
            </w:r>
          </w:p>
        </w:tc>
        <w:tc>
          <w:tcPr>
            <w:tcW w:w="921" w:type="dxa"/>
            <w:tcBorders>
              <w:top w:val="nil"/>
              <w:left w:val="nil"/>
              <w:bottom w:val="single" w:sz="4" w:space="0" w:color="auto"/>
              <w:right w:val="single" w:sz="4" w:space="0" w:color="auto"/>
            </w:tcBorders>
            <w:shd w:val="clear" w:color="auto" w:fill="FFFFFF" w:themeFill="background1"/>
            <w:vAlign w:val="center"/>
            <w:hideMark/>
          </w:tcPr>
          <w:p w14:paraId="77D5EFC6" w14:textId="77777777" w:rsidR="00B8298D" w:rsidRPr="004E5265" w:rsidRDefault="00B8298D" w:rsidP="00B8298D">
            <w:pPr>
              <w:jc w:val="right"/>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662</w:t>
            </w:r>
          </w:p>
        </w:tc>
      </w:tr>
      <w:tr w:rsidR="00B8298D" w:rsidRPr="00C31FCD" w14:paraId="4A1BC136" w14:textId="77777777" w:rsidTr="00BF28DA">
        <w:trPr>
          <w:gridAfter w:val="1"/>
          <w:wAfter w:w="11" w:type="dxa"/>
          <w:jc w:val="center"/>
        </w:trPr>
        <w:tc>
          <w:tcPr>
            <w:tcW w:w="106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91B82B" w14:textId="77777777" w:rsidR="00B8298D" w:rsidRPr="004E5265" w:rsidRDefault="00B8298D" w:rsidP="00B8298D">
            <w:pP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Quality Control</w:t>
            </w:r>
          </w:p>
        </w:tc>
        <w:tc>
          <w:tcPr>
            <w:tcW w:w="96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530F9B"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 xml:space="preserve">EPA Program Staff </w:t>
            </w:r>
          </w:p>
        </w:tc>
        <w:tc>
          <w:tcPr>
            <w:tcW w:w="1097" w:type="dxa"/>
            <w:tcBorders>
              <w:top w:val="nil"/>
              <w:left w:val="nil"/>
              <w:bottom w:val="single" w:sz="4" w:space="0" w:color="auto"/>
              <w:right w:val="single" w:sz="4" w:space="0" w:color="auto"/>
            </w:tcBorders>
            <w:shd w:val="clear" w:color="auto" w:fill="auto"/>
            <w:vAlign w:val="center"/>
            <w:hideMark/>
          </w:tcPr>
          <w:p w14:paraId="398A79D0"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Part I</w:t>
            </w:r>
          </w:p>
        </w:tc>
        <w:tc>
          <w:tcPr>
            <w:tcW w:w="1210" w:type="dxa"/>
            <w:tcBorders>
              <w:top w:val="nil"/>
              <w:left w:val="nil"/>
              <w:bottom w:val="single" w:sz="4" w:space="0" w:color="auto"/>
              <w:right w:val="single" w:sz="4" w:space="0" w:color="auto"/>
            </w:tcBorders>
            <w:shd w:val="clear" w:color="auto" w:fill="FFFFFF" w:themeFill="background1"/>
            <w:vAlign w:val="center"/>
            <w:hideMark/>
          </w:tcPr>
          <w:p w14:paraId="106FE580"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0.0019</w:t>
            </w:r>
          </w:p>
        </w:tc>
        <w:tc>
          <w:tcPr>
            <w:tcW w:w="964" w:type="dxa"/>
            <w:tcBorders>
              <w:top w:val="nil"/>
              <w:left w:val="nil"/>
              <w:bottom w:val="single" w:sz="4" w:space="0" w:color="auto"/>
              <w:right w:val="single" w:sz="4" w:space="0" w:color="auto"/>
            </w:tcBorders>
            <w:shd w:val="clear" w:color="auto" w:fill="auto"/>
            <w:vAlign w:val="center"/>
            <w:hideMark/>
          </w:tcPr>
          <w:p w14:paraId="2FC4172C" w14:textId="77777777" w:rsidR="00B8298D" w:rsidRPr="004E5265" w:rsidRDefault="00B8298D" w:rsidP="00B8298D">
            <w:pPr>
              <w:jc w:val="center"/>
              <w:rPr>
                <w:rFonts w:ascii="Arial Narrow" w:eastAsia="Times New Roman" w:hAnsi="Arial Narrow" w:cs="Calibri"/>
                <w:color w:val="000000"/>
                <w:sz w:val="18"/>
                <w:szCs w:val="18"/>
              </w:rPr>
            </w:pPr>
            <w:r>
              <w:rPr>
                <w:rFonts w:ascii="Arial Narrow" w:hAnsi="Arial Narrow" w:cs="Calibri"/>
                <w:color w:val="000000"/>
                <w:sz w:val="18"/>
                <w:szCs w:val="18"/>
              </w:rPr>
              <w:t xml:space="preserve">$0.12 </w:t>
            </w:r>
          </w:p>
        </w:tc>
        <w:tc>
          <w:tcPr>
            <w:tcW w:w="1281" w:type="dxa"/>
            <w:tcBorders>
              <w:top w:val="nil"/>
              <w:left w:val="nil"/>
              <w:bottom w:val="single" w:sz="4" w:space="0" w:color="auto"/>
              <w:right w:val="double" w:sz="4" w:space="0" w:color="auto"/>
            </w:tcBorders>
            <w:shd w:val="clear" w:color="auto" w:fill="auto"/>
            <w:vAlign w:val="center"/>
            <w:hideMark/>
          </w:tcPr>
          <w:p w14:paraId="10B9CB41"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Sites</w:t>
            </w:r>
          </w:p>
        </w:tc>
        <w:tc>
          <w:tcPr>
            <w:tcW w:w="1003" w:type="dxa"/>
            <w:tcBorders>
              <w:top w:val="nil"/>
              <w:left w:val="double" w:sz="4" w:space="0" w:color="auto"/>
              <w:bottom w:val="single" w:sz="4" w:space="0" w:color="auto"/>
              <w:right w:val="single" w:sz="4" w:space="0" w:color="auto"/>
            </w:tcBorders>
            <w:shd w:val="clear" w:color="auto" w:fill="FFFFFF" w:themeFill="background1"/>
            <w:vAlign w:val="center"/>
            <w:hideMark/>
          </w:tcPr>
          <w:p w14:paraId="42B72F0A"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-167</w:t>
            </w:r>
          </w:p>
        </w:tc>
        <w:tc>
          <w:tcPr>
            <w:tcW w:w="839" w:type="dxa"/>
            <w:tcBorders>
              <w:top w:val="nil"/>
              <w:left w:val="nil"/>
              <w:bottom w:val="single" w:sz="4" w:space="0" w:color="auto"/>
              <w:right w:val="single" w:sz="4" w:space="0" w:color="auto"/>
            </w:tcBorders>
            <w:shd w:val="clear" w:color="auto" w:fill="auto"/>
            <w:vAlign w:val="center"/>
            <w:hideMark/>
          </w:tcPr>
          <w:p w14:paraId="089475D7" w14:textId="77777777" w:rsidR="00B8298D" w:rsidRPr="004E5265" w:rsidRDefault="00B8298D" w:rsidP="00B8298D">
            <w:pPr>
              <w:jc w:val="right"/>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0</w:t>
            </w:r>
          </w:p>
        </w:tc>
        <w:tc>
          <w:tcPr>
            <w:tcW w:w="921" w:type="dxa"/>
            <w:tcBorders>
              <w:top w:val="nil"/>
              <w:left w:val="nil"/>
              <w:bottom w:val="single" w:sz="4" w:space="0" w:color="auto"/>
              <w:right w:val="single" w:sz="4" w:space="0" w:color="auto"/>
            </w:tcBorders>
            <w:shd w:val="clear" w:color="auto" w:fill="FFFFFF" w:themeFill="background1"/>
            <w:vAlign w:val="center"/>
            <w:hideMark/>
          </w:tcPr>
          <w:p w14:paraId="42797F77" w14:textId="77777777" w:rsidR="00B8298D" w:rsidRPr="004E5265" w:rsidRDefault="00B8298D" w:rsidP="00B8298D">
            <w:pPr>
              <w:jc w:val="right"/>
              <w:rPr>
                <w:rFonts w:ascii="Arial Narrow" w:eastAsia="Times New Roman" w:hAnsi="Arial Narrow" w:cs="Calibri"/>
                <w:color w:val="000000"/>
                <w:sz w:val="18"/>
                <w:szCs w:val="18"/>
              </w:rPr>
            </w:pPr>
            <w:r>
              <w:rPr>
                <w:rFonts w:ascii="Arial Narrow" w:hAnsi="Arial Narrow" w:cs="Calibri"/>
                <w:color w:val="000000"/>
                <w:sz w:val="18"/>
                <w:szCs w:val="18"/>
              </w:rPr>
              <w:t>-$20</w:t>
            </w:r>
          </w:p>
        </w:tc>
      </w:tr>
      <w:tr w:rsidR="00B8298D" w:rsidRPr="00C31FCD" w14:paraId="55A60713" w14:textId="77777777" w:rsidTr="00BF28DA">
        <w:trPr>
          <w:gridAfter w:val="1"/>
          <w:wAfter w:w="11" w:type="dxa"/>
          <w:jc w:val="center"/>
        </w:trPr>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25D00B50" w14:textId="77777777" w:rsidR="00B8298D" w:rsidRPr="004E5265" w:rsidRDefault="00B8298D" w:rsidP="00B8298D">
            <w:pPr>
              <w:rPr>
                <w:rFonts w:ascii="Arial Narrow" w:eastAsia="Times New Roman" w:hAnsi="Arial Narrow" w:cs="Calibri"/>
                <w:color w:val="000000"/>
                <w:sz w:val="18"/>
                <w:szCs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394EB59C" w14:textId="77777777" w:rsidR="00B8298D" w:rsidRPr="004E5265" w:rsidRDefault="00B8298D" w:rsidP="00B8298D">
            <w:pPr>
              <w:rPr>
                <w:rFonts w:ascii="Arial Narrow" w:eastAsia="Times New Roman" w:hAnsi="Arial Narrow" w:cs="Calibri"/>
                <w:color w:val="000000"/>
                <w:sz w:val="18"/>
                <w:szCs w:val="18"/>
              </w:rPr>
            </w:pPr>
          </w:p>
        </w:tc>
        <w:tc>
          <w:tcPr>
            <w:tcW w:w="1097" w:type="dxa"/>
            <w:tcBorders>
              <w:top w:val="nil"/>
              <w:left w:val="single" w:sz="4" w:space="0" w:color="auto"/>
              <w:bottom w:val="single" w:sz="4" w:space="0" w:color="auto"/>
              <w:right w:val="single" w:sz="4" w:space="0" w:color="auto"/>
            </w:tcBorders>
            <w:shd w:val="clear" w:color="auto" w:fill="auto"/>
            <w:vAlign w:val="center"/>
            <w:hideMark/>
          </w:tcPr>
          <w:p w14:paraId="1B99E855"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Part II</w:t>
            </w:r>
          </w:p>
        </w:tc>
        <w:tc>
          <w:tcPr>
            <w:tcW w:w="1210" w:type="dxa"/>
            <w:tcBorders>
              <w:top w:val="nil"/>
              <w:left w:val="nil"/>
              <w:bottom w:val="single" w:sz="4" w:space="0" w:color="auto"/>
              <w:right w:val="single" w:sz="4" w:space="0" w:color="auto"/>
            </w:tcBorders>
            <w:shd w:val="clear" w:color="auto" w:fill="FFFFFF" w:themeFill="background1"/>
            <w:vAlign w:val="center"/>
            <w:hideMark/>
          </w:tcPr>
          <w:p w14:paraId="7A72C35E"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0.0054</w:t>
            </w:r>
          </w:p>
        </w:tc>
        <w:tc>
          <w:tcPr>
            <w:tcW w:w="964" w:type="dxa"/>
            <w:tcBorders>
              <w:top w:val="nil"/>
              <w:left w:val="nil"/>
              <w:bottom w:val="single" w:sz="4" w:space="0" w:color="auto"/>
              <w:right w:val="single" w:sz="4" w:space="0" w:color="auto"/>
            </w:tcBorders>
            <w:shd w:val="clear" w:color="auto" w:fill="auto"/>
            <w:vAlign w:val="center"/>
            <w:hideMark/>
          </w:tcPr>
          <w:p w14:paraId="1FBDD9B9" w14:textId="77777777" w:rsidR="00B8298D" w:rsidRPr="004E5265" w:rsidRDefault="00B8298D" w:rsidP="00B8298D">
            <w:pPr>
              <w:jc w:val="center"/>
              <w:rPr>
                <w:rFonts w:ascii="Arial Narrow" w:eastAsia="Times New Roman" w:hAnsi="Arial Narrow" w:cs="Calibri"/>
                <w:color w:val="000000"/>
                <w:sz w:val="18"/>
                <w:szCs w:val="18"/>
              </w:rPr>
            </w:pPr>
            <w:r>
              <w:rPr>
                <w:rFonts w:ascii="Arial Narrow" w:hAnsi="Arial Narrow" w:cs="Calibri"/>
                <w:color w:val="000000"/>
                <w:sz w:val="18"/>
                <w:szCs w:val="18"/>
              </w:rPr>
              <w:t xml:space="preserve">$0.35 </w:t>
            </w:r>
          </w:p>
        </w:tc>
        <w:tc>
          <w:tcPr>
            <w:tcW w:w="1281" w:type="dxa"/>
            <w:tcBorders>
              <w:top w:val="nil"/>
              <w:left w:val="nil"/>
              <w:bottom w:val="single" w:sz="4" w:space="0" w:color="auto"/>
              <w:right w:val="double" w:sz="4" w:space="0" w:color="auto"/>
            </w:tcBorders>
            <w:shd w:val="clear" w:color="auto" w:fill="auto"/>
            <w:vAlign w:val="center"/>
            <w:hideMark/>
          </w:tcPr>
          <w:p w14:paraId="51564953"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Full and Partial Chemical Reports</w:t>
            </w:r>
          </w:p>
        </w:tc>
        <w:tc>
          <w:tcPr>
            <w:tcW w:w="1003" w:type="dxa"/>
            <w:tcBorders>
              <w:top w:val="nil"/>
              <w:left w:val="double" w:sz="4" w:space="0" w:color="auto"/>
              <w:bottom w:val="single" w:sz="4" w:space="0" w:color="auto"/>
              <w:right w:val="single" w:sz="4" w:space="0" w:color="auto"/>
            </w:tcBorders>
            <w:shd w:val="clear" w:color="auto" w:fill="FFFFFF" w:themeFill="background1"/>
            <w:vAlign w:val="center"/>
            <w:hideMark/>
          </w:tcPr>
          <w:p w14:paraId="7647DB0D"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-2,</w:t>
            </w:r>
            <w:r>
              <w:rPr>
                <w:rFonts w:ascii="Arial Narrow" w:eastAsia="Times New Roman" w:hAnsi="Arial Narrow" w:cs="Calibri"/>
                <w:color w:val="000000" w:themeColor="text1"/>
                <w:sz w:val="18"/>
                <w:szCs w:val="18"/>
              </w:rPr>
              <w:t>061</w:t>
            </w:r>
          </w:p>
        </w:tc>
        <w:tc>
          <w:tcPr>
            <w:tcW w:w="839" w:type="dxa"/>
            <w:tcBorders>
              <w:top w:val="nil"/>
              <w:left w:val="nil"/>
              <w:bottom w:val="single" w:sz="4" w:space="0" w:color="auto"/>
              <w:right w:val="single" w:sz="4" w:space="0" w:color="auto"/>
            </w:tcBorders>
            <w:shd w:val="clear" w:color="auto" w:fill="auto"/>
            <w:vAlign w:val="center"/>
            <w:hideMark/>
          </w:tcPr>
          <w:p w14:paraId="3DAB8320" w14:textId="77777777" w:rsidR="00B8298D" w:rsidRPr="004E5265" w:rsidRDefault="00B8298D" w:rsidP="00B8298D">
            <w:pPr>
              <w:jc w:val="right"/>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-1</w:t>
            </w:r>
            <w:r>
              <w:rPr>
                <w:rFonts w:ascii="Arial Narrow" w:eastAsia="Times New Roman" w:hAnsi="Arial Narrow" w:cs="Calibri"/>
                <w:color w:val="000000" w:themeColor="text1"/>
                <w:sz w:val="18"/>
                <w:szCs w:val="18"/>
              </w:rPr>
              <w:t>1</w:t>
            </w:r>
          </w:p>
        </w:tc>
        <w:tc>
          <w:tcPr>
            <w:tcW w:w="921" w:type="dxa"/>
            <w:tcBorders>
              <w:top w:val="nil"/>
              <w:left w:val="nil"/>
              <w:bottom w:val="single" w:sz="4" w:space="0" w:color="auto"/>
              <w:right w:val="single" w:sz="4" w:space="0" w:color="auto"/>
            </w:tcBorders>
            <w:shd w:val="clear" w:color="auto" w:fill="FFFFFF" w:themeFill="background1"/>
            <w:vAlign w:val="center"/>
            <w:hideMark/>
          </w:tcPr>
          <w:p w14:paraId="77D230C6" w14:textId="77777777" w:rsidR="00B8298D" w:rsidRPr="004E5265" w:rsidRDefault="00B8298D" w:rsidP="00B8298D">
            <w:pPr>
              <w:jc w:val="right"/>
              <w:rPr>
                <w:rFonts w:ascii="Arial Narrow" w:eastAsia="Times New Roman" w:hAnsi="Arial Narrow" w:cs="Calibri"/>
                <w:color w:val="000000"/>
                <w:sz w:val="18"/>
                <w:szCs w:val="18"/>
              </w:rPr>
            </w:pPr>
            <w:r>
              <w:rPr>
                <w:rFonts w:ascii="Arial Narrow" w:hAnsi="Arial Narrow" w:cs="Calibri"/>
                <w:color w:val="000000"/>
                <w:sz w:val="18"/>
                <w:szCs w:val="18"/>
              </w:rPr>
              <w:t>-$721</w:t>
            </w:r>
          </w:p>
        </w:tc>
      </w:tr>
      <w:tr w:rsidR="00B8298D" w:rsidRPr="00C31FCD" w14:paraId="739CA169" w14:textId="77777777" w:rsidTr="00BF28DA">
        <w:trPr>
          <w:gridAfter w:val="1"/>
          <w:wAfter w:w="11" w:type="dxa"/>
          <w:jc w:val="center"/>
        </w:trPr>
        <w:tc>
          <w:tcPr>
            <w:tcW w:w="1068" w:type="dxa"/>
            <w:gridSpan w:val="2"/>
            <w:vMerge/>
            <w:tcBorders>
              <w:top w:val="single" w:sz="4" w:space="0" w:color="auto"/>
              <w:left w:val="single" w:sz="4" w:space="0" w:color="auto"/>
              <w:bottom w:val="single" w:sz="4" w:space="0" w:color="auto"/>
              <w:right w:val="single" w:sz="4" w:space="0" w:color="auto"/>
            </w:tcBorders>
            <w:vAlign w:val="center"/>
            <w:hideMark/>
          </w:tcPr>
          <w:p w14:paraId="5D6A5A83" w14:textId="77777777" w:rsidR="00B8298D" w:rsidRPr="004E5265" w:rsidRDefault="00B8298D" w:rsidP="00B8298D">
            <w:pPr>
              <w:rPr>
                <w:rFonts w:ascii="Arial Narrow" w:eastAsia="Times New Roman" w:hAnsi="Arial Narrow" w:cs="Calibri"/>
                <w:color w:val="000000"/>
                <w:sz w:val="18"/>
                <w:szCs w:val="18"/>
              </w:rPr>
            </w:pPr>
          </w:p>
        </w:tc>
        <w:tc>
          <w:tcPr>
            <w:tcW w:w="966" w:type="dxa"/>
            <w:vMerge/>
            <w:tcBorders>
              <w:top w:val="single" w:sz="4" w:space="0" w:color="auto"/>
              <w:left w:val="single" w:sz="4" w:space="0" w:color="auto"/>
              <w:bottom w:val="single" w:sz="4" w:space="0" w:color="auto"/>
              <w:right w:val="single" w:sz="4" w:space="0" w:color="auto"/>
            </w:tcBorders>
            <w:vAlign w:val="center"/>
            <w:hideMark/>
          </w:tcPr>
          <w:p w14:paraId="541F4209" w14:textId="77777777" w:rsidR="00B8298D" w:rsidRPr="004E5265" w:rsidRDefault="00B8298D" w:rsidP="00B8298D">
            <w:pPr>
              <w:rPr>
                <w:rFonts w:ascii="Arial Narrow" w:eastAsia="Times New Roman" w:hAnsi="Arial Narrow" w:cs="Calibri"/>
                <w:color w:val="000000"/>
                <w:sz w:val="18"/>
                <w:szCs w:val="18"/>
              </w:rPr>
            </w:pPr>
          </w:p>
        </w:tc>
        <w:tc>
          <w:tcPr>
            <w:tcW w:w="1097" w:type="dxa"/>
            <w:tcBorders>
              <w:top w:val="nil"/>
              <w:left w:val="single" w:sz="4" w:space="0" w:color="auto"/>
              <w:bottom w:val="single" w:sz="12" w:space="0" w:color="auto"/>
              <w:right w:val="single" w:sz="4" w:space="0" w:color="auto"/>
            </w:tcBorders>
            <w:shd w:val="clear" w:color="auto" w:fill="auto"/>
            <w:vAlign w:val="center"/>
            <w:hideMark/>
          </w:tcPr>
          <w:p w14:paraId="4E352311"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Part III</w:t>
            </w:r>
          </w:p>
        </w:tc>
        <w:tc>
          <w:tcPr>
            <w:tcW w:w="1210" w:type="dxa"/>
            <w:tcBorders>
              <w:top w:val="nil"/>
              <w:left w:val="nil"/>
              <w:bottom w:val="single" w:sz="12" w:space="0" w:color="auto"/>
              <w:right w:val="single" w:sz="4" w:space="0" w:color="auto"/>
            </w:tcBorders>
            <w:shd w:val="clear" w:color="auto" w:fill="FFFFFF" w:themeFill="background1"/>
            <w:vAlign w:val="center"/>
            <w:hideMark/>
          </w:tcPr>
          <w:p w14:paraId="678F2E2C"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0.0063</w:t>
            </w:r>
          </w:p>
        </w:tc>
        <w:tc>
          <w:tcPr>
            <w:tcW w:w="964" w:type="dxa"/>
            <w:tcBorders>
              <w:top w:val="nil"/>
              <w:left w:val="nil"/>
              <w:bottom w:val="single" w:sz="12" w:space="0" w:color="auto"/>
              <w:right w:val="single" w:sz="4" w:space="0" w:color="auto"/>
            </w:tcBorders>
            <w:shd w:val="clear" w:color="auto" w:fill="auto"/>
            <w:vAlign w:val="center"/>
            <w:hideMark/>
          </w:tcPr>
          <w:p w14:paraId="7AEB3682" w14:textId="77777777" w:rsidR="00B8298D" w:rsidRPr="004E5265" w:rsidRDefault="00B8298D" w:rsidP="00B8298D">
            <w:pPr>
              <w:jc w:val="center"/>
              <w:rPr>
                <w:rFonts w:ascii="Arial Narrow" w:eastAsia="Times New Roman" w:hAnsi="Arial Narrow" w:cs="Calibri"/>
                <w:color w:val="000000"/>
                <w:sz w:val="18"/>
                <w:szCs w:val="18"/>
              </w:rPr>
            </w:pPr>
            <w:r>
              <w:rPr>
                <w:rFonts w:ascii="Arial Narrow" w:hAnsi="Arial Narrow" w:cs="Calibri"/>
                <w:color w:val="000000"/>
                <w:sz w:val="18"/>
                <w:szCs w:val="18"/>
              </w:rPr>
              <w:t xml:space="preserve">$0.41 </w:t>
            </w:r>
          </w:p>
        </w:tc>
        <w:tc>
          <w:tcPr>
            <w:tcW w:w="1281" w:type="dxa"/>
            <w:tcBorders>
              <w:top w:val="nil"/>
              <w:left w:val="nil"/>
              <w:bottom w:val="single" w:sz="12" w:space="0" w:color="auto"/>
              <w:right w:val="double" w:sz="4" w:space="0" w:color="auto"/>
            </w:tcBorders>
            <w:shd w:val="clear" w:color="auto" w:fill="auto"/>
            <w:vAlign w:val="center"/>
            <w:hideMark/>
          </w:tcPr>
          <w:p w14:paraId="2C9701FA" w14:textId="77777777" w:rsidR="00B8298D" w:rsidRPr="004E5265" w:rsidRDefault="00B8298D" w:rsidP="00B8298D">
            <w:pPr>
              <w:jc w:val="cente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Full Chemical Reports</w:t>
            </w:r>
          </w:p>
        </w:tc>
        <w:tc>
          <w:tcPr>
            <w:tcW w:w="1003" w:type="dxa"/>
            <w:tcBorders>
              <w:top w:val="nil"/>
              <w:left w:val="double" w:sz="4" w:space="0" w:color="auto"/>
              <w:bottom w:val="single" w:sz="12" w:space="0" w:color="auto"/>
              <w:right w:val="single" w:sz="4" w:space="0" w:color="auto"/>
            </w:tcBorders>
            <w:shd w:val="clear" w:color="auto" w:fill="FFFFFF" w:themeFill="background1"/>
            <w:vAlign w:val="center"/>
            <w:hideMark/>
          </w:tcPr>
          <w:p w14:paraId="3833AB43" w14:textId="77777777" w:rsidR="00B8298D" w:rsidRPr="004E5265" w:rsidRDefault="00B8298D" w:rsidP="00B8298D">
            <w:pPr>
              <w:jc w:val="center"/>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-1,</w:t>
            </w:r>
            <w:r>
              <w:rPr>
                <w:rFonts w:ascii="Arial Narrow" w:eastAsia="Times New Roman" w:hAnsi="Arial Narrow" w:cs="Calibri"/>
                <w:color w:val="000000" w:themeColor="text1"/>
                <w:sz w:val="18"/>
                <w:szCs w:val="18"/>
              </w:rPr>
              <w:t>840</w:t>
            </w:r>
          </w:p>
        </w:tc>
        <w:tc>
          <w:tcPr>
            <w:tcW w:w="839" w:type="dxa"/>
            <w:tcBorders>
              <w:top w:val="nil"/>
              <w:left w:val="nil"/>
              <w:bottom w:val="single" w:sz="12" w:space="0" w:color="auto"/>
              <w:right w:val="single" w:sz="4" w:space="0" w:color="auto"/>
            </w:tcBorders>
            <w:shd w:val="clear" w:color="auto" w:fill="auto"/>
            <w:vAlign w:val="center"/>
            <w:hideMark/>
          </w:tcPr>
          <w:p w14:paraId="313E0235" w14:textId="77777777" w:rsidR="00B8298D" w:rsidRPr="004E5265" w:rsidRDefault="00B8298D" w:rsidP="00B8298D">
            <w:pPr>
              <w:jc w:val="right"/>
              <w:rPr>
                <w:rFonts w:ascii="Arial Narrow" w:eastAsia="Times New Roman" w:hAnsi="Arial Narrow" w:cs="Calibri"/>
                <w:color w:val="000000" w:themeColor="text1"/>
                <w:sz w:val="18"/>
                <w:szCs w:val="18"/>
              </w:rPr>
            </w:pPr>
            <w:r w:rsidRPr="004E5265">
              <w:rPr>
                <w:rFonts w:ascii="Arial Narrow" w:eastAsia="Times New Roman" w:hAnsi="Arial Narrow" w:cs="Calibri"/>
                <w:color w:val="000000" w:themeColor="text1"/>
                <w:sz w:val="18"/>
                <w:szCs w:val="18"/>
              </w:rPr>
              <w:t>-1</w:t>
            </w:r>
            <w:r>
              <w:rPr>
                <w:rFonts w:ascii="Arial Narrow" w:eastAsia="Times New Roman" w:hAnsi="Arial Narrow" w:cs="Calibri"/>
                <w:color w:val="000000" w:themeColor="text1"/>
                <w:sz w:val="18"/>
                <w:szCs w:val="18"/>
              </w:rPr>
              <w:t>2</w:t>
            </w:r>
          </w:p>
        </w:tc>
        <w:tc>
          <w:tcPr>
            <w:tcW w:w="921" w:type="dxa"/>
            <w:tcBorders>
              <w:top w:val="nil"/>
              <w:left w:val="nil"/>
              <w:bottom w:val="single" w:sz="12" w:space="0" w:color="auto"/>
              <w:right w:val="single" w:sz="4" w:space="0" w:color="auto"/>
            </w:tcBorders>
            <w:shd w:val="clear" w:color="auto" w:fill="FFFFFF" w:themeFill="background1"/>
            <w:vAlign w:val="center"/>
            <w:hideMark/>
          </w:tcPr>
          <w:p w14:paraId="32E76F11" w14:textId="77777777" w:rsidR="00B8298D" w:rsidRPr="004E5265" w:rsidRDefault="00B8298D" w:rsidP="00B8298D">
            <w:pPr>
              <w:jc w:val="right"/>
              <w:rPr>
                <w:rFonts w:ascii="Arial Narrow" w:eastAsia="Times New Roman" w:hAnsi="Arial Narrow" w:cs="Calibri"/>
                <w:color w:val="000000"/>
                <w:sz w:val="18"/>
                <w:szCs w:val="18"/>
              </w:rPr>
            </w:pPr>
            <w:r>
              <w:rPr>
                <w:rFonts w:ascii="Arial Narrow" w:hAnsi="Arial Narrow" w:cs="Calibri"/>
                <w:color w:val="000000"/>
                <w:sz w:val="18"/>
                <w:szCs w:val="18"/>
              </w:rPr>
              <w:t>-$754</w:t>
            </w:r>
          </w:p>
        </w:tc>
      </w:tr>
      <w:tr w:rsidR="00B8298D" w:rsidRPr="00C31FCD" w14:paraId="2EE07DC8" w14:textId="77777777" w:rsidTr="00310FD7">
        <w:trPr>
          <w:gridAfter w:val="1"/>
          <w:wAfter w:w="11" w:type="dxa"/>
          <w:jc w:val="center"/>
        </w:trPr>
        <w:tc>
          <w:tcPr>
            <w:tcW w:w="3131" w:type="dxa"/>
            <w:gridSpan w:val="4"/>
            <w:tcBorders>
              <w:top w:val="single" w:sz="12" w:space="0" w:color="auto"/>
              <w:left w:val="single" w:sz="4" w:space="0" w:color="auto"/>
              <w:bottom w:val="single" w:sz="8" w:space="0" w:color="auto"/>
            </w:tcBorders>
            <w:shd w:val="clear" w:color="auto" w:fill="auto"/>
            <w:vAlign w:val="center"/>
            <w:hideMark/>
          </w:tcPr>
          <w:p w14:paraId="5AE928DC" w14:textId="77777777" w:rsidR="00B8298D" w:rsidRPr="004E5265" w:rsidRDefault="00B8298D" w:rsidP="00B8298D">
            <w:pPr>
              <w:rPr>
                <w:rFonts w:ascii="Arial Narrow" w:eastAsia="Times New Roman" w:hAnsi="Arial Narrow" w:cs="Calibri"/>
                <w:b/>
                <w:bCs/>
                <w:color w:val="000000"/>
                <w:sz w:val="18"/>
                <w:szCs w:val="18"/>
              </w:rPr>
            </w:pPr>
            <w:r w:rsidRPr="004E5265">
              <w:rPr>
                <w:rFonts w:ascii="Arial Narrow" w:eastAsia="Times New Roman" w:hAnsi="Arial Narrow" w:cs="Calibri"/>
                <w:b/>
                <w:bCs/>
                <w:color w:val="000000"/>
                <w:sz w:val="18"/>
                <w:szCs w:val="18"/>
              </w:rPr>
              <w:t>Total Variable Burden and Cost</w:t>
            </w:r>
          </w:p>
        </w:tc>
        <w:tc>
          <w:tcPr>
            <w:tcW w:w="1210" w:type="dxa"/>
            <w:tcBorders>
              <w:top w:val="single" w:sz="12" w:space="0" w:color="auto"/>
              <w:bottom w:val="single" w:sz="8" w:space="0" w:color="auto"/>
            </w:tcBorders>
            <w:shd w:val="clear" w:color="auto" w:fill="auto"/>
            <w:vAlign w:val="center"/>
            <w:hideMark/>
          </w:tcPr>
          <w:p w14:paraId="3DD17988" w14:textId="77777777" w:rsidR="00B8298D" w:rsidRPr="004E5265" w:rsidRDefault="00B8298D" w:rsidP="00B8298D">
            <w:pPr>
              <w:rPr>
                <w:rFonts w:ascii="Arial Narrow" w:eastAsia="Times New Roman" w:hAnsi="Arial Narrow" w:cs="Calibri"/>
                <w:b/>
                <w:bCs/>
                <w:color w:val="000000" w:themeColor="text1"/>
                <w:sz w:val="18"/>
                <w:szCs w:val="18"/>
              </w:rPr>
            </w:pPr>
            <w:r w:rsidRPr="004E5265">
              <w:rPr>
                <w:rFonts w:ascii="Arial Narrow" w:eastAsia="Times New Roman" w:hAnsi="Arial Narrow" w:cs="Calibri"/>
                <w:b/>
                <w:bCs/>
                <w:color w:val="000000" w:themeColor="text1"/>
                <w:sz w:val="18"/>
                <w:szCs w:val="18"/>
              </w:rPr>
              <w:t> </w:t>
            </w:r>
          </w:p>
        </w:tc>
        <w:tc>
          <w:tcPr>
            <w:tcW w:w="964" w:type="dxa"/>
            <w:tcBorders>
              <w:top w:val="single" w:sz="12" w:space="0" w:color="auto"/>
              <w:bottom w:val="single" w:sz="8" w:space="0" w:color="auto"/>
            </w:tcBorders>
            <w:shd w:val="clear" w:color="auto" w:fill="auto"/>
            <w:vAlign w:val="center"/>
            <w:hideMark/>
          </w:tcPr>
          <w:p w14:paraId="283028AE" w14:textId="77777777" w:rsidR="00B8298D" w:rsidRPr="004E5265" w:rsidRDefault="00B8298D" w:rsidP="00B8298D">
            <w:pPr>
              <w:rPr>
                <w:rFonts w:ascii="Arial Narrow" w:eastAsia="Times New Roman" w:hAnsi="Arial Narrow" w:cs="Calibri"/>
                <w:b/>
                <w:bCs/>
                <w:color w:val="000000" w:themeColor="text1"/>
                <w:sz w:val="18"/>
                <w:szCs w:val="18"/>
              </w:rPr>
            </w:pPr>
            <w:r w:rsidRPr="004E5265">
              <w:rPr>
                <w:rFonts w:ascii="Arial Narrow" w:eastAsia="Times New Roman" w:hAnsi="Arial Narrow" w:cs="Calibri"/>
                <w:b/>
                <w:bCs/>
                <w:color w:val="000000" w:themeColor="text1"/>
                <w:sz w:val="18"/>
                <w:szCs w:val="18"/>
              </w:rPr>
              <w:t> </w:t>
            </w:r>
          </w:p>
        </w:tc>
        <w:tc>
          <w:tcPr>
            <w:tcW w:w="1281" w:type="dxa"/>
            <w:tcBorders>
              <w:top w:val="single" w:sz="12" w:space="0" w:color="auto"/>
              <w:bottom w:val="single" w:sz="8" w:space="0" w:color="auto"/>
            </w:tcBorders>
            <w:shd w:val="clear" w:color="auto" w:fill="auto"/>
            <w:vAlign w:val="center"/>
            <w:hideMark/>
          </w:tcPr>
          <w:p w14:paraId="5A955F9F" w14:textId="77777777" w:rsidR="00B8298D" w:rsidRPr="004E5265" w:rsidRDefault="00B8298D" w:rsidP="00B8298D">
            <w:pPr>
              <w:rPr>
                <w:rFonts w:ascii="Arial Narrow" w:eastAsia="Times New Roman" w:hAnsi="Arial Narrow" w:cs="Calibri"/>
                <w:b/>
                <w:bCs/>
                <w:color w:val="000000" w:themeColor="text1"/>
                <w:sz w:val="18"/>
                <w:szCs w:val="18"/>
              </w:rPr>
            </w:pPr>
            <w:r w:rsidRPr="004E5265">
              <w:rPr>
                <w:rFonts w:ascii="Arial Narrow" w:eastAsia="Times New Roman" w:hAnsi="Arial Narrow" w:cs="Calibri"/>
                <w:b/>
                <w:bCs/>
                <w:color w:val="000000" w:themeColor="text1"/>
                <w:sz w:val="18"/>
                <w:szCs w:val="18"/>
              </w:rPr>
              <w:t> </w:t>
            </w:r>
          </w:p>
        </w:tc>
        <w:tc>
          <w:tcPr>
            <w:tcW w:w="1003" w:type="dxa"/>
            <w:tcBorders>
              <w:top w:val="single" w:sz="12" w:space="0" w:color="auto"/>
              <w:bottom w:val="single" w:sz="8" w:space="0" w:color="auto"/>
              <w:right w:val="single" w:sz="4" w:space="0" w:color="auto"/>
            </w:tcBorders>
            <w:shd w:val="clear" w:color="auto" w:fill="auto"/>
            <w:vAlign w:val="center"/>
            <w:hideMark/>
          </w:tcPr>
          <w:p w14:paraId="2F822A62" w14:textId="77777777" w:rsidR="00B8298D" w:rsidRPr="004E5265" w:rsidRDefault="00B8298D" w:rsidP="00B8298D">
            <w:pPr>
              <w:rPr>
                <w:rFonts w:ascii="Arial Narrow" w:eastAsia="Times New Roman" w:hAnsi="Arial Narrow" w:cs="Calibri"/>
                <w:b/>
                <w:bCs/>
                <w:color w:val="000000" w:themeColor="text1"/>
                <w:sz w:val="18"/>
                <w:szCs w:val="18"/>
              </w:rPr>
            </w:pPr>
            <w:r w:rsidRPr="004E5265">
              <w:rPr>
                <w:rFonts w:ascii="Arial Narrow" w:eastAsia="Times New Roman" w:hAnsi="Arial Narrow" w:cs="Calibri"/>
                <w:b/>
                <w:bCs/>
                <w:color w:val="000000" w:themeColor="text1"/>
                <w:sz w:val="18"/>
                <w:szCs w:val="18"/>
              </w:rPr>
              <w:t> </w:t>
            </w:r>
          </w:p>
        </w:tc>
        <w:tc>
          <w:tcPr>
            <w:tcW w:w="839" w:type="dxa"/>
            <w:tcBorders>
              <w:top w:val="single" w:sz="12" w:space="0" w:color="auto"/>
              <w:left w:val="single" w:sz="4" w:space="0" w:color="auto"/>
              <w:bottom w:val="single" w:sz="8" w:space="0" w:color="auto"/>
              <w:right w:val="single" w:sz="4" w:space="0" w:color="auto"/>
            </w:tcBorders>
            <w:shd w:val="clear" w:color="auto" w:fill="auto"/>
            <w:vAlign w:val="center"/>
            <w:hideMark/>
          </w:tcPr>
          <w:p w14:paraId="2FA0C05A" w14:textId="77777777" w:rsidR="00B8298D" w:rsidRPr="004E5265" w:rsidRDefault="00B8298D" w:rsidP="00B8298D">
            <w:pPr>
              <w:jc w:val="right"/>
              <w:rPr>
                <w:rFonts w:ascii="Arial Narrow" w:eastAsia="Times New Roman" w:hAnsi="Arial Narrow" w:cs="Calibri"/>
                <w:b/>
                <w:bCs/>
                <w:color w:val="000000" w:themeColor="text1"/>
                <w:sz w:val="18"/>
                <w:szCs w:val="18"/>
              </w:rPr>
            </w:pPr>
            <w:r w:rsidRPr="004E5265">
              <w:rPr>
                <w:rFonts w:ascii="Arial Narrow" w:eastAsia="Times New Roman" w:hAnsi="Arial Narrow" w:cs="Calibri"/>
                <w:b/>
                <w:bCs/>
                <w:color w:val="000000" w:themeColor="text1"/>
                <w:sz w:val="18"/>
                <w:szCs w:val="18"/>
              </w:rPr>
              <w:t>-2</w:t>
            </w:r>
            <w:r>
              <w:rPr>
                <w:rFonts w:ascii="Arial Narrow" w:eastAsia="Times New Roman" w:hAnsi="Arial Narrow" w:cs="Calibri"/>
                <w:b/>
                <w:bCs/>
                <w:color w:val="000000" w:themeColor="text1"/>
                <w:sz w:val="18"/>
                <w:szCs w:val="18"/>
              </w:rPr>
              <w:t>3</w:t>
            </w:r>
          </w:p>
        </w:tc>
        <w:tc>
          <w:tcPr>
            <w:tcW w:w="921" w:type="dxa"/>
            <w:tcBorders>
              <w:top w:val="single" w:sz="12" w:space="0" w:color="auto"/>
              <w:left w:val="single" w:sz="4" w:space="0" w:color="auto"/>
              <w:bottom w:val="single" w:sz="8" w:space="0" w:color="auto"/>
              <w:right w:val="single" w:sz="8" w:space="0" w:color="auto"/>
            </w:tcBorders>
            <w:shd w:val="clear" w:color="auto" w:fill="auto"/>
            <w:vAlign w:val="center"/>
            <w:hideMark/>
          </w:tcPr>
          <w:p w14:paraId="450012DD" w14:textId="77777777" w:rsidR="00B8298D" w:rsidRPr="00FC1700" w:rsidRDefault="00B8298D" w:rsidP="00B8298D">
            <w:pPr>
              <w:jc w:val="right"/>
              <w:rPr>
                <w:rFonts w:ascii="Arial Narrow" w:hAnsi="Arial Narrow" w:cs="Calibri"/>
                <w:b/>
                <w:bCs/>
                <w:color w:val="000000"/>
                <w:sz w:val="18"/>
                <w:szCs w:val="18"/>
              </w:rPr>
            </w:pPr>
            <w:r>
              <w:rPr>
                <w:rFonts w:ascii="Arial Narrow" w:hAnsi="Arial Narrow" w:cs="Calibri"/>
                <w:b/>
                <w:bCs/>
                <w:color w:val="000000"/>
                <w:sz w:val="18"/>
                <w:szCs w:val="18"/>
              </w:rPr>
              <w:t>-$2,814</w:t>
            </w:r>
          </w:p>
        </w:tc>
      </w:tr>
      <w:tr w:rsidR="00B8298D" w:rsidRPr="00C31FCD" w14:paraId="1E185A58" w14:textId="77777777" w:rsidTr="00310FD7">
        <w:trPr>
          <w:gridAfter w:val="1"/>
          <w:wAfter w:w="11" w:type="dxa"/>
          <w:jc w:val="center"/>
        </w:trPr>
        <w:tc>
          <w:tcPr>
            <w:tcW w:w="9349" w:type="dxa"/>
            <w:gridSpan w:val="10"/>
            <w:tcBorders>
              <w:top w:val="single" w:sz="8" w:space="0" w:color="auto"/>
              <w:left w:val="single" w:sz="4" w:space="0" w:color="auto"/>
              <w:bottom w:val="nil"/>
              <w:right w:val="single" w:sz="4" w:space="0" w:color="000000" w:themeColor="text1"/>
            </w:tcBorders>
            <w:shd w:val="clear" w:color="auto" w:fill="auto"/>
            <w:vAlign w:val="bottom"/>
          </w:tcPr>
          <w:p w14:paraId="75461ECB" w14:textId="77777777" w:rsidR="00B8298D" w:rsidRPr="004E5265" w:rsidRDefault="00B8298D" w:rsidP="00B8298D">
            <w:pPr>
              <w:rPr>
                <w:rFonts w:ascii="Arial Narrow" w:eastAsia="Times New Roman" w:hAnsi="Arial Narrow" w:cs="Calibri"/>
                <w:color w:val="000000"/>
                <w:sz w:val="18"/>
                <w:szCs w:val="18"/>
              </w:rPr>
            </w:pPr>
            <w:r w:rsidRPr="004E5265">
              <w:rPr>
                <w:rFonts w:ascii="Arial Narrow" w:eastAsia="Times New Roman" w:hAnsi="Arial Narrow" w:cs="Calibri"/>
                <w:color w:val="000000"/>
                <w:sz w:val="18"/>
                <w:szCs w:val="18"/>
              </w:rPr>
              <w:t>General Notes:</w:t>
            </w:r>
          </w:p>
        </w:tc>
      </w:tr>
      <w:tr w:rsidR="00B8298D" w:rsidRPr="00B74F09" w14:paraId="3B9F2DF3" w14:textId="77777777" w:rsidTr="00310FD7">
        <w:trPr>
          <w:gridAfter w:val="1"/>
          <w:wAfter w:w="11" w:type="dxa"/>
          <w:jc w:val="center"/>
        </w:trPr>
        <w:tc>
          <w:tcPr>
            <w:tcW w:w="9349" w:type="dxa"/>
            <w:gridSpan w:val="10"/>
            <w:tcBorders>
              <w:left w:val="single" w:sz="4" w:space="0" w:color="auto"/>
              <w:bottom w:val="nil"/>
              <w:right w:val="single" w:sz="4" w:space="0" w:color="000000" w:themeColor="text1"/>
            </w:tcBorders>
            <w:shd w:val="clear" w:color="auto" w:fill="auto"/>
            <w:vAlign w:val="bottom"/>
          </w:tcPr>
          <w:p w14:paraId="274E9A8B" w14:textId="65C53586" w:rsidR="00B8298D" w:rsidRPr="00B74F09" w:rsidRDefault="00B8298D" w:rsidP="00B8298D">
            <w:pPr>
              <w:pStyle w:val="ListParagraph"/>
              <w:numPr>
                <w:ilvl w:val="0"/>
                <w:numId w:val="67"/>
              </w:numPr>
              <w:ind w:left="144" w:hanging="144"/>
              <w:rPr>
                <w:rFonts w:ascii="Arial Narrow" w:hAnsi="Arial Narrow"/>
                <w:sz w:val="18"/>
                <w:szCs w:val="18"/>
              </w:rPr>
            </w:pPr>
            <w:r w:rsidRPr="00B74F09">
              <w:rPr>
                <w:rFonts w:ascii="Arial Narrow" w:hAnsi="Arial Narrow"/>
                <w:sz w:val="18"/>
                <w:szCs w:val="18"/>
              </w:rPr>
              <w:t>Results differ slightly from the CDR Revisions EA (</w:t>
            </w:r>
            <w:r w:rsidR="00FF0FB5">
              <w:rPr>
                <w:rFonts w:ascii="Arial Narrow" w:hAnsi="Arial Narrow"/>
                <w:sz w:val="18"/>
                <w:szCs w:val="18"/>
              </w:rPr>
              <w:t>EPA, 2019a</w:t>
            </w:r>
            <w:r w:rsidRPr="00B74F09">
              <w:rPr>
                <w:rFonts w:ascii="Arial Narrow" w:hAnsi="Arial Narrow"/>
                <w:sz w:val="18"/>
                <w:szCs w:val="18"/>
              </w:rPr>
              <w:t xml:space="preserve">) and the </w:t>
            </w:r>
            <w:r>
              <w:rPr>
                <w:rFonts w:ascii="Arial Narrow" w:hAnsi="Arial Narrow"/>
                <w:sz w:val="18"/>
                <w:szCs w:val="18"/>
              </w:rPr>
              <w:t xml:space="preserve">TSCA Section </w:t>
            </w:r>
            <w:r w:rsidRPr="00B74F09">
              <w:rPr>
                <w:rFonts w:ascii="Arial Narrow" w:hAnsi="Arial Narrow"/>
                <w:sz w:val="18"/>
                <w:szCs w:val="18"/>
              </w:rPr>
              <w:t>8(a) SMD Update EA (</w:t>
            </w:r>
            <w:r>
              <w:rPr>
                <w:rFonts w:ascii="Arial Narrow" w:hAnsi="Arial Narrow"/>
                <w:sz w:val="18"/>
                <w:szCs w:val="18"/>
              </w:rPr>
              <w:t xml:space="preserve">EPA, </w:t>
            </w:r>
            <w:r w:rsidR="00FF0FB5">
              <w:rPr>
                <w:rFonts w:ascii="Arial Narrow" w:hAnsi="Arial Narrow"/>
                <w:sz w:val="18"/>
                <w:szCs w:val="18"/>
              </w:rPr>
              <w:t>2019b</w:t>
            </w:r>
            <w:r w:rsidRPr="00B74F09">
              <w:rPr>
                <w:rFonts w:ascii="Arial Narrow" w:hAnsi="Arial Narrow"/>
                <w:sz w:val="18"/>
                <w:szCs w:val="18"/>
              </w:rPr>
              <w:t>) due to rounding.</w:t>
            </w:r>
          </w:p>
          <w:p w14:paraId="0D8B7F4C" w14:textId="77777777" w:rsidR="00B8298D" w:rsidRPr="00B74F09" w:rsidRDefault="00B8298D" w:rsidP="00B8298D">
            <w:pPr>
              <w:pStyle w:val="ListParagraph"/>
              <w:numPr>
                <w:ilvl w:val="0"/>
                <w:numId w:val="68"/>
              </w:numPr>
              <w:ind w:left="144" w:hanging="144"/>
              <w:rPr>
                <w:rFonts w:ascii="Arial Narrow" w:hAnsi="Arial Narrow"/>
                <w:sz w:val="18"/>
                <w:szCs w:val="18"/>
              </w:rPr>
            </w:pPr>
            <w:r w:rsidRPr="00B74F09">
              <w:rPr>
                <w:rFonts w:ascii="Arial Narrow" w:hAnsi="Arial Narrow"/>
                <w:sz w:val="18"/>
                <w:szCs w:val="18"/>
              </w:rPr>
              <w:t>For ease of presentation, change in number of CDX registrations is assumed to be negligible.</w:t>
            </w:r>
          </w:p>
        </w:tc>
      </w:tr>
      <w:tr w:rsidR="00B8298D" w:rsidRPr="00B74F09" w14:paraId="2F9663DC" w14:textId="77777777" w:rsidTr="00310FD7">
        <w:trPr>
          <w:gridAfter w:val="1"/>
          <w:wAfter w:w="11" w:type="dxa"/>
          <w:jc w:val="center"/>
        </w:trPr>
        <w:tc>
          <w:tcPr>
            <w:tcW w:w="9349" w:type="dxa"/>
            <w:gridSpan w:val="10"/>
            <w:tcBorders>
              <w:left w:val="single" w:sz="4" w:space="0" w:color="auto"/>
              <w:right w:val="single" w:sz="4" w:space="0" w:color="000000" w:themeColor="text1"/>
            </w:tcBorders>
            <w:shd w:val="clear" w:color="auto" w:fill="auto"/>
            <w:hideMark/>
          </w:tcPr>
          <w:p w14:paraId="64B2849D" w14:textId="77777777" w:rsidR="00B8298D" w:rsidRPr="00B74F09" w:rsidRDefault="00B8298D" w:rsidP="00B8298D">
            <w:pPr>
              <w:rPr>
                <w:rFonts w:ascii="Arial Narrow" w:eastAsia="Times New Roman" w:hAnsi="Arial Narrow" w:cs="Calibri"/>
                <w:color w:val="000000"/>
                <w:sz w:val="18"/>
                <w:szCs w:val="18"/>
              </w:rPr>
            </w:pPr>
            <w:r w:rsidRPr="00B74F09">
              <w:rPr>
                <w:rFonts w:ascii="Arial Narrow" w:eastAsia="Times New Roman" w:hAnsi="Arial Narrow" w:cs="Calibri"/>
                <w:color w:val="000000"/>
                <w:sz w:val="18"/>
                <w:szCs w:val="18"/>
              </w:rPr>
              <w:t>Footnote:</w:t>
            </w:r>
          </w:p>
        </w:tc>
      </w:tr>
      <w:tr w:rsidR="00B8298D" w:rsidRPr="00C31FCD" w14:paraId="3EAA8C87" w14:textId="77777777" w:rsidTr="00310FD7">
        <w:trPr>
          <w:jc w:val="center"/>
        </w:trPr>
        <w:tc>
          <w:tcPr>
            <w:tcW w:w="255" w:type="dxa"/>
            <w:tcBorders>
              <w:top w:val="nil"/>
              <w:left w:val="single" w:sz="4" w:space="0" w:color="auto"/>
              <w:bottom w:val="single" w:sz="4" w:space="0" w:color="auto"/>
              <w:right w:val="nil"/>
            </w:tcBorders>
            <w:shd w:val="clear" w:color="auto" w:fill="auto"/>
            <w:hideMark/>
          </w:tcPr>
          <w:p w14:paraId="3781CD2F" w14:textId="77777777" w:rsidR="00B8298D" w:rsidRPr="00B74F09" w:rsidRDefault="00B8298D" w:rsidP="00B8298D">
            <w:pPr>
              <w:rPr>
                <w:rFonts w:ascii="Arial Narrow" w:eastAsia="Times New Roman" w:hAnsi="Arial Narrow" w:cs="Calibri"/>
                <w:color w:val="000000" w:themeColor="text1"/>
                <w:sz w:val="18"/>
                <w:szCs w:val="18"/>
              </w:rPr>
            </w:pPr>
            <w:r w:rsidRPr="00B74F09">
              <w:rPr>
                <w:rFonts w:ascii="Arial Narrow" w:eastAsia="Times New Roman" w:hAnsi="Arial Narrow" w:cs="Calibri"/>
                <w:color w:val="000000" w:themeColor="text1"/>
                <w:sz w:val="18"/>
                <w:szCs w:val="18"/>
                <w:vertAlign w:val="superscript"/>
              </w:rPr>
              <w:t>1</w:t>
            </w:r>
          </w:p>
        </w:tc>
        <w:tc>
          <w:tcPr>
            <w:tcW w:w="9105" w:type="dxa"/>
            <w:gridSpan w:val="10"/>
            <w:tcBorders>
              <w:top w:val="nil"/>
              <w:left w:val="nil"/>
              <w:bottom w:val="single" w:sz="4" w:space="0" w:color="auto"/>
              <w:right w:val="single" w:sz="4" w:space="0" w:color="000000" w:themeColor="text1"/>
            </w:tcBorders>
            <w:shd w:val="clear" w:color="auto" w:fill="auto"/>
            <w:hideMark/>
          </w:tcPr>
          <w:p w14:paraId="09A94AE3" w14:textId="5AE49E66" w:rsidR="00B8298D" w:rsidRPr="00B74F09" w:rsidRDefault="00B8298D" w:rsidP="00B8298D">
            <w:pPr>
              <w:ind w:left="-98"/>
              <w:rPr>
                <w:rFonts w:ascii="Arial Narrow" w:eastAsia="Times New Roman" w:hAnsi="Arial Narrow" w:cs="Calibri"/>
                <w:color w:val="000000"/>
                <w:sz w:val="18"/>
                <w:szCs w:val="18"/>
              </w:rPr>
            </w:pPr>
            <w:r w:rsidRPr="00B74F09">
              <w:rPr>
                <w:rFonts w:ascii="Arial Narrow" w:eastAsia="Times New Roman" w:hAnsi="Arial Narrow" w:cs="Calibri"/>
                <w:color w:val="000000"/>
                <w:sz w:val="18"/>
                <w:szCs w:val="18"/>
              </w:rPr>
              <w:t xml:space="preserve">Based on Labor rates (see </w:t>
            </w:r>
            <w:r w:rsidRPr="00B74F09">
              <w:rPr>
                <w:rFonts w:ascii="Arial Narrow" w:eastAsia="Times New Roman" w:hAnsi="Arial Narrow" w:cs="Calibri"/>
                <w:color w:val="000000"/>
                <w:sz w:val="18"/>
                <w:szCs w:val="18"/>
              </w:rPr>
              <w:fldChar w:fldCharType="begin"/>
            </w:r>
            <w:r w:rsidRPr="00B74F09">
              <w:rPr>
                <w:rFonts w:ascii="Arial Narrow" w:eastAsia="Times New Roman" w:hAnsi="Arial Narrow" w:cs="Calibri"/>
                <w:color w:val="000000"/>
                <w:sz w:val="18"/>
                <w:szCs w:val="18"/>
              </w:rPr>
              <w:instrText xml:space="preserve"> REF _Ref526353620 \h  \* MERGEFORMAT </w:instrText>
            </w:r>
            <w:r w:rsidRPr="00B74F09">
              <w:rPr>
                <w:rFonts w:ascii="Arial Narrow" w:eastAsia="Times New Roman" w:hAnsi="Arial Narrow" w:cs="Calibri"/>
                <w:color w:val="000000"/>
                <w:sz w:val="18"/>
                <w:szCs w:val="18"/>
              </w:rPr>
            </w:r>
            <w:r w:rsidRPr="00B74F09">
              <w:rPr>
                <w:rFonts w:ascii="Arial Narrow" w:eastAsia="Times New Roman"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9</w:t>
            </w:r>
            <w:r w:rsidRPr="00B74F09">
              <w:rPr>
                <w:rFonts w:ascii="Arial Narrow" w:eastAsia="Times New Roman" w:hAnsi="Arial Narrow" w:cs="Calibri"/>
                <w:color w:val="000000"/>
                <w:sz w:val="18"/>
                <w:szCs w:val="18"/>
              </w:rPr>
              <w:fldChar w:fldCharType="end"/>
            </w:r>
            <w:r w:rsidRPr="00B74F09">
              <w:rPr>
                <w:rFonts w:ascii="Arial Narrow" w:eastAsia="Times New Roman" w:hAnsi="Arial Narrow" w:cs="Calibri"/>
                <w:color w:val="000000"/>
                <w:sz w:val="18"/>
                <w:szCs w:val="18"/>
              </w:rPr>
              <w:t>) for Program Staff GS12 Step 3; for IT Staff GS13, Step 3.</w:t>
            </w:r>
          </w:p>
        </w:tc>
      </w:tr>
    </w:tbl>
    <w:p w14:paraId="2FDDFB60" w14:textId="77777777" w:rsidR="00B8298D" w:rsidRDefault="00B8298D" w:rsidP="00B8298D">
      <w:pPr>
        <w:pStyle w:val="BodyText"/>
        <w:spacing w:after="200"/>
        <w:ind w:firstLine="0"/>
      </w:pPr>
    </w:p>
    <w:p w14:paraId="72014DAA" w14:textId="77777777" w:rsidR="00B8298D" w:rsidRPr="00101277" w:rsidRDefault="00B8298D" w:rsidP="00B8298D">
      <w:pPr>
        <w:ind w:firstLine="720"/>
        <w:rPr>
          <w:b/>
          <w:i/>
        </w:rPr>
      </w:pPr>
      <w:r w:rsidRPr="00101277">
        <w:rPr>
          <w:b/>
          <w:i/>
        </w:rPr>
        <w:t>Total Burden and Cost – ICR Period</w:t>
      </w:r>
    </w:p>
    <w:p w14:paraId="370D7103" w14:textId="77777777" w:rsidR="00B8298D" w:rsidRDefault="00B8298D" w:rsidP="00B8298D"/>
    <w:p w14:paraId="19B55C7B" w14:textId="0F9D9C4E" w:rsidR="000170FE" w:rsidRDefault="00B8298D" w:rsidP="00B8298D">
      <w:pPr>
        <w:pStyle w:val="BodyText"/>
      </w:pPr>
      <w:r>
        <w:fldChar w:fldCharType="begin"/>
      </w:r>
      <w:r>
        <w:instrText xml:space="preserve"> REF _Ref526352582 \h </w:instrText>
      </w:r>
      <w:r>
        <w:fldChar w:fldCharType="separate"/>
      </w:r>
      <w:r w:rsidR="00745E52">
        <w:t xml:space="preserve">Table </w:t>
      </w:r>
      <w:r w:rsidR="00745E52">
        <w:rPr>
          <w:noProof/>
        </w:rPr>
        <w:t>15</w:t>
      </w:r>
      <w:r>
        <w:fldChar w:fldCharType="end"/>
      </w:r>
      <w:r>
        <w:t xml:space="preserve"> presents the bottom line </w:t>
      </w:r>
      <w:r w:rsidR="009B16FF">
        <w:t xml:space="preserve">burden reduction and cost savings </w:t>
      </w:r>
      <w:r>
        <w:t>for reporter and Agency burden and cost, including average annual and ICR Renewal Period totals under the proposed rule.</w:t>
      </w:r>
    </w:p>
    <w:p w14:paraId="17065B99" w14:textId="77777777" w:rsidR="000170FE" w:rsidRDefault="000170FE">
      <w:pPr>
        <w:spacing w:after="200" w:line="276" w:lineRule="auto"/>
        <w:rPr>
          <w:rFonts w:eastAsia="Times New Roman" w:cs="Times New Roman"/>
        </w:rPr>
      </w:pPr>
      <w:r>
        <w:br w:type="page"/>
      </w:r>
    </w:p>
    <w:tbl>
      <w:tblPr>
        <w:tblW w:w="5000" w:type="pct"/>
        <w:jc w:val="center"/>
        <w:tblLook w:val="04A0" w:firstRow="1" w:lastRow="0" w:firstColumn="1" w:lastColumn="0" w:noHBand="0" w:noVBand="1"/>
      </w:tblPr>
      <w:tblGrid>
        <w:gridCol w:w="1642"/>
        <w:gridCol w:w="602"/>
        <w:gridCol w:w="601"/>
        <w:gridCol w:w="601"/>
        <w:gridCol w:w="601"/>
        <w:gridCol w:w="1785"/>
        <w:gridCol w:w="1481"/>
        <w:gridCol w:w="1158"/>
        <w:gridCol w:w="1105"/>
      </w:tblGrid>
      <w:tr w:rsidR="00B8298D" w:rsidRPr="00E562D4" w14:paraId="4C88EF06" w14:textId="77777777" w:rsidTr="00310FD7">
        <w:trPr>
          <w:tblHeader/>
          <w:jc w:val="center"/>
        </w:trPr>
        <w:tc>
          <w:tcPr>
            <w:tcW w:w="9360" w:type="dxa"/>
            <w:gridSpan w:val="9"/>
            <w:tcBorders>
              <w:top w:val="nil"/>
              <w:left w:val="nil"/>
              <w:bottom w:val="nil"/>
              <w:right w:val="nil"/>
            </w:tcBorders>
            <w:shd w:val="clear" w:color="auto" w:fill="auto"/>
            <w:vAlign w:val="bottom"/>
            <w:hideMark/>
          </w:tcPr>
          <w:p w14:paraId="5DA98CBC" w14:textId="71306183" w:rsidR="00B8298D" w:rsidRPr="00E562D4" w:rsidRDefault="00B8298D" w:rsidP="00B8298D">
            <w:pPr>
              <w:pStyle w:val="Caption"/>
              <w:keepNext/>
              <w:rPr>
                <w:rFonts w:eastAsia="Times New Roman" w:cs="Times New Roman"/>
                <w:color w:val="000000"/>
              </w:rPr>
            </w:pPr>
            <w:bookmarkStart w:id="121" w:name="_Ref526352582"/>
            <w:bookmarkStart w:id="122" w:name="_Ref524348159"/>
            <w:bookmarkStart w:id="123" w:name="_Ref525022899"/>
            <w:bookmarkStart w:id="124" w:name="_Ref524474085"/>
            <w:r>
              <w:t xml:space="preserve">Table </w:t>
            </w:r>
            <w:r>
              <w:rPr>
                <w:noProof/>
              </w:rPr>
              <w:fldChar w:fldCharType="begin"/>
            </w:r>
            <w:r>
              <w:rPr>
                <w:noProof/>
              </w:rPr>
              <w:instrText xml:space="preserve"> SEQ Table \* ARABIC </w:instrText>
            </w:r>
            <w:r>
              <w:rPr>
                <w:noProof/>
              </w:rPr>
              <w:fldChar w:fldCharType="separate"/>
            </w:r>
            <w:r w:rsidR="00745E52">
              <w:rPr>
                <w:noProof/>
              </w:rPr>
              <w:t>15</w:t>
            </w:r>
            <w:r>
              <w:rPr>
                <w:noProof/>
              </w:rPr>
              <w:fldChar w:fldCharType="end"/>
            </w:r>
            <w:bookmarkEnd w:id="121"/>
            <w:bookmarkEnd w:id="122"/>
            <w:bookmarkEnd w:id="123"/>
            <w:r>
              <w:t xml:space="preserve">: </w:t>
            </w:r>
            <w:r w:rsidRPr="00924A46">
              <w:rPr>
                <w:rFonts w:eastAsia="Times New Roman" w:cs="Times New Roman"/>
                <w:bCs w:val="0"/>
                <w:color w:val="000000"/>
              </w:rPr>
              <w:t xml:space="preserve">Annual Average and </w:t>
            </w:r>
            <w:r>
              <w:rPr>
                <w:rFonts w:eastAsia="Times New Roman" w:cs="Times New Roman"/>
                <w:bCs w:val="0"/>
                <w:color w:val="000000"/>
              </w:rPr>
              <w:t>Overall</w:t>
            </w:r>
            <w:r w:rsidRPr="00924A46">
              <w:rPr>
                <w:rFonts w:eastAsia="Times New Roman" w:cs="Times New Roman"/>
                <w:bCs w:val="0"/>
                <w:color w:val="000000"/>
              </w:rPr>
              <w:t xml:space="preserve"> Incremental Burden</w:t>
            </w:r>
            <w:r w:rsidR="009B16FF">
              <w:rPr>
                <w:rFonts w:eastAsia="Times New Roman" w:cs="Times New Roman"/>
                <w:bCs w:val="0"/>
                <w:color w:val="000000"/>
              </w:rPr>
              <w:t xml:space="preserve"> Reduction</w:t>
            </w:r>
            <w:r w:rsidRPr="00924A46">
              <w:rPr>
                <w:rFonts w:eastAsia="Times New Roman" w:cs="Times New Roman"/>
                <w:bCs w:val="0"/>
                <w:color w:val="000000"/>
              </w:rPr>
              <w:t xml:space="preserve"> and Cost</w:t>
            </w:r>
            <w:r w:rsidR="009B16FF">
              <w:rPr>
                <w:rFonts w:eastAsia="Times New Roman" w:cs="Times New Roman"/>
                <w:bCs w:val="0"/>
                <w:color w:val="000000"/>
              </w:rPr>
              <w:t xml:space="preserve"> Savings</w:t>
            </w:r>
            <w:r w:rsidRPr="00924A46">
              <w:rPr>
                <w:rFonts w:eastAsia="Times New Roman" w:cs="Times New Roman"/>
                <w:bCs w:val="0"/>
                <w:color w:val="000000"/>
              </w:rPr>
              <w:t xml:space="preserve"> for the ICR Renewal Period</w:t>
            </w:r>
            <w:bookmarkEnd w:id="124"/>
          </w:p>
        </w:tc>
      </w:tr>
      <w:tr w:rsidR="00B8298D" w:rsidRPr="00E562D4" w14:paraId="79A5F750" w14:textId="77777777" w:rsidTr="00C9573B">
        <w:trPr>
          <w:tblHeader/>
          <w:jc w:val="center"/>
        </w:trPr>
        <w:tc>
          <w:tcPr>
            <w:tcW w:w="1606"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3C469425" w14:textId="77777777"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Burden Category</w:t>
            </w:r>
          </w:p>
        </w:tc>
        <w:tc>
          <w:tcPr>
            <w:tcW w:w="2349" w:type="dxa"/>
            <w:gridSpan w:val="4"/>
            <w:tcBorders>
              <w:top w:val="single" w:sz="4" w:space="0" w:color="auto"/>
              <w:left w:val="nil"/>
              <w:bottom w:val="single" w:sz="4" w:space="0" w:color="auto"/>
              <w:right w:val="double" w:sz="6" w:space="0" w:color="auto"/>
            </w:tcBorders>
            <w:shd w:val="clear" w:color="auto" w:fill="BFBFBF" w:themeFill="background1" w:themeFillShade="BF"/>
            <w:noWrap/>
            <w:vAlign w:val="bottom"/>
            <w:hideMark/>
          </w:tcPr>
          <w:p w14:paraId="7AAE168C" w14:textId="6F880C35"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CDR Reporting Cycle Burden</w:t>
            </w:r>
            <w:r w:rsidR="009B16FF">
              <w:rPr>
                <w:rFonts w:ascii="Arial Narrow" w:eastAsia="Times New Roman" w:hAnsi="Arial Narrow" w:cs="Calibri"/>
                <w:b/>
                <w:bCs/>
                <w:color w:val="000000"/>
                <w:sz w:val="18"/>
                <w:szCs w:val="18"/>
              </w:rPr>
              <w:t xml:space="preserve"> Reduction</w:t>
            </w:r>
          </w:p>
        </w:tc>
        <w:tc>
          <w:tcPr>
            <w:tcW w:w="3193" w:type="dxa"/>
            <w:gridSpan w:val="2"/>
            <w:tcBorders>
              <w:top w:val="single" w:sz="4" w:space="0" w:color="auto"/>
              <w:left w:val="double" w:sz="6" w:space="0" w:color="auto"/>
              <w:bottom w:val="single" w:sz="4" w:space="0" w:color="auto"/>
              <w:right w:val="double" w:sz="6" w:space="0" w:color="000000" w:themeColor="text1"/>
            </w:tcBorders>
            <w:shd w:val="clear" w:color="auto" w:fill="BFBFBF" w:themeFill="background1" w:themeFillShade="BF"/>
            <w:vAlign w:val="bottom"/>
            <w:hideMark/>
          </w:tcPr>
          <w:p w14:paraId="03A3E12A" w14:textId="77777777"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Both CDR Cycle and ICR Renewal Period</w:t>
            </w:r>
          </w:p>
        </w:tc>
        <w:tc>
          <w:tcPr>
            <w:tcW w:w="2212" w:type="dxa"/>
            <w:gridSpan w:val="2"/>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4101B5BD" w14:textId="77777777"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ICR Renewal Period</w:t>
            </w:r>
            <w:r w:rsidRPr="00BF4E58">
              <w:rPr>
                <w:rFonts w:ascii="Arial Narrow" w:eastAsia="Times New Roman" w:hAnsi="Arial Narrow" w:cs="Calibri"/>
                <w:b/>
                <w:bCs/>
                <w:color w:val="000000"/>
                <w:sz w:val="18"/>
                <w:szCs w:val="18"/>
              </w:rPr>
              <w:br/>
              <w:t>(Nov '18 - Nov '21)</w:t>
            </w:r>
          </w:p>
        </w:tc>
      </w:tr>
      <w:tr w:rsidR="00B8298D" w:rsidRPr="00E562D4" w14:paraId="33EA1304" w14:textId="77777777" w:rsidTr="00133FC9">
        <w:trPr>
          <w:tblHeader/>
          <w:jc w:val="center"/>
        </w:trPr>
        <w:tc>
          <w:tcPr>
            <w:tcW w:w="1606" w:type="dxa"/>
            <w:vMerge/>
            <w:tcBorders>
              <w:top w:val="single" w:sz="4" w:space="0" w:color="auto"/>
              <w:left w:val="single" w:sz="4" w:space="0" w:color="auto"/>
              <w:bottom w:val="single" w:sz="4" w:space="0" w:color="auto"/>
              <w:right w:val="single" w:sz="4" w:space="0" w:color="auto"/>
            </w:tcBorders>
            <w:vAlign w:val="bottom"/>
            <w:hideMark/>
          </w:tcPr>
          <w:p w14:paraId="6F0DA83A" w14:textId="77777777" w:rsidR="00B8298D" w:rsidRPr="00BF4E58" w:rsidRDefault="00B8298D" w:rsidP="00B8298D">
            <w:pPr>
              <w:jc w:val="center"/>
              <w:rPr>
                <w:rFonts w:ascii="Arial Narrow" w:eastAsia="Times New Roman" w:hAnsi="Arial Narrow" w:cs="Calibri"/>
                <w:b/>
                <w:bCs/>
                <w:color w:val="000000"/>
                <w:sz w:val="18"/>
                <w:szCs w:val="18"/>
              </w:rPr>
            </w:pPr>
          </w:p>
        </w:tc>
        <w:tc>
          <w:tcPr>
            <w:tcW w:w="58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9FBB61F" w14:textId="77777777" w:rsidR="00B8298D" w:rsidRPr="00BF4E58" w:rsidRDefault="00B8298D" w:rsidP="00B8298D">
            <w:pPr>
              <w:jc w:val="center"/>
              <w:rPr>
                <w:rFonts w:ascii="Arial Narrow" w:eastAsia="Times New Roman" w:hAnsi="Arial Narrow" w:cs="Calibri"/>
                <w:b/>
                <w:bCs/>
                <w:color w:val="000000" w:themeColor="text1"/>
                <w:sz w:val="18"/>
                <w:szCs w:val="18"/>
              </w:rPr>
            </w:pPr>
            <w:r w:rsidRPr="00BF4E58">
              <w:rPr>
                <w:rFonts w:ascii="Arial Narrow" w:eastAsia="Times New Roman" w:hAnsi="Arial Narrow" w:cs="Calibri"/>
                <w:b/>
                <w:bCs/>
                <w:color w:val="000000" w:themeColor="text1"/>
                <w:sz w:val="18"/>
                <w:szCs w:val="18"/>
              </w:rPr>
              <w:t>2016</w:t>
            </w:r>
          </w:p>
        </w:tc>
        <w:tc>
          <w:tcPr>
            <w:tcW w:w="58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4886C99C" w14:textId="77777777" w:rsidR="00B8298D" w:rsidRPr="00BF4E58" w:rsidRDefault="00B8298D" w:rsidP="00B8298D">
            <w:pPr>
              <w:jc w:val="center"/>
              <w:rPr>
                <w:rFonts w:ascii="Arial Narrow" w:eastAsia="Times New Roman" w:hAnsi="Arial Narrow" w:cs="Calibri"/>
                <w:b/>
                <w:bCs/>
                <w:color w:val="000000" w:themeColor="text1"/>
                <w:sz w:val="18"/>
                <w:szCs w:val="18"/>
              </w:rPr>
            </w:pPr>
            <w:r w:rsidRPr="00BF4E58">
              <w:rPr>
                <w:rFonts w:ascii="Arial Narrow" w:eastAsia="Times New Roman" w:hAnsi="Arial Narrow" w:cs="Calibri"/>
                <w:b/>
                <w:bCs/>
                <w:color w:val="000000" w:themeColor="text1"/>
                <w:sz w:val="18"/>
                <w:szCs w:val="18"/>
              </w:rPr>
              <w:t>2017</w:t>
            </w:r>
          </w:p>
        </w:tc>
        <w:tc>
          <w:tcPr>
            <w:tcW w:w="58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5F1335F" w14:textId="77777777" w:rsidR="00B8298D" w:rsidRPr="00BF4E58" w:rsidRDefault="00B8298D" w:rsidP="00B8298D">
            <w:pPr>
              <w:jc w:val="center"/>
              <w:rPr>
                <w:rFonts w:ascii="Arial Narrow" w:eastAsia="Times New Roman" w:hAnsi="Arial Narrow" w:cs="Calibri"/>
                <w:b/>
                <w:bCs/>
                <w:color w:val="000000" w:themeColor="text1"/>
                <w:sz w:val="18"/>
                <w:szCs w:val="18"/>
              </w:rPr>
            </w:pPr>
            <w:r w:rsidRPr="00BF4E58">
              <w:rPr>
                <w:rFonts w:ascii="Arial Narrow" w:eastAsia="Times New Roman" w:hAnsi="Arial Narrow" w:cs="Calibri"/>
                <w:b/>
                <w:bCs/>
                <w:color w:val="000000" w:themeColor="text1"/>
                <w:sz w:val="18"/>
                <w:szCs w:val="18"/>
              </w:rPr>
              <w:t>2018</w:t>
            </w:r>
          </w:p>
        </w:tc>
        <w:tc>
          <w:tcPr>
            <w:tcW w:w="587" w:type="dxa"/>
            <w:tcBorders>
              <w:top w:val="nil"/>
              <w:left w:val="single" w:sz="4" w:space="0" w:color="auto"/>
              <w:bottom w:val="single" w:sz="4" w:space="0" w:color="auto"/>
              <w:right w:val="nil"/>
            </w:tcBorders>
            <w:shd w:val="clear" w:color="auto" w:fill="BFBFBF" w:themeFill="background1" w:themeFillShade="BF"/>
            <w:vAlign w:val="bottom"/>
            <w:hideMark/>
          </w:tcPr>
          <w:p w14:paraId="414CAB36" w14:textId="77777777" w:rsidR="00B8298D" w:rsidRPr="00BF4E58" w:rsidRDefault="00B8298D" w:rsidP="00B8298D">
            <w:pPr>
              <w:jc w:val="center"/>
              <w:rPr>
                <w:rFonts w:ascii="Arial Narrow" w:eastAsia="Times New Roman" w:hAnsi="Arial Narrow" w:cs="Calibri"/>
                <w:b/>
                <w:bCs/>
                <w:color w:val="000000" w:themeColor="text1"/>
                <w:sz w:val="18"/>
                <w:szCs w:val="18"/>
              </w:rPr>
            </w:pPr>
            <w:r w:rsidRPr="00BF4E58">
              <w:rPr>
                <w:rFonts w:ascii="Arial Narrow" w:eastAsia="Times New Roman" w:hAnsi="Arial Narrow" w:cs="Calibri"/>
                <w:b/>
                <w:bCs/>
                <w:color w:val="000000" w:themeColor="text1"/>
                <w:sz w:val="18"/>
                <w:szCs w:val="18"/>
              </w:rPr>
              <w:t>2019</w:t>
            </w:r>
          </w:p>
        </w:tc>
        <w:tc>
          <w:tcPr>
            <w:tcW w:w="1745" w:type="dxa"/>
            <w:tcBorders>
              <w:top w:val="nil"/>
              <w:left w:val="double" w:sz="6" w:space="0" w:color="auto"/>
              <w:bottom w:val="single" w:sz="4" w:space="0" w:color="auto"/>
              <w:right w:val="single" w:sz="4" w:space="0" w:color="auto"/>
            </w:tcBorders>
            <w:shd w:val="clear" w:color="auto" w:fill="BFBFBF" w:themeFill="background1" w:themeFillShade="BF"/>
            <w:vAlign w:val="bottom"/>
            <w:hideMark/>
          </w:tcPr>
          <w:p w14:paraId="35511F71" w14:textId="0B157C1D"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Annual Average Burden</w:t>
            </w:r>
            <w:r w:rsidR="009B16FF">
              <w:rPr>
                <w:rFonts w:ascii="Arial Narrow" w:eastAsia="Times New Roman" w:hAnsi="Arial Narrow" w:cs="Calibri"/>
                <w:b/>
                <w:bCs/>
                <w:color w:val="000000"/>
                <w:sz w:val="18"/>
                <w:szCs w:val="18"/>
              </w:rPr>
              <w:t xml:space="preserve"> Reduction</w:t>
            </w:r>
          </w:p>
        </w:tc>
        <w:tc>
          <w:tcPr>
            <w:tcW w:w="1448" w:type="dxa"/>
            <w:tcBorders>
              <w:top w:val="nil"/>
              <w:left w:val="nil"/>
              <w:bottom w:val="single" w:sz="4" w:space="0" w:color="auto"/>
              <w:right w:val="double" w:sz="6" w:space="0" w:color="auto"/>
            </w:tcBorders>
            <w:shd w:val="clear" w:color="auto" w:fill="BFBFBF" w:themeFill="background1" w:themeFillShade="BF"/>
            <w:vAlign w:val="bottom"/>
            <w:hideMark/>
          </w:tcPr>
          <w:p w14:paraId="04301051" w14:textId="4AADE030"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Annual Average Cost</w:t>
            </w:r>
            <w:r w:rsidR="009B16FF">
              <w:rPr>
                <w:rFonts w:ascii="Arial Narrow" w:eastAsia="Times New Roman" w:hAnsi="Arial Narrow" w:cs="Calibri"/>
                <w:b/>
                <w:bCs/>
                <w:color w:val="000000"/>
                <w:sz w:val="18"/>
                <w:szCs w:val="18"/>
              </w:rPr>
              <w:t xml:space="preserve"> Savings</w:t>
            </w:r>
          </w:p>
        </w:tc>
        <w:tc>
          <w:tcPr>
            <w:tcW w:w="1132" w:type="dxa"/>
            <w:tcBorders>
              <w:top w:val="nil"/>
              <w:left w:val="nil"/>
              <w:bottom w:val="single" w:sz="4" w:space="0" w:color="auto"/>
              <w:right w:val="single" w:sz="4" w:space="0" w:color="auto"/>
            </w:tcBorders>
            <w:shd w:val="clear" w:color="auto" w:fill="BFBFBF" w:themeFill="background1" w:themeFillShade="BF"/>
            <w:vAlign w:val="bottom"/>
            <w:hideMark/>
          </w:tcPr>
          <w:p w14:paraId="42EE93DF" w14:textId="1E44BE4D"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Total</w:t>
            </w:r>
            <w:r w:rsidRPr="00BF4E58">
              <w:rPr>
                <w:rFonts w:ascii="Arial Narrow" w:eastAsia="Times New Roman" w:hAnsi="Arial Narrow" w:cs="Calibri"/>
                <w:b/>
                <w:bCs/>
                <w:color w:val="000000"/>
                <w:sz w:val="18"/>
                <w:szCs w:val="18"/>
              </w:rPr>
              <w:br/>
              <w:t>Burden</w:t>
            </w:r>
            <w:r w:rsidR="009B16FF">
              <w:rPr>
                <w:rFonts w:ascii="Arial Narrow" w:eastAsia="Times New Roman" w:hAnsi="Arial Narrow" w:cs="Calibri"/>
                <w:b/>
                <w:bCs/>
                <w:color w:val="000000"/>
                <w:sz w:val="18"/>
                <w:szCs w:val="18"/>
              </w:rPr>
              <w:t xml:space="preserve"> Reduction</w:t>
            </w:r>
          </w:p>
        </w:tc>
        <w:tc>
          <w:tcPr>
            <w:tcW w:w="1080" w:type="dxa"/>
            <w:tcBorders>
              <w:top w:val="nil"/>
              <w:left w:val="nil"/>
              <w:bottom w:val="single" w:sz="4" w:space="0" w:color="auto"/>
              <w:right w:val="single" w:sz="4" w:space="0" w:color="auto"/>
            </w:tcBorders>
            <w:shd w:val="clear" w:color="auto" w:fill="BFBFBF" w:themeFill="background1" w:themeFillShade="BF"/>
            <w:vAlign w:val="bottom"/>
            <w:hideMark/>
          </w:tcPr>
          <w:p w14:paraId="55AB9E70" w14:textId="15DF5EA0" w:rsidR="00B8298D" w:rsidRPr="00BF4E58" w:rsidRDefault="00B8298D" w:rsidP="00B8298D">
            <w:pPr>
              <w:jc w:val="cente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Total</w:t>
            </w:r>
            <w:r w:rsidRPr="00BF4E58">
              <w:rPr>
                <w:rFonts w:ascii="Arial Narrow" w:eastAsia="Times New Roman" w:hAnsi="Arial Narrow" w:cs="Calibri"/>
                <w:b/>
                <w:bCs/>
                <w:color w:val="000000"/>
                <w:sz w:val="18"/>
                <w:szCs w:val="18"/>
              </w:rPr>
              <w:br/>
              <w:t>Cost</w:t>
            </w:r>
            <w:r w:rsidR="009B16FF">
              <w:rPr>
                <w:rFonts w:ascii="Arial Narrow" w:eastAsia="Times New Roman" w:hAnsi="Arial Narrow" w:cs="Calibri"/>
                <w:b/>
                <w:bCs/>
                <w:color w:val="000000"/>
                <w:sz w:val="18"/>
                <w:szCs w:val="18"/>
              </w:rPr>
              <w:t xml:space="preserve"> Savings</w:t>
            </w:r>
          </w:p>
        </w:tc>
      </w:tr>
      <w:tr w:rsidR="00B8298D" w:rsidRPr="00E562D4" w14:paraId="2F1BD290" w14:textId="77777777" w:rsidTr="00310FD7">
        <w:trPr>
          <w:jc w:val="center"/>
        </w:trPr>
        <w:tc>
          <w:tcPr>
            <w:tcW w:w="9360"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5E8629C" w14:textId="3040285D" w:rsidR="00B8298D" w:rsidRPr="00BF4E58" w:rsidRDefault="00B8298D" w:rsidP="00B8298D">
            <w:pPr>
              <w:rPr>
                <w:rFonts w:ascii="Arial Narrow" w:eastAsia="Times New Roman" w:hAnsi="Arial Narrow" w:cs="Calibri"/>
                <w:i/>
                <w:iCs/>
                <w:color w:val="000000"/>
                <w:sz w:val="18"/>
                <w:szCs w:val="18"/>
              </w:rPr>
            </w:pPr>
            <w:r w:rsidRPr="00BF4E58">
              <w:rPr>
                <w:rFonts w:ascii="Arial Narrow" w:eastAsia="Times New Roman" w:hAnsi="Arial Narrow" w:cs="Calibri"/>
                <w:i/>
                <w:iCs/>
                <w:color w:val="000000"/>
                <w:sz w:val="18"/>
                <w:szCs w:val="18"/>
              </w:rPr>
              <w:t>Reporter Burden</w:t>
            </w:r>
            <w:r w:rsidR="009B16FF">
              <w:rPr>
                <w:rFonts w:ascii="Arial Narrow" w:eastAsia="Times New Roman" w:hAnsi="Arial Narrow" w:cs="Calibri"/>
                <w:i/>
                <w:iCs/>
                <w:color w:val="000000"/>
                <w:sz w:val="18"/>
                <w:szCs w:val="18"/>
              </w:rPr>
              <w:t xml:space="preserve"> Reduction</w:t>
            </w:r>
          </w:p>
        </w:tc>
      </w:tr>
      <w:tr w:rsidR="00B8298D" w:rsidRPr="00E562D4" w14:paraId="58FBE30A" w14:textId="77777777" w:rsidTr="00310FD7">
        <w:trPr>
          <w:jc w:val="center"/>
        </w:trPr>
        <w:tc>
          <w:tcPr>
            <w:tcW w:w="1606" w:type="dxa"/>
            <w:tcBorders>
              <w:top w:val="nil"/>
              <w:left w:val="single" w:sz="4" w:space="0" w:color="auto"/>
              <w:bottom w:val="single" w:sz="4" w:space="0" w:color="auto"/>
              <w:right w:val="single" w:sz="4" w:space="0" w:color="auto"/>
            </w:tcBorders>
            <w:shd w:val="clear" w:color="auto" w:fill="auto"/>
            <w:vAlign w:val="center"/>
            <w:hideMark/>
          </w:tcPr>
          <w:p w14:paraId="5969BA9F" w14:textId="77777777" w:rsidR="00B8298D" w:rsidRPr="00BF4E58" w:rsidRDefault="00B8298D" w:rsidP="00B8298D">
            <w:pPr>
              <w:rPr>
                <w:rFonts w:ascii="Arial Narrow" w:eastAsia="Times New Roman" w:hAnsi="Arial Narrow" w:cs="Calibri"/>
                <w:color w:val="000000"/>
                <w:sz w:val="18"/>
                <w:szCs w:val="18"/>
              </w:rPr>
            </w:pPr>
            <w:r w:rsidRPr="00BF4E58">
              <w:rPr>
                <w:rFonts w:ascii="Arial Narrow" w:eastAsia="Times New Roman" w:hAnsi="Arial Narrow" w:cs="Calibri"/>
                <w:color w:val="000000"/>
                <w:sz w:val="18"/>
                <w:szCs w:val="18"/>
              </w:rPr>
              <w:t>CDR Revisions</w:t>
            </w:r>
          </w:p>
        </w:tc>
        <w:tc>
          <w:tcPr>
            <w:tcW w:w="23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8295D92" w14:textId="65D96D43" w:rsidR="00B8298D" w:rsidRPr="00BF4E58" w:rsidRDefault="00B8298D" w:rsidP="00B8298D">
            <w:pPr>
              <w:jc w:val="center"/>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36,005</w:t>
            </w:r>
          </w:p>
        </w:tc>
        <w:tc>
          <w:tcPr>
            <w:tcW w:w="1745" w:type="dxa"/>
            <w:tcBorders>
              <w:top w:val="nil"/>
              <w:left w:val="double" w:sz="6" w:space="0" w:color="auto"/>
              <w:bottom w:val="single" w:sz="4" w:space="0" w:color="auto"/>
              <w:right w:val="single" w:sz="4" w:space="0" w:color="auto"/>
            </w:tcBorders>
            <w:shd w:val="clear" w:color="auto" w:fill="auto"/>
            <w:noWrap/>
            <w:vAlign w:val="center"/>
            <w:hideMark/>
          </w:tcPr>
          <w:p w14:paraId="75F794E2" w14:textId="614189EA" w:rsidR="00B8298D" w:rsidRPr="00BF4E58"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9,001</w:t>
            </w:r>
          </w:p>
        </w:tc>
        <w:tc>
          <w:tcPr>
            <w:tcW w:w="1448" w:type="dxa"/>
            <w:tcBorders>
              <w:top w:val="nil"/>
              <w:left w:val="nil"/>
              <w:bottom w:val="single" w:sz="4" w:space="0" w:color="auto"/>
              <w:right w:val="double" w:sz="6" w:space="0" w:color="auto"/>
            </w:tcBorders>
            <w:shd w:val="clear" w:color="auto" w:fill="auto"/>
            <w:noWrap/>
            <w:vAlign w:val="center"/>
            <w:hideMark/>
          </w:tcPr>
          <w:p w14:paraId="3617A30E" w14:textId="2A54C966" w:rsidR="00B8298D" w:rsidRPr="00BF4E58" w:rsidRDefault="00B8298D" w:rsidP="00B8298D">
            <w:pPr>
              <w:jc w:val="right"/>
              <w:rPr>
                <w:rFonts w:ascii="Arial Narrow" w:eastAsia="Times New Roman" w:hAnsi="Arial Narrow" w:cs="Calibri"/>
                <w:color w:val="000000"/>
                <w:sz w:val="18"/>
                <w:szCs w:val="18"/>
              </w:rPr>
            </w:pPr>
            <w:r>
              <w:rPr>
                <w:rFonts w:ascii="Arial Narrow" w:hAnsi="Arial Narrow" w:cs="Calibri"/>
                <w:color w:val="000000"/>
                <w:sz w:val="18"/>
                <w:szCs w:val="18"/>
              </w:rPr>
              <w:t>$698,218</w:t>
            </w:r>
          </w:p>
        </w:tc>
        <w:tc>
          <w:tcPr>
            <w:tcW w:w="1132" w:type="dxa"/>
            <w:tcBorders>
              <w:top w:val="nil"/>
              <w:left w:val="nil"/>
              <w:bottom w:val="single" w:sz="4" w:space="0" w:color="auto"/>
              <w:right w:val="single" w:sz="4" w:space="0" w:color="auto"/>
            </w:tcBorders>
            <w:shd w:val="clear" w:color="auto" w:fill="auto"/>
            <w:noWrap/>
            <w:vAlign w:val="center"/>
            <w:hideMark/>
          </w:tcPr>
          <w:p w14:paraId="43D71ACA" w14:textId="11BF1D68" w:rsidR="00B8298D" w:rsidRPr="00BF4E58"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27,003</w:t>
            </w:r>
          </w:p>
        </w:tc>
        <w:tc>
          <w:tcPr>
            <w:tcW w:w="1080" w:type="dxa"/>
            <w:tcBorders>
              <w:top w:val="nil"/>
              <w:left w:val="nil"/>
              <w:bottom w:val="single" w:sz="4" w:space="0" w:color="auto"/>
              <w:right w:val="single" w:sz="4" w:space="0" w:color="auto"/>
            </w:tcBorders>
            <w:shd w:val="clear" w:color="auto" w:fill="auto"/>
            <w:noWrap/>
            <w:vAlign w:val="center"/>
            <w:hideMark/>
          </w:tcPr>
          <w:p w14:paraId="2E2B94E5" w14:textId="6BD7DFF7" w:rsidR="00B8298D" w:rsidRPr="00BF4E58" w:rsidRDefault="00B8298D" w:rsidP="00B8298D">
            <w:pPr>
              <w:jc w:val="right"/>
              <w:rPr>
                <w:rFonts w:ascii="Arial Narrow" w:eastAsia="Times New Roman" w:hAnsi="Arial Narrow" w:cs="Calibri"/>
                <w:color w:val="000000"/>
                <w:sz w:val="18"/>
                <w:szCs w:val="18"/>
              </w:rPr>
            </w:pPr>
            <w:r w:rsidRPr="00BF4E58">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2,094,654</w:t>
            </w:r>
          </w:p>
        </w:tc>
      </w:tr>
      <w:tr w:rsidR="00B8298D" w:rsidRPr="00E562D4" w14:paraId="47922D5E" w14:textId="77777777" w:rsidTr="00310FD7">
        <w:trPr>
          <w:jc w:val="center"/>
        </w:trPr>
        <w:tc>
          <w:tcPr>
            <w:tcW w:w="1606" w:type="dxa"/>
            <w:tcBorders>
              <w:top w:val="nil"/>
              <w:left w:val="single" w:sz="4" w:space="0" w:color="auto"/>
              <w:bottom w:val="single" w:sz="4" w:space="0" w:color="auto"/>
              <w:right w:val="single" w:sz="4" w:space="0" w:color="auto"/>
            </w:tcBorders>
            <w:shd w:val="clear" w:color="auto" w:fill="FFFFFF" w:themeFill="background1"/>
            <w:vAlign w:val="center"/>
            <w:hideMark/>
          </w:tcPr>
          <w:p w14:paraId="5241EC45" w14:textId="77777777" w:rsidR="00B8298D" w:rsidRPr="00BF4E58"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BF4E58">
              <w:rPr>
                <w:rFonts w:ascii="Arial Narrow" w:eastAsia="Times New Roman" w:hAnsi="Arial Narrow" w:cs="Calibri"/>
                <w:color w:val="000000"/>
                <w:sz w:val="18"/>
                <w:szCs w:val="18"/>
              </w:rPr>
              <w:t>8(a) SMD Update</w:t>
            </w:r>
          </w:p>
        </w:tc>
        <w:tc>
          <w:tcPr>
            <w:tcW w:w="2349" w:type="dxa"/>
            <w:gridSpan w:val="4"/>
            <w:tcBorders>
              <w:top w:val="single" w:sz="4" w:space="0" w:color="auto"/>
              <w:left w:val="nil"/>
              <w:bottom w:val="single" w:sz="4" w:space="0" w:color="auto"/>
              <w:right w:val="single" w:sz="4" w:space="0" w:color="auto"/>
            </w:tcBorders>
            <w:shd w:val="clear" w:color="auto" w:fill="auto"/>
            <w:noWrap/>
            <w:vAlign w:val="center"/>
            <w:hideMark/>
          </w:tcPr>
          <w:p w14:paraId="4611F3A6" w14:textId="53B807FB" w:rsidR="00B8298D" w:rsidRPr="00BF4E58" w:rsidRDefault="00B8298D" w:rsidP="00B8298D">
            <w:pPr>
              <w:jc w:val="center"/>
              <w:rPr>
                <w:rFonts w:ascii="Arial Narrow" w:eastAsia="Times New Roman" w:hAnsi="Arial Narrow" w:cs="Calibri"/>
                <w:color w:val="000000" w:themeColor="text1"/>
                <w:sz w:val="18"/>
                <w:szCs w:val="18"/>
              </w:rPr>
            </w:pPr>
            <w:r>
              <w:rPr>
                <w:rFonts w:ascii="Arial Narrow" w:hAnsi="Arial Narrow" w:cs="Calibri"/>
                <w:color w:val="000000"/>
                <w:sz w:val="18"/>
                <w:szCs w:val="18"/>
              </w:rPr>
              <w:t>64,295</w:t>
            </w:r>
          </w:p>
        </w:tc>
        <w:tc>
          <w:tcPr>
            <w:tcW w:w="1745" w:type="dxa"/>
            <w:tcBorders>
              <w:top w:val="nil"/>
              <w:left w:val="double" w:sz="6" w:space="0" w:color="auto"/>
              <w:bottom w:val="single" w:sz="4" w:space="0" w:color="auto"/>
              <w:right w:val="single" w:sz="4" w:space="0" w:color="auto"/>
            </w:tcBorders>
            <w:shd w:val="clear" w:color="auto" w:fill="auto"/>
            <w:noWrap/>
            <w:vAlign w:val="center"/>
            <w:hideMark/>
          </w:tcPr>
          <w:p w14:paraId="39BD0651" w14:textId="56170EC2" w:rsidR="00B8298D" w:rsidRPr="00BF4E58" w:rsidRDefault="00B8298D" w:rsidP="00B8298D">
            <w:pPr>
              <w:jc w:val="right"/>
              <w:rPr>
                <w:rFonts w:ascii="Arial Narrow" w:eastAsia="Times New Roman" w:hAnsi="Arial Narrow" w:cs="Calibri"/>
                <w:color w:val="000000" w:themeColor="text1"/>
                <w:sz w:val="18"/>
                <w:szCs w:val="18"/>
              </w:rPr>
            </w:pPr>
            <w:r>
              <w:rPr>
                <w:rFonts w:ascii="Arial Narrow" w:hAnsi="Arial Narrow" w:cs="Calibri"/>
                <w:color w:val="000000"/>
                <w:sz w:val="18"/>
                <w:szCs w:val="18"/>
              </w:rPr>
              <w:t>16,074</w:t>
            </w:r>
          </w:p>
        </w:tc>
        <w:tc>
          <w:tcPr>
            <w:tcW w:w="1448" w:type="dxa"/>
            <w:tcBorders>
              <w:top w:val="nil"/>
              <w:left w:val="nil"/>
              <w:bottom w:val="single" w:sz="4" w:space="0" w:color="auto"/>
              <w:right w:val="double" w:sz="6" w:space="0" w:color="auto"/>
            </w:tcBorders>
            <w:shd w:val="clear" w:color="auto" w:fill="auto"/>
            <w:noWrap/>
            <w:vAlign w:val="center"/>
            <w:hideMark/>
          </w:tcPr>
          <w:p w14:paraId="23A81131" w14:textId="4D9E1BDE" w:rsidR="00B8298D" w:rsidRPr="00BF4E58" w:rsidRDefault="00B8298D" w:rsidP="00B8298D">
            <w:pPr>
              <w:jc w:val="right"/>
              <w:rPr>
                <w:rFonts w:ascii="Arial Narrow" w:eastAsia="Times New Roman" w:hAnsi="Arial Narrow" w:cs="Calibri"/>
                <w:color w:val="000000"/>
                <w:sz w:val="18"/>
                <w:szCs w:val="18"/>
              </w:rPr>
            </w:pPr>
            <w:r>
              <w:rPr>
                <w:rFonts w:ascii="Arial Narrow" w:hAnsi="Arial Narrow" w:cs="Calibri"/>
                <w:color w:val="000000"/>
                <w:sz w:val="18"/>
                <w:szCs w:val="18"/>
              </w:rPr>
              <w:t>$1,247,068</w:t>
            </w:r>
          </w:p>
        </w:tc>
        <w:tc>
          <w:tcPr>
            <w:tcW w:w="1132" w:type="dxa"/>
            <w:tcBorders>
              <w:top w:val="nil"/>
              <w:left w:val="nil"/>
              <w:bottom w:val="single" w:sz="4" w:space="0" w:color="auto"/>
              <w:right w:val="single" w:sz="4" w:space="0" w:color="auto"/>
            </w:tcBorders>
            <w:shd w:val="clear" w:color="auto" w:fill="auto"/>
            <w:noWrap/>
            <w:vAlign w:val="center"/>
            <w:hideMark/>
          </w:tcPr>
          <w:p w14:paraId="01A84E62" w14:textId="459FE2FF" w:rsidR="00B8298D" w:rsidRPr="00BF4E58" w:rsidRDefault="00B8298D" w:rsidP="00B8298D">
            <w:pPr>
              <w:jc w:val="right"/>
              <w:rPr>
                <w:rFonts w:ascii="Arial Narrow" w:eastAsia="Times New Roman" w:hAnsi="Arial Narrow" w:cs="Calibri"/>
                <w:color w:val="000000" w:themeColor="text1"/>
                <w:sz w:val="18"/>
                <w:szCs w:val="18"/>
              </w:rPr>
            </w:pPr>
            <w:r>
              <w:rPr>
                <w:rFonts w:ascii="Arial Narrow" w:hAnsi="Arial Narrow" w:cs="Calibri"/>
                <w:color w:val="000000"/>
                <w:sz w:val="18"/>
                <w:szCs w:val="18"/>
              </w:rPr>
              <w:t>48,222</w:t>
            </w:r>
          </w:p>
        </w:tc>
        <w:tc>
          <w:tcPr>
            <w:tcW w:w="1080" w:type="dxa"/>
            <w:tcBorders>
              <w:top w:val="nil"/>
              <w:left w:val="nil"/>
              <w:bottom w:val="single" w:sz="4" w:space="0" w:color="auto"/>
              <w:right w:val="single" w:sz="4" w:space="0" w:color="auto"/>
            </w:tcBorders>
            <w:shd w:val="clear" w:color="auto" w:fill="auto"/>
            <w:noWrap/>
            <w:vAlign w:val="center"/>
            <w:hideMark/>
          </w:tcPr>
          <w:p w14:paraId="30D3C751" w14:textId="21D43831" w:rsidR="00B8298D" w:rsidRPr="00BF4E58" w:rsidRDefault="00B8298D" w:rsidP="00B8298D">
            <w:pPr>
              <w:jc w:val="right"/>
              <w:rPr>
                <w:rFonts w:ascii="Arial Narrow" w:eastAsia="Times New Roman" w:hAnsi="Arial Narrow" w:cs="Calibri"/>
                <w:color w:val="000000"/>
                <w:sz w:val="18"/>
                <w:szCs w:val="18"/>
              </w:rPr>
            </w:pPr>
            <w:r w:rsidRPr="00BF4E58">
              <w:rPr>
                <w:rFonts w:ascii="Arial Narrow" w:hAnsi="Arial Narrow" w:cs="Calibri"/>
                <w:color w:val="000000"/>
                <w:sz w:val="18"/>
                <w:szCs w:val="18"/>
              </w:rPr>
              <w:t>$3,</w:t>
            </w:r>
            <w:r>
              <w:rPr>
                <w:rFonts w:ascii="Arial Narrow" w:hAnsi="Arial Narrow" w:cs="Calibri"/>
                <w:color w:val="000000"/>
                <w:sz w:val="18"/>
                <w:szCs w:val="18"/>
              </w:rPr>
              <w:t>741</w:t>
            </w:r>
            <w:r w:rsidRPr="00BF4E58">
              <w:rPr>
                <w:rFonts w:ascii="Arial Narrow" w:hAnsi="Arial Narrow" w:cs="Calibri"/>
                <w:color w:val="000000"/>
                <w:sz w:val="18"/>
                <w:szCs w:val="18"/>
              </w:rPr>
              <w:t>,</w:t>
            </w:r>
            <w:r>
              <w:rPr>
                <w:rFonts w:ascii="Arial Narrow" w:hAnsi="Arial Narrow" w:cs="Calibri"/>
                <w:color w:val="000000"/>
                <w:sz w:val="18"/>
                <w:szCs w:val="18"/>
              </w:rPr>
              <w:t>204</w:t>
            </w:r>
          </w:p>
        </w:tc>
      </w:tr>
      <w:tr w:rsidR="00B8298D" w:rsidRPr="00E562D4" w14:paraId="1165F0C1" w14:textId="77777777" w:rsidTr="00310FD7">
        <w:trPr>
          <w:jc w:val="center"/>
        </w:trPr>
        <w:tc>
          <w:tcPr>
            <w:tcW w:w="1606" w:type="dxa"/>
            <w:tcBorders>
              <w:top w:val="nil"/>
              <w:left w:val="single" w:sz="4" w:space="0" w:color="auto"/>
              <w:bottom w:val="single" w:sz="4" w:space="0" w:color="auto"/>
              <w:right w:val="single" w:sz="4" w:space="0" w:color="auto"/>
            </w:tcBorders>
            <w:shd w:val="clear" w:color="auto" w:fill="auto"/>
            <w:vAlign w:val="center"/>
            <w:hideMark/>
          </w:tcPr>
          <w:p w14:paraId="4DE3444E" w14:textId="77777777" w:rsidR="00B8298D" w:rsidRPr="00BF4E58"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BF4E58">
              <w:rPr>
                <w:rFonts w:ascii="Arial Narrow" w:eastAsia="Times New Roman" w:hAnsi="Arial Narrow" w:cs="Calibri"/>
                <w:color w:val="000000"/>
                <w:sz w:val="18"/>
                <w:szCs w:val="18"/>
              </w:rPr>
              <w:t>8(a) SGD</w:t>
            </w:r>
          </w:p>
        </w:tc>
        <w:tc>
          <w:tcPr>
            <w:tcW w:w="2349" w:type="dxa"/>
            <w:gridSpan w:val="4"/>
            <w:tcBorders>
              <w:top w:val="single" w:sz="4" w:space="0" w:color="auto"/>
              <w:left w:val="single" w:sz="4" w:space="0" w:color="auto"/>
              <w:bottom w:val="single" w:sz="4" w:space="0" w:color="auto"/>
              <w:right w:val="double" w:sz="6" w:space="0" w:color="000000" w:themeColor="text1"/>
            </w:tcBorders>
            <w:shd w:val="clear" w:color="auto" w:fill="auto"/>
            <w:noWrap/>
            <w:vAlign w:val="center"/>
            <w:hideMark/>
          </w:tcPr>
          <w:p w14:paraId="22C03BB4" w14:textId="657C6453" w:rsidR="00B8298D" w:rsidRPr="00BF4E58" w:rsidRDefault="00B8298D" w:rsidP="00B8298D">
            <w:pPr>
              <w:jc w:val="center"/>
              <w:rPr>
                <w:rFonts w:ascii="Arial Narrow" w:eastAsia="Times New Roman" w:hAnsi="Arial Narrow" w:cs="Calibri"/>
                <w:color w:val="000000" w:themeColor="text1"/>
                <w:sz w:val="18"/>
                <w:szCs w:val="18"/>
              </w:rPr>
            </w:pPr>
            <w:r>
              <w:rPr>
                <w:rFonts w:ascii="Arial Narrow" w:hAnsi="Arial Narrow" w:cs="Calibri"/>
                <w:color w:val="000000"/>
                <w:sz w:val="18"/>
                <w:szCs w:val="18"/>
              </w:rPr>
              <w:t>504</w:t>
            </w:r>
          </w:p>
        </w:tc>
        <w:tc>
          <w:tcPr>
            <w:tcW w:w="1745" w:type="dxa"/>
            <w:tcBorders>
              <w:top w:val="nil"/>
              <w:left w:val="nil"/>
              <w:bottom w:val="single" w:sz="4" w:space="0" w:color="auto"/>
              <w:right w:val="single" w:sz="4" w:space="0" w:color="auto"/>
            </w:tcBorders>
            <w:shd w:val="clear" w:color="auto" w:fill="auto"/>
            <w:noWrap/>
            <w:vAlign w:val="center"/>
            <w:hideMark/>
          </w:tcPr>
          <w:p w14:paraId="43BF3A4A" w14:textId="7021AAA7" w:rsidR="00B8298D" w:rsidRPr="00BF4E58" w:rsidRDefault="00B8298D" w:rsidP="00B8298D">
            <w:pPr>
              <w:jc w:val="right"/>
              <w:rPr>
                <w:rFonts w:ascii="Arial Narrow" w:eastAsia="Times New Roman" w:hAnsi="Arial Narrow" w:cs="Calibri"/>
                <w:color w:val="000000" w:themeColor="text1"/>
                <w:sz w:val="18"/>
                <w:szCs w:val="18"/>
              </w:rPr>
            </w:pPr>
            <w:r>
              <w:rPr>
                <w:rFonts w:ascii="Arial Narrow" w:hAnsi="Arial Narrow" w:cs="Calibri"/>
                <w:color w:val="000000"/>
                <w:sz w:val="18"/>
                <w:szCs w:val="18"/>
              </w:rPr>
              <w:t>126</w:t>
            </w:r>
          </w:p>
        </w:tc>
        <w:tc>
          <w:tcPr>
            <w:tcW w:w="1448" w:type="dxa"/>
            <w:tcBorders>
              <w:top w:val="nil"/>
              <w:left w:val="nil"/>
              <w:bottom w:val="single" w:sz="4" w:space="0" w:color="auto"/>
              <w:right w:val="double" w:sz="6" w:space="0" w:color="auto"/>
            </w:tcBorders>
            <w:shd w:val="clear" w:color="auto" w:fill="auto"/>
            <w:noWrap/>
            <w:vAlign w:val="center"/>
            <w:hideMark/>
          </w:tcPr>
          <w:p w14:paraId="1A2BF0D1" w14:textId="569CB517" w:rsidR="00B8298D" w:rsidRPr="00BF4E58" w:rsidRDefault="00B8298D" w:rsidP="00B8298D">
            <w:pPr>
              <w:jc w:val="right"/>
              <w:rPr>
                <w:rFonts w:ascii="Arial Narrow" w:eastAsia="Times New Roman" w:hAnsi="Arial Narrow" w:cs="Calibri"/>
                <w:color w:val="000000"/>
                <w:sz w:val="18"/>
                <w:szCs w:val="18"/>
              </w:rPr>
            </w:pPr>
            <w:r>
              <w:rPr>
                <w:rFonts w:ascii="Arial Narrow" w:hAnsi="Arial Narrow" w:cs="Calibri"/>
                <w:color w:val="000000"/>
                <w:sz w:val="18"/>
                <w:szCs w:val="18"/>
              </w:rPr>
              <w:t>$9,756</w:t>
            </w:r>
          </w:p>
        </w:tc>
        <w:tc>
          <w:tcPr>
            <w:tcW w:w="1132" w:type="dxa"/>
            <w:tcBorders>
              <w:top w:val="nil"/>
              <w:left w:val="nil"/>
              <w:bottom w:val="single" w:sz="4" w:space="0" w:color="auto"/>
              <w:right w:val="single" w:sz="4" w:space="0" w:color="auto"/>
            </w:tcBorders>
            <w:shd w:val="clear" w:color="auto" w:fill="auto"/>
            <w:noWrap/>
            <w:vAlign w:val="center"/>
            <w:hideMark/>
          </w:tcPr>
          <w:p w14:paraId="22C243CA" w14:textId="54DC06E6" w:rsidR="00B8298D" w:rsidRPr="00BF4E58" w:rsidRDefault="00B8298D" w:rsidP="00B8298D">
            <w:pPr>
              <w:jc w:val="right"/>
              <w:rPr>
                <w:rFonts w:ascii="Arial Narrow" w:eastAsia="Times New Roman" w:hAnsi="Arial Narrow" w:cs="Calibri"/>
                <w:color w:val="000000" w:themeColor="text1"/>
                <w:sz w:val="18"/>
                <w:szCs w:val="18"/>
              </w:rPr>
            </w:pPr>
            <w:r>
              <w:rPr>
                <w:rFonts w:ascii="Arial Narrow" w:hAnsi="Arial Narrow" w:cs="Calibri"/>
                <w:color w:val="000000"/>
                <w:sz w:val="18"/>
                <w:szCs w:val="18"/>
              </w:rPr>
              <w:t>378</w:t>
            </w:r>
          </w:p>
        </w:tc>
        <w:tc>
          <w:tcPr>
            <w:tcW w:w="1080" w:type="dxa"/>
            <w:tcBorders>
              <w:top w:val="nil"/>
              <w:left w:val="nil"/>
              <w:bottom w:val="single" w:sz="4" w:space="0" w:color="auto"/>
              <w:right w:val="single" w:sz="4" w:space="0" w:color="auto"/>
            </w:tcBorders>
            <w:shd w:val="clear" w:color="auto" w:fill="auto"/>
            <w:noWrap/>
            <w:vAlign w:val="center"/>
            <w:hideMark/>
          </w:tcPr>
          <w:p w14:paraId="11AF6943" w14:textId="180193B4" w:rsidR="00B8298D" w:rsidRPr="00BF4E58" w:rsidRDefault="00B8298D" w:rsidP="00B8298D">
            <w:pPr>
              <w:jc w:val="right"/>
              <w:rPr>
                <w:rFonts w:ascii="Arial Narrow" w:eastAsia="Times New Roman" w:hAnsi="Arial Narrow" w:cs="Calibri"/>
                <w:color w:val="000000"/>
                <w:sz w:val="18"/>
                <w:szCs w:val="18"/>
              </w:rPr>
            </w:pPr>
            <w:r w:rsidRPr="00BF4E58">
              <w:rPr>
                <w:rFonts w:ascii="Arial Narrow" w:hAnsi="Arial Narrow" w:cs="Calibri"/>
                <w:color w:val="000000"/>
                <w:sz w:val="18"/>
                <w:szCs w:val="18"/>
              </w:rPr>
              <w:t>$29,</w:t>
            </w:r>
            <w:r>
              <w:rPr>
                <w:rFonts w:ascii="Arial Narrow" w:hAnsi="Arial Narrow" w:cs="Calibri"/>
                <w:color w:val="000000"/>
                <w:sz w:val="18"/>
                <w:szCs w:val="18"/>
              </w:rPr>
              <w:t>268</w:t>
            </w:r>
          </w:p>
        </w:tc>
      </w:tr>
      <w:tr w:rsidR="00B8298D" w:rsidRPr="00E562D4" w14:paraId="232DEB40" w14:textId="77777777" w:rsidTr="00310FD7">
        <w:trPr>
          <w:jc w:val="center"/>
        </w:trPr>
        <w:tc>
          <w:tcPr>
            <w:tcW w:w="160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ED1E58C" w14:textId="334761DA" w:rsidR="00B8298D" w:rsidRPr="00BF4E58" w:rsidRDefault="00B8298D" w:rsidP="00B8298D">
            <w:pP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Reporter Burden</w:t>
            </w:r>
            <w:r w:rsidR="009B16FF">
              <w:rPr>
                <w:rFonts w:ascii="Arial Narrow" w:eastAsia="Times New Roman" w:hAnsi="Arial Narrow" w:cs="Calibri"/>
                <w:b/>
                <w:bCs/>
                <w:color w:val="000000"/>
                <w:sz w:val="18"/>
                <w:szCs w:val="18"/>
              </w:rPr>
              <w:t xml:space="preserve"> Reduction</w:t>
            </w:r>
            <w:r w:rsidRPr="00BF4E58">
              <w:rPr>
                <w:rFonts w:ascii="Arial Narrow" w:eastAsia="Times New Roman" w:hAnsi="Arial Narrow" w:cs="Calibri"/>
                <w:b/>
                <w:bCs/>
                <w:color w:val="000000"/>
                <w:sz w:val="18"/>
                <w:szCs w:val="18"/>
              </w:rPr>
              <w:t>, Total</w:t>
            </w:r>
          </w:p>
        </w:tc>
        <w:tc>
          <w:tcPr>
            <w:tcW w:w="234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255FDFA3" w14:textId="0F8C1452" w:rsidR="00B8298D" w:rsidRPr="00BF4E58" w:rsidRDefault="00B8298D" w:rsidP="00B8298D">
            <w:pPr>
              <w:jc w:val="center"/>
              <w:rPr>
                <w:rFonts w:ascii="Arial Narrow" w:eastAsia="Times New Roman" w:hAnsi="Arial Narrow" w:cs="Calibri"/>
                <w:b/>
                <w:bCs/>
                <w:color w:val="000000" w:themeColor="text1"/>
                <w:sz w:val="18"/>
                <w:szCs w:val="18"/>
              </w:rPr>
            </w:pPr>
            <w:r>
              <w:rPr>
                <w:rFonts w:ascii="Arial Narrow" w:hAnsi="Arial Narrow" w:cs="Calibri"/>
                <w:b/>
                <w:bCs/>
                <w:color w:val="000000"/>
                <w:sz w:val="18"/>
                <w:szCs w:val="18"/>
              </w:rPr>
              <w:t>100,804</w:t>
            </w:r>
          </w:p>
        </w:tc>
        <w:tc>
          <w:tcPr>
            <w:tcW w:w="1745"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6A133765" w14:textId="0BF43C8C" w:rsidR="00B8298D" w:rsidRPr="00BF4E58" w:rsidRDefault="00B8298D" w:rsidP="00B8298D">
            <w:pPr>
              <w:jc w:val="right"/>
              <w:rPr>
                <w:rFonts w:ascii="Arial Narrow" w:eastAsia="Times New Roman" w:hAnsi="Arial Narrow" w:cs="Calibri"/>
                <w:b/>
                <w:bCs/>
                <w:color w:val="000000" w:themeColor="text1"/>
                <w:sz w:val="18"/>
                <w:szCs w:val="18"/>
              </w:rPr>
            </w:pPr>
            <w:r>
              <w:rPr>
                <w:rFonts w:ascii="Arial Narrow" w:hAnsi="Arial Narrow" w:cs="Calibri"/>
                <w:b/>
                <w:bCs/>
                <w:color w:val="000000"/>
                <w:sz w:val="18"/>
                <w:szCs w:val="18"/>
              </w:rPr>
              <w:t>25,201</w:t>
            </w:r>
          </w:p>
        </w:tc>
        <w:tc>
          <w:tcPr>
            <w:tcW w:w="1448" w:type="dxa"/>
            <w:tcBorders>
              <w:top w:val="nil"/>
              <w:left w:val="nil"/>
              <w:bottom w:val="single" w:sz="4" w:space="0" w:color="auto"/>
              <w:right w:val="double" w:sz="6" w:space="0" w:color="auto"/>
            </w:tcBorders>
            <w:shd w:val="clear" w:color="auto" w:fill="D9D9D9" w:themeFill="background1" w:themeFillShade="D9"/>
            <w:vAlign w:val="center"/>
            <w:hideMark/>
          </w:tcPr>
          <w:p w14:paraId="7E410CF5" w14:textId="33C38786" w:rsidR="00B8298D" w:rsidRPr="00BF4E58" w:rsidRDefault="00B8298D" w:rsidP="00B8298D">
            <w:pPr>
              <w:jc w:val="right"/>
              <w:rPr>
                <w:rFonts w:ascii="Arial Narrow" w:eastAsia="Times New Roman" w:hAnsi="Arial Narrow" w:cs="Calibri"/>
                <w:b/>
                <w:bCs/>
                <w:color w:val="000000"/>
                <w:sz w:val="18"/>
                <w:szCs w:val="18"/>
              </w:rPr>
            </w:pPr>
            <w:r>
              <w:rPr>
                <w:rFonts w:ascii="Arial Narrow" w:hAnsi="Arial Narrow" w:cs="Calibri"/>
                <w:b/>
                <w:bCs/>
                <w:color w:val="000000"/>
                <w:sz w:val="18"/>
                <w:szCs w:val="18"/>
              </w:rPr>
              <w:t>$1,955,042</w:t>
            </w:r>
          </w:p>
        </w:tc>
        <w:tc>
          <w:tcPr>
            <w:tcW w:w="1132" w:type="dxa"/>
            <w:tcBorders>
              <w:top w:val="nil"/>
              <w:left w:val="nil"/>
              <w:bottom w:val="single" w:sz="4" w:space="0" w:color="auto"/>
              <w:right w:val="single" w:sz="4" w:space="0" w:color="auto"/>
            </w:tcBorders>
            <w:shd w:val="clear" w:color="auto" w:fill="D9D9D9" w:themeFill="background1" w:themeFillShade="D9"/>
            <w:noWrap/>
            <w:vAlign w:val="center"/>
            <w:hideMark/>
          </w:tcPr>
          <w:p w14:paraId="209B0918" w14:textId="6F32F026" w:rsidR="00B8298D" w:rsidRPr="00BF4E58" w:rsidRDefault="00B8298D" w:rsidP="00B8298D">
            <w:pPr>
              <w:jc w:val="right"/>
              <w:rPr>
                <w:rFonts w:ascii="Arial Narrow" w:eastAsia="Times New Roman" w:hAnsi="Arial Narrow" w:cs="Calibri"/>
                <w:b/>
                <w:bCs/>
                <w:color w:val="000000" w:themeColor="text1"/>
                <w:sz w:val="18"/>
                <w:szCs w:val="18"/>
              </w:rPr>
            </w:pPr>
            <w:r>
              <w:rPr>
                <w:rFonts w:ascii="Arial Narrow" w:hAnsi="Arial Narrow" w:cs="Calibri"/>
                <w:b/>
                <w:bCs/>
                <w:color w:val="000000"/>
                <w:sz w:val="18"/>
                <w:szCs w:val="18"/>
              </w:rPr>
              <w:t>75,603</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14:paraId="76B89B62" w14:textId="1033E528" w:rsidR="00B8298D" w:rsidRPr="00BF4E58" w:rsidRDefault="00B8298D" w:rsidP="00B8298D">
            <w:pPr>
              <w:jc w:val="right"/>
              <w:rPr>
                <w:rFonts w:ascii="Arial Narrow" w:eastAsia="Times New Roman" w:hAnsi="Arial Narrow" w:cs="Calibri"/>
                <w:b/>
                <w:bCs/>
                <w:color w:val="000000"/>
                <w:sz w:val="18"/>
                <w:szCs w:val="18"/>
              </w:rPr>
            </w:pPr>
            <w:r w:rsidRPr="00BF4E58">
              <w:rPr>
                <w:rFonts w:ascii="Arial Narrow" w:hAnsi="Arial Narrow" w:cs="Calibri"/>
                <w:b/>
                <w:bCs/>
                <w:color w:val="000000"/>
                <w:sz w:val="18"/>
                <w:szCs w:val="18"/>
              </w:rPr>
              <w:t>$</w:t>
            </w:r>
            <w:r>
              <w:rPr>
                <w:rFonts w:ascii="Arial Narrow" w:hAnsi="Arial Narrow" w:cs="Calibri"/>
                <w:b/>
                <w:bCs/>
                <w:color w:val="000000"/>
                <w:sz w:val="18"/>
                <w:szCs w:val="18"/>
              </w:rPr>
              <w:t>5,865,126</w:t>
            </w:r>
          </w:p>
        </w:tc>
      </w:tr>
      <w:tr w:rsidR="00B8298D" w:rsidRPr="00E562D4" w14:paraId="4285D9D5" w14:textId="77777777" w:rsidTr="00310FD7">
        <w:trPr>
          <w:jc w:val="center"/>
        </w:trPr>
        <w:tc>
          <w:tcPr>
            <w:tcW w:w="160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33A6B86A" w14:textId="3DCFE6CF" w:rsidR="00B8298D" w:rsidRPr="00BF4E58" w:rsidRDefault="00B8298D" w:rsidP="00B8298D">
            <w:pPr>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Agency Burden</w:t>
            </w:r>
            <w:r w:rsidR="009B16FF">
              <w:rPr>
                <w:rFonts w:ascii="Arial Narrow" w:eastAsia="Times New Roman" w:hAnsi="Arial Narrow" w:cs="Calibri"/>
                <w:b/>
                <w:bCs/>
                <w:color w:val="000000"/>
                <w:sz w:val="18"/>
                <w:szCs w:val="18"/>
              </w:rPr>
              <w:t xml:space="preserve"> Reduction</w:t>
            </w:r>
            <w:r w:rsidRPr="00BF4E58">
              <w:rPr>
                <w:rFonts w:ascii="Arial Narrow" w:eastAsia="Times New Roman" w:hAnsi="Arial Narrow" w:cs="Calibri"/>
                <w:b/>
                <w:bCs/>
                <w:color w:val="000000"/>
                <w:sz w:val="18"/>
                <w:szCs w:val="18"/>
              </w:rPr>
              <w:t>, Total</w:t>
            </w:r>
          </w:p>
        </w:tc>
        <w:tc>
          <w:tcPr>
            <w:tcW w:w="234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DFD7CE6" w14:textId="31EAF30B" w:rsidR="00B8298D" w:rsidRPr="00BF4E58" w:rsidRDefault="00B8298D" w:rsidP="00B8298D">
            <w:pPr>
              <w:jc w:val="center"/>
              <w:rPr>
                <w:rFonts w:ascii="Arial Narrow" w:eastAsia="Times New Roman" w:hAnsi="Arial Narrow" w:cs="Calibri"/>
                <w:b/>
                <w:bCs/>
                <w:color w:val="000000" w:themeColor="text1"/>
                <w:sz w:val="18"/>
                <w:szCs w:val="18"/>
              </w:rPr>
            </w:pPr>
            <w:r w:rsidRPr="00BF4E58">
              <w:rPr>
                <w:rFonts w:ascii="Arial Narrow" w:eastAsia="Times New Roman" w:hAnsi="Arial Narrow" w:cs="Calibri"/>
                <w:b/>
                <w:bCs/>
                <w:color w:val="000000" w:themeColor="text1"/>
                <w:sz w:val="18"/>
                <w:szCs w:val="18"/>
              </w:rPr>
              <w:t>2</w:t>
            </w:r>
            <w:r>
              <w:rPr>
                <w:rFonts w:ascii="Arial Narrow" w:eastAsia="Times New Roman" w:hAnsi="Arial Narrow" w:cs="Calibri"/>
                <w:b/>
                <w:bCs/>
                <w:color w:val="000000" w:themeColor="text1"/>
                <w:sz w:val="18"/>
                <w:szCs w:val="18"/>
              </w:rPr>
              <w:t>3</w:t>
            </w:r>
          </w:p>
        </w:tc>
        <w:tc>
          <w:tcPr>
            <w:tcW w:w="1745" w:type="dxa"/>
            <w:tcBorders>
              <w:top w:val="nil"/>
              <w:left w:val="double" w:sz="6" w:space="0" w:color="auto"/>
              <w:bottom w:val="single" w:sz="4" w:space="0" w:color="auto"/>
              <w:right w:val="single" w:sz="4" w:space="0" w:color="auto"/>
            </w:tcBorders>
            <w:shd w:val="clear" w:color="auto" w:fill="D9D9D9" w:themeFill="background1" w:themeFillShade="D9"/>
            <w:noWrap/>
            <w:vAlign w:val="center"/>
            <w:hideMark/>
          </w:tcPr>
          <w:p w14:paraId="20AD347C" w14:textId="1D7AB9BA" w:rsidR="00B8298D" w:rsidRPr="00BF4E58" w:rsidRDefault="00B8298D" w:rsidP="00B8298D">
            <w:pPr>
              <w:jc w:val="right"/>
              <w:rPr>
                <w:rFonts w:ascii="Arial Narrow" w:eastAsia="Times New Roman" w:hAnsi="Arial Narrow" w:cs="Calibri"/>
                <w:b/>
                <w:bCs/>
                <w:color w:val="000000" w:themeColor="text1"/>
                <w:sz w:val="18"/>
                <w:szCs w:val="18"/>
              </w:rPr>
            </w:pPr>
            <w:r w:rsidRPr="00BF4E58">
              <w:rPr>
                <w:rFonts w:ascii="Arial Narrow" w:eastAsia="Times New Roman" w:hAnsi="Arial Narrow" w:cs="Calibri"/>
                <w:b/>
                <w:bCs/>
                <w:color w:val="000000" w:themeColor="text1"/>
                <w:sz w:val="18"/>
                <w:szCs w:val="18"/>
              </w:rPr>
              <w:t>6</w:t>
            </w:r>
          </w:p>
        </w:tc>
        <w:tc>
          <w:tcPr>
            <w:tcW w:w="1448" w:type="dxa"/>
            <w:tcBorders>
              <w:top w:val="nil"/>
              <w:left w:val="nil"/>
              <w:bottom w:val="single" w:sz="4" w:space="0" w:color="auto"/>
              <w:right w:val="double" w:sz="6" w:space="0" w:color="auto"/>
            </w:tcBorders>
            <w:shd w:val="clear" w:color="auto" w:fill="D9D9D9" w:themeFill="background1" w:themeFillShade="D9"/>
            <w:vAlign w:val="center"/>
            <w:hideMark/>
          </w:tcPr>
          <w:p w14:paraId="2FC343FA" w14:textId="0833C80D" w:rsidR="00B8298D" w:rsidRPr="00BF4E58" w:rsidRDefault="00B8298D" w:rsidP="00B8298D">
            <w:pPr>
              <w:jc w:val="right"/>
              <w:rPr>
                <w:rFonts w:ascii="Arial Narrow" w:eastAsia="Times New Roman" w:hAnsi="Arial Narrow" w:cs="Calibri"/>
                <w:b/>
                <w:bCs/>
                <w:color w:val="000000"/>
                <w:sz w:val="18"/>
                <w:szCs w:val="18"/>
              </w:rPr>
            </w:pPr>
            <w:r>
              <w:rPr>
                <w:rFonts w:ascii="Arial Narrow" w:hAnsi="Arial Narrow" w:cs="Calibri"/>
                <w:b/>
                <w:bCs/>
                <w:color w:val="000000"/>
                <w:sz w:val="18"/>
                <w:szCs w:val="18"/>
              </w:rPr>
              <w:t>$704</w:t>
            </w:r>
          </w:p>
        </w:tc>
        <w:tc>
          <w:tcPr>
            <w:tcW w:w="1132" w:type="dxa"/>
            <w:tcBorders>
              <w:top w:val="nil"/>
              <w:left w:val="nil"/>
              <w:bottom w:val="single" w:sz="4" w:space="0" w:color="auto"/>
              <w:right w:val="single" w:sz="4" w:space="0" w:color="auto"/>
            </w:tcBorders>
            <w:shd w:val="clear" w:color="auto" w:fill="D9D9D9" w:themeFill="background1" w:themeFillShade="D9"/>
            <w:noWrap/>
            <w:vAlign w:val="center"/>
            <w:hideMark/>
          </w:tcPr>
          <w:p w14:paraId="711399DF" w14:textId="458E4608" w:rsidR="00B8298D" w:rsidRPr="00BF4E58" w:rsidRDefault="00B8298D" w:rsidP="00B8298D">
            <w:pPr>
              <w:jc w:val="right"/>
              <w:rPr>
                <w:rFonts w:ascii="Arial Narrow" w:eastAsia="Times New Roman" w:hAnsi="Arial Narrow" w:cs="Calibri"/>
                <w:b/>
                <w:bCs/>
                <w:color w:val="000000" w:themeColor="text1"/>
                <w:sz w:val="18"/>
                <w:szCs w:val="18"/>
              </w:rPr>
            </w:pPr>
            <w:r w:rsidRPr="00BF4E58">
              <w:rPr>
                <w:rFonts w:ascii="Arial Narrow" w:eastAsia="Times New Roman" w:hAnsi="Arial Narrow" w:cs="Calibri"/>
                <w:b/>
                <w:bCs/>
                <w:color w:val="000000" w:themeColor="text1"/>
                <w:sz w:val="18"/>
                <w:szCs w:val="18"/>
              </w:rPr>
              <w:t>1</w:t>
            </w:r>
            <w:r>
              <w:rPr>
                <w:rFonts w:ascii="Arial Narrow" w:eastAsia="Times New Roman" w:hAnsi="Arial Narrow" w:cs="Calibri"/>
                <w:b/>
                <w:bCs/>
                <w:color w:val="000000" w:themeColor="text1"/>
                <w:sz w:val="18"/>
                <w:szCs w:val="18"/>
              </w:rPr>
              <w:t>7</w:t>
            </w:r>
          </w:p>
        </w:tc>
        <w:tc>
          <w:tcPr>
            <w:tcW w:w="1080" w:type="dxa"/>
            <w:tcBorders>
              <w:top w:val="nil"/>
              <w:left w:val="nil"/>
              <w:bottom w:val="single" w:sz="4" w:space="0" w:color="auto"/>
              <w:right w:val="single" w:sz="4" w:space="0" w:color="auto"/>
            </w:tcBorders>
            <w:shd w:val="clear" w:color="auto" w:fill="D9D9D9" w:themeFill="background1" w:themeFillShade="D9"/>
            <w:noWrap/>
            <w:vAlign w:val="center"/>
            <w:hideMark/>
          </w:tcPr>
          <w:p w14:paraId="1802E7DD" w14:textId="7E217A4B" w:rsidR="00B8298D" w:rsidRPr="00BF4E58" w:rsidRDefault="00B8298D" w:rsidP="00B8298D">
            <w:pPr>
              <w:jc w:val="right"/>
              <w:rPr>
                <w:rFonts w:ascii="Arial Narrow" w:eastAsia="Times New Roman" w:hAnsi="Arial Narrow" w:cs="Calibri"/>
                <w:b/>
                <w:bCs/>
                <w:color w:val="000000"/>
                <w:sz w:val="18"/>
                <w:szCs w:val="18"/>
              </w:rPr>
            </w:pPr>
            <w:r w:rsidRPr="00BF4E58">
              <w:rPr>
                <w:rFonts w:ascii="Arial Narrow" w:eastAsia="Times New Roman" w:hAnsi="Arial Narrow" w:cs="Calibri"/>
                <w:b/>
                <w:bCs/>
                <w:color w:val="000000"/>
                <w:sz w:val="18"/>
                <w:szCs w:val="18"/>
              </w:rPr>
              <w:t>$2,</w:t>
            </w:r>
            <w:r>
              <w:rPr>
                <w:rFonts w:ascii="Arial Narrow" w:eastAsia="Times New Roman" w:hAnsi="Arial Narrow" w:cs="Calibri"/>
                <w:b/>
                <w:bCs/>
                <w:color w:val="000000"/>
                <w:sz w:val="18"/>
                <w:szCs w:val="18"/>
              </w:rPr>
              <w:t>111</w:t>
            </w:r>
          </w:p>
        </w:tc>
      </w:tr>
    </w:tbl>
    <w:p w14:paraId="2402A456" w14:textId="77777777" w:rsidR="00B8298D" w:rsidRDefault="00B8298D" w:rsidP="00B8298D"/>
    <w:p w14:paraId="1467368F" w14:textId="65E9D483" w:rsidR="00B8298D" w:rsidRPr="008A7FB7" w:rsidRDefault="00B8298D" w:rsidP="00B8298D">
      <w:pPr>
        <w:pStyle w:val="Heading2"/>
      </w:pPr>
      <w:bookmarkStart w:id="125" w:name="_Ref524367133"/>
      <w:r w:rsidRPr="008A7FB7">
        <w:t>Reasons for Change in Burden</w:t>
      </w:r>
      <w:bookmarkEnd w:id="125"/>
    </w:p>
    <w:p w14:paraId="56A4D215" w14:textId="4F97747E" w:rsidR="00B8298D" w:rsidRDefault="00B8298D" w:rsidP="00B8298D">
      <w:pPr>
        <w:pStyle w:val="BodyText"/>
      </w:pPr>
      <w:r w:rsidRPr="000E5DBC">
        <w:t xml:space="preserve">EPA estimates that reporters will experience net decreases in reporting burden due to the proposed rule. </w:t>
      </w:r>
      <w:r>
        <w:t>A</w:t>
      </w:r>
      <w:r w:rsidRPr="000E5DBC">
        <w:t xml:space="preserve">nnual reporting burden is reduced by </w:t>
      </w:r>
      <w:r>
        <w:t>25,201</w:t>
      </w:r>
      <w:r w:rsidRPr="000E5DBC">
        <w:t xml:space="preserve"> hours per year. </w:t>
      </w:r>
      <w:r>
        <w:fldChar w:fldCharType="begin"/>
      </w:r>
      <w:r>
        <w:instrText xml:space="preserve"> REF _Ref526353905 \h </w:instrText>
      </w:r>
      <w:r>
        <w:fldChar w:fldCharType="separate"/>
      </w:r>
      <w:r w:rsidR="00745E52">
        <w:t xml:space="preserve">Table </w:t>
      </w:r>
      <w:r w:rsidR="00745E52">
        <w:rPr>
          <w:noProof/>
        </w:rPr>
        <w:t>16</w:t>
      </w:r>
      <w:r>
        <w:fldChar w:fldCharType="end"/>
      </w:r>
      <w:r>
        <w:t xml:space="preserve"> details the reasons for change in annual burden. EPA first accounts for burden reduction associated with the change in number of sites and chemical reports due to the TSCA section 8(a) SGD, the TSCA section 8(a) SMD Update, and the byproduct provisions (exemptions and category reporting). The unit burdens associated with new reporting activities under TSCA section 8(a) SMD, TSCA section 8(a) SGD, and CDR Revisions are then applied to the </w:t>
      </w:r>
      <w:r w:rsidR="00FF4182">
        <w:t>proposed rule option</w:t>
      </w:r>
      <w:r>
        <w:t xml:space="preserve"> counts of sites and chemical reports. As such, in this sequential calculation, </w:t>
      </w:r>
      <w:r w:rsidR="00C303F2">
        <w:t>incremental rule familiarization, incremental compliance determination, and changes to Form U content associated with counts of exempted sites are not included in the estimate</w:t>
      </w:r>
      <w:r>
        <w:t>.</w:t>
      </w:r>
      <w:r>
        <w:rPr>
          <w:rStyle w:val="FootnoteReference"/>
        </w:rPr>
        <w:footnoteReference w:id="9"/>
      </w:r>
    </w:p>
    <w:p w14:paraId="0C1C4A12" w14:textId="77777777" w:rsidR="00B8298D" w:rsidRDefault="00B8298D" w:rsidP="00B8298D">
      <w:pPr>
        <w:spacing w:after="200" w:line="276" w:lineRule="auto"/>
        <w:rPr>
          <w:rFonts w:eastAsia="Times New Roman" w:cs="Times New Roman"/>
        </w:rPr>
      </w:pPr>
    </w:p>
    <w:p w14:paraId="3452513B" w14:textId="77777777" w:rsidR="00B8298D" w:rsidRDefault="00B8298D" w:rsidP="00B8298D">
      <w:pPr>
        <w:pStyle w:val="Caption"/>
        <w:keepNext/>
        <w:sectPr w:rsidR="00B8298D" w:rsidSect="00AA0541">
          <w:footerReference w:type="default" r:id="rId15"/>
          <w:pgSz w:w="12240" w:h="15840"/>
          <w:pgMar w:top="1440" w:right="1440" w:bottom="1440" w:left="1440" w:header="720" w:footer="720" w:gutter="0"/>
          <w:cols w:space="720"/>
          <w:docGrid w:linePitch="360"/>
        </w:sectPr>
      </w:pPr>
      <w:bookmarkStart w:id="126" w:name="_Ref524348889"/>
    </w:p>
    <w:tbl>
      <w:tblPr>
        <w:tblW w:w="5000" w:type="pct"/>
        <w:jc w:val="center"/>
        <w:tblLayout w:type="fixed"/>
        <w:tblCellMar>
          <w:left w:w="115" w:type="dxa"/>
          <w:right w:w="115" w:type="dxa"/>
        </w:tblCellMar>
        <w:tblLook w:val="04A0" w:firstRow="1" w:lastRow="0" w:firstColumn="1" w:lastColumn="0" w:noHBand="0" w:noVBand="1"/>
      </w:tblPr>
      <w:tblGrid>
        <w:gridCol w:w="276"/>
        <w:gridCol w:w="862"/>
        <w:gridCol w:w="797"/>
        <w:gridCol w:w="1090"/>
        <w:gridCol w:w="900"/>
        <w:gridCol w:w="1044"/>
        <w:gridCol w:w="864"/>
        <w:gridCol w:w="1101"/>
        <w:gridCol w:w="931"/>
        <w:gridCol w:w="809"/>
        <w:gridCol w:w="880"/>
        <w:gridCol w:w="793"/>
        <w:gridCol w:w="759"/>
        <w:gridCol w:w="975"/>
        <w:gridCol w:w="1109"/>
      </w:tblGrid>
      <w:tr w:rsidR="00B8298D" w:rsidRPr="00924A46" w14:paraId="746AEC90" w14:textId="77777777" w:rsidTr="00B8298D">
        <w:trPr>
          <w:tblHeader/>
          <w:jc w:val="center"/>
        </w:trPr>
        <w:tc>
          <w:tcPr>
            <w:tcW w:w="12960" w:type="dxa"/>
            <w:gridSpan w:val="15"/>
            <w:tcBorders>
              <w:bottom w:val="single" w:sz="4" w:space="0" w:color="auto"/>
            </w:tcBorders>
            <w:shd w:val="clear" w:color="auto" w:fill="auto"/>
            <w:vAlign w:val="bottom"/>
          </w:tcPr>
          <w:p w14:paraId="55032338" w14:textId="7C5C9435" w:rsidR="00B8298D" w:rsidRPr="00B0518F" w:rsidRDefault="00B8298D" w:rsidP="00B8298D">
            <w:pPr>
              <w:pStyle w:val="Caption"/>
              <w:keepNext/>
              <w:rPr>
                <w:rFonts w:eastAsia="Times New Roman" w:cs="Times New Roman"/>
                <w:b w:val="0"/>
                <w:bCs w:val="0"/>
                <w:color w:val="000000"/>
                <w:szCs w:val="24"/>
              </w:rPr>
            </w:pPr>
            <w:bookmarkStart w:id="127" w:name="_Ref526353905"/>
            <w:bookmarkStart w:id="128" w:name="_Ref525830880"/>
            <w:r>
              <w:t xml:space="preserve">Table </w:t>
            </w:r>
            <w:r>
              <w:rPr>
                <w:noProof/>
              </w:rPr>
              <w:fldChar w:fldCharType="begin"/>
            </w:r>
            <w:r>
              <w:rPr>
                <w:noProof/>
              </w:rPr>
              <w:instrText xml:space="preserve"> SEQ Table \* ARABIC </w:instrText>
            </w:r>
            <w:r>
              <w:rPr>
                <w:noProof/>
              </w:rPr>
              <w:fldChar w:fldCharType="separate"/>
            </w:r>
            <w:r w:rsidR="00745E52">
              <w:rPr>
                <w:noProof/>
              </w:rPr>
              <w:t>16</w:t>
            </w:r>
            <w:r>
              <w:rPr>
                <w:noProof/>
              </w:rPr>
              <w:fldChar w:fldCharType="end"/>
            </w:r>
            <w:bookmarkEnd w:id="126"/>
            <w:bookmarkEnd w:id="127"/>
            <w:bookmarkEnd w:id="128"/>
            <w:r>
              <w:t>:</w:t>
            </w:r>
            <w:r w:rsidRPr="00924A46">
              <w:rPr>
                <w:rFonts w:eastAsia="Times New Roman" w:cs="Times New Roman"/>
                <w:bCs w:val="0"/>
                <w:color w:val="000000"/>
              </w:rPr>
              <w:t xml:space="preserve"> Reasons for Change in Burden</w:t>
            </w:r>
            <w:r w:rsidR="00C303F2">
              <w:rPr>
                <w:rFonts w:eastAsia="Times New Roman" w:cs="Times New Roman"/>
                <w:bCs w:val="0"/>
                <w:color w:val="000000"/>
              </w:rPr>
              <w:t xml:space="preserve"> (Annual)</w:t>
            </w:r>
          </w:p>
        </w:tc>
      </w:tr>
      <w:tr w:rsidR="00B8298D" w14:paraId="4DB20D86" w14:textId="77777777" w:rsidTr="00874EA2">
        <w:trPr>
          <w:jc w:val="center"/>
        </w:trPr>
        <w:tc>
          <w:tcPr>
            <w:tcW w:w="1117" w:type="dxa"/>
            <w:gridSpan w:val="2"/>
            <w:vMerge w:val="restart"/>
            <w:tcBorders>
              <w:top w:val="single" w:sz="4" w:space="0" w:color="auto"/>
              <w:left w:val="single" w:sz="4" w:space="0" w:color="auto"/>
              <w:bottom w:val="single" w:sz="4" w:space="0" w:color="auto"/>
              <w:right w:val="single" w:sz="4" w:space="0" w:color="auto"/>
            </w:tcBorders>
            <w:shd w:val="clear" w:color="000000" w:fill="BFBFBF"/>
            <w:vAlign w:val="bottom"/>
            <w:hideMark/>
          </w:tcPr>
          <w:p w14:paraId="45024C9E" w14:textId="77777777" w:rsidR="00B8298D" w:rsidRPr="008C5171" w:rsidRDefault="00B8298D" w:rsidP="00B8298D">
            <w:pPr>
              <w:rPr>
                <w:rFonts w:ascii="Arial Narrow" w:hAnsi="Arial Narrow"/>
                <w:color w:val="000000"/>
                <w:sz w:val="18"/>
                <w:szCs w:val="18"/>
              </w:rPr>
            </w:pPr>
            <w:r w:rsidRPr="008C5171">
              <w:rPr>
                <w:rFonts w:ascii="Arial Narrow" w:hAnsi="Arial Narrow"/>
                <w:color w:val="000000"/>
                <w:sz w:val="18"/>
                <w:szCs w:val="18"/>
              </w:rPr>
              <w:t> </w:t>
            </w:r>
          </w:p>
        </w:tc>
        <w:tc>
          <w:tcPr>
            <w:tcW w:w="10753" w:type="dxa"/>
            <w:gridSpan w:val="12"/>
            <w:tcBorders>
              <w:top w:val="single" w:sz="4" w:space="0" w:color="auto"/>
              <w:left w:val="single" w:sz="4" w:space="0" w:color="auto"/>
              <w:bottom w:val="single" w:sz="4" w:space="0" w:color="auto"/>
              <w:right w:val="single" w:sz="4" w:space="0" w:color="auto"/>
            </w:tcBorders>
            <w:shd w:val="clear" w:color="000000" w:fill="BFBFBF"/>
            <w:vAlign w:val="bottom"/>
            <w:hideMark/>
          </w:tcPr>
          <w:p w14:paraId="0442306E"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Changes</w:t>
            </w:r>
          </w:p>
        </w:tc>
        <w:tc>
          <w:tcPr>
            <w:tcW w:w="1090" w:type="dxa"/>
            <w:vMerge w:val="restart"/>
            <w:tcBorders>
              <w:top w:val="single" w:sz="4" w:space="0" w:color="auto"/>
              <w:left w:val="single" w:sz="4" w:space="0" w:color="auto"/>
              <w:right w:val="single" w:sz="4" w:space="0" w:color="auto"/>
            </w:tcBorders>
            <w:shd w:val="clear" w:color="000000" w:fill="BFBFBF"/>
            <w:vAlign w:val="center"/>
            <w:hideMark/>
          </w:tcPr>
          <w:p w14:paraId="7A489611"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sz w:val="18"/>
                <w:szCs w:val="18"/>
              </w:rPr>
              <w:t>Overall</w:t>
            </w:r>
            <w:r w:rsidRPr="004B2A38">
              <w:rPr>
                <w:rFonts w:ascii="Arial Narrow" w:hAnsi="Arial Narrow" w:cs="Calibri"/>
                <w:b/>
                <w:bCs/>
                <w:sz w:val="18"/>
                <w:szCs w:val="18"/>
                <w:vertAlign w:val="superscript"/>
              </w:rPr>
              <w:t>1</w:t>
            </w:r>
          </w:p>
        </w:tc>
      </w:tr>
      <w:tr w:rsidR="00B8298D" w14:paraId="435FFD17" w14:textId="77777777" w:rsidTr="00B8298D">
        <w:trPr>
          <w:jc w:val="center"/>
        </w:trPr>
        <w:tc>
          <w:tcPr>
            <w:tcW w:w="1117" w:type="dxa"/>
            <w:gridSpan w:val="2"/>
            <w:vMerge/>
            <w:tcBorders>
              <w:top w:val="single" w:sz="4" w:space="0" w:color="auto"/>
              <w:left w:val="single" w:sz="4" w:space="0" w:color="auto"/>
              <w:bottom w:val="single" w:sz="4" w:space="0" w:color="auto"/>
              <w:right w:val="single" w:sz="4" w:space="0" w:color="auto"/>
            </w:tcBorders>
            <w:vAlign w:val="center"/>
            <w:hideMark/>
          </w:tcPr>
          <w:p w14:paraId="42BDB78E" w14:textId="77777777" w:rsidR="00B8298D" w:rsidRPr="008C5171" w:rsidRDefault="00B8298D" w:rsidP="00B8298D">
            <w:pPr>
              <w:rPr>
                <w:rFonts w:ascii="Arial Narrow" w:hAnsi="Arial Narrow"/>
                <w:color w:val="000000"/>
                <w:sz w:val="18"/>
                <w:szCs w:val="18"/>
              </w:rPr>
            </w:pPr>
          </w:p>
        </w:tc>
        <w:tc>
          <w:tcPr>
            <w:tcW w:w="1854" w:type="dxa"/>
            <w:gridSpan w:val="2"/>
            <w:tcBorders>
              <w:top w:val="single" w:sz="4" w:space="0" w:color="auto"/>
              <w:left w:val="single" w:sz="4" w:space="0" w:color="auto"/>
              <w:bottom w:val="single" w:sz="4" w:space="0" w:color="auto"/>
              <w:right w:val="single" w:sz="4" w:space="0" w:color="000000"/>
            </w:tcBorders>
            <w:shd w:val="clear" w:color="000000" w:fill="BFBFBF"/>
            <w:vAlign w:val="bottom"/>
            <w:hideMark/>
          </w:tcPr>
          <w:p w14:paraId="03378F51" w14:textId="4E36C156" w:rsidR="00B8298D" w:rsidRPr="004B2A38" w:rsidRDefault="00B8298D" w:rsidP="00B8298D">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Section </w:t>
            </w:r>
            <w:r w:rsidRPr="004B2A38">
              <w:rPr>
                <w:rFonts w:ascii="Arial Narrow" w:hAnsi="Arial Narrow" w:cs="Calibri"/>
                <w:b/>
                <w:bCs/>
                <w:color w:val="000000"/>
                <w:sz w:val="18"/>
                <w:szCs w:val="18"/>
              </w:rPr>
              <w:t xml:space="preserve">8(a) SGD Changes to Numbers of </w:t>
            </w:r>
            <w:r>
              <w:rPr>
                <w:rFonts w:ascii="Arial Narrow" w:hAnsi="Arial Narrow" w:cs="Calibri"/>
                <w:b/>
                <w:bCs/>
                <w:color w:val="000000"/>
                <w:sz w:val="18"/>
                <w:szCs w:val="18"/>
              </w:rPr>
              <w:t>Sites</w:t>
            </w:r>
            <w:r w:rsidRPr="004B2A38">
              <w:rPr>
                <w:rFonts w:ascii="Arial Narrow" w:hAnsi="Arial Narrow" w:cs="Calibri"/>
                <w:b/>
                <w:bCs/>
                <w:color w:val="000000"/>
                <w:sz w:val="18"/>
                <w:szCs w:val="18"/>
              </w:rPr>
              <w:t>/Chemical Reports - Government</w:t>
            </w:r>
          </w:p>
        </w:tc>
        <w:tc>
          <w:tcPr>
            <w:tcW w:w="1910" w:type="dxa"/>
            <w:gridSpan w:val="2"/>
            <w:tcBorders>
              <w:top w:val="single" w:sz="4" w:space="0" w:color="auto"/>
              <w:left w:val="single" w:sz="4" w:space="0" w:color="auto"/>
              <w:bottom w:val="single" w:sz="4" w:space="0" w:color="auto"/>
              <w:right w:val="single" w:sz="4" w:space="0" w:color="000000"/>
            </w:tcBorders>
            <w:shd w:val="clear" w:color="000000" w:fill="BFBFBF"/>
            <w:vAlign w:val="bottom"/>
            <w:hideMark/>
          </w:tcPr>
          <w:p w14:paraId="0581C9E8" w14:textId="25A3DA28" w:rsidR="00B8298D" w:rsidRPr="004B2A38" w:rsidRDefault="00B8298D" w:rsidP="00B8298D">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Section </w:t>
            </w:r>
            <w:r w:rsidRPr="004B2A38">
              <w:rPr>
                <w:rFonts w:ascii="Arial Narrow" w:hAnsi="Arial Narrow" w:cs="Calibri"/>
                <w:b/>
                <w:bCs/>
                <w:color w:val="000000"/>
                <w:sz w:val="18"/>
                <w:szCs w:val="18"/>
              </w:rPr>
              <w:t xml:space="preserve">8(a) SMD Changes to Numbers of </w:t>
            </w:r>
            <w:r>
              <w:rPr>
                <w:rFonts w:ascii="Arial Narrow" w:hAnsi="Arial Narrow" w:cs="Calibri"/>
                <w:b/>
                <w:bCs/>
                <w:color w:val="000000"/>
                <w:sz w:val="18"/>
                <w:szCs w:val="18"/>
              </w:rPr>
              <w:t>Sites</w:t>
            </w:r>
            <w:r w:rsidRPr="004B2A38">
              <w:rPr>
                <w:rFonts w:ascii="Arial Narrow" w:hAnsi="Arial Narrow" w:cs="Calibri"/>
                <w:b/>
                <w:bCs/>
                <w:color w:val="000000"/>
                <w:sz w:val="18"/>
                <w:szCs w:val="18"/>
              </w:rPr>
              <w:t>/Chemical Reports - Industry</w:t>
            </w:r>
          </w:p>
        </w:tc>
        <w:tc>
          <w:tcPr>
            <w:tcW w:w="1931" w:type="dxa"/>
            <w:gridSpan w:val="2"/>
            <w:tcBorders>
              <w:top w:val="single" w:sz="4" w:space="0" w:color="auto"/>
              <w:left w:val="single" w:sz="4" w:space="0" w:color="auto"/>
              <w:bottom w:val="single" w:sz="4" w:space="0" w:color="auto"/>
              <w:right w:val="single" w:sz="4" w:space="0" w:color="000000"/>
            </w:tcBorders>
            <w:shd w:val="clear" w:color="000000" w:fill="BFBFBF"/>
            <w:vAlign w:val="bottom"/>
            <w:hideMark/>
          </w:tcPr>
          <w:p w14:paraId="5F2B7497" w14:textId="19F5092D"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 xml:space="preserve">CDR Revisions Changes to Numbers of </w:t>
            </w:r>
            <w:r>
              <w:rPr>
                <w:rFonts w:ascii="Arial Narrow" w:hAnsi="Arial Narrow" w:cs="Calibri"/>
                <w:b/>
                <w:bCs/>
                <w:color w:val="000000"/>
                <w:sz w:val="18"/>
                <w:szCs w:val="18"/>
              </w:rPr>
              <w:t>Sites</w:t>
            </w:r>
            <w:r w:rsidRPr="004B2A38">
              <w:rPr>
                <w:rFonts w:ascii="Arial Narrow" w:hAnsi="Arial Narrow" w:cs="Calibri"/>
                <w:b/>
                <w:bCs/>
                <w:color w:val="000000"/>
                <w:sz w:val="18"/>
                <w:szCs w:val="18"/>
              </w:rPr>
              <w:t>/Chemical Reports, Byproduct Provisions</w:t>
            </w:r>
          </w:p>
        </w:tc>
        <w:tc>
          <w:tcPr>
            <w:tcW w:w="1710" w:type="dxa"/>
            <w:gridSpan w:val="2"/>
            <w:tcBorders>
              <w:top w:val="single" w:sz="4" w:space="0" w:color="auto"/>
              <w:left w:val="single" w:sz="4" w:space="0" w:color="auto"/>
              <w:bottom w:val="single" w:sz="4" w:space="0" w:color="auto"/>
              <w:right w:val="single" w:sz="4" w:space="0" w:color="000000"/>
            </w:tcBorders>
            <w:shd w:val="clear" w:color="000000" w:fill="BFBFBF"/>
            <w:vAlign w:val="bottom"/>
            <w:hideMark/>
          </w:tcPr>
          <w:p w14:paraId="2124B53E" w14:textId="77777777" w:rsidR="00B8298D" w:rsidRPr="004B2A38" w:rsidRDefault="00B8298D" w:rsidP="00B8298D">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Section </w:t>
            </w:r>
            <w:r w:rsidRPr="004B2A38">
              <w:rPr>
                <w:rFonts w:ascii="Arial Narrow" w:hAnsi="Arial Narrow" w:cs="Calibri"/>
                <w:b/>
                <w:bCs/>
                <w:color w:val="000000"/>
                <w:sz w:val="18"/>
                <w:szCs w:val="18"/>
              </w:rPr>
              <w:t>8(a) SGD Government New Reporting Activities</w:t>
            </w:r>
          </w:p>
        </w:tc>
        <w:tc>
          <w:tcPr>
            <w:tcW w:w="1644" w:type="dxa"/>
            <w:gridSpan w:val="2"/>
            <w:tcBorders>
              <w:top w:val="single" w:sz="4" w:space="0" w:color="auto"/>
              <w:left w:val="single" w:sz="4" w:space="0" w:color="auto"/>
              <w:bottom w:val="single" w:sz="4" w:space="0" w:color="auto"/>
              <w:right w:val="single" w:sz="4" w:space="0" w:color="000000"/>
            </w:tcBorders>
            <w:shd w:val="clear" w:color="000000" w:fill="BFBFBF"/>
            <w:vAlign w:val="bottom"/>
            <w:hideMark/>
          </w:tcPr>
          <w:p w14:paraId="1849C166" w14:textId="77777777" w:rsidR="00B8298D" w:rsidRPr="004B2A38" w:rsidRDefault="00B8298D" w:rsidP="00B8298D">
            <w:pPr>
              <w:jc w:val="center"/>
              <w:rPr>
                <w:rFonts w:ascii="Arial Narrow" w:hAnsi="Arial Narrow" w:cs="Calibri"/>
                <w:b/>
                <w:bCs/>
                <w:color w:val="000000"/>
                <w:sz w:val="18"/>
                <w:szCs w:val="18"/>
              </w:rPr>
            </w:pPr>
            <w:r>
              <w:rPr>
                <w:rFonts w:ascii="Arial Narrow" w:hAnsi="Arial Narrow" w:cs="Calibri"/>
                <w:b/>
                <w:bCs/>
                <w:color w:val="000000"/>
                <w:sz w:val="18"/>
                <w:szCs w:val="18"/>
              </w:rPr>
              <w:t xml:space="preserve">Section </w:t>
            </w:r>
            <w:r w:rsidRPr="004B2A38">
              <w:rPr>
                <w:rFonts w:ascii="Arial Narrow" w:hAnsi="Arial Narrow" w:cs="Calibri"/>
                <w:b/>
                <w:bCs/>
                <w:color w:val="000000"/>
                <w:sz w:val="18"/>
                <w:szCs w:val="18"/>
              </w:rPr>
              <w:t>8(a) SMD Industry New Reporting Activities</w:t>
            </w:r>
          </w:p>
        </w:tc>
        <w:tc>
          <w:tcPr>
            <w:tcW w:w="1704" w:type="dxa"/>
            <w:gridSpan w:val="2"/>
            <w:tcBorders>
              <w:top w:val="single" w:sz="4" w:space="0" w:color="auto"/>
              <w:left w:val="single" w:sz="4" w:space="0" w:color="auto"/>
              <w:bottom w:val="single" w:sz="4" w:space="0" w:color="auto"/>
              <w:right w:val="single" w:sz="4" w:space="0" w:color="auto"/>
            </w:tcBorders>
            <w:shd w:val="clear" w:color="000000" w:fill="BFBFBF"/>
            <w:vAlign w:val="bottom"/>
            <w:hideMark/>
          </w:tcPr>
          <w:p w14:paraId="608D3088"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CDR Revisions New and Modified Reporting Activities</w:t>
            </w:r>
          </w:p>
        </w:tc>
        <w:tc>
          <w:tcPr>
            <w:tcW w:w="1090" w:type="dxa"/>
            <w:vMerge/>
            <w:tcBorders>
              <w:left w:val="single" w:sz="4" w:space="0" w:color="auto"/>
              <w:right w:val="single" w:sz="4" w:space="0" w:color="auto"/>
            </w:tcBorders>
            <w:shd w:val="clear" w:color="000000" w:fill="BFBFBF"/>
            <w:vAlign w:val="bottom"/>
            <w:hideMark/>
          </w:tcPr>
          <w:p w14:paraId="238BC061" w14:textId="77777777" w:rsidR="00B8298D" w:rsidRPr="004B2A38" w:rsidRDefault="00B8298D" w:rsidP="00B8298D">
            <w:pPr>
              <w:jc w:val="center"/>
              <w:rPr>
                <w:rFonts w:ascii="Arial Narrow" w:hAnsi="Arial Narrow" w:cs="Calibri"/>
                <w:b/>
                <w:bCs/>
                <w:sz w:val="18"/>
                <w:szCs w:val="18"/>
              </w:rPr>
            </w:pPr>
          </w:p>
        </w:tc>
      </w:tr>
      <w:tr w:rsidR="00B8298D" w14:paraId="2E8CC6A4" w14:textId="77777777" w:rsidTr="00B8298D">
        <w:trPr>
          <w:jc w:val="center"/>
        </w:trPr>
        <w:tc>
          <w:tcPr>
            <w:tcW w:w="1117" w:type="dxa"/>
            <w:gridSpan w:val="2"/>
            <w:vMerge/>
            <w:tcBorders>
              <w:top w:val="single" w:sz="4" w:space="0" w:color="auto"/>
              <w:left w:val="single" w:sz="4" w:space="0" w:color="auto"/>
              <w:bottom w:val="single" w:sz="4" w:space="0" w:color="auto"/>
              <w:right w:val="single" w:sz="4" w:space="0" w:color="auto"/>
            </w:tcBorders>
            <w:vAlign w:val="center"/>
            <w:hideMark/>
          </w:tcPr>
          <w:p w14:paraId="547D2981" w14:textId="77777777" w:rsidR="00B8298D" w:rsidRPr="008C5171" w:rsidRDefault="00B8298D" w:rsidP="00B8298D">
            <w:pPr>
              <w:rPr>
                <w:rFonts w:ascii="Arial Narrow" w:hAnsi="Arial Narrow"/>
                <w:color w:val="000000"/>
                <w:sz w:val="18"/>
                <w:szCs w:val="18"/>
              </w:rPr>
            </w:pPr>
          </w:p>
        </w:tc>
        <w:tc>
          <w:tcPr>
            <w:tcW w:w="783" w:type="dxa"/>
            <w:tcBorders>
              <w:top w:val="nil"/>
              <w:left w:val="nil"/>
              <w:bottom w:val="single" w:sz="4" w:space="0" w:color="auto"/>
              <w:right w:val="single" w:sz="4" w:space="0" w:color="auto"/>
            </w:tcBorders>
            <w:shd w:val="clear" w:color="000000" w:fill="BFBFBF"/>
            <w:noWrap/>
            <w:vAlign w:val="bottom"/>
            <w:hideMark/>
          </w:tcPr>
          <w:p w14:paraId="60AE2502"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p>
        </w:tc>
        <w:tc>
          <w:tcPr>
            <w:tcW w:w="1071" w:type="dxa"/>
            <w:tcBorders>
              <w:top w:val="nil"/>
              <w:left w:val="nil"/>
              <w:bottom w:val="single" w:sz="4" w:space="0" w:color="auto"/>
              <w:right w:val="single" w:sz="4" w:space="0" w:color="auto"/>
            </w:tcBorders>
            <w:shd w:val="clear" w:color="000000" w:fill="BFBFBF"/>
            <w:noWrap/>
            <w:vAlign w:val="bottom"/>
            <w:hideMark/>
          </w:tcPr>
          <w:p w14:paraId="13CEB431"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884" w:type="dxa"/>
            <w:tcBorders>
              <w:top w:val="nil"/>
              <w:left w:val="nil"/>
              <w:bottom w:val="single" w:sz="4" w:space="0" w:color="auto"/>
              <w:right w:val="single" w:sz="4" w:space="0" w:color="auto"/>
            </w:tcBorders>
            <w:shd w:val="clear" w:color="000000" w:fill="BFBFBF"/>
            <w:noWrap/>
            <w:vAlign w:val="bottom"/>
            <w:hideMark/>
          </w:tcPr>
          <w:p w14:paraId="7BE375F1"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p>
        </w:tc>
        <w:tc>
          <w:tcPr>
            <w:tcW w:w="1026" w:type="dxa"/>
            <w:tcBorders>
              <w:top w:val="nil"/>
              <w:left w:val="nil"/>
              <w:bottom w:val="single" w:sz="4" w:space="0" w:color="auto"/>
              <w:right w:val="single" w:sz="4" w:space="0" w:color="auto"/>
            </w:tcBorders>
            <w:shd w:val="clear" w:color="000000" w:fill="BFBFBF"/>
            <w:noWrap/>
            <w:vAlign w:val="bottom"/>
            <w:hideMark/>
          </w:tcPr>
          <w:p w14:paraId="60309CF4"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849" w:type="dxa"/>
            <w:tcBorders>
              <w:top w:val="nil"/>
              <w:left w:val="nil"/>
              <w:bottom w:val="single" w:sz="4" w:space="0" w:color="auto"/>
              <w:right w:val="single" w:sz="4" w:space="0" w:color="auto"/>
            </w:tcBorders>
            <w:shd w:val="clear" w:color="000000" w:fill="BFBFBF"/>
            <w:noWrap/>
            <w:vAlign w:val="bottom"/>
            <w:hideMark/>
          </w:tcPr>
          <w:p w14:paraId="440226F7"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p>
        </w:tc>
        <w:tc>
          <w:tcPr>
            <w:tcW w:w="1082" w:type="dxa"/>
            <w:tcBorders>
              <w:top w:val="nil"/>
              <w:left w:val="nil"/>
              <w:bottom w:val="single" w:sz="4" w:space="0" w:color="auto"/>
              <w:right w:val="single" w:sz="4" w:space="0" w:color="auto"/>
            </w:tcBorders>
            <w:shd w:val="clear" w:color="000000" w:fill="BFBFBF"/>
            <w:noWrap/>
            <w:vAlign w:val="bottom"/>
            <w:hideMark/>
          </w:tcPr>
          <w:p w14:paraId="219DA1E8"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915" w:type="dxa"/>
            <w:tcBorders>
              <w:top w:val="nil"/>
              <w:left w:val="nil"/>
              <w:bottom w:val="single" w:sz="4" w:space="0" w:color="auto"/>
              <w:right w:val="single" w:sz="4" w:space="0" w:color="auto"/>
            </w:tcBorders>
            <w:shd w:val="clear" w:color="000000" w:fill="BFBFBF"/>
            <w:noWrap/>
            <w:vAlign w:val="bottom"/>
            <w:hideMark/>
          </w:tcPr>
          <w:p w14:paraId="37590265"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r w:rsidRPr="004B2A38">
              <w:rPr>
                <w:rFonts w:ascii="Arial Narrow" w:hAnsi="Arial Narrow" w:cs="Calibri"/>
                <w:b/>
                <w:bCs/>
                <w:color w:val="000000"/>
                <w:sz w:val="18"/>
                <w:szCs w:val="18"/>
                <w:vertAlign w:val="superscript"/>
              </w:rPr>
              <w:t>2</w:t>
            </w:r>
          </w:p>
        </w:tc>
        <w:tc>
          <w:tcPr>
            <w:tcW w:w="795" w:type="dxa"/>
            <w:tcBorders>
              <w:top w:val="nil"/>
              <w:left w:val="nil"/>
              <w:bottom w:val="single" w:sz="4" w:space="0" w:color="auto"/>
              <w:right w:val="single" w:sz="4" w:space="0" w:color="auto"/>
            </w:tcBorders>
            <w:shd w:val="clear" w:color="000000" w:fill="BFBFBF"/>
            <w:noWrap/>
            <w:vAlign w:val="bottom"/>
            <w:hideMark/>
          </w:tcPr>
          <w:p w14:paraId="6CBDB09C"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865" w:type="dxa"/>
            <w:tcBorders>
              <w:top w:val="nil"/>
              <w:left w:val="nil"/>
              <w:bottom w:val="single" w:sz="4" w:space="0" w:color="auto"/>
              <w:right w:val="single" w:sz="4" w:space="0" w:color="auto"/>
            </w:tcBorders>
            <w:shd w:val="clear" w:color="000000" w:fill="BFBFBF"/>
            <w:noWrap/>
            <w:vAlign w:val="bottom"/>
            <w:hideMark/>
          </w:tcPr>
          <w:p w14:paraId="442D3B4B"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r w:rsidRPr="004B2A38">
              <w:rPr>
                <w:rFonts w:ascii="Arial Narrow" w:hAnsi="Arial Narrow" w:cs="Calibri"/>
                <w:b/>
                <w:bCs/>
                <w:color w:val="000000"/>
                <w:sz w:val="18"/>
                <w:szCs w:val="18"/>
                <w:vertAlign w:val="superscript"/>
              </w:rPr>
              <w:t>2</w:t>
            </w:r>
          </w:p>
        </w:tc>
        <w:tc>
          <w:tcPr>
            <w:tcW w:w="779" w:type="dxa"/>
            <w:tcBorders>
              <w:top w:val="nil"/>
              <w:left w:val="nil"/>
              <w:bottom w:val="single" w:sz="4" w:space="0" w:color="auto"/>
              <w:right w:val="single" w:sz="4" w:space="0" w:color="auto"/>
            </w:tcBorders>
            <w:shd w:val="clear" w:color="000000" w:fill="BFBFBF"/>
            <w:noWrap/>
            <w:vAlign w:val="bottom"/>
            <w:hideMark/>
          </w:tcPr>
          <w:p w14:paraId="1648985F"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746" w:type="dxa"/>
            <w:tcBorders>
              <w:top w:val="nil"/>
              <w:left w:val="nil"/>
              <w:bottom w:val="single" w:sz="4" w:space="0" w:color="auto"/>
              <w:right w:val="single" w:sz="4" w:space="0" w:color="auto"/>
            </w:tcBorders>
            <w:shd w:val="clear" w:color="000000" w:fill="BFBFBF"/>
            <w:noWrap/>
            <w:vAlign w:val="bottom"/>
            <w:hideMark/>
          </w:tcPr>
          <w:p w14:paraId="7A0A2C1B"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Unit</w:t>
            </w:r>
            <w:r w:rsidRPr="004B2A38">
              <w:rPr>
                <w:rFonts w:ascii="Arial Narrow" w:hAnsi="Arial Narrow" w:cs="Calibri"/>
                <w:b/>
                <w:bCs/>
                <w:color w:val="000000"/>
                <w:sz w:val="18"/>
                <w:szCs w:val="18"/>
                <w:vertAlign w:val="superscript"/>
              </w:rPr>
              <w:t>3</w:t>
            </w:r>
          </w:p>
        </w:tc>
        <w:tc>
          <w:tcPr>
            <w:tcW w:w="958" w:type="dxa"/>
            <w:tcBorders>
              <w:top w:val="nil"/>
              <w:left w:val="nil"/>
              <w:bottom w:val="single" w:sz="4" w:space="0" w:color="auto"/>
              <w:right w:val="single" w:sz="4" w:space="0" w:color="auto"/>
            </w:tcBorders>
            <w:shd w:val="clear" w:color="000000" w:fill="BFBFBF"/>
            <w:noWrap/>
            <w:vAlign w:val="bottom"/>
            <w:hideMark/>
          </w:tcPr>
          <w:p w14:paraId="734AFF77" w14:textId="77777777" w:rsidR="00B8298D" w:rsidRPr="004B2A38" w:rsidRDefault="00B8298D" w:rsidP="00B8298D">
            <w:pPr>
              <w:jc w:val="center"/>
              <w:rPr>
                <w:rFonts w:ascii="Arial Narrow" w:hAnsi="Arial Narrow" w:cs="Calibri"/>
                <w:b/>
                <w:bCs/>
                <w:color w:val="000000"/>
                <w:sz w:val="18"/>
                <w:szCs w:val="18"/>
              </w:rPr>
            </w:pPr>
            <w:r w:rsidRPr="004B2A38">
              <w:rPr>
                <w:rFonts w:ascii="Arial Narrow" w:hAnsi="Arial Narrow" w:cs="Calibri"/>
                <w:b/>
                <w:bCs/>
                <w:color w:val="000000"/>
                <w:sz w:val="18"/>
                <w:szCs w:val="18"/>
              </w:rPr>
              <w:t>Total</w:t>
            </w:r>
          </w:p>
        </w:tc>
        <w:tc>
          <w:tcPr>
            <w:tcW w:w="1090" w:type="dxa"/>
            <w:vMerge/>
            <w:tcBorders>
              <w:left w:val="single" w:sz="4" w:space="0" w:color="auto"/>
              <w:bottom w:val="single" w:sz="4" w:space="0" w:color="auto"/>
              <w:right w:val="single" w:sz="4" w:space="0" w:color="auto"/>
            </w:tcBorders>
            <w:shd w:val="clear" w:color="000000" w:fill="BFBFBF"/>
            <w:noWrap/>
            <w:vAlign w:val="bottom"/>
            <w:hideMark/>
          </w:tcPr>
          <w:p w14:paraId="1F377B95" w14:textId="77777777" w:rsidR="00B8298D" w:rsidRPr="004B2A38" w:rsidRDefault="00B8298D" w:rsidP="00B8298D">
            <w:pPr>
              <w:jc w:val="center"/>
              <w:rPr>
                <w:rFonts w:ascii="Arial Narrow" w:hAnsi="Arial Narrow" w:cs="Calibri"/>
                <w:b/>
                <w:bCs/>
                <w:color w:val="000000"/>
                <w:sz w:val="18"/>
                <w:szCs w:val="18"/>
              </w:rPr>
            </w:pPr>
          </w:p>
        </w:tc>
      </w:tr>
      <w:tr w:rsidR="00B8298D" w14:paraId="73CD48E1" w14:textId="77777777" w:rsidTr="00B8298D">
        <w:trPr>
          <w:jc w:val="center"/>
        </w:trPr>
        <w:tc>
          <w:tcPr>
            <w:tcW w:w="1117" w:type="dxa"/>
            <w:gridSpan w:val="2"/>
            <w:tcBorders>
              <w:top w:val="nil"/>
              <w:left w:val="single" w:sz="4" w:space="0" w:color="auto"/>
              <w:bottom w:val="single" w:sz="4" w:space="0" w:color="auto"/>
              <w:right w:val="single" w:sz="4" w:space="0" w:color="auto"/>
            </w:tcBorders>
            <w:shd w:val="clear" w:color="auto" w:fill="auto"/>
            <w:vAlign w:val="center"/>
            <w:hideMark/>
          </w:tcPr>
          <w:p w14:paraId="69AD4E4D" w14:textId="77777777" w:rsidR="00B8298D" w:rsidRPr="004B2A38" w:rsidRDefault="00B8298D" w:rsidP="00B8298D">
            <w:pPr>
              <w:rPr>
                <w:rFonts w:ascii="Arial Narrow" w:hAnsi="Arial Narrow" w:cs="Calibri"/>
                <w:color w:val="000000"/>
                <w:sz w:val="18"/>
                <w:szCs w:val="18"/>
              </w:rPr>
            </w:pPr>
            <w:r w:rsidRPr="004B2A38">
              <w:rPr>
                <w:rFonts w:ascii="Arial Narrow" w:hAnsi="Arial Narrow" w:cs="Calibri"/>
                <w:color w:val="000000"/>
                <w:sz w:val="18"/>
                <w:szCs w:val="18"/>
              </w:rPr>
              <w:t>Net Incremental Burden</w:t>
            </w:r>
          </w:p>
        </w:tc>
        <w:tc>
          <w:tcPr>
            <w:tcW w:w="783" w:type="dxa"/>
            <w:tcBorders>
              <w:top w:val="nil"/>
              <w:left w:val="nil"/>
              <w:bottom w:val="single" w:sz="4" w:space="0" w:color="auto"/>
              <w:right w:val="single" w:sz="4" w:space="0" w:color="auto"/>
            </w:tcBorders>
            <w:shd w:val="clear" w:color="auto" w:fill="auto"/>
            <w:noWrap/>
            <w:vAlign w:val="center"/>
            <w:hideMark/>
          </w:tcPr>
          <w:p w14:paraId="38A1E02D"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 </w:t>
            </w:r>
          </w:p>
        </w:tc>
        <w:tc>
          <w:tcPr>
            <w:tcW w:w="1071" w:type="dxa"/>
            <w:tcBorders>
              <w:top w:val="nil"/>
              <w:left w:val="nil"/>
              <w:bottom w:val="single" w:sz="4" w:space="0" w:color="auto"/>
              <w:right w:val="single" w:sz="4" w:space="0" w:color="auto"/>
            </w:tcBorders>
            <w:shd w:val="clear" w:color="auto" w:fill="auto"/>
            <w:noWrap/>
            <w:vAlign w:val="center"/>
            <w:hideMark/>
          </w:tcPr>
          <w:p w14:paraId="3521F005"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-12</w:t>
            </w:r>
            <w:r>
              <w:rPr>
                <w:rFonts w:ascii="Arial Narrow" w:hAnsi="Arial Narrow" w:cs="Calibri"/>
                <w:color w:val="000000"/>
                <w:sz w:val="18"/>
                <w:szCs w:val="18"/>
              </w:rPr>
              <w:t>7</w:t>
            </w:r>
          </w:p>
        </w:tc>
        <w:tc>
          <w:tcPr>
            <w:tcW w:w="884" w:type="dxa"/>
            <w:tcBorders>
              <w:top w:val="nil"/>
              <w:left w:val="nil"/>
              <w:bottom w:val="single" w:sz="4" w:space="0" w:color="auto"/>
              <w:right w:val="single" w:sz="4" w:space="0" w:color="auto"/>
            </w:tcBorders>
            <w:shd w:val="clear" w:color="auto" w:fill="auto"/>
            <w:noWrap/>
            <w:vAlign w:val="center"/>
            <w:hideMark/>
          </w:tcPr>
          <w:p w14:paraId="7201C934"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 </w:t>
            </w:r>
          </w:p>
        </w:tc>
        <w:tc>
          <w:tcPr>
            <w:tcW w:w="1026" w:type="dxa"/>
            <w:tcBorders>
              <w:top w:val="nil"/>
              <w:left w:val="nil"/>
              <w:bottom w:val="single" w:sz="4" w:space="0" w:color="auto"/>
              <w:right w:val="single" w:sz="4" w:space="0" w:color="auto"/>
            </w:tcBorders>
            <w:shd w:val="clear" w:color="auto" w:fill="auto"/>
            <w:noWrap/>
            <w:vAlign w:val="center"/>
            <w:hideMark/>
          </w:tcPr>
          <w:p w14:paraId="4990C47B"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-16,</w:t>
            </w:r>
            <w:r>
              <w:rPr>
                <w:rFonts w:ascii="Arial Narrow" w:hAnsi="Arial Narrow" w:cs="Calibri"/>
                <w:color w:val="000000"/>
                <w:sz w:val="18"/>
                <w:szCs w:val="18"/>
              </w:rPr>
              <w:t>434</w:t>
            </w:r>
          </w:p>
        </w:tc>
        <w:tc>
          <w:tcPr>
            <w:tcW w:w="849" w:type="dxa"/>
            <w:tcBorders>
              <w:top w:val="nil"/>
              <w:left w:val="nil"/>
              <w:bottom w:val="single" w:sz="4" w:space="0" w:color="auto"/>
              <w:right w:val="single" w:sz="4" w:space="0" w:color="auto"/>
            </w:tcBorders>
            <w:shd w:val="clear" w:color="auto" w:fill="auto"/>
            <w:noWrap/>
            <w:vAlign w:val="center"/>
            <w:hideMark/>
          </w:tcPr>
          <w:p w14:paraId="51CE6E6F"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 </w:t>
            </w:r>
          </w:p>
        </w:tc>
        <w:tc>
          <w:tcPr>
            <w:tcW w:w="1082" w:type="dxa"/>
            <w:tcBorders>
              <w:top w:val="nil"/>
              <w:left w:val="nil"/>
              <w:bottom w:val="single" w:sz="4" w:space="0" w:color="auto"/>
              <w:right w:val="single" w:sz="4" w:space="0" w:color="auto"/>
            </w:tcBorders>
            <w:shd w:val="clear" w:color="auto" w:fill="auto"/>
            <w:noWrap/>
            <w:vAlign w:val="center"/>
            <w:hideMark/>
          </w:tcPr>
          <w:p w14:paraId="776F8AA9"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-20,989</w:t>
            </w:r>
          </w:p>
        </w:tc>
        <w:tc>
          <w:tcPr>
            <w:tcW w:w="915" w:type="dxa"/>
            <w:tcBorders>
              <w:top w:val="nil"/>
              <w:left w:val="nil"/>
              <w:bottom w:val="single" w:sz="4" w:space="0" w:color="auto"/>
              <w:right w:val="single" w:sz="4" w:space="0" w:color="auto"/>
            </w:tcBorders>
            <w:shd w:val="clear" w:color="auto" w:fill="auto"/>
            <w:noWrap/>
            <w:vAlign w:val="center"/>
            <w:hideMark/>
          </w:tcPr>
          <w:p w14:paraId="0D277CA5"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0.043</w:t>
            </w:r>
          </w:p>
        </w:tc>
        <w:tc>
          <w:tcPr>
            <w:tcW w:w="795" w:type="dxa"/>
            <w:tcBorders>
              <w:top w:val="nil"/>
              <w:left w:val="nil"/>
              <w:bottom w:val="single" w:sz="4" w:space="0" w:color="auto"/>
              <w:right w:val="single" w:sz="4" w:space="0" w:color="auto"/>
            </w:tcBorders>
            <w:shd w:val="clear" w:color="auto" w:fill="auto"/>
            <w:noWrap/>
            <w:vAlign w:val="center"/>
            <w:hideMark/>
          </w:tcPr>
          <w:p w14:paraId="3EE5742C"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1</w:t>
            </w:r>
          </w:p>
        </w:tc>
        <w:tc>
          <w:tcPr>
            <w:tcW w:w="865" w:type="dxa"/>
            <w:tcBorders>
              <w:top w:val="nil"/>
              <w:left w:val="nil"/>
              <w:bottom w:val="single" w:sz="4" w:space="0" w:color="auto"/>
              <w:right w:val="single" w:sz="4" w:space="0" w:color="auto"/>
            </w:tcBorders>
            <w:shd w:val="clear" w:color="auto" w:fill="auto"/>
            <w:noWrap/>
            <w:vAlign w:val="center"/>
            <w:hideMark/>
          </w:tcPr>
          <w:p w14:paraId="03A6989A"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0.064</w:t>
            </w:r>
          </w:p>
        </w:tc>
        <w:tc>
          <w:tcPr>
            <w:tcW w:w="779" w:type="dxa"/>
            <w:tcBorders>
              <w:top w:val="nil"/>
              <w:left w:val="nil"/>
              <w:bottom w:val="single" w:sz="4" w:space="0" w:color="auto"/>
              <w:right w:val="single" w:sz="4" w:space="0" w:color="auto"/>
            </w:tcBorders>
            <w:shd w:val="clear" w:color="auto" w:fill="auto"/>
            <w:noWrap/>
            <w:vAlign w:val="center"/>
            <w:hideMark/>
          </w:tcPr>
          <w:p w14:paraId="2938EC8A" w14:textId="77777777" w:rsidR="00B8298D" w:rsidRPr="004B2A38" w:rsidRDefault="00B8298D" w:rsidP="00B8298D">
            <w:pPr>
              <w:ind w:firstLineChars="100" w:firstLine="180"/>
              <w:jc w:val="right"/>
              <w:rPr>
                <w:rFonts w:ascii="Arial Narrow" w:hAnsi="Arial Narrow" w:cs="Calibri"/>
                <w:color w:val="000000"/>
                <w:sz w:val="18"/>
                <w:szCs w:val="18"/>
              </w:rPr>
            </w:pPr>
            <w:r w:rsidRPr="004B2A38">
              <w:rPr>
                <w:rFonts w:ascii="Arial Narrow" w:hAnsi="Arial Narrow" w:cs="Calibri"/>
                <w:color w:val="000000"/>
                <w:sz w:val="18"/>
                <w:szCs w:val="18"/>
              </w:rPr>
              <w:t>350</w:t>
            </w:r>
          </w:p>
        </w:tc>
        <w:tc>
          <w:tcPr>
            <w:tcW w:w="746" w:type="dxa"/>
            <w:tcBorders>
              <w:top w:val="nil"/>
              <w:left w:val="nil"/>
              <w:bottom w:val="single" w:sz="4" w:space="0" w:color="auto"/>
              <w:right w:val="single" w:sz="4" w:space="0" w:color="auto"/>
            </w:tcBorders>
            <w:shd w:val="clear" w:color="auto" w:fill="auto"/>
            <w:noWrap/>
            <w:vAlign w:val="center"/>
            <w:hideMark/>
          </w:tcPr>
          <w:p w14:paraId="07D74480" w14:textId="686DB240" w:rsidR="00B8298D" w:rsidRPr="004B2A38" w:rsidRDefault="00B8298D" w:rsidP="00B8298D">
            <w:pPr>
              <w:jc w:val="right"/>
              <w:rPr>
                <w:rFonts w:ascii="Arial Narrow" w:hAnsi="Arial Narrow" w:cs="Calibri"/>
                <w:color w:val="000000"/>
                <w:sz w:val="18"/>
                <w:szCs w:val="18"/>
              </w:rPr>
            </w:pPr>
            <w:r>
              <w:rPr>
                <w:rFonts w:ascii="Arial Narrow" w:hAnsi="Arial Narrow" w:cs="Calibri"/>
                <w:color w:val="000000"/>
                <w:sz w:val="18"/>
                <w:szCs w:val="18"/>
              </w:rPr>
              <w:t>2.118</w:t>
            </w:r>
          </w:p>
        </w:tc>
        <w:tc>
          <w:tcPr>
            <w:tcW w:w="958" w:type="dxa"/>
            <w:tcBorders>
              <w:top w:val="nil"/>
              <w:left w:val="nil"/>
              <w:bottom w:val="single" w:sz="4" w:space="0" w:color="auto"/>
              <w:right w:val="single" w:sz="4" w:space="0" w:color="auto"/>
            </w:tcBorders>
            <w:shd w:val="clear" w:color="auto" w:fill="auto"/>
            <w:noWrap/>
            <w:vAlign w:val="center"/>
            <w:hideMark/>
          </w:tcPr>
          <w:p w14:paraId="686B9839" w14:textId="535C3636" w:rsidR="00B8298D" w:rsidRPr="004B2A38" w:rsidRDefault="00B8298D" w:rsidP="00B8298D">
            <w:pPr>
              <w:ind w:firstLineChars="100" w:firstLine="180"/>
              <w:jc w:val="right"/>
              <w:rPr>
                <w:rFonts w:ascii="Arial Narrow" w:hAnsi="Arial Narrow" w:cs="Calibri"/>
                <w:color w:val="000000"/>
                <w:sz w:val="18"/>
                <w:szCs w:val="18"/>
              </w:rPr>
            </w:pPr>
            <w:r>
              <w:rPr>
                <w:rFonts w:ascii="Arial Narrow" w:hAnsi="Arial Narrow" w:cs="Calibri"/>
                <w:color w:val="000000"/>
                <w:sz w:val="18"/>
                <w:szCs w:val="18"/>
              </w:rPr>
              <w:t>11,634</w:t>
            </w:r>
          </w:p>
        </w:tc>
        <w:tc>
          <w:tcPr>
            <w:tcW w:w="109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BBA59E" w14:textId="333D390D" w:rsidR="00B8298D" w:rsidRPr="004B2A38" w:rsidRDefault="00B8298D" w:rsidP="00B8298D">
            <w:pPr>
              <w:ind w:firstLineChars="100" w:firstLine="180"/>
              <w:jc w:val="right"/>
              <w:rPr>
                <w:rFonts w:ascii="Arial Narrow" w:hAnsi="Arial Narrow" w:cs="Calibri"/>
                <w:color w:val="000000"/>
                <w:sz w:val="18"/>
                <w:szCs w:val="18"/>
              </w:rPr>
            </w:pPr>
            <w:r>
              <w:rPr>
                <w:rFonts w:ascii="Arial Narrow" w:hAnsi="Arial Narrow" w:cs="Calibri"/>
                <w:color w:val="000000"/>
                <w:sz w:val="18"/>
                <w:szCs w:val="18"/>
              </w:rPr>
              <w:t>-25,565</w:t>
            </w:r>
          </w:p>
        </w:tc>
      </w:tr>
      <w:tr w:rsidR="00B8298D" w:rsidRPr="00924A46" w14:paraId="1C9AA9F3" w14:textId="77777777" w:rsidTr="00B8298D">
        <w:trPr>
          <w:jc w:val="center"/>
        </w:trPr>
        <w:tc>
          <w:tcPr>
            <w:tcW w:w="12960" w:type="dxa"/>
            <w:gridSpan w:val="15"/>
            <w:tcBorders>
              <w:top w:val="single" w:sz="4" w:space="0" w:color="auto"/>
              <w:left w:val="single" w:sz="4" w:space="0" w:color="auto"/>
              <w:bottom w:val="nil"/>
              <w:right w:val="single" w:sz="4" w:space="0" w:color="auto"/>
            </w:tcBorders>
            <w:shd w:val="clear" w:color="auto" w:fill="auto"/>
            <w:vAlign w:val="center"/>
            <w:hideMark/>
          </w:tcPr>
          <w:p w14:paraId="2571DF92" w14:textId="77777777" w:rsidR="00B8298D" w:rsidRPr="004B2A38" w:rsidRDefault="00B8298D" w:rsidP="00B8298D">
            <w:pPr>
              <w:rPr>
                <w:rFonts w:ascii="Arial Narrow" w:eastAsia="Times New Roman" w:hAnsi="Arial Narrow" w:cs="Calibri"/>
                <w:color w:val="000000"/>
                <w:sz w:val="18"/>
                <w:szCs w:val="18"/>
              </w:rPr>
            </w:pPr>
            <w:r w:rsidRPr="004B2A38">
              <w:rPr>
                <w:rFonts w:ascii="Arial Narrow" w:eastAsia="Times New Roman" w:hAnsi="Arial Narrow" w:cs="Calibri"/>
                <w:color w:val="000000"/>
                <w:sz w:val="18"/>
                <w:szCs w:val="18"/>
              </w:rPr>
              <w:t xml:space="preserve">General Notes: </w:t>
            </w:r>
          </w:p>
        </w:tc>
      </w:tr>
      <w:tr w:rsidR="00B8298D" w:rsidRPr="00924A46" w14:paraId="0437B89F" w14:textId="77777777" w:rsidTr="00B8298D">
        <w:trPr>
          <w:jc w:val="center"/>
        </w:trPr>
        <w:tc>
          <w:tcPr>
            <w:tcW w:w="12960" w:type="dxa"/>
            <w:gridSpan w:val="15"/>
            <w:tcBorders>
              <w:top w:val="nil"/>
              <w:left w:val="single" w:sz="4" w:space="0" w:color="auto"/>
              <w:bottom w:val="nil"/>
              <w:right w:val="single" w:sz="4" w:space="0" w:color="auto"/>
            </w:tcBorders>
            <w:shd w:val="clear" w:color="auto" w:fill="auto"/>
            <w:vAlign w:val="center"/>
            <w:hideMark/>
          </w:tcPr>
          <w:p w14:paraId="747694CF" w14:textId="77777777" w:rsidR="00B8298D" w:rsidRPr="008C5171" w:rsidRDefault="00B8298D" w:rsidP="00B8298D">
            <w:pPr>
              <w:pStyle w:val="ListParagraph"/>
              <w:numPr>
                <w:ilvl w:val="0"/>
                <w:numId w:val="75"/>
              </w:numPr>
              <w:ind w:left="144" w:hanging="144"/>
              <w:rPr>
                <w:rFonts w:ascii="Arial Narrow" w:eastAsia="Times New Roman" w:hAnsi="Arial Narrow" w:cs="Calibri"/>
                <w:color w:val="000000"/>
                <w:sz w:val="18"/>
                <w:szCs w:val="18"/>
              </w:rPr>
            </w:pPr>
            <w:r w:rsidRPr="00BD2A4E">
              <w:rPr>
                <w:rFonts w:ascii="Arial Narrow" w:eastAsia="Times New Roman" w:hAnsi="Arial Narrow" w:cs="Calibri"/>
                <w:color w:val="000000"/>
                <w:sz w:val="18"/>
                <w:szCs w:val="18"/>
              </w:rPr>
              <w:t>All unit and total burden estimates are reported in hours and are on an annual basis.</w:t>
            </w:r>
          </w:p>
        </w:tc>
      </w:tr>
      <w:tr w:rsidR="00B8298D" w:rsidRPr="00924A46" w14:paraId="1E91F21C" w14:textId="77777777" w:rsidTr="00B8298D">
        <w:trPr>
          <w:jc w:val="center"/>
        </w:trPr>
        <w:tc>
          <w:tcPr>
            <w:tcW w:w="12960" w:type="dxa"/>
            <w:gridSpan w:val="15"/>
            <w:tcBorders>
              <w:top w:val="nil"/>
              <w:left w:val="single" w:sz="4" w:space="0" w:color="auto"/>
              <w:bottom w:val="nil"/>
              <w:right w:val="single" w:sz="4" w:space="0" w:color="auto"/>
            </w:tcBorders>
            <w:shd w:val="clear" w:color="auto" w:fill="auto"/>
            <w:vAlign w:val="center"/>
          </w:tcPr>
          <w:p w14:paraId="68B26322" w14:textId="77777777" w:rsidR="00B8298D" w:rsidRPr="008C5171" w:rsidRDefault="00B8298D" w:rsidP="00B8298D">
            <w:pPr>
              <w:pStyle w:val="ListParagraph"/>
              <w:numPr>
                <w:ilvl w:val="0"/>
                <w:numId w:val="75"/>
              </w:numPr>
              <w:ind w:left="144" w:hanging="144"/>
              <w:rPr>
                <w:rFonts w:ascii="Arial Narrow" w:eastAsia="Times New Roman" w:hAnsi="Arial Narrow" w:cs="Calibri"/>
                <w:color w:val="000000"/>
                <w:sz w:val="18"/>
                <w:szCs w:val="18"/>
              </w:rPr>
            </w:pPr>
            <w:r w:rsidRPr="006F724E">
              <w:rPr>
                <w:rFonts w:ascii="Arial Narrow" w:eastAsia="Times New Roman" w:hAnsi="Arial Narrow" w:cs="Calibri"/>
                <w:color w:val="000000"/>
                <w:sz w:val="18"/>
                <w:szCs w:val="18"/>
              </w:rPr>
              <w:t>This calculation assumes that the exemptions resulting from the various provisions of the proposed rule are mutually exclusive. It also assumes that sites exempted by CDR Revisions byproduct exemptions are industry reporters.</w:t>
            </w:r>
          </w:p>
        </w:tc>
      </w:tr>
      <w:tr w:rsidR="00B8298D" w:rsidRPr="00924A46" w14:paraId="42D80A56" w14:textId="77777777" w:rsidTr="00B8298D">
        <w:trPr>
          <w:jc w:val="center"/>
        </w:trPr>
        <w:tc>
          <w:tcPr>
            <w:tcW w:w="12960" w:type="dxa"/>
            <w:gridSpan w:val="15"/>
            <w:tcBorders>
              <w:top w:val="nil"/>
              <w:left w:val="single" w:sz="4" w:space="0" w:color="auto"/>
              <w:bottom w:val="nil"/>
              <w:right w:val="single" w:sz="4" w:space="0" w:color="auto"/>
            </w:tcBorders>
            <w:shd w:val="clear" w:color="auto" w:fill="auto"/>
            <w:vAlign w:val="center"/>
            <w:hideMark/>
          </w:tcPr>
          <w:p w14:paraId="6001DF15" w14:textId="77777777" w:rsidR="00B8298D" w:rsidRPr="006F724E" w:rsidRDefault="00B8298D" w:rsidP="00B8298D">
            <w:pPr>
              <w:rPr>
                <w:rFonts w:ascii="Arial Narrow" w:eastAsia="Times New Roman" w:hAnsi="Arial Narrow" w:cs="Calibri"/>
                <w:color w:val="000000"/>
                <w:sz w:val="18"/>
                <w:szCs w:val="18"/>
              </w:rPr>
            </w:pPr>
            <w:r w:rsidRPr="006F724E">
              <w:rPr>
                <w:rFonts w:ascii="Arial Narrow" w:eastAsia="Times New Roman" w:hAnsi="Arial Narrow" w:cs="Calibri"/>
                <w:color w:val="000000"/>
                <w:sz w:val="18"/>
                <w:szCs w:val="18"/>
              </w:rPr>
              <w:t>Footnotes:</w:t>
            </w:r>
          </w:p>
        </w:tc>
      </w:tr>
      <w:tr w:rsidR="00B8298D" w:rsidRPr="00924A46" w14:paraId="6987ED62" w14:textId="77777777" w:rsidTr="00B8298D">
        <w:trPr>
          <w:jc w:val="center"/>
        </w:trPr>
        <w:tc>
          <w:tcPr>
            <w:tcW w:w="270" w:type="dxa"/>
            <w:tcBorders>
              <w:top w:val="nil"/>
              <w:left w:val="single" w:sz="4" w:space="0" w:color="auto"/>
              <w:bottom w:val="nil"/>
              <w:right w:val="nil"/>
            </w:tcBorders>
            <w:shd w:val="clear" w:color="auto" w:fill="auto"/>
            <w:noWrap/>
            <w:hideMark/>
          </w:tcPr>
          <w:p w14:paraId="751159AF" w14:textId="77777777" w:rsidR="00B8298D" w:rsidRPr="006F724E" w:rsidRDefault="00B8298D" w:rsidP="00B8298D">
            <w:pPr>
              <w:rPr>
                <w:rFonts w:ascii="Arial Narrow" w:eastAsia="Times New Roman" w:hAnsi="Arial Narrow" w:cs="Calibri"/>
                <w:color w:val="000000" w:themeColor="text1"/>
                <w:sz w:val="18"/>
                <w:szCs w:val="18"/>
              </w:rPr>
            </w:pPr>
            <w:r w:rsidRPr="006F724E">
              <w:rPr>
                <w:rFonts w:ascii="Arial Narrow" w:eastAsia="Times New Roman" w:hAnsi="Arial Narrow" w:cs="Calibri"/>
                <w:color w:val="000000" w:themeColor="text1"/>
                <w:sz w:val="18"/>
                <w:szCs w:val="18"/>
                <w:vertAlign w:val="superscript"/>
              </w:rPr>
              <w:t>1</w:t>
            </w:r>
          </w:p>
        </w:tc>
        <w:tc>
          <w:tcPr>
            <w:tcW w:w="12690" w:type="dxa"/>
            <w:gridSpan w:val="14"/>
            <w:tcBorders>
              <w:top w:val="nil"/>
              <w:left w:val="nil"/>
              <w:bottom w:val="nil"/>
              <w:right w:val="single" w:sz="4" w:space="0" w:color="auto"/>
            </w:tcBorders>
            <w:shd w:val="clear" w:color="auto" w:fill="auto"/>
            <w:noWrap/>
            <w:hideMark/>
          </w:tcPr>
          <w:p w14:paraId="35AA839D" w14:textId="09A7516C" w:rsidR="00B8298D" w:rsidRPr="006F724E" w:rsidRDefault="00B8298D" w:rsidP="00B8298D">
            <w:pPr>
              <w:ind w:left="-110"/>
              <w:rPr>
                <w:rFonts w:ascii="Arial Narrow" w:eastAsia="Times New Roman" w:hAnsi="Arial Narrow" w:cs="Calibri"/>
                <w:color w:val="000000" w:themeColor="text1"/>
                <w:sz w:val="18"/>
                <w:szCs w:val="18"/>
              </w:rPr>
            </w:pPr>
            <w:r w:rsidRPr="006F724E">
              <w:rPr>
                <w:rFonts w:ascii="Arial Narrow" w:hAnsi="Arial Narrow" w:cs="Calibri"/>
                <w:color w:val="000000"/>
                <w:sz w:val="18"/>
                <w:szCs w:val="18"/>
              </w:rPr>
              <w:t xml:space="preserve">The overall net incremental burden in this table does not match the overall net incremental burden presented in </w:t>
            </w:r>
            <w:r w:rsidRPr="006F724E">
              <w:rPr>
                <w:rFonts w:ascii="Arial Narrow" w:hAnsi="Arial Narrow" w:cs="Calibri"/>
                <w:color w:val="000000"/>
                <w:sz w:val="18"/>
                <w:szCs w:val="18"/>
              </w:rPr>
              <w:fldChar w:fldCharType="begin"/>
            </w:r>
            <w:r w:rsidRPr="006F724E">
              <w:rPr>
                <w:rFonts w:ascii="Arial Narrow" w:hAnsi="Arial Narrow" w:cs="Calibri"/>
                <w:color w:val="000000"/>
                <w:sz w:val="18"/>
                <w:szCs w:val="18"/>
              </w:rPr>
              <w:instrText xml:space="preserve"> REF _Ref526352582 \h  \* MERGEFORMAT </w:instrText>
            </w:r>
            <w:r w:rsidRPr="006F724E">
              <w:rPr>
                <w:rFonts w:ascii="Arial Narrow" w:hAnsi="Arial Narrow" w:cs="Calibri"/>
                <w:color w:val="000000"/>
                <w:sz w:val="18"/>
                <w:szCs w:val="18"/>
              </w:rPr>
            </w:r>
            <w:r w:rsidRPr="006F724E">
              <w:rPr>
                <w:rFonts w:ascii="Arial Narrow"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15</w:t>
            </w:r>
            <w:r w:rsidRPr="006F724E">
              <w:rPr>
                <w:rFonts w:ascii="Arial Narrow" w:hAnsi="Arial Narrow" w:cs="Calibri"/>
                <w:color w:val="000000"/>
                <w:sz w:val="18"/>
                <w:szCs w:val="18"/>
              </w:rPr>
              <w:fldChar w:fldCharType="end"/>
            </w:r>
            <w:r w:rsidRPr="006F724E">
              <w:rPr>
                <w:rFonts w:ascii="Arial Narrow" w:hAnsi="Arial Narrow" w:cs="Calibri"/>
                <w:color w:val="000000"/>
                <w:sz w:val="18"/>
                <w:szCs w:val="18"/>
              </w:rPr>
              <w:t xml:space="preserve"> or the net incremental burden calculated by summing the burden from the CDR Revisions EA and the </w:t>
            </w:r>
            <w:r>
              <w:rPr>
                <w:rFonts w:ascii="Arial Narrow" w:hAnsi="Arial Narrow" w:cs="Calibri"/>
                <w:color w:val="000000"/>
                <w:sz w:val="18"/>
                <w:szCs w:val="18"/>
              </w:rPr>
              <w:t xml:space="preserve">TSCA Section </w:t>
            </w:r>
            <w:r w:rsidRPr="006F724E">
              <w:rPr>
                <w:rFonts w:ascii="Arial Narrow" w:hAnsi="Arial Narrow" w:cs="Calibri"/>
                <w:color w:val="000000"/>
                <w:sz w:val="18"/>
                <w:szCs w:val="18"/>
              </w:rPr>
              <w:t xml:space="preserve">8(a) SMD Update EA. This calculation is performed in sequence and applies the changes due to the proposed rule </w:t>
            </w:r>
            <w:r>
              <w:rPr>
                <w:rFonts w:ascii="Arial Narrow" w:hAnsi="Arial Narrow" w:cs="Calibri"/>
                <w:color w:val="000000"/>
                <w:sz w:val="18"/>
                <w:szCs w:val="18"/>
              </w:rPr>
              <w:t>in total</w:t>
            </w:r>
            <w:r w:rsidRPr="006F724E">
              <w:rPr>
                <w:rFonts w:ascii="Arial Narrow" w:hAnsi="Arial Narrow" w:cs="Calibri"/>
                <w:color w:val="000000"/>
                <w:sz w:val="18"/>
                <w:szCs w:val="18"/>
              </w:rPr>
              <w:t xml:space="preserve">. It is therefore more accurate than an approach that calculates burden associated with changes in parallel and sums them. This ICR Addendum and the source EAs </w:t>
            </w:r>
            <w:r w:rsidRPr="006F724E">
              <w:rPr>
                <w:rFonts w:ascii="Arial Narrow" w:hAnsi="Arial Narrow" w:cs="Calibri"/>
                <w:sz w:val="18"/>
                <w:szCs w:val="18"/>
              </w:rPr>
              <w:t>(</w:t>
            </w:r>
            <w:r w:rsidR="00FF0FB5">
              <w:rPr>
                <w:rFonts w:ascii="Arial Narrow" w:hAnsi="Arial Narrow" w:cs="Calibri"/>
                <w:sz w:val="18"/>
                <w:szCs w:val="18"/>
              </w:rPr>
              <w:t>EPA, 2019a</w:t>
            </w:r>
            <w:r w:rsidRPr="006F724E">
              <w:rPr>
                <w:rFonts w:ascii="Arial Narrow" w:hAnsi="Arial Narrow" w:cs="Calibri"/>
                <w:sz w:val="18"/>
                <w:szCs w:val="18"/>
              </w:rPr>
              <w:t xml:space="preserve"> and </w:t>
            </w:r>
            <w:r>
              <w:rPr>
                <w:rFonts w:ascii="Arial Narrow" w:hAnsi="Arial Narrow" w:cs="Calibri"/>
                <w:sz w:val="18"/>
                <w:szCs w:val="18"/>
              </w:rPr>
              <w:t xml:space="preserve">EPA, </w:t>
            </w:r>
            <w:r w:rsidR="00FF0FB5">
              <w:rPr>
                <w:rFonts w:ascii="Arial Narrow" w:hAnsi="Arial Narrow" w:cs="Calibri"/>
                <w:sz w:val="18"/>
                <w:szCs w:val="18"/>
              </w:rPr>
              <w:t>2019b</w:t>
            </w:r>
            <w:r w:rsidRPr="006F724E">
              <w:rPr>
                <w:rFonts w:ascii="Arial Narrow" w:hAnsi="Arial Narrow" w:cs="Calibri"/>
                <w:sz w:val="18"/>
                <w:szCs w:val="18"/>
              </w:rPr>
              <w:t xml:space="preserve">) </w:t>
            </w:r>
            <w:r w:rsidRPr="006F724E">
              <w:rPr>
                <w:rFonts w:ascii="Arial Narrow" w:hAnsi="Arial Narrow" w:cs="Calibri"/>
                <w:color w:val="000000"/>
                <w:sz w:val="18"/>
                <w:szCs w:val="18"/>
              </w:rPr>
              <w:t xml:space="preserve">use the latter approach, which is why the total values do not match. Calculation in sequence yields an annual burden reduction that </w:t>
            </w:r>
            <w:r w:rsidR="00C303F2" w:rsidRPr="006F724E">
              <w:rPr>
                <w:rFonts w:ascii="Arial Narrow" w:hAnsi="Arial Narrow" w:cs="Calibri"/>
                <w:color w:val="000000"/>
                <w:sz w:val="18"/>
                <w:szCs w:val="18"/>
              </w:rPr>
              <w:t xml:space="preserve">is </w:t>
            </w:r>
            <w:r w:rsidR="00C303F2">
              <w:rPr>
                <w:rFonts w:ascii="Arial Narrow" w:hAnsi="Arial Narrow" w:cs="Calibri"/>
                <w:color w:val="000000"/>
                <w:sz w:val="18"/>
                <w:szCs w:val="18"/>
              </w:rPr>
              <w:t>364</w:t>
            </w:r>
            <w:r w:rsidR="00C303F2" w:rsidRPr="006F724E">
              <w:rPr>
                <w:rFonts w:ascii="Arial Narrow" w:hAnsi="Arial Narrow" w:cs="Calibri"/>
                <w:color w:val="000000"/>
                <w:sz w:val="18"/>
                <w:szCs w:val="18"/>
              </w:rPr>
              <w:t xml:space="preserve"> hours (</w:t>
            </w:r>
            <w:r w:rsidR="00C303F2">
              <w:rPr>
                <w:rFonts w:ascii="Arial Narrow" w:hAnsi="Arial Narrow" w:cs="Calibri"/>
                <w:color w:val="000000"/>
                <w:sz w:val="18"/>
                <w:szCs w:val="18"/>
              </w:rPr>
              <w:t>1.44</w:t>
            </w:r>
            <w:r w:rsidR="00C303F2" w:rsidRPr="006F724E">
              <w:rPr>
                <w:rFonts w:ascii="Arial Narrow" w:hAnsi="Arial Narrow" w:cs="Calibri"/>
                <w:color w:val="000000"/>
                <w:sz w:val="18"/>
                <w:szCs w:val="18"/>
              </w:rPr>
              <w:t xml:space="preserve">%) </w:t>
            </w:r>
            <w:r w:rsidRPr="006F724E">
              <w:rPr>
                <w:rFonts w:ascii="Arial Narrow" w:hAnsi="Arial Narrow" w:cs="Calibri"/>
                <w:color w:val="000000"/>
                <w:sz w:val="18"/>
                <w:szCs w:val="18"/>
              </w:rPr>
              <w:t xml:space="preserve">greater than annual burden reduction calculated in parallel. </w:t>
            </w:r>
          </w:p>
        </w:tc>
      </w:tr>
      <w:tr w:rsidR="00B8298D" w:rsidRPr="00924A46" w14:paraId="1F603697" w14:textId="77777777" w:rsidTr="00B8298D">
        <w:trPr>
          <w:jc w:val="center"/>
        </w:trPr>
        <w:tc>
          <w:tcPr>
            <w:tcW w:w="270" w:type="dxa"/>
            <w:tcBorders>
              <w:top w:val="nil"/>
              <w:left w:val="single" w:sz="4" w:space="0" w:color="auto"/>
              <w:bottom w:val="nil"/>
              <w:right w:val="nil"/>
            </w:tcBorders>
            <w:shd w:val="clear" w:color="auto" w:fill="auto"/>
            <w:noWrap/>
            <w:hideMark/>
          </w:tcPr>
          <w:p w14:paraId="1EAAB028" w14:textId="77777777" w:rsidR="00B8298D" w:rsidRPr="006F724E" w:rsidRDefault="00B8298D" w:rsidP="00B8298D">
            <w:pPr>
              <w:rPr>
                <w:rFonts w:ascii="Arial Narrow" w:eastAsia="Times New Roman" w:hAnsi="Arial Narrow" w:cs="Calibri"/>
                <w:color w:val="000000" w:themeColor="text1"/>
                <w:sz w:val="18"/>
                <w:szCs w:val="18"/>
              </w:rPr>
            </w:pPr>
            <w:r w:rsidRPr="006F724E">
              <w:rPr>
                <w:rFonts w:ascii="Arial Narrow" w:eastAsia="Times New Roman" w:hAnsi="Arial Narrow" w:cs="Calibri"/>
                <w:color w:val="000000" w:themeColor="text1"/>
                <w:sz w:val="18"/>
                <w:szCs w:val="18"/>
                <w:vertAlign w:val="superscript"/>
              </w:rPr>
              <w:t>2</w:t>
            </w:r>
          </w:p>
        </w:tc>
        <w:tc>
          <w:tcPr>
            <w:tcW w:w="12690" w:type="dxa"/>
            <w:gridSpan w:val="14"/>
            <w:tcBorders>
              <w:top w:val="nil"/>
              <w:left w:val="nil"/>
              <w:bottom w:val="nil"/>
              <w:right w:val="single" w:sz="4" w:space="0" w:color="auto"/>
            </w:tcBorders>
            <w:shd w:val="clear" w:color="auto" w:fill="auto"/>
            <w:noWrap/>
            <w:vAlign w:val="center"/>
            <w:hideMark/>
          </w:tcPr>
          <w:p w14:paraId="1534A30F" w14:textId="4791C259" w:rsidR="00B8298D" w:rsidRPr="006F724E" w:rsidRDefault="00B8298D" w:rsidP="00B8298D">
            <w:pPr>
              <w:ind w:left="-110"/>
              <w:rPr>
                <w:rFonts w:ascii="Arial Narrow" w:eastAsia="Times New Roman" w:hAnsi="Arial Narrow" w:cs="Calibri"/>
                <w:color w:val="000000"/>
                <w:sz w:val="18"/>
                <w:szCs w:val="18"/>
              </w:rPr>
            </w:pPr>
            <w:r w:rsidRPr="006F724E">
              <w:rPr>
                <w:rFonts w:ascii="Arial Narrow" w:hAnsi="Arial Narrow" w:cs="Calibri"/>
                <w:color w:val="000000"/>
                <w:sz w:val="18"/>
                <w:szCs w:val="18"/>
              </w:rPr>
              <w:t xml:space="preserve">These unit burdens are derived by dividing the four-year cycle unit burdens in </w:t>
            </w:r>
            <w:r w:rsidRPr="006F724E">
              <w:rPr>
                <w:rFonts w:ascii="Arial Narrow" w:hAnsi="Arial Narrow" w:cs="Calibri"/>
                <w:color w:val="000000"/>
                <w:sz w:val="18"/>
                <w:szCs w:val="18"/>
              </w:rPr>
              <w:fldChar w:fldCharType="begin"/>
            </w:r>
            <w:r w:rsidRPr="006F724E">
              <w:rPr>
                <w:rFonts w:ascii="Arial Narrow" w:hAnsi="Arial Narrow" w:cs="Calibri"/>
                <w:color w:val="000000"/>
                <w:sz w:val="18"/>
                <w:szCs w:val="18"/>
              </w:rPr>
              <w:instrText xml:space="preserve"> REF _Ref526353586 \h  \* MERGEFORMAT </w:instrText>
            </w:r>
            <w:r w:rsidRPr="006F724E">
              <w:rPr>
                <w:rFonts w:ascii="Arial Narrow" w:hAnsi="Arial Narrow" w:cs="Calibri"/>
                <w:color w:val="000000"/>
                <w:sz w:val="18"/>
                <w:szCs w:val="18"/>
              </w:rPr>
            </w:r>
            <w:r w:rsidRPr="006F724E">
              <w:rPr>
                <w:rFonts w:ascii="Arial Narrow" w:hAnsi="Arial Narrow" w:cs="Calibri"/>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8</w:t>
            </w:r>
            <w:r w:rsidRPr="006F724E">
              <w:rPr>
                <w:rFonts w:ascii="Arial Narrow" w:hAnsi="Arial Narrow" w:cs="Calibri"/>
                <w:color w:val="000000"/>
                <w:sz w:val="18"/>
                <w:szCs w:val="18"/>
              </w:rPr>
              <w:fldChar w:fldCharType="end"/>
            </w:r>
            <w:r w:rsidRPr="006F724E">
              <w:rPr>
                <w:rFonts w:ascii="Arial Narrow" w:hAnsi="Arial Narrow" w:cs="Calibri"/>
                <w:color w:val="000000"/>
                <w:sz w:val="18"/>
                <w:szCs w:val="18"/>
              </w:rPr>
              <w:t xml:space="preserve"> by four.</w:t>
            </w:r>
          </w:p>
        </w:tc>
      </w:tr>
      <w:tr w:rsidR="00B8298D" w:rsidRPr="00924A46" w14:paraId="6B87277F" w14:textId="77777777" w:rsidTr="00B8298D">
        <w:trPr>
          <w:jc w:val="center"/>
        </w:trPr>
        <w:tc>
          <w:tcPr>
            <w:tcW w:w="270" w:type="dxa"/>
            <w:tcBorders>
              <w:top w:val="nil"/>
              <w:left w:val="single" w:sz="4" w:space="0" w:color="auto"/>
              <w:bottom w:val="single" w:sz="4" w:space="0" w:color="auto"/>
              <w:right w:val="nil"/>
            </w:tcBorders>
            <w:shd w:val="clear" w:color="auto" w:fill="auto"/>
            <w:noWrap/>
            <w:hideMark/>
          </w:tcPr>
          <w:p w14:paraId="491B04EA" w14:textId="77777777" w:rsidR="00B8298D" w:rsidRPr="004B2A38" w:rsidRDefault="00B8298D" w:rsidP="00B8298D">
            <w:pPr>
              <w:rPr>
                <w:rFonts w:ascii="Arial Narrow" w:eastAsia="Times New Roman" w:hAnsi="Arial Narrow" w:cs="Calibri"/>
                <w:color w:val="000000" w:themeColor="text1"/>
                <w:sz w:val="18"/>
                <w:szCs w:val="18"/>
              </w:rPr>
            </w:pPr>
            <w:r w:rsidRPr="004B2A38">
              <w:rPr>
                <w:rFonts w:ascii="Arial Narrow" w:eastAsia="Times New Roman" w:hAnsi="Arial Narrow" w:cs="Calibri"/>
                <w:color w:val="000000" w:themeColor="text1"/>
                <w:sz w:val="18"/>
                <w:szCs w:val="18"/>
                <w:vertAlign w:val="superscript"/>
              </w:rPr>
              <w:t>3</w:t>
            </w:r>
          </w:p>
        </w:tc>
        <w:tc>
          <w:tcPr>
            <w:tcW w:w="12690" w:type="dxa"/>
            <w:gridSpan w:val="14"/>
            <w:tcBorders>
              <w:top w:val="nil"/>
              <w:left w:val="nil"/>
              <w:bottom w:val="single" w:sz="4" w:space="0" w:color="auto"/>
              <w:right w:val="single" w:sz="4" w:space="0" w:color="auto"/>
            </w:tcBorders>
            <w:shd w:val="clear" w:color="auto" w:fill="auto"/>
            <w:noWrap/>
            <w:vAlign w:val="center"/>
            <w:hideMark/>
          </w:tcPr>
          <w:p w14:paraId="2C98587B" w14:textId="7F0DFACF" w:rsidR="00B8298D" w:rsidRPr="004B2A38" w:rsidRDefault="00B8298D" w:rsidP="00B8298D">
            <w:pPr>
              <w:ind w:left="-110"/>
              <w:rPr>
                <w:rFonts w:ascii="Arial Narrow" w:eastAsia="Times New Roman" w:hAnsi="Arial Narrow" w:cs="Calibri"/>
                <w:color w:val="000000"/>
                <w:sz w:val="18"/>
                <w:szCs w:val="18"/>
              </w:rPr>
            </w:pPr>
            <w:r w:rsidRPr="004B2A38">
              <w:rPr>
                <w:rFonts w:ascii="Arial Narrow" w:hAnsi="Arial Narrow" w:cs="Calibri"/>
                <w:color w:val="000000"/>
                <w:sz w:val="18"/>
                <w:szCs w:val="18"/>
              </w:rPr>
              <w:t xml:space="preserve">Represents the net change from CDR Revisions, excluding </w:t>
            </w:r>
            <w:r>
              <w:rPr>
                <w:rFonts w:ascii="Arial Narrow" w:hAnsi="Arial Narrow" w:cs="Calibri"/>
                <w:color w:val="000000"/>
                <w:sz w:val="18"/>
                <w:szCs w:val="18"/>
              </w:rPr>
              <w:t>b</w:t>
            </w:r>
            <w:r w:rsidRPr="004B2A38">
              <w:rPr>
                <w:rFonts w:ascii="Arial Narrow" w:hAnsi="Arial Narrow" w:cs="Calibri"/>
                <w:color w:val="000000"/>
                <w:sz w:val="18"/>
                <w:szCs w:val="18"/>
              </w:rPr>
              <w:t xml:space="preserve">yproduct </w:t>
            </w:r>
            <w:r>
              <w:rPr>
                <w:rFonts w:ascii="Arial Narrow" w:hAnsi="Arial Narrow" w:cs="Calibri"/>
                <w:color w:val="000000"/>
                <w:sz w:val="18"/>
                <w:szCs w:val="18"/>
              </w:rPr>
              <w:t>e</w:t>
            </w:r>
            <w:r w:rsidRPr="004B2A38">
              <w:rPr>
                <w:rFonts w:ascii="Arial Narrow" w:hAnsi="Arial Narrow" w:cs="Calibri"/>
                <w:color w:val="000000"/>
                <w:sz w:val="18"/>
                <w:szCs w:val="18"/>
              </w:rPr>
              <w:t xml:space="preserve">xemptions and </w:t>
            </w:r>
            <w:r>
              <w:rPr>
                <w:rFonts w:ascii="Arial Narrow" w:hAnsi="Arial Narrow" w:cs="Calibri"/>
                <w:color w:val="000000"/>
                <w:sz w:val="18"/>
                <w:szCs w:val="18"/>
              </w:rPr>
              <w:t>c</w:t>
            </w:r>
            <w:r w:rsidRPr="004B2A38">
              <w:rPr>
                <w:rFonts w:ascii="Arial Narrow" w:hAnsi="Arial Narrow" w:cs="Calibri"/>
                <w:color w:val="000000"/>
                <w:sz w:val="18"/>
                <w:szCs w:val="18"/>
              </w:rPr>
              <w:t xml:space="preserve">ategory </w:t>
            </w:r>
            <w:r>
              <w:rPr>
                <w:rFonts w:ascii="Arial Narrow" w:hAnsi="Arial Narrow" w:cs="Calibri"/>
                <w:color w:val="000000"/>
                <w:sz w:val="18"/>
                <w:szCs w:val="18"/>
              </w:rPr>
              <w:t>r</w:t>
            </w:r>
            <w:r w:rsidRPr="004B2A38">
              <w:rPr>
                <w:rFonts w:ascii="Arial Narrow" w:hAnsi="Arial Narrow" w:cs="Calibri"/>
                <w:color w:val="000000"/>
                <w:sz w:val="18"/>
                <w:szCs w:val="18"/>
              </w:rPr>
              <w:t>eporting.</w:t>
            </w:r>
          </w:p>
        </w:tc>
      </w:tr>
    </w:tbl>
    <w:p w14:paraId="3B03118C" w14:textId="77777777" w:rsidR="00B8298D" w:rsidRDefault="00B8298D" w:rsidP="00B8298D">
      <w:pPr>
        <w:rPr>
          <w:b/>
          <w:bCs/>
          <w:iCs/>
        </w:rPr>
        <w:sectPr w:rsidR="00B8298D" w:rsidSect="00874EA2">
          <w:headerReference w:type="default" r:id="rId16"/>
          <w:pgSz w:w="15840" w:h="12240" w:orient="landscape"/>
          <w:pgMar w:top="1440" w:right="1440" w:bottom="1440" w:left="1440" w:header="720" w:footer="720" w:gutter="0"/>
          <w:cols w:space="720"/>
          <w:docGrid w:linePitch="360"/>
        </w:sectPr>
      </w:pPr>
    </w:p>
    <w:p w14:paraId="7FC4FC9A" w14:textId="73B7B0FF" w:rsidR="00B8298D" w:rsidRPr="008A7FB7" w:rsidRDefault="00B8298D" w:rsidP="00B8298D">
      <w:pPr>
        <w:pStyle w:val="Heading2"/>
        <w:tabs>
          <w:tab w:val="clear" w:pos="720"/>
          <w:tab w:val="num" w:pos="1080"/>
        </w:tabs>
        <w:ind w:left="1080" w:hanging="360"/>
      </w:pPr>
      <w:r>
        <w:t xml:space="preserve"> </w:t>
      </w:r>
      <w:bookmarkStart w:id="129" w:name="_Ref524367106"/>
      <w:r w:rsidRPr="008A7FB7">
        <w:t>Burden Statement</w:t>
      </w:r>
      <w:bookmarkEnd w:id="129"/>
    </w:p>
    <w:p w14:paraId="431B8A7E" w14:textId="3DD9ADC5" w:rsidR="00B8298D" w:rsidRPr="008A7FB7" w:rsidRDefault="00B8298D" w:rsidP="00B8298D">
      <w:pPr>
        <w:pStyle w:val="BodyText"/>
      </w:pPr>
      <w:r>
        <w:t>Under the proposed rule, t</w:t>
      </w:r>
      <w:r w:rsidRPr="008A7FB7">
        <w:t xml:space="preserve">he </w:t>
      </w:r>
      <w:r>
        <w:t>incremental reporter</w:t>
      </w:r>
      <w:r w:rsidRPr="008A7FB7">
        <w:t xml:space="preserve"> burden</w:t>
      </w:r>
      <w:r w:rsidR="009B16FF">
        <w:t xml:space="preserve"> reduction</w:t>
      </w:r>
      <w:r>
        <w:t xml:space="preserve"> </w:t>
      </w:r>
      <w:r w:rsidRPr="008A7FB7">
        <w:t xml:space="preserve">for this collection of information is estimated </w:t>
      </w:r>
      <w:r>
        <w:t>to average 4.45 hours per year for the average site.</w:t>
      </w:r>
      <w:r w:rsidRPr="00261E61">
        <w:rPr>
          <w:rStyle w:val="FootnoteReference"/>
        </w:rPr>
        <w:footnoteReference w:id="10"/>
      </w:r>
      <w:r w:rsidRPr="008C5171">
        <w:rPr>
          <w:vertAlign w:val="superscript"/>
        </w:rPr>
        <w:t>,</w:t>
      </w:r>
      <w:r w:rsidRPr="00261E61">
        <w:rPr>
          <w:rStyle w:val="FootnoteReference"/>
        </w:rPr>
        <w:footnoteReference w:id="11"/>
      </w:r>
      <w:r>
        <w:t xml:space="preserve"> This estimate includes the combined effects of increases to certain reporting activities (incremental rule familiarization and compliance determination, data elements on Form U) as well as the elimination of reporting for newly exempted chemical reports and/or sites. </w:t>
      </w:r>
      <w:r w:rsidRPr="008A7FB7">
        <w:t>Burden is defined in 5 CFR 1320.3(b). An Agency may not conduct or sponsor, and a person is not required to respond to, a collection of information unless it displays a currently valid OMB control number. The OMB control numbers for EPA</w:t>
      </w:r>
      <w:r w:rsidR="00A56AF6">
        <w:t>’</w:t>
      </w:r>
      <w:r w:rsidRPr="008A7FB7">
        <w:t>s regulations in title 40 of the CFR, after appearing in the Federal Register when approved, are listed in 40 CFR Part 9, and are displayed either by publication in the Federal Register or by other appropriate means, such as on the related collection instrument or form, if applicable.</w:t>
      </w:r>
    </w:p>
    <w:p w14:paraId="129CE901" w14:textId="77777777" w:rsidR="00B8298D" w:rsidRPr="00392D59" w:rsidRDefault="00B8298D" w:rsidP="00B8298D">
      <w:pPr>
        <w:pStyle w:val="BodyText"/>
      </w:pPr>
      <w:r w:rsidRPr="00617F03">
        <w:t xml:space="preserve">The Agency has established a public docket for this ICR under Docket ID No. </w:t>
      </w:r>
      <w:r w:rsidRPr="00425737">
        <w:t>EPA-HQ-OPPT-</w:t>
      </w:r>
      <w:r w:rsidRPr="00873EE3">
        <w:t>2018-0321, which</w:t>
      </w:r>
      <w:r w:rsidRPr="00617F03">
        <w:t xml:space="preserve"> is available for online viewing at www.regulations.gov, or in-person viewing at the Pollution Prevention and Toxics Docket in the EPA Docket Center (EPA/DC).  The EPA/DC Public Reading Room is located in the EPA West Building, Room 3334,</w:t>
      </w:r>
      <w:r w:rsidRPr="00392D59">
        <w:t xml:space="preserve"> 1301 Constitution Ave., N.W., Washington, DC.  The EPA/DC Public Reading Room is open from 8:30 a.m. to 4:30 p.m., Monday through Friday, excluding legal holidays.  The telephone number for the EPA/DC Public Reading Room is (202) 566-1744, and the telephone number for the Pollution Prevention and Toxics Docket is (202) 566-0280. </w:t>
      </w:r>
    </w:p>
    <w:p w14:paraId="28A38E0D" w14:textId="77777777" w:rsidR="00B8298D" w:rsidRDefault="00B8298D" w:rsidP="00B8298D">
      <w:pPr>
        <w:pStyle w:val="BodyText"/>
      </w:pPr>
      <w:r w:rsidRPr="00392D59">
        <w:t xml:space="preserve">You may submit comments regarding the Agency’s need for this information, the accuracy of the provided burden estimates and any suggested methods for minimizing respondent burden, including the use of automated collection techniques. Submit your comments, referencing Docket ID No. </w:t>
      </w:r>
      <w:r w:rsidRPr="00425737">
        <w:t>EPA-HQ-OPPT-2018-0321</w:t>
      </w:r>
      <w:r>
        <w:t xml:space="preserve"> </w:t>
      </w:r>
      <w:r w:rsidRPr="00617F03">
        <w:t>and OMB Control No. 2070-0162, to (1) EPA online using www.regulations.gov (our preferred method</w:t>
      </w:r>
      <w:r w:rsidRPr="008A7FB7">
        <w:t>), or by mail to: Pollution Prevention and Toxics Docket, Environmental Protection Agency Docket Center (EPA/DC), Mail code: 28221T, 1200 Pennsylvania Ave., N.W., Washington, D.C. 20460, and</w:t>
      </w:r>
      <w:r>
        <w:t xml:space="preserve"> </w:t>
      </w:r>
      <w:r w:rsidRPr="008A7FB7">
        <w:t xml:space="preserve">(2) OMB by mail to: Office of Information and Regulatory Affairs, Office of Management and Budget (OMB), Attention: Desk Officer for EPA, 725 17th Street, N.W., Washington, D.C. 20503. </w:t>
      </w:r>
    </w:p>
    <w:p w14:paraId="258D5587" w14:textId="218D372A" w:rsidR="00B8298D" w:rsidRPr="00536184" w:rsidRDefault="00B8298D" w:rsidP="00B8298D">
      <w:pPr>
        <w:pStyle w:val="Heading2"/>
      </w:pPr>
      <w:bookmarkStart w:id="130" w:name="_Ref534025817"/>
      <w:r>
        <w:t>Additional Tables</w:t>
      </w:r>
      <w:bookmarkEnd w:id="130"/>
    </w:p>
    <w:p w14:paraId="3A16D67D" w14:textId="73394BCC" w:rsidR="00B8298D" w:rsidRPr="004E21AA" w:rsidRDefault="00B8298D" w:rsidP="00B8298D">
      <w:pPr>
        <w:pStyle w:val="BodyText"/>
      </w:pPr>
      <w:r w:rsidRPr="00794249">
        <w:t xml:space="preserve">This section provides further explanation of the calculations in Section </w:t>
      </w:r>
      <w:r w:rsidRPr="00C63150">
        <w:fldChar w:fldCharType="begin"/>
      </w:r>
      <w:r w:rsidRPr="00AD1F77">
        <w:instrText xml:space="preserve"> REF _Ref524367133 \n \h  \* MERGEFORMAT </w:instrText>
      </w:r>
      <w:r w:rsidRPr="00C63150">
        <w:fldChar w:fldCharType="separate"/>
      </w:r>
      <w:r w:rsidR="00745E52">
        <w:t>6(e)</w:t>
      </w:r>
      <w:r w:rsidRPr="00C63150">
        <w:fldChar w:fldCharType="end"/>
      </w:r>
      <w:r w:rsidRPr="00C63150">
        <w:t xml:space="preserve">. </w:t>
      </w:r>
      <w:r>
        <w:fldChar w:fldCharType="begin"/>
      </w:r>
      <w:r>
        <w:instrText xml:space="preserve"> REF _Ref526353905 \h </w:instrText>
      </w:r>
      <w:r>
        <w:fldChar w:fldCharType="separate"/>
      </w:r>
      <w:r w:rsidR="00745E52">
        <w:t xml:space="preserve">Table </w:t>
      </w:r>
      <w:r w:rsidR="00745E52">
        <w:rPr>
          <w:noProof/>
        </w:rPr>
        <w:t>16</w:t>
      </w:r>
      <w:r>
        <w:fldChar w:fldCharType="end"/>
      </w:r>
      <w:r>
        <w:t xml:space="preserve"> </w:t>
      </w:r>
      <w:r w:rsidRPr="00FA0871">
        <w:t>present</w:t>
      </w:r>
      <w:r w:rsidRPr="00794249">
        <w:t>s</w:t>
      </w:r>
      <w:r w:rsidRPr="00E50C4B">
        <w:t xml:space="preserve"> the</w:t>
      </w:r>
      <w:r w:rsidRPr="00F63255">
        <w:t xml:space="preserve"> calculation of </w:t>
      </w:r>
      <w:r w:rsidRPr="00C63150">
        <w:t>incremental reporting burden in sequence</w:t>
      </w:r>
      <w:r w:rsidRPr="00FE082E">
        <w:t xml:space="preserve"> (as opposed to being conducted as parallel calculations, as done in the source EAs (</w:t>
      </w:r>
      <w:r w:rsidR="00FF0FB5">
        <w:t>EPA, 2019a</w:t>
      </w:r>
      <w:r w:rsidRPr="00FE082E">
        <w:t xml:space="preserve"> and </w:t>
      </w:r>
      <w:r>
        <w:t xml:space="preserve">EPA, </w:t>
      </w:r>
      <w:r w:rsidR="00FF0FB5">
        <w:t>2019b</w:t>
      </w:r>
      <w:r w:rsidRPr="002049F9">
        <w:t>)</w:t>
      </w:r>
      <w:r w:rsidRPr="00063FB2">
        <w:t>, using</w:t>
      </w:r>
      <w:r w:rsidRPr="00AC7595">
        <w:t xml:space="preserve"> the following steps:</w:t>
      </w:r>
    </w:p>
    <w:p w14:paraId="192F46F7" w14:textId="77777777" w:rsidR="00B8298D" w:rsidRDefault="00B8298D" w:rsidP="00B8298D">
      <w:pPr>
        <w:pStyle w:val="ListParagraph"/>
        <w:numPr>
          <w:ilvl w:val="0"/>
          <w:numId w:val="55"/>
        </w:numPr>
        <w:spacing w:after="120"/>
      </w:pPr>
      <w:r>
        <w:t>Calculate the burden associated with exempting sites and chemical reports under the TSCA section 8(a) SGD and TSCA section 8(a) SMD. Remove these sites and chemical reports from the reporting universe.</w:t>
      </w:r>
    </w:p>
    <w:p w14:paraId="45C22522" w14:textId="77777777" w:rsidR="00B8298D" w:rsidRDefault="00B8298D" w:rsidP="00B8298D">
      <w:pPr>
        <w:pStyle w:val="ListParagraph"/>
        <w:numPr>
          <w:ilvl w:val="0"/>
          <w:numId w:val="55"/>
        </w:numPr>
        <w:spacing w:after="120"/>
      </w:pPr>
      <w:r>
        <w:t>Calculate the burden associated with exempting sites and chemical reports under CDR Revisions, specifically the byproducts exemption and category reporting. Remove these sites and chemical reports from the reporting universe.</w:t>
      </w:r>
    </w:p>
    <w:p w14:paraId="4417540E" w14:textId="77777777" w:rsidR="00B8298D" w:rsidRDefault="00B8298D" w:rsidP="00B8298D">
      <w:pPr>
        <w:pStyle w:val="ListParagraph"/>
        <w:numPr>
          <w:ilvl w:val="0"/>
          <w:numId w:val="55"/>
        </w:numPr>
        <w:spacing w:after="120"/>
      </w:pPr>
      <w:r>
        <w:t>Calculate a per-site unit burden for the SMD and SGD incremental rule familiarization and compliance determination and apply it to the remaining sites (post exemptions in steps 1 and 2).</w:t>
      </w:r>
    </w:p>
    <w:p w14:paraId="4E007A99" w14:textId="77777777" w:rsidR="00B8298D" w:rsidRDefault="00B8298D" w:rsidP="00B8298D">
      <w:pPr>
        <w:pStyle w:val="ListParagraph"/>
        <w:numPr>
          <w:ilvl w:val="0"/>
          <w:numId w:val="55"/>
        </w:numPr>
        <w:spacing w:after="120"/>
      </w:pPr>
      <w:r>
        <w:t>Calculate a per-site and per-chemical report unit burden for the new CDR activities under the proposed rule and apply them to the remaining sites (post exemptions in steps 1 and 2).</w:t>
      </w:r>
    </w:p>
    <w:p w14:paraId="036C0D70" w14:textId="77777777" w:rsidR="00B8298D" w:rsidRDefault="00B8298D" w:rsidP="00B8298D">
      <w:pPr>
        <w:pStyle w:val="ListParagraph"/>
        <w:numPr>
          <w:ilvl w:val="0"/>
          <w:numId w:val="55"/>
        </w:numPr>
        <w:spacing w:after="240"/>
      </w:pPr>
      <w:r>
        <w:t>Sum total burden in steps 1-4 to estimate incremental burden under the proposed rule.</w:t>
      </w:r>
    </w:p>
    <w:p w14:paraId="634C2A99" w14:textId="1865802D" w:rsidR="00B8298D" w:rsidRPr="004E21AA" w:rsidRDefault="00B8298D" w:rsidP="00B8298D">
      <w:pPr>
        <w:pStyle w:val="BodyText"/>
      </w:pPr>
      <w:r w:rsidRPr="00794249">
        <w:t>Th</w:t>
      </w:r>
      <w:r w:rsidRPr="00E50C4B">
        <w:t>is approach differ</w:t>
      </w:r>
      <w:r w:rsidRPr="00F63255">
        <w:t>s</w:t>
      </w:r>
      <w:r w:rsidRPr="00C63150">
        <w:t xml:space="preserve"> from the calculation in the source EAs, and in the</w:t>
      </w:r>
      <w:r w:rsidRPr="00FE082E">
        <w:t xml:space="preserve"> </w:t>
      </w:r>
      <w:r w:rsidRPr="002A58F8">
        <w:t>main body of the ICR Addendum as</w:t>
      </w:r>
      <w:r w:rsidRPr="002049F9">
        <w:t xml:space="preserve"> </w:t>
      </w:r>
      <w:r w:rsidRPr="00063FB2">
        <w:t>it</w:t>
      </w:r>
      <w:r w:rsidRPr="00AC7595">
        <w:t xml:space="preserve"> applies </w:t>
      </w:r>
      <w:r w:rsidRPr="00B33B2F">
        <w:t xml:space="preserve">unit burden associated with new and modified reporting activities from steps 3 and 4 to a post-exemption count of sites. This </w:t>
      </w:r>
      <w:r w:rsidRPr="00FA0871">
        <w:t xml:space="preserve">approach </w:t>
      </w:r>
      <w:r>
        <w:t xml:space="preserve">is a </w:t>
      </w:r>
      <w:r w:rsidRPr="00AD1F77">
        <w:t xml:space="preserve">“calculation in sequence.” </w:t>
      </w:r>
      <w:r w:rsidR="00C303F2">
        <w:t xml:space="preserve">As noted in Section 6(e), in this sequential calculation, incremental rule familiarization, incremental compliance determination, and changes to Form U content associated with exempted sites are not included in the estimate. </w:t>
      </w:r>
      <w:r w:rsidR="00C303F2" w:rsidRPr="00AD1F77">
        <w:t>The approach used in the ICR Addendum and in the EAs to the propos</w:t>
      </w:r>
      <w:r w:rsidR="00C303F2">
        <w:t>al</w:t>
      </w:r>
      <w:r w:rsidR="00C303F2" w:rsidRPr="00AD1F77">
        <w:t xml:space="preserve"> applies these unit burdens to the entire baseline reporting universe. This “calculation in parallel” </w:t>
      </w:r>
      <w:r w:rsidR="00C303F2">
        <w:t>i</w:t>
      </w:r>
      <w:r w:rsidR="00C303F2" w:rsidRPr="00AD1F77">
        <w:t>s necessary to separately present the distinct p</w:t>
      </w:r>
      <w:r w:rsidR="00C303F2">
        <w:t>rovision</w:t>
      </w:r>
      <w:r w:rsidR="00C303F2" w:rsidRPr="00AD1F77">
        <w:t xml:space="preserve">s of the </w:t>
      </w:r>
      <w:r w:rsidR="00C303F2">
        <w:t>proposal</w:t>
      </w:r>
      <w:r w:rsidR="00C303F2" w:rsidRPr="00AD1F77">
        <w:t xml:space="preserve">. Note that when managing changes to the universe counts for sites and chemical reports, calculation in sequence yields </w:t>
      </w:r>
      <w:r w:rsidR="00C303F2">
        <w:t>larger</w:t>
      </w:r>
      <w:r w:rsidR="00C303F2" w:rsidRPr="00AD1F77">
        <w:t xml:space="preserve"> values for burden and cost savings </w:t>
      </w:r>
      <w:r w:rsidR="00C303F2">
        <w:t xml:space="preserve">(i.e., of larger negative magnitude) </w:t>
      </w:r>
      <w:r w:rsidRPr="00AD1F77">
        <w:t>due to the proposed rule than the values reported in the EAs (</w:t>
      </w:r>
      <w:r>
        <w:t>compare</w:t>
      </w:r>
      <w:r w:rsidRPr="00AD1F77">
        <w:t xml:space="preserve"> </w:t>
      </w:r>
      <w:r>
        <w:fldChar w:fldCharType="begin"/>
      </w:r>
      <w:r>
        <w:instrText xml:space="preserve"> REF _Ref526353905 \h </w:instrText>
      </w:r>
      <w:r>
        <w:fldChar w:fldCharType="separate"/>
      </w:r>
      <w:r w:rsidR="00745E52">
        <w:t xml:space="preserve">Table </w:t>
      </w:r>
      <w:r w:rsidR="00745E52">
        <w:rPr>
          <w:noProof/>
        </w:rPr>
        <w:t>16</w:t>
      </w:r>
      <w:r>
        <w:fldChar w:fldCharType="end"/>
      </w:r>
      <w:r w:rsidRPr="00C63150">
        <w:t xml:space="preserve"> </w:t>
      </w:r>
      <w:r>
        <w:t xml:space="preserve">to </w:t>
      </w:r>
      <w:r w:rsidRPr="00693653">
        <w:fldChar w:fldCharType="begin"/>
      </w:r>
      <w:r w:rsidRPr="001D5EBB">
        <w:instrText xml:space="preserve"> REF _Ref526352361 \h </w:instrText>
      </w:r>
      <w:r w:rsidRPr="00FC1700">
        <w:instrText xml:space="preserve"> \* MERGEFORMAT </w:instrText>
      </w:r>
      <w:r w:rsidRPr="00693653">
        <w:fldChar w:fldCharType="separate"/>
      </w:r>
      <w:r w:rsidR="00745E52" w:rsidRPr="00C9573B">
        <w:t xml:space="preserve">Table </w:t>
      </w:r>
      <w:r w:rsidR="00745E52" w:rsidRPr="00C9573B">
        <w:rPr>
          <w:noProof/>
        </w:rPr>
        <w:t>1</w:t>
      </w:r>
      <w:r w:rsidRPr="00693653">
        <w:fldChar w:fldCharType="end"/>
      </w:r>
      <w:r w:rsidRPr="00C63150">
        <w:t xml:space="preserve">). </w:t>
      </w:r>
    </w:p>
    <w:p w14:paraId="7C0B1029" w14:textId="5C8C9F59" w:rsidR="00B8298D" w:rsidRDefault="00B8298D" w:rsidP="00B8298D">
      <w:pPr>
        <w:pStyle w:val="BodyText"/>
      </w:pPr>
      <w:r>
        <w:fldChar w:fldCharType="begin"/>
      </w:r>
      <w:r>
        <w:instrText xml:space="preserve"> REF _Ref526354100 \h </w:instrText>
      </w:r>
      <w:r>
        <w:fldChar w:fldCharType="separate"/>
      </w:r>
      <w:r w:rsidR="00745E52">
        <w:t xml:space="preserve">Table </w:t>
      </w:r>
      <w:r w:rsidR="00745E52">
        <w:rPr>
          <w:noProof/>
        </w:rPr>
        <w:t>17</w:t>
      </w:r>
      <w:r>
        <w:fldChar w:fldCharType="end"/>
      </w:r>
      <w:r>
        <w:t xml:space="preserve"> demonstrates how the provisions in the proposed rule affect baseline counts of sites and chemical reports according to provisions of the rule.</w:t>
      </w:r>
    </w:p>
    <w:tbl>
      <w:tblPr>
        <w:tblW w:w="9540" w:type="dxa"/>
        <w:tblLayout w:type="fixed"/>
        <w:tblLook w:val="04A0" w:firstRow="1" w:lastRow="0" w:firstColumn="1" w:lastColumn="0" w:noHBand="0" w:noVBand="1"/>
      </w:tblPr>
      <w:tblGrid>
        <w:gridCol w:w="900"/>
        <w:gridCol w:w="720"/>
        <w:gridCol w:w="720"/>
        <w:gridCol w:w="720"/>
        <w:gridCol w:w="720"/>
        <w:gridCol w:w="810"/>
        <w:gridCol w:w="720"/>
        <w:gridCol w:w="720"/>
        <w:gridCol w:w="630"/>
        <w:gridCol w:w="720"/>
        <w:gridCol w:w="720"/>
        <w:gridCol w:w="720"/>
        <w:gridCol w:w="720"/>
      </w:tblGrid>
      <w:tr w:rsidR="00B8298D" w:rsidRPr="000F453D" w14:paraId="48C8E8D5" w14:textId="77777777" w:rsidTr="00B8298D">
        <w:tc>
          <w:tcPr>
            <w:tcW w:w="9540" w:type="dxa"/>
            <w:gridSpan w:val="13"/>
            <w:tcBorders>
              <w:top w:val="nil"/>
              <w:left w:val="nil"/>
              <w:bottom w:val="single" w:sz="4" w:space="0" w:color="auto"/>
              <w:right w:val="nil"/>
            </w:tcBorders>
            <w:shd w:val="clear" w:color="auto" w:fill="auto"/>
            <w:noWrap/>
            <w:vAlign w:val="bottom"/>
            <w:hideMark/>
          </w:tcPr>
          <w:p w14:paraId="4F77FA44" w14:textId="52CAA42D" w:rsidR="00B8298D" w:rsidRPr="000F453D" w:rsidRDefault="00B8298D" w:rsidP="00B8298D">
            <w:pPr>
              <w:pStyle w:val="Caption"/>
              <w:keepNext/>
              <w:rPr>
                <w:rFonts w:eastAsia="Times New Roman" w:cs="Times New Roman"/>
                <w:color w:val="000000"/>
              </w:rPr>
            </w:pPr>
            <w:bookmarkStart w:id="131" w:name="_Ref526354100"/>
            <w:bookmarkStart w:id="132" w:name="_Ref525830941"/>
            <w:r>
              <w:t xml:space="preserve">Table </w:t>
            </w:r>
            <w:r>
              <w:rPr>
                <w:noProof/>
              </w:rPr>
              <w:fldChar w:fldCharType="begin"/>
            </w:r>
            <w:r>
              <w:rPr>
                <w:noProof/>
              </w:rPr>
              <w:instrText xml:space="preserve"> SEQ Table \* ARABIC </w:instrText>
            </w:r>
            <w:r>
              <w:rPr>
                <w:noProof/>
              </w:rPr>
              <w:fldChar w:fldCharType="separate"/>
            </w:r>
            <w:r w:rsidR="00745E52">
              <w:rPr>
                <w:noProof/>
              </w:rPr>
              <w:t>17</w:t>
            </w:r>
            <w:r>
              <w:rPr>
                <w:noProof/>
              </w:rPr>
              <w:fldChar w:fldCharType="end"/>
            </w:r>
            <w:bookmarkEnd w:id="131"/>
            <w:bookmarkEnd w:id="132"/>
            <w:r>
              <w:t xml:space="preserve">: </w:t>
            </w:r>
            <w:r w:rsidRPr="000F453D">
              <w:rPr>
                <w:rFonts w:eastAsia="Times New Roman" w:cs="Times New Roman"/>
                <w:color w:val="000000"/>
              </w:rPr>
              <w:t>Proposed Option 1 Changes to Number of Sites and Chemical Reports</w:t>
            </w:r>
          </w:p>
        </w:tc>
      </w:tr>
      <w:tr w:rsidR="00B8298D" w:rsidRPr="000F453D" w14:paraId="15DA8392" w14:textId="77777777" w:rsidTr="00B8298D">
        <w:tc>
          <w:tcPr>
            <w:tcW w:w="900" w:type="dxa"/>
            <w:tcBorders>
              <w:top w:val="nil"/>
              <w:left w:val="single" w:sz="4" w:space="0" w:color="auto"/>
              <w:bottom w:val="nil"/>
              <w:right w:val="single" w:sz="4" w:space="0" w:color="auto"/>
            </w:tcBorders>
            <w:shd w:val="clear" w:color="000000" w:fill="BFBFBF"/>
            <w:noWrap/>
            <w:vAlign w:val="bottom"/>
            <w:hideMark/>
          </w:tcPr>
          <w:p w14:paraId="5E98FCF5" w14:textId="77777777" w:rsidR="00B8298D" w:rsidRPr="00F63255" w:rsidRDefault="00B8298D" w:rsidP="00B8298D">
            <w:pPr>
              <w:rPr>
                <w:rFonts w:ascii="Calibri" w:eastAsia="Times New Roman" w:hAnsi="Calibri" w:cs="Calibri"/>
                <w:color w:val="000000"/>
                <w:sz w:val="18"/>
                <w:szCs w:val="18"/>
              </w:rPr>
            </w:pPr>
            <w:r w:rsidRPr="00F63255">
              <w:rPr>
                <w:rFonts w:ascii="Calibri" w:eastAsia="Times New Roman" w:hAnsi="Calibri" w:cs="Calibri"/>
                <w:color w:val="000000"/>
                <w:sz w:val="18"/>
                <w:szCs w:val="18"/>
              </w:rPr>
              <w:t> </w:t>
            </w:r>
          </w:p>
        </w:tc>
        <w:tc>
          <w:tcPr>
            <w:tcW w:w="8640" w:type="dxa"/>
            <w:gridSpan w:val="1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E2D2B15"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Changes</w:t>
            </w:r>
          </w:p>
        </w:tc>
      </w:tr>
      <w:tr w:rsidR="00B8298D" w:rsidRPr="000F453D" w14:paraId="16C25C2E" w14:textId="77777777" w:rsidTr="00B8298D">
        <w:tc>
          <w:tcPr>
            <w:tcW w:w="900" w:type="dxa"/>
            <w:tcBorders>
              <w:top w:val="nil"/>
              <w:left w:val="single" w:sz="4" w:space="0" w:color="auto"/>
              <w:bottom w:val="single" w:sz="4" w:space="0" w:color="auto"/>
              <w:right w:val="single" w:sz="4" w:space="0" w:color="auto"/>
            </w:tcBorders>
            <w:shd w:val="clear" w:color="000000" w:fill="BFBFBF"/>
            <w:noWrap/>
            <w:vAlign w:val="bottom"/>
            <w:hideMark/>
          </w:tcPr>
          <w:p w14:paraId="7AF641B1" w14:textId="77777777" w:rsidR="00B8298D" w:rsidRPr="00F63255" w:rsidRDefault="00B8298D" w:rsidP="00B8298D">
            <w:pPr>
              <w:rPr>
                <w:rFonts w:ascii="Calibri" w:eastAsia="Times New Roman" w:hAnsi="Calibri" w:cs="Calibri"/>
                <w:color w:val="000000"/>
                <w:sz w:val="18"/>
                <w:szCs w:val="18"/>
              </w:rPr>
            </w:pPr>
            <w:r w:rsidRPr="00F63255">
              <w:rPr>
                <w:rFonts w:ascii="Calibri" w:eastAsia="Times New Roman" w:hAnsi="Calibri" w:cs="Calibri"/>
                <w:color w:val="000000"/>
                <w:sz w:val="18"/>
                <w:szCs w:val="18"/>
              </w:rPr>
              <w:t> </w:t>
            </w:r>
          </w:p>
        </w:tc>
        <w:tc>
          <w:tcPr>
            <w:tcW w:w="1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4431258" w14:textId="77777777" w:rsidR="00B8298D" w:rsidRPr="00FE082E" w:rsidRDefault="00B8298D" w:rsidP="00B8298D">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Section </w:t>
            </w:r>
            <w:r w:rsidRPr="00C63150">
              <w:rPr>
                <w:rFonts w:ascii="Arial Narrow" w:eastAsia="Times New Roman" w:hAnsi="Arial Narrow" w:cs="Calibri"/>
                <w:b/>
                <w:bCs/>
                <w:color w:val="000000"/>
                <w:sz w:val="18"/>
                <w:szCs w:val="18"/>
              </w:rPr>
              <w:t>8(a) SGD Changes to Numbers of Reporters/Chem</w:t>
            </w:r>
            <w:r w:rsidRPr="00F63255">
              <w:rPr>
                <w:rFonts w:ascii="Arial Narrow" w:eastAsia="Times New Roman" w:hAnsi="Arial Narrow" w:cs="Calibri"/>
                <w:b/>
                <w:bCs/>
                <w:color w:val="000000"/>
                <w:sz w:val="18"/>
                <w:szCs w:val="18"/>
              </w:rPr>
              <w:t>-</w:t>
            </w:r>
            <w:r w:rsidRPr="00C63150">
              <w:rPr>
                <w:rFonts w:ascii="Arial Narrow" w:eastAsia="Times New Roman" w:hAnsi="Arial Narrow" w:cs="Calibri"/>
                <w:b/>
                <w:bCs/>
                <w:color w:val="000000"/>
                <w:sz w:val="18"/>
                <w:szCs w:val="18"/>
              </w:rPr>
              <w:t>ical Reports - Government</w:t>
            </w:r>
          </w:p>
        </w:tc>
        <w:tc>
          <w:tcPr>
            <w:tcW w:w="1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C239B4D" w14:textId="77777777" w:rsidR="00B8298D" w:rsidRPr="00FE082E" w:rsidRDefault="00B8298D" w:rsidP="00B8298D">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Section </w:t>
            </w:r>
            <w:r w:rsidRPr="00F63255">
              <w:rPr>
                <w:rFonts w:ascii="Arial Narrow" w:eastAsia="Times New Roman" w:hAnsi="Arial Narrow" w:cs="Calibri"/>
                <w:b/>
                <w:bCs/>
                <w:color w:val="000000"/>
                <w:sz w:val="18"/>
                <w:szCs w:val="18"/>
              </w:rPr>
              <w:t>8(a) SMD Changes to Numbers of Reporters/Chem-</w:t>
            </w:r>
            <w:r w:rsidRPr="00C63150">
              <w:rPr>
                <w:rFonts w:ascii="Arial Narrow" w:eastAsia="Times New Roman" w:hAnsi="Arial Narrow" w:cs="Calibri"/>
                <w:b/>
                <w:bCs/>
                <w:color w:val="000000"/>
                <w:sz w:val="18"/>
                <w:szCs w:val="18"/>
              </w:rPr>
              <w:t xml:space="preserve">ical Reports - Industry </w:t>
            </w:r>
          </w:p>
        </w:tc>
        <w:tc>
          <w:tcPr>
            <w:tcW w:w="153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D09B0F0"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CDR Revisions Changes to Numbers of Reporters/Chem</w:t>
            </w:r>
            <w:r>
              <w:rPr>
                <w:rFonts w:ascii="Arial Narrow" w:eastAsia="Times New Roman" w:hAnsi="Arial Narrow" w:cs="Calibri"/>
                <w:b/>
                <w:bCs/>
                <w:color w:val="000000"/>
                <w:sz w:val="18"/>
                <w:szCs w:val="18"/>
              </w:rPr>
              <w:t>-</w:t>
            </w:r>
            <w:r w:rsidRPr="00F63255">
              <w:rPr>
                <w:rFonts w:ascii="Arial Narrow" w:eastAsia="Times New Roman" w:hAnsi="Arial Narrow" w:cs="Calibri"/>
                <w:b/>
                <w:bCs/>
                <w:color w:val="000000"/>
                <w:sz w:val="18"/>
                <w:szCs w:val="18"/>
              </w:rPr>
              <w:t>ical Reports, Byproduct Provisions</w:t>
            </w:r>
          </w:p>
        </w:tc>
        <w:tc>
          <w:tcPr>
            <w:tcW w:w="135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7D5CA78" w14:textId="77777777" w:rsidR="00B8298D" w:rsidRPr="00F63255" w:rsidRDefault="00B8298D" w:rsidP="00B8298D">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Section </w:t>
            </w:r>
            <w:r w:rsidRPr="00F63255">
              <w:rPr>
                <w:rFonts w:ascii="Arial Narrow" w:eastAsia="Times New Roman" w:hAnsi="Arial Narrow" w:cs="Calibri"/>
                <w:b/>
                <w:bCs/>
                <w:color w:val="000000"/>
                <w:sz w:val="18"/>
                <w:szCs w:val="18"/>
              </w:rPr>
              <w:t>8(a) SGD Government New Reporting Activities</w:t>
            </w:r>
          </w:p>
        </w:tc>
        <w:tc>
          <w:tcPr>
            <w:tcW w:w="1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FC52AFE" w14:textId="77777777" w:rsidR="00B8298D" w:rsidRPr="00F63255" w:rsidRDefault="00B8298D" w:rsidP="00B8298D">
            <w:pPr>
              <w:jc w:val="center"/>
              <w:rPr>
                <w:rFonts w:ascii="Arial Narrow" w:eastAsia="Times New Roman" w:hAnsi="Arial Narrow" w:cs="Calibri"/>
                <w:b/>
                <w:bCs/>
                <w:color w:val="000000"/>
                <w:sz w:val="18"/>
                <w:szCs w:val="18"/>
              </w:rPr>
            </w:pPr>
            <w:r>
              <w:rPr>
                <w:rFonts w:ascii="Arial Narrow" w:eastAsia="Times New Roman" w:hAnsi="Arial Narrow" w:cs="Calibri"/>
                <w:b/>
                <w:bCs/>
                <w:color w:val="000000"/>
                <w:sz w:val="18"/>
                <w:szCs w:val="18"/>
              </w:rPr>
              <w:t xml:space="preserve">Section </w:t>
            </w:r>
            <w:r w:rsidRPr="00F63255">
              <w:rPr>
                <w:rFonts w:ascii="Arial Narrow" w:eastAsia="Times New Roman" w:hAnsi="Arial Narrow" w:cs="Calibri"/>
                <w:b/>
                <w:bCs/>
                <w:color w:val="000000"/>
                <w:sz w:val="18"/>
                <w:szCs w:val="18"/>
              </w:rPr>
              <w:t>8(a) SMD Industry New Reporting Activities</w:t>
            </w:r>
          </w:p>
        </w:tc>
        <w:tc>
          <w:tcPr>
            <w:tcW w:w="1440"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A0F4476"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CDR Revisions New and Modified Reporting Activities</w:t>
            </w:r>
          </w:p>
        </w:tc>
      </w:tr>
      <w:tr w:rsidR="00B8298D" w:rsidRPr="000F453D" w14:paraId="204164BA" w14:textId="77777777" w:rsidTr="00B8298D">
        <w:tc>
          <w:tcPr>
            <w:tcW w:w="900"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957071C" w14:textId="77777777" w:rsidR="00B8298D" w:rsidRPr="00F63255" w:rsidRDefault="00B8298D" w:rsidP="00B8298D">
            <w:pPr>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 </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5AB89210" w14:textId="77777777" w:rsidR="00B8298D" w:rsidRPr="00C63150" w:rsidRDefault="00B8298D" w:rsidP="00B8298D">
            <w:pPr>
              <w:jc w:val="center"/>
              <w:rPr>
                <w:rFonts w:ascii="Arial Narrow" w:eastAsia="Times New Roman" w:hAnsi="Arial Narrow" w:cs="Calibri"/>
                <w:b/>
                <w:bCs/>
                <w:color w:val="000000"/>
                <w:sz w:val="18"/>
                <w:szCs w:val="18"/>
              </w:rPr>
            </w:pPr>
            <w:r w:rsidRPr="00C63150">
              <w:rPr>
                <w:rFonts w:ascii="Arial Narrow" w:eastAsia="Times New Roman" w:hAnsi="Arial Narrow" w:cs="Calibri"/>
                <w:b/>
                <w:bCs/>
                <w:color w:val="000000"/>
                <w:sz w:val="18"/>
                <w:szCs w:val="18"/>
              </w:rPr>
              <w:t>Before</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75C8684B" w14:textId="77777777" w:rsidR="00B8298D" w:rsidRPr="00F63255" w:rsidRDefault="00B8298D" w:rsidP="00B8298D">
            <w:pPr>
              <w:jc w:val="center"/>
              <w:rPr>
                <w:rFonts w:ascii="Arial Narrow" w:eastAsia="Times New Roman" w:hAnsi="Arial Narrow" w:cs="Calibri"/>
                <w:b/>
                <w:bCs/>
                <w:color w:val="000000"/>
                <w:sz w:val="18"/>
                <w:szCs w:val="18"/>
              </w:rPr>
            </w:pPr>
            <w:r w:rsidRPr="00FE082E">
              <w:rPr>
                <w:rFonts w:ascii="Arial Narrow" w:eastAsia="Times New Roman" w:hAnsi="Arial Narrow" w:cs="Calibri"/>
                <w:b/>
                <w:bCs/>
                <w:color w:val="000000"/>
                <w:sz w:val="18"/>
                <w:szCs w:val="18"/>
              </w:rPr>
              <w:t>After</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24560873"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Before</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138ED95B"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After</w:t>
            </w:r>
          </w:p>
        </w:tc>
        <w:tc>
          <w:tcPr>
            <w:tcW w:w="810" w:type="dxa"/>
            <w:tcBorders>
              <w:top w:val="nil"/>
              <w:left w:val="nil"/>
              <w:bottom w:val="single" w:sz="4" w:space="0" w:color="auto"/>
              <w:right w:val="single" w:sz="4" w:space="0" w:color="auto"/>
            </w:tcBorders>
            <w:shd w:val="clear" w:color="auto" w:fill="BFBFBF" w:themeFill="background1" w:themeFillShade="BF"/>
            <w:noWrap/>
            <w:vAlign w:val="center"/>
            <w:hideMark/>
          </w:tcPr>
          <w:p w14:paraId="6A3526A9"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Before</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141920DA"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After</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230DFD8D"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Before</w:t>
            </w:r>
          </w:p>
        </w:tc>
        <w:tc>
          <w:tcPr>
            <w:tcW w:w="630" w:type="dxa"/>
            <w:tcBorders>
              <w:top w:val="nil"/>
              <w:left w:val="nil"/>
              <w:bottom w:val="single" w:sz="4" w:space="0" w:color="auto"/>
              <w:right w:val="single" w:sz="4" w:space="0" w:color="auto"/>
            </w:tcBorders>
            <w:shd w:val="clear" w:color="auto" w:fill="BFBFBF" w:themeFill="background1" w:themeFillShade="BF"/>
            <w:noWrap/>
            <w:vAlign w:val="center"/>
            <w:hideMark/>
          </w:tcPr>
          <w:p w14:paraId="6AC4C018"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After</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190A4990"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Before</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3AB4E1EB"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After</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484BCE96"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Before</w:t>
            </w:r>
          </w:p>
        </w:tc>
        <w:tc>
          <w:tcPr>
            <w:tcW w:w="720" w:type="dxa"/>
            <w:tcBorders>
              <w:top w:val="nil"/>
              <w:left w:val="nil"/>
              <w:bottom w:val="single" w:sz="4" w:space="0" w:color="auto"/>
              <w:right w:val="single" w:sz="4" w:space="0" w:color="auto"/>
            </w:tcBorders>
            <w:shd w:val="clear" w:color="auto" w:fill="BFBFBF" w:themeFill="background1" w:themeFillShade="BF"/>
            <w:noWrap/>
            <w:vAlign w:val="center"/>
            <w:hideMark/>
          </w:tcPr>
          <w:p w14:paraId="1F411EA5" w14:textId="77777777" w:rsidR="00B8298D" w:rsidRPr="00F63255" w:rsidRDefault="00B8298D" w:rsidP="00B8298D">
            <w:pPr>
              <w:jc w:val="center"/>
              <w:rPr>
                <w:rFonts w:ascii="Arial Narrow" w:eastAsia="Times New Roman" w:hAnsi="Arial Narrow" w:cs="Calibri"/>
                <w:b/>
                <w:bCs/>
                <w:color w:val="000000"/>
                <w:sz w:val="18"/>
                <w:szCs w:val="18"/>
              </w:rPr>
            </w:pPr>
            <w:r w:rsidRPr="00F63255">
              <w:rPr>
                <w:rFonts w:ascii="Arial Narrow" w:eastAsia="Times New Roman" w:hAnsi="Arial Narrow" w:cs="Calibri"/>
                <w:b/>
                <w:bCs/>
                <w:color w:val="000000"/>
                <w:sz w:val="18"/>
                <w:szCs w:val="18"/>
              </w:rPr>
              <w:t>After</w:t>
            </w:r>
          </w:p>
        </w:tc>
      </w:tr>
      <w:tr w:rsidR="00B8298D" w:rsidRPr="000F453D" w14:paraId="3FDE6EC5" w14:textId="77777777" w:rsidTr="00B8298D">
        <w:tc>
          <w:tcPr>
            <w:tcW w:w="900" w:type="dxa"/>
            <w:tcBorders>
              <w:top w:val="nil"/>
              <w:left w:val="single" w:sz="4" w:space="0" w:color="auto"/>
              <w:bottom w:val="single" w:sz="4" w:space="0" w:color="auto"/>
              <w:right w:val="single" w:sz="4" w:space="0" w:color="auto"/>
            </w:tcBorders>
            <w:shd w:val="clear" w:color="auto" w:fill="auto"/>
            <w:vAlign w:val="center"/>
            <w:hideMark/>
          </w:tcPr>
          <w:p w14:paraId="07C203AC" w14:textId="77777777" w:rsidR="00B8298D" w:rsidRPr="00F63255" w:rsidRDefault="00B8298D" w:rsidP="00B8298D">
            <w:pPr>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Sites</w:t>
            </w:r>
          </w:p>
        </w:tc>
        <w:tc>
          <w:tcPr>
            <w:tcW w:w="720" w:type="dxa"/>
            <w:tcBorders>
              <w:top w:val="nil"/>
              <w:left w:val="nil"/>
              <w:bottom w:val="single" w:sz="4" w:space="0" w:color="auto"/>
              <w:right w:val="single" w:sz="4" w:space="0" w:color="auto"/>
            </w:tcBorders>
            <w:shd w:val="clear" w:color="auto" w:fill="auto"/>
            <w:noWrap/>
            <w:vAlign w:val="center"/>
            <w:hideMark/>
          </w:tcPr>
          <w:p w14:paraId="391397A1"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33</w:t>
            </w:r>
          </w:p>
        </w:tc>
        <w:tc>
          <w:tcPr>
            <w:tcW w:w="720" w:type="dxa"/>
            <w:tcBorders>
              <w:top w:val="nil"/>
              <w:left w:val="nil"/>
              <w:bottom w:val="single" w:sz="4" w:space="0" w:color="auto"/>
              <w:right w:val="single" w:sz="4" w:space="0" w:color="auto"/>
            </w:tcBorders>
            <w:shd w:val="clear" w:color="auto" w:fill="auto"/>
            <w:noWrap/>
            <w:vAlign w:val="center"/>
            <w:hideMark/>
          </w:tcPr>
          <w:p w14:paraId="3FACD388"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29</w:t>
            </w:r>
          </w:p>
        </w:tc>
        <w:tc>
          <w:tcPr>
            <w:tcW w:w="720" w:type="dxa"/>
            <w:tcBorders>
              <w:top w:val="nil"/>
              <w:left w:val="nil"/>
              <w:bottom w:val="single" w:sz="4" w:space="0" w:color="auto"/>
              <w:right w:val="single" w:sz="4" w:space="0" w:color="auto"/>
            </w:tcBorders>
            <w:shd w:val="clear" w:color="auto" w:fill="auto"/>
            <w:noWrap/>
            <w:vAlign w:val="center"/>
            <w:hideMark/>
          </w:tcPr>
          <w:p w14:paraId="643BCC4A"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5,627</w:t>
            </w:r>
          </w:p>
        </w:tc>
        <w:tc>
          <w:tcPr>
            <w:tcW w:w="720" w:type="dxa"/>
            <w:tcBorders>
              <w:top w:val="nil"/>
              <w:left w:val="nil"/>
              <w:bottom w:val="single" w:sz="4" w:space="0" w:color="auto"/>
              <w:right w:val="single" w:sz="4" w:space="0" w:color="auto"/>
            </w:tcBorders>
            <w:shd w:val="clear" w:color="auto" w:fill="auto"/>
            <w:noWrap/>
            <w:vAlign w:val="center"/>
            <w:hideMark/>
          </w:tcPr>
          <w:p w14:paraId="65192273"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5,534</w:t>
            </w:r>
          </w:p>
        </w:tc>
        <w:tc>
          <w:tcPr>
            <w:tcW w:w="810" w:type="dxa"/>
            <w:tcBorders>
              <w:top w:val="nil"/>
              <w:left w:val="nil"/>
              <w:bottom w:val="single" w:sz="4" w:space="0" w:color="auto"/>
              <w:right w:val="single" w:sz="4" w:space="0" w:color="auto"/>
            </w:tcBorders>
            <w:shd w:val="clear" w:color="auto" w:fill="auto"/>
            <w:noWrap/>
            <w:vAlign w:val="center"/>
            <w:hideMark/>
          </w:tcPr>
          <w:p w14:paraId="104B8161"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5,534</w:t>
            </w:r>
          </w:p>
        </w:tc>
        <w:tc>
          <w:tcPr>
            <w:tcW w:w="720" w:type="dxa"/>
            <w:tcBorders>
              <w:top w:val="nil"/>
              <w:left w:val="nil"/>
              <w:bottom w:val="single" w:sz="4" w:space="0" w:color="auto"/>
              <w:right w:val="single" w:sz="4" w:space="0" w:color="auto"/>
            </w:tcBorders>
            <w:shd w:val="clear" w:color="auto" w:fill="auto"/>
            <w:noWrap/>
            <w:vAlign w:val="center"/>
            <w:hideMark/>
          </w:tcPr>
          <w:p w14:paraId="3BAF136C"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5,464</w:t>
            </w:r>
          </w:p>
        </w:tc>
        <w:tc>
          <w:tcPr>
            <w:tcW w:w="720" w:type="dxa"/>
            <w:tcBorders>
              <w:top w:val="nil"/>
              <w:left w:val="nil"/>
              <w:bottom w:val="single" w:sz="4" w:space="0" w:color="auto"/>
              <w:right w:val="single" w:sz="4" w:space="0" w:color="auto"/>
            </w:tcBorders>
            <w:shd w:val="clear" w:color="auto" w:fill="auto"/>
            <w:noWrap/>
            <w:vAlign w:val="center"/>
            <w:hideMark/>
          </w:tcPr>
          <w:p w14:paraId="4688DE04"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29</w:t>
            </w:r>
          </w:p>
        </w:tc>
        <w:tc>
          <w:tcPr>
            <w:tcW w:w="630" w:type="dxa"/>
            <w:tcBorders>
              <w:top w:val="nil"/>
              <w:left w:val="nil"/>
              <w:bottom w:val="single" w:sz="4" w:space="0" w:color="auto"/>
              <w:right w:val="single" w:sz="4" w:space="0" w:color="auto"/>
            </w:tcBorders>
            <w:shd w:val="clear" w:color="auto" w:fill="auto"/>
            <w:noWrap/>
            <w:vAlign w:val="center"/>
            <w:hideMark/>
          </w:tcPr>
          <w:p w14:paraId="0BBA19BF"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29</w:t>
            </w:r>
          </w:p>
        </w:tc>
        <w:tc>
          <w:tcPr>
            <w:tcW w:w="720" w:type="dxa"/>
            <w:tcBorders>
              <w:top w:val="nil"/>
              <w:left w:val="nil"/>
              <w:bottom w:val="single" w:sz="4" w:space="0" w:color="auto"/>
              <w:right w:val="single" w:sz="4" w:space="0" w:color="auto"/>
            </w:tcBorders>
            <w:shd w:val="clear" w:color="auto" w:fill="auto"/>
            <w:noWrap/>
            <w:vAlign w:val="center"/>
            <w:hideMark/>
          </w:tcPr>
          <w:p w14:paraId="7D7A6323"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5,464</w:t>
            </w:r>
          </w:p>
        </w:tc>
        <w:tc>
          <w:tcPr>
            <w:tcW w:w="720" w:type="dxa"/>
            <w:tcBorders>
              <w:top w:val="nil"/>
              <w:left w:val="nil"/>
              <w:bottom w:val="single" w:sz="4" w:space="0" w:color="auto"/>
              <w:right w:val="single" w:sz="4" w:space="0" w:color="auto"/>
            </w:tcBorders>
            <w:shd w:val="clear" w:color="auto" w:fill="auto"/>
            <w:noWrap/>
            <w:vAlign w:val="center"/>
            <w:hideMark/>
          </w:tcPr>
          <w:p w14:paraId="5B3A431A"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5,464</w:t>
            </w:r>
          </w:p>
        </w:tc>
        <w:tc>
          <w:tcPr>
            <w:tcW w:w="720" w:type="dxa"/>
            <w:tcBorders>
              <w:top w:val="nil"/>
              <w:left w:val="nil"/>
              <w:bottom w:val="single" w:sz="4" w:space="0" w:color="auto"/>
              <w:right w:val="single" w:sz="4" w:space="0" w:color="auto"/>
            </w:tcBorders>
            <w:shd w:val="clear" w:color="auto" w:fill="auto"/>
            <w:noWrap/>
            <w:vAlign w:val="center"/>
            <w:hideMark/>
          </w:tcPr>
          <w:p w14:paraId="652D335B"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5,493</w:t>
            </w:r>
          </w:p>
        </w:tc>
        <w:tc>
          <w:tcPr>
            <w:tcW w:w="720" w:type="dxa"/>
            <w:tcBorders>
              <w:top w:val="nil"/>
              <w:left w:val="nil"/>
              <w:bottom w:val="single" w:sz="4" w:space="0" w:color="auto"/>
              <w:right w:val="single" w:sz="4" w:space="0" w:color="auto"/>
            </w:tcBorders>
            <w:shd w:val="clear" w:color="auto" w:fill="auto"/>
            <w:noWrap/>
            <w:vAlign w:val="center"/>
            <w:hideMark/>
          </w:tcPr>
          <w:p w14:paraId="12180E04"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5,493</w:t>
            </w:r>
          </w:p>
        </w:tc>
      </w:tr>
      <w:tr w:rsidR="00B8298D" w:rsidRPr="000F453D" w14:paraId="6C22232D" w14:textId="77777777" w:rsidTr="00B8298D">
        <w:tc>
          <w:tcPr>
            <w:tcW w:w="900" w:type="dxa"/>
            <w:tcBorders>
              <w:top w:val="nil"/>
              <w:left w:val="single" w:sz="4" w:space="0" w:color="auto"/>
              <w:bottom w:val="single" w:sz="4" w:space="0" w:color="auto"/>
              <w:right w:val="single" w:sz="4" w:space="0" w:color="auto"/>
            </w:tcBorders>
            <w:shd w:val="clear" w:color="auto" w:fill="auto"/>
            <w:vAlign w:val="center"/>
            <w:hideMark/>
          </w:tcPr>
          <w:p w14:paraId="534C41B3" w14:textId="77777777" w:rsidR="00B8298D" w:rsidRPr="00F63255" w:rsidRDefault="00B8298D" w:rsidP="00B8298D">
            <w:pPr>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Chemical Reports</w:t>
            </w:r>
          </w:p>
        </w:tc>
        <w:tc>
          <w:tcPr>
            <w:tcW w:w="720" w:type="dxa"/>
            <w:tcBorders>
              <w:top w:val="nil"/>
              <w:left w:val="nil"/>
              <w:bottom w:val="single" w:sz="4" w:space="0" w:color="auto"/>
              <w:right w:val="single" w:sz="4" w:space="0" w:color="auto"/>
            </w:tcBorders>
            <w:shd w:val="clear" w:color="auto" w:fill="auto"/>
            <w:noWrap/>
            <w:vAlign w:val="center"/>
            <w:hideMark/>
          </w:tcPr>
          <w:p w14:paraId="2F814A78"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375</w:t>
            </w:r>
          </w:p>
        </w:tc>
        <w:tc>
          <w:tcPr>
            <w:tcW w:w="720" w:type="dxa"/>
            <w:tcBorders>
              <w:top w:val="nil"/>
              <w:left w:val="nil"/>
              <w:bottom w:val="single" w:sz="4" w:space="0" w:color="auto"/>
              <w:right w:val="single" w:sz="4" w:space="0" w:color="auto"/>
            </w:tcBorders>
            <w:shd w:val="clear" w:color="auto" w:fill="auto"/>
            <w:noWrap/>
            <w:vAlign w:val="center"/>
            <w:hideMark/>
          </w:tcPr>
          <w:p w14:paraId="0E129A4A"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369</w:t>
            </w:r>
          </w:p>
        </w:tc>
        <w:tc>
          <w:tcPr>
            <w:tcW w:w="720" w:type="dxa"/>
            <w:tcBorders>
              <w:top w:val="nil"/>
              <w:left w:val="nil"/>
              <w:bottom w:val="single" w:sz="4" w:space="0" w:color="auto"/>
              <w:right w:val="single" w:sz="4" w:space="0" w:color="auto"/>
            </w:tcBorders>
            <w:shd w:val="clear" w:color="auto" w:fill="auto"/>
            <w:noWrap/>
            <w:vAlign w:val="center"/>
            <w:hideMark/>
          </w:tcPr>
          <w:p w14:paraId="7AB5C14D"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42,089</w:t>
            </w:r>
          </w:p>
        </w:tc>
        <w:tc>
          <w:tcPr>
            <w:tcW w:w="720" w:type="dxa"/>
            <w:tcBorders>
              <w:top w:val="nil"/>
              <w:left w:val="nil"/>
              <w:bottom w:val="single" w:sz="4" w:space="0" w:color="auto"/>
              <w:right w:val="single" w:sz="4" w:space="0" w:color="auto"/>
            </w:tcBorders>
            <w:shd w:val="clear" w:color="auto" w:fill="auto"/>
            <w:noWrap/>
            <w:vAlign w:val="center"/>
            <w:hideMark/>
          </w:tcPr>
          <w:p w14:paraId="29C59E8F"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41,201</w:t>
            </w:r>
          </w:p>
        </w:tc>
        <w:tc>
          <w:tcPr>
            <w:tcW w:w="810" w:type="dxa"/>
            <w:tcBorders>
              <w:top w:val="nil"/>
              <w:left w:val="nil"/>
              <w:bottom w:val="single" w:sz="4" w:space="0" w:color="auto"/>
              <w:right w:val="single" w:sz="4" w:space="0" w:color="auto"/>
            </w:tcBorders>
            <w:shd w:val="clear" w:color="auto" w:fill="auto"/>
            <w:noWrap/>
            <w:vAlign w:val="center"/>
            <w:hideMark/>
          </w:tcPr>
          <w:p w14:paraId="1D60A9E5"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41,201</w:t>
            </w:r>
          </w:p>
        </w:tc>
        <w:tc>
          <w:tcPr>
            <w:tcW w:w="720" w:type="dxa"/>
            <w:tcBorders>
              <w:top w:val="nil"/>
              <w:left w:val="nil"/>
              <w:bottom w:val="single" w:sz="4" w:space="0" w:color="auto"/>
              <w:right w:val="single" w:sz="4" w:space="0" w:color="auto"/>
            </w:tcBorders>
            <w:shd w:val="clear" w:color="auto" w:fill="auto"/>
            <w:noWrap/>
            <w:vAlign w:val="center"/>
            <w:hideMark/>
          </w:tcPr>
          <w:p w14:paraId="206276C8"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40,</w:t>
            </w:r>
            <w:r>
              <w:rPr>
                <w:rFonts w:ascii="Arial Narrow" w:eastAsia="Times New Roman" w:hAnsi="Arial Narrow" w:cs="Calibri"/>
                <w:color w:val="000000"/>
                <w:sz w:val="18"/>
                <w:szCs w:val="18"/>
              </w:rPr>
              <w:t>034</w:t>
            </w:r>
          </w:p>
        </w:tc>
        <w:tc>
          <w:tcPr>
            <w:tcW w:w="720" w:type="dxa"/>
            <w:tcBorders>
              <w:top w:val="nil"/>
              <w:left w:val="nil"/>
              <w:bottom w:val="single" w:sz="4" w:space="0" w:color="auto"/>
              <w:right w:val="single" w:sz="4" w:space="0" w:color="auto"/>
            </w:tcBorders>
            <w:shd w:val="clear" w:color="auto" w:fill="auto"/>
            <w:noWrap/>
            <w:vAlign w:val="center"/>
            <w:hideMark/>
          </w:tcPr>
          <w:p w14:paraId="7C73A028"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369</w:t>
            </w:r>
          </w:p>
        </w:tc>
        <w:tc>
          <w:tcPr>
            <w:tcW w:w="630" w:type="dxa"/>
            <w:tcBorders>
              <w:top w:val="nil"/>
              <w:left w:val="nil"/>
              <w:bottom w:val="single" w:sz="4" w:space="0" w:color="auto"/>
              <w:right w:val="single" w:sz="4" w:space="0" w:color="auto"/>
            </w:tcBorders>
            <w:shd w:val="clear" w:color="auto" w:fill="auto"/>
            <w:noWrap/>
            <w:vAlign w:val="center"/>
            <w:hideMark/>
          </w:tcPr>
          <w:p w14:paraId="7AD42600"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369</w:t>
            </w:r>
          </w:p>
        </w:tc>
        <w:tc>
          <w:tcPr>
            <w:tcW w:w="720" w:type="dxa"/>
            <w:tcBorders>
              <w:top w:val="nil"/>
              <w:left w:val="nil"/>
              <w:bottom w:val="single" w:sz="4" w:space="0" w:color="auto"/>
              <w:right w:val="single" w:sz="4" w:space="0" w:color="auto"/>
            </w:tcBorders>
            <w:shd w:val="clear" w:color="auto" w:fill="auto"/>
            <w:noWrap/>
            <w:vAlign w:val="center"/>
            <w:hideMark/>
          </w:tcPr>
          <w:p w14:paraId="37C2B76D"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40,</w:t>
            </w:r>
            <w:r>
              <w:rPr>
                <w:rFonts w:ascii="Arial Narrow" w:eastAsia="Times New Roman" w:hAnsi="Arial Narrow" w:cs="Calibri"/>
                <w:color w:val="000000"/>
                <w:sz w:val="18"/>
                <w:szCs w:val="18"/>
              </w:rPr>
              <w:t>034</w:t>
            </w:r>
          </w:p>
        </w:tc>
        <w:tc>
          <w:tcPr>
            <w:tcW w:w="720" w:type="dxa"/>
            <w:tcBorders>
              <w:top w:val="nil"/>
              <w:left w:val="nil"/>
              <w:bottom w:val="single" w:sz="4" w:space="0" w:color="auto"/>
              <w:right w:val="single" w:sz="4" w:space="0" w:color="auto"/>
            </w:tcBorders>
            <w:shd w:val="clear" w:color="auto" w:fill="auto"/>
            <w:noWrap/>
            <w:vAlign w:val="center"/>
            <w:hideMark/>
          </w:tcPr>
          <w:p w14:paraId="440399F4"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40,</w:t>
            </w:r>
            <w:r>
              <w:rPr>
                <w:rFonts w:ascii="Arial Narrow" w:eastAsia="Times New Roman" w:hAnsi="Arial Narrow" w:cs="Calibri"/>
                <w:color w:val="000000"/>
                <w:sz w:val="18"/>
                <w:szCs w:val="18"/>
              </w:rPr>
              <w:t>034</w:t>
            </w:r>
          </w:p>
        </w:tc>
        <w:tc>
          <w:tcPr>
            <w:tcW w:w="720" w:type="dxa"/>
            <w:tcBorders>
              <w:top w:val="nil"/>
              <w:left w:val="nil"/>
              <w:bottom w:val="single" w:sz="4" w:space="0" w:color="auto"/>
              <w:right w:val="single" w:sz="4" w:space="0" w:color="auto"/>
            </w:tcBorders>
            <w:shd w:val="clear" w:color="auto" w:fill="auto"/>
            <w:noWrap/>
            <w:vAlign w:val="center"/>
            <w:hideMark/>
          </w:tcPr>
          <w:p w14:paraId="5935F8CF"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40,</w:t>
            </w:r>
            <w:r>
              <w:rPr>
                <w:rFonts w:ascii="Arial Narrow" w:eastAsia="Times New Roman" w:hAnsi="Arial Narrow" w:cs="Calibri"/>
                <w:color w:val="000000"/>
                <w:sz w:val="18"/>
                <w:szCs w:val="18"/>
              </w:rPr>
              <w:t>403</w:t>
            </w:r>
          </w:p>
        </w:tc>
        <w:tc>
          <w:tcPr>
            <w:tcW w:w="720" w:type="dxa"/>
            <w:tcBorders>
              <w:top w:val="nil"/>
              <w:left w:val="nil"/>
              <w:bottom w:val="single" w:sz="4" w:space="0" w:color="auto"/>
              <w:right w:val="single" w:sz="4" w:space="0" w:color="auto"/>
            </w:tcBorders>
            <w:shd w:val="clear" w:color="auto" w:fill="auto"/>
            <w:noWrap/>
            <w:vAlign w:val="center"/>
            <w:hideMark/>
          </w:tcPr>
          <w:p w14:paraId="06970EDF" w14:textId="77777777" w:rsidR="00B8298D" w:rsidRPr="00F63255" w:rsidRDefault="00B8298D" w:rsidP="00B8298D">
            <w:pPr>
              <w:jc w:val="right"/>
              <w:rPr>
                <w:rFonts w:ascii="Arial Narrow" w:eastAsia="Times New Roman" w:hAnsi="Arial Narrow" w:cs="Calibri"/>
                <w:color w:val="000000"/>
                <w:sz w:val="18"/>
                <w:szCs w:val="18"/>
              </w:rPr>
            </w:pPr>
            <w:r w:rsidRPr="00F63255">
              <w:rPr>
                <w:rFonts w:ascii="Arial Narrow" w:eastAsia="Times New Roman" w:hAnsi="Arial Narrow" w:cs="Calibri"/>
                <w:color w:val="000000"/>
                <w:sz w:val="18"/>
                <w:szCs w:val="18"/>
              </w:rPr>
              <w:t>40,</w:t>
            </w:r>
            <w:r>
              <w:rPr>
                <w:rFonts w:ascii="Arial Narrow" w:eastAsia="Times New Roman" w:hAnsi="Arial Narrow" w:cs="Calibri"/>
                <w:color w:val="000000"/>
                <w:sz w:val="18"/>
                <w:szCs w:val="18"/>
              </w:rPr>
              <w:t>403</w:t>
            </w:r>
          </w:p>
        </w:tc>
      </w:tr>
    </w:tbl>
    <w:p w14:paraId="7BE47DED" w14:textId="77777777" w:rsidR="00331D53" w:rsidRDefault="00331D53" w:rsidP="00B8298D">
      <w:pPr>
        <w:pStyle w:val="BodyText"/>
      </w:pPr>
    </w:p>
    <w:p w14:paraId="16297F5A" w14:textId="1B238363" w:rsidR="00B8298D" w:rsidRDefault="00B8298D" w:rsidP="00B8298D">
      <w:pPr>
        <w:pStyle w:val="BodyText"/>
      </w:pPr>
      <w:r>
        <w:rPr>
          <w:rFonts w:eastAsiaTheme="minorHAnsi" w:cstheme="minorBidi"/>
        </w:rPr>
        <w:fldChar w:fldCharType="begin"/>
      </w:r>
      <w:r>
        <w:instrText xml:space="preserve"> REF _Ref524368011 \h  \* MERGEFORMAT </w:instrText>
      </w:r>
      <w:r>
        <w:rPr>
          <w:rFonts w:eastAsiaTheme="minorHAnsi" w:cstheme="minorBidi"/>
        </w:rPr>
      </w:r>
      <w:r>
        <w:rPr>
          <w:rFonts w:eastAsiaTheme="minorHAnsi" w:cstheme="minorBidi"/>
        </w:rPr>
        <w:fldChar w:fldCharType="separate"/>
      </w:r>
      <w:r w:rsidR="00331D53">
        <w:t xml:space="preserve">Table </w:t>
      </w:r>
      <w:r w:rsidR="00331D53">
        <w:rPr>
          <w:noProof/>
        </w:rPr>
        <w:t>18</w:t>
      </w:r>
      <w:r>
        <w:fldChar w:fldCharType="end"/>
      </w:r>
      <w:r>
        <w:t xml:space="preserve"> calculates total burden and cost under each option using the same approach as in </w:t>
      </w:r>
      <w:r>
        <w:fldChar w:fldCharType="begin"/>
      </w:r>
      <w:r>
        <w:instrText xml:space="preserve"> REF _Ref526353789 \h </w:instrText>
      </w:r>
      <w:r>
        <w:fldChar w:fldCharType="separate"/>
      </w:r>
      <w:r w:rsidR="00745E52">
        <w:t xml:space="preserve">Table </w:t>
      </w:r>
      <w:r w:rsidR="00745E52">
        <w:rPr>
          <w:noProof/>
        </w:rPr>
        <w:t>13</w:t>
      </w:r>
      <w:r>
        <w:fldChar w:fldCharType="end"/>
      </w:r>
      <w:r>
        <w:t xml:space="preserve">; however, unit burdens are multiplied by the post-exemption count of sites instead of the baseline count of sites. These total burden values closely resemble the results in </w:t>
      </w:r>
      <w:r>
        <w:fldChar w:fldCharType="begin"/>
      </w:r>
      <w:r>
        <w:instrText xml:space="preserve"> REF _Ref526353905 \h </w:instrText>
      </w:r>
      <w:r>
        <w:fldChar w:fldCharType="separate"/>
      </w:r>
      <w:r w:rsidR="00745E52">
        <w:t xml:space="preserve">Table </w:t>
      </w:r>
      <w:r w:rsidR="00745E52">
        <w:rPr>
          <w:noProof/>
        </w:rPr>
        <w:t>16</w:t>
      </w:r>
      <w:r>
        <w:fldChar w:fldCharType="end"/>
      </w:r>
      <w:r>
        <w:t>, with slight differences due to rounding.</w:t>
      </w:r>
    </w:p>
    <w:tbl>
      <w:tblPr>
        <w:tblW w:w="9360" w:type="dxa"/>
        <w:jc w:val="center"/>
        <w:tblLayout w:type="fixed"/>
        <w:tblCellMar>
          <w:left w:w="115" w:type="dxa"/>
          <w:right w:w="115" w:type="dxa"/>
        </w:tblCellMar>
        <w:tblLook w:val="04A0" w:firstRow="1" w:lastRow="0" w:firstColumn="1" w:lastColumn="0" w:noHBand="0" w:noVBand="1"/>
      </w:tblPr>
      <w:tblGrid>
        <w:gridCol w:w="270"/>
        <w:gridCol w:w="2970"/>
        <w:gridCol w:w="900"/>
        <w:gridCol w:w="990"/>
        <w:gridCol w:w="930"/>
        <w:gridCol w:w="1155"/>
        <w:gridCol w:w="1065"/>
        <w:gridCol w:w="1080"/>
      </w:tblGrid>
      <w:tr w:rsidR="00B8298D" w:rsidRPr="007D2C2B" w14:paraId="1ED4B36F" w14:textId="77777777" w:rsidTr="00827598">
        <w:trPr>
          <w:tblHeader/>
          <w:jc w:val="center"/>
        </w:trPr>
        <w:tc>
          <w:tcPr>
            <w:tcW w:w="9360" w:type="dxa"/>
            <w:gridSpan w:val="8"/>
            <w:tcBorders>
              <w:top w:val="nil"/>
              <w:left w:val="nil"/>
              <w:bottom w:val="single" w:sz="4" w:space="0" w:color="auto"/>
              <w:right w:val="nil"/>
            </w:tcBorders>
            <w:shd w:val="clear" w:color="auto" w:fill="auto"/>
            <w:vAlign w:val="bottom"/>
            <w:hideMark/>
          </w:tcPr>
          <w:p w14:paraId="24A66746" w14:textId="0E537BFB" w:rsidR="00B8298D" w:rsidRPr="007D2C2B" w:rsidRDefault="00B8298D" w:rsidP="00B8298D">
            <w:pPr>
              <w:pStyle w:val="Caption"/>
              <w:keepNext/>
              <w:rPr>
                <w:rFonts w:eastAsia="Times New Roman" w:cs="Times New Roman"/>
                <w:color w:val="000000"/>
              </w:rPr>
            </w:pPr>
            <w:bookmarkStart w:id="133" w:name="_Ref524368011"/>
            <w:bookmarkStart w:id="134" w:name="_Ref526354142"/>
            <w:r>
              <w:t xml:space="preserve">Table </w:t>
            </w:r>
            <w:r>
              <w:rPr>
                <w:noProof/>
              </w:rPr>
              <w:fldChar w:fldCharType="begin"/>
            </w:r>
            <w:r>
              <w:rPr>
                <w:noProof/>
              </w:rPr>
              <w:instrText xml:space="preserve"> SEQ Table \* ARABIC </w:instrText>
            </w:r>
            <w:r>
              <w:rPr>
                <w:noProof/>
              </w:rPr>
              <w:fldChar w:fldCharType="separate"/>
            </w:r>
            <w:r w:rsidR="00745E52">
              <w:rPr>
                <w:noProof/>
              </w:rPr>
              <w:t>18</w:t>
            </w:r>
            <w:r>
              <w:rPr>
                <w:noProof/>
              </w:rPr>
              <w:fldChar w:fldCharType="end"/>
            </w:r>
            <w:bookmarkEnd w:id="133"/>
            <w:bookmarkEnd w:id="134"/>
            <w:r w:rsidRPr="007D2C2B">
              <w:rPr>
                <w:rFonts w:eastAsia="Times New Roman" w:cs="Times New Roman"/>
                <w:color w:val="000000"/>
              </w:rPr>
              <w:t xml:space="preserve">: CDR Revisions and </w:t>
            </w:r>
            <w:r>
              <w:rPr>
                <w:rFonts w:eastAsia="Times New Roman" w:cs="Times New Roman"/>
                <w:color w:val="000000"/>
              </w:rPr>
              <w:t xml:space="preserve">TSCA Section </w:t>
            </w:r>
            <w:r w:rsidRPr="007D2C2B">
              <w:rPr>
                <w:rFonts w:eastAsia="Times New Roman" w:cs="Times New Roman"/>
                <w:color w:val="000000"/>
              </w:rPr>
              <w:t>8(a) SMD Update Reporting Burden and Cost for Four</w:t>
            </w:r>
            <w:r>
              <w:rPr>
                <w:rFonts w:eastAsia="Times New Roman" w:cs="Times New Roman"/>
                <w:color w:val="000000"/>
              </w:rPr>
              <w:t>-</w:t>
            </w:r>
            <w:r w:rsidRPr="007D2C2B">
              <w:rPr>
                <w:rFonts w:eastAsia="Times New Roman" w:cs="Times New Roman"/>
                <w:color w:val="000000"/>
              </w:rPr>
              <w:t>Year</w:t>
            </w:r>
            <w:r>
              <w:rPr>
                <w:rFonts w:eastAsia="Times New Roman" w:cs="Times New Roman"/>
                <w:color w:val="000000"/>
              </w:rPr>
              <w:t xml:space="preserve"> </w:t>
            </w:r>
            <w:r w:rsidRPr="007D2C2B">
              <w:rPr>
                <w:rFonts w:eastAsia="Times New Roman" w:cs="Times New Roman"/>
                <w:color w:val="000000"/>
              </w:rPr>
              <w:t>Reporting Cycle</w:t>
            </w:r>
            <w:r>
              <w:rPr>
                <w:rFonts w:eastAsia="Times New Roman" w:cs="Times New Roman"/>
                <w:color w:val="000000"/>
              </w:rPr>
              <w:t>, Calculation in Sequence</w:t>
            </w:r>
          </w:p>
        </w:tc>
      </w:tr>
      <w:tr w:rsidR="00B8298D" w:rsidRPr="007D2C2B" w14:paraId="37CCBB7C" w14:textId="77777777" w:rsidTr="00C9573B">
        <w:trPr>
          <w:tblHeader/>
          <w:jc w:val="center"/>
        </w:trPr>
        <w:tc>
          <w:tcPr>
            <w:tcW w:w="3240"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0F47C58" w14:textId="77777777" w:rsidR="00B8298D" w:rsidRPr="006B5FC6" w:rsidRDefault="00B8298D" w:rsidP="00B8298D">
            <w:pPr>
              <w:jc w:val="center"/>
              <w:rPr>
                <w:rFonts w:ascii="Arial Narrow" w:eastAsia="Times New Roman" w:hAnsi="Arial Narrow" w:cs="Calibri"/>
                <w:b/>
                <w:color w:val="000000"/>
                <w:sz w:val="18"/>
                <w:szCs w:val="18"/>
              </w:rPr>
            </w:pPr>
          </w:p>
        </w:tc>
        <w:tc>
          <w:tcPr>
            <w:tcW w:w="90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E531FB3" w14:textId="77777777" w:rsidR="00B8298D" w:rsidRPr="006B5FC6" w:rsidRDefault="00B8298D" w:rsidP="00B8298D">
            <w:pPr>
              <w:jc w:val="center"/>
              <w:rPr>
                <w:rFonts w:ascii="Arial Narrow" w:eastAsia="Times New Roman" w:hAnsi="Arial Narrow" w:cs="Calibri"/>
                <w:b/>
                <w:color w:val="000000"/>
                <w:sz w:val="18"/>
                <w:szCs w:val="18"/>
              </w:rPr>
            </w:pPr>
            <w:r w:rsidRPr="006B5FC6">
              <w:rPr>
                <w:rFonts w:ascii="Arial Narrow" w:eastAsia="Times New Roman" w:hAnsi="Arial Narrow" w:cs="Calibri"/>
                <w:b/>
                <w:color w:val="000000"/>
                <w:sz w:val="18"/>
                <w:szCs w:val="18"/>
              </w:rPr>
              <w:t>Baseline Number of Sites</w:t>
            </w:r>
          </w:p>
        </w:tc>
        <w:tc>
          <w:tcPr>
            <w:tcW w:w="990"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5F3E6CC" w14:textId="3C7439EB" w:rsidR="00B8298D" w:rsidRPr="006B5FC6" w:rsidRDefault="00B8298D" w:rsidP="00B8298D">
            <w:pPr>
              <w:jc w:val="center"/>
              <w:rPr>
                <w:rFonts w:ascii="Arial Narrow" w:eastAsia="Times New Roman" w:hAnsi="Arial Narrow" w:cs="Calibri"/>
                <w:b/>
                <w:color w:val="000000"/>
                <w:sz w:val="18"/>
                <w:szCs w:val="18"/>
              </w:rPr>
            </w:pPr>
            <w:r w:rsidRPr="006B5FC6">
              <w:rPr>
                <w:rFonts w:ascii="Arial Narrow" w:eastAsia="Times New Roman" w:hAnsi="Arial Narrow" w:cs="Calibri"/>
                <w:b/>
                <w:color w:val="000000"/>
                <w:sz w:val="18"/>
                <w:szCs w:val="18"/>
              </w:rPr>
              <w:t xml:space="preserve"> Number of Sites</w:t>
            </w:r>
            <w:r w:rsidR="00331D53">
              <w:rPr>
                <w:rFonts w:ascii="Arial Narrow" w:eastAsia="Times New Roman" w:hAnsi="Arial Narrow" w:cs="Calibri"/>
                <w:b/>
                <w:color w:val="000000"/>
                <w:sz w:val="18"/>
                <w:szCs w:val="18"/>
              </w:rPr>
              <w:t xml:space="preserve"> under Proposed Rule Option</w:t>
            </w:r>
          </w:p>
        </w:tc>
        <w:tc>
          <w:tcPr>
            <w:tcW w:w="4230" w:type="dxa"/>
            <w:gridSpan w:val="4"/>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8EA18F8" w14:textId="2847AAC0" w:rsidR="00B8298D" w:rsidRPr="006B5FC6" w:rsidRDefault="00331D53" w:rsidP="00B8298D">
            <w:pPr>
              <w:jc w:val="center"/>
              <w:rPr>
                <w:rFonts w:ascii="Arial Narrow" w:eastAsia="Times New Roman" w:hAnsi="Arial Narrow" w:cs="Calibri"/>
                <w:b/>
                <w:color w:val="000000"/>
                <w:sz w:val="18"/>
                <w:szCs w:val="18"/>
              </w:rPr>
            </w:pPr>
            <w:r w:rsidRPr="00A21CA1">
              <w:rPr>
                <w:rFonts w:ascii="Arial Narrow" w:eastAsia="Times New Roman" w:hAnsi="Arial Narrow" w:cs="Calibri"/>
                <w:b/>
                <w:color w:val="000000" w:themeColor="text1"/>
                <w:sz w:val="18"/>
                <w:szCs w:val="18"/>
              </w:rPr>
              <w:t>Future</w:t>
            </w:r>
            <w:r w:rsidR="00B8298D" w:rsidRPr="006B5FC6">
              <w:rPr>
                <w:rFonts w:ascii="Arial Narrow" w:eastAsia="Times New Roman" w:hAnsi="Arial Narrow" w:cs="Calibri"/>
                <w:b/>
                <w:color w:val="000000"/>
                <w:sz w:val="18"/>
                <w:szCs w:val="18"/>
              </w:rPr>
              <w:t xml:space="preserve"> Cycle</w:t>
            </w:r>
            <w:r w:rsidR="003E55FD">
              <w:rPr>
                <w:rFonts w:ascii="Arial Narrow" w:eastAsia="Times New Roman" w:hAnsi="Arial Narrow" w:cs="Calibri"/>
                <w:b/>
                <w:color w:val="000000"/>
                <w:sz w:val="18"/>
                <w:szCs w:val="18"/>
              </w:rPr>
              <w:t>s</w:t>
            </w:r>
          </w:p>
        </w:tc>
      </w:tr>
      <w:tr w:rsidR="00B8298D" w:rsidRPr="007D2C2B" w14:paraId="630A3585" w14:textId="77777777" w:rsidTr="00C9573B">
        <w:trPr>
          <w:tblHeader/>
          <w:jc w:val="center"/>
        </w:trPr>
        <w:tc>
          <w:tcPr>
            <w:tcW w:w="3240" w:type="dxa"/>
            <w:gridSpan w:val="2"/>
            <w:vMerge/>
            <w:tcBorders>
              <w:top w:val="single" w:sz="4" w:space="0" w:color="auto"/>
              <w:left w:val="single" w:sz="4" w:space="0" w:color="auto"/>
              <w:bottom w:val="single" w:sz="4" w:space="0" w:color="auto"/>
              <w:right w:val="single" w:sz="4" w:space="0" w:color="auto"/>
            </w:tcBorders>
            <w:vAlign w:val="bottom"/>
            <w:hideMark/>
          </w:tcPr>
          <w:p w14:paraId="44415246" w14:textId="77777777" w:rsidR="00B8298D" w:rsidRPr="006B5FC6" w:rsidRDefault="00B8298D" w:rsidP="00B8298D">
            <w:pPr>
              <w:jc w:val="center"/>
              <w:rPr>
                <w:rFonts w:ascii="Arial Narrow" w:eastAsia="Times New Roman" w:hAnsi="Arial Narrow" w:cs="Calibri"/>
                <w:b/>
                <w:color w:val="000000"/>
                <w:sz w:val="18"/>
                <w:szCs w:val="18"/>
              </w:rPr>
            </w:pPr>
          </w:p>
        </w:tc>
        <w:tc>
          <w:tcPr>
            <w:tcW w:w="900" w:type="dxa"/>
            <w:vMerge/>
            <w:tcBorders>
              <w:top w:val="single" w:sz="4" w:space="0" w:color="auto"/>
              <w:left w:val="single" w:sz="4" w:space="0" w:color="auto"/>
              <w:bottom w:val="single" w:sz="4" w:space="0" w:color="auto"/>
              <w:right w:val="single" w:sz="4" w:space="0" w:color="auto"/>
            </w:tcBorders>
            <w:vAlign w:val="bottom"/>
            <w:hideMark/>
          </w:tcPr>
          <w:p w14:paraId="18FE132F" w14:textId="77777777" w:rsidR="00B8298D" w:rsidRPr="006B5FC6" w:rsidRDefault="00B8298D" w:rsidP="00B8298D">
            <w:pPr>
              <w:jc w:val="center"/>
              <w:rPr>
                <w:rFonts w:ascii="Arial Narrow" w:eastAsia="Times New Roman" w:hAnsi="Arial Narrow" w:cs="Calibri"/>
                <w:b/>
                <w:color w:val="000000"/>
                <w:sz w:val="18"/>
                <w:szCs w:val="18"/>
              </w:rPr>
            </w:pPr>
          </w:p>
        </w:tc>
        <w:tc>
          <w:tcPr>
            <w:tcW w:w="990" w:type="dxa"/>
            <w:vMerge/>
            <w:tcBorders>
              <w:top w:val="single" w:sz="4" w:space="0" w:color="auto"/>
              <w:left w:val="single" w:sz="4" w:space="0" w:color="auto"/>
              <w:bottom w:val="single" w:sz="4" w:space="0" w:color="auto"/>
              <w:right w:val="single" w:sz="4" w:space="0" w:color="auto"/>
            </w:tcBorders>
            <w:vAlign w:val="bottom"/>
            <w:hideMark/>
          </w:tcPr>
          <w:p w14:paraId="6632BE0D" w14:textId="77777777" w:rsidR="00B8298D" w:rsidRPr="006B5FC6" w:rsidRDefault="00B8298D" w:rsidP="00B8298D">
            <w:pPr>
              <w:jc w:val="center"/>
              <w:rPr>
                <w:rFonts w:ascii="Arial Narrow" w:eastAsia="Times New Roman" w:hAnsi="Arial Narrow" w:cs="Calibri"/>
                <w:b/>
                <w:color w:val="000000"/>
                <w:sz w:val="18"/>
                <w:szCs w:val="18"/>
              </w:rPr>
            </w:pPr>
          </w:p>
        </w:tc>
        <w:tc>
          <w:tcPr>
            <w:tcW w:w="93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3B1D99B" w14:textId="2892587C" w:rsidR="00B8298D" w:rsidRPr="00310FD7" w:rsidRDefault="00A12FD2">
            <w:pPr>
              <w:jc w:val="center"/>
              <w:rPr>
                <w:rFonts w:ascii="Arial Narrow" w:eastAsia="Times New Roman" w:hAnsi="Arial Narrow" w:cs="Calibri"/>
                <w:b/>
                <w:bCs/>
                <w:color w:val="000000" w:themeColor="text1"/>
                <w:sz w:val="18"/>
                <w:szCs w:val="18"/>
              </w:rPr>
            </w:pPr>
            <w:r w:rsidRPr="00CF58E6">
              <w:rPr>
                <w:rFonts w:ascii="Arial Narrow" w:eastAsia="Times New Roman" w:hAnsi="Arial Narrow" w:cs="Calibri"/>
                <w:b/>
                <w:bCs/>
                <w:color w:val="000000"/>
                <w:sz w:val="18"/>
                <w:szCs w:val="18"/>
              </w:rPr>
              <w:t>U</w:t>
            </w:r>
            <w:r w:rsidR="00B8298D" w:rsidRPr="00310FD7">
              <w:rPr>
                <w:rFonts w:ascii="Arial Narrow" w:eastAsia="Times New Roman" w:hAnsi="Arial Narrow" w:cs="Calibri"/>
                <w:b/>
                <w:bCs/>
                <w:color w:val="000000"/>
                <w:sz w:val="18"/>
                <w:szCs w:val="18"/>
              </w:rPr>
              <w:t>nit burden (hours)</w:t>
            </w:r>
            <w:r w:rsidR="7DF62DDF" w:rsidRPr="00310FD7">
              <w:rPr>
                <w:rFonts w:ascii="Arial Narrow" w:eastAsia="Times New Roman" w:hAnsi="Arial Narrow" w:cs="Calibri"/>
                <w:b/>
                <w:bCs/>
                <w:color w:val="000000" w:themeColor="text1"/>
                <w:sz w:val="18"/>
                <w:szCs w:val="18"/>
                <w:vertAlign w:val="superscript"/>
              </w:rPr>
              <w:t>1</w:t>
            </w:r>
          </w:p>
        </w:tc>
        <w:tc>
          <w:tcPr>
            <w:tcW w:w="115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8F5E3D5" w14:textId="59CB9F02" w:rsidR="00B8298D" w:rsidRDefault="00A12FD2" w:rsidP="00B8298D">
            <w:pPr>
              <w:jc w:val="center"/>
              <w:rPr>
                <w:rFonts w:ascii="Arial Narrow" w:eastAsia="Times New Roman" w:hAnsi="Arial Narrow" w:cs="Calibri"/>
                <w:b/>
                <w:color w:val="000000"/>
                <w:sz w:val="18"/>
                <w:szCs w:val="18"/>
              </w:rPr>
            </w:pPr>
            <w:r>
              <w:rPr>
                <w:rFonts w:ascii="Arial Narrow" w:eastAsia="Times New Roman" w:hAnsi="Arial Narrow" w:cs="Calibri"/>
                <w:b/>
                <w:color w:val="000000"/>
                <w:sz w:val="18"/>
                <w:szCs w:val="18"/>
              </w:rPr>
              <w:t>U</w:t>
            </w:r>
            <w:r w:rsidR="00B8298D" w:rsidRPr="006B5FC6">
              <w:rPr>
                <w:rFonts w:ascii="Arial Narrow" w:eastAsia="Times New Roman" w:hAnsi="Arial Narrow" w:cs="Calibri"/>
                <w:b/>
                <w:color w:val="000000"/>
                <w:sz w:val="18"/>
                <w:szCs w:val="18"/>
              </w:rPr>
              <w:t>nit</w:t>
            </w:r>
          </w:p>
          <w:p w14:paraId="2C3211A9" w14:textId="6386D5BA" w:rsidR="00B8298D" w:rsidRPr="00310FD7" w:rsidRDefault="00B8298D">
            <w:pPr>
              <w:jc w:val="center"/>
              <w:rPr>
                <w:rFonts w:ascii="Arial Narrow" w:eastAsia="Times New Roman" w:hAnsi="Arial Narrow" w:cs="Calibri"/>
                <w:b/>
                <w:bCs/>
                <w:color w:val="000000" w:themeColor="text1"/>
                <w:sz w:val="18"/>
                <w:szCs w:val="18"/>
                <w:vertAlign w:val="superscript"/>
              </w:rPr>
            </w:pPr>
            <w:r w:rsidRPr="00CF58E6">
              <w:rPr>
                <w:rFonts w:ascii="Arial Narrow" w:eastAsia="Times New Roman" w:hAnsi="Arial Narrow" w:cs="Calibri"/>
                <w:b/>
                <w:bCs/>
                <w:color w:val="000000"/>
                <w:sz w:val="18"/>
                <w:szCs w:val="18"/>
              </w:rPr>
              <w:t xml:space="preserve"> </w:t>
            </w:r>
            <w:r w:rsidR="7DF62DDF" w:rsidRPr="00310FD7">
              <w:rPr>
                <w:rFonts w:ascii="Arial Narrow" w:eastAsia="Times New Roman" w:hAnsi="Arial Narrow" w:cs="Calibri"/>
                <w:b/>
                <w:bCs/>
                <w:color w:val="000000"/>
                <w:sz w:val="18"/>
                <w:szCs w:val="18"/>
              </w:rPr>
              <w:t>C</w:t>
            </w:r>
            <w:r w:rsidRPr="00310FD7">
              <w:rPr>
                <w:rFonts w:ascii="Arial Narrow" w:eastAsia="Times New Roman" w:hAnsi="Arial Narrow" w:cs="Calibri"/>
                <w:b/>
                <w:bCs/>
                <w:color w:val="000000"/>
                <w:sz w:val="18"/>
                <w:szCs w:val="18"/>
              </w:rPr>
              <w:t>ost</w:t>
            </w:r>
            <w:r>
              <w:br/>
            </w:r>
            <w:r w:rsidRPr="00CF58E6">
              <w:rPr>
                <w:rFonts w:ascii="Arial Narrow" w:eastAsia="Times New Roman" w:hAnsi="Arial Narrow" w:cs="Calibri"/>
                <w:b/>
                <w:bCs/>
                <w:color w:val="000000"/>
                <w:sz w:val="18"/>
                <w:szCs w:val="18"/>
              </w:rPr>
              <w:t xml:space="preserve"> (2017$)</w:t>
            </w:r>
            <w:r w:rsidR="09E64ACA" w:rsidRPr="00310FD7">
              <w:rPr>
                <w:rFonts w:ascii="Arial Narrow" w:eastAsia="Times New Roman" w:hAnsi="Arial Narrow" w:cs="Calibri"/>
                <w:b/>
                <w:bCs/>
                <w:color w:val="000000"/>
                <w:sz w:val="18"/>
                <w:szCs w:val="18"/>
                <w:vertAlign w:val="superscript"/>
              </w:rPr>
              <w:t>1</w:t>
            </w:r>
          </w:p>
        </w:tc>
        <w:tc>
          <w:tcPr>
            <w:tcW w:w="106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17DC4B7A" w14:textId="77777777" w:rsidR="00B8298D" w:rsidRPr="006B5FC6" w:rsidRDefault="00B8298D" w:rsidP="00B8298D">
            <w:pPr>
              <w:jc w:val="center"/>
              <w:rPr>
                <w:rFonts w:ascii="Arial Narrow" w:eastAsia="Times New Roman" w:hAnsi="Arial Narrow" w:cs="Calibri"/>
                <w:b/>
                <w:color w:val="000000"/>
                <w:sz w:val="18"/>
                <w:szCs w:val="18"/>
              </w:rPr>
            </w:pPr>
            <w:r w:rsidRPr="006B5FC6">
              <w:rPr>
                <w:rFonts w:ascii="Arial Narrow" w:eastAsia="Times New Roman" w:hAnsi="Arial Narrow" w:cs="Calibri"/>
                <w:b/>
                <w:color w:val="000000"/>
                <w:sz w:val="18"/>
                <w:szCs w:val="18"/>
              </w:rPr>
              <w:t>Burden (hours)</w:t>
            </w:r>
          </w:p>
        </w:tc>
        <w:tc>
          <w:tcPr>
            <w:tcW w:w="108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79483AF1" w14:textId="77777777" w:rsidR="00B8298D" w:rsidRPr="006B5FC6" w:rsidRDefault="00B8298D" w:rsidP="00B8298D">
            <w:pPr>
              <w:jc w:val="center"/>
              <w:rPr>
                <w:rFonts w:ascii="Arial Narrow" w:eastAsia="Times New Roman" w:hAnsi="Arial Narrow" w:cs="Calibri"/>
                <w:b/>
                <w:color w:val="000000"/>
                <w:sz w:val="18"/>
                <w:szCs w:val="18"/>
              </w:rPr>
            </w:pPr>
            <w:r w:rsidRPr="006B5FC6">
              <w:rPr>
                <w:rFonts w:ascii="Arial Narrow" w:eastAsia="Times New Roman" w:hAnsi="Arial Narrow" w:cs="Calibri"/>
                <w:b/>
                <w:color w:val="000000"/>
                <w:sz w:val="18"/>
                <w:szCs w:val="18"/>
              </w:rPr>
              <w:t>Cost (2017$)</w:t>
            </w:r>
          </w:p>
        </w:tc>
      </w:tr>
      <w:tr w:rsidR="00B8298D" w:rsidRPr="007D2C2B" w14:paraId="2F4261FE" w14:textId="77777777" w:rsidTr="00827598">
        <w:trPr>
          <w:jc w:val="center"/>
        </w:trPr>
        <w:tc>
          <w:tcPr>
            <w:tcW w:w="9360" w:type="dxa"/>
            <w:gridSpan w:val="8"/>
            <w:tcBorders>
              <w:top w:val="single" w:sz="4" w:space="0" w:color="auto"/>
              <w:left w:val="single" w:sz="4" w:space="0" w:color="auto"/>
              <w:bottom w:val="single" w:sz="4" w:space="0" w:color="auto"/>
              <w:right w:val="single" w:sz="4" w:space="0" w:color="000000" w:themeColor="text1"/>
            </w:tcBorders>
            <w:shd w:val="clear" w:color="auto" w:fill="auto"/>
            <w:noWrap/>
            <w:vAlign w:val="bottom"/>
            <w:hideMark/>
          </w:tcPr>
          <w:p w14:paraId="19B426D4" w14:textId="77777777" w:rsidR="00B8298D" w:rsidRPr="006B5FC6" w:rsidRDefault="00B8298D" w:rsidP="00B8298D">
            <w:pPr>
              <w:rPr>
                <w:rFonts w:ascii="Arial Narrow" w:eastAsia="Times New Roman" w:hAnsi="Arial Narrow" w:cs="Calibri"/>
                <w:b/>
                <w:bCs/>
                <w:color w:val="000000"/>
                <w:sz w:val="18"/>
                <w:szCs w:val="18"/>
              </w:rPr>
            </w:pPr>
            <w:r w:rsidRPr="006B5FC6">
              <w:rPr>
                <w:rFonts w:ascii="Arial Narrow" w:eastAsia="Times New Roman" w:hAnsi="Arial Narrow" w:cs="Calibri"/>
                <w:b/>
                <w:bCs/>
                <w:color w:val="000000"/>
                <w:sz w:val="18"/>
                <w:szCs w:val="18"/>
              </w:rPr>
              <w:t>Changes to Reporting Activities</w:t>
            </w:r>
          </w:p>
        </w:tc>
      </w:tr>
      <w:tr w:rsidR="00B8298D" w:rsidRPr="007D2C2B" w14:paraId="432ED978" w14:textId="77777777" w:rsidTr="00C9573B">
        <w:trPr>
          <w:jc w:val="center"/>
        </w:trPr>
        <w:tc>
          <w:tcPr>
            <w:tcW w:w="3240" w:type="dxa"/>
            <w:gridSpan w:val="2"/>
            <w:tcBorders>
              <w:top w:val="nil"/>
              <w:left w:val="single" w:sz="4" w:space="0" w:color="auto"/>
              <w:bottom w:val="single" w:sz="4" w:space="0" w:color="auto"/>
              <w:right w:val="single" w:sz="4" w:space="0" w:color="auto"/>
            </w:tcBorders>
            <w:shd w:val="clear" w:color="auto" w:fill="auto"/>
            <w:vAlign w:val="bottom"/>
            <w:hideMark/>
          </w:tcPr>
          <w:p w14:paraId="20B611FC" w14:textId="77777777" w:rsidR="00B8298D" w:rsidRPr="006B5FC6" w:rsidRDefault="00B8298D" w:rsidP="00B8298D">
            <w:pP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Reportable Data Elements + CBI Substantiation</w:t>
            </w:r>
            <w:r>
              <w:rPr>
                <w:rFonts w:ascii="Arial Narrow" w:eastAsia="Times New Roman" w:hAnsi="Arial Narrow" w:cs="Calibri"/>
                <w:color w:val="000000"/>
                <w:sz w:val="18"/>
                <w:szCs w:val="18"/>
              </w:rPr>
              <w:t>, including i</w:t>
            </w:r>
            <w:r w:rsidRPr="006B5FC6">
              <w:rPr>
                <w:rFonts w:ascii="Arial Narrow" w:eastAsia="Times New Roman" w:hAnsi="Arial Narrow" w:cs="Calibri"/>
                <w:color w:val="000000"/>
                <w:sz w:val="18"/>
                <w:szCs w:val="18"/>
              </w:rPr>
              <w:t>ncremental rule familiarization and compliance determination</w:t>
            </w:r>
          </w:p>
        </w:tc>
        <w:tc>
          <w:tcPr>
            <w:tcW w:w="900" w:type="dxa"/>
            <w:tcBorders>
              <w:top w:val="nil"/>
              <w:left w:val="nil"/>
              <w:bottom w:val="single" w:sz="4" w:space="0" w:color="auto"/>
              <w:right w:val="single" w:sz="4" w:space="0" w:color="auto"/>
            </w:tcBorders>
            <w:shd w:val="clear" w:color="auto" w:fill="auto"/>
            <w:vAlign w:val="bottom"/>
            <w:hideMark/>
          </w:tcPr>
          <w:p w14:paraId="03DCB9AE"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5,660</w:t>
            </w:r>
          </w:p>
        </w:tc>
        <w:tc>
          <w:tcPr>
            <w:tcW w:w="990" w:type="dxa"/>
            <w:tcBorders>
              <w:top w:val="nil"/>
              <w:left w:val="nil"/>
              <w:bottom w:val="single" w:sz="4" w:space="0" w:color="auto"/>
              <w:right w:val="single" w:sz="4" w:space="0" w:color="auto"/>
            </w:tcBorders>
            <w:shd w:val="clear" w:color="auto" w:fill="auto"/>
            <w:noWrap/>
            <w:vAlign w:val="bottom"/>
            <w:hideMark/>
          </w:tcPr>
          <w:p w14:paraId="45CC067A"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5,493</w:t>
            </w:r>
          </w:p>
        </w:tc>
        <w:tc>
          <w:tcPr>
            <w:tcW w:w="930" w:type="dxa"/>
            <w:tcBorders>
              <w:top w:val="nil"/>
              <w:left w:val="nil"/>
              <w:bottom w:val="single" w:sz="4" w:space="0" w:color="auto"/>
              <w:right w:val="single" w:sz="4" w:space="0" w:color="auto"/>
            </w:tcBorders>
            <w:shd w:val="clear" w:color="auto" w:fill="auto"/>
            <w:noWrap/>
            <w:vAlign w:val="bottom"/>
            <w:hideMark/>
          </w:tcPr>
          <w:p w14:paraId="3F214DFD" w14:textId="5C81E6CC" w:rsidR="00B8298D" w:rsidRPr="006B5FC6"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7.920</w:t>
            </w:r>
          </w:p>
        </w:tc>
        <w:tc>
          <w:tcPr>
            <w:tcW w:w="1155" w:type="dxa"/>
            <w:tcBorders>
              <w:top w:val="nil"/>
              <w:left w:val="nil"/>
              <w:bottom w:val="single" w:sz="4" w:space="0" w:color="auto"/>
              <w:right w:val="single" w:sz="4" w:space="0" w:color="auto"/>
            </w:tcBorders>
            <w:shd w:val="clear" w:color="auto" w:fill="auto"/>
            <w:noWrap/>
            <w:vAlign w:val="bottom"/>
            <w:hideMark/>
          </w:tcPr>
          <w:p w14:paraId="7BB9AA50" w14:textId="7E8012D2"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614.87</w:t>
            </w:r>
          </w:p>
        </w:tc>
        <w:tc>
          <w:tcPr>
            <w:tcW w:w="1065" w:type="dxa"/>
            <w:tcBorders>
              <w:top w:val="nil"/>
              <w:left w:val="nil"/>
              <w:bottom w:val="single" w:sz="4" w:space="0" w:color="auto"/>
              <w:right w:val="single" w:sz="4" w:space="0" w:color="auto"/>
            </w:tcBorders>
            <w:shd w:val="clear" w:color="auto" w:fill="auto"/>
            <w:noWrap/>
            <w:vAlign w:val="bottom"/>
            <w:hideMark/>
          </w:tcPr>
          <w:p w14:paraId="1CC7C33D" w14:textId="62768784" w:rsidR="00B8298D" w:rsidRPr="006B5FC6" w:rsidRDefault="00B8298D" w:rsidP="00B8298D">
            <w:pPr>
              <w:jc w:val="right"/>
              <w:rPr>
                <w:rFonts w:ascii="Arial Narrow" w:eastAsia="Times New Roman" w:hAnsi="Arial Narrow" w:cs="Calibri"/>
                <w:color w:val="000000" w:themeColor="text1"/>
                <w:sz w:val="18"/>
                <w:szCs w:val="18"/>
              </w:rPr>
            </w:pPr>
            <w:r>
              <w:rPr>
                <w:rFonts w:ascii="Arial Narrow" w:eastAsia="Times New Roman" w:hAnsi="Arial Narrow" w:cs="Calibri"/>
                <w:color w:val="000000" w:themeColor="text1"/>
                <w:sz w:val="18"/>
                <w:szCs w:val="18"/>
              </w:rPr>
              <w:t>43,504</w:t>
            </w:r>
          </w:p>
        </w:tc>
        <w:tc>
          <w:tcPr>
            <w:tcW w:w="1080" w:type="dxa"/>
            <w:tcBorders>
              <w:top w:val="nil"/>
              <w:left w:val="nil"/>
              <w:bottom w:val="single" w:sz="4" w:space="0" w:color="auto"/>
              <w:right w:val="single" w:sz="4" w:space="0" w:color="auto"/>
            </w:tcBorders>
            <w:shd w:val="clear" w:color="auto" w:fill="auto"/>
            <w:noWrap/>
            <w:vAlign w:val="bottom"/>
            <w:hideMark/>
          </w:tcPr>
          <w:p w14:paraId="3699BE86" w14:textId="5964455F"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3,377,482</w:t>
            </w:r>
          </w:p>
        </w:tc>
      </w:tr>
      <w:tr w:rsidR="00B8298D" w:rsidRPr="007D2C2B" w14:paraId="15B85776" w14:textId="77777777" w:rsidTr="00C9573B">
        <w:trPr>
          <w:jc w:val="center"/>
        </w:trPr>
        <w:tc>
          <w:tcPr>
            <w:tcW w:w="3240" w:type="dxa"/>
            <w:gridSpan w:val="2"/>
            <w:tcBorders>
              <w:top w:val="nil"/>
              <w:left w:val="single" w:sz="4" w:space="0" w:color="auto"/>
              <w:bottom w:val="single" w:sz="4" w:space="0" w:color="auto"/>
              <w:right w:val="single" w:sz="4" w:space="0" w:color="auto"/>
            </w:tcBorders>
            <w:shd w:val="clear" w:color="auto" w:fill="auto"/>
            <w:vAlign w:val="bottom"/>
            <w:hideMark/>
          </w:tcPr>
          <w:p w14:paraId="7759B2AC" w14:textId="77777777" w:rsidR="00B8298D" w:rsidRPr="006B5FC6" w:rsidRDefault="00B8298D" w:rsidP="00B8298D">
            <w:pP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 xml:space="preserve">Byproduct Provisions </w:t>
            </w:r>
            <w:r>
              <w:rPr>
                <w:rFonts w:ascii="Arial Narrow" w:eastAsia="Times New Roman" w:hAnsi="Arial Narrow" w:cs="Calibri"/>
                <w:color w:val="000000"/>
                <w:sz w:val="18"/>
                <w:szCs w:val="18"/>
              </w:rPr>
              <w:t>i</w:t>
            </w:r>
            <w:r w:rsidRPr="006B5FC6">
              <w:rPr>
                <w:rFonts w:ascii="Arial Narrow" w:eastAsia="Times New Roman" w:hAnsi="Arial Narrow" w:cs="Calibri"/>
                <w:color w:val="000000"/>
                <w:sz w:val="18"/>
                <w:szCs w:val="18"/>
              </w:rPr>
              <w:t>ncremental rule familiarization and compliance determination</w:t>
            </w:r>
          </w:p>
        </w:tc>
        <w:tc>
          <w:tcPr>
            <w:tcW w:w="900" w:type="dxa"/>
            <w:tcBorders>
              <w:top w:val="nil"/>
              <w:left w:val="nil"/>
              <w:bottom w:val="single" w:sz="4" w:space="0" w:color="auto"/>
              <w:right w:val="single" w:sz="4" w:space="0" w:color="auto"/>
            </w:tcBorders>
            <w:shd w:val="clear" w:color="auto" w:fill="auto"/>
            <w:vAlign w:val="bottom"/>
            <w:hideMark/>
          </w:tcPr>
          <w:p w14:paraId="472867C5"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5,660</w:t>
            </w:r>
          </w:p>
        </w:tc>
        <w:tc>
          <w:tcPr>
            <w:tcW w:w="990" w:type="dxa"/>
            <w:tcBorders>
              <w:top w:val="nil"/>
              <w:left w:val="nil"/>
              <w:bottom w:val="single" w:sz="4" w:space="0" w:color="auto"/>
              <w:right w:val="single" w:sz="4" w:space="0" w:color="auto"/>
            </w:tcBorders>
            <w:shd w:val="clear" w:color="auto" w:fill="auto"/>
            <w:noWrap/>
            <w:vAlign w:val="bottom"/>
            <w:hideMark/>
          </w:tcPr>
          <w:p w14:paraId="7421D0FF"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5,493</w:t>
            </w:r>
          </w:p>
        </w:tc>
        <w:tc>
          <w:tcPr>
            <w:tcW w:w="930" w:type="dxa"/>
            <w:tcBorders>
              <w:top w:val="nil"/>
              <w:left w:val="nil"/>
              <w:bottom w:val="single" w:sz="4" w:space="0" w:color="auto"/>
              <w:right w:val="single" w:sz="4" w:space="0" w:color="auto"/>
            </w:tcBorders>
            <w:shd w:val="clear" w:color="auto" w:fill="auto"/>
            <w:noWrap/>
            <w:vAlign w:val="bottom"/>
            <w:hideMark/>
          </w:tcPr>
          <w:p w14:paraId="505BBE12"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0.552</w:t>
            </w:r>
          </w:p>
        </w:tc>
        <w:tc>
          <w:tcPr>
            <w:tcW w:w="1155" w:type="dxa"/>
            <w:tcBorders>
              <w:top w:val="nil"/>
              <w:left w:val="nil"/>
              <w:bottom w:val="single" w:sz="4" w:space="0" w:color="auto"/>
              <w:right w:val="single" w:sz="4" w:space="0" w:color="auto"/>
            </w:tcBorders>
            <w:shd w:val="clear" w:color="auto" w:fill="auto"/>
            <w:noWrap/>
            <w:vAlign w:val="bottom"/>
            <w:hideMark/>
          </w:tcPr>
          <w:p w14:paraId="6A97A70E" w14:textId="77777777"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$42.82</w:t>
            </w:r>
          </w:p>
        </w:tc>
        <w:tc>
          <w:tcPr>
            <w:tcW w:w="1065" w:type="dxa"/>
            <w:tcBorders>
              <w:top w:val="nil"/>
              <w:left w:val="nil"/>
              <w:bottom w:val="single" w:sz="4" w:space="0" w:color="auto"/>
              <w:right w:val="single" w:sz="4" w:space="0" w:color="auto"/>
            </w:tcBorders>
            <w:shd w:val="clear" w:color="auto" w:fill="auto"/>
            <w:noWrap/>
            <w:vAlign w:val="bottom"/>
            <w:hideMark/>
          </w:tcPr>
          <w:p w14:paraId="56F0C137"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3,03</w:t>
            </w:r>
            <w:r>
              <w:rPr>
                <w:rFonts w:ascii="Arial Narrow" w:eastAsia="Times New Roman" w:hAnsi="Arial Narrow" w:cs="Calibri"/>
                <w:color w:val="000000" w:themeColor="text1"/>
                <w:sz w:val="18"/>
                <w:szCs w:val="18"/>
              </w:rPr>
              <w:t>1</w:t>
            </w:r>
          </w:p>
        </w:tc>
        <w:tc>
          <w:tcPr>
            <w:tcW w:w="1080" w:type="dxa"/>
            <w:tcBorders>
              <w:top w:val="nil"/>
              <w:left w:val="nil"/>
              <w:bottom w:val="single" w:sz="4" w:space="0" w:color="auto"/>
              <w:right w:val="single" w:sz="4" w:space="0" w:color="auto"/>
            </w:tcBorders>
            <w:shd w:val="clear" w:color="auto" w:fill="auto"/>
            <w:noWrap/>
            <w:vAlign w:val="bottom"/>
            <w:hideMark/>
          </w:tcPr>
          <w:p w14:paraId="6D3141DB" w14:textId="77777777"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$235,20</w:t>
            </w:r>
            <w:r>
              <w:rPr>
                <w:rFonts w:ascii="Arial Narrow" w:eastAsia="Times New Roman" w:hAnsi="Arial Narrow" w:cs="Calibri"/>
                <w:color w:val="000000"/>
                <w:sz w:val="18"/>
                <w:szCs w:val="18"/>
              </w:rPr>
              <w:t>9</w:t>
            </w:r>
          </w:p>
        </w:tc>
      </w:tr>
      <w:tr w:rsidR="00B8298D" w:rsidRPr="007D2C2B" w14:paraId="3A6CC9F0" w14:textId="77777777" w:rsidTr="00C9573B">
        <w:trPr>
          <w:jc w:val="center"/>
        </w:trPr>
        <w:tc>
          <w:tcPr>
            <w:tcW w:w="3240" w:type="dxa"/>
            <w:gridSpan w:val="2"/>
            <w:tcBorders>
              <w:top w:val="nil"/>
              <w:left w:val="single" w:sz="4" w:space="0" w:color="auto"/>
              <w:bottom w:val="single" w:sz="4" w:space="0" w:color="auto"/>
              <w:right w:val="single" w:sz="4" w:space="0" w:color="auto"/>
            </w:tcBorders>
            <w:shd w:val="clear" w:color="auto" w:fill="auto"/>
            <w:vAlign w:val="bottom"/>
            <w:hideMark/>
          </w:tcPr>
          <w:p w14:paraId="5C0008BB" w14:textId="77777777" w:rsidR="00B8298D" w:rsidRPr="00B44916" w:rsidRDefault="00B8298D" w:rsidP="00B8298D">
            <w:pPr>
              <w:rPr>
                <w:rFonts w:ascii="Arial Narrow" w:eastAsia="Times New Roman" w:hAnsi="Arial Narrow" w:cs="Calibri"/>
                <w:color w:val="000000"/>
                <w:sz w:val="18"/>
                <w:szCs w:val="18"/>
              </w:rPr>
            </w:pPr>
            <w:r>
              <w:rPr>
                <w:rFonts w:ascii="Arial Narrow" w:hAnsi="Arial Narrow" w:cs="Calibri"/>
                <w:color w:val="000000"/>
                <w:sz w:val="18"/>
                <w:szCs w:val="18"/>
              </w:rPr>
              <w:t xml:space="preserve">Section </w:t>
            </w:r>
            <w:r w:rsidRPr="008C5171">
              <w:rPr>
                <w:rFonts w:ascii="Arial Narrow" w:hAnsi="Arial Narrow" w:cs="Calibri"/>
                <w:color w:val="000000"/>
                <w:sz w:val="18"/>
                <w:szCs w:val="18"/>
              </w:rPr>
              <w:t>8(a) SMD Update incremental rule familiarization and compliance determination</w:t>
            </w:r>
          </w:p>
        </w:tc>
        <w:tc>
          <w:tcPr>
            <w:tcW w:w="900" w:type="dxa"/>
            <w:tcBorders>
              <w:top w:val="nil"/>
              <w:left w:val="nil"/>
              <w:bottom w:val="single" w:sz="4" w:space="0" w:color="auto"/>
              <w:right w:val="single" w:sz="4" w:space="0" w:color="auto"/>
            </w:tcBorders>
            <w:shd w:val="clear" w:color="auto" w:fill="auto"/>
            <w:vAlign w:val="bottom"/>
            <w:hideMark/>
          </w:tcPr>
          <w:p w14:paraId="085BD6FD" w14:textId="77777777" w:rsidR="00B8298D" w:rsidRPr="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5,627</w:t>
            </w:r>
          </w:p>
        </w:tc>
        <w:tc>
          <w:tcPr>
            <w:tcW w:w="990" w:type="dxa"/>
            <w:tcBorders>
              <w:top w:val="nil"/>
              <w:left w:val="nil"/>
              <w:bottom w:val="single" w:sz="4" w:space="0" w:color="auto"/>
              <w:right w:val="single" w:sz="4" w:space="0" w:color="auto"/>
            </w:tcBorders>
            <w:shd w:val="clear" w:color="auto" w:fill="auto"/>
            <w:noWrap/>
            <w:vAlign w:val="bottom"/>
            <w:hideMark/>
          </w:tcPr>
          <w:p w14:paraId="46534E59" w14:textId="77777777" w:rsidR="00B8298D" w:rsidRPr="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5,464</w:t>
            </w:r>
          </w:p>
        </w:tc>
        <w:tc>
          <w:tcPr>
            <w:tcW w:w="930" w:type="dxa"/>
            <w:tcBorders>
              <w:top w:val="nil"/>
              <w:left w:val="nil"/>
              <w:bottom w:val="single" w:sz="4" w:space="0" w:color="auto"/>
              <w:right w:val="single" w:sz="4" w:space="0" w:color="auto"/>
            </w:tcBorders>
            <w:shd w:val="clear" w:color="auto" w:fill="auto"/>
            <w:noWrap/>
            <w:vAlign w:val="bottom"/>
            <w:hideMark/>
          </w:tcPr>
          <w:p w14:paraId="04F18D25" w14:textId="77777777" w:rsidR="00B8298D" w:rsidRPr="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0.256</w:t>
            </w:r>
          </w:p>
        </w:tc>
        <w:tc>
          <w:tcPr>
            <w:tcW w:w="1155" w:type="dxa"/>
            <w:tcBorders>
              <w:top w:val="nil"/>
              <w:left w:val="nil"/>
              <w:bottom w:val="single" w:sz="4" w:space="0" w:color="auto"/>
              <w:right w:val="single" w:sz="4" w:space="0" w:color="auto"/>
            </w:tcBorders>
            <w:shd w:val="clear" w:color="auto" w:fill="auto"/>
            <w:noWrap/>
            <w:vAlign w:val="bottom"/>
            <w:hideMark/>
          </w:tcPr>
          <w:p w14:paraId="41C06BA1" w14:textId="77777777" w:rsidR="00B8298D" w:rsidRPr="00B44916" w:rsidRDefault="00B8298D" w:rsidP="00B8298D">
            <w:pPr>
              <w:jc w:val="right"/>
              <w:rPr>
                <w:rFonts w:ascii="Arial Narrow" w:eastAsia="Times New Roman" w:hAnsi="Arial Narrow" w:cs="Calibri"/>
                <w:color w:val="000000"/>
                <w:sz w:val="18"/>
                <w:szCs w:val="18"/>
              </w:rPr>
            </w:pPr>
            <w:r w:rsidRPr="008C5171">
              <w:rPr>
                <w:rFonts w:ascii="Arial Narrow" w:hAnsi="Arial Narrow" w:cs="Calibri"/>
                <w:color w:val="000000"/>
                <w:sz w:val="18"/>
                <w:szCs w:val="18"/>
              </w:rPr>
              <w:t>$19.89</w:t>
            </w:r>
          </w:p>
        </w:tc>
        <w:tc>
          <w:tcPr>
            <w:tcW w:w="1065" w:type="dxa"/>
            <w:tcBorders>
              <w:top w:val="nil"/>
              <w:left w:val="nil"/>
              <w:bottom w:val="single" w:sz="4" w:space="0" w:color="auto"/>
              <w:right w:val="single" w:sz="4" w:space="0" w:color="auto"/>
            </w:tcBorders>
            <w:shd w:val="clear" w:color="auto" w:fill="auto"/>
            <w:noWrap/>
            <w:vAlign w:val="bottom"/>
            <w:hideMark/>
          </w:tcPr>
          <w:p w14:paraId="0DEDD941" w14:textId="77777777" w:rsidR="00B8298D" w:rsidRPr="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1,399</w:t>
            </w:r>
          </w:p>
        </w:tc>
        <w:tc>
          <w:tcPr>
            <w:tcW w:w="1080" w:type="dxa"/>
            <w:tcBorders>
              <w:top w:val="nil"/>
              <w:left w:val="nil"/>
              <w:bottom w:val="single" w:sz="4" w:space="0" w:color="auto"/>
              <w:right w:val="single" w:sz="4" w:space="0" w:color="auto"/>
            </w:tcBorders>
            <w:shd w:val="clear" w:color="auto" w:fill="auto"/>
            <w:noWrap/>
            <w:vAlign w:val="bottom"/>
            <w:hideMark/>
          </w:tcPr>
          <w:p w14:paraId="78B45D50" w14:textId="77777777" w:rsidR="00B8298D" w:rsidRPr="00B44916" w:rsidRDefault="00B8298D" w:rsidP="00B8298D">
            <w:pPr>
              <w:jc w:val="right"/>
              <w:rPr>
                <w:rFonts w:ascii="Arial Narrow" w:eastAsia="Times New Roman" w:hAnsi="Arial Narrow" w:cs="Calibri"/>
                <w:color w:val="000000"/>
                <w:sz w:val="18"/>
                <w:szCs w:val="18"/>
              </w:rPr>
            </w:pPr>
            <w:r w:rsidRPr="008C5171">
              <w:rPr>
                <w:rFonts w:ascii="Arial Narrow" w:hAnsi="Arial Narrow" w:cs="Calibri"/>
                <w:color w:val="000000"/>
                <w:sz w:val="18"/>
                <w:szCs w:val="18"/>
              </w:rPr>
              <w:t>$108,679</w:t>
            </w:r>
          </w:p>
        </w:tc>
      </w:tr>
      <w:tr w:rsidR="00B8298D" w:rsidRPr="007D2C2B" w14:paraId="57F55718" w14:textId="77777777" w:rsidTr="00C9573B">
        <w:trPr>
          <w:jc w:val="center"/>
        </w:trPr>
        <w:tc>
          <w:tcPr>
            <w:tcW w:w="3240" w:type="dxa"/>
            <w:gridSpan w:val="2"/>
            <w:tcBorders>
              <w:top w:val="nil"/>
              <w:left w:val="single" w:sz="4" w:space="0" w:color="auto"/>
              <w:bottom w:val="single" w:sz="4" w:space="0" w:color="auto"/>
              <w:right w:val="single" w:sz="4" w:space="0" w:color="auto"/>
            </w:tcBorders>
            <w:shd w:val="clear" w:color="auto" w:fill="auto"/>
            <w:vAlign w:val="bottom"/>
          </w:tcPr>
          <w:p w14:paraId="7A8BCA09" w14:textId="77777777" w:rsidR="00B8298D" w:rsidRPr="00B44916" w:rsidRDefault="00B8298D" w:rsidP="00B8298D">
            <w:pPr>
              <w:rPr>
                <w:rFonts w:ascii="Arial Narrow" w:eastAsia="Times New Roman" w:hAnsi="Arial Narrow" w:cs="Calibri"/>
                <w:color w:val="000000"/>
                <w:sz w:val="18"/>
                <w:szCs w:val="18"/>
              </w:rPr>
            </w:pPr>
            <w:r>
              <w:rPr>
                <w:rFonts w:ascii="Arial Narrow" w:hAnsi="Arial Narrow" w:cs="Calibri"/>
                <w:color w:val="000000"/>
                <w:sz w:val="18"/>
                <w:szCs w:val="18"/>
              </w:rPr>
              <w:t xml:space="preserve">Section </w:t>
            </w:r>
            <w:r w:rsidRPr="008C5171">
              <w:rPr>
                <w:rFonts w:ascii="Arial Narrow" w:hAnsi="Arial Narrow" w:cs="Calibri"/>
                <w:color w:val="000000"/>
                <w:sz w:val="18"/>
                <w:szCs w:val="18"/>
              </w:rPr>
              <w:t>8(a) SGD incremental rule familiarization and compliance determination</w:t>
            </w:r>
          </w:p>
        </w:tc>
        <w:tc>
          <w:tcPr>
            <w:tcW w:w="900" w:type="dxa"/>
            <w:tcBorders>
              <w:top w:val="nil"/>
              <w:left w:val="nil"/>
              <w:bottom w:val="single" w:sz="4" w:space="0" w:color="auto"/>
              <w:right w:val="single" w:sz="4" w:space="0" w:color="auto"/>
            </w:tcBorders>
            <w:shd w:val="clear" w:color="auto" w:fill="auto"/>
            <w:vAlign w:val="bottom"/>
          </w:tcPr>
          <w:p w14:paraId="5FD2B0E8" w14:textId="77777777" w:rsidR="00B8298D" w:rsidRPr="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33</w:t>
            </w:r>
          </w:p>
        </w:tc>
        <w:tc>
          <w:tcPr>
            <w:tcW w:w="990" w:type="dxa"/>
            <w:tcBorders>
              <w:top w:val="nil"/>
              <w:left w:val="nil"/>
              <w:bottom w:val="single" w:sz="4" w:space="0" w:color="auto"/>
              <w:right w:val="single" w:sz="4" w:space="0" w:color="auto"/>
            </w:tcBorders>
            <w:shd w:val="clear" w:color="auto" w:fill="auto"/>
            <w:noWrap/>
            <w:vAlign w:val="bottom"/>
          </w:tcPr>
          <w:p w14:paraId="30D99504" w14:textId="77777777" w:rsidR="00B8298D" w:rsidRPr="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29</w:t>
            </w:r>
          </w:p>
        </w:tc>
        <w:tc>
          <w:tcPr>
            <w:tcW w:w="930" w:type="dxa"/>
            <w:tcBorders>
              <w:top w:val="nil"/>
              <w:left w:val="nil"/>
              <w:bottom w:val="single" w:sz="4" w:space="0" w:color="auto"/>
              <w:right w:val="single" w:sz="4" w:space="0" w:color="auto"/>
            </w:tcBorders>
            <w:shd w:val="clear" w:color="auto" w:fill="auto"/>
            <w:noWrap/>
            <w:vAlign w:val="bottom"/>
          </w:tcPr>
          <w:p w14:paraId="2636810A" w14:textId="77777777" w:rsidR="00B8298D" w:rsidRPr="00DB3A26" w:rsidRDefault="00B8298D" w:rsidP="00B8298D">
            <w:pPr>
              <w:jc w:val="right"/>
              <w:rPr>
                <w:rFonts w:ascii="Arial Narrow" w:eastAsia="Times New Roman" w:hAnsi="Arial Narrow" w:cs="Calibri"/>
                <w:color w:val="000000" w:themeColor="text1"/>
                <w:sz w:val="18"/>
                <w:szCs w:val="18"/>
              </w:rPr>
            </w:pPr>
            <w:r w:rsidRPr="00FC1700">
              <w:rPr>
                <w:rFonts w:ascii="Arial Narrow" w:hAnsi="Arial Narrow" w:cs="Calibri"/>
                <w:color w:val="000000"/>
                <w:sz w:val="18"/>
                <w:szCs w:val="18"/>
              </w:rPr>
              <w:t>0.182</w:t>
            </w:r>
          </w:p>
        </w:tc>
        <w:tc>
          <w:tcPr>
            <w:tcW w:w="1155" w:type="dxa"/>
            <w:tcBorders>
              <w:top w:val="nil"/>
              <w:left w:val="nil"/>
              <w:bottom w:val="single" w:sz="4" w:space="0" w:color="auto"/>
              <w:right w:val="single" w:sz="4" w:space="0" w:color="auto"/>
            </w:tcBorders>
            <w:shd w:val="clear" w:color="auto" w:fill="auto"/>
            <w:noWrap/>
            <w:vAlign w:val="bottom"/>
          </w:tcPr>
          <w:p w14:paraId="14011428" w14:textId="77777777" w:rsidR="00B8298D" w:rsidRPr="00DB3A26" w:rsidRDefault="00B8298D" w:rsidP="00B8298D">
            <w:pPr>
              <w:jc w:val="right"/>
              <w:rPr>
                <w:rFonts w:ascii="Arial Narrow" w:eastAsia="Times New Roman" w:hAnsi="Arial Narrow" w:cs="Calibri"/>
                <w:color w:val="000000"/>
                <w:sz w:val="18"/>
                <w:szCs w:val="18"/>
              </w:rPr>
            </w:pPr>
            <w:r w:rsidRPr="00FC1700">
              <w:rPr>
                <w:rFonts w:ascii="Arial Narrow" w:hAnsi="Arial Narrow" w:cs="Calibri"/>
                <w:color w:val="000000"/>
                <w:sz w:val="18"/>
                <w:szCs w:val="18"/>
              </w:rPr>
              <w:t>$13.18</w:t>
            </w:r>
          </w:p>
        </w:tc>
        <w:tc>
          <w:tcPr>
            <w:tcW w:w="1065" w:type="dxa"/>
            <w:tcBorders>
              <w:top w:val="nil"/>
              <w:left w:val="nil"/>
              <w:bottom w:val="single" w:sz="4" w:space="0" w:color="auto"/>
              <w:right w:val="single" w:sz="4" w:space="0" w:color="auto"/>
            </w:tcBorders>
            <w:shd w:val="clear" w:color="auto" w:fill="auto"/>
            <w:noWrap/>
            <w:vAlign w:val="bottom"/>
          </w:tcPr>
          <w:p w14:paraId="086F0CDD" w14:textId="77777777" w:rsidR="00B8298D" w:rsidRPr="00B44916" w:rsidRDefault="00B8298D" w:rsidP="00B8298D">
            <w:pPr>
              <w:jc w:val="right"/>
              <w:rPr>
                <w:rFonts w:ascii="Arial Narrow" w:eastAsia="Times New Roman" w:hAnsi="Arial Narrow" w:cs="Calibri"/>
                <w:color w:val="000000" w:themeColor="text1"/>
                <w:sz w:val="18"/>
                <w:szCs w:val="18"/>
              </w:rPr>
            </w:pPr>
            <w:r w:rsidRPr="008C5171">
              <w:rPr>
                <w:rFonts w:ascii="Arial Narrow" w:hAnsi="Arial Narrow" w:cs="Calibri"/>
                <w:color w:val="000000"/>
                <w:sz w:val="18"/>
                <w:szCs w:val="18"/>
              </w:rPr>
              <w:t>5</w:t>
            </w:r>
          </w:p>
        </w:tc>
        <w:tc>
          <w:tcPr>
            <w:tcW w:w="1080" w:type="dxa"/>
            <w:tcBorders>
              <w:top w:val="nil"/>
              <w:left w:val="nil"/>
              <w:bottom w:val="single" w:sz="4" w:space="0" w:color="auto"/>
              <w:right w:val="single" w:sz="4" w:space="0" w:color="auto"/>
            </w:tcBorders>
            <w:shd w:val="clear" w:color="auto" w:fill="auto"/>
            <w:noWrap/>
            <w:vAlign w:val="bottom"/>
          </w:tcPr>
          <w:p w14:paraId="274D34F5" w14:textId="77777777" w:rsidR="00B8298D" w:rsidRPr="00B44916" w:rsidRDefault="00B8298D" w:rsidP="00B8298D">
            <w:pPr>
              <w:jc w:val="right"/>
              <w:rPr>
                <w:rFonts w:ascii="Arial Narrow" w:eastAsia="Times New Roman" w:hAnsi="Arial Narrow" w:cs="Calibri"/>
                <w:color w:val="000000"/>
                <w:sz w:val="18"/>
                <w:szCs w:val="18"/>
              </w:rPr>
            </w:pPr>
            <w:r w:rsidRPr="008C5171">
              <w:rPr>
                <w:rFonts w:ascii="Arial Narrow" w:hAnsi="Arial Narrow" w:cs="Calibri"/>
                <w:color w:val="000000"/>
                <w:sz w:val="18"/>
                <w:szCs w:val="18"/>
              </w:rPr>
              <w:t>$38</w:t>
            </w:r>
            <w:r>
              <w:rPr>
                <w:rFonts w:ascii="Arial Narrow" w:hAnsi="Arial Narrow" w:cs="Calibri"/>
                <w:color w:val="000000"/>
                <w:sz w:val="18"/>
                <w:szCs w:val="18"/>
              </w:rPr>
              <w:t>2</w:t>
            </w:r>
          </w:p>
        </w:tc>
      </w:tr>
      <w:tr w:rsidR="00B8298D" w:rsidRPr="007D2C2B" w14:paraId="7EC68BDF" w14:textId="77777777" w:rsidTr="00310FD7">
        <w:trPr>
          <w:jc w:val="center"/>
        </w:trPr>
        <w:tc>
          <w:tcPr>
            <w:tcW w:w="9360" w:type="dxa"/>
            <w:gridSpan w:val="8"/>
            <w:tcBorders>
              <w:top w:val="single" w:sz="4" w:space="0" w:color="auto"/>
              <w:left w:val="single" w:sz="4" w:space="0" w:color="auto"/>
              <w:bottom w:val="single" w:sz="4" w:space="0" w:color="auto"/>
              <w:right w:val="single" w:sz="4" w:space="0" w:color="000000" w:themeColor="text1"/>
            </w:tcBorders>
            <w:shd w:val="clear" w:color="auto" w:fill="auto"/>
            <w:vAlign w:val="bottom"/>
            <w:hideMark/>
          </w:tcPr>
          <w:p w14:paraId="7A1B277B" w14:textId="77777777" w:rsidR="00B8298D" w:rsidRPr="006B5FC6" w:rsidRDefault="00B8298D" w:rsidP="00B8298D">
            <w:pPr>
              <w:rPr>
                <w:rFonts w:ascii="Arial Narrow" w:eastAsia="Times New Roman" w:hAnsi="Arial Narrow" w:cs="Calibri"/>
                <w:b/>
                <w:bCs/>
                <w:color w:val="000000"/>
                <w:sz w:val="18"/>
                <w:szCs w:val="18"/>
              </w:rPr>
            </w:pPr>
            <w:r w:rsidRPr="006B5FC6">
              <w:rPr>
                <w:rFonts w:ascii="Arial Narrow" w:eastAsia="Times New Roman" w:hAnsi="Arial Narrow" w:cs="Calibri"/>
                <w:b/>
                <w:bCs/>
                <w:color w:val="000000"/>
                <w:sz w:val="18"/>
                <w:szCs w:val="18"/>
              </w:rPr>
              <w:t>Changes to Reporting Universe</w:t>
            </w:r>
          </w:p>
        </w:tc>
      </w:tr>
      <w:tr w:rsidR="00B8298D" w:rsidRPr="007D2C2B" w14:paraId="66EFD804" w14:textId="77777777" w:rsidTr="00C9573B">
        <w:trPr>
          <w:jc w:val="center"/>
        </w:trPr>
        <w:tc>
          <w:tcPr>
            <w:tcW w:w="3240" w:type="dxa"/>
            <w:gridSpan w:val="2"/>
            <w:tcBorders>
              <w:top w:val="nil"/>
              <w:left w:val="single" w:sz="4" w:space="0" w:color="auto"/>
              <w:bottom w:val="single" w:sz="4" w:space="0" w:color="auto"/>
              <w:right w:val="single" w:sz="4" w:space="0" w:color="auto"/>
            </w:tcBorders>
            <w:shd w:val="clear" w:color="auto" w:fill="auto"/>
            <w:vAlign w:val="bottom"/>
            <w:hideMark/>
          </w:tcPr>
          <w:p w14:paraId="21F0E353" w14:textId="77777777" w:rsidR="00B8298D" w:rsidRPr="006B5FC6" w:rsidRDefault="00B8298D" w:rsidP="00B8298D">
            <w:pP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Byproducts Exemptions</w:t>
            </w:r>
          </w:p>
        </w:tc>
        <w:tc>
          <w:tcPr>
            <w:tcW w:w="900" w:type="dxa"/>
            <w:tcBorders>
              <w:top w:val="nil"/>
              <w:left w:val="nil"/>
              <w:bottom w:val="single" w:sz="4" w:space="0" w:color="auto"/>
              <w:right w:val="single" w:sz="4" w:space="0" w:color="auto"/>
            </w:tcBorders>
            <w:shd w:val="clear" w:color="auto" w:fill="auto"/>
            <w:vAlign w:val="bottom"/>
            <w:hideMark/>
          </w:tcPr>
          <w:p w14:paraId="314D9DA0"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601</w:t>
            </w:r>
          </w:p>
        </w:tc>
        <w:tc>
          <w:tcPr>
            <w:tcW w:w="990" w:type="dxa"/>
            <w:tcBorders>
              <w:top w:val="nil"/>
              <w:left w:val="nil"/>
              <w:bottom w:val="single" w:sz="4" w:space="0" w:color="auto"/>
              <w:right w:val="single" w:sz="4" w:space="0" w:color="auto"/>
            </w:tcBorders>
            <w:shd w:val="clear" w:color="auto" w:fill="auto"/>
            <w:vAlign w:val="bottom"/>
            <w:hideMark/>
          </w:tcPr>
          <w:p w14:paraId="09A4DEFE"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531</w:t>
            </w:r>
          </w:p>
        </w:tc>
        <w:tc>
          <w:tcPr>
            <w:tcW w:w="930" w:type="dxa"/>
            <w:tcBorders>
              <w:top w:val="nil"/>
              <w:left w:val="nil"/>
              <w:bottom w:val="single" w:sz="4" w:space="0" w:color="auto"/>
              <w:right w:val="single" w:sz="4" w:space="0" w:color="auto"/>
            </w:tcBorders>
            <w:shd w:val="clear" w:color="auto" w:fill="FFFFFF" w:themeFill="background1"/>
            <w:noWrap/>
            <w:vAlign w:val="bottom"/>
            <w:hideMark/>
          </w:tcPr>
          <w:p w14:paraId="150B5DEA"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155" w:type="dxa"/>
            <w:tcBorders>
              <w:top w:val="nil"/>
              <w:left w:val="nil"/>
              <w:bottom w:val="single" w:sz="4" w:space="0" w:color="auto"/>
              <w:right w:val="single" w:sz="4" w:space="0" w:color="auto"/>
            </w:tcBorders>
            <w:shd w:val="clear" w:color="auto" w:fill="FFFFFF" w:themeFill="background1"/>
            <w:noWrap/>
            <w:vAlign w:val="bottom"/>
            <w:hideMark/>
          </w:tcPr>
          <w:p w14:paraId="701E90DA"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065" w:type="dxa"/>
            <w:tcBorders>
              <w:top w:val="nil"/>
              <w:left w:val="nil"/>
              <w:bottom w:val="single" w:sz="4" w:space="0" w:color="auto"/>
              <w:right w:val="single" w:sz="4" w:space="0" w:color="auto"/>
            </w:tcBorders>
            <w:shd w:val="clear" w:color="auto" w:fill="auto"/>
            <w:noWrap/>
            <w:vAlign w:val="bottom"/>
            <w:hideMark/>
          </w:tcPr>
          <w:p w14:paraId="5FA7F9E6"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-70,271</w:t>
            </w:r>
          </w:p>
        </w:tc>
        <w:tc>
          <w:tcPr>
            <w:tcW w:w="1080" w:type="dxa"/>
            <w:tcBorders>
              <w:top w:val="nil"/>
              <w:left w:val="nil"/>
              <w:bottom w:val="single" w:sz="4" w:space="0" w:color="auto"/>
              <w:right w:val="single" w:sz="4" w:space="0" w:color="auto"/>
            </w:tcBorders>
            <w:shd w:val="clear" w:color="auto" w:fill="auto"/>
            <w:noWrap/>
            <w:vAlign w:val="bottom"/>
            <w:hideMark/>
          </w:tcPr>
          <w:p w14:paraId="4A2ACC63" w14:textId="77777777"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-$5,453,04</w:t>
            </w:r>
            <w:r>
              <w:rPr>
                <w:rFonts w:ascii="Arial Narrow" w:eastAsia="Times New Roman" w:hAnsi="Arial Narrow" w:cs="Calibri"/>
                <w:color w:val="000000"/>
                <w:sz w:val="18"/>
                <w:szCs w:val="18"/>
              </w:rPr>
              <w:t>1</w:t>
            </w:r>
          </w:p>
        </w:tc>
      </w:tr>
      <w:tr w:rsidR="00B8298D" w:rsidRPr="007D2C2B" w14:paraId="58813998" w14:textId="77777777" w:rsidTr="00C9573B">
        <w:trPr>
          <w:jc w:val="center"/>
        </w:trPr>
        <w:tc>
          <w:tcPr>
            <w:tcW w:w="3240" w:type="dxa"/>
            <w:gridSpan w:val="2"/>
            <w:tcBorders>
              <w:top w:val="nil"/>
              <w:left w:val="single" w:sz="4" w:space="0" w:color="auto"/>
              <w:bottom w:val="single" w:sz="4" w:space="0" w:color="auto"/>
              <w:right w:val="single" w:sz="4" w:space="0" w:color="auto"/>
            </w:tcBorders>
            <w:shd w:val="clear" w:color="auto" w:fill="auto"/>
            <w:vAlign w:val="bottom"/>
            <w:hideMark/>
          </w:tcPr>
          <w:p w14:paraId="1A3EFA6E" w14:textId="77777777" w:rsidR="00B8298D" w:rsidRPr="006B5FC6" w:rsidRDefault="00B8298D" w:rsidP="00B8298D">
            <w:pP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Category Reporting</w:t>
            </w:r>
          </w:p>
        </w:tc>
        <w:tc>
          <w:tcPr>
            <w:tcW w:w="900" w:type="dxa"/>
            <w:tcBorders>
              <w:top w:val="nil"/>
              <w:left w:val="nil"/>
              <w:bottom w:val="single" w:sz="4" w:space="0" w:color="auto"/>
              <w:right w:val="single" w:sz="4" w:space="0" w:color="auto"/>
            </w:tcBorders>
            <w:shd w:val="clear" w:color="auto" w:fill="auto"/>
            <w:vAlign w:val="bottom"/>
            <w:hideMark/>
          </w:tcPr>
          <w:p w14:paraId="7D1A13CA"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373</w:t>
            </w:r>
          </w:p>
        </w:tc>
        <w:tc>
          <w:tcPr>
            <w:tcW w:w="990" w:type="dxa"/>
            <w:tcBorders>
              <w:top w:val="nil"/>
              <w:left w:val="nil"/>
              <w:bottom w:val="single" w:sz="4" w:space="0" w:color="auto"/>
              <w:right w:val="single" w:sz="4" w:space="0" w:color="auto"/>
            </w:tcBorders>
            <w:shd w:val="clear" w:color="auto" w:fill="auto"/>
            <w:vAlign w:val="bottom"/>
            <w:hideMark/>
          </w:tcPr>
          <w:p w14:paraId="6C7637AC"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373</w:t>
            </w:r>
          </w:p>
        </w:tc>
        <w:tc>
          <w:tcPr>
            <w:tcW w:w="9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0E42B51A"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15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302A646A"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065" w:type="dxa"/>
            <w:tcBorders>
              <w:top w:val="nil"/>
              <w:left w:val="nil"/>
              <w:bottom w:val="single" w:sz="4" w:space="0" w:color="auto"/>
              <w:right w:val="single" w:sz="4" w:space="0" w:color="auto"/>
            </w:tcBorders>
            <w:shd w:val="clear" w:color="auto" w:fill="auto"/>
            <w:noWrap/>
            <w:vAlign w:val="bottom"/>
            <w:hideMark/>
          </w:tcPr>
          <w:p w14:paraId="655AF24C"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-13,684</w:t>
            </w:r>
          </w:p>
        </w:tc>
        <w:tc>
          <w:tcPr>
            <w:tcW w:w="1080" w:type="dxa"/>
            <w:tcBorders>
              <w:top w:val="nil"/>
              <w:left w:val="nil"/>
              <w:bottom w:val="single" w:sz="4" w:space="0" w:color="auto"/>
              <w:right w:val="single" w:sz="4" w:space="0" w:color="auto"/>
            </w:tcBorders>
            <w:shd w:val="clear" w:color="auto" w:fill="auto"/>
            <w:noWrap/>
            <w:vAlign w:val="bottom"/>
            <w:hideMark/>
          </w:tcPr>
          <w:p w14:paraId="6D0E4BDC" w14:textId="77777777"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-$1,062,35</w:t>
            </w:r>
            <w:r>
              <w:rPr>
                <w:rFonts w:ascii="Arial Narrow" w:eastAsia="Times New Roman" w:hAnsi="Arial Narrow" w:cs="Calibri"/>
                <w:color w:val="000000"/>
                <w:sz w:val="18"/>
                <w:szCs w:val="18"/>
              </w:rPr>
              <w:t>5</w:t>
            </w:r>
          </w:p>
        </w:tc>
      </w:tr>
      <w:tr w:rsidR="00B8298D" w:rsidRPr="007D2C2B" w14:paraId="5CB794B0" w14:textId="77777777" w:rsidTr="00C9573B">
        <w:trPr>
          <w:jc w:val="center"/>
        </w:trPr>
        <w:tc>
          <w:tcPr>
            <w:tcW w:w="3240" w:type="dxa"/>
            <w:gridSpan w:val="2"/>
            <w:tcBorders>
              <w:top w:val="nil"/>
              <w:left w:val="single" w:sz="4" w:space="0" w:color="auto"/>
              <w:bottom w:val="single" w:sz="4" w:space="0" w:color="auto"/>
              <w:right w:val="single" w:sz="4" w:space="0" w:color="auto"/>
            </w:tcBorders>
            <w:shd w:val="clear" w:color="auto" w:fill="auto"/>
            <w:vAlign w:val="bottom"/>
            <w:hideMark/>
          </w:tcPr>
          <w:p w14:paraId="708B7407" w14:textId="77777777" w:rsidR="00B8298D" w:rsidRPr="006B5FC6"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6B5FC6">
              <w:rPr>
                <w:rFonts w:ascii="Arial Narrow" w:eastAsia="Times New Roman" w:hAnsi="Arial Narrow" w:cs="Calibri"/>
                <w:color w:val="000000"/>
                <w:sz w:val="18"/>
                <w:szCs w:val="18"/>
              </w:rPr>
              <w:t xml:space="preserve">8(a) SMD Update </w:t>
            </w:r>
          </w:p>
        </w:tc>
        <w:tc>
          <w:tcPr>
            <w:tcW w:w="900" w:type="dxa"/>
            <w:tcBorders>
              <w:top w:val="nil"/>
              <w:left w:val="nil"/>
              <w:bottom w:val="single" w:sz="4" w:space="0" w:color="auto"/>
              <w:right w:val="single" w:sz="4" w:space="0" w:color="auto"/>
            </w:tcBorders>
            <w:shd w:val="clear" w:color="auto" w:fill="auto"/>
            <w:vAlign w:val="bottom"/>
            <w:hideMark/>
          </w:tcPr>
          <w:p w14:paraId="30EF1B64"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5,627</w:t>
            </w:r>
          </w:p>
        </w:tc>
        <w:tc>
          <w:tcPr>
            <w:tcW w:w="990" w:type="dxa"/>
            <w:tcBorders>
              <w:top w:val="nil"/>
              <w:left w:val="nil"/>
              <w:bottom w:val="single" w:sz="4" w:space="0" w:color="auto"/>
              <w:right w:val="single" w:sz="4" w:space="0" w:color="auto"/>
            </w:tcBorders>
            <w:shd w:val="clear" w:color="auto" w:fill="auto"/>
            <w:noWrap/>
            <w:vAlign w:val="bottom"/>
            <w:hideMark/>
          </w:tcPr>
          <w:p w14:paraId="5FFAA611"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5,534</w:t>
            </w:r>
          </w:p>
        </w:tc>
        <w:tc>
          <w:tcPr>
            <w:tcW w:w="930"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2DC1B2BE"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155" w:type="dxa"/>
            <w:tcBorders>
              <w:top w:val="single" w:sz="4" w:space="0" w:color="auto"/>
              <w:left w:val="nil"/>
              <w:bottom w:val="single" w:sz="4" w:space="0" w:color="auto"/>
              <w:right w:val="single" w:sz="4" w:space="0" w:color="auto"/>
            </w:tcBorders>
            <w:shd w:val="clear" w:color="auto" w:fill="FFFFFF" w:themeFill="background1"/>
            <w:noWrap/>
            <w:vAlign w:val="bottom"/>
            <w:hideMark/>
          </w:tcPr>
          <w:p w14:paraId="7AF2F152"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065" w:type="dxa"/>
            <w:tcBorders>
              <w:top w:val="nil"/>
              <w:left w:val="nil"/>
              <w:bottom w:val="single" w:sz="4" w:space="0" w:color="auto"/>
              <w:right w:val="single" w:sz="4" w:space="0" w:color="auto"/>
            </w:tcBorders>
            <w:shd w:val="clear" w:color="auto" w:fill="auto"/>
            <w:noWrap/>
            <w:vAlign w:val="bottom"/>
            <w:hideMark/>
          </w:tcPr>
          <w:p w14:paraId="5520CFDF" w14:textId="77777777" w:rsidR="00B8298D" w:rsidRPr="001D5EBB" w:rsidRDefault="00B8298D" w:rsidP="00B8298D">
            <w:pPr>
              <w:jc w:val="right"/>
              <w:rPr>
                <w:rFonts w:ascii="Arial Narrow" w:eastAsia="Times New Roman" w:hAnsi="Arial Narrow" w:cs="Calibri"/>
                <w:color w:val="000000" w:themeColor="text1"/>
                <w:sz w:val="18"/>
                <w:szCs w:val="18"/>
              </w:rPr>
            </w:pPr>
            <w:r w:rsidRPr="00FC1700">
              <w:rPr>
                <w:rFonts w:ascii="Arial Narrow" w:hAnsi="Arial Narrow" w:cs="Calibri"/>
                <w:color w:val="000000"/>
                <w:sz w:val="18"/>
                <w:szCs w:val="18"/>
              </w:rPr>
              <w:t>-65,736</w:t>
            </w:r>
          </w:p>
        </w:tc>
        <w:tc>
          <w:tcPr>
            <w:tcW w:w="1080" w:type="dxa"/>
            <w:tcBorders>
              <w:top w:val="nil"/>
              <w:left w:val="nil"/>
              <w:bottom w:val="single" w:sz="4" w:space="0" w:color="auto"/>
              <w:right w:val="single" w:sz="4" w:space="0" w:color="auto"/>
            </w:tcBorders>
            <w:shd w:val="clear" w:color="auto" w:fill="auto"/>
            <w:noWrap/>
            <w:vAlign w:val="bottom"/>
            <w:hideMark/>
          </w:tcPr>
          <w:p w14:paraId="66D38C3B" w14:textId="77777777"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-$5,</w:t>
            </w:r>
            <w:r>
              <w:rPr>
                <w:rFonts w:ascii="Arial Narrow" w:eastAsia="Times New Roman" w:hAnsi="Arial Narrow" w:cs="Calibri"/>
                <w:color w:val="000000"/>
                <w:sz w:val="18"/>
                <w:szCs w:val="18"/>
              </w:rPr>
              <w:t>100</w:t>
            </w:r>
            <w:r w:rsidRPr="006B5FC6">
              <w:rPr>
                <w:rFonts w:ascii="Arial Narrow" w:eastAsia="Times New Roman" w:hAnsi="Arial Narrow" w:cs="Calibri"/>
                <w:color w:val="000000"/>
                <w:sz w:val="18"/>
                <w:szCs w:val="18"/>
              </w:rPr>
              <w:t>,</w:t>
            </w:r>
            <w:r>
              <w:rPr>
                <w:rFonts w:ascii="Arial Narrow" w:eastAsia="Times New Roman" w:hAnsi="Arial Narrow" w:cs="Calibri"/>
                <w:color w:val="000000"/>
                <w:sz w:val="18"/>
                <w:szCs w:val="18"/>
              </w:rPr>
              <w:t>191</w:t>
            </w:r>
          </w:p>
        </w:tc>
      </w:tr>
      <w:tr w:rsidR="00B8298D" w:rsidRPr="007D2C2B" w14:paraId="1FF08B6F" w14:textId="77777777" w:rsidTr="00C9573B">
        <w:trPr>
          <w:jc w:val="center"/>
        </w:trPr>
        <w:tc>
          <w:tcPr>
            <w:tcW w:w="3240" w:type="dxa"/>
            <w:gridSpan w:val="2"/>
            <w:tcBorders>
              <w:top w:val="nil"/>
              <w:left w:val="single" w:sz="4" w:space="0" w:color="auto"/>
              <w:bottom w:val="single" w:sz="12" w:space="0" w:color="auto"/>
              <w:right w:val="single" w:sz="4" w:space="0" w:color="auto"/>
            </w:tcBorders>
            <w:shd w:val="clear" w:color="auto" w:fill="auto"/>
            <w:vAlign w:val="bottom"/>
            <w:hideMark/>
          </w:tcPr>
          <w:p w14:paraId="09D01B4D" w14:textId="77777777" w:rsidR="00B8298D" w:rsidRPr="006B5FC6" w:rsidRDefault="00B8298D" w:rsidP="00B8298D">
            <w:pP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Section </w:t>
            </w:r>
            <w:r w:rsidRPr="006B5FC6">
              <w:rPr>
                <w:rFonts w:ascii="Arial Narrow" w:eastAsia="Times New Roman" w:hAnsi="Arial Narrow" w:cs="Calibri"/>
                <w:color w:val="000000"/>
                <w:sz w:val="18"/>
                <w:szCs w:val="18"/>
              </w:rPr>
              <w:t>8(a) S</w:t>
            </w:r>
            <w:r>
              <w:rPr>
                <w:rFonts w:ascii="Arial Narrow" w:eastAsia="Times New Roman" w:hAnsi="Arial Narrow" w:cs="Calibri"/>
                <w:color w:val="000000"/>
                <w:sz w:val="18"/>
                <w:szCs w:val="18"/>
              </w:rPr>
              <w:t>GD</w:t>
            </w:r>
          </w:p>
        </w:tc>
        <w:tc>
          <w:tcPr>
            <w:tcW w:w="900" w:type="dxa"/>
            <w:tcBorders>
              <w:top w:val="nil"/>
              <w:left w:val="nil"/>
              <w:bottom w:val="single" w:sz="12" w:space="0" w:color="auto"/>
              <w:right w:val="single" w:sz="4" w:space="0" w:color="auto"/>
            </w:tcBorders>
            <w:shd w:val="clear" w:color="auto" w:fill="auto"/>
            <w:vAlign w:val="bottom"/>
            <w:hideMark/>
          </w:tcPr>
          <w:p w14:paraId="0FB41A04"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33</w:t>
            </w:r>
          </w:p>
        </w:tc>
        <w:tc>
          <w:tcPr>
            <w:tcW w:w="990" w:type="dxa"/>
            <w:tcBorders>
              <w:top w:val="nil"/>
              <w:left w:val="nil"/>
              <w:bottom w:val="single" w:sz="12" w:space="0" w:color="auto"/>
              <w:right w:val="single" w:sz="4" w:space="0" w:color="auto"/>
            </w:tcBorders>
            <w:shd w:val="clear" w:color="auto" w:fill="auto"/>
            <w:noWrap/>
            <w:vAlign w:val="bottom"/>
            <w:hideMark/>
          </w:tcPr>
          <w:p w14:paraId="0B56B20B" w14:textId="77777777" w:rsidR="00B8298D" w:rsidRPr="006B5FC6" w:rsidRDefault="00B8298D" w:rsidP="00B8298D">
            <w:pPr>
              <w:jc w:val="right"/>
              <w:rPr>
                <w:rFonts w:ascii="Arial Narrow" w:eastAsia="Times New Roman" w:hAnsi="Arial Narrow" w:cs="Calibri"/>
                <w:color w:val="000000" w:themeColor="text1"/>
                <w:sz w:val="18"/>
                <w:szCs w:val="18"/>
              </w:rPr>
            </w:pPr>
            <w:r w:rsidRPr="0B02F8A5">
              <w:rPr>
                <w:rFonts w:ascii="Arial Narrow" w:eastAsia="Times New Roman" w:hAnsi="Arial Narrow" w:cs="Calibri"/>
                <w:color w:val="000000" w:themeColor="text1"/>
                <w:sz w:val="18"/>
                <w:szCs w:val="18"/>
              </w:rPr>
              <w:t>29</w:t>
            </w:r>
          </w:p>
        </w:tc>
        <w:tc>
          <w:tcPr>
            <w:tcW w:w="930" w:type="dxa"/>
            <w:tcBorders>
              <w:top w:val="single" w:sz="4" w:space="0" w:color="auto"/>
              <w:left w:val="nil"/>
              <w:bottom w:val="single" w:sz="12" w:space="0" w:color="auto"/>
              <w:right w:val="single" w:sz="4" w:space="0" w:color="auto"/>
            </w:tcBorders>
            <w:shd w:val="clear" w:color="auto" w:fill="FFFFFF" w:themeFill="background1"/>
            <w:noWrap/>
            <w:vAlign w:val="bottom"/>
            <w:hideMark/>
          </w:tcPr>
          <w:p w14:paraId="17F91861"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155" w:type="dxa"/>
            <w:tcBorders>
              <w:top w:val="single" w:sz="4" w:space="0" w:color="auto"/>
              <w:left w:val="nil"/>
              <w:bottom w:val="single" w:sz="12" w:space="0" w:color="auto"/>
              <w:right w:val="single" w:sz="4" w:space="0" w:color="auto"/>
            </w:tcBorders>
            <w:shd w:val="clear" w:color="auto" w:fill="FFFFFF" w:themeFill="background1"/>
            <w:noWrap/>
            <w:vAlign w:val="bottom"/>
            <w:hideMark/>
          </w:tcPr>
          <w:p w14:paraId="4A29068C" w14:textId="77777777" w:rsidR="00B8298D" w:rsidRPr="006B5FC6" w:rsidRDefault="00B8298D" w:rsidP="00B8298D">
            <w:pPr>
              <w:jc w:val="center"/>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N/A</w:t>
            </w:r>
          </w:p>
        </w:tc>
        <w:tc>
          <w:tcPr>
            <w:tcW w:w="1065" w:type="dxa"/>
            <w:tcBorders>
              <w:top w:val="nil"/>
              <w:left w:val="nil"/>
              <w:bottom w:val="single" w:sz="12" w:space="0" w:color="auto"/>
              <w:right w:val="single" w:sz="4" w:space="0" w:color="auto"/>
            </w:tcBorders>
            <w:shd w:val="clear" w:color="auto" w:fill="auto"/>
            <w:noWrap/>
            <w:vAlign w:val="bottom"/>
            <w:hideMark/>
          </w:tcPr>
          <w:p w14:paraId="22ED0360" w14:textId="77777777" w:rsidR="00B8298D" w:rsidRPr="00DB3A26" w:rsidRDefault="00B8298D" w:rsidP="00B8298D">
            <w:pPr>
              <w:jc w:val="right"/>
              <w:rPr>
                <w:rFonts w:ascii="Arial Narrow" w:eastAsia="Times New Roman" w:hAnsi="Arial Narrow" w:cs="Calibri"/>
                <w:color w:val="000000" w:themeColor="text1"/>
                <w:sz w:val="18"/>
                <w:szCs w:val="18"/>
              </w:rPr>
            </w:pPr>
            <w:r w:rsidRPr="00FC1700">
              <w:rPr>
                <w:rFonts w:ascii="Arial Narrow" w:hAnsi="Arial Narrow" w:cs="Calibri"/>
                <w:color w:val="000000"/>
                <w:sz w:val="18"/>
                <w:szCs w:val="18"/>
              </w:rPr>
              <w:t>-509</w:t>
            </w:r>
          </w:p>
        </w:tc>
        <w:tc>
          <w:tcPr>
            <w:tcW w:w="1080" w:type="dxa"/>
            <w:tcBorders>
              <w:top w:val="nil"/>
              <w:left w:val="nil"/>
              <w:bottom w:val="single" w:sz="12" w:space="0" w:color="auto"/>
              <w:right w:val="single" w:sz="4" w:space="0" w:color="auto"/>
            </w:tcBorders>
            <w:shd w:val="clear" w:color="auto" w:fill="auto"/>
            <w:noWrap/>
            <w:vAlign w:val="bottom"/>
            <w:hideMark/>
          </w:tcPr>
          <w:p w14:paraId="79A73D88" w14:textId="77777777" w:rsidR="00B8298D" w:rsidRPr="006B5FC6" w:rsidRDefault="00B8298D" w:rsidP="00B8298D">
            <w:pPr>
              <w:jc w:val="right"/>
              <w:rPr>
                <w:rFonts w:ascii="Arial Narrow" w:eastAsia="Times New Roman" w:hAnsi="Arial Narrow" w:cs="Calibri"/>
                <w:color w:val="000000"/>
                <w:sz w:val="18"/>
                <w:szCs w:val="18"/>
              </w:rPr>
            </w:pPr>
            <w:r w:rsidRPr="006B5FC6">
              <w:rPr>
                <w:rFonts w:ascii="Arial Narrow" w:eastAsia="Times New Roman" w:hAnsi="Arial Narrow" w:cs="Calibri"/>
                <w:color w:val="000000"/>
                <w:sz w:val="18"/>
                <w:szCs w:val="18"/>
              </w:rPr>
              <w:t>-$39,</w:t>
            </w:r>
            <w:r>
              <w:rPr>
                <w:rFonts w:ascii="Arial Narrow" w:eastAsia="Times New Roman" w:hAnsi="Arial Narrow" w:cs="Calibri"/>
                <w:color w:val="000000"/>
                <w:sz w:val="18"/>
                <w:szCs w:val="18"/>
              </w:rPr>
              <w:t>407</w:t>
            </w:r>
          </w:p>
        </w:tc>
      </w:tr>
      <w:tr w:rsidR="00B8298D" w:rsidRPr="007D2C2B" w14:paraId="2F9ECA28" w14:textId="77777777" w:rsidTr="00C9573B">
        <w:trPr>
          <w:jc w:val="center"/>
        </w:trPr>
        <w:tc>
          <w:tcPr>
            <w:tcW w:w="3240" w:type="dxa"/>
            <w:gridSpan w:val="2"/>
            <w:tcBorders>
              <w:top w:val="single" w:sz="12" w:space="0" w:color="auto"/>
              <w:left w:val="single" w:sz="8" w:space="0" w:color="auto"/>
              <w:bottom w:val="single" w:sz="8" w:space="0" w:color="auto"/>
            </w:tcBorders>
            <w:shd w:val="clear" w:color="auto" w:fill="auto"/>
            <w:vAlign w:val="bottom"/>
            <w:hideMark/>
          </w:tcPr>
          <w:p w14:paraId="6A21F312" w14:textId="77777777" w:rsidR="00B8298D" w:rsidRPr="006B5FC6" w:rsidRDefault="00B8298D" w:rsidP="00B8298D">
            <w:pPr>
              <w:rPr>
                <w:rFonts w:ascii="Arial Narrow" w:eastAsia="Times New Roman" w:hAnsi="Arial Narrow" w:cs="Calibri"/>
                <w:b/>
                <w:bCs/>
                <w:color w:val="000000"/>
                <w:sz w:val="18"/>
                <w:szCs w:val="18"/>
              </w:rPr>
            </w:pPr>
            <w:r w:rsidRPr="006B5FC6">
              <w:rPr>
                <w:rFonts w:ascii="Arial Narrow" w:eastAsia="Times New Roman" w:hAnsi="Arial Narrow" w:cs="Calibri"/>
                <w:b/>
                <w:bCs/>
                <w:color w:val="000000"/>
                <w:sz w:val="18"/>
                <w:szCs w:val="18"/>
              </w:rPr>
              <w:t>Total</w:t>
            </w:r>
          </w:p>
        </w:tc>
        <w:tc>
          <w:tcPr>
            <w:tcW w:w="900" w:type="dxa"/>
            <w:tcBorders>
              <w:top w:val="single" w:sz="12" w:space="0" w:color="auto"/>
              <w:bottom w:val="single" w:sz="8" w:space="0" w:color="auto"/>
            </w:tcBorders>
            <w:shd w:val="clear" w:color="auto" w:fill="auto"/>
            <w:vAlign w:val="bottom"/>
            <w:hideMark/>
          </w:tcPr>
          <w:p w14:paraId="3376D9E6" w14:textId="77777777" w:rsidR="00B8298D" w:rsidRPr="006B5FC6"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 </w:t>
            </w:r>
          </w:p>
        </w:tc>
        <w:tc>
          <w:tcPr>
            <w:tcW w:w="990" w:type="dxa"/>
            <w:tcBorders>
              <w:top w:val="single" w:sz="12" w:space="0" w:color="auto"/>
              <w:bottom w:val="single" w:sz="8" w:space="0" w:color="auto"/>
            </w:tcBorders>
            <w:shd w:val="clear" w:color="auto" w:fill="auto"/>
            <w:noWrap/>
            <w:vAlign w:val="bottom"/>
            <w:hideMark/>
          </w:tcPr>
          <w:p w14:paraId="719216A8" w14:textId="77777777" w:rsidR="00B8298D" w:rsidRPr="006B5FC6"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 </w:t>
            </w:r>
          </w:p>
        </w:tc>
        <w:tc>
          <w:tcPr>
            <w:tcW w:w="930" w:type="dxa"/>
            <w:tcBorders>
              <w:top w:val="single" w:sz="12" w:space="0" w:color="auto"/>
              <w:bottom w:val="single" w:sz="8" w:space="0" w:color="auto"/>
            </w:tcBorders>
            <w:shd w:val="clear" w:color="auto" w:fill="auto"/>
            <w:noWrap/>
            <w:vAlign w:val="bottom"/>
            <w:hideMark/>
          </w:tcPr>
          <w:p w14:paraId="0C7C1D86" w14:textId="77777777" w:rsidR="00B8298D" w:rsidRPr="006B5FC6"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 </w:t>
            </w:r>
          </w:p>
        </w:tc>
        <w:tc>
          <w:tcPr>
            <w:tcW w:w="1155" w:type="dxa"/>
            <w:tcBorders>
              <w:top w:val="single" w:sz="12" w:space="0" w:color="auto"/>
              <w:bottom w:val="single" w:sz="8" w:space="0" w:color="auto"/>
              <w:right w:val="single" w:sz="4" w:space="0" w:color="auto"/>
            </w:tcBorders>
            <w:shd w:val="clear" w:color="auto" w:fill="auto"/>
            <w:noWrap/>
            <w:vAlign w:val="bottom"/>
            <w:hideMark/>
          </w:tcPr>
          <w:p w14:paraId="10856623" w14:textId="77777777" w:rsidR="00B8298D" w:rsidRPr="006B5FC6"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 </w:t>
            </w:r>
          </w:p>
        </w:tc>
        <w:tc>
          <w:tcPr>
            <w:tcW w:w="1065" w:type="dxa"/>
            <w:tcBorders>
              <w:top w:val="single" w:sz="12" w:space="0" w:color="auto"/>
              <w:left w:val="single" w:sz="4" w:space="0" w:color="auto"/>
              <w:bottom w:val="single" w:sz="8" w:space="0" w:color="auto"/>
              <w:right w:val="single" w:sz="4" w:space="0" w:color="auto"/>
            </w:tcBorders>
            <w:shd w:val="clear" w:color="auto" w:fill="auto"/>
            <w:noWrap/>
            <w:vAlign w:val="bottom"/>
            <w:hideMark/>
          </w:tcPr>
          <w:p w14:paraId="68AC18FD" w14:textId="7478DD83" w:rsidR="00B8298D" w:rsidRPr="006B5FC6" w:rsidRDefault="00B8298D" w:rsidP="00B8298D">
            <w:pPr>
              <w:jc w:val="right"/>
              <w:rPr>
                <w:rFonts w:ascii="Arial Narrow" w:eastAsia="Times New Roman" w:hAnsi="Arial Narrow" w:cs="Calibri"/>
                <w:b/>
                <w:bCs/>
                <w:color w:val="000000" w:themeColor="text1"/>
                <w:sz w:val="18"/>
                <w:szCs w:val="18"/>
              </w:rPr>
            </w:pPr>
            <w:r w:rsidRPr="0B02F8A5">
              <w:rPr>
                <w:rFonts w:ascii="Arial Narrow" w:eastAsia="Times New Roman" w:hAnsi="Arial Narrow" w:cs="Calibri"/>
                <w:b/>
                <w:bCs/>
                <w:color w:val="000000" w:themeColor="text1"/>
                <w:sz w:val="18"/>
                <w:szCs w:val="18"/>
              </w:rPr>
              <w:t>-</w:t>
            </w:r>
            <w:r>
              <w:rPr>
                <w:rFonts w:ascii="Arial Narrow" w:eastAsia="Times New Roman" w:hAnsi="Arial Narrow" w:cs="Calibri"/>
                <w:b/>
                <w:bCs/>
                <w:color w:val="000000" w:themeColor="text1"/>
                <w:sz w:val="18"/>
                <w:szCs w:val="18"/>
              </w:rPr>
              <w:t>102,261</w:t>
            </w:r>
          </w:p>
        </w:tc>
        <w:tc>
          <w:tcPr>
            <w:tcW w:w="1080" w:type="dxa"/>
            <w:tcBorders>
              <w:top w:val="single" w:sz="12" w:space="0" w:color="auto"/>
              <w:left w:val="single" w:sz="4" w:space="0" w:color="auto"/>
              <w:bottom w:val="single" w:sz="8" w:space="0" w:color="auto"/>
              <w:right w:val="single" w:sz="8" w:space="0" w:color="auto"/>
            </w:tcBorders>
            <w:shd w:val="clear" w:color="auto" w:fill="auto"/>
            <w:noWrap/>
            <w:vAlign w:val="bottom"/>
            <w:hideMark/>
          </w:tcPr>
          <w:p w14:paraId="2D479EAB" w14:textId="738F6EB0" w:rsidR="00B8298D" w:rsidRPr="006B5FC6" w:rsidRDefault="00B8298D" w:rsidP="00B8298D">
            <w:pPr>
              <w:jc w:val="right"/>
              <w:rPr>
                <w:rFonts w:ascii="Arial Narrow" w:eastAsia="Times New Roman" w:hAnsi="Arial Narrow" w:cs="Calibri"/>
                <w:b/>
                <w:bCs/>
                <w:color w:val="000000"/>
                <w:sz w:val="18"/>
                <w:szCs w:val="18"/>
              </w:rPr>
            </w:pPr>
            <w:r w:rsidRPr="006B5FC6">
              <w:rPr>
                <w:rFonts w:ascii="Arial Narrow" w:eastAsia="Times New Roman" w:hAnsi="Arial Narrow" w:cs="Calibri"/>
                <w:b/>
                <w:bCs/>
                <w:color w:val="000000"/>
                <w:sz w:val="18"/>
                <w:szCs w:val="18"/>
              </w:rPr>
              <w:t>-</w:t>
            </w:r>
            <w:r>
              <w:rPr>
                <w:rFonts w:ascii="Arial Narrow" w:eastAsia="Times New Roman" w:hAnsi="Arial Narrow" w:cs="Calibri"/>
                <w:b/>
                <w:bCs/>
                <w:color w:val="000000"/>
                <w:sz w:val="18"/>
                <w:szCs w:val="18"/>
              </w:rPr>
              <w:t>$7,933,242</w:t>
            </w:r>
          </w:p>
        </w:tc>
      </w:tr>
      <w:tr w:rsidR="00BC3475" w:rsidRPr="00567DF0" w14:paraId="602E0ADD" w14:textId="77777777" w:rsidTr="00310FD7">
        <w:tblPrEx>
          <w:tblCellMar>
            <w:left w:w="108" w:type="dxa"/>
            <w:right w:w="108" w:type="dxa"/>
          </w:tblCellMar>
        </w:tblPrEx>
        <w:trPr>
          <w:jc w:val="center"/>
        </w:trPr>
        <w:tc>
          <w:tcPr>
            <w:tcW w:w="9360" w:type="dxa"/>
            <w:gridSpan w:val="8"/>
            <w:tcBorders>
              <w:top w:val="single" w:sz="4" w:space="0" w:color="auto"/>
              <w:left w:val="single" w:sz="4" w:space="0" w:color="auto"/>
              <w:right w:val="single" w:sz="4" w:space="0" w:color="auto"/>
            </w:tcBorders>
            <w:shd w:val="clear" w:color="auto" w:fill="auto"/>
          </w:tcPr>
          <w:p w14:paraId="34D4BB9B" w14:textId="77777777" w:rsidR="00BC3475" w:rsidRPr="00567DF0" w:rsidRDefault="00BC3475" w:rsidP="00687BB1">
            <w:pPr>
              <w:rPr>
                <w:rFonts w:ascii="Arial Narrow" w:hAnsi="Arial Narrow" w:cs="Calibri"/>
                <w:bCs/>
                <w:color w:val="000000"/>
                <w:sz w:val="18"/>
                <w:szCs w:val="18"/>
              </w:rPr>
            </w:pPr>
            <w:r w:rsidRPr="00567DF0">
              <w:rPr>
                <w:rFonts w:ascii="Arial Narrow" w:hAnsi="Arial Narrow" w:cs="Calibri"/>
                <w:bCs/>
                <w:color w:val="000000"/>
                <w:sz w:val="18"/>
                <w:szCs w:val="18"/>
              </w:rPr>
              <w:t>Footnote:</w:t>
            </w:r>
          </w:p>
        </w:tc>
      </w:tr>
      <w:tr w:rsidR="00BC3475" w:rsidRPr="00565011" w14:paraId="5D8F403A" w14:textId="77777777" w:rsidTr="00310FD7">
        <w:tblPrEx>
          <w:tblCellMar>
            <w:left w:w="108" w:type="dxa"/>
            <w:right w:w="108" w:type="dxa"/>
          </w:tblCellMar>
        </w:tblPrEx>
        <w:trPr>
          <w:jc w:val="center"/>
        </w:trPr>
        <w:tc>
          <w:tcPr>
            <w:tcW w:w="270" w:type="dxa"/>
            <w:tcBorders>
              <w:left w:val="single" w:sz="4" w:space="0" w:color="auto"/>
              <w:bottom w:val="single" w:sz="4" w:space="0" w:color="auto"/>
            </w:tcBorders>
            <w:shd w:val="clear" w:color="auto" w:fill="auto"/>
          </w:tcPr>
          <w:p w14:paraId="6163AD27" w14:textId="77777777" w:rsidR="00BC3475" w:rsidRDefault="00BC3475" w:rsidP="00687BB1">
            <w:pPr>
              <w:jc w:val="right"/>
              <w:rPr>
                <w:rFonts w:ascii="Arial Narrow" w:eastAsia="Times New Roman" w:hAnsi="Arial Narrow" w:cs="Calibri"/>
                <w:b/>
                <w:color w:val="000000"/>
                <w:sz w:val="18"/>
                <w:szCs w:val="18"/>
                <w:vertAlign w:val="superscript"/>
              </w:rPr>
            </w:pPr>
            <w:r>
              <w:rPr>
                <w:rFonts w:ascii="Arial Narrow" w:eastAsia="Times New Roman" w:hAnsi="Arial Narrow" w:cs="Calibri"/>
                <w:b/>
                <w:color w:val="000000"/>
                <w:sz w:val="18"/>
                <w:szCs w:val="18"/>
                <w:vertAlign w:val="superscript"/>
              </w:rPr>
              <w:t>1</w:t>
            </w:r>
          </w:p>
        </w:tc>
        <w:tc>
          <w:tcPr>
            <w:tcW w:w="9090" w:type="dxa"/>
            <w:gridSpan w:val="7"/>
            <w:tcBorders>
              <w:bottom w:val="single" w:sz="4" w:space="0" w:color="auto"/>
              <w:right w:val="single" w:sz="4" w:space="0" w:color="auto"/>
            </w:tcBorders>
            <w:shd w:val="clear" w:color="auto" w:fill="auto"/>
            <w:noWrap/>
          </w:tcPr>
          <w:p w14:paraId="47F6AE73" w14:textId="2C0E4DCA" w:rsidR="00BC3475" w:rsidRPr="00565011" w:rsidRDefault="00BC3475" w:rsidP="00687BB1">
            <w:pPr>
              <w:rPr>
                <w:rFonts w:ascii="Arial Narrow" w:hAnsi="Arial Narrow" w:cs="Calibri"/>
                <w:bCs/>
                <w:color w:val="000000"/>
                <w:sz w:val="18"/>
                <w:szCs w:val="18"/>
              </w:rPr>
            </w:pPr>
            <w:r w:rsidRPr="007A7147">
              <w:rPr>
                <w:rFonts w:ascii="Arial Narrow" w:hAnsi="Arial Narrow" w:cs="Calibri"/>
                <w:bCs/>
                <w:color w:val="000000"/>
                <w:sz w:val="18"/>
                <w:szCs w:val="18"/>
              </w:rPr>
              <w:t xml:space="preserve">Estimates of incremental until burden </w:t>
            </w:r>
            <w:r>
              <w:rPr>
                <w:rFonts w:ascii="Arial Narrow" w:hAnsi="Arial Narrow" w:cs="Calibri"/>
                <w:bCs/>
                <w:color w:val="000000"/>
                <w:sz w:val="18"/>
                <w:szCs w:val="18"/>
              </w:rPr>
              <w:t xml:space="preserve">and unit cost are back-calculated to ensure table presentation consistency and therefore differ slightly from corresponding estimates in </w:t>
            </w:r>
            <w:r w:rsidRPr="007A7147">
              <w:rPr>
                <w:rFonts w:ascii="Arial Narrow" w:hAnsi="Arial Narrow" w:cs="Calibri"/>
                <w:bCs/>
                <w:color w:val="000000"/>
                <w:sz w:val="18"/>
                <w:szCs w:val="18"/>
              </w:rPr>
              <w:fldChar w:fldCharType="begin"/>
            </w:r>
            <w:r w:rsidRPr="007A7147">
              <w:rPr>
                <w:rFonts w:ascii="Arial Narrow" w:hAnsi="Arial Narrow" w:cs="Calibri"/>
                <w:bCs/>
                <w:color w:val="000000"/>
                <w:sz w:val="18"/>
                <w:szCs w:val="18"/>
              </w:rPr>
              <w:instrText xml:space="preserve"> REF _Ref526352636 \h  \* MERGEFORMAT </w:instrText>
            </w:r>
            <w:r w:rsidRPr="007A7147">
              <w:rPr>
                <w:rFonts w:ascii="Arial Narrow" w:hAnsi="Arial Narrow" w:cs="Calibri"/>
                <w:bCs/>
                <w:color w:val="000000"/>
                <w:sz w:val="18"/>
                <w:szCs w:val="18"/>
              </w:rPr>
            </w:r>
            <w:r w:rsidRPr="007A7147">
              <w:rPr>
                <w:rFonts w:ascii="Arial Narrow" w:hAnsi="Arial Narrow" w:cs="Calibri"/>
                <w:bCs/>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4</w:t>
            </w:r>
            <w:r w:rsidRPr="007A7147">
              <w:rPr>
                <w:rFonts w:ascii="Arial Narrow" w:hAnsi="Arial Narrow" w:cs="Calibri"/>
                <w:bCs/>
                <w:color w:val="000000"/>
                <w:sz w:val="18"/>
                <w:szCs w:val="18"/>
              </w:rPr>
              <w:fldChar w:fldCharType="end"/>
            </w:r>
            <w:r w:rsidRPr="007A7147">
              <w:rPr>
                <w:rFonts w:ascii="Arial Narrow" w:hAnsi="Arial Narrow" w:cs="Calibri"/>
                <w:bCs/>
                <w:color w:val="000000"/>
                <w:sz w:val="18"/>
                <w:szCs w:val="18"/>
              </w:rPr>
              <w:t xml:space="preserve"> through </w:t>
            </w:r>
            <w:r w:rsidRPr="007A7147">
              <w:rPr>
                <w:rFonts w:ascii="Arial Narrow" w:hAnsi="Arial Narrow" w:cs="Calibri"/>
                <w:bCs/>
                <w:color w:val="000000"/>
                <w:sz w:val="18"/>
                <w:szCs w:val="18"/>
              </w:rPr>
              <w:fldChar w:fldCharType="begin"/>
            </w:r>
            <w:r w:rsidRPr="007A7147">
              <w:rPr>
                <w:rFonts w:ascii="Arial Narrow" w:hAnsi="Arial Narrow" w:cs="Calibri"/>
                <w:bCs/>
                <w:color w:val="000000"/>
                <w:sz w:val="18"/>
                <w:szCs w:val="18"/>
              </w:rPr>
              <w:instrText xml:space="preserve"> REF _Ref526353458 \h  \* MERGEFORMAT </w:instrText>
            </w:r>
            <w:r w:rsidRPr="007A7147">
              <w:rPr>
                <w:rFonts w:ascii="Arial Narrow" w:hAnsi="Arial Narrow" w:cs="Calibri"/>
                <w:bCs/>
                <w:color w:val="000000"/>
                <w:sz w:val="18"/>
                <w:szCs w:val="18"/>
              </w:rPr>
            </w:r>
            <w:r w:rsidRPr="007A7147">
              <w:rPr>
                <w:rFonts w:ascii="Arial Narrow" w:hAnsi="Arial Narrow" w:cs="Calibri"/>
                <w:bCs/>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6</w:t>
            </w:r>
            <w:r w:rsidRPr="007A7147">
              <w:rPr>
                <w:rFonts w:ascii="Arial Narrow" w:hAnsi="Arial Narrow" w:cs="Calibri"/>
                <w:bCs/>
                <w:color w:val="000000"/>
                <w:sz w:val="18"/>
                <w:szCs w:val="18"/>
              </w:rPr>
              <w:fldChar w:fldCharType="end"/>
            </w:r>
            <w:r w:rsidRPr="007A7147">
              <w:rPr>
                <w:rFonts w:ascii="Arial Narrow" w:hAnsi="Arial Narrow" w:cs="Calibri"/>
                <w:bCs/>
                <w:color w:val="000000"/>
                <w:sz w:val="18"/>
                <w:szCs w:val="18"/>
              </w:rPr>
              <w:t xml:space="preserve"> and </w:t>
            </w:r>
            <w:r w:rsidRPr="007A7147">
              <w:rPr>
                <w:rFonts w:ascii="Arial Narrow" w:hAnsi="Arial Narrow" w:cs="Calibri"/>
                <w:bCs/>
                <w:color w:val="000000"/>
                <w:sz w:val="18"/>
                <w:szCs w:val="18"/>
              </w:rPr>
              <w:fldChar w:fldCharType="begin"/>
            </w:r>
            <w:r w:rsidRPr="007A7147">
              <w:rPr>
                <w:rFonts w:ascii="Arial Narrow" w:hAnsi="Arial Narrow" w:cs="Calibri"/>
                <w:bCs/>
                <w:color w:val="000000"/>
                <w:sz w:val="18"/>
                <w:szCs w:val="18"/>
              </w:rPr>
              <w:instrText xml:space="preserve"> REF _Ref526353586 \h  \* MERGEFORMAT </w:instrText>
            </w:r>
            <w:r w:rsidRPr="007A7147">
              <w:rPr>
                <w:rFonts w:ascii="Arial Narrow" w:hAnsi="Arial Narrow" w:cs="Calibri"/>
                <w:bCs/>
                <w:color w:val="000000"/>
                <w:sz w:val="18"/>
                <w:szCs w:val="18"/>
              </w:rPr>
            </w:r>
            <w:r w:rsidRPr="007A7147">
              <w:rPr>
                <w:rFonts w:ascii="Arial Narrow" w:hAnsi="Arial Narrow" w:cs="Calibri"/>
                <w:bCs/>
                <w:color w:val="000000"/>
                <w:sz w:val="18"/>
                <w:szCs w:val="18"/>
              </w:rPr>
              <w:fldChar w:fldCharType="separate"/>
            </w:r>
            <w:r w:rsidR="00745E52" w:rsidRPr="00C9573B">
              <w:rPr>
                <w:rFonts w:ascii="Arial Narrow" w:hAnsi="Arial Narrow"/>
                <w:sz w:val="18"/>
                <w:szCs w:val="18"/>
              </w:rPr>
              <w:t xml:space="preserve">Table </w:t>
            </w:r>
            <w:r w:rsidR="00745E52" w:rsidRPr="00C9573B">
              <w:rPr>
                <w:rFonts w:ascii="Arial Narrow" w:hAnsi="Arial Narrow"/>
                <w:noProof/>
                <w:sz w:val="18"/>
                <w:szCs w:val="18"/>
              </w:rPr>
              <w:t>8</w:t>
            </w:r>
            <w:r w:rsidRPr="007A7147">
              <w:rPr>
                <w:rFonts w:ascii="Arial Narrow" w:hAnsi="Arial Narrow" w:cs="Calibri"/>
                <w:bCs/>
                <w:color w:val="000000"/>
                <w:sz w:val="18"/>
                <w:szCs w:val="18"/>
              </w:rPr>
              <w:fldChar w:fldCharType="end"/>
            </w:r>
            <w:r>
              <w:rPr>
                <w:rFonts w:ascii="Arial Narrow" w:hAnsi="Arial Narrow" w:cs="Calibri"/>
                <w:bCs/>
                <w:color w:val="000000"/>
                <w:sz w:val="18"/>
                <w:szCs w:val="18"/>
              </w:rPr>
              <w:t xml:space="preserve"> in this document</w:t>
            </w:r>
            <w:r w:rsidRPr="007A7147">
              <w:rPr>
                <w:rFonts w:ascii="Arial Narrow" w:hAnsi="Arial Narrow" w:cs="Calibri"/>
                <w:bCs/>
                <w:color w:val="000000"/>
                <w:sz w:val="18"/>
                <w:szCs w:val="18"/>
              </w:rPr>
              <w:t>.</w:t>
            </w:r>
          </w:p>
        </w:tc>
      </w:tr>
    </w:tbl>
    <w:p w14:paraId="79BE37AB" w14:textId="77777777" w:rsidR="00B8298D" w:rsidRDefault="00B8298D" w:rsidP="00B8298D">
      <w:pPr>
        <w:spacing w:after="200" w:line="276" w:lineRule="auto"/>
        <w:rPr>
          <w:b/>
          <w:highlight w:val="yellow"/>
          <w:u w:val="single"/>
        </w:rPr>
        <w:sectPr w:rsidR="00B8298D" w:rsidSect="00874EA2">
          <w:headerReference w:type="default" r:id="rId17"/>
          <w:footerReference w:type="default" r:id="rId18"/>
          <w:pgSz w:w="12240" w:h="15840"/>
          <w:pgMar w:top="1440" w:right="1440" w:bottom="1440" w:left="1440" w:header="720" w:footer="720" w:gutter="0"/>
          <w:cols w:space="720"/>
          <w:docGrid w:linePitch="360"/>
        </w:sectPr>
      </w:pPr>
    </w:p>
    <w:p w14:paraId="116AA4D8" w14:textId="77777777" w:rsidR="00B8298D" w:rsidRDefault="00B8298D" w:rsidP="00B8298D">
      <w:pPr>
        <w:pStyle w:val="Heading1"/>
      </w:pPr>
      <w:r>
        <w:t>REFERENCES</w:t>
      </w:r>
    </w:p>
    <w:p w14:paraId="4342A08D" w14:textId="77777777" w:rsidR="00B8298D" w:rsidRDefault="00B8298D" w:rsidP="00B8298D">
      <w:pPr>
        <w:spacing w:after="240"/>
        <w:ind w:left="450" w:hanging="450"/>
        <w:rPr>
          <w:iCs/>
        </w:rPr>
      </w:pPr>
      <w:bookmarkStart w:id="135" w:name="OLE_LINK6"/>
      <w:bookmarkStart w:id="136" w:name="OLE_LINK7"/>
      <w:r>
        <w:t xml:space="preserve">BLS (U.S. Bureau of Labor Statistics). 2018.  </w:t>
      </w:r>
      <w:r w:rsidRPr="0B02F8A5">
        <w:rPr>
          <w:i/>
          <w:iCs/>
        </w:rPr>
        <w:t>Employer Costs for Employee Compensation Supplementary Tables: December 2006 – December 2017</w:t>
      </w:r>
      <w:r>
        <w:t>. https//www/bls.gov/ncs/ect/.</w:t>
      </w:r>
    </w:p>
    <w:p w14:paraId="6E160FE5" w14:textId="219A691D" w:rsidR="00B8298D" w:rsidRPr="002C1543" w:rsidRDefault="00B8298D" w:rsidP="00B8298D">
      <w:pPr>
        <w:pStyle w:val="Reference"/>
        <w:spacing w:after="240"/>
        <w:rPr>
          <w:i/>
          <w:sz w:val="24"/>
        </w:rPr>
      </w:pPr>
      <w:r w:rsidRPr="002C1543">
        <w:rPr>
          <w:sz w:val="24"/>
        </w:rPr>
        <w:t>EPA</w:t>
      </w:r>
      <w:r>
        <w:rPr>
          <w:sz w:val="24"/>
        </w:rPr>
        <w:t>.</w:t>
      </w:r>
      <w:r w:rsidRPr="002C1543">
        <w:rPr>
          <w:sz w:val="24"/>
        </w:rPr>
        <w:t xml:space="preserve"> 2002. </w:t>
      </w:r>
      <w:r w:rsidR="00C303F2" w:rsidRPr="00874EA2">
        <w:rPr>
          <w:i/>
          <w:sz w:val="24"/>
        </w:rPr>
        <w:t xml:space="preserve">Revised </w:t>
      </w:r>
      <w:r w:rsidRPr="002C1543">
        <w:rPr>
          <w:i/>
          <w:sz w:val="24"/>
        </w:rPr>
        <w:t>Economic Analysis for the Amended Inventory Update Rule: Final Report (EPA-HQ-OPPT-2002-0054-0260).</w:t>
      </w:r>
      <w:r w:rsidRPr="002C1543">
        <w:rPr>
          <w:sz w:val="24"/>
        </w:rPr>
        <w:t xml:space="preserve"> Office of Pollution Prevention and Toxics, Economic and Policy Analysis Branch. August 2002</w:t>
      </w:r>
      <w:r w:rsidRPr="002C1543">
        <w:rPr>
          <w:i/>
          <w:sz w:val="24"/>
        </w:rPr>
        <w:t>.</w:t>
      </w:r>
    </w:p>
    <w:p w14:paraId="5F6CB9C1" w14:textId="77777777" w:rsidR="00B8298D" w:rsidRPr="00C67E88" w:rsidRDefault="00B8298D" w:rsidP="00B8298D">
      <w:pPr>
        <w:pStyle w:val="Reference"/>
        <w:spacing w:after="240"/>
        <w:rPr>
          <w:rFonts w:cs="Times New Roman"/>
        </w:rPr>
      </w:pPr>
      <w:r w:rsidRPr="008C5171">
        <w:rPr>
          <w:rFonts w:cs="Times New Roman"/>
          <w:sz w:val="24"/>
        </w:rPr>
        <w:t xml:space="preserve">EPA. 2009. </w:t>
      </w:r>
      <w:r w:rsidRPr="008C5171">
        <w:rPr>
          <w:rFonts w:cs="Times New Roman"/>
          <w:i/>
          <w:iCs/>
          <w:sz w:val="24"/>
        </w:rPr>
        <w:t>ICR Handbook: EPA’s Guide to Writing Information Collection Requests under the Paperwork Reduction Act of 1995</w:t>
      </w:r>
      <w:r w:rsidRPr="008C5171">
        <w:rPr>
          <w:rFonts w:cs="Times New Roman"/>
          <w:sz w:val="24"/>
        </w:rPr>
        <w:t>. Retrieved from https://www.pdffiller.com/10247637--ICR-Handbook---Environmental-Protection-Agency-.</w:t>
      </w:r>
    </w:p>
    <w:p w14:paraId="691EFACD" w14:textId="77777777" w:rsidR="00B8298D" w:rsidRDefault="00B8298D" w:rsidP="00B8298D">
      <w:pPr>
        <w:ind w:left="360" w:right="360" w:hanging="360"/>
      </w:pPr>
      <w:r w:rsidRPr="002C1543">
        <w:t>EPA</w:t>
      </w:r>
      <w:r>
        <w:t>.</w:t>
      </w:r>
      <w:r w:rsidRPr="002C1543">
        <w:t xml:space="preserve"> 201</w:t>
      </w:r>
      <w:r>
        <w:t>5</w:t>
      </w:r>
      <w:r w:rsidRPr="002C1543">
        <w:t xml:space="preserve">. </w:t>
      </w:r>
      <w:r w:rsidRPr="002C1543">
        <w:rPr>
          <w:i/>
        </w:rPr>
        <w:t xml:space="preserve">ICR No. </w:t>
      </w:r>
      <w:r w:rsidRPr="002C1543">
        <w:rPr>
          <w:bCs/>
          <w:i/>
        </w:rPr>
        <w:t>1884.0</w:t>
      </w:r>
      <w:r>
        <w:rPr>
          <w:bCs/>
          <w:i/>
        </w:rPr>
        <w:t>8</w:t>
      </w:r>
      <w:r w:rsidRPr="002C1543">
        <w:rPr>
          <w:i/>
        </w:rPr>
        <w:t>.</w:t>
      </w:r>
      <w:r w:rsidRPr="002C1543">
        <w:t xml:space="preserve"> </w:t>
      </w:r>
      <w:r w:rsidRPr="002C1543">
        <w:rPr>
          <w:i/>
          <w:iCs/>
        </w:rPr>
        <w:t>[Information Collection Request for]</w:t>
      </w:r>
      <w:r w:rsidRPr="002C1543">
        <w:rPr>
          <w:bCs/>
        </w:rPr>
        <w:t xml:space="preserve"> Partial Update of the TSCA Section 8(b) Inventory Data Base, Production and Site Report </w:t>
      </w:r>
      <w:r w:rsidRPr="002C1543">
        <w:rPr>
          <w:i/>
          <w:iCs/>
        </w:rPr>
        <w:t>Supporting Statement for a Request for</w:t>
      </w:r>
      <w:r w:rsidRPr="002C1543">
        <w:rPr>
          <w:bCs/>
        </w:rPr>
        <w:t xml:space="preserve"> </w:t>
      </w:r>
      <w:r w:rsidRPr="002C1543">
        <w:rPr>
          <w:i/>
          <w:iCs/>
        </w:rPr>
        <w:t>OMB Review under the Paperwork Reduction Act</w:t>
      </w:r>
      <w:r w:rsidRPr="002C1543">
        <w:t xml:space="preserve">. </w:t>
      </w:r>
      <w:r>
        <w:t>October</w:t>
      </w:r>
      <w:r w:rsidRPr="002C1543">
        <w:t xml:space="preserve"> </w:t>
      </w:r>
      <w:r>
        <w:t>14</w:t>
      </w:r>
      <w:r w:rsidRPr="002C1543">
        <w:t>, 201</w:t>
      </w:r>
      <w:r>
        <w:t>5</w:t>
      </w:r>
      <w:r w:rsidRPr="00686490">
        <w:t>. EPA-HQ-OPPT-2013-0721-0008</w:t>
      </w:r>
      <w:r>
        <w:t>.</w:t>
      </w:r>
    </w:p>
    <w:p w14:paraId="64887492" w14:textId="77777777" w:rsidR="00B8298D" w:rsidRDefault="00B8298D" w:rsidP="00874EA2">
      <w:pPr>
        <w:ind w:left="360" w:right="360" w:hanging="360"/>
      </w:pPr>
    </w:p>
    <w:p w14:paraId="61ECE6AB" w14:textId="77777777" w:rsidR="00B8298D" w:rsidRPr="00874EA2" w:rsidRDefault="00B8298D" w:rsidP="00874EA2">
      <w:pPr>
        <w:pStyle w:val="Reference"/>
        <w:spacing w:after="0"/>
        <w:rPr>
          <w:sz w:val="24"/>
        </w:rPr>
      </w:pPr>
      <w:r w:rsidRPr="00874EA2">
        <w:rPr>
          <w:sz w:val="24"/>
        </w:rPr>
        <w:t xml:space="preserve">EPA. 2018a. </w:t>
      </w:r>
      <w:r w:rsidRPr="00874EA2">
        <w:rPr>
          <w:i/>
          <w:sz w:val="24"/>
        </w:rPr>
        <w:t>2016 Chemical Data Reporting (CDR).</w:t>
      </w:r>
      <w:r w:rsidRPr="00874EA2">
        <w:rPr>
          <w:sz w:val="24"/>
        </w:rPr>
        <w:t xml:space="preserve"> CBI Dataset pulled on October 7, 2017 and developed in the EPAB CDR Database, internal EPA release. Office of Pollution Prevention and Toxics, Economic and Policy Analysis Branch. June 13, 2018.</w:t>
      </w:r>
    </w:p>
    <w:p w14:paraId="14D5AD2A" w14:textId="77777777" w:rsidR="00B8298D" w:rsidRDefault="00B8298D" w:rsidP="00B8298D">
      <w:pPr>
        <w:ind w:left="360" w:right="360" w:hanging="360"/>
      </w:pPr>
    </w:p>
    <w:p w14:paraId="00CCB594" w14:textId="3BCB0EB5" w:rsidR="00B8298D" w:rsidRPr="009F056B" w:rsidRDefault="00B8298D" w:rsidP="00B8298D">
      <w:pPr>
        <w:spacing w:after="200" w:line="276" w:lineRule="auto"/>
        <w:ind w:left="360" w:hanging="360"/>
      </w:pPr>
      <w:r w:rsidRPr="00B67EE1">
        <w:t>EPA</w:t>
      </w:r>
      <w:r>
        <w:t>.</w:t>
      </w:r>
      <w:r w:rsidRPr="00B67EE1">
        <w:t xml:space="preserve"> </w:t>
      </w:r>
      <w:r w:rsidR="00FF0FB5">
        <w:t>2018b</w:t>
      </w:r>
      <w:r w:rsidRPr="00B67EE1">
        <w:t xml:space="preserve">. ICR No. </w:t>
      </w:r>
      <w:r w:rsidRPr="00966B70">
        <w:t>1884.</w:t>
      </w:r>
      <w:r w:rsidR="009974C3">
        <w:t>1</w:t>
      </w:r>
      <w:r w:rsidRPr="00966B70">
        <w:t>0</w:t>
      </w:r>
      <w:r w:rsidRPr="00B67EE1">
        <w:t xml:space="preserve">. </w:t>
      </w:r>
      <w:r w:rsidRPr="006B5FC6">
        <w:rPr>
          <w:i/>
        </w:rPr>
        <w:t xml:space="preserve">[Information Collection Request for] </w:t>
      </w:r>
      <w:bookmarkStart w:id="137" w:name="_Hlk527459088"/>
      <w:r w:rsidRPr="00FC1700">
        <w:rPr>
          <w:rFonts w:eastAsia="Times New Roman" w:cs="Times New Roman"/>
        </w:rPr>
        <w:t>Chemical Data Reporting under the Toxic Substances Control Act (TSCA section 8(a))</w:t>
      </w:r>
      <w:bookmarkEnd w:id="137"/>
      <w:r>
        <w:rPr>
          <w:rFonts w:eastAsia="Times New Roman" w:cs="Times New Roman"/>
        </w:rPr>
        <w:t xml:space="preserve"> </w:t>
      </w:r>
      <w:r>
        <w:rPr>
          <w:rFonts w:eastAsia="Times New Roman" w:cs="Times New Roman"/>
          <w:i/>
        </w:rPr>
        <w:t>Supporting Statement for a Request for OMB Review under the Paperwork Reduction Act</w:t>
      </w:r>
      <w:r w:rsidRPr="001D5EBB">
        <w:t>.</w:t>
      </w:r>
      <w:r w:rsidRPr="00567576">
        <w:t xml:space="preserve"> </w:t>
      </w:r>
      <w:r>
        <w:t>October 29, 2018</w:t>
      </w:r>
      <w:r w:rsidRPr="00B67EE1">
        <w:t xml:space="preserve">. </w:t>
      </w:r>
      <w:r w:rsidRPr="00966B70">
        <w:t>EPA-HQ-OPPT-2017-0648.</w:t>
      </w:r>
    </w:p>
    <w:p w14:paraId="7CD5481D" w14:textId="780004CD" w:rsidR="00FF0FB5" w:rsidRPr="00B67EE1" w:rsidRDefault="00FF0FB5" w:rsidP="00FF0FB5">
      <w:pPr>
        <w:spacing w:after="200" w:line="276" w:lineRule="auto"/>
        <w:ind w:left="360" w:hanging="360"/>
      </w:pPr>
      <w:r w:rsidRPr="00567576">
        <w:t>EPA. 201</w:t>
      </w:r>
      <w:r>
        <w:t>9a</w:t>
      </w:r>
      <w:r w:rsidRPr="00567576">
        <w:t xml:space="preserve">. </w:t>
      </w:r>
      <w:r w:rsidRPr="006B5FC6">
        <w:rPr>
          <w:i/>
        </w:rPr>
        <w:t>Economic Analysis for the Proposed Rule on TSCA Chemical Data Reporting (CDR) Revisions</w:t>
      </w:r>
      <w:r>
        <w:t xml:space="preserve"> (RIN 2070-AK33). </w:t>
      </w:r>
      <w:r w:rsidRPr="009F056B">
        <w:t>Economic and Policy Analysis Branch</w:t>
      </w:r>
      <w:r w:rsidR="00096762">
        <w:t>,</w:t>
      </w:r>
      <w:r>
        <w:t xml:space="preserve"> </w:t>
      </w:r>
      <w:r w:rsidRPr="009F056B">
        <w:t>Chemistry, Economics</w:t>
      </w:r>
      <w:r>
        <w:t>,</w:t>
      </w:r>
      <w:r w:rsidRPr="009F056B">
        <w:t xml:space="preserve"> and Sustainable </w:t>
      </w:r>
      <w:r w:rsidRPr="00B67EE1">
        <w:t>Strategies Division, Office of Pollution Prevention and Toxics, U.S. Environmental Protection Agency, (included in same docket as this report</w:t>
      </w:r>
      <w:r>
        <w:t>, EPA-HQ-OPPT-2018-0321</w:t>
      </w:r>
      <w:r w:rsidRPr="00B67EE1">
        <w:t xml:space="preserve">). </w:t>
      </w:r>
    </w:p>
    <w:p w14:paraId="1D3C877C" w14:textId="33C51E84" w:rsidR="00FF0FB5" w:rsidRPr="00B67EE1" w:rsidRDefault="00FF0FB5" w:rsidP="00FF0FB5">
      <w:pPr>
        <w:spacing w:after="200" w:line="276" w:lineRule="auto"/>
        <w:ind w:left="360" w:hanging="360"/>
      </w:pPr>
      <w:r w:rsidRPr="00FF32BE">
        <w:t xml:space="preserve">EPA. </w:t>
      </w:r>
      <w:r>
        <w:t>2019b</w:t>
      </w:r>
      <w:r w:rsidRPr="00FF32BE">
        <w:t xml:space="preserve">. </w:t>
      </w:r>
      <w:r w:rsidRPr="006B5FC6">
        <w:rPr>
          <w:i/>
        </w:rPr>
        <w:t>Economic Analysis for Proposed Rule on the TSCA Section 8(a) Small Manufacturer Definition Update</w:t>
      </w:r>
      <w:r w:rsidRPr="00C120E8">
        <w:t xml:space="preserve"> (RIN 2070-AK33). </w:t>
      </w:r>
      <w:r w:rsidRPr="009F056B">
        <w:t>Economic and Policy Analysis Branch</w:t>
      </w:r>
      <w:r w:rsidR="00096762">
        <w:t>,</w:t>
      </w:r>
      <w:r>
        <w:t xml:space="preserve"> </w:t>
      </w:r>
      <w:r w:rsidRPr="009F056B">
        <w:t>Chemistry, Economics</w:t>
      </w:r>
      <w:r>
        <w:t>,</w:t>
      </w:r>
      <w:r w:rsidRPr="009F056B">
        <w:t xml:space="preserve"> and Sustainable </w:t>
      </w:r>
      <w:r w:rsidRPr="00B67EE1">
        <w:t>Strategies Division, Office of Pollution Prevention and Toxics, U.S. Environmental Protection Agency, (included in same docket as this report</w:t>
      </w:r>
      <w:r>
        <w:t>, EPA-HQ-OPPT-2018-0321</w:t>
      </w:r>
      <w:r w:rsidRPr="00B67EE1">
        <w:t xml:space="preserve">). </w:t>
      </w:r>
    </w:p>
    <w:p w14:paraId="485EAC6E" w14:textId="7B197AAE" w:rsidR="00B8298D" w:rsidRDefault="00B8298D" w:rsidP="00B8298D">
      <w:pPr>
        <w:spacing w:after="240"/>
        <w:ind w:left="450" w:hanging="450"/>
      </w:pPr>
      <w:r w:rsidRPr="00FE7AEE">
        <w:rPr>
          <w:iCs/>
        </w:rPr>
        <w:t>OPM (Office of Personnel Management).</w:t>
      </w:r>
      <w:r w:rsidRPr="00652D84">
        <w:rPr>
          <w:iCs/>
        </w:rPr>
        <w:t xml:space="preserve"> 201</w:t>
      </w:r>
      <w:r w:rsidRPr="006E4E30">
        <w:rPr>
          <w:iCs/>
        </w:rPr>
        <w:t xml:space="preserve">8. </w:t>
      </w:r>
      <w:r w:rsidRPr="006B5FC6">
        <w:rPr>
          <w:i/>
          <w:iCs/>
        </w:rPr>
        <w:t>Salary Table 201</w:t>
      </w:r>
      <w:r>
        <w:rPr>
          <w:i/>
          <w:iCs/>
        </w:rPr>
        <w:t>7</w:t>
      </w:r>
      <w:r w:rsidRPr="006B5FC6">
        <w:rPr>
          <w:i/>
          <w:iCs/>
        </w:rPr>
        <w:t>-DCB</w:t>
      </w:r>
      <w:r w:rsidRPr="00FE7AEE">
        <w:rPr>
          <w:iCs/>
        </w:rPr>
        <w:t xml:space="preserve">. Retrieved June 29, 2018 from Pay &amp; Leave: Salaries &amp; Wages: </w:t>
      </w:r>
      <w:hyperlink r:id="rId19" w:history="1">
        <w:r w:rsidRPr="00C120E8">
          <w:rPr>
            <w:iCs/>
          </w:rPr>
          <w:t>https://www.opm.gov/policy-data-oversight/pay-leave/salaries-wages/salary-tables/18Tables/html/DCB_h.aspx</w:t>
        </w:r>
      </w:hyperlink>
      <w:r w:rsidRPr="0010169E">
        <w:t>.</w:t>
      </w:r>
    </w:p>
    <w:p w14:paraId="6BD5CDAA" w14:textId="68CCF4BE" w:rsidR="00B277D3" w:rsidRDefault="00B8298D" w:rsidP="00901FFE">
      <w:pPr>
        <w:pStyle w:val="BodyText"/>
        <w:ind w:left="720" w:hanging="720"/>
      </w:pPr>
      <w:r>
        <w:t>Rice.</w:t>
      </w:r>
      <w:r w:rsidRPr="002C1543">
        <w:t xml:space="preserve"> 2002. </w:t>
      </w:r>
      <w:r w:rsidRPr="00CF58E6">
        <w:rPr>
          <w:i/>
          <w:iCs/>
          <w:spacing w:val="-2"/>
        </w:rPr>
        <w:t xml:space="preserve">Wage Rates for Economic Analysis of the Toxics </w:t>
      </w:r>
      <w:r w:rsidRPr="00310FD7">
        <w:rPr>
          <w:i/>
          <w:iCs/>
          <w:spacing w:val="-2"/>
        </w:rPr>
        <w:t>Release Inventory Program.</w:t>
      </w:r>
      <w:r w:rsidRPr="00310FD7">
        <w:rPr>
          <w:i/>
          <w:iCs/>
        </w:rPr>
        <w:t xml:space="preserve"> </w:t>
      </w:r>
      <w:r w:rsidRPr="002C1543">
        <w:t>June 10, 2002.</w:t>
      </w:r>
      <w:bookmarkEnd w:id="135"/>
      <w:bookmarkEnd w:id="136"/>
      <w:r w:rsidR="00901FFE">
        <w:t xml:space="preserve"> </w:t>
      </w:r>
    </w:p>
    <w:sectPr w:rsidR="00B277D3" w:rsidSect="00CF58E6">
      <w:headerReference w:type="even" r:id="rId20"/>
      <w:headerReference w:type="default" r:id="rId21"/>
      <w:foot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EDE18" w14:textId="77777777" w:rsidR="007E3100" w:rsidRDefault="007E3100" w:rsidP="004D4A44">
      <w:r>
        <w:separator/>
      </w:r>
    </w:p>
    <w:p w14:paraId="26DAFF16" w14:textId="77777777" w:rsidR="007E3100" w:rsidRDefault="007E3100"/>
  </w:endnote>
  <w:endnote w:type="continuationSeparator" w:id="0">
    <w:p w14:paraId="4128C553" w14:textId="77777777" w:rsidR="007E3100" w:rsidRDefault="007E3100" w:rsidP="004D4A44">
      <w:r>
        <w:continuationSeparator/>
      </w:r>
    </w:p>
    <w:p w14:paraId="5426E974" w14:textId="77777777" w:rsidR="007E3100" w:rsidRDefault="007E3100"/>
  </w:endnote>
  <w:endnote w:type="continuationNotice" w:id="1">
    <w:p w14:paraId="149BD934" w14:textId="77777777" w:rsidR="007E3100" w:rsidRDefault="007E31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19977"/>
      <w:docPartObj>
        <w:docPartGallery w:val="Page Numbers (Bottom of Page)"/>
        <w:docPartUnique/>
      </w:docPartObj>
    </w:sdtPr>
    <w:sdtEndPr>
      <w:rPr>
        <w:noProof/>
      </w:rPr>
    </w:sdtEndPr>
    <w:sdtContent>
      <w:p w14:paraId="788B7E50" w14:textId="77777777" w:rsidR="007E3100" w:rsidRDefault="007E3100" w:rsidP="008C5171">
        <w:pPr>
          <w:pStyle w:val="Footer"/>
          <w:jc w:val="center"/>
        </w:pPr>
        <w:r>
          <w:fldChar w:fldCharType="begin"/>
        </w:r>
        <w:r>
          <w:instrText xml:space="preserve"> PAGE   \* MERGEFORMAT </w:instrText>
        </w:r>
        <w:r>
          <w:fldChar w:fldCharType="separate"/>
        </w:r>
        <w:r w:rsidR="000202FE">
          <w:rPr>
            <w:noProof/>
          </w:rPr>
          <w:t>1</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049781"/>
      <w:docPartObj>
        <w:docPartGallery w:val="Page Numbers (Bottom of Page)"/>
        <w:docPartUnique/>
      </w:docPartObj>
    </w:sdtPr>
    <w:sdtEndPr>
      <w:rPr>
        <w:noProof/>
      </w:rPr>
    </w:sdtEndPr>
    <w:sdtContent>
      <w:p w14:paraId="0F560E40" w14:textId="77777777" w:rsidR="007E3100" w:rsidRDefault="007E3100" w:rsidP="008C5171">
        <w:pPr>
          <w:pStyle w:val="Footer"/>
          <w:jc w:val="center"/>
        </w:pPr>
        <w:r>
          <w:fldChar w:fldCharType="begin"/>
        </w:r>
        <w:r>
          <w:instrText xml:space="preserve"> PAGE   \* MERGEFORMAT </w:instrText>
        </w:r>
        <w:r>
          <w:fldChar w:fldCharType="separate"/>
        </w:r>
        <w:r>
          <w:rPr>
            <w:noProof/>
          </w:rPr>
          <w:t>30</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049146"/>
      <w:docPartObj>
        <w:docPartGallery w:val="Page Numbers (Bottom of Page)"/>
        <w:docPartUnique/>
      </w:docPartObj>
    </w:sdtPr>
    <w:sdtEndPr>
      <w:rPr>
        <w:noProof/>
      </w:rPr>
    </w:sdtEndPr>
    <w:sdtContent>
      <w:p w14:paraId="2FF1E687" w14:textId="3D562D5C" w:rsidR="007E3100" w:rsidRDefault="007E3100" w:rsidP="008C5171">
        <w:pPr>
          <w:pStyle w:val="Footer"/>
          <w:jc w:val="center"/>
        </w:pPr>
        <w:r>
          <w:fldChar w:fldCharType="begin"/>
        </w:r>
        <w:r>
          <w:instrText xml:space="preserve"> PAGE   \* MERGEFORMAT </w:instrText>
        </w:r>
        <w:r>
          <w:fldChar w:fldCharType="separate"/>
        </w:r>
        <w:r>
          <w:rPr>
            <w:noProof/>
          </w:rPr>
          <w:t>31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F7EC93" w14:textId="77777777" w:rsidR="007E3100" w:rsidRDefault="007E3100" w:rsidP="004D4A44">
      <w:r>
        <w:separator/>
      </w:r>
    </w:p>
    <w:p w14:paraId="063B6FD7" w14:textId="77777777" w:rsidR="007E3100" w:rsidRDefault="007E3100"/>
  </w:footnote>
  <w:footnote w:type="continuationSeparator" w:id="0">
    <w:p w14:paraId="3A4D1ED0" w14:textId="77777777" w:rsidR="007E3100" w:rsidRDefault="007E3100" w:rsidP="004D4A44">
      <w:r>
        <w:continuationSeparator/>
      </w:r>
    </w:p>
    <w:p w14:paraId="3BA3E2EF" w14:textId="77777777" w:rsidR="007E3100" w:rsidRDefault="007E3100"/>
  </w:footnote>
  <w:footnote w:type="continuationNotice" w:id="1">
    <w:p w14:paraId="2617AE1A" w14:textId="77777777" w:rsidR="007E3100" w:rsidRDefault="007E3100"/>
  </w:footnote>
  <w:footnote w:id="2">
    <w:p w14:paraId="4F773E5F" w14:textId="77777777" w:rsidR="007E3100" w:rsidRDefault="007E3100" w:rsidP="002D2B8F">
      <w:pPr>
        <w:pStyle w:val="FootnoteText"/>
      </w:pPr>
      <w:r>
        <w:rPr>
          <w:rStyle w:val="FootnoteReference"/>
        </w:rPr>
        <w:footnoteRef/>
      </w:r>
      <w:r>
        <w:t xml:space="preserve"> </w:t>
      </w:r>
      <w:r w:rsidRPr="002471B2">
        <w:t xml:space="preserve">These proposed standards apply to all </w:t>
      </w:r>
      <w:r>
        <w:t xml:space="preserve">TSCA section </w:t>
      </w:r>
      <w:r w:rsidRPr="002471B2">
        <w:t>8(a) rules, including CDR, unless a different standard is identified in the regulatory text of a particular rule</w:t>
      </w:r>
      <w:r>
        <w:t>.</w:t>
      </w:r>
    </w:p>
  </w:footnote>
  <w:footnote w:id="3">
    <w:p w14:paraId="7E24599B" w14:textId="4B197B8F" w:rsidR="007E3100" w:rsidRDefault="007E3100">
      <w:pPr>
        <w:pStyle w:val="FootnoteText"/>
      </w:pPr>
      <w:r>
        <w:rPr>
          <w:rStyle w:val="FootnoteReference"/>
        </w:rPr>
        <w:footnoteRef/>
      </w:r>
      <w:r>
        <w:t xml:space="preserve"> </w:t>
      </w:r>
      <w:r w:rsidRPr="00B8087E">
        <w:t>Quality control activities performed by program staff involve comparative analysis of the data received to identify if there are any unexpected anomalies or inconsistencies of the data, such as between sites with the same parent companies, followed by outreach to the reporting companies to obtain corrections or confirmation that reported information is correct.</w:t>
      </w:r>
    </w:p>
  </w:footnote>
  <w:footnote w:id="4">
    <w:p w14:paraId="12233EC1" w14:textId="77777777" w:rsidR="007E3100" w:rsidRPr="0060223D" w:rsidRDefault="007E3100" w:rsidP="00874EA2">
      <w:pPr>
        <w:pStyle w:val="FootnoteText"/>
        <w:spacing w:before="0"/>
      </w:pPr>
      <w:r>
        <w:rPr>
          <w:rStyle w:val="FootnoteReference"/>
        </w:rPr>
        <w:footnoteRef/>
      </w:r>
      <w:r>
        <w:t xml:space="preserve"> </w:t>
      </w:r>
      <w:r w:rsidRPr="0060223D">
        <w:t>The reporting threshold is lower (</w:t>
      </w:r>
      <w:r w:rsidRPr="0B02F8A5">
        <w:t>2,500 lb)</w:t>
      </w:r>
      <w:r w:rsidRPr="0060223D">
        <w:t> for chemical substances that are the subject of certain TSCA actions</w:t>
      </w:r>
      <w:r>
        <w:t xml:space="preserve"> (see 40 CFR 711.8(b)),</w:t>
      </w:r>
      <w:r w:rsidRPr="0060223D">
        <w:t xml:space="preserve"> including:</w:t>
      </w:r>
    </w:p>
    <w:p w14:paraId="6D2B2882" w14:textId="77777777" w:rsidR="007E3100" w:rsidRPr="0060223D" w:rsidRDefault="007E3100" w:rsidP="00874EA2">
      <w:pPr>
        <w:pStyle w:val="FootnoteText"/>
        <w:numPr>
          <w:ilvl w:val="0"/>
          <w:numId w:val="8"/>
        </w:numPr>
        <w:tabs>
          <w:tab w:val="clear" w:pos="360"/>
        </w:tabs>
        <w:spacing w:before="0"/>
        <w:ind w:left="720"/>
      </w:pPr>
      <w:r w:rsidRPr="0060223D">
        <w:t>A rule proposed or promulgated under TSCA sections 5(a)(2), 5(b)(4), or 6;</w:t>
      </w:r>
    </w:p>
    <w:p w14:paraId="2BBDFE7C" w14:textId="77777777" w:rsidR="007E3100" w:rsidRDefault="007E3100" w:rsidP="00874EA2">
      <w:pPr>
        <w:pStyle w:val="FootnoteText"/>
        <w:numPr>
          <w:ilvl w:val="0"/>
          <w:numId w:val="8"/>
        </w:numPr>
        <w:tabs>
          <w:tab w:val="clear" w:pos="360"/>
        </w:tabs>
        <w:spacing w:before="0"/>
        <w:ind w:left="720"/>
      </w:pPr>
      <w:r w:rsidRPr="0060223D">
        <w:t>An order issued under TSCA sections 5(e) or 5(f); or</w:t>
      </w:r>
    </w:p>
    <w:p w14:paraId="32D8AD3F" w14:textId="77777777" w:rsidR="007E3100" w:rsidRDefault="007E3100" w:rsidP="00874EA2">
      <w:pPr>
        <w:pStyle w:val="FootnoteText"/>
        <w:numPr>
          <w:ilvl w:val="0"/>
          <w:numId w:val="8"/>
        </w:numPr>
        <w:tabs>
          <w:tab w:val="clear" w:pos="360"/>
        </w:tabs>
        <w:spacing w:before="0"/>
        <w:ind w:left="720"/>
      </w:pPr>
      <w:r w:rsidRPr="0060223D">
        <w:t>Relief that has been granted under a civil action under TSCA sections 5 or 7.</w:t>
      </w:r>
    </w:p>
  </w:footnote>
  <w:footnote w:id="5">
    <w:p w14:paraId="3D7B0754" w14:textId="1721A8DB" w:rsidR="007E3100" w:rsidRDefault="007E3100" w:rsidP="00874EA2">
      <w:pPr>
        <w:pStyle w:val="FootnoteText"/>
        <w:spacing w:before="0"/>
      </w:pPr>
      <w:r>
        <w:rPr>
          <w:rStyle w:val="FootnoteReference"/>
        </w:rPr>
        <w:footnoteRef/>
      </w:r>
      <w:r>
        <w:t xml:space="preserve"> </w:t>
      </w:r>
      <w:r w:rsidRPr="009B6A86">
        <w:t xml:space="preserve">Note that some results in this analysis are presented on a one-year basis. The annual estimates are simply the four-year estimates divided by four. EPA acknowledges that activities may be spread unevenly across the four years. However, for purposes </w:t>
      </w:r>
      <w:r w:rsidRPr="00BF2499">
        <w:t xml:space="preserve">of </w:t>
      </w:r>
      <w:r w:rsidRPr="00C9573B">
        <w:t xml:space="preserve">burden and cost </w:t>
      </w:r>
      <w:r w:rsidRPr="00BF2499">
        <w:t xml:space="preserve">tracking, a constant annual </w:t>
      </w:r>
      <w:r w:rsidRPr="00C9573B">
        <w:t xml:space="preserve">burden and cost </w:t>
      </w:r>
      <w:r w:rsidRPr="009B6A86">
        <w:t xml:space="preserve">is </w:t>
      </w:r>
      <w:r>
        <w:t>a useful standardized metric for this and other</w:t>
      </w:r>
      <w:r w:rsidRPr="009B6A86">
        <w:t xml:space="preserve"> analys</w:t>
      </w:r>
      <w:r>
        <w:t>e</w:t>
      </w:r>
      <w:r w:rsidRPr="009B6A86">
        <w:t>s</w:t>
      </w:r>
      <w:r>
        <w:t>.</w:t>
      </w:r>
      <w:r w:rsidRPr="009B6A86">
        <w:t xml:space="preserve"> </w:t>
      </w:r>
    </w:p>
  </w:footnote>
  <w:footnote w:id="6">
    <w:p w14:paraId="33D4F942" w14:textId="2BA2017E" w:rsidR="007E3100" w:rsidRDefault="007E3100" w:rsidP="00874EA2">
      <w:pPr>
        <w:pStyle w:val="FootnoteText"/>
        <w:spacing w:before="0"/>
      </w:pPr>
      <w:r>
        <w:rPr>
          <w:rStyle w:val="FootnoteReference"/>
        </w:rPr>
        <w:footnoteRef/>
      </w:r>
      <w:r>
        <w:t xml:space="preserve"> The two economic analyses define their baseline as the predicted 2020 CDR conditions using the 2016 CDR (</w:t>
      </w:r>
      <w:r w:rsidRPr="00874EA2">
        <w:t>EPA, 2018a</w:t>
      </w:r>
      <w:r>
        <w:t xml:space="preserve">). </w:t>
      </w:r>
      <w:r w:rsidRPr="002457AD">
        <w:rPr>
          <w:rFonts w:eastAsia="Times New Roman" w:cs="Times New Roman"/>
          <w:szCs w:val="18"/>
        </w:rPr>
        <w:t>The 2016 CDR is considered an appropriate baseline data source without adjustment for two reasons</w:t>
      </w:r>
      <w:r>
        <w:rPr>
          <w:rFonts w:eastAsia="Times New Roman" w:cs="Times New Roman"/>
          <w:szCs w:val="18"/>
        </w:rPr>
        <w:t>:</w:t>
      </w:r>
      <w:r w:rsidRPr="002457AD">
        <w:rPr>
          <w:rFonts w:eastAsia="Times New Roman" w:cs="Times New Roman"/>
          <w:szCs w:val="18"/>
        </w:rPr>
        <w:t xml:space="preserve"> (1) in the history of CDR development, the information from the 2016 CDR is the most complete, covering a comparable four-year period; and (2) upon review of year-to-year counts for chemicals, sites, and chemical reports there is high variance from year to year without a noteworthy trend upward or downward in counts.</w:t>
      </w:r>
    </w:p>
  </w:footnote>
  <w:footnote w:id="7">
    <w:p w14:paraId="5AAC5FA6" w14:textId="3D383FC0" w:rsidR="007E3100" w:rsidRDefault="007E3100">
      <w:pPr>
        <w:pStyle w:val="FootnoteText"/>
      </w:pPr>
      <w:r>
        <w:rPr>
          <w:rStyle w:val="FootnoteReference"/>
        </w:rPr>
        <w:footnoteRef/>
      </w:r>
      <w:r>
        <w:t xml:space="preserve"> </w:t>
      </w:r>
      <w:r w:rsidRPr="00271879">
        <w:t>A full chemical report refers to a Form U with Part III (chemical-specific processing and use) information.</w:t>
      </w:r>
    </w:p>
  </w:footnote>
  <w:footnote w:id="8">
    <w:p w14:paraId="0C6B275B" w14:textId="5DB5D10B" w:rsidR="007E3100" w:rsidRDefault="007E3100" w:rsidP="00B8298D">
      <w:pPr>
        <w:pStyle w:val="FootnoteText"/>
      </w:pPr>
      <w:r>
        <w:rPr>
          <w:rStyle w:val="FootnoteReference"/>
        </w:rPr>
        <w:footnoteRef/>
      </w:r>
      <w:r>
        <w:t xml:space="preserve"> As in the </w:t>
      </w:r>
      <w:bookmarkStart w:id="78" w:name="_Hlk527376240"/>
      <w:r>
        <w:t xml:space="preserve">EA for the proposed TSCA section </w:t>
      </w:r>
      <w:bookmarkEnd w:id="78"/>
      <w:r>
        <w:t>8(a) SMD Update (EPA, 2019b), government reporters are assumed to be experienced reporters. Additionally, unlike industry reporters, government reporters are assumed to incur incremental compliance determination due to the new small government definition under the proposed rule.</w:t>
      </w:r>
    </w:p>
  </w:footnote>
  <w:footnote w:id="9">
    <w:p w14:paraId="05D18163" w14:textId="1BE41743" w:rsidR="007E3100" w:rsidRPr="00A3357E" w:rsidRDefault="007E3100" w:rsidP="00874EA2">
      <w:pPr>
        <w:pStyle w:val="BodyText"/>
        <w:ind w:firstLine="0"/>
        <w:rPr>
          <w:szCs w:val="18"/>
        </w:rPr>
      </w:pPr>
      <w:r w:rsidRPr="00874EA2">
        <w:rPr>
          <w:rStyle w:val="FootnoteReference"/>
          <w:sz w:val="18"/>
          <w:szCs w:val="18"/>
        </w:rPr>
        <w:footnoteRef/>
      </w:r>
      <w:r w:rsidRPr="00874EA2">
        <w:rPr>
          <w:sz w:val="18"/>
          <w:szCs w:val="18"/>
        </w:rPr>
        <w:t xml:space="preserve"> Note that each EA estimates burden and costs with independent scopes of change, and thereby exclude</w:t>
      </w:r>
      <w:r>
        <w:rPr>
          <w:sz w:val="18"/>
          <w:szCs w:val="18"/>
        </w:rPr>
        <w:t>s</w:t>
      </w:r>
      <w:r w:rsidRPr="00874EA2">
        <w:rPr>
          <w:sz w:val="18"/>
          <w:szCs w:val="18"/>
        </w:rPr>
        <w:t xml:space="preserve"> </w:t>
      </w:r>
      <w:r>
        <w:rPr>
          <w:sz w:val="18"/>
          <w:szCs w:val="18"/>
        </w:rPr>
        <w:t>the</w:t>
      </w:r>
      <w:r w:rsidRPr="00874EA2">
        <w:rPr>
          <w:sz w:val="18"/>
          <w:szCs w:val="18"/>
        </w:rPr>
        <w:t xml:space="preserve"> other’s changes. In that way, the proposed changes are assessed in an independent, standalone fashion.</w:t>
      </w:r>
      <w:r>
        <w:rPr>
          <w:sz w:val="18"/>
          <w:szCs w:val="18"/>
        </w:rPr>
        <w:t xml:space="preserve"> </w:t>
      </w:r>
      <w:r w:rsidRPr="00D07FAF">
        <w:rPr>
          <w:sz w:val="18"/>
          <w:szCs w:val="18"/>
        </w:rPr>
        <w:t xml:space="preserve">However, </w:t>
      </w:r>
      <w:r>
        <w:rPr>
          <w:sz w:val="18"/>
          <w:szCs w:val="18"/>
        </w:rPr>
        <w:t xml:space="preserve">in </w:t>
      </w:r>
      <w:r w:rsidRPr="00D07FAF">
        <w:rPr>
          <w:sz w:val="18"/>
          <w:szCs w:val="18"/>
        </w:rPr>
        <w:t>this ICR Addendum’s c</w:t>
      </w:r>
      <w:r w:rsidRPr="00874EA2">
        <w:rPr>
          <w:sz w:val="18"/>
          <w:szCs w:val="18"/>
        </w:rPr>
        <w:t>omprehensive scope</w:t>
      </w:r>
      <w:r>
        <w:rPr>
          <w:sz w:val="18"/>
          <w:szCs w:val="18"/>
        </w:rPr>
        <w:t>,</w:t>
      </w:r>
      <w:r w:rsidRPr="00874EA2">
        <w:rPr>
          <w:sz w:val="18"/>
          <w:szCs w:val="18"/>
        </w:rPr>
        <w:t xml:space="preserve"> information is consolidated.</w:t>
      </w:r>
    </w:p>
  </w:footnote>
  <w:footnote w:id="10">
    <w:p w14:paraId="515D76B3" w14:textId="3FA89B63" w:rsidR="007E3100" w:rsidRPr="00730BBE" w:rsidRDefault="007E3100" w:rsidP="00B8298D">
      <w:pPr>
        <w:pStyle w:val="FootnoteText"/>
        <w:spacing w:before="0"/>
      </w:pPr>
      <w:r>
        <w:rPr>
          <w:rStyle w:val="FootnoteReference"/>
        </w:rPr>
        <w:footnoteRef/>
      </w:r>
      <w:r>
        <w:t xml:space="preserve"> </w:t>
      </w:r>
      <w:r w:rsidRPr="00730BBE">
        <w:t xml:space="preserve">The number of chemicals per site changes by about </w:t>
      </w:r>
      <w:r w:rsidRPr="008C5171">
        <w:t>-0.1</w:t>
      </w:r>
      <w:r>
        <w:t>5</w:t>
      </w:r>
      <w:r w:rsidRPr="00730BBE">
        <w:t xml:space="preserve"> chemicals per site. The % partial reports changes by</w:t>
      </w:r>
      <w:r>
        <w:t xml:space="preserve"> +</w:t>
      </w:r>
      <w:r w:rsidRPr="008C5171">
        <w:t>0.</w:t>
      </w:r>
      <w:r>
        <w:t>6</w:t>
      </w:r>
      <w:r w:rsidRPr="008C5171">
        <w:t>%</w:t>
      </w:r>
      <w:r w:rsidRPr="00730BBE">
        <w:t xml:space="preserve">. The estimate for % of sites as new reporters does not change. </w:t>
      </w:r>
    </w:p>
  </w:footnote>
  <w:footnote w:id="11">
    <w:p w14:paraId="099F92AA" w14:textId="23216CFD" w:rsidR="007E3100" w:rsidRDefault="007E3100" w:rsidP="00B8298D">
      <w:pPr>
        <w:pStyle w:val="FootnoteText"/>
        <w:spacing w:before="0"/>
      </w:pPr>
      <w:r w:rsidRPr="00730BBE">
        <w:rPr>
          <w:rStyle w:val="FootnoteReference"/>
        </w:rPr>
        <w:footnoteRef/>
      </w:r>
      <w:r w:rsidRPr="00730BBE">
        <w:t xml:space="preserve"> Under </w:t>
      </w:r>
      <w:r>
        <w:t>the proposed rule option</w:t>
      </w:r>
      <w:r w:rsidRPr="00730BBE">
        <w:t xml:space="preserve">, overall burden for the CDR collection of information is estimated to average </w:t>
      </w:r>
      <w:r>
        <w:t>125.76</w:t>
      </w:r>
      <w:r w:rsidRPr="00730BBE">
        <w:t xml:space="preserve"> hours per year for the average multi-chemical submission of </w:t>
      </w:r>
      <w:r w:rsidRPr="008C5171">
        <w:t>7.3</w:t>
      </w:r>
      <w:r>
        <w:t>6</w:t>
      </w:r>
      <w:r w:rsidRPr="00730BBE">
        <w:t xml:space="preserve"> chemicals per site with </w:t>
      </w:r>
      <w:r w:rsidRPr="008C5171">
        <w:t>22.4</w:t>
      </w:r>
      <w:r>
        <w:t>9</w:t>
      </w:r>
      <w:r w:rsidRPr="008C5171">
        <w:t>%</w:t>
      </w:r>
      <w:r w:rsidRPr="00730BBE">
        <w:t xml:space="preserve"> of reports consisting of partial reports and 15% of sites as new reporters.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000823" w14:textId="1B6B3927" w:rsidR="007E3100" w:rsidRDefault="007E3100" w:rsidP="008C5171">
    <w:pPr>
      <w:pStyle w:val="ListParagraph"/>
      <w:tabs>
        <w:tab w:val="right" w:pos="12960"/>
      </w:tabs>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6A4EC" w14:textId="64D6B1AD" w:rsidR="007E3100" w:rsidRDefault="007E3100" w:rsidP="00623C32">
    <w:pPr>
      <w:pStyle w:val="ListParagraph"/>
      <w:tabs>
        <w:tab w:val="right" w:pos="9360"/>
      </w:tabs>
      <w:ind w:left="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874B7E" w14:textId="52C1202F" w:rsidR="007E3100" w:rsidRDefault="007E3100">
    <w:pPr>
      <w:pStyle w:val="Header"/>
    </w:pPr>
  </w:p>
  <w:p w14:paraId="0967FA9E" w14:textId="77777777" w:rsidR="007E3100" w:rsidRDefault="007E310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2FF3BE" w14:textId="7AE4A145" w:rsidR="007E3100" w:rsidRDefault="007E3100" w:rsidP="00623C32">
    <w:pPr>
      <w:tabs>
        <w:tab w:val="right" w:pos="9450"/>
      </w:tabs>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90FBB2" w14:textId="632912C0" w:rsidR="007E3100" w:rsidRDefault="007E31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A344730"/>
    <w:lvl w:ilvl="0">
      <w:start w:val="1"/>
      <w:numFmt w:val="bullet"/>
      <w:pStyle w:val="ListBullet2"/>
      <w:lvlText w:val="o"/>
      <w:lvlJc w:val="left"/>
      <w:pPr>
        <w:ind w:left="720" w:hanging="360"/>
      </w:pPr>
      <w:rPr>
        <w:rFonts w:ascii="Courier New" w:hAnsi="Courier New" w:cs="Courier New" w:hint="default"/>
      </w:rPr>
    </w:lvl>
  </w:abstractNum>
  <w:abstractNum w:abstractNumId="1">
    <w:nsid w:val="05BD5018"/>
    <w:multiLevelType w:val="hybridMultilevel"/>
    <w:tmpl w:val="0720D2D0"/>
    <w:lvl w:ilvl="0" w:tplc="B524C7EE">
      <w:start w:val="7"/>
      <w:numFmt w:val="upperLetter"/>
      <w:lvlText w:val="%1."/>
      <w:lvlJc w:val="left"/>
      <w:pPr>
        <w:ind w:left="720" w:hanging="360"/>
      </w:pPr>
      <w:rPr>
        <w:rFonts w:hint="default"/>
      </w:rPr>
    </w:lvl>
    <w:lvl w:ilvl="1" w:tplc="04090019">
      <w:start w:val="1"/>
      <w:numFmt w:val="lowerLetter"/>
      <w:lvlText w:val="%2."/>
      <w:lvlJc w:val="left"/>
      <w:pPr>
        <w:ind w:left="1530" w:hanging="360"/>
      </w:pPr>
    </w:lvl>
    <w:lvl w:ilvl="2" w:tplc="04090015">
      <w:start w:val="1"/>
      <w:numFmt w:val="upperLetter"/>
      <w:lvlText w:val="%3."/>
      <w:lvlJc w:val="left"/>
      <w:pPr>
        <w:ind w:left="900" w:hanging="180"/>
      </w:pPr>
      <w:rPr>
        <w:color w:val="000000" w:themeColor="text1"/>
      </w:rPr>
    </w:lvl>
    <w:lvl w:ilvl="3" w:tplc="0409000F">
      <w:start w:val="1"/>
      <w:numFmt w:val="decimal"/>
      <w:lvlText w:val="%4."/>
      <w:lvlJc w:val="left"/>
      <w:pPr>
        <w:ind w:left="144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06092673"/>
    <w:multiLevelType w:val="hybridMultilevel"/>
    <w:tmpl w:val="69FE92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0B7C3E"/>
    <w:multiLevelType w:val="multilevel"/>
    <w:tmpl w:val="9A2AB370"/>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4">
    <w:nsid w:val="0A162DF9"/>
    <w:multiLevelType w:val="hybridMultilevel"/>
    <w:tmpl w:val="37BEE288"/>
    <w:lvl w:ilvl="0" w:tplc="04090001">
      <w:start w:val="1"/>
      <w:numFmt w:val="bullet"/>
      <w:lvlText w:val=""/>
      <w:lvlJc w:val="left"/>
      <w:pPr>
        <w:tabs>
          <w:tab w:val="num" w:pos="720"/>
        </w:tabs>
        <w:ind w:left="720" w:hanging="360"/>
      </w:pPr>
      <w:rPr>
        <w:rFonts w:ascii="Symbol" w:hAnsi="Symbol" w:hint="default"/>
      </w:rPr>
    </w:lvl>
    <w:lvl w:ilvl="1" w:tplc="27401744">
      <w:numFmt w:val="bullet"/>
      <w:lvlText w:val="•"/>
      <w:lvlJc w:val="left"/>
      <w:pPr>
        <w:ind w:left="1440" w:hanging="360"/>
      </w:pPr>
      <w:rPr>
        <w:rFonts w:ascii="Arial Narrow" w:eastAsiaTheme="minorHAnsi" w:hAnsi="Arial Narrow" w:cstheme="minorBid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A51024B"/>
    <w:multiLevelType w:val="hybridMultilevel"/>
    <w:tmpl w:val="BEE6176E"/>
    <w:lvl w:ilvl="0" w:tplc="44ACFD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D1B01AF"/>
    <w:multiLevelType w:val="hybridMultilevel"/>
    <w:tmpl w:val="AB603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E5047EC"/>
    <w:multiLevelType w:val="hybridMultilevel"/>
    <w:tmpl w:val="8692FA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FE50127"/>
    <w:multiLevelType w:val="hybridMultilevel"/>
    <w:tmpl w:val="BB66D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178642C"/>
    <w:multiLevelType w:val="hybridMultilevel"/>
    <w:tmpl w:val="725E1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23704F5"/>
    <w:multiLevelType w:val="hybridMultilevel"/>
    <w:tmpl w:val="F44CC84A"/>
    <w:lvl w:ilvl="0" w:tplc="E29C1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3B65469"/>
    <w:multiLevelType w:val="hybridMultilevel"/>
    <w:tmpl w:val="32BCB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55D4E7C"/>
    <w:multiLevelType w:val="hybridMultilevel"/>
    <w:tmpl w:val="C262E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6794916"/>
    <w:multiLevelType w:val="hybridMultilevel"/>
    <w:tmpl w:val="5DF046F4"/>
    <w:lvl w:ilvl="0" w:tplc="733C4246">
      <w:start w:val="1"/>
      <w:numFmt w:val="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0"/>
        </w:tabs>
        <w:ind w:left="1800" w:hanging="360"/>
      </w:pPr>
      <w:rPr>
        <w:rFonts w:ascii="Courier New" w:hAnsi="Courier New" w:cs="Aria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16E51544"/>
    <w:multiLevelType w:val="hybridMultilevel"/>
    <w:tmpl w:val="0A666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485AAA"/>
    <w:multiLevelType w:val="hybridMultilevel"/>
    <w:tmpl w:val="B3E85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9FD329F"/>
    <w:multiLevelType w:val="hybridMultilevel"/>
    <w:tmpl w:val="25A47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002595"/>
    <w:multiLevelType w:val="hybridMultilevel"/>
    <w:tmpl w:val="D9DED8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1BBF12BA"/>
    <w:multiLevelType w:val="hybridMultilevel"/>
    <w:tmpl w:val="2D8A654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C06413F"/>
    <w:multiLevelType w:val="hybridMultilevel"/>
    <w:tmpl w:val="03C04ECA"/>
    <w:lvl w:ilvl="0" w:tplc="D0EEE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1C5809D2"/>
    <w:multiLevelType w:val="hybridMultilevel"/>
    <w:tmpl w:val="0AAE24E8"/>
    <w:lvl w:ilvl="0" w:tplc="916EA9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CB637B4"/>
    <w:multiLevelType w:val="hybridMultilevel"/>
    <w:tmpl w:val="30A2FCA8"/>
    <w:lvl w:ilvl="0" w:tplc="6DC6C7C4">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2">
    <w:nsid w:val="1D4B0CDA"/>
    <w:multiLevelType w:val="hybridMultilevel"/>
    <w:tmpl w:val="98E03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1FB81F1B"/>
    <w:multiLevelType w:val="hybridMultilevel"/>
    <w:tmpl w:val="CAEA2E4E"/>
    <w:lvl w:ilvl="0" w:tplc="D506DD14">
      <w:start w:val="20"/>
      <w:numFmt w:val="decimal"/>
      <w:lvlText w:val="%1"/>
      <w:lvlJc w:val="left"/>
      <w:pPr>
        <w:ind w:left="720" w:hanging="360"/>
      </w:pPr>
      <w:rPr>
        <w:rFonts w:eastAsia="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2887923"/>
    <w:multiLevelType w:val="hybridMultilevel"/>
    <w:tmpl w:val="E9D2E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229E452F"/>
    <w:multiLevelType w:val="hybridMultilevel"/>
    <w:tmpl w:val="D942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42271A5"/>
    <w:multiLevelType w:val="hybridMultilevel"/>
    <w:tmpl w:val="1E10D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7286606"/>
    <w:multiLevelType w:val="hybridMultilevel"/>
    <w:tmpl w:val="A458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277B6113"/>
    <w:multiLevelType w:val="hybridMultilevel"/>
    <w:tmpl w:val="27CACE08"/>
    <w:lvl w:ilvl="0" w:tplc="C19AC216">
      <w:start w:val="1"/>
      <w:numFmt w:val="bullet"/>
      <w:pStyle w:val="ListBullet"/>
      <w:lvlText w:val=""/>
      <w:lvlJc w:val="left"/>
      <w:pPr>
        <w:tabs>
          <w:tab w:val="num" w:pos="288"/>
        </w:tabs>
        <w:ind w:left="288" w:hanging="288"/>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2CE2166E"/>
    <w:multiLevelType w:val="hybridMultilevel"/>
    <w:tmpl w:val="0412A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0265DB6"/>
    <w:multiLevelType w:val="hybridMultilevel"/>
    <w:tmpl w:val="05668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30C826BC"/>
    <w:multiLevelType w:val="multilevel"/>
    <w:tmpl w:val="2720684C"/>
    <w:numStyleLink w:val="ListNumber1"/>
  </w:abstractNum>
  <w:abstractNum w:abstractNumId="32">
    <w:nsid w:val="32D95C6E"/>
    <w:multiLevelType w:val="hybridMultilevel"/>
    <w:tmpl w:val="CCBC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3434F82"/>
    <w:multiLevelType w:val="multilevel"/>
    <w:tmpl w:val="73AE73DA"/>
    <w:lvl w:ilvl="0">
      <w:start w:val="1"/>
      <w:numFmt w:val="decimal"/>
      <w:pStyle w:val="Heading1"/>
      <w:lvlText w:val="%1."/>
      <w:lvlJc w:val="left"/>
      <w:pPr>
        <w:tabs>
          <w:tab w:val="num" w:pos="720"/>
        </w:tabs>
        <w:ind w:left="720" w:hanging="720"/>
      </w:pPr>
      <w:rPr>
        <w:rFonts w:hint="default"/>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1(%2)"/>
      <w:lvlJc w:val="left"/>
      <w:pPr>
        <w:tabs>
          <w:tab w:val="num" w:pos="720"/>
        </w:tabs>
        <w:ind w:left="720" w:firstLine="0"/>
      </w:pPr>
      <w:rPr>
        <w:rFonts w:hint="default"/>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720"/>
        </w:tabs>
        <w:ind w:left="720" w:firstLine="0"/>
      </w:pPr>
      <w:rPr>
        <w:rFonts w:ascii="Times New Roman" w:hAnsi="Times New Roman" w:cs="Times New Roman" w:hint="default"/>
        <w:b/>
        <w:i w:val="0"/>
        <w:sz w:val="24"/>
        <w:szCs w:val="24"/>
      </w:rPr>
    </w:lvl>
    <w:lvl w:ilvl="3">
      <w:start w:val="1"/>
      <w:numFmt w:val="decimal"/>
      <w:pStyle w:val="Heading4"/>
      <w:suff w:val="space"/>
      <w:lvlText w:val="%1%2.%3.%4"/>
      <w:lvlJc w:val="left"/>
      <w:pPr>
        <w:ind w:left="720" w:hanging="720"/>
      </w:pPr>
      <w:rPr>
        <w:rFonts w:hint="default"/>
        <w:b/>
        <w:i/>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33E8023E"/>
    <w:multiLevelType w:val="hybridMultilevel"/>
    <w:tmpl w:val="8AE01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34183E4D"/>
    <w:multiLevelType w:val="hybridMultilevel"/>
    <w:tmpl w:val="060A1A7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34CA6369"/>
    <w:multiLevelType w:val="hybridMultilevel"/>
    <w:tmpl w:val="429A8E94"/>
    <w:lvl w:ilvl="0" w:tplc="EBBE991C">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356656AA"/>
    <w:multiLevelType w:val="hybridMultilevel"/>
    <w:tmpl w:val="05D882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8735418"/>
    <w:multiLevelType w:val="hybridMultilevel"/>
    <w:tmpl w:val="EF74C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3B6127E0"/>
    <w:multiLevelType w:val="hybridMultilevel"/>
    <w:tmpl w:val="FE3E498A"/>
    <w:lvl w:ilvl="0" w:tplc="1FA084C8">
      <w:start w:val="1"/>
      <w:numFmt w:val="lowerLetter"/>
      <w:pStyle w:val="ListContinue2"/>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3BE9079B"/>
    <w:multiLevelType w:val="hybridMultilevel"/>
    <w:tmpl w:val="E9E0BB70"/>
    <w:lvl w:ilvl="0" w:tplc="8246215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3CEA27C1"/>
    <w:multiLevelType w:val="hybridMultilevel"/>
    <w:tmpl w:val="1D1AD4D8"/>
    <w:lvl w:ilvl="0" w:tplc="ED18599E">
      <w:start w:val="1"/>
      <w:numFmt w:val="decimal"/>
      <w:pStyle w:val="ListContinue"/>
      <w:lvlText w:val="%1)"/>
      <w:lvlJc w:val="left"/>
      <w:pPr>
        <w:ind w:left="1080" w:hanging="360"/>
      </w:pPr>
      <w:rPr>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3F5555A4"/>
    <w:multiLevelType w:val="hybridMultilevel"/>
    <w:tmpl w:val="8182E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4221568"/>
    <w:multiLevelType w:val="hybridMultilevel"/>
    <w:tmpl w:val="E14E1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52F558F"/>
    <w:multiLevelType w:val="hybridMultilevel"/>
    <w:tmpl w:val="9F924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nsid w:val="47181F57"/>
    <w:multiLevelType w:val="hybridMultilevel"/>
    <w:tmpl w:val="E5603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7D61B9E"/>
    <w:multiLevelType w:val="hybridMultilevel"/>
    <w:tmpl w:val="1A824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49384034"/>
    <w:multiLevelType w:val="hybridMultilevel"/>
    <w:tmpl w:val="92F8A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4BCA3EE9"/>
    <w:multiLevelType w:val="hybridMultilevel"/>
    <w:tmpl w:val="CBE0D938"/>
    <w:lvl w:ilvl="0" w:tplc="0409000F">
      <w:start w:val="1"/>
      <w:numFmt w:val="decimal"/>
      <w:lvlText w:val="%1."/>
      <w:lvlJc w:val="left"/>
      <w:pPr>
        <w:ind w:left="720" w:hanging="360"/>
      </w:pPr>
      <w:rPr>
        <w:rFonts w:hint="default"/>
        <w:sz w:val="24"/>
        <w:szCs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CB61A7A"/>
    <w:multiLevelType w:val="hybridMultilevel"/>
    <w:tmpl w:val="F9BE7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4DCF52FB"/>
    <w:multiLevelType w:val="hybridMultilevel"/>
    <w:tmpl w:val="5916FB7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4E3C0A59"/>
    <w:multiLevelType w:val="hybridMultilevel"/>
    <w:tmpl w:val="42E4A7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2">
    <w:nsid w:val="4FD25E5D"/>
    <w:multiLevelType w:val="hybridMultilevel"/>
    <w:tmpl w:val="BB08A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2512563"/>
    <w:multiLevelType w:val="hybridMultilevel"/>
    <w:tmpl w:val="9D765F2C"/>
    <w:lvl w:ilvl="0" w:tplc="0164D150">
      <w:start w:val="1"/>
      <w:numFmt w:val="bullet"/>
      <w:lvlText w:val=""/>
      <w:lvlJc w:val="left"/>
      <w:pPr>
        <w:ind w:left="144" w:hanging="14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53B1795D"/>
    <w:multiLevelType w:val="hybridMultilevel"/>
    <w:tmpl w:val="832CCB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5">
    <w:nsid w:val="54714349"/>
    <w:multiLevelType w:val="hybridMultilevel"/>
    <w:tmpl w:val="AA0AC63E"/>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56">
    <w:nsid w:val="552E03FD"/>
    <w:multiLevelType w:val="hybridMultilevel"/>
    <w:tmpl w:val="69F8A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5D75402"/>
    <w:multiLevelType w:val="hybridMultilevel"/>
    <w:tmpl w:val="53BE3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58906812"/>
    <w:multiLevelType w:val="hybridMultilevel"/>
    <w:tmpl w:val="B91CF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B8A1689"/>
    <w:multiLevelType w:val="hybridMultilevel"/>
    <w:tmpl w:val="8B4694F0"/>
    <w:lvl w:ilvl="0" w:tplc="65502D9E">
      <w:start w:val="1"/>
      <w:numFmt w:val="upperLetter"/>
      <w:lvlText w:val="%1."/>
      <w:lvlJc w:val="left"/>
      <w:pPr>
        <w:ind w:left="360" w:hanging="432"/>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5F4C34F5"/>
    <w:multiLevelType w:val="multilevel"/>
    <w:tmpl w:val="2720684C"/>
    <w:styleLink w:val="ListNumber1"/>
    <w:lvl w:ilvl="0">
      <w:start w:val="1"/>
      <w:numFmt w:val="decimal"/>
      <w:lvlText w:val="%1)"/>
      <w:lvlJc w:val="left"/>
      <w:pPr>
        <w:ind w:left="108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1">
    <w:nsid w:val="61594CCD"/>
    <w:multiLevelType w:val="hybridMultilevel"/>
    <w:tmpl w:val="8F74E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nsid w:val="618A3E7C"/>
    <w:multiLevelType w:val="hybridMultilevel"/>
    <w:tmpl w:val="CF1AD4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2063CAD"/>
    <w:multiLevelType w:val="hybridMultilevel"/>
    <w:tmpl w:val="65A6F4F4"/>
    <w:lvl w:ilvl="0" w:tplc="EDE4DE14">
      <w:start w:val="1"/>
      <w:numFmt w:val="upperRoman"/>
      <w:lvlText w:val="%1."/>
      <w:lvlJc w:val="left"/>
      <w:pPr>
        <w:ind w:left="108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5C74E13"/>
    <w:multiLevelType w:val="hybridMultilevel"/>
    <w:tmpl w:val="0D1A0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66366440"/>
    <w:multiLevelType w:val="hybridMultilevel"/>
    <w:tmpl w:val="54546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nsid w:val="66C8562F"/>
    <w:multiLevelType w:val="hybridMultilevel"/>
    <w:tmpl w:val="FF9CA1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7">
    <w:nsid w:val="6A0B631C"/>
    <w:multiLevelType w:val="hybridMultilevel"/>
    <w:tmpl w:val="C6D20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12C7080"/>
    <w:multiLevelType w:val="hybridMultilevel"/>
    <w:tmpl w:val="5C78C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72242891"/>
    <w:multiLevelType w:val="hybridMultilevel"/>
    <w:tmpl w:val="3808E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44C48F1"/>
    <w:multiLevelType w:val="hybridMultilevel"/>
    <w:tmpl w:val="C8DAF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77541AFE"/>
    <w:multiLevelType w:val="hybridMultilevel"/>
    <w:tmpl w:val="6D4C5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77B6550E"/>
    <w:multiLevelType w:val="hybridMultilevel"/>
    <w:tmpl w:val="FA5C2ECA"/>
    <w:lvl w:ilvl="0" w:tplc="DC564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D1C6236"/>
    <w:multiLevelType w:val="hybridMultilevel"/>
    <w:tmpl w:val="EC1A2732"/>
    <w:lvl w:ilvl="0" w:tplc="72AEEC40">
      <w:start w:val="1"/>
      <w:numFmt w:val="bullet"/>
      <w:lvlText w:val="•"/>
      <w:lvlJc w:val="left"/>
      <w:pPr>
        <w:tabs>
          <w:tab w:val="num" w:pos="720"/>
        </w:tabs>
        <w:ind w:left="720" w:hanging="360"/>
      </w:pPr>
      <w:rPr>
        <w:rFonts w:ascii="Arial" w:hAnsi="Arial" w:hint="default"/>
      </w:rPr>
    </w:lvl>
    <w:lvl w:ilvl="1" w:tplc="04DE2108" w:tentative="1">
      <w:start w:val="1"/>
      <w:numFmt w:val="bullet"/>
      <w:lvlText w:val="•"/>
      <w:lvlJc w:val="left"/>
      <w:pPr>
        <w:tabs>
          <w:tab w:val="num" w:pos="1440"/>
        </w:tabs>
        <w:ind w:left="1440" w:hanging="360"/>
      </w:pPr>
      <w:rPr>
        <w:rFonts w:ascii="Arial" w:hAnsi="Arial" w:hint="default"/>
      </w:rPr>
    </w:lvl>
    <w:lvl w:ilvl="2" w:tplc="8C10B184" w:tentative="1">
      <w:start w:val="1"/>
      <w:numFmt w:val="bullet"/>
      <w:lvlText w:val="•"/>
      <w:lvlJc w:val="left"/>
      <w:pPr>
        <w:tabs>
          <w:tab w:val="num" w:pos="2160"/>
        </w:tabs>
        <w:ind w:left="2160" w:hanging="360"/>
      </w:pPr>
      <w:rPr>
        <w:rFonts w:ascii="Arial" w:hAnsi="Arial" w:hint="default"/>
      </w:rPr>
    </w:lvl>
    <w:lvl w:ilvl="3" w:tplc="A7C60ABC" w:tentative="1">
      <w:start w:val="1"/>
      <w:numFmt w:val="bullet"/>
      <w:lvlText w:val="•"/>
      <w:lvlJc w:val="left"/>
      <w:pPr>
        <w:tabs>
          <w:tab w:val="num" w:pos="2880"/>
        </w:tabs>
        <w:ind w:left="2880" w:hanging="360"/>
      </w:pPr>
      <w:rPr>
        <w:rFonts w:ascii="Arial" w:hAnsi="Arial" w:hint="default"/>
      </w:rPr>
    </w:lvl>
    <w:lvl w:ilvl="4" w:tplc="3800CC6A" w:tentative="1">
      <w:start w:val="1"/>
      <w:numFmt w:val="bullet"/>
      <w:lvlText w:val="•"/>
      <w:lvlJc w:val="left"/>
      <w:pPr>
        <w:tabs>
          <w:tab w:val="num" w:pos="3600"/>
        </w:tabs>
        <w:ind w:left="3600" w:hanging="360"/>
      </w:pPr>
      <w:rPr>
        <w:rFonts w:ascii="Arial" w:hAnsi="Arial" w:hint="default"/>
      </w:rPr>
    </w:lvl>
    <w:lvl w:ilvl="5" w:tplc="BBC63D16" w:tentative="1">
      <w:start w:val="1"/>
      <w:numFmt w:val="bullet"/>
      <w:lvlText w:val="•"/>
      <w:lvlJc w:val="left"/>
      <w:pPr>
        <w:tabs>
          <w:tab w:val="num" w:pos="4320"/>
        </w:tabs>
        <w:ind w:left="4320" w:hanging="360"/>
      </w:pPr>
      <w:rPr>
        <w:rFonts w:ascii="Arial" w:hAnsi="Arial" w:hint="default"/>
      </w:rPr>
    </w:lvl>
    <w:lvl w:ilvl="6" w:tplc="0A00F3D6" w:tentative="1">
      <w:start w:val="1"/>
      <w:numFmt w:val="bullet"/>
      <w:lvlText w:val="•"/>
      <w:lvlJc w:val="left"/>
      <w:pPr>
        <w:tabs>
          <w:tab w:val="num" w:pos="5040"/>
        </w:tabs>
        <w:ind w:left="5040" w:hanging="360"/>
      </w:pPr>
      <w:rPr>
        <w:rFonts w:ascii="Arial" w:hAnsi="Arial" w:hint="default"/>
      </w:rPr>
    </w:lvl>
    <w:lvl w:ilvl="7" w:tplc="1C98773C" w:tentative="1">
      <w:start w:val="1"/>
      <w:numFmt w:val="bullet"/>
      <w:lvlText w:val="•"/>
      <w:lvlJc w:val="left"/>
      <w:pPr>
        <w:tabs>
          <w:tab w:val="num" w:pos="5760"/>
        </w:tabs>
        <w:ind w:left="5760" w:hanging="360"/>
      </w:pPr>
      <w:rPr>
        <w:rFonts w:ascii="Arial" w:hAnsi="Arial" w:hint="default"/>
      </w:rPr>
    </w:lvl>
    <w:lvl w:ilvl="8" w:tplc="DA661834" w:tentative="1">
      <w:start w:val="1"/>
      <w:numFmt w:val="bullet"/>
      <w:lvlText w:val="•"/>
      <w:lvlJc w:val="left"/>
      <w:pPr>
        <w:tabs>
          <w:tab w:val="num" w:pos="6480"/>
        </w:tabs>
        <w:ind w:left="6480" w:hanging="360"/>
      </w:pPr>
      <w:rPr>
        <w:rFonts w:ascii="Arial" w:hAnsi="Arial" w:hint="default"/>
      </w:rPr>
    </w:lvl>
  </w:abstractNum>
  <w:abstractNum w:abstractNumId="74">
    <w:nsid w:val="7D9F7EBC"/>
    <w:multiLevelType w:val="hybridMultilevel"/>
    <w:tmpl w:val="922E5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7DF32C56"/>
    <w:multiLevelType w:val="multilevel"/>
    <w:tmpl w:val="0409001D"/>
    <w:lvl w:ilvl="0">
      <w:start w:val="1"/>
      <w:numFmt w:val="decimal"/>
      <w:lvlText w:val="%1)"/>
      <w:lvlJc w:val="left"/>
      <w:pPr>
        <w:ind w:left="1080" w:hanging="360"/>
      </w:pPr>
    </w:lvl>
    <w:lvl w:ilvl="1">
      <w:start w:val="1"/>
      <w:numFmt w:val="upperLetter"/>
      <w:lvlText w:val="%2)"/>
      <w:lvlJc w:val="left"/>
      <w:pPr>
        <w:ind w:left="1440" w:hanging="360"/>
      </w:pPr>
      <w:rPr>
        <w:rFonts w:ascii="Times New Roman" w:eastAsia="Times New Roman" w:hAnsi="Times New Roman" w:cs="Times New Roman"/>
      </w:r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num w:numId="1">
    <w:abstractNumId w:val="51"/>
  </w:num>
  <w:num w:numId="2">
    <w:abstractNumId w:val="65"/>
  </w:num>
  <w:num w:numId="3">
    <w:abstractNumId w:val="4"/>
  </w:num>
  <w:num w:numId="4">
    <w:abstractNumId w:val="66"/>
  </w:num>
  <w:num w:numId="5">
    <w:abstractNumId w:val="28"/>
  </w:num>
  <w:num w:numId="6">
    <w:abstractNumId w:val="13"/>
  </w:num>
  <w:num w:numId="7">
    <w:abstractNumId w:val="33"/>
  </w:num>
  <w:num w:numId="8">
    <w:abstractNumId w:val="61"/>
  </w:num>
  <w:num w:numId="9">
    <w:abstractNumId w:val="40"/>
  </w:num>
  <w:num w:numId="10">
    <w:abstractNumId w:val="73"/>
  </w:num>
  <w:num w:numId="11">
    <w:abstractNumId w:val="11"/>
  </w:num>
  <w:num w:numId="12">
    <w:abstractNumId w:val="47"/>
  </w:num>
  <w:num w:numId="13">
    <w:abstractNumId w:val="35"/>
  </w:num>
  <w:num w:numId="14">
    <w:abstractNumId w:val="26"/>
  </w:num>
  <w:num w:numId="15">
    <w:abstractNumId w:val="50"/>
  </w:num>
  <w:num w:numId="16">
    <w:abstractNumId w:val="31"/>
    <w:lvlOverride w:ilvl="0">
      <w:lvl w:ilvl="0">
        <w:start w:val="1"/>
        <w:numFmt w:val="decimal"/>
        <w:lvlText w:val="%1)"/>
        <w:lvlJc w:val="left"/>
        <w:pPr>
          <w:ind w:left="1080" w:hanging="360"/>
        </w:pPr>
        <w:rPr>
          <w:i w:val="0"/>
        </w:rPr>
      </w:lvl>
    </w:lvlOverride>
  </w:num>
  <w:num w:numId="17">
    <w:abstractNumId w:val="49"/>
  </w:num>
  <w:num w:numId="18">
    <w:abstractNumId w:val="0"/>
  </w:num>
  <w:num w:numId="19">
    <w:abstractNumId w:val="60"/>
  </w:num>
  <w:num w:numId="20">
    <w:abstractNumId w:val="41"/>
  </w:num>
  <w:num w:numId="21">
    <w:abstractNumId w:val="39"/>
  </w:num>
  <w:num w:numId="22">
    <w:abstractNumId w:val="24"/>
  </w:num>
  <w:num w:numId="23">
    <w:abstractNumId w:val="16"/>
  </w:num>
  <w:num w:numId="24">
    <w:abstractNumId w:val="69"/>
  </w:num>
  <w:num w:numId="25">
    <w:abstractNumId w:val="15"/>
  </w:num>
  <w:num w:numId="26">
    <w:abstractNumId w:val="29"/>
  </w:num>
  <w:num w:numId="27">
    <w:abstractNumId w:val="30"/>
  </w:num>
  <w:num w:numId="28">
    <w:abstractNumId w:val="34"/>
  </w:num>
  <w:num w:numId="29">
    <w:abstractNumId w:val="1"/>
  </w:num>
  <w:num w:numId="30">
    <w:abstractNumId w:val="59"/>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6"/>
  </w:num>
  <w:num w:numId="33">
    <w:abstractNumId w:val="63"/>
  </w:num>
  <w:num w:numId="34">
    <w:abstractNumId w:val="38"/>
  </w:num>
  <w:num w:numId="35">
    <w:abstractNumId w:val="75"/>
  </w:num>
  <w:num w:numId="36">
    <w:abstractNumId w:val="18"/>
  </w:num>
  <w:num w:numId="37">
    <w:abstractNumId w:val="3"/>
  </w:num>
  <w:num w:numId="38">
    <w:abstractNumId w:val="19"/>
  </w:num>
  <w:num w:numId="39">
    <w:abstractNumId w:val="62"/>
  </w:num>
  <w:num w:numId="40">
    <w:abstractNumId w:val="44"/>
  </w:num>
  <w:num w:numId="41">
    <w:abstractNumId w:val="10"/>
  </w:num>
  <w:num w:numId="42">
    <w:abstractNumId w:val="20"/>
  </w:num>
  <w:num w:numId="43">
    <w:abstractNumId w:val="72"/>
  </w:num>
  <w:num w:numId="44">
    <w:abstractNumId w:val="5"/>
  </w:num>
  <w:num w:numId="45">
    <w:abstractNumId w:val="22"/>
  </w:num>
  <w:num w:numId="46">
    <w:abstractNumId w:val="23"/>
  </w:num>
  <w:num w:numId="47">
    <w:abstractNumId w:val="17"/>
  </w:num>
  <w:num w:numId="48">
    <w:abstractNumId w:val="6"/>
  </w:num>
  <w:num w:numId="49">
    <w:abstractNumId w:val="7"/>
  </w:num>
  <w:num w:numId="50">
    <w:abstractNumId w:val="14"/>
  </w:num>
  <w:num w:numId="51">
    <w:abstractNumId w:val="71"/>
  </w:num>
  <w:num w:numId="52">
    <w:abstractNumId w:val="48"/>
  </w:num>
  <w:num w:numId="53">
    <w:abstractNumId w:val="52"/>
  </w:num>
  <w:num w:numId="54">
    <w:abstractNumId w:val="74"/>
  </w:num>
  <w:num w:numId="55">
    <w:abstractNumId w:val="2"/>
  </w:num>
  <w:num w:numId="56">
    <w:abstractNumId w:val="64"/>
  </w:num>
  <w:num w:numId="57">
    <w:abstractNumId w:val="8"/>
  </w:num>
  <w:num w:numId="58">
    <w:abstractNumId w:val="32"/>
  </w:num>
  <w:num w:numId="59">
    <w:abstractNumId w:val="43"/>
  </w:num>
  <w:num w:numId="60">
    <w:abstractNumId w:val="9"/>
  </w:num>
  <w:num w:numId="61">
    <w:abstractNumId w:val="45"/>
  </w:num>
  <w:num w:numId="62">
    <w:abstractNumId w:val="37"/>
  </w:num>
  <w:num w:numId="63">
    <w:abstractNumId w:val="25"/>
  </w:num>
  <w:num w:numId="64">
    <w:abstractNumId w:val="67"/>
  </w:num>
  <w:num w:numId="65">
    <w:abstractNumId w:val="56"/>
  </w:num>
  <w:num w:numId="66">
    <w:abstractNumId w:val="68"/>
  </w:num>
  <w:num w:numId="67">
    <w:abstractNumId w:val="12"/>
  </w:num>
  <w:num w:numId="68">
    <w:abstractNumId w:val="55"/>
  </w:num>
  <w:num w:numId="69">
    <w:abstractNumId w:val="42"/>
  </w:num>
  <w:num w:numId="70">
    <w:abstractNumId w:val="46"/>
  </w:num>
  <w:num w:numId="71">
    <w:abstractNumId w:val="54"/>
  </w:num>
  <w:num w:numId="72">
    <w:abstractNumId w:val="33"/>
  </w:num>
  <w:num w:numId="73">
    <w:abstractNumId w:val="70"/>
  </w:num>
  <w:num w:numId="74">
    <w:abstractNumId w:val="27"/>
  </w:num>
  <w:num w:numId="75">
    <w:abstractNumId w:val="57"/>
  </w:num>
  <w:num w:numId="76">
    <w:abstractNumId w:val="58"/>
  </w:num>
  <w:num w:numId="77">
    <w:abstractNumId w:val="53"/>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20"/>
  <w:displayHorizontalDrawingGridEvery w:val="2"/>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A44"/>
    <w:rsid w:val="00000513"/>
    <w:rsid w:val="00001023"/>
    <w:rsid w:val="0000136E"/>
    <w:rsid w:val="0000151B"/>
    <w:rsid w:val="0000193A"/>
    <w:rsid w:val="0000287A"/>
    <w:rsid w:val="000032AF"/>
    <w:rsid w:val="000034FC"/>
    <w:rsid w:val="000035EF"/>
    <w:rsid w:val="000037EF"/>
    <w:rsid w:val="00003E7C"/>
    <w:rsid w:val="0000400B"/>
    <w:rsid w:val="000048B1"/>
    <w:rsid w:val="00005332"/>
    <w:rsid w:val="00005782"/>
    <w:rsid w:val="00006C04"/>
    <w:rsid w:val="00006E78"/>
    <w:rsid w:val="00006FEE"/>
    <w:rsid w:val="00007057"/>
    <w:rsid w:val="0000719D"/>
    <w:rsid w:val="000102B3"/>
    <w:rsid w:val="00010B2D"/>
    <w:rsid w:val="00011CEA"/>
    <w:rsid w:val="000123E4"/>
    <w:rsid w:val="000130AD"/>
    <w:rsid w:val="000132A1"/>
    <w:rsid w:val="000140E5"/>
    <w:rsid w:val="00014820"/>
    <w:rsid w:val="00015B9D"/>
    <w:rsid w:val="00016CB1"/>
    <w:rsid w:val="00016E96"/>
    <w:rsid w:val="000170FE"/>
    <w:rsid w:val="000202FE"/>
    <w:rsid w:val="00020307"/>
    <w:rsid w:val="00020B03"/>
    <w:rsid w:val="00021A13"/>
    <w:rsid w:val="00021E04"/>
    <w:rsid w:val="00022174"/>
    <w:rsid w:val="000231F0"/>
    <w:rsid w:val="00023B5A"/>
    <w:rsid w:val="0002408A"/>
    <w:rsid w:val="00024924"/>
    <w:rsid w:val="000264DE"/>
    <w:rsid w:val="00026827"/>
    <w:rsid w:val="00026F0E"/>
    <w:rsid w:val="000277B2"/>
    <w:rsid w:val="00030478"/>
    <w:rsid w:val="0003077A"/>
    <w:rsid w:val="000342CD"/>
    <w:rsid w:val="0003438E"/>
    <w:rsid w:val="00034F93"/>
    <w:rsid w:val="0003569C"/>
    <w:rsid w:val="00036887"/>
    <w:rsid w:val="00036D45"/>
    <w:rsid w:val="0004000D"/>
    <w:rsid w:val="000404E0"/>
    <w:rsid w:val="00040C06"/>
    <w:rsid w:val="000428AE"/>
    <w:rsid w:val="00042AEA"/>
    <w:rsid w:val="00042DB5"/>
    <w:rsid w:val="0004310F"/>
    <w:rsid w:val="00044BCD"/>
    <w:rsid w:val="00045C8D"/>
    <w:rsid w:val="00046689"/>
    <w:rsid w:val="000469EE"/>
    <w:rsid w:val="00046FDA"/>
    <w:rsid w:val="00047DBB"/>
    <w:rsid w:val="00050BAA"/>
    <w:rsid w:val="00050F6F"/>
    <w:rsid w:val="0005160D"/>
    <w:rsid w:val="00052D8F"/>
    <w:rsid w:val="00053956"/>
    <w:rsid w:val="00054014"/>
    <w:rsid w:val="0005506A"/>
    <w:rsid w:val="00055D0E"/>
    <w:rsid w:val="0005600B"/>
    <w:rsid w:val="000568E8"/>
    <w:rsid w:val="000609EF"/>
    <w:rsid w:val="0006219F"/>
    <w:rsid w:val="000626DB"/>
    <w:rsid w:val="00063270"/>
    <w:rsid w:val="000639AC"/>
    <w:rsid w:val="00063CE7"/>
    <w:rsid w:val="00063FB2"/>
    <w:rsid w:val="0006407C"/>
    <w:rsid w:val="0006418F"/>
    <w:rsid w:val="00065B71"/>
    <w:rsid w:val="00065D8C"/>
    <w:rsid w:val="00067736"/>
    <w:rsid w:val="00067D3F"/>
    <w:rsid w:val="00071382"/>
    <w:rsid w:val="000713D4"/>
    <w:rsid w:val="0007210B"/>
    <w:rsid w:val="00072D73"/>
    <w:rsid w:val="00073742"/>
    <w:rsid w:val="00073CC5"/>
    <w:rsid w:val="00073E9C"/>
    <w:rsid w:val="0007482E"/>
    <w:rsid w:val="00075CDF"/>
    <w:rsid w:val="0007649A"/>
    <w:rsid w:val="00076595"/>
    <w:rsid w:val="00076B12"/>
    <w:rsid w:val="00081907"/>
    <w:rsid w:val="00081D93"/>
    <w:rsid w:val="00082431"/>
    <w:rsid w:val="0008389A"/>
    <w:rsid w:val="000859A8"/>
    <w:rsid w:val="0008635A"/>
    <w:rsid w:val="00086579"/>
    <w:rsid w:val="000868C2"/>
    <w:rsid w:val="00086C42"/>
    <w:rsid w:val="000876E8"/>
    <w:rsid w:val="00087B66"/>
    <w:rsid w:val="000905D6"/>
    <w:rsid w:val="00091A50"/>
    <w:rsid w:val="00091CA9"/>
    <w:rsid w:val="00091DA9"/>
    <w:rsid w:val="0009270C"/>
    <w:rsid w:val="00093115"/>
    <w:rsid w:val="00093970"/>
    <w:rsid w:val="00093B28"/>
    <w:rsid w:val="000945A1"/>
    <w:rsid w:val="00094DD3"/>
    <w:rsid w:val="00095D5F"/>
    <w:rsid w:val="000962FC"/>
    <w:rsid w:val="000964EE"/>
    <w:rsid w:val="00096762"/>
    <w:rsid w:val="00096EC5"/>
    <w:rsid w:val="000975F7"/>
    <w:rsid w:val="000A0675"/>
    <w:rsid w:val="000A1BC7"/>
    <w:rsid w:val="000A31C1"/>
    <w:rsid w:val="000A3BC6"/>
    <w:rsid w:val="000A3E60"/>
    <w:rsid w:val="000A4973"/>
    <w:rsid w:val="000A5024"/>
    <w:rsid w:val="000A533E"/>
    <w:rsid w:val="000A58FE"/>
    <w:rsid w:val="000A5B6E"/>
    <w:rsid w:val="000A66F1"/>
    <w:rsid w:val="000A6EC3"/>
    <w:rsid w:val="000A7A51"/>
    <w:rsid w:val="000A7F62"/>
    <w:rsid w:val="000B0108"/>
    <w:rsid w:val="000B0273"/>
    <w:rsid w:val="000B02EE"/>
    <w:rsid w:val="000B038F"/>
    <w:rsid w:val="000B095E"/>
    <w:rsid w:val="000B0C5D"/>
    <w:rsid w:val="000B0E13"/>
    <w:rsid w:val="000B12A1"/>
    <w:rsid w:val="000B1ACA"/>
    <w:rsid w:val="000B2908"/>
    <w:rsid w:val="000B2FC1"/>
    <w:rsid w:val="000B492C"/>
    <w:rsid w:val="000B7170"/>
    <w:rsid w:val="000C0879"/>
    <w:rsid w:val="000C191A"/>
    <w:rsid w:val="000C192E"/>
    <w:rsid w:val="000C1967"/>
    <w:rsid w:val="000C25A5"/>
    <w:rsid w:val="000C25C0"/>
    <w:rsid w:val="000C25CE"/>
    <w:rsid w:val="000C2C17"/>
    <w:rsid w:val="000C2F38"/>
    <w:rsid w:val="000C3602"/>
    <w:rsid w:val="000C37B7"/>
    <w:rsid w:val="000C37FE"/>
    <w:rsid w:val="000C392D"/>
    <w:rsid w:val="000C3D90"/>
    <w:rsid w:val="000C40CE"/>
    <w:rsid w:val="000C43CA"/>
    <w:rsid w:val="000C491A"/>
    <w:rsid w:val="000C4FFD"/>
    <w:rsid w:val="000C5024"/>
    <w:rsid w:val="000C5092"/>
    <w:rsid w:val="000D00AE"/>
    <w:rsid w:val="000D200D"/>
    <w:rsid w:val="000D2995"/>
    <w:rsid w:val="000D2D6D"/>
    <w:rsid w:val="000D32B5"/>
    <w:rsid w:val="000D4798"/>
    <w:rsid w:val="000D503F"/>
    <w:rsid w:val="000D5217"/>
    <w:rsid w:val="000D52FB"/>
    <w:rsid w:val="000D531B"/>
    <w:rsid w:val="000D5708"/>
    <w:rsid w:val="000D5C96"/>
    <w:rsid w:val="000D66EC"/>
    <w:rsid w:val="000D6B97"/>
    <w:rsid w:val="000D775D"/>
    <w:rsid w:val="000E00E7"/>
    <w:rsid w:val="000E053E"/>
    <w:rsid w:val="000E0B06"/>
    <w:rsid w:val="000E1479"/>
    <w:rsid w:val="000E24D5"/>
    <w:rsid w:val="000E264E"/>
    <w:rsid w:val="000E2C54"/>
    <w:rsid w:val="000E3045"/>
    <w:rsid w:val="000E3721"/>
    <w:rsid w:val="000E3A9B"/>
    <w:rsid w:val="000E3BE8"/>
    <w:rsid w:val="000E3BF2"/>
    <w:rsid w:val="000E3F9C"/>
    <w:rsid w:val="000E425C"/>
    <w:rsid w:val="000E46B1"/>
    <w:rsid w:val="000E5DBC"/>
    <w:rsid w:val="000E5F8C"/>
    <w:rsid w:val="000E600B"/>
    <w:rsid w:val="000E6234"/>
    <w:rsid w:val="000E6B01"/>
    <w:rsid w:val="000E7620"/>
    <w:rsid w:val="000F067D"/>
    <w:rsid w:val="000F1C92"/>
    <w:rsid w:val="000F259F"/>
    <w:rsid w:val="000F290B"/>
    <w:rsid w:val="000F2A3A"/>
    <w:rsid w:val="000F3608"/>
    <w:rsid w:val="000F448E"/>
    <w:rsid w:val="000F453D"/>
    <w:rsid w:val="000F4DE5"/>
    <w:rsid w:val="000F507F"/>
    <w:rsid w:val="000F5A5E"/>
    <w:rsid w:val="000F5A63"/>
    <w:rsid w:val="000F5F27"/>
    <w:rsid w:val="000F6020"/>
    <w:rsid w:val="000F60D0"/>
    <w:rsid w:val="000F6198"/>
    <w:rsid w:val="000F6439"/>
    <w:rsid w:val="000F6615"/>
    <w:rsid w:val="000F6731"/>
    <w:rsid w:val="000F74C0"/>
    <w:rsid w:val="001006FB"/>
    <w:rsid w:val="001007E6"/>
    <w:rsid w:val="00100A40"/>
    <w:rsid w:val="00101277"/>
    <w:rsid w:val="0010127A"/>
    <w:rsid w:val="0010177F"/>
    <w:rsid w:val="00102313"/>
    <w:rsid w:val="001033D4"/>
    <w:rsid w:val="00103584"/>
    <w:rsid w:val="00103BDE"/>
    <w:rsid w:val="00104EF7"/>
    <w:rsid w:val="001056CD"/>
    <w:rsid w:val="001056D5"/>
    <w:rsid w:val="00105706"/>
    <w:rsid w:val="00105CD8"/>
    <w:rsid w:val="00105F04"/>
    <w:rsid w:val="00106F72"/>
    <w:rsid w:val="00106FB0"/>
    <w:rsid w:val="001078CD"/>
    <w:rsid w:val="00111334"/>
    <w:rsid w:val="001116EB"/>
    <w:rsid w:val="00111990"/>
    <w:rsid w:val="00113827"/>
    <w:rsid w:val="00113B09"/>
    <w:rsid w:val="00114110"/>
    <w:rsid w:val="00114C01"/>
    <w:rsid w:val="0011600C"/>
    <w:rsid w:val="00116F41"/>
    <w:rsid w:val="00117319"/>
    <w:rsid w:val="001177C2"/>
    <w:rsid w:val="00117A17"/>
    <w:rsid w:val="00117C74"/>
    <w:rsid w:val="001212E6"/>
    <w:rsid w:val="001221A5"/>
    <w:rsid w:val="00122904"/>
    <w:rsid w:val="00124475"/>
    <w:rsid w:val="00124A45"/>
    <w:rsid w:val="00124A5A"/>
    <w:rsid w:val="0012676E"/>
    <w:rsid w:val="001273FE"/>
    <w:rsid w:val="00127438"/>
    <w:rsid w:val="00130169"/>
    <w:rsid w:val="00131BEA"/>
    <w:rsid w:val="00131C7B"/>
    <w:rsid w:val="00131EA0"/>
    <w:rsid w:val="00131F40"/>
    <w:rsid w:val="00132848"/>
    <w:rsid w:val="0013288F"/>
    <w:rsid w:val="00133FC9"/>
    <w:rsid w:val="00134695"/>
    <w:rsid w:val="00134778"/>
    <w:rsid w:val="00136AF6"/>
    <w:rsid w:val="00136E87"/>
    <w:rsid w:val="001415CC"/>
    <w:rsid w:val="00142C83"/>
    <w:rsid w:val="00142E6E"/>
    <w:rsid w:val="00143215"/>
    <w:rsid w:val="00144927"/>
    <w:rsid w:val="00144C5B"/>
    <w:rsid w:val="001450FF"/>
    <w:rsid w:val="001454CE"/>
    <w:rsid w:val="001454D1"/>
    <w:rsid w:val="0014602A"/>
    <w:rsid w:val="00146FEB"/>
    <w:rsid w:val="00147A40"/>
    <w:rsid w:val="00150181"/>
    <w:rsid w:val="001503BB"/>
    <w:rsid w:val="0015092F"/>
    <w:rsid w:val="001510E1"/>
    <w:rsid w:val="00151A9B"/>
    <w:rsid w:val="0015278D"/>
    <w:rsid w:val="00152B42"/>
    <w:rsid w:val="0015301F"/>
    <w:rsid w:val="00153D46"/>
    <w:rsid w:val="00153E81"/>
    <w:rsid w:val="001543E3"/>
    <w:rsid w:val="00156FFF"/>
    <w:rsid w:val="00157550"/>
    <w:rsid w:val="00157676"/>
    <w:rsid w:val="0015785E"/>
    <w:rsid w:val="00160301"/>
    <w:rsid w:val="00161393"/>
    <w:rsid w:val="00163046"/>
    <w:rsid w:val="00164340"/>
    <w:rsid w:val="001646F6"/>
    <w:rsid w:val="00165116"/>
    <w:rsid w:val="00165CD2"/>
    <w:rsid w:val="0016687B"/>
    <w:rsid w:val="001670BD"/>
    <w:rsid w:val="001671FE"/>
    <w:rsid w:val="001707E7"/>
    <w:rsid w:val="00170E58"/>
    <w:rsid w:val="00172159"/>
    <w:rsid w:val="00172259"/>
    <w:rsid w:val="00172909"/>
    <w:rsid w:val="00173291"/>
    <w:rsid w:val="00173A46"/>
    <w:rsid w:val="00174A6E"/>
    <w:rsid w:val="00174B72"/>
    <w:rsid w:val="001757D5"/>
    <w:rsid w:val="00175902"/>
    <w:rsid w:val="0017649F"/>
    <w:rsid w:val="00177BF5"/>
    <w:rsid w:val="001801D6"/>
    <w:rsid w:val="0018316F"/>
    <w:rsid w:val="001836BC"/>
    <w:rsid w:val="00184B72"/>
    <w:rsid w:val="00184F90"/>
    <w:rsid w:val="001853DD"/>
    <w:rsid w:val="0018557C"/>
    <w:rsid w:val="00185742"/>
    <w:rsid w:val="00185C9E"/>
    <w:rsid w:val="00185D89"/>
    <w:rsid w:val="00187A77"/>
    <w:rsid w:val="00190F1C"/>
    <w:rsid w:val="0019169E"/>
    <w:rsid w:val="00191A0C"/>
    <w:rsid w:val="00191B1D"/>
    <w:rsid w:val="00192B8C"/>
    <w:rsid w:val="00193490"/>
    <w:rsid w:val="001935F8"/>
    <w:rsid w:val="00193670"/>
    <w:rsid w:val="001938DE"/>
    <w:rsid w:val="00193C3C"/>
    <w:rsid w:val="00193F80"/>
    <w:rsid w:val="001953DE"/>
    <w:rsid w:val="00195D8B"/>
    <w:rsid w:val="00195ECD"/>
    <w:rsid w:val="00196415"/>
    <w:rsid w:val="00197330"/>
    <w:rsid w:val="001A0B53"/>
    <w:rsid w:val="001A0B85"/>
    <w:rsid w:val="001A10F7"/>
    <w:rsid w:val="001A14FF"/>
    <w:rsid w:val="001A3939"/>
    <w:rsid w:val="001A41E6"/>
    <w:rsid w:val="001A4C49"/>
    <w:rsid w:val="001A51E3"/>
    <w:rsid w:val="001A56EB"/>
    <w:rsid w:val="001A5F13"/>
    <w:rsid w:val="001A686C"/>
    <w:rsid w:val="001A6C48"/>
    <w:rsid w:val="001A702E"/>
    <w:rsid w:val="001A7496"/>
    <w:rsid w:val="001A764C"/>
    <w:rsid w:val="001B0DC0"/>
    <w:rsid w:val="001B1B55"/>
    <w:rsid w:val="001B1C0B"/>
    <w:rsid w:val="001B2926"/>
    <w:rsid w:val="001B2FFA"/>
    <w:rsid w:val="001B3360"/>
    <w:rsid w:val="001B3A68"/>
    <w:rsid w:val="001B4BBE"/>
    <w:rsid w:val="001B4E1A"/>
    <w:rsid w:val="001B6594"/>
    <w:rsid w:val="001B6BEE"/>
    <w:rsid w:val="001B7355"/>
    <w:rsid w:val="001B7809"/>
    <w:rsid w:val="001B7BCC"/>
    <w:rsid w:val="001B7C18"/>
    <w:rsid w:val="001C0501"/>
    <w:rsid w:val="001C0C0A"/>
    <w:rsid w:val="001C0C7E"/>
    <w:rsid w:val="001C2375"/>
    <w:rsid w:val="001C3B72"/>
    <w:rsid w:val="001C4388"/>
    <w:rsid w:val="001C46BF"/>
    <w:rsid w:val="001C4D6B"/>
    <w:rsid w:val="001C4F27"/>
    <w:rsid w:val="001C76B7"/>
    <w:rsid w:val="001D06D7"/>
    <w:rsid w:val="001D07B2"/>
    <w:rsid w:val="001D16B5"/>
    <w:rsid w:val="001D213D"/>
    <w:rsid w:val="001D238D"/>
    <w:rsid w:val="001D25A8"/>
    <w:rsid w:val="001D2978"/>
    <w:rsid w:val="001D3214"/>
    <w:rsid w:val="001D368C"/>
    <w:rsid w:val="001D5B63"/>
    <w:rsid w:val="001D5EBB"/>
    <w:rsid w:val="001D622A"/>
    <w:rsid w:val="001D69A7"/>
    <w:rsid w:val="001D6A21"/>
    <w:rsid w:val="001D6DB0"/>
    <w:rsid w:val="001D747A"/>
    <w:rsid w:val="001D7B05"/>
    <w:rsid w:val="001E08B2"/>
    <w:rsid w:val="001E158C"/>
    <w:rsid w:val="001E1685"/>
    <w:rsid w:val="001E21B3"/>
    <w:rsid w:val="001E3355"/>
    <w:rsid w:val="001E3CF0"/>
    <w:rsid w:val="001E4443"/>
    <w:rsid w:val="001E4878"/>
    <w:rsid w:val="001E547F"/>
    <w:rsid w:val="001E6070"/>
    <w:rsid w:val="001F24DF"/>
    <w:rsid w:val="001F3A86"/>
    <w:rsid w:val="001F65FC"/>
    <w:rsid w:val="001F7B39"/>
    <w:rsid w:val="002008AA"/>
    <w:rsid w:val="00201007"/>
    <w:rsid w:val="00201F9A"/>
    <w:rsid w:val="002033CC"/>
    <w:rsid w:val="002034F5"/>
    <w:rsid w:val="00204322"/>
    <w:rsid w:val="002049F9"/>
    <w:rsid w:val="00205802"/>
    <w:rsid w:val="00205AC8"/>
    <w:rsid w:val="00205BAF"/>
    <w:rsid w:val="00205E8D"/>
    <w:rsid w:val="00206888"/>
    <w:rsid w:val="0020725A"/>
    <w:rsid w:val="002104A0"/>
    <w:rsid w:val="00210E8E"/>
    <w:rsid w:val="002115ED"/>
    <w:rsid w:val="00211728"/>
    <w:rsid w:val="00212A19"/>
    <w:rsid w:val="00212BBF"/>
    <w:rsid w:val="00212D93"/>
    <w:rsid w:val="00213570"/>
    <w:rsid w:val="0021370F"/>
    <w:rsid w:val="00220B99"/>
    <w:rsid w:val="00221B4E"/>
    <w:rsid w:val="00221B51"/>
    <w:rsid w:val="002221D6"/>
    <w:rsid w:val="00222881"/>
    <w:rsid w:val="002229FD"/>
    <w:rsid w:val="0022348B"/>
    <w:rsid w:val="00223628"/>
    <w:rsid w:val="00223DBF"/>
    <w:rsid w:val="002246C4"/>
    <w:rsid w:val="00224869"/>
    <w:rsid w:val="00224B48"/>
    <w:rsid w:val="00224BE5"/>
    <w:rsid w:val="002264BE"/>
    <w:rsid w:val="00226821"/>
    <w:rsid w:val="00227251"/>
    <w:rsid w:val="00227318"/>
    <w:rsid w:val="00227E05"/>
    <w:rsid w:val="002300FF"/>
    <w:rsid w:val="00230ADB"/>
    <w:rsid w:val="00230BC8"/>
    <w:rsid w:val="002338C7"/>
    <w:rsid w:val="00233DCF"/>
    <w:rsid w:val="00234562"/>
    <w:rsid w:val="00234F59"/>
    <w:rsid w:val="00235395"/>
    <w:rsid w:val="002356D0"/>
    <w:rsid w:val="0023571C"/>
    <w:rsid w:val="0023736D"/>
    <w:rsid w:val="00237C9B"/>
    <w:rsid w:val="002406C2"/>
    <w:rsid w:val="00240A8F"/>
    <w:rsid w:val="00240D08"/>
    <w:rsid w:val="00240F1C"/>
    <w:rsid w:val="002411A1"/>
    <w:rsid w:val="002417DE"/>
    <w:rsid w:val="002420A7"/>
    <w:rsid w:val="00242AE8"/>
    <w:rsid w:val="00242B4D"/>
    <w:rsid w:val="0024444A"/>
    <w:rsid w:val="002444F3"/>
    <w:rsid w:val="002447FE"/>
    <w:rsid w:val="00244E41"/>
    <w:rsid w:val="0024593A"/>
    <w:rsid w:val="002464F4"/>
    <w:rsid w:val="002471B2"/>
    <w:rsid w:val="00247B60"/>
    <w:rsid w:val="0025023A"/>
    <w:rsid w:val="00250714"/>
    <w:rsid w:val="00251EBB"/>
    <w:rsid w:val="002535D5"/>
    <w:rsid w:val="0025375F"/>
    <w:rsid w:val="00254169"/>
    <w:rsid w:val="00254565"/>
    <w:rsid w:val="00254C2D"/>
    <w:rsid w:val="00254EEE"/>
    <w:rsid w:val="00255B9D"/>
    <w:rsid w:val="00255EBD"/>
    <w:rsid w:val="00257330"/>
    <w:rsid w:val="002576FE"/>
    <w:rsid w:val="00257CB7"/>
    <w:rsid w:val="00261728"/>
    <w:rsid w:val="00261E61"/>
    <w:rsid w:val="00262BEC"/>
    <w:rsid w:val="0026317C"/>
    <w:rsid w:val="002635CB"/>
    <w:rsid w:val="0026414D"/>
    <w:rsid w:val="002657FC"/>
    <w:rsid w:val="00265FE9"/>
    <w:rsid w:val="002667E2"/>
    <w:rsid w:val="00266AD2"/>
    <w:rsid w:val="00271879"/>
    <w:rsid w:val="00272171"/>
    <w:rsid w:val="00272C44"/>
    <w:rsid w:val="00272F3D"/>
    <w:rsid w:val="00272F4D"/>
    <w:rsid w:val="002732D0"/>
    <w:rsid w:val="0027463F"/>
    <w:rsid w:val="002749BD"/>
    <w:rsid w:val="00275024"/>
    <w:rsid w:val="0027532C"/>
    <w:rsid w:val="002756D8"/>
    <w:rsid w:val="00276701"/>
    <w:rsid w:val="002770BA"/>
    <w:rsid w:val="00277C77"/>
    <w:rsid w:val="00277D6B"/>
    <w:rsid w:val="00280548"/>
    <w:rsid w:val="00280B76"/>
    <w:rsid w:val="00281576"/>
    <w:rsid w:val="00281719"/>
    <w:rsid w:val="0028217F"/>
    <w:rsid w:val="002845AF"/>
    <w:rsid w:val="00284894"/>
    <w:rsid w:val="002852B4"/>
    <w:rsid w:val="00285750"/>
    <w:rsid w:val="00285C2E"/>
    <w:rsid w:val="00285E14"/>
    <w:rsid w:val="00286444"/>
    <w:rsid w:val="00287076"/>
    <w:rsid w:val="002879AF"/>
    <w:rsid w:val="00290375"/>
    <w:rsid w:val="00290E29"/>
    <w:rsid w:val="00291313"/>
    <w:rsid w:val="002918AA"/>
    <w:rsid w:val="00291A46"/>
    <w:rsid w:val="00291AFE"/>
    <w:rsid w:val="00291F3B"/>
    <w:rsid w:val="00294A6B"/>
    <w:rsid w:val="00295027"/>
    <w:rsid w:val="002968E4"/>
    <w:rsid w:val="00296C6A"/>
    <w:rsid w:val="0029722E"/>
    <w:rsid w:val="002A10EE"/>
    <w:rsid w:val="002A14EE"/>
    <w:rsid w:val="002A1529"/>
    <w:rsid w:val="002A1C42"/>
    <w:rsid w:val="002A2C16"/>
    <w:rsid w:val="002A3D63"/>
    <w:rsid w:val="002A405A"/>
    <w:rsid w:val="002A454F"/>
    <w:rsid w:val="002A4582"/>
    <w:rsid w:val="002A4B0A"/>
    <w:rsid w:val="002A5029"/>
    <w:rsid w:val="002A58F8"/>
    <w:rsid w:val="002A60F4"/>
    <w:rsid w:val="002A6C64"/>
    <w:rsid w:val="002A7ADA"/>
    <w:rsid w:val="002A7D1A"/>
    <w:rsid w:val="002B0103"/>
    <w:rsid w:val="002B055C"/>
    <w:rsid w:val="002B0A74"/>
    <w:rsid w:val="002B1569"/>
    <w:rsid w:val="002B2393"/>
    <w:rsid w:val="002B2BD9"/>
    <w:rsid w:val="002B2F07"/>
    <w:rsid w:val="002B3AB8"/>
    <w:rsid w:val="002B472D"/>
    <w:rsid w:val="002B60C7"/>
    <w:rsid w:val="002B60F0"/>
    <w:rsid w:val="002B69CB"/>
    <w:rsid w:val="002B7883"/>
    <w:rsid w:val="002B7BDC"/>
    <w:rsid w:val="002B7BE3"/>
    <w:rsid w:val="002C01AD"/>
    <w:rsid w:val="002C0919"/>
    <w:rsid w:val="002C0E6F"/>
    <w:rsid w:val="002C0E92"/>
    <w:rsid w:val="002C1409"/>
    <w:rsid w:val="002C1543"/>
    <w:rsid w:val="002C285B"/>
    <w:rsid w:val="002C3228"/>
    <w:rsid w:val="002C3DE9"/>
    <w:rsid w:val="002C4223"/>
    <w:rsid w:val="002C67B6"/>
    <w:rsid w:val="002C68F9"/>
    <w:rsid w:val="002C76D1"/>
    <w:rsid w:val="002C7A9A"/>
    <w:rsid w:val="002C7E5A"/>
    <w:rsid w:val="002D00F5"/>
    <w:rsid w:val="002D0EB4"/>
    <w:rsid w:val="002D1E33"/>
    <w:rsid w:val="002D20C9"/>
    <w:rsid w:val="002D21BF"/>
    <w:rsid w:val="002D2B8F"/>
    <w:rsid w:val="002D2E74"/>
    <w:rsid w:val="002D32DE"/>
    <w:rsid w:val="002D3B9C"/>
    <w:rsid w:val="002D3D60"/>
    <w:rsid w:val="002D56A7"/>
    <w:rsid w:val="002D6353"/>
    <w:rsid w:val="002D63B7"/>
    <w:rsid w:val="002D6751"/>
    <w:rsid w:val="002D6C47"/>
    <w:rsid w:val="002E0223"/>
    <w:rsid w:val="002E0424"/>
    <w:rsid w:val="002E0CCA"/>
    <w:rsid w:val="002E1304"/>
    <w:rsid w:val="002E1CB7"/>
    <w:rsid w:val="002E1FC0"/>
    <w:rsid w:val="002E2230"/>
    <w:rsid w:val="002E25E7"/>
    <w:rsid w:val="002E4675"/>
    <w:rsid w:val="002E485A"/>
    <w:rsid w:val="002F00B9"/>
    <w:rsid w:val="002F00C0"/>
    <w:rsid w:val="002F07CF"/>
    <w:rsid w:val="002F0AD4"/>
    <w:rsid w:val="002F14CF"/>
    <w:rsid w:val="002F29F3"/>
    <w:rsid w:val="002F3D90"/>
    <w:rsid w:val="002F3FA1"/>
    <w:rsid w:val="002F4130"/>
    <w:rsid w:val="002F455A"/>
    <w:rsid w:val="002F48B9"/>
    <w:rsid w:val="002F5DF8"/>
    <w:rsid w:val="002F62AC"/>
    <w:rsid w:val="002F6DD5"/>
    <w:rsid w:val="002F71DB"/>
    <w:rsid w:val="00300511"/>
    <w:rsid w:val="003009B6"/>
    <w:rsid w:val="00301863"/>
    <w:rsid w:val="0030197B"/>
    <w:rsid w:val="003019B7"/>
    <w:rsid w:val="00301D74"/>
    <w:rsid w:val="0030439E"/>
    <w:rsid w:val="003046B6"/>
    <w:rsid w:val="0030492D"/>
    <w:rsid w:val="00304BD4"/>
    <w:rsid w:val="00304EC4"/>
    <w:rsid w:val="003062F7"/>
    <w:rsid w:val="00307E21"/>
    <w:rsid w:val="00310D3E"/>
    <w:rsid w:val="00310FA5"/>
    <w:rsid w:val="00310FD7"/>
    <w:rsid w:val="003119C8"/>
    <w:rsid w:val="00311F1F"/>
    <w:rsid w:val="00313702"/>
    <w:rsid w:val="00313CDF"/>
    <w:rsid w:val="00313FF7"/>
    <w:rsid w:val="00315865"/>
    <w:rsid w:val="00315E9C"/>
    <w:rsid w:val="003169B3"/>
    <w:rsid w:val="0031745F"/>
    <w:rsid w:val="00321074"/>
    <w:rsid w:val="00322341"/>
    <w:rsid w:val="003227C0"/>
    <w:rsid w:val="003228A9"/>
    <w:rsid w:val="003233F8"/>
    <w:rsid w:val="00323AB8"/>
    <w:rsid w:val="00323E1C"/>
    <w:rsid w:val="00324E71"/>
    <w:rsid w:val="00325811"/>
    <w:rsid w:val="00325F3C"/>
    <w:rsid w:val="003268CF"/>
    <w:rsid w:val="00326EED"/>
    <w:rsid w:val="00330732"/>
    <w:rsid w:val="00330FB9"/>
    <w:rsid w:val="003314E9"/>
    <w:rsid w:val="00331AE5"/>
    <w:rsid w:val="00331D53"/>
    <w:rsid w:val="003322DE"/>
    <w:rsid w:val="003336C6"/>
    <w:rsid w:val="00333EC6"/>
    <w:rsid w:val="00333EF3"/>
    <w:rsid w:val="0033469A"/>
    <w:rsid w:val="00335B33"/>
    <w:rsid w:val="003366FC"/>
    <w:rsid w:val="00336DD1"/>
    <w:rsid w:val="00340417"/>
    <w:rsid w:val="00340BD6"/>
    <w:rsid w:val="00341633"/>
    <w:rsid w:val="00342153"/>
    <w:rsid w:val="0034258B"/>
    <w:rsid w:val="0034296D"/>
    <w:rsid w:val="00344687"/>
    <w:rsid w:val="00344F49"/>
    <w:rsid w:val="003454AA"/>
    <w:rsid w:val="0034667E"/>
    <w:rsid w:val="00346AB1"/>
    <w:rsid w:val="0034710F"/>
    <w:rsid w:val="00350BC9"/>
    <w:rsid w:val="0035126F"/>
    <w:rsid w:val="00351D68"/>
    <w:rsid w:val="0035216A"/>
    <w:rsid w:val="00352A94"/>
    <w:rsid w:val="003545FE"/>
    <w:rsid w:val="00354FB4"/>
    <w:rsid w:val="003550E1"/>
    <w:rsid w:val="00355549"/>
    <w:rsid w:val="003562E4"/>
    <w:rsid w:val="0035670B"/>
    <w:rsid w:val="00356D60"/>
    <w:rsid w:val="00357047"/>
    <w:rsid w:val="003572C8"/>
    <w:rsid w:val="003572F5"/>
    <w:rsid w:val="00357362"/>
    <w:rsid w:val="003577EE"/>
    <w:rsid w:val="00357E2C"/>
    <w:rsid w:val="00357FBC"/>
    <w:rsid w:val="00360FCC"/>
    <w:rsid w:val="003615E6"/>
    <w:rsid w:val="003646EB"/>
    <w:rsid w:val="00364FF0"/>
    <w:rsid w:val="00365145"/>
    <w:rsid w:val="00365A0E"/>
    <w:rsid w:val="00365CC1"/>
    <w:rsid w:val="003665CF"/>
    <w:rsid w:val="003673FB"/>
    <w:rsid w:val="0037036E"/>
    <w:rsid w:val="00370DA0"/>
    <w:rsid w:val="00371141"/>
    <w:rsid w:val="003719C0"/>
    <w:rsid w:val="0037279C"/>
    <w:rsid w:val="00373774"/>
    <w:rsid w:val="00374689"/>
    <w:rsid w:val="003749A7"/>
    <w:rsid w:val="00374C9F"/>
    <w:rsid w:val="00375EA9"/>
    <w:rsid w:val="00377AAB"/>
    <w:rsid w:val="00377AF4"/>
    <w:rsid w:val="00380B9C"/>
    <w:rsid w:val="00380EE0"/>
    <w:rsid w:val="003812B0"/>
    <w:rsid w:val="003815E5"/>
    <w:rsid w:val="00381CA6"/>
    <w:rsid w:val="0038308A"/>
    <w:rsid w:val="0038429F"/>
    <w:rsid w:val="0038481D"/>
    <w:rsid w:val="00384CEE"/>
    <w:rsid w:val="003853E4"/>
    <w:rsid w:val="003857ED"/>
    <w:rsid w:val="00385834"/>
    <w:rsid w:val="003866EB"/>
    <w:rsid w:val="00386725"/>
    <w:rsid w:val="003867F5"/>
    <w:rsid w:val="00387EBE"/>
    <w:rsid w:val="00390359"/>
    <w:rsid w:val="00392801"/>
    <w:rsid w:val="00392A91"/>
    <w:rsid w:val="00392B2D"/>
    <w:rsid w:val="00392C79"/>
    <w:rsid w:val="00392D59"/>
    <w:rsid w:val="00394B46"/>
    <w:rsid w:val="00395674"/>
    <w:rsid w:val="00395A33"/>
    <w:rsid w:val="00396A0F"/>
    <w:rsid w:val="00396D04"/>
    <w:rsid w:val="003A0C62"/>
    <w:rsid w:val="003A112A"/>
    <w:rsid w:val="003A1478"/>
    <w:rsid w:val="003A224F"/>
    <w:rsid w:val="003A352A"/>
    <w:rsid w:val="003A4CA4"/>
    <w:rsid w:val="003A602D"/>
    <w:rsid w:val="003A6843"/>
    <w:rsid w:val="003A695D"/>
    <w:rsid w:val="003A7B6A"/>
    <w:rsid w:val="003A7D64"/>
    <w:rsid w:val="003B0CF3"/>
    <w:rsid w:val="003B17AA"/>
    <w:rsid w:val="003B1A32"/>
    <w:rsid w:val="003B254F"/>
    <w:rsid w:val="003B2835"/>
    <w:rsid w:val="003B2AFC"/>
    <w:rsid w:val="003B344F"/>
    <w:rsid w:val="003B3A5B"/>
    <w:rsid w:val="003B435E"/>
    <w:rsid w:val="003B50C1"/>
    <w:rsid w:val="003B51DD"/>
    <w:rsid w:val="003B58C0"/>
    <w:rsid w:val="003B59E5"/>
    <w:rsid w:val="003B6A62"/>
    <w:rsid w:val="003B6E9A"/>
    <w:rsid w:val="003B7E25"/>
    <w:rsid w:val="003C079C"/>
    <w:rsid w:val="003C07B1"/>
    <w:rsid w:val="003C07C7"/>
    <w:rsid w:val="003C0C63"/>
    <w:rsid w:val="003C1446"/>
    <w:rsid w:val="003C14EE"/>
    <w:rsid w:val="003C2691"/>
    <w:rsid w:val="003C2814"/>
    <w:rsid w:val="003C2E59"/>
    <w:rsid w:val="003C3276"/>
    <w:rsid w:val="003C5039"/>
    <w:rsid w:val="003C58D5"/>
    <w:rsid w:val="003C5A80"/>
    <w:rsid w:val="003C612A"/>
    <w:rsid w:val="003C70E8"/>
    <w:rsid w:val="003C77A5"/>
    <w:rsid w:val="003C79F6"/>
    <w:rsid w:val="003C7B87"/>
    <w:rsid w:val="003C7CA4"/>
    <w:rsid w:val="003D0229"/>
    <w:rsid w:val="003D0D65"/>
    <w:rsid w:val="003D0F51"/>
    <w:rsid w:val="003D15FF"/>
    <w:rsid w:val="003D250C"/>
    <w:rsid w:val="003D2702"/>
    <w:rsid w:val="003D32C7"/>
    <w:rsid w:val="003D362D"/>
    <w:rsid w:val="003D39A9"/>
    <w:rsid w:val="003D3A49"/>
    <w:rsid w:val="003D3EBB"/>
    <w:rsid w:val="003D4487"/>
    <w:rsid w:val="003D4D2F"/>
    <w:rsid w:val="003D515B"/>
    <w:rsid w:val="003D58A1"/>
    <w:rsid w:val="003D5A51"/>
    <w:rsid w:val="003D6AAD"/>
    <w:rsid w:val="003D6F6C"/>
    <w:rsid w:val="003E043C"/>
    <w:rsid w:val="003E0E1A"/>
    <w:rsid w:val="003E0EAE"/>
    <w:rsid w:val="003E2866"/>
    <w:rsid w:val="003E2A57"/>
    <w:rsid w:val="003E2EFD"/>
    <w:rsid w:val="003E37B6"/>
    <w:rsid w:val="003E40AA"/>
    <w:rsid w:val="003E436C"/>
    <w:rsid w:val="003E4B6B"/>
    <w:rsid w:val="003E4D8A"/>
    <w:rsid w:val="003E54DF"/>
    <w:rsid w:val="003E55FD"/>
    <w:rsid w:val="003E5AB2"/>
    <w:rsid w:val="003E6215"/>
    <w:rsid w:val="003E6367"/>
    <w:rsid w:val="003E7337"/>
    <w:rsid w:val="003F0FB8"/>
    <w:rsid w:val="003F268E"/>
    <w:rsid w:val="003F40A2"/>
    <w:rsid w:val="003F4ACB"/>
    <w:rsid w:val="003F4E78"/>
    <w:rsid w:val="003F532B"/>
    <w:rsid w:val="003F534A"/>
    <w:rsid w:val="003F6039"/>
    <w:rsid w:val="003F61A5"/>
    <w:rsid w:val="003F6B68"/>
    <w:rsid w:val="003F70D2"/>
    <w:rsid w:val="003F7FA8"/>
    <w:rsid w:val="004002EC"/>
    <w:rsid w:val="00400E5B"/>
    <w:rsid w:val="00400EC1"/>
    <w:rsid w:val="00401D1E"/>
    <w:rsid w:val="00402826"/>
    <w:rsid w:val="00402E0D"/>
    <w:rsid w:val="004040D5"/>
    <w:rsid w:val="00404204"/>
    <w:rsid w:val="00404523"/>
    <w:rsid w:val="004045A4"/>
    <w:rsid w:val="00404BD0"/>
    <w:rsid w:val="004063DF"/>
    <w:rsid w:val="004064BD"/>
    <w:rsid w:val="004066F5"/>
    <w:rsid w:val="00406857"/>
    <w:rsid w:val="004069E8"/>
    <w:rsid w:val="00406D38"/>
    <w:rsid w:val="00406E2E"/>
    <w:rsid w:val="00406E6E"/>
    <w:rsid w:val="00407675"/>
    <w:rsid w:val="004106AA"/>
    <w:rsid w:val="00411427"/>
    <w:rsid w:val="00411739"/>
    <w:rsid w:val="00411E30"/>
    <w:rsid w:val="00412323"/>
    <w:rsid w:val="0041465C"/>
    <w:rsid w:val="00414BDF"/>
    <w:rsid w:val="0041511D"/>
    <w:rsid w:val="004153FD"/>
    <w:rsid w:val="004167B8"/>
    <w:rsid w:val="00416BD8"/>
    <w:rsid w:val="00417040"/>
    <w:rsid w:val="0041738E"/>
    <w:rsid w:val="00421504"/>
    <w:rsid w:val="004221DD"/>
    <w:rsid w:val="004225FD"/>
    <w:rsid w:val="004243AE"/>
    <w:rsid w:val="0042516E"/>
    <w:rsid w:val="0042526D"/>
    <w:rsid w:val="004277F9"/>
    <w:rsid w:val="0043065E"/>
    <w:rsid w:val="00430851"/>
    <w:rsid w:val="00431394"/>
    <w:rsid w:val="00432AF5"/>
    <w:rsid w:val="00432BF4"/>
    <w:rsid w:val="004336C3"/>
    <w:rsid w:val="00433F7B"/>
    <w:rsid w:val="004340F3"/>
    <w:rsid w:val="0043463F"/>
    <w:rsid w:val="00434FC5"/>
    <w:rsid w:val="004355FC"/>
    <w:rsid w:val="00435A9C"/>
    <w:rsid w:val="00435F37"/>
    <w:rsid w:val="004363E2"/>
    <w:rsid w:val="004368E7"/>
    <w:rsid w:val="00436D6B"/>
    <w:rsid w:val="00437C1A"/>
    <w:rsid w:val="00440139"/>
    <w:rsid w:val="00441D73"/>
    <w:rsid w:val="00441F72"/>
    <w:rsid w:val="00442314"/>
    <w:rsid w:val="00442E59"/>
    <w:rsid w:val="00443515"/>
    <w:rsid w:val="00443E78"/>
    <w:rsid w:val="00444002"/>
    <w:rsid w:val="00444005"/>
    <w:rsid w:val="004440E5"/>
    <w:rsid w:val="00444176"/>
    <w:rsid w:val="00446360"/>
    <w:rsid w:val="0044750B"/>
    <w:rsid w:val="00450056"/>
    <w:rsid w:val="00450272"/>
    <w:rsid w:val="004503F7"/>
    <w:rsid w:val="00451619"/>
    <w:rsid w:val="004523B1"/>
    <w:rsid w:val="004523BF"/>
    <w:rsid w:val="00452D76"/>
    <w:rsid w:val="00452F79"/>
    <w:rsid w:val="00453470"/>
    <w:rsid w:val="004556C2"/>
    <w:rsid w:val="004578F3"/>
    <w:rsid w:val="004579CA"/>
    <w:rsid w:val="00457BCC"/>
    <w:rsid w:val="004605AC"/>
    <w:rsid w:val="004636C4"/>
    <w:rsid w:val="0046382D"/>
    <w:rsid w:val="00464711"/>
    <w:rsid w:val="00464DC6"/>
    <w:rsid w:val="00467507"/>
    <w:rsid w:val="0046756F"/>
    <w:rsid w:val="004738D5"/>
    <w:rsid w:val="00473C11"/>
    <w:rsid w:val="00473FCE"/>
    <w:rsid w:val="004766BB"/>
    <w:rsid w:val="004777D7"/>
    <w:rsid w:val="00480751"/>
    <w:rsid w:val="00480B34"/>
    <w:rsid w:val="0048179F"/>
    <w:rsid w:val="00481BDB"/>
    <w:rsid w:val="00481D15"/>
    <w:rsid w:val="004821BA"/>
    <w:rsid w:val="00483062"/>
    <w:rsid w:val="0048516F"/>
    <w:rsid w:val="004851E9"/>
    <w:rsid w:val="00485800"/>
    <w:rsid w:val="00485ECB"/>
    <w:rsid w:val="004860D5"/>
    <w:rsid w:val="00487701"/>
    <w:rsid w:val="0049030A"/>
    <w:rsid w:val="004912B8"/>
    <w:rsid w:val="0049253D"/>
    <w:rsid w:val="00492956"/>
    <w:rsid w:val="00492CDC"/>
    <w:rsid w:val="00493946"/>
    <w:rsid w:val="00493A38"/>
    <w:rsid w:val="00494B81"/>
    <w:rsid w:val="00494D27"/>
    <w:rsid w:val="0049528D"/>
    <w:rsid w:val="00495A25"/>
    <w:rsid w:val="004967A0"/>
    <w:rsid w:val="004A1547"/>
    <w:rsid w:val="004A1FF4"/>
    <w:rsid w:val="004A2583"/>
    <w:rsid w:val="004A26F5"/>
    <w:rsid w:val="004A29CB"/>
    <w:rsid w:val="004A416F"/>
    <w:rsid w:val="004A498C"/>
    <w:rsid w:val="004A583E"/>
    <w:rsid w:val="004A6505"/>
    <w:rsid w:val="004A6953"/>
    <w:rsid w:val="004A7249"/>
    <w:rsid w:val="004A7380"/>
    <w:rsid w:val="004B0910"/>
    <w:rsid w:val="004B0B1D"/>
    <w:rsid w:val="004B0CA0"/>
    <w:rsid w:val="004B0DC6"/>
    <w:rsid w:val="004B10E4"/>
    <w:rsid w:val="004B1887"/>
    <w:rsid w:val="004B1CD9"/>
    <w:rsid w:val="004B20E2"/>
    <w:rsid w:val="004B2262"/>
    <w:rsid w:val="004B2A38"/>
    <w:rsid w:val="004B2E6E"/>
    <w:rsid w:val="004B36E5"/>
    <w:rsid w:val="004B4B28"/>
    <w:rsid w:val="004B4FA8"/>
    <w:rsid w:val="004B5F12"/>
    <w:rsid w:val="004B61FC"/>
    <w:rsid w:val="004B67E4"/>
    <w:rsid w:val="004B69EB"/>
    <w:rsid w:val="004B7C2A"/>
    <w:rsid w:val="004B7C7A"/>
    <w:rsid w:val="004B7CF3"/>
    <w:rsid w:val="004C02EF"/>
    <w:rsid w:val="004C1908"/>
    <w:rsid w:val="004C1960"/>
    <w:rsid w:val="004C1CD1"/>
    <w:rsid w:val="004C1EAE"/>
    <w:rsid w:val="004C275D"/>
    <w:rsid w:val="004C2C1D"/>
    <w:rsid w:val="004C35F1"/>
    <w:rsid w:val="004C3929"/>
    <w:rsid w:val="004C3FB5"/>
    <w:rsid w:val="004C40A5"/>
    <w:rsid w:val="004C4ED9"/>
    <w:rsid w:val="004C4FA3"/>
    <w:rsid w:val="004C6CDA"/>
    <w:rsid w:val="004C6D58"/>
    <w:rsid w:val="004C6DE3"/>
    <w:rsid w:val="004C770B"/>
    <w:rsid w:val="004D049A"/>
    <w:rsid w:val="004D06B8"/>
    <w:rsid w:val="004D08D3"/>
    <w:rsid w:val="004D2748"/>
    <w:rsid w:val="004D29D6"/>
    <w:rsid w:val="004D2ED2"/>
    <w:rsid w:val="004D31E3"/>
    <w:rsid w:val="004D337A"/>
    <w:rsid w:val="004D4A44"/>
    <w:rsid w:val="004D4DC1"/>
    <w:rsid w:val="004D6436"/>
    <w:rsid w:val="004D6CA7"/>
    <w:rsid w:val="004D6E6D"/>
    <w:rsid w:val="004E00FB"/>
    <w:rsid w:val="004E04A9"/>
    <w:rsid w:val="004E04C0"/>
    <w:rsid w:val="004E0802"/>
    <w:rsid w:val="004E195C"/>
    <w:rsid w:val="004E1AD8"/>
    <w:rsid w:val="004E21AA"/>
    <w:rsid w:val="004E2468"/>
    <w:rsid w:val="004E317E"/>
    <w:rsid w:val="004E31D7"/>
    <w:rsid w:val="004E3EC1"/>
    <w:rsid w:val="004E4D27"/>
    <w:rsid w:val="004E5265"/>
    <w:rsid w:val="004E59A1"/>
    <w:rsid w:val="004E6DE2"/>
    <w:rsid w:val="004E7571"/>
    <w:rsid w:val="004F04BE"/>
    <w:rsid w:val="004F08FD"/>
    <w:rsid w:val="004F1853"/>
    <w:rsid w:val="004F1DD8"/>
    <w:rsid w:val="004F2183"/>
    <w:rsid w:val="004F259C"/>
    <w:rsid w:val="004F3ED6"/>
    <w:rsid w:val="004F4DA7"/>
    <w:rsid w:val="004F5039"/>
    <w:rsid w:val="004F6766"/>
    <w:rsid w:val="004F6802"/>
    <w:rsid w:val="004F6E79"/>
    <w:rsid w:val="00500AFB"/>
    <w:rsid w:val="00500C7F"/>
    <w:rsid w:val="005022B9"/>
    <w:rsid w:val="00502745"/>
    <w:rsid w:val="005027A2"/>
    <w:rsid w:val="005028B4"/>
    <w:rsid w:val="00502BC7"/>
    <w:rsid w:val="00502E6D"/>
    <w:rsid w:val="00504AAF"/>
    <w:rsid w:val="0050525C"/>
    <w:rsid w:val="005054D8"/>
    <w:rsid w:val="005059CD"/>
    <w:rsid w:val="005059CE"/>
    <w:rsid w:val="00506680"/>
    <w:rsid w:val="0050672B"/>
    <w:rsid w:val="00506862"/>
    <w:rsid w:val="00507A12"/>
    <w:rsid w:val="00507E0A"/>
    <w:rsid w:val="005116AB"/>
    <w:rsid w:val="00512292"/>
    <w:rsid w:val="00512ACA"/>
    <w:rsid w:val="00512FF6"/>
    <w:rsid w:val="00513434"/>
    <w:rsid w:val="005141A2"/>
    <w:rsid w:val="00514344"/>
    <w:rsid w:val="00515831"/>
    <w:rsid w:val="00517347"/>
    <w:rsid w:val="0052026A"/>
    <w:rsid w:val="00520CB3"/>
    <w:rsid w:val="0052159C"/>
    <w:rsid w:val="0052163C"/>
    <w:rsid w:val="00522065"/>
    <w:rsid w:val="0052227D"/>
    <w:rsid w:val="00523198"/>
    <w:rsid w:val="005232BF"/>
    <w:rsid w:val="0052362B"/>
    <w:rsid w:val="00523F1D"/>
    <w:rsid w:val="00524504"/>
    <w:rsid w:val="00524669"/>
    <w:rsid w:val="00524B31"/>
    <w:rsid w:val="00524BD3"/>
    <w:rsid w:val="005252B2"/>
    <w:rsid w:val="00525B80"/>
    <w:rsid w:val="00527E74"/>
    <w:rsid w:val="0053044F"/>
    <w:rsid w:val="005317DB"/>
    <w:rsid w:val="00531B9A"/>
    <w:rsid w:val="00531C86"/>
    <w:rsid w:val="00531F2F"/>
    <w:rsid w:val="00532657"/>
    <w:rsid w:val="00533DC3"/>
    <w:rsid w:val="005346AC"/>
    <w:rsid w:val="005350BC"/>
    <w:rsid w:val="00536184"/>
    <w:rsid w:val="00536DA0"/>
    <w:rsid w:val="0053704B"/>
    <w:rsid w:val="00537988"/>
    <w:rsid w:val="00537A6F"/>
    <w:rsid w:val="00537CCA"/>
    <w:rsid w:val="00540733"/>
    <w:rsid w:val="00540BAC"/>
    <w:rsid w:val="00541ACA"/>
    <w:rsid w:val="00541B8C"/>
    <w:rsid w:val="005427BE"/>
    <w:rsid w:val="005434FB"/>
    <w:rsid w:val="00543528"/>
    <w:rsid w:val="00543A95"/>
    <w:rsid w:val="00544ACE"/>
    <w:rsid w:val="005453BF"/>
    <w:rsid w:val="00545FE8"/>
    <w:rsid w:val="005465EA"/>
    <w:rsid w:val="00546890"/>
    <w:rsid w:val="005469CD"/>
    <w:rsid w:val="00546B7A"/>
    <w:rsid w:val="005508C4"/>
    <w:rsid w:val="0055276B"/>
    <w:rsid w:val="0055397A"/>
    <w:rsid w:val="005546DC"/>
    <w:rsid w:val="005550F3"/>
    <w:rsid w:val="00555D55"/>
    <w:rsid w:val="00557ADC"/>
    <w:rsid w:val="0056034B"/>
    <w:rsid w:val="00560B02"/>
    <w:rsid w:val="00561314"/>
    <w:rsid w:val="00561972"/>
    <w:rsid w:val="0056276A"/>
    <w:rsid w:val="00562837"/>
    <w:rsid w:val="00562CFB"/>
    <w:rsid w:val="00563082"/>
    <w:rsid w:val="0056396E"/>
    <w:rsid w:val="0056457D"/>
    <w:rsid w:val="005645A8"/>
    <w:rsid w:val="00564890"/>
    <w:rsid w:val="005648DC"/>
    <w:rsid w:val="00564EA9"/>
    <w:rsid w:val="00565011"/>
    <w:rsid w:val="0056533F"/>
    <w:rsid w:val="00565743"/>
    <w:rsid w:val="005658EB"/>
    <w:rsid w:val="00571134"/>
    <w:rsid w:val="00571292"/>
    <w:rsid w:val="00571BF5"/>
    <w:rsid w:val="00571C32"/>
    <w:rsid w:val="00571E36"/>
    <w:rsid w:val="00572568"/>
    <w:rsid w:val="0057326C"/>
    <w:rsid w:val="0057382E"/>
    <w:rsid w:val="00574A02"/>
    <w:rsid w:val="00574F81"/>
    <w:rsid w:val="005758BA"/>
    <w:rsid w:val="00576562"/>
    <w:rsid w:val="005766A8"/>
    <w:rsid w:val="00576818"/>
    <w:rsid w:val="00576DC5"/>
    <w:rsid w:val="00577417"/>
    <w:rsid w:val="00577964"/>
    <w:rsid w:val="00577D5E"/>
    <w:rsid w:val="0058003B"/>
    <w:rsid w:val="00580682"/>
    <w:rsid w:val="005811B1"/>
    <w:rsid w:val="005817BE"/>
    <w:rsid w:val="00581E3A"/>
    <w:rsid w:val="00584352"/>
    <w:rsid w:val="005865EB"/>
    <w:rsid w:val="00586EB3"/>
    <w:rsid w:val="00587104"/>
    <w:rsid w:val="005873C8"/>
    <w:rsid w:val="00590682"/>
    <w:rsid w:val="005938A0"/>
    <w:rsid w:val="00593BF8"/>
    <w:rsid w:val="00594266"/>
    <w:rsid w:val="00594576"/>
    <w:rsid w:val="00596315"/>
    <w:rsid w:val="0059718A"/>
    <w:rsid w:val="00597CD8"/>
    <w:rsid w:val="005A266A"/>
    <w:rsid w:val="005A27F6"/>
    <w:rsid w:val="005A2AD5"/>
    <w:rsid w:val="005A329B"/>
    <w:rsid w:val="005A4180"/>
    <w:rsid w:val="005A4220"/>
    <w:rsid w:val="005A56D0"/>
    <w:rsid w:val="005A5888"/>
    <w:rsid w:val="005A5D3B"/>
    <w:rsid w:val="005A70A5"/>
    <w:rsid w:val="005A725F"/>
    <w:rsid w:val="005A7948"/>
    <w:rsid w:val="005A7A62"/>
    <w:rsid w:val="005B0A17"/>
    <w:rsid w:val="005B0CC8"/>
    <w:rsid w:val="005B0DA1"/>
    <w:rsid w:val="005B33BA"/>
    <w:rsid w:val="005B364A"/>
    <w:rsid w:val="005B3ABE"/>
    <w:rsid w:val="005B3D65"/>
    <w:rsid w:val="005B3FE5"/>
    <w:rsid w:val="005B4354"/>
    <w:rsid w:val="005B4EF7"/>
    <w:rsid w:val="005B623B"/>
    <w:rsid w:val="005B7EAD"/>
    <w:rsid w:val="005C0271"/>
    <w:rsid w:val="005C0529"/>
    <w:rsid w:val="005C087A"/>
    <w:rsid w:val="005C10DB"/>
    <w:rsid w:val="005C1CAC"/>
    <w:rsid w:val="005C2D7C"/>
    <w:rsid w:val="005C2F7D"/>
    <w:rsid w:val="005C345A"/>
    <w:rsid w:val="005C3D28"/>
    <w:rsid w:val="005C64A2"/>
    <w:rsid w:val="005C64E3"/>
    <w:rsid w:val="005C661A"/>
    <w:rsid w:val="005C682A"/>
    <w:rsid w:val="005C6F32"/>
    <w:rsid w:val="005C79B2"/>
    <w:rsid w:val="005C7B90"/>
    <w:rsid w:val="005D0186"/>
    <w:rsid w:val="005D0385"/>
    <w:rsid w:val="005D0B63"/>
    <w:rsid w:val="005D0C2D"/>
    <w:rsid w:val="005D2B79"/>
    <w:rsid w:val="005D30AF"/>
    <w:rsid w:val="005D3501"/>
    <w:rsid w:val="005D4CF2"/>
    <w:rsid w:val="005D54CC"/>
    <w:rsid w:val="005D5962"/>
    <w:rsid w:val="005D657C"/>
    <w:rsid w:val="005D6A86"/>
    <w:rsid w:val="005D73DA"/>
    <w:rsid w:val="005D7E7C"/>
    <w:rsid w:val="005E015B"/>
    <w:rsid w:val="005E0D2A"/>
    <w:rsid w:val="005E152E"/>
    <w:rsid w:val="005E193C"/>
    <w:rsid w:val="005E2542"/>
    <w:rsid w:val="005E2D30"/>
    <w:rsid w:val="005E3032"/>
    <w:rsid w:val="005E33CC"/>
    <w:rsid w:val="005E45D4"/>
    <w:rsid w:val="005E4D08"/>
    <w:rsid w:val="005E577E"/>
    <w:rsid w:val="005E6500"/>
    <w:rsid w:val="005E75A2"/>
    <w:rsid w:val="005E786A"/>
    <w:rsid w:val="005F0168"/>
    <w:rsid w:val="005F0405"/>
    <w:rsid w:val="005F1D0B"/>
    <w:rsid w:val="005F1F60"/>
    <w:rsid w:val="005F2A04"/>
    <w:rsid w:val="005F2B58"/>
    <w:rsid w:val="005F2F42"/>
    <w:rsid w:val="005F30E7"/>
    <w:rsid w:val="005F3C21"/>
    <w:rsid w:val="005F4273"/>
    <w:rsid w:val="005F51FB"/>
    <w:rsid w:val="005F56D6"/>
    <w:rsid w:val="005F5840"/>
    <w:rsid w:val="005F610A"/>
    <w:rsid w:val="005F7D5C"/>
    <w:rsid w:val="00600C6D"/>
    <w:rsid w:val="00602331"/>
    <w:rsid w:val="006024A1"/>
    <w:rsid w:val="00602A12"/>
    <w:rsid w:val="00603898"/>
    <w:rsid w:val="00603C5B"/>
    <w:rsid w:val="00603F23"/>
    <w:rsid w:val="00604FEA"/>
    <w:rsid w:val="006052E0"/>
    <w:rsid w:val="00606149"/>
    <w:rsid w:val="00607A10"/>
    <w:rsid w:val="00607F70"/>
    <w:rsid w:val="006108D4"/>
    <w:rsid w:val="00610D31"/>
    <w:rsid w:val="006114F6"/>
    <w:rsid w:val="00611717"/>
    <w:rsid w:val="0061180B"/>
    <w:rsid w:val="00613CDC"/>
    <w:rsid w:val="006157EA"/>
    <w:rsid w:val="006158AF"/>
    <w:rsid w:val="00616661"/>
    <w:rsid w:val="006168F4"/>
    <w:rsid w:val="00617F03"/>
    <w:rsid w:val="00620259"/>
    <w:rsid w:val="00620AFD"/>
    <w:rsid w:val="006211D8"/>
    <w:rsid w:val="006212C7"/>
    <w:rsid w:val="0062223C"/>
    <w:rsid w:val="00623356"/>
    <w:rsid w:val="00623C32"/>
    <w:rsid w:val="00623C8A"/>
    <w:rsid w:val="006246FB"/>
    <w:rsid w:val="0062491B"/>
    <w:rsid w:val="00626157"/>
    <w:rsid w:val="00626547"/>
    <w:rsid w:val="00627015"/>
    <w:rsid w:val="0063032A"/>
    <w:rsid w:val="006304A9"/>
    <w:rsid w:val="0063176C"/>
    <w:rsid w:val="0063242D"/>
    <w:rsid w:val="00632484"/>
    <w:rsid w:val="006337AA"/>
    <w:rsid w:val="00633AD9"/>
    <w:rsid w:val="00633DB6"/>
    <w:rsid w:val="006348E4"/>
    <w:rsid w:val="00634C7E"/>
    <w:rsid w:val="00635C55"/>
    <w:rsid w:val="00636488"/>
    <w:rsid w:val="0064015C"/>
    <w:rsid w:val="00640BDB"/>
    <w:rsid w:val="006416F7"/>
    <w:rsid w:val="00642355"/>
    <w:rsid w:val="0064378D"/>
    <w:rsid w:val="0064382D"/>
    <w:rsid w:val="0064463B"/>
    <w:rsid w:val="00644DFC"/>
    <w:rsid w:val="00645368"/>
    <w:rsid w:val="00646372"/>
    <w:rsid w:val="00646A87"/>
    <w:rsid w:val="0064701D"/>
    <w:rsid w:val="00647186"/>
    <w:rsid w:val="00647862"/>
    <w:rsid w:val="00647DB8"/>
    <w:rsid w:val="00647F3D"/>
    <w:rsid w:val="00647F57"/>
    <w:rsid w:val="00650738"/>
    <w:rsid w:val="00652D84"/>
    <w:rsid w:val="00652FB2"/>
    <w:rsid w:val="00654885"/>
    <w:rsid w:val="00655376"/>
    <w:rsid w:val="006555FE"/>
    <w:rsid w:val="00656750"/>
    <w:rsid w:val="006567EE"/>
    <w:rsid w:val="00657266"/>
    <w:rsid w:val="006573DC"/>
    <w:rsid w:val="00657D39"/>
    <w:rsid w:val="00657EBD"/>
    <w:rsid w:val="006601FC"/>
    <w:rsid w:val="00660C07"/>
    <w:rsid w:val="00660C23"/>
    <w:rsid w:val="00661442"/>
    <w:rsid w:val="00661580"/>
    <w:rsid w:val="00661730"/>
    <w:rsid w:val="00662527"/>
    <w:rsid w:val="00662F48"/>
    <w:rsid w:val="00663C07"/>
    <w:rsid w:val="00664785"/>
    <w:rsid w:val="0066512A"/>
    <w:rsid w:val="00665479"/>
    <w:rsid w:val="0066568E"/>
    <w:rsid w:val="00666638"/>
    <w:rsid w:val="006674C3"/>
    <w:rsid w:val="00667A4E"/>
    <w:rsid w:val="006701EC"/>
    <w:rsid w:val="00670462"/>
    <w:rsid w:val="00671CAA"/>
    <w:rsid w:val="00672D75"/>
    <w:rsid w:val="00672DD1"/>
    <w:rsid w:val="00672F50"/>
    <w:rsid w:val="00673097"/>
    <w:rsid w:val="006732B1"/>
    <w:rsid w:val="00674A64"/>
    <w:rsid w:val="00674F07"/>
    <w:rsid w:val="00676ABC"/>
    <w:rsid w:val="006827E0"/>
    <w:rsid w:val="006833BF"/>
    <w:rsid w:val="006834E9"/>
    <w:rsid w:val="00683C97"/>
    <w:rsid w:val="00684860"/>
    <w:rsid w:val="00685229"/>
    <w:rsid w:val="006855C4"/>
    <w:rsid w:val="00685929"/>
    <w:rsid w:val="00685F9A"/>
    <w:rsid w:val="00686490"/>
    <w:rsid w:val="00686903"/>
    <w:rsid w:val="00686D27"/>
    <w:rsid w:val="00687BB1"/>
    <w:rsid w:val="00687DD3"/>
    <w:rsid w:val="006908B1"/>
    <w:rsid w:val="006910B3"/>
    <w:rsid w:val="006918E2"/>
    <w:rsid w:val="006918FF"/>
    <w:rsid w:val="00691CDA"/>
    <w:rsid w:val="00692CEE"/>
    <w:rsid w:val="00693653"/>
    <w:rsid w:val="00693A3F"/>
    <w:rsid w:val="00693CCD"/>
    <w:rsid w:val="006949F7"/>
    <w:rsid w:val="0069549C"/>
    <w:rsid w:val="006956AF"/>
    <w:rsid w:val="0069798B"/>
    <w:rsid w:val="00697A3A"/>
    <w:rsid w:val="006A0537"/>
    <w:rsid w:val="006A2D41"/>
    <w:rsid w:val="006A5D94"/>
    <w:rsid w:val="006A604A"/>
    <w:rsid w:val="006A6E96"/>
    <w:rsid w:val="006A7E9B"/>
    <w:rsid w:val="006B0030"/>
    <w:rsid w:val="006B0313"/>
    <w:rsid w:val="006B4A0F"/>
    <w:rsid w:val="006B4F67"/>
    <w:rsid w:val="006B5ACD"/>
    <w:rsid w:val="006B5FC6"/>
    <w:rsid w:val="006B66FB"/>
    <w:rsid w:val="006C15F3"/>
    <w:rsid w:val="006C2676"/>
    <w:rsid w:val="006C2C19"/>
    <w:rsid w:val="006C3073"/>
    <w:rsid w:val="006C4AB3"/>
    <w:rsid w:val="006C5348"/>
    <w:rsid w:val="006C53A5"/>
    <w:rsid w:val="006C618D"/>
    <w:rsid w:val="006C66C5"/>
    <w:rsid w:val="006C71BB"/>
    <w:rsid w:val="006D0623"/>
    <w:rsid w:val="006D084C"/>
    <w:rsid w:val="006D1F9D"/>
    <w:rsid w:val="006D24C0"/>
    <w:rsid w:val="006D2570"/>
    <w:rsid w:val="006D3EE7"/>
    <w:rsid w:val="006D4C03"/>
    <w:rsid w:val="006D5403"/>
    <w:rsid w:val="006D5F05"/>
    <w:rsid w:val="006D5F46"/>
    <w:rsid w:val="006D6021"/>
    <w:rsid w:val="006D706B"/>
    <w:rsid w:val="006E00B1"/>
    <w:rsid w:val="006E0DBA"/>
    <w:rsid w:val="006E0FB4"/>
    <w:rsid w:val="006E117A"/>
    <w:rsid w:val="006E1EF1"/>
    <w:rsid w:val="006E3D3B"/>
    <w:rsid w:val="006E4224"/>
    <w:rsid w:val="006E4E30"/>
    <w:rsid w:val="006E7187"/>
    <w:rsid w:val="006E7465"/>
    <w:rsid w:val="006E7EC7"/>
    <w:rsid w:val="006F01AC"/>
    <w:rsid w:val="006F0242"/>
    <w:rsid w:val="006F02D8"/>
    <w:rsid w:val="006F0813"/>
    <w:rsid w:val="006F0C3C"/>
    <w:rsid w:val="006F1146"/>
    <w:rsid w:val="006F1223"/>
    <w:rsid w:val="006F15DF"/>
    <w:rsid w:val="006F1E98"/>
    <w:rsid w:val="006F3079"/>
    <w:rsid w:val="006F371A"/>
    <w:rsid w:val="006F4662"/>
    <w:rsid w:val="006F4751"/>
    <w:rsid w:val="006F5A5B"/>
    <w:rsid w:val="006F5E45"/>
    <w:rsid w:val="006F5F36"/>
    <w:rsid w:val="006F702D"/>
    <w:rsid w:val="006F724E"/>
    <w:rsid w:val="006F7A58"/>
    <w:rsid w:val="0070129B"/>
    <w:rsid w:val="00702608"/>
    <w:rsid w:val="007028A2"/>
    <w:rsid w:val="00703458"/>
    <w:rsid w:val="00703B5C"/>
    <w:rsid w:val="00703B94"/>
    <w:rsid w:val="00704488"/>
    <w:rsid w:val="0070504C"/>
    <w:rsid w:val="00705E02"/>
    <w:rsid w:val="00706799"/>
    <w:rsid w:val="00706F47"/>
    <w:rsid w:val="0070709A"/>
    <w:rsid w:val="00707A35"/>
    <w:rsid w:val="00707AE1"/>
    <w:rsid w:val="00707DAA"/>
    <w:rsid w:val="0071076A"/>
    <w:rsid w:val="0071185B"/>
    <w:rsid w:val="007127D1"/>
    <w:rsid w:val="007154CC"/>
    <w:rsid w:val="00715636"/>
    <w:rsid w:val="0071626B"/>
    <w:rsid w:val="00716510"/>
    <w:rsid w:val="00720492"/>
    <w:rsid w:val="0072137A"/>
    <w:rsid w:val="007213AF"/>
    <w:rsid w:val="0072180C"/>
    <w:rsid w:val="0072239A"/>
    <w:rsid w:val="00723200"/>
    <w:rsid w:val="0072325C"/>
    <w:rsid w:val="00724285"/>
    <w:rsid w:val="00724418"/>
    <w:rsid w:val="007268F0"/>
    <w:rsid w:val="00726B13"/>
    <w:rsid w:val="00726F3B"/>
    <w:rsid w:val="00730BBE"/>
    <w:rsid w:val="00730F4B"/>
    <w:rsid w:val="007312F7"/>
    <w:rsid w:val="007317FE"/>
    <w:rsid w:val="007320CD"/>
    <w:rsid w:val="007327AC"/>
    <w:rsid w:val="00732D68"/>
    <w:rsid w:val="0073332B"/>
    <w:rsid w:val="007337F5"/>
    <w:rsid w:val="007347A8"/>
    <w:rsid w:val="00735201"/>
    <w:rsid w:val="0073618A"/>
    <w:rsid w:val="00737772"/>
    <w:rsid w:val="007378D8"/>
    <w:rsid w:val="00737D2B"/>
    <w:rsid w:val="0074011A"/>
    <w:rsid w:val="00740EF4"/>
    <w:rsid w:val="00741236"/>
    <w:rsid w:val="007412EB"/>
    <w:rsid w:val="00741ADA"/>
    <w:rsid w:val="00742A87"/>
    <w:rsid w:val="00742FF2"/>
    <w:rsid w:val="00743704"/>
    <w:rsid w:val="007443D8"/>
    <w:rsid w:val="00744A0D"/>
    <w:rsid w:val="00744BAF"/>
    <w:rsid w:val="007450CF"/>
    <w:rsid w:val="00745D9A"/>
    <w:rsid w:val="00745E19"/>
    <w:rsid w:val="00745E52"/>
    <w:rsid w:val="00746675"/>
    <w:rsid w:val="00750AFD"/>
    <w:rsid w:val="007517C6"/>
    <w:rsid w:val="007518C5"/>
    <w:rsid w:val="00751D4C"/>
    <w:rsid w:val="00753C16"/>
    <w:rsid w:val="0075533A"/>
    <w:rsid w:val="00756B05"/>
    <w:rsid w:val="00756D3B"/>
    <w:rsid w:val="0075788E"/>
    <w:rsid w:val="00757E23"/>
    <w:rsid w:val="00760526"/>
    <w:rsid w:val="00762299"/>
    <w:rsid w:val="00762488"/>
    <w:rsid w:val="007624BE"/>
    <w:rsid w:val="0076335C"/>
    <w:rsid w:val="00763450"/>
    <w:rsid w:val="00764871"/>
    <w:rsid w:val="00764956"/>
    <w:rsid w:val="00764C74"/>
    <w:rsid w:val="007651AC"/>
    <w:rsid w:val="00765370"/>
    <w:rsid w:val="00765D23"/>
    <w:rsid w:val="00766E5F"/>
    <w:rsid w:val="007672EC"/>
    <w:rsid w:val="00770491"/>
    <w:rsid w:val="00770498"/>
    <w:rsid w:val="00770A1F"/>
    <w:rsid w:val="00770BFE"/>
    <w:rsid w:val="007717BA"/>
    <w:rsid w:val="00772947"/>
    <w:rsid w:val="00772CAF"/>
    <w:rsid w:val="00773CB0"/>
    <w:rsid w:val="007761BA"/>
    <w:rsid w:val="0077713A"/>
    <w:rsid w:val="00780003"/>
    <w:rsid w:val="007807FD"/>
    <w:rsid w:val="007816B5"/>
    <w:rsid w:val="00781C0F"/>
    <w:rsid w:val="007827E2"/>
    <w:rsid w:val="00783D7F"/>
    <w:rsid w:val="007841BB"/>
    <w:rsid w:val="007845E4"/>
    <w:rsid w:val="00784EC0"/>
    <w:rsid w:val="0078547B"/>
    <w:rsid w:val="0078602A"/>
    <w:rsid w:val="007869C1"/>
    <w:rsid w:val="00787049"/>
    <w:rsid w:val="0078719A"/>
    <w:rsid w:val="00787493"/>
    <w:rsid w:val="00787A3B"/>
    <w:rsid w:val="0079117B"/>
    <w:rsid w:val="0079127E"/>
    <w:rsid w:val="007912A6"/>
    <w:rsid w:val="007913CB"/>
    <w:rsid w:val="00791405"/>
    <w:rsid w:val="00791965"/>
    <w:rsid w:val="007931C8"/>
    <w:rsid w:val="007934D9"/>
    <w:rsid w:val="00793A66"/>
    <w:rsid w:val="00793AD6"/>
    <w:rsid w:val="00794249"/>
    <w:rsid w:val="007942FF"/>
    <w:rsid w:val="00794402"/>
    <w:rsid w:val="007963F9"/>
    <w:rsid w:val="00796DDC"/>
    <w:rsid w:val="00796F67"/>
    <w:rsid w:val="007979B8"/>
    <w:rsid w:val="007A0C61"/>
    <w:rsid w:val="007A16EA"/>
    <w:rsid w:val="007A1B16"/>
    <w:rsid w:val="007A1B8D"/>
    <w:rsid w:val="007A379B"/>
    <w:rsid w:val="007A43DC"/>
    <w:rsid w:val="007A6502"/>
    <w:rsid w:val="007A65D0"/>
    <w:rsid w:val="007A6ACC"/>
    <w:rsid w:val="007A6B3F"/>
    <w:rsid w:val="007A7066"/>
    <w:rsid w:val="007A7147"/>
    <w:rsid w:val="007A7CCE"/>
    <w:rsid w:val="007B051C"/>
    <w:rsid w:val="007B16E3"/>
    <w:rsid w:val="007B1AD4"/>
    <w:rsid w:val="007B2562"/>
    <w:rsid w:val="007B294B"/>
    <w:rsid w:val="007B3298"/>
    <w:rsid w:val="007B4CA0"/>
    <w:rsid w:val="007B765B"/>
    <w:rsid w:val="007C1271"/>
    <w:rsid w:val="007C12B7"/>
    <w:rsid w:val="007C1422"/>
    <w:rsid w:val="007C15D7"/>
    <w:rsid w:val="007C25AA"/>
    <w:rsid w:val="007C278A"/>
    <w:rsid w:val="007C383D"/>
    <w:rsid w:val="007C5B95"/>
    <w:rsid w:val="007C5F00"/>
    <w:rsid w:val="007D0334"/>
    <w:rsid w:val="007D124F"/>
    <w:rsid w:val="007D1787"/>
    <w:rsid w:val="007D1D00"/>
    <w:rsid w:val="007D2AE7"/>
    <w:rsid w:val="007D2C2B"/>
    <w:rsid w:val="007D300F"/>
    <w:rsid w:val="007D3387"/>
    <w:rsid w:val="007D3694"/>
    <w:rsid w:val="007D3A97"/>
    <w:rsid w:val="007D3EF5"/>
    <w:rsid w:val="007D4F91"/>
    <w:rsid w:val="007D515E"/>
    <w:rsid w:val="007D6064"/>
    <w:rsid w:val="007D62EC"/>
    <w:rsid w:val="007D7D62"/>
    <w:rsid w:val="007E0467"/>
    <w:rsid w:val="007E11E8"/>
    <w:rsid w:val="007E3100"/>
    <w:rsid w:val="007E33E9"/>
    <w:rsid w:val="007E3537"/>
    <w:rsid w:val="007E3617"/>
    <w:rsid w:val="007E40D7"/>
    <w:rsid w:val="007E4D35"/>
    <w:rsid w:val="007E53CA"/>
    <w:rsid w:val="007E5670"/>
    <w:rsid w:val="007E5A92"/>
    <w:rsid w:val="007E70D4"/>
    <w:rsid w:val="007F0F1B"/>
    <w:rsid w:val="007F133C"/>
    <w:rsid w:val="007F1757"/>
    <w:rsid w:val="007F233A"/>
    <w:rsid w:val="007F34F8"/>
    <w:rsid w:val="007F385C"/>
    <w:rsid w:val="007F4BF2"/>
    <w:rsid w:val="007F4E09"/>
    <w:rsid w:val="007F60C7"/>
    <w:rsid w:val="007F67C9"/>
    <w:rsid w:val="007F6E85"/>
    <w:rsid w:val="007F73B0"/>
    <w:rsid w:val="007F7A40"/>
    <w:rsid w:val="008000EF"/>
    <w:rsid w:val="00800106"/>
    <w:rsid w:val="008022B9"/>
    <w:rsid w:val="00802D50"/>
    <w:rsid w:val="008035C8"/>
    <w:rsid w:val="00804115"/>
    <w:rsid w:val="008049F9"/>
    <w:rsid w:val="00805545"/>
    <w:rsid w:val="00806B75"/>
    <w:rsid w:val="00807758"/>
    <w:rsid w:val="00810CF3"/>
    <w:rsid w:val="00810FB3"/>
    <w:rsid w:val="008111C2"/>
    <w:rsid w:val="008111E9"/>
    <w:rsid w:val="00811329"/>
    <w:rsid w:val="008117C5"/>
    <w:rsid w:val="008118DA"/>
    <w:rsid w:val="00811BCF"/>
    <w:rsid w:val="00811D11"/>
    <w:rsid w:val="008126B5"/>
    <w:rsid w:val="00812846"/>
    <w:rsid w:val="00812D32"/>
    <w:rsid w:val="00813193"/>
    <w:rsid w:val="008134CF"/>
    <w:rsid w:val="00813CAE"/>
    <w:rsid w:val="00814847"/>
    <w:rsid w:val="00815490"/>
    <w:rsid w:val="008155B3"/>
    <w:rsid w:val="00815C22"/>
    <w:rsid w:val="00816296"/>
    <w:rsid w:val="00816442"/>
    <w:rsid w:val="00816B7E"/>
    <w:rsid w:val="00817F43"/>
    <w:rsid w:val="0082088A"/>
    <w:rsid w:val="008217FF"/>
    <w:rsid w:val="00822CEE"/>
    <w:rsid w:val="00823105"/>
    <w:rsid w:val="008234AF"/>
    <w:rsid w:val="0082464D"/>
    <w:rsid w:val="00824839"/>
    <w:rsid w:val="00825476"/>
    <w:rsid w:val="0082605E"/>
    <w:rsid w:val="008264FE"/>
    <w:rsid w:val="00826657"/>
    <w:rsid w:val="00826A80"/>
    <w:rsid w:val="00826C3F"/>
    <w:rsid w:val="008271EE"/>
    <w:rsid w:val="00827364"/>
    <w:rsid w:val="00827598"/>
    <w:rsid w:val="00827736"/>
    <w:rsid w:val="00827850"/>
    <w:rsid w:val="00827E7E"/>
    <w:rsid w:val="00832C5E"/>
    <w:rsid w:val="008333B9"/>
    <w:rsid w:val="0083696D"/>
    <w:rsid w:val="00836D83"/>
    <w:rsid w:val="0083728D"/>
    <w:rsid w:val="00837805"/>
    <w:rsid w:val="00837990"/>
    <w:rsid w:val="00840369"/>
    <w:rsid w:val="008410BA"/>
    <w:rsid w:val="00841285"/>
    <w:rsid w:val="00844302"/>
    <w:rsid w:val="008450C2"/>
    <w:rsid w:val="008453AA"/>
    <w:rsid w:val="00845740"/>
    <w:rsid w:val="00846563"/>
    <w:rsid w:val="0084669E"/>
    <w:rsid w:val="0084694A"/>
    <w:rsid w:val="00846E86"/>
    <w:rsid w:val="00847C6A"/>
    <w:rsid w:val="008505EC"/>
    <w:rsid w:val="00851312"/>
    <w:rsid w:val="00851BCF"/>
    <w:rsid w:val="008523CE"/>
    <w:rsid w:val="00852CF3"/>
    <w:rsid w:val="00852F55"/>
    <w:rsid w:val="00852F7D"/>
    <w:rsid w:val="008534E9"/>
    <w:rsid w:val="00853EE3"/>
    <w:rsid w:val="00854C5F"/>
    <w:rsid w:val="00855347"/>
    <w:rsid w:val="00855575"/>
    <w:rsid w:val="00855654"/>
    <w:rsid w:val="00855966"/>
    <w:rsid w:val="008565BC"/>
    <w:rsid w:val="00856969"/>
    <w:rsid w:val="00856D55"/>
    <w:rsid w:val="00856E62"/>
    <w:rsid w:val="008570F5"/>
    <w:rsid w:val="00857D48"/>
    <w:rsid w:val="008601B2"/>
    <w:rsid w:val="00860331"/>
    <w:rsid w:val="008609D1"/>
    <w:rsid w:val="00862337"/>
    <w:rsid w:val="00863296"/>
    <w:rsid w:val="00863B3C"/>
    <w:rsid w:val="00863FA9"/>
    <w:rsid w:val="008642F0"/>
    <w:rsid w:val="0086492A"/>
    <w:rsid w:val="00864E23"/>
    <w:rsid w:val="00864E92"/>
    <w:rsid w:val="00865205"/>
    <w:rsid w:val="00865535"/>
    <w:rsid w:val="00865B69"/>
    <w:rsid w:val="00867C2F"/>
    <w:rsid w:val="00871081"/>
    <w:rsid w:val="0087122A"/>
    <w:rsid w:val="0087191E"/>
    <w:rsid w:val="0087292F"/>
    <w:rsid w:val="0087296D"/>
    <w:rsid w:val="00872E1B"/>
    <w:rsid w:val="00873EE3"/>
    <w:rsid w:val="008742E5"/>
    <w:rsid w:val="00874EA2"/>
    <w:rsid w:val="00875D3D"/>
    <w:rsid w:val="00877097"/>
    <w:rsid w:val="008770F0"/>
    <w:rsid w:val="0087781A"/>
    <w:rsid w:val="00877E03"/>
    <w:rsid w:val="008802B7"/>
    <w:rsid w:val="00880B42"/>
    <w:rsid w:val="008816EC"/>
    <w:rsid w:val="008847D0"/>
    <w:rsid w:val="00884897"/>
    <w:rsid w:val="00884F23"/>
    <w:rsid w:val="00885DF8"/>
    <w:rsid w:val="00886316"/>
    <w:rsid w:val="0088698A"/>
    <w:rsid w:val="0088744C"/>
    <w:rsid w:val="00890C4F"/>
    <w:rsid w:val="00891447"/>
    <w:rsid w:val="00891680"/>
    <w:rsid w:val="008917CE"/>
    <w:rsid w:val="0089182E"/>
    <w:rsid w:val="00891F4E"/>
    <w:rsid w:val="0089420A"/>
    <w:rsid w:val="0089469F"/>
    <w:rsid w:val="00894DA9"/>
    <w:rsid w:val="00896434"/>
    <w:rsid w:val="008979B6"/>
    <w:rsid w:val="008A0198"/>
    <w:rsid w:val="008A037A"/>
    <w:rsid w:val="008A17D2"/>
    <w:rsid w:val="008A1A58"/>
    <w:rsid w:val="008A224B"/>
    <w:rsid w:val="008A22C1"/>
    <w:rsid w:val="008A25D9"/>
    <w:rsid w:val="008A2AD3"/>
    <w:rsid w:val="008A54E9"/>
    <w:rsid w:val="008A55A5"/>
    <w:rsid w:val="008A56DA"/>
    <w:rsid w:val="008A6B5D"/>
    <w:rsid w:val="008A7BF9"/>
    <w:rsid w:val="008A7CCF"/>
    <w:rsid w:val="008B0A4B"/>
    <w:rsid w:val="008B1959"/>
    <w:rsid w:val="008B1FF0"/>
    <w:rsid w:val="008B2029"/>
    <w:rsid w:val="008B238A"/>
    <w:rsid w:val="008B445B"/>
    <w:rsid w:val="008B4ACD"/>
    <w:rsid w:val="008B59A4"/>
    <w:rsid w:val="008B65CE"/>
    <w:rsid w:val="008B7284"/>
    <w:rsid w:val="008B7BFD"/>
    <w:rsid w:val="008C0233"/>
    <w:rsid w:val="008C0984"/>
    <w:rsid w:val="008C106B"/>
    <w:rsid w:val="008C2414"/>
    <w:rsid w:val="008C34C7"/>
    <w:rsid w:val="008C36C9"/>
    <w:rsid w:val="008C3AF8"/>
    <w:rsid w:val="008C4CBE"/>
    <w:rsid w:val="008C5171"/>
    <w:rsid w:val="008C7758"/>
    <w:rsid w:val="008D0116"/>
    <w:rsid w:val="008D12F8"/>
    <w:rsid w:val="008D1B40"/>
    <w:rsid w:val="008D2E0C"/>
    <w:rsid w:val="008D2F7D"/>
    <w:rsid w:val="008D33AB"/>
    <w:rsid w:val="008D3B5F"/>
    <w:rsid w:val="008D3BE4"/>
    <w:rsid w:val="008D412D"/>
    <w:rsid w:val="008D462A"/>
    <w:rsid w:val="008D6521"/>
    <w:rsid w:val="008D6FF3"/>
    <w:rsid w:val="008D7D10"/>
    <w:rsid w:val="008E0519"/>
    <w:rsid w:val="008E14D8"/>
    <w:rsid w:val="008E1828"/>
    <w:rsid w:val="008E1BDA"/>
    <w:rsid w:val="008E20E3"/>
    <w:rsid w:val="008E2A9A"/>
    <w:rsid w:val="008E2B99"/>
    <w:rsid w:val="008E2F62"/>
    <w:rsid w:val="008E3DF4"/>
    <w:rsid w:val="008E6236"/>
    <w:rsid w:val="008E760B"/>
    <w:rsid w:val="008E777F"/>
    <w:rsid w:val="008E7FFC"/>
    <w:rsid w:val="008F0C1E"/>
    <w:rsid w:val="008F2821"/>
    <w:rsid w:val="008F3071"/>
    <w:rsid w:val="008F51FC"/>
    <w:rsid w:val="008F54C8"/>
    <w:rsid w:val="008F5F4B"/>
    <w:rsid w:val="008F6B66"/>
    <w:rsid w:val="008F73E1"/>
    <w:rsid w:val="008F76F5"/>
    <w:rsid w:val="008F7C9D"/>
    <w:rsid w:val="00900251"/>
    <w:rsid w:val="009002E5"/>
    <w:rsid w:val="00900E06"/>
    <w:rsid w:val="0090129C"/>
    <w:rsid w:val="009018B4"/>
    <w:rsid w:val="00901CB8"/>
    <w:rsid w:val="00901FFE"/>
    <w:rsid w:val="009021C0"/>
    <w:rsid w:val="009023F7"/>
    <w:rsid w:val="0090298A"/>
    <w:rsid w:val="0090393B"/>
    <w:rsid w:val="0090404C"/>
    <w:rsid w:val="009045F6"/>
    <w:rsid w:val="00904629"/>
    <w:rsid w:val="009048B8"/>
    <w:rsid w:val="00904BAA"/>
    <w:rsid w:val="009050C2"/>
    <w:rsid w:val="00905129"/>
    <w:rsid w:val="0090559C"/>
    <w:rsid w:val="00906FC9"/>
    <w:rsid w:val="00910A99"/>
    <w:rsid w:val="0091223A"/>
    <w:rsid w:val="00912A01"/>
    <w:rsid w:val="009132B4"/>
    <w:rsid w:val="009132EA"/>
    <w:rsid w:val="009142B8"/>
    <w:rsid w:val="00914567"/>
    <w:rsid w:val="00914848"/>
    <w:rsid w:val="00914B6F"/>
    <w:rsid w:val="00915581"/>
    <w:rsid w:val="00915C22"/>
    <w:rsid w:val="00915E1F"/>
    <w:rsid w:val="00915E91"/>
    <w:rsid w:val="009160CE"/>
    <w:rsid w:val="00916953"/>
    <w:rsid w:val="0091788E"/>
    <w:rsid w:val="0092080E"/>
    <w:rsid w:val="009219D1"/>
    <w:rsid w:val="00921FD1"/>
    <w:rsid w:val="00922084"/>
    <w:rsid w:val="00922383"/>
    <w:rsid w:val="00922FA5"/>
    <w:rsid w:val="00923919"/>
    <w:rsid w:val="00923E83"/>
    <w:rsid w:val="0092430F"/>
    <w:rsid w:val="00924A46"/>
    <w:rsid w:val="00924AEE"/>
    <w:rsid w:val="00925007"/>
    <w:rsid w:val="00927D61"/>
    <w:rsid w:val="00927D8B"/>
    <w:rsid w:val="00930140"/>
    <w:rsid w:val="0093182F"/>
    <w:rsid w:val="0093209A"/>
    <w:rsid w:val="00933A6D"/>
    <w:rsid w:val="009349E3"/>
    <w:rsid w:val="00936118"/>
    <w:rsid w:val="00936CDB"/>
    <w:rsid w:val="009375E3"/>
    <w:rsid w:val="00937F9C"/>
    <w:rsid w:val="009408C8"/>
    <w:rsid w:val="00940DFA"/>
    <w:rsid w:val="00941C92"/>
    <w:rsid w:val="00942AFB"/>
    <w:rsid w:val="00943289"/>
    <w:rsid w:val="00943E26"/>
    <w:rsid w:val="0094430B"/>
    <w:rsid w:val="009446EC"/>
    <w:rsid w:val="009447D6"/>
    <w:rsid w:val="009454E6"/>
    <w:rsid w:val="00945F41"/>
    <w:rsid w:val="00947018"/>
    <w:rsid w:val="009478C8"/>
    <w:rsid w:val="009503F2"/>
    <w:rsid w:val="009504C3"/>
    <w:rsid w:val="009506BE"/>
    <w:rsid w:val="00950FEA"/>
    <w:rsid w:val="009519DC"/>
    <w:rsid w:val="00951D70"/>
    <w:rsid w:val="00951E21"/>
    <w:rsid w:val="00952F9B"/>
    <w:rsid w:val="009533EA"/>
    <w:rsid w:val="0095379C"/>
    <w:rsid w:val="00955A2A"/>
    <w:rsid w:val="009563FB"/>
    <w:rsid w:val="0095691B"/>
    <w:rsid w:val="009603A2"/>
    <w:rsid w:val="00961A8B"/>
    <w:rsid w:val="00961CE8"/>
    <w:rsid w:val="009622CA"/>
    <w:rsid w:val="009627D1"/>
    <w:rsid w:val="00962B57"/>
    <w:rsid w:val="009630D6"/>
    <w:rsid w:val="00963348"/>
    <w:rsid w:val="0096340D"/>
    <w:rsid w:val="00963DD2"/>
    <w:rsid w:val="00964112"/>
    <w:rsid w:val="0096563A"/>
    <w:rsid w:val="009668F5"/>
    <w:rsid w:val="00966B70"/>
    <w:rsid w:val="00967663"/>
    <w:rsid w:val="00967BAA"/>
    <w:rsid w:val="009736F0"/>
    <w:rsid w:val="009738A2"/>
    <w:rsid w:val="00973E01"/>
    <w:rsid w:val="00975054"/>
    <w:rsid w:val="00975EA1"/>
    <w:rsid w:val="00977536"/>
    <w:rsid w:val="00977FC1"/>
    <w:rsid w:val="009805D7"/>
    <w:rsid w:val="00980895"/>
    <w:rsid w:val="009818A7"/>
    <w:rsid w:val="00982E87"/>
    <w:rsid w:val="009847C2"/>
    <w:rsid w:val="00985322"/>
    <w:rsid w:val="00985351"/>
    <w:rsid w:val="009855E9"/>
    <w:rsid w:val="00986A8F"/>
    <w:rsid w:val="00986D1B"/>
    <w:rsid w:val="00987B17"/>
    <w:rsid w:val="00987E8A"/>
    <w:rsid w:val="00990B71"/>
    <w:rsid w:val="0099116B"/>
    <w:rsid w:val="0099392F"/>
    <w:rsid w:val="00994527"/>
    <w:rsid w:val="009956C8"/>
    <w:rsid w:val="009959A5"/>
    <w:rsid w:val="0099636D"/>
    <w:rsid w:val="00996B3A"/>
    <w:rsid w:val="009974C3"/>
    <w:rsid w:val="00997A38"/>
    <w:rsid w:val="00997D34"/>
    <w:rsid w:val="009A10D0"/>
    <w:rsid w:val="009A1A2D"/>
    <w:rsid w:val="009A1B14"/>
    <w:rsid w:val="009A1BF1"/>
    <w:rsid w:val="009A2AC6"/>
    <w:rsid w:val="009A2D2E"/>
    <w:rsid w:val="009A3B0F"/>
    <w:rsid w:val="009A407A"/>
    <w:rsid w:val="009A5095"/>
    <w:rsid w:val="009A5988"/>
    <w:rsid w:val="009A6F97"/>
    <w:rsid w:val="009A7188"/>
    <w:rsid w:val="009A75CE"/>
    <w:rsid w:val="009A7EE8"/>
    <w:rsid w:val="009B1308"/>
    <w:rsid w:val="009B1361"/>
    <w:rsid w:val="009B161A"/>
    <w:rsid w:val="009B16FF"/>
    <w:rsid w:val="009B36A0"/>
    <w:rsid w:val="009B4A41"/>
    <w:rsid w:val="009B4ADE"/>
    <w:rsid w:val="009B77D6"/>
    <w:rsid w:val="009B7929"/>
    <w:rsid w:val="009C0340"/>
    <w:rsid w:val="009C072C"/>
    <w:rsid w:val="009C0F3F"/>
    <w:rsid w:val="009C125E"/>
    <w:rsid w:val="009C2C7B"/>
    <w:rsid w:val="009C2DAD"/>
    <w:rsid w:val="009C337D"/>
    <w:rsid w:val="009C5091"/>
    <w:rsid w:val="009C5A5F"/>
    <w:rsid w:val="009C5CAE"/>
    <w:rsid w:val="009C63D0"/>
    <w:rsid w:val="009C63D6"/>
    <w:rsid w:val="009C76E7"/>
    <w:rsid w:val="009C7C15"/>
    <w:rsid w:val="009D0376"/>
    <w:rsid w:val="009D1526"/>
    <w:rsid w:val="009D2B2E"/>
    <w:rsid w:val="009D30E7"/>
    <w:rsid w:val="009D3D6E"/>
    <w:rsid w:val="009D575C"/>
    <w:rsid w:val="009D655B"/>
    <w:rsid w:val="009E038D"/>
    <w:rsid w:val="009E058D"/>
    <w:rsid w:val="009E1FA2"/>
    <w:rsid w:val="009E4079"/>
    <w:rsid w:val="009E4A04"/>
    <w:rsid w:val="009E5947"/>
    <w:rsid w:val="009E6828"/>
    <w:rsid w:val="009E7989"/>
    <w:rsid w:val="009F0514"/>
    <w:rsid w:val="009F0FB4"/>
    <w:rsid w:val="009F10E3"/>
    <w:rsid w:val="009F1972"/>
    <w:rsid w:val="009F1DB6"/>
    <w:rsid w:val="009F2A39"/>
    <w:rsid w:val="009F2D20"/>
    <w:rsid w:val="009F2E88"/>
    <w:rsid w:val="009F2FD1"/>
    <w:rsid w:val="009F3789"/>
    <w:rsid w:val="009F3825"/>
    <w:rsid w:val="009F384B"/>
    <w:rsid w:val="009F41B8"/>
    <w:rsid w:val="009F41E9"/>
    <w:rsid w:val="009F431F"/>
    <w:rsid w:val="009F4844"/>
    <w:rsid w:val="009F5426"/>
    <w:rsid w:val="009F5FA0"/>
    <w:rsid w:val="009F6522"/>
    <w:rsid w:val="009F7A3E"/>
    <w:rsid w:val="009F7F7C"/>
    <w:rsid w:val="00A017D1"/>
    <w:rsid w:val="00A01F30"/>
    <w:rsid w:val="00A0226C"/>
    <w:rsid w:val="00A02834"/>
    <w:rsid w:val="00A03726"/>
    <w:rsid w:val="00A057B0"/>
    <w:rsid w:val="00A059CF"/>
    <w:rsid w:val="00A05AC9"/>
    <w:rsid w:val="00A05C78"/>
    <w:rsid w:val="00A05DC1"/>
    <w:rsid w:val="00A12FD2"/>
    <w:rsid w:val="00A1305C"/>
    <w:rsid w:val="00A142B8"/>
    <w:rsid w:val="00A14BD8"/>
    <w:rsid w:val="00A1506F"/>
    <w:rsid w:val="00A15289"/>
    <w:rsid w:val="00A15430"/>
    <w:rsid w:val="00A16087"/>
    <w:rsid w:val="00A1660A"/>
    <w:rsid w:val="00A16711"/>
    <w:rsid w:val="00A1688A"/>
    <w:rsid w:val="00A17033"/>
    <w:rsid w:val="00A172FB"/>
    <w:rsid w:val="00A17B35"/>
    <w:rsid w:val="00A17B6F"/>
    <w:rsid w:val="00A21035"/>
    <w:rsid w:val="00A21150"/>
    <w:rsid w:val="00A2154C"/>
    <w:rsid w:val="00A21CA1"/>
    <w:rsid w:val="00A22282"/>
    <w:rsid w:val="00A23540"/>
    <w:rsid w:val="00A236F0"/>
    <w:rsid w:val="00A23E28"/>
    <w:rsid w:val="00A2463F"/>
    <w:rsid w:val="00A25164"/>
    <w:rsid w:val="00A263DD"/>
    <w:rsid w:val="00A2675B"/>
    <w:rsid w:val="00A273F7"/>
    <w:rsid w:val="00A27AB4"/>
    <w:rsid w:val="00A30919"/>
    <w:rsid w:val="00A30B8F"/>
    <w:rsid w:val="00A30D0A"/>
    <w:rsid w:val="00A32CE8"/>
    <w:rsid w:val="00A32D66"/>
    <w:rsid w:val="00A3357E"/>
    <w:rsid w:val="00A35A9E"/>
    <w:rsid w:val="00A36664"/>
    <w:rsid w:val="00A37ABC"/>
    <w:rsid w:val="00A40EE7"/>
    <w:rsid w:val="00A4148E"/>
    <w:rsid w:val="00A41CA3"/>
    <w:rsid w:val="00A421D1"/>
    <w:rsid w:val="00A4376D"/>
    <w:rsid w:val="00A45562"/>
    <w:rsid w:val="00A45C3F"/>
    <w:rsid w:val="00A469A4"/>
    <w:rsid w:val="00A46C28"/>
    <w:rsid w:val="00A478FE"/>
    <w:rsid w:val="00A5029C"/>
    <w:rsid w:val="00A52426"/>
    <w:rsid w:val="00A52B61"/>
    <w:rsid w:val="00A53AB5"/>
    <w:rsid w:val="00A5446B"/>
    <w:rsid w:val="00A54555"/>
    <w:rsid w:val="00A54F2F"/>
    <w:rsid w:val="00A5585E"/>
    <w:rsid w:val="00A55A8E"/>
    <w:rsid w:val="00A55B39"/>
    <w:rsid w:val="00A56AF6"/>
    <w:rsid w:val="00A602F5"/>
    <w:rsid w:val="00A607E0"/>
    <w:rsid w:val="00A60A3B"/>
    <w:rsid w:val="00A62879"/>
    <w:rsid w:val="00A63573"/>
    <w:rsid w:val="00A65CF5"/>
    <w:rsid w:val="00A67380"/>
    <w:rsid w:val="00A67972"/>
    <w:rsid w:val="00A71083"/>
    <w:rsid w:val="00A71D62"/>
    <w:rsid w:val="00A72BAB"/>
    <w:rsid w:val="00A72D9B"/>
    <w:rsid w:val="00A730B9"/>
    <w:rsid w:val="00A730E8"/>
    <w:rsid w:val="00A73398"/>
    <w:rsid w:val="00A742F1"/>
    <w:rsid w:val="00A745D6"/>
    <w:rsid w:val="00A75C68"/>
    <w:rsid w:val="00A77302"/>
    <w:rsid w:val="00A778E3"/>
    <w:rsid w:val="00A80041"/>
    <w:rsid w:val="00A80659"/>
    <w:rsid w:val="00A81877"/>
    <w:rsid w:val="00A83092"/>
    <w:rsid w:val="00A83436"/>
    <w:rsid w:val="00A8354E"/>
    <w:rsid w:val="00A84450"/>
    <w:rsid w:val="00A844A7"/>
    <w:rsid w:val="00A858BB"/>
    <w:rsid w:val="00A85999"/>
    <w:rsid w:val="00A861B2"/>
    <w:rsid w:val="00A87CA6"/>
    <w:rsid w:val="00A90573"/>
    <w:rsid w:val="00A9120F"/>
    <w:rsid w:val="00A92191"/>
    <w:rsid w:val="00A93360"/>
    <w:rsid w:val="00A933F5"/>
    <w:rsid w:val="00A93D65"/>
    <w:rsid w:val="00A93F54"/>
    <w:rsid w:val="00A94810"/>
    <w:rsid w:val="00A94C8F"/>
    <w:rsid w:val="00A953CE"/>
    <w:rsid w:val="00A95AA1"/>
    <w:rsid w:val="00A95C6F"/>
    <w:rsid w:val="00A970AA"/>
    <w:rsid w:val="00A978D2"/>
    <w:rsid w:val="00AA005A"/>
    <w:rsid w:val="00AA0541"/>
    <w:rsid w:val="00AA0C9A"/>
    <w:rsid w:val="00AA129C"/>
    <w:rsid w:val="00AA2D3C"/>
    <w:rsid w:val="00AA3107"/>
    <w:rsid w:val="00AA36F4"/>
    <w:rsid w:val="00AA4F06"/>
    <w:rsid w:val="00AA535C"/>
    <w:rsid w:val="00AA623C"/>
    <w:rsid w:val="00AA67D2"/>
    <w:rsid w:val="00AA67DD"/>
    <w:rsid w:val="00AB0C7E"/>
    <w:rsid w:val="00AB1323"/>
    <w:rsid w:val="00AB16CD"/>
    <w:rsid w:val="00AB2998"/>
    <w:rsid w:val="00AB2CA2"/>
    <w:rsid w:val="00AB2D57"/>
    <w:rsid w:val="00AB4515"/>
    <w:rsid w:val="00AB5FF4"/>
    <w:rsid w:val="00AB74FF"/>
    <w:rsid w:val="00AB763E"/>
    <w:rsid w:val="00AC0A9B"/>
    <w:rsid w:val="00AC0F1F"/>
    <w:rsid w:val="00AC186D"/>
    <w:rsid w:val="00AC29BB"/>
    <w:rsid w:val="00AC36EB"/>
    <w:rsid w:val="00AC3D8D"/>
    <w:rsid w:val="00AC6213"/>
    <w:rsid w:val="00AC6B49"/>
    <w:rsid w:val="00AC7595"/>
    <w:rsid w:val="00AC774F"/>
    <w:rsid w:val="00AD16CF"/>
    <w:rsid w:val="00AD1E07"/>
    <w:rsid w:val="00AD1F77"/>
    <w:rsid w:val="00AD2BC1"/>
    <w:rsid w:val="00AD2E4D"/>
    <w:rsid w:val="00AD3549"/>
    <w:rsid w:val="00AD3D18"/>
    <w:rsid w:val="00AD40EC"/>
    <w:rsid w:val="00AD4D01"/>
    <w:rsid w:val="00AD6833"/>
    <w:rsid w:val="00AD6FDB"/>
    <w:rsid w:val="00AD717E"/>
    <w:rsid w:val="00AD79A4"/>
    <w:rsid w:val="00AE047C"/>
    <w:rsid w:val="00AE05D0"/>
    <w:rsid w:val="00AE066C"/>
    <w:rsid w:val="00AE1568"/>
    <w:rsid w:val="00AE1D52"/>
    <w:rsid w:val="00AE24D1"/>
    <w:rsid w:val="00AE251B"/>
    <w:rsid w:val="00AE324B"/>
    <w:rsid w:val="00AE3851"/>
    <w:rsid w:val="00AE447A"/>
    <w:rsid w:val="00AE4975"/>
    <w:rsid w:val="00AE5B15"/>
    <w:rsid w:val="00AE5D8F"/>
    <w:rsid w:val="00AE6002"/>
    <w:rsid w:val="00AE739C"/>
    <w:rsid w:val="00AE75C6"/>
    <w:rsid w:val="00AF0699"/>
    <w:rsid w:val="00AF0AA0"/>
    <w:rsid w:val="00AF1376"/>
    <w:rsid w:val="00AF1DEB"/>
    <w:rsid w:val="00AF218F"/>
    <w:rsid w:val="00AF2364"/>
    <w:rsid w:val="00AF248A"/>
    <w:rsid w:val="00AF2CE3"/>
    <w:rsid w:val="00AF49AA"/>
    <w:rsid w:val="00AF5ADC"/>
    <w:rsid w:val="00AF5E48"/>
    <w:rsid w:val="00AF682A"/>
    <w:rsid w:val="00AF72EF"/>
    <w:rsid w:val="00AF7540"/>
    <w:rsid w:val="00AF7828"/>
    <w:rsid w:val="00B00AFF"/>
    <w:rsid w:val="00B010CA"/>
    <w:rsid w:val="00B01264"/>
    <w:rsid w:val="00B01275"/>
    <w:rsid w:val="00B01583"/>
    <w:rsid w:val="00B015A8"/>
    <w:rsid w:val="00B01857"/>
    <w:rsid w:val="00B01CA3"/>
    <w:rsid w:val="00B02766"/>
    <w:rsid w:val="00B028EE"/>
    <w:rsid w:val="00B02A46"/>
    <w:rsid w:val="00B02BB3"/>
    <w:rsid w:val="00B0340F"/>
    <w:rsid w:val="00B0446E"/>
    <w:rsid w:val="00B050C4"/>
    <w:rsid w:val="00B0518F"/>
    <w:rsid w:val="00B059C6"/>
    <w:rsid w:val="00B06591"/>
    <w:rsid w:val="00B06AE1"/>
    <w:rsid w:val="00B07A1E"/>
    <w:rsid w:val="00B10BF9"/>
    <w:rsid w:val="00B11660"/>
    <w:rsid w:val="00B119DE"/>
    <w:rsid w:val="00B11FEB"/>
    <w:rsid w:val="00B128D6"/>
    <w:rsid w:val="00B13E70"/>
    <w:rsid w:val="00B14366"/>
    <w:rsid w:val="00B15501"/>
    <w:rsid w:val="00B1573F"/>
    <w:rsid w:val="00B1598F"/>
    <w:rsid w:val="00B15DC7"/>
    <w:rsid w:val="00B1640C"/>
    <w:rsid w:val="00B16B1D"/>
    <w:rsid w:val="00B17495"/>
    <w:rsid w:val="00B1759C"/>
    <w:rsid w:val="00B208E8"/>
    <w:rsid w:val="00B20F59"/>
    <w:rsid w:val="00B20F7D"/>
    <w:rsid w:val="00B21005"/>
    <w:rsid w:val="00B22763"/>
    <w:rsid w:val="00B2292A"/>
    <w:rsid w:val="00B22E60"/>
    <w:rsid w:val="00B23992"/>
    <w:rsid w:val="00B24AE5"/>
    <w:rsid w:val="00B25D51"/>
    <w:rsid w:val="00B2667A"/>
    <w:rsid w:val="00B26C52"/>
    <w:rsid w:val="00B26CDC"/>
    <w:rsid w:val="00B26D42"/>
    <w:rsid w:val="00B26D43"/>
    <w:rsid w:val="00B2741E"/>
    <w:rsid w:val="00B2771B"/>
    <w:rsid w:val="00B277D3"/>
    <w:rsid w:val="00B301E9"/>
    <w:rsid w:val="00B30AC0"/>
    <w:rsid w:val="00B30D3C"/>
    <w:rsid w:val="00B31059"/>
    <w:rsid w:val="00B31265"/>
    <w:rsid w:val="00B3159F"/>
    <w:rsid w:val="00B32150"/>
    <w:rsid w:val="00B32EA0"/>
    <w:rsid w:val="00B332EE"/>
    <w:rsid w:val="00B33371"/>
    <w:rsid w:val="00B33B2F"/>
    <w:rsid w:val="00B3451F"/>
    <w:rsid w:val="00B356A0"/>
    <w:rsid w:val="00B3631B"/>
    <w:rsid w:val="00B364DE"/>
    <w:rsid w:val="00B366ED"/>
    <w:rsid w:val="00B37260"/>
    <w:rsid w:val="00B37AEF"/>
    <w:rsid w:val="00B407B9"/>
    <w:rsid w:val="00B40CD0"/>
    <w:rsid w:val="00B41648"/>
    <w:rsid w:val="00B421D9"/>
    <w:rsid w:val="00B43006"/>
    <w:rsid w:val="00B43422"/>
    <w:rsid w:val="00B4374C"/>
    <w:rsid w:val="00B4387A"/>
    <w:rsid w:val="00B43CFA"/>
    <w:rsid w:val="00B44884"/>
    <w:rsid w:val="00B44916"/>
    <w:rsid w:val="00B453AB"/>
    <w:rsid w:val="00B45EB4"/>
    <w:rsid w:val="00B46545"/>
    <w:rsid w:val="00B4689B"/>
    <w:rsid w:val="00B50008"/>
    <w:rsid w:val="00B51EE2"/>
    <w:rsid w:val="00B52F40"/>
    <w:rsid w:val="00B53D7C"/>
    <w:rsid w:val="00B54C0B"/>
    <w:rsid w:val="00B55545"/>
    <w:rsid w:val="00B55E70"/>
    <w:rsid w:val="00B571F3"/>
    <w:rsid w:val="00B600A4"/>
    <w:rsid w:val="00B602E6"/>
    <w:rsid w:val="00B60990"/>
    <w:rsid w:val="00B61614"/>
    <w:rsid w:val="00B63D32"/>
    <w:rsid w:val="00B640B3"/>
    <w:rsid w:val="00B6459B"/>
    <w:rsid w:val="00B654DE"/>
    <w:rsid w:val="00B6590B"/>
    <w:rsid w:val="00B67A24"/>
    <w:rsid w:val="00B72C08"/>
    <w:rsid w:val="00B73499"/>
    <w:rsid w:val="00B7355E"/>
    <w:rsid w:val="00B73705"/>
    <w:rsid w:val="00B7384C"/>
    <w:rsid w:val="00B74F09"/>
    <w:rsid w:val="00B7570F"/>
    <w:rsid w:val="00B75BBD"/>
    <w:rsid w:val="00B76280"/>
    <w:rsid w:val="00B766E6"/>
    <w:rsid w:val="00B7706D"/>
    <w:rsid w:val="00B801E1"/>
    <w:rsid w:val="00B80888"/>
    <w:rsid w:val="00B8156E"/>
    <w:rsid w:val="00B81B86"/>
    <w:rsid w:val="00B8298D"/>
    <w:rsid w:val="00B829AC"/>
    <w:rsid w:val="00B82A15"/>
    <w:rsid w:val="00B832C6"/>
    <w:rsid w:val="00B84143"/>
    <w:rsid w:val="00B86289"/>
    <w:rsid w:val="00B8649F"/>
    <w:rsid w:val="00B86510"/>
    <w:rsid w:val="00B8714B"/>
    <w:rsid w:val="00B87336"/>
    <w:rsid w:val="00B921CF"/>
    <w:rsid w:val="00B934E7"/>
    <w:rsid w:val="00B9366F"/>
    <w:rsid w:val="00B95E91"/>
    <w:rsid w:val="00B969E2"/>
    <w:rsid w:val="00B96DDF"/>
    <w:rsid w:val="00B97501"/>
    <w:rsid w:val="00B97634"/>
    <w:rsid w:val="00BA035A"/>
    <w:rsid w:val="00BA0B58"/>
    <w:rsid w:val="00BA174B"/>
    <w:rsid w:val="00BA228D"/>
    <w:rsid w:val="00BA2AEF"/>
    <w:rsid w:val="00BA2DFB"/>
    <w:rsid w:val="00BA35D2"/>
    <w:rsid w:val="00BA3A81"/>
    <w:rsid w:val="00BA3CB1"/>
    <w:rsid w:val="00BA3FC0"/>
    <w:rsid w:val="00BA446E"/>
    <w:rsid w:val="00BA49A5"/>
    <w:rsid w:val="00BA5B1F"/>
    <w:rsid w:val="00BA6086"/>
    <w:rsid w:val="00BA615A"/>
    <w:rsid w:val="00BA7888"/>
    <w:rsid w:val="00BA7900"/>
    <w:rsid w:val="00BA790E"/>
    <w:rsid w:val="00BB2CF5"/>
    <w:rsid w:val="00BB2D91"/>
    <w:rsid w:val="00BB3E5E"/>
    <w:rsid w:val="00BB41D0"/>
    <w:rsid w:val="00BB530F"/>
    <w:rsid w:val="00BB565A"/>
    <w:rsid w:val="00BB66C0"/>
    <w:rsid w:val="00BB7C17"/>
    <w:rsid w:val="00BC00C3"/>
    <w:rsid w:val="00BC0503"/>
    <w:rsid w:val="00BC0B09"/>
    <w:rsid w:val="00BC111A"/>
    <w:rsid w:val="00BC1127"/>
    <w:rsid w:val="00BC3475"/>
    <w:rsid w:val="00BC3E2D"/>
    <w:rsid w:val="00BC4B9A"/>
    <w:rsid w:val="00BC5892"/>
    <w:rsid w:val="00BC5CCB"/>
    <w:rsid w:val="00BC672F"/>
    <w:rsid w:val="00BC731F"/>
    <w:rsid w:val="00BC74CE"/>
    <w:rsid w:val="00BC768B"/>
    <w:rsid w:val="00BC7DE6"/>
    <w:rsid w:val="00BD0ED8"/>
    <w:rsid w:val="00BD14D3"/>
    <w:rsid w:val="00BD1AA0"/>
    <w:rsid w:val="00BD2A4E"/>
    <w:rsid w:val="00BD3E82"/>
    <w:rsid w:val="00BD433D"/>
    <w:rsid w:val="00BD507B"/>
    <w:rsid w:val="00BD530B"/>
    <w:rsid w:val="00BD6845"/>
    <w:rsid w:val="00BD6BC5"/>
    <w:rsid w:val="00BD715D"/>
    <w:rsid w:val="00BE0079"/>
    <w:rsid w:val="00BE01E4"/>
    <w:rsid w:val="00BE035B"/>
    <w:rsid w:val="00BE058B"/>
    <w:rsid w:val="00BE137B"/>
    <w:rsid w:val="00BE195C"/>
    <w:rsid w:val="00BE3666"/>
    <w:rsid w:val="00BE37D2"/>
    <w:rsid w:val="00BE472E"/>
    <w:rsid w:val="00BE4801"/>
    <w:rsid w:val="00BE53EF"/>
    <w:rsid w:val="00BE5E28"/>
    <w:rsid w:val="00BE6956"/>
    <w:rsid w:val="00BE6A3E"/>
    <w:rsid w:val="00BE72C4"/>
    <w:rsid w:val="00BF0B9C"/>
    <w:rsid w:val="00BF182C"/>
    <w:rsid w:val="00BF2499"/>
    <w:rsid w:val="00BF252B"/>
    <w:rsid w:val="00BF25D7"/>
    <w:rsid w:val="00BF28DA"/>
    <w:rsid w:val="00BF30E8"/>
    <w:rsid w:val="00BF3592"/>
    <w:rsid w:val="00BF3ECE"/>
    <w:rsid w:val="00BF437D"/>
    <w:rsid w:val="00BF4788"/>
    <w:rsid w:val="00BF4E58"/>
    <w:rsid w:val="00BF4EF5"/>
    <w:rsid w:val="00BF547B"/>
    <w:rsid w:val="00BF6780"/>
    <w:rsid w:val="00BF67B2"/>
    <w:rsid w:val="00BF6FB5"/>
    <w:rsid w:val="00BF7570"/>
    <w:rsid w:val="00BF75AF"/>
    <w:rsid w:val="00C004E3"/>
    <w:rsid w:val="00C01377"/>
    <w:rsid w:val="00C01393"/>
    <w:rsid w:val="00C01436"/>
    <w:rsid w:val="00C024F0"/>
    <w:rsid w:val="00C039F4"/>
    <w:rsid w:val="00C0432E"/>
    <w:rsid w:val="00C04422"/>
    <w:rsid w:val="00C04559"/>
    <w:rsid w:val="00C05D43"/>
    <w:rsid w:val="00C06269"/>
    <w:rsid w:val="00C0632D"/>
    <w:rsid w:val="00C06755"/>
    <w:rsid w:val="00C06F9F"/>
    <w:rsid w:val="00C0745B"/>
    <w:rsid w:val="00C07B32"/>
    <w:rsid w:val="00C10F2E"/>
    <w:rsid w:val="00C11926"/>
    <w:rsid w:val="00C1199B"/>
    <w:rsid w:val="00C11D0F"/>
    <w:rsid w:val="00C11D4B"/>
    <w:rsid w:val="00C11D6E"/>
    <w:rsid w:val="00C120E8"/>
    <w:rsid w:val="00C14435"/>
    <w:rsid w:val="00C14754"/>
    <w:rsid w:val="00C147A4"/>
    <w:rsid w:val="00C14988"/>
    <w:rsid w:val="00C14FC2"/>
    <w:rsid w:val="00C15D24"/>
    <w:rsid w:val="00C16AB5"/>
    <w:rsid w:val="00C16E9E"/>
    <w:rsid w:val="00C171B8"/>
    <w:rsid w:val="00C20AE0"/>
    <w:rsid w:val="00C20C8B"/>
    <w:rsid w:val="00C20D7C"/>
    <w:rsid w:val="00C21A86"/>
    <w:rsid w:val="00C21C2F"/>
    <w:rsid w:val="00C22613"/>
    <w:rsid w:val="00C227AE"/>
    <w:rsid w:val="00C236EF"/>
    <w:rsid w:val="00C239EB"/>
    <w:rsid w:val="00C245CA"/>
    <w:rsid w:val="00C27708"/>
    <w:rsid w:val="00C303F2"/>
    <w:rsid w:val="00C318CE"/>
    <w:rsid w:val="00C31FCD"/>
    <w:rsid w:val="00C3366F"/>
    <w:rsid w:val="00C3505F"/>
    <w:rsid w:val="00C35231"/>
    <w:rsid w:val="00C356B9"/>
    <w:rsid w:val="00C35FE2"/>
    <w:rsid w:val="00C3758A"/>
    <w:rsid w:val="00C37827"/>
    <w:rsid w:val="00C40270"/>
    <w:rsid w:val="00C40B60"/>
    <w:rsid w:val="00C41011"/>
    <w:rsid w:val="00C421DD"/>
    <w:rsid w:val="00C4242B"/>
    <w:rsid w:val="00C43634"/>
    <w:rsid w:val="00C44630"/>
    <w:rsid w:val="00C44D51"/>
    <w:rsid w:val="00C453B6"/>
    <w:rsid w:val="00C45755"/>
    <w:rsid w:val="00C46E31"/>
    <w:rsid w:val="00C476BE"/>
    <w:rsid w:val="00C478C1"/>
    <w:rsid w:val="00C50B56"/>
    <w:rsid w:val="00C5100A"/>
    <w:rsid w:val="00C5134C"/>
    <w:rsid w:val="00C51CF2"/>
    <w:rsid w:val="00C5321B"/>
    <w:rsid w:val="00C5461A"/>
    <w:rsid w:val="00C56207"/>
    <w:rsid w:val="00C56261"/>
    <w:rsid w:val="00C56422"/>
    <w:rsid w:val="00C5659F"/>
    <w:rsid w:val="00C567FE"/>
    <w:rsid w:val="00C57469"/>
    <w:rsid w:val="00C57C9A"/>
    <w:rsid w:val="00C607AF"/>
    <w:rsid w:val="00C63150"/>
    <w:rsid w:val="00C63A0D"/>
    <w:rsid w:val="00C64745"/>
    <w:rsid w:val="00C64922"/>
    <w:rsid w:val="00C649CA"/>
    <w:rsid w:val="00C663D5"/>
    <w:rsid w:val="00C666ED"/>
    <w:rsid w:val="00C67E88"/>
    <w:rsid w:val="00C67F63"/>
    <w:rsid w:val="00C7048D"/>
    <w:rsid w:val="00C71164"/>
    <w:rsid w:val="00C7155E"/>
    <w:rsid w:val="00C71791"/>
    <w:rsid w:val="00C71865"/>
    <w:rsid w:val="00C72F8D"/>
    <w:rsid w:val="00C730A6"/>
    <w:rsid w:val="00C74FE3"/>
    <w:rsid w:val="00C7519E"/>
    <w:rsid w:val="00C752D8"/>
    <w:rsid w:val="00C75685"/>
    <w:rsid w:val="00C76289"/>
    <w:rsid w:val="00C7641F"/>
    <w:rsid w:val="00C80858"/>
    <w:rsid w:val="00C80E4A"/>
    <w:rsid w:val="00C81F9E"/>
    <w:rsid w:val="00C82EFE"/>
    <w:rsid w:val="00C830E6"/>
    <w:rsid w:val="00C8426D"/>
    <w:rsid w:val="00C84313"/>
    <w:rsid w:val="00C844FD"/>
    <w:rsid w:val="00C85832"/>
    <w:rsid w:val="00C8599D"/>
    <w:rsid w:val="00C86EFA"/>
    <w:rsid w:val="00C86F1F"/>
    <w:rsid w:val="00C87E34"/>
    <w:rsid w:val="00C902F6"/>
    <w:rsid w:val="00C9080A"/>
    <w:rsid w:val="00C91195"/>
    <w:rsid w:val="00C917DE"/>
    <w:rsid w:val="00C91AA1"/>
    <w:rsid w:val="00C91F2B"/>
    <w:rsid w:val="00C92CE5"/>
    <w:rsid w:val="00C932B8"/>
    <w:rsid w:val="00C93B41"/>
    <w:rsid w:val="00C94933"/>
    <w:rsid w:val="00C9573B"/>
    <w:rsid w:val="00C96497"/>
    <w:rsid w:val="00CA047F"/>
    <w:rsid w:val="00CA069D"/>
    <w:rsid w:val="00CA16ED"/>
    <w:rsid w:val="00CA1785"/>
    <w:rsid w:val="00CA1FD0"/>
    <w:rsid w:val="00CA288A"/>
    <w:rsid w:val="00CA5572"/>
    <w:rsid w:val="00CA5BB0"/>
    <w:rsid w:val="00CA629B"/>
    <w:rsid w:val="00CA6E36"/>
    <w:rsid w:val="00CA7FAB"/>
    <w:rsid w:val="00CB02C0"/>
    <w:rsid w:val="00CB0514"/>
    <w:rsid w:val="00CB0AED"/>
    <w:rsid w:val="00CB28AF"/>
    <w:rsid w:val="00CB328D"/>
    <w:rsid w:val="00CB3800"/>
    <w:rsid w:val="00CB4066"/>
    <w:rsid w:val="00CB4227"/>
    <w:rsid w:val="00CB5ED4"/>
    <w:rsid w:val="00CB6CFC"/>
    <w:rsid w:val="00CB6DB5"/>
    <w:rsid w:val="00CB764E"/>
    <w:rsid w:val="00CB77B1"/>
    <w:rsid w:val="00CC0743"/>
    <w:rsid w:val="00CC1D1D"/>
    <w:rsid w:val="00CC224E"/>
    <w:rsid w:val="00CC2EDB"/>
    <w:rsid w:val="00CC32CC"/>
    <w:rsid w:val="00CC3D82"/>
    <w:rsid w:val="00CC3F54"/>
    <w:rsid w:val="00CC450B"/>
    <w:rsid w:val="00CC4915"/>
    <w:rsid w:val="00CC4930"/>
    <w:rsid w:val="00CC4AC4"/>
    <w:rsid w:val="00CC51E3"/>
    <w:rsid w:val="00CC5618"/>
    <w:rsid w:val="00CC60B9"/>
    <w:rsid w:val="00CC68FC"/>
    <w:rsid w:val="00CC78FB"/>
    <w:rsid w:val="00CD0C5E"/>
    <w:rsid w:val="00CD25F6"/>
    <w:rsid w:val="00CD2CA3"/>
    <w:rsid w:val="00CD32A4"/>
    <w:rsid w:val="00CD33F4"/>
    <w:rsid w:val="00CD3F27"/>
    <w:rsid w:val="00CD5307"/>
    <w:rsid w:val="00CD5378"/>
    <w:rsid w:val="00CD5801"/>
    <w:rsid w:val="00CD70E6"/>
    <w:rsid w:val="00CD7402"/>
    <w:rsid w:val="00CE0151"/>
    <w:rsid w:val="00CE0180"/>
    <w:rsid w:val="00CE0B7B"/>
    <w:rsid w:val="00CE100A"/>
    <w:rsid w:val="00CE1448"/>
    <w:rsid w:val="00CE18DB"/>
    <w:rsid w:val="00CE20CF"/>
    <w:rsid w:val="00CE2599"/>
    <w:rsid w:val="00CE295C"/>
    <w:rsid w:val="00CE3788"/>
    <w:rsid w:val="00CE4592"/>
    <w:rsid w:val="00CE48BA"/>
    <w:rsid w:val="00CE4934"/>
    <w:rsid w:val="00CE59A8"/>
    <w:rsid w:val="00CE5AFD"/>
    <w:rsid w:val="00CE754B"/>
    <w:rsid w:val="00CE78D4"/>
    <w:rsid w:val="00CF19AB"/>
    <w:rsid w:val="00CF274E"/>
    <w:rsid w:val="00CF3BBF"/>
    <w:rsid w:val="00CF5830"/>
    <w:rsid w:val="00CF58E6"/>
    <w:rsid w:val="00CF5F40"/>
    <w:rsid w:val="00CF7288"/>
    <w:rsid w:val="00CF78FD"/>
    <w:rsid w:val="00CF7C55"/>
    <w:rsid w:val="00D01A22"/>
    <w:rsid w:val="00D02E7F"/>
    <w:rsid w:val="00D02F63"/>
    <w:rsid w:val="00D033BC"/>
    <w:rsid w:val="00D05696"/>
    <w:rsid w:val="00D05FDA"/>
    <w:rsid w:val="00D07FAF"/>
    <w:rsid w:val="00D107A9"/>
    <w:rsid w:val="00D10FD1"/>
    <w:rsid w:val="00D11078"/>
    <w:rsid w:val="00D11243"/>
    <w:rsid w:val="00D11573"/>
    <w:rsid w:val="00D11CF8"/>
    <w:rsid w:val="00D11D02"/>
    <w:rsid w:val="00D11D17"/>
    <w:rsid w:val="00D1297A"/>
    <w:rsid w:val="00D12BC2"/>
    <w:rsid w:val="00D1348B"/>
    <w:rsid w:val="00D13688"/>
    <w:rsid w:val="00D13706"/>
    <w:rsid w:val="00D1420F"/>
    <w:rsid w:val="00D162FF"/>
    <w:rsid w:val="00D16864"/>
    <w:rsid w:val="00D170CC"/>
    <w:rsid w:val="00D177EA"/>
    <w:rsid w:val="00D217FA"/>
    <w:rsid w:val="00D22680"/>
    <w:rsid w:val="00D228B0"/>
    <w:rsid w:val="00D23930"/>
    <w:rsid w:val="00D2402D"/>
    <w:rsid w:val="00D24360"/>
    <w:rsid w:val="00D246A5"/>
    <w:rsid w:val="00D2507D"/>
    <w:rsid w:val="00D25972"/>
    <w:rsid w:val="00D2696E"/>
    <w:rsid w:val="00D26E4F"/>
    <w:rsid w:val="00D27D05"/>
    <w:rsid w:val="00D30110"/>
    <w:rsid w:val="00D30372"/>
    <w:rsid w:val="00D3042C"/>
    <w:rsid w:val="00D30B03"/>
    <w:rsid w:val="00D30B69"/>
    <w:rsid w:val="00D31CC5"/>
    <w:rsid w:val="00D32131"/>
    <w:rsid w:val="00D32704"/>
    <w:rsid w:val="00D328A1"/>
    <w:rsid w:val="00D33285"/>
    <w:rsid w:val="00D33469"/>
    <w:rsid w:val="00D33B4E"/>
    <w:rsid w:val="00D35441"/>
    <w:rsid w:val="00D361E2"/>
    <w:rsid w:val="00D36CCF"/>
    <w:rsid w:val="00D37965"/>
    <w:rsid w:val="00D37F13"/>
    <w:rsid w:val="00D404B9"/>
    <w:rsid w:val="00D408A3"/>
    <w:rsid w:val="00D40DEC"/>
    <w:rsid w:val="00D41735"/>
    <w:rsid w:val="00D41B4F"/>
    <w:rsid w:val="00D44287"/>
    <w:rsid w:val="00D44B7F"/>
    <w:rsid w:val="00D455A3"/>
    <w:rsid w:val="00D457DE"/>
    <w:rsid w:val="00D462AA"/>
    <w:rsid w:val="00D463A4"/>
    <w:rsid w:val="00D4770D"/>
    <w:rsid w:val="00D4794B"/>
    <w:rsid w:val="00D47A74"/>
    <w:rsid w:val="00D5197F"/>
    <w:rsid w:val="00D51A07"/>
    <w:rsid w:val="00D51F13"/>
    <w:rsid w:val="00D51F42"/>
    <w:rsid w:val="00D527CA"/>
    <w:rsid w:val="00D52911"/>
    <w:rsid w:val="00D52C52"/>
    <w:rsid w:val="00D53402"/>
    <w:rsid w:val="00D53DC0"/>
    <w:rsid w:val="00D551BF"/>
    <w:rsid w:val="00D566EC"/>
    <w:rsid w:val="00D57AF8"/>
    <w:rsid w:val="00D60533"/>
    <w:rsid w:val="00D6208C"/>
    <w:rsid w:val="00D6210A"/>
    <w:rsid w:val="00D636F7"/>
    <w:rsid w:val="00D63DAA"/>
    <w:rsid w:val="00D653C2"/>
    <w:rsid w:val="00D655AA"/>
    <w:rsid w:val="00D65685"/>
    <w:rsid w:val="00D66190"/>
    <w:rsid w:val="00D6636A"/>
    <w:rsid w:val="00D664B9"/>
    <w:rsid w:val="00D66CB0"/>
    <w:rsid w:val="00D66DBA"/>
    <w:rsid w:val="00D6733E"/>
    <w:rsid w:val="00D6754F"/>
    <w:rsid w:val="00D67A1C"/>
    <w:rsid w:val="00D71EB7"/>
    <w:rsid w:val="00D72172"/>
    <w:rsid w:val="00D72479"/>
    <w:rsid w:val="00D726FD"/>
    <w:rsid w:val="00D73539"/>
    <w:rsid w:val="00D736EF"/>
    <w:rsid w:val="00D73B69"/>
    <w:rsid w:val="00D74787"/>
    <w:rsid w:val="00D75488"/>
    <w:rsid w:val="00D758BB"/>
    <w:rsid w:val="00D762F8"/>
    <w:rsid w:val="00D76F4A"/>
    <w:rsid w:val="00D76FEE"/>
    <w:rsid w:val="00D77234"/>
    <w:rsid w:val="00D8016E"/>
    <w:rsid w:val="00D80243"/>
    <w:rsid w:val="00D80D79"/>
    <w:rsid w:val="00D82EAB"/>
    <w:rsid w:val="00D837A9"/>
    <w:rsid w:val="00D8393A"/>
    <w:rsid w:val="00D83E9E"/>
    <w:rsid w:val="00D840C8"/>
    <w:rsid w:val="00D845D4"/>
    <w:rsid w:val="00D84F9A"/>
    <w:rsid w:val="00D8641B"/>
    <w:rsid w:val="00D86C28"/>
    <w:rsid w:val="00D87081"/>
    <w:rsid w:val="00D8730C"/>
    <w:rsid w:val="00D8782A"/>
    <w:rsid w:val="00D913E4"/>
    <w:rsid w:val="00D918D9"/>
    <w:rsid w:val="00D93B14"/>
    <w:rsid w:val="00D93DD7"/>
    <w:rsid w:val="00D9627E"/>
    <w:rsid w:val="00D96E3B"/>
    <w:rsid w:val="00DA03BE"/>
    <w:rsid w:val="00DA238B"/>
    <w:rsid w:val="00DA336B"/>
    <w:rsid w:val="00DA3B09"/>
    <w:rsid w:val="00DA5002"/>
    <w:rsid w:val="00DA7034"/>
    <w:rsid w:val="00DA7E73"/>
    <w:rsid w:val="00DB20CE"/>
    <w:rsid w:val="00DB251E"/>
    <w:rsid w:val="00DB33E3"/>
    <w:rsid w:val="00DB384E"/>
    <w:rsid w:val="00DB3A26"/>
    <w:rsid w:val="00DB4323"/>
    <w:rsid w:val="00DB4656"/>
    <w:rsid w:val="00DB4764"/>
    <w:rsid w:val="00DB57F5"/>
    <w:rsid w:val="00DB6C15"/>
    <w:rsid w:val="00DC1B0C"/>
    <w:rsid w:val="00DC22BA"/>
    <w:rsid w:val="00DC3BB2"/>
    <w:rsid w:val="00DC4756"/>
    <w:rsid w:val="00DC4822"/>
    <w:rsid w:val="00DC4CFD"/>
    <w:rsid w:val="00DC4D2E"/>
    <w:rsid w:val="00DC5414"/>
    <w:rsid w:val="00DC594D"/>
    <w:rsid w:val="00DC6545"/>
    <w:rsid w:val="00DC7F85"/>
    <w:rsid w:val="00DD0215"/>
    <w:rsid w:val="00DD026E"/>
    <w:rsid w:val="00DD04F1"/>
    <w:rsid w:val="00DD1A27"/>
    <w:rsid w:val="00DD2471"/>
    <w:rsid w:val="00DD2BAC"/>
    <w:rsid w:val="00DD3A09"/>
    <w:rsid w:val="00DD3AAD"/>
    <w:rsid w:val="00DD4E9B"/>
    <w:rsid w:val="00DD616D"/>
    <w:rsid w:val="00DD6359"/>
    <w:rsid w:val="00DD64D6"/>
    <w:rsid w:val="00DD7165"/>
    <w:rsid w:val="00DD7284"/>
    <w:rsid w:val="00DD7788"/>
    <w:rsid w:val="00DD7C51"/>
    <w:rsid w:val="00DE0119"/>
    <w:rsid w:val="00DE0792"/>
    <w:rsid w:val="00DE08B9"/>
    <w:rsid w:val="00DE0B22"/>
    <w:rsid w:val="00DE2888"/>
    <w:rsid w:val="00DE2CA2"/>
    <w:rsid w:val="00DE5A72"/>
    <w:rsid w:val="00DE5F10"/>
    <w:rsid w:val="00DE6BDE"/>
    <w:rsid w:val="00DE6C1A"/>
    <w:rsid w:val="00DE7282"/>
    <w:rsid w:val="00DE7838"/>
    <w:rsid w:val="00DF0BBE"/>
    <w:rsid w:val="00DF17C9"/>
    <w:rsid w:val="00DF31D4"/>
    <w:rsid w:val="00DF41B1"/>
    <w:rsid w:val="00DF4A70"/>
    <w:rsid w:val="00DF4B8A"/>
    <w:rsid w:val="00DF4D2E"/>
    <w:rsid w:val="00DF4FEA"/>
    <w:rsid w:val="00DF571B"/>
    <w:rsid w:val="00DF5A71"/>
    <w:rsid w:val="00DF6097"/>
    <w:rsid w:val="00DF616E"/>
    <w:rsid w:val="00DF6A5B"/>
    <w:rsid w:val="00DF6A83"/>
    <w:rsid w:val="00DF749F"/>
    <w:rsid w:val="00E00FA7"/>
    <w:rsid w:val="00E013E6"/>
    <w:rsid w:val="00E02DBE"/>
    <w:rsid w:val="00E03348"/>
    <w:rsid w:val="00E0361E"/>
    <w:rsid w:val="00E04207"/>
    <w:rsid w:val="00E044FF"/>
    <w:rsid w:val="00E051A7"/>
    <w:rsid w:val="00E0733C"/>
    <w:rsid w:val="00E074AB"/>
    <w:rsid w:val="00E07773"/>
    <w:rsid w:val="00E106F8"/>
    <w:rsid w:val="00E10DDC"/>
    <w:rsid w:val="00E11DFA"/>
    <w:rsid w:val="00E12231"/>
    <w:rsid w:val="00E128EF"/>
    <w:rsid w:val="00E1324D"/>
    <w:rsid w:val="00E13A2F"/>
    <w:rsid w:val="00E14E8B"/>
    <w:rsid w:val="00E155FB"/>
    <w:rsid w:val="00E16364"/>
    <w:rsid w:val="00E163A3"/>
    <w:rsid w:val="00E16ABD"/>
    <w:rsid w:val="00E16CAA"/>
    <w:rsid w:val="00E17AC4"/>
    <w:rsid w:val="00E17B53"/>
    <w:rsid w:val="00E201F5"/>
    <w:rsid w:val="00E21C7B"/>
    <w:rsid w:val="00E238C2"/>
    <w:rsid w:val="00E23910"/>
    <w:rsid w:val="00E23A8D"/>
    <w:rsid w:val="00E23CDC"/>
    <w:rsid w:val="00E23FE5"/>
    <w:rsid w:val="00E251D2"/>
    <w:rsid w:val="00E257C9"/>
    <w:rsid w:val="00E258B5"/>
    <w:rsid w:val="00E268A5"/>
    <w:rsid w:val="00E268CE"/>
    <w:rsid w:val="00E27175"/>
    <w:rsid w:val="00E30166"/>
    <w:rsid w:val="00E30C0E"/>
    <w:rsid w:val="00E30EA1"/>
    <w:rsid w:val="00E3146D"/>
    <w:rsid w:val="00E315AA"/>
    <w:rsid w:val="00E31B13"/>
    <w:rsid w:val="00E31B68"/>
    <w:rsid w:val="00E32EC5"/>
    <w:rsid w:val="00E32FA8"/>
    <w:rsid w:val="00E335C0"/>
    <w:rsid w:val="00E33619"/>
    <w:rsid w:val="00E33BAE"/>
    <w:rsid w:val="00E33BB4"/>
    <w:rsid w:val="00E34242"/>
    <w:rsid w:val="00E34DD2"/>
    <w:rsid w:val="00E351C0"/>
    <w:rsid w:val="00E35602"/>
    <w:rsid w:val="00E36DF5"/>
    <w:rsid w:val="00E3725C"/>
    <w:rsid w:val="00E3767A"/>
    <w:rsid w:val="00E40929"/>
    <w:rsid w:val="00E42E8D"/>
    <w:rsid w:val="00E4330D"/>
    <w:rsid w:val="00E437B7"/>
    <w:rsid w:val="00E43A3D"/>
    <w:rsid w:val="00E443DA"/>
    <w:rsid w:val="00E458DF"/>
    <w:rsid w:val="00E45927"/>
    <w:rsid w:val="00E46035"/>
    <w:rsid w:val="00E462FF"/>
    <w:rsid w:val="00E47B65"/>
    <w:rsid w:val="00E50ACC"/>
    <w:rsid w:val="00E50C4B"/>
    <w:rsid w:val="00E512E2"/>
    <w:rsid w:val="00E515A2"/>
    <w:rsid w:val="00E51B16"/>
    <w:rsid w:val="00E53176"/>
    <w:rsid w:val="00E5336B"/>
    <w:rsid w:val="00E540A6"/>
    <w:rsid w:val="00E544E9"/>
    <w:rsid w:val="00E5454E"/>
    <w:rsid w:val="00E54E41"/>
    <w:rsid w:val="00E55067"/>
    <w:rsid w:val="00E55574"/>
    <w:rsid w:val="00E5558D"/>
    <w:rsid w:val="00E558B2"/>
    <w:rsid w:val="00E55F2E"/>
    <w:rsid w:val="00E562D4"/>
    <w:rsid w:val="00E56594"/>
    <w:rsid w:val="00E56D4D"/>
    <w:rsid w:val="00E56E8F"/>
    <w:rsid w:val="00E6141D"/>
    <w:rsid w:val="00E63197"/>
    <w:rsid w:val="00E6337E"/>
    <w:rsid w:val="00E633F2"/>
    <w:rsid w:val="00E63764"/>
    <w:rsid w:val="00E637B6"/>
    <w:rsid w:val="00E63EA9"/>
    <w:rsid w:val="00E653C7"/>
    <w:rsid w:val="00E6556B"/>
    <w:rsid w:val="00E65BD2"/>
    <w:rsid w:val="00E65EB4"/>
    <w:rsid w:val="00E66348"/>
    <w:rsid w:val="00E66935"/>
    <w:rsid w:val="00E67814"/>
    <w:rsid w:val="00E67A38"/>
    <w:rsid w:val="00E67F8D"/>
    <w:rsid w:val="00E70D91"/>
    <w:rsid w:val="00E7168D"/>
    <w:rsid w:val="00E71DA5"/>
    <w:rsid w:val="00E72A50"/>
    <w:rsid w:val="00E73709"/>
    <w:rsid w:val="00E753DB"/>
    <w:rsid w:val="00E75766"/>
    <w:rsid w:val="00E775DC"/>
    <w:rsid w:val="00E77FF9"/>
    <w:rsid w:val="00E80946"/>
    <w:rsid w:val="00E80BC2"/>
    <w:rsid w:val="00E8395B"/>
    <w:rsid w:val="00E83D86"/>
    <w:rsid w:val="00E84CF3"/>
    <w:rsid w:val="00E8513F"/>
    <w:rsid w:val="00E8534A"/>
    <w:rsid w:val="00E8570A"/>
    <w:rsid w:val="00E873A4"/>
    <w:rsid w:val="00E900AB"/>
    <w:rsid w:val="00E90731"/>
    <w:rsid w:val="00E90AE6"/>
    <w:rsid w:val="00E90C0B"/>
    <w:rsid w:val="00E90D3B"/>
    <w:rsid w:val="00E91B20"/>
    <w:rsid w:val="00E91FDE"/>
    <w:rsid w:val="00E92C32"/>
    <w:rsid w:val="00E93686"/>
    <w:rsid w:val="00E94CBD"/>
    <w:rsid w:val="00E9565D"/>
    <w:rsid w:val="00E95793"/>
    <w:rsid w:val="00E95F3B"/>
    <w:rsid w:val="00E95F5F"/>
    <w:rsid w:val="00E96808"/>
    <w:rsid w:val="00E96A3F"/>
    <w:rsid w:val="00E96D42"/>
    <w:rsid w:val="00EA121A"/>
    <w:rsid w:val="00EA143F"/>
    <w:rsid w:val="00EA1A9A"/>
    <w:rsid w:val="00EA3037"/>
    <w:rsid w:val="00EA3F2A"/>
    <w:rsid w:val="00EA418B"/>
    <w:rsid w:val="00EA41EC"/>
    <w:rsid w:val="00EA437F"/>
    <w:rsid w:val="00EA5301"/>
    <w:rsid w:val="00EA5CFA"/>
    <w:rsid w:val="00EA5E8A"/>
    <w:rsid w:val="00EB0B45"/>
    <w:rsid w:val="00EB16A6"/>
    <w:rsid w:val="00EB1FDE"/>
    <w:rsid w:val="00EB2099"/>
    <w:rsid w:val="00EB2883"/>
    <w:rsid w:val="00EB2C1E"/>
    <w:rsid w:val="00EB2E21"/>
    <w:rsid w:val="00EB2EF3"/>
    <w:rsid w:val="00EB3823"/>
    <w:rsid w:val="00EB3ECD"/>
    <w:rsid w:val="00EB4ADC"/>
    <w:rsid w:val="00EB528A"/>
    <w:rsid w:val="00EB5AF0"/>
    <w:rsid w:val="00EB6448"/>
    <w:rsid w:val="00EB729E"/>
    <w:rsid w:val="00EB7397"/>
    <w:rsid w:val="00EB759F"/>
    <w:rsid w:val="00EB780D"/>
    <w:rsid w:val="00EB7DCF"/>
    <w:rsid w:val="00EC0395"/>
    <w:rsid w:val="00EC05A0"/>
    <w:rsid w:val="00EC05B9"/>
    <w:rsid w:val="00EC0EBF"/>
    <w:rsid w:val="00EC12F6"/>
    <w:rsid w:val="00EC20F5"/>
    <w:rsid w:val="00EC2313"/>
    <w:rsid w:val="00EC2554"/>
    <w:rsid w:val="00EC26FD"/>
    <w:rsid w:val="00EC2C33"/>
    <w:rsid w:val="00EC3C01"/>
    <w:rsid w:val="00EC4C2D"/>
    <w:rsid w:val="00EC51FA"/>
    <w:rsid w:val="00EC52C9"/>
    <w:rsid w:val="00EC5BB2"/>
    <w:rsid w:val="00EC6C8E"/>
    <w:rsid w:val="00EC6E9F"/>
    <w:rsid w:val="00ED0B5A"/>
    <w:rsid w:val="00ED0D23"/>
    <w:rsid w:val="00ED1044"/>
    <w:rsid w:val="00ED203D"/>
    <w:rsid w:val="00ED219C"/>
    <w:rsid w:val="00ED2898"/>
    <w:rsid w:val="00ED3770"/>
    <w:rsid w:val="00ED3802"/>
    <w:rsid w:val="00ED493F"/>
    <w:rsid w:val="00ED53BA"/>
    <w:rsid w:val="00ED561C"/>
    <w:rsid w:val="00ED5BFA"/>
    <w:rsid w:val="00ED5E23"/>
    <w:rsid w:val="00ED61B4"/>
    <w:rsid w:val="00ED7014"/>
    <w:rsid w:val="00ED7E54"/>
    <w:rsid w:val="00EE00E3"/>
    <w:rsid w:val="00EE020F"/>
    <w:rsid w:val="00EE0B80"/>
    <w:rsid w:val="00EE0F64"/>
    <w:rsid w:val="00EE1004"/>
    <w:rsid w:val="00EE11D1"/>
    <w:rsid w:val="00EE14A2"/>
    <w:rsid w:val="00EE1F3E"/>
    <w:rsid w:val="00EE2249"/>
    <w:rsid w:val="00EE2849"/>
    <w:rsid w:val="00EE3E8E"/>
    <w:rsid w:val="00EE4236"/>
    <w:rsid w:val="00EE4B74"/>
    <w:rsid w:val="00EE6498"/>
    <w:rsid w:val="00EF10E4"/>
    <w:rsid w:val="00EF14E9"/>
    <w:rsid w:val="00EF16D7"/>
    <w:rsid w:val="00EF29CC"/>
    <w:rsid w:val="00EF3BB8"/>
    <w:rsid w:val="00EF460C"/>
    <w:rsid w:val="00EF4E1B"/>
    <w:rsid w:val="00EF55CB"/>
    <w:rsid w:val="00EF5931"/>
    <w:rsid w:val="00EF5AC5"/>
    <w:rsid w:val="00EF5F40"/>
    <w:rsid w:val="00EF64EE"/>
    <w:rsid w:val="00EF6F0E"/>
    <w:rsid w:val="00EF7268"/>
    <w:rsid w:val="00EF74C2"/>
    <w:rsid w:val="00F002CC"/>
    <w:rsid w:val="00F00686"/>
    <w:rsid w:val="00F00DDA"/>
    <w:rsid w:val="00F01688"/>
    <w:rsid w:val="00F01D4F"/>
    <w:rsid w:val="00F0228D"/>
    <w:rsid w:val="00F02DC5"/>
    <w:rsid w:val="00F0314C"/>
    <w:rsid w:val="00F04455"/>
    <w:rsid w:val="00F0452C"/>
    <w:rsid w:val="00F04AF7"/>
    <w:rsid w:val="00F04B25"/>
    <w:rsid w:val="00F05346"/>
    <w:rsid w:val="00F054A8"/>
    <w:rsid w:val="00F0668A"/>
    <w:rsid w:val="00F06BA6"/>
    <w:rsid w:val="00F06F65"/>
    <w:rsid w:val="00F07D9F"/>
    <w:rsid w:val="00F07E18"/>
    <w:rsid w:val="00F10F4C"/>
    <w:rsid w:val="00F110B9"/>
    <w:rsid w:val="00F1215D"/>
    <w:rsid w:val="00F12487"/>
    <w:rsid w:val="00F127B4"/>
    <w:rsid w:val="00F12D3A"/>
    <w:rsid w:val="00F1327B"/>
    <w:rsid w:val="00F135D2"/>
    <w:rsid w:val="00F1382B"/>
    <w:rsid w:val="00F14131"/>
    <w:rsid w:val="00F145DF"/>
    <w:rsid w:val="00F14D75"/>
    <w:rsid w:val="00F14F36"/>
    <w:rsid w:val="00F1541D"/>
    <w:rsid w:val="00F17CE4"/>
    <w:rsid w:val="00F17EFB"/>
    <w:rsid w:val="00F202B1"/>
    <w:rsid w:val="00F20895"/>
    <w:rsid w:val="00F208C5"/>
    <w:rsid w:val="00F20BA8"/>
    <w:rsid w:val="00F20E03"/>
    <w:rsid w:val="00F21919"/>
    <w:rsid w:val="00F2197D"/>
    <w:rsid w:val="00F22562"/>
    <w:rsid w:val="00F22D89"/>
    <w:rsid w:val="00F2303F"/>
    <w:rsid w:val="00F25762"/>
    <w:rsid w:val="00F2798C"/>
    <w:rsid w:val="00F27C1E"/>
    <w:rsid w:val="00F3010F"/>
    <w:rsid w:val="00F30F53"/>
    <w:rsid w:val="00F311CE"/>
    <w:rsid w:val="00F3128A"/>
    <w:rsid w:val="00F319D7"/>
    <w:rsid w:val="00F319EE"/>
    <w:rsid w:val="00F31DF7"/>
    <w:rsid w:val="00F32600"/>
    <w:rsid w:val="00F33371"/>
    <w:rsid w:val="00F333E0"/>
    <w:rsid w:val="00F3359D"/>
    <w:rsid w:val="00F3507B"/>
    <w:rsid w:val="00F367AA"/>
    <w:rsid w:val="00F4075C"/>
    <w:rsid w:val="00F419FD"/>
    <w:rsid w:val="00F41DEA"/>
    <w:rsid w:val="00F424A5"/>
    <w:rsid w:val="00F42D61"/>
    <w:rsid w:val="00F434EC"/>
    <w:rsid w:val="00F4353D"/>
    <w:rsid w:val="00F43DD7"/>
    <w:rsid w:val="00F44340"/>
    <w:rsid w:val="00F44B0D"/>
    <w:rsid w:val="00F451A2"/>
    <w:rsid w:val="00F453CE"/>
    <w:rsid w:val="00F45688"/>
    <w:rsid w:val="00F50341"/>
    <w:rsid w:val="00F51F33"/>
    <w:rsid w:val="00F524DC"/>
    <w:rsid w:val="00F52554"/>
    <w:rsid w:val="00F53AE7"/>
    <w:rsid w:val="00F5483A"/>
    <w:rsid w:val="00F54909"/>
    <w:rsid w:val="00F553A3"/>
    <w:rsid w:val="00F55406"/>
    <w:rsid w:val="00F55464"/>
    <w:rsid w:val="00F55D80"/>
    <w:rsid w:val="00F567D9"/>
    <w:rsid w:val="00F572E2"/>
    <w:rsid w:val="00F573F3"/>
    <w:rsid w:val="00F61153"/>
    <w:rsid w:val="00F626F1"/>
    <w:rsid w:val="00F63255"/>
    <w:rsid w:val="00F6333D"/>
    <w:rsid w:val="00F63FBA"/>
    <w:rsid w:val="00F6550D"/>
    <w:rsid w:val="00F65D14"/>
    <w:rsid w:val="00F6693F"/>
    <w:rsid w:val="00F6757D"/>
    <w:rsid w:val="00F677D8"/>
    <w:rsid w:val="00F67BAF"/>
    <w:rsid w:val="00F702ED"/>
    <w:rsid w:val="00F70CFC"/>
    <w:rsid w:val="00F715BE"/>
    <w:rsid w:val="00F71B26"/>
    <w:rsid w:val="00F71F86"/>
    <w:rsid w:val="00F73230"/>
    <w:rsid w:val="00F73628"/>
    <w:rsid w:val="00F73E6C"/>
    <w:rsid w:val="00F74695"/>
    <w:rsid w:val="00F74A85"/>
    <w:rsid w:val="00F7543F"/>
    <w:rsid w:val="00F77814"/>
    <w:rsid w:val="00F802A5"/>
    <w:rsid w:val="00F80741"/>
    <w:rsid w:val="00F81601"/>
    <w:rsid w:val="00F82573"/>
    <w:rsid w:val="00F83B52"/>
    <w:rsid w:val="00F85FF2"/>
    <w:rsid w:val="00F85FF3"/>
    <w:rsid w:val="00F87CC1"/>
    <w:rsid w:val="00F9078A"/>
    <w:rsid w:val="00F9147B"/>
    <w:rsid w:val="00F91759"/>
    <w:rsid w:val="00F91BA2"/>
    <w:rsid w:val="00F92D99"/>
    <w:rsid w:val="00F92E95"/>
    <w:rsid w:val="00F94ED4"/>
    <w:rsid w:val="00F94F62"/>
    <w:rsid w:val="00F95306"/>
    <w:rsid w:val="00F95DBC"/>
    <w:rsid w:val="00F95E75"/>
    <w:rsid w:val="00F96358"/>
    <w:rsid w:val="00F967A2"/>
    <w:rsid w:val="00F968B6"/>
    <w:rsid w:val="00F96A18"/>
    <w:rsid w:val="00F96A8F"/>
    <w:rsid w:val="00F96BCB"/>
    <w:rsid w:val="00F97813"/>
    <w:rsid w:val="00F97A09"/>
    <w:rsid w:val="00FA0871"/>
    <w:rsid w:val="00FA0A14"/>
    <w:rsid w:val="00FA0CF8"/>
    <w:rsid w:val="00FA107A"/>
    <w:rsid w:val="00FA368C"/>
    <w:rsid w:val="00FA76E0"/>
    <w:rsid w:val="00FA79E1"/>
    <w:rsid w:val="00FB24C7"/>
    <w:rsid w:val="00FB2DE3"/>
    <w:rsid w:val="00FB30DE"/>
    <w:rsid w:val="00FB33CC"/>
    <w:rsid w:val="00FB5FE4"/>
    <w:rsid w:val="00FB67C4"/>
    <w:rsid w:val="00FC0EC7"/>
    <w:rsid w:val="00FC10B0"/>
    <w:rsid w:val="00FC143C"/>
    <w:rsid w:val="00FC16D2"/>
    <w:rsid w:val="00FC1700"/>
    <w:rsid w:val="00FC17A9"/>
    <w:rsid w:val="00FC2B1C"/>
    <w:rsid w:val="00FC5CBC"/>
    <w:rsid w:val="00FC6321"/>
    <w:rsid w:val="00FC76CF"/>
    <w:rsid w:val="00FC7BD7"/>
    <w:rsid w:val="00FD0913"/>
    <w:rsid w:val="00FD0BB5"/>
    <w:rsid w:val="00FD1F1A"/>
    <w:rsid w:val="00FD2495"/>
    <w:rsid w:val="00FD3B2B"/>
    <w:rsid w:val="00FD48B1"/>
    <w:rsid w:val="00FD612F"/>
    <w:rsid w:val="00FD6BF4"/>
    <w:rsid w:val="00FD6CA3"/>
    <w:rsid w:val="00FD7093"/>
    <w:rsid w:val="00FD70CB"/>
    <w:rsid w:val="00FE082E"/>
    <w:rsid w:val="00FE0CEB"/>
    <w:rsid w:val="00FE28E9"/>
    <w:rsid w:val="00FE45E5"/>
    <w:rsid w:val="00FE52A5"/>
    <w:rsid w:val="00FE5EB7"/>
    <w:rsid w:val="00FE6064"/>
    <w:rsid w:val="00FE7AEE"/>
    <w:rsid w:val="00FE7C82"/>
    <w:rsid w:val="00FF026C"/>
    <w:rsid w:val="00FF0B3F"/>
    <w:rsid w:val="00FF0FB5"/>
    <w:rsid w:val="00FF13B3"/>
    <w:rsid w:val="00FF2475"/>
    <w:rsid w:val="00FF2DAD"/>
    <w:rsid w:val="00FF32BE"/>
    <w:rsid w:val="00FF3571"/>
    <w:rsid w:val="00FF4182"/>
    <w:rsid w:val="00FF455D"/>
    <w:rsid w:val="00FF4600"/>
    <w:rsid w:val="00FF4CDF"/>
    <w:rsid w:val="00FF51AC"/>
    <w:rsid w:val="00FF569B"/>
    <w:rsid w:val="00FF6D32"/>
    <w:rsid w:val="00FF77B5"/>
    <w:rsid w:val="00FF7EBC"/>
    <w:rsid w:val="09E64ACA"/>
    <w:rsid w:val="0B02F8A5"/>
    <w:rsid w:val="0DE9765B"/>
    <w:rsid w:val="25BF3D1E"/>
    <w:rsid w:val="3556520E"/>
    <w:rsid w:val="4CE24366"/>
    <w:rsid w:val="683E913C"/>
    <w:rsid w:val="6BB92338"/>
    <w:rsid w:val="7DF62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E95B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A"/>
    <w:pPr>
      <w:spacing w:after="0" w:line="240" w:lineRule="auto"/>
    </w:pPr>
  </w:style>
  <w:style w:type="paragraph" w:styleId="Heading1">
    <w:name w:val="heading 1"/>
    <w:link w:val="Heading1Char"/>
    <w:qFormat/>
    <w:rsid w:val="00FA0CF8"/>
    <w:pPr>
      <w:keepNext/>
      <w:numPr>
        <w:numId w:val="7"/>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7"/>
      </w:numPr>
      <w:spacing w:before="240" w:after="220" w:line="240" w:lineRule="auto"/>
      <w:outlineLvl w:val="1"/>
    </w:pPr>
    <w:rPr>
      <w:rFonts w:cs="Arial"/>
      <w:b/>
      <w:bCs/>
      <w:iCs/>
      <w:szCs w:val="28"/>
    </w:rPr>
  </w:style>
  <w:style w:type="paragraph" w:styleId="Heading3">
    <w:name w:val="heading 3"/>
    <w:link w:val="Heading3Char"/>
    <w:qFormat/>
    <w:rsid w:val="00FA0CF8"/>
    <w:pPr>
      <w:keepNext/>
      <w:numPr>
        <w:ilvl w:val="2"/>
        <w:numId w:val="7"/>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7"/>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uiPriority w:val="99"/>
    <w:rsid w:val="004D4A44"/>
    <w:rPr>
      <w:sz w:val="20"/>
      <w:szCs w:val="20"/>
    </w:rPr>
  </w:style>
  <w:style w:type="character" w:customStyle="1" w:styleId="CommentTextChar">
    <w:name w:val="Comment Text Char"/>
    <w:basedOn w:val="DefaultParagraphFont"/>
    <w:link w:val="CommentText"/>
    <w:uiPriority w:val="99"/>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Char, Char, Char4"/>
    <w:basedOn w:val="Normal"/>
    <w:link w:val="FootnoteTextChar"/>
    <w:qFormat/>
    <w:rsid w:val="00FA0CF8"/>
    <w:pPr>
      <w:tabs>
        <w:tab w:val="left" w:pos="360"/>
      </w:tabs>
      <w:spacing w:before="60"/>
    </w:pPr>
    <w:rPr>
      <w:sz w:val="18"/>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pPr>
      <w:ind w:left="720"/>
    </w:pPr>
  </w:style>
  <w:style w:type="paragraph" w:styleId="ListBullet">
    <w:name w:val="List Bullet"/>
    <w:qFormat/>
    <w:rsid w:val="00FA0CF8"/>
    <w:pPr>
      <w:numPr>
        <w:numId w:val="5"/>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18"/>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19"/>
      </w:numPr>
    </w:pPr>
  </w:style>
  <w:style w:type="paragraph" w:styleId="ListContinue">
    <w:name w:val="List Continue"/>
    <w:basedOn w:val="Normal"/>
    <w:uiPriority w:val="99"/>
    <w:unhideWhenUsed/>
    <w:rsid w:val="00FA0CF8"/>
    <w:pPr>
      <w:numPr>
        <w:numId w:val="20"/>
      </w:numPr>
      <w:spacing w:after="120"/>
    </w:pPr>
  </w:style>
  <w:style w:type="paragraph" w:styleId="ListContinue2">
    <w:name w:val="List Continue 2"/>
    <w:basedOn w:val="Normal"/>
    <w:uiPriority w:val="99"/>
    <w:unhideWhenUsed/>
    <w:rsid w:val="00FA0CF8"/>
    <w:pPr>
      <w:numPr>
        <w:numId w:val="21"/>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C6321"/>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left="720"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
    <w:name w:val="Unresolved Mention"/>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paragraph" w:styleId="Title">
    <w:name w:val="Title"/>
    <w:basedOn w:val="Normal"/>
    <w:next w:val="Normal"/>
    <w:link w:val="TitleChar"/>
    <w:uiPriority w:val="10"/>
    <w:qFormat/>
    <w:rsid w:val="0019169E"/>
    <w:pPr>
      <w:contextualSpacing/>
    </w:pPr>
    <w:rPr>
      <w:rFonts w:eastAsiaTheme="majorEastAsia" w:cs="Times New Roman"/>
      <w:b/>
      <w:spacing w:val="-10"/>
      <w:kern w:val="28"/>
      <w:sz w:val="32"/>
      <w:szCs w:val="32"/>
    </w:rPr>
  </w:style>
  <w:style w:type="character" w:customStyle="1" w:styleId="TitleChar">
    <w:name w:val="Title Char"/>
    <w:basedOn w:val="DefaultParagraphFont"/>
    <w:link w:val="Title"/>
    <w:uiPriority w:val="10"/>
    <w:rsid w:val="0019169E"/>
    <w:rPr>
      <w:rFonts w:eastAsiaTheme="majorEastAsia" w:cs="Times New Roman"/>
      <w:b/>
      <w:spacing w:val="-10"/>
      <w:kern w:val="28"/>
      <w:sz w:val="32"/>
      <w:szCs w:val="32"/>
    </w:rPr>
  </w:style>
  <w:style w:type="paragraph" w:customStyle="1" w:styleId="BodyTextNoIndent">
    <w:name w:val="Body Text No Indent"/>
    <w:qFormat/>
    <w:rsid w:val="000102B3"/>
    <w:pPr>
      <w:spacing w:after="220" w:line="240" w:lineRule="auto"/>
    </w:pPr>
    <w:rPr>
      <w:rFonts w:eastAsia="Times New Roman" w:cs="Times New Roman"/>
      <w:sz w:val="22"/>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qFormat="1"/>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0" w:qFormat="1"/>
    <w:lsdException w:name="footnote reference" w:qFormat="1"/>
    <w:lsdException w:name="page number" w:uiPriority="0"/>
    <w:lsdException w:name="List Bullet"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HTML Preformatted"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71A"/>
    <w:pPr>
      <w:spacing w:after="0" w:line="240" w:lineRule="auto"/>
    </w:pPr>
  </w:style>
  <w:style w:type="paragraph" w:styleId="Heading1">
    <w:name w:val="heading 1"/>
    <w:link w:val="Heading1Char"/>
    <w:qFormat/>
    <w:rsid w:val="00FA0CF8"/>
    <w:pPr>
      <w:keepNext/>
      <w:numPr>
        <w:numId w:val="7"/>
      </w:numPr>
      <w:spacing w:before="240" w:after="240" w:line="240" w:lineRule="auto"/>
      <w:outlineLvl w:val="0"/>
    </w:pPr>
    <w:rPr>
      <w:rFonts w:cs="Arial"/>
      <w:b/>
      <w:bCs/>
      <w:kern w:val="32"/>
      <w:szCs w:val="32"/>
    </w:rPr>
  </w:style>
  <w:style w:type="paragraph" w:styleId="Heading2">
    <w:name w:val="heading 2"/>
    <w:link w:val="Heading2Char"/>
    <w:qFormat/>
    <w:rsid w:val="000D2D6D"/>
    <w:pPr>
      <w:keepNext/>
      <w:numPr>
        <w:ilvl w:val="1"/>
        <w:numId w:val="7"/>
      </w:numPr>
      <w:spacing w:before="240" w:after="220" w:line="240" w:lineRule="auto"/>
      <w:outlineLvl w:val="1"/>
    </w:pPr>
    <w:rPr>
      <w:rFonts w:cs="Arial"/>
      <w:b/>
      <w:bCs/>
      <w:iCs/>
      <w:szCs w:val="28"/>
    </w:rPr>
  </w:style>
  <w:style w:type="paragraph" w:styleId="Heading3">
    <w:name w:val="heading 3"/>
    <w:link w:val="Heading3Char"/>
    <w:qFormat/>
    <w:rsid w:val="00FA0CF8"/>
    <w:pPr>
      <w:keepNext/>
      <w:numPr>
        <w:ilvl w:val="2"/>
        <w:numId w:val="7"/>
      </w:numPr>
      <w:spacing w:before="240" w:after="120" w:line="240" w:lineRule="auto"/>
      <w:outlineLvl w:val="2"/>
    </w:pPr>
    <w:rPr>
      <w:rFonts w:cs="Arial"/>
      <w:b/>
      <w:bCs/>
      <w:szCs w:val="26"/>
    </w:rPr>
  </w:style>
  <w:style w:type="paragraph" w:styleId="Heading4">
    <w:name w:val="heading 4"/>
    <w:basedOn w:val="Normal"/>
    <w:next w:val="Normal"/>
    <w:link w:val="Heading4Char"/>
    <w:qFormat/>
    <w:rsid w:val="004D4A44"/>
    <w:pPr>
      <w:keepNext/>
      <w:numPr>
        <w:ilvl w:val="3"/>
        <w:numId w:val="7"/>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A0CF8"/>
    <w:rPr>
      <w:rFonts w:cs="Arial"/>
      <w:b/>
      <w:bCs/>
      <w:kern w:val="32"/>
      <w:szCs w:val="32"/>
    </w:rPr>
  </w:style>
  <w:style w:type="character" w:customStyle="1" w:styleId="Heading2Char">
    <w:name w:val="Heading 2 Char"/>
    <w:basedOn w:val="DefaultParagraphFont"/>
    <w:link w:val="Heading2"/>
    <w:rsid w:val="000D2D6D"/>
    <w:rPr>
      <w:rFonts w:cs="Arial"/>
      <w:b/>
      <w:bCs/>
      <w:iCs/>
      <w:szCs w:val="28"/>
    </w:rPr>
  </w:style>
  <w:style w:type="character" w:customStyle="1" w:styleId="Heading3Char">
    <w:name w:val="Heading 3 Char"/>
    <w:basedOn w:val="DefaultParagraphFont"/>
    <w:link w:val="Heading3"/>
    <w:rsid w:val="00FA0CF8"/>
    <w:rPr>
      <w:rFonts w:cs="Arial"/>
      <w:b/>
      <w:bCs/>
      <w:szCs w:val="26"/>
    </w:rPr>
  </w:style>
  <w:style w:type="character" w:customStyle="1" w:styleId="Heading4Char">
    <w:name w:val="Heading 4 Char"/>
    <w:basedOn w:val="DefaultParagraphFont"/>
    <w:link w:val="Heading4"/>
    <w:rsid w:val="004D4A44"/>
    <w:rPr>
      <w:b/>
      <w:bCs/>
      <w:sz w:val="28"/>
      <w:szCs w:val="28"/>
    </w:rPr>
  </w:style>
  <w:style w:type="paragraph" w:styleId="Footer">
    <w:name w:val="footer"/>
    <w:basedOn w:val="Normal"/>
    <w:link w:val="FooterChar"/>
    <w:uiPriority w:val="99"/>
    <w:rsid w:val="004D4A44"/>
    <w:pPr>
      <w:tabs>
        <w:tab w:val="center" w:pos="4320"/>
        <w:tab w:val="right" w:pos="8640"/>
      </w:tabs>
    </w:pPr>
  </w:style>
  <w:style w:type="character" w:customStyle="1" w:styleId="FooterChar">
    <w:name w:val="Footer Char"/>
    <w:basedOn w:val="DefaultParagraphFont"/>
    <w:link w:val="Footer"/>
    <w:uiPriority w:val="99"/>
    <w:rsid w:val="004D4A44"/>
    <w:rPr>
      <w:rFonts w:eastAsia="Times New Roman" w:cs="Times New Roman"/>
      <w:szCs w:val="24"/>
    </w:rPr>
  </w:style>
  <w:style w:type="character" w:styleId="PageNumber">
    <w:name w:val="page number"/>
    <w:basedOn w:val="DefaultParagraphFont"/>
    <w:rsid w:val="004D4A44"/>
  </w:style>
  <w:style w:type="paragraph" w:styleId="Header">
    <w:name w:val="header"/>
    <w:basedOn w:val="Normal"/>
    <w:link w:val="HeaderChar"/>
    <w:uiPriority w:val="99"/>
    <w:rsid w:val="004D4A44"/>
    <w:pPr>
      <w:tabs>
        <w:tab w:val="center" w:pos="4320"/>
        <w:tab w:val="right" w:pos="8640"/>
      </w:tabs>
    </w:pPr>
  </w:style>
  <w:style w:type="character" w:customStyle="1" w:styleId="HeaderChar">
    <w:name w:val="Header Char"/>
    <w:basedOn w:val="DefaultParagraphFont"/>
    <w:link w:val="Header"/>
    <w:uiPriority w:val="99"/>
    <w:rsid w:val="004D4A44"/>
    <w:rPr>
      <w:rFonts w:eastAsia="Times New Roman" w:cs="Times New Roman"/>
      <w:szCs w:val="24"/>
    </w:rPr>
  </w:style>
  <w:style w:type="paragraph" w:customStyle="1" w:styleId="ListBulletlast">
    <w:name w:val="List Bullet_last"/>
    <w:basedOn w:val="ListBullet"/>
    <w:qFormat/>
    <w:rsid w:val="00FA0CF8"/>
    <w:pPr>
      <w:spacing w:after="240"/>
    </w:pPr>
  </w:style>
  <w:style w:type="character" w:styleId="CommentReference">
    <w:name w:val="annotation reference"/>
    <w:uiPriority w:val="99"/>
    <w:rsid w:val="004D4A44"/>
    <w:rPr>
      <w:sz w:val="16"/>
      <w:szCs w:val="16"/>
    </w:rPr>
  </w:style>
  <w:style w:type="paragraph" w:styleId="CommentText">
    <w:name w:val="annotation text"/>
    <w:basedOn w:val="Normal"/>
    <w:link w:val="CommentTextChar"/>
    <w:uiPriority w:val="99"/>
    <w:rsid w:val="004D4A44"/>
    <w:rPr>
      <w:sz w:val="20"/>
      <w:szCs w:val="20"/>
    </w:rPr>
  </w:style>
  <w:style w:type="character" w:customStyle="1" w:styleId="CommentTextChar">
    <w:name w:val="Comment Text Char"/>
    <w:basedOn w:val="DefaultParagraphFont"/>
    <w:link w:val="CommentText"/>
    <w:uiPriority w:val="99"/>
    <w:rsid w:val="004D4A44"/>
    <w:rPr>
      <w:rFonts w:eastAsia="Times New Roman" w:cs="Times New Roman"/>
      <w:sz w:val="20"/>
      <w:szCs w:val="20"/>
    </w:rPr>
  </w:style>
  <w:style w:type="character" w:customStyle="1" w:styleId="CommentSubjectChar">
    <w:name w:val="Comment Subject Char"/>
    <w:basedOn w:val="CommentTextChar"/>
    <w:link w:val="CommentSubject"/>
    <w:semiHidden/>
    <w:rsid w:val="004D4A44"/>
    <w:rPr>
      <w:rFonts w:eastAsia="Times New Roman" w:cs="Times New Roman"/>
      <w:b/>
      <w:bCs/>
      <w:sz w:val="20"/>
      <w:szCs w:val="20"/>
    </w:rPr>
  </w:style>
  <w:style w:type="paragraph" w:styleId="CommentSubject">
    <w:name w:val="annotation subject"/>
    <w:basedOn w:val="CommentText"/>
    <w:next w:val="CommentText"/>
    <w:link w:val="CommentSubjectChar"/>
    <w:semiHidden/>
    <w:rsid w:val="004D4A44"/>
    <w:rPr>
      <w:b/>
      <w:bCs/>
    </w:rPr>
  </w:style>
  <w:style w:type="paragraph" w:customStyle="1" w:styleId="ListBulletsingle">
    <w:name w:val="List Bullet_single"/>
    <w:basedOn w:val="ListBullet"/>
    <w:qFormat/>
    <w:rsid w:val="00FA0CF8"/>
    <w:pPr>
      <w:spacing w:after="60"/>
    </w:pPr>
  </w:style>
  <w:style w:type="paragraph" w:styleId="BalloonText">
    <w:name w:val="Balloon Text"/>
    <w:basedOn w:val="Normal"/>
    <w:link w:val="BalloonTextChar"/>
    <w:uiPriority w:val="99"/>
    <w:semiHidden/>
    <w:rsid w:val="004D4A44"/>
    <w:rPr>
      <w:rFonts w:ascii="Tahoma" w:hAnsi="Tahoma" w:cs="Tahoma"/>
      <w:sz w:val="16"/>
      <w:szCs w:val="16"/>
    </w:rPr>
  </w:style>
  <w:style w:type="character" w:customStyle="1" w:styleId="BalloonTextChar">
    <w:name w:val="Balloon Text Char"/>
    <w:basedOn w:val="DefaultParagraphFont"/>
    <w:link w:val="BalloonText"/>
    <w:uiPriority w:val="99"/>
    <w:semiHidden/>
    <w:rsid w:val="004D4A44"/>
    <w:rPr>
      <w:rFonts w:ascii="Tahoma" w:eastAsia="Times New Roman" w:hAnsi="Tahoma" w:cs="Tahoma"/>
      <w:sz w:val="16"/>
      <w:szCs w:val="16"/>
    </w:rPr>
  </w:style>
  <w:style w:type="character" w:customStyle="1" w:styleId="UnresolvedMention1">
    <w:name w:val="Unresolved Mention1"/>
    <w:basedOn w:val="DefaultParagraphFont"/>
    <w:uiPriority w:val="99"/>
    <w:semiHidden/>
    <w:unhideWhenUsed/>
    <w:rsid w:val="00395A33"/>
    <w:rPr>
      <w:color w:val="808080"/>
      <w:shd w:val="clear" w:color="auto" w:fill="E6E6E6"/>
    </w:rPr>
  </w:style>
  <w:style w:type="paragraph" w:styleId="FootnoteText">
    <w:name w:val="footnote text"/>
    <w:aliases w:val="Footnote Text Char Char,Footnote Text Char1 Char Char,Footnote Text Char Char Char Char,Footnote Text Char Char1,ALTS FOOTNOTE,fn,Char4,Footnote Text - Preamble,Char2,Footnote Text - Preamble1,Char3,f,Char, Char, Char4"/>
    <w:basedOn w:val="Normal"/>
    <w:link w:val="FootnoteTextChar"/>
    <w:qFormat/>
    <w:rsid w:val="00FA0CF8"/>
    <w:pPr>
      <w:tabs>
        <w:tab w:val="left" w:pos="360"/>
      </w:tabs>
      <w:spacing w:before="60"/>
    </w:pPr>
    <w:rPr>
      <w:sz w:val="18"/>
      <w:szCs w:val="20"/>
    </w:rPr>
  </w:style>
  <w:style w:type="character" w:customStyle="1" w:styleId="FootnoteTextChar">
    <w:name w:val="Footnote Text Char"/>
    <w:aliases w:val="Footnote Text Char Char Char,Footnote Text Char1 Char Char Char,Footnote Text Char Char Char Char Char,Footnote Text Char Char1 Char,ALTS FOOTNOTE Char,fn Char,Char4 Char,Footnote Text - Preamble Char,Char2 Char,Char3 Char,f Char"/>
    <w:basedOn w:val="DefaultParagraphFont"/>
    <w:link w:val="FootnoteText"/>
    <w:rsid w:val="00FA0CF8"/>
    <w:rPr>
      <w:sz w:val="18"/>
      <w:szCs w:val="20"/>
    </w:rPr>
  </w:style>
  <w:style w:type="character" w:styleId="FootnoteReference">
    <w:name w:val="footnote reference"/>
    <w:uiPriority w:val="99"/>
    <w:qFormat/>
    <w:rsid w:val="006567EE"/>
    <w:rPr>
      <w:rFonts w:ascii="Times New Roman" w:hAnsi="Times New Roman"/>
      <w:sz w:val="20"/>
      <w:vertAlign w:val="superscript"/>
    </w:rPr>
  </w:style>
  <w:style w:type="paragraph" w:styleId="ListParagraph">
    <w:name w:val="List Paragraph"/>
    <w:basedOn w:val="Normal"/>
    <w:uiPriority w:val="34"/>
    <w:qFormat/>
    <w:rsid w:val="004D4A44"/>
    <w:pPr>
      <w:ind w:left="720"/>
    </w:pPr>
  </w:style>
  <w:style w:type="paragraph" w:styleId="ListBullet">
    <w:name w:val="List Bullet"/>
    <w:qFormat/>
    <w:rsid w:val="00FA0CF8"/>
    <w:pPr>
      <w:numPr>
        <w:numId w:val="5"/>
      </w:numPr>
      <w:spacing w:after="120" w:line="240" w:lineRule="auto"/>
      <w:ind w:left="1080" w:hanging="360"/>
    </w:pPr>
    <w:rPr>
      <w:szCs w:val="20"/>
    </w:rPr>
  </w:style>
  <w:style w:type="character" w:styleId="Hyperlink">
    <w:name w:val="Hyperlink"/>
    <w:uiPriority w:val="99"/>
    <w:rsid w:val="004D4A44"/>
    <w:rPr>
      <w:color w:val="0000FF"/>
      <w:u w:val="single"/>
    </w:rPr>
  </w:style>
  <w:style w:type="paragraph" w:styleId="ListBullet2">
    <w:name w:val="List Bullet 2"/>
    <w:basedOn w:val="Normal"/>
    <w:uiPriority w:val="99"/>
    <w:unhideWhenUsed/>
    <w:rsid w:val="00FA0CF8"/>
    <w:pPr>
      <w:numPr>
        <w:numId w:val="18"/>
      </w:numPr>
      <w:spacing w:after="60"/>
      <w:ind w:left="1440"/>
    </w:pPr>
  </w:style>
  <w:style w:type="paragraph" w:customStyle="1" w:styleId="ListBullet2last">
    <w:name w:val="List Bullet 2_last"/>
    <w:basedOn w:val="ListBullet2"/>
    <w:qFormat/>
    <w:rsid w:val="007F0F1B"/>
    <w:pPr>
      <w:spacing w:after="240"/>
    </w:pPr>
  </w:style>
  <w:style w:type="paragraph" w:styleId="BodyText">
    <w:name w:val="Body Text"/>
    <w:link w:val="BodyTextChar"/>
    <w:rsid w:val="00FA0CF8"/>
    <w:pPr>
      <w:spacing w:after="240" w:line="240" w:lineRule="auto"/>
      <w:ind w:firstLine="720"/>
    </w:pPr>
    <w:rPr>
      <w:rFonts w:eastAsia="Times New Roman" w:cs="Times New Roman"/>
    </w:rPr>
  </w:style>
  <w:style w:type="character" w:customStyle="1" w:styleId="BodyTextChar">
    <w:name w:val="Body Text Char"/>
    <w:basedOn w:val="DefaultParagraphFont"/>
    <w:link w:val="BodyText"/>
    <w:rsid w:val="00FA0CF8"/>
    <w:rPr>
      <w:rFonts w:eastAsia="Times New Roman" w:cs="Times New Roman"/>
    </w:rPr>
  </w:style>
  <w:style w:type="paragraph" w:styleId="Caption">
    <w:name w:val="caption"/>
    <w:basedOn w:val="Normal"/>
    <w:next w:val="Normal"/>
    <w:qFormat/>
    <w:rsid w:val="004A7249"/>
    <w:rPr>
      <w:b/>
      <w:bCs/>
      <w:szCs w:val="20"/>
    </w:rPr>
  </w:style>
  <w:style w:type="paragraph" w:customStyle="1" w:styleId="TableTitle">
    <w:name w:val="Table Title"/>
    <w:link w:val="TableTitleChar"/>
    <w:qFormat/>
    <w:rsid w:val="00101277"/>
    <w:pPr>
      <w:keepNext/>
      <w:spacing w:before="80" w:after="80" w:line="240" w:lineRule="auto"/>
      <w:jc w:val="center"/>
    </w:pPr>
    <w:rPr>
      <w:rFonts w:cs="Arial"/>
      <w:b/>
      <w:szCs w:val="22"/>
    </w:rPr>
  </w:style>
  <w:style w:type="character" w:customStyle="1" w:styleId="TableTitleChar">
    <w:name w:val="Table Title Char"/>
    <w:link w:val="TableTitle"/>
    <w:rsid w:val="00101277"/>
    <w:rPr>
      <w:rFonts w:cs="Arial"/>
      <w:b/>
      <w:szCs w:val="22"/>
    </w:rPr>
  </w:style>
  <w:style w:type="character" w:customStyle="1" w:styleId="ptext-2">
    <w:name w:val="ptext-2"/>
    <w:basedOn w:val="DefaultParagraphFont"/>
    <w:rsid w:val="004D4A44"/>
  </w:style>
  <w:style w:type="paragraph" w:styleId="NormalWeb">
    <w:name w:val="Normal (Web)"/>
    <w:basedOn w:val="Normal"/>
    <w:rsid w:val="004D4A44"/>
    <w:pPr>
      <w:spacing w:before="100" w:beforeAutospacing="1" w:after="100" w:afterAutospacing="1"/>
    </w:pPr>
  </w:style>
  <w:style w:type="paragraph" w:styleId="HTMLPreformatted">
    <w:name w:val="HTML Preformatted"/>
    <w:basedOn w:val="Normal"/>
    <w:link w:val="HTMLPreformattedChar"/>
    <w:rsid w:val="004D4A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4D4A44"/>
    <w:rPr>
      <w:rFonts w:ascii="Courier New" w:eastAsia="Times New Roman" w:hAnsi="Courier New" w:cs="Courier New"/>
      <w:sz w:val="20"/>
      <w:szCs w:val="20"/>
    </w:rPr>
  </w:style>
  <w:style w:type="paragraph" w:customStyle="1" w:styleId="Default">
    <w:name w:val="Default"/>
    <w:rsid w:val="004D4A44"/>
    <w:pPr>
      <w:autoSpaceDE w:val="0"/>
      <w:autoSpaceDN w:val="0"/>
      <w:adjustRightInd w:val="0"/>
      <w:spacing w:after="0" w:line="240" w:lineRule="auto"/>
    </w:pPr>
    <w:rPr>
      <w:rFonts w:eastAsia="Times New Roman" w:cs="Times New Roman"/>
      <w:color w:val="000000"/>
    </w:rPr>
  </w:style>
  <w:style w:type="character" w:styleId="FollowedHyperlink">
    <w:name w:val="FollowedHyperlink"/>
    <w:rsid w:val="004D4A44"/>
    <w:rPr>
      <w:color w:val="800080"/>
      <w:u w:val="single"/>
    </w:rPr>
  </w:style>
  <w:style w:type="paragraph" w:customStyle="1" w:styleId="Reference">
    <w:name w:val="Reference"/>
    <w:basedOn w:val="Normal"/>
    <w:qFormat/>
    <w:rsid w:val="004D4A44"/>
    <w:pPr>
      <w:autoSpaceDE w:val="0"/>
      <w:autoSpaceDN w:val="0"/>
      <w:adjustRightInd w:val="0"/>
      <w:spacing w:after="120"/>
      <w:ind w:left="360" w:hanging="360"/>
    </w:pPr>
    <w:rPr>
      <w:color w:val="000000"/>
      <w:sz w:val="22"/>
    </w:rPr>
  </w:style>
  <w:style w:type="character" w:customStyle="1" w:styleId="DocumentMapChar">
    <w:name w:val="Document Map Char"/>
    <w:basedOn w:val="DefaultParagraphFont"/>
    <w:link w:val="DocumentMap"/>
    <w:semiHidden/>
    <w:rsid w:val="004D4A44"/>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4D4A44"/>
    <w:pPr>
      <w:shd w:val="clear" w:color="auto" w:fill="000080"/>
    </w:pPr>
    <w:rPr>
      <w:rFonts w:ascii="Tahoma" w:hAnsi="Tahoma" w:cs="Tahoma"/>
      <w:sz w:val="20"/>
      <w:szCs w:val="20"/>
    </w:rPr>
  </w:style>
  <w:style w:type="paragraph" w:styleId="EndnoteText">
    <w:name w:val="endnote text"/>
    <w:basedOn w:val="Normal"/>
    <w:link w:val="EndnoteTextChar"/>
    <w:uiPriority w:val="99"/>
    <w:semiHidden/>
    <w:unhideWhenUsed/>
    <w:rsid w:val="004D4A44"/>
    <w:rPr>
      <w:sz w:val="20"/>
      <w:szCs w:val="20"/>
    </w:rPr>
  </w:style>
  <w:style w:type="character" w:customStyle="1" w:styleId="EndnoteTextChar">
    <w:name w:val="Endnote Text Char"/>
    <w:basedOn w:val="DefaultParagraphFont"/>
    <w:link w:val="EndnoteText"/>
    <w:uiPriority w:val="99"/>
    <w:semiHidden/>
    <w:rsid w:val="004D4A44"/>
    <w:rPr>
      <w:rFonts w:eastAsia="Times New Roman" w:cs="Times New Roman"/>
      <w:sz w:val="20"/>
      <w:szCs w:val="20"/>
    </w:rPr>
  </w:style>
  <w:style w:type="character" w:styleId="EndnoteReference">
    <w:name w:val="endnote reference"/>
    <w:basedOn w:val="DefaultParagraphFont"/>
    <w:uiPriority w:val="99"/>
    <w:unhideWhenUsed/>
    <w:rsid w:val="004D4A44"/>
    <w:rPr>
      <w:vertAlign w:val="superscript"/>
    </w:rPr>
  </w:style>
  <w:style w:type="paragraph" w:styleId="NoSpacing">
    <w:name w:val="No Spacing"/>
    <w:uiPriority w:val="1"/>
    <w:qFormat/>
    <w:rsid w:val="002C76D1"/>
    <w:pPr>
      <w:spacing w:after="0" w:line="240" w:lineRule="auto"/>
    </w:pPr>
    <w:rPr>
      <w:rFonts w:eastAsia="Times New Roman" w:cs="Times New Roman"/>
    </w:rPr>
  </w:style>
  <w:style w:type="paragraph" w:styleId="Revision">
    <w:name w:val="Revision"/>
    <w:hidden/>
    <w:uiPriority w:val="99"/>
    <w:semiHidden/>
    <w:rsid w:val="00D653C2"/>
    <w:pPr>
      <w:spacing w:after="0" w:line="240" w:lineRule="auto"/>
    </w:pPr>
    <w:rPr>
      <w:rFonts w:eastAsia="Times New Roman" w:cs="Times New Roman"/>
    </w:rPr>
  </w:style>
  <w:style w:type="table" w:styleId="TableGrid">
    <w:name w:val="Table Grid"/>
    <w:basedOn w:val="TableNormal"/>
    <w:rsid w:val="00F06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1">
    <w:name w:val="List Number_1"/>
    <w:uiPriority w:val="99"/>
    <w:rsid w:val="00C57469"/>
    <w:pPr>
      <w:numPr>
        <w:numId w:val="19"/>
      </w:numPr>
    </w:pPr>
  </w:style>
  <w:style w:type="paragraph" w:styleId="ListContinue">
    <w:name w:val="List Continue"/>
    <w:basedOn w:val="Normal"/>
    <w:uiPriority w:val="99"/>
    <w:unhideWhenUsed/>
    <w:rsid w:val="00FA0CF8"/>
    <w:pPr>
      <w:numPr>
        <w:numId w:val="20"/>
      </w:numPr>
      <w:spacing w:after="120"/>
    </w:pPr>
  </w:style>
  <w:style w:type="paragraph" w:styleId="ListContinue2">
    <w:name w:val="List Continue 2"/>
    <w:basedOn w:val="Normal"/>
    <w:uiPriority w:val="99"/>
    <w:unhideWhenUsed/>
    <w:rsid w:val="00FA0CF8"/>
    <w:pPr>
      <w:numPr>
        <w:numId w:val="21"/>
      </w:numPr>
      <w:spacing w:after="120"/>
    </w:pPr>
  </w:style>
  <w:style w:type="paragraph" w:customStyle="1" w:styleId="Heading3nonumber">
    <w:name w:val="Heading 3_no number"/>
    <w:qFormat/>
    <w:rsid w:val="00FA0CF8"/>
    <w:pPr>
      <w:keepNext/>
      <w:spacing w:before="240" w:after="120" w:line="240" w:lineRule="auto"/>
      <w:ind w:firstLine="720"/>
    </w:pPr>
    <w:rPr>
      <w:i/>
    </w:rPr>
  </w:style>
  <w:style w:type="paragraph" w:styleId="BodyTextFirstIndent">
    <w:name w:val="Body Text First Indent"/>
    <w:basedOn w:val="BodyText"/>
    <w:link w:val="BodyTextFirstIndentChar"/>
    <w:uiPriority w:val="99"/>
    <w:unhideWhenUsed/>
    <w:rsid w:val="00A16087"/>
    <w:pPr>
      <w:spacing w:before="240"/>
      <w:ind w:left="720" w:right="720" w:firstLine="0"/>
    </w:pPr>
    <w:rPr>
      <w:rFonts w:eastAsiaTheme="minorHAnsi" w:cstheme="minorBidi"/>
    </w:rPr>
  </w:style>
  <w:style w:type="character" w:customStyle="1" w:styleId="BodyTextFirstIndentChar">
    <w:name w:val="Body Text First Indent Char"/>
    <w:basedOn w:val="BodyTextChar"/>
    <w:link w:val="BodyTextFirstIndent"/>
    <w:uiPriority w:val="99"/>
    <w:rsid w:val="00A16087"/>
    <w:rPr>
      <w:rFonts w:eastAsia="Times New Roman" w:cs="Times New Roman"/>
      <w:szCs w:val="24"/>
      <w:shd w:val="clear" w:color="auto" w:fill="DBE5F1" w:themeFill="accent1" w:themeFillTint="33"/>
    </w:rPr>
  </w:style>
  <w:style w:type="paragraph" w:customStyle="1" w:styleId="Footnotetables">
    <w:name w:val="Footnote_tables"/>
    <w:qFormat/>
    <w:rsid w:val="00FA0CF8"/>
    <w:pPr>
      <w:spacing w:before="60" w:after="0" w:line="240" w:lineRule="auto"/>
      <w:ind w:left="360" w:hanging="360"/>
    </w:pPr>
    <w:rPr>
      <w:rFonts w:ascii="Arial Narrow" w:hAnsi="Arial Narrow"/>
      <w:sz w:val="18"/>
      <w:szCs w:val="20"/>
    </w:rPr>
  </w:style>
  <w:style w:type="table" w:customStyle="1" w:styleId="TableGrid1">
    <w:name w:val="Table Grid1"/>
    <w:basedOn w:val="TableNormal"/>
    <w:next w:val="TableGrid"/>
    <w:uiPriority w:val="39"/>
    <w:rsid w:val="00B934E7"/>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FC6321"/>
  </w:style>
  <w:style w:type="character" w:customStyle="1" w:styleId="UnresolvedMention2">
    <w:name w:val="Unresolved Mention2"/>
    <w:basedOn w:val="DefaultParagraphFont"/>
    <w:uiPriority w:val="99"/>
    <w:semiHidden/>
    <w:unhideWhenUsed/>
    <w:rsid w:val="00F55464"/>
    <w:rPr>
      <w:color w:val="808080"/>
      <w:shd w:val="clear" w:color="auto" w:fill="E6E6E6"/>
    </w:rPr>
  </w:style>
  <w:style w:type="numbering" w:customStyle="1" w:styleId="NoList1">
    <w:name w:val="No List1"/>
    <w:next w:val="NoList"/>
    <w:uiPriority w:val="99"/>
    <w:semiHidden/>
    <w:unhideWhenUsed/>
    <w:rsid w:val="009533EA"/>
  </w:style>
  <w:style w:type="paragraph" w:customStyle="1" w:styleId="Level1">
    <w:name w:val="Level 1"/>
    <w:basedOn w:val="Normal"/>
    <w:rsid w:val="009533EA"/>
    <w:pPr>
      <w:widowControl w:val="0"/>
    </w:pPr>
    <w:rPr>
      <w:rFonts w:eastAsia="Times New Roman" w:cs="Times New Roman"/>
      <w:szCs w:val="20"/>
    </w:rPr>
  </w:style>
  <w:style w:type="character" w:customStyle="1" w:styleId="CommentSubjectChar1">
    <w:name w:val="Comment Subject Char1"/>
    <w:basedOn w:val="CommentTextChar"/>
    <w:uiPriority w:val="99"/>
    <w:semiHidden/>
    <w:rsid w:val="009533EA"/>
    <w:rPr>
      <w:rFonts w:eastAsia="Times New Roman" w:cs="Times New Roman"/>
      <w:b/>
      <w:bCs/>
      <w:sz w:val="20"/>
      <w:szCs w:val="20"/>
    </w:rPr>
  </w:style>
  <w:style w:type="paragraph" w:customStyle="1" w:styleId="a">
    <w:name w:val="آ"/>
    <w:basedOn w:val="Normal"/>
    <w:rsid w:val="009533EA"/>
    <w:pPr>
      <w:widowControl w:val="0"/>
    </w:pPr>
    <w:rPr>
      <w:rFonts w:eastAsia="Times New Roman" w:cs="Times New Roman"/>
      <w:szCs w:val="20"/>
    </w:rPr>
  </w:style>
  <w:style w:type="paragraph" w:customStyle="1" w:styleId="Bullet">
    <w:name w:val="Bullet"/>
    <w:basedOn w:val="Normal"/>
    <w:link w:val="BulletChar"/>
    <w:rsid w:val="009533EA"/>
    <w:pPr>
      <w:tabs>
        <w:tab w:val="num" w:pos="360"/>
      </w:tabs>
      <w:ind w:left="360" w:hanging="360"/>
    </w:pPr>
    <w:rPr>
      <w:rFonts w:eastAsia="Times New Roman" w:cs="Times New Roman"/>
      <w:sz w:val="22"/>
    </w:rPr>
  </w:style>
  <w:style w:type="character" w:customStyle="1" w:styleId="BulletChar">
    <w:name w:val="Bullet Char"/>
    <w:link w:val="Bullet"/>
    <w:rsid w:val="009533EA"/>
    <w:rPr>
      <w:rFonts w:eastAsia="Times New Roman" w:cs="Times New Roman"/>
      <w:sz w:val="22"/>
    </w:rPr>
  </w:style>
  <w:style w:type="character" w:customStyle="1" w:styleId="enumbell">
    <w:name w:val="enumbell"/>
    <w:basedOn w:val="DefaultParagraphFont"/>
    <w:rsid w:val="009533EA"/>
  </w:style>
  <w:style w:type="character" w:customStyle="1" w:styleId="defaultlabelstyle6">
    <w:name w:val="defaultlabelstyle6"/>
    <w:rsid w:val="009533EA"/>
    <w:rPr>
      <w:rFonts w:ascii="Verdana" w:hAnsi="Verdana" w:hint="default"/>
      <w:color w:val="333333"/>
      <w:sz w:val="18"/>
      <w:szCs w:val="18"/>
    </w:rPr>
  </w:style>
  <w:style w:type="paragraph" w:customStyle="1" w:styleId="CM40">
    <w:name w:val="CM40"/>
    <w:basedOn w:val="Default"/>
    <w:next w:val="Default"/>
    <w:rsid w:val="009533EA"/>
    <w:pPr>
      <w:widowControl w:val="0"/>
    </w:pPr>
    <w:rPr>
      <w:color w:val="auto"/>
    </w:rPr>
  </w:style>
  <w:style w:type="character" w:customStyle="1" w:styleId="CharChar1">
    <w:name w:val="Char Char1"/>
    <w:rsid w:val="009533EA"/>
    <w:rPr>
      <w:sz w:val="22"/>
      <w:szCs w:val="24"/>
      <w:lang w:val="en-US" w:eastAsia="en-US" w:bidi="ar-SA"/>
    </w:rPr>
  </w:style>
  <w:style w:type="character" w:customStyle="1" w:styleId="DocumentMapChar1">
    <w:name w:val="Document Map Char1"/>
    <w:basedOn w:val="DefaultParagraphFont"/>
    <w:uiPriority w:val="99"/>
    <w:semiHidden/>
    <w:rsid w:val="009533EA"/>
    <w:rPr>
      <w:rFonts w:ascii="Segoe UI" w:eastAsia="Times New Roman" w:hAnsi="Segoe UI" w:cs="Segoe UI"/>
      <w:sz w:val="16"/>
      <w:szCs w:val="16"/>
    </w:rPr>
  </w:style>
  <w:style w:type="paragraph" w:customStyle="1" w:styleId="StyleHeading411pt">
    <w:name w:val="Style Heading 4 + 11 pt"/>
    <w:basedOn w:val="Heading4"/>
    <w:link w:val="StyleHeading411ptChar"/>
    <w:rsid w:val="009533EA"/>
    <w:pPr>
      <w:ind w:left="1440"/>
    </w:pPr>
    <w:rPr>
      <w:rFonts w:eastAsia="Times New Roman" w:cs="Times New Roman"/>
      <w:sz w:val="24"/>
    </w:rPr>
  </w:style>
  <w:style w:type="character" w:customStyle="1" w:styleId="StyleHeading411ptChar">
    <w:name w:val="Style Heading 4 + 11 pt Char"/>
    <w:link w:val="StyleHeading411pt"/>
    <w:rsid w:val="009533EA"/>
    <w:rPr>
      <w:rFonts w:eastAsia="Times New Roman" w:cs="Times New Roman"/>
      <w:b/>
      <w:bCs/>
      <w:szCs w:val="28"/>
    </w:rPr>
  </w:style>
  <w:style w:type="character" w:customStyle="1" w:styleId="highlight">
    <w:name w:val="highlight"/>
    <w:basedOn w:val="DefaultParagraphFont"/>
    <w:rsid w:val="009533EA"/>
  </w:style>
  <w:style w:type="character" w:customStyle="1" w:styleId="UnresolvedMention3">
    <w:name w:val="Unresolved Mention3"/>
    <w:basedOn w:val="DefaultParagraphFont"/>
    <w:uiPriority w:val="99"/>
    <w:semiHidden/>
    <w:unhideWhenUsed/>
    <w:rsid w:val="002F3D90"/>
    <w:rPr>
      <w:color w:val="808080"/>
      <w:shd w:val="clear" w:color="auto" w:fill="E6E6E6"/>
    </w:rPr>
  </w:style>
  <w:style w:type="table" w:customStyle="1" w:styleId="TableGrid2">
    <w:name w:val="Table Grid2"/>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ory-body-2em">
    <w:name w:val="statutory-body-2em"/>
    <w:basedOn w:val="Normal"/>
    <w:rsid w:val="00B277D3"/>
    <w:pPr>
      <w:ind w:left="480" w:firstLine="240"/>
    </w:pPr>
    <w:rPr>
      <w:rFonts w:eastAsia="Times New Roman" w:cs="Times New Roman"/>
    </w:rPr>
  </w:style>
  <w:style w:type="paragraph" w:customStyle="1" w:styleId="statutory-body-3em">
    <w:name w:val="statutory-body-3em"/>
    <w:basedOn w:val="Normal"/>
    <w:rsid w:val="00B277D3"/>
    <w:pPr>
      <w:ind w:left="720" w:firstLine="240"/>
    </w:pPr>
    <w:rPr>
      <w:rFonts w:eastAsia="Times New Roman" w:cs="Times New Roman"/>
    </w:rPr>
  </w:style>
  <w:style w:type="paragraph" w:customStyle="1" w:styleId="statutory-body-4em">
    <w:name w:val="statutory-body-4em"/>
    <w:basedOn w:val="Normal"/>
    <w:rsid w:val="00B277D3"/>
    <w:pPr>
      <w:ind w:left="960" w:firstLine="240"/>
    </w:pPr>
    <w:rPr>
      <w:rFonts w:eastAsia="Times New Roman" w:cs="Times New Roman"/>
    </w:rPr>
  </w:style>
  <w:style w:type="table" w:customStyle="1" w:styleId="TableGrid11">
    <w:name w:val="Table Grid11"/>
    <w:basedOn w:val="TableNormal"/>
    <w:next w:val="TableGrid"/>
    <w:uiPriority w:val="39"/>
    <w:rsid w:val="00B277D3"/>
    <w:pPr>
      <w:spacing w:after="0" w:line="240" w:lineRule="auto"/>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uiPriority w:val="39"/>
    <w:qFormat/>
    <w:rsid w:val="00261728"/>
    <w:pPr>
      <w:widowControl w:val="0"/>
      <w:autoSpaceDE w:val="0"/>
      <w:autoSpaceDN w:val="0"/>
      <w:adjustRightInd w:val="0"/>
      <w:spacing w:before="20" w:after="100"/>
      <w:contextualSpacing/>
    </w:pPr>
    <w:rPr>
      <w:rFonts w:eastAsia="Times New Roman" w:cs="Times New Roman"/>
      <w:i/>
      <w:sz w:val="22"/>
      <w:szCs w:val="23"/>
    </w:rPr>
  </w:style>
  <w:style w:type="character" w:customStyle="1" w:styleId="UnresolvedMention">
    <w:name w:val="Unresolved Mention"/>
    <w:basedOn w:val="DefaultParagraphFont"/>
    <w:uiPriority w:val="99"/>
    <w:semiHidden/>
    <w:unhideWhenUsed/>
    <w:rsid w:val="00224B48"/>
    <w:rPr>
      <w:color w:val="605E5C"/>
      <w:shd w:val="clear" w:color="auto" w:fill="E1DFDD"/>
    </w:rPr>
  </w:style>
  <w:style w:type="paragraph" w:customStyle="1" w:styleId="Sources">
    <w:name w:val="Sources"/>
    <w:rsid w:val="00224B48"/>
    <w:pPr>
      <w:spacing w:after="240" w:line="240" w:lineRule="auto"/>
      <w:ind w:left="720" w:hanging="720"/>
    </w:pPr>
    <w:rPr>
      <w:rFonts w:eastAsia="Times New Roman" w:cs="Times New Roman"/>
      <w:sz w:val="22"/>
      <w:szCs w:val="22"/>
    </w:rPr>
  </w:style>
  <w:style w:type="paragraph" w:customStyle="1" w:styleId="CoverText-Address">
    <w:name w:val="Cover Text - Address"/>
    <w:basedOn w:val="Normal"/>
    <w:rsid w:val="002D6C47"/>
    <w:pPr>
      <w:tabs>
        <w:tab w:val="left" w:pos="720"/>
        <w:tab w:val="left" w:pos="1080"/>
        <w:tab w:val="left" w:pos="1440"/>
        <w:tab w:val="left" w:pos="1800"/>
        <w:tab w:val="left" w:pos="6660"/>
      </w:tabs>
      <w:spacing w:before="20" w:line="264" w:lineRule="auto"/>
      <w:ind w:right="-540"/>
      <w:jc w:val="center"/>
    </w:pPr>
    <w:rPr>
      <w:rFonts w:eastAsia="Times New Roman" w:cs="Times New Roman"/>
      <w:szCs w:val="20"/>
    </w:rPr>
  </w:style>
  <w:style w:type="paragraph" w:styleId="Title">
    <w:name w:val="Title"/>
    <w:basedOn w:val="Normal"/>
    <w:next w:val="Normal"/>
    <w:link w:val="TitleChar"/>
    <w:uiPriority w:val="10"/>
    <w:qFormat/>
    <w:rsid w:val="0019169E"/>
    <w:pPr>
      <w:contextualSpacing/>
    </w:pPr>
    <w:rPr>
      <w:rFonts w:eastAsiaTheme="majorEastAsia" w:cs="Times New Roman"/>
      <w:b/>
      <w:spacing w:val="-10"/>
      <w:kern w:val="28"/>
      <w:sz w:val="32"/>
      <w:szCs w:val="32"/>
    </w:rPr>
  </w:style>
  <w:style w:type="character" w:customStyle="1" w:styleId="TitleChar">
    <w:name w:val="Title Char"/>
    <w:basedOn w:val="DefaultParagraphFont"/>
    <w:link w:val="Title"/>
    <w:uiPriority w:val="10"/>
    <w:rsid w:val="0019169E"/>
    <w:rPr>
      <w:rFonts w:eastAsiaTheme="majorEastAsia" w:cs="Times New Roman"/>
      <w:b/>
      <w:spacing w:val="-10"/>
      <w:kern w:val="28"/>
      <w:sz w:val="32"/>
      <w:szCs w:val="32"/>
    </w:rPr>
  </w:style>
  <w:style w:type="paragraph" w:customStyle="1" w:styleId="BodyTextNoIndent">
    <w:name w:val="Body Text No Indent"/>
    <w:qFormat/>
    <w:rsid w:val="000102B3"/>
    <w:pPr>
      <w:spacing w:after="220" w:line="240" w:lineRule="auto"/>
    </w:pPr>
    <w:rPr>
      <w:rFonts w:eastAsia="Times New Roman" w:cs="Times New Roman"/>
      <w:sz w:val="22"/>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766043">
      <w:bodyDiv w:val="1"/>
      <w:marLeft w:val="0"/>
      <w:marRight w:val="0"/>
      <w:marTop w:val="0"/>
      <w:marBottom w:val="0"/>
      <w:divBdr>
        <w:top w:val="none" w:sz="0" w:space="0" w:color="auto"/>
        <w:left w:val="none" w:sz="0" w:space="0" w:color="auto"/>
        <w:bottom w:val="none" w:sz="0" w:space="0" w:color="auto"/>
        <w:right w:val="none" w:sz="0" w:space="0" w:color="auto"/>
      </w:divBdr>
    </w:div>
    <w:div w:id="66854117">
      <w:bodyDiv w:val="1"/>
      <w:marLeft w:val="0"/>
      <w:marRight w:val="0"/>
      <w:marTop w:val="0"/>
      <w:marBottom w:val="0"/>
      <w:divBdr>
        <w:top w:val="none" w:sz="0" w:space="0" w:color="auto"/>
        <w:left w:val="none" w:sz="0" w:space="0" w:color="auto"/>
        <w:bottom w:val="none" w:sz="0" w:space="0" w:color="auto"/>
        <w:right w:val="none" w:sz="0" w:space="0" w:color="auto"/>
      </w:divBdr>
    </w:div>
    <w:div w:id="119420945">
      <w:bodyDiv w:val="1"/>
      <w:marLeft w:val="0"/>
      <w:marRight w:val="0"/>
      <w:marTop w:val="0"/>
      <w:marBottom w:val="0"/>
      <w:divBdr>
        <w:top w:val="none" w:sz="0" w:space="0" w:color="auto"/>
        <w:left w:val="none" w:sz="0" w:space="0" w:color="auto"/>
        <w:bottom w:val="none" w:sz="0" w:space="0" w:color="auto"/>
        <w:right w:val="none" w:sz="0" w:space="0" w:color="auto"/>
      </w:divBdr>
    </w:div>
    <w:div w:id="143544959">
      <w:bodyDiv w:val="1"/>
      <w:marLeft w:val="0"/>
      <w:marRight w:val="0"/>
      <w:marTop w:val="0"/>
      <w:marBottom w:val="0"/>
      <w:divBdr>
        <w:top w:val="none" w:sz="0" w:space="0" w:color="auto"/>
        <w:left w:val="none" w:sz="0" w:space="0" w:color="auto"/>
        <w:bottom w:val="none" w:sz="0" w:space="0" w:color="auto"/>
        <w:right w:val="none" w:sz="0" w:space="0" w:color="auto"/>
      </w:divBdr>
    </w:div>
    <w:div w:id="174922776">
      <w:bodyDiv w:val="1"/>
      <w:marLeft w:val="0"/>
      <w:marRight w:val="0"/>
      <w:marTop w:val="0"/>
      <w:marBottom w:val="0"/>
      <w:divBdr>
        <w:top w:val="none" w:sz="0" w:space="0" w:color="auto"/>
        <w:left w:val="none" w:sz="0" w:space="0" w:color="auto"/>
        <w:bottom w:val="none" w:sz="0" w:space="0" w:color="auto"/>
        <w:right w:val="none" w:sz="0" w:space="0" w:color="auto"/>
      </w:divBdr>
    </w:div>
    <w:div w:id="194316644">
      <w:bodyDiv w:val="1"/>
      <w:marLeft w:val="0"/>
      <w:marRight w:val="0"/>
      <w:marTop w:val="0"/>
      <w:marBottom w:val="0"/>
      <w:divBdr>
        <w:top w:val="none" w:sz="0" w:space="0" w:color="auto"/>
        <w:left w:val="none" w:sz="0" w:space="0" w:color="auto"/>
        <w:bottom w:val="none" w:sz="0" w:space="0" w:color="auto"/>
        <w:right w:val="none" w:sz="0" w:space="0" w:color="auto"/>
      </w:divBdr>
    </w:div>
    <w:div w:id="209079652">
      <w:bodyDiv w:val="1"/>
      <w:marLeft w:val="0"/>
      <w:marRight w:val="0"/>
      <w:marTop w:val="0"/>
      <w:marBottom w:val="0"/>
      <w:divBdr>
        <w:top w:val="none" w:sz="0" w:space="0" w:color="auto"/>
        <w:left w:val="none" w:sz="0" w:space="0" w:color="auto"/>
        <w:bottom w:val="none" w:sz="0" w:space="0" w:color="auto"/>
        <w:right w:val="none" w:sz="0" w:space="0" w:color="auto"/>
      </w:divBdr>
    </w:div>
    <w:div w:id="216015954">
      <w:bodyDiv w:val="1"/>
      <w:marLeft w:val="0"/>
      <w:marRight w:val="0"/>
      <w:marTop w:val="0"/>
      <w:marBottom w:val="0"/>
      <w:divBdr>
        <w:top w:val="none" w:sz="0" w:space="0" w:color="auto"/>
        <w:left w:val="none" w:sz="0" w:space="0" w:color="auto"/>
        <w:bottom w:val="none" w:sz="0" w:space="0" w:color="auto"/>
        <w:right w:val="none" w:sz="0" w:space="0" w:color="auto"/>
      </w:divBdr>
    </w:div>
    <w:div w:id="228810372">
      <w:bodyDiv w:val="1"/>
      <w:marLeft w:val="0"/>
      <w:marRight w:val="0"/>
      <w:marTop w:val="0"/>
      <w:marBottom w:val="0"/>
      <w:divBdr>
        <w:top w:val="none" w:sz="0" w:space="0" w:color="auto"/>
        <w:left w:val="none" w:sz="0" w:space="0" w:color="auto"/>
        <w:bottom w:val="none" w:sz="0" w:space="0" w:color="auto"/>
        <w:right w:val="none" w:sz="0" w:space="0" w:color="auto"/>
      </w:divBdr>
    </w:div>
    <w:div w:id="249193719">
      <w:bodyDiv w:val="1"/>
      <w:marLeft w:val="0"/>
      <w:marRight w:val="0"/>
      <w:marTop w:val="0"/>
      <w:marBottom w:val="0"/>
      <w:divBdr>
        <w:top w:val="none" w:sz="0" w:space="0" w:color="auto"/>
        <w:left w:val="none" w:sz="0" w:space="0" w:color="auto"/>
        <w:bottom w:val="none" w:sz="0" w:space="0" w:color="auto"/>
        <w:right w:val="none" w:sz="0" w:space="0" w:color="auto"/>
      </w:divBdr>
    </w:div>
    <w:div w:id="274410059">
      <w:bodyDiv w:val="1"/>
      <w:marLeft w:val="0"/>
      <w:marRight w:val="0"/>
      <w:marTop w:val="0"/>
      <w:marBottom w:val="0"/>
      <w:divBdr>
        <w:top w:val="none" w:sz="0" w:space="0" w:color="auto"/>
        <w:left w:val="none" w:sz="0" w:space="0" w:color="auto"/>
        <w:bottom w:val="none" w:sz="0" w:space="0" w:color="auto"/>
        <w:right w:val="none" w:sz="0" w:space="0" w:color="auto"/>
      </w:divBdr>
    </w:div>
    <w:div w:id="301614572">
      <w:bodyDiv w:val="1"/>
      <w:marLeft w:val="0"/>
      <w:marRight w:val="0"/>
      <w:marTop w:val="0"/>
      <w:marBottom w:val="0"/>
      <w:divBdr>
        <w:top w:val="none" w:sz="0" w:space="0" w:color="auto"/>
        <w:left w:val="none" w:sz="0" w:space="0" w:color="auto"/>
        <w:bottom w:val="none" w:sz="0" w:space="0" w:color="auto"/>
        <w:right w:val="none" w:sz="0" w:space="0" w:color="auto"/>
      </w:divBdr>
    </w:div>
    <w:div w:id="319165282">
      <w:bodyDiv w:val="1"/>
      <w:marLeft w:val="0"/>
      <w:marRight w:val="0"/>
      <w:marTop w:val="0"/>
      <w:marBottom w:val="0"/>
      <w:divBdr>
        <w:top w:val="none" w:sz="0" w:space="0" w:color="auto"/>
        <w:left w:val="none" w:sz="0" w:space="0" w:color="auto"/>
        <w:bottom w:val="none" w:sz="0" w:space="0" w:color="auto"/>
        <w:right w:val="none" w:sz="0" w:space="0" w:color="auto"/>
      </w:divBdr>
    </w:div>
    <w:div w:id="336007768">
      <w:bodyDiv w:val="1"/>
      <w:marLeft w:val="0"/>
      <w:marRight w:val="0"/>
      <w:marTop w:val="0"/>
      <w:marBottom w:val="0"/>
      <w:divBdr>
        <w:top w:val="none" w:sz="0" w:space="0" w:color="auto"/>
        <w:left w:val="none" w:sz="0" w:space="0" w:color="auto"/>
        <w:bottom w:val="none" w:sz="0" w:space="0" w:color="auto"/>
        <w:right w:val="none" w:sz="0" w:space="0" w:color="auto"/>
      </w:divBdr>
    </w:div>
    <w:div w:id="350960196">
      <w:bodyDiv w:val="1"/>
      <w:marLeft w:val="0"/>
      <w:marRight w:val="0"/>
      <w:marTop w:val="0"/>
      <w:marBottom w:val="0"/>
      <w:divBdr>
        <w:top w:val="none" w:sz="0" w:space="0" w:color="auto"/>
        <w:left w:val="none" w:sz="0" w:space="0" w:color="auto"/>
        <w:bottom w:val="none" w:sz="0" w:space="0" w:color="auto"/>
        <w:right w:val="none" w:sz="0" w:space="0" w:color="auto"/>
      </w:divBdr>
    </w:div>
    <w:div w:id="355037395">
      <w:bodyDiv w:val="1"/>
      <w:marLeft w:val="0"/>
      <w:marRight w:val="0"/>
      <w:marTop w:val="0"/>
      <w:marBottom w:val="0"/>
      <w:divBdr>
        <w:top w:val="none" w:sz="0" w:space="0" w:color="auto"/>
        <w:left w:val="none" w:sz="0" w:space="0" w:color="auto"/>
        <w:bottom w:val="none" w:sz="0" w:space="0" w:color="auto"/>
        <w:right w:val="none" w:sz="0" w:space="0" w:color="auto"/>
      </w:divBdr>
    </w:div>
    <w:div w:id="399795735">
      <w:bodyDiv w:val="1"/>
      <w:marLeft w:val="0"/>
      <w:marRight w:val="0"/>
      <w:marTop w:val="0"/>
      <w:marBottom w:val="0"/>
      <w:divBdr>
        <w:top w:val="none" w:sz="0" w:space="0" w:color="auto"/>
        <w:left w:val="none" w:sz="0" w:space="0" w:color="auto"/>
        <w:bottom w:val="none" w:sz="0" w:space="0" w:color="auto"/>
        <w:right w:val="none" w:sz="0" w:space="0" w:color="auto"/>
      </w:divBdr>
    </w:div>
    <w:div w:id="407383655">
      <w:bodyDiv w:val="1"/>
      <w:marLeft w:val="0"/>
      <w:marRight w:val="0"/>
      <w:marTop w:val="0"/>
      <w:marBottom w:val="0"/>
      <w:divBdr>
        <w:top w:val="none" w:sz="0" w:space="0" w:color="auto"/>
        <w:left w:val="none" w:sz="0" w:space="0" w:color="auto"/>
        <w:bottom w:val="none" w:sz="0" w:space="0" w:color="auto"/>
        <w:right w:val="none" w:sz="0" w:space="0" w:color="auto"/>
      </w:divBdr>
    </w:div>
    <w:div w:id="439227962">
      <w:bodyDiv w:val="1"/>
      <w:marLeft w:val="0"/>
      <w:marRight w:val="0"/>
      <w:marTop w:val="0"/>
      <w:marBottom w:val="0"/>
      <w:divBdr>
        <w:top w:val="none" w:sz="0" w:space="0" w:color="auto"/>
        <w:left w:val="none" w:sz="0" w:space="0" w:color="auto"/>
        <w:bottom w:val="none" w:sz="0" w:space="0" w:color="auto"/>
        <w:right w:val="none" w:sz="0" w:space="0" w:color="auto"/>
      </w:divBdr>
    </w:div>
    <w:div w:id="440106092">
      <w:bodyDiv w:val="1"/>
      <w:marLeft w:val="0"/>
      <w:marRight w:val="0"/>
      <w:marTop w:val="0"/>
      <w:marBottom w:val="0"/>
      <w:divBdr>
        <w:top w:val="none" w:sz="0" w:space="0" w:color="auto"/>
        <w:left w:val="none" w:sz="0" w:space="0" w:color="auto"/>
        <w:bottom w:val="none" w:sz="0" w:space="0" w:color="auto"/>
        <w:right w:val="none" w:sz="0" w:space="0" w:color="auto"/>
      </w:divBdr>
    </w:div>
    <w:div w:id="450317826">
      <w:bodyDiv w:val="1"/>
      <w:marLeft w:val="0"/>
      <w:marRight w:val="0"/>
      <w:marTop w:val="0"/>
      <w:marBottom w:val="0"/>
      <w:divBdr>
        <w:top w:val="none" w:sz="0" w:space="0" w:color="auto"/>
        <w:left w:val="none" w:sz="0" w:space="0" w:color="auto"/>
        <w:bottom w:val="none" w:sz="0" w:space="0" w:color="auto"/>
        <w:right w:val="none" w:sz="0" w:space="0" w:color="auto"/>
      </w:divBdr>
    </w:div>
    <w:div w:id="453985042">
      <w:bodyDiv w:val="1"/>
      <w:marLeft w:val="0"/>
      <w:marRight w:val="0"/>
      <w:marTop w:val="0"/>
      <w:marBottom w:val="0"/>
      <w:divBdr>
        <w:top w:val="none" w:sz="0" w:space="0" w:color="auto"/>
        <w:left w:val="none" w:sz="0" w:space="0" w:color="auto"/>
        <w:bottom w:val="none" w:sz="0" w:space="0" w:color="auto"/>
        <w:right w:val="none" w:sz="0" w:space="0" w:color="auto"/>
      </w:divBdr>
    </w:div>
    <w:div w:id="495609520">
      <w:bodyDiv w:val="1"/>
      <w:marLeft w:val="0"/>
      <w:marRight w:val="0"/>
      <w:marTop w:val="0"/>
      <w:marBottom w:val="0"/>
      <w:divBdr>
        <w:top w:val="none" w:sz="0" w:space="0" w:color="auto"/>
        <w:left w:val="none" w:sz="0" w:space="0" w:color="auto"/>
        <w:bottom w:val="none" w:sz="0" w:space="0" w:color="auto"/>
        <w:right w:val="none" w:sz="0" w:space="0" w:color="auto"/>
      </w:divBdr>
    </w:div>
    <w:div w:id="501434188">
      <w:bodyDiv w:val="1"/>
      <w:marLeft w:val="0"/>
      <w:marRight w:val="0"/>
      <w:marTop w:val="0"/>
      <w:marBottom w:val="0"/>
      <w:divBdr>
        <w:top w:val="none" w:sz="0" w:space="0" w:color="auto"/>
        <w:left w:val="none" w:sz="0" w:space="0" w:color="auto"/>
        <w:bottom w:val="none" w:sz="0" w:space="0" w:color="auto"/>
        <w:right w:val="none" w:sz="0" w:space="0" w:color="auto"/>
      </w:divBdr>
    </w:div>
    <w:div w:id="508953960">
      <w:bodyDiv w:val="1"/>
      <w:marLeft w:val="0"/>
      <w:marRight w:val="0"/>
      <w:marTop w:val="0"/>
      <w:marBottom w:val="0"/>
      <w:divBdr>
        <w:top w:val="none" w:sz="0" w:space="0" w:color="auto"/>
        <w:left w:val="none" w:sz="0" w:space="0" w:color="auto"/>
        <w:bottom w:val="none" w:sz="0" w:space="0" w:color="auto"/>
        <w:right w:val="none" w:sz="0" w:space="0" w:color="auto"/>
      </w:divBdr>
    </w:div>
    <w:div w:id="516039308">
      <w:bodyDiv w:val="1"/>
      <w:marLeft w:val="0"/>
      <w:marRight w:val="0"/>
      <w:marTop w:val="0"/>
      <w:marBottom w:val="0"/>
      <w:divBdr>
        <w:top w:val="none" w:sz="0" w:space="0" w:color="auto"/>
        <w:left w:val="none" w:sz="0" w:space="0" w:color="auto"/>
        <w:bottom w:val="none" w:sz="0" w:space="0" w:color="auto"/>
        <w:right w:val="none" w:sz="0" w:space="0" w:color="auto"/>
      </w:divBdr>
    </w:div>
    <w:div w:id="516580090">
      <w:bodyDiv w:val="1"/>
      <w:marLeft w:val="0"/>
      <w:marRight w:val="0"/>
      <w:marTop w:val="0"/>
      <w:marBottom w:val="0"/>
      <w:divBdr>
        <w:top w:val="none" w:sz="0" w:space="0" w:color="auto"/>
        <w:left w:val="none" w:sz="0" w:space="0" w:color="auto"/>
        <w:bottom w:val="none" w:sz="0" w:space="0" w:color="auto"/>
        <w:right w:val="none" w:sz="0" w:space="0" w:color="auto"/>
      </w:divBdr>
    </w:div>
    <w:div w:id="517235754">
      <w:bodyDiv w:val="1"/>
      <w:marLeft w:val="0"/>
      <w:marRight w:val="0"/>
      <w:marTop w:val="0"/>
      <w:marBottom w:val="0"/>
      <w:divBdr>
        <w:top w:val="none" w:sz="0" w:space="0" w:color="auto"/>
        <w:left w:val="none" w:sz="0" w:space="0" w:color="auto"/>
        <w:bottom w:val="none" w:sz="0" w:space="0" w:color="auto"/>
        <w:right w:val="none" w:sz="0" w:space="0" w:color="auto"/>
      </w:divBdr>
    </w:div>
    <w:div w:id="543566567">
      <w:bodyDiv w:val="1"/>
      <w:marLeft w:val="0"/>
      <w:marRight w:val="0"/>
      <w:marTop w:val="0"/>
      <w:marBottom w:val="0"/>
      <w:divBdr>
        <w:top w:val="none" w:sz="0" w:space="0" w:color="auto"/>
        <w:left w:val="none" w:sz="0" w:space="0" w:color="auto"/>
        <w:bottom w:val="none" w:sz="0" w:space="0" w:color="auto"/>
        <w:right w:val="none" w:sz="0" w:space="0" w:color="auto"/>
      </w:divBdr>
    </w:div>
    <w:div w:id="562175409">
      <w:bodyDiv w:val="1"/>
      <w:marLeft w:val="0"/>
      <w:marRight w:val="0"/>
      <w:marTop w:val="0"/>
      <w:marBottom w:val="0"/>
      <w:divBdr>
        <w:top w:val="none" w:sz="0" w:space="0" w:color="auto"/>
        <w:left w:val="none" w:sz="0" w:space="0" w:color="auto"/>
        <w:bottom w:val="none" w:sz="0" w:space="0" w:color="auto"/>
        <w:right w:val="none" w:sz="0" w:space="0" w:color="auto"/>
      </w:divBdr>
    </w:div>
    <w:div w:id="584650634">
      <w:bodyDiv w:val="1"/>
      <w:marLeft w:val="0"/>
      <w:marRight w:val="0"/>
      <w:marTop w:val="0"/>
      <w:marBottom w:val="0"/>
      <w:divBdr>
        <w:top w:val="none" w:sz="0" w:space="0" w:color="auto"/>
        <w:left w:val="none" w:sz="0" w:space="0" w:color="auto"/>
        <w:bottom w:val="none" w:sz="0" w:space="0" w:color="auto"/>
        <w:right w:val="none" w:sz="0" w:space="0" w:color="auto"/>
      </w:divBdr>
    </w:div>
    <w:div w:id="614824611">
      <w:bodyDiv w:val="1"/>
      <w:marLeft w:val="0"/>
      <w:marRight w:val="0"/>
      <w:marTop w:val="0"/>
      <w:marBottom w:val="0"/>
      <w:divBdr>
        <w:top w:val="none" w:sz="0" w:space="0" w:color="auto"/>
        <w:left w:val="none" w:sz="0" w:space="0" w:color="auto"/>
        <w:bottom w:val="none" w:sz="0" w:space="0" w:color="auto"/>
        <w:right w:val="none" w:sz="0" w:space="0" w:color="auto"/>
      </w:divBdr>
    </w:div>
    <w:div w:id="658921574">
      <w:bodyDiv w:val="1"/>
      <w:marLeft w:val="0"/>
      <w:marRight w:val="0"/>
      <w:marTop w:val="0"/>
      <w:marBottom w:val="0"/>
      <w:divBdr>
        <w:top w:val="none" w:sz="0" w:space="0" w:color="auto"/>
        <w:left w:val="none" w:sz="0" w:space="0" w:color="auto"/>
        <w:bottom w:val="none" w:sz="0" w:space="0" w:color="auto"/>
        <w:right w:val="none" w:sz="0" w:space="0" w:color="auto"/>
      </w:divBdr>
    </w:div>
    <w:div w:id="676225618">
      <w:bodyDiv w:val="1"/>
      <w:marLeft w:val="0"/>
      <w:marRight w:val="0"/>
      <w:marTop w:val="0"/>
      <w:marBottom w:val="0"/>
      <w:divBdr>
        <w:top w:val="none" w:sz="0" w:space="0" w:color="auto"/>
        <w:left w:val="none" w:sz="0" w:space="0" w:color="auto"/>
        <w:bottom w:val="none" w:sz="0" w:space="0" w:color="auto"/>
        <w:right w:val="none" w:sz="0" w:space="0" w:color="auto"/>
      </w:divBdr>
    </w:div>
    <w:div w:id="693728909">
      <w:bodyDiv w:val="1"/>
      <w:marLeft w:val="0"/>
      <w:marRight w:val="0"/>
      <w:marTop w:val="0"/>
      <w:marBottom w:val="0"/>
      <w:divBdr>
        <w:top w:val="none" w:sz="0" w:space="0" w:color="auto"/>
        <w:left w:val="none" w:sz="0" w:space="0" w:color="auto"/>
        <w:bottom w:val="none" w:sz="0" w:space="0" w:color="auto"/>
        <w:right w:val="none" w:sz="0" w:space="0" w:color="auto"/>
      </w:divBdr>
    </w:div>
    <w:div w:id="695933276">
      <w:bodyDiv w:val="1"/>
      <w:marLeft w:val="0"/>
      <w:marRight w:val="0"/>
      <w:marTop w:val="0"/>
      <w:marBottom w:val="0"/>
      <w:divBdr>
        <w:top w:val="none" w:sz="0" w:space="0" w:color="auto"/>
        <w:left w:val="none" w:sz="0" w:space="0" w:color="auto"/>
        <w:bottom w:val="none" w:sz="0" w:space="0" w:color="auto"/>
        <w:right w:val="none" w:sz="0" w:space="0" w:color="auto"/>
      </w:divBdr>
    </w:div>
    <w:div w:id="725105302">
      <w:bodyDiv w:val="1"/>
      <w:marLeft w:val="0"/>
      <w:marRight w:val="0"/>
      <w:marTop w:val="0"/>
      <w:marBottom w:val="0"/>
      <w:divBdr>
        <w:top w:val="none" w:sz="0" w:space="0" w:color="auto"/>
        <w:left w:val="none" w:sz="0" w:space="0" w:color="auto"/>
        <w:bottom w:val="none" w:sz="0" w:space="0" w:color="auto"/>
        <w:right w:val="none" w:sz="0" w:space="0" w:color="auto"/>
      </w:divBdr>
    </w:div>
    <w:div w:id="726689680">
      <w:bodyDiv w:val="1"/>
      <w:marLeft w:val="0"/>
      <w:marRight w:val="0"/>
      <w:marTop w:val="0"/>
      <w:marBottom w:val="0"/>
      <w:divBdr>
        <w:top w:val="none" w:sz="0" w:space="0" w:color="auto"/>
        <w:left w:val="none" w:sz="0" w:space="0" w:color="auto"/>
        <w:bottom w:val="none" w:sz="0" w:space="0" w:color="auto"/>
        <w:right w:val="none" w:sz="0" w:space="0" w:color="auto"/>
      </w:divBdr>
    </w:div>
    <w:div w:id="734815421">
      <w:bodyDiv w:val="1"/>
      <w:marLeft w:val="0"/>
      <w:marRight w:val="0"/>
      <w:marTop w:val="0"/>
      <w:marBottom w:val="0"/>
      <w:divBdr>
        <w:top w:val="none" w:sz="0" w:space="0" w:color="auto"/>
        <w:left w:val="none" w:sz="0" w:space="0" w:color="auto"/>
        <w:bottom w:val="none" w:sz="0" w:space="0" w:color="auto"/>
        <w:right w:val="none" w:sz="0" w:space="0" w:color="auto"/>
      </w:divBdr>
    </w:div>
    <w:div w:id="741754957">
      <w:bodyDiv w:val="1"/>
      <w:marLeft w:val="0"/>
      <w:marRight w:val="0"/>
      <w:marTop w:val="0"/>
      <w:marBottom w:val="0"/>
      <w:divBdr>
        <w:top w:val="none" w:sz="0" w:space="0" w:color="auto"/>
        <w:left w:val="none" w:sz="0" w:space="0" w:color="auto"/>
        <w:bottom w:val="none" w:sz="0" w:space="0" w:color="auto"/>
        <w:right w:val="none" w:sz="0" w:space="0" w:color="auto"/>
      </w:divBdr>
    </w:div>
    <w:div w:id="760302076">
      <w:bodyDiv w:val="1"/>
      <w:marLeft w:val="0"/>
      <w:marRight w:val="0"/>
      <w:marTop w:val="0"/>
      <w:marBottom w:val="0"/>
      <w:divBdr>
        <w:top w:val="none" w:sz="0" w:space="0" w:color="auto"/>
        <w:left w:val="none" w:sz="0" w:space="0" w:color="auto"/>
        <w:bottom w:val="none" w:sz="0" w:space="0" w:color="auto"/>
        <w:right w:val="none" w:sz="0" w:space="0" w:color="auto"/>
      </w:divBdr>
    </w:div>
    <w:div w:id="837425763">
      <w:bodyDiv w:val="1"/>
      <w:marLeft w:val="0"/>
      <w:marRight w:val="0"/>
      <w:marTop w:val="0"/>
      <w:marBottom w:val="0"/>
      <w:divBdr>
        <w:top w:val="none" w:sz="0" w:space="0" w:color="auto"/>
        <w:left w:val="none" w:sz="0" w:space="0" w:color="auto"/>
        <w:bottom w:val="none" w:sz="0" w:space="0" w:color="auto"/>
        <w:right w:val="none" w:sz="0" w:space="0" w:color="auto"/>
      </w:divBdr>
    </w:div>
    <w:div w:id="853956917">
      <w:bodyDiv w:val="1"/>
      <w:marLeft w:val="0"/>
      <w:marRight w:val="0"/>
      <w:marTop w:val="0"/>
      <w:marBottom w:val="0"/>
      <w:divBdr>
        <w:top w:val="none" w:sz="0" w:space="0" w:color="auto"/>
        <w:left w:val="none" w:sz="0" w:space="0" w:color="auto"/>
        <w:bottom w:val="none" w:sz="0" w:space="0" w:color="auto"/>
        <w:right w:val="none" w:sz="0" w:space="0" w:color="auto"/>
      </w:divBdr>
    </w:div>
    <w:div w:id="854347195">
      <w:bodyDiv w:val="1"/>
      <w:marLeft w:val="0"/>
      <w:marRight w:val="0"/>
      <w:marTop w:val="0"/>
      <w:marBottom w:val="0"/>
      <w:divBdr>
        <w:top w:val="none" w:sz="0" w:space="0" w:color="auto"/>
        <w:left w:val="none" w:sz="0" w:space="0" w:color="auto"/>
        <w:bottom w:val="none" w:sz="0" w:space="0" w:color="auto"/>
        <w:right w:val="none" w:sz="0" w:space="0" w:color="auto"/>
      </w:divBdr>
    </w:div>
    <w:div w:id="880871625">
      <w:bodyDiv w:val="1"/>
      <w:marLeft w:val="0"/>
      <w:marRight w:val="0"/>
      <w:marTop w:val="0"/>
      <w:marBottom w:val="0"/>
      <w:divBdr>
        <w:top w:val="none" w:sz="0" w:space="0" w:color="auto"/>
        <w:left w:val="none" w:sz="0" w:space="0" w:color="auto"/>
        <w:bottom w:val="none" w:sz="0" w:space="0" w:color="auto"/>
        <w:right w:val="none" w:sz="0" w:space="0" w:color="auto"/>
      </w:divBdr>
    </w:div>
    <w:div w:id="911692897">
      <w:bodyDiv w:val="1"/>
      <w:marLeft w:val="0"/>
      <w:marRight w:val="0"/>
      <w:marTop w:val="0"/>
      <w:marBottom w:val="0"/>
      <w:divBdr>
        <w:top w:val="none" w:sz="0" w:space="0" w:color="auto"/>
        <w:left w:val="none" w:sz="0" w:space="0" w:color="auto"/>
        <w:bottom w:val="none" w:sz="0" w:space="0" w:color="auto"/>
        <w:right w:val="none" w:sz="0" w:space="0" w:color="auto"/>
      </w:divBdr>
    </w:div>
    <w:div w:id="925381215">
      <w:bodyDiv w:val="1"/>
      <w:marLeft w:val="0"/>
      <w:marRight w:val="0"/>
      <w:marTop w:val="0"/>
      <w:marBottom w:val="0"/>
      <w:divBdr>
        <w:top w:val="none" w:sz="0" w:space="0" w:color="auto"/>
        <w:left w:val="none" w:sz="0" w:space="0" w:color="auto"/>
        <w:bottom w:val="none" w:sz="0" w:space="0" w:color="auto"/>
        <w:right w:val="none" w:sz="0" w:space="0" w:color="auto"/>
      </w:divBdr>
    </w:div>
    <w:div w:id="942346730">
      <w:bodyDiv w:val="1"/>
      <w:marLeft w:val="0"/>
      <w:marRight w:val="0"/>
      <w:marTop w:val="0"/>
      <w:marBottom w:val="0"/>
      <w:divBdr>
        <w:top w:val="none" w:sz="0" w:space="0" w:color="auto"/>
        <w:left w:val="none" w:sz="0" w:space="0" w:color="auto"/>
        <w:bottom w:val="none" w:sz="0" w:space="0" w:color="auto"/>
        <w:right w:val="none" w:sz="0" w:space="0" w:color="auto"/>
      </w:divBdr>
    </w:div>
    <w:div w:id="956452176">
      <w:bodyDiv w:val="1"/>
      <w:marLeft w:val="0"/>
      <w:marRight w:val="0"/>
      <w:marTop w:val="0"/>
      <w:marBottom w:val="0"/>
      <w:divBdr>
        <w:top w:val="none" w:sz="0" w:space="0" w:color="auto"/>
        <w:left w:val="none" w:sz="0" w:space="0" w:color="auto"/>
        <w:bottom w:val="none" w:sz="0" w:space="0" w:color="auto"/>
        <w:right w:val="none" w:sz="0" w:space="0" w:color="auto"/>
      </w:divBdr>
    </w:div>
    <w:div w:id="957835102">
      <w:bodyDiv w:val="1"/>
      <w:marLeft w:val="0"/>
      <w:marRight w:val="0"/>
      <w:marTop w:val="0"/>
      <w:marBottom w:val="0"/>
      <w:divBdr>
        <w:top w:val="none" w:sz="0" w:space="0" w:color="auto"/>
        <w:left w:val="none" w:sz="0" w:space="0" w:color="auto"/>
        <w:bottom w:val="none" w:sz="0" w:space="0" w:color="auto"/>
        <w:right w:val="none" w:sz="0" w:space="0" w:color="auto"/>
      </w:divBdr>
    </w:div>
    <w:div w:id="989478244">
      <w:bodyDiv w:val="1"/>
      <w:marLeft w:val="0"/>
      <w:marRight w:val="0"/>
      <w:marTop w:val="0"/>
      <w:marBottom w:val="0"/>
      <w:divBdr>
        <w:top w:val="none" w:sz="0" w:space="0" w:color="auto"/>
        <w:left w:val="none" w:sz="0" w:space="0" w:color="auto"/>
        <w:bottom w:val="none" w:sz="0" w:space="0" w:color="auto"/>
        <w:right w:val="none" w:sz="0" w:space="0" w:color="auto"/>
      </w:divBdr>
    </w:div>
    <w:div w:id="997809711">
      <w:bodyDiv w:val="1"/>
      <w:marLeft w:val="0"/>
      <w:marRight w:val="0"/>
      <w:marTop w:val="0"/>
      <w:marBottom w:val="0"/>
      <w:divBdr>
        <w:top w:val="none" w:sz="0" w:space="0" w:color="auto"/>
        <w:left w:val="none" w:sz="0" w:space="0" w:color="auto"/>
        <w:bottom w:val="none" w:sz="0" w:space="0" w:color="auto"/>
        <w:right w:val="none" w:sz="0" w:space="0" w:color="auto"/>
      </w:divBdr>
    </w:div>
    <w:div w:id="1020207814">
      <w:bodyDiv w:val="1"/>
      <w:marLeft w:val="0"/>
      <w:marRight w:val="0"/>
      <w:marTop w:val="0"/>
      <w:marBottom w:val="0"/>
      <w:divBdr>
        <w:top w:val="none" w:sz="0" w:space="0" w:color="auto"/>
        <w:left w:val="none" w:sz="0" w:space="0" w:color="auto"/>
        <w:bottom w:val="none" w:sz="0" w:space="0" w:color="auto"/>
        <w:right w:val="none" w:sz="0" w:space="0" w:color="auto"/>
      </w:divBdr>
    </w:div>
    <w:div w:id="1135416815">
      <w:bodyDiv w:val="1"/>
      <w:marLeft w:val="0"/>
      <w:marRight w:val="0"/>
      <w:marTop w:val="0"/>
      <w:marBottom w:val="0"/>
      <w:divBdr>
        <w:top w:val="none" w:sz="0" w:space="0" w:color="auto"/>
        <w:left w:val="none" w:sz="0" w:space="0" w:color="auto"/>
        <w:bottom w:val="none" w:sz="0" w:space="0" w:color="auto"/>
        <w:right w:val="none" w:sz="0" w:space="0" w:color="auto"/>
      </w:divBdr>
    </w:div>
    <w:div w:id="1142967304">
      <w:bodyDiv w:val="1"/>
      <w:marLeft w:val="0"/>
      <w:marRight w:val="0"/>
      <w:marTop w:val="0"/>
      <w:marBottom w:val="0"/>
      <w:divBdr>
        <w:top w:val="none" w:sz="0" w:space="0" w:color="auto"/>
        <w:left w:val="none" w:sz="0" w:space="0" w:color="auto"/>
        <w:bottom w:val="none" w:sz="0" w:space="0" w:color="auto"/>
        <w:right w:val="none" w:sz="0" w:space="0" w:color="auto"/>
      </w:divBdr>
    </w:div>
    <w:div w:id="1149640319">
      <w:bodyDiv w:val="1"/>
      <w:marLeft w:val="0"/>
      <w:marRight w:val="0"/>
      <w:marTop w:val="0"/>
      <w:marBottom w:val="0"/>
      <w:divBdr>
        <w:top w:val="none" w:sz="0" w:space="0" w:color="auto"/>
        <w:left w:val="none" w:sz="0" w:space="0" w:color="auto"/>
        <w:bottom w:val="none" w:sz="0" w:space="0" w:color="auto"/>
        <w:right w:val="none" w:sz="0" w:space="0" w:color="auto"/>
      </w:divBdr>
    </w:div>
    <w:div w:id="1163400790">
      <w:bodyDiv w:val="1"/>
      <w:marLeft w:val="0"/>
      <w:marRight w:val="0"/>
      <w:marTop w:val="0"/>
      <w:marBottom w:val="0"/>
      <w:divBdr>
        <w:top w:val="none" w:sz="0" w:space="0" w:color="auto"/>
        <w:left w:val="none" w:sz="0" w:space="0" w:color="auto"/>
        <w:bottom w:val="none" w:sz="0" w:space="0" w:color="auto"/>
        <w:right w:val="none" w:sz="0" w:space="0" w:color="auto"/>
      </w:divBdr>
    </w:div>
    <w:div w:id="1191380038">
      <w:bodyDiv w:val="1"/>
      <w:marLeft w:val="0"/>
      <w:marRight w:val="0"/>
      <w:marTop w:val="0"/>
      <w:marBottom w:val="0"/>
      <w:divBdr>
        <w:top w:val="none" w:sz="0" w:space="0" w:color="auto"/>
        <w:left w:val="none" w:sz="0" w:space="0" w:color="auto"/>
        <w:bottom w:val="none" w:sz="0" w:space="0" w:color="auto"/>
        <w:right w:val="none" w:sz="0" w:space="0" w:color="auto"/>
      </w:divBdr>
    </w:div>
    <w:div w:id="1200630701">
      <w:bodyDiv w:val="1"/>
      <w:marLeft w:val="0"/>
      <w:marRight w:val="0"/>
      <w:marTop w:val="0"/>
      <w:marBottom w:val="0"/>
      <w:divBdr>
        <w:top w:val="none" w:sz="0" w:space="0" w:color="auto"/>
        <w:left w:val="none" w:sz="0" w:space="0" w:color="auto"/>
        <w:bottom w:val="none" w:sz="0" w:space="0" w:color="auto"/>
        <w:right w:val="none" w:sz="0" w:space="0" w:color="auto"/>
      </w:divBdr>
    </w:div>
    <w:div w:id="1242331242">
      <w:bodyDiv w:val="1"/>
      <w:marLeft w:val="0"/>
      <w:marRight w:val="0"/>
      <w:marTop w:val="0"/>
      <w:marBottom w:val="0"/>
      <w:divBdr>
        <w:top w:val="none" w:sz="0" w:space="0" w:color="auto"/>
        <w:left w:val="none" w:sz="0" w:space="0" w:color="auto"/>
        <w:bottom w:val="none" w:sz="0" w:space="0" w:color="auto"/>
        <w:right w:val="none" w:sz="0" w:space="0" w:color="auto"/>
      </w:divBdr>
    </w:div>
    <w:div w:id="1273592361">
      <w:bodyDiv w:val="1"/>
      <w:marLeft w:val="0"/>
      <w:marRight w:val="0"/>
      <w:marTop w:val="0"/>
      <w:marBottom w:val="0"/>
      <w:divBdr>
        <w:top w:val="none" w:sz="0" w:space="0" w:color="auto"/>
        <w:left w:val="none" w:sz="0" w:space="0" w:color="auto"/>
        <w:bottom w:val="none" w:sz="0" w:space="0" w:color="auto"/>
        <w:right w:val="none" w:sz="0" w:space="0" w:color="auto"/>
      </w:divBdr>
    </w:div>
    <w:div w:id="1280527424">
      <w:bodyDiv w:val="1"/>
      <w:marLeft w:val="0"/>
      <w:marRight w:val="0"/>
      <w:marTop w:val="0"/>
      <w:marBottom w:val="0"/>
      <w:divBdr>
        <w:top w:val="none" w:sz="0" w:space="0" w:color="auto"/>
        <w:left w:val="none" w:sz="0" w:space="0" w:color="auto"/>
        <w:bottom w:val="none" w:sz="0" w:space="0" w:color="auto"/>
        <w:right w:val="none" w:sz="0" w:space="0" w:color="auto"/>
      </w:divBdr>
    </w:div>
    <w:div w:id="1360860573">
      <w:bodyDiv w:val="1"/>
      <w:marLeft w:val="0"/>
      <w:marRight w:val="0"/>
      <w:marTop w:val="0"/>
      <w:marBottom w:val="0"/>
      <w:divBdr>
        <w:top w:val="none" w:sz="0" w:space="0" w:color="auto"/>
        <w:left w:val="none" w:sz="0" w:space="0" w:color="auto"/>
        <w:bottom w:val="none" w:sz="0" w:space="0" w:color="auto"/>
        <w:right w:val="none" w:sz="0" w:space="0" w:color="auto"/>
      </w:divBdr>
    </w:div>
    <w:div w:id="1362365690">
      <w:bodyDiv w:val="1"/>
      <w:marLeft w:val="0"/>
      <w:marRight w:val="0"/>
      <w:marTop w:val="0"/>
      <w:marBottom w:val="0"/>
      <w:divBdr>
        <w:top w:val="none" w:sz="0" w:space="0" w:color="auto"/>
        <w:left w:val="none" w:sz="0" w:space="0" w:color="auto"/>
        <w:bottom w:val="none" w:sz="0" w:space="0" w:color="auto"/>
        <w:right w:val="none" w:sz="0" w:space="0" w:color="auto"/>
      </w:divBdr>
    </w:div>
    <w:div w:id="1377313605">
      <w:bodyDiv w:val="1"/>
      <w:marLeft w:val="0"/>
      <w:marRight w:val="0"/>
      <w:marTop w:val="0"/>
      <w:marBottom w:val="0"/>
      <w:divBdr>
        <w:top w:val="none" w:sz="0" w:space="0" w:color="auto"/>
        <w:left w:val="none" w:sz="0" w:space="0" w:color="auto"/>
        <w:bottom w:val="none" w:sz="0" w:space="0" w:color="auto"/>
        <w:right w:val="none" w:sz="0" w:space="0" w:color="auto"/>
      </w:divBdr>
    </w:div>
    <w:div w:id="1420832814">
      <w:bodyDiv w:val="1"/>
      <w:marLeft w:val="0"/>
      <w:marRight w:val="0"/>
      <w:marTop w:val="0"/>
      <w:marBottom w:val="0"/>
      <w:divBdr>
        <w:top w:val="none" w:sz="0" w:space="0" w:color="auto"/>
        <w:left w:val="none" w:sz="0" w:space="0" w:color="auto"/>
        <w:bottom w:val="none" w:sz="0" w:space="0" w:color="auto"/>
        <w:right w:val="none" w:sz="0" w:space="0" w:color="auto"/>
      </w:divBdr>
    </w:div>
    <w:div w:id="1430852991">
      <w:bodyDiv w:val="1"/>
      <w:marLeft w:val="0"/>
      <w:marRight w:val="0"/>
      <w:marTop w:val="0"/>
      <w:marBottom w:val="0"/>
      <w:divBdr>
        <w:top w:val="none" w:sz="0" w:space="0" w:color="auto"/>
        <w:left w:val="none" w:sz="0" w:space="0" w:color="auto"/>
        <w:bottom w:val="none" w:sz="0" w:space="0" w:color="auto"/>
        <w:right w:val="none" w:sz="0" w:space="0" w:color="auto"/>
      </w:divBdr>
    </w:div>
    <w:div w:id="1462268511">
      <w:bodyDiv w:val="1"/>
      <w:marLeft w:val="0"/>
      <w:marRight w:val="0"/>
      <w:marTop w:val="0"/>
      <w:marBottom w:val="0"/>
      <w:divBdr>
        <w:top w:val="none" w:sz="0" w:space="0" w:color="auto"/>
        <w:left w:val="none" w:sz="0" w:space="0" w:color="auto"/>
        <w:bottom w:val="none" w:sz="0" w:space="0" w:color="auto"/>
        <w:right w:val="none" w:sz="0" w:space="0" w:color="auto"/>
      </w:divBdr>
    </w:div>
    <w:div w:id="1514881095">
      <w:bodyDiv w:val="1"/>
      <w:marLeft w:val="0"/>
      <w:marRight w:val="0"/>
      <w:marTop w:val="0"/>
      <w:marBottom w:val="0"/>
      <w:divBdr>
        <w:top w:val="none" w:sz="0" w:space="0" w:color="auto"/>
        <w:left w:val="none" w:sz="0" w:space="0" w:color="auto"/>
        <w:bottom w:val="none" w:sz="0" w:space="0" w:color="auto"/>
        <w:right w:val="none" w:sz="0" w:space="0" w:color="auto"/>
      </w:divBdr>
    </w:div>
    <w:div w:id="153022012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86262385">
      <w:bodyDiv w:val="1"/>
      <w:marLeft w:val="0"/>
      <w:marRight w:val="0"/>
      <w:marTop w:val="0"/>
      <w:marBottom w:val="0"/>
      <w:divBdr>
        <w:top w:val="none" w:sz="0" w:space="0" w:color="auto"/>
        <w:left w:val="none" w:sz="0" w:space="0" w:color="auto"/>
        <w:bottom w:val="none" w:sz="0" w:space="0" w:color="auto"/>
        <w:right w:val="none" w:sz="0" w:space="0" w:color="auto"/>
      </w:divBdr>
    </w:div>
    <w:div w:id="1637683025">
      <w:bodyDiv w:val="1"/>
      <w:marLeft w:val="0"/>
      <w:marRight w:val="0"/>
      <w:marTop w:val="0"/>
      <w:marBottom w:val="0"/>
      <w:divBdr>
        <w:top w:val="none" w:sz="0" w:space="0" w:color="auto"/>
        <w:left w:val="none" w:sz="0" w:space="0" w:color="auto"/>
        <w:bottom w:val="none" w:sz="0" w:space="0" w:color="auto"/>
        <w:right w:val="none" w:sz="0" w:space="0" w:color="auto"/>
      </w:divBdr>
    </w:div>
    <w:div w:id="1647006972">
      <w:bodyDiv w:val="1"/>
      <w:marLeft w:val="0"/>
      <w:marRight w:val="0"/>
      <w:marTop w:val="0"/>
      <w:marBottom w:val="0"/>
      <w:divBdr>
        <w:top w:val="none" w:sz="0" w:space="0" w:color="auto"/>
        <w:left w:val="none" w:sz="0" w:space="0" w:color="auto"/>
        <w:bottom w:val="none" w:sz="0" w:space="0" w:color="auto"/>
        <w:right w:val="none" w:sz="0" w:space="0" w:color="auto"/>
      </w:divBdr>
    </w:div>
    <w:div w:id="1654524438">
      <w:bodyDiv w:val="1"/>
      <w:marLeft w:val="0"/>
      <w:marRight w:val="0"/>
      <w:marTop w:val="0"/>
      <w:marBottom w:val="0"/>
      <w:divBdr>
        <w:top w:val="none" w:sz="0" w:space="0" w:color="auto"/>
        <w:left w:val="none" w:sz="0" w:space="0" w:color="auto"/>
        <w:bottom w:val="none" w:sz="0" w:space="0" w:color="auto"/>
        <w:right w:val="none" w:sz="0" w:space="0" w:color="auto"/>
      </w:divBdr>
    </w:div>
    <w:div w:id="1704666662">
      <w:bodyDiv w:val="1"/>
      <w:marLeft w:val="0"/>
      <w:marRight w:val="0"/>
      <w:marTop w:val="0"/>
      <w:marBottom w:val="0"/>
      <w:divBdr>
        <w:top w:val="none" w:sz="0" w:space="0" w:color="auto"/>
        <w:left w:val="none" w:sz="0" w:space="0" w:color="auto"/>
        <w:bottom w:val="none" w:sz="0" w:space="0" w:color="auto"/>
        <w:right w:val="none" w:sz="0" w:space="0" w:color="auto"/>
      </w:divBdr>
    </w:div>
    <w:div w:id="1733235730">
      <w:bodyDiv w:val="1"/>
      <w:marLeft w:val="0"/>
      <w:marRight w:val="0"/>
      <w:marTop w:val="0"/>
      <w:marBottom w:val="0"/>
      <w:divBdr>
        <w:top w:val="none" w:sz="0" w:space="0" w:color="auto"/>
        <w:left w:val="none" w:sz="0" w:space="0" w:color="auto"/>
        <w:bottom w:val="none" w:sz="0" w:space="0" w:color="auto"/>
        <w:right w:val="none" w:sz="0" w:space="0" w:color="auto"/>
      </w:divBdr>
    </w:div>
    <w:div w:id="1740980612">
      <w:bodyDiv w:val="1"/>
      <w:marLeft w:val="0"/>
      <w:marRight w:val="0"/>
      <w:marTop w:val="0"/>
      <w:marBottom w:val="0"/>
      <w:divBdr>
        <w:top w:val="none" w:sz="0" w:space="0" w:color="auto"/>
        <w:left w:val="none" w:sz="0" w:space="0" w:color="auto"/>
        <w:bottom w:val="none" w:sz="0" w:space="0" w:color="auto"/>
        <w:right w:val="none" w:sz="0" w:space="0" w:color="auto"/>
      </w:divBdr>
    </w:div>
    <w:div w:id="1761442982">
      <w:bodyDiv w:val="1"/>
      <w:marLeft w:val="0"/>
      <w:marRight w:val="0"/>
      <w:marTop w:val="0"/>
      <w:marBottom w:val="0"/>
      <w:divBdr>
        <w:top w:val="none" w:sz="0" w:space="0" w:color="auto"/>
        <w:left w:val="none" w:sz="0" w:space="0" w:color="auto"/>
        <w:bottom w:val="none" w:sz="0" w:space="0" w:color="auto"/>
        <w:right w:val="none" w:sz="0" w:space="0" w:color="auto"/>
      </w:divBdr>
    </w:div>
    <w:div w:id="1762143561">
      <w:bodyDiv w:val="1"/>
      <w:marLeft w:val="0"/>
      <w:marRight w:val="0"/>
      <w:marTop w:val="0"/>
      <w:marBottom w:val="0"/>
      <w:divBdr>
        <w:top w:val="none" w:sz="0" w:space="0" w:color="auto"/>
        <w:left w:val="none" w:sz="0" w:space="0" w:color="auto"/>
        <w:bottom w:val="none" w:sz="0" w:space="0" w:color="auto"/>
        <w:right w:val="none" w:sz="0" w:space="0" w:color="auto"/>
      </w:divBdr>
    </w:div>
    <w:div w:id="1781024498">
      <w:bodyDiv w:val="1"/>
      <w:marLeft w:val="0"/>
      <w:marRight w:val="0"/>
      <w:marTop w:val="0"/>
      <w:marBottom w:val="0"/>
      <w:divBdr>
        <w:top w:val="none" w:sz="0" w:space="0" w:color="auto"/>
        <w:left w:val="none" w:sz="0" w:space="0" w:color="auto"/>
        <w:bottom w:val="none" w:sz="0" w:space="0" w:color="auto"/>
        <w:right w:val="none" w:sz="0" w:space="0" w:color="auto"/>
      </w:divBdr>
    </w:div>
    <w:div w:id="1783063555">
      <w:bodyDiv w:val="1"/>
      <w:marLeft w:val="0"/>
      <w:marRight w:val="0"/>
      <w:marTop w:val="0"/>
      <w:marBottom w:val="0"/>
      <w:divBdr>
        <w:top w:val="none" w:sz="0" w:space="0" w:color="auto"/>
        <w:left w:val="none" w:sz="0" w:space="0" w:color="auto"/>
        <w:bottom w:val="none" w:sz="0" w:space="0" w:color="auto"/>
        <w:right w:val="none" w:sz="0" w:space="0" w:color="auto"/>
      </w:divBdr>
    </w:div>
    <w:div w:id="1783379746">
      <w:bodyDiv w:val="1"/>
      <w:marLeft w:val="0"/>
      <w:marRight w:val="0"/>
      <w:marTop w:val="0"/>
      <w:marBottom w:val="0"/>
      <w:divBdr>
        <w:top w:val="none" w:sz="0" w:space="0" w:color="auto"/>
        <w:left w:val="none" w:sz="0" w:space="0" w:color="auto"/>
        <w:bottom w:val="none" w:sz="0" w:space="0" w:color="auto"/>
        <w:right w:val="none" w:sz="0" w:space="0" w:color="auto"/>
      </w:divBdr>
    </w:div>
    <w:div w:id="1824394985">
      <w:bodyDiv w:val="1"/>
      <w:marLeft w:val="0"/>
      <w:marRight w:val="0"/>
      <w:marTop w:val="0"/>
      <w:marBottom w:val="0"/>
      <w:divBdr>
        <w:top w:val="none" w:sz="0" w:space="0" w:color="auto"/>
        <w:left w:val="none" w:sz="0" w:space="0" w:color="auto"/>
        <w:bottom w:val="none" w:sz="0" w:space="0" w:color="auto"/>
        <w:right w:val="none" w:sz="0" w:space="0" w:color="auto"/>
      </w:divBdr>
    </w:div>
    <w:div w:id="1827235894">
      <w:bodyDiv w:val="1"/>
      <w:marLeft w:val="0"/>
      <w:marRight w:val="0"/>
      <w:marTop w:val="0"/>
      <w:marBottom w:val="0"/>
      <w:divBdr>
        <w:top w:val="none" w:sz="0" w:space="0" w:color="auto"/>
        <w:left w:val="none" w:sz="0" w:space="0" w:color="auto"/>
        <w:bottom w:val="none" w:sz="0" w:space="0" w:color="auto"/>
        <w:right w:val="none" w:sz="0" w:space="0" w:color="auto"/>
      </w:divBdr>
    </w:div>
    <w:div w:id="1845197841">
      <w:bodyDiv w:val="1"/>
      <w:marLeft w:val="0"/>
      <w:marRight w:val="0"/>
      <w:marTop w:val="0"/>
      <w:marBottom w:val="0"/>
      <w:divBdr>
        <w:top w:val="none" w:sz="0" w:space="0" w:color="auto"/>
        <w:left w:val="none" w:sz="0" w:space="0" w:color="auto"/>
        <w:bottom w:val="none" w:sz="0" w:space="0" w:color="auto"/>
        <w:right w:val="none" w:sz="0" w:space="0" w:color="auto"/>
      </w:divBdr>
    </w:div>
    <w:div w:id="1845897687">
      <w:bodyDiv w:val="1"/>
      <w:marLeft w:val="0"/>
      <w:marRight w:val="0"/>
      <w:marTop w:val="0"/>
      <w:marBottom w:val="0"/>
      <w:divBdr>
        <w:top w:val="none" w:sz="0" w:space="0" w:color="auto"/>
        <w:left w:val="none" w:sz="0" w:space="0" w:color="auto"/>
        <w:bottom w:val="none" w:sz="0" w:space="0" w:color="auto"/>
        <w:right w:val="none" w:sz="0" w:space="0" w:color="auto"/>
      </w:divBdr>
    </w:div>
    <w:div w:id="1853182646">
      <w:bodyDiv w:val="1"/>
      <w:marLeft w:val="0"/>
      <w:marRight w:val="0"/>
      <w:marTop w:val="0"/>
      <w:marBottom w:val="0"/>
      <w:divBdr>
        <w:top w:val="none" w:sz="0" w:space="0" w:color="auto"/>
        <w:left w:val="none" w:sz="0" w:space="0" w:color="auto"/>
        <w:bottom w:val="none" w:sz="0" w:space="0" w:color="auto"/>
        <w:right w:val="none" w:sz="0" w:space="0" w:color="auto"/>
      </w:divBdr>
    </w:div>
    <w:div w:id="1950041191">
      <w:bodyDiv w:val="1"/>
      <w:marLeft w:val="0"/>
      <w:marRight w:val="0"/>
      <w:marTop w:val="0"/>
      <w:marBottom w:val="0"/>
      <w:divBdr>
        <w:top w:val="none" w:sz="0" w:space="0" w:color="auto"/>
        <w:left w:val="none" w:sz="0" w:space="0" w:color="auto"/>
        <w:bottom w:val="none" w:sz="0" w:space="0" w:color="auto"/>
        <w:right w:val="none" w:sz="0" w:space="0" w:color="auto"/>
      </w:divBdr>
    </w:div>
    <w:div w:id="1963418089">
      <w:bodyDiv w:val="1"/>
      <w:marLeft w:val="0"/>
      <w:marRight w:val="0"/>
      <w:marTop w:val="0"/>
      <w:marBottom w:val="0"/>
      <w:divBdr>
        <w:top w:val="none" w:sz="0" w:space="0" w:color="auto"/>
        <w:left w:val="none" w:sz="0" w:space="0" w:color="auto"/>
        <w:bottom w:val="none" w:sz="0" w:space="0" w:color="auto"/>
        <w:right w:val="none" w:sz="0" w:space="0" w:color="auto"/>
      </w:divBdr>
    </w:div>
    <w:div w:id="1980500113">
      <w:bodyDiv w:val="1"/>
      <w:marLeft w:val="0"/>
      <w:marRight w:val="0"/>
      <w:marTop w:val="0"/>
      <w:marBottom w:val="0"/>
      <w:divBdr>
        <w:top w:val="none" w:sz="0" w:space="0" w:color="auto"/>
        <w:left w:val="none" w:sz="0" w:space="0" w:color="auto"/>
        <w:bottom w:val="none" w:sz="0" w:space="0" w:color="auto"/>
        <w:right w:val="none" w:sz="0" w:space="0" w:color="auto"/>
      </w:divBdr>
    </w:div>
    <w:div w:id="2056199256">
      <w:bodyDiv w:val="1"/>
      <w:marLeft w:val="0"/>
      <w:marRight w:val="0"/>
      <w:marTop w:val="0"/>
      <w:marBottom w:val="0"/>
      <w:divBdr>
        <w:top w:val="none" w:sz="0" w:space="0" w:color="auto"/>
        <w:left w:val="none" w:sz="0" w:space="0" w:color="auto"/>
        <w:bottom w:val="none" w:sz="0" w:space="0" w:color="auto"/>
        <w:right w:val="none" w:sz="0" w:space="0" w:color="auto"/>
      </w:divBdr>
    </w:div>
    <w:div w:id="2063867823">
      <w:bodyDiv w:val="1"/>
      <w:marLeft w:val="0"/>
      <w:marRight w:val="0"/>
      <w:marTop w:val="0"/>
      <w:marBottom w:val="0"/>
      <w:divBdr>
        <w:top w:val="none" w:sz="0" w:space="0" w:color="auto"/>
        <w:left w:val="none" w:sz="0" w:space="0" w:color="auto"/>
        <w:bottom w:val="none" w:sz="0" w:space="0" w:color="auto"/>
        <w:right w:val="none" w:sz="0" w:space="0" w:color="auto"/>
      </w:divBdr>
    </w:div>
    <w:div w:id="21239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www.federalregister.gov/documents/2017/01/19/2017-01235/statutory-requirements-for-substantiation-of-confidential-business-information-cbi-claims-under-the"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5.xml"/><Relationship Id="rId10" Type="http://schemas.openxmlformats.org/officeDocument/2006/relationships/webSettings" Target="webSettings.xml"/><Relationship Id="rId19" Type="http://schemas.openxmlformats.org/officeDocument/2006/relationships/hyperlink" Target="https://www.opm.gov/policy-data-oversight/pay-leave/salaries-wages/salary-tables/18Tables/html/DCB_h.asp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eCDRweb@epa.gov"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0C8C2356F9D6448FFDE9D3A41E262B" ma:contentTypeVersion="10" ma:contentTypeDescription="Create a new document." ma:contentTypeScope="" ma:versionID="942e66c074a8e9e732a3fc8f1e7b5d1c">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88f87ca9-d116-4246-8a47-f69c28fe3c5d" xmlns:ns6="a5d1ca4e-0a3f-4119-b619-e20b93ebd1aa" targetNamespace="http://schemas.microsoft.com/office/2006/metadata/properties" ma:root="true" ma:fieldsID="f422651089e73553d6457f0abca09bf8" ns1:_="" ns2:_="" ns3:_="" ns4:_="" ns5:_="" ns6:_="">
    <xsd:import namespace="http://schemas.microsoft.com/sharepoint/v3"/>
    <xsd:import namespace="4ffa91fb-a0ff-4ac5-b2db-65c790d184a4"/>
    <xsd:import namespace="http://schemas.microsoft.com/sharepoint.v3"/>
    <xsd:import namespace="http://schemas.microsoft.com/sharepoint/v3/fields"/>
    <xsd:import namespace="88f87ca9-d116-4246-8a47-f69c28fe3c5d"/>
    <xsd:import namespace="a5d1ca4e-0a3f-4119-b619-e20b93ebd1a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12331871-f22f-4f1e-b241-7c04b4cb386a}" ma:internalName="TaxCatchAllLabel" ma:readOnly="true" ma:showField="CatchAllDataLabel"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12331871-f22f-4f1e-b241-7c04b4cb386a}" ma:internalName="TaxCatchAll" ma:showField="CatchAllData" ma:web="a5d1ca4e-0a3f-4119-b619-e20b93ebd1aa">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f87ca9-d116-4246-8a47-f69c28fe3c5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GenerationTime" ma:index="34"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d1ca4e-0a3f-4119-b619-e20b93ebd1aa"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Private</Record>
    <Rights xmlns="4ffa91fb-a0ff-4ac5-b2db-65c790d184a4" xsi:nil="true"/>
    <Document_x0020_Creation_x0020_Date xmlns="4ffa91fb-a0ff-4ac5-b2db-65c790d184a4">2018-06-27T04:00:00+00:00</Document_x0020_Creation_x0020_Date>
    <EPA_x0020_Office xmlns="4ffa91fb-a0ff-4ac5-b2db-65c790d184a4">OCSPP-OPPT-CESSD-EPAB</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Nielsen, Laura</DisplayName>
        <AccountId>3586</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SharedWithUsers xmlns="a5d1ca4e-0a3f-4119-b619-e20b93ebd1aa">
      <UserInfo>
        <DisplayName>Lloyd, Tyler</DisplayName>
        <AccountId>2652</AccountId>
        <AccountType/>
      </UserInfo>
      <UserInfo>
        <DisplayName>Sharkey, Susan</DisplayName>
        <AccountId>1734</AccountId>
        <AccountType/>
      </UserInfo>
      <UserInfo>
        <DisplayName>Kramek, Niva</DisplayName>
        <AccountId>1719</AccountId>
        <AccountType/>
      </UserInfo>
      <UserInfo>
        <DisplayName>Blake-Hedges, Lynne</DisplayName>
        <AccountId>390</AccountId>
        <AccountType/>
      </UserInfo>
      <UserInfo>
        <DisplayName>Nielsen, Laura</DisplayName>
        <AccountId>3586</AccountId>
        <AccountType/>
      </UserInfo>
      <UserInfo>
        <DisplayName>Forrest, Kesha</DisplayName>
        <AccountId>4606</AccountId>
        <AccountType/>
      </UserInfo>
      <UserInfo>
        <DisplayName>Wolf, Joel</DisplayName>
        <AccountId>1014</AccountId>
        <AccountType/>
      </UserInfo>
      <UserInfo>
        <DisplayName>Rice, Cody</DisplayName>
        <AccountId>170</AccountId>
        <AccountType/>
      </UserInfo>
      <UserInfo>
        <DisplayName>Comnes, Meredith</DisplayName>
        <AccountId>3752</AccountId>
        <AccountType/>
      </UserInfo>
      <UserInfo>
        <DisplayName>Smith, ThomasA</DisplayName>
        <AccountId>3286</AccountId>
        <AccountType/>
      </UserInfo>
      <UserInfo>
        <DisplayName>Susan Day</DisplayName>
        <AccountId>8362</AccountId>
        <AccountType/>
      </UserInfo>
    </SharedWithUsers>
  </documentManagement>
</p:properti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8F25C-77B7-4049-B374-00B84B3DFD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88f87ca9-d116-4246-8a47-f69c28fe3c5d"/>
    <ds:schemaRef ds:uri="a5d1ca4e-0a3f-4119-b619-e20b93ebd1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6C19C6-111B-48C6-A2C0-78627F2DD92D}">
  <ds:schemaRefs>
    <ds:schemaRef ds:uri="http://schemas.microsoft.com/sharepoint/v3/fields"/>
    <ds:schemaRef ds:uri="http://schemas.microsoft.com/sharepoint/v3"/>
    <ds:schemaRef ds:uri="http://purl.org/dc/terms/"/>
    <ds:schemaRef ds:uri="http://schemas.microsoft.com/office/infopath/2007/PartnerControls"/>
    <ds:schemaRef ds:uri="http://schemas.microsoft.com/office/2006/documentManagement/types"/>
    <ds:schemaRef ds:uri="4ffa91fb-a0ff-4ac5-b2db-65c790d184a4"/>
    <ds:schemaRef ds:uri="http://schemas.microsoft.com/sharepoint.v3"/>
    <ds:schemaRef ds:uri="http://schemas.openxmlformats.org/package/2006/metadata/core-properties"/>
    <ds:schemaRef ds:uri="http://purl.org/dc/elements/1.1/"/>
    <ds:schemaRef ds:uri="http://schemas.microsoft.com/office/2006/metadata/properties"/>
    <ds:schemaRef ds:uri="a5d1ca4e-0a3f-4119-b619-e20b93ebd1aa"/>
    <ds:schemaRef ds:uri="88f87ca9-d116-4246-8a47-f69c28fe3c5d"/>
    <ds:schemaRef ds:uri="http://www.w3.org/XML/1998/namespace"/>
    <ds:schemaRef ds:uri="http://purl.org/dc/dcmitype/"/>
  </ds:schemaRefs>
</ds:datastoreItem>
</file>

<file path=customXml/itemProps3.xml><?xml version="1.0" encoding="utf-8"?>
<ds:datastoreItem xmlns:ds="http://schemas.openxmlformats.org/officeDocument/2006/customXml" ds:itemID="{6A0766B4-9592-45AD-B2D8-22301358537E}">
  <ds:schemaRefs>
    <ds:schemaRef ds:uri="Microsoft.SharePoint.Taxonomy.ContentTypeSync"/>
  </ds:schemaRefs>
</ds:datastoreItem>
</file>

<file path=customXml/itemProps4.xml><?xml version="1.0" encoding="utf-8"?>
<ds:datastoreItem xmlns:ds="http://schemas.openxmlformats.org/officeDocument/2006/customXml" ds:itemID="{E369224C-A83E-49BF-B34B-5CC002EE4121}">
  <ds:schemaRefs>
    <ds:schemaRef ds:uri="http://schemas.microsoft.com/sharepoint/v3/contenttype/forms"/>
  </ds:schemaRefs>
</ds:datastoreItem>
</file>

<file path=customXml/itemProps5.xml><?xml version="1.0" encoding="utf-8"?>
<ds:datastoreItem xmlns:ds="http://schemas.openxmlformats.org/officeDocument/2006/customXml" ds:itemID="{E14ABF98-360D-4A43-94CD-C0669BB45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13084</Words>
  <Characters>74585</Characters>
  <Application>Microsoft Office Word</Application>
  <DocSecurity>0</DocSecurity>
  <Lines>621</Lines>
  <Paragraphs>174</Paragraphs>
  <ScaleCrop>false</ScaleCrop>
  <HeadingPairs>
    <vt:vector size="2" baseType="variant">
      <vt:variant>
        <vt:lpstr>Title</vt:lpstr>
      </vt:variant>
      <vt:variant>
        <vt:i4>1</vt:i4>
      </vt:variant>
    </vt:vector>
  </HeadingPairs>
  <TitlesOfParts>
    <vt:vector size="1" baseType="lpstr">
      <vt:lpstr>CDR ICR Addendum for CCD Review 9_12_18</vt:lpstr>
    </vt:vector>
  </TitlesOfParts>
  <Company>US-EPA</Company>
  <LinksUpToDate>false</LinksUpToDate>
  <CharactersWithSpaces>87495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CDR ICR Addendum for CCD Review 9_12_18</dc:title>
  <dc:subject/>
  <dc:creator>Karen Hoffman</dc:creator>
  <cp:keywords/>
  <dc:description/>
  <cp:lastModifiedBy>SYSTEM</cp:lastModifiedBy>
  <cp:revision>2</cp:revision>
  <cp:lastPrinted>2019-03-04T22:04:00Z</cp:lastPrinted>
  <dcterms:created xsi:type="dcterms:W3CDTF">2019-04-23T14:52:00Z</dcterms:created>
  <dcterms:modified xsi:type="dcterms:W3CDTF">2019-04-23T14:52:00Z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0x010100C40C8C2356F9D6448FFDE9D3A41E262B</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y fmtid="{D5CDD505-2E9C-101B-9397-08002B2CF9AE}" pid="6" name="AuthorIds_UIVersion_512">
    <vt:lpwstr>1734</vt:lpwstr>
  </property>
  <property fmtid="{D5CDD505-2E9C-101B-9397-08002B2CF9AE}" pid="7" name="_NewReviewCycle">
    <vt:lpwstr/>
  </property>
</Properties>
</file>