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A977C" w14:textId="77777777" w:rsidR="00E43427" w:rsidRPr="005F6C03" w:rsidRDefault="00E43427" w:rsidP="00E43427">
      <w:pPr>
        <w:pStyle w:val="Title"/>
        <w:jc w:val="center"/>
        <w:rPr>
          <w:rFonts w:ascii="Times New Roman" w:hAnsi="Times New Roman" w:cs="Times New Roman"/>
          <w:sz w:val="36"/>
          <w:szCs w:val="36"/>
        </w:rPr>
      </w:pPr>
      <w:bookmarkStart w:id="0" w:name="_GoBack"/>
      <w:bookmarkEnd w:id="0"/>
      <w:r w:rsidRPr="005F6C03">
        <w:rPr>
          <w:rFonts w:ascii="Times New Roman" w:hAnsi="Times New Roman" w:cs="Times New Roman"/>
          <w:sz w:val="36"/>
          <w:szCs w:val="36"/>
        </w:rPr>
        <w:t>Supporting Statement for a Request for OMB Review under</w:t>
      </w:r>
    </w:p>
    <w:p w14:paraId="566258A5" w14:textId="77777777" w:rsidR="00875BB6" w:rsidRPr="005F6C03" w:rsidRDefault="00E43427" w:rsidP="00E43427">
      <w:pPr>
        <w:pStyle w:val="Title"/>
        <w:jc w:val="center"/>
        <w:rPr>
          <w:rFonts w:ascii="Times New Roman" w:hAnsi="Times New Roman" w:cs="Times New Roman"/>
          <w:sz w:val="36"/>
          <w:szCs w:val="36"/>
        </w:rPr>
      </w:pPr>
      <w:r w:rsidRPr="005F6C03">
        <w:rPr>
          <w:rFonts w:ascii="Times New Roman" w:hAnsi="Times New Roman" w:cs="Times New Roman"/>
          <w:sz w:val="36"/>
          <w:szCs w:val="36"/>
        </w:rPr>
        <w:t>the Paperwork Reduction Act</w:t>
      </w:r>
    </w:p>
    <w:p w14:paraId="15EFA1AA" w14:textId="77777777" w:rsidR="00875BB6" w:rsidRPr="005F6C03" w:rsidRDefault="00875BB6" w:rsidP="007070F3">
      <w:pPr>
        <w:pStyle w:val="Heading1"/>
        <w:rPr>
          <w:rFonts w:ascii="Times New Roman" w:hAnsi="Times New Roman" w:cs="Times New Roman"/>
        </w:rPr>
      </w:pPr>
      <w:r w:rsidRPr="005F6C03">
        <w:rPr>
          <w:rFonts w:ascii="Times New Roman" w:hAnsi="Times New Roman" w:cs="Times New Roman"/>
        </w:rPr>
        <w:t>1.</w:t>
      </w:r>
      <w:r w:rsidRPr="005F6C03">
        <w:rPr>
          <w:rFonts w:ascii="Times New Roman" w:hAnsi="Times New Roman" w:cs="Times New Roman"/>
        </w:rPr>
        <w:tab/>
        <w:t>Identification of the Information Collection</w:t>
      </w:r>
    </w:p>
    <w:p w14:paraId="2519A391"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1(a).  Title of the Information Collection.  </w:t>
      </w:r>
    </w:p>
    <w:p w14:paraId="63A4BCFA" w14:textId="798DED4B" w:rsidR="00875BB6" w:rsidRPr="005F6C03" w:rsidRDefault="00894BF8" w:rsidP="00894BF8">
      <w:pPr>
        <w:ind w:left="1170" w:hanging="630"/>
        <w:rPr>
          <w:bCs/>
        </w:rPr>
      </w:pPr>
      <w:r w:rsidRPr="005F6C03">
        <w:rPr>
          <w:bCs/>
        </w:rPr>
        <w:t xml:space="preserve">Title:  </w:t>
      </w:r>
      <w:bookmarkStart w:id="1" w:name="_Hlk5018376"/>
      <w:r w:rsidR="00113ECA" w:rsidRPr="005F6C03">
        <w:rPr>
          <w:bCs/>
        </w:rPr>
        <w:t xml:space="preserve">Reporting in </w:t>
      </w:r>
      <w:r w:rsidR="00875BB6" w:rsidRPr="005F6C03">
        <w:rPr>
          <w:bCs/>
        </w:rPr>
        <w:t>the</w:t>
      </w:r>
      <w:r w:rsidR="0056414B" w:rsidRPr="005F6C03">
        <w:t xml:space="preserve"> </w:t>
      </w:r>
      <w:r w:rsidR="0056414B" w:rsidRPr="005F6C03">
        <w:rPr>
          <w:bCs/>
        </w:rPr>
        <w:t xml:space="preserve">FIFRA Cooperative Agreement Work Plan and Report </w:t>
      </w:r>
      <w:r w:rsidR="00DA2E69" w:rsidRPr="005F6C03">
        <w:rPr>
          <w:bCs/>
        </w:rPr>
        <w:t>Template</w:t>
      </w:r>
      <w:r w:rsidR="00875BB6" w:rsidRPr="005F6C03">
        <w:rPr>
          <w:bCs/>
        </w:rPr>
        <w:t xml:space="preserve"> </w:t>
      </w:r>
      <w:bookmarkEnd w:id="1"/>
    </w:p>
    <w:p w14:paraId="41F2B1B7" w14:textId="3152BD9A" w:rsidR="00894BF8" w:rsidRPr="005F6C03" w:rsidRDefault="00894BF8" w:rsidP="00894BF8">
      <w:pPr>
        <w:ind w:firstLine="540"/>
      </w:pPr>
      <w:r w:rsidRPr="005F6C03">
        <w:t>EPA ICR No.:  2511</w:t>
      </w:r>
      <w:r w:rsidR="007502CF" w:rsidRPr="005F6C03">
        <w:t>.02</w:t>
      </w:r>
    </w:p>
    <w:p w14:paraId="16988CBB" w14:textId="6CC90B71" w:rsidR="00894BF8" w:rsidRPr="005F6C03" w:rsidRDefault="00894BF8" w:rsidP="00894BF8">
      <w:pPr>
        <w:ind w:firstLine="540"/>
      </w:pPr>
      <w:r w:rsidRPr="005F6C03">
        <w:t xml:space="preserve">OMB Control No:  </w:t>
      </w:r>
      <w:r w:rsidR="007502CF" w:rsidRPr="005F6C03">
        <w:t>2070-0198</w:t>
      </w:r>
    </w:p>
    <w:p w14:paraId="755B8DD7" w14:textId="7B236D04" w:rsidR="00875BB6" w:rsidRPr="005F6C03" w:rsidRDefault="00894BF8" w:rsidP="00894BF8">
      <w:pPr>
        <w:ind w:firstLine="540"/>
      </w:pPr>
      <w:r w:rsidRPr="005F6C03">
        <w:t>Docket ID No.: EPA-HQ-OPP-</w:t>
      </w:r>
      <w:r w:rsidR="00DE5A27" w:rsidRPr="005F6C03">
        <w:t>2018-0418</w:t>
      </w:r>
      <w:r w:rsidR="00875BB6" w:rsidRPr="005F6C03">
        <w:t xml:space="preserve"> </w:t>
      </w:r>
    </w:p>
    <w:p w14:paraId="545D5BE1" w14:textId="77777777" w:rsidR="00AC067D" w:rsidRPr="005F6C03" w:rsidRDefault="00AC067D" w:rsidP="00894BF8">
      <w:pPr>
        <w:ind w:firstLine="540"/>
        <w:rPr>
          <w:color w:val="000000"/>
        </w:rPr>
      </w:pPr>
    </w:p>
    <w:p w14:paraId="1C9A9A70" w14:textId="77777777" w:rsidR="007070F3" w:rsidRPr="005F6C03" w:rsidRDefault="00875BB6" w:rsidP="007070F3">
      <w:pPr>
        <w:pStyle w:val="Heading2"/>
        <w:rPr>
          <w:rStyle w:val="Heading2Char"/>
          <w:rFonts w:ascii="Times New Roman" w:hAnsi="Times New Roman" w:cs="Times New Roman"/>
        </w:rPr>
      </w:pPr>
      <w:r w:rsidRPr="005F6C03">
        <w:rPr>
          <w:rFonts w:ascii="Times New Roman" w:hAnsi="Times New Roman" w:cs="Times New Roman"/>
        </w:rPr>
        <w:t>1(b).  Short Characterization/Abstract</w:t>
      </w:r>
      <w:r w:rsidRPr="005F6C03">
        <w:rPr>
          <w:rStyle w:val="Heading2Char"/>
          <w:rFonts w:ascii="Times New Roman" w:hAnsi="Times New Roman" w:cs="Times New Roman"/>
        </w:rPr>
        <w:t xml:space="preserve">.  </w:t>
      </w:r>
    </w:p>
    <w:p w14:paraId="72236A0A" w14:textId="0540278F" w:rsidR="00875BB6" w:rsidRPr="005F6C03" w:rsidRDefault="00875BB6" w:rsidP="007070F3">
      <w:pPr>
        <w:tabs>
          <w:tab w:val="left" w:pos="720"/>
        </w:tabs>
        <w:rPr>
          <w:color w:val="000000" w:themeColor="text1"/>
        </w:rPr>
      </w:pPr>
      <w:r w:rsidRPr="005F6C03">
        <w:rPr>
          <w:color w:val="000000" w:themeColor="text1"/>
        </w:rPr>
        <w:t xml:space="preserve">This ICR </w:t>
      </w:r>
      <w:r w:rsidR="009B781A" w:rsidRPr="005F6C03">
        <w:rPr>
          <w:color w:val="000000" w:themeColor="text1"/>
        </w:rPr>
        <w:t xml:space="preserve">describes the burden activities for the </w:t>
      </w:r>
      <w:r w:rsidR="00357F1E" w:rsidRPr="005F6C03">
        <w:rPr>
          <w:color w:val="000000" w:themeColor="text1"/>
        </w:rPr>
        <w:t xml:space="preserve">electronic </w:t>
      </w:r>
      <w:r w:rsidRPr="005F6C03">
        <w:rPr>
          <w:color w:val="000000" w:themeColor="text1"/>
        </w:rPr>
        <w:t xml:space="preserve">collection of information for the pre-award burden activity for creating a work plan and the post-award </w:t>
      </w:r>
      <w:r w:rsidR="00D33EAC" w:rsidRPr="005F6C03">
        <w:rPr>
          <w:color w:val="000000" w:themeColor="text1"/>
        </w:rPr>
        <w:t xml:space="preserve">and after-the-grant award </w:t>
      </w:r>
      <w:r w:rsidRPr="005F6C03">
        <w:rPr>
          <w:color w:val="000000" w:themeColor="text1"/>
        </w:rPr>
        <w:t xml:space="preserve">activities related to reporting </w:t>
      </w:r>
      <w:r w:rsidR="00113ECA" w:rsidRPr="005F6C03">
        <w:rPr>
          <w:color w:val="000000" w:themeColor="text1"/>
        </w:rPr>
        <w:t>accomplishments to</w:t>
      </w:r>
      <w:r w:rsidRPr="005F6C03">
        <w:rPr>
          <w:color w:val="000000" w:themeColor="text1"/>
        </w:rPr>
        <w:t xml:space="preserve"> implement EPA’s Federal Insecticide Fungicide and Rodenticide Act State and Tribal Assistance Grant (STAG) program (7 U</w:t>
      </w:r>
      <w:r w:rsidR="00AC067D" w:rsidRPr="005F6C03">
        <w:rPr>
          <w:color w:val="000000" w:themeColor="text1"/>
        </w:rPr>
        <w:t>.</w:t>
      </w:r>
      <w:r w:rsidRPr="005F6C03">
        <w:rPr>
          <w:color w:val="000000" w:themeColor="text1"/>
        </w:rPr>
        <w:t>S</w:t>
      </w:r>
      <w:r w:rsidR="00AC067D" w:rsidRPr="005F6C03">
        <w:rPr>
          <w:color w:val="000000" w:themeColor="text1"/>
        </w:rPr>
        <w:t>.</w:t>
      </w:r>
      <w:r w:rsidRPr="005F6C03">
        <w:rPr>
          <w:color w:val="000000" w:themeColor="text1"/>
        </w:rPr>
        <w:t>C</w:t>
      </w:r>
      <w:r w:rsidR="00AC067D" w:rsidRPr="005F6C03">
        <w:rPr>
          <w:color w:val="000000" w:themeColor="text1"/>
        </w:rPr>
        <w:t>.</w:t>
      </w:r>
      <w:r w:rsidRPr="005F6C03">
        <w:rPr>
          <w:color w:val="000000" w:themeColor="text1"/>
        </w:rPr>
        <w:t xml:space="preserve"> 136u)</w:t>
      </w:r>
      <w:r w:rsidR="0034305A" w:rsidRPr="005F6C03">
        <w:rPr>
          <w:color w:val="000000" w:themeColor="text1"/>
        </w:rPr>
        <w:t xml:space="preserve"> see Attachment A.</w:t>
      </w:r>
    </w:p>
    <w:p w14:paraId="53A7FA0B" w14:textId="77777777" w:rsidR="00875BB6" w:rsidRPr="005F6C03" w:rsidRDefault="00875BB6" w:rsidP="007070F3">
      <w:pPr>
        <w:tabs>
          <w:tab w:val="left" w:pos="720"/>
        </w:tabs>
        <w:rPr>
          <w:color w:val="000000" w:themeColor="text1"/>
        </w:rPr>
      </w:pPr>
    </w:p>
    <w:p w14:paraId="6E304DF0" w14:textId="2978776C" w:rsidR="00875BB6" w:rsidRPr="005F6C03" w:rsidRDefault="00875BB6" w:rsidP="00AC067D">
      <w:pPr>
        <w:pStyle w:val="Default"/>
        <w:tabs>
          <w:tab w:val="left" w:pos="720"/>
        </w:tabs>
        <w:rPr>
          <w:rFonts w:ascii="Times New Roman" w:hAnsi="Times New Roman" w:cs="Times New Roman"/>
          <w:color w:val="0070C0"/>
        </w:rPr>
      </w:pPr>
      <w:r w:rsidRPr="005F6C03">
        <w:rPr>
          <w:rFonts w:ascii="Times New Roman" w:hAnsi="Times New Roman" w:cs="Times New Roman"/>
          <w:color w:val="000000" w:themeColor="text1"/>
        </w:rPr>
        <w:t xml:space="preserve">This ICR </w:t>
      </w:r>
      <w:r w:rsidR="000229B9" w:rsidRPr="005F6C03">
        <w:rPr>
          <w:rFonts w:ascii="Times New Roman" w:hAnsi="Times New Roman" w:cs="Times New Roman"/>
          <w:color w:val="000000" w:themeColor="text1"/>
        </w:rPr>
        <w:t>augments</w:t>
      </w:r>
      <w:r w:rsidRPr="005F6C03">
        <w:rPr>
          <w:rFonts w:ascii="Times New Roman" w:hAnsi="Times New Roman" w:cs="Times New Roman"/>
          <w:color w:val="000000" w:themeColor="text1"/>
        </w:rPr>
        <w:t xml:space="preserve"> the </w:t>
      </w:r>
      <w:r w:rsidR="001F0D1D" w:rsidRPr="005F6C03">
        <w:rPr>
          <w:rFonts w:ascii="Times New Roman" w:hAnsi="Times New Roman" w:cs="Times New Roman"/>
          <w:color w:val="000000" w:themeColor="text1"/>
        </w:rPr>
        <w:t>ICR entitled “</w:t>
      </w:r>
      <w:r w:rsidRPr="005F6C03">
        <w:rPr>
          <w:rFonts w:ascii="Times New Roman" w:hAnsi="Times New Roman" w:cs="Times New Roman"/>
          <w:i/>
          <w:color w:val="000000" w:themeColor="text1"/>
        </w:rPr>
        <w:t>EPA’s General Regulation for Assistance Programs ICR</w:t>
      </w:r>
      <w:r w:rsidR="001F0D1D" w:rsidRPr="005F6C03">
        <w:rPr>
          <w:rFonts w:ascii="Times New Roman" w:hAnsi="Times New Roman" w:cs="Times New Roman"/>
          <w:color w:val="000000" w:themeColor="text1"/>
        </w:rPr>
        <w:t>”</w:t>
      </w:r>
      <w:r w:rsidRPr="005F6C03">
        <w:rPr>
          <w:rFonts w:ascii="Times New Roman" w:hAnsi="Times New Roman" w:cs="Times New Roman"/>
          <w:color w:val="000000" w:themeColor="text1"/>
        </w:rPr>
        <w:t xml:space="preserve"> (OMB </w:t>
      </w:r>
      <w:r w:rsidR="00DC1ABC" w:rsidRPr="005F6C03">
        <w:rPr>
          <w:rFonts w:ascii="Times New Roman" w:hAnsi="Times New Roman" w:cs="Times New Roman"/>
          <w:color w:val="000000" w:themeColor="text1"/>
        </w:rPr>
        <w:t xml:space="preserve">Control No. </w:t>
      </w:r>
      <w:r w:rsidRPr="005F6C03">
        <w:rPr>
          <w:rFonts w:ascii="Times New Roman" w:hAnsi="Times New Roman" w:cs="Times New Roman"/>
          <w:color w:val="000000" w:themeColor="text1"/>
        </w:rPr>
        <w:t xml:space="preserve">2030-0020; EPA </w:t>
      </w:r>
      <w:r w:rsidR="00DC1ABC" w:rsidRPr="005F6C03">
        <w:rPr>
          <w:rFonts w:ascii="Times New Roman" w:hAnsi="Times New Roman" w:cs="Times New Roman"/>
          <w:color w:val="000000" w:themeColor="text1"/>
        </w:rPr>
        <w:t xml:space="preserve">ICR </w:t>
      </w:r>
      <w:r w:rsidRPr="005F6C03">
        <w:rPr>
          <w:rFonts w:ascii="Times New Roman" w:hAnsi="Times New Roman" w:cs="Times New Roman"/>
          <w:color w:val="000000" w:themeColor="text1"/>
        </w:rPr>
        <w:t xml:space="preserve">No. 0938.18) which </w:t>
      </w:r>
      <w:r w:rsidR="00ED72D9" w:rsidRPr="005F6C03">
        <w:rPr>
          <w:rFonts w:ascii="Times New Roman" w:hAnsi="Times New Roman" w:cs="Times New Roman"/>
          <w:color w:val="000000" w:themeColor="text1"/>
        </w:rPr>
        <w:t>accounts for the current</w:t>
      </w:r>
      <w:r w:rsidR="001F0D1D" w:rsidRPr="005F6C03">
        <w:rPr>
          <w:rFonts w:ascii="Times New Roman" w:hAnsi="Times New Roman" w:cs="Times New Roman"/>
          <w:color w:val="000000" w:themeColor="text1"/>
        </w:rPr>
        <w:t xml:space="preserve"> </w:t>
      </w:r>
      <w:r w:rsidR="00ED72D9" w:rsidRPr="005F6C03">
        <w:rPr>
          <w:rFonts w:ascii="Times New Roman" w:hAnsi="Times New Roman" w:cs="Times New Roman"/>
          <w:color w:val="000000" w:themeColor="text1"/>
        </w:rPr>
        <w:t xml:space="preserve">PRA </w:t>
      </w:r>
      <w:r w:rsidR="001F0D1D" w:rsidRPr="005F6C03">
        <w:rPr>
          <w:rFonts w:ascii="Times New Roman" w:hAnsi="Times New Roman" w:cs="Times New Roman"/>
          <w:color w:val="000000" w:themeColor="text1"/>
        </w:rPr>
        <w:t xml:space="preserve">burden for </w:t>
      </w:r>
      <w:r w:rsidR="007F6D50" w:rsidRPr="005F6C03">
        <w:rPr>
          <w:rFonts w:ascii="Times New Roman" w:hAnsi="Times New Roman" w:cs="Times New Roman"/>
          <w:color w:val="000000" w:themeColor="text1"/>
        </w:rPr>
        <w:t xml:space="preserve">the </w:t>
      </w:r>
      <w:r w:rsidRPr="005F6C03">
        <w:rPr>
          <w:rFonts w:ascii="Times New Roman" w:hAnsi="Times New Roman" w:cs="Times New Roman"/>
          <w:color w:val="000000" w:themeColor="text1"/>
        </w:rPr>
        <w:t xml:space="preserve">minimum management requirements for all recipients of EPA grants or cooperative agreements (assistance agreements). </w:t>
      </w:r>
      <w:r w:rsidR="00C6030B" w:rsidRPr="005F6C03">
        <w:rPr>
          <w:rFonts w:ascii="Times New Roman" w:hAnsi="Times New Roman" w:cs="Times New Roman"/>
          <w:color w:val="000000" w:themeColor="text1"/>
        </w:rPr>
        <w:t>T</w:t>
      </w:r>
      <w:r w:rsidR="00ED72D9" w:rsidRPr="005F6C03">
        <w:rPr>
          <w:rFonts w:ascii="Times New Roman" w:hAnsi="Times New Roman" w:cs="Times New Roman"/>
          <w:color w:val="000000" w:themeColor="text1"/>
        </w:rPr>
        <w:t xml:space="preserve">his ICR provides the burden assessment for </w:t>
      </w:r>
      <w:r w:rsidR="00997FE6" w:rsidRPr="005F6C03">
        <w:rPr>
          <w:rFonts w:ascii="Times New Roman" w:hAnsi="Times New Roman" w:cs="Times New Roman"/>
          <w:color w:val="000000" w:themeColor="text1"/>
        </w:rPr>
        <w:t xml:space="preserve">the </w:t>
      </w:r>
      <w:r w:rsidR="00165AC5" w:rsidRPr="005F6C03">
        <w:rPr>
          <w:rFonts w:ascii="Times New Roman" w:hAnsi="Times New Roman" w:cs="Times New Roman"/>
          <w:color w:val="000000" w:themeColor="text1"/>
        </w:rPr>
        <w:t xml:space="preserve">FIFRA program specific activities </w:t>
      </w:r>
      <w:r w:rsidR="00997FE6" w:rsidRPr="005F6C03">
        <w:rPr>
          <w:rFonts w:ascii="Times New Roman" w:hAnsi="Times New Roman" w:cs="Times New Roman"/>
          <w:color w:val="000000" w:themeColor="text1"/>
        </w:rPr>
        <w:t xml:space="preserve">associated with </w:t>
      </w:r>
      <w:r w:rsidR="00165AC5" w:rsidRPr="005F6C03">
        <w:rPr>
          <w:rFonts w:ascii="Times New Roman" w:hAnsi="Times New Roman" w:cs="Times New Roman"/>
          <w:color w:val="000000" w:themeColor="text1"/>
        </w:rPr>
        <w:t xml:space="preserve">using a </w:t>
      </w:r>
      <w:r w:rsidR="00ED72D9" w:rsidRPr="005F6C03">
        <w:rPr>
          <w:rFonts w:ascii="Times New Roman" w:hAnsi="Times New Roman" w:cs="Times New Roman"/>
          <w:color w:val="000000" w:themeColor="text1"/>
        </w:rPr>
        <w:t>standardized electronic format</w:t>
      </w:r>
      <w:r w:rsidR="001130A7" w:rsidRPr="005F6C03">
        <w:rPr>
          <w:rFonts w:ascii="Times New Roman" w:hAnsi="Times New Roman" w:cs="Times New Roman"/>
          <w:color w:val="000000" w:themeColor="text1"/>
        </w:rPr>
        <w:t xml:space="preserve"> for only the STAG program reporting</w:t>
      </w:r>
      <w:r w:rsidR="00E45D62" w:rsidRPr="005F6C03">
        <w:rPr>
          <w:rFonts w:ascii="Times New Roman" w:hAnsi="Times New Roman" w:cs="Times New Roman"/>
          <w:color w:val="000000" w:themeColor="text1"/>
        </w:rPr>
        <w:t>.</w:t>
      </w:r>
      <w:r w:rsidR="00B25264" w:rsidRPr="005F6C03">
        <w:rPr>
          <w:rStyle w:val="FootnoteReference"/>
          <w:rFonts w:ascii="Times New Roman" w:hAnsi="Times New Roman" w:cs="Times New Roman"/>
          <w:color w:val="000000" w:themeColor="text1"/>
        </w:rPr>
        <w:footnoteReference w:id="1"/>
      </w:r>
    </w:p>
    <w:p w14:paraId="4E2AD723" w14:textId="439D3873" w:rsidR="00875BB6" w:rsidRPr="005F6C03" w:rsidRDefault="00875BB6" w:rsidP="007070F3">
      <w:pPr>
        <w:pStyle w:val="Heading1"/>
        <w:rPr>
          <w:rFonts w:ascii="Times New Roman" w:hAnsi="Times New Roman" w:cs="Times New Roman"/>
        </w:rPr>
      </w:pPr>
      <w:r w:rsidRPr="005F6C03">
        <w:rPr>
          <w:rFonts w:ascii="Times New Roman" w:hAnsi="Times New Roman" w:cs="Times New Roman"/>
        </w:rPr>
        <w:t>2.</w:t>
      </w:r>
      <w:r w:rsidRPr="005F6C03">
        <w:rPr>
          <w:rFonts w:ascii="Times New Roman" w:hAnsi="Times New Roman" w:cs="Times New Roman"/>
        </w:rPr>
        <w:tab/>
        <w:t xml:space="preserve">Need </w:t>
      </w:r>
      <w:r w:rsidR="00F22238" w:rsidRPr="005F6C03">
        <w:rPr>
          <w:rFonts w:ascii="Times New Roman" w:hAnsi="Times New Roman" w:cs="Times New Roman"/>
        </w:rPr>
        <w:t>for</w:t>
      </w:r>
      <w:r w:rsidRPr="005F6C03">
        <w:rPr>
          <w:rFonts w:ascii="Times New Roman" w:hAnsi="Times New Roman" w:cs="Times New Roman"/>
        </w:rPr>
        <w:t xml:space="preserve"> and Use of the Collection</w:t>
      </w:r>
    </w:p>
    <w:p w14:paraId="5C8C49BB" w14:textId="77777777" w:rsidR="007070F3" w:rsidRPr="005F6C03" w:rsidRDefault="00875BB6" w:rsidP="007070F3">
      <w:pPr>
        <w:pStyle w:val="Heading2"/>
        <w:rPr>
          <w:rFonts w:ascii="Times New Roman" w:hAnsi="Times New Roman" w:cs="Times New Roman"/>
          <w:color w:val="000000" w:themeColor="text1"/>
        </w:rPr>
      </w:pPr>
      <w:r w:rsidRPr="005F6C03">
        <w:rPr>
          <w:rFonts w:ascii="Times New Roman" w:hAnsi="Times New Roman" w:cs="Times New Roman"/>
        </w:rPr>
        <w:t>2(a). Need/Authority for the Collection.</w:t>
      </w:r>
      <w:r w:rsidR="00F679FE" w:rsidRPr="005F6C03">
        <w:rPr>
          <w:rFonts w:ascii="Times New Roman" w:hAnsi="Times New Roman" w:cs="Times New Roman"/>
          <w:color w:val="000000" w:themeColor="text1"/>
        </w:rPr>
        <w:t xml:space="preserve"> </w:t>
      </w:r>
    </w:p>
    <w:p w14:paraId="0CF579FB" w14:textId="5A7B53C8" w:rsidR="00F679FE" w:rsidRPr="005F6C03" w:rsidRDefault="00F679FE" w:rsidP="007070F3">
      <w:pPr>
        <w:rPr>
          <w:color w:val="000000" w:themeColor="text1"/>
        </w:rPr>
      </w:pPr>
      <w:r w:rsidRPr="005F6C03">
        <w:rPr>
          <w:color w:val="000000" w:themeColor="text1"/>
        </w:rPr>
        <w:t xml:space="preserve">This ICR documents the </w:t>
      </w:r>
      <w:r w:rsidR="004934C5" w:rsidRPr="005F6C03">
        <w:rPr>
          <w:color w:val="000000" w:themeColor="text1"/>
        </w:rPr>
        <w:t xml:space="preserve">PRA </w:t>
      </w:r>
      <w:r w:rsidRPr="005F6C03">
        <w:rPr>
          <w:color w:val="000000" w:themeColor="text1"/>
        </w:rPr>
        <w:t xml:space="preserve">burden for </w:t>
      </w:r>
      <w:r w:rsidR="004934C5" w:rsidRPr="005F6C03">
        <w:rPr>
          <w:color w:val="000000" w:themeColor="text1"/>
        </w:rPr>
        <w:t xml:space="preserve">STAG </w:t>
      </w:r>
      <w:r w:rsidRPr="005F6C03">
        <w:rPr>
          <w:color w:val="000000" w:themeColor="text1"/>
        </w:rPr>
        <w:t xml:space="preserve">grantees </w:t>
      </w:r>
      <w:r w:rsidR="004934C5" w:rsidRPr="005F6C03">
        <w:rPr>
          <w:color w:val="000000" w:themeColor="text1"/>
        </w:rPr>
        <w:t xml:space="preserve">to use </w:t>
      </w:r>
      <w:r w:rsidRPr="005F6C03">
        <w:rPr>
          <w:color w:val="000000" w:themeColor="text1"/>
        </w:rPr>
        <w:t xml:space="preserve">a standardized </w:t>
      </w:r>
      <w:r w:rsidR="004934C5" w:rsidRPr="005F6C03">
        <w:rPr>
          <w:color w:val="000000" w:themeColor="text1"/>
        </w:rPr>
        <w:t xml:space="preserve">electronic </w:t>
      </w:r>
      <w:r w:rsidR="00DA2E69" w:rsidRPr="005F6C03">
        <w:rPr>
          <w:color w:val="000000" w:themeColor="text1"/>
        </w:rPr>
        <w:t>Template</w:t>
      </w:r>
      <w:r w:rsidRPr="005F6C03">
        <w:rPr>
          <w:color w:val="000000" w:themeColor="text1"/>
        </w:rPr>
        <w:t xml:space="preserve"> </w:t>
      </w:r>
      <w:r w:rsidR="004934C5" w:rsidRPr="005F6C03">
        <w:rPr>
          <w:color w:val="000000" w:themeColor="text1"/>
        </w:rPr>
        <w:t xml:space="preserve">to comply with </w:t>
      </w:r>
      <w:r w:rsidR="008F4523" w:rsidRPr="005F6C03">
        <w:rPr>
          <w:color w:val="000000" w:themeColor="text1"/>
        </w:rPr>
        <w:t>work plan</w:t>
      </w:r>
      <w:r w:rsidRPr="005F6C03">
        <w:rPr>
          <w:color w:val="000000" w:themeColor="text1"/>
        </w:rPr>
        <w:t xml:space="preserve"> and reporting requirements which grantees complete and submit to the Agency via email.  </w:t>
      </w:r>
    </w:p>
    <w:p w14:paraId="40554D01" w14:textId="77777777" w:rsidR="00F679FE" w:rsidRPr="005F6C03" w:rsidRDefault="00F679FE" w:rsidP="00F679FE">
      <w:pPr>
        <w:ind w:left="720"/>
        <w:rPr>
          <w:color w:val="000000" w:themeColor="text1"/>
        </w:rPr>
      </w:pPr>
    </w:p>
    <w:p w14:paraId="2377E965" w14:textId="3ABBF403" w:rsidR="000A171B" w:rsidRPr="005F6C03" w:rsidRDefault="00F679FE" w:rsidP="007070F3">
      <w:pPr>
        <w:rPr>
          <w:color w:val="000000" w:themeColor="text1"/>
        </w:rPr>
      </w:pPr>
      <w:r w:rsidRPr="005F6C03">
        <w:rPr>
          <w:color w:val="000000" w:themeColor="text1"/>
        </w:rPr>
        <w:t>U</w:t>
      </w:r>
      <w:r w:rsidR="00875BB6" w:rsidRPr="005F6C03">
        <w:rPr>
          <w:color w:val="000000" w:themeColor="text1"/>
        </w:rPr>
        <w:t>nder the STAG program (7 U</w:t>
      </w:r>
      <w:r w:rsidR="00AC067D" w:rsidRPr="005F6C03">
        <w:rPr>
          <w:color w:val="000000" w:themeColor="text1"/>
        </w:rPr>
        <w:t>.</w:t>
      </w:r>
      <w:r w:rsidR="00875BB6" w:rsidRPr="005F6C03">
        <w:rPr>
          <w:color w:val="000000" w:themeColor="text1"/>
        </w:rPr>
        <w:t>S</w:t>
      </w:r>
      <w:r w:rsidR="00AC067D" w:rsidRPr="005F6C03">
        <w:rPr>
          <w:color w:val="000000" w:themeColor="text1"/>
        </w:rPr>
        <w:t>.</w:t>
      </w:r>
      <w:r w:rsidR="00875BB6" w:rsidRPr="005F6C03">
        <w:rPr>
          <w:color w:val="000000" w:themeColor="text1"/>
        </w:rPr>
        <w:t>C</w:t>
      </w:r>
      <w:r w:rsidR="00AC067D" w:rsidRPr="005F6C03">
        <w:rPr>
          <w:color w:val="000000" w:themeColor="text1"/>
        </w:rPr>
        <w:t>.</w:t>
      </w:r>
      <w:r w:rsidR="00875BB6" w:rsidRPr="005F6C03">
        <w:rPr>
          <w:color w:val="000000" w:themeColor="text1"/>
        </w:rPr>
        <w:t xml:space="preserve"> 136u) and in EPA regulations at 40 CFR Parts 30 and 31</w:t>
      </w:r>
      <w:r w:rsidRPr="005F6C03">
        <w:rPr>
          <w:color w:val="000000" w:themeColor="text1"/>
        </w:rPr>
        <w:t xml:space="preserve">, grantees are required to provide reports on grant activities to the Office of Pesticide Programs.  </w:t>
      </w:r>
      <w:r w:rsidR="00875BB6" w:rsidRPr="005F6C03">
        <w:rPr>
          <w:color w:val="000000" w:themeColor="text1"/>
        </w:rPr>
        <w:t xml:space="preserve"> These regulations implement OMB Circulars A-21, A-87, A-102, A-110, A-122, and A-133. Specifically, the PRA burden related activities set forth for the pre-award, post-award and after-the-grant requirements associated with submitting a </w:t>
      </w:r>
      <w:r w:rsidR="008F4523" w:rsidRPr="005F6C03">
        <w:rPr>
          <w:color w:val="000000" w:themeColor="text1"/>
        </w:rPr>
        <w:t>work plan</w:t>
      </w:r>
      <w:r w:rsidR="00875BB6" w:rsidRPr="005F6C03">
        <w:rPr>
          <w:color w:val="000000" w:themeColor="text1"/>
        </w:rPr>
        <w:t>, biannual reporting and reporting enforcement violations of program specific activities</w:t>
      </w:r>
      <w:r w:rsidR="004D63B0" w:rsidRPr="005F6C03">
        <w:rPr>
          <w:color w:val="000000" w:themeColor="text1"/>
        </w:rPr>
        <w:t xml:space="preserve"> </w:t>
      </w:r>
      <w:r w:rsidR="00875BB6" w:rsidRPr="005F6C03">
        <w:rPr>
          <w:color w:val="000000" w:themeColor="text1"/>
        </w:rPr>
        <w:t>(e.g., endange</w:t>
      </w:r>
      <w:r w:rsidR="002202E9" w:rsidRPr="005F6C03">
        <w:rPr>
          <w:color w:val="000000" w:themeColor="text1"/>
        </w:rPr>
        <w:t xml:space="preserve">red species, worker protection </w:t>
      </w:r>
      <w:r w:rsidR="00875BB6" w:rsidRPr="005F6C03">
        <w:rPr>
          <w:color w:val="000000" w:themeColor="text1"/>
        </w:rPr>
        <w:t>and container containment)</w:t>
      </w:r>
      <w:r w:rsidR="004D63B0" w:rsidRPr="005F6C03">
        <w:rPr>
          <w:color w:val="000000" w:themeColor="text1"/>
        </w:rPr>
        <w:t xml:space="preserve"> and general record keeping </w:t>
      </w:r>
      <w:r w:rsidR="009944C2" w:rsidRPr="005F6C03">
        <w:rPr>
          <w:color w:val="000000" w:themeColor="text1"/>
        </w:rPr>
        <w:t xml:space="preserve">and grant closing </w:t>
      </w:r>
      <w:r w:rsidR="004D63B0" w:rsidRPr="005F6C03">
        <w:rPr>
          <w:color w:val="000000" w:themeColor="text1"/>
        </w:rPr>
        <w:t xml:space="preserve">requirements.  </w:t>
      </w:r>
      <w:r w:rsidR="00875BB6" w:rsidRPr="005F6C03">
        <w:rPr>
          <w:color w:val="000000" w:themeColor="text1"/>
        </w:rPr>
        <w:t xml:space="preserve">  </w:t>
      </w:r>
    </w:p>
    <w:p w14:paraId="4A418CDA" w14:textId="77777777" w:rsidR="000A171B" w:rsidRPr="005F6C03" w:rsidRDefault="000A171B" w:rsidP="00875BB6">
      <w:pPr>
        <w:ind w:left="720"/>
        <w:rPr>
          <w:color w:val="000000" w:themeColor="text1"/>
        </w:rPr>
      </w:pPr>
    </w:p>
    <w:p w14:paraId="407C582A" w14:textId="5D9AEB15" w:rsidR="00F04669" w:rsidRPr="005F6C03" w:rsidRDefault="00342EBC" w:rsidP="007070F3">
      <w:pPr>
        <w:rPr>
          <w:color w:val="000000" w:themeColor="text1"/>
        </w:rPr>
      </w:pPr>
      <w:r w:rsidRPr="005F6C03">
        <w:rPr>
          <w:color w:val="000000" w:themeColor="text1"/>
        </w:rPr>
        <w:t>The burden is accounted for in the EPA’s General Regulati</w:t>
      </w:r>
      <w:r w:rsidR="00DC1ABC" w:rsidRPr="005F6C03">
        <w:rPr>
          <w:color w:val="000000" w:themeColor="text1"/>
        </w:rPr>
        <w:t>on for Assistance Programs ICR (</w:t>
      </w:r>
      <w:r w:rsidRPr="005F6C03">
        <w:rPr>
          <w:color w:val="000000" w:themeColor="text1"/>
        </w:rPr>
        <w:t xml:space="preserve">OMB </w:t>
      </w:r>
      <w:r w:rsidR="00DC1ABC" w:rsidRPr="005F6C03">
        <w:rPr>
          <w:color w:val="000000" w:themeColor="text1"/>
        </w:rPr>
        <w:t xml:space="preserve">Control No. </w:t>
      </w:r>
      <w:r w:rsidRPr="005F6C03">
        <w:rPr>
          <w:color w:val="000000" w:themeColor="text1"/>
        </w:rPr>
        <w:t xml:space="preserve">2030-0020; EPA </w:t>
      </w:r>
      <w:r w:rsidR="00DC1ABC" w:rsidRPr="005F6C03">
        <w:rPr>
          <w:color w:val="000000" w:themeColor="text1"/>
        </w:rPr>
        <w:t xml:space="preserve">ICR No. </w:t>
      </w:r>
      <w:r w:rsidRPr="005F6C03">
        <w:rPr>
          <w:color w:val="000000" w:themeColor="text1"/>
        </w:rPr>
        <w:t>0938.18)</w:t>
      </w:r>
      <w:r w:rsidR="001E10A1" w:rsidRPr="005F6C03">
        <w:rPr>
          <w:color w:val="000000" w:themeColor="text1"/>
        </w:rPr>
        <w:t xml:space="preserve"> see Attachment B. </w:t>
      </w:r>
      <w:r w:rsidRPr="005F6C03">
        <w:rPr>
          <w:color w:val="000000" w:themeColor="text1"/>
        </w:rPr>
        <w:t xml:space="preserve"> </w:t>
      </w:r>
    </w:p>
    <w:p w14:paraId="602B9ED5" w14:textId="77777777" w:rsidR="009944C2" w:rsidRPr="005F6C03" w:rsidRDefault="009944C2" w:rsidP="00875BB6">
      <w:pPr>
        <w:ind w:left="720"/>
        <w:rPr>
          <w:color w:val="0070C0"/>
        </w:rPr>
      </w:pPr>
    </w:p>
    <w:p w14:paraId="04792B4C" w14:textId="77777777" w:rsidR="00F679FE" w:rsidRPr="005F6C03" w:rsidRDefault="00F679FE" w:rsidP="007070F3">
      <w:r w:rsidRPr="005F6C03">
        <w:t xml:space="preserve">This information is utilized by EPA project officers, grant specialists, and finance officials to manage/oversee recipient programmatic and financial performance under all EPA assistance agreements. Without the collection information, rational, fair grant awards would be extremely difficult </w:t>
      </w:r>
      <w:r w:rsidRPr="005F6C03">
        <w:lastRenderedPageBreak/>
        <w:t xml:space="preserve">to make, and financial and technical managerial information would not be available to judge the status of grant efforts. </w:t>
      </w:r>
    </w:p>
    <w:p w14:paraId="377EB4E3" w14:textId="77777777" w:rsidR="00875BB6" w:rsidRPr="005F6C03" w:rsidRDefault="00875BB6" w:rsidP="00875BB6"/>
    <w:p w14:paraId="12EE3DBC"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2(b). Practical Utility/Users of the Data.  </w:t>
      </w:r>
    </w:p>
    <w:p w14:paraId="58C323E5" w14:textId="7D5F5596" w:rsidR="00875BB6" w:rsidRPr="005F6C03" w:rsidRDefault="00875BB6" w:rsidP="00AC067D">
      <w:pPr>
        <w:keepLines/>
      </w:pPr>
      <w:r w:rsidRPr="005F6C03">
        <w:t>The pre-award information (work plan) is used to negotiate with and ensure that the applicants are proposing work activities that align with both national and regional guidance documents and priorities. The post-award information (</w:t>
      </w:r>
      <w:r w:rsidR="0056414B" w:rsidRPr="005F6C03">
        <w:t xml:space="preserve">interim </w:t>
      </w:r>
      <w:r w:rsidRPr="005F6C03">
        <w:t>reporting on work activities</w:t>
      </w:r>
      <w:r w:rsidR="0056414B" w:rsidRPr="005F6C03">
        <w:t xml:space="preserve"> and updates to </w:t>
      </w:r>
      <w:r w:rsidR="008F4523" w:rsidRPr="005F6C03">
        <w:t>work plan</w:t>
      </w:r>
      <w:r w:rsidRPr="005F6C03">
        <w:t xml:space="preserve">) is used to meet the statutory and regulatory requirements concerning monitoring recipient performance.  </w:t>
      </w:r>
      <w:r w:rsidR="0056414B" w:rsidRPr="005F6C03">
        <w:t xml:space="preserve">The after-the-grant information is used to meet reporting and recordkeeping requirements and to close out awards. </w:t>
      </w:r>
      <w:r w:rsidRPr="005F6C03">
        <w:t xml:space="preserve">The information is necessary to ensure accountability </w:t>
      </w:r>
      <w:r w:rsidR="009B781A" w:rsidRPr="005F6C03">
        <w:t>of</w:t>
      </w:r>
      <w:r w:rsidRPr="005F6C03">
        <w:t xml:space="preserve"> EPA funds and to deter wa</w:t>
      </w:r>
      <w:r w:rsidR="00AC067D" w:rsidRPr="005F6C03">
        <w:t>ste, fraud, and abuse.</w:t>
      </w:r>
      <w:r w:rsidR="00EE1496" w:rsidRPr="005F6C03">
        <w:t xml:space="preserve"> </w:t>
      </w:r>
    </w:p>
    <w:p w14:paraId="4D6369A1" w14:textId="76144864" w:rsidR="00EE1496" w:rsidRPr="005F6C03" w:rsidRDefault="00EE1496" w:rsidP="00AC067D">
      <w:pPr>
        <w:keepLines/>
      </w:pPr>
    </w:p>
    <w:p w14:paraId="50F99B96" w14:textId="21145FA7" w:rsidR="00EE1496" w:rsidRPr="005F6C03" w:rsidRDefault="00A5777D" w:rsidP="00EE1496">
      <w:pPr>
        <w:spacing w:after="160" w:line="259" w:lineRule="auto"/>
        <w:contextualSpacing/>
      </w:pPr>
      <w:r w:rsidRPr="005F6C03">
        <w:rPr>
          <w:bCs/>
        </w:rPr>
        <w:t xml:space="preserve">The benefits of </w:t>
      </w:r>
      <w:r w:rsidR="00E45D62" w:rsidRPr="005F6C03">
        <w:rPr>
          <w:bCs/>
        </w:rPr>
        <w:t xml:space="preserve">using the template format include </w:t>
      </w:r>
      <w:r w:rsidRPr="005F6C03">
        <w:rPr>
          <w:bCs/>
        </w:rPr>
        <w:t xml:space="preserve">a reduction of the </w:t>
      </w:r>
      <w:r w:rsidR="00EE1496" w:rsidRPr="005F6C03">
        <w:rPr>
          <w:bCs/>
        </w:rPr>
        <w:t>administrative burden on grantees and EPA by streamlining the workplan and report development.</w:t>
      </w:r>
      <w:r w:rsidR="00EE1496" w:rsidRPr="005F6C03">
        <w:t xml:space="preserve"> In addition, </w:t>
      </w:r>
      <w:r w:rsidR="00E45D62" w:rsidRPr="005F6C03">
        <w:t xml:space="preserve">the </w:t>
      </w:r>
      <w:r w:rsidRPr="005F6C03">
        <w:t xml:space="preserve">use of a standardized template </w:t>
      </w:r>
      <w:r w:rsidR="00E45D62" w:rsidRPr="005F6C03">
        <w:rPr>
          <w:bCs/>
        </w:rPr>
        <w:t xml:space="preserve">provides certainty of work </w:t>
      </w:r>
      <w:r w:rsidR="00EE1496" w:rsidRPr="005F6C03">
        <w:rPr>
          <w:bCs/>
        </w:rPr>
        <w:t>expectations and aids EPA’s oversight responsibility by aligning the grant guidance and the workplan. Lastly,</w:t>
      </w:r>
      <w:r w:rsidRPr="005F6C03">
        <w:rPr>
          <w:bCs/>
        </w:rPr>
        <w:t xml:space="preserve"> </w:t>
      </w:r>
      <w:r w:rsidR="00E45D62" w:rsidRPr="005F6C03">
        <w:rPr>
          <w:bCs/>
        </w:rPr>
        <w:t xml:space="preserve">the use of the template to report information to EPA standardizes the reporting information </w:t>
      </w:r>
      <w:r w:rsidR="00553EF5" w:rsidRPr="005F6C03">
        <w:rPr>
          <w:bCs/>
        </w:rPr>
        <w:t xml:space="preserve">nationally by </w:t>
      </w:r>
      <w:r w:rsidR="00EE1496" w:rsidRPr="005F6C03">
        <w:rPr>
          <w:bCs/>
        </w:rPr>
        <w:t>increas</w:t>
      </w:r>
      <w:r w:rsidR="00553EF5" w:rsidRPr="005F6C03">
        <w:rPr>
          <w:bCs/>
        </w:rPr>
        <w:t>ing</w:t>
      </w:r>
      <w:r w:rsidR="00EE1496" w:rsidRPr="005F6C03">
        <w:rPr>
          <w:bCs/>
        </w:rPr>
        <w:t xml:space="preserve"> national consistency in work plans and reports</w:t>
      </w:r>
      <w:r w:rsidR="002202E9" w:rsidRPr="005F6C03">
        <w:rPr>
          <w:bCs/>
        </w:rPr>
        <w:t xml:space="preserve">; and </w:t>
      </w:r>
      <w:r w:rsidR="00EE1496" w:rsidRPr="005F6C03">
        <w:rPr>
          <w:bCs/>
        </w:rPr>
        <w:t>facilitates national compilation of data to be able to use data analytics, look for trends, significant issues or innovations</w:t>
      </w:r>
    </w:p>
    <w:p w14:paraId="032A22F6" w14:textId="77777777" w:rsidR="00EE1496" w:rsidRPr="005F6C03" w:rsidRDefault="00EE1496" w:rsidP="00AC067D">
      <w:pPr>
        <w:keepLines/>
      </w:pPr>
    </w:p>
    <w:p w14:paraId="5144F6C9" w14:textId="6F62CD9E" w:rsidR="00875BB6" w:rsidRPr="005F6C03" w:rsidRDefault="00875BB6" w:rsidP="00AC067D">
      <w:pPr>
        <w:pStyle w:val="Heading1"/>
        <w:rPr>
          <w:rFonts w:ascii="Times New Roman" w:hAnsi="Times New Roman" w:cs="Times New Roman"/>
        </w:rPr>
      </w:pPr>
      <w:r w:rsidRPr="005F6C03">
        <w:rPr>
          <w:rFonts w:ascii="Times New Roman" w:hAnsi="Times New Roman" w:cs="Times New Roman"/>
        </w:rPr>
        <w:t>3.</w:t>
      </w:r>
      <w:r w:rsidRPr="005F6C03">
        <w:rPr>
          <w:rFonts w:ascii="Times New Roman" w:hAnsi="Times New Roman" w:cs="Times New Roman"/>
        </w:rPr>
        <w:tab/>
      </w:r>
      <w:r w:rsidR="00101ABD" w:rsidRPr="005F6C03">
        <w:rPr>
          <w:rFonts w:ascii="Times New Roman" w:hAnsi="Times New Roman" w:cs="Times New Roman"/>
        </w:rPr>
        <w:t>Non- Duplication</w:t>
      </w:r>
      <w:r w:rsidRPr="005F6C03">
        <w:rPr>
          <w:rFonts w:ascii="Times New Roman" w:hAnsi="Times New Roman" w:cs="Times New Roman"/>
        </w:rPr>
        <w:t>, Consultations, and Other Collection Criteria</w:t>
      </w:r>
    </w:p>
    <w:p w14:paraId="5DBC5AC1" w14:textId="3E2860B3"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3(a).  </w:t>
      </w:r>
      <w:r w:rsidR="00101ABD" w:rsidRPr="005F6C03">
        <w:rPr>
          <w:rFonts w:ascii="Times New Roman" w:hAnsi="Times New Roman" w:cs="Times New Roman"/>
        </w:rPr>
        <w:t>Non-Duplication</w:t>
      </w:r>
      <w:r w:rsidRPr="005F6C03">
        <w:rPr>
          <w:rFonts w:ascii="Times New Roman" w:hAnsi="Times New Roman" w:cs="Times New Roman"/>
        </w:rPr>
        <w:t xml:space="preserve">.  </w:t>
      </w:r>
    </w:p>
    <w:p w14:paraId="1DF280DF" w14:textId="5B7EF194" w:rsidR="00875BB6" w:rsidRPr="005F6C03" w:rsidRDefault="00875BB6" w:rsidP="007070F3">
      <w:pPr>
        <w:keepLines/>
        <w:rPr>
          <w:color w:val="000000" w:themeColor="text1"/>
        </w:rPr>
      </w:pPr>
      <w:r w:rsidRPr="005F6C03">
        <w:t xml:space="preserve">There is no other source for this information. </w:t>
      </w:r>
      <w:r w:rsidR="006E381C" w:rsidRPr="005F6C03">
        <w:t xml:space="preserve">Pursuant to the individual Cooperative </w:t>
      </w:r>
      <w:r w:rsidR="00BE5742" w:rsidRPr="005F6C03">
        <w:t>A</w:t>
      </w:r>
      <w:r w:rsidR="006E381C" w:rsidRPr="005F6C03">
        <w:t xml:space="preserve">greements, </w:t>
      </w:r>
      <w:r w:rsidR="00B916CD" w:rsidRPr="005F6C03">
        <w:rPr>
          <w:color w:val="000000" w:themeColor="text1"/>
        </w:rPr>
        <w:t xml:space="preserve">grantees </w:t>
      </w:r>
      <w:r w:rsidR="00BE5742" w:rsidRPr="005F6C03">
        <w:rPr>
          <w:color w:val="000000" w:themeColor="text1"/>
        </w:rPr>
        <w:t>must fulfill the work</w:t>
      </w:r>
      <w:r w:rsidR="008F4523" w:rsidRPr="005F6C03">
        <w:rPr>
          <w:color w:val="000000" w:themeColor="text1"/>
        </w:rPr>
        <w:t xml:space="preserve"> </w:t>
      </w:r>
      <w:r w:rsidR="00BE5742" w:rsidRPr="005F6C03">
        <w:rPr>
          <w:color w:val="000000" w:themeColor="text1"/>
        </w:rPr>
        <w:t xml:space="preserve">plan and </w:t>
      </w:r>
      <w:r w:rsidR="00B916CD" w:rsidRPr="005F6C03">
        <w:rPr>
          <w:color w:val="000000" w:themeColor="text1"/>
        </w:rPr>
        <w:t xml:space="preserve">reporting requirements </w:t>
      </w:r>
      <w:r w:rsidR="00BE5742" w:rsidRPr="005F6C03">
        <w:rPr>
          <w:color w:val="000000" w:themeColor="text1"/>
        </w:rPr>
        <w:t xml:space="preserve">by utilizing </w:t>
      </w:r>
      <w:r w:rsidR="00B916CD" w:rsidRPr="005F6C03">
        <w:rPr>
          <w:color w:val="000000" w:themeColor="text1"/>
        </w:rPr>
        <w:t xml:space="preserve">the </w:t>
      </w:r>
      <w:r w:rsidR="00DA2E69" w:rsidRPr="005F6C03">
        <w:rPr>
          <w:color w:val="000000" w:themeColor="text1"/>
        </w:rPr>
        <w:t>Template</w:t>
      </w:r>
      <w:r w:rsidR="00BE5742" w:rsidRPr="005F6C03">
        <w:rPr>
          <w:color w:val="000000" w:themeColor="text1"/>
        </w:rPr>
        <w:t xml:space="preserve">.  Thus, grantees do not need to submit reports via </w:t>
      </w:r>
      <w:r w:rsidR="00B916CD" w:rsidRPr="005F6C03">
        <w:rPr>
          <w:color w:val="000000" w:themeColor="text1"/>
        </w:rPr>
        <w:t>paper copy</w:t>
      </w:r>
      <w:r w:rsidR="006E381C" w:rsidRPr="005F6C03">
        <w:rPr>
          <w:color w:val="000000" w:themeColor="text1"/>
        </w:rPr>
        <w:t xml:space="preserve">. </w:t>
      </w:r>
      <w:r w:rsidR="00342FE5" w:rsidRPr="005F6C03">
        <w:rPr>
          <w:color w:val="000000" w:themeColor="text1"/>
        </w:rPr>
        <w:t xml:space="preserve"> </w:t>
      </w:r>
    </w:p>
    <w:p w14:paraId="7B46ADEB" w14:textId="77777777" w:rsidR="00875BB6" w:rsidRPr="005F6C03" w:rsidRDefault="00875BB6" w:rsidP="00875BB6">
      <w:pPr>
        <w:keepLines/>
        <w:ind w:left="720"/>
      </w:pPr>
    </w:p>
    <w:p w14:paraId="618B1870"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3(b).  Public Notice Required Prior to ICR Submission to OMB.</w:t>
      </w:r>
      <w:r w:rsidRPr="005F6C03">
        <w:rPr>
          <w:rFonts w:ascii="Times New Roman" w:hAnsi="Times New Roman" w:cs="Times New Roman"/>
          <w:u w:val="single"/>
        </w:rPr>
        <w:t xml:space="preserve">  </w:t>
      </w:r>
    </w:p>
    <w:p w14:paraId="30357B7F" w14:textId="3667CF31" w:rsidR="00875BB6" w:rsidRPr="005F6C03" w:rsidRDefault="00875BB6" w:rsidP="007070F3">
      <w:pPr>
        <w:keepNext/>
        <w:keepLines/>
      </w:pPr>
      <w:r w:rsidRPr="005F6C03">
        <w:t xml:space="preserve">Pursuant to 5 CFR 1320.8(d) </w:t>
      </w:r>
      <w:r w:rsidR="00A96E3E" w:rsidRPr="00A96E3E">
        <w:t>EPA</w:t>
      </w:r>
      <w:r w:rsidR="00E45D62" w:rsidRPr="00A96E3E">
        <w:t xml:space="preserve"> </w:t>
      </w:r>
      <w:r w:rsidRPr="00A96E3E">
        <w:t>publish</w:t>
      </w:r>
      <w:r w:rsidR="001D033E" w:rsidRPr="00A96E3E">
        <w:t>ed</w:t>
      </w:r>
      <w:r w:rsidR="002866D6" w:rsidRPr="00A96E3E">
        <w:t xml:space="preserve"> a</w:t>
      </w:r>
      <w:r w:rsidRPr="00A96E3E">
        <w:t xml:space="preserve"> </w:t>
      </w:r>
      <w:r w:rsidR="002866D6" w:rsidRPr="00A96E3E">
        <w:t xml:space="preserve">Federal Register </w:t>
      </w:r>
      <w:r w:rsidRPr="00A96E3E">
        <w:t>notice</w:t>
      </w:r>
      <w:r w:rsidR="001E01C7">
        <w:t xml:space="preserve"> on September 2</w:t>
      </w:r>
      <w:r w:rsidR="00C64683">
        <w:t>8</w:t>
      </w:r>
      <w:r w:rsidR="001E01C7">
        <w:t>, 2018</w:t>
      </w:r>
      <w:r w:rsidR="00A96E3E" w:rsidRPr="00A96E3E">
        <w:t>,</w:t>
      </w:r>
      <w:r w:rsidR="002866D6" w:rsidRPr="00A96E3E">
        <w:t xml:space="preserve"> </w:t>
      </w:r>
      <w:r w:rsidR="001E01C7">
        <w:t>(83 FR 49089)(</w:t>
      </w:r>
      <w:r w:rsidR="00A96E3E" w:rsidRPr="00A96E3E">
        <w:t>FRL-9983-13</w:t>
      </w:r>
      <w:r w:rsidR="001E01C7">
        <w:t>)</w:t>
      </w:r>
      <w:r w:rsidR="00A96E3E" w:rsidRPr="00A96E3E">
        <w:t>,</w:t>
      </w:r>
      <w:r w:rsidR="00E45D62" w:rsidRPr="00A96E3E">
        <w:t xml:space="preserve"> </w:t>
      </w:r>
      <w:r w:rsidR="0012031E" w:rsidRPr="00A96E3E">
        <w:t>provid</w:t>
      </w:r>
      <w:r w:rsidR="00A96E3E" w:rsidRPr="00A96E3E">
        <w:t>ing</w:t>
      </w:r>
      <w:r w:rsidR="0012031E" w:rsidRPr="00A96E3E">
        <w:t xml:space="preserve"> a </w:t>
      </w:r>
      <w:r w:rsidR="002202E9" w:rsidRPr="00A96E3E">
        <w:t>60-day</w:t>
      </w:r>
      <w:r w:rsidR="0012031E" w:rsidRPr="00A96E3E">
        <w:t xml:space="preserve"> </w:t>
      </w:r>
      <w:r w:rsidRPr="00A96E3E">
        <w:t>public comment on this proposed Information Collection activity.</w:t>
      </w:r>
      <w:r w:rsidR="002866D6" w:rsidRPr="00A96E3E">
        <w:t xml:space="preserve"> </w:t>
      </w:r>
      <w:r w:rsidR="001E01C7">
        <w:t xml:space="preserve">The one public comment received in the docket for this action does not address the ICR’s activities or estimated burden or cost. Therefore, the Agency did not make any changes to the ICR. </w:t>
      </w:r>
      <w:r w:rsidR="00E45D62" w:rsidRPr="00A96E3E">
        <w:t xml:space="preserve">Any </w:t>
      </w:r>
      <w:r w:rsidR="001E01C7">
        <w:t xml:space="preserve">additional </w:t>
      </w:r>
      <w:r w:rsidR="00E45D62" w:rsidRPr="00A96E3E">
        <w:t>public comment</w:t>
      </w:r>
      <w:r w:rsidR="001E01C7">
        <w:t>s that</w:t>
      </w:r>
      <w:r w:rsidR="00E45D62" w:rsidRPr="00A96E3E">
        <w:t xml:space="preserve"> </w:t>
      </w:r>
      <w:r w:rsidR="002866D6" w:rsidRPr="00A96E3E">
        <w:t>EPA receive</w:t>
      </w:r>
      <w:r w:rsidR="00E45D62" w:rsidRPr="00A96E3E">
        <w:t>s</w:t>
      </w:r>
      <w:r w:rsidR="002866D6" w:rsidRPr="00A96E3E">
        <w:t xml:space="preserve"> </w:t>
      </w:r>
      <w:r w:rsidR="00E45D62" w:rsidRPr="00A96E3E">
        <w:t>will be placed in the docket for this action, EPA-HQ-OPP-2018-0418.</w:t>
      </w:r>
      <w:r w:rsidR="00E45D62" w:rsidRPr="005F6C03">
        <w:t xml:space="preserve">  </w:t>
      </w:r>
    </w:p>
    <w:p w14:paraId="0ECF85D1" w14:textId="77777777" w:rsidR="00875BB6" w:rsidRPr="005F6C03" w:rsidRDefault="00875BB6" w:rsidP="00875BB6">
      <w:pPr>
        <w:keepLines/>
        <w:ind w:left="720"/>
      </w:pPr>
      <w:r w:rsidRPr="005F6C03">
        <w:t xml:space="preserve">  </w:t>
      </w:r>
    </w:p>
    <w:p w14:paraId="4A4D4BC3" w14:textId="77777777" w:rsidR="00875BB6"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3(c).  Consultations.  </w:t>
      </w:r>
    </w:p>
    <w:p w14:paraId="1ECDC6F9" w14:textId="4C8B8798" w:rsidR="007A7291" w:rsidRPr="005F6C03" w:rsidRDefault="00101ABD" w:rsidP="007070F3">
      <w:pPr>
        <w:pStyle w:val="Default"/>
        <w:rPr>
          <w:rFonts w:ascii="Times New Roman" w:hAnsi="Times New Roman" w:cs="Times New Roman"/>
          <w:color w:val="0070C0"/>
        </w:rPr>
      </w:pPr>
      <w:r w:rsidRPr="005F6C03">
        <w:rPr>
          <w:rFonts w:ascii="Times New Roman" w:hAnsi="Times New Roman" w:cs="Times New Roman"/>
        </w:rPr>
        <w:t>As required under 5 CFR 1320.8(d)(1), the Agency consult</w:t>
      </w:r>
      <w:r w:rsidR="0021244A">
        <w:rPr>
          <w:rFonts w:ascii="Times New Roman" w:hAnsi="Times New Roman" w:cs="Times New Roman"/>
        </w:rPr>
        <w:t>ed</w:t>
      </w:r>
      <w:r w:rsidRPr="005F6C03">
        <w:rPr>
          <w:rFonts w:ascii="Times New Roman" w:hAnsi="Times New Roman" w:cs="Times New Roman"/>
        </w:rPr>
        <w:t xml:space="preserve"> with stakeholders who actively interact with the Agency through the use of this collection instrument and solicit</w:t>
      </w:r>
      <w:r w:rsidR="0021244A">
        <w:rPr>
          <w:rFonts w:ascii="Times New Roman" w:hAnsi="Times New Roman" w:cs="Times New Roman"/>
        </w:rPr>
        <w:t>ed</w:t>
      </w:r>
      <w:r w:rsidRPr="005F6C03">
        <w:rPr>
          <w:rFonts w:ascii="Times New Roman" w:hAnsi="Times New Roman" w:cs="Times New Roman"/>
        </w:rPr>
        <w:t xml:space="preserve"> stakeholder assessment of the regulatory burden estimates expressed by the Agency in this ICR. A record of the consultations </w:t>
      </w:r>
      <w:r w:rsidR="0021244A">
        <w:rPr>
          <w:rFonts w:ascii="Times New Roman" w:hAnsi="Times New Roman" w:cs="Times New Roman"/>
        </w:rPr>
        <w:t>is</w:t>
      </w:r>
      <w:r w:rsidRPr="005F6C03">
        <w:rPr>
          <w:rFonts w:ascii="Times New Roman" w:hAnsi="Times New Roman" w:cs="Times New Roman"/>
        </w:rPr>
        <w:t xml:space="preserve"> placed in the EPA docket for this action</w:t>
      </w:r>
      <w:r w:rsidR="0021244A">
        <w:rPr>
          <w:rFonts w:ascii="Times New Roman" w:hAnsi="Times New Roman" w:cs="Times New Roman"/>
        </w:rPr>
        <w:t xml:space="preserve"> (Attachment C).</w:t>
      </w:r>
      <w:r w:rsidR="007A7291" w:rsidRPr="005F6C03">
        <w:rPr>
          <w:rFonts w:ascii="Times New Roman" w:hAnsi="Times New Roman" w:cs="Times New Roman"/>
          <w:color w:val="000000" w:themeColor="text1"/>
        </w:rPr>
        <w:t xml:space="preserve"> </w:t>
      </w:r>
    </w:p>
    <w:p w14:paraId="5756FBF9" w14:textId="77777777" w:rsidR="007A7291" w:rsidRPr="005F6C03" w:rsidRDefault="007A7291" w:rsidP="007A7291"/>
    <w:p w14:paraId="3F0D5E2B"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3(d).  Effects of Less Frequent Collection.  </w:t>
      </w:r>
    </w:p>
    <w:p w14:paraId="7EE261DF" w14:textId="77777777" w:rsidR="00875BB6" w:rsidRPr="005F6C03" w:rsidRDefault="00875BB6" w:rsidP="007070F3">
      <w:r w:rsidRPr="005F6C03">
        <w:t>No less frequent collection is possible in accordance with OMB requirements.</w:t>
      </w:r>
    </w:p>
    <w:p w14:paraId="4DD1A870" w14:textId="77777777" w:rsidR="00875BB6" w:rsidRPr="005F6C03" w:rsidRDefault="00875BB6" w:rsidP="00875BB6"/>
    <w:p w14:paraId="7F37B769" w14:textId="77777777" w:rsidR="00875BB6" w:rsidRPr="005F6C03" w:rsidRDefault="00875BB6" w:rsidP="007070F3">
      <w:pPr>
        <w:pStyle w:val="Heading2"/>
        <w:rPr>
          <w:rFonts w:ascii="Times New Roman" w:hAnsi="Times New Roman" w:cs="Times New Roman"/>
        </w:rPr>
      </w:pPr>
      <w:r w:rsidRPr="005F6C03">
        <w:rPr>
          <w:rFonts w:ascii="Times New Roman" w:hAnsi="Times New Roman" w:cs="Times New Roman"/>
        </w:rPr>
        <w:t>3(e).  General Guidelines</w:t>
      </w:r>
      <w:r w:rsidRPr="005F6C03">
        <w:rPr>
          <w:rFonts w:ascii="Times New Roman" w:hAnsi="Times New Roman" w:cs="Times New Roman"/>
          <w:color w:val="7030A0"/>
        </w:rPr>
        <w:t xml:space="preserve">. </w:t>
      </w:r>
    </w:p>
    <w:p w14:paraId="17843879" w14:textId="120DB731" w:rsidR="00875BB6" w:rsidRPr="005F6C03" w:rsidRDefault="004C0B3B" w:rsidP="007070F3">
      <w:r w:rsidRPr="005F6C03">
        <w:t>R</w:t>
      </w:r>
      <w:r w:rsidR="00875BB6" w:rsidRPr="005F6C03">
        <w:t xml:space="preserve">ecipients keep their records for </w:t>
      </w:r>
      <w:r w:rsidRPr="005F6C03">
        <w:t xml:space="preserve">three </w:t>
      </w:r>
      <w:r w:rsidR="00875BB6" w:rsidRPr="005F6C03">
        <w:t>(</w:t>
      </w:r>
      <w:r w:rsidRPr="005F6C03">
        <w:t>3</w:t>
      </w:r>
      <w:r w:rsidR="00875BB6" w:rsidRPr="005F6C03">
        <w:t xml:space="preserve">) years after the date they submit the final SF 269, “Financial Status Report” unless otherwise directed by EPA. </w:t>
      </w:r>
      <w:r w:rsidR="00270CE1" w:rsidRPr="005F6C03">
        <w:t>Therefore,</w:t>
      </w:r>
      <w:r w:rsidR="00875BB6" w:rsidRPr="005F6C03">
        <w:t xml:space="preserve"> the recordkeeping activities briefly </w:t>
      </w:r>
      <w:r w:rsidR="00875BB6" w:rsidRPr="005F6C03">
        <w:lastRenderedPageBreak/>
        <w:t xml:space="preserve">described herein </w:t>
      </w:r>
      <w:r w:rsidRPr="005F6C03">
        <w:t xml:space="preserve">are in compliance with </w:t>
      </w:r>
      <w:r w:rsidR="00875BB6" w:rsidRPr="005F6C03">
        <w:t xml:space="preserve">OMB’s guideline that agencies not require that records be retained for more than 3 years (5 CFR 1320.5(d)(2)(iv)). </w:t>
      </w:r>
    </w:p>
    <w:p w14:paraId="46774137" w14:textId="77777777" w:rsidR="00875BB6" w:rsidRPr="005F6C03" w:rsidRDefault="00875BB6" w:rsidP="00875BB6"/>
    <w:p w14:paraId="680DAADA" w14:textId="77777777" w:rsidR="00875BB6" w:rsidRPr="005F6C03" w:rsidRDefault="00875BB6" w:rsidP="007070F3">
      <w:pPr>
        <w:pStyle w:val="Heading3"/>
        <w:rPr>
          <w:rFonts w:ascii="Times New Roman" w:hAnsi="Times New Roman" w:cs="Times New Roman"/>
        </w:rPr>
      </w:pPr>
      <w:r w:rsidRPr="005F6C03">
        <w:rPr>
          <w:rFonts w:ascii="Times New Roman" w:hAnsi="Times New Roman" w:cs="Times New Roman"/>
        </w:rPr>
        <w:t>3(e</w:t>
      </w:r>
      <w:r w:rsidR="009E16A4" w:rsidRPr="005F6C03">
        <w:rPr>
          <w:rFonts w:ascii="Times New Roman" w:hAnsi="Times New Roman" w:cs="Times New Roman"/>
        </w:rPr>
        <w:t>) (</w:t>
      </w:r>
      <w:r w:rsidRPr="005F6C03">
        <w:rPr>
          <w:rFonts w:ascii="Times New Roman" w:hAnsi="Times New Roman" w:cs="Times New Roman"/>
        </w:rPr>
        <w:t>1). Forms</w:t>
      </w:r>
      <w:r w:rsidR="0038184B" w:rsidRPr="005F6C03">
        <w:rPr>
          <w:rFonts w:ascii="Times New Roman" w:hAnsi="Times New Roman" w:cs="Times New Roman"/>
        </w:rPr>
        <w:t>.</w:t>
      </w:r>
      <w:r w:rsidRPr="005F6C03">
        <w:rPr>
          <w:rFonts w:ascii="Times New Roman" w:hAnsi="Times New Roman" w:cs="Times New Roman"/>
        </w:rPr>
        <w:t xml:space="preserve"> </w:t>
      </w:r>
    </w:p>
    <w:p w14:paraId="6F605F29" w14:textId="4325C957" w:rsidR="00875BB6" w:rsidRPr="005F6C03" w:rsidRDefault="00875BB6" w:rsidP="007070F3">
      <w:pPr>
        <w:keepLines/>
        <w:rPr>
          <w:b/>
        </w:rPr>
      </w:pPr>
      <w:r w:rsidRPr="005F6C03">
        <w:t>Respondent</w:t>
      </w:r>
      <w:r w:rsidR="003E0ADC" w:rsidRPr="005F6C03">
        <w:t>s (</w:t>
      </w:r>
      <w:r w:rsidRPr="005F6C03">
        <w:t>grantees</w:t>
      </w:r>
      <w:r w:rsidR="003E0ADC" w:rsidRPr="005F6C03">
        <w:t>)</w:t>
      </w:r>
      <w:r w:rsidRPr="005F6C03">
        <w:t xml:space="preserve"> fill out the “FIFRA Cooperative Agreement Work Plan and Report,” a </w:t>
      </w:r>
      <w:r w:rsidR="00DA2E69" w:rsidRPr="005F6C03">
        <w:t>Template</w:t>
      </w:r>
      <w:r w:rsidRPr="005F6C03">
        <w:t xml:space="preserve"> that is available via the internet and available to the States, territories and Tribes who have FIFRA cooperative agreements with EPA.</w:t>
      </w:r>
      <w:r w:rsidR="004F52D7" w:rsidRPr="005F6C03">
        <w:t xml:space="preserve"> </w:t>
      </w:r>
    </w:p>
    <w:p w14:paraId="5F2F8C4C" w14:textId="4EF7498D" w:rsidR="00875BB6" w:rsidRPr="005F6C03" w:rsidRDefault="00875BB6" w:rsidP="000318DF">
      <w:pPr>
        <w:keepLines/>
        <w:rPr>
          <w:color w:val="0070C0"/>
        </w:rPr>
      </w:pPr>
      <w:r w:rsidRPr="005F6C03">
        <w:rPr>
          <w:color w:val="0070C0"/>
        </w:rPr>
        <w:t xml:space="preserve">  </w:t>
      </w:r>
    </w:p>
    <w:p w14:paraId="3E2628BC"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3(f).  Confidentiality.  </w:t>
      </w:r>
    </w:p>
    <w:p w14:paraId="58F58811" w14:textId="77777777" w:rsidR="00875BB6" w:rsidRPr="005F6C03" w:rsidRDefault="00875BB6" w:rsidP="007070F3">
      <w:pPr>
        <w:keepLines/>
      </w:pPr>
      <w:r w:rsidRPr="005F6C03">
        <w:t>No pledge of confidentiality is given for applicant responses.</w:t>
      </w:r>
    </w:p>
    <w:p w14:paraId="5E71D0DC" w14:textId="77777777" w:rsidR="00875BB6" w:rsidRPr="005F6C03" w:rsidRDefault="00875BB6" w:rsidP="00875BB6">
      <w:pPr>
        <w:ind w:left="720"/>
      </w:pPr>
    </w:p>
    <w:p w14:paraId="4F667C36"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3(g).  Sensitive Questions.  </w:t>
      </w:r>
    </w:p>
    <w:p w14:paraId="29B7F9DD" w14:textId="77777777" w:rsidR="007070F3" w:rsidRPr="005F6C03" w:rsidRDefault="00875BB6" w:rsidP="007070F3">
      <w:r w:rsidRPr="005F6C03">
        <w:t xml:space="preserve">No sensitive information is collected under this ICR. </w:t>
      </w:r>
    </w:p>
    <w:p w14:paraId="44FFEE30" w14:textId="77777777" w:rsidR="00A821A8" w:rsidRPr="005F6C03" w:rsidRDefault="00A821A8" w:rsidP="007070F3"/>
    <w:p w14:paraId="1CC6112D" w14:textId="69466777" w:rsidR="00A821A8" w:rsidRPr="005F6C03" w:rsidRDefault="00A821A8" w:rsidP="00A821A8">
      <w:pPr>
        <w:pStyle w:val="Heading2"/>
        <w:rPr>
          <w:rFonts w:ascii="Times New Roman" w:hAnsi="Times New Roman" w:cs="Times New Roman"/>
        </w:rPr>
      </w:pPr>
      <w:r w:rsidRPr="005F6C03">
        <w:rPr>
          <w:rFonts w:ascii="Times New Roman" w:hAnsi="Times New Roman" w:cs="Times New Roman"/>
        </w:rPr>
        <w:t xml:space="preserve">3(h).  Use of Technology to </w:t>
      </w:r>
      <w:r w:rsidR="00231F1C" w:rsidRPr="005F6C03">
        <w:rPr>
          <w:rFonts w:ascii="Times New Roman" w:hAnsi="Times New Roman" w:cs="Times New Roman"/>
        </w:rPr>
        <w:t>Minimize</w:t>
      </w:r>
      <w:r w:rsidRPr="005F6C03">
        <w:rPr>
          <w:rFonts w:ascii="Times New Roman" w:hAnsi="Times New Roman" w:cs="Times New Roman"/>
        </w:rPr>
        <w:t xml:space="preserve"> Burden.  </w:t>
      </w:r>
    </w:p>
    <w:p w14:paraId="758D9B86" w14:textId="7A78C922" w:rsidR="00A821A8" w:rsidRPr="005F6C03" w:rsidRDefault="00231F1C" w:rsidP="00A821A8">
      <w:r w:rsidRPr="005F6C03">
        <w:t xml:space="preserve">The </w:t>
      </w:r>
      <w:r w:rsidR="00DA2E69" w:rsidRPr="005F6C03">
        <w:t>Template</w:t>
      </w:r>
      <w:r w:rsidRPr="005F6C03">
        <w:t xml:space="preserve"> was developed at the suggestion of and in collaboration with several STAG participants. The standardize</w:t>
      </w:r>
      <w:r w:rsidR="00861814" w:rsidRPr="005F6C03">
        <w:t>d</w:t>
      </w:r>
      <w:r w:rsidRPr="005F6C03">
        <w:t xml:space="preserve"> </w:t>
      </w:r>
      <w:r w:rsidR="00DA2E69" w:rsidRPr="005F6C03">
        <w:t>Template</w:t>
      </w:r>
      <w:r w:rsidRPr="005F6C03">
        <w:t xml:space="preserve"> for use in creating the work plan and subsequent reporting was created to help reduce the administrative burden of the cooperative agreement process on both the participants and EPA. By increasing consistency in the work plans and reports throughout the country, the </w:t>
      </w:r>
      <w:r w:rsidR="00DA2E69" w:rsidRPr="005F6C03">
        <w:t>Template</w:t>
      </w:r>
      <w:r w:rsidRPr="005F6C03">
        <w:t xml:space="preserve"> is also expected to facilitate national compilation of </w:t>
      </w:r>
      <w:r w:rsidR="00A96E3E" w:rsidRPr="005F6C03">
        <w:t>data and</w:t>
      </w:r>
      <w:r w:rsidRPr="005F6C03">
        <w:t xml:space="preserve"> receiving the information in a standardized format does facilitate the Agency’s review and use of the information provided</w:t>
      </w:r>
      <w:r w:rsidR="00A821A8" w:rsidRPr="005F6C03">
        <w:t xml:space="preserve">. </w:t>
      </w:r>
    </w:p>
    <w:p w14:paraId="53A9D759" w14:textId="77777777" w:rsidR="00A821A8" w:rsidRPr="005F6C03" w:rsidRDefault="00A821A8" w:rsidP="007070F3"/>
    <w:p w14:paraId="11F94963" w14:textId="77777777" w:rsidR="00875BB6" w:rsidRPr="005F6C03" w:rsidRDefault="00875BB6" w:rsidP="007070F3">
      <w:pPr>
        <w:pStyle w:val="Heading1"/>
        <w:rPr>
          <w:rFonts w:ascii="Times New Roman" w:hAnsi="Times New Roman" w:cs="Times New Roman"/>
        </w:rPr>
      </w:pPr>
      <w:r w:rsidRPr="005F6C03">
        <w:rPr>
          <w:rFonts w:ascii="Times New Roman" w:hAnsi="Times New Roman" w:cs="Times New Roman"/>
        </w:rPr>
        <w:t>4.</w:t>
      </w:r>
      <w:r w:rsidRPr="005F6C03">
        <w:rPr>
          <w:rFonts w:ascii="Times New Roman" w:hAnsi="Times New Roman" w:cs="Times New Roman"/>
        </w:rPr>
        <w:tab/>
        <w:t xml:space="preserve">The Respondents and the Information Requested   </w:t>
      </w:r>
    </w:p>
    <w:p w14:paraId="238113FD" w14:textId="77777777" w:rsidR="007070F3" w:rsidRPr="005F6C03" w:rsidRDefault="00875BB6" w:rsidP="007070F3">
      <w:pPr>
        <w:pStyle w:val="Heading2"/>
        <w:rPr>
          <w:rFonts w:ascii="Times New Roman" w:hAnsi="Times New Roman" w:cs="Times New Roman"/>
        </w:rPr>
      </w:pPr>
      <w:r w:rsidRPr="005F6C03">
        <w:rPr>
          <w:rFonts w:ascii="Times New Roman" w:hAnsi="Times New Roman" w:cs="Times New Roman"/>
        </w:rPr>
        <w:t xml:space="preserve">4(a).  Respondents/SIC Codes.  </w:t>
      </w:r>
    </w:p>
    <w:p w14:paraId="29E88D27" w14:textId="77777777" w:rsidR="00875BB6" w:rsidRPr="005F6C03" w:rsidRDefault="00875BB6" w:rsidP="007070F3">
      <w:r w:rsidRPr="005F6C03">
        <w:t xml:space="preserve">The primary </w:t>
      </w:r>
      <w:bookmarkStart w:id="2" w:name="_Hlk514149873"/>
      <w:r w:rsidRPr="005F6C03">
        <w:t xml:space="preserve">recipients of EPA grants are State and local governments and Indian </w:t>
      </w:r>
      <w:r w:rsidR="00F675BD" w:rsidRPr="005F6C03">
        <w:t>t</w:t>
      </w:r>
      <w:r w:rsidRPr="005F6C03">
        <w:t>ribes</w:t>
      </w:r>
      <w:bookmarkEnd w:id="2"/>
      <w:r w:rsidRPr="005F6C03">
        <w:t xml:space="preserve">.  The information requested is used to make awards, pay recipients, and collect information on how Federal funds are being spent.  The corresponding North American Industry Classification System (NAICS) Codes for respondents include: </w:t>
      </w:r>
      <w:r w:rsidRPr="005F6C03">
        <w:rPr>
          <w:b/>
        </w:rPr>
        <w:t>9241</w:t>
      </w:r>
      <w:r w:rsidRPr="005F6C03">
        <w:t xml:space="preserve"> - </w:t>
      </w:r>
      <w:r w:rsidR="00DA6E26" w:rsidRPr="005F6C03">
        <w:t>Administration of Environmental Quality Programs;</w:t>
      </w:r>
      <w:r w:rsidRPr="005F6C03">
        <w:t xml:space="preserve"> </w:t>
      </w:r>
      <w:r w:rsidRPr="005F6C03">
        <w:rPr>
          <w:b/>
        </w:rPr>
        <w:t>9211</w:t>
      </w:r>
      <w:r w:rsidR="00DA6E26" w:rsidRPr="005F6C03">
        <w:rPr>
          <w:b/>
        </w:rPr>
        <w:t>50</w:t>
      </w:r>
      <w:r w:rsidRPr="005F6C03">
        <w:rPr>
          <w:b/>
        </w:rPr>
        <w:t xml:space="preserve"> </w:t>
      </w:r>
      <w:r w:rsidRPr="005F6C03">
        <w:t xml:space="preserve">American Indians and Alaska Native Tribal Governments.  </w:t>
      </w:r>
    </w:p>
    <w:p w14:paraId="597BEC81" w14:textId="77777777" w:rsidR="00875BB6" w:rsidRPr="005F6C03" w:rsidRDefault="00875BB6" w:rsidP="00875BB6">
      <w:pPr>
        <w:ind w:left="720"/>
      </w:pPr>
    </w:p>
    <w:p w14:paraId="022CFAD1" w14:textId="77777777" w:rsidR="00875BB6" w:rsidRPr="005F6C03" w:rsidRDefault="00875BB6" w:rsidP="007070F3">
      <w:pPr>
        <w:pStyle w:val="Heading2"/>
        <w:rPr>
          <w:rFonts w:ascii="Times New Roman" w:hAnsi="Times New Roman" w:cs="Times New Roman"/>
        </w:rPr>
      </w:pPr>
      <w:r w:rsidRPr="005F6C03">
        <w:rPr>
          <w:rFonts w:ascii="Times New Roman" w:hAnsi="Times New Roman" w:cs="Times New Roman"/>
        </w:rPr>
        <w:t>4(b</w:t>
      </w:r>
      <w:r w:rsidR="009E16A4" w:rsidRPr="005F6C03">
        <w:rPr>
          <w:rFonts w:ascii="Times New Roman" w:hAnsi="Times New Roman" w:cs="Times New Roman"/>
        </w:rPr>
        <w:t>)(</w:t>
      </w:r>
      <w:r w:rsidRPr="005F6C03">
        <w:rPr>
          <w:rFonts w:ascii="Times New Roman" w:hAnsi="Times New Roman" w:cs="Times New Roman"/>
        </w:rPr>
        <w:t>i).  Information Requested - Data Items, Including Record Keeping Requirements.</w:t>
      </w:r>
    </w:p>
    <w:p w14:paraId="129ED143" w14:textId="54CE51F9" w:rsidR="000D3DC0" w:rsidRPr="005F6C03" w:rsidRDefault="00875BB6" w:rsidP="007070F3">
      <w:r w:rsidRPr="005F6C03">
        <w:t xml:space="preserve">The following describes the Respondent burden activities when using the </w:t>
      </w:r>
      <w:r w:rsidR="00DA2E69" w:rsidRPr="005F6C03">
        <w:t>Template</w:t>
      </w:r>
      <w:r w:rsidRPr="005F6C03">
        <w:t xml:space="preserve"> to submit the status of the </w:t>
      </w:r>
      <w:r w:rsidR="008F4523" w:rsidRPr="005F6C03">
        <w:t>work plan</w:t>
      </w:r>
      <w:r w:rsidRPr="005F6C03">
        <w:t xml:space="preserve"> and other reporting activities</w:t>
      </w:r>
      <w:r w:rsidR="00382C83" w:rsidRPr="005F6C03">
        <w:t xml:space="preserve">. </w:t>
      </w:r>
      <w:r w:rsidR="000D3DC0" w:rsidRPr="005F6C03">
        <w:t xml:space="preserve">Under 40 CFR part 35.107 grantees are required to submit a work plan. The FIFRA Work Plan and Report </w:t>
      </w:r>
      <w:r w:rsidR="00DA2E69" w:rsidRPr="005F6C03">
        <w:t>Template</w:t>
      </w:r>
      <w:r w:rsidR="000D3DC0" w:rsidRPr="005F6C03">
        <w:t xml:space="preserve"> contains a work plan tab for the grantee to insert the exact activities the grantee will be completing based upon the priorities as specified in the National FIFRA Cooperative Agreement Guidance that is revised on a three (3) year cycle, and as negotiated between the regions and grantees. These priorities fall broadly under the categories of </w:t>
      </w:r>
      <w:bookmarkStart w:id="3" w:name="_Hlk514150071"/>
      <w:r w:rsidR="000D3DC0" w:rsidRPr="005F6C03">
        <w:t xml:space="preserve">programmatic work, compliance and enforcement, and certification and training of pesticide applicators. </w:t>
      </w:r>
      <w:bookmarkEnd w:id="3"/>
      <w:r w:rsidR="000D3DC0" w:rsidRPr="005F6C03">
        <w:t xml:space="preserve">Under 40 CFR part 35.115 grantees are required to submit an end of year report. The </w:t>
      </w:r>
      <w:r w:rsidR="00DA2E69" w:rsidRPr="005F6C03">
        <w:t>Template</w:t>
      </w:r>
      <w:r w:rsidR="000D3DC0" w:rsidRPr="005F6C03">
        <w:t xml:space="preserve"> contains specific reporting tabs for enforcement outputs, as well as space within the work plan tab to discuss accomplishments as measured against work plan commitments. </w:t>
      </w:r>
    </w:p>
    <w:p w14:paraId="73FCD8C5" w14:textId="6169E03C" w:rsidR="00F04669" w:rsidRPr="005F6C03" w:rsidRDefault="00C20BF4" w:rsidP="00F04669">
      <w:pPr>
        <w:ind w:left="720"/>
      </w:pPr>
      <w:r w:rsidRPr="005F6C03">
        <w:t xml:space="preserve">   </w:t>
      </w:r>
    </w:p>
    <w:p w14:paraId="1FDDE3B7" w14:textId="44CA1ED8" w:rsidR="00875BB6" w:rsidRDefault="000B15F4" w:rsidP="007070F3">
      <w:r w:rsidRPr="005F6C03">
        <w:t>I</w:t>
      </w:r>
      <w:r w:rsidR="00CC602E" w:rsidRPr="005F6C03">
        <w:t>nstructions</w:t>
      </w:r>
      <w:r w:rsidR="004604B3" w:rsidRPr="005F6C03">
        <w:t xml:space="preserve"> for </w:t>
      </w:r>
      <w:r w:rsidRPr="005F6C03">
        <w:t xml:space="preserve">completing </w:t>
      </w:r>
      <w:r w:rsidR="004604B3" w:rsidRPr="005F6C03">
        <w:t xml:space="preserve">the Template are </w:t>
      </w:r>
      <w:r w:rsidR="00CC602E" w:rsidRPr="005F6C03">
        <w:t>shown in Attachment</w:t>
      </w:r>
      <w:r w:rsidR="00CE5020">
        <w:t>s</w:t>
      </w:r>
      <w:r w:rsidR="00CC602E" w:rsidRPr="005F6C03">
        <w:t xml:space="preserve"> E</w:t>
      </w:r>
      <w:r w:rsidR="00CE5020">
        <w:t xml:space="preserve"> &amp; F, and the template itself is provided in Attachment G</w:t>
      </w:r>
      <w:r w:rsidR="00F636EC" w:rsidRPr="005F6C03">
        <w:t xml:space="preserve">.  </w:t>
      </w:r>
      <w:r w:rsidR="00C20BF4" w:rsidRPr="005F6C03">
        <w:t xml:space="preserve">Since the cooperative agreement priorities among the </w:t>
      </w:r>
      <w:r w:rsidR="007D6F6B" w:rsidRPr="005F6C03">
        <w:t>s</w:t>
      </w:r>
      <w:r w:rsidR="00C20BF4" w:rsidRPr="005F6C03">
        <w:t xml:space="preserve">tates, </w:t>
      </w:r>
      <w:r w:rsidR="007D6F6B" w:rsidRPr="005F6C03">
        <w:t>t</w:t>
      </w:r>
      <w:r w:rsidR="00C20BF4" w:rsidRPr="005F6C03">
        <w:t xml:space="preserve">ribes and </w:t>
      </w:r>
      <w:r w:rsidR="007D6F6B" w:rsidRPr="005F6C03">
        <w:t>t</w:t>
      </w:r>
      <w:r w:rsidR="00C20BF4" w:rsidRPr="005F6C03">
        <w:t xml:space="preserve">erritories are not the same and the national priorities change </w:t>
      </w:r>
      <w:r w:rsidR="0090644C" w:rsidRPr="005F6C03">
        <w:t xml:space="preserve">depending on the </w:t>
      </w:r>
      <w:r w:rsidR="001E5C04" w:rsidRPr="005F6C03">
        <w:t>Agency budget</w:t>
      </w:r>
      <w:r w:rsidR="00C04BC5" w:rsidRPr="005F6C03">
        <w:t>,</w:t>
      </w:r>
      <w:r w:rsidR="001E5C04" w:rsidRPr="005F6C03">
        <w:t xml:space="preserve"> </w:t>
      </w:r>
      <w:r w:rsidR="007D6F6B" w:rsidRPr="005F6C03">
        <w:t xml:space="preserve">the </w:t>
      </w:r>
      <w:r w:rsidR="00DA2E69" w:rsidRPr="005F6C03">
        <w:t>Template</w:t>
      </w:r>
      <w:r w:rsidR="007D6F6B" w:rsidRPr="005F6C03">
        <w:t xml:space="preserve"> provides a flexible format to accommodate the variety of activities and program changes over time.  Generally, t</w:t>
      </w:r>
      <w:r w:rsidR="007A09B9" w:rsidRPr="005F6C03">
        <w:t xml:space="preserve">he </w:t>
      </w:r>
      <w:r w:rsidR="00DA2E69" w:rsidRPr="005F6C03">
        <w:t>Template</w:t>
      </w:r>
      <w:r w:rsidR="007A09B9" w:rsidRPr="005F6C03">
        <w:t xml:space="preserve"> is sectioned into a series of “tabs” or categories, including:  </w:t>
      </w:r>
    </w:p>
    <w:p w14:paraId="6227446A" w14:textId="1778949D" w:rsidR="00F04669" w:rsidRDefault="00F04669" w:rsidP="007070F3"/>
    <w:p w14:paraId="07EA196A" w14:textId="77777777" w:rsidR="00F04669" w:rsidRPr="005F6C03" w:rsidRDefault="00F04669" w:rsidP="007070F3"/>
    <w:p w14:paraId="1E75B06F" w14:textId="77777777" w:rsidR="00875BB6" w:rsidRPr="005F6C03" w:rsidRDefault="00875BB6" w:rsidP="00875BB6">
      <w:pPr>
        <w:ind w:left="720"/>
        <w:rPr>
          <w:color w:val="FF0000"/>
        </w:rPr>
      </w:pPr>
    </w:p>
    <w:tbl>
      <w:tblPr>
        <w:tblStyle w:val="TableGrid"/>
        <w:tblW w:w="0" w:type="auto"/>
        <w:tblLook w:val="04A0" w:firstRow="1" w:lastRow="0" w:firstColumn="1" w:lastColumn="0" w:noHBand="0" w:noVBand="1"/>
      </w:tblPr>
      <w:tblGrid>
        <w:gridCol w:w="2065"/>
        <w:gridCol w:w="8005"/>
      </w:tblGrid>
      <w:tr w:rsidR="00870318" w:rsidRPr="005F6C03" w14:paraId="15B21B54" w14:textId="77777777" w:rsidTr="009C21DA">
        <w:tc>
          <w:tcPr>
            <w:tcW w:w="2065" w:type="dxa"/>
          </w:tcPr>
          <w:p w14:paraId="23FE5AB5" w14:textId="77777777" w:rsidR="00870318" w:rsidRPr="005F6C03" w:rsidRDefault="00870318" w:rsidP="007070F3">
            <w:pPr>
              <w:rPr>
                <w:b/>
                <w:i/>
                <w:sz w:val="22"/>
                <w:szCs w:val="22"/>
              </w:rPr>
            </w:pPr>
            <w:r w:rsidRPr="005F6C03">
              <w:rPr>
                <w:b/>
                <w:i/>
                <w:sz w:val="22"/>
                <w:szCs w:val="22"/>
              </w:rPr>
              <w:t>Tab</w:t>
            </w:r>
          </w:p>
        </w:tc>
        <w:tc>
          <w:tcPr>
            <w:tcW w:w="8005" w:type="dxa"/>
          </w:tcPr>
          <w:p w14:paraId="6FEA970F" w14:textId="77777777" w:rsidR="00870318" w:rsidRPr="005F6C03" w:rsidRDefault="00870318" w:rsidP="007070F3">
            <w:pPr>
              <w:rPr>
                <w:b/>
                <w:i/>
                <w:sz w:val="22"/>
                <w:szCs w:val="22"/>
              </w:rPr>
            </w:pPr>
            <w:r w:rsidRPr="005F6C03">
              <w:rPr>
                <w:b/>
                <w:i/>
                <w:sz w:val="22"/>
                <w:szCs w:val="22"/>
              </w:rPr>
              <w:t>Description</w:t>
            </w:r>
          </w:p>
        </w:tc>
      </w:tr>
      <w:tr w:rsidR="00870318" w:rsidRPr="005F6C03" w14:paraId="50CE0AD6" w14:textId="77777777" w:rsidTr="009C21DA">
        <w:tc>
          <w:tcPr>
            <w:tcW w:w="2065" w:type="dxa"/>
          </w:tcPr>
          <w:p w14:paraId="6CCF292C" w14:textId="77777777" w:rsidR="00870318" w:rsidRPr="005F6C03" w:rsidRDefault="00870318" w:rsidP="007070F3">
            <w:pPr>
              <w:rPr>
                <w:sz w:val="22"/>
                <w:szCs w:val="22"/>
              </w:rPr>
            </w:pPr>
            <w:r w:rsidRPr="005F6C03">
              <w:rPr>
                <w:sz w:val="22"/>
                <w:szCs w:val="22"/>
              </w:rPr>
              <w:t>Start</w:t>
            </w:r>
          </w:p>
        </w:tc>
        <w:tc>
          <w:tcPr>
            <w:tcW w:w="8005" w:type="dxa"/>
          </w:tcPr>
          <w:p w14:paraId="626B7E02" w14:textId="5B3D1618" w:rsidR="00870318" w:rsidRPr="005F6C03" w:rsidRDefault="00870318" w:rsidP="00870318">
            <w:pPr>
              <w:rPr>
                <w:sz w:val="22"/>
                <w:szCs w:val="22"/>
              </w:rPr>
            </w:pPr>
            <w:r w:rsidRPr="005F6C03">
              <w:rPr>
                <w:sz w:val="22"/>
                <w:szCs w:val="22"/>
              </w:rPr>
              <w:t>Respondents provide responses to eight (8) basic questions: Name; Grantee; Agreement Type; Number of Years the Agreement Covers; Project Period; Which Budget Period the Work plan/Report Corresponds to; Work plan/Report Status</w:t>
            </w:r>
            <w:r w:rsidR="00B20247" w:rsidRPr="005F6C03">
              <w:rPr>
                <w:sz w:val="22"/>
                <w:szCs w:val="22"/>
              </w:rPr>
              <w:t>;</w:t>
            </w:r>
            <w:r w:rsidRPr="005F6C03">
              <w:rPr>
                <w:sz w:val="22"/>
                <w:szCs w:val="22"/>
              </w:rPr>
              <w:t xml:space="preserve"> and Date.</w:t>
            </w:r>
          </w:p>
        </w:tc>
      </w:tr>
      <w:tr w:rsidR="00870318" w:rsidRPr="005F6C03" w14:paraId="46F5B45A" w14:textId="77777777" w:rsidTr="009C21DA">
        <w:tc>
          <w:tcPr>
            <w:tcW w:w="2065" w:type="dxa"/>
          </w:tcPr>
          <w:p w14:paraId="0B82941A" w14:textId="77777777" w:rsidR="00870318" w:rsidRPr="005F6C03" w:rsidRDefault="00870318" w:rsidP="007070F3">
            <w:pPr>
              <w:rPr>
                <w:sz w:val="22"/>
                <w:szCs w:val="22"/>
              </w:rPr>
            </w:pPr>
            <w:r w:rsidRPr="005F6C03">
              <w:rPr>
                <w:sz w:val="22"/>
                <w:szCs w:val="22"/>
              </w:rPr>
              <w:t>Narrative</w:t>
            </w:r>
          </w:p>
        </w:tc>
        <w:tc>
          <w:tcPr>
            <w:tcW w:w="8005" w:type="dxa"/>
          </w:tcPr>
          <w:p w14:paraId="2B78738D" w14:textId="7F5E5FD2" w:rsidR="00870318" w:rsidRPr="005F6C03" w:rsidRDefault="00870318" w:rsidP="007070F3">
            <w:pPr>
              <w:rPr>
                <w:sz w:val="22"/>
                <w:szCs w:val="22"/>
              </w:rPr>
            </w:pPr>
            <w:r w:rsidRPr="005F6C03">
              <w:rPr>
                <w:sz w:val="22"/>
                <w:szCs w:val="22"/>
              </w:rPr>
              <w:t xml:space="preserve">Respondents have the option to submit additional narratives that do not fit anywhere else in the </w:t>
            </w:r>
            <w:r w:rsidR="00DA2E69" w:rsidRPr="005F6C03">
              <w:rPr>
                <w:sz w:val="22"/>
                <w:szCs w:val="22"/>
              </w:rPr>
              <w:t>Template</w:t>
            </w:r>
            <w:r w:rsidRPr="005F6C03">
              <w:rPr>
                <w:sz w:val="22"/>
                <w:szCs w:val="22"/>
              </w:rPr>
              <w:t>, such as: authority to accept the cooperative agreement, legislative changes, QAPPs, neutral administrative inspection schemes, case review results, etc.</w:t>
            </w:r>
          </w:p>
        </w:tc>
      </w:tr>
      <w:tr w:rsidR="00870318" w:rsidRPr="005F6C03" w14:paraId="103930CF" w14:textId="77777777" w:rsidTr="009C21DA">
        <w:tc>
          <w:tcPr>
            <w:tcW w:w="2065" w:type="dxa"/>
          </w:tcPr>
          <w:p w14:paraId="5B14A926" w14:textId="77777777" w:rsidR="00870318" w:rsidRPr="005F6C03" w:rsidRDefault="00870318" w:rsidP="007070F3">
            <w:pPr>
              <w:rPr>
                <w:sz w:val="22"/>
                <w:szCs w:val="22"/>
              </w:rPr>
            </w:pPr>
            <w:r w:rsidRPr="005F6C03">
              <w:rPr>
                <w:sz w:val="22"/>
                <w:szCs w:val="22"/>
              </w:rPr>
              <w:t>Budget</w:t>
            </w:r>
          </w:p>
        </w:tc>
        <w:tc>
          <w:tcPr>
            <w:tcW w:w="8005" w:type="dxa"/>
          </w:tcPr>
          <w:p w14:paraId="42AA0972" w14:textId="628EEF6D" w:rsidR="00870318" w:rsidRPr="005F6C03" w:rsidRDefault="00870318" w:rsidP="007070F3">
            <w:pPr>
              <w:rPr>
                <w:sz w:val="22"/>
                <w:szCs w:val="22"/>
              </w:rPr>
            </w:pPr>
            <w:r w:rsidRPr="005F6C03">
              <w:rPr>
                <w:sz w:val="22"/>
                <w:szCs w:val="22"/>
              </w:rPr>
              <w:t xml:space="preserve">Grantees can either enter budget information directly into the spaces provided in the </w:t>
            </w:r>
            <w:r w:rsidR="00DA2E69" w:rsidRPr="005F6C03">
              <w:rPr>
                <w:sz w:val="22"/>
                <w:szCs w:val="22"/>
              </w:rPr>
              <w:t>Template</w:t>
            </w:r>
            <w:r w:rsidRPr="005F6C03">
              <w:rPr>
                <w:sz w:val="22"/>
                <w:szCs w:val="22"/>
              </w:rPr>
              <w:t xml:space="preserve"> or embed a separate document (Word, PPT, PDF files) into this tab.</w:t>
            </w:r>
          </w:p>
        </w:tc>
      </w:tr>
      <w:tr w:rsidR="00870318" w:rsidRPr="005F6C03" w14:paraId="5DFA9F9E" w14:textId="77777777" w:rsidTr="009C21DA">
        <w:tc>
          <w:tcPr>
            <w:tcW w:w="2065" w:type="dxa"/>
          </w:tcPr>
          <w:p w14:paraId="7D12393B" w14:textId="77777777" w:rsidR="00870318" w:rsidRPr="005F6C03" w:rsidRDefault="00870318" w:rsidP="007070F3">
            <w:pPr>
              <w:rPr>
                <w:sz w:val="22"/>
                <w:szCs w:val="22"/>
              </w:rPr>
            </w:pPr>
            <w:r w:rsidRPr="005F6C03">
              <w:rPr>
                <w:sz w:val="22"/>
                <w:szCs w:val="22"/>
              </w:rPr>
              <w:t>Work plan</w:t>
            </w:r>
          </w:p>
        </w:tc>
        <w:tc>
          <w:tcPr>
            <w:tcW w:w="8005" w:type="dxa"/>
          </w:tcPr>
          <w:p w14:paraId="3F2A89F0" w14:textId="77777777" w:rsidR="00870318" w:rsidRPr="005F6C03" w:rsidRDefault="00870318" w:rsidP="007070F3">
            <w:pPr>
              <w:rPr>
                <w:sz w:val="22"/>
                <w:szCs w:val="22"/>
              </w:rPr>
            </w:pPr>
            <w:r w:rsidRPr="005F6C03">
              <w:rPr>
                <w:sz w:val="22"/>
                <w:szCs w:val="22"/>
              </w:rPr>
              <w:t>The required activities areas included in the national guidance from which the grantee must select priority work.</w:t>
            </w:r>
          </w:p>
        </w:tc>
      </w:tr>
      <w:tr w:rsidR="00870318" w:rsidRPr="005F6C03" w14:paraId="1334BBC5" w14:textId="77777777" w:rsidTr="009C21DA">
        <w:tc>
          <w:tcPr>
            <w:tcW w:w="2065" w:type="dxa"/>
          </w:tcPr>
          <w:p w14:paraId="72CA4BA9" w14:textId="77777777" w:rsidR="00870318" w:rsidRPr="005F6C03" w:rsidRDefault="00870318" w:rsidP="007070F3">
            <w:pPr>
              <w:rPr>
                <w:sz w:val="22"/>
                <w:szCs w:val="22"/>
              </w:rPr>
            </w:pPr>
            <w:r w:rsidRPr="005F6C03">
              <w:rPr>
                <w:sz w:val="22"/>
                <w:szCs w:val="22"/>
              </w:rPr>
              <w:t>Outcomes</w:t>
            </w:r>
          </w:p>
        </w:tc>
        <w:tc>
          <w:tcPr>
            <w:tcW w:w="8005" w:type="dxa"/>
          </w:tcPr>
          <w:p w14:paraId="55C57560" w14:textId="788E99C0" w:rsidR="00870318" w:rsidRPr="005F6C03" w:rsidRDefault="00870318" w:rsidP="007070F3">
            <w:pPr>
              <w:rPr>
                <w:sz w:val="22"/>
                <w:szCs w:val="22"/>
              </w:rPr>
            </w:pPr>
            <w:r w:rsidRPr="00A96E3E">
              <w:rPr>
                <w:sz w:val="22"/>
                <w:szCs w:val="22"/>
              </w:rPr>
              <w:t>This chart includes all the program areas listed in the national FY</w:t>
            </w:r>
            <w:r w:rsidR="00A96E3E" w:rsidRPr="00A96E3E">
              <w:rPr>
                <w:sz w:val="22"/>
                <w:szCs w:val="22"/>
              </w:rPr>
              <w:t>18-21</w:t>
            </w:r>
            <w:r w:rsidRPr="00A96E3E">
              <w:rPr>
                <w:sz w:val="22"/>
                <w:szCs w:val="22"/>
              </w:rPr>
              <w:t xml:space="preserve"> cooperative agreement guidance, and links them to potential outcomes from work done in each program area, and to the appropriate</w:t>
            </w:r>
            <w:r w:rsidRPr="005F6C03">
              <w:rPr>
                <w:sz w:val="22"/>
                <w:szCs w:val="22"/>
              </w:rPr>
              <w:t xml:space="preserve"> goal in EPA’s Strategic Plan.  The grantee adjusts the outcomes as necessary to match work contained in the grantee’s Work Plan.</w:t>
            </w:r>
          </w:p>
        </w:tc>
      </w:tr>
      <w:tr w:rsidR="00870318" w:rsidRPr="005F6C03" w14:paraId="0680C2E8" w14:textId="77777777" w:rsidTr="009C21DA">
        <w:tc>
          <w:tcPr>
            <w:tcW w:w="2065" w:type="dxa"/>
          </w:tcPr>
          <w:p w14:paraId="69142A83" w14:textId="77777777" w:rsidR="00870318" w:rsidRPr="005F6C03" w:rsidRDefault="00870318" w:rsidP="009C21DA">
            <w:pPr>
              <w:rPr>
                <w:sz w:val="22"/>
                <w:szCs w:val="22"/>
              </w:rPr>
            </w:pPr>
            <w:r w:rsidRPr="005F6C03">
              <w:rPr>
                <w:sz w:val="22"/>
                <w:szCs w:val="22"/>
              </w:rPr>
              <w:t>Enforcement (5700 Group reports)</w:t>
            </w:r>
          </w:p>
        </w:tc>
        <w:tc>
          <w:tcPr>
            <w:tcW w:w="8005" w:type="dxa"/>
          </w:tcPr>
          <w:p w14:paraId="45AFDB66" w14:textId="2084176B" w:rsidR="00870318" w:rsidRPr="005F6C03" w:rsidRDefault="00870318" w:rsidP="007070F3">
            <w:pPr>
              <w:rPr>
                <w:sz w:val="22"/>
                <w:szCs w:val="22"/>
              </w:rPr>
            </w:pPr>
            <w:r w:rsidRPr="005F6C03">
              <w:rPr>
                <w:sz w:val="22"/>
                <w:szCs w:val="22"/>
              </w:rPr>
              <w:t xml:space="preserve">This section of the </w:t>
            </w:r>
            <w:r w:rsidR="00DA2E69" w:rsidRPr="005F6C03">
              <w:rPr>
                <w:sz w:val="22"/>
                <w:szCs w:val="22"/>
              </w:rPr>
              <w:t>Template</w:t>
            </w:r>
            <w:r w:rsidRPr="005F6C03">
              <w:rPr>
                <w:sz w:val="22"/>
                <w:szCs w:val="22"/>
              </w:rPr>
              <w:t xml:space="preserve"> allows the grantee to complete three 5700 forms related to projections and accomplishments related to inspections for enforcement, worker protection and container/containment concerns.</w:t>
            </w:r>
          </w:p>
        </w:tc>
      </w:tr>
      <w:tr w:rsidR="00870318" w:rsidRPr="005F6C03" w14:paraId="4A15BB1A" w14:textId="77777777" w:rsidTr="009C21DA">
        <w:tc>
          <w:tcPr>
            <w:tcW w:w="2065" w:type="dxa"/>
          </w:tcPr>
          <w:p w14:paraId="14C1F282" w14:textId="77777777" w:rsidR="00870318" w:rsidRPr="005F6C03" w:rsidRDefault="00870318" w:rsidP="007070F3">
            <w:pPr>
              <w:rPr>
                <w:sz w:val="22"/>
                <w:szCs w:val="22"/>
              </w:rPr>
            </w:pPr>
            <w:r w:rsidRPr="005F6C03">
              <w:rPr>
                <w:sz w:val="22"/>
                <w:szCs w:val="22"/>
              </w:rPr>
              <w:t>Endangered Species</w:t>
            </w:r>
          </w:p>
        </w:tc>
        <w:tc>
          <w:tcPr>
            <w:tcW w:w="8005" w:type="dxa"/>
          </w:tcPr>
          <w:p w14:paraId="6F812FDA" w14:textId="77777777" w:rsidR="00870318" w:rsidRPr="005F6C03" w:rsidRDefault="00870318" w:rsidP="007070F3">
            <w:pPr>
              <w:rPr>
                <w:sz w:val="22"/>
                <w:szCs w:val="22"/>
              </w:rPr>
            </w:pPr>
            <w:r w:rsidRPr="005F6C03">
              <w:rPr>
                <w:sz w:val="22"/>
                <w:szCs w:val="22"/>
              </w:rPr>
              <w:t>Grantees complete projections and accomplishments sections related to inspections for Endangered Species Inspections.</w:t>
            </w:r>
          </w:p>
        </w:tc>
      </w:tr>
      <w:tr w:rsidR="00870318" w:rsidRPr="005F6C03" w14:paraId="5894448F" w14:textId="77777777" w:rsidTr="009C21DA">
        <w:tc>
          <w:tcPr>
            <w:tcW w:w="2065" w:type="dxa"/>
          </w:tcPr>
          <w:p w14:paraId="3EB7A67E" w14:textId="77777777" w:rsidR="00870318" w:rsidRPr="005F6C03" w:rsidRDefault="00870318" w:rsidP="007070F3">
            <w:pPr>
              <w:rPr>
                <w:sz w:val="22"/>
                <w:szCs w:val="22"/>
              </w:rPr>
            </w:pPr>
            <w:r w:rsidRPr="005F6C03">
              <w:rPr>
                <w:color w:val="000000"/>
                <w:sz w:val="22"/>
                <w:szCs w:val="22"/>
              </w:rPr>
              <w:t>Performance Measures</w:t>
            </w:r>
          </w:p>
        </w:tc>
        <w:tc>
          <w:tcPr>
            <w:tcW w:w="8005" w:type="dxa"/>
          </w:tcPr>
          <w:p w14:paraId="267B05A5" w14:textId="77777777" w:rsidR="00870318" w:rsidRPr="005F6C03" w:rsidRDefault="00870318" w:rsidP="007070F3">
            <w:pPr>
              <w:rPr>
                <w:sz w:val="22"/>
                <w:szCs w:val="22"/>
              </w:rPr>
            </w:pPr>
            <w:r w:rsidRPr="005F6C03">
              <w:rPr>
                <w:color w:val="000000"/>
                <w:sz w:val="22"/>
                <w:szCs w:val="22"/>
              </w:rPr>
              <w:t>Grantees collect information to help determine the effectiveness of the program; provide data for management decisions and inform Congress and the public on the value of the program.</w:t>
            </w:r>
          </w:p>
        </w:tc>
      </w:tr>
    </w:tbl>
    <w:p w14:paraId="4B1715F0" w14:textId="77777777" w:rsidR="009C21DA" w:rsidRPr="005F6C03" w:rsidRDefault="009C21DA" w:rsidP="00D1093A">
      <w:pPr>
        <w:pStyle w:val="Heading2"/>
        <w:rPr>
          <w:rFonts w:ascii="Times New Roman" w:hAnsi="Times New Roman" w:cs="Times New Roman"/>
        </w:rPr>
      </w:pPr>
    </w:p>
    <w:p w14:paraId="3E4A231A" w14:textId="3CAD6728" w:rsidR="00875BB6" w:rsidRPr="005F6C03" w:rsidRDefault="00875BB6" w:rsidP="00E05C98">
      <w:pPr>
        <w:pStyle w:val="Heading2"/>
        <w:keepNext w:val="0"/>
        <w:keepLines w:val="0"/>
        <w:rPr>
          <w:rFonts w:ascii="Times New Roman" w:hAnsi="Times New Roman" w:cs="Times New Roman"/>
          <w:b/>
          <w:color w:val="7030A0"/>
        </w:rPr>
      </w:pPr>
      <w:r w:rsidRPr="005F6C03">
        <w:rPr>
          <w:rFonts w:ascii="Times New Roman" w:hAnsi="Times New Roman" w:cs="Times New Roman"/>
        </w:rPr>
        <w:t>4(b</w:t>
      </w:r>
      <w:r w:rsidR="009E16A4" w:rsidRPr="005F6C03">
        <w:rPr>
          <w:rFonts w:ascii="Times New Roman" w:hAnsi="Times New Roman" w:cs="Times New Roman"/>
        </w:rPr>
        <w:t>)(</w:t>
      </w:r>
      <w:r w:rsidRPr="005F6C03">
        <w:rPr>
          <w:rFonts w:ascii="Times New Roman" w:hAnsi="Times New Roman" w:cs="Times New Roman"/>
        </w:rPr>
        <w:t>i</w:t>
      </w:r>
      <w:r w:rsidR="00B85DA3" w:rsidRPr="005F6C03">
        <w:rPr>
          <w:rFonts w:ascii="Times New Roman" w:hAnsi="Times New Roman" w:cs="Times New Roman"/>
        </w:rPr>
        <w:t>i</w:t>
      </w:r>
      <w:r w:rsidRPr="005F6C03">
        <w:rPr>
          <w:rFonts w:ascii="Times New Roman" w:hAnsi="Times New Roman" w:cs="Times New Roman"/>
        </w:rPr>
        <w:t>).  Information Requested – Respondent Activities</w:t>
      </w:r>
      <w:r w:rsidR="00B85DA3" w:rsidRPr="005F6C03">
        <w:rPr>
          <w:rFonts w:ascii="Times New Roman" w:hAnsi="Times New Roman" w:cs="Times New Roman"/>
        </w:rPr>
        <w:t xml:space="preserve"> for FIFRA Cooperative Agreements</w:t>
      </w:r>
      <w:r w:rsidR="00FF317F" w:rsidRPr="005F6C03">
        <w:rPr>
          <w:rFonts w:ascii="Times New Roman" w:hAnsi="Times New Roman" w:cs="Times New Roman"/>
        </w:rPr>
        <w:t>.</w:t>
      </w:r>
      <w:r w:rsidRPr="005F6C03">
        <w:rPr>
          <w:rFonts w:ascii="Times New Roman" w:hAnsi="Times New Roman" w:cs="Times New Roman"/>
        </w:rPr>
        <w:t xml:space="preserve"> </w:t>
      </w:r>
    </w:p>
    <w:p w14:paraId="6E97B555" w14:textId="6C4DB9B2" w:rsidR="00875BB6" w:rsidRPr="005F6C03" w:rsidRDefault="00E05C98" w:rsidP="00E05C98">
      <w:r w:rsidRPr="005F6C03">
        <w:t xml:space="preserve">Whereas the information collection activities approved under OMB Control No. 2030-0020 </w:t>
      </w:r>
      <w:r w:rsidR="0007167D" w:rsidRPr="005F6C03">
        <w:t xml:space="preserve">(EPA ICR No. 0938.18) </w:t>
      </w:r>
      <w:r w:rsidRPr="005F6C03">
        <w:t xml:space="preserve">generally apply to grantees across multiple program areas, this new ICR addresses </w:t>
      </w:r>
      <w:r w:rsidR="007564DD" w:rsidRPr="005F6C03">
        <w:t xml:space="preserve">only </w:t>
      </w:r>
      <w:r w:rsidRPr="005F6C03">
        <w:t xml:space="preserve">information collection activities that are undertaken by FIFRA grantees. </w:t>
      </w:r>
      <w:r w:rsidR="005E234C" w:rsidRPr="005F6C03">
        <w:t xml:space="preserve">Grantees complete a </w:t>
      </w:r>
      <w:r w:rsidR="008F4523" w:rsidRPr="005F6C03">
        <w:t>work plan</w:t>
      </w:r>
      <w:r w:rsidR="005E234C" w:rsidRPr="005F6C03">
        <w:t xml:space="preserve"> at the beginning of the project period as part of the cooperative agreement application package. </w:t>
      </w:r>
      <w:r w:rsidR="00107835" w:rsidRPr="005F6C03">
        <w:t>In February of 2017, a workgroup comprised of EPA, state and tribal representatives began work to convert the FIFRA Work Plan and Report Template (FIFRA Template), which was in Excel, into a web-based system housed in the Central Data Exchange (CDX) platform, called the FIFRA Continuing Environmental Grant Program (FCEPG).  FCEPG incorporates the exact same information as the FIFRA Template, including: proposed work activities from the FIFRA Cooperative Agreement Guidance; the grantee’s workplan; the grantee’s yearend report; as well as the EPA regional project officer’s yearend report</w:t>
      </w:r>
      <w:r w:rsidR="00107835" w:rsidRPr="005F6C03">
        <w:rPr>
          <w:color w:val="000000"/>
        </w:rPr>
        <w:t xml:space="preserve">.  </w:t>
      </w:r>
      <w:r w:rsidR="00107835" w:rsidRPr="005F6C03">
        <w:t xml:space="preserve">FCEPG will be used by the same stakeholders as the FIFRA </w:t>
      </w:r>
      <w:r w:rsidR="004C2900" w:rsidRPr="005F6C03">
        <w:t>Template and</w:t>
      </w:r>
      <w:r w:rsidR="00107835" w:rsidRPr="005F6C03">
        <w:t xml:space="preserve"> will provide a better customer experience.</w:t>
      </w:r>
      <w:r w:rsidR="000D4E1D" w:rsidRPr="005F6C03">
        <w:t xml:space="preserve"> At this time</w:t>
      </w:r>
      <w:r w:rsidR="00E45D62" w:rsidRPr="005F6C03">
        <w:t>,</w:t>
      </w:r>
      <w:r w:rsidR="000D4E1D" w:rsidRPr="005F6C03">
        <w:t xml:space="preserve"> the FCEPG template is set to be available for Fiscal year 2020.</w:t>
      </w:r>
      <w:r w:rsidR="00107835" w:rsidRPr="005F6C03">
        <w:t xml:space="preserve"> </w:t>
      </w:r>
      <w:r w:rsidR="00875BB6" w:rsidRPr="005F6C03">
        <w:t>Respondent</w:t>
      </w:r>
      <w:r w:rsidR="00984DC0" w:rsidRPr="005F6C03">
        <w:t>s</w:t>
      </w:r>
      <w:r w:rsidR="00875BB6" w:rsidRPr="005F6C03">
        <w:t xml:space="preserve">/grantees fill out the “FIFRA Cooperative Agreement Work Plan and Report” </w:t>
      </w:r>
      <w:r w:rsidR="00DA2E69" w:rsidRPr="005F6C03">
        <w:t>Template</w:t>
      </w:r>
      <w:r w:rsidR="00875BB6" w:rsidRPr="005F6C03">
        <w:t xml:space="preserve"> that is available via the internet and available to all </w:t>
      </w:r>
      <w:r w:rsidR="005E234C" w:rsidRPr="005F6C03">
        <w:t xml:space="preserve">grantees, </w:t>
      </w:r>
      <w:r w:rsidR="00F24FF6" w:rsidRPr="005F6C03">
        <w:t>s</w:t>
      </w:r>
      <w:r w:rsidR="00875BB6" w:rsidRPr="005F6C03">
        <w:t xml:space="preserve">tates, </w:t>
      </w:r>
      <w:r w:rsidR="00F24FF6" w:rsidRPr="005F6C03">
        <w:t>territories</w:t>
      </w:r>
      <w:r w:rsidR="00875BB6" w:rsidRPr="005F6C03">
        <w:t xml:space="preserve"> and </w:t>
      </w:r>
      <w:r w:rsidR="00F24FF6" w:rsidRPr="005F6C03">
        <w:t>t</w:t>
      </w:r>
      <w:r w:rsidR="00875BB6" w:rsidRPr="005F6C03">
        <w:t>ribes</w:t>
      </w:r>
      <w:r w:rsidR="005E234C" w:rsidRPr="005F6C03">
        <w:t>,</w:t>
      </w:r>
      <w:r w:rsidR="00F24FF6" w:rsidRPr="005F6C03">
        <w:t xml:space="preserve"> participating in the STAG program</w:t>
      </w:r>
      <w:r w:rsidR="00875BB6" w:rsidRPr="005F6C03">
        <w:t xml:space="preserve">.  The </w:t>
      </w:r>
      <w:r w:rsidR="00DA2E69" w:rsidRPr="005F6C03">
        <w:t>Template</w:t>
      </w:r>
      <w:r w:rsidR="00875BB6" w:rsidRPr="005F6C03">
        <w:t xml:space="preserve"> can be downloaded free of charge.  The minimum requirement for use of the </w:t>
      </w:r>
      <w:r w:rsidR="00DA2E69" w:rsidRPr="005F6C03">
        <w:t>Template</w:t>
      </w:r>
      <w:r w:rsidR="00875BB6" w:rsidRPr="005F6C03">
        <w:t xml:space="preserve"> is Excel</w:t>
      </w:r>
      <w:r w:rsidR="00875BB6" w:rsidRPr="005F6C03">
        <w:rPr>
          <w:vertAlign w:val="superscript"/>
        </w:rPr>
        <w:t>©</w:t>
      </w:r>
      <w:r w:rsidR="00875BB6" w:rsidRPr="005F6C03">
        <w:t xml:space="preserve"> software which most </w:t>
      </w:r>
      <w:r w:rsidR="00F24FF6" w:rsidRPr="005F6C03">
        <w:t>s</w:t>
      </w:r>
      <w:r w:rsidR="00875BB6" w:rsidRPr="005F6C03">
        <w:t xml:space="preserve">tates, territories and </w:t>
      </w:r>
      <w:r w:rsidR="00F24FF6" w:rsidRPr="005F6C03">
        <w:t>t</w:t>
      </w:r>
      <w:r w:rsidR="00875BB6" w:rsidRPr="005F6C03">
        <w:t xml:space="preserve">ribes currently use for business purposes. Biannually, </w:t>
      </w:r>
      <w:r w:rsidR="00F24FF6" w:rsidRPr="005F6C03">
        <w:t>s</w:t>
      </w:r>
      <w:r w:rsidR="00875BB6" w:rsidRPr="005F6C03">
        <w:t xml:space="preserve">tates will fill out the </w:t>
      </w:r>
      <w:r w:rsidR="00DA2E69" w:rsidRPr="005F6C03">
        <w:t>Template</w:t>
      </w:r>
      <w:r w:rsidR="00875BB6" w:rsidRPr="005F6C03">
        <w:t xml:space="preserve"> information and send an electronic copy of the completed </w:t>
      </w:r>
      <w:r w:rsidR="00DA2E69" w:rsidRPr="005F6C03">
        <w:t>Template</w:t>
      </w:r>
      <w:r w:rsidR="00875BB6" w:rsidRPr="005F6C03">
        <w:t xml:space="preserve"> to the Agency via email. To assist the </w:t>
      </w:r>
      <w:r w:rsidR="00F24FF6" w:rsidRPr="005F6C03">
        <w:t>s</w:t>
      </w:r>
      <w:r w:rsidR="00875BB6" w:rsidRPr="005F6C03">
        <w:t>tates</w:t>
      </w:r>
      <w:r w:rsidR="00F24FF6" w:rsidRPr="005F6C03">
        <w:t>, t</w:t>
      </w:r>
      <w:r w:rsidR="00875BB6" w:rsidRPr="005F6C03">
        <w:t xml:space="preserve">ribes, </w:t>
      </w:r>
      <w:r w:rsidR="00F24FF6" w:rsidRPr="005F6C03">
        <w:t xml:space="preserve">and territories </w:t>
      </w:r>
      <w:r w:rsidR="00DA2E69" w:rsidRPr="005F6C03">
        <w:t>Template</w:t>
      </w:r>
      <w:r w:rsidR="00875BB6" w:rsidRPr="005F6C03">
        <w:t xml:space="preserve"> guidance is provided to the grantees</w:t>
      </w:r>
      <w:r w:rsidR="00DF3436" w:rsidRPr="005F6C03">
        <w:t xml:space="preserve">, </w:t>
      </w:r>
      <w:hyperlink r:id="rId13" w:history="1">
        <w:r w:rsidR="00553EF5" w:rsidRPr="005F6C03">
          <w:rPr>
            <w:rStyle w:val="Hyperlink"/>
          </w:rPr>
          <w:t>https://www.epa.gov/compliance/federal-insecticide-fungicide-and-rodenticide-act-state-and-tribal-assistance-grant</w:t>
        </w:r>
      </w:hyperlink>
      <w:r w:rsidR="00553EF5" w:rsidRPr="005F6C03">
        <w:t xml:space="preserve">. </w:t>
      </w:r>
      <w:r w:rsidR="00875BB6" w:rsidRPr="005F6C03">
        <w:t xml:space="preserve"> </w:t>
      </w:r>
      <w:bookmarkStart w:id="4" w:name="_Hlk514150457"/>
      <w:r w:rsidR="00AF7649" w:rsidRPr="005F6C03">
        <w:t>As necessary</w:t>
      </w:r>
      <w:r w:rsidR="00FB02C9" w:rsidRPr="005F6C03">
        <w:t xml:space="preserve">, the Agency </w:t>
      </w:r>
      <w:r w:rsidR="004F52D7" w:rsidRPr="005F6C03">
        <w:t xml:space="preserve">may </w:t>
      </w:r>
      <w:r w:rsidR="00FB02C9" w:rsidRPr="005F6C03">
        <w:t>also</w:t>
      </w:r>
      <w:r w:rsidR="00AF7649" w:rsidRPr="005F6C03">
        <w:t xml:space="preserve"> provide webinar training to assist states and tribes using the </w:t>
      </w:r>
      <w:r w:rsidR="00DA2E69" w:rsidRPr="005F6C03">
        <w:t>Template</w:t>
      </w:r>
      <w:r w:rsidR="004F52D7" w:rsidRPr="005F6C03">
        <w:t xml:space="preserve">. </w:t>
      </w:r>
      <w:r w:rsidR="00AF7649" w:rsidRPr="005F6C03">
        <w:t xml:space="preserve">  </w:t>
      </w:r>
      <w:bookmarkEnd w:id="4"/>
    </w:p>
    <w:p w14:paraId="1409E170" w14:textId="77777777" w:rsidR="00984DC0" w:rsidRPr="005F6C03" w:rsidRDefault="00875BB6" w:rsidP="00870318">
      <w:pPr>
        <w:pStyle w:val="Heading1"/>
        <w:ind w:left="720" w:hanging="720"/>
        <w:rPr>
          <w:rFonts w:ascii="Times New Roman" w:hAnsi="Times New Roman" w:cs="Times New Roman"/>
        </w:rPr>
      </w:pPr>
      <w:r w:rsidRPr="005F6C03">
        <w:rPr>
          <w:rFonts w:ascii="Times New Roman" w:hAnsi="Times New Roman" w:cs="Times New Roman"/>
        </w:rPr>
        <w:t>5.</w:t>
      </w:r>
      <w:r w:rsidRPr="005F6C03">
        <w:rPr>
          <w:rFonts w:ascii="Times New Roman" w:hAnsi="Times New Roman" w:cs="Times New Roman"/>
        </w:rPr>
        <w:tab/>
        <w:t xml:space="preserve">The Information Collected – Agency Activities, Collection Methodology, and Information Management </w:t>
      </w:r>
    </w:p>
    <w:p w14:paraId="2535E8F6" w14:textId="77777777" w:rsidR="00B95788" w:rsidRPr="005F6C03" w:rsidRDefault="00875BB6" w:rsidP="00B95788">
      <w:pPr>
        <w:pStyle w:val="Heading2"/>
        <w:rPr>
          <w:rFonts w:ascii="Times New Roman" w:hAnsi="Times New Roman" w:cs="Times New Roman"/>
        </w:rPr>
      </w:pPr>
      <w:r w:rsidRPr="005F6C03">
        <w:rPr>
          <w:rFonts w:ascii="Times New Roman" w:hAnsi="Times New Roman" w:cs="Times New Roman"/>
        </w:rPr>
        <w:t>5(a).  Agency Activities</w:t>
      </w:r>
      <w:r w:rsidR="00B95788" w:rsidRPr="005F6C03">
        <w:rPr>
          <w:rFonts w:ascii="Times New Roman" w:hAnsi="Times New Roman" w:cs="Times New Roman"/>
        </w:rPr>
        <w:t xml:space="preserve">.  </w:t>
      </w:r>
    </w:p>
    <w:p w14:paraId="2036FBD6" w14:textId="1FCB6696" w:rsidR="00875BB6" w:rsidRPr="005F6C03" w:rsidRDefault="00875BB6" w:rsidP="00870318">
      <w:pPr>
        <w:keepLines/>
      </w:pPr>
      <w:r w:rsidRPr="005F6C03">
        <w:t xml:space="preserve">The data collected on the </w:t>
      </w:r>
      <w:r w:rsidR="00DA2E69" w:rsidRPr="005F6C03">
        <w:t>Template</w:t>
      </w:r>
      <w:r w:rsidRPr="005F6C03">
        <w:t xml:space="preserve"> </w:t>
      </w:r>
      <w:r w:rsidR="00573D98" w:rsidRPr="005F6C03">
        <w:t xml:space="preserve">will be </w:t>
      </w:r>
      <w:r w:rsidRPr="005F6C03">
        <w:t>reviewed periodically to identify and eliminate duplication in reporting requirements</w:t>
      </w:r>
      <w:r w:rsidR="002F1859" w:rsidRPr="005F6C03">
        <w:t xml:space="preserve">. The Agency </w:t>
      </w:r>
      <w:r w:rsidR="00573D98" w:rsidRPr="005F6C03">
        <w:t xml:space="preserve">will </w:t>
      </w:r>
      <w:r w:rsidR="002F1859" w:rsidRPr="005F6C03">
        <w:t>conduct periodic on-site reviews to ensure recipient</w:t>
      </w:r>
      <w:r w:rsidR="00573D98" w:rsidRPr="005F6C03">
        <w:t>s are</w:t>
      </w:r>
      <w:r w:rsidR="002F1859" w:rsidRPr="005F6C03">
        <w:t xml:space="preserve"> </w:t>
      </w:r>
      <w:r w:rsidR="00573D98" w:rsidRPr="005F6C03">
        <w:t xml:space="preserve">compliant </w:t>
      </w:r>
      <w:r w:rsidR="00870318" w:rsidRPr="005F6C03">
        <w:t xml:space="preserve">with applicable requirements.  </w:t>
      </w:r>
      <w:r w:rsidRPr="005F6C03">
        <w:t>Th</w:t>
      </w:r>
      <w:r w:rsidR="002F1859" w:rsidRPr="005F6C03">
        <w:t>e</w:t>
      </w:r>
      <w:r w:rsidRPr="005F6C03">
        <w:t xml:space="preserve"> </w:t>
      </w:r>
      <w:r w:rsidR="00DA2E69" w:rsidRPr="005F6C03">
        <w:t>Template</w:t>
      </w:r>
      <w:r w:rsidRPr="005F6C03">
        <w:t xml:space="preserve"> </w:t>
      </w:r>
      <w:r w:rsidR="00573D98" w:rsidRPr="005F6C03">
        <w:t xml:space="preserve">will be </w:t>
      </w:r>
      <w:r w:rsidRPr="005F6C03">
        <w:t>reviewed in accordance with the requirements of 40 CFR Parts 30 and 31</w:t>
      </w:r>
      <w:r w:rsidR="00AB2818" w:rsidRPr="005F6C03">
        <w:t xml:space="preserve">, </w:t>
      </w:r>
      <w:r w:rsidR="00AB2818" w:rsidRPr="008E6D0F">
        <w:t>see Attachment D</w:t>
      </w:r>
      <w:r w:rsidRPr="008E6D0F">
        <w:t xml:space="preserve">. </w:t>
      </w:r>
      <w:r w:rsidR="0023571B" w:rsidRPr="008E6D0F">
        <w:t>A</w:t>
      </w:r>
      <w:r w:rsidR="0023571B" w:rsidRPr="005F6C03">
        <w:t xml:space="preserve"> summary of the </w:t>
      </w:r>
      <w:r w:rsidR="006F3179" w:rsidRPr="005F6C03">
        <w:t xml:space="preserve">annual </w:t>
      </w:r>
      <w:r w:rsidR="0023571B" w:rsidRPr="005F6C03">
        <w:t xml:space="preserve">Agency burden hours and costs are summarized in Table </w:t>
      </w:r>
      <w:r w:rsidR="006F3179" w:rsidRPr="005F6C03">
        <w:t>2</w:t>
      </w:r>
      <w:r w:rsidR="0023571B" w:rsidRPr="005F6C03">
        <w:t>.</w:t>
      </w:r>
      <w:r w:rsidR="006F3179" w:rsidRPr="005F6C03">
        <w:t xml:space="preserve">   </w:t>
      </w:r>
      <w:r w:rsidR="0023571B" w:rsidRPr="005F6C03">
        <w:t xml:space="preserve"> </w:t>
      </w:r>
      <w:r w:rsidRPr="005F6C03">
        <w:t xml:space="preserve"> </w:t>
      </w:r>
    </w:p>
    <w:p w14:paraId="78680BBE" w14:textId="77777777" w:rsidR="00870318" w:rsidRPr="005F6C03" w:rsidRDefault="00870318" w:rsidP="00870318">
      <w:pPr>
        <w:keepLines/>
      </w:pPr>
    </w:p>
    <w:p w14:paraId="4A977168" w14:textId="77777777" w:rsidR="00B95788" w:rsidRPr="005F6C03" w:rsidRDefault="00875BB6" w:rsidP="00B95788">
      <w:pPr>
        <w:pStyle w:val="Heading2"/>
        <w:rPr>
          <w:rFonts w:ascii="Times New Roman" w:hAnsi="Times New Roman" w:cs="Times New Roman"/>
        </w:rPr>
      </w:pPr>
      <w:r w:rsidRPr="005F6C03">
        <w:rPr>
          <w:rFonts w:ascii="Times New Roman" w:hAnsi="Times New Roman" w:cs="Times New Roman"/>
        </w:rPr>
        <w:t xml:space="preserve">5(b).  Collection Methodology and Management.   </w:t>
      </w:r>
    </w:p>
    <w:p w14:paraId="3FAF8E5E" w14:textId="60D1F01F" w:rsidR="00553EF5" w:rsidRPr="005F6C03" w:rsidRDefault="00F22238" w:rsidP="00553EF5">
      <w:pPr>
        <w:keepLines/>
      </w:pPr>
      <w:r>
        <w:t>The A</w:t>
      </w:r>
      <w:r w:rsidR="00553EF5" w:rsidRPr="005F6C03">
        <w:t xml:space="preserve">gency’s burden activities and methodology for collecting the template information include consultation with grantees with questions about template completion, </w:t>
      </w:r>
      <w:r w:rsidR="00553EF5" w:rsidRPr="005F6C03">
        <w:rPr>
          <w:lang w:eastAsia="x-none"/>
        </w:rPr>
        <w:t xml:space="preserve">developing mid-year and year-end reports, providing template submissions to Regional Management and Headquarters and working with Regional Grants offices.  </w:t>
      </w:r>
      <w:r w:rsidR="00553EF5" w:rsidRPr="005F6C03">
        <w:t xml:space="preserve">  </w:t>
      </w:r>
    </w:p>
    <w:p w14:paraId="5CC3205C" w14:textId="77777777" w:rsidR="002F1859" w:rsidRPr="005F6C03" w:rsidRDefault="002F1859" w:rsidP="00875BB6">
      <w:pPr>
        <w:keepLines/>
        <w:ind w:left="720"/>
      </w:pPr>
    </w:p>
    <w:p w14:paraId="44BD6248" w14:textId="77777777" w:rsidR="00B95788" w:rsidRPr="005F6C03" w:rsidRDefault="00875BB6" w:rsidP="00B95788">
      <w:pPr>
        <w:pStyle w:val="Heading2"/>
        <w:rPr>
          <w:rFonts w:ascii="Times New Roman" w:hAnsi="Times New Roman" w:cs="Times New Roman"/>
        </w:rPr>
      </w:pPr>
      <w:r w:rsidRPr="005F6C03">
        <w:rPr>
          <w:rFonts w:ascii="Times New Roman" w:hAnsi="Times New Roman" w:cs="Times New Roman"/>
        </w:rPr>
        <w:t xml:space="preserve">5(c).  Small Entity Flexibility.  </w:t>
      </w:r>
    </w:p>
    <w:p w14:paraId="30703D79" w14:textId="77777777" w:rsidR="00875BB6" w:rsidRPr="005F6C03" w:rsidRDefault="00875BB6" w:rsidP="00870318">
      <w:r w:rsidRPr="005F6C03">
        <w:t xml:space="preserve">EPA believes the reporting requirements discussed in this ICR do not place an unreasonable burden on small entities; the estimated burdens cannot be further reduced for small entities. EPA needs the information requested to make award decisions, properly manage assistance agreements, maintain records, and monitor performance. This requested information may, in some cases, be dependent on the type of entity (e.g., state agency, territory, or </w:t>
      </w:r>
      <w:r w:rsidR="0030199B" w:rsidRPr="005F6C03">
        <w:t>t</w:t>
      </w:r>
      <w:r w:rsidRPr="005F6C03">
        <w:t>ribe.)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14:paraId="6E8731E7" w14:textId="77777777" w:rsidR="00C466BD" w:rsidRPr="005F6C03" w:rsidRDefault="00C466BD" w:rsidP="00875BB6">
      <w:pPr>
        <w:ind w:left="720"/>
      </w:pPr>
    </w:p>
    <w:p w14:paraId="740E97DA" w14:textId="77777777" w:rsidR="00B95788" w:rsidRPr="005F6C03" w:rsidRDefault="00875BB6" w:rsidP="009C21DA">
      <w:pPr>
        <w:pStyle w:val="Heading2"/>
        <w:keepNext w:val="0"/>
        <w:keepLines w:val="0"/>
        <w:rPr>
          <w:rFonts w:ascii="Times New Roman" w:hAnsi="Times New Roman" w:cs="Times New Roman"/>
        </w:rPr>
      </w:pPr>
      <w:r w:rsidRPr="005F6C03">
        <w:rPr>
          <w:rFonts w:ascii="Times New Roman" w:hAnsi="Times New Roman" w:cs="Times New Roman"/>
        </w:rPr>
        <w:t xml:space="preserve">5(d).  Collection Schedule. </w:t>
      </w:r>
    </w:p>
    <w:p w14:paraId="6EE47829" w14:textId="5851A1DE" w:rsidR="003A4C2A" w:rsidRDefault="00875BB6" w:rsidP="00AC067D">
      <w:r w:rsidRPr="005F6C03">
        <w:t xml:space="preserve">Specific schedules for the collection of the </w:t>
      </w:r>
      <w:r w:rsidR="00DA2E69" w:rsidRPr="005F6C03">
        <w:t>Template</w:t>
      </w:r>
      <w:r w:rsidRPr="005F6C03">
        <w:t xml:space="preserve"> </w:t>
      </w:r>
      <w:r w:rsidR="00E45D62" w:rsidRPr="005F6C03">
        <w:t xml:space="preserve">information is </w:t>
      </w:r>
      <w:r w:rsidR="00CB4D63" w:rsidRPr="005F6C03">
        <w:t>o</w:t>
      </w:r>
      <w:r w:rsidRPr="005F6C03">
        <w:t>utlined in the Cooperative Agreement Guidance</w:t>
      </w:r>
      <w:r w:rsidR="00E45D62" w:rsidRPr="005F6C03">
        <w:t xml:space="preserve">, </w:t>
      </w:r>
      <w:r w:rsidR="00AD4A46" w:rsidRPr="005F6C03">
        <w:t>2018-2021</w:t>
      </w:r>
      <w:r w:rsidRPr="005F6C03">
        <w:t>.</w:t>
      </w:r>
      <w:r w:rsidR="00AD4A46" w:rsidRPr="005F6C03">
        <w:t xml:space="preserve"> See </w:t>
      </w:r>
      <w:hyperlink r:id="rId14" w:history="1">
        <w:r w:rsidR="00AD4A46" w:rsidRPr="005F6C03">
          <w:rPr>
            <w:rStyle w:val="Hyperlink"/>
          </w:rPr>
          <w:t>https://www.epa.gov/compliance/federal-insecticide-fungicide-and-rodenticide-act-state-and-tribal-assistance-grant</w:t>
        </w:r>
      </w:hyperlink>
      <w:r w:rsidR="00AD4A46" w:rsidRPr="005F6C03">
        <w:rPr>
          <w:rStyle w:val="Hyperlink"/>
          <w:u w:val="none"/>
        </w:rPr>
        <w:t xml:space="preserve">.  </w:t>
      </w:r>
      <w:r w:rsidR="00777BEE" w:rsidRPr="005F6C03">
        <w:t xml:space="preserve">Biannual reporting is the average </w:t>
      </w:r>
      <w:r w:rsidR="00CB4D63" w:rsidRPr="005F6C03">
        <w:t>r</w:t>
      </w:r>
      <w:r w:rsidR="00777BEE" w:rsidRPr="005F6C03">
        <w:t xml:space="preserve">eporting period. </w:t>
      </w:r>
      <w:r w:rsidR="00AC067D" w:rsidRPr="005F6C03">
        <w:t xml:space="preserve"> </w:t>
      </w:r>
    </w:p>
    <w:p w14:paraId="4EBB9844" w14:textId="0DCD41A5" w:rsidR="00CE5020" w:rsidRDefault="00CE5020" w:rsidP="00AC067D"/>
    <w:p w14:paraId="165C21B9" w14:textId="77777777" w:rsidR="00CE5020" w:rsidRPr="005F6C03" w:rsidRDefault="00CE5020" w:rsidP="00AC067D"/>
    <w:p w14:paraId="458E0BF0" w14:textId="77777777" w:rsidR="00101ABD" w:rsidRPr="005F6C03" w:rsidRDefault="00101ABD" w:rsidP="00101ABD">
      <w:pPr>
        <w:pStyle w:val="Heading1"/>
        <w:keepNext w:val="0"/>
        <w:keepLines w:val="0"/>
        <w:rPr>
          <w:rFonts w:ascii="Times New Roman" w:hAnsi="Times New Roman" w:cs="Times New Roman"/>
        </w:rPr>
      </w:pPr>
      <w:r w:rsidRPr="005F6C03">
        <w:rPr>
          <w:rFonts w:ascii="Times New Roman" w:hAnsi="Times New Roman" w:cs="Times New Roman"/>
        </w:rPr>
        <w:t>6.</w:t>
      </w:r>
      <w:r w:rsidRPr="005F6C03">
        <w:rPr>
          <w:rFonts w:ascii="Times New Roman" w:hAnsi="Times New Roman" w:cs="Times New Roman"/>
        </w:rPr>
        <w:tab/>
        <w:t>Estimating the Burden and Cost of the Collection</w:t>
      </w:r>
    </w:p>
    <w:p w14:paraId="685346C9" w14:textId="77777777" w:rsidR="00101ABD" w:rsidRPr="005F6C03" w:rsidRDefault="00101ABD" w:rsidP="00101ABD">
      <w:pPr>
        <w:pStyle w:val="Heading2"/>
        <w:rPr>
          <w:rFonts w:ascii="Times New Roman" w:hAnsi="Times New Roman" w:cs="Times New Roman"/>
        </w:rPr>
      </w:pPr>
      <w:r w:rsidRPr="005F6C03">
        <w:rPr>
          <w:rFonts w:ascii="Times New Roman" w:hAnsi="Times New Roman" w:cs="Times New Roman"/>
        </w:rPr>
        <w:t xml:space="preserve">6(a).  Estimating Labor Costs.  </w:t>
      </w:r>
    </w:p>
    <w:p w14:paraId="5DCF7624" w14:textId="27789750" w:rsidR="00101ABD" w:rsidRPr="005F6C03" w:rsidRDefault="00101ABD" w:rsidP="00101ABD">
      <w:pPr>
        <w:rPr>
          <w:bCs/>
        </w:rPr>
      </w:pPr>
      <w:r w:rsidRPr="005F6C03">
        <w:rPr>
          <w:bCs/>
        </w:rPr>
        <w:t>OPP is using labor cost estimates generated by Agency economists with respect to wages, benefits and overhead for all labor categories for affected industries, state government, and EPA employees.  This approach uses a transparent and consistent methodology employing publicly-available data to provide more accurate estimates and allow easy replication of the calculations.</w:t>
      </w:r>
      <w:r w:rsidR="00CE5020">
        <w:rPr>
          <w:bCs/>
        </w:rPr>
        <w:t xml:space="preserve"> See Attachment H.</w:t>
      </w:r>
    </w:p>
    <w:p w14:paraId="7AF43D35" w14:textId="77777777" w:rsidR="00101ABD" w:rsidRPr="005F6C03" w:rsidRDefault="00101ABD" w:rsidP="00101ABD"/>
    <w:p w14:paraId="06DD1D4F" w14:textId="77777777" w:rsidR="00101ABD" w:rsidRPr="005F6C03" w:rsidRDefault="00101ABD" w:rsidP="00101ABD">
      <w:r w:rsidRPr="005F6C03">
        <w:rPr>
          <w:bCs/>
          <w:i/>
        </w:rPr>
        <w:t>Methodolog</w:t>
      </w:r>
      <w:r w:rsidRPr="005F6C03">
        <w:rPr>
          <w:bCs/>
        </w:rPr>
        <w:t>y.</w:t>
      </w:r>
      <w:r w:rsidRPr="005F6C03">
        <w:rPr>
          <w:bCs/>
        </w:rPr>
        <w:tab/>
      </w:r>
      <w:r w:rsidRPr="005F6C03">
        <w:t xml:space="preserve">The methodology uses publicly available wage data for each sector and labor type for an </w:t>
      </w:r>
      <w:r w:rsidRPr="005F6C03">
        <w:rPr>
          <w:bCs/>
          <w:i/>
        </w:rPr>
        <w:t>Unloaded wage rate</w:t>
      </w:r>
      <w:r w:rsidRPr="005F6C03">
        <w:rPr>
          <w:bCs/>
        </w:rPr>
        <w:t xml:space="preserve"> (hourly wage rate) and calculates the </w:t>
      </w:r>
      <w:r w:rsidRPr="005F6C03">
        <w:rPr>
          <w:bCs/>
          <w:i/>
        </w:rPr>
        <w:t>Loaded wage rate</w:t>
      </w:r>
      <w:r w:rsidRPr="005F6C03">
        <w:rPr>
          <w:bCs/>
        </w:rPr>
        <w:t xml:space="preserve"> (unloaded wage rate + benefits) and the </w:t>
      </w:r>
      <w:r w:rsidRPr="005F6C03">
        <w:rPr>
          <w:bCs/>
          <w:i/>
        </w:rPr>
        <w:t>Fully loaded wage rate</w:t>
      </w:r>
      <w:r w:rsidRPr="005F6C03">
        <w:rPr>
          <w:bCs/>
        </w:rPr>
        <w:t xml:space="preserve"> (loaded wage rate + overhead).</w:t>
      </w:r>
      <w:r w:rsidRPr="005F6C03">
        <w:t xml:space="preserve">  Fully loaded wage rates are used to calculate the Agency’s staffing costs. Costs use 2017 base data from the Bureau of Labor Statistics (BLS).</w:t>
      </w:r>
    </w:p>
    <w:p w14:paraId="6BBA0755" w14:textId="77777777" w:rsidR="00101ABD" w:rsidRPr="005F6C03" w:rsidRDefault="00101ABD" w:rsidP="00101ABD"/>
    <w:p w14:paraId="5AB84B74" w14:textId="77777777" w:rsidR="00101ABD" w:rsidRPr="005F6C03" w:rsidRDefault="00101ABD" w:rsidP="00101ABD">
      <w:r w:rsidRPr="005F6C03">
        <w:rPr>
          <w:i/>
        </w:rPr>
        <w:t>Unloaded Wage Rate.</w:t>
      </w:r>
      <w:r w:rsidRPr="005F6C03">
        <w:t xml:space="preserve">  </w:t>
      </w:r>
      <w:r w:rsidRPr="005F6C03">
        <w:rPr>
          <w:bCs/>
        </w:rPr>
        <w:t xml:space="preserve">Wages are estimated for labor types (management, technical, and clerical) within applicable sectors. </w:t>
      </w:r>
      <w:r w:rsidRPr="005F6C03">
        <w:t xml:space="preserve">The Agency uses average wage data for the relevant sectors available in the National Industry-Specific Occupational Employment and Wage Estimates from the Bureau of Labor Statistics (BLS).  (See </w:t>
      </w:r>
      <w:hyperlink r:id="rId15" w:history="1">
        <w:r w:rsidRPr="005F6C03">
          <w:rPr>
            <w:rStyle w:val="Hyperlink"/>
          </w:rPr>
          <w:t>http://www.bls.gov/oes/current/oes_nat.htm</w:t>
        </w:r>
      </w:hyperlink>
      <w:r w:rsidRPr="005F6C03">
        <w:t xml:space="preserve">).  </w:t>
      </w:r>
    </w:p>
    <w:p w14:paraId="6B33797B" w14:textId="77777777" w:rsidR="00101ABD" w:rsidRPr="005F6C03" w:rsidRDefault="00101ABD" w:rsidP="00101ABD"/>
    <w:p w14:paraId="30C84371" w14:textId="77777777" w:rsidR="00101ABD" w:rsidRPr="005F6C03" w:rsidRDefault="00101ABD" w:rsidP="00101ABD">
      <w:r w:rsidRPr="005F6C03">
        <w:rPr>
          <w:i/>
        </w:rPr>
        <w:t>Sectors.</w:t>
      </w:r>
      <w:r w:rsidRPr="005F6C03">
        <w:t xml:space="preserve">  The specific North American Industry Classification System (NAICS) code and website for each sector is included in that sector’s wage rate table.  Within each sector, the wage data are provided</w:t>
      </w:r>
      <w:r w:rsidRPr="005F6C03">
        <w:rPr>
          <w:b/>
        </w:rPr>
        <w:t xml:space="preserve"> </w:t>
      </w:r>
      <w:r w:rsidRPr="005F6C03">
        <w:t xml:space="preserve">by Standard Occupational Classification (SOC).  The SOC system is used by Federal statistical agencies to classify workers into occupational categories for the purpose of collecting, calculating, or disseminating data (see </w:t>
      </w:r>
      <w:hyperlink r:id="rId16" w:history="1">
        <w:r w:rsidRPr="005F6C03">
          <w:rPr>
            <w:color w:val="0000FF"/>
            <w:u w:val="single"/>
          </w:rPr>
          <w:t>http://www.bls.gov/oes/current/oes_stru.htm</w:t>
        </w:r>
      </w:hyperlink>
      <w:r w:rsidRPr="005F6C03">
        <w:t>).</w:t>
      </w:r>
    </w:p>
    <w:p w14:paraId="0DD0254A" w14:textId="77777777" w:rsidR="00101ABD" w:rsidRPr="005F6C03" w:rsidRDefault="00101ABD" w:rsidP="00101ABD">
      <w:pPr>
        <w:ind w:firstLine="720"/>
      </w:pPr>
    </w:p>
    <w:p w14:paraId="05333631" w14:textId="77777777" w:rsidR="00101ABD" w:rsidRPr="005F6C03" w:rsidRDefault="00101ABD" w:rsidP="00101ABD">
      <w:r w:rsidRPr="005F6C03">
        <w:rPr>
          <w:i/>
        </w:rPr>
        <w:t>Loaded Wage Rate.</w:t>
      </w:r>
      <w:r w:rsidRPr="005F6C03">
        <w:t xml:space="preserve">  Unless stated otherwise, all benefits represent 46.5% of unloaded wage rates, based on benefits for all civilian non-farm workers, from </w:t>
      </w:r>
      <w:hyperlink r:id="rId17" w:history="1">
        <w:r w:rsidRPr="005F6C03">
          <w:rPr>
            <w:rStyle w:val="Hyperlink"/>
          </w:rPr>
          <w:t>http://www.bls.gov/news.release/ecec.t01.htm</w:t>
        </w:r>
      </w:hyperlink>
      <w:r w:rsidRPr="005F6C03">
        <w:t>. However, if other sectors are listed for which 46.5% is not applicable, the applicable percentage will be stated.</w:t>
      </w:r>
    </w:p>
    <w:p w14:paraId="18B2B305" w14:textId="77777777" w:rsidR="00101ABD" w:rsidRPr="005F6C03" w:rsidRDefault="00101ABD" w:rsidP="00101ABD"/>
    <w:p w14:paraId="1A8A89A8" w14:textId="77777777" w:rsidR="00101ABD" w:rsidRPr="005F6C03" w:rsidRDefault="00101ABD" w:rsidP="00101ABD">
      <w:r w:rsidRPr="005F6C03">
        <w:rPr>
          <w:i/>
        </w:rPr>
        <w:t>Fully Loaded Wage Rate.</w:t>
      </w:r>
      <w:r w:rsidRPr="005F6C03">
        <w:t xml:space="preserve">  The fully loaded wages include benefits and overhead costs. The loaded wage rate is multiplied by 50% (EPA guidelines 20-70%) to get overhead costs.  </w:t>
      </w:r>
    </w:p>
    <w:p w14:paraId="4FCFA668" w14:textId="77777777" w:rsidR="00101ABD" w:rsidRPr="005F6C03" w:rsidRDefault="00101ABD" w:rsidP="00101ABD"/>
    <w:p w14:paraId="6C2FBC58" w14:textId="09EAA9D0" w:rsidR="00101ABD" w:rsidRPr="005F6C03" w:rsidRDefault="00101ABD" w:rsidP="00101ABD">
      <w:pPr>
        <w:keepNext/>
        <w:keepLines/>
        <w:rPr>
          <w:bCs/>
        </w:rPr>
      </w:pPr>
      <w:r w:rsidRPr="005F6C03">
        <w:rPr>
          <w:bCs/>
        </w:rPr>
        <w:t xml:space="preserve">Using these data and methodology, the </w:t>
      </w:r>
      <w:r w:rsidR="00BC2AB7" w:rsidRPr="005F6C03">
        <w:rPr>
          <w:bCs/>
        </w:rPr>
        <w:t xml:space="preserve">BLS </w:t>
      </w:r>
      <w:r w:rsidRPr="005F6C03">
        <w:rPr>
          <w:bCs/>
        </w:rPr>
        <w:t>(unloaded) wage rates</w:t>
      </w:r>
      <w:r w:rsidR="00BC2AB7" w:rsidRPr="005F6C03">
        <w:rPr>
          <w:bCs/>
        </w:rPr>
        <w:t xml:space="preserve"> </w:t>
      </w:r>
      <w:r w:rsidRPr="005F6C03">
        <w:rPr>
          <w:bCs/>
        </w:rPr>
        <w:t>used to calculate the respondent costs for this renewal are $42.17 and $29.54 per hour for managerial and technical labor hour costs, respectively, which equates to $92.65 and $64.90, when calculated on a fully loaded basis as described above. There are no clerical costs estimated for respondents in this ICR. These w</w:t>
      </w:r>
      <w:r w:rsidRPr="005F6C03">
        <w:t>age rates reflect the average hourly wage rate estimate provided by BLS for the North American Industry Classification System (NAICS) code for State Government (NAICS code 999200).</w:t>
      </w:r>
    </w:p>
    <w:p w14:paraId="7E5970A1" w14:textId="77777777" w:rsidR="00101ABD" w:rsidRPr="005F6C03" w:rsidRDefault="00101ABD" w:rsidP="00101ABD">
      <w:pPr>
        <w:keepNext/>
        <w:keepLines/>
        <w:rPr>
          <w:bCs/>
        </w:rPr>
      </w:pPr>
    </w:p>
    <w:p w14:paraId="4842C9A6" w14:textId="77777777" w:rsidR="00101ABD" w:rsidRPr="005F6C03" w:rsidRDefault="00101ABD" w:rsidP="00101ABD">
      <w:pPr>
        <w:pStyle w:val="Heading2"/>
        <w:keepNext w:val="0"/>
        <w:keepLines w:val="0"/>
        <w:rPr>
          <w:rFonts w:ascii="Times New Roman" w:hAnsi="Times New Roman" w:cs="Times New Roman"/>
        </w:rPr>
      </w:pPr>
      <w:r w:rsidRPr="005F6C03">
        <w:rPr>
          <w:rFonts w:ascii="Times New Roman" w:hAnsi="Times New Roman" w:cs="Times New Roman"/>
        </w:rPr>
        <w:t xml:space="preserve">6(b).  Estimating Respondent Burden. </w:t>
      </w:r>
    </w:p>
    <w:p w14:paraId="119412FF" w14:textId="77777777" w:rsidR="00101ABD" w:rsidRPr="005F6C03" w:rsidRDefault="00101ABD" w:rsidP="00101ABD">
      <w:pPr>
        <w:widowControl w:val="0"/>
      </w:pPr>
      <w:r w:rsidRPr="005F6C03">
        <w:t>Currently, 81 states, tribes and territories are active FIFRA grantee</w:t>
      </w:r>
      <w:r w:rsidRPr="005F6C03">
        <w:rPr>
          <w:color w:val="000000" w:themeColor="text1"/>
        </w:rPr>
        <w:t xml:space="preserve">s under the current STAG program. </w:t>
      </w:r>
      <w:r w:rsidRPr="005F6C03">
        <w:t xml:space="preserve">To establish the burden hour estimate and costs for FIFRA grantees (states, tribes and territories, hereafter referenced as “grantees”) to use the Template, EPA solicited burden data from 9 states, 7 of which (Oregon, New York, Massachusetts, New Mexico, Pennsylvania, Virginia, and Vermont) provided a detailed breakdown by activity for the Template. The responses of these 7 FIFRA STAG grantees is the basis for estimating the burden hours and costs for completing all grant reporting using the Template. Table 1 displays the “per Template” (one complete annual reporting cycle using the Template) burden and cost of the specific FIFRA program grant reporting activities as reported on the Template. </w:t>
      </w:r>
    </w:p>
    <w:p w14:paraId="78A98DE2" w14:textId="77777777" w:rsidR="00101ABD" w:rsidRPr="005F6C03" w:rsidRDefault="00101ABD" w:rsidP="00101ABD">
      <w:pPr>
        <w:widowControl w:val="0"/>
      </w:pPr>
    </w:p>
    <w:p w14:paraId="1BB521B9" w14:textId="77777777" w:rsidR="00101ABD" w:rsidRPr="005F6C03" w:rsidRDefault="00101ABD" w:rsidP="00101ABD">
      <w:r w:rsidRPr="005F6C03">
        <w:t xml:space="preserve">There are no capital costs related to completing EPA grant applications and the related reporting requirements in the FIFRA Template and there are no operating and maintenance costs associated with these activities. The previous section, 6 (a), describes how the labor costs are derived. The total estimated burden hours per Template is 323.40. The total estimated burden cost per Template is $25,953. Since there is only one Template per grantee, the total number of Templates is the same, 81. The total annual burden hours for all respondents is 26,195 (323.40 X 81 Templates/respondents). The total annual burden cost for all respondents is $2,102,179 ($25,953 X 81 Templates/respondents). </w:t>
      </w:r>
    </w:p>
    <w:p w14:paraId="0EDB6B2F" w14:textId="772AF2BD" w:rsidR="00101ABD" w:rsidRPr="005F6C03" w:rsidRDefault="00101ABD" w:rsidP="00101ABD">
      <w:r w:rsidRPr="005F6C03">
        <w:tab/>
      </w:r>
    </w:p>
    <w:p w14:paraId="45AF3D63" w14:textId="6ED2DB33" w:rsidR="00101ABD" w:rsidRPr="005F6C03" w:rsidRDefault="00101ABD" w:rsidP="00101ABD"/>
    <w:p w14:paraId="2A30245F" w14:textId="13F01945" w:rsidR="00101ABD" w:rsidRPr="005F6C03" w:rsidRDefault="00101ABD" w:rsidP="00101ABD"/>
    <w:p w14:paraId="7D062DDA" w14:textId="7119F077" w:rsidR="00101ABD" w:rsidRPr="005F6C03" w:rsidRDefault="00101ABD" w:rsidP="00101ABD"/>
    <w:p w14:paraId="0B2AF135" w14:textId="097427FE" w:rsidR="00101ABD" w:rsidRPr="005F6C03" w:rsidRDefault="00101ABD" w:rsidP="00101ABD"/>
    <w:p w14:paraId="482EF56B" w14:textId="4C89E1E9" w:rsidR="00101ABD" w:rsidRPr="005F6C03" w:rsidRDefault="00101ABD" w:rsidP="00101ABD"/>
    <w:p w14:paraId="60AC91E4" w14:textId="77777777" w:rsidR="00101ABD" w:rsidRPr="005F6C03" w:rsidRDefault="00101ABD" w:rsidP="00101ABD"/>
    <w:p w14:paraId="12ABADAA" w14:textId="365E4B36" w:rsidR="00101ABD" w:rsidRPr="005F6C03" w:rsidRDefault="00101ABD" w:rsidP="00101ABD">
      <w:pPr>
        <w:widowControl w:val="0"/>
        <w:rPr>
          <w:b/>
        </w:rPr>
      </w:pPr>
      <w:r w:rsidRPr="005F6C03">
        <w:rPr>
          <w:rFonts w:eastAsiaTheme="minorHAnsi"/>
          <w:b/>
        </w:rPr>
        <w:t xml:space="preserve">Table 1 – Annual Average Burden Hour and Cost Estimate “per </w:t>
      </w:r>
      <w:r w:rsidRPr="005F6C03">
        <w:rPr>
          <w:b/>
        </w:rPr>
        <w:t>Template</w:t>
      </w:r>
      <w:r w:rsidRPr="005F6C03">
        <w:rPr>
          <w:rFonts w:eastAsiaTheme="minorHAnsi"/>
          <w:b/>
        </w:rPr>
        <w:t>” for each FIFRA Grantee</w:t>
      </w:r>
    </w:p>
    <w:p w14:paraId="5F320016" w14:textId="77777777" w:rsidR="00101ABD" w:rsidRPr="005F6C03" w:rsidRDefault="00101ABD" w:rsidP="00101ABD">
      <w:pPr>
        <w:widowControl w:val="0"/>
      </w:pPr>
    </w:p>
    <w:tbl>
      <w:tblPr>
        <w:tblW w:w="5000" w:type="pct"/>
        <w:tblLayout w:type="fixed"/>
        <w:tblLook w:val="04A0" w:firstRow="1" w:lastRow="0" w:firstColumn="1" w:lastColumn="0" w:noHBand="0" w:noVBand="1"/>
      </w:tblPr>
      <w:tblGrid>
        <w:gridCol w:w="2267"/>
        <w:gridCol w:w="1174"/>
        <w:gridCol w:w="1155"/>
        <w:gridCol w:w="1658"/>
        <w:gridCol w:w="1227"/>
        <w:gridCol w:w="1466"/>
        <w:gridCol w:w="1349"/>
      </w:tblGrid>
      <w:tr w:rsidR="00101ABD" w:rsidRPr="005F6C03" w14:paraId="1761F9FE" w14:textId="77777777" w:rsidTr="00553EF5">
        <w:trPr>
          <w:trHeight w:val="1560"/>
        </w:trPr>
        <w:tc>
          <w:tcPr>
            <w:tcW w:w="1101" w:type="pct"/>
            <w:tcBorders>
              <w:top w:val="single" w:sz="8" w:space="0" w:color="auto"/>
              <w:left w:val="single" w:sz="8" w:space="0" w:color="auto"/>
              <w:bottom w:val="nil"/>
              <w:right w:val="single" w:sz="8" w:space="0" w:color="auto"/>
            </w:tcBorders>
            <w:shd w:val="clear" w:color="000000" w:fill="DEEAF6"/>
            <w:vAlign w:val="center"/>
            <w:hideMark/>
          </w:tcPr>
          <w:p w14:paraId="1C3A4813" w14:textId="77777777" w:rsidR="00101ABD" w:rsidRPr="005F6C03" w:rsidRDefault="00101ABD" w:rsidP="00101ABD">
            <w:pPr>
              <w:jc w:val="center"/>
              <w:rPr>
                <w:color w:val="000000"/>
                <w:sz w:val="22"/>
                <w:szCs w:val="22"/>
              </w:rPr>
            </w:pPr>
            <w:r w:rsidRPr="005F6C03">
              <w:rPr>
                <w:color w:val="000000"/>
                <w:sz w:val="22"/>
                <w:szCs w:val="22"/>
              </w:rPr>
              <w:t>Annual Burden Activity</w:t>
            </w:r>
          </w:p>
        </w:tc>
        <w:tc>
          <w:tcPr>
            <w:tcW w:w="1130" w:type="pct"/>
            <w:gridSpan w:val="2"/>
            <w:vMerge w:val="restart"/>
            <w:tcBorders>
              <w:top w:val="single" w:sz="8" w:space="0" w:color="auto"/>
              <w:left w:val="single" w:sz="8" w:space="0" w:color="auto"/>
              <w:bottom w:val="single" w:sz="4" w:space="0" w:color="auto"/>
              <w:right w:val="nil"/>
            </w:tcBorders>
            <w:shd w:val="clear" w:color="000000" w:fill="DEEAF6"/>
            <w:vAlign w:val="center"/>
            <w:hideMark/>
          </w:tcPr>
          <w:p w14:paraId="02EBD2F4" w14:textId="77777777" w:rsidR="00101ABD" w:rsidRPr="005F6C03" w:rsidRDefault="00101ABD" w:rsidP="00101ABD">
            <w:pPr>
              <w:jc w:val="center"/>
              <w:rPr>
                <w:color w:val="000000"/>
                <w:sz w:val="22"/>
                <w:szCs w:val="22"/>
              </w:rPr>
            </w:pPr>
            <w:r w:rsidRPr="005F6C03">
              <w:rPr>
                <w:color w:val="000000"/>
                <w:sz w:val="22"/>
                <w:szCs w:val="22"/>
              </w:rPr>
              <w:t>Burden hours</w:t>
            </w:r>
          </w:p>
          <w:p w14:paraId="2C088A26" w14:textId="77777777" w:rsidR="00101ABD" w:rsidRPr="005F6C03" w:rsidRDefault="00101ABD" w:rsidP="00101ABD">
            <w:pPr>
              <w:jc w:val="center"/>
              <w:rPr>
                <w:color w:val="000000"/>
                <w:sz w:val="22"/>
                <w:szCs w:val="22"/>
              </w:rPr>
            </w:pPr>
            <w:r w:rsidRPr="005F6C03">
              <w:rPr>
                <w:color w:val="000000"/>
                <w:sz w:val="22"/>
                <w:szCs w:val="22"/>
              </w:rPr>
              <w:t xml:space="preserve"> (by Labor category) </w:t>
            </w:r>
          </w:p>
        </w:tc>
        <w:tc>
          <w:tcPr>
            <w:tcW w:w="805"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5EA88D6D" w14:textId="77777777" w:rsidR="00101ABD" w:rsidRPr="005F6C03" w:rsidRDefault="00101ABD" w:rsidP="00101ABD">
            <w:pPr>
              <w:jc w:val="center"/>
              <w:rPr>
                <w:color w:val="000000"/>
                <w:sz w:val="22"/>
                <w:szCs w:val="22"/>
              </w:rPr>
            </w:pPr>
            <w:r w:rsidRPr="005F6C03">
              <w:rPr>
                <w:color w:val="000000"/>
                <w:sz w:val="22"/>
                <w:szCs w:val="22"/>
              </w:rPr>
              <w:t>Total Estimated Burden Hours (by activity)</w:t>
            </w:r>
          </w:p>
        </w:tc>
        <w:tc>
          <w:tcPr>
            <w:tcW w:w="1308" w:type="pct"/>
            <w:gridSpan w:val="2"/>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0346733B" w14:textId="77777777" w:rsidR="00101ABD" w:rsidRPr="005F6C03" w:rsidRDefault="00101ABD" w:rsidP="00101ABD">
            <w:pPr>
              <w:jc w:val="center"/>
              <w:rPr>
                <w:color w:val="000000"/>
                <w:sz w:val="22"/>
                <w:szCs w:val="22"/>
              </w:rPr>
            </w:pPr>
            <w:r w:rsidRPr="005F6C03">
              <w:rPr>
                <w:color w:val="000000"/>
                <w:sz w:val="22"/>
                <w:szCs w:val="22"/>
              </w:rPr>
              <w:t>Burden Costs</w:t>
            </w:r>
          </w:p>
          <w:p w14:paraId="40BF4FBD" w14:textId="77777777" w:rsidR="00101ABD" w:rsidRPr="005F6C03" w:rsidRDefault="00101ABD" w:rsidP="00101ABD">
            <w:pPr>
              <w:jc w:val="center"/>
              <w:rPr>
                <w:color w:val="000000"/>
                <w:sz w:val="22"/>
                <w:szCs w:val="22"/>
              </w:rPr>
            </w:pPr>
            <w:r w:rsidRPr="005F6C03">
              <w:rPr>
                <w:color w:val="000000"/>
                <w:sz w:val="22"/>
                <w:szCs w:val="22"/>
              </w:rPr>
              <w:t xml:space="preserve"> (by Labor category)</w:t>
            </w:r>
          </w:p>
        </w:tc>
        <w:tc>
          <w:tcPr>
            <w:tcW w:w="655"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0662CD13" w14:textId="77777777" w:rsidR="00101ABD" w:rsidRPr="005F6C03" w:rsidRDefault="00101ABD" w:rsidP="00101ABD">
            <w:pPr>
              <w:jc w:val="center"/>
              <w:rPr>
                <w:color w:val="000000"/>
                <w:sz w:val="22"/>
                <w:szCs w:val="22"/>
              </w:rPr>
            </w:pPr>
            <w:r w:rsidRPr="005F6C03">
              <w:rPr>
                <w:color w:val="000000"/>
                <w:sz w:val="22"/>
                <w:szCs w:val="22"/>
              </w:rPr>
              <w:t>Total Estimated Burden Cost (by activity)</w:t>
            </w:r>
          </w:p>
        </w:tc>
      </w:tr>
      <w:tr w:rsidR="00101ABD" w:rsidRPr="005F6C03" w14:paraId="1BD7473E" w14:textId="77777777" w:rsidTr="00553EF5">
        <w:trPr>
          <w:trHeight w:val="60"/>
        </w:trPr>
        <w:tc>
          <w:tcPr>
            <w:tcW w:w="1101" w:type="pct"/>
            <w:tcBorders>
              <w:top w:val="nil"/>
              <w:left w:val="single" w:sz="8" w:space="0" w:color="auto"/>
              <w:bottom w:val="nil"/>
              <w:right w:val="single" w:sz="8" w:space="0" w:color="auto"/>
            </w:tcBorders>
            <w:shd w:val="clear" w:color="000000" w:fill="DEEAF6"/>
            <w:vAlign w:val="center"/>
            <w:hideMark/>
          </w:tcPr>
          <w:p w14:paraId="24C03F92" w14:textId="42F1F600" w:rsidR="00101ABD" w:rsidRPr="005F6C03" w:rsidRDefault="00766235" w:rsidP="00101ABD">
            <w:pPr>
              <w:jc w:val="center"/>
              <w:rPr>
                <w:color w:val="000000"/>
                <w:sz w:val="22"/>
                <w:szCs w:val="22"/>
              </w:rPr>
            </w:pPr>
            <w:r w:rsidRPr="005F6C03">
              <w:rPr>
                <w:color w:val="000000"/>
                <w:sz w:val="22"/>
                <w:szCs w:val="22"/>
              </w:rPr>
              <w:t>T5</w:t>
            </w:r>
            <w:r w:rsidR="00101ABD" w:rsidRPr="005F6C03">
              <w:rPr>
                <w:color w:val="000000"/>
                <w:sz w:val="22"/>
                <w:szCs w:val="22"/>
              </w:rPr>
              <w:t>(Each Template Tab)</w:t>
            </w:r>
          </w:p>
        </w:tc>
        <w:tc>
          <w:tcPr>
            <w:tcW w:w="1130" w:type="pct"/>
            <w:gridSpan w:val="2"/>
            <w:vMerge/>
            <w:tcBorders>
              <w:top w:val="single" w:sz="8" w:space="0" w:color="000000"/>
              <w:left w:val="single" w:sz="8" w:space="0" w:color="auto"/>
              <w:bottom w:val="single" w:sz="4" w:space="0" w:color="auto"/>
              <w:right w:val="single" w:sz="8" w:space="0" w:color="auto"/>
            </w:tcBorders>
            <w:vAlign w:val="center"/>
            <w:hideMark/>
          </w:tcPr>
          <w:p w14:paraId="7E5383A6" w14:textId="77777777" w:rsidR="00101ABD" w:rsidRPr="005F6C03" w:rsidRDefault="00101ABD" w:rsidP="00101ABD">
            <w:pPr>
              <w:rPr>
                <w:color w:val="000000"/>
                <w:sz w:val="22"/>
                <w:szCs w:val="22"/>
              </w:rPr>
            </w:pPr>
          </w:p>
        </w:tc>
        <w:tc>
          <w:tcPr>
            <w:tcW w:w="805" w:type="pct"/>
            <w:vMerge/>
            <w:tcBorders>
              <w:top w:val="single" w:sz="8" w:space="0" w:color="auto"/>
              <w:left w:val="single" w:sz="8" w:space="0" w:color="auto"/>
              <w:bottom w:val="single" w:sz="8" w:space="0" w:color="000000"/>
              <w:right w:val="single" w:sz="8" w:space="0" w:color="auto"/>
            </w:tcBorders>
            <w:vAlign w:val="center"/>
            <w:hideMark/>
          </w:tcPr>
          <w:p w14:paraId="64EE7FAC" w14:textId="77777777" w:rsidR="00101ABD" w:rsidRPr="005F6C03" w:rsidRDefault="00101ABD" w:rsidP="00101ABD">
            <w:pPr>
              <w:rPr>
                <w:color w:val="000000"/>
                <w:sz w:val="22"/>
                <w:szCs w:val="22"/>
              </w:rPr>
            </w:pPr>
          </w:p>
        </w:tc>
        <w:tc>
          <w:tcPr>
            <w:tcW w:w="1308" w:type="pct"/>
            <w:gridSpan w:val="2"/>
            <w:vMerge/>
            <w:tcBorders>
              <w:top w:val="single" w:sz="8" w:space="0" w:color="auto"/>
              <w:left w:val="single" w:sz="8" w:space="0" w:color="auto"/>
              <w:bottom w:val="single" w:sz="8" w:space="0" w:color="000000"/>
              <w:right w:val="single" w:sz="8" w:space="0" w:color="000000"/>
            </w:tcBorders>
            <w:vAlign w:val="center"/>
            <w:hideMark/>
          </w:tcPr>
          <w:p w14:paraId="2CA4D9CE" w14:textId="77777777" w:rsidR="00101ABD" w:rsidRPr="005F6C03" w:rsidRDefault="00101ABD" w:rsidP="00101ABD">
            <w:pPr>
              <w:rPr>
                <w:color w:val="000000"/>
                <w:sz w:val="22"/>
                <w:szCs w:val="22"/>
              </w:rPr>
            </w:pPr>
          </w:p>
        </w:tc>
        <w:tc>
          <w:tcPr>
            <w:tcW w:w="655" w:type="pct"/>
            <w:vMerge/>
            <w:tcBorders>
              <w:top w:val="single" w:sz="8" w:space="0" w:color="auto"/>
              <w:left w:val="single" w:sz="8" w:space="0" w:color="auto"/>
              <w:bottom w:val="single" w:sz="8" w:space="0" w:color="000000"/>
              <w:right w:val="single" w:sz="8" w:space="0" w:color="auto"/>
            </w:tcBorders>
            <w:vAlign w:val="center"/>
            <w:hideMark/>
          </w:tcPr>
          <w:p w14:paraId="4B447207" w14:textId="77777777" w:rsidR="00101ABD" w:rsidRPr="005F6C03" w:rsidRDefault="00101ABD" w:rsidP="00101ABD">
            <w:pPr>
              <w:rPr>
                <w:color w:val="000000"/>
                <w:sz w:val="22"/>
                <w:szCs w:val="22"/>
              </w:rPr>
            </w:pPr>
          </w:p>
        </w:tc>
      </w:tr>
      <w:tr w:rsidR="00273380" w:rsidRPr="005F6C03" w14:paraId="5D552D75" w14:textId="77777777" w:rsidTr="00273380">
        <w:trPr>
          <w:trHeight w:val="300"/>
        </w:trPr>
        <w:tc>
          <w:tcPr>
            <w:tcW w:w="1101" w:type="pct"/>
            <w:tcBorders>
              <w:top w:val="nil"/>
              <w:left w:val="single" w:sz="8" w:space="0" w:color="auto"/>
              <w:bottom w:val="nil"/>
              <w:right w:val="single" w:sz="8" w:space="0" w:color="auto"/>
            </w:tcBorders>
            <w:shd w:val="clear" w:color="000000" w:fill="DEEAF6"/>
            <w:vAlign w:val="center"/>
            <w:hideMark/>
          </w:tcPr>
          <w:p w14:paraId="2CD4E10D" w14:textId="77777777" w:rsidR="00101ABD" w:rsidRPr="005F6C03" w:rsidRDefault="00101ABD" w:rsidP="00101ABD">
            <w:pPr>
              <w:jc w:val="center"/>
              <w:rPr>
                <w:color w:val="000000"/>
                <w:sz w:val="22"/>
                <w:szCs w:val="22"/>
              </w:rPr>
            </w:pPr>
            <w:r w:rsidRPr="005F6C03">
              <w:rPr>
                <w:color w:val="000000"/>
                <w:sz w:val="22"/>
                <w:szCs w:val="22"/>
              </w:rPr>
              <w:t> </w:t>
            </w:r>
          </w:p>
        </w:tc>
        <w:tc>
          <w:tcPr>
            <w:tcW w:w="570" w:type="pct"/>
            <w:vMerge w:val="restart"/>
            <w:tcBorders>
              <w:top w:val="single" w:sz="4" w:space="0" w:color="auto"/>
              <w:left w:val="single" w:sz="8" w:space="0" w:color="auto"/>
              <w:bottom w:val="single" w:sz="8" w:space="0" w:color="000000"/>
              <w:right w:val="single" w:sz="8" w:space="0" w:color="auto"/>
            </w:tcBorders>
            <w:shd w:val="clear" w:color="000000" w:fill="DEEAF6"/>
            <w:vAlign w:val="center"/>
            <w:hideMark/>
          </w:tcPr>
          <w:p w14:paraId="7DCA8D28" w14:textId="5A782BBC" w:rsidR="00101ABD" w:rsidRPr="005F6C03" w:rsidRDefault="00101ABD" w:rsidP="00101ABD">
            <w:pPr>
              <w:rPr>
                <w:color w:val="000000"/>
                <w:sz w:val="22"/>
                <w:szCs w:val="22"/>
              </w:rPr>
            </w:pPr>
            <w:r w:rsidRPr="005F6C03">
              <w:rPr>
                <w:color w:val="000000"/>
                <w:sz w:val="22"/>
                <w:szCs w:val="22"/>
              </w:rPr>
              <w:t>Manager</w:t>
            </w:r>
          </w:p>
        </w:tc>
        <w:tc>
          <w:tcPr>
            <w:tcW w:w="561" w:type="pct"/>
            <w:vMerge w:val="restart"/>
            <w:tcBorders>
              <w:top w:val="single" w:sz="4" w:space="0" w:color="auto"/>
              <w:left w:val="single" w:sz="8" w:space="0" w:color="auto"/>
              <w:bottom w:val="single" w:sz="8" w:space="0" w:color="000000"/>
              <w:right w:val="single" w:sz="8" w:space="0" w:color="auto"/>
            </w:tcBorders>
            <w:shd w:val="clear" w:color="000000" w:fill="DEEAF6"/>
            <w:vAlign w:val="center"/>
            <w:hideMark/>
          </w:tcPr>
          <w:p w14:paraId="5E9624C6" w14:textId="77777777" w:rsidR="00101ABD" w:rsidRPr="005F6C03" w:rsidRDefault="00101ABD" w:rsidP="00101ABD">
            <w:pPr>
              <w:rPr>
                <w:color w:val="000000"/>
                <w:sz w:val="22"/>
                <w:szCs w:val="22"/>
              </w:rPr>
            </w:pPr>
            <w:r w:rsidRPr="005F6C03">
              <w:rPr>
                <w:color w:val="000000"/>
                <w:sz w:val="22"/>
                <w:szCs w:val="22"/>
              </w:rPr>
              <w:t xml:space="preserve">Technical </w:t>
            </w:r>
          </w:p>
        </w:tc>
        <w:tc>
          <w:tcPr>
            <w:tcW w:w="805" w:type="pct"/>
            <w:vMerge/>
            <w:tcBorders>
              <w:top w:val="single" w:sz="8" w:space="0" w:color="auto"/>
              <w:left w:val="single" w:sz="8" w:space="0" w:color="auto"/>
              <w:bottom w:val="single" w:sz="8" w:space="0" w:color="000000"/>
              <w:right w:val="single" w:sz="8" w:space="0" w:color="auto"/>
            </w:tcBorders>
            <w:vAlign w:val="center"/>
            <w:hideMark/>
          </w:tcPr>
          <w:p w14:paraId="410DB9D7" w14:textId="77777777" w:rsidR="00101ABD" w:rsidRPr="005F6C03" w:rsidRDefault="00101ABD" w:rsidP="00101ABD">
            <w:pPr>
              <w:rPr>
                <w:color w:val="000000"/>
                <w:sz w:val="22"/>
                <w:szCs w:val="22"/>
              </w:rPr>
            </w:pPr>
          </w:p>
        </w:tc>
        <w:tc>
          <w:tcPr>
            <w:tcW w:w="596" w:type="pct"/>
            <w:tcBorders>
              <w:top w:val="nil"/>
              <w:left w:val="nil"/>
              <w:bottom w:val="nil"/>
              <w:right w:val="single" w:sz="8" w:space="0" w:color="auto"/>
            </w:tcBorders>
            <w:shd w:val="clear" w:color="000000" w:fill="DEEAF6"/>
            <w:vAlign w:val="center"/>
            <w:hideMark/>
          </w:tcPr>
          <w:p w14:paraId="469F34E3" w14:textId="77777777" w:rsidR="00101ABD" w:rsidRPr="005F6C03" w:rsidRDefault="00101ABD" w:rsidP="00101ABD">
            <w:pPr>
              <w:rPr>
                <w:color w:val="000000"/>
                <w:sz w:val="22"/>
                <w:szCs w:val="22"/>
              </w:rPr>
            </w:pPr>
            <w:r w:rsidRPr="005F6C03">
              <w:rPr>
                <w:color w:val="000000"/>
                <w:sz w:val="22"/>
                <w:szCs w:val="22"/>
              </w:rPr>
              <w:t>Manager</w:t>
            </w:r>
          </w:p>
        </w:tc>
        <w:tc>
          <w:tcPr>
            <w:tcW w:w="712" w:type="pct"/>
            <w:tcBorders>
              <w:top w:val="nil"/>
              <w:left w:val="nil"/>
              <w:bottom w:val="nil"/>
              <w:right w:val="single" w:sz="8" w:space="0" w:color="auto"/>
            </w:tcBorders>
            <w:shd w:val="clear" w:color="000000" w:fill="DEEAF6"/>
            <w:vAlign w:val="center"/>
            <w:hideMark/>
          </w:tcPr>
          <w:p w14:paraId="64BCC2C0" w14:textId="77777777" w:rsidR="00101ABD" w:rsidRPr="005F6C03" w:rsidRDefault="00101ABD" w:rsidP="00101ABD">
            <w:pPr>
              <w:rPr>
                <w:color w:val="000000"/>
                <w:sz w:val="22"/>
                <w:szCs w:val="22"/>
              </w:rPr>
            </w:pPr>
            <w:r w:rsidRPr="005F6C03">
              <w:rPr>
                <w:color w:val="000000"/>
                <w:sz w:val="22"/>
                <w:szCs w:val="22"/>
              </w:rPr>
              <w:t>Technical</w:t>
            </w:r>
          </w:p>
        </w:tc>
        <w:tc>
          <w:tcPr>
            <w:tcW w:w="655" w:type="pct"/>
            <w:vMerge/>
            <w:tcBorders>
              <w:top w:val="single" w:sz="8" w:space="0" w:color="auto"/>
              <w:left w:val="single" w:sz="8" w:space="0" w:color="auto"/>
              <w:bottom w:val="single" w:sz="8" w:space="0" w:color="000000"/>
              <w:right w:val="single" w:sz="8" w:space="0" w:color="auto"/>
            </w:tcBorders>
            <w:vAlign w:val="center"/>
            <w:hideMark/>
          </w:tcPr>
          <w:p w14:paraId="38883B3C" w14:textId="77777777" w:rsidR="00101ABD" w:rsidRPr="005F6C03" w:rsidRDefault="00101ABD" w:rsidP="00101ABD">
            <w:pPr>
              <w:rPr>
                <w:color w:val="000000"/>
                <w:sz w:val="22"/>
                <w:szCs w:val="22"/>
              </w:rPr>
            </w:pPr>
          </w:p>
        </w:tc>
      </w:tr>
      <w:tr w:rsidR="00273380" w:rsidRPr="005F6C03" w14:paraId="66031CDD" w14:textId="77777777" w:rsidTr="00273380">
        <w:trPr>
          <w:trHeight w:val="60"/>
        </w:trPr>
        <w:tc>
          <w:tcPr>
            <w:tcW w:w="1101" w:type="pct"/>
            <w:tcBorders>
              <w:top w:val="nil"/>
              <w:left w:val="single" w:sz="8" w:space="0" w:color="auto"/>
              <w:bottom w:val="single" w:sz="8" w:space="0" w:color="auto"/>
              <w:right w:val="single" w:sz="8" w:space="0" w:color="auto"/>
            </w:tcBorders>
            <w:shd w:val="clear" w:color="000000" w:fill="DEEAF6"/>
            <w:hideMark/>
          </w:tcPr>
          <w:p w14:paraId="27BDD858" w14:textId="77777777" w:rsidR="00101ABD" w:rsidRPr="005F6C03" w:rsidRDefault="00101ABD" w:rsidP="00101ABD">
            <w:pPr>
              <w:rPr>
                <w:color w:val="000000"/>
                <w:sz w:val="22"/>
                <w:szCs w:val="22"/>
              </w:rPr>
            </w:pPr>
            <w:r w:rsidRPr="005F6C03">
              <w:rPr>
                <w:color w:val="000000"/>
                <w:sz w:val="22"/>
                <w:szCs w:val="22"/>
              </w:rPr>
              <w:t> </w:t>
            </w:r>
          </w:p>
        </w:tc>
        <w:tc>
          <w:tcPr>
            <w:tcW w:w="570" w:type="pct"/>
            <w:vMerge/>
            <w:tcBorders>
              <w:top w:val="nil"/>
              <w:left w:val="single" w:sz="8" w:space="0" w:color="auto"/>
              <w:bottom w:val="single" w:sz="8" w:space="0" w:color="000000"/>
              <w:right w:val="single" w:sz="8" w:space="0" w:color="auto"/>
            </w:tcBorders>
            <w:vAlign w:val="center"/>
            <w:hideMark/>
          </w:tcPr>
          <w:p w14:paraId="39215E98" w14:textId="77777777" w:rsidR="00101ABD" w:rsidRPr="005F6C03" w:rsidRDefault="00101ABD" w:rsidP="00101ABD">
            <w:pPr>
              <w:rPr>
                <w:color w:val="000000"/>
                <w:sz w:val="22"/>
                <w:szCs w:val="22"/>
              </w:rPr>
            </w:pPr>
          </w:p>
        </w:tc>
        <w:tc>
          <w:tcPr>
            <w:tcW w:w="561" w:type="pct"/>
            <w:vMerge/>
            <w:tcBorders>
              <w:top w:val="nil"/>
              <w:left w:val="single" w:sz="8" w:space="0" w:color="auto"/>
              <w:bottom w:val="single" w:sz="8" w:space="0" w:color="000000"/>
              <w:right w:val="single" w:sz="8" w:space="0" w:color="auto"/>
            </w:tcBorders>
            <w:vAlign w:val="center"/>
            <w:hideMark/>
          </w:tcPr>
          <w:p w14:paraId="5036B0A7" w14:textId="77777777" w:rsidR="00101ABD" w:rsidRPr="005F6C03" w:rsidRDefault="00101ABD" w:rsidP="00101ABD">
            <w:pPr>
              <w:rPr>
                <w:color w:val="000000"/>
                <w:sz w:val="22"/>
                <w:szCs w:val="22"/>
              </w:rPr>
            </w:pPr>
          </w:p>
        </w:tc>
        <w:tc>
          <w:tcPr>
            <w:tcW w:w="805" w:type="pct"/>
            <w:vMerge/>
            <w:tcBorders>
              <w:top w:val="single" w:sz="8" w:space="0" w:color="auto"/>
              <w:left w:val="single" w:sz="8" w:space="0" w:color="auto"/>
              <w:bottom w:val="single" w:sz="8" w:space="0" w:color="000000"/>
              <w:right w:val="single" w:sz="8" w:space="0" w:color="auto"/>
            </w:tcBorders>
            <w:vAlign w:val="center"/>
            <w:hideMark/>
          </w:tcPr>
          <w:p w14:paraId="5D23E2CA" w14:textId="77777777" w:rsidR="00101ABD" w:rsidRPr="005F6C03" w:rsidRDefault="00101ABD" w:rsidP="00101ABD">
            <w:pPr>
              <w:rPr>
                <w:color w:val="000000"/>
                <w:sz w:val="22"/>
                <w:szCs w:val="22"/>
              </w:rPr>
            </w:pPr>
          </w:p>
        </w:tc>
        <w:tc>
          <w:tcPr>
            <w:tcW w:w="596" w:type="pct"/>
            <w:tcBorders>
              <w:top w:val="nil"/>
              <w:left w:val="nil"/>
              <w:bottom w:val="single" w:sz="8" w:space="0" w:color="auto"/>
              <w:right w:val="single" w:sz="8" w:space="0" w:color="auto"/>
            </w:tcBorders>
            <w:shd w:val="clear" w:color="000000" w:fill="DEEAF6"/>
            <w:vAlign w:val="center"/>
            <w:hideMark/>
          </w:tcPr>
          <w:p w14:paraId="44C03D58" w14:textId="0A8147CA" w:rsidR="00101ABD" w:rsidRPr="005F6C03" w:rsidRDefault="00BC2AB7" w:rsidP="00101ABD">
            <w:pPr>
              <w:rPr>
                <w:color w:val="000000"/>
                <w:sz w:val="22"/>
                <w:szCs w:val="22"/>
              </w:rPr>
            </w:pPr>
            <w:r w:rsidRPr="005F6C03">
              <w:rPr>
                <w:color w:val="000000"/>
                <w:sz w:val="22"/>
                <w:szCs w:val="22"/>
              </w:rPr>
              <w:t xml:space="preserve">92.65 </w:t>
            </w:r>
            <w:r w:rsidR="00101ABD" w:rsidRPr="005F6C03">
              <w:rPr>
                <w:color w:val="000000"/>
                <w:sz w:val="22"/>
                <w:szCs w:val="22"/>
              </w:rPr>
              <w:t>/hr</w:t>
            </w:r>
          </w:p>
        </w:tc>
        <w:tc>
          <w:tcPr>
            <w:tcW w:w="712" w:type="pct"/>
            <w:tcBorders>
              <w:top w:val="nil"/>
              <w:left w:val="nil"/>
              <w:bottom w:val="single" w:sz="8" w:space="0" w:color="auto"/>
              <w:right w:val="single" w:sz="8" w:space="0" w:color="auto"/>
            </w:tcBorders>
            <w:shd w:val="clear" w:color="000000" w:fill="DEEAF6"/>
            <w:vAlign w:val="center"/>
            <w:hideMark/>
          </w:tcPr>
          <w:p w14:paraId="1DFE2A45" w14:textId="1CABBED7" w:rsidR="00101ABD" w:rsidRPr="005F6C03" w:rsidRDefault="00BC2AB7" w:rsidP="00101ABD">
            <w:pPr>
              <w:rPr>
                <w:color w:val="000000"/>
                <w:sz w:val="22"/>
                <w:szCs w:val="22"/>
              </w:rPr>
            </w:pPr>
            <w:r w:rsidRPr="005F6C03">
              <w:rPr>
                <w:color w:val="000000"/>
                <w:sz w:val="22"/>
                <w:szCs w:val="22"/>
              </w:rPr>
              <w:t>64.90</w:t>
            </w:r>
            <w:r w:rsidR="00101ABD" w:rsidRPr="005F6C03">
              <w:rPr>
                <w:color w:val="000000"/>
                <w:sz w:val="22"/>
                <w:szCs w:val="22"/>
              </w:rPr>
              <w:t>/hr</w:t>
            </w:r>
          </w:p>
        </w:tc>
        <w:tc>
          <w:tcPr>
            <w:tcW w:w="655" w:type="pct"/>
            <w:vMerge/>
            <w:tcBorders>
              <w:top w:val="single" w:sz="8" w:space="0" w:color="auto"/>
              <w:left w:val="single" w:sz="8" w:space="0" w:color="auto"/>
              <w:bottom w:val="single" w:sz="8" w:space="0" w:color="000000"/>
              <w:right w:val="single" w:sz="8" w:space="0" w:color="auto"/>
            </w:tcBorders>
            <w:vAlign w:val="center"/>
            <w:hideMark/>
          </w:tcPr>
          <w:p w14:paraId="3AA84F9D" w14:textId="77777777" w:rsidR="00101ABD" w:rsidRPr="005F6C03" w:rsidRDefault="00101ABD" w:rsidP="00101ABD">
            <w:pPr>
              <w:rPr>
                <w:color w:val="000000"/>
                <w:sz w:val="22"/>
                <w:szCs w:val="22"/>
              </w:rPr>
            </w:pPr>
          </w:p>
        </w:tc>
      </w:tr>
      <w:tr w:rsidR="00273380" w:rsidRPr="005F6C03" w14:paraId="232AFC0A" w14:textId="77777777" w:rsidTr="00273380">
        <w:trPr>
          <w:trHeight w:val="367"/>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20773A88" w14:textId="77777777" w:rsidR="00101ABD" w:rsidRPr="005F6C03" w:rsidRDefault="00101ABD" w:rsidP="00101ABD">
            <w:pPr>
              <w:rPr>
                <w:color w:val="000000"/>
                <w:sz w:val="22"/>
                <w:szCs w:val="22"/>
              </w:rPr>
            </w:pPr>
            <w:r w:rsidRPr="005F6C03">
              <w:rPr>
                <w:color w:val="000000"/>
                <w:sz w:val="22"/>
                <w:szCs w:val="22"/>
              </w:rPr>
              <w:t>Start</w:t>
            </w:r>
            <w:r w:rsidRPr="005F6C03">
              <w:rPr>
                <w:color w:val="000000"/>
                <w:sz w:val="22"/>
                <w:szCs w:val="22"/>
                <w:vertAlign w:val="superscript"/>
              </w:rPr>
              <w:t>1</w:t>
            </w:r>
            <w:r w:rsidRPr="005F6C03">
              <w:rPr>
                <w:color w:val="000000"/>
                <w:sz w:val="22"/>
                <w:szCs w:val="22"/>
              </w:rPr>
              <w:t xml:space="preserve"> </w:t>
            </w:r>
          </w:p>
        </w:tc>
        <w:tc>
          <w:tcPr>
            <w:tcW w:w="570" w:type="pct"/>
            <w:tcBorders>
              <w:top w:val="nil"/>
              <w:left w:val="nil"/>
              <w:bottom w:val="single" w:sz="8" w:space="0" w:color="auto"/>
              <w:right w:val="single" w:sz="8" w:space="0" w:color="auto"/>
            </w:tcBorders>
            <w:shd w:val="clear" w:color="auto" w:fill="auto"/>
            <w:vAlign w:val="center"/>
            <w:hideMark/>
          </w:tcPr>
          <w:p w14:paraId="190D2AA2" w14:textId="77777777" w:rsidR="00101ABD" w:rsidRPr="005F6C03" w:rsidRDefault="00101ABD" w:rsidP="00553EF5">
            <w:pPr>
              <w:jc w:val="center"/>
              <w:rPr>
                <w:color w:val="000000"/>
                <w:sz w:val="22"/>
                <w:szCs w:val="22"/>
              </w:rPr>
            </w:pPr>
            <w:r w:rsidRPr="005F6C03">
              <w:rPr>
                <w:color w:val="000000"/>
                <w:sz w:val="22"/>
                <w:szCs w:val="22"/>
              </w:rPr>
              <w:t>11.25</w:t>
            </w:r>
          </w:p>
        </w:tc>
        <w:tc>
          <w:tcPr>
            <w:tcW w:w="561" w:type="pct"/>
            <w:tcBorders>
              <w:top w:val="nil"/>
              <w:left w:val="nil"/>
              <w:bottom w:val="single" w:sz="8" w:space="0" w:color="auto"/>
              <w:right w:val="single" w:sz="8" w:space="0" w:color="auto"/>
            </w:tcBorders>
            <w:shd w:val="clear" w:color="auto" w:fill="auto"/>
            <w:vAlign w:val="center"/>
            <w:hideMark/>
          </w:tcPr>
          <w:p w14:paraId="2929374F" w14:textId="77777777" w:rsidR="00101ABD" w:rsidRPr="005F6C03" w:rsidRDefault="00101ABD" w:rsidP="00553EF5">
            <w:pPr>
              <w:jc w:val="center"/>
              <w:rPr>
                <w:color w:val="000000"/>
                <w:sz w:val="22"/>
                <w:szCs w:val="22"/>
              </w:rPr>
            </w:pPr>
            <w:r w:rsidRPr="005F6C03">
              <w:rPr>
                <w:color w:val="000000"/>
                <w:sz w:val="22"/>
                <w:szCs w:val="22"/>
              </w:rPr>
              <w:t>8</w:t>
            </w:r>
          </w:p>
        </w:tc>
        <w:tc>
          <w:tcPr>
            <w:tcW w:w="805" w:type="pct"/>
            <w:tcBorders>
              <w:top w:val="nil"/>
              <w:left w:val="nil"/>
              <w:bottom w:val="single" w:sz="8" w:space="0" w:color="auto"/>
              <w:right w:val="single" w:sz="8" w:space="0" w:color="auto"/>
            </w:tcBorders>
            <w:shd w:val="clear" w:color="auto" w:fill="auto"/>
            <w:vAlign w:val="center"/>
            <w:hideMark/>
          </w:tcPr>
          <w:p w14:paraId="2D3B9CDB" w14:textId="77777777" w:rsidR="00101ABD" w:rsidRPr="005F6C03" w:rsidRDefault="00101ABD" w:rsidP="00553EF5">
            <w:pPr>
              <w:jc w:val="center"/>
              <w:rPr>
                <w:color w:val="000000"/>
                <w:sz w:val="22"/>
                <w:szCs w:val="22"/>
              </w:rPr>
            </w:pPr>
            <w:r w:rsidRPr="005F6C03">
              <w:rPr>
                <w:color w:val="000000"/>
                <w:sz w:val="22"/>
                <w:szCs w:val="22"/>
              </w:rPr>
              <w:t>19.25</w:t>
            </w:r>
          </w:p>
        </w:tc>
        <w:tc>
          <w:tcPr>
            <w:tcW w:w="596" w:type="pct"/>
            <w:tcBorders>
              <w:top w:val="nil"/>
              <w:left w:val="nil"/>
              <w:bottom w:val="single" w:sz="8" w:space="0" w:color="auto"/>
              <w:right w:val="single" w:sz="8" w:space="0" w:color="auto"/>
            </w:tcBorders>
            <w:shd w:val="clear" w:color="auto" w:fill="auto"/>
            <w:vAlign w:val="center"/>
            <w:hideMark/>
          </w:tcPr>
          <w:p w14:paraId="62FD3827" w14:textId="77777777" w:rsidR="00101ABD" w:rsidRPr="005F6C03" w:rsidRDefault="00101ABD" w:rsidP="00101ABD">
            <w:pPr>
              <w:jc w:val="both"/>
              <w:rPr>
                <w:color w:val="000000"/>
                <w:sz w:val="22"/>
                <w:szCs w:val="22"/>
              </w:rPr>
            </w:pPr>
            <w:r w:rsidRPr="005F6C03">
              <w:rPr>
                <w:color w:val="000000"/>
                <w:sz w:val="22"/>
                <w:szCs w:val="22"/>
              </w:rPr>
              <w:t xml:space="preserve"> $     1,042 </w:t>
            </w:r>
          </w:p>
        </w:tc>
        <w:tc>
          <w:tcPr>
            <w:tcW w:w="712" w:type="pct"/>
            <w:tcBorders>
              <w:top w:val="nil"/>
              <w:left w:val="nil"/>
              <w:bottom w:val="single" w:sz="8" w:space="0" w:color="auto"/>
              <w:right w:val="single" w:sz="8" w:space="0" w:color="auto"/>
            </w:tcBorders>
            <w:shd w:val="clear" w:color="auto" w:fill="auto"/>
            <w:vAlign w:val="center"/>
            <w:hideMark/>
          </w:tcPr>
          <w:p w14:paraId="27600BA8" w14:textId="77777777" w:rsidR="00101ABD" w:rsidRPr="005F6C03" w:rsidRDefault="00101ABD" w:rsidP="00101ABD">
            <w:pPr>
              <w:jc w:val="both"/>
              <w:rPr>
                <w:color w:val="000000"/>
                <w:sz w:val="22"/>
                <w:szCs w:val="22"/>
              </w:rPr>
            </w:pPr>
            <w:r w:rsidRPr="005F6C03">
              <w:rPr>
                <w:color w:val="000000"/>
                <w:sz w:val="22"/>
                <w:szCs w:val="22"/>
              </w:rPr>
              <w:t xml:space="preserve"> $       519 </w:t>
            </w:r>
          </w:p>
        </w:tc>
        <w:tc>
          <w:tcPr>
            <w:tcW w:w="655" w:type="pct"/>
            <w:tcBorders>
              <w:top w:val="nil"/>
              <w:left w:val="nil"/>
              <w:bottom w:val="single" w:sz="8" w:space="0" w:color="auto"/>
              <w:right w:val="single" w:sz="8" w:space="0" w:color="auto"/>
            </w:tcBorders>
            <w:shd w:val="clear" w:color="auto" w:fill="auto"/>
            <w:vAlign w:val="center"/>
            <w:hideMark/>
          </w:tcPr>
          <w:p w14:paraId="2AABFD8E" w14:textId="77777777" w:rsidR="00101ABD" w:rsidRPr="005F6C03" w:rsidRDefault="00101ABD" w:rsidP="00101ABD">
            <w:pPr>
              <w:jc w:val="both"/>
              <w:rPr>
                <w:color w:val="000000"/>
                <w:sz w:val="22"/>
                <w:szCs w:val="22"/>
              </w:rPr>
            </w:pPr>
            <w:r w:rsidRPr="005F6C03">
              <w:rPr>
                <w:color w:val="000000"/>
                <w:sz w:val="22"/>
                <w:szCs w:val="22"/>
              </w:rPr>
              <w:t xml:space="preserve"> $      1,561 </w:t>
            </w:r>
          </w:p>
        </w:tc>
      </w:tr>
      <w:tr w:rsidR="00273380" w:rsidRPr="005F6C03" w14:paraId="46B0A572"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4313E21A" w14:textId="77777777" w:rsidR="00101ABD" w:rsidRPr="005F6C03" w:rsidRDefault="00101ABD" w:rsidP="00101ABD">
            <w:pPr>
              <w:rPr>
                <w:color w:val="000000"/>
                <w:sz w:val="22"/>
                <w:szCs w:val="22"/>
              </w:rPr>
            </w:pPr>
            <w:r w:rsidRPr="005F6C03">
              <w:rPr>
                <w:color w:val="000000"/>
                <w:sz w:val="22"/>
                <w:szCs w:val="22"/>
              </w:rPr>
              <w:t>Narrative</w:t>
            </w:r>
          </w:p>
        </w:tc>
        <w:tc>
          <w:tcPr>
            <w:tcW w:w="570" w:type="pct"/>
            <w:tcBorders>
              <w:top w:val="nil"/>
              <w:left w:val="nil"/>
              <w:bottom w:val="single" w:sz="8" w:space="0" w:color="auto"/>
              <w:right w:val="single" w:sz="8" w:space="0" w:color="auto"/>
            </w:tcBorders>
            <w:shd w:val="clear" w:color="auto" w:fill="auto"/>
            <w:vAlign w:val="center"/>
            <w:hideMark/>
          </w:tcPr>
          <w:p w14:paraId="6CD5CA72" w14:textId="77777777" w:rsidR="00101ABD" w:rsidRPr="005F6C03" w:rsidRDefault="00101ABD" w:rsidP="00553EF5">
            <w:pPr>
              <w:jc w:val="center"/>
              <w:rPr>
                <w:color w:val="000000"/>
                <w:sz w:val="22"/>
                <w:szCs w:val="22"/>
              </w:rPr>
            </w:pPr>
            <w:r w:rsidRPr="005F6C03">
              <w:rPr>
                <w:color w:val="000000"/>
                <w:sz w:val="22"/>
                <w:szCs w:val="22"/>
              </w:rPr>
              <w:t>14.25</w:t>
            </w:r>
          </w:p>
        </w:tc>
        <w:tc>
          <w:tcPr>
            <w:tcW w:w="561" w:type="pct"/>
            <w:tcBorders>
              <w:top w:val="nil"/>
              <w:left w:val="nil"/>
              <w:bottom w:val="single" w:sz="8" w:space="0" w:color="auto"/>
              <w:right w:val="single" w:sz="8" w:space="0" w:color="auto"/>
            </w:tcBorders>
            <w:shd w:val="clear" w:color="auto" w:fill="auto"/>
            <w:vAlign w:val="center"/>
            <w:hideMark/>
          </w:tcPr>
          <w:p w14:paraId="60C470CC" w14:textId="77777777" w:rsidR="00101ABD" w:rsidRPr="005F6C03" w:rsidRDefault="00101ABD" w:rsidP="00553EF5">
            <w:pPr>
              <w:jc w:val="center"/>
              <w:rPr>
                <w:color w:val="000000"/>
                <w:sz w:val="22"/>
                <w:szCs w:val="22"/>
              </w:rPr>
            </w:pPr>
            <w:r w:rsidRPr="005F6C03">
              <w:rPr>
                <w:color w:val="000000"/>
                <w:sz w:val="22"/>
                <w:szCs w:val="22"/>
              </w:rPr>
              <w:t>20</w:t>
            </w:r>
          </w:p>
        </w:tc>
        <w:tc>
          <w:tcPr>
            <w:tcW w:w="805" w:type="pct"/>
            <w:tcBorders>
              <w:top w:val="nil"/>
              <w:left w:val="nil"/>
              <w:bottom w:val="single" w:sz="8" w:space="0" w:color="auto"/>
              <w:right w:val="single" w:sz="8" w:space="0" w:color="auto"/>
            </w:tcBorders>
            <w:shd w:val="clear" w:color="auto" w:fill="auto"/>
            <w:vAlign w:val="center"/>
            <w:hideMark/>
          </w:tcPr>
          <w:p w14:paraId="6B2825D6" w14:textId="77777777" w:rsidR="00101ABD" w:rsidRPr="005F6C03" w:rsidRDefault="00101ABD" w:rsidP="00553EF5">
            <w:pPr>
              <w:jc w:val="center"/>
              <w:rPr>
                <w:color w:val="000000"/>
                <w:sz w:val="22"/>
                <w:szCs w:val="22"/>
              </w:rPr>
            </w:pPr>
            <w:r w:rsidRPr="005F6C03">
              <w:rPr>
                <w:color w:val="000000"/>
                <w:sz w:val="22"/>
                <w:szCs w:val="22"/>
              </w:rPr>
              <w:t>34.25</w:t>
            </w:r>
          </w:p>
        </w:tc>
        <w:tc>
          <w:tcPr>
            <w:tcW w:w="596" w:type="pct"/>
            <w:tcBorders>
              <w:top w:val="nil"/>
              <w:left w:val="nil"/>
              <w:bottom w:val="single" w:sz="8" w:space="0" w:color="auto"/>
              <w:right w:val="single" w:sz="8" w:space="0" w:color="auto"/>
            </w:tcBorders>
            <w:shd w:val="clear" w:color="auto" w:fill="auto"/>
            <w:vAlign w:val="center"/>
            <w:hideMark/>
          </w:tcPr>
          <w:p w14:paraId="7E4079E0" w14:textId="77777777" w:rsidR="00101ABD" w:rsidRPr="005F6C03" w:rsidRDefault="00101ABD" w:rsidP="00101ABD">
            <w:pPr>
              <w:jc w:val="both"/>
              <w:rPr>
                <w:color w:val="000000"/>
                <w:sz w:val="22"/>
                <w:szCs w:val="22"/>
              </w:rPr>
            </w:pPr>
            <w:r w:rsidRPr="005F6C03">
              <w:rPr>
                <w:color w:val="000000"/>
                <w:sz w:val="22"/>
                <w:szCs w:val="22"/>
              </w:rPr>
              <w:t xml:space="preserve"> $     1,320 </w:t>
            </w:r>
          </w:p>
        </w:tc>
        <w:tc>
          <w:tcPr>
            <w:tcW w:w="712" w:type="pct"/>
            <w:tcBorders>
              <w:top w:val="nil"/>
              <w:left w:val="nil"/>
              <w:bottom w:val="single" w:sz="8" w:space="0" w:color="auto"/>
              <w:right w:val="single" w:sz="8" w:space="0" w:color="auto"/>
            </w:tcBorders>
            <w:shd w:val="clear" w:color="auto" w:fill="auto"/>
            <w:vAlign w:val="center"/>
            <w:hideMark/>
          </w:tcPr>
          <w:p w14:paraId="0A907F63" w14:textId="77777777" w:rsidR="00101ABD" w:rsidRPr="005F6C03" w:rsidRDefault="00101ABD" w:rsidP="00101ABD">
            <w:pPr>
              <w:jc w:val="both"/>
              <w:rPr>
                <w:color w:val="000000"/>
                <w:sz w:val="22"/>
                <w:szCs w:val="22"/>
              </w:rPr>
            </w:pPr>
            <w:r w:rsidRPr="005F6C03">
              <w:rPr>
                <w:color w:val="000000"/>
                <w:sz w:val="22"/>
                <w:szCs w:val="22"/>
              </w:rPr>
              <w:t xml:space="preserve"> $     1,298 </w:t>
            </w:r>
          </w:p>
        </w:tc>
        <w:tc>
          <w:tcPr>
            <w:tcW w:w="655" w:type="pct"/>
            <w:tcBorders>
              <w:top w:val="nil"/>
              <w:left w:val="nil"/>
              <w:bottom w:val="single" w:sz="8" w:space="0" w:color="auto"/>
              <w:right w:val="single" w:sz="8" w:space="0" w:color="auto"/>
            </w:tcBorders>
            <w:shd w:val="clear" w:color="auto" w:fill="auto"/>
            <w:vAlign w:val="center"/>
            <w:hideMark/>
          </w:tcPr>
          <w:p w14:paraId="6473B9ED" w14:textId="77777777" w:rsidR="00101ABD" w:rsidRPr="005F6C03" w:rsidRDefault="00101ABD" w:rsidP="00101ABD">
            <w:pPr>
              <w:jc w:val="both"/>
              <w:rPr>
                <w:color w:val="000000"/>
                <w:sz w:val="22"/>
                <w:szCs w:val="22"/>
              </w:rPr>
            </w:pPr>
            <w:r w:rsidRPr="005F6C03">
              <w:rPr>
                <w:color w:val="000000"/>
                <w:sz w:val="22"/>
                <w:szCs w:val="22"/>
              </w:rPr>
              <w:t xml:space="preserve"> $      2,618 </w:t>
            </w:r>
          </w:p>
        </w:tc>
      </w:tr>
      <w:tr w:rsidR="00273380" w:rsidRPr="005F6C03" w14:paraId="7905ABB4"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01C7D2EC" w14:textId="77777777" w:rsidR="00101ABD" w:rsidRPr="005F6C03" w:rsidRDefault="00101ABD" w:rsidP="00101ABD">
            <w:pPr>
              <w:rPr>
                <w:color w:val="000000"/>
                <w:sz w:val="22"/>
                <w:szCs w:val="22"/>
              </w:rPr>
            </w:pPr>
            <w:r w:rsidRPr="005F6C03">
              <w:rPr>
                <w:color w:val="000000"/>
                <w:sz w:val="22"/>
                <w:szCs w:val="22"/>
              </w:rPr>
              <w:t>Budget</w:t>
            </w:r>
          </w:p>
        </w:tc>
        <w:tc>
          <w:tcPr>
            <w:tcW w:w="570" w:type="pct"/>
            <w:tcBorders>
              <w:top w:val="nil"/>
              <w:left w:val="nil"/>
              <w:bottom w:val="single" w:sz="8" w:space="0" w:color="auto"/>
              <w:right w:val="single" w:sz="8" w:space="0" w:color="auto"/>
            </w:tcBorders>
            <w:shd w:val="clear" w:color="auto" w:fill="auto"/>
            <w:vAlign w:val="center"/>
            <w:hideMark/>
          </w:tcPr>
          <w:p w14:paraId="69F3464E" w14:textId="77777777" w:rsidR="00101ABD" w:rsidRPr="005F6C03" w:rsidRDefault="00101ABD" w:rsidP="00553EF5">
            <w:pPr>
              <w:jc w:val="center"/>
              <w:rPr>
                <w:color w:val="000000"/>
                <w:sz w:val="22"/>
                <w:szCs w:val="22"/>
              </w:rPr>
            </w:pPr>
            <w:r w:rsidRPr="005F6C03">
              <w:rPr>
                <w:color w:val="000000"/>
                <w:sz w:val="22"/>
                <w:szCs w:val="22"/>
              </w:rPr>
              <w:t>21.25</w:t>
            </w:r>
          </w:p>
        </w:tc>
        <w:tc>
          <w:tcPr>
            <w:tcW w:w="561" w:type="pct"/>
            <w:tcBorders>
              <w:top w:val="nil"/>
              <w:left w:val="nil"/>
              <w:bottom w:val="single" w:sz="8" w:space="0" w:color="auto"/>
              <w:right w:val="single" w:sz="8" w:space="0" w:color="auto"/>
            </w:tcBorders>
            <w:shd w:val="clear" w:color="auto" w:fill="auto"/>
            <w:vAlign w:val="center"/>
            <w:hideMark/>
          </w:tcPr>
          <w:p w14:paraId="34DCFC60" w14:textId="77777777" w:rsidR="00101ABD" w:rsidRPr="005F6C03" w:rsidRDefault="00101ABD" w:rsidP="00553EF5">
            <w:pPr>
              <w:jc w:val="center"/>
              <w:rPr>
                <w:color w:val="000000"/>
                <w:sz w:val="22"/>
                <w:szCs w:val="22"/>
              </w:rPr>
            </w:pPr>
            <w:r w:rsidRPr="005F6C03">
              <w:rPr>
                <w:color w:val="000000"/>
                <w:sz w:val="22"/>
                <w:szCs w:val="22"/>
              </w:rPr>
              <w:t>0</w:t>
            </w:r>
          </w:p>
        </w:tc>
        <w:tc>
          <w:tcPr>
            <w:tcW w:w="805" w:type="pct"/>
            <w:tcBorders>
              <w:top w:val="nil"/>
              <w:left w:val="nil"/>
              <w:bottom w:val="single" w:sz="8" w:space="0" w:color="auto"/>
              <w:right w:val="single" w:sz="8" w:space="0" w:color="auto"/>
            </w:tcBorders>
            <w:shd w:val="clear" w:color="auto" w:fill="auto"/>
            <w:vAlign w:val="center"/>
            <w:hideMark/>
          </w:tcPr>
          <w:p w14:paraId="1CCAB7C8" w14:textId="77777777" w:rsidR="00101ABD" w:rsidRPr="005F6C03" w:rsidRDefault="00101ABD" w:rsidP="00553EF5">
            <w:pPr>
              <w:jc w:val="center"/>
              <w:rPr>
                <w:color w:val="000000"/>
                <w:sz w:val="22"/>
                <w:szCs w:val="22"/>
              </w:rPr>
            </w:pPr>
            <w:r w:rsidRPr="005F6C03">
              <w:rPr>
                <w:color w:val="000000"/>
                <w:sz w:val="22"/>
                <w:szCs w:val="22"/>
              </w:rPr>
              <w:t>21.25</w:t>
            </w:r>
          </w:p>
        </w:tc>
        <w:tc>
          <w:tcPr>
            <w:tcW w:w="596" w:type="pct"/>
            <w:tcBorders>
              <w:top w:val="nil"/>
              <w:left w:val="nil"/>
              <w:bottom w:val="single" w:sz="8" w:space="0" w:color="auto"/>
              <w:right w:val="single" w:sz="8" w:space="0" w:color="auto"/>
            </w:tcBorders>
            <w:shd w:val="clear" w:color="auto" w:fill="auto"/>
            <w:vAlign w:val="center"/>
            <w:hideMark/>
          </w:tcPr>
          <w:p w14:paraId="27F94362" w14:textId="77777777" w:rsidR="00101ABD" w:rsidRPr="005F6C03" w:rsidRDefault="00101ABD" w:rsidP="00101ABD">
            <w:pPr>
              <w:jc w:val="both"/>
              <w:rPr>
                <w:color w:val="000000"/>
                <w:sz w:val="22"/>
                <w:szCs w:val="22"/>
              </w:rPr>
            </w:pPr>
            <w:r w:rsidRPr="005F6C03">
              <w:rPr>
                <w:color w:val="000000"/>
                <w:sz w:val="22"/>
                <w:szCs w:val="22"/>
              </w:rPr>
              <w:t xml:space="preserve"> $     1,969 </w:t>
            </w:r>
          </w:p>
        </w:tc>
        <w:tc>
          <w:tcPr>
            <w:tcW w:w="712" w:type="pct"/>
            <w:tcBorders>
              <w:top w:val="nil"/>
              <w:left w:val="nil"/>
              <w:bottom w:val="single" w:sz="8" w:space="0" w:color="auto"/>
              <w:right w:val="single" w:sz="8" w:space="0" w:color="auto"/>
            </w:tcBorders>
            <w:shd w:val="clear" w:color="auto" w:fill="auto"/>
            <w:vAlign w:val="center"/>
            <w:hideMark/>
          </w:tcPr>
          <w:p w14:paraId="209AC445" w14:textId="77777777" w:rsidR="00101ABD" w:rsidRPr="005F6C03" w:rsidRDefault="00101ABD" w:rsidP="00101ABD">
            <w:pPr>
              <w:jc w:val="both"/>
              <w:rPr>
                <w:color w:val="000000"/>
                <w:sz w:val="22"/>
                <w:szCs w:val="22"/>
              </w:rPr>
            </w:pPr>
            <w:r w:rsidRPr="005F6C03">
              <w:rPr>
                <w:color w:val="000000"/>
                <w:sz w:val="22"/>
                <w:szCs w:val="22"/>
              </w:rPr>
              <w:t xml:space="preserve"> $         0  </w:t>
            </w:r>
          </w:p>
        </w:tc>
        <w:tc>
          <w:tcPr>
            <w:tcW w:w="655" w:type="pct"/>
            <w:tcBorders>
              <w:top w:val="nil"/>
              <w:left w:val="nil"/>
              <w:bottom w:val="single" w:sz="8" w:space="0" w:color="auto"/>
              <w:right w:val="single" w:sz="8" w:space="0" w:color="auto"/>
            </w:tcBorders>
            <w:shd w:val="clear" w:color="auto" w:fill="auto"/>
            <w:vAlign w:val="center"/>
            <w:hideMark/>
          </w:tcPr>
          <w:p w14:paraId="6C685159" w14:textId="77777777" w:rsidR="00101ABD" w:rsidRPr="005F6C03" w:rsidRDefault="00101ABD" w:rsidP="00101ABD">
            <w:pPr>
              <w:jc w:val="both"/>
              <w:rPr>
                <w:color w:val="000000"/>
                <w:sz w:val="22"/>
                <w:szCs w:val="22"/>
              </w:rPr>
            </w:pPr>
            <w:r w:rsidRPr="005F6C03">
              <w:rPr>
                <w:color w:val="000000"/>
                <w:sz w:val="22"/>
                <w:szCs w:val="22"/>
              </w:rPr>
              <w:t xml:space="preserve"> $      1,969 </w:t>
            </w:r>
          </w:p>
        </w:tc>
      </w:tr>
      <w:tr w:rsidR="00273380" w:rsidRPr="005F6C03" w14:paraId="7F78C73F"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699919A4" w14:textId="77777777" w:rsidR="00101ABD" w:rsidRPr="005F6C03" w:rsidRDefault="00101ABD" w:rsidP="00101ABD">
            <w:pPr>
              <w:rPr>
                <w:color w:val="000000"/>
                <w:sz w:val="22"/>
                <w:szCs w:val="22"/>
              </w:rPr>
            </w:pPr>
            <w:r w:rsidRPr="005F6C03">
              <w:rPr>
                <w:color w:val="000000"/>
                <w:sz w:val="22"/>
                <w:szCs w:val="22"/>
              </w:rPr>
              <w:t xml:space="preserve">Work Plan  </w:t>
            </w:r>
          </w:p>
        </w:tc>
        <w:tc>
          <w:tcPr>
            <w:tcW w:w="570" w:type="pct"/>
            <w:tcBorders>
              <w:top w:val="nil"/>
              <w:left w:val="nil"/>
              <w:bottom w:val="single" w:sz="8" w:space="0" w:color="auto"/>
              <w:right w:val="single" w:sz="8" w:space="0" w:color="auto"/>
            </w:tcBorders>
            <w:shd w:val="clear" w:color="auto" w:fill="auto"/>
            <w:vAlign w:val="center"/>
            <w:hideMark/>
          </w:tcPr>
          <w:p w14:paraId="31798F28" w14:textId="77777777" w:rsidR="00101ABD" w:rsidRPr="005F6C03" w:rsidRDefault="00101ABD" w:rsidP="00553EF5">
            <w:pPr>
              <w:jc w:val="center"/>
              <w:rPr>
                <w:color w:val="000000"/>
                <w:sz w:val="22"/>
                <w:szCs w:val="22"/>
              </w:rPr>
            </w:pPr>
            <w:r w:rsidRPr="005F6C03">
              <w:rPr>
                <w:color w:val="000000"/>
                <w:sz w:val="22"/>
                <w:szCs w:val="22"/>
              </w:rPr>
              <w:t>27</w:t>
            </w:r>
          </w:p>
        </w:tc>
        <w:tc>
          <w:tcPr>
            <w:tcW w:w="561" w:type="pct"/>
            <w:tcBorders>
              <w:top w:val="nil"/>
              <w:left w:val="nil"/>
              <w:bottom w:val="single" w:sz="8" w:space="0" w:color="auto"/>
              <w:right w:val="single" w:sz="8" w:space="0" w:color="auto"/>
            </w:tcBorders>
            <w:shd w:val="clear" w:color="auto" w:fill="auto"/>
            <w:vAlign w:val="center"/>
            <w:hideMark/>
          </w:tcPr>
          <w:p w14:paraId="1F75BE8F" w14:textId="77777777" w:rsidR="00101ABD" w:rsidRPr="005F6C03" w:rsidRDefault="00101ABD" w:rsidP="00553EF5">
            <w:pPr>
              <w:jc w:val="center"/>
              <w:rPr>
                <w:color w:val="000000"/>
                <w:sz w:val="22"/>
                <w:szCs w:val="22"/>
              </w:rPr>
            </w:pPr>
            <w:r w:rsidRPr="005F6C03">
              <w:rPr>
                <w:color w:val="000000"/>
                <w:sz w:val="22"/>
                <w:szCs w:val="22"/>
              </w:rPr>
              <w:t>32</w:t>
            </w:r>
          </w:p>
        </w:tc>
        <w:tc>
          <w:tcPr>
            <w:tcW w:w="805" w:type="pct"/>
            <w:tcBorders>
              <w:top w:val="nil"/>
              <w:left w:val="nil"/>
              <w:bottom w:val="single" w:sz="8" w:space="0" w:color="auto"/>
              <w:right w:val="single" w:sz="8" w:space="0" w:color="auto"/>
            </w:tcBorders>
            <w:shd w:val="clear" w:color="auto" w:fill="auto"/>
            <w:vAlign w:val="center"/>
            <w:hideMark/>
          </w:tcPr>
          <w:p w14:paraId="031C434D" w14:textId="77777777" w:rsidR="00101ABD" w:rsidRPr="005F6C03" w:rsidRDefault="00101ABD" w:rsidP="00553EF5">
            <w:pPr>
              <w:jc w:val="center"/>
              <w:rPr>
                <w:color w:val="000000"/>
                <w:sz w:val="22"/>
                <w:szCs w:val="22"/>
              </w:rPr>
            </w:pPr>
            <w:r w:rsidRPr="005F6C03">
              <w:rPr>
                <w:color w:val="000000"/>
                <w:sz w:val="22"/>
                <w:szCs w:val="22"/>
              </w:rPr>
              <w:t>59</w:t>
            </w:r>
          </w:p>
        </w:tc>
        <w:tc>
          <w:tcPr>
            <w:tcW w:w="596" w:type="pct"/>
            <w:tcBorders>
              <w:top w:val="nil"/>
              <w:left w:val="nil"/>
              <w:bottom w:val="single" w:sz="8" w:space="0" w:color="auto"/>
              <w:right w:val="single" w:sz="8" w:space="0" w:color="auto"/>
            </w:tcBorders>
            <w:shd w:val="clear" w:color="auto" w:fill="auto"/>
            <w:vAlign w:val="center"/>
            <w:hideMark/>
          </w:tcPr>
          <w:p w14:paraId="6E4EA228" w14:textId="77777777" w:rsidR="00101ABD" w:rsidRPr="005F6C03" w:rsidRDefault="00101ABD" w:rsidP="00101ABD">
            <w:pPr>
              <w:jc w:val="both"/>
              <w:rPr>
                <w:color w:val="000000"/>
                <w:sz w:val="22"/>
                <w:szCs w:val="22"/>
              </w:rPr>
            </w:pPr>
            <w:r w:rsidRPr="005F6C03">
              <w:rPr>
                <w:color w:val="000000"/>
                <w:sz w:val="22"/>
                <w:szCs w:val="22"/>
              </w:rPr>
              <w:t xml:space="preserve"> $     2,502 </w:t>
            </w:r>
          </w:p>
        </w:tc>
        <w:tc>
          <w:tcPr>
            <w:tcW w:w="712" w:type="pct"/>
            <w:tcBorders>
              <w:top w:val="nil"/>
              <w:left w:val="nil"/>
              <w:bottom w:val="single" w:sz="8" w:space="0" w:color="auto"/>
              <w:right w:val="single" w:sz="8" w:space="0" w:color="auto"/>
            </w:tcBorders>
            <w:shd w:val="clear" w:color="auto" w:fill="auto"/>
            <w:vAlign w:val="center"/>
            <w:hideMark/>
          </w:tcPr>
          <w:p w14:paraId="59AFD9C9" w14:textId="77777777" w:rsidR="00101ABD" w:rsidRPr="005F6C03" w:rsidRDefault="00101ABD" w:rsidP="00101ABD">
            <w:pPr>
              <w:jc w:val="both"/>
              <w:rPr>
                <w:color w:val="000000"/>
                <w:sz w:val="22"/>
                <w:szCs w:val="22"/>
              </w:rPr>
            </w:pPr>
            <w:r w:rsidRPr="005F6C03">
              <w:rPr>
                <w:color w:val="000000"/>
                <w:sz w:val="22"/>
                <w:szCs w:val="22"/>
              </w:rPr>
              <w:t xml:space="preserve"> $     2,077 </w:t>
            </w:r>
          </w:p>
        </w:tc>
        <w:tc>
          <w:tcPr>
            <w:tcW w:w="655" w:type="pct"/>
            <w:tcBorders>
              <w:top w:val="nil"/>
              <w:left w:val="nil"/>
              <w:bottom w:val="single" w:sz="8" w:space="0" w:color="auto"/>
              <w:right w:val="single" w:sz="8" w:space="0" w:color="auto"/>
            </w:tcBorders>
            <w:shd w:val="clear" w:color="auto" w:fill="auto"/>
            <w:vAlign w:val="center"/>
            <w:hideMark/>
          </w:tcPr>
          <w:p w14:paraId="4A42CB29" w14:textId="77777777" w:rsidR="00101ABD" w:rsidRPr="005F6C03" w:rsidRDefault="00101ABD" w:rsidP="00101ABD">
            <w:pPr>
              <w:jc w:val="both"/>
              <w:rPr>
                <w:color w:val="000000"/>
                <w:sz w:val="22"/>
                <w:szCs w:val="22"/>
              </w:rPr>
            </w:pPr>
            <w:r w:rsidRPr="005F6C03">
              <w:rPr>
                <w:color w:val="000000"/>
                <w:sz w:val="22"/>
                <w:szCs w:val="22"/>
              </w:rPr>
              <w:t xml:space="preserve"> $      4,578 </w:t>
            </w:r>
          </w:p>
        </w:tc>
      </w:tr>
      <w:tr w:rsidR="00273380" w:rsidRPr="005F6C03" w14:paraId="47E3C857"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5780B68B" w14:textId="77777777" w:rsidR="00101ABD" w:rsidRPr="005F6C03" w:rsidRDefault="00101ABD" w:rsidP="00101ABD">
            <w:pPr>
              <w:rPr>
                <w:color w:val="000000"/>
                <w:sz w:val="22"/>
                <w:szCs w:val="22"/>
              </w:rPr>
            </w:pPr>
            <w:r w:rsidRPr="005F6C03">
              <w:rPr>
                <w:color w:val="000000"/>
                <w:sz w:val="22"/>
                <w:szCs w:val="22"/>
              </w:rPr>
              <w:t>Outcomes</w:t>
            </w:r>
          </w:p>
        </w:tc>
        <w:tc>
          <w:tcPr>
            <w:tcW w:w="570" w:type="pct"/>
            <w:tcBorders>
              <w:top w:val="nil"/>
              <w:left w:val="nil"/>
              <w:bottom w:val="single" w:sz="8" w:space="0" w:color="auto"/>
              <w:right w:val="single" w:sz="8" w:space="0" w:color="auto"/>
            </w:tcBorders>
            <w:shd w:val="clear" w:color="auto" w:fill="auto"/>
            <w:vAlign w:val="center"/>
            <w:hideMark/>
          </w:tcPr>
          <w:p w14:paraId="7FE7D9AB" w14:textId="77777777" w:rsidR="00101ABD" w:rsidRPr="005F6C03" w:rsidRDefault="00101ABD" w:rsidP="00553EF5">
            <w:pPr>
              <w:jc w:val="center"/>
              <w:rPr>
                <w:color w:val="000000"/>
                <w:sz w:val="22"/>
                <w:szCs w:val="22"/>
              </w:rPr>
            </w:pPr>
            <w:r w:rsidRPr="005F6C03">
              <w:rPr>
                <w:color w:val="000000"/>
                <w:sz w:val="22"/>
                <w:szCs w:val="22"/>
              </w:rPr>
              <w:t>22.2</w:t>
            </w:r>
          </w:p>
        </w:tc>
        <w:tc>
          <w:tcPr>
            <w:tcW w:w="561" w:type="pct"/>
            <w:tcBorders>
              <w:top w:val="nil"/>
              <w:left w:val="nil"/>
              <w:bottom w:val="single" w:sz="8" w:space="0" w:color="auto"/>
              <w:right w:val="single" w:sz="8" w:space="0" w:color="auto"/>
            </w:tcBorders>
            <w:shd w:val="clear" w:color="auto" w:fill="auto"/>
            <w:vAlign w:val="center"/>
            <w:hideMark/>
          </w:tcPr>
          <w:p w14:paraId="7C9679E4" w14:textId="77777777" w:rsidR="00101ABD" w:rsidRPr="005F6C03" w:rsidRDefault="00101ABD" w:rsidP="00553EF5">
            <w:pPr>
              <w:jc w:val="center"/>
              <w:rPr>
                <w:color w:val="000000"/>
                <w:sz w:val="22"/>
                <w:szCs w:val="22"/>
              </w:rPr>
            </w:pPr>
            <w:r w:rsidRPr="005F6C03">
              <w:rPr>
                <w:color w:val="000000"/>
                <w:sz w:val="22"/>
                <w:szCs w:val="22"/>
              </w:rPr>
              <w:t>28.5</w:t>
            </w:r>
          </w:p>
        </w:tc>
        <w:tc>
          <w:tcPr>
            <w:tcW w:w="805" w:type="pct"/>
            <w:tcBorders>
              <w:top w:val="nil"/>
              <w:left w:val="nil"/>
              <w:bottom w:val="single" w:sz="8" w:space="0" w:color="auto"/>
              <w:right w:val="single" w:sz="8" w:space="0" w:color="auto"/>
            </w:tcBorders>
            <w:shd w:val="clear" w:color="auto" w:fill="auto"/>
            <w:vAlign w:val="center"/>
            <w:hideMark/>
          </w:tcPr>
          <w:p w14:paraId="33CF1AF0" w14:textId="77777777" w:rsidR="00101ABD" w:rsidRPr="005F6C03" w:rsidRDefault="00101ABD" w:rsidP="00553EF5">
            <w:pPr>
              <w:jc w:val="center"/>
              <w:rPr>
                <w:color w:val="000000"/>
                <w:sz w:val="22"/>
                <w:szCs w:val="22"/>
              </w:rPr>
            </w:pPr>
            <w:r w:rsidRPr="005F6C03">
              <w:rPr>
                <w:color w:val="000000"/>
                <w:sz w:val="22"/>
                <w:szCs w:val="22"/>
              </w:rPr>
              <w:t>50.7</w:t>
            </w:r>
          </w:p>
        </w:tc>
        <w:tc>
          <w:tcPr>
            <w:tcW w:w="596" w:type="pct"/>
            <w:tcBorders>
              <w:top w:val="nil"/>
              <w:left w:val="nil"/>
              <w:bottom w:val="single" w:sz="8" w:space="0" w:color="auto"/>
              <w:right w:val="single" w:sz="8" w:space="0" w:color="auto"/>
            </w:tcBorders>
            <w:shd w:val="clear" w:color="auto" w:fill="auto"/>
            <w:vAlign w:val="center"/>
            <w:hideMark/>
          </w:tcPr>
          <w:p w14:paraId="2B492D73" w14:textId="77777777" w:rsidR="00101ABD" w:rsidRPr="005F6C03" w:rsidRDefault="00101ABD" w:rsidP="00101ABD">
            <w:pPr>
              <w:jc w:val="both"/>
              <w:rPr>
                <w:color w:val="000000"/>
                <w:sz w:val="22"/>
                <w:szCs w:val="22"/>
              </w:rPr>
            </w:pPr>
            <w:r w:rsidRPr="005F6C03">
              <w:rPr>
                <w:color w:val="000000"/>
                <w:sz w:val="22"/>
                <w:szCs w:val="22"/>
              </w:rPr>
              <w:t xml:space="preserve"> $     2,057 </w:t>
            </w:r>
          </w:p>
        </w:tc>
        <w:tc>
          <w:tcPr>
            <w:tcW w:w="712" w:type="pct"/>
            <w:tcBorders>
              <w:top w:val="nil"/>
              <w:left w:val="nil"/>
              <w:bottom w:val="single" w:sz="8" w:space="0" w:color="auto"/>
              <w:right w:val="single" w:sz="8" w:space="0" w:color="auto"/>
            </w:tcBorders>
            <w:shd w:val="clear" w:color="auto" w:fill="auto"/>
            <w:vAlign w:val="center"/>
            <w:hideMark/>
          </w:tcPr>
          <w:p w14:paraId="31615A76" w14:textId="77777777" w:rsidR="00101ABD" w:rsidRPr="005F6C03" w:rsidRDefault="00101ABD" w:rsidP="00101ABD">
            <w:pPr>
              <w:jc w:val="both"/>
              <w:rPr>
                <w:color w:val="000000"/>
                <w:sz w:val="22"/>
                <w:szCs w:val="22"/>
              </w:rPr>
            </w:pPr>
            <w:r w:rsidRPr="005F6C03">
              <w:rPr>
                <w:color w:val="000000"/>
                <w:sz w:val="22"/>
                <w:szCs w:val="22"/>
              </w:rPr>
              <w:t xml:space="preserve"> $     1,850 </w:t>
            </w:r>
          </w:p>
        </w:tc>
        <w:tc>
          <w:tcPr>
            <w:tcW w:w="655" w:type="pct"/>
            <w:tcBorders>
              <w:top w:val="nil"/>
              <w:left w:val="nil"/>
              <w:bottom w:val="single" w:sz="8" w:space="0" w:color="auto"/>
              <w:right w:val="single" w:sz="8" w:space="0" w:color="auto"/>
            </w:tcBorders>
            <w:shd w:val="clear" w:color="auto" w:fill="auto"/>
            <w:vAlign w:val="center"/>
            <w:hideMark/>
          </w:tcPr>
          <w:p w14:paraId="7ED837DB" w14:textId="77777777" w:rsidR="00101ABD" w:rsidRPr="005F6C03" w:rsidRDefault="00101ABD" w:rsidP="00101ABD">
            <w:pPr>
              <w:jc w:val="both"/>
              <w:rPr>
                <w:color w:val="000000"/>
                <w:sz w:val="22"/>
                <w:szCs w:val="22"/>
              </w:rPr>
            </w:pPr>
            <w:r w:rsidRPr="005F6C03">
              <w:rPr>
                <w:color w:val="000000"/>
                <w:sz w:val="22"/>
                <w:szCs w:val="22"/>
              </w:rPr>
              <w:t xml:space="preserve"> $      3,906 </w:t>
            </w:r>
          </w:p>
        </w:tc>
      </w:tr>
      <w:tr w:rsidR="00273380" w:rsidRPr="005F6C03" w14:paraId="08751CFE"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08898E25" w14:textId="77777777" w:rsidR="00101ABD" w:rsidRPr="005F6C03" w:rsidRDefault="00101ABD" w:rsidP="00101ABD">
            <w:pPr>
              <w:rPr>
                <w:color w:val="000000"/>
                <w:sz w:val="22"/>
                <w:szCs w:val="22"/>
              </w:rPr>
            </w:pPr>
            <w:r w:rsidRPr="005F6C03">
              <w:rPr>
                <w:color w:val="000000"/>
                <w:sz w:val="22"/>
                <w:szCs w:val="22"/>
              </w:rPr>
              <w:t>5700 Main</w:t>
            </w:r>
          </w:p>
        </w:tc>
        <w:tc>
          <w:tcPr>
            <w:tcW w:w="570" w:type="pct"/>
            <w:tcBorders>
              <w:top w:val="nil"/>
              <w:left w:val="nil"/>
              <w:bottom w:val="single" w:sz="8" w:space="0" w:color="auto"/>
              <w:right w:val="single" w:sz="8" w:space="0" w:color="auto"/>
            </w:tcBorders>
            <w:shd w:val="clear" w:color="auto" w:fill="auto"/>
            <w:vAlign w:val="center"/>
            <w:hideMark/>
          </w:tcPr>
          <w:p w14:paraId="201EE16F" w14:textId="77777777" w:rsidR="00101ABD" w:rsidRPr="005F6C03" w:rsidRDefault="00101ABD" w:rsidP="00553EF5">
            <w:pPr>
              <w:jc w:val="center"/>
              <w:rPr>
                <w:color w:val="000000"/>
                <w:sz w:val="22"/>
                <w:szCs w:val="22"/>
              </w:rPr>
            </w:pPr>
            <w:r w:rsidRPr="005F6C03">
              <w:rPr>
                <w:color w:val="000000"/>
                <w:sz w:val="22"/>
                <w:szCs w:val="22"/>
              </w:rPr>
              <w:t>5.7</w:t>
            </w:r>
          </w:p>
        </w:tc>
        <w:tc>
          <w:tcPr>
            <w:tcW w:w="561" w:type="pct"/>
            <w:tcBorders>
              <w:top w:val="nil"/>
              <w:left w:val="nil"/>
              <w:bottom w:val="single" w:sz="8" w:space="0" w:color="auto"/>
              <w:right w:val="single" w:sz="8" w:space="0" w:color="auto"/>
            </w:tcBorders>
            <w:shd w:val="clear" w:color="auto" w:fill="auto"/>
            <w:vAlign w:val="center"/>
            <w:hideMark/>
          </w:tcPr>
          <w:p w14:paraId="5BBB1772" w14:textId="77777777" w:rsidR="00101ABD" w:rsidRPr="005F6C03" w:rsidRDefault="00101ABD" w:rsidP="00553EF5">
            <w:pPr>
              <w:jc w:val="center"/>
              <w:rPr>
                <w:color w:val="000000"/>
                <w:sz w:val="22"/>
                <w:szCs w:val="22"/>
              </w:rPr>
            </w:pPr>
            <w:r w:rsidRPr="005F6C03">
              <w:rPr>
                <w:color w:val="000000"/>
                <w:sz w:val="22"/>
                <w:szCs w:val="22"/>
              </w:rPr>
              <w:t>11.5</w:t>
            </w:r>
          </w:p>
        </w:tc>
        <w:tc>
          <w:tcPr>
            <w:tcW w:w="805" w:type="pct"/>
            <w:tcBorders>
              <w:top w:val="nil"/>
              <w:left w:val="nil"/>
              <w:bottom w:val="single" w:sz="8" w:space="0" w:color="auto"/>
              <w:right w:val="single" w:sz="8" w:space="0" w:color="auto"/>
            </w:tcBorders>
            <w:shd w:val="clear" w:color="auto" w:fill="auto"/>
            <w:vAlign w:val="center"/>
            <w:hideMark/>
          </w:tcPr>
          <w:p w14:paraId="337F4C21" w14:textId="77777777" w:rsidR="00101ABD" w:rsidRPr="005F6C03" w:rsidRDefault="00101ABD" w:rsidP="00553EF5">
            <w:pPr>
              <w:jc w:val="center"/>
              <w:rPr>
                <w:color w:val="000000"/>
                <w:sz w:val="22"/>
                <w:szCs w:val="22"/>
              </w:rPr>
            </w:pPr>
            <w:r w:rsidRPr="005F6C03">
              <w:rPr>
                <w:color w:val="000000"/>
                <w:sz w:val="22"/>
                <w:szCs w:val="22"/>
              </w:rPr>
              <w:t>17.2</w:t>
            </w:r>
          </w:p>
        </w:tc>
        <w:tc>
          <w:tcPr>
            <w:tcW w:w="596" w:type="pct"/>
            <w:tcBorders>
              <w:top w:val="nil"/>
              <w:left w:val="nil"/>
              <w:bottom w:val="single" w:sz="8" w:space="0" w:color="auto"/>
              <w:right w:val="single" w:sz="8" w:space="0" w:color="auto"/>
            </w:tcBorders>
            <w:shd w:val="clear" w:color="auto" w:fill="auto"/>
            <w:vAlign w:val="center"/>
            <w:hideMark/>
          </w:tcPr>
          <w:p w14:paraId="35984E0E" w14:textId="77777777" w:rsidR="00101ABD" w:rsidRPr="005F6C03" w:rsidRDefault="00101ABD" w:rsidP="00101ABD">
            <w:pPr>
              <w:jc w:val="both"/>
              <w:rPr>
                <w:color w:val="000000"/>
                <w:sz w:val="22"/>
                <w:szCs w:val="22"/>
              </w:rPr>
            </w:pPr>
            <w:r w:rsidRPr="005F6C03">
              <w:rPr>
                <w:color w:val="000000"/>
                <w:sz w:val="22"/>
                <w:szCs w:val="22"/>
              </w:rPr>
              <w:t xml:space="preserve"> $       528 </w:t>
            </w:r>
          </w:p>
        </w:tc>
        <w:tc>
          <w:tcPr>
            <w:tcW w:w="712" w:type="pct"/>
            <w:tcBorders>
              <w:top w:val="nil"/>
              <w:left w:val="nil"/>
              <w:bottom w:val="single" w:sz="8" w:space="0" w:color="auto"/>
              <w:right w:val="single" w:sz="8" w:space="0" w:color="auto"/>
            </w:tcBorders>
            <w:shd w:val="clear" w:color="auto" w:fill="auto"/>
            <w:vAlign w:val="center"/>
            <w:hideMark/>
          </w:tcPr>
          <w:p w14:paraId="2EF72E2D" w14:textId="77777777" w:rsidR="00101ABD" w:rsidRPr="005F6C03" w:rsidRDefault="00101ABD" w:rsidP="00101ABD">
            <w:pPr>
              <w:jc w:val="both"/>
              <w:rPr>
                <w:color w:val="000000"/>
                <w:sz w:val="22"/>
                <w:szCs w:val="22"/>
              </w:rPr>
            </w:pPr>
            <w:r w:rsidRPr="005F6C03">
              <w:rPr>
                <w:color w:val="000000"/>
                <w:sz w:val="22"/>
                <w:szCs w:val="22"/>
              </w:rPr>
              <w:t xml:space="preserve"> $       746 </w:t>
            </w:r>
          </w:p>
        </w:tc>
        <w:tc>
          <w:tcPr>
            <w:tcW w:w="655" w:type="pct"/>
            <w:tcBorders>
              <w:top w:val="nil"/>
              <w:left w:val="nil"/>
              <w:bottom w:val="single" w:sz="8" w:space="0" w:color="auto"/>
              <w:right w:val="single" w:sz="8" w:space="0" w:color="auto"/>
            </w:tcBorders>
            <w:shd w:val="clear" w:color="auto" w:fill="auto"/>
            <w:vAlign w:val="center"/>
            <w:hideMark/>
          </w:tcPr>
          <w:p w14:paraId="5BB34BF0" w14:textId="77777777" w:rsidR="00101ABD" w:rsidRPr="005F6C03" w:rsidRDefault="00101ABD" w:rsidP="00101ABD">
            <w:pPr>
              <w:jc w:val="both"/>
              <w:rPr>
                <w:color w:val="000000"/>
                <w:sz w:val="22"/>
                <w:szCs w:val="22"/>
              </w:rPr>
            </w:pPr>
            <w:r w:rsidRPr="005F6C03">
              <w:rPr>
                <w:color w:val="000000"/>
                <w:sz w:val="22"/>
                <w:szCs w:val="22"/>
              </w:rPr>
              <w:t xml:space="preserve"> $      1,274 </w:t>
            </w:r>
          </w:p>
        </w:tc>
      </w:tr>
      <w:tr w:rsidR="00273380" w:rsidRPr="005F6C03" w14:paraId="67660BD9"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0FE5F7D8" w14:textId="77777777" w:rsidR="00101ABD" w:rsidRPr="005F6C03" w:rsidRDefault="00101ABD" w:rsidP="00101ABD">
            <w:pPr>
              <w:rPr>
                <w:color w:val="000000"/>
                <w:sz w:val="22"/>
                <w:szCs w:val="22"/>
              </w:rPr>
            </w:pPr>
            <w:r w:rsidRPr="005F6C03">
              <w:rPr>
                <w:color w:val="000000"/>
                <w:sz w:val="22"/>
                <w:szCs w:val="22"/>
              </w:rPr>
              <w:t>5700 WPS</w:t>
            </w:r>
          </w:p>
        </w:tc>
        <w:tc>
          <w:tcPr>
            <w:tcW w:w="570" w:type="pct"/>
            <w:tcBorders>
              <w:top w:val="nil"/>
              <w:left w:val="nil"/>
              <w:bottom w:val="single" w:sz="8" w:space="0" w:color="auto"/>
              <w:right w:val="single" w:sz="8" w:space="0" w:color="auto"/>
            </w:tcBorders>
            <w:shd w:val="clear" w:color="auto" w:fill="auto"/>
            <w:vAlign w:val="center"/>
            <w:hideMark/>
          </w:tcPr>
          <w:p w14:paraId="0461DC75" w14:textId="77777777" w:rsidR="00101ABD" w:rsidRPr="005F6C03" w:rsidRDefault="00101ABD" w:rsidP="00553EF5">
            <w:pPr>
              <w:jc w:val="center"/>
              <w:rPr>
                <w:color w:val="000000"/>
                <w:sz w:val="22"/>
                <w:szCs w:val="22"/>
              </w:rPr>
            </w:pPr>
            <w:r w:rsidRPr="005F6C03">
              <w:rPr>
                <w:color w:val="000000"/>
                <w:sz w:val="22"/>
                <w:szCs w:val="22"/>
              </w:rPr>
              <w:t>2</w:t>
            </w:r>
          </w:p>
        </w:tc>
        <w:tc>
          <w:tcPr>
            <w:tcW w:w="561" w:type="pct"/>
            <w:tcBorders>
              <w:top w:val="nil"/>
              <w:left w:val="nil"/>
              <w:bottom w:val="single" w:sz="8" w:space="0" w:color="auto"/>
              <w:right w:val="single" w:sz="8" w:space="0" w:color="auto"/>
            </w:tcBorders>
            <w:shd w:val="clear" w:color="auto" w:fill="auto"/>
            <w:vAlign w:val="center"/>
            <w:hideMark/>
          </w:tcPr>
          <w:p w14:paraId="395336D1" w14:textId="77777777" w:rsidR="00101ABD" w:rsidRPr="005F6C03" w:rsidRDefault="00101ABD" w:rsidP="00553EF5">
            <w:pPr>
              <w:jc w:val="center"/>
              <w:rPr>
                <w:color w:val="000000"/>
                <w:sz w:val="22"/>
                <w:szCs w:val="22"/>
              </w:rPr>
            </w:pPr>
            <w:r w:rsidRPr="005F6C03">
              <w:rPr>
                <w:color w:val="000000"/>
                <w:sz w:val="22"/>
                <w:szCs w:val="22"/>
              </w:rPr>
              <w:t>3</w:t>
            </w:r>
          </w:p>
        </w:tc>
        <w:tc>
          <w:tcPr>
            <w:tcW w:w="805" w:type="pct"/>
            <w:tcBorders>
              <w:top w:val="nil"/>
              <w:left w:val="nil"/>
              <w:bottom w:val="single" w:sz="8" w:space="0" w:color="auto"/>
              <w:right w:val="single" w:sz="8" w:space="0" w:color="auto"/>
            </w:tcBorders>
            <w:shd w:val="clear" w:color="auto" w:fill="auto"/>
            <w:vAlign w:val="center"/>
            <w:hideMark/>
          </w:tcPr>
          <w:p w14:paraId="486AC040" w14:textId="77777777" w:rsidR="00101ABD" w:rsidRPr="005F6C03" w:rsidRDefault="00101ABD" w:rsidP="00553EF5">
            <w:pPr>
              <w:jc w:val="center"/>
              <w:rPr>
                <w:color w:val="000000"/>
                <w:sz w:val="22"/>
                <w:szCs w:val="22"/>
              </w:rPr>
            </w:pPr>
            <w:r w:rsidRPr="005F6C03">
              <w:rPr>
                <w:color w:val="000000"/>
                <w:sz w:val="22"/>
                <w:szCs w:val="22"/>
              </w:rPr>
              <w:t>5</w:t>
            </w:r>
          </w:p>
        </w:tc>
        <w:tc>
          <w:tcPr>
            <w:tcW w:w="596" w:type="pct"/>
            <w:tcBorders>
              <w:top w:val="nil"/>
              <w:left w:val="nil"/>
              <w:bottom w:val="single" w:sz="8" w:space="0" w:color="auto"/>
              <w:right w:val="single" w:sz="8" w:space="0" w:color="auto"/>
            </w:tcBorders>
            <w:shd w:val="clear" w:color="auto" w:fill="auto"/>
            <w:vAlign w:val="center"/>
            <w:hideMark/>
          </w:tcPr>
          <w:p w14:paraId="425E264D" w14:textId="77777777" w:rsidR="00101ABD" w:rsidRPr="005F6C03" w:rsidRDefault="00101ABD" w:rsidP="00101ABD">
            <w:pPr>
              <w:jc w:val="both"/>
              <w:rPr>
                <w:color w:val="000000"/>
                <w:sz w:val="22"/>
                <w:szCs w:val="22"/>
              </w:rPr>
            </w:pPr>
            <w:r w:rsidRPr="005F6C03">
              <w:rPr>
                <w:color w:val="000000"/>
                <w:sz w:val="22"/>
                <w:szCs w:val="22"/>
              </w:rPr>
              <w:t xml:space="preserve"> $       185 </w:t>
            </w:r>
          </w:p>
        </w:tc>
        <w:tc>
          <w:tcPr>
            <w:tcW w:w="712" w:type="pct"/>
            <w:tcBorders>
              <w:top w:val="nil"/>
              <w:left w:val="nil"/>
              <w:bottom w:val="single" w:sz="8" w:space="0" w:color="auto"/>
              <w:right w:val="single" w:sz="8" w:space="0" w:color="auto"/>
            </w:tcBorders>
            <w:shd w:val="clear" w:color="auto" w:fill="auto"/>
            <w:vAlign w:val="center"/>
            <w:hideMark/>
          </w:tcPr>
          <w:p w14:paraId="30F023A7" w14:textId="77777777" w:rsidR="00101ABD" w:rsidRPr="005F6C03" w:rsidRDefault="00101ABD" w:rsidP="00101ABD">
            <w:pPr>
              <w:jc w:val="both"/>
              <w:rPr>
                <w:color w:val="000000"/>
                <w:sz w:val="22"/>
                <w:szCs w:val="22"/>
              </w:rPr>
            </w:pPr>
            <w:r w:rsidRPr="005F6C03">
              <w:rPr>
                <w:color w:val="000000"/>
                <w:sz w:val="22"/>
                <w:szCs w:val="22"/>
              </w:rPr>
              <w:t xml:space="preserve"> $       195 </w:t>
            </w:r>
          </w:p>
        </w:tc>
        <w:tc>
          <w:tcPr>
            <w:tcW w:w="655" w:type="pct"/>
            <w:tcBorders>
              <w:top w:val="nil"/>
              <w:left w:val="nil"/>
              <w:bottom w:val="single" w:sz="8" w:space="0" w:color="auto"/>
              <w:right w:val="single" w:sz="8" w:space="0" w:color="auto"/>
            </w:tcBorders>
            <w:shd w:val="clear" w:color="auto" w:fill="auto"/>
            <w:vAlign w:val="center"/>
            <w:hideMark/>
          </w:tcPr>
          <w:p w14:paraId="079482AE" w14:textId="77777777" w:rsidR="00101ABD" w:rsidRPr="005F6C03" w:rsidRDefault="00101ABD" w:rsidP="00101ABD">
            <w:pPr>
              <w:jc w:val="both"/>
              <w:rPr>
                <w:color w:val="000000"/>
                <w:sz w:val="22"/>
                <w:szCs w:val="22"/>
              </w:rPr>
            </w:pPr>
            <w:r w:rsidRPr="005F6C03">
              <w:rPr>
                <w:color w:val="000000"/>
                <w:sz w:val="22"/>
                <w:szCs w:val="22"/>
              </w:rPr>
              <w:t xml:space="preserve"> $         380 </w:t>
            </w:r>
          </w:p>
        </w:tc>
      </w:tr>
      <w:tr w:rsidR="00273380" w:rsidRPr="005F6C03" w14:paraId="47A84A5B"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50E17E57" w14:textId="77777777" w:rsidR="00101ABD" w:rsidRPr="005F6C03" w:rsidRDefault="00101ABD" w:rsidP="00101ABD">
            <w:pPr>
              <w:rPr>
                <w:color w:val="000000"/>
                <w:sz w:val="22"/>
                <w:szCs w:val="22"/>
              </w:rPr>
            </w:pPr>
            <w:r w:rsidRPr="005F6C03">
              <w:rPr>
                <w:color w:val="000000"/>
                <w:sz w:val="22"/>
                <w:szCs w:val="22"/>
              </w:rPr>
              <w:t>5700 Container Containment (CC)</w:t>
            </w:r>
          </w:p>
        </w:tc>
        <w:tc>
          <w:tcPr>
            <w:tcW w:w="570" w:type="pct"/>
            <w:tcBorders>
              <w:top w:val="nil"/>
              <w:left w:val="nil"/>
              <w:bottom w:val="single" w:sz="8" w:space="0" w:color="auto"/>
              <w:right w:val="single" w:sz="8" w:space="0" w:color="auto"/>
            </w:tcBorders>
            <w:shd w:val="clear" w:color="auto" w:fill="auto"/>
            <w:vAlign w:val="center"/>
            <w:hideMark/>
          </w:tcPr>
          <w:p w14:paraId="75B8A8C4" w14:textId="77777777" w:rsidR="00101ABD" w:rsidRPr="005F6C03" w:rsidRDefault="00101ABD" w:rsidP="00553EF5">
            <w:pPr>
              <w:jc w:val="center"/>
              <w:rPr>
                <w:color w:val="000000"/>
                <w:sz w:val="22"/>
                <w:szCs w:val="22"/>
              </w:rPr>
            </w:pPr>
            <w:r w:rsidRPr="005F6C03">
              <w:rPr>
                <w:color w:val="000000"/>
                <w:sz w:val="22"/>
                <w:szCs w:val="22"/>
              </w:rPr>
              <w:t>1.5</w:t>
            </w:r>
          </w:p>
        </w:tc>
        <w:tc>
          <w:tcPr>
            <w:tcW w:w="561" w:type="pct"/>
            <w:tcBorders>
              <w:top w:val="nil"/>
              <w:left w:val="nil"/>
              <w:bottom w:val="single" w:sz="8" w:space="0" w:color="auto"/>
              <w:right w:val="single" w:sz="8" w:space="0" w:color="auto"/>
            </w:tcBorders>
            <w:shd w:val="clear" w:color="auto" w:fill="auto"/>
            <w:vAlign w:val="center"/>
            <w:hideMark/>
          </w:tcPr>
          <w:p w14:paraId="482F6D40" w14:textId="77777777" w:rsidR="00101ABD" w:rsidRPr="005F6C03" w:rsidRDefault="00101ABD" w:rsidP="00553EF5">
            <w:pPr>
              <w:jc w:val="center"/>
              <w:rPr>
                <w:color w:val="000000"/>
                <w:sz w:val="22"/>
                <w:szCs w:val="22"/>
              </w:rPr>
            </w:pPr>
            <w:r w:rsidRPr="005F6C03">
              <w:rPr>
                <w:color w:val="000000"/>
                <w:sz w:val="22"/>
                <w:szCs w:val="22"/>
              </w:rPr>
              <w:t>7.5</w:t>
            </w:r>
          </w:p>
        </w:tc>
        <w:tc>
          <w:tcPr>
            <w:tcW w:w="805" w:type="pct"/>
            <w:tcBorders>
              <w:top w:val="nil"/>
              <w:left w:val="nil"/>
              <w:bottom w:val="single" w:sz="8" w:space="0" w:color="auto"/>
              <w:right w:val="single" w:sz="8" w:space="0" w:color="auto"/>
            </w:tcBorders>
            <w:shd w:val="clear" w:color="auto" w:fill="auto"/>
            <w:vAlign w:val="center"/>
            <w:hideMark/>
          </w:tcPr>
          <w:p w14:paraId="5E7F0870" w14:textId="77777777" w:rsidR="00101ABD" w:rsidRPr="005F6C03" w:rsidRDefault="00101ABD" w:rsidP="00553EF5">
            <w:pPr>
              <w:jc w:val="center"/>
              <w:rPr>
                <w:color w:val="000000"/>
                <w:sz w:val="22"/>
                <w:szCs w:val="22"/>
              </w:rPr>
            </w:pPr>
            <w:r w:rsidRPr="005F6C03">
              <w:rPr>
                <w:color w:val="000000"/>
                <w:sz w:val="22"/>
                <w:szCs w:val="22"/>
              </w:rPr>
              <w:t>9</w:t>
            </w:r>
          </w:p>
        </w:tc>
        <w:tc>
          <w:tcPr>
            <w:tcW w:w="596" w:type="pct"/>
            <w:tcBorders>
              <w:top w:val="nil"/>
              <w:left w:val="nil"/>
              <w:bottom w:val="single" w:sz="8" w:space="0" w:color="auto"/>
              <w:right w:val="single" w:sz="8" w:space="0" w:color="auto"/>
            </w:tcBorders>
            <w:shd w:val="clear" w:color="auto" w:fill="auto"/>
            <w:vAlign w:val="center"/>
            <w:hideMark/>
          </w:tcPr>
          <w:p w14:paraId="4A73A8DF" w14:textId="77777777" w:rsidR="00101ABD" w:rsidRPr="005F6C03" w:rsidRDefault="00101ABD" w:rsidP="00101ABD">
            <w:pPr>
              <w:jc w:val="both"/>
              <w:rPr>
                <w:color w:val="000000"/>
                <w:sz w:val="22"/>
                <w:szCs w:val="22"/>
              </w:rPr>
            </w:pPr>
            <w:r w:rsidRPr="005F6C03">
              <w:rPr>
                <w:color w:val="000000"/>
                <w:sz w:val="22"/>
                <w:szCs w:val="22"/>
              </w:rPr>
              <w:t xml:space="preserve"> $       139 </w:t>
            </w:r>
          </w:p>
        </w:tc>
        <w:tc>
          <w:tcPr>
            <w:tcW w:w="712" w:type="pct"/>
            <w:tcBorders>
              <w:top w:val="nil"/>
              <w:left w:val="nil"/>
              <w:bottom w:val="single" w:sz="8" w:space="0" w:color="auto"/>
              <w:right w:val="single" w:sz="8" w:space="0" w:color="auto"/>
            </w:tcBorders>
            <w:shd w:val="clear" w:color="auto" w:fill="auto"/>
            <w:vAlign w:val="center"/>
            <w:hideMark/>
          </w:tcPr>
          <w:p w14:paraId="52225A56" w14:textId="77777777" w:rsidR="00101ABD" w:rsidRPr="005F6C03" w:rsidRDefault="00101ABD" w:rsidP="00101ABD">
            <w:pPr>
              <w:jc w:val="both"/>
              <w:rPr>
                <w:color w:val="000000"/>
                <w:sz w:val="22"/>
                <w:szCs w:val="22"/>
              </w:rPr>
            </w:pPr>
            <w:r w:rsidRPr="005F6C03">
              <w:rPr>
                <w:color w:val="000000"/>
                <w:sz w:val="22"/>
                <w:szCs w:val="22"/>
              </w:rPr>
              <w:t xml:space="preserve"> $       487 </w:t>
            </w:r>
          </w:p>
        </w:tc>
        <w:tc>
          <w:tcPr>
            <w:tcW w:w="655" w:type="pct"/>
            <w:tcBorders>
              <w:top w:val="nil"/>
              <w:left w:val="nil"/>
              <w:bottom w:val="single" w:sz="8" w:space="0" w:color="auto"/>
              <w:right w:val="single" w:sz="8" w:space="0" w:color="auto"/>
            </w:tcBorders>
            <w:shd w:val="clear" w:color="auto" w:fill="auto"/>
            <w:vAlign w:val="center"/>
            <w:hideMark/>
          </w:tcPr>
          <w:p w14:paraId="0AF08198" w14:textId="77777777" w:rsidR="00101ABD" w:rsidRPr="005F6C03" w:rsidRDefault="00101ABD" w:rsidP="00101ABD">
            <w:pPr>
              <w:jc w:val="both"/>
              <w:rPr>
                <w:color w:val="000000"/>
                <w:sz w:val="22"/>
                <w:szCs w:val="22"/>
              </w:rPr>
            </w:pPr>
            <w:r w:rsidRPr="005F6C03">
              <w:rPr>
                <w:color w:val="000000"/>
                <w:sz w:val="22"/>
                <w:szCs w:val="22"/>
              </w:rPr>
              <w:t xml:space="preserve"> $         626 </w:t>
            </w:r>
          </w:p>
        </w:tc>
      </w:tr>
      <w:tr w:rsidR="00273380" w:rsidRPr="005F6C03" w14:paraId="2332535C"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1E39705C" w14:textId="77777777" w:rsidR="00101ABD" w:rsidRPr="005F6C03" w:rsidRDefault="00101ABD" w:rsidP="00101ABD">
            <w:pPr>
              <w:rPr>
                <w:color w:val="000000"/>
                <w:sz w:val="22"/>
                <w:szCs w:val="22"/>
              </w:rPr>
            </w:pPr>
            <w:r w:rsidRPr="005F6C03">
              <w:rPr>
                <w:color w:val="000000"/>
                <w:sz w:val="22"/>
                <w:szCs w:val="22"/>
              </w:rPr>
              <w:t>Endangered Species</w:t>
            </w:r>
          </w:p>
        </w:tc>
        <w:tc>
          <w:tcPr>
            <w:tcW w:w="570" w:type="pct"/>
            <w:tcBorders>
              <w:top w:val="nil"/>
              <w:left w:val="nil"/>
              <w:bottom w:val="single" w:sz="8" w:space="0" w:color="auto"/>
              <w:right w:val="single" w:sz="8" w:space="0" w:color="auto"/>
            </w:tcBorders>
            <w:shd w:val="clear" w:color="auto" w:fill="auto"/>
            <w:vAlign w:val="center"/>
            <w:hideMark/>
          </w:tcPr>
          <w:p w14:paraId="1C983119" w14:textId="77777777" w:rsidR="00101ABD" w:rsidRPr="005F6C03" w:rsidRDefault="00101ABD" w:rsidP="00553EF5">
            <w:pPr>
              <w:jc w:val="center"/>
              <w:rPr>
                <w:color w:val="000000"/>
                <w:sz w:val="22"/>
                <w:szCs w:val="22"/>
              </w:rPr>
            </w:pPr>
            <w:r w:rsidRPr="005F6C03">
              <w:rPr>
                <w:color w:val="000000"/>
                <w:sz w:val="22"/>
                <w:szCs w:val="22"/>
              </w:rPr>
              <w:t>12</w:t>
            </w:r>
          </w:p>
        </w:tc>
        <w:tc>
          <w:tcPr>
            <w:tcW w:w="561" w:type="pct"/>
            <w:tcBorders>
              <w:top w:val="nil"/>
              <w:left w:val="nil"/>
              <w:bottom w:val="single" w:sz="8" w:space="0" w:color="auto"/>
              <w:right w:val="single" w:sz="8" w:space="0" w:color="auto"/>
            </w:tcBorders>
            <w:shd w:val="clear" w:color="auto" w:fill="auto"/>
            <w:vAlign w:val="center"/>
            <w:hideMark/>
          </w:tcPr>
          <w:p w14:paraId="15A03DFD" w14:textId="77777777" w:rsidR="00101ABD" w:rsidRPr="005F6C03" w:rsidRDefault="00101ABD" w:rsidP="00553EF5">
            <w:pPr>
              <w:jc w:val="center"/>
              <w:rPr>
                <w:color w:val="000000"/>
                <w:sz w:val="22"/>
                <w:szCs w:val="22"/>
              </w:rPr>
            </w:pPr>
            <w:r w:rsidRPr="005F6C03">
              <w:rPr>
                <w:color w:val="000000"/>
                <w:sz w:val="22"/>
                <w:szCs w:val="22"/>
              </w:rPr>
              <w:t>4</w:t>
            </w:r>
          </w:p>
        </w:tc>
        <w:tc>
          <w:tcPr>
            <w:tcW w:w="805" w:type="pct"/>
            <w:tcBorders>
              <w:top w:val="nil"/>
              <w:left w:val="nil"/>
              <w:bottom w:val="single" w:sz="8" w:space="0" w:color="auto"/>
              <w:right w:val="single" w:sz="8" w:space="0" w:color="auto"/>
            </w:tcBorders>
            <w:shd w:val="clear" w:color="auto" w:fill="auto"/>
            <w:vAlign w:val="center"/>
            <w:hideMark/>
          </w:tcPr>
          <w:p w14:paraId="3F76C556" w14:textId="77777777" w:rsidR="00101ABD" w:rsidRPr="005F6C03" w:rsidRDefault="00101ABD" w:rsidP="00553EF5">
            <w:pPr>
              <w:jc w:val="center"/>
              <w:rPr>
                <w:color w:val="000000"/>
                <w:sz w:val="22"/>
                <w:szCs w:val="22"/>
              </w:rPr>
            </w:pPr>
            <w:r w:rsidRPr="005F6C03">
              <w:rPr>
                <w:color w:val="000000"/>
                <w:sz w:val="22"/>
                <w:szCs w:val="22"/>
              </w:rPr>
              <w:t>16</w:t>
            </w:r>
          </w:p>
        </w:tc>
        <w:tc>
          <w:tcPr>
            <w:tcW w:w="596" w:type="pct"/>
            <w:tcBorders>
              <w:top w:val="nil"/>
              <w:left w:val="nil"/>
              <w:bottom w:val="single" w:sz="8" w:space="0" w:color="auto"/>
              <w:right w:val="single" w:sz="8" w:space="0" w:color="auto"/>
            </w:tcBorders>
            <w:shd w:val="clear" w:color="auto" w:fill="auto"/>
            <w:vAlign w:val="center"/>
            <w:hideMark/>
          </w:tcPr>
          <w:p w14:paraId="4A7D5772" w14:textId="77777777" w:rsidR="00101ABD" w:rsidRPr="005F6C03" w:rsidRDefault="00101ABD" w:rsidP="00101ABD">
            <w:pPr>
              <w:jc w:val="both"/>
              <w:rPr>
                <w:color w:val="000000"/>
                <w:sz w:val="22"/>
                <w:szCs w:val="22"/>
              </w:rPr>
            </w:pPr>
            <w:r w:rsidRPr="005F6C03">
              <w:rPr>
                <w:color w:val="000000"/>
                <w:sz w:val="22"/>
                <w:szCs w:val="22"/>
              </w:rPr>
              <w:t xml:space="preserve"> $     1,112 </w:t>
            </w:r>
          </w:p>
        </w:tc>
        <w:tc>
          <w:tcPr>
            <w:tcW w:w="712" w:type="pct"/>
            <w:tcBorders>
              <w:top w:val="nil"/>
              <w:left w:val="nil"/>
              <w:bottom w:val="single" w:sz="8" w:space="0" w:color="auto"/>
              <w:right w:val="single" w:sz="8" w:space="0" w:color="auto"/>
            </w:tcBorders>
            <w:shd w:val="clear" w:color="auto" w:fill="auto"/>
            <w:vAlign w:val="center"/>
            <w:hideMark/>
          </w:tcPr>
          <w:p w14:paraId="45909D23" w14:textId="77777777" w:rsidR="00101ABD" w:rsidRPr="005F6C03" w:rsidRDefault="00101ABD" w:rsidP="00101ABD">
            <w:pPr>
              <w:jc w:val="both"/>
              <w:rPr>
                <w:color w:val="000000"/>
                <w:sz w:val="22"/>
                <w:szCs w:val="22"/>
              </w:rPr>
            </w:pPr>
            <w:r w:rsidRPr="005F6C03">
              <w:rPr>
                <w:color w:val="000000"/>
                <w:sz w:val="22"/>
                <w:szCs w:val="22"/>
              </w:rPr>
              <w:t xml:space="preserve"> $       260 </w:t>
            </w:r>
          </w:p>
        </w:tc>
        <w:tc>
          <w:tcPr>
            <w:tcW w:w="655" w:type="pct"/>
            <w:tcBorders>
              <w:top w:val="nil"/>
              <w:left w:val="nil"/>
              <w:bottom w:val="single" w:sz="8" w:space="0" w:color="auto"/>
              <w:right w:val="single" w:sz="8" w:space="0" w:color="auto"/>
            </w:tcBorders>
            <w:shd w:val="clear" w:color="auto" w:fill="auto"/>
            <w:vAlign w:val="center"/>
            <w:hideMark/>
          </w:tcPr>
          <w:p w14:paraId="57E910B2" w14:textId="77777777" w:rsidR="00101ABD" w:rsidRPr="005F6C03" w:rsidRDefault="00101ABD" w:rsidP="00101ABD">
            <w:pPr>
              <w:jc w:val="both"/>
              <w:rPr>
                <w:color w:val="000000"/>
                <w:sz w:val="22"/>
                <w:szCs w:val="22"/>
              </w:rPr>
            </w:pPr>
            <w:r w:rsidRPr="005F6C03">
              <w:rPr>
                <w:color w:val="000000"/>
                <w:sz w:val="22"/>
                <w:szCs w:val="22"/>
              </w:rPr>
              <w:t xml:space="preserve"> $      1,371 </w:t>
            </w:r>
          </w:p>
        </w:tc>
      </w:tr>
      <w:tr w:rsidR="00273380" w:rsidRPr="005F6C03" w14:paraId="3C4B500C"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5CB4A9F7" w14:textId="77777777" w:rsidR="00101ABD" w:rsidRPr="005F6C03" w:rsidRDefault="00101ABD" w:rsidP="00101ABD">
            <w:pPr>
              <w:rPr>
                <w:color w:val="000000"/>
                <w:sz w:val="22"/>
                <w:szCs w:val="22"/>
              </w:rPr>
            </w:pPr>
            <w:r w:rsidRPr="005F6C03">
              <w:rPr>
                <w:color w:val="000000"/>
                <w:sz w:val="22"/>
                <w:szCs w:val="22"/>
              </w:rPr>
              <w:t>Performance Measures</w:t>
            </w:r>
          </w:p>
        </w:tc>
        <w:tc>
          <w:tcPr>
            <w:tcW w:w="570" w:type="pct"/>
            <w:tcBorders>
              <w:top w:val="nil"/>
              <w:left w:val="nil"/>
              <w:bottom w:val="single" w:sz="8" w:space="0" w:color="auto"/>
              <w:right w:val="single" w:sz="8" w:space="0" w:color="auto"/>
            </w:tcBorders>
            <w:shd w:val="clear" w:color="auto" w:fill="auto"/>
            <w:vAlign w:val="center"/>
            <w:hideMark/>
          </w:tcPr>
          <w:p w14:paraId="19E955C1" w14:textId="77777777" w:rsidR="00101ABD" w:rsidRPr="005F6C03" w:rsidRDefault="00101ABD" w:rsidP="00553EF5">
            <w:pPr>
              <w:jc w:val="center"/>
              <w:rPr>
                <w:color w:val="000000"/>
                <w:sz w:val="22"/>
                <w:szCs w:val="22"/>
              </w:rPr>
            </w:pPr>
            <w:r w:rsidRPr="005F6C03">
              <w:rPr>
                <w:color w:val="000000"/>
                <w:sz w:val="22"/>
                <w:szCs w:val="22"/>
              </w:rPr>
              <w:t>11</w:t>
            </w:r>
          </w:p>
        </w:tc>
        <w:tc>
          <w:tcPr>
            <w:tcW w:w="561" w:type="pct"/>
            <w:tcBorders>
              <w:top w:val="nil"/>
              <w:left w:val="nil"/>
              <w:bottom w:val="single" w:sz="8" w:space="0" w:color="auto"/>
              <w:right w:val="single" w:sz="8" w:space="0" w:color="auto"/>
            </w:tcBorders>
            <w:shd w:val="clear" w:color="auto" w:fill="auto"/>
            <w:vAlign w:val="center"/>
            <w:hideMark/>
          </w:tcPr>
          <w:p w14:paraId="278B8B9B" w14:textId="77777777" w:rsidR="00101ABD" w:rsidRPr="005F6C03" w:rsidRDefault="00101ABD" w:rsidP="00553EF5">
            <w:pPr>
              <w:jc w:val="center"/>
              <w:rPr>
                <w:color w:val="000000"/>
                <w:sz w:val="22"/>
                <w:szCs w:val="22"/>
              </w:rPr>
            </w:pPr>
            <w:r w:rsidRPr="005F6C03">
              <w:rPr>
                <w:color w:val="000000"/>
                <w:sz w:val="22"/>
                <w:szCs w:val="22"/>
              </w:rPr>
              <w:t>10</w:t>
            </w:r>
          </w:p>
        </w:tc>
        <w:tc>
          <w:tcPr>
            <w:tcW w:w="805" w:type="pct"/>
            <w:tcBorders>
              <w:top w:val="nil"/>
              <w:left w:val="nil"/>
              <w:bottom w:val="single" w:sz="8" w:space="0" w:color="auto"/>
              <w:right w:val="single" w:sz="8" w:space="0" w:color="auto"/>
            </w:tcBorders>
            <w:shd w:val="clear" w:color="auto" w:fill="auto"/>
            <w:vAlign w:val="center"/>
            <w:hideMark/>
          </w:tcPr>
          <w:p w14:paraId="2F777F85" w14:textId="77777777" w:rsidR="00101ABD" w:rsidRPr="005F6C03" w:rsidRDefault="00101ABD" w:rsidP="00553EF5">
            <w:pPr>
              <w:jc w:val="center"/>
              <w:rPr>
                <w:color w:val="000000"/>
                <w:sz w:val="22"/>
                <w:szCs w:val="22"/>
              </w:rPr>
            </w:pPr>
            <w:r w:rsidRPr="005F6C03">
              <w:rPr>
                <w:color w:val="000000"/>
                <w:sz w:val="22"/>
                <w:szCs w:val="22"/>
              </w:rPr>
              <w:t>21</w:t>
            </w:r>
          </w:p>
        </w:tc>
        <w:tc>
          <w:tcPr>
            <w:tcW w:w="596" w:type="pct"/>
            <w:tcBorders>
              <w:top w:val="nil"/>
              <w:left w:val="nil"/>
              <w:bottom w:val="single" w:sz="8" w:space="0" w:color="auto"/>
              <w:right w:val="single" w:sz="8" w:space="0" w:color="auto"/>
            </w:tcBorders>
            <w:shd w:val="clear" w:color="auto" w:fill="auto"/>
            <w:vAlign w:val="center"/>
            <w:hideMark/>
          </w:tcPr>
          <w:p w14:paraId="1663CC5D" w14:textId="77777777" w:rsidR="00101ABD" w:rsidRPr="005F6C03" w:rsidRDefault="00101ABD" w:rsidP="00101ABD">
            <w:pPr>
              <w:jc w:val="both"/>
              <w:rPr>
                <w:color w:val="000000"/>
                <w:sz w:val="22"/>
                <w:szCs w:val="22"/>
              </w:rPr>
            </w:pPr>
            <w:r w:rsidRPr="005F6C03">
              <w:rPr>
                <w:color w:val="000000"/>
                <w:sz w:val="22"/>
                <w:szCs w:val="22"/>
              </w:rPr>
              <w:t xml:space="preserve"> $     1,019 </w:t>
            </w:r>
          </w:p>
        </w:tc>
        <w:tc>
          <w:tcPr>
            <w:tcW w:w="712" w:type="pct"/>
            <w:tcBorders>
              <w:top w:val="nil"/>
              <w:left w:val="nil"/>
              <w:bottom w:val="single" w:sz="8" w:space="0" w:color="auto"/>
              <w:right w:val="single" w:sz="8" w:space="0" w:color="auto"/>
            </w:tcBorders>
            <w:shd w:val="clear" w:color="auto" w:fill="auto"/>
            <w:vAlign w:val="center"/>
            <w:hideMark/>
          </w:tcPr>
          <w:p w14:paraId="0DA3C45C" w14:textId="77777777" w:rsidR="00101ABD" w:rsidRPr="005F6C03" w:rsidRDefault="00101ABD" w:rsidP="00101ABD">
            <w:pPr>
              <w:jc w:val="both"/>
              <w:rPr>
                <w:color w:val="000000"/>
                <w:sz w:val="22"/>
                <w:szCs w:val="22"/>
              </w:rPr>
            </w:pPr>
            <w:r w:rsidRPr="005F6C03">
              <w:rPr>
                <w:color w:val="000000"/>
                <w:sz w:val="22"/>
                <w:szCs w:val="22"/>
              </w:rPr>
              <w:t xml:space="preserve"> $       649 </w:t>
            </w:r>
          </w:p>
        </w:tc>
        <w:tc>
          <w:tcPr>
            <w:tcW w:w="655" w:type="pct"/>
            <w:tcBorders>
              <w:top w:val="nil"/>
              <w:left w:val="nil"/>
              <w:bottom w:val="single" w:sz="8" w:space="0" w:color="auto"/>
              <w:right w:val="single" w:sz="8" w:space="0" w:color="auto"/>
            </w:tcBorders>
            <w:shd w:val="clear" w:color="auto" w:fill="auto"/>
            <w:vAlign w:val="center"/>
            <w:hideMark/>
          </w:tcPr>
          <w:p w14:paraId="5EB0B637" w14:textId="77777777" w:rsidR="00101ABD" w:rsidRPr="005F6C03" w:rsidRDefault="00101ABD" w:rsidP="00101ABD">
            <w:pPr>
              <w:jc w:val="both"/>
              <w:rPr>
                <w:color w:val="000000"/>
                <w:sz w:val="22"/>
                <w:szCs w:val="22"/>
              </w:rPr>
            </w:pPr>
            <w:r w:rsidRPr="005F6C03">
              <w:rPr>
                <w:color w:val="000000"/>
                <w:sz w:val="22"/>
                <w:szCs w:val="22"/>
              </w:rPr>
              <w:t xml:space="preserve"> $      1,668 </w:t>
            </w:r>
          </w:p>
        </w:tc>
      </w:tr>
      <w:tr w:rsidR="00273380" w:rsidRPr="005F6C03" w14:paraId="3357B4D4"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304A9DB3" w14:textId="77777777" w:rsidR="00101ABD" w:rsidRPr="005F6C03" w:rsidRDefault="00101ABD" w:rsidP="00101ABD">
            <w:pPr>
              <w:rPr>
                <w:color w:val="000000"/>
                <w:sz w:val="22"/>
                <w:szCs w:val="22"/>
              </w:rPr>
            </w:pPr>
            <w:r w:rsidRPr="005F6C03">
              <w:rPr>
                <w:color w:val="000000"/>
                <w:sz w:val="22"/>
                <w:szCs w:val="22"/>
              </w:rPr>
              <w:t>Review Template for accuracy/errors</w:t>
            </w:r>
          </w:p>
        </w:tc>
        <w:tc>
          <w:tcPr>
            <w:tcW w:w="570" w:type="pct"/>
            <w:tcBorders>
              <w:top w:val="nil"/>
              <w:left w:val="nil"/>
              <w:bottom w:val="single" w:sz="8" w:space="0" w:color="auto"/>
              <w:right w:val="single" w:sz="8" w:space="0" w:color="auto"/>
            </w:tcBorders>
            <w:shd w:val="clear" w:color="auto" w:fill="auto"/>
            <w:vAlign w:val="center"/>
            <w:hideMark/>
          </w:tcPr>
          <w:p w14:paraId="39909E7D" w14:textId="77777777" w:rsidR="00101ABD" w:rsidRPr="005F6C03" w:rsidRDefault="00101ABD" w:rsidP="00553EF5">
            <w:pPr>
              <w:jc w:val="center"/>
              <w:rPr>
                <w:color w:val="000000"/>
                <w:sz w:val="22"/>
                <w:szCs w:val="22"/>
              </w:rPr>
            </w:pPr>
            <w:r w:rsidRPr="005F6C03">
              <w:rPr>
                <w:color w:val="000000"/>
                <w:sz w:val="22"/>
                <w:szCs w:val="22"/>
              </w:rPr>
              <w:t>28</w:t>
            </w:r>
          </w:p>
        </w:tc>
        <w:tc>
          <w:tcPr>
            <w:tcW w:w="561" w:type="pct"/>
            <w:tcBorders>
              <w:top w:val="nil"/>
              <w:left w:val="nil"/>
              <w:bottom w:val="single" w:sz="8" w:space="0" w:color="auto"/>
              <w:right w:val="single" w:sz="8" w:space="0" w:color="auto"/>
            </w:tcBorders>
            <w:shd w:val="clear" w:color="auto" w:fill="auto"/>
            <w:vAlign w:val="center"/>
            <w:hideMark/>
          </w:tcPr>
          <w:p w14:paraId="7C1CFFAB" w14:textId="77777777" w:rsidR="00101ABD" w:rsidRPr="005F6C03" w:rsidRDefault="00101ABD" w:rsidP="00553EF5">
            <w:pPr>
              <w:jc w:val="center"/>
              <w:rPr>
                <w:color w:val="000000"/>
                <w:sz w:val="22"/>
                <w:szCs w:val="22"/>
              </w:rPr>
            </w:pPr>
            <w:r w:rsidRPr="005F6C03">
              <w:rPr>
                <w:color w:val="000000"/>
                <w:sz w:val="22"/>
                <w:szCs w:val="22"/>
              </w:rPr>
              <w:t>14.5</w:t>
            </w:r>
          </w:p>
        </w:tc>
        <w:tc>
          <w:tcPr>
            <w:tcW w:w="805" w:type="pct"/>
            <w:tcBorders>
              <w:top w:val="nil"/>
              <w:left w:val="nil"/>
              <w:bottom w:val="single" w:sz="8" w:space="0" w:color="auto"/>
              <w:right w:val="single" w:sz="8" w:space="0" w:color="auto"/>
            </w:tcBorders>
            <w:shd w:val="clear" w:color="auto" w:fill="auto"/>
            <w:vAlign w:val="center"/>
            <w:hideMark/>
          </w:tcPr>
          <w:p w14:paraId="7F89304A" w14:textId="77777777" w:rsidR="00101ABD" w:rsidRPr="005F6C03" w:rsidRDefault="00101ABD" w:rsidP="00553EF5">
            <w:pPr>
              <w:jc w:val="center"/>
              <w:rPr>
                <w:color w:val="000000"/>
                <w:sz w:val="22"/>
                <w:szCs w:val="22"/>
              </w:rPr>
            </w:pPr>
            <w:r w:rsidRPr="005F6C03">
              <w:rPr>
                <w:color w:val="000000"/>
                <w:sz w:val="22"/>
                <w:szCs w:val="22"/>
              </w:rPr>
              <w:t>42.5</w:t>
            </w:r>
          </w:p>
        </w:tc>
        <w:tc>
          <w:tcPr>
            <w:tcW w:w="596" w:type="pct"/>
            <w:tcBorders>
              <w:top w:val="nil"/>
              <w:left w:val="nil"/>
              <w:bottom w:val="single" w:sz="8" w:space="0" w:color="auto"/>
              <w:right w:val="single" w:sz="8" w:space="0" w:color="auto"/>
            </w:tcBorders>
            <w:shd w:val="clear" w:color="auto" w:fill="auto"/>
            <w:vAlign w:val="center"/>
            <w:hideMark/>
          </w:tcPr>
          <w:p w14:paraId="4D0E79BF" w14:textId="77777777" w:rsidR="00101ABD" w:rsidRPr="005F6C03" w:rsidRDefault="00101ABD" w:rsidP="00101ABD">
            <w:pPr>
              <w:jc w:val="both"/>
              <w:rPr>
                <w:color w:val="000000"/>
                <w:sz w:val="22"/>
                <w:szCs w:val="22"/>
              </w:rPr>
            </w:pPr>
            <w:r w:rsidRPr="005F6C03">
              <w:rPr>
                <w:color w:val="000000"/>
                <w:sz w:val="22"/>
                <w:szCs w:val="22"/>
              </w:rPr>
              <w:t xml:space="preserve"> $     2,594 </w:t>
            </w:r>
          </w:p>
        </w:tc>
        <w:tc>
          <w:tcPr>
            <w:tcW w:w="712" w:type="pct"/>
            <w:tcBorders>
              <w:top w:val="nil"/>
              <w:left w:val="nil"/>
              <w:bottom w:val="single" w:sz="8" w:space="0" w:color="auto"/>
              <w:right w:val="single" w:sz="8" w:space="0" w:color="auto"/>
            </w:tcBorders>
            <w:shd w:val="clear" w:color="auto" w:fill="auto"/>
            <w:vAlign w:val="center"/>
            <w:hideMark/>
          </w:tcPr>
          <w:p w14:paraId="3F617FC2" w14:textId="77777777" w:rsidR="00101ABD" w:rsidRPr="005F6C03" w:rsidRDefault="00101ABD" w:rsidP="00101ABD">
            <w:pPr>
              <w:jc w:val="both"/>
              <w:rPr>
                <w:color w:val="000000"/>
                <w:sz w:val="22"/>
                <w:szCs w:val="22"/>
              </w:rPr>
            </w:pPr>
            <w:r w:rsidRPr="005F6C03">
              <w:rPr>
                <w:color w:val="000000"/>
                <w:sz w:val="22"/>
                <w:szCs w:val="22"/>
              </w:rPr>
              <w:t xml:space="preserve"> $       941 </w:t>
            </w:r>
          </w:p>
        </w:tc>
        <w:tc>
          <w:tcPr>
            <w:tcW w:w="655" w:type="pct"/>
            <w:tcBorders>
              <w:top w:val="nil"/>
              <w:left w:val="nil"/>
              <w:bottom w:val="single" w:sz="8" w:space="0" w:color="auto"/>
              <w:right w:val="single" w:sz="8" w:space="0" w:color="auto"/>
            </w:tcBorders>
            <w:shd w:val="clear" w:color="auto" w:fill="auto"/>
            <w:vAlign w:val="center"/>
            <w:hideMark/>
          </w:tcPr>
          <w:p w14:paraId="1A6F1A7C" w14:textId="77777777" w:rsidR="00101ABD" w:rsidRPr="005F6C03" w:rsidRDefault="00101ABD" w:rsidP="00101ABD">
            <w:pPr>
              <w:jc w:val="both"/>
              <w:rPr>
                <w:color w:val="000000"/>
                <w:sz w:val="22"/>
                <w:szCs w:val="22"/>
              </w:rPr>
            </w:pPr>
            <w:r w:rsidRPr="005F6C03">
              <w:rPr>
                <w:color w:val="000000"/>
                <w:sz w:val="22"/>
                <w:szCs w:val="22"/>
              </w:rPr>
              <w:t xml:space="preserve"> $      3,535 </w:t>
            </w:r>
          </w:p>
        </w:tc>
      </w:tr>
      <w:tr w:rsidR="00273380" w:rsidRPr="005F6C03" w14:paraId="180C625D" w14:textId="77777777" w:rsidTr="00273380">
        <w:trPr>
          <w:trHeight w:val="6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46C1022E" w14:textId="77777777" w:rsidR="00101ABD" w:rsidRPr="005F6C03" w:rsidRDefault="00101ABD" w:rsidP="00101ABD">
            <w:pPr>
              <w:rPr>
                <w:color w:val="000000"/>
                <w:sz w:val="22"/>
                <w:szCs w:val="22"/>
              </w:rPr>
            </w:pPr>
            <w:r w:rsidRPr="005F6C03">
              <w:rPr>
                <w:color w:val="000000"/>
                <w:sz w:val="22"/>
                <w:szCs w:val="22"/>
              </w:rPr>
              <w:t xml:space="preserve">Management final review and submittal to EPA  </w:t>
            </w:r>
          </w:p>
        </w:tc>
        <w:tc>
          <w:tcPr>
            <w:tcW w:w="570" w:type="pct"/>
            <w:tcBorders>
              <w:top w:val="nil"/>
              <w:left w:val="nil"/>
              <w:bottom w:val="single" w:sz="8" w:space="0" w:color="auto"/>
              <w:right w:val="single" w:sz="8" w:space="0" w:color="auto"/>
            </w:tcBorders>
            <w:shd w:val="clear" w:color="auto" w:fill="auto"/>
            <w:vAlign w:val="center"/>
            <w:hideMark/>
          </w:tcPr>
          <w:p w14:paraId="757D7E64" w14:textId="77777777" w:rsidR="00101ABD" w:rsidRPr="005F6C03" w:rsidRDefault="00101ABD" w:rsidP="00553EF5">
            <w:pPr>
              <w:jc w:val="center"/>
              <w:rPr>
                <w:color w:val="000000"/>
                <w:sz w:val="22"/>
                <w:szCs w:val="22"/>
              </w:rPr>
            </w:pPr>
            <w:r w:rsidRPr="005F6C03">
              <w:rPr>
                <w:color w:val="000000"/>
                <w:sz w:val="22"/>
                <w:szCs w:val="22"/>
              </w:rPr>
              <w:t>21.5</w:t>
            </w:r>
          </w:p>
        </w:tc>
        <w:tc>
          <w:tcPr>
            <w:tcW w:w="561" w:type="pct"/>
            <w:tcBorders>
              <w:top w:val="nil"/>
              <w:left w:val="nil"/>
              <w:bottom w:val="single" w:sz="8" w:space="0" w:color="auto"/>
              <w:right w:val="single" w:sz="8" w:space="0" w:color="auto"/>
            </w:tcBorders>
            <w:shd w:val="clear" w:color="auto" w:fill="auto"/>
            <w:vAlign w:val="center"/>
            <w:hideMark/>
          </w:tcPr>
          <w:p w14:paraId="6A66C0CE" w14:textId="77777777" w:rsidR="00101ABD" w:rsidRPr="005F6C03" w:rsidRDefault="00101ABD" w:rsidP="00553EF5">
            <w:pPr>
              <w:jc w:val="center"/>
              <w:rPr>
                <w:color w:val="000000"/>
                <w:sz w:val="22"/>
                <w:szCs w:val="22"/>
              </w:rPr>
            </w:pPr>
            <w:r w:rsidRPr="005F6C03">
              <w:rPr>
                <w:color w:val="000000"/>
                <w:sz w:val="22"/>
                <w:szCs w:val="22"/>
              </w:rPr>
              <w:t>1</w:t>
            </w:r>
          </w:p>
        </w:tc>
        <w:tc>
          <w:tcPr>
            <w:tcW w:w="805" w:type="pct"/>
            <w:tcBorders>
              <w:top w:val="nil"/>
              <w:left w:val="nil"/>
              <w:bottom w:val="single" w:sz="8" w:space="0" w:color="auto"/>
              <w:right w:val="single" w:sz="8" w:space="0" w:color="auto"/>
            </w:tcBorders>
            <w:shd w:val="clear" w:color="auto" w:fill="auto"/>
            <w:vAlign w:val="center"/>
            <w:hideMark/>
          </w:tcPr>
          <w:p w14:paraId="02FF900E" w14:textId="77777777" w:rsidR="00101ABD" w:rsidRPr="005F6C03" w:rsidRDefault="00101ABD" w:rsidP="00553EF5">
            <w:pPr>
              <w:jc w:val="center"/>
              <w:rPr>
                <w:color w:val="000000"/>
                <w:sz w:val="22"/>
                <w:szCs w:val="22"/>
              </w:rPr>
            </w:pPr>
            <w:r w:rsidRPr="005F6C03">
              <w:rPr>
                <w:color w:val="000000"/>
                <w:sz w:val="22"/>
                <w:szCs w:val="22"/>
              </w:rPr>
              <w:t>22.5</w:t>
            </w:r>
          </w:p>
        </w:tc>
        <w:tc>
          <w:tcPr>
            <w:tcW w:w="596" w:type="pct"/>
            <w:tcBorders>
              <w:top w:val="nil"/>
              <w:left w:val="nil"/>
              <w:bottom w:val="single" w:sz="8" w:space="0" w:color="auto"/>
              <w:right w:val="single" w:sz="8" w:space="0" w:color="auto"/>
            </w:tcBorders>
            <w:shd w:val="clear" w:color="auto" w:fill="auto"/>
            <w:vAlign w:val="center"/>
            <w:hideMark/>
          </w:tcPr>
          <w:p w14:paraId="21462E2C" w14:textId="77777777" w:rsidR="00101ABD" w:rsidRPr="005F6C03" w:rsidRDefault="00101ABD" w:rsidP="00101ABD">
            <w:pPr>
              <w:jc w:val="both"/>
              <w:rPr>
                <w:color w:val="000000"/>
                <w:sz w:val="22"/>
                <w:szCs w:val="22"/>
              </w:rPr>
            </w:pPr>
            <w:r w:rsidRPr="005F6C03">
              <w:rPr>
                <w:color w:val="000000"/>
                <w:sz w:val="22"/>
                <w:szCs w:val="22"/>
              </w:rPr>
              <w:t xml:space="preserve"> $     1,992 </w:t>
            </w:r>
          </w:p>
        </w:tc>
        <w:tc>
          <w:tcPr>
            <w:tcW w:w="712" w:type="pct"/>
            <w:tcBorders>
              <w:top w:val="nil"/>
              <w:left w:val="nil"/>
              <w:bottom w:val="single" w:sz="8" w:space="0" w:color="auto"/>
              <w:right w:val="single" w:sz="8" w:space="0" w:color="auto"/>
            </w:tcBorders>
            <w:shd w:val="clear" w:color="auto" w:fill="auto"/>
            <w:vAlign w:val="center"/>
            <w:hideMark/>
          </w:tcPr>
          <w:p w14:paraId="1C661399" w14:textId="77777777" w:rsidR="00101ABD" w:rsidRPr="005F6C03" w:rsidRDefault="00101ABD" w:rsidP="00101ABD">
            <w:pPr>
              <w:jc w:val="both"/>
              <w:rPr>
                <w:color w:val="000000"/>
                <w:sz w:val="22"/>
                <w:szCs w:val="22"/>
              </w:rPr>
            </w:pPr>
            <w:r w:rsidRPr="005F6C03">
              <w:rPr>
                <w:color w:val="000000"/>
                <w:sz w:val="22"/>
                <w:szCs w:val="22"/>
              </w:rPr>
              <w:t xml:space="preserve"> $         65 </w:t>
            </w:r>
          </w:p>
        </w:tc>
        <w:tc>
          <w:tcPr>
            <w:tcW w:w="655" w:type="pct"/>
            <w:tcBorders>
              <w:top w:val="nil"/>
              <w:left w:val="nil"/>
              <w:bottom w:val="single" w:sz="8" w:space="0" w:color="auto"/>
              <w:right w:val="single" w:sz="8" w:space="0" w:color="auto"/>
            </w:tcBorders>
            <w:shd w:val="clear" w:color="auto" w:fill="auto"/>
            <w:vAlign w:val="center"/>
            <w:hideMark/>
          </w:tcPr>
          <w:p w14:paraId="130A9540" w14:textId="77777777" w:rsidR="00101ABD" w:rsidRPr="005F6C03" w:rsidRDefault="00101ABD" w:rsidP="00101ABD">
            <w:pPr>
              <w:jc w:val="both"/>
              <w:rPr>
                <w:color w:val="000000"/>
                <w:sz w:val="22"/>
                <w:szCs w:val="22"/>
              </w:rPr>
            </w:pPr>
            <w:r w:rsidRPr="005F6C03">
              <w:rPr>
                <w:color w:val="000000"/>
                <w:sz w:val="22"/>
                <w:szCs w:val="22"/>
              </w:rPr>
              <w:t xml:space="preserve"> $      2,057 </w:t>
            </w:r>
          </w:p>
        </w:tc>
      </w:tr>
      <w:tr w:rsidR="00273380" w:rsidRPr="005F6C03" w14:paraId="1D0D3FAD" w14:textId="77777777" w:rsidTr="00273380">
        <w:trPr>
          <w:trHeight w:val="315"/>
        </w:trPr>
        <w:tc>
          <w:tcPr>
            <w:tcW w:w="1101" w:type="pct"/>
            <w:tcBorders>
              <w:top w:val="nil"/>
              <w:left w:val="single" w:sz="8" w:space="0" w:color="auto"/>
              <w:bottom w:val="single" w:sz="8" w:space="0" w:color="auto"/>
              <w:right w:val="single" w:sz="8" w:space="0" w:color="auto"/>
            </w:tcBorders>
            <w:shd w:val="clear" w:color="auto" w:fill="auto"/>
            <w:vAlign w:val="center"/>
            <w:hideMark/>
          </w:tcPr>
          <w:p w14:paraId="2E264069" w14:textId="77777777" w:rsidR="00101ABD" w:rsidRPr="005F6C03" w:rsidRDefault="00101ABD" w:rsidP="00101ABD">
            <w:pPr>
              <w:rPr>
                <w:color w:val="000000"/>
                <w:sz w:val="22"/>
                <w:szCs w:val="22"/>
              </w:rPr>
            </w:pPr>
            <w:r w:rsidRPr="005F6C03">
              <w:rPr>
                <w:color w:val="000000"/>
                <w:sz w:val="22"/>
                <w:szCs w:val="22"/>
              </w:rPr>
              <w:t>File Template report (record keeping)</w:t>
            </w:r>
          </w:p>
        </w:tc>
        <w:tc>
          <w:tcPr>
            <w:tcW w:w="570" w:type="pct"/>
            <w:tcBorders>
              <w:top w:val="nil"/>
              <w:left w:val="nil"/>
              <w:bottom w:val="single" w:sz="8" w:space="0" w:color="auto"/>
              <w:right w:val="single" w:sz="8" w:space="0" w:color="auto"/>
            </w:tcBorders>
            <w:shd w:val="clear" w:color="auto" w:fill="auto"/>
            <w:vAlign w:val="center"/>
            <w:hideMark/>
          </w:tcPr>
          <w:p w14:paraId="0C81BF95" w14:textId="77777777" w:rsidR="00101ABD" w:rsidRPr="005F6C03" w:rsidRDefault="00101ABD" w:rsidP="00553EF5">
            <w:pPr>
              <w:jc w:val="center"/>
              <w:rPr>
                <w:color w:val="000000"/>
                <w:sz w:val="22"/>
                <w:szCs w:val="22"/>
              </w:rPr>
            </w:pPr>
            <w:r w:rsidRPr="005F6C03">
              <w:rPr>
                <w:color w:val="000000"/>
                <w:sz w:val="22"/>
                <w:szCs w:val="22"/>
              </w:rPr>
              <w:t>1.25</w:t>
            </w:r>
          </w:p>
        </w:tc>
        <w:tc>
          <w:tcPr>
            <w:tcW w:w="561" w:type="pct"/>
            <w:tcBorders>
              <w:top w:val="nil"/>
              <w:left w:val="nil"/>
              <w:bottom w:val="single" w:sz="8" w:space="0" w:color="auto"/>
              <w:right w:val="single" w:sz="8" w:space="0" w:color="auto"/>
            </w:tcBorders>
            <w:shd w:val="clear" w:color="auto" w:fill="auto"/>
            <w:vAlign w:val="center"/>
            <w:hideMark/>
          </w:tcPr>
          <w:p w14:paraId="689F7CE3" w14:textId="77777777" w:rsidR="00101ABD" w:rsidRPr="005F6C03" w:rsidRDefault="00101ABD" w:rsidP="00553EF5">
            <w:pPr>
              <w:jc w:val="center"/>
              <w:rPr>
                <w:color w:val="000000"/>
                <w:sz w:val="22"/>
                <w:szCs w:val="22"/>
              </w:rPr>
            </w:pPr>
            <w:r w:rsidRPr="005F6C03">
              <w:rPr>
                <w:color w:val="000000"/>
                <w:sz w:val="22"/>
                <w:szCs w:val="22"/>
              </w:rPr>
              <w:t>4.5</w:t>
            </w:r>
          </w:p>
        </w:tc>
        <w:tc>
          <w:tcPr>
            <w:tcW w:w="805" w:type="pct"/>
            <w:tcBorders>
              <w:top w:val="nil"/>
              <w:left w:val="nil"/>
              <w:bottom w:val="single" w:sz="8" w:space="0" w:color="auto"/>
              <w:right w:val="single" w:sz="8" w:space="0" w:color="auto"/>
            </w:tcBorders>
            <w:shd w:val="clear" w:color="auto" w:fill="auto"/>
            <w:vAlign w:val="center"/>
            <w:hideMark/>
          </w:tcPr>
          <w:p w14:paraId="4986EE6D" w14:textId="77777777" w:rsidR="00101ABD" w:rsidRPr="005F6C03" w:rsidRDefault="00101ABD" w:rsidP="00553EF5">
            <w:pPr>
              <w:jc w:val="center"/>
              <w:rPr>
                <w:color w:val="000000"/>
                <w:sz w:val="22"/>
                <w:szCs w:val="22"/>
              </w:rPr>
            </w:pPr>
            <w:r w:rsidRPr="005F6C03">
              <w:rPr>
                <w:color w:val="000000"/>
                <w:sz w:val="22"/>
                <w:szCs w:val="22"/>
              </w:rPr>
              <w:t>5.75</w:t>
            </w:r>
          </w:p>
        </w:tc>
        <w:tc>
          <w:tcPr>
            <w:tcW w:w="596" w:type="pct"/>
            <w:tcBorders>
              <w:top w:val="nil"/>
              <w:left w:val="nil"/>
              <w:bottom w:val="single" w:sz="8" w:space="0" w:color="auto"/>
              <w:right w:val="single" w:sz="8" w:space="0" w:color="auto"/>
            </w:tcBorders>
            <w:shd w:val="clear" w:color="auto" w:fill="auto"/>
            <w:vAlign w:val="center"/>
            <w:hideMark/>
          </w:tcPr>
          <w:p w14:paraId="58759CE5" w14:textId="77777777" w:rsidR="00101ABD" w:rsidRPr="005F6C03" w:rsidRDefault="00101ABD" w:rsidP="00101ABD">
            <w:pPr>
              <w:jc w:val="both"/>
              <w:rPr>
                <w:color w:val="000000"/>
                <w:sz w:val="22"/>
                <w:szCs w:val="22"/>
              </w:rPr>
            </w:pPr>
            <w:r w:rsidRPr="005F6C03">
              <w:rPr>
                <w:color w:val="000000"/>
                <w:sz w:val="22"/>
                <w:szCs w:val="22"/>
              </w:rPr>
              <w:t xml:space="preserve"> $       116 </w:t>
            </w:r>
          </w:p>
        </w:tc>
        <w:tc>
          <w:tcPr>
            <w:tcW w:w="712" w:type="pct"/>
            <w:tcBorders>
              <w:top w:val="nil"/>
              <w:left w:val="nil"/>
              <w:bottom w:val="single" w:sz="8" w:space="0" w:color="auto"/>
              <w:right w:val="single" w:sz="8" w:space="0" w:color="auto"/>
            </w:tcBorders>
            <w:shd w:val="clear" w:color="auto" w:fill="auto"/>
            <w:vAlign w:val="center"/>
            <w:hideMark/>
          </w:tcPr>
          <w:p w14:paraId="3310DA1B" w14:textId="77777777" w:rsidR="00101ABD" w:rsidRPr="005F6C03" w:rsidRDefault="00101ABD" w:rsidP="00101ABD">
            <w:pPr>
              <w:jc w:val="both"/>
              <w:rPr>
                <w:color w:val="000000"/>
                <w:sz w:val="22"/>
                <w:szCs w:val="22"/>
              </w:rPr>
            </w:pPr>
            <w:r w:rsidRPr="005F6C03">
              <w:rPr>
                <w:color w:val="000000"/>
                <w:sz w:val="22"/>
                <w:szCs w:val="22"/>
              </w:rPr>
              <w:t xml:space="preserve"> $       292 </w:t>
            </w:r>
          </w:p>
        </w:tc>
        <w:tc>
          <w:tcPr>
            <w:tcW w:w="655" w:type="pct"/>
            <w:tcBorders>
              <w:top w:val="nil"/>
              <w:left w:val="nil"/>
              <w:bottom w:val="single" w:sz="8" w:space="0" w:color="auto"/>
              <w:right w:val="single" w:sz="8" w:space="0" w:color="auto"/>
            </w:tcBorders>
            <w:shd w:val="clear" w:color="auto" w:fill="auto"/>
            <w:vAlign w:val="center"/>
            <w:hideMark/>
          </w:tcPr>
          <w:p w14:paraId="288BFA47" w14:textId="77777777" w:rsidR="00101ABD" w:rsidRPr="005F6C03" w:rsidRDefault="00101ABD" w:rsidP="00101ABD">
            <w:pPr>
              <w:jc w:val="both"/>
              <w:rPr>
                <w:color w:val="000000"/>
                <w:sz w:val="22"/>
                <w:szCs w:val="22"/>
              </w:rPr>
            </w:pPr>
            <w:r w:rsidRPr="005F6C03">
              <w:rPr>
                <w:color w:val="000000"/>
                <w:sz w:val="22"/>
                <w:szCs w:val="22"/>
              </w:rPr>
              <w:t xml:space="preserve"> $         408 </w:t>
            </w:r>
          </w:p>
        </w:tc>
      </w:tr>
      <w:tr w:rsidR="00273380" w:rsidRPr="005F6C03" w14:paraId="76A1565E" w14:textId="77777777" w:rsidTr="00273380">
        <w:trPr>
          <w:trHeight w:val="315"/>
        </w:trPr>
        <w:tc>
          <w:tcPr>
            <w:tcW w:w="1101" w:type="pct"/>
            <w:tcBorders>
              <w:top w:val="nil"/>
              <w:left w:val="single" w:sz="8" w:space="0" w:color="auto"/>
              <w:bottom w:val="single" w:sz="8" w:space="0" w:color="auto"/>
              <w:right w:val="single" w:sz="8" w:space="0" w:color="auto"/>
            </w:tcBorders>
            <w:shd w:val="clear" w:color="000000" w:fill="FFE599"/>
            <w:vAlign w:val="center"/>
            <w:hideMark/>
          </w:tcPr>
          <w:p w14:paraId="20508712" w14:textId="77777777" w:rsidR="00101ABD" w:rsidRPr="005F6C03" w:rsidRDefault="00101ABD" w:rsidP="00101ABD">
            <w:pPr>
              <w:rPr>
                <w:b/>
                <w:bCs/>
                <w:color w:val="000000"/>
                <w:sz w:val="22"/>
                <w:szCs w:val="22"/>
              </w:rPr>
            </w:pPr>
            <w:r w:rsidRPr="005F6C03">
              <w:rPr>
                <w:b/>
                <w:bCs/>
                <w:color w:val="000000"/>
                <w:sz w:val="22"/>
                <w:szCs w:val="22"/>
              </w:rPr>
              <w:t xml:space="preserve">Total (per </w:t>
            </w:r>
            <w:r w:rsidRPr="005F6C03">
              <w:rPr>
                <w:b/>
                <w:color w:val="000000"/>
                <w:sz w:val="22"/>
                <w:szCs w:val="22"/>
              </w:rPr>
              <w:t>Template</w:t>
            </w:r>
            <w:r w:rsidRPr="005F6C03">
              <w:rPr>
                <w:b/>
                <w:bCs/>
                <w:color w:val="000000"/>
                <w:sz w:val="22"/>
                <w:szCs w:val="22"/>
              </w:rPr>
              <w:t xml:space="preserve">) </w:t>
            </w:r>
          </w:p>
        </w:tc>
        <w:tc>
          <w:tcPr>
            <w:tcW w:w="570" w:type="pct"/>
            <w:tcBorders>
              <w:top w:val="nil"/>
              <w:left w:val="nil"/>
              <w:bottom w:val="single" w:sz="8" w:space="0" w:color="auto"/>
              <w:right w:val="single" w:sz="8" w:space="0" w:color="auto"/>
            </w:tcBorders>
            <w:shd w:val="clear" w:color="000000" w:fill="FFE599"/>
            <w:vAlign w:val="center"/>
            <w:hideMark/>
          </w:tcPr>
          <w:p w14:paraId="4C5A925C" w14:textId="7DCCADE3" w:rsidR="00101ABD" w:rsidRPr="005F6C03" w:rsidRDefault="00101ABD" w:rsidP="00553EF5">
            <w:pPr>
              <w:jc w:val="center"/>
              <w:rPr>
                <w:b/>
                <w:bCs/>
                <w:color w:val="000000"/>
                <w:sz w:val="22"/>
                <w:szCs w:val="22"/>
              </w:rPr>
            </w:pPr>
            <w:r w:rsidRPr="005F6C03">
              <w:rPr>
                <w:b/>
                <w:bCs/>
                <w:color w:val="000000"/>
                <w:sz w:val="22"/>
                <w:szCs w:val="22"/>
              </w:rPr>
              <w:t>178.90</w:t>
            </w:r>
          </w:p>
        </w:tc>
        <w:tc>
          <w:tcPr>
            <w:tcW w:w="561" w:type="pct"/>
            <w:tcBorders>
              <w:top w:val="nil"/>
              <w:left w:val="nil"/>
              <w:bottom w:val="single" w:sz="8" w:space="0" w:color="auto"/>
              <w:right w:val="single" w:sz="8" w:space="0" w:color="auto"/>
            </w:tcBorders>
            <w:shd w:val="clear" w:color="000000" w:fill="FFE599"/>
            <w:vAlign w:val="center"/>
            <w:hideMark/>
          </w:tcPr>
          <w:p w14:paraId="49AD9E93" w14:textId="6B6AAD6A" w:rsidR="00101ABD" w:rsidRPr="005F6C03" w:rsidRDefault="00101ABD" w:rsidP="00553EF5">
            <w:pPr>
              <w:jc w:val="center"/>
              <w:rPr>
                <w:b/>
                <w:bCs/>
                <w:color w:val="000000"/>
                <w:sz w:val="22"/>
                <w:szCs w:val="22"/>
              </w:rPr>
            </w:pPr>
            <w:r w:rsidRPr="005F6C03">
              <w:rPr>
                <w:b/>
                <w:bCs/>
                <w:color w:val="000000"/>
                <w:sz w:val="22"/>
                <w:szCs w:val="22"/>
              </w:rPr>
              <w:t>144.50</w:t>
            </w:r>
          </w:p>
        </w:tc>
        <w:tc>
          <w:tcPr>
            <w:tcW w:w="805" w:type="pct"/>
            <w:tcBorders>
              <w:top w:val="nil"/>
              <w:left w:val="nil"/>
              <w:bottom w:val="single" w:sz="8" w:space="0" w:color="auto"/>
              <w:right w:val="single" w:sz="8" w:space="0" w:color="auto"/>
            </w:tcBorders>
            <w:shd w:val="clear" w:color="000000" w:fill="FFE599"/>
            <w:vAlign w:val="center"/>
            <w:hideMark/>
          </w:tcPr>
          <w:p w14:paraId="24A94E5D" w14:textId="69AA2711" w:rsidR="00101ABD" w:rsidRPr="005F6C03" w:rsidRDefault="00101ABD" w:rsidP="00553EF5">
            <w:pPr>
              <w:jc w:val="center"/>
              <w:rPr>
                <w:b/>
                <w:bCs/>
                <w:i/>
                <w:color w:val="000000"/>
                <w:sz w:val="22"/>
                <w:szCs w:val="22"/>
              </w:rPr>
            </w:pPr>
            <w:r w:rsidRPr="005F6C03">
              <w:rPr>
                <w:b/>
                <w:bCs/>
                <w:i/>
                <w:color w:val="000000"/>
                <w:sz w:val="22"/>
                <w:szCs w:val="22"/>
              </w:rPr>
              <w:t>323.40</w:t>
            </w:r>
          </w:p>
        </w:tc>
        <w:tc>
          <w:tcPr>
            <w:tcW w:w="596" w:type="pct"/>
            <w:tcBorders>
              <w:top w:val="nil"/>
              <w:left w:val="nil"/>
              <w:bottom w:val="single" w:sz="8" w:space="0" w:color="auto"/>
              <w:right w:val="single" w:sz="8" w:space="0" w:color="auto"/>
            </w:tcBorders>
            <w:shd w:val="clear" w:color="000000" w:fill="FFE599"/>
            <w:vAlign w:val="center"/>
            <w:hideMark/>
          </w:tcPr>
          <w:p w14:paraId="0E2FFAEA" w14:textId="77777777" w:rsidR="00101ABD" w:rsidRPr="005F6C03" w:rsidRDefault="00101ABD" w:rsidP="00101ABD">
            <w:pPr>
              <w:jc w:val="both"/>
              <w:rPr>
                <w:b/>
                <w:bCs/>
                <w:color w:val="000000"/>
                <w:sz w:val="22"/>
                <w:szCs w:val="22"/>
              </w:rPr>
            </w:pPr>
            <w:r w:rsidRPr="005F6C03">
              <w:rPr>
                <w:b/>
                <w:bCs/>
                <w:color w:val="000000"/>
                <w:sz w:val="22"/>
                <w:szCs w:val="22"/>
              </w:rPr>
              <w:t xml:space="preserve"> $   16,575 </w:t>
            </w:r>
          </w:p>
        </w:tc>
        <w:tc>
          <w:tcPr>
            <w:tcW w:w="712" w:type="pct"/>
            <w:tcBorders>
              <w:top w:val="nil"/>
              <w:left w:val="nil"/>
              <w:bottom w:val="single" w:sz="8" w:space="0" w:color="auto"/>
              <w:right w:val="single" w:sz="8" w:space="0" w:color="auto"/>
            </w:tcBorders>
            <w:shd w:val="clear" w:color="000000" w:fill="FFE599"/>
            <w:vAlign w:val="center"/>
            <w:hideMark/>
          </w:tcPr>
          <w:p w14:paraId="61B98E2A" w14:textId="77777777" w:rsidR="00101ABD" w:rsidRPr="005F6C03" w:rsidRDefault="00101ABD" w:rsidP="00101ABD">
            <w:pPr>
              <w:jc w:val="both"/>
              <w:rPr>
                <w:b/>
                <w:bCs/>
                <w:color w:val="000000"/>
                <w:sz w:val="22"/>
                <w:szCs w:val="22"/>
              </w:rPr>
            </w:pPr>
            <w:r w:rsidRPr="005F6C03">
              <w:rPr>
                <w:b/>
                <w:bCs/>
                <w:color w:val="000000"/>
                <w:sz w:val="22"/>
                <w:szCs w:val="22"/>
              </w:rPr>
              <w:t xml:space="preserve"> $    9,378 </w:t>
            </w:r>
          </w:p>
        </w:tc>
        <w:tc>
          <w:tcPr>
            <w:tcW w:w="655" w:type="pct"/>
            <w:tcBorders>
              <w:top w:val="nil"/>
              <w:left w:val="nil"/>
              <w:bottom w:val="single" w:sz="8" w:space="0" w:color="auto"/>
              <w:right w:val="single" w:sz="8" w:space="0" w:color="auto"/>
            </w:tcBorders>
            <w:shd w:val="clear" w:color="000000" w:fill="FFE599"/>
            <w:vAlign w:val="center"/>
            <w:hideMark/>
          </w:tcPr>
          <w:p w14:paraId="268FD313" w14:textId="390109EF" w:rsidR="00101ABD" w:rsidRPr="005F6C03" w:rsidRDefault="00101ABD" w:rsidP="00101ABD">
            <w:pPr>
              <w:jc w:val="both"/>
              <w:rPr>
                <w:b/>
                <w:bCs/>
                <w:i/>
                <w:color w:val="000000"/>
                <w:sz w:val="22"/>
                <w:szCs w:val="22"/>
              </w:rPr>
            </w:pPr>
            <w:r w:rsidRPr="005F6C03">
              <w:rPr>
                <w:b/>
                <w:bCs/>
                <w:color w:val="000000"/>
                <w:sz w:val="22"/>
                <w:szCs w:val="22"/>
              </w:rPr>
              <w:t xml:space="preserve"> </w:t>
            </w:r>
            <w:r w:rsidRPr="005F6C03">
              <w:rPr>
                <w:b/>
                <w:bCs/>
                <w:i/>
                <w:color w:val="000000"/>
                <w:sz w:val="22"/>
                <w:szCs w:val="22"/>
              </w:rPr>
              <w:t>$    25,953</w:t>
            </w:r>
          </w:p>
        </w:tc>
      </w:tr>
    </w:tbl>
    <w:p w14:paraId="267B4584" w14:textId="77777777" w:rsidR="00101ABD" w:rsidRPr="005F6C03" w:rsidRDefault="00101ABD" w:rsidP="00101ABD">
      <w:pPr>
        <w:pStyle w:val="FootnoteText"/>
      </w:pPr>
      <w:r w:rsidRPr="005F6C03">
        <w:t xml:space="preserve">Numbers may not add due to rounding. </w:t>
      </w:r>
    </w:p>
    <w:p w14:paraId="6226AC0C" w14:textId="77777777" w:rsidR="00101ABD" w:rsidRPr="005F6C03" w:rsidRDefault="00101ABD" w:rsidP="00101ABD">
      <w:pPr>
        <w:rPr>
          <w:rFonts w:eastAsiaTheme="minorHAnsi"/>
          <w:sz w:val="22"/>
          <w:szCs w:val="22"/>
        </w:rPr>
      </w:pPr>
      <w:r w:rsidRPr="005F6C03">
        <w:rPr>
          <w:color w:val="000000"/>
          <w:sz w:val="22"/>
          <w:szCs w:val="22"/>
          <w:vertAlign w:val="superscript"/>
        </w:rPr>
        <w:t>1</w:t>
      </w:r>
      <w:r w:rsidRPr="005F6C03">
        <w:rPr>
          <w:color w:val="000000"/>
          <w:sz w:val="22"/>
          <w:szCs w:val="22"/>
        </w:rPr>
        <w:t xml:space="preserve"> Includes time spent in consultation with EPA to help the grantee with this process. </w:t>
      </w:r>
    </w:p>
    <w:p w14:paraId="00A33310" w14:textId="77777777" w:rsidR="00101ABD" w:rsidRPr="005F6C03" w:rsidRDefault="00101ABD" w:rsidP="00101ABD">
      <w:pPr>
        <w:keepNext/>
        <w:keepLines/>
        <w:spacing w:before="40"/>
        <w:outlineLvl w:val="1"/>
        <w:rPr>
          <w:rFonts w:eastAsiaTheme="majorEastAsia"/>
          <w:color w:val="2E74B5" w:themeColor="accent1" w:themeShade="BF"/>
          <w:sz w:val="26"/>
          <w:szCs w:val="26"/>
        </w:rPr>
      </w:pPr>
    </w:p>
    <w:p w14:paraId="0FEA931B" w14:textId="77777777" w:rsidR="00101ABD" w:rsidRPr="005F6C03" w:rsidRDefault="00101ABD" w:rsidP="00101ABD">
      <w:pPr>
        <w:keepNext/>
        <w:keepLines/>
        <w:spacing w:before="40"/>
        <w:outlineLvl w:val="1"/>
        <w:rPr>
          <w:rFonts w:eastAsiaTheme="majorEastAsia"/>
          <w:color w:val="2E74B5" w:themeColor="accent1" w:themeShade="BF"/>
          <w:sz w:val="26"/>
          <w:szCs w:val="26"/>
        </w:rPr>
      </w:pPr>
      <w:r w:rsidRPr="005F6C03">
        <w:rPr>
          <w:rFonts w:eastAsiaTheme="majorEastAsia"/>
          <w:color w:val="2E74B5" w:themeColor="accent1" w:themeShade="BF"/>
          <w:sz w:val="26"/>
          <w:szCs w:val="26"/>
        </w:rPr>
        <w:t xml:space="preserve">6(b).  Estimating Agency Burden and Costs. </w:t>
      </w:r>
    </w:p>
    <w:p w14:paraId="351A1F51" w14:textId="3A60C07A" w:rsidR="00101ABD" w:rsidRPr="005F6C03" w:rsidRDefault="00101ABD" w:rsidP="00101ABD">
      <w:pPr>
        <w:spacing w:after="160" w:line="259" w:lineRule="auto"/>
        <w:rPr>
          <w:strike/>
        </w:rPr>
      </w:pPr>
      <w:r w:rsidRPr="005F6C03">
        <w:t xml:space="preserve">To calculate the Agency burden, in 2014 EPA surveyed its Regional offices. The estimated average annual Agency burden hours is 498.3 to assist and process all the annual paperwork for STAG grantees. The program is implemented in 10 EPA regional offices. A regional office may oversee one or more STAG grants within the region. Wage rates reflect the average hourly wage rate estimate provide by the Bureau of Labor Statistics for the North American Industry Classification System (NAICS) code for the federal government (NAICS code 999100). Similar to the respondent labor cost data, 2017 BLS base data is used. </w:t>
      </w:r>
      <w:r w:rsidR="00273380" w:rsidRPr="005F6C03">
        <w:t xml:space="preserve">The unloaded wage rates from BLS are $59.10, $38.92, and $21.93 per hour for managerial, technical, and clerical labor hour costs, respectively. </w:t>
      </w:r>
      <w:r w:rsidRPr="005F6C03">
        <w:t xml:space="preserve">The fully loaded wage rates used to calculate the Agency labor costs for this renewal are $129.84, $85.51, and $48.18 per hour for managerial, technical, and clerical labor hour costs, respectively. </w:t>
      </w:r>
      <w:r w:rsidR="00273380" w:rsidRPr="005F6C03">
        <w:t xml:space="preserve">Please see section 6(a) for details on how fully loaded wages are calculated. </w:t>
      </w:r>
    </w:p>
    <w:p w14:paraId="463047B8" w14:textId="77777777" w:rsidR="00101ABD" w:rsidRPr="005F6C03" w:rsidRDefault="00101ABD" w:rsidP="00101ABD">
      <w:r w:rsidRPr="005F6C03">
        <w:t>The total estimated Agency burden hours (per grantee) per Template is 498.3. The total estimated Agency burden cost (per grantee) per Template is $44,253. Since there is only one Template per grantee, the total number of Templates is the same, 81. The total annual Agency burden hours is 40,362 (323.40 X 81 Grantees/ Templates). The total annual Agency burden cost is $3,584,515 ($25,953 X 81 Grantees/ Templates).</w:t>
      </w:r>
    </w:p>
    <w:p w14:paraId="453C4582" w14:textId="77777777" w:rsidR="00101ABD" w:rsidRPr="005F6C03" w:rsidRDefault="00101ABD" w:rsidP="00101ABD">
      <w:pPr>
        <w:rPr>
          <w:b/>
        </w:rPr>
      </w:pPr>
      <w:r w:rsidRPr="005F6C03">
        <w:rPr>
          <w:b/>
        </w:rPr>
        <w:tab/>
      </w:r>
    </w:p>
    <w:p w14:paraId="34435E59" w14:textId="77777777" w:rsidR="00101ABD" w:rsidRPr="005F6C03" w:rsidRDefault="00101ABD" w:rsidP="00101ABD">
      <w:pPr>
        <w:widowControl w:val="0"/>
        <w:rPr>
          <w:b/>
        </w:rPr>
      </w:pPr>
      <w:r w:rsidRPr="005F6C03">
        <w:rPr>
          <w:b/>
        </w:rPr>
        <w:t xml:space="preserve">Table 2 - Agency </w:t>
      </w:r>
      <w:r w:rsidRPr="005F6C03">
        <w:rPr>
          <w:rFonts w:eastAsiaTheme="minorHAnsi"/>
          <w:b/>
        </w:rPr>
        <w:t xml:space="preserve">Annual Average Burden Hour and Cost Estimate “per </w:t>
      </w:r>
      <w:r w:rsidRPr="005F6C03">
        <w:rPr>
          <w:b/>
        </w:rPr>
        <w:t>Template</w:t>
      </w:r>
      <w:r w:rsidRPr="005F6C03">
        <w:rPr>
          <w:rFonts w:eastAsiaTheme="minorHAnsi"/>
          <w:b/>
        </w:rPr>
        <w:t xml:space="preserve">” </w:t>
      </w:r>
    </w:p>
    <w:p w14:paraId="1787592C" w14:textId="77777777" w:rsidR="00101ABD" w:rsidRPr="005F6C03" w:rsidRDefault="00101ABD" w:rsidP="00101ABD">
      <w:pPr>
        <w:rPr>
          <w:b/>
        </w:rPr>
      </w:pPr>
    </w:p>
    <w:tbl>
      <w:tblPr>
        <w:tblW w:w="10350" w:type="dxa"/>
        <w:tblInd w:w="-5" w:type="dxa"/>
        <w:tblLayout w:type="fixed"/>
        <w:tblLook w:val="04A0" w:firstRow="1" w:lastRow="0" w:firstColumn="1" w:lastColumn="0" w:noHBand="0" w:noVBand="1"/>
      </w:tblPr>
      <w:tblGrid>
        <w:gridCol w:w="3330"/>
        <w:gridCol w:w="630"/>
        <w:gridCol w:w="1077"/>
        <w:gridCol w:w="666"/>
        <w:gridCol w:w="1022"/>
        <w:gridCol w:w="655"/>
        <w:gridCol w:w="1080"/>
        <w:gridCol w:w="900"/>
        <w:gridCol w:w="990"/>
      </w:tblGrid>
      <w:tr w:rsidR="00101ABD" w:rsidRPr="005F6C03" w14:paraId="7E2838B8" w14:textId="77777777" w:rsidTr="00553EF5">
        <w:trPr>
          <w:trHeight w:val="300"/>
        </w:trPr>
        <w:tc>
          <w:tcPr>
            <w:tcW w:w="333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74A27C" w14:textId="77777777" w:rsidR="00101ABD" w:rsidRPr="005F6C03" w:rsidRDefault="00101ABD" w:rsidP="00101ABD">
            <w:pPr>
              <w:jc w:val="center"/>
              <w:rPr>
                <w:b/>
                <w:bCs/>
                <w:color w:val="000000"/>
                <w:sz w:val="20"/>
                <w:szCs w:val="22"/>
              </w:rPr>
            </w:pPr>
            <w:r w:rsidRPr="005F6C03">
              <w:rPr>
                <w:b/>
                <w:bCs/>
                <w:color w:val="000000"/>
                <w:sz w:val="20"/>
                <w:szCs w:val="22"/>
              </w:rPr>
              <w:t>Activity  </w:t>
            </w:r>
          </w:p>
        </w:tc>
        <w:tc>
          <w:tcPr>
            <w:tcW w:w="1707"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B8A3D0D" w14:textId="77777777" w:rsidR="00101ABD" w:rsidRPr="005F6C03" w:rsidRDefault="00101ABD" w:rsidP="00101ABD">
            <w:pPr>
              <w:jc w:val="center"/>
              <w:rPr>
                <w:b/>
                <w:bCs/>
                <w:color w:val="000000"/>
                <w:sz w:val="20"/>
                <w:szCs w:val="22"/>
              </w:rPr>
            </w:pPr>
            <w:r w:rsidRPr="005F6C03">
              <w:rPr>
                <w:b/>
                <w:bCs/>
                <w:color w:val="000000"/>
                <w:sz w:val="20"/>
                <w:szCs w:val="22"/>
              </w:rPr>
              <w:t>Manager</w:t>
            </w:r>
          </w:p>
        </w:tc>
        <w:tc>
          <w:tcPr>
            <w:tcW w:w="1688"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154D293" w14:textId="77777777" w:rsidR="00101ABD" w:rsidRPr="005F6C03" w:rsidRDefault="00101ABD" w:rsidP="00101ABD">
            <w:pPr>
              <w:jc w:val="center"/>
              <w:rPr>
                <w:b/>
                <w:bCs/>
                <w:color w:val="000000"/>
                <w:sz w:val="20"/>
                <w:szCs w:val="22"/>
              </w:rPr>
            </w:pPr>
            <w:r w:rsidRPr="005F6C03">
              <w:rPr>
                <w:b/>
                <w:bCs/>
                <w:color w:val="000000"/>
                <w:sz w:val="20"/>
                <w:szCs w:val="22"/>
              </w:rPr>
              <w:t>Technical</w:t>
            </w:r>
          </w:p>
        </w:tc>
        <w:tc>
          <w:tcPr>
            <w:tcW w:w="1735"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E1F0361" w14:textId="77777777" w:rsidR="00101ABD" w:rsidRPr="005F6C03" w:rsidRDefault="00101ABD" w:rsidP="00101ABD">
            <w:pPr>
              <w:jc w:val="center"/>
              <w:rPr>
                <w:b/>
                <w:bCs/>
                <w:color w:val="000000"/>
                <w:sz w:val="20"/>
                <w:szCs w:val="22"/>
              </w:rPr>
            </w:pPr>
            <w:r w:rsidRPr="005F6C03">
              <w:rPr>
                <w:b/>
                <w:bCs/>
                <w:color w:val="000000"/>
                <w:sz w:val="20"/>
                <w:szCs w:val="22"/>
              </w:rPr>
              <w:t>Clerical</w:t>
            </w:r>
          </w:p>
        </w:tc>
        <w:tc>
          <w:tcPr>
            <w:tcW w:w="1890"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6D18000" w14:textId="77777777" w:rsidR="00101ABD" w:rsidRPr="005F6C03" w:rsidRDefault="00101ABD" w:rsidP="00101ABD">
            <w:pPr>
              <w:jc w:val="center"/>
              <w:rPr>
                <w:b/>
                <w:bCs/>
                <w:color w:val="000000"/>
                <w:sz w:val="20"/>
                <w:szCs w:val="22"/>
              </w:rPr>
            </w:pPr>
            <w:r w:rsidRPr="005F6C03">
              <w:rPr>
                <w:b/>
                <w:bCs/>
                <w:color w:val="000000"/>
                <w:sz w:val="20"/>
                <w:szCs w:val="22"/>
              </w:rPr>
              <w:t xml:space="preserve">Totals </w:t>
            </w:r>
          </w:p>
        </w:tc>
      </w:tr>
      <w:tr w:rsidR="00101ABD" w:rsidRPr="005F6C03" w14:paraId="1BB26911" w14:textId="77777777" w:rsidTr="00553EF5">
        <w:trPr>
          <w:trHeight w:val="300"/>
        </w:trPr>
        <w:tc>
          <w:tcPr>
            <w:tcW w:w="333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14D7F0" w14:textId="77777777" w:rsidR="00101ABD" w:rsidRPr="005F6C03" w:rsidRDefault="00101ABD" w:rsidP="00101ABD">
            <w:pPr>
              <w:rPr>
                <w:b/>
                <w:bCs/>
                <w:color w:val="000000"/>
                <w:sz w:val="20"/>
                <w:szCs w:val="22"/>
              </w:rPr>
            </w:pPr>
          </w:p>
        </w:tc>
        <w:tc>
          <w:tcPr>
            <w:tcW w:w="630" w:type="dxa"/>
            <w:tcBorders>
              <w:top w:val="nil"/>
              <w:left w:val="nil"/>
              <w:bottom w:val="single" w:sz="4" w:space="0" w:color="auto"/>
              <w:right w:val="single" w:sz="4" w:space="0" w:color="auto"/>
            </w:tcBorders>
            <w:shd w:val="clear" w:color="auto" w:fill="BDD6EE" w:themeFill="accent1" w:themeFillTint="66"/>
            <w:vAlign w:val="center"/>
            <w:hideMark/>
          </w:tcPr>
          <w:p w14:paraId="02ACFE03" w14:textId="77777777" w:rsidR="00101ABD" w:rsidRPr="005F6C03" w:rsidRDefault="00101ABD" w:rsidP="00101ABD">
            <w:pPr>
              <w:jc w:val="center"/>
              <w:rPr>
                <w:b/>
                <w:color w:val="000000"/>
                <w:sz w:val="20"/>
                <w:szCs w:val="22"/>
              </w:rPr>
            </w:pPr>
            <w:r w:rsidRPr="005F6C03">
              <w:rPr>
                <w:b/>
                <w:color w:val="000000"/>
                <w:sz w:val="20"/>
                <w:szCs w:val="22"/>
              </w:rPr>
              <w:t>Hrs.</w:t>
            </w:r>
          </w:p>
        </w:tc>
        <w:tc>
          <w:tcPr>
            <w:tcW w:w="1077" w:type="dxa"/>
            <w:tcBorders>
              <w:top w:val="nil"/>
              <w:left w:val="nil"/>
              <w:bottom w:val="single" w:sz="4" w:space="0" w:color="auto"/>
              <w:right w:val="single" w:sz="4" w:space="0" w:color="auto"/>
            </w:tcBorders>
            <w:shd w:val="clear" w:color="auto" w:fill="BDD6EE" w:themeFill="accent1" w:themeFillTint="66"/>
            <w:vAlign w:val="center"/>
            <w:hideMark/>
          </w:tcPr>
          <w:p w14:paraId="41997B2D" w14:textId="2CC4D739" w:rsidR="00101ABD" w:rsidRPr="005F6C03" w:rsidRDefault="00273380" w:rsidP="00101ABD">
            <w:pPr>
              <w:jc w:val="center"/>
              <w:rPr>
                <w:b/>
                <w:color w:val="000000"/>
                <w:sz w:val="19"/>
                <w:szCs w:val="19"/>
              </w:rPr>
            </w:pPr>
            <w:r w:rsidRPr="005F6C03">
              <w:rPr>
                <w:b/>
                <w:color w:val="000000"/>
                <w:sz w:val="19"/>
                <w:szCs w:val="19"/>
              </w:rPr>
              <w:t>$129.84</w:t>
            </w:r>
            <w:r w:rsidR="00101ABD" w:rsidRPr="005F6C03">
              <w:rPr>
                <w:b/>
                <w:color w:val="000000"/>
                <w:sz w:val="19"/>
                <w:szCs w:val="19"/>
              </w:rPr>
              <w:t>/hr</w:t>
            </w:r>
          </w:p>
        </w:tc>
        <w:tc>
          <w:tcPr>
            <w:tcW w:w="666" w:type="dxa"/>
            <w:tcBorders>
              <w:top w:val="nil"/>
              <w:left w:val="nil"/>
              <w:bottom w:val="single" w:sz="4" w:space="0" w:color="auto"/>
              <w:right w:val="single" w:sz="4" w:space="0" w:color="auto"/>
            </w:tcBorders>
            <w:shd w:val="clear" w:color="auto" w:fill="BDD6EE" w:themeFill="accent1" w:themeFillTint="66"/>
            <w:vAlign w:val="center"/>
            <w:hideMark/>
          </w:tcPr>
          <w:p w14:paraId="38174F22" w14:textId="77777777" w:rsidR="00101ABD" w:rsidRPr="005F6C03" w:rsidRDefault="00101ABD" w:rsidP="00101ABD">
            <w:pPr>
              <w:jc w:val="center"/>
              <w:rPr>
                <w:b/>
                <w:color w:val="000000"/>
                <w:sz w:val="20"/>
                <w:szCs w:val="22"/>
              </w:rPr>
            </w:pPr>
            <w:r w:rsidRPr="005F6C03">
              <w:rPr>
                <w:b/>
                <w:color w:val="000000"/>
                <w:sz w:val="20"/>
                <w:szCs w:val="22"/>
              </w:rPr>
              <w:t>Hrs.</w:t>
            </w:r>
          </w:p>
        </w:tc>
        <w:tc>
          <w:tcPr>
            <w:tcW w:w="1022" w:type="dxa"/>
            <w:tcBorders>
              <w:top w:val="nil"/>
              <w:left w:val="nil"/>
              <w:bottom w:val="single" w:sz="4" w:space="0" w:color="auto"/>
              <w:right w:val="single" w:sz="4" w:space="0" w:color="auto"/>
            </w:tcBorders>
            <w:shd w:val="clear" w:color="auto" w:fill="BDD6EE" w:themeFill="accent1" w:themeFillTint="66"/>
            <w:vAlign w:val="center"/>
            <w:hideMark/>
          </w:tcPr>
          <w:p w14:paraId="71439767" w14:textId="16816373" w:rsidR="00101ABD" w:rsidRPr="005F6C03" w:rsidRDefault="00101ABD" w:rsidP="00101ABD">
            <w:pPr>
              <w:jc w:val="center"/>
              <w:rPr>
                <w:b/>
                <w:color w:val="000000"/>
                <w:sz w:val="20"/>
                <w:szCs w:val="22"/>
              </w:rPr>
            </w:pPr>
            <w:r w:rsidRPr="005F6C03">
              <w:rPr>
                <w:b/>
                <w:color w:val="000000"/>
                <w:sz w:val="20"/>
                <w:szCs w:val="22"/>
              </w:rPr>
              <w:t>$</w:t>
            </w:r>
            <w:r w:rsidR="00273380" w:rsidRPr="005F6C03">
              <w:rPr>
                <w:b/>
                <w:color w:val="000000"/>
                <w:sz w:val="20"/>
                <w:szCs w:val="22"/>
              </w:rPr>
              <w:t>85.51</w:t>
            </w:r>
            <w:r w:rsidRPr="005F6C03">
              <w:rPr>
                <w:b/>
                <w:color w:val="000000"/>
                <w:sz w:val="20"/>
                <w:szCs w:val="22"/>
              </w:rPr>
              <w:t>/hr</w:t>
            </w:r>
          </w:p>
        </w:tc>
        <w:tc>
          <w:tcPr>
            <w:tcW w:w="655" w:type="dxa"/>
            <w:tcBorders>
              <w:top w:val="nil"/>
              <w:left w:val="nil"/>
              <w:bottom w:val="single" w:sz="4" w:space="0" w:color="auto"/>
              <w:right w:val="single" w:sz="4" w:space="0" w:color="auto"/>
            </w:tcBorders>
            <w:shd w:val="clear" w:color="auto" w:fill="BDD6EE" w:themeFill="accent1" w:themeFillTint="66"/>
            <w:vAlign w:val="center"/>
            <w:hideMark/>
          </w:tcPr>
          <w:p w14:paraId="49143245" w14:textId="77777777" w:rsidR="00101ABD" w:rsidRPr="005F6C03" w:rsidRDefault="00101ABD" w:rsidP="00101ABD">
            <w:pPr>
              <w:jc w:val="center"/>
              <w:rPr>
                <w:b/>
                <w:color w:val="000000"/>
                <w:sz w:val="20"/>
                <w:szCs w:val="22"/>
              </w:rPr>
            </w:pPr>
            <w:r w:rsidRPr="005F6C03">
              <w:rPr>
                <w:b/>
                <w:color w:val="000000"/>
                <w:sz w:val="20"/>
                <w:szCs w:val="22"/>
              </w:rPr>
              <w:t>Hrs.</w:t>
            </w:r>
          </w:p>
        </w:tc>
        <w:tc>
          <w:tcPr>
            <w:tcW w:w="1080" w:type="dxa"/>
            <w:tcBorders>
              <w:top w:val="nil"/>
              <w:left w:val="nil"/>
              <w:bottom w:val="single" w:sz="4" w:space="0" w:color="auto"/>
              <w:right w:val="single" w:sz="4" w:space="0" w:color="auto"/>
            </w:tcBorders>
            <w:shd w:val="clear" w:color="auto" w:fill="BDD6EE" w:themeFill="accent1" w:themeFillTint="66"/>
            <w:vAlign w:val="center"/>
            <w:hideMark/>
          </w:tcPr>
          <w:p w14:paraId="26D9519E" w14:textId="7CD10006" w:rsidR="00101ABD" w:rsidRPr="005F6C03" w:rsidRDefault="00101ABD" w:rsidP="00101ABD">
            <w:pPr>
              <w:jc w:val="center"/>
              <w:rPr>
                <w:b/>
                <w:color w:val="000000"/>
                <w:sz w:val="20"/>
                <w:szCs w:val="22"/>
              </w:rPr>
            </w:pPr>
            <w:r w:rsidRPr="005F6C03">
              <w:rPr>
                <w:b/>
                <w:color w:val="000000"/>
                <w:sz w:val="20"/>
                <w:szCs w:val="22"/>
              </w:rPr>
              <w:t>$</w:t>
            </w:r>
            <w:r w:rsidR="00273380" w:rsidRPr="005F6C03">
              <w:rPr>
                <w:b/>
                <w:color w:val="000000"/>
                <w:sz w:val="20"/>
                <w:szCs w:val="22"/>
              </w:rPr>
              <w:t xml:space="preserve">48.18 </w:t>
            </w:r>
            <w:r w:rsidRPr="005F6C03">
              <w:rPr>
                <w:b/>
                <w:color w:val="000000"/>
                <w:sz w:val="20"/>
                <w:szCs w:val="22"/>
              </w:rPr>
              <w:t>/hr</w:t>
            </w:r>
          </w:p>
        </w:tc>
        <w:tc>
          <w:tcPr>
            <w:tcW w:w="900" w:type="dxa"/>
            <w:tcBorders>
              <w:top w:val="nil"/>
              <w:left w:val="nil"/>
              <w:bottom w:val="single" w:sz="4" w:space="0" w:color="auto"/>
              <w:right w:val="single" w:sz="4" w:space="0" w:color="auto"/>
            </w:tcBorders>
            <w:shd w:val="clear" w:color="auto" w:fill="BDD6EE" w:themeFill="accent1" w:themeFillTint="66"/>
            <w:vAlign w:val="center"/>
            <w:hideMark/>
          </w:tcPr>
          <w:p w14:paraId="7A1CD7FC" w14:textId="77777777" w:rsidR="00101ABD" w:rsidRPr="005F6C03" w:rsidRDefault="00101ABD" w:rsidP="00101ABD">
            <w:pPr>
              <w:jc w:val="center"/>
              <w:rPr>
                <w:b/>
                <w:color w:val="000000"/>
                <w:sz w:val="20"/>
                <w:szCs w:val="22"/>
              </w:rPr>
            </w:pPr>
            <w:r w:rsidRPr="005F6C03">
              <w:rPr>
                <w:b/>
                <w:color w:val="000000"/>
                <w:sz w:val="20"/>
                <w:szCs w:val="22"/>
              </w:rPr>
              <w:t>Burden (hrs)</w:t>
            </w:r>
          </w:p>
        </w:tc>
        <w:tc>
          <w:tcPr>
            <w:tcW w:w="990" w:type="dxa"/>
            <w:tcBorders>
              <w:top w:val="nil"/>
              <w:left w:val="nil"/>
              <w:bottom w:val="single" w:sz="4" w:space="0" w:color="auto"/>
              <w:right w:val="single" w:sz="4" w:space="0" w:color="auto"/>
            </w:tcBorders>
            <w:shd w:val="clear" w:color="auto" w:fill="BDD6EE" w:themeFill="accent1" w:themeFillTint="66"/>
            <w:vAlign w:val="center"/>
            <w:hideMark/>
          </w:tcPr>
          <w:p w14:paraId="3F96EA97" w14:textId="77777777" w:rsidR="00101ABD" w:rsidRPr="005F6C03" w:rsidRDefault="00101ABD" w:rsidP="00101ABD">
            <w:pPr>
              <w:jc w:val="center"/>
              <w:rPr>
                <w:b/>
                <w:color w:val="000000"/>
                <w:sz w:val="20"/>
                <w:szCs w:val="22"/>
              </w:rPr>
            </w:pPr>
            <w:r w:rsidRPr="005F6C03">
              <w:rPr>
                <w:b/>
                <w:color w:val="000000"/>
                <w:sz w:val="20"/>
                <w:szCs w:val="22"/>
              </w:rPr>
              <w:t>Costs ($)</w:t>
            </w:r>
          </w:p>
        </w:tc>
      </w:tr>
      <w:tr w:rsidR="00101ABD" w:rsidRPr="005F6C03" w14:paraId="2798EAA9" w14:textId="77777777" w:rsidTr="00553EF5">
        <w:trPr>
          <w:trHeight w:val="12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26756C39" w14:textId="77777777" w:rsidR="00101ABD" w:rsidRPr="005F6C03" w:rsidRDefault="00101ABD" w:rsidP="00101ABD">
            <w:pPr>
              <w:rPr>
                <w:color w:val="000000"/>
                <w:sz w:val="20"/>
                <w:szCs w:val="22"/>
              </w:rPr>
            </w:pPr>
            <w:r w:rsidRPr="005F6C03">
              <w:rPr>
                <w:color w:val="000000"/>
                <w:sz w:val="20"/>
                <w:szCs w:val="22"/>
              </w:rPr>
              <w:t>Consult with Grantee and respond to questions about Template completion</w:t>
            </w:r>
          </w:p>
        </w:tc>
        <w:tc>
          <w:tcPr>
            <w:tcW w:w="630" w:type="dxa"/>
            <w:tcBorders>
              <w:top w:val="nil"/>
              <w:left w:val="nil"/>
              <w:bottom w:val="single" w:sz="4" w:space="0" w:color="auto"/>
              <w:right w:val="single" w:sz="4" w:space="0" w:color="auto"/>
            </w:tcBorders>
            <w:shd w:val="clear" w:color="auto" w:fill="auto"/>
            <w:vAlign w:val="center"/>
            <w:hideMark/>
          </w:tcPr>
          <w:p w14:paraId="01C57F48" w14:textId="77777777" w:rsidR="00101ABD" w:rsidRPr="005F6C03" w:rsidRDefault="00101ABD" w:rsidP="00101ABD">
            <w:pPr>
              <w:jc w:val="center"/>
              <w:rPr>
                <w:color w:val="000000"/>
                <w:sz w:val="20"/>
                <w:szCs w:val="22"/>
              </w:rPr>
            </w:pPr>
            <w:r w:rsidRPr="005F6C03">
              <w:rPr>
                <w:color w:val="000000"/>
                <w:sz w:val="20"/>
                <w:szCs w:val="22"/>
              </w:rPr>
              <w:t>2</w:t>
            </w:r>
          </w:p>
        </w:tc>
        <w:tc>
          <w:tcPr>
            <w:tcW w:w="1077" w:type="dxa"/>
            <w:tcBorders>
              <w:top w:val="nil"/>
              <w:left w:val="nil"/>
              <w:bottom w:val="single" w:sz="4" w:space="0" w:color="auto"/>
              <w:right w:val="single" w:sz="4" w:space="0" w:color="auto"/>
            </w:tcBorders>
            <w:shd w:val="clear" w:color="auto" w:fill="auto"/>
            <w:noWrap/>
            <w:vAlign w:val="center"/>
            <w:hideMark/>
          </w:tcPr>
          <w:p w14:paraId="10B0A5F5" w14:textId="77777777" w:rsidR="00101ABD" w:rsidRPr="005F6C03" w:rsidRDefault="00101ABD" w:rsidP="00101ABD">
            <w:pPr>
              <w:jc w:val="center"/>
              <w:rPr>
                <w:color w:val="000000"/>
                <w:sz w:val="20"/>
                <w:szCs w:val="22"/>
              </w:rPr>
            </w:pPr>
            <w:r w:rsidRPr="005F6C03">
              <w:rPr>
                <w:color w:val="000000"/>
                <w:sz w:val="20"/>
                <w:szCs w:val="22"/>
              </w:rPr>
              <w:t>$260</w:t>
            </w:r>
          </w:p>
        </w:tc>
        <w:tc>
          <w:tcPr>
            <w:tcW w:w="666" w:type="dxa"/>
            <w:tcBorders>
              <w:top w:val="nil"/>
              <w:left w:val="nil"/>
              <w:bottom w:val="single" w:sz="4" w:space="0" w:color="auto"/>
              <w:right w:val="single" w:sz="4" w:space="0" w:color="auto"/>
            </w:tcBorders>
            <w:shd w:val="clear" w:color="auto" w:fill="auto"/>
            <w:vAlign w:val="center"/>
            <w:hideMark/>
          </w:tcPr>
          <w:p w14:paraId="63DB4F57" w14:textId="77777777" w:rsidR="00101ABD" w:rsidRPr="005F6C03" w:rsidRDefault="00101ABD" w:rsidP="00101ABD">
            <w:pPr>
              <w:jc w:val="center"/>
              <w:rPr>
                <w:color w:val="000000"/>
                <w:sz w:val="20"/>
                <w:szCs w:val="22"/>
              </w:rPr>
            </w:pPr>
            <w:r w:rsidRPr="005F6C03">
              <w:rPr>
                <w:color w:val="000000"/>
                <w:sz w:val="20"/>
                <w:szCs w:val="22"/>
              </w:rPr>
              <w:t>102</w:t>
            </w:r>
          </w:p>
        </w:tc>
        <w:tc>
          <w:tcPr>
            <w:tcW w:w="1022" w:type="dxa"/>
            <w:tcBorders>
              <w:top w:val="nil"/>
              <w:left w:val="nil"/>
              <w:bottom w:val="single" w:sz="4" w:space="0" w:color="auto"/>
              <w:right w:val="single" w:sz="4" w:space="0" w:color="auto"/>
            </w:tcBorders>
            <w:shd w:val="clear" w:color="auto" w:fill="auto"/>
            <w:noWrap/>
            <w:vAlign w:val="center"/>
            <w:hideMark/>
          </w:tcPr>
          <w:p w14:paraId="6F7FBB4E" w14:textId="77777777" w:rsidR="00101ABD" w:rsidRPr="005F6C03" w:rsidRDefault="00101ABD" w:rsidP="00101ABD">
            <w:pPr>
              <w:jc w:val="center"/>
              <w:rPr>
                <w:color w:val="000000"/>
                <w:sz w:val="20"/>
                <w:szCs w:val="22"/>
              </w:rPr>
            </w:pPr>
            <w:r w:rsidRPr="005F6C03">
              <w:rPr>
                <w:color w:val="000000"/>
                <w:sz w:val="20"/>
                <w:szCs w:val="22"/>
              </w:rPr>
              <w:t>$8,722</w:t>
            </w:r>
          </w:p>
        </w:tc>
        <w:tc>
          <w:tcPr>
            <w:tcW w:w="655" w:type="dxa"/>
            <w:tcBorders>
              <w:top w:val="nil"/>
              <w:left w:val="nil"/>
              <w:bottom w:val="single" w:sz="4" w:space="0" w:color="auto"/>
              <w:right w:val="single" w:sz="4" w:space="0" w:color="auto"/>
            </w:tcBorders>
            <w:shd w:val="clear" w:color="auto" w:fill="auto"/>
            <w:vAlign w:val="center"/>
            <w:hideMark/>
          </w:tcPr>
          <w:p w14:paraId="1241A576" w14:textId="77777777" w:rsidR="00101ABD" w:rsidRPr="005F6C03" w:rsidRDefault="00101ABD" w:rsidP="00101ABD">
            <w:pPr>
              <w:jc w:val="center"/>
              <w:rPr>
                <w:color w:val="000000"/>
                <w:sz w:val="20"/>
                <w:szCs w:val="22"/>
              </w:rPr>
            </w:pPr>
            <w:r w:rsidRPr="005F6C03">
              <w:rPr>
                <w:color w:val="000000"/>
                <w:sz w:val="20"/>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7B7558BC" w14:textId="77777777" w:rsidR="00101ABD" w:rsidRPr="005F6C03" w:rsidRDefault="00101ABD" w:rsidP="00101ABD">
            <w:pPr>
              <w:jc w:val="center"/>
              <w:rPr>
                <w:color w:val="000000"/>
                <w:sz w:val="20"/>
                <w:szCs w:val="22"/>
              </w:rPr>
            </w:pPr>
            <w:r w:rsidRPr="005F6C03">
              <w:rPr>
                <w:color w:val="000000"/>
                <w:sz w:val="20"/>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14:paraId="5FDA1F54" w14:textId="77777777" w:rsidR="00101ABD" w:rsidRPr="005F6C03" w:rsidRDefault="00101ABD" w:rsidP="00101ABD">
            <w:pPr>
              <w:jc w:val="center"/>
              <w:rPr>
                <w:color w:val="000000"/>
                <w:sz w:val="20"/>
                <w:szCs w:val="22"/>
              </w:rPr>
            </w:pPr>
            <w:r w:rsidRPr="005F6C03">
              <w:rPr>
                <w:color w:val="000000"/>
                <w:sz w:val="20"/>
                <w:szCs w:val="22"/>
              </w:rPr>
              <w:t>104</w:t>
            </w:r>
          </w:p>
        </w:tc>
        <w:tc>
          <w:tcPr>
            <w:tcW w:w="990" w:type="dxa"/>
            <w:tcBorders>
              <w:top w:val="nil"/>
              <w:left w:val="nil"/>
              <w:bottom w:val="single" w:sz="4" w:space="0" w:color="auto"/>
              <w:right w:val="single" w:sz="4" w:space="0" w:color="auto"/>
            </w:tcBorders>
            <w:shd w:val="clear" w:color="auto" w:fill="auto"/>
            <w:noWrap/>
            <w:vAlign w:val="center"/>
            <w:hideMark/>
          </w:tcPr>
          <w:p w14:paraId="4DF0BD3F" w14:textId="77777777" w:rsidR="00101ABD" w:rsidRPr="005F6C03" w:rsidRDefault="00101ABD" w:rsidP="00101ABD">
            <w:pPr>
              <w:jc w:val="center"/>
              <w:rPr>
                <w:color w:val="000000"/>
                <w:sz w:val="20"/>
                <w:szCs w:val="22"/>
              </w:rPr>
            </w:pPr>
            <w:r w:rsidRPr="005F6C03">
              <w:rPr>
                <w:color w:val="000000"/>
                <w:sz w:val="20"/>
                <w:szCs w:val="22"/>
              </w:rPr>
              <w:t>$8,982</w:t>
            </w:r>
          </w:p>
        </w:tc>
      </w:tr>
      <w:tr w:rsidR="00101ABD" w:rsidRPr="005F6C03" w14:paraId="2D579AB0" w14:textId="77777777" w:rsidTr="00553EF5">
        <w:trPr>
          <w:trHeight w:val="9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306F27E4" w14:textId="77777777" w:rsidR="00101ABD" w:rsidRPr="005F6C03" w:rsidRDefault="00101ABD" w:rsidP="00101ABD">
            <w:pPr>
              <w:rPr>
                <w:color w:val="000000"/>
                <w:sz w:val="20"/>
                <w:szCs w:val="22"/>
              </w:rPr>
            </w:pPr>
            <w:r w:rsidRPr="005F6C03">
              <w:rPr>
                <w:color w:val="000000"/>
                <w:sz w:val="20"/>
                <w:szCs w:val="22"/>
              </w:rPr>
              <w:t>Developing mid-year and year end reports (columns P-R)</w:t>
            </w:r>
          </w:p>
        </w:tc>
        <w:tc>
          <w:tcPr>
            <w:tcW w:w="630" w:type="dxa"/>
            <w:tcBorders>
              <w:top w:val="nil"/>
              <w:left w:val="nil"/>
              <w:bottom w:val="single" w:sz="4" w:space="0" w:color="auto"/>
              <w:right w:val="single" w:sz="4" w:space="0" w:color="auto"/>
            </w:tcBorders>
            <w:shd w:val="clear" w:color="auto" w:fill="auto"/>
            <w:vAlign w:val="center"/>
            <w:hideMark/>
          </w:tcPr>
          <w:p w14:paraId="335A2F25" w14:textId="77777777" w:rsidR="00101ABD" w:rsidRPr="005F6C03" w:rsidRDefault="00101ABD" w:rsidP="00101ABD">
            <w:pPr>
              <w:jc w:val="center"/>
              <w:rPr>
                <w:color w:val="000000"/>
                <w:sz w:val="20"/>
                <w:szCs w:val="22"/>
              </w:rPr>
            </w:pPr>
            <w:r w:rsidRPr="005F6C03">
              <w:rPr>
                <w:color w:val="000000"/>
                <w:sz w:val="20"/>
                <w:szCs w:val="22"/>
              </w:rPr>
              <w:t>27</w:t>
            </w:r>
          </w:p>
        </w:tc>
        <w:tc>
          <w:tcPr>
            <w:tcW w:w="1077" w:type="dxa"/>
            <w:tcBorders>
              <w:top w:val="nil"/>
              <w:left w:val="nil"/>
              <w:bottom w:val="single" w:sz="4" w:space="0" w:color="auto"/>
              <w:right w:val="single" w:sz="4" w:space="0" w:color="auto"/>
            </w:tcBorders>
            <w:shd w:val="clear" w:color="auto" w:fill="auto"/>
            <w:noWrap/>
            <w:vAlign w:val="center"/>
            <w:hideMark/>
          </w:tcPr>
          <w:p w14:paraId="25CF65B3" w14:textId="77777777" w:rsidR="00101ABD" w:rsidRPr="005F6C03" w:rsidRDefault="00101ABD" w:rsidP="00101ABD">
            <w:pPr>
              <w:jc w:val="center"/>
              <w:rPr>
                <w:color w:val="000000"/>
                <w:sz w:val="20"/>
                <w:szCs w:val="22"/>
              </w:rPr>
            </w:pPr>
            <w:r w:rsidRPr="005F6C03">
              <w:rPr>
                <w:color w:val="000000"/>
                <w:sz w:val="20"/>
                <w:szCs w:val="22"/>
              </w:rPr>
              <w:t>$3,506</w:t>
            </w:r>
          </w:p>
        </w:tc>
        <w:tc>
          <w:tcPr>
            <w:tcW w:w="666" w:type="dxa"/>
            <w:tcBorders>
              <w:top w:val="nil"/>
              <w:left w:val="nil"/>
              <w:bottom w:val="single" w:sz="4" w:space="0" w:color="auto"/>
              <w:right w:val="single" w:sz="4" w:space="0" w:color="auto"/>
            </w:tcBorders>
            <w:shd w:val="clear" w:color="auto" w:fill="auto"/>
            <w:vAlign w:val="center"/>
            <w:hideMark/>
          </w:tcPr>
          <w:p w14:paraId="207D53E7" w14:textId="77777777" w:rsidR="00101ABD" w:rsidRPr="005F6C03" w:rsidRDefault="00101ABD" w:rsidP="00101ABD">
            <w:pPr>
              <w:jc w:val="center"/>
              <w:rPr>
                <w:color w:val="000000"/>
                <w:sz w:val="20"/>
                <w:szCs w:val="22"/>
              </w:rPr>
            </w:pPr>
            <w:r w:rsidRPr="005F6C03">
              <w:rPr>
                <w:color w:val="000000"/>
                <w:sz w:val="20"/>
                <w:szCs w:val="22"/>
              </w:rPr>
              <w:t>212</w:t>
            </w:r>
          </w:p>
        </w:tc>
        <w:tc>
          <w:tcPr>
            <w:tcW w:w="1022" w:type="dxa"/>
            <w:tcBorders>
              <w:top w:val="nil"/>
              <w:left w:val="nil"/>
              <w:bottom w:val="single" w:sz="4" w:space="0" w:color="auto"/>
              <w:right w:val="single" w:sz="4" w:space="0" w:color="auto"/>
            </w:tcBorders>
            <w:shd w:val="clear" w:color="auto" w:fill="auto"/>
            <w:noWrap/>
            <w:vAlign w:val="center"/>
            <w:hideMark/>
          </w:tcPr>
          <w:p w14:paraId="03089086" w14:textId="77777777" w:rsidR="00101ABD" w:rsidRPr="005F6C03" w:rsidRDefault="00101ABD" w:rsidP="00101ABD">
            <w:pPr>
              <w:jc w:val="center"/>
              <w:rPr>
                <w:color w:val="000000"/>
                <w:sz w:val="20"/>
                <w:szCs w:val="22"/>
              </w:rPr>
            </w:pPr>
            <w:r w:rsidRPr="005F6C03">
              <w:rPr>
                <w:color w:val="000000"/>
                <w:sz w:val="20"/>
                <w:szCs w:val="22"/>
              </w:rPr>
              <w:t>$18,128</w:t>
            </w:r>
          </w:p>
        </w:tc>
        <w:tc>
          <w:tcPr>
            <w:tcW w:w="655" w:type="dxa"/>
            <w:tcBorders>
              <w:top w:val="nil"/>
              <w:left w:val="nil"/>
              <w:bottom w:val="single" w:sz="4" w:space="0" w:color="auto"/>
              <w:right w:val="single" w:sz="4" w:space="0" w:color="auto"/>
            </w:tcBorders>
            <w:shd w:val="clear" w:color="auto" w:fill="auto"/>
            <w:vAlign w:val="center"/>
            <w:hideMark/>
          </w:tcPr>
          <w:p w14:paraId="7A9D22B8" w14:textId="77777777" w:rsidR="00101ABD" w:rsidRPr="005F6C03" w:rsidRDefault="00101ABD" w:rsidP="00101ABD">
            <w:pPr>
              <w:jc w:val="center"/>
              <w:rPr>
                <w:color w:val="000000"/>
                <w:sz w:val="20"/>
                <w:szCs w:val="22"/>
              </w:rPr>
            </w:pPr>
            <w:r w:rsidRPr="005F6C03">
              <w:rPr>
                <w:color w:val="000000"/>
                <w:sz w:val="20"/>
                <w:szCs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949D5F8" w14:textId="77777777" w:rsidR="00101ABD" w:rsidRPr="005F6C03" w:rsidRDefault="00101ABD" w:rsidP="00101ABD">
            <w:pPr>
              <w:jc w:val="center"/>
              <w:rPr>
                <w:color w:val="000000"/>
                <w:sz w:val="20"/>
                <w:szCs w:val="22"/>
              </w:rPr>
            </w:pPr>
            <w:r w:rsidRPr="005F6C03">
              <w:rPr>
                <w:color w:val="000000"/>
                <w:sz w:val="20"/>
                <w:szCs w:val="22"/>
              </w:rPr>
              <w:t>$120</w:t>
            </w:r>
          </w:p>
        </w:tc>
        <w:tc>
          <w:tcPr>
            <w:tcW w:w="900" w:type="dxa"/>
            <w:tcBorders>
              <w:top w:val="nil"/>
              <w:left w:val="nil"/>
              <w:bottom w:val="single" w:sz="4" w:space="0" w:color="auto"/>
              <w:right w:val="single" w:sz="4" w:space="0" w:color="auto"/>
            </w:tcBorders>
            <w:shd w:val="clear" w:color="auto" w:fill="auto"/>
            <w:noWrap/>
            <w:vAlign w:val="center"/>
            <w:hideMark/>
          </w:tcPr>
          <w:p w14:paraId="20A275DE" w14:textId="77777777" w:rsidR="00101ABD" w:rsidRPr="005F6C03" w:rsidRDefault="00101ABD" w:rsidP="00101ABD">
            <w:pPr>
              <w:jc w:val="center"/>
              <w:rPr>
                <w:color w:val="000000"/>
                <w:sz w:val="20"/>
                <w:szCs w:val="22"/>
              </w:rPr>
            </w:pPr>
            <w:r w:rsidRPr="005F6C03">
              <w:rPr>
                <w:color w:val="000000"/>
                <w:sz w:val="20"/>
                <w:szCs w:val="22"/>
              </w:rPr>
              <w:t>241.5</w:t>
            </w:r>
          </w:p>
        </w:tc>
        <w:tc>
          <w:tcPr>
            <w:tcW w:w="990" w:type="dxa"/>
            <w:tcBorders>
              <w:top w:val="nil"/>
              <w:left w:val="nil"/>
              <w:bottom w:val="single" w:sz="4" w:space="0" w:color="auto"/>
              <w:right w:val="single" w:sz="4" w:space="0" w:color="auto"/>
            </w:tcBorders>
            <w:shd w:val="clear" w:color="auto" w:fill="auto"/>
            <w:noWrap/>
            <w:vAlign w:val="center"/>
            <w:hideMark/>
          </w:tcPr>
          <w:p w14:paraId="13909959" w14:textId="77777777" w:rsidR="00101ABD" w:rsidRPr="005F6C03" w:rsidRDefault="00101ABD" w:rsidP="00101ABD">
            <w:pPr>
              <w:jc w:val="center"/>
              <w:rPr>
                <w:color w:val="000000"/>
                <w:sz w:val="20"/>
                <w:szCs w:val="22"/>
              </w:rPr>
            </w:pPr>
            <w:r w:rsidRPr="005F6C03">
              <w:rPr>
                <w:color w:val="000000"/>
                <w:sz w:val="20"/>
                <w:szCs w:val="22"/>
              </w:rPr>
              <w:t>$21,754</w:t>
            </w:r>
          </w:p>
        </w:tc>
      </w:tr>
      <w:tr w:rsidR="00101ABD" w:rsidRPr="005F6C03" w14:paraId="74468B8D" w14:textId="77777777" w:rsidTr="00553EF5">
        <w:trPr>
          <w:trHeight w:val="9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4D623FD" w14:textId="77777777" w:rsidR="00101ABD" w:rsidRPr="005F6C03" w:rsidRDefault="00101ABD" w:rsidP="00101ABD">
            <w:pPr>
              <w:rPr>
                <w:color w:val="000000"/>
                <w:sz w:val="20"/>
                <w:szCs w:val="22"/>
              </w:rPr>
            </w:pPr>
            <w:r w:rsidRPr="005F6C03">
              <w:rPr>
                <w:color w:val="000000"/>
                <w:sz w:val="20"/>
                <w:szCs w:val="22"/>
              </w:rPr>
              <w:t>Submit Template to regional management and HQ</w:t>
            </w:r>
          </w:p>
        </w:tc>
        <w:tc>
          <w:tcPr>
            <w:tcW w:w="630" w:type="dxa"/>
            <w:tcBorders>
              <w:top w:val="nil"/>
              <w:left w:val="nil"/>
              <w:bottom w:val="single" w:sz="4" w:space="0" w:color="auto"/>
              <w:right w:val="single" w:sz="4" w:space="0" w:color="auto"/>
            </w:tcBorders>
            <w:shd w:val="clear" w:color="auto" w:fill="auto"/>
            <w:vAlign w:val="center"/>
            <w:hideMark/>
          </w:tcPr>
          <w:p w14:paraId="762F5069" w14:textId="77777777" w:rsidR="00101ABD" w:rsidRPr="005F6C03" w:rsidRDefault="00101ABD" w:rsidP="00101ABD">
            <w:pPr>
              <w:jc w:val="center"/>
              <w:rPr>
                <w:color w:val="000000"/>
                <w:sz w:val="20"/>
                <w:szCs w:val="22"/>
              </w:rPr>
            </w:pPr>
            <w:r w:rsidRPr="005F6C03">
              <w:rPr>
                <w:color w:val="000000"/>
                <w:sz w:val="20"/>
                <w:szCs w:val="22"/>
              </w:rPr>
              <w:t>0.7</w:t>
            </w:r>
          </w:p>
        </w:tc>
        <w:tc>
          <w:tcPr>
            <w:tcW w:w="1077" w:type="dxa"/>
            <w:tcBorders>
              <w:top w:val="nil"/>
              <w:left w:val="nil"/>
              <w:bottom w:val="single" w:sz="4" w:space="0" w:color="auto"/>
              <w:right w:val="single" w:sz="4" w:space="0" w:color="auto"/>
            </w:tcBorders>
            <w:shd w:val="clear" w:color="auto" w:fill="auto"/>
            <w:noWrap/>
            <w:vAlign w:val="center"/>
            <w:hideMark/>
          </w:tcPr>
          <w:p w14:paraId="102CD27F" w14:textId="77777777" w:rsidR="00101ABD" w:rsidRPr="005F6C03" w:rsidRDefault="00101ABD" w:rsidP="00101ABD">
            <w:pPr>
              <w:jc w:val="center"/>
              <w:rPr>
                <w:color w:val="000000"/>
                <w:sz w:val="20"/>
                <w:szCs w:val="22"/>
              </w:rPr>
            </w:pPr>
            <w:r w:rsidRPr="005F6C03">
              <w:rPr>
                <w:color w:val="000000"/>
                <w:sz w:val="20"/>
                <w:szCs w:val="22"/>
              </w:rPr>
              <w:t>$91</w:t>
            </w:r>
          </w:p>
        </w:tc>
        <w:tc>
          <w:tcPr>
            <w:tcW w:w="666" w:type="dxa"/>
            <w:tcBorders>
              <w:top w:val="nil"/>
              <w:left w:val="nil"/>
              <w:bottom w:val="single" w:sz="4" w:space="0" w:color="auto"/>
              <w:right w:val="single" w:sz="4" w:space="0" w:color="auto"/>
            </w:tcBorders>
            <w:shd w:val="clear" w:color="auto" w:fill="auto"/>
            <w:vAlign w:val="center"/>
            <w:hideMark/>
          </w:tcPr>
          <w:p w14:paraId="2293F97A" w14:textId="77777777" w:rsidR="00101ABD" w:rsidRPr="005F6C03" w:rsidRDefault="00101ABD" w:rsidP="00101ABD">
            <w:pPr>
              <w:jc w:val="center"/>
              <w:rPr>
                <w:color w:val="000000"/>
                <w:sz w:val="20"/>
                <w:szCs w:val="22"/>
              </w:rPr>
            </w:pPr>
            <w:r w:rsidRPr="005F6C03">
              <w:rPr>
                <w:color w:val="000000"/>
                <w:sz w:val="20"/>
                <w:szCs w:val="22"/>
              </w:rPr>
              <w:t>20.1</w:t>
            </w:r>
          </w:p>
        </w:tc>
        <w:tc>
          <w:tcPr>
            <w:tcW w:w="1022" w:type="dxa"/>
            <w:tcBorders>
              <w:top w:val="nil"/>
              <w:left w:val="nil"/>
              <w:bottom w:val="single" w:sz="4" w:space="0" w:color="auto"/>
              <w:right w:val="single" w:sz="4" w:space="0" w:color="auto"/>
            </w:tcBorders>
            <w:shd w:val="clear" w:color="auto" w:fill="auto"/>
            <w:noWrap/>
            <w:vAlign w:val="center"/>
            <w:hideMark/>
          </w:tcPr>
          <w:p w14:paraId="21D67EA9" w14:textId="77777777" w:rsidR="00101ABD" w:rsidRPr="005F6C03" w:rsidRDefault="00101ABD" w:rsidP="00101ABD">
            <w:pPr>
              <w:jc w:val="center"/>
              <w:rPr>
                <w:color w:val="000000"/>
                <w:sz w:val="20"/>
                <w:szCs w:val="22"/>
              </w:rPr>
            </w:pPr>
            <w:r w:rsidRPr="005F6C03">
              <w:rPr>
                <w:color w:val="000000"/>
                <w:sz w:val="20"/>
                <w:szCs w:val="22"/>
              </w:rPr>
              <w:t>$1,719</w:t>
            </w:r>
          </w:p>
        </w:tc>
        <w:tc>
          <w:tcPr>
            <w:tcW w:w="655" w:type="dxa"/>
            <w:tcBorders>
              <w:top w:val="nil"/>
              <w:left w:val="nil"/>
              <w:bottom w:val="single" w:sz="4" w:space="0" w:color="auto"/>
              <w:right w:val="single" w:sz="4" w:space="0" w:color="auto"/>
            </w:tcBorders>
            <w:shd w:val="clear" w:color="auto" w:fill="auto"/>
            <w:vAlign w:val="center"/>
            <w:hideMark/>
          </w:tcPr>
          <w:p w14:paraId="3CC5DBDB" w14:textId="77777777" w:rsidR="00101ABD" w:rsidRPr="005F6C03" w:rsidRDefault="00101ABD" w:rsidP="00101ABD">
            <w:pPr>
              <w:jc w:val="center"/>
              <w:rPr>
                <w:color w:val="000000"/>
                <w:sz w:val="20"/>
                <w:szCs w:val="22"/>
              </w:rPr>
            </w:pPr>
            <w:r w:rsidRPr="005F6C03">
              <w:rPr>
                <w:color w:val="000000"/>
                <w:sz w:val="20"/>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0D903ED2" w14:textId="77777777" w:rsidR="00101ABD" w:rsidRPr="005F6C03" w:rsidRDefault="00101ABD" w:rsidP="00101ABD">
            <w:pPr>
              <w:jc w:val="center"/>
              <w:rPr>
                <w:color w:val="000000"/>
                <w:sz w:val="20"/>
                <w:szCs w:val="22"/>
              </w:rPr>
            </w:pPr>
            <w:r w:rsidRPr="005F6C03">
              <w:rPr>
                <w:color w:val="000000"/>
                <w:sz w:val="20"/>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14:paraId="71C6C518" w14:textId="77777777" w:rsidR="00101ABD" w:rsidRPr="005F6C03" w:rsidRDefault="00101ABD" w:rsidP="00101ABD">
            <w:pPr>
              <w:jc w:val="center"/>
              <w:rPr>
                <w:color w:val="000000"/>
                <w:sz w:val="20"/>
                <w:szCs w:val="22"/>
              </w:rPr>
            </w:pPr>
            <w:r w:rsidRPr="005F6C03">
              <w:rPr>
                <w:color w:val="000000"/>
                <w:sz w:val="20"/>
                <w:szCs w:val="22"/>
              </w:rPr>
              <w:t>20.8</w:t>
            </w:r>
          </w:p>
        </w:tc>
        <w:tc>
          <w:tcPr>
            <w:tcW w:w="990" w:type="dxa"/>
            <w:tcBorders>
              <w:top w:val="nil"/>
              <w:left w:val="nil"/>
              <w:bottom w:val="single" w:sz="4" w:space="0" w:color="auto"/>
              <w:right w:val="single" w:sz="4" w:space="0" w:color="auto"/>
            </w:tcBorders>
            <w:shd w:val="clear" w:color="auto" w:fill="auto"/>
            <w:noWrap/>
            <w:vAlign w:val="center"/>
            <w:hideMark/>
          </w:tcPr>
          <w:p w14:paraId="71841C82" w14:textId="77777777" w:rsidR="00101ABD" w:rsidRPr="005F6C03" w:rsidRDefault="00101ABD" w:rsidP="00101ABD">
            <w:pPr>
              <w:jc w:val="center"/>
              <w:rPr>
                <w:color w:val="000000"/>
                <w:sz w:val="20"/>
                <w:szCs w:val="22"/>
              </w:rPr>
            </w:pPr>
            <w:r w:rsidRPr="005F6C03">
              <w:rPr>
                <w:color w:val="000000"/>
                <w:sz w:val="20"/>
                <w:szCs w:val="22"/>
              </w:rPr>
              <w:t>$1,810</w:t>
            </w:r>
          </w:p>
        </w:tc>
      </w:tr>
      <w:tr w:rsidR="00101ABD" w:rsidRPr="005F6C03" w14:paraId="72C30D24" w14:textId="77777777" w:rsidTr="00553EF5">
        <w:trPr>
          <w:trHeight w:val="9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164A8D1" w14:textId="77777777" w:rsidR="00101ABD" w:rsidRPr="005F6C03" w:rsidRDefault="00101ABD" w:rsidP="00101ABD">
            <w:pPr>
              <w:rPr>
                <w:color w:val="000000"/>
                <w:sz w:val="20"/>
                <w:szCs w:val="22"/>
              </w:rPr>
            </w:pPr>
            <w:r w:rsidRPr="005F6C03">
              <w:rPr>
                <w:color w:val="000000"/>
                <w:sz w:val="20"/>
                <w:szCs w:val="22"/>
              </w:rPr>
              <w:t xml:space="preserve">Working with the regional grants office (Region 1) </w:t>
            </w:r>
          </w:p>
        </w:tc>
        <w:tc>
          <w:tcPr>
            <w:tcW w:w="630" w:type="dxa"/>
            <w:tcBorders>
              <w:top w:val="nil"/>
              <w:left w:val="nil"/>
              <w:bottom w:val="single" w:sz="4" w:space="0" w:color="auto"/>
              <w:right w:val="single" w:sz="4" w:space="0" w:color="auto"/>
            </w:tcBorders>
            <w:shd w:val="clear" w:color="auto" w:fill="auto"/>
            <w:vAlign w:val="center"/>
            <w:hideMark/>
          </w:tcPr>
          <w:p w14:paraId="1DAD38DD" w14:textId="77777777" w:rsidR="00101ABD" w:rsidRPr="005F6C03" w:rsidRDefault="00101ABD" w:rsidP="00101ABD">
            <w:pPr>
              <w:jc w:val="center"/>
              <w:rPr>
                <w:color w:val="000000"/>
                <w:sz w:val="20"/>
                <w:szCs w:val="22"/>
              </w:rPr>
            </w:pPr>
            <w:r w:rsidRPr="005F6C03">
              <w:rPr>
                <w:color w:val="000000"/>
                <w:sz w:val="20"/>
                <w:szCs w:val="22"/>
              </w:rPr>
              <w:t>0</w:t>
            </w:r>
          </w:p>
        </w:tc>
        <w:tc>
          <w:tcPr>
            <w:tcW w:w="1077" w:type="dxa"/>
            <w:tcBorders>
              <w:top w:val="nil"/>
              <w:left w:val="nil"/>
              <w:bottom w:val="single" w:sz="4" w:space="0" w:color="auto"/>
              <w:right w:val="single" w:sz="4" w:space="0" w:color="auto"/>
            </w:tcBorders>
            <w:shd w:val="clear" w:color="auto" w:fill="auto"/>
            <w:noWrap/>
            <w:vAlign w:val="center"/>
            <w:hideMark/>
          </w:tcPr>
          <w:p w14:paraId="196B2F15" w14:textId="77777777" w:rsidR="00101ABD" w:rsidRPr="005F6C03" w:rsidRDefault="00101ABD" w:rsidP="00101ABD">
            <w:pPr>
              <w:jc w:val="center"/>
              <w:rPr>
                <w:color w:val="000000"/>
                <w:sz w:val="20"/>
                <w:szCs w:val="22"/>
              </w:rPr>
            </w:pPr>
            <w:r w:rsidRPr="005F6C03">
              <w:rPr>
                <w:color w:val="000000"/>
                <w:sz w:val="20"/>
                <w:szCs w:val="22"/>
              </w:rPr>
              <w:t>$0</w:t>
            </w:r>
          </w:p>
        </w:tc>
        <w:tc>
          <w:tcPr>
            <w:tcW w:w="666" w:type="dxa"/>
            <w:tcBorders>
              <w:top w:val="nil"/>
              <w:left w:val="nil"/>
              <w:bottom w:val="single" w:sz="4" w:space="0" w:color="auto"/>
              <w:right w:val="single" w:sz="4" w:space="0" w:color="auto"/>
            </w:tcBorders>
            <w:shd w:val="clear" w:color="auto" w:fill="auto"/>
            <w:vAlign w:val="center"/>
            <w:hideMark/>
          </w:tcPr>
          <w:p w14:paraId="3FFA0654" w14:textId="77777777" w:rsidR="00101ABD" w:rsidRPr="005F6C03" w:rsidRDefault="00101ABD" w:rsidP="00101ABD">
            <w:pPr>
              <w:jc w:val="center"/>
              <w:rPr>
                <w:color w:val="000000"/>
                <w:sz w:val="20"/>
                <w:szCs w:val="22"/>
              </w:rPr>
            </w:pPr>
            <w:r w:rsidRPr="005F6C03">
              <w:rPr>
                <w:color w:val="000000"/>
                <w:sz w:val="20"/>
                <w:szCs w:val="22"/>
              </w:rPr>
              <w:t>12</w:t>
            </w:r>
          </w:p>
        </w:tc>
        <w:tc>
          <w:tcPr>
            <w:tcW w:w="1022" w:type="dxa"/>
            <w:tcBorders>
              <w:top w:val="nil"/>
              <w:left w:val="nil"/>
              <w:bottom w:val="single" w:sz="4" w:space="0" w:color="auto"/>
              <w:right w:val="single" w:sz="4" w:space="0" w:color="auto"/>
            </w:tcBorders>
            <w:shd w:val="clear" w:color="auto" w:fill="auto"/>
            <w:noWrap/>
            <w:vAlign w:val="center"/>
            <w:hideMark/>
          </w:tcPr>
          <w:p w14:paraId="75D1AC37" w14:textId="77777777" w:rsidR="00101ABD" w:rsidRPr="005F6C03" w:rsidRDefault="00101ABD" w:rsidP="00101ABD">
            <w:pPr>
              <w:jc w:val="center"/>
              <w:rPr>
                <w:color w:val="000000"/>
                <w:sz w:val="20"/>
                <w:szCs w:val="22"/>
              </w:rPr>
            </w:pPr>
            <w:r w:rsidRPr="005F6C03">
              <w:rPr>
                <w:color w:val="000000"/>
                <w:sz w:val="20"/>
                <w:szCs w:val="22"/>
              </w:rPr>
              <w:t>$1,026</w:t>
            </w:r>
          </w:p>
        </w:tc>
        <w:tc>
          <w:tcPr>
            <w:tcW w:w="655" w:type="dxa"/>
            <w:tcBorders>
              <w:top w:val="nil"/>
              <w:left w:val="nil"/>
              <w:bottom w:val="single" w:sz="4" w:space="0" w:color="auto"/>
              <w:right w:val="single" w:sz="4" w:space="0" w:color="auto"/>
            </w:tcBorders>
            <w:shd w:val="clear" w:color="auto" w:fill="auto"/>
            <w:vAlign w:val="center"/>
            <w:hideMark/>
          </w:tcPr>
          <w:p w14:paraId="07C8A2CF" w14:textId="77777777" w:rsidR="00101ABD" w:rsidRPr="005F6C03" w:rsidRDefault="00101ABD" w:rsidP="00101ABD">
            <w:pPr>
              <w:jc w:val="center"/>
              <w:rPr>
                <w:color w:val="000000"/>
                <w:sz w:val="20"/>
                <w:szCs w:val="22"/>
              </w:rPr>
            </w:pPr>
            <w:r w:rsidRPr="005F6C03">
              <w:rPr>
                <w:color w:val="000000"/>
                <w:sz w:val="20"/>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371A972C" w14:textId="77777777" w:rsidR="00101ABD" w:rsidRPr="005F6C03" w:rsidRDefault="00101ABD" w:rsidP="00101ABD">
            <w:pPr>
              <w:jc w:val="center"/>
              <w:rPr>
                <w:color w:val="000000"/>
                <w:sz w:val="20"/>
                <w:szCs w:val="22"/>
              </w:rPr>
            </w:pPr>
            <w:r w:rsidRPr="005F6C03">
              <w:rPr>
                <w:color w:val="000000"/>
                <w:sz w:val="20"/>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14:paraId="122640C3" w14:textId="77777777" w:rsidR="00101ABD" w:rsidRPr="005F6C03" w:rsidRDefault="00101ABD" w:rsidP="00101ABD">
            <w:pPr>
              <w:jc w:val="center"/>
              <w:rPr>
                <w:color w:val="000000"/>
                <w:sz w:val="20"/>
                <w:szCs w:val="22"/>
              </w:rPr>
            </w:pPr>
            <w:r w:rsidRPr="005F6C03">
              <w:rPr>
                <w:color w:val="000000"/>
                <w:sz w:val="20"/>
                <w:szCs w:val="22"/>
              </w:rPr>
              <w:t>12</w:t>
            </w:r>
          </w:p>
        </w:tc>
        <w:tc>
          <w:tcPr>
            <w:tcW w:w="990" w:type="dxa"/>
            <w:tcBorders>
              <w:top w:val="nil"/>
              <w:left w:val="nil"/>
              <w:bottom w:val="single" w:sz="4" w:space="0" w:color="auto"/>
              <w:right w:val="single" w:sz="4" w:space="0" w:color="auto"/>
            </w:tcBorders>
            <w:shd w:val="clear" w:color="auto" w:fill="auto"/>
            <w:noWrap/>
            <w:vAlign w:val="center"/>
            <w:hideMark/>
          </w:tcPr>
          <w:p w14:paraId="608F4125" w14:textId="77777777" w:rsidR="00101ABD" w:rsidRPr="005F6C03" w:rsidRDefault="00101ABD" w:rsidP="00101ABD">
            <w:pPr>
              <w:jc w:val="center"/>
              <w:rPr>
                <w:color w:val="000000"/>
                <w:sz w:val="20"/>
                <w:szCs w:val="22"/>
              </w:rPr>
            </w:pPr>
            <w:r w:rsidRPr="005F6C03">
              <w:rPr>
                <w:color w:val="000000"/>
                <w:sz w:val="20"/>
                <w:szCs w:val="22"/>
              </w:rPr>
              <w:t>$1,026</w:t>
            </w:r>
          </w:p>
        </w:tc>
      </w:tr>
      <w:tr w:rsidR="00101ABD" w:rsidRPr="005F6C03" w14:paraId="7B3A799F" w14:textId="77777777" w:rsidTr="00101ABD">
        <w:trPr>
          <w:trHeight w:val="300"/>
        </w:trPr>
        <w:tc>
          <w:tcPr>
            <w:tcW w:w="10350" w:type="dxa"/>
            <w:gridSpan w:val="9"/>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3FDC2314" w14:textId="77777777" w:rsidR="00101ABD" w:rsidRPr="005F6C03" w:rsidRDefault="00101ABD" w:rsidP="00101ABD">
            <w:pPr>
              <w:jc w:val="center"/>
              <w:rPr>
                <w:color w:val="000000"/>
                <w:sz w:val="20"/>
                <w:szCs w:val="22"/>
              </w:rPr>
            </w:pPr>
          </w:p>
        </w:tc>
      </w:tr>
      <w:tr w:rsidR="00101ABD" w:rsidRPr="005F6C03" w14:paraId="0D9A55C4" w14:textId="77777777" w:rsidTr="00553EF5">
        <w:trPr>
          <w:trHeight w:val="3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0D58D448" w14:textId="77777777" w:rsidR="00101ABD" w:rsidRPr="005F6C03" w:rsidRDefault="00101ABD" w:rsidP="00101ABD">
            <w:pPr>
              <w:rPr>
                <w:color w:val="000000"/>
                <w:sz w:val="20"/>
                <w:szCs w:val="22"/>
              </w:rPr>
            </w:pPr>
            <w:r w:rsidRPr="005F6C03">
              <w:rPr>
                <w:color w:val="000000"/>
                <w:sz w:val="20"/>
                <w:szCs w:val="22"/>
              </w:rPr>
              <w:t>Region 6</w:t>
            </w:r>
            <w:r w:rsidRPr="005F6C03">
              <w:rPr>
                <w:vertAlign w:val="superscript"/>
              </w:rPr>
              <w:t>1</w:t>
            </w:r>
            <w:r w:rsidRPr="005F6C03">
              <w:rPr>
                <w:color w:val="000000"/>
                <w:sz w:val="20"/>
                <w:szCs w:val="22"/>
              </w:rPr>
              <w:t xml:space="preserve"> </w:t>
            </w:r>
          </w:p>
        </w:tc>
        <w:tc>
          <w:tcPr>
            <w:tcW w:w="630" w:type="dxa"/>
            <w:tcBorders>
              <w:top w:val="nil"/>
              <w:left w:val="nil"/>
              <w:bottom w:val="single" w:sz="4" w:space="0" w:color="auto"/>
              <w:right w:val="single" w:sz="4" w:space="0" w:color="auto"/>
            </w:tcBorders>
            <w:shd w:val="clear" w:color="auto" w:fill="auto"/>
            <w:vAlign w:val="center"/>
            <w:hideMark/>
          </w:tcPr>
          <w:p w14:paraId="23D48A07" w14:textId="77777777" w:rsidR="00101ABD" w:rsidRPr="005F6C03" w:rsidRDefault="00101ABD" w:rsidP="00101ABD">
            <w:pPr>
              <w:jc w:val="center"/>
              <w:rPr>
                <w:color w:val="000000"/>
                <w:sz w:val="20"/>
                <w:szCs w:val="22"/>
              </w:rPr>
            </w:pPr>
            <w:r w:rsidRPr="005F6C03">
              <w:rPr>
                <w:color w:val="000000"/>
                <w:sz w:val="20"/>
                <w:szCs w:val="22"/>
              </w:rPr>
              <w:t>9.5</w:t>
            </w:r>
          </w:p>
        </w:tc>
        <w:tc>
          <w:tcPr>
            <w:tcW w:w="1077" w:type="dxa"/>
            <w:tcBorders>
              <w:top w:val="nil"/>
              <w:left w:val="nil"/>
              <w:bottom w:val="single" w:sz="4" w:space="0" w:color="auto"/>
              <w:right w:val="single" w:sz="4" w:space="0" w:color="auto"/>
            </w:tcBorders>
            <w:shd w:val="clear" w:color="auto" w:fill="auto"/>
            <w:noWrap/>
            <w:vAlign w:val="center"/>
            <w:hideMark/>
          </w:tcPr>
          <w:p w14:paraId="2BBFE70A" w14:textId="77777777" w:rsidR="00101ABD" w:rsidRPr="005F6C03" w:rsidRDefault="00101ABD" w:rsidP="00101ABD">
            <w:pPr>
              <w:jc w:val="center"/>
              <w:rPr>
                <w:color w:val="000000"/>
                <w:sz w:val="20"/>
                <w:szCs w:val="22"/>
              </w:rPr>
            </w:pPr>
            <w:r w:rsidRPr="005F6C03">
              <w:rPr>
                <w:color w:val="000000"/>
                <w:sz w:val="20"/>
                <w:szCs w:val="22"/>
              </w:rPr>
              <w:t>$1,234</w:t>
            </w:r>
          </w:p>
        </w:tc>
        <w:tc>
          <w:tcPr>
            <w:tcW w:w="666" w:type="dxa"/>
            <w:tcBorders>
              <w:top w:val="nil"/>
              <w:left w:val="nil"/>
              <w:bottom w:val="single" w:sz="4" w:space="0" w:color="auto"/>
              <w:right w:val="single" w:sz="4" w:space="0" w:color="auto"/>
            </w:tcBorders>
            <w:shd w:val="clear" w:color="auto" w:fill="auto"/>
            <w:vAlign w:val="center"/>
            <w:hideMark/>
          </w:tcPr>
          <w:p w14:paraId="7C0F42D2" w14:textId="77777777" w:rsidR="00101ABD" w:rsidRPr="005F6C03" w:rsidRDefault="00101ABD" w:rsidP="00101ABD">
            <w:pPr>
              <w:jc w:val="center"/>
              <w:rPr>
                <w:color w:val="000000"/>
                <w:sz w:val="20"/>
                <w:szCs w:val="22"/>
              </w:rPr>
            </w:pPr>
            <w:r w:rsidRPr="005F6C03">
              <w:rPr>
                <w:color w:val="000000"/>
                <w:sz w:val="20"/>
                <w:szCs w:val="22"/>
              </w:rPr>
              <w:t>110.5</w:t>
            </w:r>
          </w:p>
        </w:tc>
        <w:tc>
          <w:tcPr>
            <w:tcW w:w="1022" w:type="dxa"/>
            <w:tcBorders>
              <w:top w:val="nil"/>
              <w:left w:val="nil"/>
              <w:bottom w:val="single" w:sz="4" w:space="0" w:color="auto"/>
              <w:right w:val="single" w:sz="4" w:space="0" w:color="auto"/>
            </w:tcBorders>
            <w:shd w:val="clear" w:color="auto" w:fill="auto"/>
            <w:noWrap/>
            <w:vAlign w:val="center"/>
            <w:hideMark/>
          </w:tcPr>
          <w:p w14:paraId="70836A79" w14:textId="77777777" w:rsidR="00101ABD" w:rsidRPr="005F6C03" w:rsidRDefault="00101ABD" w:rsidP="00101ABD">
            <w:pPr>
              <w:jc w:val="center"/>
              <w:rPr>
                <w:color w:val="000000"/>
                <w:sz w:val="20"/>
                <w:szCs w:val="22"/>
              </w:rPr>
            </w:pPr>
            <w:r w:rsidRPr="005F6C03">
              <w:rPr>
                <w:color w:val="000000"/>
                <w:sz w:val="20"/>
                <w:szCs w:val="22"/>
              </w:rPr>
              <w:t>$9,449</w:t>
            </w:r>
          </w:p>
        </w:tc>
        <w:tc>
          <w:tcPr>
            <w:tcW w:w="655" w:type="dxa"/>
            <w:tcBorders>
              <w:top w:val="nil"/>
              <w:left w:val="nil"/>
              <w:bottom w:val="single" w:sz="4" w:space="0" w:color="auto"/>
              <w:right w:val="single" w:sz="4" w:space="0" w:color="auto"/>
            </w:tcBorders>
            <w:shd w:val="clear" w:color="auto" w:fill="auto"/>
            <w:vAlign w:val="center"/>
            <w:hideMark/>
          </w:tcPr>
          <w:p w14:paraId="7C988B48" w14:textId="77777777" w:rsidR="00101ABD" w:rsidRPr="005F6C03" w:rsidRDefault="00101ABD" w:rsidP="00101ABD">
            <w:pPr>
              <w:jc w:val="center"/>
              <w:rPr>
                <w:color w:val="000000"/>
                <w:sz w:val="20"/>
                <w:szCs w:val="22"/>
              </w:rPr>
            </w:pPr>
            <w:r w:rsidRPr="005F6C03">
              <w:rPr>
                <w:color w:val="000000"/>
                <w:sz w:val="20"/>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03243595" w14:textId="77777777" w:rsidR="00101ABD" w:rsidRPr="005F6C03" w:rsidRDefault="00101ABD" w:rsidP="00101ABD">
            <w:pPr>
              <w:jc w:val="center"/>
              <w:rPr>
                <w:color w:val="000000"/>
                <w:sz w:val="20"/>
                <w:szCs w:val="22"/>
              </w:rPr>
            </w:pPr>
            <w:r w:rsidRPr="005F6C03">
              <w:rPr>
                <w:color w:val="000000"/>
                <w:sz w:val="20"/>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14:paraId="1F284250" w14:textId="77777777" w:rsidR="00101ABD" w:rsidRPr="005F6C03" w:rsidRDefault="00101ABD" w:rsidP="00101ABD">
            <w:pPr>
              <w:jc w:val="center"/>
              <w:rPr>
                <w:color w:val="000000"/>
                <w:sz w:val="20"/>
                <w:szCs w:val="22"/>
              </w:rPr>
            </w:pPr>
            <w:r w:rsidRPr="005F6C03">
              <w:rPr>
                <w:color w:val="000000"/>
                <w:sz w:val="20"/>
                <w:szCs w:val="22"/>
              </w:rPr>
              <w:t>120</w:t>
            </w:r>
          </w:p>
        </w:tc>
        <w:tc>
          <w:tcPr>
            <w:tcW w:w="990" w:type="dxa"/>
            <w:tcBorders>
              <w:top w:val="nil"/>
              <w:left w:val="nil"/>
              <w:bottom w:val="single" w:sz="4" w:space="0" w:color="auto"/>
              <w:right w:val="single" w:sz="4" w:space="0" w:color="auto"/>
            </w:tcBorders>
            <w:shd w:val="clear" w:color="auto" w:fill="auto"/>
            <w:noWrap/>
            <w:vAlign w:val="center"/>
            <w:hideMark/>
          </w:tcPr>
          <w:p w14:paraId="6684BED8" w14:textId="77777777" w:rsidR="00101ABD" w:rsidRPr="005F6C03" w:rsidRDefault="00101ABD" w:rsidP="00101ABD">
            <w:pPr>
              <w:jc w:val="center"/>
              <w:rPr>
                <w:color w:val="000000"/>
                <w:sz w:val="20"/>
                <w:szCs w:val="22"/>
              </w:rPr>
            </w:pPr>
            <w:r w:rsidRPr="005F6C03">
              <w:rPr>
                <w:color w:val="000000"/>
                <w:sz w:val="20"/>
                <w:szCs w:val="22"/>
              </w:rPr>
              <w:t>$10,682</w:t>
            </w:r>
          </w:p>
        </w:tc>
      </w:tr>
      <w:tr w:rsidR="00101ABD" w:rsidRPr="005F6C03" w14:paraId="55DB0302" w14:textId="77777777" w:rsidTr="00553EF5">
        <w:trPr>
          <w:trHeight w:val="90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4D8E5E4" w14:textId="77777777" w:rsidR="00101ABD" w:rsidRPr="005F6C03" w:rsidRDefault="00101ABD" w:rsidP="00101ABD">
            <w:pPr>
              <w:rPr>
                <w:b/>
                <w:color w:val="000000"/>
                <w:sz w:val="20"/>
                <w:szCs w:val="22"/>
              </w:rPr>
            </w:pPr>
            <w:r w:rsidRPr="005F6C03">
              <w:rPr>
                <w:b/>
                <w:color w:val="000000"/>
                <w:sz w:val="20"/>
                <w:szCs w:val="22"/>
              </w:rPr>
              <w:t>Total (per Template)</w:t>
            </w:r>
          </w:p>
        </w:tc>
        <w:tc>
          <w:tcPr>
            <w:tcW w:w="630" w:type="dxa"/>
            <w:tcBorders>
              <w:top w:val="nil"/>
              <w:left w:val="nil"/>
              <w:bottom w:val="single" w:sz="4" w:space="0" w:color="auto"/>
              <w:right w:val="single" w:sz="4" w:space="0" w:color="auto"/>
            </w:tcBorders>
            <w:shd w:val="clear" w:color="auto" w:fill="auto"/>
            <w:vAlign w:val="center"/>
            <w:hideMark/>
          </w:tcPr>
          <w:p w14:paraId="3FF843AE" w14:textId="77777777" w:rsidR="00101ABD" w:rsidRPr="005F6C03" w:rsidRDefault="00101ABD" w:rsidP="00101ABD">
            <w:pPr>
              <w:jc w:val="center"/>
              <w:rPr>
                <w:b/>
                <w:color w:val="000000"/>
                <w:sz w:val="20"/>
                <w:szCs w:val="22"/>
              </w:rPr>
            </w:pPr>
            <w:r w:rsidRPr="005F6C03">
              <w:rPr>
                <w:b/>
                <w:color w:val="000000"/>
                <w:sz w:val="20"/>
                <w:szCs w:val="22"/>
              </w:rPr>
              <w:t>39.2</w:t>
            </w:r>
          </w:p>
        </w:tc>
        <w:tc>
          <w:tcPr>
            <w:tcW w:w="1077" w:type="dxa"/>
            <w:tcBorders>
              <w:top w:val="nil"/>
              <w:left w:val="nil"/>
              <w:bottom w:val="single" w:sz="4" w:space="0" w:color="auto"/>
              <w:right w:val="single" w:sz="4" w:space="0" w:color="auto"/>
            </w:tcBorders>
            <w:shd w:val="clear" w:color="auto" w:fill="auto"/>
            <w:noWrap/>
            <w:vAlign w:val="center"/>
            <w:hideMark/>
          </w:tcPr>
          <w:p w14:paraId="32493AC3" w14:textId="77777777" w:rsidR="00101ABD" w:rsidRPr="005F6C03" w:rsidRDefault="00101ABD" w:rsidP="00101ABD">
            <w:pPr>
              <w:jc w:val="center"/>
              <w:rPr>
                <w:b/>
                <w:color w:val="000000"/>
                <w:sz w:val="20"/>
                <w:szCs w:val="22"/>
              </w:rPr>
            </w:pPr>
            <w:r w:rsidRPr="005F6C03">
              <w:rPr>
                <w:b/>
                <w:color w:val="000000"/>
                <w:sz w:val="20"/>
                <w:szCs w:val="22"/>
              </w:rPr>
              <w:t>$5,090</w:t>
            </w:r>
          </w:p>
        </w:tc>
        <w:tc>
          <w:tcPr>
            <w:tcW w:w="666" w:type="dxa"/>
            <w:tcBorders>
              <w:top w:val="nil"/>
              <w:left w:val="nil"/>
              <w:bottom w:val="single" w:sz="4" w:space="0" w:color="auto"/>
              <w:right w:val="single" w:sz="4" w:space="0" w:color="auto"/>
            </w:tcBorders>
            <w:shd w:val="clear" w:color="auto" w:fill="auto"/>
            <w:vAlign w:val="center"/>
            <w:hideMark/>
          </w:tcPr>
          <w:p w14:paraId="3E60086E" w14:textId="77777777" w:rsidR="00101ABD" w:rsidRPr="005F6C03" w:rsidRDefault="00101ABD" w:rsidP="00101ABD">
            <w:pPr>
              <w:jc w:val="center"/>
              <w:rPr>
                <w:b/>
                <w:color w:val="000000"/>
                <w:sz w:val="20"/>
                <w:szCs w:val="22"/>
              </w:rPr>
            </w:pPr>
            <w:r w:rsidRPr="005F6C03">
              <w:rPr>
                <w:b/>
                <w:color w:val="000000"/>
                <w:sz w:val="20"/>
                <w:szCs w:val="22"/>
              </w:rPr>
              <w:t>456.6</w:t>
            </w:r>
          </w:p>
        </w:tc>
        <w:tc>
          <w:tcPr>
            <w:tcW w:w="1022" w:type="dxa"/>
            <w:tcBorders>
              <w:top w:val="nil"/>
              <w:left w:val="nil"/>
              <w:bottom w:val="single" w:sz="4" w:space="0" w:color="auto"/>
              <w:right w:val="single" w:sz="4" w:space="0" w:color="auto"/>
            </w:tcBorders>
            <w:shd w:val="clear" w:color="auto" w:fill="auto"/>
            <w:noWrap/>
            <w:vAlign w:val="center"/>
            <w:hideMark/>
          </w:tcPr>
          <w:p w14:paraId="053049A4" w14:textId="77777777" w:rsidR="00101ABD" w:rsidRPr="005F6C03" w:rsidRDefault="00101ABD" w:rsidP="00101ABD">
            <w:pPr>
              <w:jc w:val="center"/>
              <w:rPr>
                <w:b/>
                <w:color w:val="000000"/>
                <w:sz w:val="20"/>
                <w:szCs w:val="22"/>
              </w:rPr>
            </w:pPr>
            <w:r w:rsidRPr="005F6C03">
              <w:rPr>
                <w:b/>
                <w:color w:val="000000"/>
                <w:sz w:val="20"/>
                <w:szCs w:val="22"/>
              </w:rPr>
              <w:t>$39,043</w:t>
            </w:r>
          </w:p>
        </w:tc>
        <w:tc>
          <w:tcPr>
            <w:tcW w:w="655" w:type="dxa"/>
            <w:tcBorders>
              <w:top w:val="nil"/>
              <w:left w:val="nil"/>
              <w:bottom w:val="single" w:sz="4" w:space="0" w:color="auto"/>
              <w:right w:val="single" w:sz="4" w:space="0" w:color="auto"/>
            </w:tcBorders>
            <w:shd w:val="clear" w:color="auto" w:fill="auto"/>
            <w:vAlign w:val="center"/>
            <w:hideMark/>
          </w:tcPr>
          <w:p w14:paraId="2885DEB6" w14:textId="77777777" w:rsidR="00101ABD" w:rsidRPr="005F6C03" w:rsidRDefault="00101ABD" w:rsidP="00101ABD">
            <w:pPr>
              <w:jc w:val="center"/>
              <w:rPr>
                <w:b/>
                <w:color w:val="000000"/>
                <w:sz w:val="20"/>
                <w:szCs w:val="22"/>
              </w:rPr>
            </w:pPr>
            <w:r w:rsidRPr="005F6C03">
              <w:rPr>
                <w:b/>
                <w:color w:val="000000"/>
                <w:sz w:val="20"/>
                <w:szCs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32BDC68F" w14:textId="77777777" w:rsidR="00101ABD" w:rsidRPr="005F6C03" w:rsidRDefault="00101ABD" w:rsidP="00101ABD">
            <w:pPr>
              <w:jc w:val="center"/>
              <w:rPr>
                <w:b/>
                <w:color w:val="000000"/>
                <w:sz w:val="20"/>
                <w:szCs w:val="22"/>
              </w:rPr>
            </w:pPr>
            <w:r w:rsidRPr="005F6C03">
              <w:rPr>
                <w:b/>
                <w:color w:val="000000"/>
                <w:sz w:val="20"/>
                <w:szCs w:val="22"/>
              </w:rPr>
              <w:t>$120</w:t>
            </w:r>
          </w:p>
        </w:tc>
        <w:tc>
          <w:tcPr>
            <w:tcW w:w="900" w:type="dxa"/>
            <w:tcBorders>
              <w:top w:val="nil"/>
              <w:left w:val="nil"/>
              <w:bottom w:val="single" w:sz="4" w:space="0" w:color="auto"/>
              <w:right w:val="single" w:sz="4" w:space="0" w:color="auto"/>
            </w:tcBorders>
            <w:shd w:val="clear" w:color="auto" w:fill="auto"/>
            <w:noWrap/>
            <w:vAlign w:val="center"/>
            <w:hideMark/>
          </w:tcPr>
          <w:p w14:paraId="357718A4" w14:textId="77777777" w:rsidR="00101ABD" w:rsidRPr="005F6C03" w:rsidRDefault="00101ABD" w:rsidP="00101ABD">
            <w:pPr>
              <w:jc w:val="center"/>
              <w:rPr>
                <w:b/>
                <w:i/>
                <w:color w:val="000000"/>
                <w:sz w:val="20"/>
                <w:szCs w:val="22"/>
              </w:rPr>
            </w:pPr>
            <w:r w:rsidRPr="005F6C03">
              <w:rPr>
                <w:b/>
                <w:i/>
                <w:color w:val="000000"/>
                <w:sz w:val="20"/>
                <w:szCs w:val="22"/>
              </w:rPr>
              <w:t>498.3</w:t>
            </w:r>
          </w:p>
        </w:tc>
        <w:tc>
          <w:tcPr>
            <w:tcW w:w="990" w:type="dxa"/>
            <w:tcBorders>
              <w:top w:val="nil"/>
              <w:left w:val="nil"/>
              <w:bottom w:val="single" w:sz="4" w:space="0" w:color="auto"/>
              <w:right w:val="single" w:sz="4" w:space="0" w:color="auto"/>
            </w:tcBorders>
            <w:shd w:val="clear" w:color="auto" w:fill="auto"/>
            <w:noWrap/>
            <w:vAlign w:val="center"/>
            <w:hideMark/>
          </w:tcPr>
          <w:p w14:paraId="34F92A5D" w14:textId="77777777" w:rsidR="00101ABD" w:rsidRPr="005F6C03" w:rsidRDefault="00101ABD" w:rsidP="00101ABD">
            <w:pPr>
              <w:jc w:val="center"/>
              <w:rPr>
                <w:b/>
                <w:i/>
                <w:color w:val="000000"/>
                <w:sz w:val="20"/>
                <w:szCs w:val="22"/>
              </w:rPr>
            </w:pPr>
            <w:r w:rsidRPr="005F6C03">
              <w:rPr>
                <w:b/>
                <w:i/>
                <w:color w:val="000000"/>
                <w:sz w:val="20"/>
                <w:szCs w:val="22"/>
              </w:rPr>
              <w:t>$44,253</w:t>
            </w:r>
          </w:p>
        </w:tc>
      </w:tr>
    </w:tbl>
    <w:p w14:paraId="4E0F39AB" w14:textId="77777777" w:rsidR="00101ABD" w:rsidRPr="005F6C03" w:rsidRDefault="00101ABD" w:rsidP="00101ABD">
      <w:pPr>
        <w:pStyle w:val="FootnoteText"/>
      </w:pPr>
      <w:r w:rsidRPr="005F6C03">
        <w:t xml:space="preserve">Numbers may not add due to rounding. </w:t>
      </w:r>
    </w:p>
    <w:p w14:paraId="39243C13" w14:textId="77777777" w:rsidR="00101ABD" w:rsidRPr="005F6C03" w:rsidRDefault="00101ABD" w:rsidP="00101ABD">
      <w:pPr>
        <w:pStyle w:val="FootnoteText"/>
      </w:pPr>
      <w:r w:rsidRPr="005F6C03">
        <w:rPr>
          <w:vertAlign w:val="superscript"/>
        </w:rPr>
        <w:t>1</w:t>
      </w:r>
      <w:r w:rsidRPr="005F6C03">
        <w:t xml:space="preserve">Region 6 did not provide a burden breakdown of activities so only a summary of the annual activities estimates are provided.  </w:t>
      </w:r>
    </w:p>
    <w:p w14:paraId="3E216E68" w14:textId="77777777" w:rsidR="00101ABD" w:rsidRPr="005F6C03" w:rsidRDefault="00101ABD" w:rsidP="00101ABD">
      <w:pPr>
        <w:tabs>
          <w:tab w:val="left" w:pos="1830"/>
        </w:tabs>
      </w:pPr>
      <w:r w:rsidRPr="005F6C03">
        <w:tab/>
      </w:r>
    </w:p>
    <w:p w14:paraId="23956CE4" w14:textId="77777777" w:rsidR="00101ABD" w:rsidRPr="005F6C03" w:rsidRDefault="00101ABD" w:rsidP="00101ABD">
      <w:pPr>
        <w:tabs>
          <w:tab w:val="left" w:pos="1830"/>
        </w:tabs>
      </w:pPr>
      <w:r w:rsidRPr="005F6C03">
        <w:rPr>
          <w:rFonts w:eastAsiaTheme="majorEastAsia"/>
          <w:color w:val="2E74B5" w:themeColor="accent1" w:themeShade="BF"/>
          <w:sz w:val="26"/>
          <w:szCs w:val="26"/>
        </w:rPr>
        <w:t>6(d).  Estimating the Respondent Universe and Total Burden and Costs.</w:t>
      </w:r>
      <w:r w:rsidRPr="005F6C03">
        <w:t xml:space="preserve"> </w:t>
      </w:r>
    </w:p>
    <w:p w14:paraId="367F29E4" w14:textId="418DF887" w:rsidR="00101ABD" w:rsidRPr="005F6C03" w:rsidRDefault="00101ABD" w:rsidP="00101ABD">
      <w:r w:rsidRPr="005F6C03">
        <w:t xml:space="preserve">For the FIFRA program specific ICR burden hour projections, the estimates and cost projected assume that all the grantees, 81 states, </w:t>
      </w:r>
      <w:r w:rsidRPr="005F6C03">
        <w:rPr>
          <w:noProof/>
        </w:rPr>
        <w:t>territories,</w:t>
      </w:r>
      <w:r w:rsidRPr="005F6C03">
        <w:t xml:space="preserve"> and tribes, are using the Template for their work plan and reporting requirements and will continue to do so. Estimates of the burden are expressed as one </w:t>
      </w:r>
      <w:r w:rsidRPr="005F6C03">
        <w:rPr>
          <w:noProof/>
        </w:rPr>
        <w:t>complete</w:t>
      </w:r>
      <w:r w:rsidRPr="005F6C03">
        <w:t xml:space="preserve"> annual reporting event using the Template, which includes a mid-year and year-end report</w:t>
      </w:r>
      <w:r w:rsidR="00BD1DF7" w:rsidRPr="005F6C03">
        <w:t xml:space="preserve"> (biannual reporting)</w:t>
      </w:r>
      <w:r w:rsidRPr="005F6C03">
        <w:t xml:space="preserve">. The estimate assumes that all grantees will conduct all the activities in the Template. This is a conservative </w:t>
      </w:r>
      <w:r w:rsidRPr="005F6C03">
        <w:rPr>
          <w:noProof/>
        </w:rPr>
        <w:t>estimate</w:t>
      </w:r>
      <w:r w:rsidRPr="005F6C03">
        <w:t xml:space="preserve"> since not all 81 FIFRA grantees will participate in all of the FIFRA grant program activities or have the same number of grant contract years (i.e., 3 years vs. 1 year).  </w:t>
      </w:r>
    </w:p>
    <w:p w14:paraId="4776D91C" w14:textId="77777777" w:rsidR="00101ABD" w:rsidRPr="005F6C03" w:rsidRDefault="00101ABD" w:rsidP="00101ABD">
      <w:pPr>
        <w:pStyle w:val="Heading2"/>
        <w:rPr>
          <w:rFonts w:ascii="Times New Roman" w:hAnsi="Times New Roman" w:cs="Times New Roman"/>
        </w:rPr>
      </w:pPr>
    </w:p>
    <w:p w14:paraId="3573D360" w14:textId="77777777" w:rsidR="00101ABD" w:rsidRPr="005F6C03" w:rsidRDefault="00101ABD" w:rsidP="00101ABD">
      <w:pPr>
        <w:pStyle w:val="Heading2"/>
        <w:rPr>
          <w:rFonts w:ascii="Times New Roman" w:hAnsi="Times New Roman" w:cs="Times New Roman"/>
        </w:rPr>
      </w:pPr>
      <w:r w:rsidRPr="005F6C03">
        <w:rPr>
          <w:rFonts w:ascii="Times New Roman" w:hAnsi="Times New Roman" w:cs="Times New Roman"/>
        </w:rPr>
        <w:t>6(e).  Bottom Line Burden Hour and Cost.</w:t>
      </w:r>
    </w:p>
    <w:p w14:paraId="3780D94D" w14:textId="182B554D" w:rsidR="00101ABD" w:rsidRPr="005F6C03" w:rsidRDefault="00101ABD" w:rsidP="00101ABD">
      <w:pPr>
        <w:keepNext/>
        <w:keepLines/>
      </w:pPr>
      <w:r w:rsidRPr="005F6C03">
        <w:t xml:space="preserve">Table 3 represents the </w:t>
      </w:r>
      <w:r w:rsidR="007047B5" w:rsidRPr="005F6C03">
        <w:t xml:space="preserve">annual grantee </w:t>
      </w:r>
      <w:r w:rsidRPr="005F6C03">
        <w:t xml:space="preserve">per Template burden of the required grant reporting for the FIFRA </w:t>
      </w:r>
      <w:r w:rsidRPr="005F6C03">
        <w:rPr>
          <w:noProof/>
        </w:rPr>
        <w:t>program specific</w:t>
      </w:r>
      <w:r w:rsidRPr="005F6C03">
        <w:t xml:space="preserve"> activities. The total annual burden hours for all respondents (i.e. 81 STAG grantees) is 26,195 (323.40 X 81 Templates/respondents). The total annual burden cost for all respondents is $2,</w:t>
      </w:r>
      <w:r w:rsidR="00121F3E">
        <w:t xml:space="preserve"> </w:t>
      </w:r>
      <w:r w:rsidRPr="005F6C03">
        <w:t>102,179 ($25,953 X 81 Templates/respondents). The total annual Agency burden hours is 40,362 (323.40 X 81 respondents). The total annual Agency burden cost is $3,584,515 ($25,953 X 81 respondents).</w:t>
      </w:r>
    </w:p>
    <w:p w14:paraId="651D2720" w14:textId="77777777" w:rsidR="00101ABD" w:rsidRPr="005F6C03" w:rsidRDefault="00101ABD" w:rsidP="00101ABD">
      <w:pPr>
        <w:keepNext/>
        <w:keepLines/>
      </w:pPr>
    </w:p>
    <w:p w14:paraId="2A72F3C2" w14:textId="0C1EDA79" w:rsidR="00101ABD" w:rsidRPr="005F6C03" w:rsidRDefault="00101ABD" w:rsidP="00101ABD">
      <w:pPr>
        <w:keepNext/>
        <w:keepLines/>
      </w:pPr>
      <w:r w:rsidRPr="005F6C03">
        <w:t xml:space="preserve">In this renewal ICR, the “per event” </w:t>
      </w:r>
      <w:r w:rsidR="00BD1DF7" w:rsidRPr="005F6C03">
        <w:t xml:space="preserve">or Template burden estimates the </w:t>
      </w:r>
      <w:r w:rsidRPr="005F6C03">
        <w:t xml:space="preserve">burden </w:t>
      </w:r>
      <w:r w:rsidR="00BD1DF7" w:rsidRPr="005F6C03">
        <w:t>will remain the same as the last ICR, at</w:t>
      </w:r>
      <w:r w:rsidRPr="005F6C03">
        <w:t xml:space="preserve"> 46.15</w:t>
      </w:r>
      <w:r w:rsidRPr="005F6C03">
        <w:rPr>
          <w:color w:val="FF0000"/>
        </w:rPr>
        <w:t xml:space="preserve"> </w:t>
      </w:r>
      <w:r w:rsidRPr="005F6C03">
        <w:t xml:space="preserve">hours to conduct the </w:t>
      </w:r>
      <w:r w:rsidR="00E45D62" w:rsidRPr="005F6C03">
        <w:t>STAG gran</w:t>
      </w:r>
      <w:r w:rsidR="00BD1DF7" w:rsidRPr="005F6C03">
        <w:t>t</w:t>
      </w:r>
      <w:r w:rsidR="00E45D62" w:rsidRPr="005F6C03">
        <w:t xml:space="preserve"> </w:t>
      </w:r>
      <w:r w:rsidRPr="005F6C03">
        <w:t xml:space="preserve">activities. </w:t>
      </w:r>
    </w:p>
    <w:p w14:paraId="16FE19FE" w14:textId="26A7135A" w:rsidR="00101ABD" w:rsidRPr="005F6C03" w:rsidRDefault="00101ABD" w:rsidP="00101ABD">
      <w:pPr>
        <w:keepNext/>
        <w:keepLines/>
      </w:pPr>
    </w:p>
    <w:p w14:paraId="2D37E7D0" w14:textId="77777777" w:rsidR="00101ABD" w:rsidRPr="005F6C03" w:rsidRDefault="00101ABD" w:rsidP="00101ABD">
      <w:pPr>
        <w:keepNext/>
        <w:keepLines/>
      </w:pPr>
      <w:r w:rsidRPr="005F6C03">
        <w:rPr>
          <w:b/>
          <w:bCs/>
          <w:color w:val="000000"/>
        </w:rPr>
        <w:t xml:space="preserve">Table 3. </w:t>
      </w:r>
      <w:r w:rsidRPr="005F6C03">
        <w:rPr>
          <w:b/>
        </w:rPr>
        <w:t>Total Annual Burden Hour and Cost for Respondents and Agency</w:t>
      </w:r>
    </w:p>
    <w:p w14:paraId="54C4D56D" w14:textId="77777777" w:rsidR="00101ABD" w:rsidRPr="005F6C03" w:rsidRDefault="00101ABD" w:rsidP="00101ABD">
      <w:pPr>
        <w:keepNext/>
        <w:keepLines/>
      </w:pPr>
    </w:p>
    <w:tbl>
      <w:tblPr>
        <w:tblW w:w="5010" w:type="pct"/>
        <w:tblInd w:w="-10" w:type="dxa"/>
        <w:tblLook w:val="04A0" w:firstRow="1" w:lastRow="0" w:firstColumn="1" w:lastColumn="0" w:noHBand="0" w:noVBand="1"/>
      </w:tblPr>
      <w:tblGrid>
        <w:gridCol w:w="6265"/>
        <w:gridCol w:w="2026"/>
        <w:gridCol w:w="2026"/>
      </w:tblGrid>
      <w:tr w:rsidR="00101ABD" w:rsidRPr="005F6C03" w14:paraId="280726F3" w14:textId="77777777" w:rsidTr="00101ABD">
        <w:trPr>
          <w:trHeight w:val="780"/>
        </w:trPr>
        <w:tc>
          <w:tcPr>
            <w:tcW w:w="303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C9FA6" w14:textId="77777777" w:rsidR="00101ABD" w:rsidRPr="005F6C03" w:rsidRDefault="00101ABD" w:rsidP="00101ABD">
            <w:pPr>
              <w:rPr>
                <w:color w:val="000000"/>
                <w:sz w:val="20"/>
                <w:szCs w:val="20"/>
              </w:rPr>
            </w:pPr>
            <w:r w:rsidRPr="005F6C03">
              <w:rPr>
                <w:color w:val="000000"/>
                <w:sz w:val="20"/>
                <w:szCs w:val="20"/>
              </w:rPr>
              <w:t> </w:t>
            </w:r>
          </w:p>
        </w:tc>
        <w:tc>
          <w:tcPr>
            <w:tcW w:w="982" w:type="pct"/>
            <w:tcBorders>
              <w:top w:val="single" w:sz="8" w:space="0" w:color="auto"/>
              <w:left w:val="nil"/>
              <w:bottom w:val="single" w:sz="8" w:space="0" w:color="auto"/>
              <w:right w:val="single" w:sz="8" w:space="0" w:color="auto"/>
            </w:tcBorders>
            <w:shd w:val="clear" w:color="000000" w:fill="D9D9D9"/>
            <w:vAlign w:val="center"/>
            <w:hideMark/>
          </w:tcPr>
          <w:p w14:paraId="16C5701C" w14:textId="77777777" w:rsidR="00101ABD" w:rsidRPr="005F6C03" w:rsidRDefault="00101ABD" w:rsidP="00101ABD">
            <w:pPr>
              <w:jc w:val="center"/>
              <w:rPr>
                <w:b/>
                <w:bCs/>
                <w:color w:val="000000"/>
                <w:sz w:val="22"/>
                <w:szCs w:val="22"/>
              </w:rPr>
            </w:pPr>
            <w:r w:rsidRPr="005F6C03">
              <w:rPr>
                <w:b/>
                <w:bCs/>
                <w:color w:val="000000"/>
                <w:sz w:val="22"/>
                <w:szCs w:val="22"/>
              </w:rPr>
              <w:t>Annual Burden Hours</w:t>
            </w:r>
          </w:p>
        </w:tc>
        <w:tc>
          <w:tcPr>
            <w:tcW w:w="982" w:type="pct"/>
            <w:tcBorders>
              <w:top w:val="single" w:sz="8" w:space="0" w:color="auto"/>
              <w:left w:val="nil"/>
              <w:bottom w:val="single" w:sz="8" w:space="0" w:color="auto"/>
              <w:right w:val="single" w:sz="8" w:space="0" w:color="auto"/>
            </w:tcBorders>
            <w:shd w:val="clear" w:color="000000" w:fill="D9D9D9"/>
            <w:vAlign w:val="center"/>
            <w:hideMark/>
          </w:tcPr>
          <w:p w14:paraId="2F6A9C9E" w14:textId="77777777" w:rsidR="00101ABD" w:rsidRPr="005F6C03" w:rsidRDefault="00101ABD" w:rsidP="00101ABD">
            <w:pPr>
              <w:jc w:val="center"/>
              <w:rPr>
                <w:b/>
                <w:bCs/>
                <w:color w:val="000000"/>
                <w:sz w:val="22"/>
                <w:szCs w:val="22"/>
              </w:rPr>
            </w:pPr>
            <w:r w:rsidRPr="005F6C03">
              <w:rPr>
                <w:b/>
                <w:bCs/>
                <w:color w:val="000000"/>
                <w:sz w:val="22"/>
                <w:szCs w:val="22"/>
              </w:rPr>
              <w:t>Annual Burden Costs</w:t>
            </w:r>
          </w:p>
        </w:tc>
      </w:tr>
      <w:tr w:rsidR="00101ABD" w:rsidRPr="005F6C03" w14:paraId="32E8B5FC" w14:textId="77777777" w:rsidTr="00101ABD">
        <w:trPr>
          <w:trHeight w:val="458"/>
        </w:trPr>
        <w:tc>
          <w:tcPr>
            <w:tcW w:w="3036" w:type="pct"/>
            <w:vMerge w:val="restart"/>
            <w:tcBorders>
              <w:top w:val="nil"/>
              <w:left w:val="single" w:sz="8" w:space="0" w:color="auto"/>
              <w:bottom w:val="single" w:sz="8" w:space="0" w:color="000000"/>
              <w:right w:val="single" w:sz="8" w:space="0" w:color="auto"/>
            </w:tcBorders>
            <w:shd w:val="clear" w:color="auto" w:fill="auto"/>
            <w:vAlign w:val="center"/>
            <w:hideMark/>
          </w:tcPr>
          <w:p w14:paraId="356E120B" w14:textId="77777777" w:rsidR="00101ABD" w:rsidRPr="005F6C03" w:rsidRDefault="00101ABD" w:rsidP="00101ABD">
            <w:pPr>
              <w:rPr>
                <w:color w:val="000000"/>
              </w:rPr>
            </w:pPr>
            <w:r w:rsidRPr="005F6C03">
              <w:rPr>
                <w:color w:val="000000"/>
              </w:rPr>
              <w:t>Respondents /Grantees (81 States, Tribes, territories – per event reporting in the FIFRA Template)</w:t>
            </w:r>
          </w:p>
        </w:tc>
        <w:tc>
          <w:tcPr>
            <w:tcW w:w="982" w:type="pct"/>
            <w:vMerge w:val="restart"/>
            <w:tcBorders>
              <w:top w:val="nil"/>
              <w:left w:val="single" w:sz="8" w:space="0" w:color="auto"/>
              <w:bottom w:val="single" w:sz="8" w:space="0" w:color="000000"/>
              <w:right w:val="single" w:sz="8" w:space="0" w:color="auto"/>
            </w:tcBorders>
            <w:shd w:val="clear" w:color="auto" w:fill="auto"/>
            <w:vAlign w:val="center"/>
            <w:hideMark/>
          </w:tcPr>
          <w:p w14:paraId="5AB6FAB3" w14:textId="77777777" w:rsidR="00101ABD" w:rsidRPr="005F6C03" w:rsidRDefault="00101ABD" w:rsidP="00101ABD">
            <w:pPr>
              <w:jc w:val="center"/>
              <w:rPr>
                <w:color w:val="000000"/>
              </w:rPr>
            </w:pPr>
            <w:r w:rsidRPr="005F6C03">
              <w:rPr>
                <w:color w:val="000000"/>
              </w:rPr>
              <w:t>26,195</w:t>
            </w:r>
          </w:p>
        </w:tc>
        <w:tc>
          <w:tcPr>
            <w:tcW w:w="982" w:type="pct"/>
            <w:vMerge w:val="restart"/>
            <w:tcBorders>
              <w:top w:val="nil"/>
              <w:left w:val="single" w:sz="8" w:space="0" w:color="auto"/>
              <w:bottom w:val="single" w:sz="8" w:space="0" w:color="000000"/>
              <w:right w:val="single" w:sz="8" w:space="0" w:color="auto"/>
            </w:tcBorders>
            <w:shd w:val="clear" w:color="auto" w:fill="auto"/>
            <w:vAlign w:val="center"/>
            <w:hideMark/>
          </w:tcPr>
          <w:p w14:paraId="38BC828A" w14:textId="77777777" w:rsidR="00101ABD" w:rsidRPr="005F6C03" w:rsidRDefault="00101ABD" w:rsidP="00101ABD">
            <w:pPr>
              <w:jc w:val="center"/>
              <w:rPr>
                <w:color w:val="000000"/>
              </w:rPr>
            </w:pPr>
            <w:r w:rsidRPr="005F6C03">
              <w:rPr>
                <w:color w:val="000000"/>
              </w:rPr>
              <w:t xml:space="preserve">$2,102,179 </w:t>
            </w:r>
          </w:p>
        </w:tc>
      </w:tr>
      <w:tr w:rsidR="00101ABD" w:rsidRPr="005F6C03" w14:paraId="457F3EF2" w14:textId="77777777" w:rsidTr="00E75BC5">
        <w:trPr>
          <w:trHeight w:val="458"/>
        </w:trPr>
        <w:tc>
          <w:tcPr>
            <w:tcW w:w="3036" w:type="pct"/>
            <w:vMerge/>
            <w:tcBorders>
              <w:top w:val="nil"/>
              <w:left w:val="single" w:sz="8" w:space="0" w:color="auto"/>
              <w:bottom w:val="single" w:sz="8" w:space="0" w:color="000000"/>
              <w:right w:val="single" w:sz="8" w:space="0" w:color="auto"/>
            </w:tcBorders>
            <w:vAlign w:val="center"/>
            <w:hideMark/>
          </w:tcPr>
          <w:p w14:paraId="249A53D3" w14:textId="77777777" w:rsidR="00101ABD" w:rsidRPr="005F6C03" w:rsidRDefault="00101ABD" w:rsidP="00101ABD">
            <w:pPr>
              <w:rPr>
                <w:color w:val="000000"/>
              </w:rPr>
            </w:pPr>
          </w:p>
        </w:tc>
        <w:tc>
          <w:tcPr>
            <w:tcW w:w="982" w:type="pct"/>
            <w:vMerge/>
            <w:tcBorders>
              <w:top w:val="nil"/>
              <w:left w:val="single" w:sz="8" w:space="0" w:color="auto"/>
              <w:bottom w:val="single" w:sz="8" w:space="0" w:color="000000"/>
              <w:right w:val="single" w:sz="8" w:space="0" w:color="auto"/>
            </w:tcBorders>
            <w:vAlign w:val="center"/>
            <w:hideMark/>
          </w:tcPr>
          <w:p w14:paraId="4F8E7FDF" w14:textId="77777777" w:rsidR="00101ABD" w:rsidRPr="005F6C03" w:rsidRDefault="00101ABD" w:rsidP="00101ABD">
            <w:pPr>
              <w:rPr>
                <w:color w:val="000000"/>
              </w:rPr>
            </w:pPr>
          </w:p>
        </w:tc>
        <w:tc>
          <w:tcPr>
            <w:tcW w:w="982" w:type="pct"/>
            <w:vMerge/>
            <w:tcBorders>
              <w:top w:val="nil"/>
              <w:left w:val="single" w:sz="8" w:space="0" w:color="auto"/>
              <w:bottom w:val="single" w:sz="8" w:space="0" w:color="000000"/>
              <w:right w:val="single" w:sz="8" w:space="0" w:color="auto"/>
            </w:tcBorders>
            <w:vAlign w:val="center"/>
            <w:hideMark/>
          </w:tcPr>
          <w:p w14:paraId="28CC6D06" w14:textId="77777777" w:rsidR="00101ABD" w:rsidRPr="005F6C03" w:rsidRDefault="00101ABD" w:rsidP="00101ABD">
            <w:pPr>
              <w:rPr>
                <w:color w:val="000000"/>
              </w:rPr>
            </w:pPr>
          </w:p>
        </w:tc>
      </w:tr>
      <w:tr w:rsidR="00101ABD" w:rsidRPr="005F6C03" w14:paraId="32983A5F" w14:textId="77777777" w:rsidTr="00101ABD">
        <w:trPr>
          <w:trHeight w:val="525"/>
        </w:trPr>
        <w:tc>
          <w:tcPr>
            <w:tcW w:w="3036" w:type="pct"/>
            <w:tcBorders>
              <w:top w:val="nil"/>
              <w:left w:val="single" w:sz="8" w:space="0" w:color="auto"/>
              <w:bottom w:val="single" w:sz="8" w:space="0" w:color="auto"/>
              <w:right w:val="single" w:sz="8" w:space="0" w:color="auto"/>
            </w:tcBorders>
            <w:shd w:val="clear" w:color="auto" w:fill="auto"/>
            <w:vAlign w:val="center"/>
            <w:hideMark/>
          </w:tcPr>
          <w:p w14:paraId="3D9E937E" w14:textId="77777777" w:rsidR="00101ABD" w:rsidRPr="005F6C03" w:rsidRDefault="00101ABD" w:rsidP="00101ABD">
            <w:pPr>
              <w:rPr>
                <w:color w:val="000000"/>
              </w:rPr>
            </w:pPr>
            <w:r w:rsidRPr="005F6C03">
              <w:rPr>
                <w:color w:val="000000"/>
              </w:rPr>
              <w:t xml:space="preserve">Agency processing burden for all 81 STAG grants annually </w:t>
            </w:r>
          </w:p>
        </w:tc>
        <w:tc>
          <w:tcPr>
            <w:tcW w:w="982" w:type="pct"/>
            <w:tcBorders>
              <w:top w:val="nil"/>
              <w:left w:val="nil"/>
              <w:bottom w:val="single" w:sz="8" w:space="0" w:color="auto"/>
              <w:right w:val="single" w:sz="8" w:space="0" w:color="auto"/>
            </w:tcBorders>
            <w:shd w:val="clear" w:color="auto" w:fill="auto"/>
            <w:vAlign w:val="center"/>
            <w:hideMark/>
          </w:tcPr>
          <w:p w14:paraId="078D30DA" w14:textId="77777777" w:rsidR="00101ABD" w:rsidRPr="005F6C03" w:rsidRDefault="00101ABD" w:rsidP="00101ABD">
            <w:pPr>
              <w:jc w:val="center"/>
              <w:rPr>
                <w:color w:val="000000"/>
              </w:rPr>
            </w:pPr>
            <w:r w:rsidRPr="005F6C03">
              <w:rPr>
                <w:color w:val="000000"/>
              </w:rPr>
              <w:t>40,362</w:t>
            </w:r>
          </w:p>
        </w:tc>
        <w:tc>
          <w:tcPr>
            <w:tcW w:w="982" w:type="pct"/>
            <w:tcBorders>
              <w:top w:val="nil"/>
              <w:left w:val="nil"/>
              <w:bottom w:val="single" w:sz="8" w:space="0" w:color="auto"/>
              <w:right w:val="single" w:sz="8" w:space="0" w:color="auto"/>
            </w:tcBorders>
            <w:shd w:val="clear" w:color="auto" w:fill="auto"/>
            <w:vAlign w:val="center"/>
            <w:hideMark/>
          </w:tcPr>
          <w:p w14:paraId="4E97DA22" w14:textId="77777777" w:rsidR="00101ABD" w:rsidRPr="005F6C03" w:rsidRDefault="00101ABD" w:rsidP="00101ABD">
            <w:pPr>
              <w:jc w:val="center"/>
              <w:rPr>
                <w:color w:val="000000"/>
              </w:rPr>
            </w:pPr>
            <w:r w:rsidRPr="005F6C03">
              <w:rPr>
                <w:color w:val="000000"/>
              </w:rPr>
              <w:t xml:space="preserve">$3,584,515 </w:t>
            </w:r>
          </w:p>
        </w:tc>
      </w:tr>
    </w:tbl>
    <w:p w14:paraId="15041732" w14:textId="623F4D9A" w:rsidR="00101ABD" w:rsidRPr="005F6C03" w:rsidRDefault="00101ABD" w:rsidP="00101ABD">
      <w:pPr>
        <w:keepNext/>
        <w:keepLines/>
      </w:pPr>
    </w:p>
    <w:p w14:paraId="58FA93FB" w14:textId="77777777" w:rsidR="00101ABD" w:rsidRPr="005F6C03" w:rsidRDefault="00101ABD" w:rsidP="00101ABD">
      <w:pPr>
        <w:pStyle w:val="Heading2"/>
        <w:rPr>
          <w:rFonts w:ascii="Times New Roman" w:hAnsi="Times New Roman" w:cs="Times New Roman"/>
        </w:rPr>
      </w:pPr>
      <w:r w:rsidRPr="005F6C03">
        <w:rPr>
          <w:rFonts w:ascii="Times New Roman" w:hAnsi="Times New Roman" w:cs="Times New Roman"/>
        </w:rPr>
        <w:t xml:space="preserve">6(f) Reasons for Change in Burden.  </w:t>
      </w:r>
    </w:p>
    <w:p w14:paraId="200BF494" w14:textId="38D58201" w:rsidR="00101ABD" w:rsidRPr="005F6C03" w:rsidRDefault="009C6B50" w:rsidP="00101ABD">
      <w:r w:rsidRPr="005F6C03">
        <w:t>For this renewal ICR,</w:t>
      </w:r>
      <w:r w:rsidR="00BD1DF7" w:rsidRPr="005F6C03">
        <w:t xml:space="preserve"> </w:t>
      </w:r>
      <w:bookmarkStart w:id="5" w:name="_Hlk5025559"/>
      <w:r w:rsidR="00BD1DF7" w:rsidRPr="005F6C03">
        <w:t xml:space="preserve">there is </w:t>
      </w:r>
      <w:r w:rsidR="00240C58">
        <w:t>no</w:t>
      </w:r>
      <w:r w:rsidR="00BD1DF7" w:rsidRPr="005F6C03">
        <w:t xml:space="preserve"> increase </w:t>
      </w:r>
      <w:r w:rsidR="001B7EFB" w:rsidRPr="005F6C03">
        <w:t xml:space="preserve">over the </w:t>
      </w:r>
      <w:r w:rsidR="001B7EFB">
        <w:t xml:space="preserve">currently approved </w:t>
      </w:r>
      <w:r w:rsidR="001B7EFB" w:rsidRPr="005F6C03">
        <w:t xml:space="preserve">ICR </w:t>
      </w:r>
      <w:r w:rsidR="00BD1DF7" w:rsidRPr="005F6C03">
        <w:t xml:space="preserve">in </w:t>
      </w:r>
      <w:r w:rsidR="001B7EFB">
        <w:t xml:space="preserve">terms of </w:t>
      </w:r>
      <w:r w:rsidR="00BD1DF7" w:rsidRPr="005F6C03">
        <w:t xml:space="preserve">the </w:t>
      </w:r>
      <w:r w:rsidR="00240C58">
        <w:t xml:space="preserve">per event </w:t>
      </w:r>
      <w:r w:rsidR="00BD1DF7" w:rsidRPr="005F6C03">
        <w:t xml:space="preserve">annual </w:t>
      </w:r>
      <w:r w:rsidR="00240C58">
        <w:t>paperwork</w:t>
      </w:r>
      <w:r w:rsidR="00BD1DF7" w:rsidRPr="005F6C03">
        <w:t xml:space="preserve"> burden hours for grantee</w:t>
      </w:r>
      <w:r w:rsidR="001D033E">
        <w:t>s</w:t>
      </w:r>
      <w:r w:rsidR="00BD1DF7" w:rsidRPr="005F6C03">
        <w:t xml:space="preserve"> to use the FIFRA grant Template. </w:t>
      </w:r>
      <w:r w:rsidRPr="005F6C03">
        <w:t xml:space="preserve">The </w:t>
      </w:r>
      <w:r w:rsidR="00101ABD" w:rsidRPr="005F6C03">
        <w:t xml:space="preserve">FIFRA STAG Grant Template </w:t>
      </w:r>
      <w:r w:rsidR="00BD1DF7" w:rsidRPr="005F6C03">
        <w:t>annual per respondent burde</w:t>
      </w:r>
      <w:r w:rsidR="00D12CF3" w:rsidRPr="005F6C03">
        <w:t>n</w:t>
      </w:r>
      <w:r w:rsidRPr="005F6C03">
        <w:t xml:space="preserve"> remain</w:t>
      </w:r>
      <w:r w:rsidR="00BD1DF7" w:rsidRPr="005F6C03">
        <w:t>s</w:t>
      </w:r>
      <w:r w:rsidRPr="005F6C03">
        <w:t xml:space="preserve"> the same at 46.15 burden hours. </w:t>
      </w:r>
      <w:r w:rsidR="00BD1DF7" w:rsidRPr="005F6C03">
        <w:t xml:space="preserve"> </w:t>
      </w:r>
      <w:r w:rsidR="00D12CF3" w:rsidRPr="005F6C03">
        <w:t>However, t</w:t>
      </w:r>
      <w:r w:rsidR="00101ABD" w:rsidRPr="005F6C03">
        <w:t xml:space="preserve">he </w:t>
      </w:r>
      <w:bookmarkStart w:id="6" w:name="_Hlk519664105"/>
      <w:r w:rsidR="00240C58">
        <w:t xml:space="preserve">total burden has increased because the Agency estimates now reflect the potential for all 81 </w:t>
      </w:r>
      <w:r w:rsidR="00AE403B">
        <w:t xml:space="preserve">recipients to use the reporting tool and instructions. As a result, the total annual burden increased by 19,877 hours, from 6,318 hours currently approved, to </w:t>
      </w:r>
      <w:r w:rsidR="00AE403B" w:rsidRPr="005F6C03">
        <w:t>26,195</w:t>
      </w:r>
      <w:r w:rsidR="00AE403B">
        <w:t xml:space="preserve"> hours. In addition, the </w:t>
      </w:r>
      <w:r w:rsidR="00101ABD" w:rsidRPr="005F6C03">
        <w:t>burden cost in this ICR has increased relative to the previous ICR due to updating the wages (from 2012 to 2017) and using the fully loaded wage rate as described in section 6(a)</w:t>
      </w:r>
      <w:r w:rsidR="00B4391F">
        <w:t xml:space="preserve"> of this document</w:t>
      </w:r>
      <w:r w:rsidR="00101ABD" w:rsidRPr="005F6C03">
        <w:t xml:space="preserve">. In the previous ICR, the unloaded wage rate was used. </w:t>
      </w:r>
      <w:bookmarkEnd w:id="6"/>
      <w:r w:rsidR="00BD1DF7" w:rsidRPr="005F6C03">
        <w:t>Th</w:t>
      </w:r>
      <w:r w:rsidR="00AE403B">
        <w:t xml:space="preserve">ese changes </w:t>
      </w:r>
      <w:r w:rsidR="00984E3E">
        <w:t>qualify</w:t>
      </w:r>
      <w:r w:rsidR="00AE403B">
        <w:t xml:space="preserve"> as </w:t>
      </w:r>
      <w:r w:rsidR="00BD1DF7" w:rsidRPr="005F6C03">
        <w:t>adjustment</w:t>
      </w:r>
      <w:r w:rsidR="00AE403B">
        <w:t>s</w:t>
      </w:r>
      <w:r w:rsidR="00BD1DF7" w:rsidRPr="005F6C03">
        <w:t>.</w:t>
      </w:r>
      <w:bookmarkEnd w:id="5"/>
    </w:p>
    <w:p w14:paraId="05B296EE" w14:textId="77777777" w:rsidR="00101ABD" w:rsidRPr="005F6C03" w:rsidRDefault="00101ABD" w:rsidP="00101ABD"/>
    <w:p w14:paraId="2F54CEAD" w14:textId="542AE6EF" w:rsidR="00101ABD" w:rsidRPr="00DC76CA" w:rsidRDefault="00101ABD" w:rsidP="00101ABD">
      <w:r w:rsidRPr="005F6C03">
        <w:t>“</w:t>
      </w:r>
      <w:r w:rsidRPr="00DC76CA">
        <w:t>Burden” is defined in 5 CFR 1320.3(b).  The Agency may not conduct or sponsor, and a person is not required to respond to, a collection of information unless it displays a currently valid OMB control number.  OMB control numbers for certain EPA regulations in title 40, after initial display in the final rule, are listed in 40 CFR part 9 and appear on the information collection instrument as applicable, i.e., form or instructions, and in the Federal Register.</w:t>
      </w:r>
    </w:p>
    <w:p w14:paraId="63898EC0" w14:textId="77777777" w:rsidR="00101ABD" w:rsidRPr="00DC76CA" w:rsidRDefault="00101ABD" w:rsidP="00101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F3635AA" w14:textId="2641F473" w:rsidR="00101ABD" w:rsidRPr="00DC1117" w:rsidRDefault="00101ABD" w:rsidP="00101ABD">
      <w:pPr>
        <w:tabs>
          <w:tab w:val="left" w:pos="-1080"/>
        </w:tabs>
      </w:pPr>
      <w:r w:rsidRPr="00DC76CA">
        <w:rPr>
          <w:color w:val="000000"/>
        </w:rPr>
        <w:t xml:space="preserve">The Agency has established a public docket for this ICR under Docket ID No. EPA-HQ-OPP-2018-0418, which is available for online viewing at </w:t>
      </w:r>
      <w:hyperlink r:id="rId18" w:history="1">
        <w:r w:rsidRPr="00DC76CA">
          <w:rPr>
            <w:rStyle w:val="Hyperlink"/>
          </w:rPr>
          <w:t>www.regulations.gov</w:t>
        </w:r>
      </w:hyperlink>
      <w:r w:rsidRPr="00DC76CA">
        <w:rPr>
          <w:color w:val="000000"/>
        </w:rPr>
        <w:t xml:space="preserve">, </w:t>
      </w:r>
      <w:r w:rsidR="00E42870" w:rsidRPr="00DC76CA">
        <w:t xml:space="preserve">or in person viewing at the EPA Docket Center-Public Reading Room, William Jefferson Clinton (WJC) West Building, in Rm. 3334, 1301 Constitution Avenue, NW, Washington, DC. This docket facility is open from 8:30 a.m. to 4:30 p.m., Monday through Friday, excluding federal holidays. </w:t>
      </w:r>
      <w:r w:rsidRPr="00DC76CA">
        <w:rPr>
          <w:color w:val="000000"/>
        </w:rPr>
        <w:t xml:space="preserve">  The dock</w:t>
      </w:r>
      <w:r w:rsidR="00CF3181" w:rsidRPr="00DC76CA">
        <w:rPr>
          <w:color w:val="000000"/>
        </w:rPr>
        <w:t xml:space="preserve">et telephone number </w:t>
      </w:r>
      <w:r w:rsidR="00CF3181" w:rsidRPr="00DC76CA">
        <w:t xml:space="preserve">is </w:t>
      </w:r>
      <w:r w:rsidR="00DC1117" w:rsidRPr="00DC76CA">
        <w:t>(202) 566-1744</w:t>
      </w:r>
      <w:r w:rsidRPr="00DC76CA">
        <w:t>.</w:t>
      </w:r>
      <w:r w:rsidRPr="00DC1117">
        <w:t xml:space="preserve">  </w:t>
      </w:r>
    </w:p>
    <w:p w14:paraId="4DB59366" w14:textId="77777777" w:rsidR="00101ABD" w:rsidRPr="00DC1117" w:rsidRDefault="00101ABD" w:rsidP="00101ABD">
      <w:pPr>
        <w:tabs>
          <w:tab w:val="left" w:pos="-1080"/>
        </w:tabs>
      </w:pPr>
    </w:p>
    <w:p w14:paraId="49E48553" w14:textId="69E553B7" w:rsidR="00101ABD" w:rsidRPr="005F6C03" w:rsidRDefault="00101ABD" w:rsidP="00101ABD">
      <w:pPr>
        <w:tabs>
          <w:tab w:val="left" w:pos="-1080"/>
        </w:tabs>
      </w:pPr>
      <w:r w:rsidRPr="00DC76CA">
        <w:rPr>
          <w:color w:val="000000"/>
        </w:rPr>
        <w:t xml:space="preserve">You may submit comments regarding the Agency's need for this information, the accuracy of the provided burden estimates and any suggested methods for minimizing respondent burden, including the use of automated collection techniques. </w:t>
      </w:r>
      <w:r w:rsidRPr="00DC76CA">
        <w:t xml:space="preserve">Comments may be submitted to EPA electronically through </w:t>
      </w:r>
      <w:r w:rsidRPr="00DC76CA">
        <w:rPr>
          <w:rStyle w:val="Hypertext"/>
        </w:rPr>
        <w:t>http://www.regulations.gov</w:t>
      </w:r>
      <w:r w:rsidRPr="00DC76CA">
        <w:t xml:space="preserve"> or by mail </w:t>
      </w:r>
      <w:r w:rsidRPr="00DC76CA">
        <w:rPr>
          <w:noProof/>
        </w:rPr>
        <w:t>to:</w:t>
      </w:r>
      <w:r w:rsidRPr="00DC76CA">
        <w:t xml:space="preserve"> EPA Docket Center, Environmental Protection Agency, Mail Code 28221T, 1200 Pennsylvania Ave., NW, Washington, DC 20460.  You can also send comments to OMB, addressed to “OMB Desk Officer for EPA” and referencing OMB Control No. </w:t>
      </w:r>
      <w:r w:rsidRPr="00DC76CA">
        <w:rPr>
          <w:b/>
        </w:rPr>
        <w:t>2070-0198</w:t>
      </w:r>
      <w:r w:rsidRPr="00DC76CA">
        <w:t xml:space="preserve"> (EPA ICR No. 2511.01) via email to </w:t>
      </w:r>
      <w:hyperlink r:id="rId19" w:history="1">
        <w:r w:rsidRPr="00DC76CA">
          <w:rPr>
            <w:rStyle w:val="Hyperlink"/>
          </w:rPr>
          <w:t>oira_submission@omb.eop.gov</w:t>
        </w:r>
      </w:hyperlink>
      <w:r w:rsidRPr="00DC76CA">
        <w:t xml:space="preserve">. Include docket ID No. EPA-HQ-OPP-2018-0418 and OMB control number </w:t>
      </w:r>
      <w:r w:rsidRPr="00DC76CA">
        <w:rPr>
          <w:b/>
        </w:rPr>
        <w:t>2070-0198</w:t>
      </w:r>
      <w:r w:rsidRPr="00DC76CA">
        <w:t xml:space="preserve"> (EPA ICR No. 2511.02) in any correspondence, but do not submit and any grant related information (e.g., forms, reports, etc.) to these </w:t>
      </w:r>
      <w:r w:rsidRPr="004C2900">
        <w:t>addresses.</w:t>
      </w:r>
    </w:p>
    <w:p w14:paraId="3BB6EB18" w14:textId="77777777" w:rsidR="004D57BF" w:rsidRPr="005F6C03" w:rsidRDefault="00DC1ABC" w:rsidP="009C21DA">
      <w:pPr>
        <w:pStyle w:val="Heading1"/>
        <w:rPr>
          <w:rFonts w:ascii="Times New Roman" w:hAnsi="Times New Roman" w:cs="Times New Roman"/>
        </w:rPr>
      </w:pPr>
      <w:r w:rsidRPr="005F6C03">
        <w:rPr>
          <w:rFonts w:ascii="Times New Roman" w:hAnsi="Times New Roman" w:cs="Times New Roman"/>
        </w:rPr>
        <w:t>7.</w:t>
      </w:r>
      <w:r w:rsidRPr="005F6C03">
        <w:rPr>
          <w:rFonts w:ascii="Times New Roman" w:hAnsi="Times New Roman" w:cs="Times New Roman"/>
        </w:rPr>
        <w:tab/>
      </w:r>
      <w:r w:rsidR="004D57BF" w:rsidRPr="005F6C03">
        <w:rPr>
          <w:rFonts w:ascii="Times New Roman" w:hAnsi="Times New Roman" w:cs="Times New Roman"/>
        </w:rPr>
        <w:t>A</w:t>
      </w:r>
      <w:r w:rsidR="00C55840" w:rsidRPr="005F6C03">
        <w:rPr>
          <w:rFonts w:ascii="Times New Roman" w:hAnsi="Times New Roman" w:cs="Times New Roman"/>
        </w:rPr>
        <w:t xml:space="preserve">ttachments </w:t>
      </w:r>
      <w:r w:rsidR="003369BA" w:rsidRPr="005F6C03">
        <w:rPr>
          <w:rFonts w:ascii="Times New Roman" w:hAnsi="Times New Roman" w:cs="Times New Roman"/>
        </w:rPr>
        <w:t>to the Supporting Statement</w:t>
      </w:r>
      <w:r w:rsidR="003369BA" w:rsidRPr="005F6C03">
        <w:rPr>
          <w:rFonts w:ascii="Times New Roman" w:hAnsi="Times New Roman" w:cs="Times New Roman"/>
          <w:b/>
        </w:rPr>
        <w:t xml:space="preserve"> </w:t>
      </w:r>
    </w:p>
    <w:p w14:paraId="2081D686" w14:textId="77777777" w:rsidR="004D57BF" w:rsidRPr="005F6C03" w:rsidRDefault="003369BA" w:rsidP="004D57BF">
      <w:pPr>
        <w:tabs>
          <w:tab w:val="left" w:pos="-1080"/>
        </w:tabs>
      </w:pPr>
      <w:r w:rsidRPr="005F6C03">
        <w:t>The A</w:t>
      </w:r>
      <w:r w:rsidR="004D57BF" w:rsidRPr="005F6C03">
        <w:t xml:space="preserve">ttachments listed below can be found in the docket for this ICR, identified as Docket ID Number, </w:t>
      </w:r>
      <w:r w:rsidR="004D57BF" w:rsidRPr="005F6C03">
        <w:rPr>
          <w:b/>
        </w:rPr>
        <w:t>EPA-HQ-OPP-2014-0479</w:t>
      </w:r>
      <w:r w:rsidR="004D57BF" w:rsidRPr="005F6C03">
        <w:t xml:space="preserve">, which is accessible electronically through </w:t>
      </w:r>
      <w:hyperlink r:id="rId20" w:history="1">
        <w:r w:rsidR="004D57BF" w:rsidRPr="005F6C03">
          <w:rPr>
            <w:rStyle w:val="Hyperlink"/>
            <w:b/>
          </w:rPr>
          <w:t>http://www.regulations.gov</w:t>
        </w:r>
      </w:hyperlink>
      <w:r w:rsidR="004D57BF" w:rsidRPr="005F6C03">
        <w:t>. Direct links are provided for those documents that are also available online elsewhere.</w:t>
      </w:r>
    </w:p>
    <w:p w14:paraId="300FA4BA" w14:textId="77777777" w:rsidR="004D57BF" w:rsidRPr="005F6C03" w:rsidRDefault="004D57BF" w:rsidP="004D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F4970" w14:textId="256DD45D" w:rsidR="004D57BF" w:rsidRPr="005F6C03" w:rsidRDefault="004D57BF" w:rsidP="003369BA">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pPr>
      <w:r w:rsidRPr="005F6C03">
        <w:rPr>
          <w:b/>
        </w:rPr>
        <w:t>Attachment A</w:t>
      </w:r>
      <w:r w:rsidRPr="005F6C03">
        <w:t>:</w:t>
      </w:r>
      <w:r w:rsidR="003369BA" w:rsidRPr="005F6C03">
        <w:t xml:space="preserve"> </w:t>
      </w:r>
      <w:r w:rsidR="0034305A" w:rsidRPr="005F6C03">
        <w:tab/>
      </w:r>
      <w:r w:rsidR="0034305A" w:rsidRPr="005F6C03">
        <w:rPr>
          <w:color w:val="000000" w:themeColor="text1"/>
        </w:rPr>
        <w:t>EPA’s Federal Insecticide Fungicide and Rodenticide Act State and Tribal Assistance Grant (STAG) program (7 U</w:t>
      </w:r>
      <w:r w:rsidR="00DC1ABC" w:rsidRPr="005F6C03">
        <w:rPr>
          <w:color w:val="000000" w:themeColor="text1"/>
        </w:rPr>
        <w:t>.</w:t>
      </w:r>
      <w:r w:rsidR="0034305A" w:rsidRPr="005F6C03">
        <w:rPr>
          <w:color w:val="000000" w:themeColor="text1"/>
        </w:rPr>
        <w:t>S</w:t>
      </w:r>
      <w:r w:rsidR="00DC1ABC" w:rsidRPr="005F6C03">
        <w:rPr>
          <w:color w:val="000000" w:themeColor="text1"/>
        </w:rPr>
        <w:t>.</w:t>
      </w:r>
      <w:r w:rsidR="0034305A" w:rsidRPr="005F6C03">
        <w:rPr>
          <w:color w:val="000000" w:themeColor="text1"/>
        </w:rPr>
        <w:t>C</w:t>
      </w:r>
      <w:r w:rsidR="00DC1ABC" w:rsidRPr="005F6C03">
        <w:rPr>
          <w:color w:val="000000" w:themeColor="text1"/>
        </w:rPr>
        <w:t>.</w:t>
      </w:r>
      <w:r w:rsidR="0034305A" w:rsidRPr="005F6C03">
        <w:rPr>
          <w:color w:val="000000" w:themeColor="text1"/>
        </w:rPr>
        <w:t xml:space="preserve"> 136</w:t>
      </w:r>
      <w:r w:rsidR="00DC1ABC" w:rsidRPr="005F6C03">
        <w:rPr>
          <w:color w:val="000000" w:themeColor="text1"/>
        </w:rPr>
        <w:t>u</w:t>
      </w:r>
      <w:r w:rsidR="0034305A" w:rsidRPr="005F6C03">
        <w:rPr>
          <w:color w:val="000000" w:themeColor="text1"/>
        </w:rPr>
        <w:t>)</w:t>
      </w:r>
      <w:r w:rsidR="002D7D78" w:rsidRPr="005F6C03">
        <w:rPr>
          <w:color w:val="000000" w:themeColor="text1"/>
        </w:rPr>
        <w:t xml:space="preserve">.  </w:t>
      </w:r>
    </w:p>
    <w:p w14:paraId="28212DAC" w14:textId="77777777" w:rsidR="004D57BF" w:rsidRPr="005F6C03" w:rsidRDefault="004D57BF" w:rsidP="004D57BF">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b/>
        </w:rPr>
      </w:pPr>
    </w:p>
    <w:p w14:paraId="1BE1ED1D" w14:textId="4877ACF3" w:rsidR="004D57BF" w:rsidRPr="005F6C03" w:rsidRDefault="004D57BF"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pPr>
      <w:r w:rsidRPr="005F6C03">
        <w:rPr>
          <w:b/>
        </w:rPr>
        <w:t>Attachment B:</w:t>
      </w:r>
      <w:r w:rsidR="00494F16" w:rsidRPr="005F6C03">
        <w:rPr>
          <w:b/>
        </w:rPr>
        <w:tab/>
      </w:r>
      <w:r w:rsidR="00494F16" w:rsidRPr="004C2900">
        <w:rPr>
          <w:color w:val="000000" w:themeColor="text1"/>
        </w:rPr>
        <w:t>“</w:t>
      </w:r>
      <w:r w:rsidR="00494F16" w:rsidRPr="004C2900">
        <w:rPr>
          <w:i/>
          <w:color w:val="000000" w:themeColor="text1"/>
        </w:rPr>
        <w:t>EPA’s General Regulation for Assistance Programs ICR</w:t>
      </w:r>
      <w:r w:rsidR="00494F16" w:rsidRPr="004C2900">
        <w:rPr>
          <w:color w:val="000000" w:themeColor="text1"/>
        </w:rPr>
        <w:t xml:space="preserve">” (OMB </w:t>
      </w:r>
      <w:r w:rsidR="00DC1ABC" w:rsidRPr="004C2900">
        <w:rPr>
          <w:color w:val="000000" w:themeColor="text1"/>
        </w:rPr>
        <w:t xml:space="preserve">Control No. </w:t>
      </w:r>
      <w:r w:rsidR="00494F16" w:rsidRPr="004C2900">
        <w:rPr>
          <w:color w:val="000000" w:themeColor="text1"/>
        </w:rPr>
        <w:t xml:space="preserve">2030-0020; EPA </w:t>
      </w:r>
      <w:r w:rsidR="00DC1ABC" w:rsidRPr="004C2900">
        <w:rPr>
          <w:color w:val="000000" w:themeColor="text1"/>
        </w:rPr>
        <w:t xml:space="preserve">ICR </w:t>
      </w:r>
      <w:r w:rsidR="00494F16" w:rsidRPr="004C2900">
        <w:rPr>
          <w:color w:val="000000" w:themeColor="text1"/>
        </w:rPr>
        <w:t>No. 0938.18).</w:t>
      </w:r>
      <w:r w:rsidRPr="005F6C03">
        <w:t xml:space="preserve"> </w:t>
      </w:r>
    </w:p>
    <w:p w14:paraId="45522BE8" w14:textId="77777777" w:rsidR="004D57BF" w:rsidRPr="005F6C03" w:rsidRDefault="004D57BF" w:rsidP="004D57BF">
      <w:pPr>
        <w:tabs>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b/>
        </w:rPr>
      </w:pPr>
    </w:p>
    <w:p w14:paraId="7C6B29DC" w14:textId="262A7793" w:rsidR="00C55840" w:rsidRPr="005F6C03" w:rsidRDefault="00C55840" w:rsidP="00C55840">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pPr>
      <w:r w:rsidRPr="005F6C03">
        <w:rPr>
          <w:b/>
        </w:rPr>
        <w:t>Attachment C:</w:t>
      </w:r>
      <w:r w:rsidRPr="005F6C03">
        <w:tab/>
      </w:r>
      <w:r w:rsidR="004C2900" w:rsidRPr="004C2900">
        <w:t>Consultation Summary</w:t>
      </w:r>
    </w:p>
    <w:p w14:paraId="3631E12C" w14:textId="77777777" w:rsidR="00C55840" w:rsidRPr="005F6C03" w:rsidRDefault="00C55840"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b/>
        </w:rPr>
      </w:pPr>
      <w:r w:rsidRPr="005F6C03">
        <w:t xml:space="preserve"> </w:t>
      </w:r>
    </w:p>
    <w:p w14:paraId="32981F64" w14:textId="3756C5A3" w:rsidR="004D57BF" w:rsidRDefault="004D57BF"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pPr>
      <w:r w:rsidRPr="005F6C03">
        <w:rPr>
          <w:b/>
        </w:rPr>
        <w:t xml:space="preserve">Attachment </w:t>
      </w:r>
      <w:r w:rsidR="00C55840" w:rsidRPr="005F6C03">
        <w:rPr>
          <w:b/>
        </w:rPr>
        <w:t>D</w:t>
      </w:r>
      <w:r w:rsidRPr="005F6C03">
        <w:rPr>
          <w:b/>
        </w:rPr>
        <w:t>:</w:t>
      </w:r>
      <w:r w:rsidRPr="005F6C03">
        <w:rPr>
          <w:b/>
        </w:rPr>
        <w:tab/>
      </w:r>
      <w:r w:rsidR="00494F16" w:rsidRPr="005F6C03">
        <w:rPr>
          <w:rStyle w:val="Strong"/>
          <w:b w:val="0"/>
        </w:rPr>
        <w:t xml:space="preserve">40 CFR part 30: Grant Agreements with Institutions of Higher Education, </w:t>
      </w:r>
      <w:r w:rsidR="00494F16" w:rsidRPr="005F6C03">
        <w:rPr>
          <w:rStyle w:val="Strong"/>
          <w:b w:val="0"/>
          <w:noProof/>
        </w:rPr>
        <w:t>Hospitals</w:t>
      </w:r>
      <w:r w:rsidR="00494F16" w:rsidRPr="005F6C03">
        <w:rPr>
          <w:rStyle w:val="Strong"/>
          <w:b w:val="0"/>
        </w:rPr>
        <w:t xml:space="preserve"> and other non-profits, and 40 CFR part 31: Uniform Administrative Requirements for Grants and Cooperative agreements </w:t>
      </w:r>
      <w:r w:rsidR="00494F16" w:rsidRPr="005F6C03">
        <w:rPr>
          <w:rStyle w:val="Strong"/>
          <w:b w:val="0"/>
          <w:noProof/>
        </w:rPr>
        <w:t>to</w:t>
      </w:r>
      <w:r w:rsidR="00494F16" w:rsidRPr="005F6C03">
        <w:rPr>
          <w:rStyle w:val="Strong"/>
          <w:b w:val="0"/>
        </w:rPr>
        <w:t xml:space="preserve"> States and Local Governments</w:t>
      </w:r>
      <w:r w:rsidR="004A765B" w:rsidRPr="005F6C03">
        <w:rPr>
          <w:rStyle w:val="Strong"/>
          <w:b w:val="0"/>
        </w:rPr>
        <w:t>, available on line at:</w:t>
      </w:r>
      <w:r w:rsidR="00494F16" w:rsidRPr="005F6C03">
        <w:rPr>
          <w:rStyle w:val="Strong"/>
          <w:b w:val="0"/>
        </w:rPr>
        <w:t xml:space="preserve"> </w:t>
      </w:r>
      <w:hyperlink r:id="rId21" w:history="1">
        <w:r w:rsidR="00246152" w:rsidRPr="00E92D1A">
          <w:rPr>
            <w:rStyle w:val="Hyperlink"/>
          </w:rPr>
          <w:t>https://www.epa.gov/grants/epa-general-terms-and-conditions-applicable-40-cfr-part-30-and-31-recipients-effective-0</w:t>
        </w:r>
      </w:hyperlink>
    </w:p>
    <w:p w14:paraId="10F900F8" w14:textId="16E8DA4E" w:rsidR="00AC067D" w:rsidRPr="005F6C03" w:rsidRDefault="00AC067D"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21305367" w14:textId="4CF52208" w:rsidR="00302AD8" w:rsidRDefault="00AC067D"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r w:rsidRPr="005F6C03">
        <w:rPr>
          <w:rStyle w:val="Strong"/>
        </w:rPr>
        <w:t>Attachment E:</w:t>
      </w:r>
      <w:r w:rsidRPr="005F6C03">
        <w:rPr>
          <w:rStyle w:val="Strong"/>
          <w:b w:val="0"/>
        </w:rPr>
        <w:t xml:space="preserve">  </w:t>
      </w:r>
      <w:r w:rsidR="006435CC" w:rsidRPr="005F6C03">
        <w:rPr>
          <w:rStyle w:val="Strong"/>
          <w:b w:val="0"/>
        </w:rPr>
        <w:t xml:space="preserve">Instructions for </w:t>
      </w:r>
      <w:r w:rsidR="002D638D" w:rsidRPr="005F6C03">
        <w:rPr>
          <w:rStyle w:val="Strong"/>
          <w:b w:val="0"/>
        </w:rPr>
        <w:t xml:space="preserve">completing </w:t>
      </w:r>
      <w:r w:rsidR="006435CC" w:rsidRPr="005F6C03">
        <w:rPr>
          <w:rStyle w:val="Strong"/>
          <w:b w:val="0"/>
        </w:rPr>
        <w:t>th</w:t>
      </w:r>
      <w:r w:rsidR="006435CC" w:rsidRPr="00DC76CA">
        <w:rPr>
          <w:rStyle w:val="Strong"/>
          <w:b w:val="0"/>
        </w:rPr>
        <w:t xml:space="preserve">e </w:t>
      </w:r>
      <w:r w:rsidRPr="00DC76CA">
        <w:rPr>
          <w:rStyle w:val="Strong"/>
          <w:b w:val="0"/>
        </w:rPr>
        <w:t xml:space="preserve">FIFRA Grant Work Plan and Report </w:t>
      </w:r>
      <w:r w:rsidR="00DA2E69" w:rsidRPr="00DC76CA">
        <w:rPr>
          <w:rStyle w:val="Strong"/>
          <w:b w:val="0"/>
        </w:rPr>
        <w:t>Template</w:t>
      </w:r>
      <w:r w:rsidR="00DC76CA">
        <w:rPr>
          <w:rStyle w:val="Strong"/>
          <w:b w:val="0"/>
        </w:rPr>
        <w:t xml:space="preserve"> </w:t>
      </w:r>
      <w:hyperlink r:id="rId22" w:history="1">
        <w:r w:rsidR="00DC76CA" w:rsidRPr="00E92D1A">
          <w:rPr>
            <w:rStyle w:val="Hyperlink"/>
          </w:rPr>
          <w:t>https://www.epa.gov/sites/production/files/2017-03/documents/fifra-coop-workplan-template-manual-2018.pdf</w:t>
        </w:r>
      </w:hyperlink>
      <w:r w:rsidR="00DC76CA">
        <w:rPr>
          <w:rStyle w:val="Strong"/>
          <w:b w:val="0"/>
        </w:rPr>
        <w:t>.</w:t>
      </w:r>
    </w:p>
    <w:p w14:paraId="73275E5A" w14:textId="485B8D8B" w:rsidR="000B6954" w:rsidRDefault="000B6954"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7B51E83B" w14:textId="0F8A51FA" w:rsidR="000B6954" w:rsidRPr="000B6954" w:rsidRDefault="000B6954" w:rsidP="000B6954">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r w:rsidRPr="005F6C03">
        <w:rPr>
          <w:rStyle w:val="Strong"/>
        </w:rPr>
        <w:t xml:space="preserve">Attachment </w:t>
      </w:r>
      <w:r>
        <w:rPr>
          <w:rStyle w:val="Strong"/>
        </w:rPr>
        <w:t>F</w:t>
      </w:r>
      <w:r w:rsidRPr="005F6C03">
        <w:rPr>
          <w:rStyle w:val="Strong"/>
        </w:rPr>
        <w:t>:</w:t>
      </w:r>
      <w:r>
        <w:rPr>
          <w:rStyle w:val="Strong"/>
        </w:rPr>
        <w:t xml:space="preserve">  </w:t>
      </w:r>
      <w:r w:rsidR="00CE5020" w:rsidRPr="000B6954">
        <w:rPr>
          <w:rStyle w:val="Strong"/>
          <w:b w:val="0"/>
        </w:rPr>
        <w:t xml:space="preserve">Joint </w:t>
      </w:r>
      <w:r w:rsidRPr="000B6954">
        <w:rPr>
          <w:rStyle w:val="Strong"/>
          <w:b w:val="0"/>
        </w:rPr>
        <w:t xml:space="preserve">OPP/OECA FY2018-2021 FIFRA </w:t>
      </w:r>
      <w:r w:rsidR="00CE5020" w:rsidRPr="000B6954">
        <w:rPr>
          <w:rStyle w:val="Strong"/>
          <w:b w:val="0"/>
        </w:rPr>
        <w:t>Cooperat</w:t>
      </w:r>
      <w:r w:rsidR="00CE5020">
        <w:rPr>
          <w:rStyle w:val="Strong"/>
          <w:b w:val="0"/>
        </w:rPr>
        <w:t>iv</w:t>
      </w:r>
      <w:r w:rsidR="00CE5020" w:rsidRPr="000B6954">
        <w:rPr>
          <w:rStyle w:val="Strong"/>
          <w:b w:val="0"/>
        </w:rPr>
        <w:t>e Agreement</w:t>
      </w:r>
      <w:r w:rsidR="00CE5020">
        <w:rPr>
          <w:rStyle w:val="Strong"/>
          <w:b w:val="0"/>
        </w:rPr>
        <w:t xml:space="preserve"> </w:t>
      </w:r>
      <w:r w:rsidR="00CE5020" w:rsidRPr="000B6954">
        <w:rPr>
          <w:rStyle w:val="Strong"/>
          <w:b w:val="0"/>
        </w:rPr>
        <w:t>Guidance</w:t>
      </w:r>
      <w:r w:rsidRPr="000B6954">
        <w:rPr>
          <w:rStyle w:val="Strong"/>
          <w:b w:val="0"/>
        </w:rPr>
        <w:t xml:space="preserve"> </w:t>
      </w:r>
      <w:r w:rsidR="00CE5020" w:rsidRPr="000B6954">
        <w:rPr>
          <w:rStyle w:val="Strong"/>
          <w:b w:val="0"/>
        </w:rPr>
        <w:t>and</w:t>
      </w:r>
      <w:r w:rsidRPr="000B6954">
        <w:rPr>
          <w:rStyle w:val="Strong"/>
          <w:b w:val="0"/>
        </w:rPr>
        <w:t xml:space="preserve"> FIFRA </w:t>
      </w:r>
      <w:r w:rsidR="00CE5020" w:rsidRPr="000B6954">
        <w:rPr>
          <w:rStyle w:val="Strong"/>
          <w:b w:val="0"/>
        </w:rPr>
        <w:t>Work Plan an</w:t>
      </w:r>
      <w:r w:rsidR="00CE5020">
        <w:rPr>
          <w:rStyle w:val="Strong"/>
          <w:b w:val="0"/>
        </w:rPr>
        <w:t>d</w:t>
      </w:r>
      <w:r w:rsidRPr="000B6954">
        <w:rPr>
          <w:rStyle w:val="Strong"/>
          <w:b w:val="0"/>
        </w:rPr>
        <w:t xml:space="preserve"> </w:t>
      </w:r>
      <w:r w:rsidR="00CE5020" w:rsidRPr="000B6954">
        <w:rPr>
          <w:rStyle w:val="Strong"/>
          <w:b w:val="0"/>
        </w:rPr>
        <w:t>Repor</w:t>
      </w:r>
      <w:r w:rsidR="00CE5020">
        <w:rPr>
          <w:rStyle w:val="Strong"/>
          <w:b w:val="0"/>
        </w:rPr>
        <w:t>t</w:t>
      </w:r>
      <w:r w:rsidR="00CE5020" w:rsidRPr="000B6954">
        <w:rPr>
          <w:rStyle w:val="Strong"/>
          <w:b w:val="0"/>
        </w:rPr>
        <w:t xml:space="preserve"> Template</w:t>
      </w:r>
      <w:r w:rsidR="00CE5020">
        <w:rPr>
          <w:rStyle w:val="Strong"/>
          <w:b w:val="0"/>
        </w:rPr>
        <w:t xml:space="preserve"> (2/14/2017)</w:t>
      </w:r>
    </w:p>
    <w:p w14:paraId="0B63F365" w14:textId="147D126B" w:rsidR="009A74C9" w:rsidRDefault="009A74C9"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1D384EDB" w14:textId="4494525A" w:rsidR="009A74C9" w:rsidRDefault="009A74C9"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r w:rsidRPr="009A74C9">
        <w:rPr>
          <w:rStyle w:val="Strong"/>
        </w:rPr>
        <w:t xml:space="preserve">Attachment </w:t>
      </w:r>
      <w:r w:rsidR="000B6954">
        <w:rPr>
          <w:rStyle w:val="Strong"/>
        </w:rPr>
        <w:t>G</w:t>
      </w:r>
      <w:r w:rsidRPr="009A74C9">
        <w:rPr>
          <w:rStyle w:val="Strong"/>
        </w:rPr>
        <w:t>:</w:t>
      </w:r>
      <w:r w:rsidRPr="009A74C9">
        <w:rPr>
          <w:rStyle w:val="Strong"/>
        </w:rPr>
        <w:tab/>
      </w:r>
      <w:r w:rsidR="000B6954" w:rsidRPr="000B6954">
        <w:rPr>
          <w:rStyle w:val="Strong"/>
          <w:b w:val="0"/>
        </w:rPr>
        <w:t>Template: FIFRA Cooperative Agreement Work Plan and Report</w:t>
      </w:r>
    </w:p>
    <w:p w14:paraId="013E4D10" w14:textId="4E1EFF7B" w:rsidR="000B6954" w:rsidRDefault="000B6954"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10897383" w14:textId="34C8CD40" w:rsidR="003239FA" w:rsidRPr="005F6C03" w:rsidRDefault="005F6C03" w:rsidP="00553EF5">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Fonts w:eastAsiaTheme="minorHAnsi"/>
          <w:color w:val="231F20"/>
        </w:rPr>
      </w:pPr>
      <w:r>
        <w:rPr>
          <w:rStyle w:val="Strong"/>
        </w:rPr>
        <w:t xml:space="preserve">Attachment </w:t>
      </w:r>
      <w:r w:rsidR="000B6954">
        <w:rPr>
          <w:rStyle w:val="Strong"/>
        </w:rPr>
        <w:t>H</w:t>
      </w:r>
      <w:r w:rsidR="003239FA" w:rsidRPr="005F6C03">
        <w:rPr>
          <w:rStyle w:val="Strong"/>
        </w:rPr>
        <w:t>:</w:t>
      </w:r>
      <w:r w:rsidR="003239FA" w:rsidRPr="005F6C03">
        <w:rPr>
          <w:rStyle w:val="Strong"/>
          <w:b w:val="0"/>
        </w:rPr>
        <w:t xml:space="preserve">  </w:t>
      </w:r>
      <w:r w:rsidR="003239FA" w:rsidRPr="005F6C03">
        <w:t xml:space="preserve">Work Sheets </w:t>
      </w:r>
      <w:r w:rsidR="001E01C7">
        <w:t>U</w:t>
      </w:r>
      <w:r w:rsidR="003239FA" w:rsidRPr="005F6C03">
        <w:t xml:space="preserve">sed to Calculate Respondent </w:t>
      </w:r>
      <w:r w:rsidR="003239FA" w:rsidRPr="005F6C03">
        <w:rPr>
          <w:bCs/>
        </w:rPr>
        <w:t>Labor Costs</w:t>
      </w:r>
      <w:r w:rsidR="003239FA" w:rsidRPr="005F6C03">
        <w:rPr>
          <w:rFonts w:eastAsiaTheme="minorHAnsi"/>
          <w:color w:val="231F20"/>
        </w:rPr>
        <w:t xml:space="preserve"> for the </w:t>
      </w:r>
      <w:r w:rsidR="003239FA" w:rsidRPr="005F6C03">
        <w:rPr>
          <w:color w:val="000000" w:themeColor="text1"/>
        </w:rPr>
        <w:t xml:space="preserve">State and Tribal Assistance Grant (STAG) program (OMB Control No. 2070-0198, EPA ICR No. 2511.02). </w:t>
      </w:r>
    </w:p>
    <w:p w14:paraId="79B1DA04" w14:textId="0AD2D2CF" w:rsidR="00DE3AA1" w:rsidRPr="005F6C03" w:rsidRDefault="00DE3AA1" w:rsidP="00553EF5">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Fonts w:eastAsiaTheme="minorHAnsi"/>
          <w:color w:val="231F20"/>
        </w:rPr>
      </w:pPr>
    </w:p>
    <w:sectPr w:rsidR="00DE3AA1" w:rsidRPr="005F6C03" w:rsidSect="0081078E">
      <w:headerReference w:type="default" r:id="rId23"/>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721D2" w14:textId="77777777" w:rsidR="004B0631" w:rsidRDefault="004B0631" w:rsidP="00875BB6">
      <w:r>
        <w:separator/>
      </w:r>
    </w:p>
  </w:endnote>
  <w:endnote w:type="continuationSeparator" w:id="0">
    <w:p w14:paraId="303EA115" w14:textId="77777777" w:rsidR="004B0631" w:rsidRDefault="004B0631" w:rsidP="0087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04D93" w14:textId="77777777" w:rsidR="004B0631" w:rsidRDefault="004B0631" w:rsidP="00875BB6">
      <w:r>
        <w:separator/>
      </w:r>
    </w:p>
  </w:footnote>
  <w:footnote w:type="continuationSeparator" w:id="0">
    <w:p w14:paraId="02C240B1" w14:textId="77777777" w:rsidR="004B0631" w:rsidRDefault="004B0631" w:rsidP="00875BB6">
      <w:r>
        <w:continuationSeparator/>
      </w:r>
    </w:p>
  </w:footnote>
  <w:footnote w:id="1">
    <w:p w14:paraId="3A6342A0" w14:textId="77777777" w:rsidR="00197DB6" w:rsidRDefault="00197DB6">
      <w:pPr>
        <w:pStyle w:val="FootnoteText"/>
      </w:pPr>
      <w:r>
        <w:rPr>
          <w:rStyle w:val="FootnoteReference"/>
        </w:rPr>
        <w:footnoteRef/>
      </w:r>
      <w:r>
        <w:t xml:space="preserve"> Covering the Catalog of Federal </w:t>
      </w:r>
      <w:r w:rsidRPr="00B25264">
        <w:t>D</w:t>
      </w:r>
      <w:r>
        <w:t xml:space="preserve">omestic </w:t>
      </w:r>
      <w:r w:rsidRPr="00B25264">
        <w:t>A</w:t>
      </w:r>
      <w:r>
        <w:t>ssistance programs in the Office of Chemical Safety and Pollution Prevention, 66.605-Performance Partnership Grants; and Office of Enforcement and Compliance Assurance, 66.700-Consolidated Pesticide Enforcement Cooperative Agreements.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966F" w14:textId="33192E65" w:rsidR="00197DB6" w:rsidRDefault="00C76A3D">
    <w:pPr>
      <w:pStyle w:val="Header"/>
    </w:pPr>
    <w:r>
      <w:t>December 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5E0"/>
    <w:multiLevelType w:val="hybridMultilevel"/>
    <w:tmpl w:val="8040A3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72E41356" w:tentative="1">
      <w:start w:val="1"/>
      <w:numFmt w:val="bullet"/>
      <w:lvlText w:val=""/>
      <w:lvlJc w:val="left"/>
      <w:pPr>
        <w:tabs>
          <w:tab w:val="num" w:pos="2160"/>
        </w:tabs>
        <w:ind w:left="2160" w:hanging="360"/>
      </w:pPr>
      <w:rPr>
        <w:rFonts w:ascii="Wingdings" w:hAnsi="Wingdings" w:hint="default"/>
      </w:rPr>
    </w:lvl>
    <w:lvl w:ilvl="3" w:tplc="2E98D3C0" w:tentative="1">
      <w:start w:val="1"/>
      <w:numFmt w:val="bullet"/>
      <w:lvlText w:val=""/>
      <w:lvlJc w:val="left"/>
      <w:pPr>
        <w:tabs>
          <w:tab w:val="num" w:pos="2880"/>
        </w:tabs>
        <w:ind w:left="2880" w:hanging="360"/>
      </w:pPr>
      <w:rPr>
        <w:rFonts w:ascii="Wingdings" w:hAnsi="Wingdings" w:hint="default"/>
      </w:rPr>
    </w:lvl>
    <w:lvl w:ilvl="4" w:tplc="153CFFB6" w:tentative="1">
      <w:start w:val="1"/>
      <w:numFmt w:val="bullet"/>
      <w:lvlText w:val=""/>
      <w:lvlJc w:val="left"/>
      <w:pPr>
        <w:tabs>
          <w:tab w:val="num" w:pos="3600"/>
        </w:tabs>
        <w:ind w:left="3600" w:hanging="360"/>
      </w:pPr>
      <w:rPr>
        <w:rFonts w:ascii="Wingdings" w:hAnsi="Wingdings" w:hint="default"/>
      </w:rPr>
    </w:lvl>
    <w:lvl w:ilvl="5" w:tplc="9A22A1C2" w:tentative="1">
      <w:start w:val="1"/>
      <w:numFmt w:val="bullet"/>
      <w:lvlText w:val=""/>
      <w:lvlJc w:val="left"/>
      <w:pPr>
        <w:tabs>
          <w:tab w:val="num" w:pos="4320"/>
        </w:tabs>
        <w:ind w:left="4320" w:hanging="360"/>
      </w:pPr>
      <w:rPr>
        <w:rFonts w:ascii="Wingdings" w:hAnsi="Wingdings" w:hint="default"/>
      </w:rPr>
    </w:lvl>
    <w:lvl w:ilvl="6" w:tplc="2C5E70D2" w:tentative="1">
      <w:start w:val="1"/>
      <w:numFmt w:val="bullet"/>
      <w:lvlText w:val=""/>
      <w:lvlJc w:val="left"/>
      <w:pPr>
        <w:tabs>
          <w:tab w:val="num" w:pos="5040"/>
        </w:tabs>
        <w:ind w:left="5040" w:hanging="360"/>
      </w:pPr>
      <w:rPr>
        <w:rFonts w:ascii="Wingdings" w:hAnsi="Wingdings" w:hint="default"/>
      </w:rPr>
    </w:lvl>
    <w:lvl w:ilvl="7" w:tplc="A3CC5BDE" w:tentative="1">
      <w:start w:val="1"/>
      <w:numFmt w:val="bullet"/>
      <w:lvlText w:val=""/>
      <w:lvlJc w:val="left"/>
      <w:pPr>
        <w:tabs>
          <w:tab w:val="num" w:pos="5760"/>
        </w:tabs>
        <w:ind w:left="5760" w:hanging="360"/>
      </w:pPr>
      <w:rPr>
        <w:rFonts w:ascii="Wingdings" w:hAnsi="Wingdings" w:hint="default"/>
      </w:rPr>
    </w:lvl>
    <w:lvl w:ilvl="8" w:tplc="BC768A8A" w:tentative="1">
      <w:start w:val="1"/>
      <w:numFmt w:val="bullet"/>
      <w:lvlText w:val=""/>
      <w:lvlJc w:val="left"/>
      <w:pPr>
        <w:tabs>
          <w:tab w:val="num" w:pos="6480"/>
        </w:tabs>
        <w:ind w:left="6480" w:hanging="360"/>
      </w:pPr>
      <w:rPr>
        <w:rFonts w:ascii="Wingdings" w:hAnsi="Wingdings" w:hint="default"/>
      </w:rPr>
    </w:lvl>
  </w:abstractNum>
  <w:abstractNum w:abstractNumId="1">
    <w:nsid w:val="7CB74461"/>
    <w:multiLevelType w:val="hybridMultilevel"/>
    <w:tmpl w:val="DDD4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sDAwsjAyMzMzMLWwMDFR0lEKTi0uzszPAykwqwUArW34cCwAAAA="/>
  </w:docVars>
  <w:rsids>
    <w:rsidRoot w:val="00EE45AC"/>
    <w:rsid w:val="00004414"/>
    <w:rsid w:val="00021F8C"/>
    <w:rsid w:val="000220A1"/>
    <w:rsid w:val="00022681"/>
    <w:rsid w:val="000228B8"/>
    <w:rsid w:val="000229B9"/>
    <w:rsid w:val="00023B7F"/>
    <w:rsid w:val="000243A4"/>
    <w:rsid w:val="00024FFA"/>
    <w:rsid w:val="00027DB3"/>
    <w:rsid w:val="00027FB5"/>
    <w:rsid w:val="00030745"/>
    <w:rsid w:val="000318DF"/>
    <w:rsid w:val="00031FE3"/>
    <w:rsid w:val="0003470B"/>
    <w:rsid w:val="000370EE"/>
    <w:rsid w:val="00037E77"/>
    <w:rsid w:val="00047D36"/>
    <w:rsid w:val="00047FF9"/>
    <w:rsid w:val="00053111"/>
    <w:rsid w:val="00054CE4"/>
    <w:rsid w:val="00061AE8"/>
    <w:rsid w:val="00066C79"/>
    <w:rsid w:val="000701D1"/>
    <w:rsid w:val="000714D3"/>
    <w:rsid w:val="0007167D"/>
    <w:rsid w:val="000734BD"/>
    <w:rsid w:val="0008433D"/>
    <w:rsid w:val="000845F2"/>
    <w:rsid w:val="00085F6B"/>
    <w:rsid w:val="0009401B"/>
    <w:rsid w:val="00095B0B"/>
    <w:rsid w:val="000968A1"/>
    <w:rsid w:val="000A01C6"/>
    <w:rsid w:val="000A13C3"/>
    <w:rsid w:val="000A171B"/>
    <w:rsid w:val="000A24ED"/>
    <w:rsid w:val="000A535B"/>
    <w:rsid w:val="000B15F4"/>
    <w:rsid w:val="000B30AD"/>
    <w:rsid w:val="000B3E74"/>
    <w:rsid w:val="000B6954"/>
    <w:rsid w:val="000C14A0"/>
    <w:rsid w:val="000C647C"/>
    <w:rsid w:val="000C7104"/>
    <w:rsid w:val="000D10D9"/>
    <w:rsid w:val="000D3DC0"/>
    <w:rsid w:val="000D3FC0"/>
    <w:rsid w:val="000D4E1D"/>
    <w:rsid w:val="000D67DE"/>
    <w:rsid w:val="000E403F"/>
    <w:rsid w:val="000E56D0"/>
    <w:rsid w:val="000E6679"/>
    <w:rsid w:val="000F39A6"/>
    <w:rsid w:val="000F58BF"/>
    <w:rsid w:val="000F7054"/>
    <w:rsid w:val="00101ABD"/>
    <w:rsid w:val="00101D02"/>
    <w:rsid w:val="00104461"/>
    <w:rsid w:val="00105CF1"/>
    <w:rsid w:val="00107835"/>
    <w:rsid w:val="0011037A"/>
    <w:rsid w:val="001130A7"/>
    <w:rsid w:val="00113ECA"/>
    <w:rsid w:val="00115911"/>
    <w:rsid w:val="00117CDE"/>
    <w:rsid w:val="0012031E"/>
    <w:rsid w:val="00121F3E"/>
    <w:rsid w:val="0013038F"/>
    <w:rsid w:val="001352FD"/>
    <w:rsid w:val="0013532D"/>
    <w:rsid w:val="0014489C"/>
    <w:rsid w:val="00151CAE"/>
    <w:rsid w:val="001526D2"/>
    <w:rsid w:val="00155ECD"/>
    <w:rsid w:val="00156F64"/>
    <w:rsid w:val="00161817"/>
    <w:rsid w:val="00162113"/>
    <w:rsid w:val="001648F7"/>
    <w:rsid w:val="00165AC5"/>
    <w:rsid w:val="00166826"/>
    <w:rsid w:val="00176821"/>
    <w:rsid w:val="00177473"/>
    <w:rsid w:val="00180292"/>
    <w:rsid w:val="00185AD3"/>
    <w:rsid w:val="001861E5"/>
    <w:rsid w:val="00192643"/>
    <w:rsid w:val="00194AC6"/>
    <w:rsid w:val="00197DB6"/>
    <w:rsid w:val="001A4FA1"/>
    <w:rsid w:val="001A533F"/>
    <w:rsid w:val="001B65A4"/>
    <w:rsid w:val="001B7EFB"/>
    <w:rsid w:val="001C22E9"/>
    <w:rsid w:val="001C2E2A"/>
    <w:rsid w:val="001C4203"/>
    <w:rsid w:val="001C6BD0"/>
    <w:rsid w:val="001D033E"/>
    <w:rsid w:val="001D1CE6"/>
    <w:rsid w:val="001D4A13"/>
    <w:rsid w:val="001D794C"/>
    <w:rsid w:val="001E01C7"/>
    <w:rsid w:val="001E10A1"/>
    <w:rsid w:val="001E145D"/>
    <w:rsid w:val="001E5C04"/>
    <w:rsid w:val="001E6D14"/>
    <w:rsid w:val="001E7621"/>
    <w:rsid w:val="001E76CF"/>
    <w:rsid w:val="001F0D1D"/>
    <w:rsid w:val="001F47C1"/>
    <w:rsid w:val="001F5845"/>
    <w:rsid w:val="002022C9"/>
    <w:rsid w:val="002026B5"/>
    <w:rsid w:val="00203C4D"/>
    <w:rsid w:val="002110FA"/>
    <w:rsid w:val="00211685"/>
    <w:rsid w:val="00211CBA"/>
    <w:rsid w:val="0021226B"/>
    <w:rsid w:val="0021244A"/>
    <w:rsid w:val="00213619"/>
    <w:rsid w:val="00215EF5"/>
    <w:rsid w:val="00215FD3"/>
    <w:rsid w:val="002202E9"/>
    <w:rsid w:val="002208F0"/>
    <w:rsid w:val="002223E7"/>
    <w:rsid w:val="00223ED3"/>
    <w:rsid w:val="00224974"/>
    <w:rsid w:val="002260A6"/>
    <w:rsid w:val="00227C99"/>
    <w:rsid w:val="00231F1C"/>
    <w:rsid w:val="00235542"/>
    <w:rsid w:val="0023571B"/>
    <w:rsid w:val="002359A7"/>
    <w:rsid w:val="00240A86"/>
    <w:rsid w:val="00240C58"/>
    <w:rsid w:val="00246152"/>
    <w:rsid w:val="00252656"/>
    <w:rsid w:val="00252F11"/>
    <w:rsid w:val="002532EF"/>
    <w:rsid w:val="00256877"/>
    <w:rsid w:val="00257640"/>
    <w:rsid w:val="00261AAB"/>
    <w:rsid w:val="00262A5E"/>
    <w:rsid w:val="00265624"/>
    <w:rsid w:val="00270CE1"/>
    <w:rsid w:val="00273380"/>
    <w:rsid w:val="00285588"/>
    <w:rsid w:val="002866D6"/>
    <w:rsid w:val="00286896"/>
    <w:rsid w:val="002911B8"/>
    <w:rsid w:val="00292D53"/>
    <w:rsid w:val="00296458"/>
    <w:rsid w:val="002A01FA"/>
    <w:rsid w:val="002A257C"/>
    <w:rsid w:val="002A3A19"/>
    <w:rsid w:val="002A4257"/>
    <w:rsid w:val="002A545C"/>
    <w:rsid w:val="002B0F9A"/>
    <w:rsid w:val="002B3275"/>
    <w:rsid w:val="002B5DFD"/>
    <w:rsid w:val="002B65C8"/>
    <w:rsid w:val="002B7DF9"/>
    <w:rsid w:val="002C0E61"/>
    <w:rsid w:val="002C6AEF"/>
    <w:rsid w:val="002C7082"/>
    <w:rsid w:val="002C7AF7"/>
    <w:rsid w:val="002D0410"/>
    <w:rsid w:val="002D0653"/>
    <w:rsid w:val="002D49F9"/>
    <w:rsid w:val="002D638D"/>
    <w:rsid w:val="002D6510"/>
    <w:rsid w:val="002D7D78"/>
    <w:rsid w:val="002D7EEB"/>
    <w:rsid w:val="002E17E4"/>
    <w:rsid w:val="002E1967"/>
    <w:rsid w:val="002E6027"/>
    <w:rsid w:val="002E6A9A"/>
    <w:rsid w:val="002F1859"/>
    <w:rsid w:val="0030110F"/>
    <w:rsid w:val="0030199B"/>
    <w:rsid w:val="00302AD8"/>
    <w:rsid w:val="00302EC0"/>
    <w:rsid w:val="0030581C"/>
    <w:rsid w:val="0031202A"/>
    <w:rsid w:val="0031266A"/>
    <w:rsid w:val="00313D84"/>
    <w:rsid w:val="003145FA"/>
    <w:rsid w:val="00316CBF"/>
    <w:rsid w:val="003239FA"/>
    <w:rsid w:val="0032698A"/>
    <w:rsid w:val="0032769D"/>
    <w:rsid w:val="003316C0"/>
    <w:rsid w:val="00334B1A"/>
    <w:rsid w:val="003369BA"/>
    <w:rsid w:val="00337B55"/>
    <w:rsid w:val="00337E5F"/>
    <w:rsid w:val="00342EBC"/>
    <w:rsid w:val="00342FE5"/>
    <w:rsid w:val="0034305A"/>
    <w:rsid w:val="00345CF4"/>
    <w:rsid w:val="003528A6"/>
    <w:rsid w:val="003540C8"/>
    <w:rsid w:val="003562D6"/>
    <w:rsid w:val="00357BD4"/>
    <w:rsid w:val="00357F1E"/>
    <w:rsid w:val="0036235E"/>
    <w:rsid w:val="003802E6"/>
    <w:rsid w:val="003803CD"/>
    <w:rsid w:val="0038184B"/>
    <w:rsid w:val="003820C8"/>
    <w:rsid w:val="00382C83"/>
    <w:rsid w:val="00382E0F"/>
    <w:rsid w:val="0038318A"/>
    <w:rsid w:val="00383546"/>
    <w:rsid w:val="0038465E"/>
    <w:rsid w:val="00387FF7"/>
    <w:rsid w:val="00390DF7"/>
    <w:rsid w:val="00391C70"/>
    <w:rsid w:val="003937BC"/>
    <w:rsid w:val="00397869"/>
    <w:rsid w:val="003A109C"/>
    <w:rsid w:val="003A4C2A"/>
    <w:rsid w:val="003A7279"/>
    <w:rsid w:val="003A7B75"/>
    <w:rsid w:val="003B29EF"/>
    <w:rsid w:val="003B460A"/>
    <w:rsid w:val="003C1467"/>
    <w:rsid w:val="003D30A5"/>
    <w:rsid w:val="003D3AEA"/>
    <w:rsid w:val="003D756C"/>
    <w:rsid w:val="003D773D"/>
    <w:rsid w:val="003E0ADC"/>
    <w:rsid w:val="003E281C"/>
    <w:rsid w:val="003E2FE3"/>
    <w:rsid w:val="003E4B1D"/>
    <w:rsid w:val="003E65D9"/>
    <w:rsid w:val="003E6A6E"/>
    <w:rsid w:val="003E7135"/>
    <w:rsid w:val="003F00AF"/>
    <w:rsid w:val="003F16B4"/>
    <w:rsid w:val="00400A2D"/>
    <w:rsid w:val="0040477D"/>
    <w:rsid w:val="00404AF8"/>
    <w:rsid w:val="00410E77"/>
    <w:rsid w:val="00411E72"/>
    <w:rsid w:val="0041770C"/>
    <w:rsid w:val="00417E0B"/>
    <w:rsid w:val="0042016C"/>
    <w:rsid w:val="004247E6"/>
    <w:rsid w:val="00426C1F"/>
    <w:rsid w:val="00433811"/>
    <w:rsid w:val="00433B9B"/>
    <w:rsid w:val="004356DD"/>
    <w:rsid w:val="00441376"/>
    <w:rsid w:val="00442B18"/>
    <w:rsid w:val="0044393C"/>
    <w:rsid w:val="004465F1"/>
    <w:rsid w:val="00457B8A"/>
    <w:rsid w:val="004604B3"/>
    <w:rsid w:val="00460E88"/>
    <w:rsid w:val="00461C20"/>
    <w:rsid w:val="00464FEE"/>
    <w:rsid w:val="00466B6A"/>
    <w:rsid w:val="0047005E"/>
    <w:rsid w:val="0048001D"/>
    <w:rsid w:val="00487E7D"/>
    <w:rsid w:val="004917AE"/>
    <w:rsid w:val="0049207B"/>
    <w:rsid w:val="0049276A"/>
    <w:rsid w:val="004934C5"/>
    <w:rsid w:val="00494F16"/>
    <w:rsid w:val="00497BB5"/>
    <w:rsid w:val="004A03AB"/>
    <w:rsid w:val="004A0B86"/>
    <w:rsid w:val="004A70FE"/>
    <w:rsid w:val="004A765B"/>
    <w:rsid w:val="004B0631"/>
    <w:rsid w:val="004B6435"/>
    <w:rsid w:val="004B67E5"/>
    <w:rsid w:val="004B7BC8"/>
    <w:rsid w:val="004C0B3B"/>
    <w:rsid w:val="004C2900"/>
    <w:rsid w:val="004C546B"/>
    <w:rsid w:val="004C7279"/>
    <w:rsid w:val="004D0110"/>
    <w:rsid w:val="004D01E8"/>
    <w:rsid w:val="004D2C77"/>
    <w:rsid w:val="004D3F4C"/>
    <w:rsid w:val="004D57BF"/>
    <w:rsid w:val="004D5FEA"/>
    <w:rsid w:val="004D63B0"/>
    <w:rsid w:val="004E7B35"/>
    <w:rsid w:val="004F1248"/>
    <w:rsid w:val="004F52D7"/>
    <w:rsid w:val="0050030F"/>
    <w:rsid w:val="00512426"/>
    <w:rsid w:val="00532894"/>
    <w:rsid w:val="00533F88"/>
    <w:rsid w:val="00541BF1"/>
    <w:rsid w:val="005447F8"/>
    <w:rsid w:val="00547509"/>
    <w:rsid w:val="00550B9F"/>
    <w:rsid w:val="00551D72"/>
    <w:rsid w:val="00553B0A"/>
    <w:rsid w:val="00553EF5"/>
    <w:rsid w:val="005544EF"/>
    <w:rsid w:val="00557C34"/>
    <w:rsid w:val="00560CA0"/>
    <w:rsid w:val="005629D4"/>
    <w:rsid w:val="00562A5E"/>
    <w:rsid w:val="00563EC8"/>
    <w:rsid w:val="0056414B"/>
    <w:rsid w:val="00564C76"/>
    <w:rsid w:val="00570517"/>
    <w:rsid w:val="00573D98"/>
    <w:rsid w:val="00581142"/>
    <w:rsid w:val="00584C00"/>
    <w:rsid w:val="00594C3C"/>
    <w:rsid w:val="00596969"/>
    <w:rsid w:val="005A0451"/>
    <w:rsid w:val="005A5500"/>
    <w:rsid w:val="005A5895"/>
    <w:rsid w:val="005A7B5A"/>
    <w:rsid w:val="005B353E"/>
    <w:rsid w:val="005B46A7"/>
    <w:rsid w:val="005C34E8"/>
    <w:rsid w:val="005C35CA"/>
    <w:rsid w:val="005C585D"/>
    <w:rsid w:val="005C7514"/>
    <w:rsid w:val="005D28FE"/>
    <w:rsid w:val="005E0420"/>
    <w:rsid w:val="005E234C"/>
    <w:rsid w:val="005E2EB8"/>
    <w:rsid w:val="005E3B2C"/>
    <w:rsid w:val="005E5AB8"/>
    <w:rsid w:val="005E6753"/>
    <w:rsid w:val="005E7014"/>
    <w:rsid w:val="005E730F"/>
    <w:rsid w:val="005F0CAD"/>
    <w:rsid w:val="005F68CF"/>
    <w:rsid w:val="005F6C03"/>
    <w:rsid w:val="005F6CDD"/>
    <w:rsid w:val="00602339"/>
    <w:rsid w:val="00607C03"/>
    <w:rsid w:val="006109A9"/>
    <w:rsid w:val="00610EE3"/>
    <w:rsid w:val="00616922"/>
    <w:rsid w:val="00620767"/>
    <w:rsid w:val="00625F79"/>
    <w:rsid w:val="00632036"/>
    <w:rsid w:val="006366E8"/>
    <w:rsid w:val="00640B03"/>
    <w:rsid w:val="00640BBF"/>
    <w:rsid w:val="00641723"/>
    <w:rsid w:val="00641F6A"/>
    <w:rsid w:val="0064275C"/>
    <w:rsid w:val="006435CC"/>
    <w:rsid w:val="00650BBE"/>
    <w:rsid w:val="00652B2C"/>
    <w:rsid w:val="00665A9B"/>
    <w:rsid w:val="00665FDD"/>
    <w:rsid w:val="00672C95"/>
    <w:rsid w:val="00672ED5"/>
    <w:rsid w:val="00680E02"/>
    <w:rsid w:val="0068165C"/>
    <w:rsid w:val="00687997"/>
    <w:rsid w:val="00690D05"/>
    <w:rsid w:val="00697604"/>
    <w:rsid w:val="006A08BC"/>
    <w:rsid w:val="006A2278"/>
    <w:rsid w:val="006A388F"/>
    <w:rsid w:val="006A6CEF"/>
    <w:rsid w:val="006A73B2"/>
    <w:rsid w:val="006B2296"/>
    <w:rsid w:val="006B2788"/>
    <w:rsid w:val="006B3CA5"/>
    <w:rsid w:val="006C66EA"/>
    <w:rsid w:val="006C7BCA"/>
    <w:rsid w:val="006D78BA"/>
    <w:rsid w:val="006E381C"/>
    <w:rsid w:val="006F1DEC"/>
    <w:rsid w:val="006F21CD"/>
    <w:rsid w:val="006F3179"/>
    <w:rsid w:val="00700B22"/>
    <w:rsid w:val="007047B5"/>
    <w:rsid w:val="00706B43"/>
    <w:rsid w:val="00706F98"/>
    <w:rsid w:val="007070F3"/>
    <w:rsid w:val="00712C18"/>
    <w:rsid w:val="00715D86"/>
    <w:rsid w:val="00716EC6"/>
    <w:rsid w:val="007210ED"/>
    <w:rsid w:val="00722D5B"/>
    <w:rsid w:val="007242DE"/>
    <w:rsid w:val="00724960"/>
    <w:rsid w:val="00724CE9"/>
    <w:rsid w:val="0072544F"/>
    <w:rsid w:val="0072553A"/>
    <w:rsid w:val="00725D04"/>
    <w:rsid w:val="007268B2"/>
    <w:rsid w:val="00726D9F"/>
    <w:rsid w:val="00727066"/>
    <w:rsid w:val="00727AD1"/>
    <w:rsid w:val="00731710"/>
    <w:rsid w:val="00731B2E"/>
    <w:rsid w:val="00731D2C"/>
    <w:rsid w:val="007324D9"/>
    <w:rsid w:val="00733FE5"/>
    <w:rsid w:val="00735BBD"/>
    <w:rsid w:val="00741622"/>
    <w:rsid w:val="007431D0"/>
    <w:rsid w:val="007502CF"/>
    <w:rsid w:val="00750E1A"/>
    <w:rsid w:val="00751450"/>
    <w:rsid w:val="00752476"/>
    <w:rsid w:val="00753AE4"/>
    <w:rsid w:val="00754AC8"/>
    <w:rsid w:val="00755E23"/>
    <w:rsid w:val="00756192"/>
    <w:rsid w:val="007564DD"/>
    <w:rsid w:val="00763BA6"/>
    <w:rsid w:val="00764311"/>
    <w:rsid w:val="007651D8"/>
    <w:rsid w:val="00766235"/>
    <w:rsid w:val="0076668D"/>
    <w:rsid w:val="00766BC0"/>
    <w:rsid w:val="00770ACC"/>
    <w:rsid w:val="00770F4D"/>
    <w:rsid w:val="007711E5"/>
    <w:rsid w:val="00771C36"/>
    <w:rsid w:val="007733F2"/>
    <w:rsid w:val="00773904"/>
    <w:rsid w:val="00773C17"/>
    <w:rsid w:val="007745EB"/>
    <w:rsid w:val="00774F01"/>
    <w:rsid w:val="007752F0"/>
    <w:rsid w:val="00777BEE"/>
    <w:rsid w:val="00782899"/>
    <w:rsid w:val="00782D86"/>
    <w:rsid w:val="00794850"/>
    <w:rsid w:val="00795528"/>
    <w:rsid w:val="0079703E"/>
    <w:rsid w:val="00797D21"/>
    <w:rsid w:val="007A09B9"/>
    <w:rsid w:val="007A3F60"/>
    <w:rsid w:val="007A7291"/>
    <w:rsid w:val="007A72A0"/>
    <w:rsid w:val="007B09BA"/>
    <w:rsid w:val="007B0FF6"/>
    <w:rsid w:val="007B1EB6"/>
    <w:rsid w:val="007B22D3"/>
    <w:rsid w:val="007B313D"/>
    <w:rsid w:val="007B3FCE"/>
    <w:rsid w:val="007B5925"/>
    <w:rsid w:val="007B5F62"/>
    <w:rsid w:val="007B79DE"/>
    <w:rsid w:val="007C1912"/>
    <w:rsid w:val="007C5389"/>
    <w:rsid w:val="007C5A97"/>
    <w:rsid w:val="007C6B3A"/>
    <w:rsid w:val="007C7227"/>
    <w:rsid w:val="007D0322"/>
    <w:rsid w:val="007D07EE"/>
    <w:rsid w:val="007D1318"/>
    <w:rsid w:val="007D1ACF"/>
    <w:rsid w:val="007D1B1F"/>
    <w:rsid w:val="007D1D1F"/>
    <w:rsid w:val="007D35FE"/>
    <w:rsid w:val="007D4785"/>
    <w:rsid w:val="007D5FCD"/>
    <w:rsid w:val="007D6F6B"/>
    <w:rsid w:val="007E27B8"/>
    <w:rsid w:val="007E4045"/>
    <w:rsid w:val="007F0672"/>
    <w:rsid w:val="007F26AA"/>
    <w:rsid w:val="007F6D50"/>
    <w:rsid w:val="008014F4"/>
    <w:rsid w:val="00806304"/>
    <w:rsid w:val="0081078E"/>
    <w:rsid w:val="0081418F"/>
    <w:rsid w:val="0081495D"/>
    <w:rsid w:val="008175F0"/>
    <w:rsid w:val="00820205"/>
    <w:rsid w:val="00822A58"/>
    <w:rsid w:val="0083051A"/>
    <w:rsid w:val="0083196F"/>
    <w:rsid w:val="00834632"/>
    <w:rsid w:val="00836308"/>
    <w:rsid w:val="00837955"/>
    <w:rsid w:val="008422A3"/>
    <w:rsid w:val="0084424D"/>
    <w:rsid w:val="00844E77"/>
    <w:rsid w:val="0084756A"/>
    <w:rsid w:val="00857E21"/>
    <w:rsid w:val="00861814"/>
    <w:rsid w:val="008648CE"/>
    <w:rsid w:val="0086501E"/>
    <w:rsid w:val="00870318"/>
    <w:rsid w:val="0087048E"/>
    <w:rsid w:val="008710EA"/>
    <w:rsid w:val="00871684"/>
    <w:rsid w:val="00875BB6"/>
    <w:rsid w:val="00880929"/>
    <w:rsid w:val="008841D4"/>
    <w:rsid w:val="00887AF6"/>
    <w:rsid w:val="00894BF8"/>
    <w:rsid w:val="008964D1"/>
    <w:rsid w:val="008A14BB"/>
    <w:rsid w:val="008B06E0"/>
    <w:rsid w:val="008B3CB3"/>
    <w:rsid w:val="008B44B3"/>
    <w:rsid w:val="008B459E"/>
    <w:rsid w:val="008C1B2A"/>
    <w:rsid w:val="008C2318"/>
    <w:rsid w:val="008C24D2"/>
    <w:rsid w:val="008C60A5"/>
    <w:rsid w:val="008C7FCF"/>
    <w:rsid w:val="008D12F0"/>
    <w:rsid w:val="008D6335"/>
    <w:rsid w:val="008E0076"/>
    <w:rsid w:val="008E0ABF"/>
    <w:rsid w:val="008E2F8B"/>
    <w:rsid w:val="008E6D0F"/>
    <w:rsid w:val="008F0C50"/>
    <w:rsid w:val="008F3125"/>
    <w:rsid w:val="008F4523"/>
    <w:rsid w:val="008F48AB"/>
    <w:rsid w:val="009009ED"/>
    <w:rsid w:val="00901915"/>
    <w:rsid w:val="00902E86"/>
    <w:rsid w:val="0090644C"/>
    <w:rsid w:val="00910D6E"/>
    <w:rsid w:val="00910E64"/>
    <w:rsid w:val="00912A38"/>
    <w:rsid w:val="0091337B"/>
    <w:rsid w:val="0091342E"/>
    <w:rsid w:val="00914F56"/>
    <w:rsid w:val="00925864"/>
    <w:rsid w:val="0093209C"/>
    <w:rsid w:val="00940B37"/>
    <w:rsid w:val="009442AA"/>
    <w:rsid w:val="009466CF"/>
    <w:rsid w:val="0094791F"/>
    <w:rsid w:val="0095117D"/>
    <w:rsid w:val="009525EB"/>
    <w:rsid w:val="00953384"/>
    <w:rsid w:val="0097247B"/>
    <w:rsid w:val="00972AF8"/>
    <w:rsid w:val="00972C9A"/>
    <w:rsid w:val="00976EF7"/>
    <w:rsid w:val="00977B26"/>
    <w:rsid w:val="009812C5"/>
    <w:rsid w:val="00984DC0"/>
    <w:rsid w:val="00984E3E"/>
    <w:rsid w:val="009853B2"/>
    <w:rsid w:val="00987D9B"/>
    <w:rsid w:val="009944C2"/>
    <w:rsid w:val="00997FE6"/>
    <w:rsid w:val="009A0B6F"/>
    <w:rsid w:val="009A0E28"/>
    <w:rsid w:val="009A0F94"/>
    <w:rsid w:val="009A417A"/>
    <w:rsid w:val="009A6C05"/>
    <w:rsid w:val="009A74C9"/>
    <w:rsid w:val="009B134E"/>
    <w:rsid w:val="009B5684"/>
    <w:rsid w:val="009B6020"/>
    <w:rsid w:val="009B6A2D"/>
    <w:rsid w:val="009B781A"/>
    <w:rsid w:val="009C07C8"/>
    <w:rsid w:val="009C21DA"/>
    <w:rsid w:val="009C262E"/>
    <w:rsid w:val="009C36D2"/>
    <w:rsid w:val="009C6B50"/>
    <w:rsid w:val="009D1AC6"/>
    <w:rsid w:val="009D2183"/>
    <w:rsid w:val="009E1344"/>
    <w:rsid w:val="009E16A4"/>
    <w:rsid w:val="009E1B92"/>
    <w:rsid w:val="009E2C6E"/>
    <w:rsid w:val="00A00449"/>
    <w:rsid w:val="00A00E9C"/>
    <w:rsid w:val="00A044AC"/>
    <w:rsid w:val="00A05F2C"/>
    <w:rsid w:val="00A12F3F"/>
    <w:rsid w:val="00A13F7C"/>
    <w:rsid w:val="00A23E39"/>
    <w:rsid w:val="00A24E51"/>
    <w:rsid w:val="00A35F53"/>
    <w:rsid w:val="00A424E0"/>
    <w:rsid w:val="00A438FF"/>
    <w:rsid w:val="00A46944"/>
    <w:rsid w:val="00A4776E"/>
    <w:rsid w:val="00A478A6"/>
    <w:rsid w:val="00A53F02"/>
    <w:rsid w:val="00A54150"/>
    <w:rsid w:val="00A5777D"/>
    <w:rsid w:val="00A60990"/>
    <w:rsid w:val="00A60B76"/>
    <w:rsid w:val="00A64A7E"/>
    <w:rsid w:val="00A67475"/>
    <w:rsid w:val="00A70883"/>
    <w:rsid w:val="00A7146C"/>
    <w:rsid w:val="00A74CD6"/>
    <w:rsid w:val="00A75DF1"/>
    <w:rsid w:val="00A77BE9"/>
    <w:rsid w:val="00A821A8"/>
    <w:rsid w:val="00A827C8"/>
    <w:rsid w:val="00A84855"/>
    <w:rsid w:val="00A87431"/>
    <w:rsid w:val="00A914CD"/>
    <w:rsid w:val="00A94CAB"/>
    <w:rsid w:val="00A94E5E"/>
    <w:rsid w:val="00A966FF"/>
    <w:rsid w:val="00A96E3E"/>
    <w:rsid w:val="00AB2818"/>
    <w:rsid w:val="00AB5247"/>
    <w:rsid w:val="00AC067D"/>
    <w:rsid w:val="00AC3E89"/>
    <w:rsid w:val="00AC4142"/>
    <w:rsid w:val="00AC7AC7"/>
    <w:rsid w:val="00AD2880"/>
    <w:rsid w:val="00AD4A46"/>
    <w:rsid w:val="00AD5FEE"/>
    <w:rsid w:val="00AE146B"/>
    <w:rsid w:val="00AE1F0B"/>
    <w:rsid w:val="00AE296C"/>
    <w:rsid w:val="00AE2978"/>
    <w:rsid w:val="00AE2A47"/>
    <w:rsid w:val="00AE403B"/>
    <w:rsid w:val="00AE5A3A"/>
    <w:rsid w:val="00AE624C"/>
    <w:rsid w:val="00AF4582"/>
    <w:rsid w:val="00AF6ACA"/>
    <w:rsid w:val="00AF7649"/>
    <w:rsid w:val="00B01EB2"/>
    <w:rsid w:val="00B022C9"/>
    <w:rsid w:val="00B10604"/>
    <w:rsid w:val="00B149B9"/>
    <w:rsid w:val="00B175F1"/>
    <w:rsid w:val="00B20247"/>
    <w:rsid w:val="00B226AD"/>
    <w:rsid w:val="00B22A72"/>
    <w:rsid w:val="00B24909"/>
    <w:rsid w:val="00B24EE8"/>
    <w:rsid w:val="00B25264"/>
    <w:rsid w:val="00B2608E"/>
    <w:rsid w:val="00B33D00"/>
    <w:rsid w:val="00B34B10"/>
    <w:rsid w:val="00B37663"/>
    <w:rsid w:val="00B4391F"/>
    <w:rsid w:val="00B50853"/>
    <w:rsid w:val="00B51BFC"/>
    <w:rsid w:val="00B539F8"/>
    <w:rsid w:val="00B554AA"/>
    <w:rsid w:val="00B57594"/>
    <w:rsid w:val="00B63D6C"/>
    <w:rsid w:val="00B6420D"/>
    <w:rsid w:val="00B738D5"/>
    <w:rsid w:val="00B76474"/>
    <w:rsid w:val="00B8018B"/>
    <w:rsid w:val="00B8330D"/>
    <w:rsid w:val="00B84F4C"/>
    <w:rsid w:val="00B85615"/>
    <w:rsid w:val="00B85B11"/>
    <w:rsid w:val="00B85DA3"/>
    <w:rsid w:val="00B8647D"/>
    <w:rsid w:val="00B916CD"/>
    <w:rsid w:val="00B95788"/>
    <w:rsid w:val="00B975A6"/>
    <w:rsid w:val="00BA4377"/>
    <w:rsid w:val="00BB4074"/>
    <w:rsid w:val="00BB4D36"/>
    <w:rsid w:val="00BB6847"/>
    <w:rsid w:val="00BC00D7"/>
    <w:rsid w:val="00BC2112"/>
    <w:rsid w:val="00BC2AB7"/>
    <w:rsid w:val="00BD1624"/>
    <w:rsid w:val="00BD1DF7"/>
    <w:rsid w:val="00BD29C8"/>
    <w:rsid w:val="00BD4848"/>
    <w:rsid w:val="00BD4A65"/>
    <w:rsid w:val="00BE3452"/>
    <w:rsid w:val="00BE50F6"/>
    <w:rsid w:val="00BE5742"/>
    <w:rsid w:val="00BF3542"/>
    <w:rsid w:val="00BF3ED2"/>
    <w:rsid w:val="00BF4646"/>
    <w:rsid w:val="00BF51E3"/>
    <w:rsid w:val="00C04BC5"/>
    <w:rsid w:val="00C101F3"/>
    <w:rsid w:val="00C20BF4"/>
    <w:rsid w:val="00C21753"/>
    <w:rsid w:val="00C220A6"/>
    <w:rsid w:val="00C31F08"/>
    <w:rsid w:val="00C32BB0"/>
    <w:rsid w:val="00C34CBA"/>
    <w:rsid w:val="00C37589"/>
    <w:rsid w:val="00C42789"/>
    <w:rsid w:val="00C42C99"/>
    <w:rsid w:val="00C46090"/>
    <w:rsid w:val="00C466BD"/>
    <w:rsid w:val="00C505E8"/>
    <w:rsid w:val="00C5295A"/>
    <w:rsid w:val="00C53EF6"/>
    <w:rsid w:val="00C54C80"/>
    <w:rsid w:val="00C55840"/>
    <w:rsid w:val="00C56538"/>
    <w:rsid w:val="00C6030B"/>
    <w:rsid w:val="00C64683"/>
    <w:rsid w:val="00C65B3F"/>
    <w:rsid w:val="00C65C6C"/>
    <w:rsid w:val="00C67EE8"/>
    <w:rsid w:val="00C7007C"/>
    <w:rsid w:val="00C7277A"/>
    <w:rsid w:val="00C75906"/>
    <w:rsid w:val="00C76848"/>
    <w:rsid w:val="00C76A3D"/>
    <w:rsid w:val="00C77EF8"/>
    <w:rsid w:val="00C80DE3"/>
    <w:rsid w:val="00C856DF"/>
    <w:rsid w:val="00C92763"/>
    <w:rsid w:val="00C9407E"/>
    <w:rsid w:val="00CA304A"/>
    <w:rsid w:val="00CA35A0"/>
    <w:rsid w:val="00CA5D04"/>
    <w:rsid w:val="00CA7FDC"/>
    <w:rsid w:val="00CB4D63"/>
    <w:rsid w:val="00CB6AD0"/>
    <w:rsid w:val="00CB7C6C"/>
    <w:rsid w:val="00CC3545"/>
    <w:rsid w:val="00CC3F82"/>
    <w:rsid w:val="00CC602E"/>
    <w:rsid w:val="00CC6224"/>
    <w:rsid w:val="00CE3748"/>
    <w:rsid w:val="00CE4438"/>
    <w:rsid w:val="00CE5020"/>
    <w:rsid w:val="00CF0D19"/>
    <w:rsid w:val="00CF1B4D"/>
    <w:rsid w:val="00CF2A2E"/>
    <w:rsid w:val="00CF3181"/>
    <w:rsid w:val="00CF78D1"/>
    <w:rsid w:val="00D00712"/>
    <w:rsid w:val="00D1093A"/>
    <w:rsid w:val="00D12CF3"/>
    <w:rsid w:val="00D15B89"/>
    <w:rsid w:val="00D160A4"/>
    <w:rsid w:val="00D17DF7"/>
    <w:rsid w:val="00D20841"/>
    <w:rsid w:val="00D24298"/>
    <w:rsid w:val="00D33EAC"/>
    <w:rsid w:val="00D423E0"/>
    <w:rsid w:val="00D45D6E"/>
    <w:rsid w:val="00D509C1"/>
    <w:rsid w:val="00D516E5"/>
    <w:rsid w:val="00D52481"/>
    <w:rsid w:val="00D5577E"/>
    <w:rsid w:val="00D55A0E"/>
    <w:rsid w:val="00D60A27"/>
    <w:rsid w:val="00D64D65"/>
    <w:rsid w:val="00D7274B"/>
    <w:rsid w:val="00D74C35"/>
    <w:rsid w:val="00D7502C"/>
    <w:rsid w:val="00D76BD9"/>
    <w:rsid w:val="00D8196B"/>
    <w:rsid w:val="00D83A9D"/>
    <w:rsid w:val="00D843AF"/>
    <w:rsid w:val="00D85D56"/>
    <w:rsid w:val="00D923E8"/>
    <w:rsid w:val="00D97719"/>
    <w:rsid w:val="00DA1783"/>
    <w:rsid w:val="00DA2E69"/>
    <w:rsid w:val="00DA4050"/>
    <w:rsid w:val="00DA4C2A"/>
    <w:rsid w:val="00DA6E26"/>
    <w:rsid w:val="00DB3576"/>
    <w:rsid w:val="00DB3AEE"/>
    <w:rsid w:val="00DB57E8"/>
    <w:rsid w:val="00DB6483"/>
    <w:rsid w:val="00DC1117"/>
    <w:rsid w:val="00DC1ABC"/>
    <w:rsid w:val="00DC50A7"/>
    <w:rsid w:val="00DC76CA"/>
    <w:rsid w:val="00DD4945"/>
    <w:rsid w:val="00DD4EF1"/>
    <w:rsid w:val="00DD5946"/>
    <w:rsid w:val="00DE3665"/>
    <w:rsid w:val="00DE3AA1"/>
    <w:rsid w:val="00DE4381"/>
    <w:rsid w:val="00DE5A27"/>
    <w:rsid w:val="00DE645F"/>
    <w:rsid w:val="00DF3436"/>
    <w:rsid w:val="00DF482A"/>
    <w:rsid w:val="00E046CC"/>
    <w:rsid w:val="00E05C98"/>
    <w:rsid w:val="00E07E61"/>
    <w:rsid w:val="00E14687"/>
    <w:rsid w:val="00E15ED2"/>
    <w:rsid w:val="00E20F64"/>
    <w:rsid w:val="00E21273"/>
    <w:rsid w:val="00E21326"/>
    <w:rsid w:val="00E24FC4"/>
    <w:rsid w:val="00E32650"/>
    <w:rsid w:val="00E33536"/>
    <w:rsid w:val="00E42870"/>
    <w:rsid w:val="00E43427"/>
    <w:rsid w:val="00E44F41"/>
    <w:rsid w:val="00E455CE"/>
    <w:rsid w:val="00E45D62"/>
    <w:rsid w:val="00E522D2"/>
    <w:rsid w:val="00E55B3B"/>
    <w:rsid w:val="00E55CD3"/>
    <w:rsid w:val="00E61B8F"/>
    <w:rsid w:val="00E6259D"/>
    <w:rsid w:val="00E62F2E"/>
    <w:rsid w:val="00E63202"/>
    <w:rsid w:val="00E65002"/>
    <w:rsid w:val="00E6556C"/>
    <w:rsid w:val="00E67C76"/>
    <w:rsid w:val="00E75BC5"/>
    <w:rsid w:val="00E767EB"/>
    <w:rsid w:val="00E77A86"/>
    <w:rsid w:val="00E81D5D"/>
    <w:rsid w:val="00E82B1C"/>
    <w:rsid w:val="00E83EC7"/>
    <w:rsid w:val="00E83FDF"/>
    <w:rsid w:val="00E84AF4"/>
    <w:rsid w:val="00E8577D"/>
    <w:rsid w:val="00E86A3D"/>
    <w:rsid w:val="00E8725F"/>
    <w:rsid w:val="00E94B0A"/>
    <w:rsid w:val="00E97C79"/>
    <w:rsid w:val="00EA1D2C"/>
    <w:rsid w:val="00EA3268"/>
    <w:rsid w:val="00EA3A29"/>
    <w:rsid w:val="00EA4656"/>
    <w:rsid w:val="00EC487D"/>
    <w:rsid w:val="00EC62BC"/>
    <w:rsid w:val="00ED0096"/>
    <w:rsid w:val="00ED5AF9"/>
    <w:rsid w:val="00ED72D9"/>
    <w:rsid w:val="00ED746A"/>
    <w:rsid w:val="00EE1496"/>
    <w:rsid w:val="00EE3D8A"/>
    <w:rsid w:val="00EE45AC"/>
    <w:rsid w:val="00EF6048"/>
    <w:rsid w:val="00EF7EC8"/>
    <w:rsid w:val="00F030AC"/>
    <w:rsid w:val="00F03BB8"/>
    <w:rsid w:val="00F04669"/>
    <w:rsid w:val="00F04C08"/>
    <w:rsid w:val="00F1596D"/>
    <w:rsid w:val="00F22238"/>
    <w:rsid w:val="00F2238C"/>
    <w:rsid w:val="00F24C0E"/>
    <w:rsid w:val="00F24FF6"/>
    <w:rsid w:val="00F429E7"/>
    <w:rsid w:val="00F45043"/>
    <w:rsid w:val="00F460F1"/>
    <w:rsid w:val="00F50465"/>
    <w:rsid w:val="00F50D10"/>
    <w:rsid w:val="00F5298B"/>
    <w:rsid w:val="00F53984"/>
    <w:rsid w:val="00F540AE"/>
    <w:rsid w:val="00F5575B"/>
    <w:rsid w:val="00F61212"/>
    <w:rsid w:val="00F636EC"/>
    <w:rsid w:val="00F640AD"/>
    <w:rsid w:val="00F675BD"/>
    <w:rsid w:val="00F679FE"/>
    <w:rsid w:val="00F73EFA"/>
    <w:rsid w:val="00F76ED4"/>
    <w:rsid w:val="00F770BF"/>
    <w:rsid w:val="00F810B3"/>
    <w:rsid w:val="00F84A4C"/>
    <w:rsid w:val="00F851A7"/>
    <w:rsid w:val="00F85A46"/>
    <w:rsid w:val="00F900F8"/>
    <w:rsid w:val="00F93523"/>
    <w:rsid w:val="00F950BB"/>
    <w:rsid w:val="00F96765"/>
    <w:rsid w:val="00FA034B"/>
    <w:rsid w:val="00FA7EB7"/>
    <w:rsid w:val="00FB02C9"/>
    <w:rsid w:val="00FB0593"/>
    <w:rsid w:val="00FC013E"/>
    <w:rsid w:val="00FD11D6"/>
    <w:rsid w:val="00FD4389"/>
    <w:rsid w:val="00FD4AD2"/>
    <w:rsid w:val="00FE3B04"/>
    <w:rsid w:val="00FE41CA"/>
    <w:rsid w:val="00FE6949"/>
    <w:rsid w:val="00FF317F"/>
    <w:rsid w:val="00FF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E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B6"/>
    <w:pPr>
      <w:spacing w:after="0"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7070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70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70F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5BB6"/>
    <w:rPr>
      <w:color w:val="0000FF"/>
      <w:u w:val="single"/>
    </w:rPr>
  </w:style>
  <w:style w:type="paragraph" w:styleId="FootnoteText">
    <w:name w:val="footnote text"/>
    <w:basedOn w:val="Normal"/>
    <w:link w:val="FootnoteTextChar"/>
    <w:semiHidden/>
    <w:rsid w:val="00875BB6"/>
    <w:pPr>
      <w:autoSpaceDE w:val="0"/>
      <w:autoSpaceDN w:val="0"/>
      <w:adjustRightInd w:val="0"/>
    </w:pPr>
    <w:rPr>
      <w:sz w:val="20"/>
      <w:szCs w:val="20"/>
    </w:rPr>
  </w:style>
  <w:style w:type="character" w:customStyle="1" w:styleId="FootnoteTextChar">
    <w:name w:val="Footnote Text Char"/>
    <w:basedOn w:val="DefaultParagraphFont"/>
    <w:link w:val="FootnoteText"/>
    <w:semiHidden/>
    <w:rsid w:val="00875BB6"/>
    <w:rPr>
      <w:rFonts w:ascii="Times New Roman" w:eastAsia="Times New Roman" w:hAnsi="Times New Roman"/>
      <w:sz w:val="20"/>
      <w:szCs w:val="20"/>
    </w:rPr>
  </w:style>
  <w:style w:type="character" w:styleId="FootnoteReference">
    <w:name w:val="footnote reference"/>
    <w:uiPriority w:val="99"/>
    <w:semiHidden/>
    <w:rsid w:val="00875BB6"/>
    <w:rPr>
      <w:vertAlign w:val="superscript"/>
    </w:rPr>
  </w:style>
  <w:style w:type="paragraph" w:customStyle="1" w:styleId="font5">
    <w:name w:val="font5"/>
    <w:basedOn w:val="Normal"/>
    <w:rsid w:val="00875BB6"/>
    <w:pPr>
      <w:spacing w:before="100" w:beforeAutospacing="1" w:after="100" w:afterAutospacing="1"/>
    </w:pPr>
    <w:rPr>
      <w:rFonts w:ascii="Arial" w:hAnsi="Arial" w:cs="Arial"/>
      <w:sz w:val="20"/>
      <w:szCs w:val="20"/>
    </w:rPr>
  </w:style>
  <w:style w:type="paragraph" w:customStyle="1" w:styleId="font6">
    <w:name w:val="font6"/>
    <w:basedOn w:val="Normal"/>
    <w:rsid w:val="00875BB6"/>
    <w:pPr>
      <w:spacing w:before="100" w:beforeAutospacing="1" w:after="100" w:afterAutospacing="1"/>
    </w:pPr>
    <w:rPr>
      <w:rFonts w:ascii="Arial" w:hAnsi="Arial" w:cs="Arial"/>
      <w:b/>
      <w:bCs/>
      <w:sz w:val="20"/>
      <w:szCs w:val="20"/>
    </w:rPr>
  </w:style>
  <w:style w:type="paragraph" w:customStyle="1" w:styleId="xl24">
    <w:name w:val="xl2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link w:val="FooterChar"/>
    <w:uiPriority w:val="99"/>
    <w:rsid w:val="00875BB6"/>
    <w:pPr>
      <w:tabs>
        <w:tab w:val="center" w:pos="4320"/>
        <w:tab w:val="right" w:pos="8640"/>
      </w:tabs>
    </w:pPr>
  </w:style>
  <w:style w:type="character" w:customStyle="1" w:styleId="FooterChar">
    <w:name w:val="Footer Char"/>
    <w:basedOn w:val="DefaultParagraphFont"/>
    <w:link w:val="Footer"/>
    <w:uiPriority w:val="99"/>
    <w:rsid w:val="00875BB6"/>
    <w:rPr>
      <w:rFonts w:ascii="Times New Roman" w:eastAsia="Times New Roman" w:hAnsi="Times New Roman"/>
    </w:rPr>
  </w:style>
  <w:style w:type="character" w:styleId="PageNumber">
    <w:name w:val="page number"/>
    <w:basedOn w:val="DefaultParagraphFont"/>
    <w:rsid w:val="00875BB6"/>
  </w:style>
  <w:style w:type="paragraph" w:styleId="Header">
    <w:name w:val="header"/>
    <w:basedOn w:val="Normal"/>
    <w:link w:val="HeaderChar"/>
    <w:uiPriority w:val="99"/>
    <w:rsid w:val="00875BB6"/>
    <w:pPr>
      <w:tabs>
        <w:tab w:val="center" w:pos="4320"/>
        <w:tab w:val="right" w:pos="8640"/>
      </w:tabs>
    </w:pPr>
  </w:style>
  <w:style w:type="character" w:customStyle="1" w:styleId="HeaderChar">
    <w:name w:val="Header Char"/>
    <w:basedOn w:val="DefaultParagraphFont"/>
    <w:link w:val="Header"/>
    <w:uiPriority w:val="99"/>
    <w:rsid w:val="00875BB6"/>
    <w:rPr>
      <w:rFonts w:ascii="Times New Roman" w:eastAsia="Times New Roman" w:hAnsi="Times New Roman"/>
    </w:rPr>
  </w:style>
  <w:style w:type="paragraph" w:customStyle="1" w:styleId="1">
    <w:name w:val="1"/>
    <w:rsid w:val="00875BB6"/>
    <w:pPr>
      <w:tabs>
        <w:tab w:val="left" w:pos="720"/>
        <w:tab w:val="left" w:pos="1440"/>
      </w:tabs>
      <w:autoSpaceDE w:val="0"/>
      <w:autoSpaceDN w:val="0"/>
      <w:adjustRightInd w:val="0"/>
      <w:spacing w:after="0" w:line="240" w:lineRule="auto"/>
      <w:ind w:left="1440" w:hanging="720"/>
    </w:pPr>
    <w:rPr>
      <w:rFonts w:ascii="Times New Roman" w:eastAsia="Times New Roman" w:hAnsi="Times New Roman"/>
      <w:sz w:val="20"/>
    </w:rPr>
  </w:style>
  <w:style w:type="character" w:styleId="FollowedHyperlink">
    <w:name w:val="FollowedHyperlink"/>
    <w:rsid w:val="00875BB6"/>
    <w:rPr>
      <w:color w:val="800080"/>
      <w:u w:val="single"/>
    </w:rPr>
  </w:style>
  <w:style w:type="character" w:styleId="CommentReference">
    <w:name w:val="annotation reference"/>
    <w:semiHidden/>
    <w:rsid w:val="00875BB6"/>
    <w:rPr>
      <w:sz w:val="16"/>
      <w:szCs w:val="16"/>
    </w:rPr>
  </w:style>
  <w:style w:type="paragraph" w:styleId="CommentText">
    <w:name w:val="annotation text"/>
    <w:basedOn w:val="Normal"/>
    <w:link w:val="CommentTextChar"/>
    <w:semiHidden/>
    <w:rsid w:val="00875BB6"/>
    <w:rPr>
      <w:sz w:val="20"/>
      <w:szCs w:val="20"/>
    </w:rPr>
  </w:style>
  <w:style w:type="character" w:customStyle="1" w:styleId="CommentTextChar">
    <w:name w:val="Comment Text Char"/>
    <w:basedOn w:val="DefaultParagraphFont"/>
    <w:link w:val="CommentText"/>
    <w:semiHidden/>
    <w:rsid w:val="00875BB6"/>
    <w:rPr>
      <w:rFonts w:ascii="Times New Roman" w:eastAsia="Times New Roman" w:hAnsi="Times New Roman"/>
      <w:sz w:val="20"/>
      <w:szCs w:val="20"/>
    </w:rPr>
  </w:style>
  <w:style w:type="paragraph" w:customStyle="1" w:styleId="xl36">
    <w:name w:val="xl3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rsid w:val="00875BB6"/>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link w:val="BalloonTextChar"/>
    <w:semiHidden/>
    <w:rsid w:val="00875BB6"/>
    <w:rPr>
      <w:rFonts w:ascii="Tahoma" w:hAnsi="Tahoma" w:cs="Tahoma"/>
      <w:sz w:val="16"/>
      <w:szCs w:val="16"/>
    </w:rPr>
  </w:style>
  <w:style w:type="character" w:customStyle="1" w:styleId="BalloonTextChar">
    <w:name w:val="Balloon Text Char"/>
    <w:basedOn w:val="DefaultParagraphFont"/>
    <w:link w:val="BalloonText"/>
    <w:semiHidden/>
    <w:rsid w:val="00875BB6"/>
    <w:rPr>
      <w:rFonts w:ascii="Tahoma" w:eastAsia="Times New Roman" w:hAnsi="Tahoma" w:cs="Tahoma"/>
      <w:sz w:val="16"/>
      <w:szCs w:val="16"/>
    </w:rPr>
  </w:style>
  <w:style w:type="paragraph" w:styleId="CommentSubject">
    <w:name w:val="annotation subject"/>
    <w:basedOn w:val="CommentText"/>
    <w:next w:val="CommentText"/>
    <w:link w:val="CommentSubjectChar"/>
    <w:rsid w:val="00875BB6"/>
    <w:rPr>
      <w:b/>
      <w:bCs/>
      <w:lang w:val="x-none" w:eastAsia="x-none"/>
    </w:rPr>
  </w:style>
  <w:style w:type="character" w:customStyle="1" w:styleId="CommentSubjectChar">
    <w:name w:val="Comment Subject Char"/>
    <w:basedOn w:val="CommentTextChar"/>
    <w:link w:val="CommentSubject"/>
    <w:rsid w:val="00875BB6"/>
    <w:rPr>
      <w:rFonts w:ascii="Times New Roman" w:eastAsia="Times New Roman" w:hAnsi="Times New Roman"/>
      <w:b/>
      <w:bCs/>
      <w:sz w:val="20"/>
      <w:szCs w:val="20"/>
      <w:lang w:val="x-none" w:eastAsia="x-none"/>
    </w:rPr>
  </w:style>
  <w:style w:type="paragraph" w:styleId="Revision">
    <w:name w:val="Revision"/>
    <w:hidden/>
    <w:uiPriority w:val="99"/>
    <w:semiHidden/>
    <w:rsid w:val="00875BB6"/>
    <w:pPr>
      <w:spacing w:after="0" w:line="240" w:lineRule="auto"/>
    </w:pPr>
    <w:rPr>
      <w:rFonts w:ascii="Times New Roman" w:eastAsia="Times New Roman" w:hAnsi="Times New Roman"/>
    </w:rPr>
  </w:style>
  <w:style w:type="table" w:styleId="TableGrid">
    <w:name w:val="Table Grid"/>
    <w:basedOn w:val="TableNormal"/>
    <w:rsid w:val="00875BB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5BB6"/>
    <w:pPr>
      <w:ind w:left="720"/>
    </w:pPr>
    <w:rPr>
      <w:lang w:val="x-none" w:eastAsia="x-none"/>
    </w:rPr>
  </w:style>
  <w:style w:type="paragraph" w:customStyle="1" w:styleId="Default">
    <w:name w:val="Default"/>
    <w:rsid w:val="00875BB6"/>
    <w:pPr>
      <w:autoSpaceDE w:val="0"/>
      <w:autoSpaceDN w:val="0"/>
      <w:adjustRightInd w:val="0"/>
      <w:spacing w:after="0" w:line="240" w:lineRule="auto"/>
    </w:pPr>
    <w:rPr>
      <w:rFonts w:ascii="Times" w:eastAsia="Times New Roman" w:hAnsi="Times" w:cs="Times"/>
      <w:color w:val="000000"/>
    </w:rPr>
  </w:style>
  <w:style w:type="paragraph" w:styleId="PlainText">
    <w:name w:val="Plain Text"/>
    <w:basedOn w:val="Normal"/>
    <w:link w:val="PlainTextChar"/>
    <w:uiPriority w:val="99"/>
    <w:unhideWhenUsed/>
    <w:rsid w:val="00875BB6"/>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875BB6"/>
    <w:rPr>
      <w:rFonts w:ascii="Calibri" w:eastAsia="Calibri" w:hAnsi="Calibri"/>
      <w:sz w:val="22"/>
      <w:szCs w:val="21"/>
      <w:lang w:val="x-none" w:eastAsia="x-none"/>
    </w:rPr>
  </w:style>
  <w:style w:type="character" w:customStyle="1" w:styleId="ListParagraphChar">
    <w:name w:val="List Paragraph Char"/>
    <w:link w:val="ListParagraph"/>
    <w:uiPriority w:val="34"/>
    <w:rsid w:val="00875BB6"/>
    <w:rPr>
      <w:rFonts w:ascii="Times New Roman" w:eastAsia="Times New Roman" w:hAnsi="Times New Roman"/>
      <w:lang w:val="x-none" w:eastAsia="x-none"/>
    </w:rPr>
  </w:style>
  <w:style w:type="table" w:customStyle="1" w:styleId="TableGrid1">
    <w:name w:val="Table Grid1"/>
    <w:basedOn w:val="TableNormal"/>
    <w:next w:val="TableGrid"/>
    <w:uiPriority w:val="39"/>
    <w:rsid w:val="005A04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5A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4D57BF"/>
    <w:rPr>
      <w:color w:val="0000FF"/>
      <w:u w:val="single"/>
    </w:rPr>
  </w:style>
  <w:style w:type="character" w:styleId="Strong">
    <w:name w:val="Strong"/>
    <w:basedOn w:val="DefaultParagraphFont"/>
    <w:qFormat/>
    <w:rsid w:val="004D57BF"/>
    <w:rPr>
      <w:b/>
      <w:bCs/>
    </w:rPr>
  </w:style>
  <w:style w:type="paragraph" w:customStyle="1" w:styleId="Level3">
    <w:name w:val="Level 3"/>
    <w:basedOn w:val="Normal"/>
    <w:rsid w:val="002C6AEF"/>
    <w:pPr>
      <w:widowControl w:val="0"/>
      <w:autoSpaceDE w:val="0"/>
      <w:autoSpaceDN w:val="0"/>
      <w:adjustRightInd w:val="0"/>
      <w:ind w:left="2160" w:hanging="720"/>
    </w:pPr>
  </w:style>
  <w:style w:type="character" w:customStyle="1" w:styleId="Heading1Char">
    <w:name w:val="Heading 1 Char"/>
    <w:basedOn w:val="DefaultParagraphFont"/>
    <w:link w:val="Heading1"/>
    <w:uiPriority w:val="9"/>
    <w:rsid w:val="007070F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070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070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70F3"/>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39"/>
    <w:rsid w:val="00C50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E6D1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B6"/>
    <w:pPr>
      <w:spacing w:after="0"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7070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70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70F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5BB6"/>
    <w:rPr>
      <w:color w:val="0000FF"/>
      <w:u w:val="single"/>
    </w:rPr>
  </w:style>
  <w:style w:type="paragraph" w:styleId="FootnoteText">
    <w:name w:val="footnote text"/>
    <w:basedOn w:val="Normal"/>
    <w:link w:val="FootnoteTextChar"/>
    <w:semiHidden/>
    <w:rsid w:val="00875BB6"/>
    <w:pPr>
      <w:autoSpaceDE w:val="0"/>
      <w:autoSpaceDN w:val="0"/>
      <w:adjustRightInd w:val="0"/>
    </w:pPr>
    <w:rPr>
      <w:sz w:val="20"/>
      <w:szCs w:val="20"/>
    </w:rPr>
  </w:style>
  <w:style w:type="character" w:customStyle="1" w:styleId="FootnoteTextChar">
    <w:name w:val="Footnote Text Char"/>
    <w:basedOn w:val="DefaultParagraphFont"/>
    <w:link w:val="FootnoteText"/>
    <w:semiHidden/>
    <w:rsid w:val="00875BB6"/>
    <w:rPr>
      <w:rFonts w:ascii="Times New Roman" w:eastAsia="Times New Roman" w:hAnsi="Times New Roman"/>
      <w:sz w:val="20"/>
      <w:szCs w:val="20"/>
    </w:rPr>
  </w:style>
  <w:style w:type="character" w:styleId="FootnoteReference">
    <w:name w:val="footnote reference"/>
    <w:uiPriority w:val="99"/>
    <w:semiHidden/>
    <w:rsid w:val="00875BB6"/>
    <w:rPr>
      <w:vertAlign w:val="superscript"/>
    </w:rPr>
  </w:style>
  <w:style w:type="paragraph" w:customStyle="1" w:styleId="font5">
    <w:name w:val="font5"/>
    <w:basedOn w:val="Normal"/>
    <w:rsid w:val="00875BB6"/>
    <w:pPr>
      <w:spacing w:before="100" w:beforeAutospacing="1" w:after="100" w:afterAutospacing="1"/>
    </w:pPr>
    <w:rPr>
      <w:rFonts w:ascii="Arial" w:hAnsi="Arial" w:cs="Arial"/>
      <w:sz w:val="20"/>
      <w:szCs w:val="20"/>
    </w:rPr>
  </w:style>
  <w:style w:type="paragraph" w:customStyle="1" w:styleId="font6">
    <w:name w:val="font6"/>
    <w:basedOn w:val="Normal"/>
    <w:rsid w:val="00875BB6"/>
    <w:pPr>
      <w:spacing w:before="100" w:beforeAutospacing="1" w:after="100" w:afterAutospacing="1"/>
    </w:pPr>
    <w:rPr>
      <w:rFonts w:ascii="Arial" w:hAnsi="Arial" w:cs="Arial"/>
      <w:b/>
      <w:bCs/>
      <w:sz w:val="20"/>
      <w:szCs w:val="20"/>
    </w:rPr>
  </w:style>
  <w:style w:type="paragraph" w:customStyle="1" w:styleId="xl24">
    <w:name w:val="xl2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link w:val="FooterChar"/>
    <w:uiPriority w:val="99"/>
    <w:rsid w:val="00875BB6"/>
    <w:pPr>
      <w:tabs>
        <w:tab w:val="center" w:pos="4320"/>
        <w:tab w:val="right" w:pos="8640"/>
      </w:tabs>
    </w:pPr>
  </w:style>
  <w:style w:type="character" w:customStyle="1" w:styleId="FooterChar">
    <w:name w:val="Footer Char"/>
    <w:basedOn w:val="DefaultParagraphFont"/>
    <w:link w:val="Footer"/>
    <w:uiPriority w:val="99"/>
    <w:rsid w:val="00875BB6"/>
    <w:rPr>
      <w:rFonts w:ascii="Times New Roman" w:eastAsia="Times New Roman" w:hAnsi="Times New Roman"/>
    </w:rPr>
  </w:style>
  <w:style w:type="character" w:styleId="PageNumber">
    <w:name w:val="page number"/>
    <w:basedOn w:val="DefaultParagraphFont"/>
    <w:rsid w:val="00875BB6"/>
  </w:style>
  <w:style w:type="paragraph" w:styleId="Header">
    <w:name w:val="header"/>
    <w:basedOn w:val="Normal"/>
    <w:link w:val="HeaderChar"/>
    <w:uiPriority w:val="99"/>
    <w:rsid w:val="00875BB6"/>
    <w:pPr>
      <w:tabs>
        <w:tab w:val="center" w:pos="4320"/>
        <w:tab w:val="right" w:pos="8640"/>
      </w:tabs>
    </w:pPr>
  </w:style>
  <w:style w:type="character" w:customStyle="1" w:styleId="HeaderChar">
    <w:name w:val="Header Char"/>
    <w:basedOn w:val="DefaultParagraphFont"/>
    <w:link w:val="Header"/>
    <w:uiPriority w:val="99"/>
    <w:rsid w:val="00875BB6"/>
    <w:rPr>
      <w:rFonts w:ascii="Times New Roman" w:eastAsia="Times New Roman" w:hAnsi="Times New Roman"/>
    </w:rPr>
  </w:style>
  <w:style w:type="paragraph" w:customStyle="1" w:styleId="1">
    <w:name w:val="1"/>
    <w:rsid w:val="00875BB6"/>
    <w:pPr>
      <w:tabs>
        <w:tab w:val="left" w:pos="720"/>
        <w:tab w:val="left" w:pos="1440"/>
      </w:tabs>
      <w:autoSpaceDE w:val="0"/>
      <w:autoSpaceDN w:val="0"/>
      <w:adjustRightInd w:val="0"/>
      <w:spacing w:after="0" w:line="240" w:lineRule="auto"/>
      <w:ind w:left="1440" w:hanging="720"/>
    </w:pPr>
    <w:rPr>
      <w:rFonts w:ascii="Times New Roman" w:eastAsia="Times New Roman" w:hAnsi="Times New Roman"/>
      <w:sz w:val="20"/>
    </w:rPr>
  </w:style>
  <w:style w:type="character" w:styleId="FollowedHyperlink">
    <w:name w:val="FollowedHyperlink"/>
    <w:rsid w:val="00875BB6"/>
    <w:rPr>
      <w:color w:val="800080"/>
      <w:u w:val="single"/>
    </w:rPr>
  </w:style>
  <w:style w:type="character" w:styleId="CommentReference">
    <w:name w:val="annotation reference"/>
    <w:semiHidden/>
    <w:rsid w:val="00875BB6"/>
    <w:rPr>
      <w:sz w:val="16"/>
      <w:szCs w:val="16"/>
    </w:rPr>
  </w:style>
  <w:style w:type="paragraph" w:styleId="CommentText">
    <w:name w:val="annotation text"/>
    <w:basedOn w:val="Normal"/>
    <w:link w:val="CommentTextChar"/>
    <w:semiHidden/>
    <w:rsid w:val="00875BB6"/>
    <w:rPr>
      <w:sz w:val="20"/>
      <w:szCs w:val="20"/>
    </w:rPr>
  </w:style>
  <w:style w:type="character" w:customStyle="1" w:styleId="CommentTextChar">
    <w:name w:val="Comment Text Char"/>
    <w:basedOn w:val="DefaultParagraphFont"/>
    <w:link w:val="CommentText"/>
    <w:semiHidden/>
    <w:rsid w:val="00875BB6"/>
    <w:rPr>
      <w:rFonts w:ascii="Times New Roman" w:eastAsia="Times New Roman" w:hAnsi="Times New Roman"/>
      <w:sz w:val="20"/>
      <w:szCs w:val="20"/>
    </w:rPr>
  </w:style>
  <w:style w:type="paragraph" w:customStyle="1" w:styleId="xl36">
    <w:name w:val="xl3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rsid w:val="00875BB6"/>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link w:val="BalloonTextChar"/>
    <w:semiHidden/>
    <w:rsid w:val="00875BB6"/>
    <w:rPr>
      <w:rFonts w:ascii="Tahoma" w:hAnsi="Tahoma" w:cs="Tahoma"/>
      <w:sz w:val="16"/>
      <w:szCs w:val="16"/>
    </w:rPr>
  </w:style>
  <w:style w:type="character" w:customStyle="1" w:styleId="BalloonTextChar">
    <w:name w:val="Balloon Text Char"/>
    <w:basedOn w:val="DefaultParagraphFont"/>
    <w:link w:val="BalloonText"/>
    <w:semiHidden/>
    <w:rsid w:val="00875BB6"/>
    <w:rPr>
      <w:rFonts w:ascii="Tahoma" w:eastAsia="Times New Roman" w:hAnsi="Tahoma" w:cs="Tahoma"/>
      <w:sz w:val="16"/>
      <w:szCs w:val="16"/>
    </w:rPr>
  </w:style>
  <w:style w:type="paragraph" w:styleId="CommentSubject">
    <w:name w:val="annotation subject"/>
    <w:basedOn w:val="CommentText"/>
    <w:next w:val="CommentText"/>
    <w:link w:val="CommentSubjectChar"/>
    <w:rsid w:val="00875BB6"/>
    <w:rPr>
      <w:b/>
      <w:bCs/>
      <w:lang w:val="x-none" w:eastAsia="x-none"/>
    </w:rPr>
  </w:style>
  <w:style w:type="character" w:customStyle="1" w:styleId="CommentSubjectChar">
    <w:name w:val="Comment Subject Char"/>
    <w:basedOn w:val="CommentTextChar"/>
    <w:link w:val="CommentSubject"/>
    <w:rsid w:val="00875BB6"/>
    <w:rPr>
      <w:rFonts w:ascii="Times New Roman" w:eastAsia="Times New Roman" w:hAnsi="Times New Roman"/>
      <w:b/>
      <w:bCs/>
      <w:sz w:val="20"/>
      <w:szCs w:val="20"/>
      <w:lang w:val="x-none" w:eastAsia="x-none"/>
    </w:rPr>
  </w:style>
  <w:style w:type="paragraph" w:styleId="Revision">
    <w:name w:val="Revision"/>
    <w:hidden/>
    <w:uiPriority w:val="99"/>
    <w:semiHidden/>
    <w:rsid w:val="00875BB6"/>
    <w:pPr>
      <w:spacing w:after="0" w:line="240" w:lineRule="auto"/>
    </w:pPr>
    <w:rPr>
      <w:rFonts w:ascii="Times New Roman" w:eastAsia="Times New Roman" w:hAnsi="Times New Roman"/>
    </w:rPr>
  </w:style>
  <w:style w:type="table" w:styleId="TableGrid">
    <w:name w:val="Table Grid"/>
    <w:basedOn w:val="TableNormal"/>
    <w:rsid w:val="00875BB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5BB6"/>
    <w:pPr>
      <w:ind w:left="720"/>
    </w:pPr>
    <w:rPr>
      <w:lang w:val="x-none" w:eastAsia="x-none"/>
    </w:rPr>
  </w:style>
  <w:style w:type="paragraph" w:customStyle="1" w:styleId="Default">
    <w:name w:val="Default"/>
    <w:rsid w:val="00875BB6"/>
    <w:pPr>
      <w:autoSpaceDE w:val="0"/>
      <w:autoSpaceDN w:val="0"/>
      <w:adjustRightInd w:val="0"/>
      <w:spacing w:after="0" w:line="240" w:lineRule="auto"/>
    </w:pPr>
    <w:rPr>
      <w:rFonts w:ascii="Times" w:eastAsia="Times New Roman" w:hAnsi="Times" w:cs="Times"/>
      <w:color w:val="000000"/>
    </w:rPr>
  </w:style>
  <w:style w:type="paragraph" w:styleId="PlainText">
    <w:name w:val="Plain Text"/>
    <w:basedOn w:val="Normal"/>
    <w:link w:val="PlainTextChar"/>
    <w:uiPriority w:val="99"/>
    <w:unhideWhenUsed/>
    <w:rsid w:val="00875BB6"/>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875BB6"/>
    <w:rPr>
      <w:rFonts w:ascii="Calibri" w:eastAsia="Calibri" w:hAnsi="Calibri"/>
      <w:sz w:val="22"/>
      <w:szCs w:val="21"/>
      <w:lang w:val="x-none" w:eastAsia="x-none"/>
    </w:rPr>
  </w:style>
  <w:style w:type="character" w:customStyle="1" w:styleId="ListParagraphChar">
    <w:name w:val="List Paragraph Char"/>
    <w:link w:val="ListParagraph"/>
    <w:uiPriority w:val="34"/>
    <w:rsid w:val="00875BB6"/>
    <w:rPr>
      <w:rFonts w:ascii="Times New Roman" w:eastAsia="Times New Roman" w:hAnsi="Times New Roman"/>
      <w:lang w:val="x-none" w:eastAsia="x-none"/>
    </w:rPr>
  </w:style>
  <w:style w:type="table" w:customStyle="1" w:styleId="TableGrid1">
    <w:name w:val="Table Grid1"/>
    <w:basedOn w:val="TableNormal"/>
    <w:next w:val="TableGrid"/>
    <w:uiPriority w:val="39"/>
    <w:rsid w:val="005A04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5A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4D57BF"/>
    <w:rPr>
      <w:color w:val="0000FF"/>
      <w:u w:val="single"/>
    </w:rPr>
  </w:style>
  <w:style w:type="character" w:styleId="Strong">
    <w:name w:val="Strong"/>
    <w:basedOn w:val="DefaultParagraphFont"/>
    <w:qFormat/>
    <w:rsid w:val="004D57BF"/>
    <w:rPr>
      <w:b/>
      <w:bCs/>
    </w:rPr>
  </w:style>
  <w:style w:type="paragraph" w:customStyle="1" w:styleId="Level3">
    <w:name w:val="Level 3"/>
    <w:basedOn w:val="Normal"/>
    <w:rsid w:val="002C6AEF"/>
    <w:pPr>
      <w:widowControl w:val="0"/>
      <w:autoSpaceDE w:val="0"/>
      <w:autoSpaceDN w:val="0"/>
      <w:adjustRightInd w:val="0"/>
      <w:ind w:left="2160" w:hanging="720"/>
    </w:pPr>
  </w:style>
  <w:style w:type="character" w:customStyle="1" w:styleId="Heading1Char">
    <w:name w:val="Heading 1 Char"/>
    <w:basedOn w:val="DefaultParagraphFont"/>
    <w:link w:val="Heading1"/>
    <w:uiPriority w:val="9"/>
    <w:rsid w:val="007070F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070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070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70F3"/>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39"/>
    <w:rsid w:val="00C50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E6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8706">
      <w:bodyDiv w:val="1"/>
      <w:marLeft w:val="0"/>
      <w:marRight w:val="0"/>
      <w:marTop w:val="0"/>
      <w:marBottom w:val="0"/>
      <w:divBdr>
        <w:top w:val="none" w:sz="0" w:space="0" w:color="auto"/>
        <w:left w:val="none" w:sz="0" w:space="0" w:color="auto"/>
        <w:bottom w:val="none" w:sz="0" w:space="0" w:color="auto"/>
        <w:right w:val="none" w:sz="0" w:space="0" w:color="auto"/>
      </w:divBdr>
    </w:div>
    <w:div w:id="241263085">
      <w:bodyDiv w:val="1"/>
      <w:marLeft w:val="0"/>
      <w:marRight w:val="0"/>
      <w:marTop w:val="0"/>
      <w:marBottom w:val="0"/>
      <w:divBdr>
        <w:top w:val="none" w:sz="0" w:space="0" w:color="auto"/>
        <w:left w:val="none" w:sz="0" w:space="0" w:color="auto"/>
        <w:bottom w:val="none" w:sz="0" w:space="0" w:color="auto"/>
        <w:right w:val="none" w:sz="0" w:space="0" w:color="auto"/>
      </w:divBdr>
    </w:div>
    <w:div w:id="255216017">
      <w:bodyDiv w:val="1"/>
      <w:marLeft w:val="0"/>
      <w:marRight w:val="0"/>
      <w:marTop w:val="0"/>
      <w:marBottom w:val="0"/>
      <w:divBdr>
        <w:top w:val="none" w:sz="0" w:space="0" w:color="auto"/>
        <w:left w:val="none" w:sz="0" w:space="0" w:color="auto"/>
        <w:bottom w:val="none" w:sz="0" w:space="0" w:color="auto"/>
        <w:right w:val="none" w:sz="0" w:space="0" w:color="auto"/>
      </w:divBdr>
    </w:div>
    <w:div w:id="279189228">
      <w:bodyDiv w:val="1"/>
      <w:marLeft w:val="0"/>
      <w:marRight w:val="0"/>
      <w:marTop w:val="0"/>
      <w:marBottom w:val="0"/>
      <w:divBdr>
        <w:top w:val="none" w:sz="0" w:space="0" w:color="auto"/>
        <w:left w:val="none" w:sz="0" w:space="0" w:color="auto"/>
        <w:bottom w:val="none" w:sz="0" w:space="0" w:color="auto"/>
        <w:right w:val="none" w:sz="0" w:space="0" w:color="auto"/>
      </w:divBdr>
    </w:div>
    <w:div w:id="342753914">
      <w:bodyDiv w:val="1"/>
      <w:marLeft w:val="0"/>
      <w:marRight w:val="0"/>
      <w:marTop w:val="0"/>
      <w:marBottom w:val="0"/>
      <w:divBdr>
        <w:top w:val="none" w:sz="0" w:space="0" w:color="auto"/>
        <w:left w:val="none" w:sz="0" w:space="0" w:color="auto"/>
        <w:bottom w:val="none" w:sz="0" w:space="0" w:color="auto"/>
        <w:right w:val="none" w:sz="0" w:space="0" w:color="auto"/>
      </w:divBdr>
    </w:div>
    <w:div w:id="370106519">
      <w:bodyDiv w:val="1"/>
      <w:marLeft w:val="0"/>
      <w:marRight w:val="0"/>
      <w:marTop w:val="0"/>
      <w:marBottom w:val="0"/>
      <w:divBdr>
        <w:top w:val="none" w:sz="0" w:space="0" w:color="auto"/>
        <w:left w:val="none" w:sz="0" w:space="0" w:color="auto"/>
        <w:bottom w:val="none" w:sz="0" w:space="0" w:color="auto"/>
        <w:right w:val="none" w:sz="0" w:space="0" w:color="auto"/>
      </w:divBdr>
    </w:div>
    <w:div w:id="477527810">
      <w:bodyDiv w:val="1"/>
      <w:marLeft w:val="0"/>
      <w:marRight w:val="0"/>
      <w:marTop w:val="0"/>
      <w:marBottom w:val="0"/>
      <w:divBdr>
        <w:top w:val="none" w:sz="0" w:space="0" w:color="auto"/>
        <w:left w:val="none" w:sz="0" w:space="0" w:color="auto"/>
        <w:bottom w:val="none" w:sz="0" w:space="0" w:color="auto"/>
        <w:right w:val="none" w:sz="0" w:space="0" w:color="auto"/>
      </w:divBdr>
    </w:div>
    <w:div w:id="600604174">
      <w:bodyDiv w:val="1"/>
      <w:marLeft w:val="0"/>
      <w:marRight w:val="0"/>
      <w:marTop w:val="0"/>
      <w:marBottom w:val="0"/>
      <w:divBdr>
        <w:top w:val="none" w:sz="0" w:space="0" w:color="auto"/>
        <w:left w:val="none" w:sz="0" w:space="0" w:color="auto"/>
        <w:bottom w:val="none" w:sz="0" w:space="0" w:color="auto"/>
        <w:right w:val="none" w:sz="0" w:space="0" w:color="auto"/>
      </w:divBdr>
    </w:div>
    <w:div w:id="690032016">
      <w:bodyDiv w:val="1"/>
      <w:marLeft w:val="0"/>
      <w:marRight w:val="0"/>
      <w:marTop w:val="0"/>
      <w:marBottom w:val="0"/>
      <w:divBdr>
        <w:top w:val="none" w:sz="0" w:space="0" w:color="auto"/>
        <w:left w:val="none" w:sz="0" w:space="0" w:color="auto"/>
        <w:bottom w:val="none" w:sz="0" w:space="0" w:color="auto"/>
        <w:right w:val="none" w:sz="0" w:space="0" w:color="auto"/>
      </w:divBdr>
    </w:div>
    <w:div w:id="937835523">
      <w:bodyDiv w:val="1"/>
      <w:marLeft w:val="0"/>
      <w:marRight w:val="0"/>
      <w:marTop w:val="0"/>
      <w:marBottom w:val="0"/>
      <w:divBdr>
        <w:top w:val="none" w:sz="0" w:space="0" w:color="auto"/>
        <w:left w:val="none" w:sz="0" w:space="0" w:color="auto"/>
        <w:bottom w:val="none" w:sz="0" w:space="0" w:color="auto"/>
        <w:right w:val="none" w:sz="0" w:space="0" w:color="auto"/>
      </w:divBdr>
    </w:div>
    <w:div w:id="984820132">
      <w:bodyDiv w:val="1"/>
      <w:marLeft w:val="0"/>
      <w:marRight w:val="0"/>
      <w:marTop w:val="0"/>
      <w:marBottom w:val="0"/>
      <w:divBdr>
        <w:top w:val="none" w:sz="0" w:space="0" w:color="auto"/>
        <w:left w:val="none" w:sz="0" w:space="0" w:color="auto"/>
        <w:bottom w:val="none" w:sz="0" w:space="0" w:color="auto"/>
        <w:right w:val="none" w:sz="0" w:space="0" w:color="auto"/>
      </w:divBdr>
    </w:div>
    <w:div w:id="1057514828">
      <w:bodyDiv w:val="1"/>
      <w:marLeft w:val="0"/>
      <w:marRight w:val="0"/>
      <w:marTop w:val="0"/>
      <w:marBottom w:val="0"/>
      <w:divBdr>
        <w:top w:val="none" w:sz="0" w:space="0" w:color="auto"/>
        <w:left w:val="none" w:sz="0" w:space="0" w:color="auto"/>
        <w:bottom w:val="none" w:sz="0" w:space="0" w:color="auto"/>
        <w:right w:val="none" w:sz="0" w:space="0" w:color="auto"/>
      </w:divBdr>
    </w:div>
    <w:div w:id="1169757606">
      <w:bodyDiv w:val="1"/>
      <w:marLeft w:val="0"/>
      <w:marRight w:val="0"/>
      <w:marTop w:val="0"/>
      <w:marBottom w:val="0"/>
      <w:divBdr>
        <w:top w:val="none" w:sz="0" w:space="0" w:color="auto"/>
        <w:left w:val="none" w:sz="0" w:space="0" w:color="auto"/>
        <w:bottom w:val="none" w:sz="0" w:space="0" w:color="auto"/>
        <w:right w:val="none" w:sz="0" w:space="0" w:color="auto"/>
      </w:divBdr>
    </w:div>
    <w:div w:id="1223634756">
      <w:bodyDiv w:val="1"/>
      <w:marLeft w:val="0"/>
      <w:marRight w:val="0"/>
      <w:marTop w:val="0"/>
      <w:marBottom w:val="0"/>
      <w:divBdr>
        <w:top w:val="none" w:sz="0" w:space="0" w:color="auto"/>
        <w:left w:val="none" w:sz="0" w:space="0" w:color="auto"/>
        <w:bottom w:val="none" w:sz="0" w:space="0" w:color="auto"/>
        <w:right w:val="none" w:sz="0" w:space="0" w:color="auto"/>
      </w:divBdr>
    </w:div>
    <w:div w:id="1373072008">
      <w:bodyDiv w:val="1"/>
      <w:marLeft w:val="0"/>
      <w:marRight w:val="0"/>
      <w:marTop w:val="0"/>
      <w:marBottom w:val="0"/>
      <w:divBdr>
        <w:top w:val="none" w:sz="0" w:space="0" w:color="auto"/>
        <w:left w:val="none" w:sz="0" w:space="0" w:color="auto"/>
        <w:bottom w:val="none" w:sz="0" w:space="0" w:color="auto"/>
        <w:right w:val="none" w:sz="0" w:space="0" w:color="auto"/>
      </w:divBdr>
    </w:div>
    <w:div w:id="1440906085">
      <w:bodyDiv w:val="1"/>
      <w:marLeft w:val="0"/>
      <w:marRight w:val="0"/>
      <w:marTop w:val="0"/>
      <w:marBottom w:val="0"/>
      <w:divBdr>
        <w:top w:val="none" w:sz="0" w:space="0" w:color="auto"/>
        <w:left w:val="none" w:sz="0" w:space="0" w:color="auto"/>
        <w:bottom w:val="none" w:sz="0" w:space="0" w:color="auto"/>
        <w:right w:val="none" w:sz="0" w:space="0" w:color="auto"/>
      </w:divBdr>
    </w:div>
    <w:div w:id="1505902790">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7989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pa.gov/compliance/federal-insecticide-fungicide-and-rodenticide-act-state-and-tribal-assistance-grant" TargetMode="Externa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https://www.epa.gov/grants/epa-general-terms-and-conditions-applicable-40-cfr-part-30-and-31-recipients-effective-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news.release/ecec.t01.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oira_submission@omb.eop.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a.gov/compliance/federal-insecticide-fungicide-and-rodenticide-act-state-and-tribal-assistance-grant" TargetMode="External"/><Relationship Id="rId22" Type="http://schemas.openxmlformats.org/officeDocument/2006/relationships/hyperlink" Target="https://www.epa.gov/sites/production/files/2017-03/documents/fifra-coop-workplan-template-manual-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1743</FRN_x0020_List_x0020_Item_x0020_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67930-97FB-46B3-9629-5F8FE4FA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5BE3A-5D8F-4AA3-9B77-B57CE9FAF4B2}">
  <ds:schemaRefs>
    <ds:schemaRef ds:uri="Microsoft.SharePoint.Taxonomy.ContentTypeSync"/>
  </ds:schemaRefs>
</ds:datastoreItem>
</file>

<file path=customXml/itemProps3.xml><?xml version="1.0" encoding="utf-8"?>
<ds:datastoreItem xmlns:ds="http://schemas.openxmlformats.org/officeDocument/2006/customXml" ds:itemID="{D3395F14-F9A9-4DE4-8B99-5B8D00E7FCC2}">
  <ds:schemaRefs>
    <ds:schemaRef ds:uri="http://schemas.microsoft.com/sharepoint/v3/contenttype/forms"/>
  </ds:schemaRefs>
</ds:datastoreItem>
</file>

<file path=customXml/itemProps4.xml><?xml version="1.0" encoding="utf-8"?>
<ds:datastoreItem xmlns:ds="http://schemas.openxmlformats.org/officeDocument/2006/customXml" ds:itemID="{622E5C64-B929-413D-B772-099BE449AA65}">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5.xml><?xml version="1.0" encoding="utf-8"?>
<ds:datastoreItem xmlns:ds="http://schemas.openxmlformats.org/officeDocument/2006/customXml" ds:itemID="{DA05DA61-F853-494D-9C56-077A18EB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Trujillo, Jolene</dc:creator>
  <cp:lastModifiedBy>SYSTEM</cp:lastModifiedBy>
  <cp:revision>2</cp:revision>
  <cp:lastPrinted>2015-11-18T21:28:00Z</cp:lastPrinted>
  <dcterms:created xsi:type="dcterms:W3CDTF">2019-12-04T17:46:00Z</dcterms:created>
  <dcterms:modified xsi:type="dcterms:W3CDTF">2019-12-04T17:46:00Z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