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C8456" w14:textId="77777777" w:rsidR="007E3287" w:rsidRPr="00D15828" w:rsidRDefault="007E3287" w:rsidP="007E3287">
      <w:pPr>
        <w:pStyle w:val="CM24"/>
        <w:spacing w:after="0" w:line="360" w:lineRule="atLeast"/>
        <w:jc w:val="center"/>
        <w:rPr>
          <w:b/>
          <w:bCs/>
          <w:color w:val="000000"/>
          <w:sz w:val="28"/>
          <w:szCs w:val="28"/>
        </w:rPr>
      </w:pPr>
      <w:bookmarkStart w:id="0" w:name="_GoBack"/>
      <w:bookmarkEnd w:id="0"/>
    </w:p>
    <w:p w14:paraId="08FDD354" w14:textId="77777777" w:rsidR="007E3287" w:rsidRPr="00D15828" w:rsidRDefault="007E3287" w:rsidP="007E3287">
      <w:pPr>
        <w:pStyle w:val="CM24"/>
        <w:spacing w:after="0" w:line="360" w:lineRule="atLeast"/>
        <w:jc w:val="center"/>
        <w:rPr>
          <w:b/>
          <w:bCs/>
          <w:color w:val="000000"/>
          <w:sz w:val="28"/>
          <w:szCs w:val="28"/>
        </w:rPr>
      </w:pPr>
    </w:p>
    <w:p w14:paraId="0CA0E934" w14:textId="77777777" w:rsidR="007E3287" w:rsidRPr="00D15828" w:rsidRDefault="007E3287" w:rsidP="007E3287">
      <w:pPr>
        <w:pStyle w:val="CM24"/>
        <w:spacing w:after="0" w:line="360" w:lineRule="atLeast"/>
        <w:jc w:val="center"/>
        <w:rPr>
          <w:b/>
          <w:bCs/>
          <w:color w:val="000000"/>
          <w:sz w:val="28"/>
          <w:szCs w:val="28"/>
        </w:rPr>
      </w:pPr>
    </w:p>
    <w:p w14:paraId="141F1F66" w14:textId="77777777" w:rsidR="007E3287" w:rsidRPr="00D15828" w:rsidRDefault="007E3287" w:rsidP="007E3287">
      <w:pPr>
        <w:pStyle w:val="CM24"/>
        <w:spacing w:after="0" w:line="360" w:lineRule="atLeast"/>
        <w:jc w:val="center"/>
        <w:rPr>
          <w:b/>
          <w:bCs/>
          <w:color w:val="000000"/>
          <w:sz w:val="28"/>
          <w:szCs w:val="28"/>
        </w:rPr>
      </w:pPr>
    </w:p>
    <w:p w14:paraId="090445AE" w14:textId="77777777"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03F1CB7A" w14:textId="76DC12AC" w:rsidR="007E3287" w:rsidRPr="00D15828" w:rsidRDefault="007E3287" w:rsidP="007E3287">
      <w:pPr>
        <w:pStyle w:val="CM24"/>
        <w:spacing w:after="0" w:line="360" w:lineRule="atLeast"/>
        <w:jc w:val="center"/>
        <w:outlineLvl w:val="0"/>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2D5034">
        <w:rPr>
          <w:rFonts w:ascii="Times New Roman" w:hAnsi="Times New Roman" w:cs="Times New Roman"/>
          <w:b/>
          <w:bCs/>
          <w:color w:val="000000"/>
        </w:rPr>
        <w:t>2382.</w:t>
      </w:r>
      <w:r w:rsidR="006D63D3">
        <w:rPr>
          <w:rFonts w:ascii="Times New Roman" w:hAnsi="Times New Roman" w:cs="Times New Roman"/>
          <w:b/>
          <w:bCs/>
          <w:color w:val="000000"/>
        </w:rPr>
        <w:t>05</w:t>
      </w:r>
      <w:r w:rsidR="006D63D3" w:rsidRPr="00D15828">
        <w:rPr>
          <w:rFonts w:ascii="Times New Roman" w:hAnsi="Times New Roman" w:cs="Times New Roman"/>
          <w:b/>
          <w:bCs/>
          <w:color w:val="000000"/>
        </w:rPr>
        <w:t xml:space="preserve"> </w:t>
      </w:r>
    </w:p>
    <w:p w14:paraId="6E17C1B0" w14:textId="77777777" w:rsidR="007E3287" w:rsidRPr="00D15828" w:rsidRDefault="007E3287" w:rsidP="007E3287">
      <w:pPr>
        <w:pStyle w:val="CM24"/>
        <w:spacing w:after="0" w:line="360" w:lineRule="atLeast"/>
        <w:jc w:val="center"/>
        <w:rPr>
          <w:rFonts w:ascii="Times New Roman" w:hAnsi="Times New Roman" w:cs="Times New Roman"/>
          <w:b/>
          <w:bCs/>
          <w:color w:val="000000"/>
        </w:rPr>
      </w:pPr>
    </w:p>
    <w:p w14:paraId="206E69E3" w14:textId="4994EF97" w:rsidR="007E3287" w:rsidRPr="00D15828" w:rsidRDefault="007E3287" w:rsidP="007E3287">
      <w:pPr>
        <w:pStyle w:val="CM24"/>
        <w:spacing w:after="0" w:line="360" w:lineRule="atLeast"/>
        <w:jc w:val="center"/>
        <w:rPr>
          <w:rFonts w:ascii="Times New Roman" w:hAnsi="Times New Roman" w:cs="Times New Roman"/>
          <w:color w:val="000000"/>
        </w:rPr>
      </w:pPr>
      <w:r w:rsidRPr="00D15828">
        <w:rPr>
          <w:rFonts w:ascii="Times New Roman" w:hAnsi="Times New Roman" w:cs="Times New Roman"/>
          <w:b/>
          <w:bCs/>
          <w:color w:val="000000"/>
        </w:rPr>
        <w:t xml:space="preserve">REPORTING AND RECORDKEEPING REQUIREMENTS </w:t>
      </w:r>
      <w:r w:rsidRPr="00D16F04">
        <w:rPr>
          <w:rFonts w:ascii="Times New Roman" w:hAnsi="Times New Roman" w:cs="Times New Roman"/>
          <w:b/>
          <w:bCs/>
          <w:color w:val="000000"/>
        </w:rPr>
        <w:t xml:space="preserve">FOR THE </w:t>
      </w:r>
      <w:r w:rsidR="00570225">
        <w:rPr>
          <w:rFonts w:ascii="Times New Roman" w:hAnsi="Times New Roman" w:cs="Times New Roman"/>
          <w:b/>
          <w:bCs/>
          <w:color w:val="000000"/>
        </w:rPr>
        <w:t>201</w:t>
      </w:r>
      <w:r w:rsidR="00253349">
        <w:rPr>
          <w:rFonts w:ascii="Times New Roman" w:hAnsi="Times New Roman" w:cs="Times New Roman"/>
          <w:b/>
          <w:bCs/>
          <w:color w:val="000000"/>
        </w:rPr>
        <w:t>1</w:t>
      </w:r>
      <w:r w:rsidR="00570225">
        <w:rPr>
          <w:rFonts w:ascii="Times New Roman" w:hAnsi="Times New Roman" w:cs="Times New Roman"/>
          <w:b/>
          <w:bCs/>
          <w:color w:val="000000"/>
        </w:rPr>
        <w:t xml:space="preserve"> </w:t>
      </w:r>
      <w:r w:rsidR="009C59C4" w:rsidRPr="00D16F04">
        <w:rPr>
          <w:rFonts w:ascii="Times New Roman" w:hAnsi="Times New Roman" w:cs="Times New Roman"/>
          <w:b/>
          <w:bCs/>
          <w:color w:val="000000"/>
        </w:rPr>
        <w:t>FINAL</w:t>
      </w:r>
      <w:r w:rsidRPr="00D16F04">
        <w:rPr>
          <w:rFonts w:ascii="Times New Roman" w:hAnsi="Times New Roman" w:cs="Times New Roman"/>
          <w:b/>
          <w:bCs/>
          <w:color w:val="000000"/>
        </w:rPr>
        <w:t xml:space="preserve"> RULE</w:t>
      </w:r>
      <w:r w:rsidRPr="00D15828">
        <w:rPr>
          <w:rFonts w:ascii="Times New Roman" w:hAnsi="Times New Roman" w:cs="Times New Roman"/>
          <w:b/>
          <w:bCs/>
          <w:color w:val="000000"/>
        </w:rPr>
        <w:t xml:space="preserve"> </w:t>
      </w:r>
      <w:r w:rsidR="00927A65">
        <w:rPr>
          <w:rFonts w:ascii="Times New Roman" w:hAnsi="Times New Roman" w:cs="Times New Roman"/>
          <w:b/>
          <w:bCs/>
          <w:color w:val="000000"/>
        </w:rPr>
        <w:t xml:space="preserve">AND SUBSEQUENT AMENDMENTS </w:t>
      </w:r>
      <w:r w:rsidRPr="00D15828">
        <w:rPr>
          <w:rFonts w:ascii="Times New Roman" w:hAnsi="Times New Roman" w:cs="Times New Roman"/>
          <w:b/>
          <w:bCs/>
          <w:color w:val="000000"/>
        </w:rPr>
        <w:t xml:space="preserve">ON THE </w:t>
      </w:r>
      <w:r w:rsidRPr="00D15828">
        <w:rPr>
          <w:rFonts w:ascii="Times New Roman" w:hAnsi="Times New Roman" w:cs="Times New Roman"/>
          <w:b/>
          <w:bCs/>
          <w:caps/>
          <w:color w:val="000000"/>
          <w:kern w:val="36"/>
        </w:rPr>
        <w:t>Identification of Non-Hazardous SECONDARY Materials That Are Solid Waste</w:t>
      </w:r>
    </w:p>
    <w:p w14:paraId="46E0E123" w14:textId="77777777" w:rsidR="007E3287" w:rsidRPr="00D15828" w:rsidRDefault="007E3287" w:rsidP="007E3287">
      <w:pPr>
        <w:pStyle w:val="CM1"/>
        <w:jc w:val="center"/>
        <w:rPr>
          <w:rFonts w:ascii="Times New Roman" w:hAnsi="Times New Roman" w:cs="Times New Roman"/>
          <w:b/>
          <w:bCs/>
          <w:color w:val="000000"/>
        </w:rPr>
      </w:pPr>
    </w:p>
    <w:p w14:paraId="3C29D3FB" w14:textId="77777777" w:rsidR="007E3287" w:rsidRPr="00D15828" w:rsidRDefault="007E3287" w:rsidP="007E3287">
      <w:pPr>
        <w:pStyle w:val="Default"/>
        <w:jc w:val="center"/>
        <w:rPr>
          <w:rFonts w:ascii="Times New Roman" w:hAnsi="Times New Roman" w:cs="Times New Roman"/>
        </w:rPr>
      </w:pPr>
    </w:p>
    <w:p w14:paraId="2BB61CFA" w14:textId="77777777" w:rsidR="007E3287" w:rsidRPr="00D15828" w:rsidRDefault="007E3287" w:rsidP="007E3287">
      <w:pPr>
        <w:pStyle w:val="Default"/>
        <w:jc w:val="center"/>
        <w:rPr>
          <w:rFonts w:ascii="Times New Roman" w:hAnsi="Times New Roman" w:cs="Times New Roman"/>
        </w:rPr>
      </w:pPr>
    </w:p>
    <w:p w14:paraId="04825FAB" w14:textId="77777777" w:rsidR="007E3287" w:rsidRPr="00D15828" w:rsidRDefault="007E3287" w:rsidP="007E3287">
      <w:pPr>
        <w:pStyle w:val="Default"/>
        <w:jc w:val="center"/>
        <w:rPr>
          <w:rFonts w:ascii="Times New Roman" w:hAnsi="Times New Roman" w:cs="Times New Roman"/>
        </w:rPr>
      </w:pPr>
    </w:p>
    <w:p w14:paraId="189CC31E" w14:textId="77777777" w:rsidR="007E3287" w:rsidRPr="00D15828" w:rsidRDefault="007E3287" w:rsidP="007E3287">
      <w:pPr>
        <w:pStyle w:val="Default"/>
        <w:jc w:val="center"/>
        <w:rPr>
          <w:rFonts w:ascii="Times New Roman" w:hAnsi="Times New Roman" w:cs="Times New Roman"/>
        </w:rPr>
      </w:pPr>
    </w:p>
    <w:p w14:paraId="50F61EE1" w14:textId="77777777" w:rsidR="007E3287" w:rsidRPr="00D15828" w:rsidRDefault="007E3287" w:rsidP="007E3287">
      <w:pPr>
        <w:pStyle w:val="Default"/>
        <w:jc w:val="center"/>
        <w:rPr>
          <w:rFonts w:ascii="Times New Roman" w:hAnsi="Times New Roman" w:cs="Times New Roman"/>
          <w:b/>
        </w:rPr>
      </w:pPr>
    </w:p>
    <w:p w14:paraId="0D0B746F" w14:textId="3261BCC1" w:rsidR="007E3287" w:rsidRDefault="0002704E" w:rsidP="000D12E3">
      <w:pPr>
        <w:pStyle w:val="CM1"/>
        <w:ind w:left="3600" w:firstLine="720"/>
        <w:rPr>
          <w:rFonts w:ascii="Times New Roman" w:hAnsi="Times New Roman" w:cs="Times New Roman"/>
          <w:bCs/>
          <w:color w:val="000000"/>
        </w:rPr>
      </w:pPr>
      <w:r>
        <w:rPr>
          <w:rFonts w:ascii="Times New Roman" w:hAnsi="Times New Roman" w:cs="Times New Roman"/>
          <w:bCs/>
          <w:color w:val="000000"/>
        </w:rPr>
        <w:t>Apr</w:t>
      </w:r>
      <w:r w:rsidR="00683D21">
        <w:rPr>
          <w:rFonts w:ascii="Times New Roman" w:hAnsi="Times New Roman" w:cs="Times New Roman"/>
          <w:bCs/>
          <w:color w:val="000000"/>
        </w:rPr>
        <w:t>il</w:t>
      </w:r>
      <w:r w:rsidR="00693C64">
        <w:rPr>
          <w:rFonts w:ascii="Times New Roman" w:hAnsi="Times New Roman" w:cs="Times New Roman"/>
          <w:bCs/>
          <w:color w:val="000000"/>
        </w:rPr>
        <w:t xml:space="preserve"> </w:t>
      </w:r>
      <w:r w:rsidR="00C26701">
        <w:rPr>
          <w:rFonts w:ascii="Times New Roman" w:hAnsi="Times New Roman" w:cs="Times New Roman"/>
          <w:bCs/>
          <w:color w:val="000000"/>
        </w:rPr>
        <w:t>201</w:t>
      </w:r>
      <w:r w:rsidR="00D87C75">
        <w:rPr>
          <w:rFonts w:ascii="Times New Roman" w:hAnsi="Times New Roman" w:cs="Times New Roman"/>
          <w:bCs/>
          <w:color w:val="000000"/>
        </w:rPr>
        <w:t>9</w:t>
      </w:r>
    </w:p>
    <w:p w14:paraId="0B7E7FDF" w14:textId="3313D818" w:rsidR="00813F68" w:rsidRPr="00813F68" w:rsidRDefault="00813F68" w:rsidP="00813F68">
      <w:pPr>
        <w:pStyle w:val="Default"/>
        <w:jc w:val="center"/>
        <w:rPr>
          <w:i/>
          <w:sz w:val="20"/>
          <w:szCs w:val="20"/>
        </w:rPr>
      </w:pPr>
    </w:p>
    <w:p w14:paraId="0EFC54AC" w14:textId="77777777" w:rsidR="007E3287" w:rsidRPr="00D15828" w:rsidRDefault="007E3287" w:rsidP="007E3287"/>
    <w:p w14:paraId="014908FB" w14:textId="77777777" w:rsidR="007E3287" w:rsidRPr="00D15828" w:rsidRDefault="007E3287" w:rsidP="007E3287"/>
    <w:p w14:paraId="69EA2507" w14:textId="77777777" w:rsidR="007E3287" w:rsidRPr="00D15828" w:rsidRDefault="007E3287" w:rsidP="007E3287"/>
    <w:p w14:paraId="569B5EF3" w14:textId="77777777" w:rsidR="007E3287" w:rsidRPr="00D15828" w:rsidRDefault="007E3287" w:rsidP="007E3287"/>
    <w:p w14:paraId="21967AAD" w14:textId="77777777" w:rsidR="007E3287" w:rsidRPr="00D15828" w:rsidRDefault="007E3287" w:rsidP="007E3287"/>
    <w:p w14:paraId="24ED15FE" w14:textId="77777777" w:rsidR="007E3287" w:rsidRPr="00D15828" w:rsidRDefault="007E3287" w:rsidP="007E3287"/>
    <w:p w14:paraId="36716E44" w14:textId="77777777" w:rsidR="007E3287" w:rsidRPr="00D15828" w:rsidRDefault="007E3287" w:rsidP="007E3287"/>
    <w:p w14:paraId="389FFB00" w14:textId="77777777" w:rsidR="007E3287" w:rsidRPr="00D15828" w:rsidRDefault="007E3287" w:rsidP="007E3287"/>
    <w:p w14:paraId="6C6CEFBC" w14:textId="77777777" w:rsidR="007E3287" w:rsidRPr="00D15828" w:rsidRDefault="007E3287" w:rsidP="007E3287"/>
    <w:p w14:paraId="2A35FD1A" w14:textId="77777777" w:rsidR="007E3287" w:rsidRPr="00D15828" w:rsidRDefault="007E3287" w:rsidP="007E3287"/>
    <w:p w14:paraId="743BA762" w14:textId="77777777" w:rsidR="007E3287" w:rsidRPr="00D15828" w:rsidRDefault="007E3287" w:rsidP="007E3287"/>
    <w:p w14:paraId="2F914BBF" w14:textId="77777777" w:rsidR="007E3287" w:rsidRPr="00D15828" w:rsidRDefault="007E3287" w:rsidP="007E3287"/>
    <w:p w14:paraId="74139CA6" w14:textId="77777777" w:rsidR="007E3287" w:rsidRPr="00D15828" w:rsidRDefault="007E3287" w:rsidP="007E3287"/>
    <w:p w14:paraId="2F6D8A56" w14:textId="77777777" w:rsidR="007E3287" w:rsidRPr="00D15828" w:rsidRDefault="007E3287" w:rsidP="007E3287"/>
    <w:p w14:paraId="1860CCCD" w14:textId="77777777" w:rsidR="007E3287" w:rsidRPr="00D15828" w:rsidRDefault="007E3287" w:rsidP="007E3287">
      <w:pPr>
        <w:tabs>
          <w:tab w:val="left" w:pos="2070"/>
        </w:tabs>
      </w:pPr>
    </w:p>
    <w:p w14:paraId="549D99DB" w14:textId="77777777" w:rsidR="00D042A5" w:rsidRDefault="00D042A5" w:rsidP="007E3287">
      <w:pPr>
        <w:jc w:val="center"/>
        <w:rPr>
          <w:b/>
          <w:bCs/>
          <w:sz w:val="28"/>
          <w:szCs w:val="28"/>
        </w:rPr>
      </w:pPr>
      <w:r>
        <w:rPr>
          <w:b/>
          <w:bCs/>
          <w:sz w:val="28"/>
          <w:szCs w:val="28"/>
        </w:rPr>
        <w:br/>
      </w:r>
    </w:p>
    <w:p w14:paraId="6CF4A91F" w14:textId="32671CD1" w:rsidR="008509F2" w:rsidRPr="00D15828" w:rsidRDefault="008509F2" w:rsidP="0096503F">
      <w:pPr>
        <w:rPr>
          <w:b/>
          <w:bCs/>
          <w:sz w:val="28"/>
          <w:szCs w:val="28"/>
        </w:rPr>
        <w:sectPr w:rsidR="008509F2" w:rsidRPr="00D15828" w:rsidSect="007E3287">
          <w:headerReference w:type="even" r:id="rId9"/>
          <w:headerReference w:type="default" r:id="rId10"/>
          <w:footerReference w:type="default" r:id="rId11"/>
          <w:footerReference w:type="first" r:id="rId12"/>
          <w:pgSz w:w="12240" w:h="15840"/>
          <w:pgMar w:top="1440" w:right="1440" w:bottom="1440" w:left="1440" w:header="720" w:footer="720" w:gutter="0"/>
          <w:pgNumType w:fmt="lowerRoman" w:start="1"/>
          <w:cols w:space="720"/>
          <w:noEndnote/>
          <w:titlePg/>
        </w:sectPr>
      </w:pPr>
    </w:p>
    <w:p w14:paraId="37884457" w14:textId="77777777" w:rsidR="007E3287" w:rsidRPr="00D15828" w:rsidRDefault="007E3287" w:rsidP="007E3287">
      <w:pPr>
        <w:tabs>
          <w:tab w:val="right" w:leader="dot" w:pos="9360"/>
        </w:tabs>
        <w:outlineLvl w:val="0"/>
        <w:sectPr w:rsidR="007E3287" w:rsidRPr="00D15828" w:rsidSect="007E3287">
          <w:footerReference w:type="default" r:id="rId13"/>
          <w:pgSz w:w="12240" w:h="15840" w:code="1"/>
          <w:pgMar w:top="1440" w:right="1440" w:bottom="1440" w:left="1440" w:header="720" w:footer="720" w:gutter="0"/>
          <w:pgNumType w:fmt="lowerRoman" w:start="1"/>
          <w:cols w:space="720"/>
          <w:noEndnote/>
        </w:sectPr>
      </w:pPr>
    </w:p>
    <w:p w14:paraId="01B27C8D" w14:textId="5825A297" w:rsidR="007E3287" w:rsidRPr="00D15828" w:rsidRDefault="007E3287" w:rsidP="007E3287">
      <w:pPr>
        <w:rPr>
          <w:b/>
          <w:szCs w:val="28"/>
        </w:rPr>
      </w:pPr>
      <w:r w:rsidRPr="00D15828">
        <w:rPr>
          <w:b/>
          <w:szCs w:val="28"/>
        </w:rPr>
        <w:lastRenderedPageBreak/>
        <w:t>1.</w:t>
      </w:r>
      <w:r w:rsidRPr="00D15828">
        <w:rPr>
          <w:b/>
          <w:szCs w:val="28"/>
        </w:rPr>
        <w:tab/>
        <w:t>IDENTIFICATION OF THE INFORMATION COLLECTION</w:t>
      </w:r>
    </w:p>
    <w:p w14:paraId="3760D084" w14:textId="77777777" w:rsidR="007E3287" w:rsidRPr="00D15828" w:rsidRDefault="007E3287" w:rsidP="007E3287">
      <w:pPr>
        <w:rPr>
          <w:b/>
          <w:szCs w:val="28"/>
        </w:rPr>
      </w:pPr>
    </w:p>
    <w:p w14:paraId="182C20A3" w14:textId="77777777" w:rsidR="007E3287" w:rsidRPr="00D15828" w:rsidRDefault="007E3287" w:rsidP="007E3287">
      <w:pPr>
        <w:ind w:firstLine="720"/>
        <w:rPr>
          <w:b/>
        </w:rPr>
      </w:pPr>
      <w:r w:rsidRPr="00D15828">
        <w:rPr>
          <w:b/>
        </w:rPr>
        <w:t>1(a)</w:t>
      </w:r>
      <w:r w:rsidRPr="00D15828">
        <w:rPr>
          <w:b/>
        </w:rPr>
        <w:tab/>
        <w:t>Title and Number of the Information Collection</w:t>
      </w:r>
    </w:p>
    <w:p w14:paraId="6FECDF09" w14:textId="77777777" w:rsidR="007E3287" w:rsidRPr="00D15828" w:rsidRDefault="007E3287" w:rsidP="007E3287">
      <w:pPr>
        <w:ind w:firstLine="720"/>
        <w:rPr>
          <w:b/>
        </w:rPr>
      </w:pPr>
    </w:p>
    <w:p w14:paraId="6D354398" w14:textId="595CBE35" w:rsidR="007E3287" w:rsidRPr="00D15828" w:rsidRDefault="007E3287" w:rsidP="007E3287">
      <w:pPr>
        <w:ind w:firstLine="720"/>
        <w:jc w:val="both"/>
        <w:rPr>
          <w:bCs/>
        </w:rPr>
      </w:pPr>
      <w:r w:rsidRPr="00D15828">
        <w:t>This information Collection Request (ICR) is entitled “</w:t>
      </w:r>
      <w:r w:rsidR="0096043C" w:rsidRPr="0096043C">
        <w:rPr>
          <w:bCs/>
        </w:rPr>
        <w:t>Identification of Non-Hazardous Secondary Materials That Are Solid Waste (</w:t>
      </w:r>
      <w:r w:rsidR="003B3BAC" w:rsidRPr="0096043C">
        <w:rPr>
          <w:bCs/>
        </w:rPr>
        <w:t>Re</w:t>
      </w:r>
      <w:r w:rsidR="003B3BAC">
        <w:rPr>
          <w:bCs/>
        </w:rPr>
        <w:t>newal</w:t>
      </w:r>
      <w:r w:rsidR="0096043C" w:rsidRPr="0096043C">
        <w:rPr>
          <w:bCs/>
        </w:rPr>
        <w:t>)</w:t>
      </w:r>
      <w:r w:rsidRPr="00D15828">
        <w:rPr>
          <w:bCs/>
        </w:rPr>
        <w:t xml:space="preserve">,” </w:t>
      </w:r>
      <w:r w:rsidRPr="00097C6F">
        <w:rPr>
          <w:bCs/>
        </w:rPr>
        <w:t xml:space="preserve">EPA ICR Number </w:t>
      </w:r>
      <w:r w:rsidR="002D5034" w:rsidRPr="00097C6F">
        <w:rPr>
          <w:bCs/>
        </w:rPr>
        <w:t>2382.</w:t>
      </w:r>
      <w:r w:rsidR="009711E0" w:rsidRPr="00097C6F">
        <w:rPr>
          <w:bCs/>
        </w:rPr>
        <w:t>05</w:t>
      </w:r>
      <w:r w:rsidR="00050C8A" w:rsidRPr="00097C6F">
        <w:rPr>
          <w:bCs/>
        </w:rPr>
        <w:t>, OMB Number 2050-0205</w:t>
      </w:r>
      <w:r w:rsidRPr="00097C6F">
        <w:rPr>
          <w:bCs/>
        </w:rPr>
        <w:t>.</w:t>
      </w:r>
      <w:r w:rsidR="00981AB7">
        <w:rPr>
          <w:bCs/>
        </w:rPr>
        <w:t xml:space="preserve">  </w:t>
      </w:r>
      <w:r w:rsidR="00981AB7" w:rsidRPr="00981AB7">
        <w:rPr>
          <w:bCs/>
        </w:rPr>
        <w:t xml:space="preserve">This ICR is a description of the information collection requirements for combustion units that use </w:t>
      </w:r>
      <w:r w:rsidR="00E84F3A">
        <w:rPr>
          <w:bCs/>
        </w:rPr>
        <w:t>non-h</w:t>
      </w:r>
      <w:r w:rsidR="00F940CF">
        <w:rPr>
          <w:bCs/>
        </w:rPr>
        <w:t>azardous secondary materials (</w:t>
      </w:r>
      <w:r w:rsidR="00981AB7" w:rsidRPr="00981AB7">
        <w:rPr>
          <w:bCs/>
        </w:rPr>
        <w:t>NHSM</w:t>
      </w:r>
      <w:r w:rsidR="00F940CF">
        <w:rPr>
          <w:bCs/>
        </w:rPr>
        <w:t>)</w:t>
      </w:r>
      <w:r w:rsidR="00981AB7" w:rsidRPr="00981AB7">
        <w:rPr>
          <w:bCs/>
        </w:rPr>
        <w:t xml:space="preserve"> that are solid wastes and combines and harmonizes prior regulatory amendments into one ICR.</w:t>
      </w:r>
    </w:p>
    <w:p w14:paraId="2F6F0AA4" w14:textId="77777777" w:rsidR="007E3287" w:rsidRPr="00D15828" w:rsidRDefault="007E3287" w:rsidP="007E3287">
      <w:pPr>
        <w:ind w:firstLine="720"/>
        <w:rPr>
          <w:bCs/>
        </w:rPr>
      </w:pPr>
    </w:p>
    <w:p w14:paraId="51F8091F" w14:textId="77777777" w:rsidR="007E3287" w:rsidRPr="00D15828" w:rsidRDefault="007E3287" w:rsidP="007E3287">
      <w:pPr>
        <w:ind w:firstLine="720"/>
        <w:rPr>
          <w:b/>
          <w:bCs/>
        </w:rPr>
      </w:pPr>
      <w:r w:rsidRPr="00D15828">
        <w:rPr>
          <w:b/>
          <w:bCs/>
        </w:rPr>
        <w:t>1(b)</w:t>
      </w:r>
      <w:r w:rsidRPr="00D15828">
        <w:rPr>
          <w:b/>
          <w:bCs/>
        </w:rPr>
        <w:tab/>
        <w:t>Short Characterization</w:t>
      </w:r>
    </w:p>
    <w:p w14:paraId="3382D868" w14:textId="77777777" w:rsidR="007E3287" w:rsidRPr="00D15828" w:rsidRDefault="007E3287" w:rsidP="007E3287">
      <w:pPr>
        <w:ind w:firstLine="720"/>
        <w:rPr>
          <w:bCs/>
        </w:rPr>
      </w:pPr>
    </w:p>
    <w:p w14:paraId="4E2DDB2D" w14:textId="77777777" w:rsidR="00BD08B5" w:rsidRDefault="007E3287" w:rsidP="007E3287">
      <w:pPr>
        <w:pStyle w:val="BodyTextIndent"/>
      </w:pPr>
      <w:r w:rsidRPr="00D15828">
        <w:t>Section 112(d) of the Clean Air Act (CAA) requires the promulgation of regulations to control emissions of specific hazardous air pollutants from “major sources” within defined source categories.</w:t>
      </w:r>
      <w:r w:rsidRPr="00D15828">
        <w:rPr>
          <w:rStyle w:val="FootnoteReference"/>
        </w:rPr>
        <w:footnoteReference w:id="1"/>
      </w:r>
      <w:r w:rsidRPr="00D15828">
        <w:rPr>
          <w:vertAlign w:val="superscript"/>
        </w:rPr>
        <w:t>,</w:t>
      </w:r>
      <w:r w:rsidRPr="00D15828">
        <w:rPr>
          <w:rStyle w:val="FootnoteReference"/>
        </w:rPr>
        <w:footnoteReference w:id="2"/>
      </w:r>
      <w:r w:rsidRPr="00D15828">
        <w:t xml:space="preserve"> One such regulation, promulgated in September 2004, is the National Emissions Standards for Hazardous Air Pollutants for Industrial, Commercial, and Institutional Boilers and Process Heaters (the “Boilers Rule”), which established Maximum Achievable Control Technology (MACT) standards for this source category.  </w:t>
      </w:r>
    </w:p>
    <w:p w14:paraId="3DB4E812" w14:textId="3D0A460B" w:rsidR="007E3287" w:rsidRPr="00D15828" w:rsidRDefault="007E3287" w:rsidP="007E3287">
      <w:pPr>
        <w:pStyle w:val="BodyTextIndent"/>
      </w:pPr>
      <w:r w:rsidRPr="00D15828">
        <w:t>Section 129 of the CAA directed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Units regulated under Section 129 cannot be subject to any rule promulgated under Section 112.</w:t>
      </w:r>
    </w:p>
    <w:p w14:paraId="6037CFA8" w14:textId="19108C42" w:rsidR="007E3287" w:rsidRPr="00D15828" w:rsidRDefault="007E3287" w:rsidP="007E3287">
      <w:pPr>
        <w:pStyle w:val="BodyTextIndent"/>
      </w:pPr>
      <w:r w:rsidRPr="00D15828">
        <w:t>In September 2005, in response to a subsequent petition for reconsideration, EPA amended the CISWI Rule when it promulgated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14:paraId="5826470E" w14:textId="5A57EF1F" w:rsidR="007E3287" w:rsidRPr="00D15828" w:rsidRDefault="007E3287" w:rsidP="007E3287">
      <w:pPr>
        <w:pStyle w:val="BodyTextIndent"/>
      </w:pPr>
      <w:r w:rsidRPr="00D15828">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regulate any commercial or industrial incinerator that combusts any solid waste material, as a solid waste incineration unit regardless of whether the waste is burned as a “fuel.” The Court also concluded that EPA erred in excluding from the CISWI Definitions Rule units that combust solid waste for the purposes of energy recovery and including these units in the Boilers Rule.  </w:t>
      </w:r>
    </w:p>
    <w:p w14:paraId="1B505D99" w14:textId="44DCDF0A" w:rsidR="00D110CB" w:rsidRPr="00F94488" w:rsidRDefault="007E3287" w:rsidP="0096503F">
      <w:pPr>
        <w:ind w:firstLine="720"/>
        <w:jc w:val="both"/>
      </w:pPr>
      <w:r w:rsidRPr="00D15828">
        <w:t xml:space="preserve">EPA’s response to the Court’s decision </w:t>
      </w:r>
      <w:r w:rsidR="00F61488">
        <w:t>outlined</w:t>
      </w:r>
      <w:r w:rsidR="00A1443C">
        <w:t xml:space="preserve"> </w:t>
      </w:r>
      <w:r w:rsidR="00764A53">
        <w:t>regulatory</w:t>
      </w:r>
      <w:r w:rsidR="00940948">
        <w:t xml:space="preserve"> </w:t>
      </w:r>
      <w:r w:rsidR="006C6E1D">
        <w:t>procedures f</w:t>
      </w:r>
      <w:r w:rsidR="00E11493">
        <w:t xml:space="preserve">or </w:t>
      </w:r>
      <w:r w:rsidR="00923D2F">
        <w:t xml:space="preserve">determining </w:t>
      </w:r>
      <w:r w:rsidRPr="00D15828">
        <w:t>which non-hazardous, “secondary materials”</w:t>
      </w:r>
      <w:r w:rsidRPr="00D15828">
        <w:rPr>
          <w:rStyle w:val="FootnoteReference"/>
        </w:rPr>
        <w:footnoteReference w:id="3"/>
      </w:r>
      <w:r w:rsidRPr="00D15828">
        <w:t xml:space="preserve"> constitute RCRA Subtitle D “solid waste” in order to clarify when the combustion of these materials would be regulated pursuant to CAA Section 129 (as opposed to potential regulation under Section 112 if a combustion unit burns materials that are not solid waste when combusted). Thus, </w:t>
      </w:r>
      <w:r w:rsidR="000E5CCF">
        <w:t xml:space="preserve">on March 21, 2011, </w:t>
      </w:r>
      <w:r w:rsidRPr="00D15828">
        <w:t xml:space="preserve">EPA </w:t>
      </w:r>
      <w:r w:rsidR="000E5CCF">
        <w:t>promulgated</w:t>
      </w:r>
      <w:r w:rsidRPr="00D15828">
        <w:t xml:space="preserve"> the </w:t>
      </w:r>
      <w:r w:rsidR="009C59C4">
        <w:t>Final</w:t>
      </w:r>
      <w:r w:rsidRPr="00D15828">
        <w:t xml:space="preserve"> Rule for the identification of non-hazardous secondary materials </w:t>
      </w:r>
      <w:r w:rsidR="003D0174">
        <w:t xml:space="preserve">(NHSM) </w:t>
      </w:r>
      <w:r w:rsidRPr="00D15828">
        <w:t xml:space="preserve">that are solid waste. </w:t>
      </w:r>
      <w:r w:rsidR="00D110CB" w:rsidRPr="00F94488">
        <w:t>Th</w:t>
      </w:r>
      <w:r w:rsidR="00F85C92">
        <w:t>e</w:t>
      </w:r>
      <w:r w:rsidR="00D110CB" w:rsidRPr="00F94488">
        <w:t xml:space="preserve"> final rule established a </w:t>
      </w:r>
      <w:r w:rsidR="005436E2">
        <w:t xml:space="preserve">process for making non-waste determinations as well as a </w:t>
      </w:r>
      <w:r w:rsidR="00D110CB" w:rsidRPr="00F94488">
        <w:t xml:space="preserve">case-specific  petition process for solid waste secondary materials </w:t>
      </w:r>
      <w:r w:rsidR="005436E2">
        <w:t xml:space="preserve">that are not discarded and </w:t>
      </w:r>
      <w:r w:rsidR="00D110CB" w:rsidRPr="00F94488">
        <w:t>used as fuel in a combustion unit. While the p</w:t>
      </w:r>
      <w:r w:rsidR="00EE5B75">
        <w:t>rocess is voluntary, it requires</w:t>
      </w:r>
      <w:r w:rsidR="00D110CB" w:rsidRPr="00F94488">
        <w:t xml:space="preserve"> the petitioner to provide information describing how the secondary materials satisfy the legitimacy criteria, along with consideration of certain market, human and environmental health, and other factors. The per-respondent and aggregate burden and cost estimates for the case-specific petition process</w:t>
      </w:r>
      <w:r w:rsidR="00570225">
        <w:t>, as provided for in 40 CFR 241.3(c),</w:t>
      </w:r>
      <w:r w:rsidR="00D110CB" w:rsidRPr="00F94488">
        <w:t xml:space="preserve"> are presented in Exhibit 1 of this supporting statement. </w:t>
      </w:r>
      <w:r w:rsidR="00570225">
        <w:t xml:space="preserve"> Exhibit 2 presents the estimated agency burden costs of the petition process. </w:t>
      </w:r>
      <w:r w:rsidR="00D110CB" w:rsidRPr="00F94488">
        <w:t xml:space="preserve"> </w:t>
      </w:r>
    </w:p>
    <w:p w14:paraId="752373A5" w14:textId="77777777" w:rsidR="00D110CB" w:rsidRPr="00F94488" w:rsidRDefault="00D110CB" w:rsidP="00D110CB"/>
    <w:p w14:paraId="1D5B6CB9" w14:textId="2C6602E3" w:rsidR="007E3287" w:rsidRPr="00D15828" w:rsidRDefault="00D110CB" w:rsidP="007E3287">
      <w:pPr>
        <w:jc w:val="both"/>
      </w:pPr>
      <w:r>
        <w:tab/>
      </w:r>
      <w:r w:rsidR="00764A53">
        <w:t xml:space="preserve"> Through the </w:t>
      </w:r>
      <w:r w:rsidR="009549C4">
        <w:t>2013</w:t>
      </w:r>
      <w:r>
        <w:t xml:space="preserve"> </w:t>
      </w:r>
      <w:r w:rsidR="00E508CB">
        <w:t>a</w:t>
      </w:r>
      <w:r>
        <w:t xml:space="preserve">mendments to the March 21, 2011 </w:t>
      </w:r>
      <w:r w:rsidR="00651019">
        <w:t>F</w:t>
      </w:r>
      <w:r>
        <w:t xml:space="preserve">inal </w:t>
      </w:r>
      <w:r w:rsidR="00651019">
        <w:t>Ru</w:t>
      </w:r>
      <w:r>
        <w:t>le, t</w:t>
      </w:r>
      <w:r w:rsidRPr="00F94488">
        <w:t xml:space="preserve">he </w:t>
      </w:r>
      <w:r w:rsidR="00764A53">
        <w:t>Agency recognized</w:t>
      </w:r>
      <w:r w:rsidRPr="00F94488">
        <w:t xml:space="preserve"> that </w:t>
      </w:r>
      <w:r>
        <w:t xml:space="preserve">selected secondary materials may be more conducive to a categorical </w:t>
      </w:r>
      <w:r w:rsidR="00F44A4E">
        <w:t>non-waste</w:t>
      </w:r>
      <w:r>
        <w:t xml:space="preserve"> determination process, rather than a case-specific determination process. </w:t>
      </w:r>
      <w:r w:rsidRPr="00054210">
        <w:t xml:space="preserve">Thus, under </w:t>
      </w:r>
      <w:r>
        <w:t xml:space="preserve">the </w:t>
      </w:r>
      <w:r w:rsidR="00E508CB">
        <w:t>a</w:t>
      </w:r>
      <w:r>
        <w:t>mendments</w:t>
      </w:r>
      <w:r w:rsidR="00CB3255">
        <w:t xml:space="preserve"> issued on February 7, 2013</w:t>
      </w:r>
      <w:r>
        <w:t xml:space="preserve">, the Agency </w:t>
      </w:r>
      <w:r w:rsidRPr="00054210">
        <w:t>final</w:t>
      </w:r>
      <w:r w:rsidR="00EE5B75">
        <w:t>ized</w:t>
      </w:r>
      <w:r w:rsidRPr="00054210">
        <w:t xml:space="preserve"> the process whereby persons </w:t>
      </w:r>
      <w:r>
        <w:t xml:space="preserve">may </w:t>
      </w:r>
      <w:r w:rsidRPr="00054210">
        <w:t>submit a rulemaking petition to the Administrator where they can identify and request that additional</w:t>
      </w:r>
      <w:r>
        <w:t xml:space="preserve"> </w:t>
      </w:r>
      <w:r w:rsidRPr="00054210">
        <w:t xml:space="preserve">NHSMs be listed in </w:t>
      </w:r>
      <w:r w:rsidR="00456C0B">
        <w:t>40 CFR</w:t>
      </w:r>
      <w:r w:rsidR="00456C0B" w:rsidRPr="00054210">
        <w:t xml:space="preserve"> </w:t>
      </w:r>
      <w:r w:rsidRPr="00054210">
        <w:t>241.4</w:t>
      </w:r>
      <w:r>
        <w:t xml:space="preserve">. </w:t>
      </w:r>
      <w:r w:rsidR="00570225" w:rsidRPr="00F94488">
        <w:t xml:space="preserve">The per-respondent and aggregate burden and cost estimates for the </w:t>
      </w:r>
      <w:r w:rsidR="00570225">
        <w:t>categorical determination</w:t>
      </w:r>
      <w:r w:rsidR="00570225" w:rsidRPr="00F94488">
        <w:t xml:space="preserve"> petition process</w:t>
      </w:r>
      <w:r w:rsidR="00570225">
        <w:t>, as provided for in 40 CFR 241.4,</w:t>
      </w:r>
      <w:r w:rsidR="00570225" w:rsidRPr="00F94488">
        <w:t xml:space="preserve"> are </w:t>
      </w:r>
      <w:r w:rsidR="00570225">
        <w:t xml:space="preserve">also </w:t>
      </w:r>
      <w:r w:rsidR="00570225" w:rsidRPr="00F94488">
        <w:t xml:space="preserve">presented in Exhibit 1 of this supporting statement. </w:t>
      </w:r>
      <w:r w:rsidR="00570225">
        <w:t xml:space="preserve"> Exhibit 2 presents the estimated agency burden costs of the petition process. </w:t>
      </w:r>
      <w:r>
        <w:t xml:space="preserve">Although the </w:t>
      </w:r>
      <w:r w:rsidRPr="00054210">
        <w:t xml:space="preserve">petition process </w:t>
      </w:r>
      <w:r>
        <w:t xml:space="preserve">and requirements for this categorical determination are more comprehensive than those of the case-specific process, considerably fewer petitions are likely to be submitted. </w:t>
      </w:r>
    </w:p>
    <w:p w14:paraId="39B78F3D" w14:textId="77777777" w:rsidR="00AF2CA2" w:rsidRDefault="00AF2CA2" w:rsidP="007E3287">
      <w:pPr>
        <w:ind w:firstLine="720"/>
        <w:jc w:val="both"/>
      </w:pPr>
    </w:p>
    <w:p w14:paraId="20669D36" w14:textId="4C013B20" w:rsidR="00FA4D9C" w:rsidRDefault="00380638">
      <w:pPr>
        <w:ind w:firstLine="720"/>
        <w:jc w:val="both"/>
      </w:pPr>
      <w:r>
        <w:t xml:space="preserve">This ICR also includes </w:t>
      </w:r>
      <w:r w:rsidR="008311B6">
        <w:t xml:space="preserve">the </w:t>
      </w:r>
      <w:r w:rsidR="00495DCD" w:rsidRPr="00402577">
        <w:t xml:space="preserve"> </w:t>
      </w:r>
      <w:r w:rsidR="00B377FD" w:rsidRPr="00402577">
        <w:t>burden</w:t>
      </w:r>
      <w:r w:rsidR="00B377FD">
        <w:t xml:space="preserve"> </w:t>
      </w:r>
      <w:r w:rsidR="008311B6">
        <w:t xml:space="preserve">associated with </w:t>
      </w:r>
      <w:r w:rsidR="00B377FD">
        <w:t xml:space="preserve">the 2016 </w:t>
      </w:r>
      <w:r w:rsidR="00EC44C4">
        <w:t>amendments to the Final Rule</w:t>
      </w:r>
      <w:r w:rsidR="00011793">
        <w:t xml:space="preserve"> (</w:t>
      </w:r>
      <w:r w:rsidR="00CF5FD4">
        <w:t>81 FR 6688, February 8, 2016)</w:t>
      </w:r>
      <w:r w:rsidR="00B377FD">
        <w:t xml:space="preserve">, which added </w:t>
      </w:r>
      <w:r w:rsidR="00B377FD" w:rsidRPr="00F20FBC">
        <w:rPr>
          <w:bCs/>
        </w:rPr>
        <w:t>three materials to the list of categorical non-waste fuels</w:t>
      </w:r>
      <w:r w:rsidR="00B377FD">
        <w:rPr>
          <w:bCs/>
        </w:rPr>
        <w:t>:</w:t>
      </w:r>
      <w:r w:rsidR="00B377FD">
        <w:t xml:space="preserve"> </w:t>
      </w:r>
      <w:r w:rsidR="00B377FD" w:rsidRPr="00B377FD">
        <w:t>(1) construction and demolition (C&amp;D) wood processed  from construction and demolition debris according to best management practices; (2) paper recycling residuals (PRRs) generated from the recycling of recovered paper, paperboard and corrugated containers and combusted by paper recycling mills whose boilers are designed to burn solid fuel; and (3) creosote-treated railroad ties that are processed and combusted in units designed to burn both biomass and fuel oil as part of normal operations and not solely as part of start-up or shut-down operations.</w:t>
      </w:r>
      <w:r w:rsidR="00403DEC">
        <w:rPr>
          <w:rStyle w:val="FootnoteReference"/>
        </w:rPr>
        <w:footnoteReference w:id="4"/>
      </w:r>
      <w:r w:rsidR="00B377FD">
        <w:t xml:space="preserve"> </w:t>
      </w:r>
    </w:p>
    <w:p w14:paraId="1AC657B4" w14:textId="2E0FCB88" w:rsidR="00050C8A" w:rsidRDefault="005148AC" w:rsidP="000D12E3">
      <w:pPr>
        <w:ind w:firstLine="720"/>
        <w:jc w:val="both"/>
      </w:pPr>
      <w:r>
        <w:t>Finally, t</w:t>
      </w:r>
      <w:r w:rsidR="001C2BC9">
        <w:t>his ICR  includes</w:t>
      </w:r>
      <w:r w:rsidR="001C2BC9" w:rsidRPr="001C2BC9">
        <w:t xml:space="preserve"> </w:t>
      </w:r>
      <w:r w:rsidR="001C2BC9">
        <w:t xml:space="preserve">the burden associated with the 2018 </w:t>
      </w:r>
      <w:r>
        <w:t xml:space="preserve">amendments to </w:t>
      </w:r>
      <w:r w:rsidR="008F60BE">
        <w:t>the Final Rule</w:t>
      </w:r>
      <w:r w:rsidR="001C2BC9">
        <w:t xml:space="preserve"> (83 FR </w:t>
      </w:r>
      <w:r w:rsidR="00134D94">
        <w:t>5317</w:t>
      </w:r>
      <w:r w:rsidR="001C2BC9">
        <w:t xml:space="preserve">, February </w:t>
      </w:r>
      <w:r w:rsidR="00134D94">
        <w:t>7</w:t>
      </w:r>
      <w:r w:rsidR="001C2BC9">
        <w:t>, 201</w:t>
      </w:r>
      <w:r w:rsidR="00134D94">
        <w:t>8</w:t>
      </w:r>
      <w:r w:rsidR="001C2BC9">
        <w:t xml:space="preserve">), which added </w:t>
      </w:r>
      <w:r w:rsidR="001C2BC9" w:rsidRPr="00F20FBC">
        <w:rPr>
          <w:bCs/>
        </w:rPr>
        <w:t xml:space="preserve">three </w:t>
      </w:r>
      <w:r w:rsidR="001C2BC9">
        <w:rPr>
          <w:bCs/>
        </w:rPr>
        <w:t>types of other treated railroad ties (OTRTs)</w:t>
      </w:r>
      <w:r w:rsidR="001C2BC9" w:rsidRPr="00F20FBC">
        <w:rPr>
          <w:bCs/>
        </w:rPr>
        <w:t xml:space="preserve"> to the list of categorical non-waste fuels</w:t>
      </w:r>
      <w:r w:rsidR="001C2BC9">
        <w:rPr>
          <w:bCs/>
        </w:rPr>
        <w:t>:</w:t>
      </w:r>
      <w:r w:rsidR="00134D94">
        <w:rPr>
          <w:bCs/>
        </w:rPr>
        <w:t xml:space="preserve"> (1) </w:t>
      </w:r>
      <w:r w:rsidR="00134D94" w:rsidRPr="00716331">
        <w:t>Creosote-</w:t>
      </w:r>
      <w:r w:rsidR="00134D94">
        <w:t xml:space="preserve">borate </w:t>
      </w:r>
      <w:r w:rsidR="00134D94" w:rsidRPr="00716331">
        <w:t>treated railroad ties</w:t>
      </w:r>
      <w:r w:rsidR="00134D94">
        <w:t>, and mixtures of creosote, borate and copper naphthenate treated railroad ties</w:t>
      </w:r>
      <w:r w:rsidR="00134D94" w:rsidRPr="00F20FBC">
        <w:t xml:space="preserve"> that are processed and combusted in units designed to burn both biomass and fuel oil</w:t>
      </w:r>
      <w:r w:rsidR="00134D94">
        <w:t>;</w:t>
      </w:r>
      <w:r w:rsidR="00931BAB" w:rsidRPr="00F20FBC">
        <w:rPr>
          <w:rStyle w:val="FootnoteReference"/>
        </w:rPr>
        <w:footnoteReference w:id="5"/>
      </w:r>
      <w:r w:rsidR="00134D94">
        <w:t xml:space="preserve"> (2) Copper naphthenate treated railroad ties that </w:t>
      </w:r>
      <w:r w:rsidR="00134D94" w:rsidRPr="00716331">
        <w:t>a</w:t>
      </w:r>
      <w:r w:rsidR="00134D94">
        <w:t xml:space="preserve">re processed </w:t>
      </w:r>
      <w:r w:rsidR="00134D94" w:rsidRPr="00716331">
        <w:t>and then combusted in units</w:t>
      </w:r>
      <w:r w:rsidR="00134D94">
        <w:t xml:space="preserve"> designed to burn biomass, biomass and fuel oil or biomass and coal; and (3) C</w:t>
      </w:r>
      <w:r w:rsidR="00134D94" w:rsidRPr="00B053F8">
        <w:t>opper naphthenate-borate treated railroad ties that are processed</w:t>
      </w:r>
      <w:r w:rsidR="00134D94">
        <w:t xml:space="preserve"> </w:t>
      </w:r>
      <w:r w:rsidR="00134D94" w:rsidRPr="00B053F8">
        <w:t>and then combusted in units designed to bur</w:t>
      </w:r>
      <w:r w:rsidR="00134D94">
        <w:t>n biomass, biomass and fuel oil or biomass and coal.</w:t>
      </w:r>
      <w:r w:rsidR="00134D94" w:rsidRPr="00134D94">
        <w:t xml:space="preserve"> </w:t>
      </w:r>
      <w:r w:rsidR="00134D94">
        <w:t xml:space="preserve">These 2016 and 2018 additions to the list of categorical non-waste fuels were previously covered under ICR numbers </w:t>
      </w:r>
      <w:r w:rsidR="00097C6F">
        <w:t>2382.</w:t>
      </w:r>
      <w:r w:rsidR="00D5277F">
        <w:t xml:space="preserve">04 </w:t>
      </w:r>
      <w:r w:rsidR="00097C6F">
        <w:t xml:space="preserve">and </w:t>
      </w:r>
      <w:r w:rsidR="00134D94" w:rsidRPr="00B377FD">
        <w:t>2493.03</w:t>
      </w:r>
      <w:r w:rsidR="00764A53">
        <w:t xml:space="preserve"> </w:t>
      </w:r>
      <w:r w:rsidR="00134D94">
        <w:t>but have been merged into the current ICR.</w:t>
      </w:r>
    </w:p>
    <w:p w14:paraId="7E4E4E16" w14:textId="77777777" w:rsidR="007E3287" w:rsidRPr="00D15828" w:rsidRDefault="007E3287" w:rsidP="007E3287">
      <w:pPr>
        <w:ind w:firstLine="720"/>
        <w:rPr>
          <w:szCs w:val="28"/>
          <w:u w:val="single"/>
        </w:rPr>
      </w:pPr>
    </w:p>
    <w:p w14:paraId="1D16923D" w14:textId="77777777" w:rsidR="007E3287" w:rsidRPr="00D15828" w:rsidRDefault="007E3287" w:rsidP="007E3287">
      <w:pPr>
        <w:jc w:val="both"/>
        <w:rPr>
          <w:b/>
          <w:szCs w:val="28"/>
        </w:rPr>
      </w:pPr>
      <w:r w:rsidRPr="00D15828">
        <w:rPr>
          <w:b/>
          <w:szCs w:val="28"/>
        </w:rPr>
        <w:t>2.</w:t>
      </w:r>
      <w:r w:rsidRPr="00D15828">
        <w:rPr>
          <w:b/>
          <w:szCs w:val="28"/>
        </w:rPr>
        <w:tab/>
        <w:t>NEED FOR AND USE OF THE COLLECTION</w:t>
      </w:r>
    </w:p>
    <w:p w14:paraId="05F4E589" w14:textId="77777777" w:rsidR="007E3287" w:rsidRPr="00D15828" w:rsidRDefault="007E3287" w:rsidP="007E3287">
      <w:pPr>
        <w:jc w:val="both"/>
        <w:rPr>
          <w:szCs w:val="28"/>
        </w:rPr>
      </w:pPr>
    </w:p>
    <w:p w14:paraId="1F16752A" w14:textId="77777777" w:rsidR="007E3287" w:rsidRPr="00D15828" w:rsidRDefault="007E3287" w:rsidP="007E3287">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3B998F2B" w14:textId="77777777" w:rsidR="007E3287" w:rsidRPr="00D15828" w:rsidRDefault="007E3287" w:rsidP="007E3287">
      <w:pPr>
        <w:ind w:firstLine="720"/>
        <w:jc w:val="both"/>
      </w:pPr>
    </w:p>
    <w:p w14:paraId="0D164655" w14:textId="7EE2934D" w:rsidR="007E3287" w:rsidRPr="00D15828" w:rsidRDefault="007E3287" w:rsidP="00882E13">
      <w:pPr>
        <w:ind w:firstLine="720"/>
        <w:jc w:val="both"/>
      </w:pPr>
      <w:r w:rsidRPr="00D15828">
        <w:t xml:space="preserve">The requirements covered in this ICR are necessary to identify </w:t>
      </w:r>
      <w:r w:rsidR="003D0174">
        <w:t>NHSM</w:t>
      </w:r>
      <w:r w:rsidRPr="00D15828">
        <w:t xml:space="preserve"> that are solid waste</w:t>
      </w:r>
      <w:r w:rsidR="00882E13">
        <w:t xml:space="preserve"> for purposes of </w:t>
      </w:r>
      <w:r w:rsidR="00C9069B">
        <w:t xml:space="preserve">applying </w:t>
      </w:r>
      <w:r w:rsidR="00882E13">
        <w:t>appropriate emission standards under Clean Air Act section 129</w:t>
      </w:r>
      <w:r w:rsidR="00C9069B">
        <w:t xml:space="preserve"> for solid waste incinerators or </w:t>
      </w:r>
      <w:r w:rsidR="00CD6864">
        <w:t>s</w:t>
      </w:r>
      <w:r w:rsidR="00C9069B">
        <w:t>ection 112 for control of hazardous air pollutants</w:t>
      </w:r>
      <w:r w:rsidR="00F85C92">
        <w:t xml:space="preserve">. </w:t>
      </w:r>
      <w:r w:rsidR="00882E13" w:rsidRPr="00882E13">
        <w:t>Th</w:t>
      </w:r>
      <w:r w:rsidR="00882E13">
        <w:t>e NHSM</w:t>
      </w:r>
      <w:r w:rsidR="00882E13" w:rsidRPr="00882E13">
        <w:t xml:space="preserve"> rule</w:t>
      </w:r>
      <w:r w:rsidR="00882E13">
        <w:t>s</w:t>
      </w:r>
      <w:r w:rsidR="00882E13" w:rsidRPr="00882E13">
        <w:t xml:space="preserve"> alone do not</w:t>
      </w:r>
      <w:r w:rsidR="00882E13">
        <w:t xml:space="preserve"> </w:t>
      </w:r>
      <w:r w:rsidR="00882E13" w:rsidRPr="00882E13">
        <w:t xml:space="preserve">directly invoke any </w:t>
      </w:r>
      <w:r w:rsidR="00C9069B">
        <w:t>information collection requirements associated</w:t>
      </w:r>
      <w:r w:rsidR="003D0174">
        <w:t xml:space="preserve"> with implementation</w:t>
      </w:r>
      <w:r w:rsidR="00C9069B">
        <w:t xml:space="preserve"> </w:t>
      </w:r>
      <w:r w:rsidR="003424C0">
        <w:t xml:space="preserve">under the Clean Air Act </w:t>
      </w:r>
      <w:r w:rsidR="00CE591C">
        <w:t xml:space="preserve">standards </w:t>
      </w:r>
      <w:r w:rsidR="00C9069B">
        <w:t xml:space="preserve">including reporting and recordkeeping </w:t>
      </w:r>
      <w:r w:rsidR="00882E13" w:rsidRPr="00882E13">
        <w:t>captured under</w:t>
      </w:r>
      <w:r w:rsidR="00882E13">
        <w:t xml:space="preserve"> </w:t>
      </w:r>
      <w:r w:rsidR="00882E13" w:rsidRPr="00882E13">
        <w:t>those rules.</w:t>
      </w:r>
      <w:r w:rsidR="00F85C92">
        <w:t xml:space="preserve"> </w:t>
      </w:r>
      <w:r w:rsidRPr="00D15828">
        <w:t>EPA establ</w:t>
      </w:r>
      <w:r w:rsidR="00C9069B">
        <w:t xml:space="preserve">ished </w:t>
      </w:r>
      <w:r w:rsidRPr="00D15828">
        <w:t xml:space="preserve"> these information collection requirements under the authority of Subtitle D of the Resource Conservation and Recovery Act (RCRA).  </w:t>
      </w:r>
    </w:p>
    <w:p w14:paraId="2A94D8F6" w14:textId="77777777" w:rsidR="007E3287" w:rsidRPr="00D15828" w:rsidRDefault="007E3287" w:rsidP="007E3287">
      <w:pPr>
        <w:ind w:firstLine="720"/>
        <w:jc w:val="both"/>
      </w:pPr>
    </w:p>
    <w:p w14:paraId="2B54240B" w14:textId="77777777" w:rsidR="007E3287" w:rsidRPr="00D15828" w:rsidRDefault="007E3287" w:rsidP="007E3287">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55F78932" w14:textId="77777777" w:rsidR="007E3287" w:rsidRPr="00D15828" w:rsidRDefault="007E3287" w:rsidP="007E3287">
      <w:pPr>
        <w:ind w:firstLine="720"/>
        <w:jc w:val="both"/>
      </w:pPr>
    </w:p>
    <w:p w14:paraId="14571CC8" w14:textId="27BA42EE" w:rsidR="007E3287" w:rsidRPr="00D15828" w:rsidRDefault="007E3287" w:rsidP="007E3287">
      <w:pPr>
        <w:ind w:firstLine="720"/>
        <w:jc w:val="both"/>
      </w:pPr>
      <w:r w:rsidRPr="00D15828">
        <w:t>EPA will use the  information</w:t>
      </w:r>
      <w:r w:rsidR="00D22DEF" w:rsidRPr="00D22DEF">
        <w:t xml:space="preserve"> collected pursuant to the 2011 Final Rule and subsequent amendments</w:t>
      </w:r>
      <w:r w:rsidRPr="00D15828">
        <w:t xml:space="preserve"> to</w:t>
      </w:r>
      <w:r w:rsidR="007B0DE0">
        <w:t xml:space="preserve"> determine whether the materials are wastes or non-waste</w:t>
      </w:r>
      <w:r w:rsidR="00F10B50">
        <w:t xml:space="preserve">, </w:t>
      </w:r>
      <w:r w:rsidR="004771C4">
        <w:t xml:space="preserve">and </w:t>
      </w:r>
      <w:r w:rsidR="00271FF0">
        <w:t xml:space="preserve">the corresponding </w:t>
      </w:r>
      <w:r w:rsidR="004771C4">
        <w:t>a</w:t>
      </w:r>
      <w:r w:rsidR="00BA36C8">
        <w:t xml:space="preserve">ppropriate </w:t>
      </w:r>
      <w:r w:rsidR="004315F4">
        <w:t>emission</w:t>
      </w:r>
      <w:r w:rsidR="009934B4">
        <w:t xml:space="preserve"> standards under Clean Air Act </w:t>
      </w:r>
      <w:r w:rsidR="00CD6864">
        <w:t xml:space="preserve">sections </w:t>
      </w:r>
      <w:r w:rsidR="009934B4">
        <w:t xml:space="preserve">112 or 129.  </w:t>
      </w:r>
      <w:r w:rsidRPr="00D15828">
        <w:t xml:space="preserve"> </w:t>
      </w:r>
    </w:p>
    <w:p w14:paraId="6CF7E16C" w14:textId="77777777" w:rsidR="007E3287" w:rsidRPr="00D15828" w:rsidRDefault="007E3287" w:rsidP="007E3287">
      <w:pPr>
        <w:ind w:left="720" w:hanging="720"/>
        <w:rPr>
          <w:b/>
          <w:szCs w:val="28"/>
        </w:rPr>
      </w:pPr>
    </w:p>
    <w:p w14:paraId="7C8FD1FC" w14:textId="77777777" w:rsidR="007E3287" w:rsidRPr="00D15828" w:rsidRDefault="007E3287" w:rsidP="007E3287">
      <w:pPr>
        <w:ind w:left="720" w:hanging="720"/>
        <w:rPr>
          <w:b/>
          <w:szCs w:val="28"/>
        </w:rPr>
      </w:pPr>
      <w:r w:rsidRPr="00D15828">
        <w:rPr>
          <w:b/>
          <w:szCs w:val="28"/>
        </w:rPr>
        <w:t>3.</w:t>
      </w:r>
      <w:r w:rsidRPr="00D15828">
        <w:rPr>
          <w:b/>
          <w:szCs w:val="28"/>
        </w:rPr>
        <w:tab/>
        <w:t xml:space="preserve">NONDUPLICATION, CONSULTATIONS, AND OTHER COLLECTION CRITERIA </w:t>
      </w:r>
    </w:p>
    <w:p w14:paraId="3477A42A" w14:textId="77777777" w:rsidR="007E3287" w:rsidRPr="00D15828" w:rsidRDefault="007E3287" w:rsidP="007E3287">
      <w:pPr>
        <w:jc w:val="both"/>
        <w:rPr>
          <w:b/>
          <w:szCs w:val="28"/>
        </w:rPr>
      </w:pPr>
    </w:p>
    <w:p w14:paraId="6CE19D39" w14:textId="77777777" w:rsidR="007E3287" w:rsidRPr="00D15828" w:rsidRDefault="007E3287" w:rsidP="007E3287">
      <w:pPr>
        <w:ind w:firstLine="720"/>
        <w:jc w:val="both"/>
        <w:rPr>
          <w:b/>
        </w:rPr>
      </w:pPr>
      <w:r w:rsidRPr="00D15828">
        <w:rPr>
          <w:b/>
        </w:rPr>
        <w:t>3(a)</w:t>
      </w:r>
      <w:r w:rsidRPr="00D15828">
        <w:rPr>
          <w:b/>
        </w:rPr>
        <w:tab/>
        <w:t>Nonduplication</w:t>
      </w:r>
    </w:p>
    <w:p w14:paraId="265975DD" w14:textId="77777777" w:rsidR="007E3287" w:rsidRPr="00D15828" w:rsidRDefault="007E3287" w:rsidP="007E3287">
      <w:pPr>
        <w:ind w:firstLine="720"/>
        <w:jc w:val="both"/>
        <w:rPr>
          <w:b/>
          <w:szCs w:val="28"/>
        </w:rPr>
      </w:pPr>
    </w:p>
    <w:p w14:paraId="510B7753" w14:textId="2FA66161" w:rsidR="007E3287" w:rsidRPr="00D15828" w:rsidRDefault="007E3287" w:rsidP="007E3287">
      <w:pPr>
        <w:ind w:firstLine="720"/>
        <w:jc w:val="both"/>
      </w:pPr>
      <w:r w:rsidRPr="00D15828">
        <w:t xml:space="preserve">None of the information required by the </w:t>
      </w:r>
      <w:r w:rsidR="00D27B50">
        <w:t>201</w:t>
      </w:r>
      <w:r w:rsidR="00CD6864">
        <w:t>1</w:t>
      </w:r>
      <w:r w:rsidR="00D27B50">
        <w:t xml:space="preserve"> </w:t>
      </w:r>
      <w:r w:rsidR="009C59C4">
        <w:t>Final</w:t>
      </w:r>
      <w:r w:rsidRPr="00D15828">
        <w:t xml:space="preserve"> Rule</w:t>
      </w:r>
      <w:r w:rsidR="00CD6864">
        <w:t xml:space="preserve"> and subsequent amendments</w:t>
      </w:r>
      <w:r w:rsidRPr="00D15828">
        <w:t xml:space="preserve"> would duplicate information required by existing RCRA regulations.</w:t>
      </w:r>
    </w:p>
    <w:p w14:paraId="3FED9567" w14:textId="77777777" w:rsidR="00050C8A" w:rsidRPr="00D15828" w:rsidRDefault="00050C8A" w:rsidP="007E3287">
      <w:pPr>
        <w:ind w:firstLine="720"/>
      </w:pPr>
    </w:p>
    <w:p w14:paraId="188959A0" w14:textId="77777777" w:rsidR="007E3287" w:rsidRPr="00D15828" w:rsidRDefault="007E3287" w:rsidP="00E67992">
      <w:pPr>
        <w:ind w:firstLine="720"/>
        <w:rPr>
          <w:b/>
        </w:rPr>
      </w:pPr>
      <w:r w:rsidRPr="00D15828">
        <w:rPr>
          <w:b/>
        </w:rPr>
        <w:t>3(b)</w:t>
      </w:r>
      <w:r w:rsidRPr="00D15828">
        <w:rPr>
          <w:b/>
        </w:rPr>
        <w:tab/>
        <w:t>Public Notice</w:t>
      </w:r>
    </w:p>
    <w:p w14:paraId="6840145B" w14:textId="77777777" w:rsidR="007E3287" w:rsidRPr="00D15828" w:rsidRDefault="007E3287" w:rsidP="007E3287">
      <w:pPr>
        <w:ind w:firstLine="720"/>
        <w:rPr>
          <w:b/>
        </w:rPr>
      </w:pPr>
    </w:p>
    <w:p w14:paraId="7C1851DF" w14:textId="267127B9" w:rsidR="00A52E61" w:rsidRPr="00E67992" w:rsidRDefault="00A52E61" w:rsidP="007E3287">
      <w:pPr>
        <w:ind w:firstLine="720"/>
        <w:jc w:val="both"/>
        <w:rPr>
          <w:i/>
        </w:rPr>
      </w:pPr>
      <w:r w:rsidRPr="00A52E61">
        <w:t xml:space="preserve">An announcement of a public comment period for the renewal of this ICR was published in the </w:t>
      </w:r>
      <w:r w:rsidRPr="00E67992">
        <w:rPr>
          <w:i/>
        </w:rPr>
        <w:t>Federal Register</w:t>
      </w:r>
      <w:r w:rsidRPr="00A52E61">
        <w:t xml:space="preserve"> </w:t>
      </w:r>
      <w:r w:rsidRPr="00865A15">
        <w:t>(</w:t>
      </w:r>
      <w:r w:rsidR="00097C6F" w:rsidRPr="00865A15">
        <w:t>83</w:t>
      </w:r>
      <w:r w:rsidR="00E67992" w:rsidRPr="00865A15">
        <w:t xml:space="preserve"> </w:t>
      </w:r>
      <w:r w:rsidRPr="00865A15">
        <w:t xml:space="preserve">FR </w:t>
      </w:r>
      <w:r w:rsidR="00097C6F" w:rsidRPr="00865A15">
        <w:t>54345</w:t>
      </w:r>
      <w:r w:rsidRPr="00865A15">
        <w:t xml:space="preserve">) on </w:t>
      </w:r>
      <w:r w:rsidR="00097C6F" w:rsidRPr="00865A15">
        <w:t>October 29</w:t>
      </w:r>
      <w:r w:rsidRPr="00865A15">
        <w:t xml:space="preserve">, </w:t>
      </w:r>
      <w:r w:rsidR="00E67992" w:rsidRPr="00865A15">
        <w:t>2018</w:t>
      </w:r>
      <w:r w:rsidRPr="00865A15">
        <w:t>.</w:t>
      </w:r>
      <w:r w:rsidRPr="00A52E61">
        <w:t xml:space="preserve"> No comments were</w:t>
      </w:r>
      <w:r w:rsidR="00097C6F">
        <w:t xml:space="preserve"> received</w:t>
      </w:r>
      <w:r w:rsidRPr="00E67992">
        <w:rPr>
          <w:i/>
        </w:rPr>
        <w:t>.</w:t>
      </w:r>
    </w:p>
    <w:p w14:paraId="4C09D8D0" w14:textId="77777777" w:rsidR="007E3287" w:rsidRPr="00E67992" w:rsidRDefault="007E3287" w:rsidP="007E3287">
      <w:pPr>
        <w:ind w:firstLine="720"/>
        <w:rPr>
          <w:i/>
        </w:rPr>
      </w:pPr>
    </w:p>
    <w:p w14:paraId="30CF86B2" w14:textId="77777777" w:rsidR="007E3287" w:rsidRPr="00D15828" w:rsidRDefault="007E3287" w:rsidP="007E3287">
      <w:pPr>
        <w:ind w:firstLine="720"/>
      </w:pPr>
      <w:r w:rsidRPr="00D15828">
        <w:rPr>
          <w:b/>
          <w:bCs/>
        </w:rPr>
        <w:t>3(c)</w:t>
      </w:r>
      <w:r w:rsidRPr="00D15828">
        <w:rPr>
          <w:b/>
          <w:bCs/>
        </w:rPr>
        <w:tab/>
        <w:t>Consultations</w:t>
      </w:r>
      <w:r w:rsidR="00327501" w:rsidRPr="00D15828">
        <w:rPr>
          <w:b/>
          <w:bCs/>
        </w:rPr>
        <w:fldChar w:fldCharType="begin"/>
      </w:r>
      <w:r w:rsidRPr="00D15828">
        <w:rPr>
          <w:b/>
          <w:bCs/>
        </w:rPr>
        <w:instrText>tc \l2 "3(c)</w:instrText>
      </w:r>
      <w:r w:rsidRPr="00D15828">
        <w:rPr>
          <w:b/>
          <w:bCs/>
        </w:rPr>
        <w:tab/>
        <w:instrText>Consultations</w:instrText>
      </w:r>
      <w:r w:rsidR="00327501" w:rsidRPr="00D15828">
        <w:rPr>
          <w:b/>
          <w:bCs/>
        </w:rPr>
        <w:fldChar w:fldCharType="end"/>
      </w:r>
    </w:p>
    <w:p w14:paraId="246F1A0E" w14:textId="77777777" w:rsidR="007E3287" w:rsidRPr="00D15828" w:rsidRDefault="007E3287" w:rsidP="007E3287">
      <w:pPr>
        <w:ind w:firstLine="720"/>
      </w:pPr>
    </w:p>
    <w:p w14:paraId="4AF7A4D4" w14:textId="1CF933AD" w:rsidR="00A4074C" w:rsidRPr="00CE43AA" w:rsidRDefault="00A4074C" w:rsidP="000D12E3">
      <w:pPr>
        <w:ind w:firstLine="720"/>
        <w:jc w:val="both"/>
      </w:pPr>
      <w:r w:rsidRPr="00CE43AA">
        <w:t>The Agency has consulted i</w:t>
      </w:r>
      <w:r w:rsidRPr="00CE43AA">
        <w:rPr>
          <w:bCs/>
        </w:rPr>
        <w:t>ndustry experts and internal data sources to estimate the number of affected facilities and industry growth over the next three years.</w:t>
      </w:r>
      <w:r w:rsidRPr="00CE43AA">
        <w:rPr>
          <w:b/>
          <w:bCs/>
        </w:rPr>
        <w:t xml:space="preserve"> </w:t>
      </w:r>
      <w:r w:rsidRPr="00CE43AA">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p>
    <w:p w14:paraId="2A935D0A" w14:textId="77777777" w:rsidR="00790E5B" w:rsidRPr="00CE43AA" w:rsidRDefault="00790E5B" w:rsidP="00A4074C">
      <w:pPr>
        <w:ind w:firstLine="720"/>
      </w:pPr>
    </w:p>
    <w:p w14:paraId="46B3B52B" w14:textId="09A0A770" w:rsidR="006F4445" w:rsidRPr="00CE43AA" w:rsidRDefault="00790E5B" w:rsidP="000D12E3">
      <w:pPr>
        <w:ind w:firstLine="720"/>
        <w:jc w:val="both"/>
      </w:pPr>
      <w:r w:rsidRPr="00CE43AA">
        <w:t xml:space="preserve">In developing this ICR, </w:t>
      </w:r>
      <w:r w:rsidR="006F4445" w:rsidRPr="00CE43AA">
        <w:t xml:space="preserve">EPA consulted and collected information from </w:t>
      </w:r>
      <w:r w:rsidRPr="00CE43AA">
        <w:t>the following trade associations</w:t>
      </w:r>
      <w:r w:rsidR="006F4445" w:rsidRPr="00CE43AA">
        <w:t>:</w:t>
      </w:r>
    </w:p>
    <w:p w14:paraId="773A136D" w14:textId="77777777" w:rsidR="006F4445" w:rsidRPr="00CE43AA" w:rsidRDefault="006F4445" w:rsidP="006F4445">
      <w:pPr>
        <w:ind w:firstLine="720"/>
      </w:pPr>
    </w:p>
    <w:p w14:paraId="2FC3D9C2" w14:textId="0A0B5128" w:rsidR="00790E5B" w:rsidRPr="00CE43AA" w:rsidRDefault="006F4445" w:rsidP="00790E5B">
      <w:pPr>
        <w:numPr>
          <w:ilvl w:val="0"/>
          <w:numId w:val="23"/>
        </w:numPr>
        <w:shd w:val="clear" w:color="auto" w:fill="FFFFFF"/>
        <w:spacing w:line="370" w:lineRule="atLeast"/>
      </w:pPr>
      <w:r w:rsidRPr="00CE43AA">
        <w:t>Association of American Railroads (202-639-2100)</w:t>
      </w:r>
    </w:p>
    <w:p w14:paraId="6F3514F7" w14:textId="19663C8E" w:rsidR="005E4B34" w:rsidRPr="00CE43AA" w:rsidRDefault="005E4B34" w:rsidP="00790E5B">
      <w:pPr>
        <w:numPr>
          <w:ilvl w:val="0"/>
          <w:numId w:val="23"/>
        </w:numPr>
        <w:shd w:val="clear" w:color="auto" w:fill="FFFFFF"/>
        <w:spacing w:line="370" w:lineRule="atLeast"/>
      </w:pPr>
      <w:r w:rsidRPr="00CE43AA">
        <w:t>Railway Tie Association (</w:t>
      </w:r>
      <w:r w:rsidR="00CE43AA" w:rsidRPr="00CE43AA">
        <w:t>770-460-5553)</w:t>
      </w:r>
    </w:p>
    <w:p w14:paraId="0EF620AC" w14:textId="0343E6BD" w:rsidR="00790E5B" w:rsidRPr="00CE43AA" w:rsidRDefault="006F4445" w:rsidP="00790E5B">
      <w:pPr>
        <w:numPr>
          <w:ilvl w:val="0"/>
          <w:numId w:val="23"/>
        </w:numPr>
        <w:shd w:val="clear" w:color="auto" w:fill="FFFFFF"/>
        <w:spacing w:line="370" w:lineRule="atLeast"/>
      </w:pPr>
      <w:r w:rsidRPr="00CE43AA">
        <w:t>Treated Wood Council (202-463-2045)</w:t>
      </w:r>
      <w:r w:rsidR="00790E5B" w:rsidRPr="00CE43AA">
        <w:rPr>
          <w:bCs/>
        </w:rPr>
        <w:t xml:space="preserve"> </w:t>
      </w:r>
    </w:p>
    <w:p w14:paraId="5EF79F00" w14:textId="227B4DFF" w:rsidR="005E4B34" w:rsidRPr="00CE43AA" w:rsidRDefault="005E4B34" w:rsidP="00790E5B">
      <w:pPr>
        <w:numPr>
          <w:ilvl w:val="0"/>
          <w:numId w:val="23"/>
        </w:numPr>
        <w:shd w:val="clear" w:color="auto" w:fill="FFFFFF"/>
        <w:spacing w:line="370" w:lineRule="atLeast"/>
      </w:pPr>
      <w:r w:rsidRPr="00CE43AA">
        <w:t>Biomass Power Association</w:t>
      </w:r>
      <w:r w:rsidR="00CE43AA" w:rsidRPr="00CE43AA">
        <w:t xml:space="preserve"> (207-228-7376)</w:t>
      </w:r>
    </w:p>
    <w:p w14:paraId="037F3E5A" w14:textId="77777777" w:rsidR="00790E5B" w:rsidRPr="00CE43AA" w:rsidRDefault="00790E5B" w:rsidP="00790E5B">
      <w:pPr>
        <w:ind w:firstLine="720"/>
        <w:rPr>
          <w:bCs/>
        </w:rPr>
      </w:pPr>
    </w:p>
    <w:p w14:paraId="689E8D05" w14:textId="00989E0C" w:rsidR="006F4445" w:rsidRPr="00CE43AA" w:rsidRDefault="00790E5B" w:rsidP="000D12E3">
      <w:pPr>
        <w:ind w:firstLine="720"/>
        <w:jc w:val="both"/>
      </w:pPr>
      <w:r w:rsidRPr="00CE43AA">
        <w:rPr>
          <w:bCs/>
        </w:rPr>
        <w:t xml:space="preserve">It is our policy to respond after a thorough review of comments received since the last ICR renewal as well as those submitted in response to the first </w:t>
      </w:r>
      <w:r w:rsidRPr="000D12E3">
        <w:rPr>
          <w:bCs/>
          <w:i/>
        </w:rPr>
        <w:t>Federal Register</w:t>
      </w:r>
      <w:r w:rsidRPr="00CE43AA">
        <w:rPr>
          <w:bCs/>
        </w:rPr>
        <w:t xml:space="preserve"> notice. </w:t>
      </w:r>
      <w:r w:rsidRPr="00CE43AA">
        <w:t xml:space="preserve">In this case, no comments were received.  </w:t>
      </w:r>
    </w:p>
    <w:p w14:paraId="2D0EFFC2" w14:textId="77777777" w:rsidR="007E3287" w:rsidRPr="00D15828" w:rsidRDefault="007E3287" w:rsidP="007E3287">
      <w:pPr>
        <w:ind w:firstLine="720"/>
      </w:pPr>
    </w:p>
    <w:p w14:paraId="3376728B" w14:textId="77777777" w:rsidR="007E3287" w:rsidRPr="00D15828" w:rsidRDefault="007E3287" w:rsidP="007E3287">
      <w:pPr>
        <w:ind w:firstLine="720"/>
      </w:pPr>
      <w:r w:rsidRPr="00D15828">
        <w:rPr>
          <w:b/>
          <w:bCs/>
        </w:rPr>
        <w:t xml:space="preserve"> 3(d)</w:t>
      </w:r>
      <w:r w:rsidRPr="00D15828">
        <w:rPr>
          <w:b/>
          <w:bCs/>
        </w:rPr>
        <w:tab/>
        <w:t>Effects of Less Frequent Collection</w:t>
      </w:r>
      <w:r w:rsidR="00327501" w:rsidRPr="00D15828">
        <w:rPr>
          <w:b/>
          <w:bCs/>
        </w:rPr>
        <w:fldChar w:fldCharType="begin"/>
      </w:r>
      <w:r w:rsidRPr="00D15828">
        <w:rPr>
          <w:b/>
          <w:bCs/>
        </w:rPr>
        <w:instrText>tc \l2 "3(d)</w:instrText>
      </w:r>
      <w:r w:rsidRPr="00D15828">
        <w:rPr>
          <w:b/>
          <w:bCs/>
        </w:rPr>
        <w:tab/>
        <w:instrText>Effects of Less Frequent Collection</w:instrText>
      </w:r>
      <w:r w:rsidR="00327501" w:rsidRPr="00D15828">
        <w:rPr>
          <w:b/>
          <w:bCs/>
        </w:rPr>
        <w:fldChar w:fldCharType="end"/>
      </w:r>
    </w:p>
    <w:p w14:paraId="621519C2" w14:textId="77777777" w:rsidR="007E3287" w:rsidRPr="00D15828" w:rsidRDefault="007E3287" w:rsidP="007E3287">
      <w:pPr>
        <w:ind w:firstLine="720"/>
        <w:jc w:val="both"/>
      </w:pPr>
    </w:p>
    <w:p w14:paraId="5E8A0A75" w14:textId="325FF52A" w:rsidR="007E3287" w:rsidRPr="00D15828" w:rsidRDefault="007E3287" w:rsidP="007E3287">
      <w:pPr>
        <w:ind w:firstLine="720"/>
        <w:jc w:val="both"/>
      </w:pPr>
      <w:r w:rsidRPr="00D15828">
        <w:t xml:space="preserve">EPA has carefully considered the burden imposed upon the regulated community by the </w:t>
      </w:r>
      <w:r w:rsidR="00CB58D9">
        <w:t>201</w:t>
      </w:r>
      <w:r w:rsidR="00CD6864">
        <w:t>1</w:t>
      </w:r>
      <w:r w:rsidR="00CB58D9">
        <w:t xml:space="preserve"> </w:t>
      </w:r>
      <w:r w:rsidR="00CD643F">
        <w:t>Final</w:t>
      </w:r>
      <w:r w:rsidRPr="00D15828">
        <w:t xml:space="preserve"> Rule</w:t>
      </w:r>
      <w:r w:rsidR="00CB58D9">
        <w:t xml:space="preserve"> and subsequent amendments</w:t>
      </w:r>
      <w:r w:rsidRPr="00D15828">
        <w:t xml:space="preserve">. EPA is confident that those activities required of respondents are necessary, and to the extent possible, the Agency has attempted to minimize the burden imposed. EPA believes strongly that, if the minimum information collection requirements  are not met, neither industry nor EPA will be able to </w:t>
      </w:r>
      <w:r w:rsidR="00242CF0">
        <w:t>determine</w:t>
      </w:r>
      <w:r w:rsidR="00D135D0">
        <w:t xml:space="preserve"> </w:t>
      </w:r>
      <w:r w:rsidR="00FF073D">
        <w:t xml:space="preserve">waste/non-waste status of these materials </w:t>
      </w:r>
      <w:r w:rsidR="00CD6864">
        <w:t>nor</w:t>
      </w:r>
      <w:r w:rsidR="00FF073D">
        <w:t xml:space="preserve"> appropriate emission standards when combusted.</w:t>
      </w:r>
    </w:p>
    <w:p w14:paraId="70C00251" w14:textId="77777777" w:rsidR="007E3287" w:rsidRPr="00D15828" w:rsidRDefault="007E3287" w:rsidP="007E3287">
      <w:pPr>
        <w:ind w:firstLine="720"/>
      </w:pPr>
    </w:p>
    <w:p w14:paraId="1125D923" w14:textId="77777777" w:rsidR="007E3287" w:rsidRPr="00D15828" w:rsidRDefault="007E3287" w:rsidP="007E3287">
      <w:pPr>
        <w:ind w:firstLine="720"/>
      </w:pPr>
      <w:r w:rsidRPr="00D15828">
        <w:rPr>
          <w:b/>
          <w:bCs/>
        </w:rPr>
        <w:t>3(e)</w:t>
      </w:r>
      <w:r w:rsidRPr="00D15828">
        <w:rPr>
          <w:b/>
          <w:bCs/>
        </w:rPr>
        <w:tab/>
        <w:t>General Guidelines</w:t>
      </w:r>
      <w:r w:rsidR="00327501" w:rsidRPr="00D15828">
        <w:rPr>
          <w:b/>
          <w:bCs/>
        </w:rPr>
        <w:fldChar w:fldCharType="begin"/>
      </w:r>
      <w:r w:rsidRPr="00D15828">
        <w:rPr>
          <w:b/>
          <w:bCs/>
        </w:rPr>
        <w:instrText>tc \l2 "3(e)</w:instrText>
      </w:r>
      <w:r w:rsidRPr="00D15828">
        <w:rPr>
          <w:b/>
          <w:bCs/>
        </w:rPr>
        <w:tab/>
        <w:instrText>General Guidelines</w:instrText>
      </w:r>
      <w:r w:rsidR="00327501" w:rsidRPr="00D15828">
        <w:rPr>
          <w:b/>
          <w:bCs/>
        </w:rPr>
        <w:fldChar w:fldCharType="end"/>
      </w:r>
    </w:p>
    <w:p w14:paraId="7407C2FE" w14:textId="77777777" w:rsidR="007E3287" w:rsidRPr="00D15828" w:rsidRDefault="007E3287" w:rsidP="007E3287">
      <w:pPr>
        <w:ind w:firstLine="720"/>
      </w:pPr>
    </w:p>
    <w:p w14:paraId="39952243" w14:textId="264D07D4" w:rsidR="00F4786B" w:rsidRDefault="00F4786B" w:rsidP="00F55DB1">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sidRPr="000D12E3">
        <w:t xml:space="preserve">The </w:t>
      </w:r>
      <w:r w:rsidR="00764A53">
        <w:t xml:space="preserve">information </w:t>
      </w:r>
      <w:r w:rsidR="00F55DB1">
        <w:t xml:space="preserve">collection </w:t>
      </w:r>
      <w:r w:rsidRPr="000D12E3">
        <w:t>do</w:t>
      </w:r>
      <w:r w:rsidR="00F55DB1">
        <w:t>es</w:t>
      </w:r>
      <w:r w:rsidRPr="000D12E3">
        <w:t xml:space="preserve"> not include any information collection activities that exceed the Paperwork Reduction Act, OMB’s General Guidelines and regulations under 5 CFR 1320.5(d)(2).</w:t>
      </w:r>
    </w:p>
    <w:p w14:paraId="6F93963D"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Information is not collected more often than quarterly.</w:t>
      </w:r>
    </w:p>
    <w:p w14:paraId="353F4591"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Responses are not required in less than 30 days.</w:t>
      </w:r>
    </w:p>
    <w:p w14:paraId="161BC396"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Respondents are not required to submit more than one original and two copies of any document.</w:t>
      </w:r>
    </w:p>
    <w:p w14:paraId="0B8F200C"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The collection does not provide for remuneration of respondents.</w:t>
      </w:r>
    </w:p>
    <w:p w14:paraId="0CCD2D40" w14:textId="77777777" w:rsidR="008278DE" w:rsidRPr="000D12E3" w:rsidRDefault="008278DE" w:rsidP="008278DE">
      <w:pPr>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2"/>
        </w:rPr>
      </w:pPr>
    </w:p>
    <w:p w14:paraId="364DAF44"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The collection does not require records to be kept for more than three years.</w:t>
      </w:r>
    </w:p>
    <w:p w14:paraId="6ACC1F13"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The collection is not in conjunction with a statistical survey.</w:t>
      </w:r>
    </w:p>
    <w:p w14:paraId="73985E86"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Provisions for small businesses and other small entities are appropriate.</w:t>
      </w:r>
    </w:p>
    <w:p w14:paraId="3D199121" w14:textId="77777777" w:rsidR="008278DE" w:rsidRPr="000D12E3" w:rsidRDefault="008278DE" w:rsidP="008278DE">
      <w:pPr>
        <w:pStyle w:val="Level1"/>
        <w:widowControl/>
        <w:numPr>
          <w:ilvl w:val="0"/>
          <w:numId w:val="26"/>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0D12E3">
        <w:rPr>
          <w:rFonts w:ascii="Times New Roman" w:hAnsi="Times New Roman"/>
          <w:szCs w:val="22"/>
        </w:rPr>
        <w:t>Confidentiality is protected.</w:t>
      </w:r>
    </w:p>
    <w:p w14:paraId="25D3BA89" w14:textId="77777777" w:rsidR="008278DE" w:rsidRPr="000D12E3" w:rsidRDefault="008278DE" w:rsidP="000D12E3">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8"/>
        </w:rPr>
      </w:pPr>
    </w:p>
    <w:p w14:paraId="2126F59F" w14:textId="399EF03F" w:rsidR="007E3287" w:rsidRPr="00D15828" w:rsidRDefault="007E3287" w:rsidP="007E3287">
      <w:pPr>
        <w:rPr>
          <w:b/>
          <w:bCs/>
        </w:rPr>
      </w:pPr>
    </w:p>
    <w:p w14:paraId="6EA99BF1" w14:textId="77777777" w:rsidR="007E3287" w:rsidRPr="00D15828" w:rsidRDefault="007E3287" w:rsidP="007E3287">
      <w:pPr>
        <w:ind w:firstLine="720"/>
      </w:pPr>
      <w:r w:rsidRPr="00D15828">
        <w:rPr>
          <w:b/>
          <w:bCs/>
        </w:rPr>
        <w:t>3(f)</w:t>
      </w:r>
      <w:r w:rsidRPr="00D15828">
        <w:rPr>
          <w:b/>
          <w:bCs/>
        </w:rPr>
        <w:tab/>
        <w:t>Confidentiality</w:t>
      </w:r>
      <w:r w:rsidR="00327501" w:rsidRPr="00D15828">
        <w:rPr>
          <w:b/>
          <w:bCs/>
        </w:rPr>
        <w:fldChar w:fldCharType="begin"/>
      </w:r>
      <w:r w:rsidRPr="00D15828">
        <w:rPr>
          <w:b/>
          <w:bCs/>
        </w:rPr>
        <w:instrText>tc \l2 "3(f)</w:instrText>
      </w:r>
      <w:r w:rsidRPr="00D15828">
        <w:rPr>
          <w:b/>
          <w:bCs/>
        </w:rPr>
        <w:tab/>
        <w:instrText>Confidentiality</w:instrText>
      </w:r>
      <w:r w:rsidR="00327501" w:rsidRPr="00D15828">
        <w:rPr>
          <w:b/>
          <w:bCs/>
        </w:rPr>
        <w:fldChar w:fldCharType="end"/>
      </w:r>
    </w:p>
    <w:p w14:paraId="7BD05BD1" w14:textId="77777777" w:rsidR="007E3287" w:rsidRPr="00D15828" w:rsidRDefault="007E3287" w:rsidP="007E3287">
      <w:pPr>
        <w:ind w:firstLine="720"/>
      </w:pPr>
    </w:p>
    <w:p w14:paraId="035F5717" w14:textId="45399F6B" w:rsidR="00050C8A" w:rsidRDefault="007E3287" w:rsidP="000D12E3">
      <w:pPr>
        <w:ind w:firstLine="720"/>
        <w:jc w:val="both"/>
        <w:rPr>
          <w:b/>
          <w:bCs/>
        </w:rPr>
      </w:pPr>
      <w:r w:rsidRPr="00D15828">
        <w:t xml:space="preserve">Section 3007(b) of RCRA and 40 </w:t>
      </w:r>
      <w:r w:rsidRPr="00D15828">
        <w:rPr>
          <w:i/>
          <w:iCs/>
        </w:rPr>
        <w:t>CFR</w:t>
      </w:r>
      <w:r w:rsidRPr="00D15828">
        <w:t xml:space="preserve"> Part 2, Subpart B, defines EPA’s general policy on public disclosure of information </w:t>
      </w:r>
      <w:r w:rsidR="00180335">
        <w:t>and</w:t>
      </w:r>
      <w:r w:rsidR="00F27B98">
        <w:t xml:space="preserve"> claims </w:t>
      </w:r>
      <w:r w:rsidR="00180335">
        <w:t xml:space="preserve">of </w:t>
      </w:r>
      <w:r w:rsidRPr="00D15828">
        <w:t xml:space="preserve"> confidentiality.  If such a claim is asserted, EPA must and will treat the information in accordance with the regulations cited above. EPA also will assure that this information collection complies with the Privacy Act of 1974 and OMB Circular 108.</w:t>
      </w:r>
    </w:p>
    <w:p w14:paraId="7B9CD210" w14:textId="77777777" w:rsidR="00050C8A" w:rsidRDefault="00050C8A" w:rsidP="007E3287">
      <w:pPr>
        <w:ind w:firstLine="720"/>
        <w:rPr>
          <w:b/>
          <w:bCs/>
        </w:rPr>
      </w:pPr>
    </w:p>
    <w:p w14:paraId="4A339F4E" w14:textId="77777777" w:rsidR="007E3287" w:rsidRPr="00D15828" w:rsidRDefault="007E3287" w:rsidP="007E3287">
      <w:pPr>
        <w:ind w:firstLine="720"/>
      </w:pPr>
      <w:r w:rsidRPr="00D15828">
        <w:rPr>
          <w:b/>
          <w:bCs/>
        </w:rPr>
        <w:t>3(g)</w:t>
      </w:r>
      <w:r w:rsidRPr="00D15828">
        <w:rPr>
          <w:b/>
          <w:bCs/>
        </w:rPr>
        <w:tab/>
        <w:t>Sensitive Questions</w:t>
      </w:r>
      <w:r w:rsidR="00327501" w:rsidRPr="00D15828">
        <w:rPr>
          <w:b/>
          <w:bCs/>
        </w:rPr>
        <w:fldChar w:fldCharType="begin"/>
      </w:r>
      <w:r w:rsidRPr="00D15828">
        <w:rPr>
          <w:b/>
          <w:bCs/>
        </w:rPr>
        <w:instrText>tc \l2 "3(g)</w:instrText>
      </w:r>
      <w:r w:rsidRPr="00D15828">
        <w:rPr>
          <w:b/>
          <w:bCs/>
        </w:rPr>
        <w:tab/>
        <w:instrText>Sensitive Questions</w:instrText>
      </w:r>
      <w:r w:rsidR="00327501" w:rsidRPr="00D15828">
        <w:rPr>
          <w:b/>
          <w:bCs/>
        </w:rPr>
        <w:fldChar w:fldCharType="end"/>
      </w:r>
    </w:p>
    <w:p w14:paraId="397357F7" w14:textId="77777777" w:rsidR="007E3287" w:rsidRPr="00D15828" w:rsidRDefault="007E3287" w:rsidP="007E3287">
      <w:pPr>
        <w:ind w:firstLine="720"/>
      </w:pPr>
    </w:p>
    <w:p w14:paraId="19027666" w14:textId="4EA5A2B6" w:rsidR="007E3287" w:rsidRDefault="007E3287" w:rsidP="007E3287">
      <w:pPr>
        <w:ind w:firstLine="720"/>
        <w:jc w:val="both"/>
      </w:pPr>
      <w:r w:rsidRPr="00D15828">
        <w:t xml:space="preserve">No questions of a sensitive nature are included in the information collection requirements associated with the </w:t>
      </w:r>
      <w:r w:rsidR="00CB58D9">
        <w:t>201</w:t>
      </w:r>
      <w:r w:rsidR="00F164D2">
        <w:t>1</w:t>
      </w:r>
      <w:r w:rsidR="00CB58D9">
        <w:t xml:space="preserve"> </w:t>
      </w:r>
      <w:r w:rsidR="00CD643F">
        <w:t>Final</w:t>
      </w:r>
      <w:r w:rsidRPr="00D15828">
        <w:t xml:space="preserve"> Rule</w:t>
      </w:r>
      <w:r w:rsidR="00F164D2">
        <w:t xml:space="preserve"> and subsequent amendments</w:t>
      </w:r>
      <w:r w:rsidRPr="00D15828">
        <w:t>.</w:t>
      </w:r>
    </w:p>
    <w:p w14:paraId="0E84EE77" w14:textId="77777777" w:rsidR="00A52E61" w:rsidRDefault="00A52E61" w:rsidP="007E3287">
      <w:pPr>
        <w:ind w:firstLine="720"/>
        <w:jc w:val="both"/>
      </w:pPr>
    </w:p>
    <w:p w14:paraId="1CBD02AE" w14:textId="77777777" w:rsidR="00A52E61" w:rsidRPr="00D15828" w:rsidRDefault="00A52E61" w:rsidP="007E3287">
      <w:pPr>
        <w:ind w:firstLine="720"/>
        <w:jc w:val="both"/>
      </w:pPr>
    </w:p>
    <w:p w14:paraId="1A1C9093" w14:textId="77777777" w:rsidR="007E3287" w:rsidRPr="00D15828" w:rsidRDefault="007E3287" w:rsidP="007E3287">
      <w:pPr>
        <w:keepNext/>
        <w:keepLines/>
        <w:tabs>
          <w:tab w:val="left" w:pos="-1440"/>
        </w:tabs>
        <w:ind w:left="720" w:hanging="720"/>
        <w:rPr>
          <w:b/>
          <w:bCs/>
        </w:rPr>
      </w:pPr>
      <w:r w:rsidRPr="00D15828">
        <w:rPr>
          <w:b/>
          <w:bCs/>
        </w:rPr>
        <w:t>4.</w:t>
      </w:r>
      <w:r w:rsidRPr="00D15828">
        <w:rPr>
          <w:b/>
          <w:bCs/>
        </w:rPr>
        <w:tab/>
        <w:t>THE RESPONDENTS AND THE INFORMATION REQUESTED</w:t>
      </w:r>
      <w:r w:rsidR="00327501" w:rsidRPr="00D15828">
        <w:rPr>
          <w:b/>
          <w:bCs/>
        </w:rPr>
        <w:fldChar w:fldCharType="begin"/>
      </w:r>
      <w:r w:rsidRPr="00D15828">
        <w:rPr>
          <w:b/>
          <w:bCs/>
        </w:rPr>
        <w:instrText>tc \l1 "4.</w:instrText>
      </w:r>
      <w:r w:rsidRPr="00D15828">
        <w:rPr>
          <w:b/>
          <w:bCs/>
        </w:rPr>
        <w:tab/>
        <w:instrText>THE RESPONDENTS AND THE INFORMATION REQUESTED</w:instrText>
      </w:r>
      <w:r w:rsidR="00327501" w:rsidRPr="00D15828">
        <w:rPr>
          <w:b/>
          <w:bCs/>
        </w:rPr>
        <w:fldChar w:fldCharType="end"/>
      </w:r>
    </w:p>
    <w:p w14:paraId="54E31631" w14:textId="77777777" w:rsidR="007E3287" w:rsidRPr="00D15828" w:rsidRDefault="007E3287" w:rsidP="007E3287">
      <w:pPr>
        <w:keepNext/>
        <w:keepLines/>
        <w:rPr>
          <w:b/>
          <w:bCs/>
        </w:rPr>
      </w:pPr>
    </w:p>
    <w:p w14:paraId="26D737E2" w14:textId="77777777" w:rsidR="007E3287" w:rsidRPr="00D15828" w:rsidRDefault="007E3287" w:rsidP="007E3287">
      <w:pPr>
        <w:keepNext/>
        <w:keepLines/>
        <w:tabs>
          <w:tab w:val="left" w:pos="-1440"/>
        </w:tabs>
        <w:ind w:left="1440" w:hanging="720"/>
      </w:pPr>
      <w:r w:rsidRPr="00D15828">
        <w:rPr>
          <w:b/>
          <w:bCs/>
        </w:rPr>
        <w:t>4(a)</w:t>
      </w:r>
      <w:r w:rsidRPr="00D15828">
        <w:rPr>
          <w:b/>
          <w:bCs/>
        </w:rPr>
        <w:tab/>
        <w:t>Respondents and NAICS Codes</w:t>
      </w:r>
      <w:r w:rsidR="00327501" w:rsidRPr="00D15828">
        <w:rPr>
          <w:b/>
          <w:bCs/>
        </w:rPr>
        <w:fldChar w:fldCharType="begin"/>
      </w:r>
      <w:r w:rsidRPr="00D15828">
        <w:rPr>
          <w:b/>
          <w:bCs/>
        </w:rPr>
        <w:instrText>tc \l2 "4(a)</w:instrText>
      </w:r>
      <w:r w:rsidRPr="00D15828">
        <w:rPr>
          <w:b/>
          <w:bCs/>
        </w:rPr>
        <w:tab/>
        <w:instrText>Respondents and SIC/NAICS Codes</w:instrText>
      </w:r>
      <w:r w:rsidR="00327501" w:rsidRPr="00D15828">
        <w:rPr>
          <w:b/>
          <w:bCs/>
        </w:rPr>
        <w:fldChar w:fldCharType="end"/>
      </w:r>
    </w:p>
    <w:p w14:paraId="2987AA07" w14:textId="77777777" w:rsidR="007E3287" w:rsidRPr="00D15828" w:rsidRDefault="007E3287" w:rsidP="007E3287">
      <w:pPr>
        <w:keepNext/>
        <w:keepLines/>
      </w:pPr>
    </w:p>
    <w:p w14:paraId="5492889D" w14:textId="77777777" w:rsidR="007E3287" w:rsidRDefault="007E3287" w:rsidP="007E3287">
      <w:pPr>
        <w:keepNext/>
        <w:keepLines/>
        <w:ind w:firstLine="720"/>
        <w:jc w:val="both"/>
      </w:pPr>
      <w:r w:rsidRPr="00D15828">
        <w:t>The following is a list of North American Industrial Classification System (NAICS) codes associated with the facilities most likely to be affected by the information collection requirements covered in this ICR.</w:t>
      </w:r>
    </w:p>
    <w:p w14:paraId="148FC01C" w14:textId="1C04B603" w:rsidR="00F043A5" w:rsidRDefault="00F043A5" w:rsidP="007E3287">
      <w:pPr>
        <w:keepNext/>
        <w:keepLines/>
        <w:ind w:firstLine="720"/>
        <w:jc w:val="both"/>
      </w:pPr>
    </w:p>
    <w:p w14:paraId="7BC75E56" w14:textId="2A7B13DC" w:rsidR="00424B75" w:rsidRDefault="00424B75" w:rsidP="00E97EDC">
      <w:pPr>
        <w:keepNext/>
        <w:keepLines/>
        <w:ind w:left="720" w:right="810"/>
        <w:jc w:val="both"/>
      </w:pPr>
      <w:r w:rsidRPr="00F20FBC">
        <w:rPr>
          <w:b/>
          <w:sz w:val="22"/>
          <w:szCs w:val="22"/>
        </w:rPr>
        <w:t>Generators and Potential Users</w:t>
      </w:r>
      <w:r w:rsidRPr="00F20FBC">
        <w:rPr>
          <w:b/>
          <w:sz w:val="22"/>
          <w:szCs w:val="22"/>
          <w:vertAlign w:val="superscript"/>
        </w:rPr>
        <w:t>a</w:t>
      </w:r>
      <w:r w:rsidRPr="00F20FBC">
        <w:rPr>
          <w:b/>
          <w:sz w:val="22"/>
          <w:szCs w:val="22"/>
        </w:rPr>
        <w:t xml:space="preserve"> of the New M</w:t>
      </w:r>
      <w:r w:rsidRPr="00F20FBC">
        <w:rPr>
          <w:b/>
          <w:bCs/>
          <w:sz w:val="22"/>
          <w:szCs w:val="22"/>
        </w:rPr>
        <w:t>aterials to be Added to the List of Categorical Non-Waste Fuels</w:t>
      </w: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5598"/>
      </w:tblGrid>
      <w:tr w:rsidR="00F043A5" w14:paraId="20AA8041" w14:textId="77777777" w:rsidTr="00756BE8">
        <w:trPr>
          <w:tblHeader/>
          <w:jc w:val="center"/>
        </w:trPr>
        <w:tc>
          <w:tcPr>
            <w:tcW w:w="2178" w:type="dxa"/>
            <w:shd w:val="clear" w:color="auto" w:fill="auto"/>
          </w:tcPr>
          <w:p w14:paraId="69C9BA2D" w14:textId="77777777" w:rsidR="00F043A5" w:rsidRPr="00756BE8" w:rsidRDefault="00F043A5" w:rsidP="00756BE8">
            <w:pPr>
              <w:jc w:val="center"/>
              <w:rPr>
                <w:b/>
                <w:sz w:val="20"/>
                <w:szCs w:val="20"/>
              </w:rPr>
            </w:pPr>
            <w:r w:rsidRPr="00756BE8">
              <w:rPr>
                <w:b/>
                <w:sz w:val="20"/>
                <w:szCs w:val="20"/>
              </w:rPr>
              <w:t>NAICS</w:t>
            </w:r>
          </w:p>
        </w:tc>
        <w:tc>
          <w:tcPr>
            <w:tcW w:w="5598" w:type="dxa"/>
            <w:shd w:val="clear" w:color="auto" w:fill="auto"/>
            <w:vAlign w:val="center"/>
          </w:tcPr>
          <w:p w14:paraId="7AF83F8A" w14:textId="17E1A50D" w:rsidR="00F043A5" w:rsidRPr="00756BE8" w:rsidRDefault="00F043A5" w:rsidP="00756BE8">
            <w:pPr>
              <w:jc w:val="center"/>
              <w:rPr>
                <w:b/>
                <w:sz w:val="20"/>
                <w:szCs w:val="20"/>
              </w:rPr>
            </w:pPr>
            <w:r w:rsidRPr="00756BE8">
              <w:rPr>
                <w:b/>
                <w:sz w:val="20"/>
                <w:szCs w:val="20"/>
              </w:rPr>
              <w:t>NAICS Category</w:t>
            </w:r>
            <w:r w:rsidR="00424B75" w:rsidRPr="00E97EDC">
              <w:rPr>
                <w:b/>
                <w:sz w:val="20"/>
                <w:szCs w:val="20"/>
                <w:vertAlign w:val="superscript"/>
              </w:rPr>
              <w:t>b</w:t>
            </w:r>
          </w:p>
        </w:tc>
      </w:tr>
      <w:tr w:rsidR="00F043A5" w14:paraId="0B3E3DF1" w14:textId="77777777" w:rsidTr="00756BE8">
        <w:trPr>
          <w:jc w:val="center"/>
        </w:trPr>
        <w:tc>
          <w:tcPr>
            <w:tcW w:w="2178" w:type="dxa"/>
            <w:shd w:val="clear" w:color="auto" w:fill="auto"/>
          </w:tcPr>
          <w:p w14:paraId="4806FF7A" w14:textId="77777777" w:rsidR="00F043A5" w:rsidRPr="00756BE8" w:rsidRDefault="00F043A5" w:rsidP="00756BE8">
            <w:pPr>
              <w:jc w:val="center"/>
              <w:rPr>
                <w:sz w:val="20"/>
                <w:szCs w:val="20"/>
              </w:rPr>
            </w:pPr>
            <w:r w:rsidRPr="00756BE8">
              <w:rPr>
                <w:sz w:val="20"/>
                <w:szCs w:val="20"/>
              </w:rPr>
              <w:t>111</w:t>
            </w:r>
          </w:p>
        </w:tc>
        <w:tc>
          <w:tcPr>
            <w:tcW w:w="5598" w:type="dxa"/>
            <w:shd w:val="clear" w:color="auto" w:fill="auto"/>
          </w:tcPr>
          <w:p w14:paraId="4F83B832" w14:textId="77777777" w:rsidR="00F043A5" w:rsidRPr="00756BE8" w:rsidRDefault="00F043A5" w:rsidP="005E4C60">
            <w:pPr>
              <w:rPr>
                <w:sz w:val="20"/>
                <w:szCs w:val="20"/>
              </w:rPr>
            </w:pPr>
            <w:r w:rsidRPr="00756BE8">
              <w:rPr>
                <w:sz w:val="20"/>
                <w:szCs w:val="20"/>
              </w:rPr>
              <w:t>Crop Production</w:t>
            </w:r>
          </w:p>
        </w:tc>
      </w:tr>
      <w:tr w:rsidR="00F043A5" w14:paraId="262A3969" w14:textId="77777777" w:rsidTr="00756BE8">
        <w:trPr>
          <w:jc w:val="center"/>
        </w:trPr>
        <w:tc>
          <w:tcPr>
            <w:tcW w:w="2178" w:type="dxa"/>
            <w:shd w:val="clear" w:color="auto" w:fill="auto"/>
          </w:tcPr>
          <w:p w14:paraId="6DDB0FFA" w14:textId="77777777" w:rsidR="00F043A5" w:rsidRPr="00756BE8" w:rsidRDefault="00F043A5" w:rsidP="00756BE8">
            <w:pPr>
              <w:jc w:val="center"/>
              <w:rPr>
                <w:sz w:val="20"/>
                <w:szCs w:val="20"/>
              </w:rPr>
            </w:pPr>
            <w:r w:rsidRPr="00756BE8">
              <w:rPr>
                <w:sz w:val="20"/>
                <w:szCs w:val="20"/>
              </w:rPr>
              <w:t>113</w:t>
            </w:r>
          </w:p>
        </w:tc>
        <w:tc>
          <w:tcPr>
            <w:tcW w:w="5598" w:type="dxa"/>
            <w:shd w:val="clear" w:color="auto" w:fill="auto"/>
          </w:tcPr>
          <w:p w14:paraId="0800EA53" w14:textId="77777777" w:rsidR="00F043A5" w:rsidRPr="00756BE8" w:rsidRDefault="00F043A5" w:rsidP="005E4C60">
            <w:pPr>
              <w:rPr>
                <w:sz w:val="20"/>
                <w:szCs w:val="20"/>
              </w:rPr>
            </w:pPr>
            <w:r w:rsidRPr="00756BE8">
              <w:rPr>
                <w:sz w:val="20"/>
                <w:szCs w:val="20"/>
              </w:rPr>
              <w:t>Forestry and Logging</w:t>
            </w:r>
          </w:p>
        </w:tc>
      </w:tr>
      <w:tr w:rsidR="00F043A5" w14:paraId="78CB7546" w14:textId="77777777" w:rsidTr="00756BE8">
        <w:trPr>
          <w:jc w:val="center"/>
        </w:trPr>
        <w:tc>
          <w:tcPr>
            <w:tcW w:w="2178" w:type="dxa"/>
            <w:shd w:val="clear" w:color="auto" w:fill="auto"/>
          </w:tcPr>
          <w:p w14:paraId="3CE94105" w14:textId="77777777" w:rsidR="00F043A5" w:rsidRPr="00756BE8" w:rsidRDefault="00F043A5" w:rsidP="00756BE8">
            <w:pPr>
              <w:jc w:val="center"/>
              <w:rPr>
                <w:sz w:val="20"/>
                <w:szCs w:val="20"/>
              </w:rPr>
            </w:pPr>
            <w:r w:rsidRPr="00756BE8">
              <w:rPr>
                <w:sz w:val="20"/>
                <w:szCs w:val="20"/>
              </w:rPr>
              <w:t>114</w:t>
            </w:r>
          </w:p>
        </w:tc>
        <w:tc>
          <w:tcPr>
            <w:tcW w:w="5598" w:type="dxa"/>
            <w:shd w:val="clear" w:color="auto" w:fill="auto"/>
          </w:tcPr>
          <w:p w14:paraId="5B70286B" w14:textId="77777777" w:rsidR="00F043A5" w:rsidRPr="00756BE8" w:rsidRDefault="00F043A5" w:rsidP="005E4C60">
            <w:pPr>
              <w:rPr>
                <w:sz w:val="20"/>
                <w:szCs w:val="20"/>
              </w:rPr>
            </w:pPr>
            <w:r w:rsidRPr="00756BE8">
              <w:rPr>
                <w:sz w:val="20"/>
                <w:szCs w:val="20"/>
              </w:rPr>
              <w:t>Fishing, Hunting, and Trapping</w:t>
            </w:r>
          </w:p>
        </w:tc>
      </w:tr>
      <w:tr w:rsidR="00F043A5" w14:paraId="6A918D9D" w14:textId="77777777" w:rsidTr="00756BE8">
        <w:trPr>
          <w:jc w:val="center"/>
        </w:trPr>
        <w:tc>
          <w:tcPr>
            <w:tcW w:w="2178" w:type="dxa"/>
            <w:shd w:val="clear" w:color="auto" w:fill="auto"/>
          </w:tcPr>
          <w:p w14:paraId="305EE78E" w14:textId="77777777" w:rsidR="00F043A5" w:rsidRPr="00756BE8" w:rsidRDefault="00F043A5" w:rsidP="00756BE8">
            <w:pPr>
              <w:jc w:val="center"/>
              <w:rPr>
                <w:sz w:val="20"/>
                <w:szCs w:val="20"/>
              </w:rPr>
            </w:pPr>
            <w:r w:rsidRPr="00756BE8">
              <w:rPr>
                <w:sz w:val="20"/>
                <w:szCs w:val="20"/>
              </w:rPr>
              <w:t>115</w:t>
            </w:r>
          </w:p>
        </w:tc>
        <w:tc>
          <w:tcPr>
            <w:tcW w:w="5598" w:type="dxa"/>
            <w:shd w:val="clear" w:color="auto" w:fill="auto"/>
          </w:tcPr>
          <w:p w14:paraId="43E6066E" w14:textId="77777777" w:rsidR="00F043A5" w:rsidRPr="00756BE8" w:rsidRDefault="00F043A5" w:rsidP="005E4C60">
            <w:pPr>
              <w:rPr>
                <w:sz w:val="20"/>
                <w:szCs w:val="20"/>
              </w:rPr>
            </w:pPr>
            <w:r w:rsidRPr="00756BE8">
              <w:rPr>
                <w:sz w:val="20"/>
                <w:szCs w:val="20"/>
              </w:rPr>
              <w:t>Support Activities for Agriculture and Forestry</w:t>
            </w:r>
          </w:p>
        </w:tc>
      </w:tr>
      <w:tr w:rsidR="00F043A5" w14:paraId="0801012C" w14:textId="77777777" w:rsidTr="00756BE8">
        <w:trPr>
          <w:jc w:val="center"/>
        </w:trPr>
        <w:tc>
          <w:tcPr>
            <w:tcW w:w="2178" w:type="dxa"/>
            <w:shd w:val="clear" w:color="auto" w:fill="auto"/>
          </w:tcPr>
          <w:p w14:paraId="6CF2B033" w14:textId="77777777" w:rsidR="00F043A5" w:rsidRPr="00756BE8" w:rsidRDefault="00F043A5" w:rsidP="00756BE8">
            <w:pPr>
              <w:jc w:val="center"/>
              <w:rPr>
                <w:sz w:val="20"/>
                <w:szCs w:val="20"/>
              </w:rPr>
            </w:pPr>
            <w:r w:rsidRPr="00756BE8">
              <w:rPr>
                <w:sz w:val="20"/>
                <w:szCs w:val="20"/>
              </w:rPr>
              <w:t>211</w:t>
            </w:r>
          </w:p>
        </w:tc>
        <w:tc>
          <w:tcPr>
            <w:tcW w:w="5598" w:type="dxa"/>
            <w:shd w:val="clear" w:color="auto" w:fill="auto"/>
          </w:tcPr>
          <w:p w14:paraId="355E9182" w14:textId="77777777" w:rsidR="00F043A5" w:rsidRPr="00756BE8" w:rsidRDefault="00F043A5" w:rsidP="005E4C60">
            <w:pPr>
              <w:rPr>
                <w:sz w:val="20"/>
                <w:szCs w:val="20"/>
              </w:rPr>
            </w:pPr>
            <w:r w:rsidRPr="00756BE8">
              <w:rPr>
                <w:sz w:val="20"/>
                <w:szCs w:val="20"/>
              </w:rPr>
              <w:t>Oil and Gas Extraction</w:t>
            </w:r>
          </w:p>
        </w:tc>
      </w:tr>
      <w:tr w:rsidR="00F043A5" w14:paraId="203ECB80" w14:textId="77777777" w:rsidTr="00756BE8">
        <w:trPr>
          <w:jc w:val="center"/>
        </w:trPr>
        <w:tc>
          <w:tcPr>
            <w:tcW w:w="2178" w:type="dxa"/>
            <w:shd w:val="clear" w:color="auto" w:fill="auto"/>
          </w:tcPr>
          <w:p w14:paraId="29969967" w14:textId="77777777" w:rsidR="00F043A5" w:rsidRPr="00756BE8" w:rsidRDefault="00F043A5" w:rsidP="00756BE8">
            <w:pPr>
              <w:jc w:val="center"/>
              <w:rPr>
                <w:sz w:val="20"/>
                <w:szCs w:val="20"/>
              </w:rPr>
            </w:pPr>
            <w:r w:rsidRPr="00756BE8">
              <w:rPr>
                <w:sz w:val="20"/>
                <w:szCs w:val="20"/>
              </w:rPr>
              <w:t>212</w:t>
            </w:r>
          </w:p>
        </w:tc>
        <w:tc>
          <w:tcPr>
            <w:tcW w:w="5598" w:type="dxa"/>
            <w:shd w:val="clear" w:color="auto" w:fill="auto"/>
          </w:tcPr>
          <w:p w14:paraId="1187C289" w14:textId="77777777" w:rsidR="00F043A5" w:rsidRPr="00756BE8" w:rsidRDefault="00F043A5" w:rsidP="005E4C60">
            <w:pPr>
              <w:rPr>
                <w:sz w:val="20"/>
                <w:szCs w:val="20"/>
              </w:rPr>
            </w:pPr>
            <w:r w:rsidRPr="00756BE8">
              <w:rPr>
                <w:sz w:val="20"/>
                <w:szCs w:val="20"/>
              </w:rPr>
              <w:t>Mining (Except Oil and Gas)</w:t>
            </w:r>
          </w:p>
        </w:tc>
      </w:tr>
      <w:tr w:rsidR="00F043A5" w14:paraId="1F760A0E" w14:textId="77777777" w:rsidTr="00756BE8">
        <w:trPr>
          <w:jc w:val="center"/>
        </w:trPr>
        <w:tc>
          <w:tcPr>
            <w:tcW w:w="2178" w:type="dxa"/>
            <w:shd w:val="clear" w:color="auto" w:fill="auto"/>
          </w:tcPr>
          <w:p w14:paraId="2411BD27" w14:textId="77777777" w:rsidR="00F043A5" w:rsidRPr="00756BE8" w:rsidRDefault="00F043A5" w:rsidP="00756BE8">
            <w:pPr>
              <w:jc w:val="center"/>
              <w:rPr>
                <w:sz w:val="20"/>
                <w:szCs w:val="20"/>
              </w:rPr>
            </w:pPr>
            <w:r w:rsidRPr="00756BE8">
              <w:rPr>
                <w:sz w:val="20"/>
                <w:szCs w:val="20"/>
              </w:rPr>
              <w:t>221</w:t>
            </w:r>
          </w:p>
        </w:tc>
        <w:tc>
          <w:tcPr>
            <w:tcW w:w="5598" w:type="dxa"/>
            <w:shd w:val="clear" w:color="auto" w:fill="auto"/>
          </w:tcPr>
          <w:p w14:paraId="579237DD" w14:textId="77777777" w:rsidR="00F043A5" w:rsidRPr="00756BE8" w:rsidRDefault="00F043A5" w:rsidP="005E4C60">
            <w:pPr>
              <w:rPr>
                <w:sz w:val="20"/>
                <w:szCs w:val="20"/>
              </w:rPr>
            </w:pPr>
            <w:r w:rsidRPr="00756BE8">
              <w:rPr>
                <w:sz w:val="20"/>
                <w:szCs w:val="20"/>
              </w:rPr>
              <w:t>Utilities</w:t>
            </w:r>
          </w:p>
        </w:tc>
      </w:tr>
      <w:tr w:rsidR="00D17E3B" w14:paraId="2EC7DC8E" w14:textId="77777777" w:rsidTr="00756BE8">
        <w:trPr>
          <w:jc w:val="center"/>
        </w:trPr>
        <w:tc>
          <w:tcPr>
            <w:tcW w:w="2178" w:type="dxa"/>
            <w:shd w:val="clear" w:color="auto" w:fill="auto"/>
          </w:tcPr>
          <w:p w14:paraId="3221113E" w14:textId="04C67368" w:rsidR="00D17E3B" w:rsidRPr="00756BE8" w:rsidRDefault="00D17E3B" w:rsidP="00756BE8">
            <w:pPr>
              <w:jc w:val="center"/>
              <w:rPr>
                <w:sz w:val="20"/>
                <w:szCs w:val="20"/>
              </w:rPr>
            </w:pPr>
            <w:r>
              <w:rPr>
                <w:sz w:val="20"/>
                <w:szCs w:val="20"/>
              </w:rPr>
              <w:t>236</w:t>
            </w:r>
          </w:p>
        </w:tc>
        <w:tc>
          <w:tcPr>
            <w:tcW w:w="5598" w:type="dxa"/>
            <w:shd w:val="clear" w:color="auto" w:fill="auto"/>
          </w:tcPr>
          <w:p w14:paraId="399F4932" w14:textId="28847732" w:rsidR="00D17E3B" w:rsidRPr="00756BE8" w:rsidRDefault="00D17E3B" w:rsidP="005E4C60">
            <w:pPr>
              <w:rPr>
                <w:sz w:val="20"/>
                <w:szCs w:val="20"/>
              </w:rPr>
            </w:pPr>
            <w:r>
              <w:rPr>
                <w:sz w:val="20"/>
                <w:szCs w:val="20"/>
              </w:rPr>
              <w:t>Construction of Buildings</w:t>
            </w:r>
          </w:p>
        </w:tc>
      </w:tr>
      <w:tr w:rsidR="00F043A5" w14:paraId="6E03D945" w14:textId="77777777" w:rsidTr="00756BE8">
        <w:trPr>
          <w:jc w:val="center"/>
        </w:trPr>
        <w:tc>
          <w:tcPr>
            <w:tcW w:w="2178" w:type="dxa"/>
            <w:shd w:val="clear" w:color="auto" w:fill="auto"/>
          </w:tcPr>
          <w:p w14:paraId="0E6C7CBA" w14:textId="77777777" w:rsidR="00F043A5" w:rsidRPr="00756BE8" w:rsidRDefault="00F043A5" w:rsidP="00756BE8">
            <w:pPr>
              <w:jc w:val="center"/>
              <w:rPr>
                <w:sz w:val="20"/>
                <w:szCs w:val="20"/>
              </w:rPr>
            </w:pPr>
            <w:r w:rsidRPr="00756BE8">
              <w:rPr>
                <w:sz w:val="20"/>
                <w:szCs w:val="20"/>
              </w:rPr>
              <w:t>237</w:t>
            </w:r>
          </w:p>
        </w:tc>
        <w:tc>
          <w:tcPr>
            <w:tcW w:w="5598" w:type="dxa"/>
            <w:shd w:val="clear" w:color="auto" w:fill="auto"/>
          </w:tcPr>
          <w:p w14:paraId="72F9A38A" w14:textId="77777777" w:rsidR="00F043A5" w:rsidRPr="00756BE8" w:rsidRDefault="00F043A5" w:rsidP="005E4C60">
            <w:pPr>
              <w:rPr>
                <w:sz w:val="20"/>
                <w:szCs w:val="20"/>
              </w:rPr>
            </w:pPr>
            <w:r w:rsidRPr="00756BE8">
              <w:rPr>
                <w:sz w:val="20"/>
                <w:szCs w:val="20"/>
              </w:rPr>
              <w:t>Heavy and Civil Engineering Construction</w:t>
            </w:r>
          </w:p>
        </w:tc>
      </w:tr>
      <w:tr w:rsidR="00D17E3B" w14:paraId="13476309" w14:textId="77777777" w:rsidTr="00756BE8">
        <w:trPr>
          <w:jc w:val="center"/>
        </w:trPr>
        <w:tc>
          <w:tcPr>
            <w:tcW w:w="2178" w:type="dxa"/>
            <w:shd w:val="clear" w:color="auto" w:fill="auto"/>
          </w:tcPr>
          <w:p w14:paraId="033619CF" w14:textId="2C6AF088" w:rsidR="00D17E3B" w:rsidRPr="00756BE8" w:rsidRDefault="00D17E3B" w:rsidP="00756BE8">
            <w:pPr>
              <w:jc w:val="center"/>
              <w:rPr>
                <w:sz w:val="20"/>
                <w:szCs w:val="20"/>
              </w:rPr>
            </w:pPr>
            <w:r>
              <w:rPr>
                <w:sz w:val="20"/>
                <w:szCs w:val="20"/>
              </w:rPr>
              <w:t>238</w:t>
            </w:r>
          </w:p>
        </w:tc>
        <w:tc>
          <w:tcPr>
            <w:tcW w:w="5598" w:type="dxa"/>
            <w:shd w:val="clear" w:color="auto" w:fill="auto"/>
          </w:tcPr>
          <w:p w14:paraId="4D88C701" w14:textId="4550CD85" w:rsidR="00D17E3B" w:rsidRPr="00756BE8" w:rsidRDefault="00D17E3B" w:rsidP="005E4C60">
            <w:pPr>
              <w:rPr>
                <w:sz w:val="20"/>
                <w:szCs w:val="20"/>
              </w:rPr>
            </w:pPr>
            <w:r>
              <w:rPr>
                <w:sz w:val="20"/>
                <w:szCs w:val="20"/>
              </w:rPr>
              <w:t>Site Preparation Contractors</w:t>
            </w:r>
          </w:p>
        </w:tc>
      </w:tr>
      <w:tr w:rsidR="00F043A5" w14:paraId="5EDF2949" w14:textId="77777777" w:rsidTr="00756BE8">
        <w:trPr>
          <w:jc w:val="center"/>
        </w:trPr>
        <w:tc>
          <w:tcPr>
            <w:tcW w:w="2178" w:type="dxa"/>
            <w:shd w:val="clear" w:color="auto" w:fill="auto"/>
          </w:tcPr>
          <w:p w14:paraId="24B31AE3" w14:textId="77777777" w:rsidR="00F043A5" w:rsidRPr="00756BE8" w:rsidRDefault="00F043A5" w:rsidP="00756BE8">
            <w:pPr>
              <w:jc w:val="center"/>
              <w:rPr>
                <w:sz w:val="20"/>
                <w:szCs w:val="20"/>
              </w:rPr>
            </w:pPr>
            <w:r w:rsidRPr="00756BE8">
              <w:rPr>
                <w:sz w:val="20"/>
                <w:szCs w:val="20"/>
              </w:rPr>
              <w:t>311</w:t>
            </w:r>
          </w:p>
        </w:tc>
        <w:tc>
          <w:tcPr>
            <w:tcW w:w="5598" w:type="dxa"/>
            <w:shd w:val="clear" w:color="auto" w:fill="auto"/>
          </w:tcPr>
          <w:p w14:paraId="061B42D2" w14:textId="77777777" w:rsidR="00F043A5" w:rsidRPr="00756BE8" w:rsidRDefault="00F043A5" w:rsidP="005E4C60">
            <w:pPr>
              <w:rPr>
                <w:sz w:val="20"/>
                <w:szCs w:val="20"/>
              </w:rPr>
            </w:pPr>
            <w:r w:rsidRPr="00756BE8">
              <w:rPr>
                <w:sz w:val="20"/>
                <w:szCs w:val="20"/>
              </w:rPr>
              <w:t>Food Manufacturing</w:t>
            </w:r>
          </w:p>
        </w:tc>
      </w:tr>
      <w:tr w:rsidR="00F043A5" w14:paraId="7198D1F5" w14:textId="77777777" w:rsidTr="00756BE8">
        <w:trPr>
          <w:jc w:val="center"/>
        </w:trPr>
        <w:tc>
          <w:tcPr>
            <w:tcW w:w="2178" w:type="dxa"/>
            <w:shd w:val="clear" w:color="auto" w:fill="auto"/>
          </w:tcPr>
          <w:p w14:paraId="323FBBCC" w14:textId="77777777" w:rsidR="00F043A5" w:rsidRPr="00756BE8" w:rsidRDefault="00F043A5" w:rsidP="00756BE8">
            <w:pPr>
              <w:jc w:val="center"/>
              <w:rPr>
                <w:sz w:val="20"/>
                <w:szCs w:val="20"/>
              </w:rPr>
            </w:pPr>
            <w:r w:rsidRPr="00756BE8">
              <w:rPr>
                <w:sz w:val="20"/>
                <w:szCs w:val="20"/>
              </w:rPr>
              <w:t>312</w:t>
            </w:r>
          </w:p>
        </w:tc>
        <w:tc>
          <w:tcPr>
            <w:tcW w:w="5598" w:type="dxa"/>
            <w:shd w:val="clear" w:color="auto" w:fill="auto"/>
          </w:tcPr>
          <w:p w14:paraId="521458A0" w14:textId="77777777" w:rsidR="00F043A5" w:rsidRPr="00756BE8" w:rsidRDefault="00F043A5" w:rsidP="005E4C60">
            <w:pPr>
              <w:rPr>
                <w:sz w:val="20"/>
                <w:szCs w:val="20"/>
              </w:rPr>
            </w:pPr>
            <w:r w:rsidRPr="00756BE8">
              <w:rPr>
                <w:sz w:val="20"/>
                <w:szCs w:val="20"/>
              </w:rPr>
              <w:t>Beverage and Tobacco Product Manufacturing</w:t>
            </w:r>
          </w:p>
        </w:tc>
      </w:tr>
      <w:tr w:rsidR="00F043A5" w14:paraId="25F5FF64" w14:textId="77777777" w:rsidTr="00756BE8">
        <w:trPr>
          <w:jc w:val="center"/>
        </w:trPr>
        <w:tc>
          <w:tcPr>
            <w:tcW w:w="2178" w:type="dxa"/>
            <w:shd w:val="clear" w:color="auto" w:fill="auto"/>
          </w:tcPr>
          <w:p w14:paraId="0EBB8A0F" w14:textId="77777777" w:rsidR="00F043A5" w:rsidRPr="00756BE8" w:rsidRDefault="00F043A5" w:rsidP="00756BE8">
            <w:pPr>
              <w:jc w:val="center"/>
              <w:rPr>
                <w:sz w:val="20"/>
                <w:szCs w:val="20"/>
              </w:rPr>
            </w:pPr>
            <w:r w:rsidRPr="00756BE8">
              <w:rPr>
                <w:sz w:val="20"/>
                <w:szCs w:val="20"/>
              </w:rPr>
              <w:t>313</w:t>
            </w:r>
          </w:p>
        </w:tc>
        <w:tc>
          <w:tcPr>
            <w:tcW w:w="5598" w:type="dxa"/>
            <w:shd w:val="clear" w:color="auto" w:fill="auto"/>
          </w:tcPr>
          <w:p w14:paraId="4BAC2436" w14:textId="77777777" w:rsidR="00F043A5" w:rsidRPr="00756BE8" w:rsidRDefault="00F043A5" w:rsidP="005E4C60">
            <w:pPr>
              <w:rPr>
                <w:sz w:val="20"/>
                <w:szCs w:val="20"/>
              </w:rPr>
            </w:pPr>
            <w:r w:rsidRPr="00756BE8">
              <w:rPr>
                <w:sz w:val="20"/>
                <w:szCs w:val="20"/>
              </w:rPr>
              <w:t>Textile Mills</w:t>
            </w:r>
          </w:p>
        </w:tc>
      </w:tr>
      <w:tr w:rsidR="00F043A5" w14:paraId="38885E76" w14:textId="77777777" w:rsidTr="00756BE8">
        <w:trPr>
          <w:jc w:val="center"/>
        </w:trPr>
        <w:tc>
          <w:tcPr>
            <w:tcW w:w="2178" w:type="dxa"/>
            <w:shd w:val="clear" w:color="auto" w:fill="auto"/>
          </w:tcPr>
          <w:p w14:paraId="695355A6" w14:textId="77777777" w:rsidR="00F043A5" w:rsidRPr="00756BE8" w:rsidRDefault="00F043A5" w:rsidP="00756BE8">
            <w:pPr>
              <w:jc w:val="center"/>
              <w:rPr>
                <w:sz w:val="20"/>
                <w:szCs w:val="20"/>
              </w:rPr>
            </w:pPr>
            <w:r w:rsidRPr="00756BE8">
              <w:rPr>
                <w:sz w:val="20"/>
                <w:szCs w:val="20"/>
              </w:rPr>
              <w:t>314</w:t>
            </w:r>
          </w:p>
        </w:tc>
        <w:tc>
          <w:tcPr>
            <w:tcW w:w="5598" w:type="dxa"/>
            <w:shd w:val="clear" w:color="auto" w:fill="auto"/>
          </w:tcPr>
          <w:p w14:paraId="3D09B598" w14:textId="77777777" w:rsidR="00F043A5" w:rsidRPr="00756BE8" w:rsidRDefault="00F043A5" w:rsidP="005E4C60">
            <w:pPr>
              <w:rPr>
                <w:sz w:val="20"/>
                <w:szCs w:val="20"/>
              </w:rPr>
            </w:pPr>
            <w:r w:rsidRPr="00756BE8">
              <w:rPr>
                <w:sz w:val="20"/>
                <w:szCs w:val="20"/>
              </w:rPr>
              <w:t>Textile Product Mills</w:t>
            </w:r>
          </w:p>
        </w:tc>
      </w:tr>
      <w:tr w:rsidR="00F043A5" w14:paraId="6580D429" w14:textId="77777777" w:rsidTr="00756BE8">
        <w:trPr>
          <w:jc w:val="center"/>
        </w:trPr>
        <w:tc>
          <w:tcPr>
            <w:tcW w:w="2178" w:type="dxa"/>
            <w:shd w:val="clear" w:color="auto" w:fill="auto"/>
          </w:tcPr>
          <w:p w14:paraId="629CB154" w14:textId="77777777" w:rsidR="00F043A5" w:rsidRPr="00756BE8" w:rsidRDefault="00F043A5" w:rsidP="00756BE8">
            <w:pPr>
              <w:jc w:val="center"/>
              <w:rPr>
                <w:sz w:val="20"/>
                <w:szCs w:val="20"/>
              </w:rPr>
            </w:pPr>
            <w:r w:rsidRPr="00756BE8">
              <w:rPr>
                <w:sz w:val="20"/>
                <w:szCs w:val="20"/>
              </w:rPr>
              <w:t>316</w:t>
            </w:r>
          </w:p>
        </w:tc>
        <w:tc>
          <w:tcPr>
            <w:tcW w:w="5598" w:type="dxa"/>
            <w:shd w:val="clear" w:color="auto" w:fill="auto"/>
          </w:tcPr>
          <w:p w14:paraId="304BC2E7" w14:textId="77777777" w:rsidR="00F043A5" w:rsidRPr="00756BE8" w:rsidRDefault="00F043A5" w:rsidP="005E4C60">
            <w:pPr>
              <w:rPr>
                <w:sz w:val="20"/>
                <w:szCs w:val="20"/>
              </w:rPr>
            </w:pPr>
            <w:r w:rsidRPr="00756BE8">
              <w:rPr>
                <w:sz w:val="20"/>
                <w:szCs w:val="20"/>
              </w:rPr>
              <w:t>Leather and Allied Product Manufacturing</w:t>
            </w:r>
          </w:p>
        </w:tc>
      </w:tr>
      <w:tr w:rsidR="00F043A5" w14:paraId="52B7C44C" w14:textId="77777777" w:rsidTr="00756BE8">
        <w:trPr>
          <w:jc w:val="center"/>
        </w:trPr>
        <w:tc>
          <w:tcPr>
            <w:tcW w:w="2178" w:type="dxa"/>
            <w:shd w:val="clear" w:color="auto" w:fill="auto"/>
          </w:tcPr>
          <w:p w14:paraId="1A58043C" w14:textId="77777777" w:rsidR="00F043A5" w:rsidRPr="00756BE8" w:rsidRDefault="00F043A5" w:rsidP="00756BE8">
            <w:pPr>
              <w:jc w:val="center"/>
              <w:rPr>
                <w:sz w:val="20"/>
                <w:szCs w:val="20"/>
              </w:rPr>
            </w:pPr>
            <w:r w:rsidRPr="00756BE8">
              <w:rPr>
                <w:sz w:val="20"/>
                <w:szCs w:val="20"/>
              </w:rPr>
              <w:t>321</w:t>
            </w:r>
          </w:p>
        </w:tc>
        <w:tc>
          <w:tcPr>
            <w:tcW w:w="5598" w:type="dxa"/>
            <w:shd w:val="clear" w:color="auto" w:fill="auto"/>
          </w:tcPr>
          <w:p w14:paraId="3DA73562" w14:textId="77777777" w:rsidR="00F043A5" w:rsidRPr="00756BE8" w:rsidRDefault="00F043A5" w:rsidP="005E4C60">
            <w:pPr>
              <w:rPr>
                <w:sz w:val="20"/>
                <w:szCs w:val="20"/>
              </w:rPr>
            </w:pPr>
            <w:r w:rsidRPr="00756BE8">
              <w:rPr>
                <w:sz w:val="20"/>
                <w:szCs w:val="20"/>
              </w:rPr>
              <w:t>Wood Product Manufacturing</w:t>
            </w:r>
          </w:p>
        </w:tc>
      </w:tr>
      <w:tr w:rsidR="00424B75" w14:paraId="201AC204" w14:textId="77777777" w:rsidTr="00756BE8">
        <w:trPr>
          <w:jc w:val="center"/>
        </w:trPr>
        <w:tc>
          <w:tcPr>
            <w:tcW w:w="2178" w:type="dxa"/>
            <w:shd w:val="clear" w:color="auto" w:fill="auto"/>
          </w:tcPr>
          <w:p w14:paraId="0E2ACBE4" w14:textId="39FD476E" w:rsidR="00424B75" w:rsidRPr="00756BE8" w:rsidRDefault="00424B75" w:rsidP="00756BE8">
            <w:pPr>
              <w:jc w:val="center"/>
              <w:rPr>
                <w:sz w:val="20"/>
                <w:szCs w:val="20"/>
              </w:rPr>
            </w:pPr>
            <w:r>
              <w:rPr>
                <w:sz w:val="20"/>
                <w:szCs w:val="20"/>
              </w:rPr>
              <w:t>321113</w:t>
            </w:r>
          </w:p>
        </w:tc>
        <w:tc>
          <w:tcPr>
            <w:tcW w:w="5598" w:type="dxa"/>
            <w:shd w:val="clear" w:color="auto" w:fill="auto"/>
          </w:tcPr>
          <w:p w14:paraId="1ADCB50F" w14:textId="04678345" w:rsidR="00424B75" w:rsidRPr="00756BE8" w:rsidRDefault="00424B75" w:rsidP="005E4C60">
            <w:pPr>
              <w:rPr>
                <w:sz w:val="20"/>
                <w:szCs w:val="20"/>
              </w:rPr>
            </w:pPr>
            <w:r>
              <w:rPr>
                <w:sz w:val="20"/>
                <w:szCs w:val="20"/>
              </w:rPr>
              <w:t>Sawmills</w:t>
            </w:r>
          </w:p>
        </w:tc>
      </w:tr>
      <w:tr w:rsidR="00424B75" w14:paraId="62F06394" w14:textId="77777777" w:rsidTr="00756BE8">
        <w:trPr>
          <w:jc w:val="center"/>
        </w:trPr>
        <w:tc>
          <w:tcPr>
            <w:tcW w:w="2178" w:type="dxa"/>
            <w:shd w:val="clear" w:color="auto" w:fill="auto"/>
          </w:tcPr>
          <w:p w14:paraId="7A6CF1BA" w14:textId="7874F8A9" w:rsidR="00424B75" w:rsidRDefault="00424B75" w:rsidP="00756BE8">
            <w:pPr>
              <w:jc w:val="center"/>
              <w:rPr>
                <w:sz w:val="20"/>
                <w:szCs w:val="20"/>
              </w:rPr>
            </w:pPr>
            <w:r>
              <w:rPr>
                <w:sz w:val="20"/>
                <w:szCs w:val="20"/>
              </w:rPr>
              <w:t>321114</w:t>
            </w:r>
          </w:p>
        </w:tc>
        <w:tc>
          <w:tcPr>
            <w:tcW w:w="5598" w:type="dxa"/>
            <w:shd w:val="clear" w:color="auto" w:fill="auto"/>
          </w:tcPr>
          <w:p w14:paraId="4082547F" w14:textId="50930394" w:rsidR="00424B75" w:rsidRDefault="00424B75" w:rsidP="005E4C60">
            <w:pPr>
              <w:rPr>
                <w:sz w:val="20"/>
                <w:szCs w:val="20"/>
              </w:rPr>
            </w:pPr>
            <w:r w:rsidRPr="00424B75">
              <w:rPr>
                <w:sz w:val="20"/>
                <w:szCs w:val="20"/>
              </w:rPr>
              <w:t>Wood Preservation (includes crosstie creosote treating)</w:t>
            </w:r>
          </w:p>
        </w:tc>
      </w:tr>
      <w:tr w:rsidR="00F043A5" w14:paraId="229DC742" w14:textId="77777777" w:rsidTr="00756BE8">
        <w:trPr>
          <w:jc w:val="center"/>
        </w:trPr>
        <w:tc>
          <w:tcPr>
            <w:tcW w:w="2178" w:type="dxa"/>
            <w:shd w:val="clear" w:color="auto" w:fill="auto"/>
          </w:tcPr>
          <w:p w14:paraId="6EF26D53" w14:textId="77777777" w:rsidR="00F043A5" w:rsidRPr="00756BE8" w:rsidRDefault="00F043A5" w:rsidP="00756BE8">
            <w:pPr>
              <w:jc w:val="center"/>
              <w:rPr>
                <w:sz w:val="20"/>
                <w:szCs w:val="20"/>
              </w:rPr>
            </w:pPr>
            <w:r w:rsidRPr="00756BE8">
              <w:rPr>
                <w:sz w:val="20"/>
                <w:szCs w:val="20"/>
              </w:rPr>
              <w:t>322</w:t>
            </w:r>
          </w:p>
        </w:tc>
        <w:tc>
          <w:tcPr>
            <w:tcW w:w="5598" w:type="dxa"/>
            <w:shd w:val="clear" w:color="auto" w:fill="auto"/>
          </w:tcPr>
          <w:p w14:paraId="6559018F" w14:textId="2745F420" w:rsidR="00F043A5" w:rsidRPr="00756BE8" w:rsidRDefault="00424B75" w:rsidP="005E4C60">
            <w:pPr>
              <w:rPr>
                <w:sz w:val="20"/>
                <w:szCs w:val="20"/>
              </w:rPr>
            </w:pPr>
            <w:r w:rsidRPr="00424B75">
              <w:rPr>
                <w:sz w:val="20"/>
                <w:szCs w:val="20"/>
              </w:rPr>
              <w:t>Pulp, Paper, and Paper Products</w:t>
            </w:r>
          </w:p>
        </w:tc>
      </w:tr>
      <w:tr w:rsidR="00F043A5" w14:paraId="639D60D1" w14:textId="77777777" w:rsidTr="00756BE8">
        <w:trPr>
          <w:jc w:val="center"/>
        </w:trPr>
        <w:tc>
          <w:tcPr>
            <w:tcW w:w="2178" w:type="dxa"/>
            <w:shd w:val="clear" w:color="auto" w:fill="auto"/>
          </w:tcPr>
          <w:p w14:paraId="19F1EF91" w14:textId="77777777" w:rsidR="00F043A5" w:rsidRPr="00756BE8" w:rsidRDefault="00F043A5" w:rsidP="00756BE8">
            <w:pPr>
              <w:jc w:val="center"/>
              <w:rPr>
                <w:sz w:val="20"/>
                <w:szCs w:val="20"/>
              </w:rPr>
            </w:pPr>
            <w:r w:rsidRPr="00756BE8">
              <w:rPr>
                <w:sz w:val="20"/>
                <w:szCs w:val="20"/>
              </w:rPr>
              <w:t>323</w:t>
            </w:r>
          </w:p>
        </w:tc>
        <w:tc>
          <w:tcPr>
            <w:tcW w:w="5598" w:type="dxa"/>
            <w:shd w:val="clear" w:color="auto" w:fill="auto"/>
          </w:tcPr>
          <w:p w14:paraId="7180572E" w14:textId="77777777" w:rsidR="00F043A5" w:rsidRPr="00756BE8" w:rsidRDefault="00F043A5" w:rsidP="005E4C60">
            <w:pPr>
              <w:rPr>
                <w:sz w:val="20"/>
                <w:szCs w:val="20"/>
              </w:rPr>
            </w:pPr>
            <w:r w:rsidRPr="00756BE8">
              <w:rPr>
                <w:sz w:val="20"/>
                <w:szCs w:val="20"/>
              </w:rPr>
              <w:t>Printing and Related Support Activities</w:t>
            </w:r>
          </w:p>
        </w:tc>
      </w:tr>
      <w:tr w:rsidR="00F043A5" w14:paraId="61578705" w14:textId="77777777" w:rsidTr="00756BE8">
        <w:trPr>
          <w:jc w:val="center"/>
        </w:trPr>
        <w:tc>
          <w:tcPr>
            <w:tcW w:w="2178" w:type="dxa"/>
            <w:shd w:val="clear" w:color="auto" w:fill="auto"/>
          </w:tcPr>
          <w:p w14:paraId="27981B5A" w14:textId="77777777" w:rsidR="00F043A5" w:rsidRPr="00756BE8" w:rsidRDefault="00F043A5" w:rsidP="00756BE8">
            <w:pPr>
              <w:jc w:val="center"/>
              <w:rPr>
                <w:sz w:val="20"/>
                <w:szCs w:val="20"/>
              </w:rPr>
            </w:pPr>
            <w:r w:rsidRPr="00756BE8">
              <w:rPr>
                <w:sz w:val="20"/>
                <w:szCs w:val="20"/>
              </w:rPr>
              <w:t>324</w:t>
            </w:r>
          </w:p>
        </w:tc>
        <w:tc>
          <w:tcPr>
            <w:tcW w:w="5598" w:type="dxa"/>
            <w:shd w:val="clear" w:color="auto" w:fill="auto"/>
          </w:tcPr>
          <w:p w14:paraId="115E14FA" w14:textId="77777777" w:rsidR="00F043A5" w:rsidRPr="00756BE8" w:rsidRDefault="00F043A5" w:rsidP="005E4C60">
            <w:pPr>
              <w:rPr>
                <w:sz w:val="20"/>
                <w:szCs w:val="20"/>
              </w:rPr>
            </w:pPr>
            <w:r w:rsidRPr="00756BE8">
              <w:rPr>
                <w:sz w:val="20"/>
                <w:szCs w:val="20"/>
              </w:rPr>
              <w:t>Petroleum and Coal Products Manufacturing</w:t>
            </w:r>
          </w:p>
        </w:tc>
      </w:tr>
      <w:tr w:rsidR="00F043A5" w14:paraId="44112613" w14:textId="77777777" w:rsidTr="00756BE8">
        <w:trPr>
          <w:jc w:val="center"/>
        </w:trPr>
        <w:tc>
          <w:tcPr>
            <w:tcW w:w="2178" w:type="dxa"/>
            <w:shd w:val="clear" w:color="auto" w:fill="auto"/>
          </w:tcPr>
          <w:p w14:paraId="75E3C09A" w14:textId="77777777" w:rsidR="00F043A5" w:rsidRPr="00756BE8" w:rsidRDefault="00F043A5" w:rsidP="00756BE8">
            <w:pPr>
              <w:jc w:val="center"/>
              <w:rPr>
                <w:sz w:val="20"/>
                <w:szCs w:val="20"/>
              </w:rPr>
            </w:pPr>
            <w:r w:rsidRPr="00756BE8">
              <w:rPr>
                <w:sz w:val="20"/>
                <w:szCs w:val="20"/>
              </w:rPr>
              <w:t>325</w:t>
            </w:r>
          </w:p>
        </w:tc>
        <w:tc>
          <w:tcPr>
            <w:tcW w:w="5598" w:type="dxa"/>
            <w:shd w:val="clear" w:color="auto" w:fill="auto"/>
          </w:tcPr>
          <w:p w14:paraId="3D60C277" w14:textId="77777777" w:rsidR="00F043A5" w:rsidRPr="00756BE8" w:rsidRDefault="00F043A5" w:rsidP="005E4C60">
            <w:pPr>
              <w:rPr>
                <w:sz w:val="20"/>
                <w:szCs w:val="20"/>
              </w:rPr>
            </w:pPr>
            <w:r w:rsidRPr="00756BE8">
              <w:rPr>
                <w:sz w:val="20"/>
                <w:szCs w:val="20"/>
              </w:rPr>
              <w:t>Chemical Manufacturing</w:t>
            </w:r>
          </w:p>
        </w:tc>
      </w:tr>
      <w:tr w:rsidR="00F043A5" w14:paraId="408290D7" w14:textId="77777777" w:rsidTr="00756BE8">
        <w:trPr>
          <w:jc w:val="center"/>
        </w:trPr>
        <w:tc>
          <w:tcPr>
            <w:tcW w:w="2178" w:type="dxa"/>
            <w:shd w:val="clear" w:color="auto" w:fill="auto"/>
          </w:tcPr>
          <w:p w14:paraId="60EE6E62" w14:textId="77777777" w:rsidR="00F043A5" w:rsidRPr="00756BE8" w:rsidRDefault="00F043A5" w:rsidP="00756BE8">
            <w:pPr>
              <w:jc w:val="center"/>
              <w:rPr>
                <w:sz w:val="20"/>
                <w:szCs w:val="20"/>
              </w:rPr>
            </w:pPr>
            <w:r w:rsidRPr="00756BE8">
              <w:rPr>
                <w:sz w:val="20"/>
                <w:szCs w:val="20"/>
              </w:rPr>
              <w:t>326</w:t>
            </w:r>
          </w:p>
        </w:tc>
        <w:tc>
          <w:tcPr>
            <w:tcW w:w="5598" w:type="dxa"/>
            <w:shd w:val="clear" w:color="auto" w:fill="auto"/>
          </w:tcPr>
          <w:p w14:paraId="360D8A62" w14:textId="77777777" w:rsidR="00F043A5" w:rsidRPr="00756BE8" w:rsidRDefault="00F043A5" w:rsidP="005E4C60">
            <w:pPr>
              <w:rPr>
                <w:sz w:val="20"/>
                <w:szCs w:val="20"/>
              </w:rPr>
            </w:pPr>
            <w:r w:rsidRPr="00756BE8">
              <w:rPr>
                <w:sz w:val="20"/>
                <w:szCs w:val="20"/>
              </w:rPr>
              <w:t>Plastics and Rubber Products Manufacturing</w:t>
            </w:r>
          </w:p>
        </w:tc>
      </w:tr>
      <w:tr w:rsidR="00F043A5" w14:paraId="35FAA4FA" w14:textId="77777777" w:rsidTr="00756BE8">
        <w:trPr>
          <w:jc w:val="center"/>
        </w:trPr>
        <w:tc>
          <w:tcPr>
            <w:tcW w:w="2178" w:type="dxa"/>
            <w:shd w:val="clear" w:color="auto" w:fill="auto"/>
          </w:tcPr>
          <w:p w14:paraId="6BFB6DA2" w14:textId="77777777" w:rsidR="00F043A5" w:rsidRPr="00756BE8" w:rsidRDefault="00F043A5" w:rsidP="00756BE8">
            <w:pPr>
              <w:jc w:val="center"/>
              <w:rPr>
                <w:sz w:val="20"/>
                <w:szCs w:val="20"/>
              </w:rPr>
            </w:pPr>
            <w:r w:rsidRPr="00756BE8">
              <w:rPr>
                <w:sz w:val="20"/>
                <w:szCs w:val="20"/>
              </w:rPr>
              <w:t>327</w:t>
            </w:r>
          </w:p>
        </w:tc>
        <w:tc>
          <w:tcPr>
            <w:tcW w:w="5598" w:type="dxa"/>
            <w:shd w:val="clear" w:color="auto" w:fill="auto"/>
          </w:tcPr>
          <w:p w14:paraId="27A9BE6A" w14:textId="77777777" w:rsidR="00F043A5" w:rsidRPr="00756BE8" w:rsidRDefault="00F043A5" w:rsidP="005E4C60">
            <w:pPr>
              <w:rPr>
                <w:sz w:val="20"/>
                <w:szCs w:val="20"/>
              </w:rPr>
            </w:pPr>
            <w:r w:rsidRPr="00756BE8">
              <w:rPr>
                <w:sz w:val="20"/>
                <w:szCs w:val="20"/>
              </w:rPr>
              <w:t>Nonmetallic Mineral Product Manufacturing</w:t>
            </w:r>
          </w:p>
        </w:tc>
      </w:tr>
      <w:tr w:rsidR="00424B75" w14:paraId="67A6E50C" w14:textId="77777777" w:rsidTr="00756BE8">
        <w:trPr>
          <w:jc w:val="center"/>
        </w:trPr>
        <w:tc>
          <w:tcPr>
            <w:tcW w:w="2178" w:type="dxa"/>
            <w:shd w:val="clear" w:color="auto" w:fill="auto"/>
          </w:tcPr>
          <w:p w14:paraId="2D0E3682" w14:textId="3293AE86" w:rsidR="00424B75" w:rsidRPr="00756BE8" w:rsidRDefault="00424B75" w:rsidP="00756BE8">
            <w:pPr>
              <w:jc w:val="center"/>
              <w:rPr>
                <w:sz w:val="20"/>
                <w:szCs w:val="20"/>
              </w:rPr>
            </w:pPr>
            <w:r>
              <w:rPr>
                <w:sz w:val="20"/>
                <w:szCs w:val="20"/>
              </w:rPr>
              <w:t>32731</w:t>
            </w:r>
          </w:p>
        </w:tc>
        <w:tc>
          <w:tcPr>
            <w:tcW w:w="5598" w:type="dxa"/>
            <w:shd w:val="clear" w:color="auto" w:fill="auto"/>
          </w:tcPr>
          <w:p w14:paraId="154DE069" w14:textId="51B11F82" w:rsidR="00424B75" w:rsidRPr="00756BE8" w:rsidRDefault="00424B75" w:rsidP="005E4C60">
            <w:pPr>
              <w:rPr>
                <w:sz w:val="20"/>
                <w:szCs w:val="20"/>
              </w:rPr>
            </w:pPr>
            <w:r>
              <w:rPr>
                <w:sz w:val="20"/>
                <w:szCs w:val="20"/>
              </w:rPr>
              <w:t>Cement manufacturing</w:t>
            </w:r>
          </w:p>
        </w:tc>
      </w:tr>
      <w:tr w:rsidR="00F043A5" w14:paraId="1A68BFEE" w14:textId="77777777" w:rsidTr="00756BE8">
        <w:trPr>
          <w:jc w:val="center"/>
        </w:trPr>
        <w:tc>
          <w:tcPr>
            <w:tcW w:w="2178" w:type="dxa"/>
            <w:shd w:val="clear" w:color="auto" w:fill="auto"/>
          </w:tcPr>
          <w:p w14:paraId="6B97D4B3" w14:textId="77777777" w:rsidR="00F043A5" w:rsidRPr="00756BE8" w:rsidRDefault="00F043A5" w:rsidP="00756BE8">
            <w:pPr>
              <w:jc w:val="center"/>
              <w:rPr>
                <w:sz w:val="20"/>
                <w:szCs w:val="20"/>
              </w:rPr>
            </w:pPr>
            <w:r w:rsidRPr="00756BE8">
              <w:rPr>
                <w:sz w:val="20"/>
                <w:szCs w:val="20"/>
              </w:rPr>
              <w:t>331</w:t>
            </w:r>
          </w:p>
        </w:tc>
        <w:tc>
          <w:tcPr>
            <w:tcW w:w="5598" w:type="dxa"/>
            <w:shd w:val="clear" w:color="auto" w:fill="auto"/>
          </w:tcPr>
          <w:p w14:paraId="3AC7B49D" w14:textId="77777777" w:rsidR="00F043A5" w:rsidRPr="00756BE8" w:rsidRDefault="00F043A5" w:rsidP="005E4C60">
            <w:pPr>
              <w:rPr>
                <w:sz w:val="20"/>
                <w:szCs w:val="20"/>
              </w:rPr>
            </w:pPr>
            <w:r w:rsidRPr="00756BE8">
              <w:rPr>
                <w:sz w:val="20"/>
                <w:szCs w:val="20"/>
              </w:rPr>
              <w:t>Primary Metal Manufacturing</w:t>
            </w:r>
          </w:p>
        </w:tc>
      </w:tr>
      <w:tr w:rsidR="00F043A5" w14:paraId="1EFB6698" w14:textId="77777777" w:rsidTr="00756BE8">
        <w:trPr>
          <w:jc w:val="center"/>
        </w:trPr>
        <w:tc>
          <w:tcPr>
            <w:tcW w:w="2178" w:type="dxa"/>
            <w:shd w:val="clear" w:color="auto" w:fill="auto"/>
          </w:tcPr>
          <w:p w14:paraId="3F97DF95" w14:textId="77777777" w:rsidR="00F043A5" w:rsidRPr="00756BE8" w:rsidRDefault="00F043A5" w:rsidP="00756BE8">
            <w:pPr>
              <w:jc w:val="center"/>
              <w:rPr>
                <w:sz w:val="20"/>
                <w:szCs w:val="20"/>
              </w:rPr>
            </w:pPr>
            <w:r w:rsidRPr="00756BE8">
              <w:rPr>
                <w:sz w:val="20"/>
                <w:szCs w:val="20"/>
              </w:rPr>
              <w:t>332</w:t>
            </w:r>
          </w:p>
        </w:tc>
        <w:tc>
          <w:tcPr>
            <w:tcW w:w="5598" w:type="dxa"/>
            <w:shd w:val="clear" w:color="auto" w:fill="auto"/>
          </w:tcPr>
          <w:p w14:paraId="406933F7" w14:textId="77777777" w:rsidR="00F043A5" w:rsidRPr="00756BE8" w:rsidRDefault="00F043A5" w:rsidP="005E4C60">
            <w:pPr>
              <w:rPr>
                <w:sz w:val="20"/>
                <w:szCs w:val="20"/>
              </w:rPr>
            </w:pPr>
            <w:r w:rsidRPr="00756BE8">
              <w:rPr>
                <w:sz w:val="20"/>
                <w:szCs w:val="20"/>
              </w:rPr>
              <w:t>Fabricated Metal Product Manufacturing</w:t>
            </w:r>
          </w:p>
        </w:tc>
      </w:tr>
      <w:tr w:rsidR="00F043A5" w14:paraId="6D0AB7ED" w14:textId="77777777" w:rsidTr="00756BE8">
        <w:trPr>
          <w:jc w:val="center"/>
        </w:trPr>
        <w:tc>
          <w:tcPr>
            <w:tcW w:w="2178" w:type="dxa"/>
            <w:shd w:val="clear" w:color="auto" w:fill="auto"/>
          </w:tcPr>
          <w:p w14:paraId="2D9BA338" w14:textId="77777777" w:rsidR="00F043A5" w:rsidRPr="00756BE8" w:rsidRDefault="00F043A5" w:rsidP="00756BE8">
            <w:pPr>
              <w:jc w:val="center"/>
              <w:rPr>
                <w:sz w:val="20"/>
                <w:szCs w:val="20"/>
              </w:rPr>
            </w:pPr>
            <w:r w:rsidRPr="00756BE8">
              <w:rPr>
                <w:sz w:val="20"/>
                <w:szCs w:val="20"/>
              </w:rPr>
              <w:t>333</w:t>
            </w:r>
          </w:p>
        </w:tc>
        <w:tc>
          <w:tcPr>
            <w:tcW w:w="5598" w:type="dxa"/>
            <w:shd w:val="clear" w:color="auto" w:fill="auto"/>
          </w:tcPr>
          <w:p w14:paraId="46D1788E" w14:textId="77777777" w:rsidR="00F043A5" w:rsidRPr="00756BE8" w:rsidRDefault="00F043A5" w:rsidP="005E4C60">
            <w:pPr>
              <w:rPr>
                <w:sz w:val="20"/>
                <w:szCs w:val="20"/>
              </w:rPr>
            </w:pPr>
            <w:r w:rsidRPr="00756BE8">
              <w:rPr>
                <w:sz w:val="20"/>
                <w:szCs w:val="20"/>
              </w:rPr>
              <w:t>Machinery Manufacturing</w:t>
            </w:r>
          </w:p>
        </w:tc>
      </w:tr>
      <w:tr w:rsidR="00F043A5" w14:paraId="07267E6B" w14:textId="77777777" w:rsidTr="00756BE8">
        <w:trPr>
          <w:jc w:val="center"/>
        </w:trPr>
        <w:tc>
          <w:tcPr>
            <w:tcW w:w="2178" w:type="dxa"/>
            <w:shd w:val="clear" w:color="auto" w:fill="auto"/>
          </w:tcPr>
          <w:p w14:paraId="4F3EDEDB" w14:textId="77777777" w:rsidR="00F043A5" w:rsidRPr="00756BE8" w:rsidRDefault="00F043A5" w:rsidP="00756BE8">
            <w:pPr>
              <w:jc w:val="center"/>
              <w:rPr>
                <w:sz w:val="20"/>
                <w:szCs w:val="20"/>
              </w:rPr>
            </w:pPr>
            <w:r w:rsidRPr="00756BE8">
              <w:rPr>
                <w:sz w:val="20"/>
                <w:szCs w:val="20"/>
              </w:rPr>
              <w:t>334</w:t>
            </w:r>
          </w:p>
        </w:tc>
        <w:tc>
          <w:tcPr>
            <w:tcW w:w="5598" w:type="dxa"/>
            <w:shd w:val="clear" w:color="auto" w:fill="auto"/>
          </w:tcPr>
          <w:p w14:paraId="39F856CB" w14:textId="77777777" w:rsidR="00F043A5" w:rsidRPr="00756BE8" w:rsidRDefault="00F043A5" w:rsidP="005E4C60">
            <w:pPr>
              <w:rPr>
                <w:sz w:val="20"/>
                <w:szCs w:val="20"/>
              </w:rPr>
            </w:pPr>
            <w:r w:rsidRPr="00756BE8">
              <w:rPr>
                <w:sz w:val="20"/>
                <w:szCs w:val="20"/>
              </w:rPr>
              <w:t>Computer and Electronic Product Manufacturing</w:t>
            </w:r>
          </w:p>
        </w:tc>
      </w:tr>
      <w:tr w:rsidR="00F043A5" w14:paraId="29CB5F8A" w14:textId="77777777" w:rsidTr="00756BE8">
        <w:trPr>
          <w:jc w:val="center"/>
        </w:trPr>
        <w:tc>
          <w:tcPr>
            <w:tcW w:w="2178" w:type="dxa"/>
            <w:shd w:val="clear" w:color="auto" w:fill="auto"/>
          </w:tcPr>
          <w:p w14:paraId="6ACC8C16" w14:textId="77777777" w:rsidR="00F043A5" w:rsidRPr="00756BE8" w:rsidRDefault="00F043A5" w:rsidP="00756BE8">
            <w:pPr>
              <w:jc w:val="center"/>
              <w:rPr>
                <w:sz w:val="20"/>
                <w:szCs w:val="20"/>
              </w:rPr>
            </w:pPr>
            <w:r w:rsidRPr="00756BE8">
              <w:rPr>
                <w:sz w:val="20"/>
                <w:szCs w:val="20"/>
              </w:rPr>
              <w:t>335</w:t>
            </w:r>
          </w:p>
        </w:tc>
        <w:tc>
          <w:tcPr>
            <w:tcW w:w="5598" w:type="dxa"/>
            <w:shd w:val="clear" w:color="auto" w:fill="auto"/>
          </w:tcPr>
          <w:p w14:paraId="44271131" w14:textId="77777777" w:rsidR="00F043A5" w:rsidRPr="00756BE8" w:rsidRDefault="00F043A5" w:rsidP="005E4C60">
            <w:pPr>
              <w:rPr>
                <w:sz w:val="20"/>
                <w:szCs w:val="20"/>
              </w:rPr>
            </w:pPr>
            <w:r w:rsidRPr="00756BE8">
              <w:rPr>
                <w:sz w:val="20"/>
                <w:szCs w:val="20"/>
              </w:rPr>
              <w:t>Electrical Equipment, Appliance and Component Manufacturing</w:t>
            </w:r>
          </w:p>
        </w:tc>
      </w:tr>
      <w:tr w:rsidR="00F043A5" w14:paraId="61D5F74F" w14:textId="77777777" w:rsidTr="00756BE8">
        <w:trPr>
          <w:jc w:val="center"/>
        </w:trPr>
        <w:tc>
          <w:tcPr>
            <w:tcW w:w="2178" w:type="dxa"/>
            <w:shd w:val="clear" w:color="auto" w:fill="auto"/>
          </w:tcPr>
          <w:p w14:paraId="7A1D09B2" w14:textId="77777777" w:rsidR="00F043A5" w:rsidRPr="00756BE8" w:rsidRDefault="00F043A5" w:rsidP="00756BE8">
            <w:pPr>
              <w:jc w:val="center"/>
              <w:rPr>
                <w:sz w:val="20"/>
                <w:szCs w:val="20"/>
              </w:rPr>
            </w:pPr>
            <w:r w:rsidRPr="00756BE8">
              <w:rPr>
                <w:sz w:val="20"/>
                <w:szCs w:val="20"/>
              </w:rPr>
              <w:t>336</w:t>
            </w:r>
          </w:p>
        </w:tc>
        <w:tc>
          <w:tcPr>
            <w:tcW w:w="5598" w:type="dxa"/>
            <w:shd w:val="clear" w:color="auto" w:fill="auto"/>
          </w:tcPr>
          <w:p w14:paraId="4709E654" w14:textId="77777777" w:rsidR="00F043A5" w:rsidRPr="00756BE8" w:rsidRDefault="00F043A5" w:rsidP="005E4C60">
            <w:pPr>
              <w:rPr>
                <w:sz w:val="20"/>
                <w:szCs w:val="20"/>
              </w:rPr>
            </w:pPr>
            <w:r w:rsidRPr="00756BE8">
              <w:rPr>
                <w:sz w:val="20"/>
                <w:szCs w:val="20"/>
              </w:rPr>
              <w:t>Transportation Equipment Manufacturing</w:t>
            </w:r>
          </w:p>
        </w:tc>
      </w:tr>
      <w:tr w:rsidR="00F043A5" w14:paraId="210DD852" w14:textId="77777777" w:rsidTr="00756BE8">
        <w:trPr>
          <w:jc w:val="center"/>
        </w:trPr>
        <w:tc>
          <w:tcPr>
            <w:tcW w:w="2178" w:type="dxa"/>
            <w:shd w:val="clear" w:color="auto" w:fill="auto"/>
          </w:tcPr>
          <w:p w14:paraId="687D86E3" w14:textId="77777777" w:rsidR="00F043A5" w:rsidRPr="00756BE8" w:rsidRDefault="00F043A5" w:rsidP="00756BE8">
            <w:pPr>
              <w:jc w:val="center"/>
              <w:rPr>
                <w:sz w:val="20"/>
                <w:szCs w:val="20"/>
              </w:rPr>
            </w:pPr>
            <w:r w:rsidRPr="00756BE8">
              <w:rPr>
                <w:sz w:val="20"/>
                <w:szCs w:val="20"/>
              </w:rPr>
              <w:t>337</w:t>
            </w:r>
          </w:p>
        </w:tc>
        <w:tc>
          <w:tcPr>
            <w:tcW w:w="5598" w:type="dxa"/>
            <w:shd w:val="clear" w:color="auto" w:fill="auto"/>
          </w:tcPr>
          <w:p w14:paraId="32AC8F9A" w14:textId="77777777" w:rsidR="00F043A5" w:rsidRPr="00756BE8" w:rsidRDefault="00F043A5" w:rsidP="005E4C60">
            <w:pPr>
              <w:rPr>
                <w:sz w:val="20"/>
                <w:szCs w:val="20"/>
              </w:rPr>
            </w:pPr>
            <w:r w:rsidRPr="00756BE8">
              <w:rPr>
                <w:sz w:val="20"/>
                <w:szCs w:val="20"/>
              </w:rPr>
              <w:t>Furniture and Related Product Manufacturing</w:t>
            </w:r>
          </w:p>
        </w:tc>
      </w:tr>
      <w:tr w:rsidR="00F043A5" w14:paraId="100B409E" w14:textId="77777777" w:rsidTr="00756BE8">
        <w:trPr>
          <w:jc w:val="center"/>
        </w:trPr>
        <w:tc>
          <w:tcPr>
            <w:tcW w:w="2178" w:type="dxa"/>
            <w:shd w:val="clear" w:color="auto" w:fill="auto"/>
          </w:tcPr>
          <w:p w14:paraId="2B307F4F" w14:textId="77777777" w:rsidR="00F043A5" w:rsidRPr="00756BE8" w:rsidRDefault="00F043A5" w:rsidP="00756BE8">
            <w:pPr>
              <w:jc w:val="center"/>
              <w:rPr>
                <w:sz w:val="20"/>
                <w:szCs w:val="20"/>
              </w:rPr>
            </w:pPr>
            <w:r w:rsidRPr="00756BE8">
              <w:rPr>
                <w:sz w:val="20"/>
                <w:szCs w:val="20"/>
              </w:rPr>
              <w:t>339</w:t>
            </w:r>
          </w:p>
        </w:tc>
        <w:tc>
          <w:tcPr>
            <w:tcW w:w="5598" w:type="dxa"/>
            <w:shd w:val="clear" w:color="auto" w:fill="auto"/>
          </w:tcPr>
          <w:p w14:paraId="7E90B20B" w14:textId="77777777" w:rsidR="00F043A5" w:rsidRPr="00756BE8" w:rsidRDefault="00F043A5" w:rsidP="005E4C60">
            <w:pPr>
              <w:rPr>
                <w:sz w:val="20"/>
                <w:szCs w:val="20"/>
              </w:rPr>
            </w:pPr>
            <w:r w:rsidRPr="00756BE8">
              <w:rPr>
                <w:sz w:val="20"/>
                <w:szCs w:val="20"/>
              </w:rPr>
              <w:t>Miscellaneous Manufacturing</w:t>
            </w:r>
          </w:p>
        </w:tc>
      </w:tr>
      <w:tr w:rsidR="00F043A5" w14:paraId="3B5BE450" w14:textId="77777777" w:rsidTr="00756BE8">
        <w:trPr>
          <w:jc w:val="center"/>
        </w:trPr>
        <w:tc>
          <w:tcPr>
            <w:tcW w:w="2178" w:type="dxa"/>
            <w:shd w:val="clear" w:color="auto" w:fill="auto"/>
          </w:tcPr>
          <w:p w14:paraId="1ABAA12D" w14:textId="77777777" w:rsidR="00F043A5" w:rsidRPr="00756BE8" w:rsidRDefault="00F043A5" w:rsidP="00756BE8">
            <w:pPr>
              <w:jc w:val="center"/>
              <w:rPr>
                <w:sz w:val="20"/>
                <w:szCs w:val="20"/>
              </w:rPr>
            </w:pPr>
            <w:r w:rsidRPr="00756BE8">
              <w:rPr>
                <w:sz w:val="20"/>
                <w:szCs w:val="20"/>
              </w:rPr>
              <w:t>423</w:t>
            </w:r>
          </w:p>
        </w:tc>
        <w:tc>
          <w:tcPr>
            <w:tcW w:w="5598" w:type="dxa"/>
            <w:shd w:val="clear" w:color="auto" w:fill="auto"/>
          </w:tcPr>
          <w:p w14:paraId="04C60289" w14:textId="77777777" w:rsidR="00F043A5" w:rsidRPr="00756BE8" w:rsidRDefault="00F043A5" w:rsidP="005E4C60">
            <w:pPr>
              <w:rPr>
                <w:sz w:val="20"/>
                <w:szCs w:val="20"/>
              </w:rPr>
            </w:pPr>
            <w:r w:rsidRPr="00756BE8">
              <w:rPr>
                <w:sz w:val="20"/>
                <w:szCs w:val="20"/>
              </w:rPr>
              <w:t>Merchant Wholesalers, Durable Goods</w:t>
            </w:r>
          </w:p>
        </w:tc>
      </w:tr>
      <w:tr w:rsidR="00F043A5" w14:paraId="04207002" w14:textId="77777777" w:rsidTr="00756BE8">
        <w:trPr>
          <w:jc w:val="center"/>
        </w:trPr>
        <w:tc>
          <w:tcPr>
            <w:tcW w:w="2178" w:type="dxa"/>
            <w:shd w:val="clear" w:color="auto" w:fill="auto"/>
          </w:tcPr>
          <w:p w14:paraId="4F52A0C9" w14:textId="77777777" w:rsidR="00F043A5" w:rsidRPr="00756BE8" w:rsidRDefault="00F043A5" w:rsidP="00756BE8">
            <w:pPr>
              <w:jc w:val="center"/>
              <w:rPr>
                <w:sz w:val="20"/>
                <w:szCs w:val="20"/>
              </w:rPr>
            </w:pPr>
            <w:r w:rsidRPr="00756BE8">
              <w:rPr>
                <w:sz w:val="20"/>
                <w:szCs w:val="20"/>
              </w:rPr>
              <w:t>424</w:t>
            </w:r>
          </w:p>
        </w:tc>
        <w:tc>
          <w:tcPr>
            <w:tcW w:w="5598" w:type="dxa"/>
            <w:shd w:val="clear" w:color="auto" w:fill="auto"/>
          </w:tcPr>
          <w:p w14:paraId="2FEF230D" w14:textId="77777777" w:rsidR="00F043A5" w:rsidRPr="00756BE8" w:rsidRDefault="00F043A5" w:rsidP="005E4C60">
            <w:pPr>
              <w:rPr>
                <w:sz w:val="20"/>
                <w:szCs w:val="20"/>
              </w:rPr>
            </w:pPr>
            <w:r w:rsidRPr="00756BE8">
              <w:rPr>
                <w:sz w:val="20"/>
                <w:szCs w:val="20"/>
              </w:rPr>
              <w:t>Nondurable Goods Merchant Wholesalers</w:t>
            </w:r>
          </w:p>
        </w:tc>
      </w:tr>
      <w:tr w:rsidR="00F043A5" w14:paraId="247A887E" w14:textId="77777777" w:rsidTr="00756BE8">
        <w:trPr>
          <w:jc w:val="center"/>
        </w:trPr>
        <w:tc>
          <w:tcPr>
            <w:tcW w:w="2178" w:type="dxa"/>
            <w:shd w:val="clear" w:color="auto" w:fill="auto"/>
          </w:tcPr>
          <w:p w14:paraId="6B75BEBC" w14:textId="77777777" w:rsidR="00F043A5" w:rsidRPr="00756BE8" w:rsidRDefault="00F043A5" w:rsidP="00756BE8">
            <w:pPr>
              <w:jc w:val="center"/>
              <w:rPr>
                <w:sz w:val="20"/>
                <w:szCs w:val="20"/>
              </w:rPr>
            </w:pPr>
            <w:r w:rsidRPr="00756BE8">
              <w:rPr>
                <w:sz w:val="20"/>
                <w:szCs w:val="20"/>
              </w:rPr>
              <w:t>441</w:t>
            </w:r>
          </w:p>
        </w:tc>
        <w:tc>
          <w:tcPr>
            <w:tcW w:w="5598" w:type="dxa"/>
            <w:shd w:val="clear" w:color="auto" w:fill="auto"/>
          </w:tcPr>
          <w:p w14:paraId="1F23337A" w14:textId="77777777" w:rsidR="00F043A5" w:rsidRPr="00756BE8" w:rsidRDefault="00F043A5" w:rsidP="005E4C60">
            <w:pPr>
              <w:rPr>
                <w:sz w:val="20"/>
                <w:szCs w:val="20"/>
              </w:rPr>
            </w:pPr>
            <w:r w:rsidRPr="00756BE8">
              <w:rPr>
                <w:sz w:val="20"/>
                <w:szCs w:val="20"/>
              </w:rPr>
              <w:t>Motor Vehicle and Parts Dealers</w:t>
            </w:r>
          </w:p>
        </w:tc>
      </w:tr>
      <w:tr w:rsidR="00F043A5" w14:paraId="1B8CF8FF" w14:textId="77777777" w:rsidTr="00756BE8">
        <w:trPr>
          <w:jc w:val="center"/>
        </w:trPr>
        <w:tc>
          <w:tcPr>
            <w:tcW w:w="2178" w:type="dxa"/>
            <w:shd w:val="clear" w:color="auto" w:fill="auto"/>
          </w:tcPr>
          <w:p w14:paraId="0BD313F5" w14:textId="77777777" w:rsidR="00F043A5" w:rsidRPr="00756BE8" w:rsidRDefault="00F043A5" w:rsidP="00756BE8">
            <w:pPr>
              <w:jc w:val="center"/>
              <w:rPr>
                <w:sz w:val="20"/>
                <w:szCs w:val="20"/>
              </w:rPr>
            </w:pPr>
            <w:r w:rsidRPr="00756BE8">
              <w:rPr>
                <w:sz w:val="20"/>
                <w:szCs w:val="20"/>
              </w:rPr>
              <w:t>446</w:t>
            </w:r>
          </w:p>
        </w:tc>
        <w:tc>
          <w:tcPr>
            <w:tcW w:w="5598" w:type="dxa"/>
            <w:shd w:val="clear" w:color="auto" w:fill="auto"/>
          </w:tcPr>
          <w:p w14:paraId="3BB14ABD" w14:textId="77777777" w:rsidR="00F043A5" w:rsidRPr="00756BE8" w:rsidRDefault="00F043A5" w:rsidP="005E4C60">
            <w:pPr>
              <w:rPr>
                <w:sz w:val="20"/>
                <w:szCs w:val="20"/>
              </w:rPr>
            </w:pPr>
            <w:r w:rsidRPr="00756BE8">
              <w:rPr>
                <w:sz w:val="20"/>
                <w:szCs w:val="20"/>
              </w:rPr>
              <w:t>Health and Personal Care Stores</w:t>
            </w:r>
          </w:p>
        </w:tc>
      </w:tr>
      <w:tr w:rsidR="00F043A5" w14:paraId="543499E8" w14:textId="77777777" w:rsidTr="00756BE8">
        <w:trPr>
          <w:jc w:val="center"/>
        </w:trPr>
        <w:tc>
          <w:tcPr>
            <w:tcW w:w="2178" w:type="dxa"/>
            <w:shd w:val="clear" w:color="auto" w:fill="auto"/>
          </w:tcPr>
          <w:p w14:paraId="0A391B4B" w14:textId="77777777" w:rsidR="00F043A5" w:rsidRPr="00756BE8" w:rsidRDefault="00F043A5" w:rsidP="00756BE8">
            <w:pPr>
              <w:jc w:val="center"/>
              <w:rPr>
                <w:sz w:val="20"/>
                <w:szCs w:val="20"/>
              </w:rPr>
            </w:pPr>
            <w:r w:rsidRPr="00756BE8">
              <w:rPr>
                <w:sz w:val="20"/>
                <w:szCs w:val="20"/>
              </w:rPr>
              <w:t>451</w:t>
            </w:r>
          </w:p>
        </w:tc>
        <w:tc>
          <w:tcPr>
            <w:tcW w:w="5598" w:type="dxa"/>
            <w:shd w:val="clear" w:color="auto" w:fill="auto"/>
          </w:tcPr>
          <w:p w14:paraId="4BD8B8C1" w14:textId="77777777" w:rsidR="00F043A5" w:rsidRPr="00756BE8" w:rsidRDefault="00F043A5" w:rsidP="005E4C60">
            <w:pPr>
              <w:rPr>
                <w:sz w:val="20"/>
                <w:szCs w:val="20"/>
              </w:rPr>
            </w:pPr>
            <w:r w:rsidRPr="00756BE8">
              <w:rPr>
                <w:sz w:val="20"/>
                <w:szCs w:val="20"/>
              </w:rPr>
              <w:t>Sporting Good, Hobby, Book and Music Stores</w:t>
            </w:r>
          </w:p>
        </w:tc>
      </w:tr>
      <w:tr w:rsidR="00F043A5" w14:paraId="049E066C" w14:textId="77777777" w:rsidTr="00756BE8">
        <w:trPr>
          <w:jc w:val="center"/>
        </w:trPr>
        <w:tc>
          <w:tcPr>
            <w:tcW w:w="2178" w:type="dxa"/>
            <w:shd w:val="clear" w:color="auto" w:fill="auto"/>
          </w:tcPr>
          <w:p w14:paraId="0101324D" w14:textId="77777777" w:rsidR="00F043A5" w:rsidRPr="00756BE8" w:rsidRDefault="00F043A5" w:rsidP="00756BE8">
            <w:pPr>
              <w:jc w:val="center"/>
              <w:rPr>
                <w:sz w:val="20"/>
                <w:szCs w:val="20"/>
              </w:rPr>
            </w:pPr>
            <w:r w:rsidRPr="00756BE8">
              <w:rPr>
                <w:sz w:val="20"/>
                <w:szCs w:val="20"/>
              </w:rPr>
              <w:t>481</w:t>
            </w:r>
          </w:p>
        </w:tc>
        <w:tc>
          <w:tcPr>
            <w:tcW w:w="5598" w:type="dxa"/>
            <w:shd w:val="clear" w:color="auto" w:fill="auto"/>
          </w:tcPr>
          <w:p w14:paraId="25F35F5C" w14:textId="77777777" w:rsidR="00F043A5" w:rsidRPr="00756BE8" w:rsidRDefault="00F043A5" w:rsidP="005E4C60">
            <w:pPr>
              <w:rPr>
                <w:sz w:val="20"/>
                <w:szCs w:val="20"/>
              </w:rPr>
            </w:pPr>
            <w:r w:rsidRPr="00756BE8">
              <w:rPr>
                <w:sz w:val="20"/>
                <w:szCs w:val="20"/>
              </w:rPr>
              <w:t>Air Transportation</w:t>
            </w:r>
          </w:p>
        </w:tc>
      </w:tr>
      <w:tr w:rsidR="00F043A5" w14:paraId="4DE8AAE9" w14:textId="77777777" w:rsidTr="00756BE8">
        <w:trPr>
          <w:jc w:val="center"/>
        </w:trPr>
        <w:tc>
          <w:tcPr>
            <w:tcW w:w="2178" w:type="dxa"/>
            <w:shd w:val="clear" w:color="auto" w:fill="auto"/>
          </w:tcPr>
          <w:p w14:paraId="3D690C7A" w14:textId="77777777" w:rsidR="00F043A5" w:rsidRPr="00756BE8" w:rsidRDefault="00F043A5" w:rsidP="00756BE8">
            <w:pPr>
              <w:jc w:val="center"/>
              <w:rPr>
                <w:sz w:val="20"/>
                <w:szCs w:val="20"/>
              </w:rPr>
            </w:pPr>
            <w:r w:rsidRPr="00756BE8">
              <w:rPr>
                <w:sz w:val="20"/>
                <w:szCs w:val="20"/>
              </w:rPr>
              <w:t>482</w:t>
            </w:r>
          </w:p>
        </w:tc>
        <w:tc>
          <w:tcPr>
            <w:tcW w:w="5598" w:type="dxa"/>
            <w:shd w:val="clear" w:color="auto" w:fill="auto"/>
          </w:tcPr>
          <w:p w14:paraId="02107F1A" w14:textId="77777777" w:rsidR="00F043A5" w:rsidRPr="00756BE8" w:rsidRDefault="00F043A5" w:rsidP="005E4C60">
            <w:pPr>
              <w:rPr>
                <w:sz w:val="20"/>
                <w:szCs w:val="20"/>
              </w:rPr>
            </w:pPr>
            <w:r w:rsidRPr="00756BE8">
              <w:rPr>
                <w:sz w:val="20"/>
                <w:szCs w:val="20"/>
              </w:rPr>
              <w:t>Rail Transportation</w:t>
            </w:r>
          </w:p>
        </w:tc>
      </w:tr>
      <w:tr w:rsidR="00F043A5" w14:paraId="38D4A18E" w14:textId="77777777" w:rsidTr="00756BE8">
        <w:trPr>
          <w:jc w:val="center"/>
        </w:trPr>
        <w:tc>
          <w:tcPr>
            <w:tcW w:w="2178" w:type="dxa"/>
            <w:shd w:val="clear" w:color="auto" w:fill="auto"/>
          </w:tcPr>
          <w:p w14:paraId="71F19BC3" w14:textId="77777777" w:rsidR="00F043A5" w:rsidRPr="00756BE8" w:rsidRDefault="00F043A5" w:rsidP="00756BE8">
            <w:pPr>
              <w:jc w:val="center"/>
              <w:rPr>
                <w:sz w:val="20"/>
                <w:szCs w:val="20"/>
              </w:rPr>
            </w:pPr>
            <w:r w:rsidRPr="00756BE8">
              <w:rPr>
                <w:sz w:val="20"/>
                <w:szCs w:val="20"/>
              </w:rPr>
              <w:t>486</w:t>
            </w:r>
          </w:p>
        </w:tc>
        <w:tc>
          <w:tcPr>
            <w:tcW w:w="5598" w:type="dxa"/>
            <w:shd w:val="clear" w:color="auto" w:fill="auto"/>
          </w:tcPr>
          <w:p w14:paraId="5CF186FE" w14:textId="77777777" w:rsidR="00F043A5" w:rsidRPr="00756BE8" w:rsidRDefault="00F043A5" w:rsidP="005E4C60">
            <w:pPr>
              <w:rPr>
                <w:sz w:val="20"/>
                <w:szCs w:val="20"/>
              </w:rPr>
            </w:pPr>
            <w:r w:rsidRPr="00756BE8">
              <w:rPr>
                <w:sz w:val="20"/>
                <w:szCs w:val="20"/>
              </w:rPr>
              <w:t>Pipeline Transportation</w:t>
            </w:r>
          </w:p>
        </w:tc>
      </w:tr>
      <w:tr w:rsidR="00424B75" w14:paraId="48A8AB6C" w14:textId="77777777" w:rsidTr="00756BE8">
        <w:trPr>
          <w:jc w:val="center"/>
        </w:trPr>
        <w:tc>
          <w:tcPr>
            <w:tcW w:w="2178" w:type="dxa"/>
            <w:shd w:val="clear" w:color="auto" w:fill="auto"/>
          </w:tcPr>
          <w:p w14:paraId="176A123C" w14:textId="6505F0F0" w:rsidR="00424B75" w:rsidRPr="00756BE8" w:rsidRDefault="00424B75" w:rsidP="00756BE8">
            <w:pPr>
              <w:jc w:val="center"/>
              <w:rPr>
                <w:sz w:val="20"/>
                <w:szCs w:val="20"/>
              </w:rPr>
            </w:pPr>
            <w:r>
              <w:rPr>
                <w:sz w:val="20"/>
                <w:szCs w:val="20"/>
              </w:rPr>
              <w:t>487110</w:t>
            </w:r>
          </w:p>
        </w:tc>
        <w:tc>
          <w:tcPr>
            <w:tcW w:w="5598" w:type="dxa"/>
            <w:shd w:val="clear" w:color="auto" w:fill="auto"/>
          </w:tcPr>
          <w:p w14:paraId="5B4A338E" w14:textId="467EE4DA" w:rsidR="00424B75" w:rsidRPr="00756BE8" w:rsidRDefault="00424B75" w:rsidP="005E4C60">
            <w:pPr>
              <w:rPr>
                <w:sz w:val="20"/>
                <w:szCs w:val="20"/>
              </w:rPr>
            </w:pPr>
            <w:r w:rsidRPr="00424B75">
              <w:rPr>
                <w:sz w:val="20"/>
                <w:szCs w:val="20"/>
              </w:rPr>
              <w:t>Scenic and Sightseeing Transportation, Land (Includes: railroad, scenic and sightseeing)</w:t>
            </w:r>
          </w:p>
        </w:tc>
      </w:tr>
      <w:tr w:rsidR="00F043A5" w14:paraId="64A155B7" w14:textId="77777777" w:rsidTr="00756BE8">
        <w:trPr>
          <w:jc w:val="center"/>
        </w:trPr>
        <w:tc>
          <w:tcPr>
            <w:tcW w:w="2178" w:type="dxa"/>
            <w:shd w:val="clear" w:color="auto" w:fill="auto"/>
          </w:tcPr>
          <w:p w14:paraId="504691E9" w14:textId="77777777" w:rsidR="00F043A5" w:rsidRPr="00756BE8" w:rsidRDefault="00F043A5" w:rsidP="00756BE8">
            <w:pPr>
              <w:jc w:val="center"/>
              <w:rPr>
                <w:sz w:val="20"/>
                <w:szCs w:val="20"/>
              </w:rPr>
            </w:pPr>
            <w:r w:rsidRPr="00756BE8">
              <w:rPr>
                <w:sz w:val="20"/>
                <w:szCs w:val="20"/>
              </w:rPr>
              <w:t>488</w:t>
            </w:r>
          </w:p>
        </w:tc>
        <w:tc>
          <w:tcPr>
            <w:tcW w:w="5598" w:type="dxa"/>
            <w:shd w:val="clear" w:color="auto" w:fill="auto"/>
          </w:tcPr>
          <w:p w14:paraId="3E5882DE" w14:textId="77777777" w:rsidR="00F043A5" w:rsidRPr="00756BE8" w:rsidRDefault="00F043A5" w:rsidP="005E4C60">
            <w:pPr>
              <w:rPr>
                <w:sz w:val="20"/>
                <w:szCs w:val="20"/>
              </w:rPr>
            </w:pPr>
            <w:r w:rsidRPr="00756BE8">
              <w:rPr>
                <w:sz w:val="20"/>
                <w:szCs w:val="20"/>
              </w:rPr>
              <w:t>Support Activities for Transportation</w:t>
            </w:r>
          </w:p>
        </w:tc>
      </w:tr>
      <w:tr w:rsidR="00424B75" w14:paraId="5195484D" w14:textId="77777777" w:rsidTr="00756BE8">
        <w:trPr>
          <w:jc w:val="center"/>
        </w:trPr>
        <w:tc>
          <w:tcPr>
            <w:tcW w:w="2178" w:type="dxa"/>
            <w:shd w:val="clear" w:color="auto" w:fill="auto"/>
          </w:tcPr>
          <w:p w14:paraId="6A39AB6B" w14:textId="44E798A0" w:rsidR="00424B75" w:rsidRPr="00756BE8" w:rsidRDefault="00424B75" w:rsidP="00756BE8">
            <w:pPr>
              <w:jc w:val="center"/>
              <w:rPr>
                <w:sz w:val="20"/>
                <w:szCs w:val="20"/>
              </w:rPr>
            </w:pPr>
            <w:r>
              <w:rPr>
                <w:sz w:val="20"/>
                <w:szCs w:val="20"/>
              </w:rPr>
              <w:t>488310</w:t>
            </w:r>
          </w:p>
        </w:tc>
        <w:tc>
          <w:tcPr>
            <w:tcW w:w="5598" w:type="dxa"/>
            <w:shd w:val="clear" w:color="auto" w:fill="auto"/>
          </w:tcPr>
          <w:p w14:paraId="41721B7C" w14:textId="75FB3618" w:rsidR="00424B75" w:rsidRPr="00756BE8" w:rsidRDefault="00424B75" w:rsidP="005E4C60">
            <w:pPr>
              <w:rPr>
                <w:sz w:val="20"/>
                <w:szCs w:val="20"/>
              </w:rPr>
            </w:pPr>
            <w:r w:rsidRPr="00424B75">
              <w:rPr>
                <w:sz w:val="20"/>
                <w:szCs w:val="20"/>
              </w:rPr>
              <w:t>Port and Harbor Operations (Used railroad ties)</w:t>
            </w:r>
          </w:p>
        </w:tc>
      </w:tr>
      <w:tr w:rsidR="00F043A5" w14:paraId="2B75068A" w14:textId="77777777" w:rsidTr="00756BE8">
        <w:trPr>
          <w:jc w:val="center"/>
        </w:trPr>
        <w:tc>
          <w:tcPr>
            <w:tcW w:w="2178" w:type="dxa"/>
            <w:shd w:val="clear" w:color="auto" w:fill="auto"/>
          </w:tcPr>
          <w:p w14:paraId="1C6229DF" w14:textId="77777777" w:rsidR="00F043A5" w:rsidRPr="00756BE8" w:rsidRDefault="00F043A5" w:rsidP="00756BE8">
            <w:pPr>
              <w:jc w:val="center"/>
              <w:rPr>
                <w:sz w:val="20"/>
                <w:szCs w:val="20"/>
              </w:rPr>
            </w:pPr>
            <w:r w:rsidRPr="00756BE8">
              <w:rPr>
                <w:sz w:val="20"/>
                <w:szCs w:val="20"/>
              </w:rPr>
              <w:t>493</w:t>
            </w:r>
          </w:p>
        </w:tc>
        <w:tc>
          <w:tcPr>
            <w:tcW w:w="5598" w:type="dxa"/>
            <w:shd w:val="clear" w:color="auto" w:fill="auto"/>
          </w:tcPr>
          <w:p w14:paraId="7CED020F" w14:textId="77777777" w:rsidR="00F043A5" w:rsidRPr="00756BE8" w:rsidRDefault="00F043A5" w:rsidP="005E4C60">
            <w:pPr>
              <w:rPr>
                <w:sz w:val="20"/>
                <w:szCs w:val="20"/>
              </w:rPr>
            </w:pPr>
            <w:r w:rsidRPr="00756BE8">
              <w:rPr>
                <w:sz w:val="20"/>
                <w:szCs w:val="20"/>
              </w:rPr>
              <w:t>Warehousing and Storage</w:t>
            </w:r>
          </w:p>
        </w:tc>
      </w:tr>
      <w:tr w:rsidR="00F043A5" w14:paraId="50B1E0A1" w14:textId="77777777" w:rsidTr="00756BE8">
        <w:trPr>
          <w:jc w:val="center"/>
        </w:trPr>
        <w:tc>
          <w:tcPr>
            <w:tcW w:w="2178" w:type="dxa"/>
            <w:shd w:val="clear" w:color="auto" w:fill="auto"/>
          </w:tcPr>
          <w:p w14:paraId="4388B72C" w14:textId="77777777" w:rsidR="00F043A5" w:rsidRPr="00756BE8" w:rsidRDefault="00F043A5" w:rsidP="00756BE8">
            <w:pPr>
              <w:jc w:val="center"/>
              <w:rPr>
                <w:sz w:val="20"/>
                <w:szCs w:val="20"/>
              </w:rPr>
            </w:pPr>
            <w:r w:rsidRPr="00756BE8">
              <w:rPr>
                <w:sz w:val="20"/>
                <w:szCs w:val="20"/>
              </w:rPr>
              <w:t>522</w:t>
            </w:r>
          </w:p>
        </w:tc>
        <w:tc>
          <w:tcPr>
            <w:tcW w:w="5598" w:type="dxa"/>
            <w:shd w:val="clear" w:color="auto" w:fill="auto"/>
          </w:tcPr>
          <w:p w14:paraId="6EE7E10F" w14:textId="77777777" w:rsidR="00F043A5" w:rsidRPr="00756BE8" w:rsidRDefault="00F043A5" w:rsidP="005E4C60">
            <w:pPr>
              <w:rPr>
                <w:sz w:val="20"/>
                <w:szCs w:val="20"/>
              </w:rPr>
            </w:pPr>
            <w:r w:rsidRPr="00756BE8">
              <w:rPr>
                <w:sz w:val="20"/>
                <w:szCs w:val="20"/>
              </w:rPr>
              <w:t>Credit Intermediation and Related Activities</w:t>
            </w:r>
          </w:p>
        </w:tc>
      </w:tr>
      <w:tr w:rsidR="00F043A5" w14:paraId="2577E0EB" w14:textId="77777777" w:rsidTr="00756BE8">
        <w:trPr>
          <w:jc w:val="center"/>
        </w:trPr>
        <w:tc>
          <w:tcPr>
            <w:tcW w:w="2178" w:type="dxa"/>
            <w:shd w:val="clear" w:color="auto" w:fill="auto"/>
          </w:tcPr>
          <w:p w14:paraId="530354C8" w14:textId="77777777" w:rsidR="00F043A5" w:rsidRPr="00756BE8" w:rsidRDefault="00F043A5" w:rsidP="00756BE8">
            <w:pPr>
              <w:jc w:val="center"/>
              <w:rPr>
                <w:sz w:val="20"/>
                <w:szCs w:val="20"/>
              </w:rPr>
            </w:pPr>
            <w:r w:rsidRPr="00756BE8">
              <w:rPr>
                <w:sz w:val="20"/>
                <w:szCs w:val="20"/>
              </w:rPr>
              <w:t>541</w:t>
            </w:r>
          </w:p>
        </w:tc>
        <w:tc>
          <w:tcPr>
            <w:tcW w:w="5598" w:type="dxa"/>
            <w:shd w:val="clear" w:color="auto" w:fill="auto"/>
          </w:tcPr>
          <w:p w14:paraId="41D863C2" w14:textId="77777777" w:rsidR="00F043A5" w:rsidRPr="00756BE8" w:rsidRDefault="00F043A5" w:rsidP="005E4C60">
            <w:pPr>
              <w:rPr>
                <w:sz w:val="20"/>
                <w:szCs w:val="20"/>
              </w:rPr>
            </w:pPr>
            <w:r w:rsidRPr="00756BE8">
              <w:rPr>
                <w:sz w:val="20"/>
                <w:szCs w:val="20"/>
              </w:rPr>
              <w:t>Professional, Scientific and Technical Services</w:t>
            </w:r>
          </w:p>
        </w:tc>
      </w:tr>
      <w:tr w:rsidR="00F043A5" w14:paraId="7954EDB1" w14:textId="77777777" w:rsidTr="00756BE8">
        <w:trPr>
          <w:jc w:val="center"/>
        </w:trPr>
        <w:tc>
          <w:tcPr>
            <w:tcW w:w="2178" w:type="dxa"/>
            <w:shd w:val="clear" w:color="auto" w:fill="auto"/>
          </w:tcPr>
          <w:p w14:paraId="02FC703D" w14:textId="77777777" w:rsidR="00F043A5" w:rsidRPr="00756BE8" w:rsidRDefault="00F043A5" w:rsidP="00756BE8">
            <w:pPr>
              <w:jc w:val="center"/>
              <w:rPr>
                <w:sz w:val="20"/>
                <w:szCs w:val="20"/>
              </w:rPr>
            </w:pPr>
            <w:r w:rsidRPr="00756BE8">
              <w:rPr>
                <w:sz w:val="20"/>
                <w:szCs w:val="20"/>
              </w:rPr>
              <w:t>561</w:t>
            </w:r>
          </w:p>
        </w:tc>
        <w:tc>
          <w:tcPr>
            <w:tcW w:w="5598" w:type="dxa"/>
            <w:shd w:val="clear" w:color="auto" w:fill="auto"/>
          </w:tcPr>
          <w:p w14:paraId="296A97F9" w14:textId="77777777" w:rsidR="00F043A5" w:rsidRPr="00756BE8" w:rsidRDefault="00F043A5" w:rsidP="005E4C60">
            <w:pPr>
              <w:rPr>
                <w:sz w:val="20"/>
                <w:szCs w:val="20"/>
              </w:rPr>
            </w:pPr>
            <w:r w:rsidRPr="00756BE8">
              <w:rPr>
                <w:sz w:val="20"/>
                <w:szCs w:val="20"/>
              </w:rPr>
              <w:t>Administrative and Support Services</w:t>
            </w:r>
          </w:p>
        </w:tc>
      </w:tr>
      <w:tr w:rsidR="00424B75" w14:paraId="12128F1B" w14:textId="77777777" w:rsidTr="00756BE8">
        <w:trPr>
          <w:jc w:val="center"/>
        </w:trPr>
        <w:tc>
          <w:tcPr>
            <w:tcW w:w="2178" w:type="dxa"/>
            <w:shd w:val="clear" w:color="auto" w:fill="auto"/>
          </w:tcPr>
          <w:p w14:paraId="14DBCADA" w14:textId="0E3BCD08" w:rsidR="00424B75" w:rsidRPr="00756BE8" w:rsidRDefault="00424B75" w:rsidP="00756BE8">
            <w:pPr>
              <w:jc w:val="center"/>
              <w:rPr>
                <w:sz w:val="20"/>
                <w:szCs w:val="20"/>
              </w:rPr>
            </w:pPr>
            <w:r>
              <w:rPr>
                <w:sz w:val="20"/>
                <w:szCs w:val="20"/>
              </w:rPr>
              <w:t>561730</w:t>
            </w:r>
          </w:p>
        </w:tc>
        <w:tc>
          <w:tcPr>
            <w:tcW w:w="5598" w:type="dxa"/>
            <w:shd w:val="clear" w:color="auto" w:fill="auto"/>
          </w:tcPr>
          <w:p w14:paraId="4F01C5EA" w14:textId="4793CBDE" w:rsidR="00424B75" w:rsidRPr="00756BE8" w:rsidRDefault="00424B75" w:rsidP="005E4C60">
            <w:pPr>
              <w:rPr>
                <w:sz w:val="20"/>
                <w:szCs w:val="20"/>
              </w:rPr>
            </w:pPr>
            <w:r w:rsidRPr="00424B75">
              <w:rPr>
                <w:sz w:val="20"/>
                <w:szCs w:val="20"/>
              </w:rPr>
              <w:t>Landscaping Services</w:t>
            </w:r>
          </w:p>
        </w:tc>
      </w:tr>
      <w:tr w:rsidR="00F043A5" w14:paraId="3E2DC263" w14:textId="77777777" w:rsidTr="00756BE8">
        <w:trPr>
          <w:jc w:val="center"/>
        </w:trPr>
        <w:tc>
          <w:tcPr>
            <w:tcW w:w="2178" w:type="dxa"/>
            <w:shd w:val="clear" w:color="auto" w:fill="auto"/>
          </w:tcPr>
          <w:p w14:paraId="4A2FA606" w14:textId="77777777" w:rsidR="00F043A5" w:rsidRPr="00756BE8" w:rsidRDefault="00F043A5" w:rsidP="00756BE8">
            <w:pPr>
              <w:jc w:val="center"/>
              <w:rPr>
                <w:sz w:val="20"/>
                <w:szCs w:val="20"/>
              </w:rPr>
            </w:pPr>
            <w:r w:rsidRPr="00756BE8">
              <w:rPr>
                <w:sz w:val="20"/>
                <w:szCs w:val="20"/>
              </w:rPr>
              <w:t>562</w:t>
            </w:r>
          </w:p>
        </w:tc>
        <w:tc>
          <w:tcPr>
            <w:tcW w:w="5598" w:type="dxa"/>
            <w:shd w:val="clear" w:color="auto" w:fill="auto"/>
          </w:tcPr>
          <w:p w14:paraId="2100FE70" w14:textId="77777777" w:rsidR="00F043A5" w:rsidRPr="00756BE8" w:rsidRDefault="00F043A5" w:rsidP="005E4C60">
            <w:pPr>
              <w:rPr>
                <w:sz w:val="20"/>
                <w:szCs w:val="20"/>
              </w:rPr>
            </w:pPr>
            <w:r w:rsidRPr="00756BE8">
              <w:rPr>
                <w:sz w:val="20"/>
                <w:szCs w:val="20"/>
              </w:rPr>
              <w:t>Waste Management and Remediation Services</w:t>
            </w:r>
          </w:p>
        </w:tc>
      </w:tr>
      <w:tr w:rsidR="00424B75" w14:paraId="656793E0" w14:textId="77777777" w:rsidTr="00756BE8">
        <w:trPr>
          <w:jc w:val="center"/>
        </w:trPr>
        <w:tc>
          <w:tcPr>
            <w:tcW w:w="2178" w:type="dxa"/>
            <w:shd w:val="clear" w:color="auto" w:fill="auto"/>
          </w:tcPr>
          <w:p w14:paraId="78B982A9" w14:textId="5B70697B" w:rsidR="00424B75" w:rsidRPr="00756BE8" w:rsidRDefault="00424B75" w:rsidP="00756BE8">
            <w:pPr>
              <w:jc w:val="center"/>
              <w:rPr>
                <w:sz w:val="20"/>
                <w:szCs w:val="20"/>
              </w:rPr>
            </w:pPr>
            <w:r>
              <w:rPr>
                <w:sz w:val="20"/>
                <w:szCs w:val="20"/>
              </w:rPr>
              <w:t>562111</w:t>
            </w:r>
          </w:p>
        </w:tc>
        <w:tc>
          <w:tcPr>
            <w:tcW w:w="5598" w:type="dxa"/>
            <w:shd w:val="clear" w:color="auto" w:fill="auto"/>
          </w:tcPr>
          <w:p w14:paraId="7FD69037" w14:textId="1F22F915" w:rsidR="00424B75" w:rsidRPr="00756BE8" w:rsidRDefault="00424B75" w:rsidP="005E4C60">
            <w:pPr>
              <w:rPr>
                <w:sz w:val="20"/>
                <w:szCs w:val="20"/>
              </w:rPr>
            </w:pPr>
            <w:r>
              <w:rPr>
                <w:sz w:val="20"/>
                <w:szCs w:val="20"/>
              </w:rPr>
              <w:t>Solid Waste Collection</w:t>
            </w:r>
          </w:p>
        </w:tc>
      </w:tr>
      <w:tr w:rsidR="00424B75" w14:paraId="655A4693" w14:textId="77777777" w:rsidTr="00756BE8">
        <w:trPr>
          <w:jc w:val="center"/>
        </w:trPr>
        <w:tc>
          <w:tcPr>
            <w:tcW w:w="2178" w:type="dxa"/>
            <w:shd w:val="clear" w:color="auto" w:fill="auto"/>
          </w:tcPr>
          <w:p w14:paraId="69BDB260" w14:textId="54D6FC0C" w:rsidR="00424B75" w:rsidRDefault="00424B75" w:rsidP="00756BE8">
            <w:pPr>
              <w:jc w:val="center"/>
              <w:rPr>
                <w:sz w:val="20"/>
                <w:szCs w:val="20"/>
              </w:rPr>
            </w:pPr>
            <w:r>
              <w:rPr>
                <w:sz w:val="20"/>
                <w:szCs w:val="20"/>
              </w:rPr>
              <w:t>562212</w:t>
            </w:r>
          </w:p>
        </w:tc>
        <w:tc>
          <w:tcPr>
            <w:tcW w:w="5598" w:type="dxa"/>
            <w:shd w:val="clear" w:color="auto" w:fill="auto"/>
          </w:tcPr>
          <w:p w14:paraId="2D710F07" w14:textId="2150473B" w:rsidR="00424B75" w:rsidRDefault="00424B75" w:rsidP="005E4C60">
            <w:pPr>
              <w:rPr>
                <w:sz w:val="20"/>
                <w:szCs w:val="20"/>
              </w:rPr>
            </w:pPr>
            <w:r w:rsidRPr="00424B75">
              <w:rPr>
                <w:sz w:val="20"/>
                <w:szCs w:val="20"/>
              </w:rPr>
              <w:t>Solid Waste Landfill</w:t>
            </w:r>
          </w:p>
        </w:tc>
      </w:tr>
      <w:tr w:rsidR="00424B75" w14:paraId="759859AD" w14:textId="77777777" w:rsidTr="00756BE8">
        <w:trPr>
          <w:jc w:val="center"/>
        </w:trPr>
        <w:tc>
          <w:tcPr>
            <w:tcW w:w="2178" w:type="dxa"/>
            <w:shd w:val="clear" w:color="auto" w:fill="auto"/>
          </w:tcPr>
          <w:p w14:paraId="65FF0117" w14:textId="033D2EEF" w:rsidR="00424B75" w:rsidRDefault="00424B75" w:rsidP="00756BE8">
            <w:pPr>
              <w:jc w:val="center"/>
              <w:rPr>
                <w:sz w:val="20"/>
                <w:szCs w:val="20"/>
              </w:rPr>
            </w:pPr>
            <w:r>
              <w:rPr>
                <w:sz w:val="20"/>
                <w:szCs w:val="20"/>
              </w:rPr>
              <w:t>562213</w:t>
            </w:r>
          </w:p>
        </w:tc>
        <w:tc>
          <w:tcPr>
            <w:tcW w:w="5598" w:type="dxa"/>
            <w:shd w:val="clear" w:color="auto" w:fill="auto"/>
          </w:tcPr>
          <w:p w14:paraId="02D9B8EF" w14:textId="1E6A9887" w:rsidR="00424B75" w:rsidRDefault="00424B75" w:rsidP="005E4C60">
            <w:pPr>
              <w:rPr>
                <w:sz w:val="20"/>
                <w:szCs w:val="20"/>
              </w:rPr>
            </w:pPr>
            <w:r w:rsidRPr="00424B75">
              <w:rPr>
                <w:sz w:val="20"/>
                <w:szCs w:val="20"/>
              </w:rPr>
              <w:t>Solid Waste Combustors and Incinerators</w:t>
            </w:r>
          </w:p>
        </w:tc>
      </w:tr>
      <w:tr w:rsidR="00F043A5" w14:paraId="5745C707" w14:textId="77777777" w:rsidTr="00756BE8">
        <w:trPr>
          <w:jc w:val="center"/>
        </w:trPr>
        <w:tc>
          <w:tcPr>
            <w:tcW w:w="2178" w:type="dxa"/>
            <w:shd w:val="clear" w:color="auto" w:fill="auto"/>
          </w:tcPr>
          <w:p w14:paraId="7C87368A" w14:textId="77777777" w:rsidR="00F043A5" w:rsidRPr="00756BE8" w:rsidRDefault="00F043A5" w:rsidP="00756BE8">
            <w:pPr>
              <w:jc w:val="center"/>
              <w:rPr>
                <w:sz w:val="20"/>
                <w:szCs w:val="20"/>
              </w:rPr>
            </w:pPr>
            <w:r w:rsidRPr="00756BE8">
              <w:rPr>
                <w:sz w:val="20"/>
                <w:szCs w:val="20"/>
              </w:rPr>
              <w:t>611</w:t>
            </w:r>
          </w:p>
        </w:tc>
        <w:tc>
          <w:tcPr>
            <w:tcW w:w="5598" w:type="dxa"/>
            <w:shd w:val="clear" w:color="auto" w:fill="auto"/>
          </w:tcPr>
          <w:p w14:paraId="6A443F85" w14:textId="77777777" w:rsidR="00F043A5" w:rsidRPr="00756BE8" w:rsidRDefault="00F043A5" w:rsidP="005E4C60">
            <w:pPr>
              <w:rPr>
                <w:sz w:val="20"/>
                <w:szCs w:val="20"/>
              </w:rPr>
            </w:pPr>
            <w:r w:rsidRPr="00756BE8">
              <w:rPr>
                <w:sz w:val="20"/>
                <w:szCs w:val="20"/>
              </w:rPr>
              <w:t>Educational Services</w:t>
            </w:r>
          </w:p>
        </w:tc>
      </w:tr>
      <w:tr w:rsidR="00F043A5" w14:paraId="351D5ED0" w14:textId="77777777" w:rsidTr="00756BE8">
        <w:trPr>
          <w:jc w:val="center"/>
        </w:trPr>
        <w:tc>
          <w:tcPr>
            <w:tcW w:w="2178" w:type="dxa"/>
            <w:shd w:val="clear" w:color="auto" w:fill="auto"/>
          </w:tcPr>
          <w:p w14:paraId="2AF13F18" w14:textId="77777777" w:rsidR="00F043A5" w:rsidRPr="00756BE8" w:rsidRDefault="00F043A5" w:rsidP="00756BE8">
            <w:pPr>
              <w:jc w:val="center"/>
              <w:rPr>
                <w:sz w:val="20"/>
                <w:szCs w:val="20"/>
              </w:rPr>
            </w:pPr>
            <w:r w:rsidRPr="00756BE8">
              <w:rPr>
                <w:sz w:val="20"/>
                <w:szCs w:val="20"/>
              </w:rPr>
              <w:t>622</w:t>
            </w:r>
          </w:p>
        </w:tc>
        <w:tc>
          <w:tcPr>
            <w:tcW w:w="5598" w:type="dxa"/>
            <w:shd w:val="clear" w:color="auto" w:fill="auto"/>
          </w:tcPr>
          <w:p w14:paraId="040E569C" w14:textId="77777777" w:rsidR="00F043A5" w:rsidRPr="00756BE8" w:rsidRDefault="00F043A5" w:rsidP="005E4C60">
            <w:pPr>
              <w:rPr>
                <w:sz w:val="20"/>
                <w:szCs w:val="20"/>
              </w:rPr>
            </w:pPr>
            <w:r w:rsidRPr="00756BE8">
              <w:rPr>
                <w:sz w:val="20"/>
                <w:szCs w:val="20"/>
              </w:rPr>
              <w:t>Hospitals</w:t>
            </w:r>
          </w:p>
        </w:tc>
      </w:tr>
      <w:tr w:rsidR="00424B75" w14:paraId="13B1C399" w14:textId="77777777" w:rsidTr="00756BE8">
        <w:trPr>
          <w:jc w:val="center"/>
        </w:trPr>
        <w:tc>
          <w:tcPr>
            <w:tcW w:w="2178" w:type="dxa"/>
            <w:shd w:val="clear" w:color="auto" w:fill="auto"/>
          </w:tcPr>
          <w:p w14:paraId="0FAF0B6F" w14:textId="34D880CB" w:rsidR="00424B75" w:rsidRPr="00756BE8" w:rsidRDefault="00424B75" w:rsidP="00756BE8">
            <w:pPr>
              <w:jc w:val="center"/>
              <w:rPr>
                <w:sz w:val="20"/>
                <w:szCs w:val="20"/>
              </w:rPr>
            </w:pPr>
            <w:r>
              <w:rPr>
                <w:sz w:val="20"/>
                <w:szCs w:val="20"/>
              </w:rPr>
              <w:t>713930</w:t>
            </w:r>
          </w:p>
        </w:tc>
        <w:tc>
          <w:tcPr>
            <w:tcW w:w="5598" w:type="dxa"/>
            <w:shd w:val="clear" w:color="auto" w:fill="auto"/>
          </w:tcPr>
          <w:p w14:paraId="49566D73" w14:textId="6B5F0AD5" w:rsidR="00424B75" w:rsidRPr="00756BE8" w:rsidRDefault="00424B75" w:rsidP="005E4C60">
            <w:pPr>
              <w:rPr>
                <w:sz w:val="20"/>
                <w:szCs w:val="20"/>
              </w:rPr>
            </w:pPr>
            <w:r w:rsidRPr="00424B75">
              <w:rPr>
                <w:sz w:val="20"/>
                <w:szCs w:val="20"/>
              </w:rPr>
              <w:t>Marinas</w:t>
            </w:r>
          </w:p>
        </w:tc>
      </w:tr>
      <w:tr w:rsidR="00F043A5" w14:paraId="72A0789B" w14:textId="77777777" w:rsidTr="00756BE8">
        <w:trPr>
          <w:jc w:val="center"/>
        </w:trPr>
        <w:tc>
          <w:tcPr>
            <w:tcW w:w="2178" w:type="dxa"/>
            <w:shd w:val="clear" w:color="auto" w:fill="auto"/>
          </w:tcPr>
          <w:p w14:paraId="42CB179F" w14:textId="77777777" w:rsidR="00F043A5" w:rsidRPr="00756BE8" w:rsidRDefault="00F043A5" w:rsidP="00756BE8">
            <w:pPr>
              <w:jc w:val="center"/>
              <w:rPr>
                <w:sz w:val="20"/>
                <w:szCs w:val="20"/>
              </w:rPr>
            </w:pPr>
            <w:r w:rsidRPr="00756BE8">
              <w:rPr>
                <w:sz w:val="20"/>
                <w:szCs w:val="20"/>
              </w:rPr>
              <w:t>721</w:t>
            </w:r>
          </w:p>
        </w:tc>
        <w:tc>
          <w:tcPr>
            <w:tcW w:w="5598" w:type="dxa"/>
            <w:shd w:val="clear" w:color="auto" w:fill="auto"/>
          </w:tcPr>
          <w:p w14:paraId="0456023C" w14:textId="77777777" w:rsidR="00F043A5" w:rsidRPr="00756BE8" w:rsidRDefault="00F043A5" w:rsidP="005E4C60">
            <w:pPr>
              <w:rPr>
                <w:sz w:val="20"/>
                <w:szCs w:val="20"/>
              </w:rPr>
            </w:pPr>
            <w:r w:rsidRPr="00756BE8">
              <w:rPr>
                <w:sz w:val="20"/>
                <w:szCs w:val="20"/>
              </w:rPr>
              <w:t>Accommodation</w:t>
            </w:r>
          </w:p>
        </w:tc>
      </w:tr>
      <w:tr w:rsidR="00F043A5" w14:paraId="64DFC80F" w14:textId="77777777" w:rsidTr="00756BE8">
        <w:trPr>
          <w:jc w:val="center"/>
        </w:trPr>
        <w:tc>
          <w:tcPr>
            <w:tcW w:w="2178" w:type="dxa"/>
            <w:shd w:val="clear" w:color="auto" w:fill="auto"/>
          </w:tcPr>
          <w:p w14:paraId="113FD716" w14:textId="77777777" w:rsidR="00F043A5" w:rsidRPr="00756BE8" w:rsidRDefault="00F043A5" w:rsidP="00756BE8">
            <w:pPr>
              <w:jc w:val="center"/>
              <w:rPr>
                <w:sz w:val="20"/>
                <w:szCs w:val="20"/>
              </w:rPr>
            </w:pPr>
            <w:r w:rsidRPr="00756BE8">
              <w:rPr>
                <w:sz w:val="20"/>
                <w:szCs w:val="20"/>
              </w:rPr>
              <w:t>811</w:t>
            </w:r>
          </w:p>
        </w:tc>
        <w:tc>
          <w:tcPr>
            <w:tcW w:w="5598" w:type="dxa"/>
            <w:shd w:val="clear" w:color="auto" w:fill="auto"/>
          </w:tcPr>
          <w:p w14:paraId="592B155F" w14:textId="77777777" w:rsidR="00F043A5" w:rsidRPr="00756BE8" w:rsidRDefault="00F043A5" w:rsidP="005E4C60">
            <w:pPr>
              <w:rPr>
                <w:sz w:val="20"/>
                <w:szCs w:val="20"/>
              </w:rPr>
            </w:pPr>
            <w:r w:rsidRPr="00756BE8">
              <w:rPr>
                <w:sz w:val="20"/>
                <w:szCs w:val="20"/>
              </w:rPr>
              <w:t>Repair and Maintenance</w:t>
            </w:r>
          </w:p>
        </w:tc>
      </w:tr>
      <w:tr w:rsidR="00F043A5" w14:paraId="4C71FD93" w14:textId="77777777" w:rsidTr="00756BE8">
        <w:trPr>
          <w:jc w:val="center"/>
        </w:trPr>
        <w:tc>
          <w:tcPr>
            <w:tcW w:w="2178" w:type="dxa"/>
            <w:shd w:val="clear" w:color="auto" w:fill="auto"/>
          </w:tcPr>
          <w:p w14:paraId="780ACC86" w14:textId="77777777" w:rsidR="00F043A5" w:rsidRPr="00756BE8" w:rsidRDefault="00F043A5" w:rsidP="00756BE8">
            <w:pPr>
              <w:jc w:val="center"/>
              <w:rPr>
                <w:sz w:val="20"/>
                <w:szCs w:val="20"/>
              </w:rPr>
            </w:pPr>
            <w:r w:rsidRPr="00756BE8">
              <w:rPr>
                <w:sz w:val="20"/>
                <w:szCs w:val="20"/>
              </w:rPr>
              <w:t>921</w:t>
            </w:r>
          </w:p>
        </w:tc>
        <w:tc>
          <w:tcPr>
            <w:tcW w:w="5598" w:type="dxa"/>
            <w:shd w:val="clear" w:color="auto" w:fill="auto"/>
          </w:tcPr>
          <w:p w14:paraId="51553228" w14:textId="77777777" w:rsidR="00F043A5" w:rsidRPr="00756BE8" w:rsidRDefault="00F043A5" w:rsidP="005E4C60">
            <w:pPr>
              <w:rPr>
                <w:sz w:val="20"/>
                <w:szCs w:val="20"/>
              </w:rPr>
            </w:pPr>
            <w:r w:rsidRPr="00756BE8">
              <w:rPr>
                <w:sz w:val="20"/>
                <w:szCs w:val="20"/>
              </w:rPr>
              <w:t>Public Administration</w:t>
            </w:r>
          </w:p>
        </w:tc>
      </w:tr>
      <w:tr w:rsidR="00F043A5" w14:paraId="7B7A727A" w14:textId="77777777" w:rsidTr="00756BE8">
        <w:trPr>
          <w:jc w:val="center"/>
        </w:trPr>
        <w:tc>
          <w:tcPr>
            <w:tcW w:w="2178" w:type="dxa"/>
            <w:shd w:val="clear" w:color="auto" w:fill="auto"/>
          </w:tcPr>
          <w:p w14:paraId="4C19D076" w14:textId="77777777" w:rsidR="00F043A5" w:rsidRPr="00756BE8" w:rsidRDefault="00F043A5" w:rsidP="00756BE8">
            <w:pPr>
              <w:jc w:val="center"/>
              <w:rPr>
                <w:sz w:val="20"/>
                <w:szCs w:val="20"/>
              </w:rPr>
            </w:pPr>
            <w:r w:rsidRPr="00756BE8">
              <w:rPr>
                <w:sz w:val="20"/>
                <w:szCs w:val="20"/>
              </w:rPr>
              <w:t>928</w:t>
            </w:r>
          </w:p>
        </w:tc>
        <w:tc>
          <w:tcPr>
            <w:tcW w:w="5598" w:type="dxa"/>
            <w:shd w:val="clear" w:color="auto" w:fill="auto"/>
          </w:tcPr>
          <w:p w14:paraId="155F1377" w14:textId="77777777" w:rsidR="00F043A5" w:rsidRPr="00756BE8" w:rsidRDefault="00F043A5" w:rsidP="005E4C60">
            <w:pPr>
              <w:rPr>
                <w:sz w:val="20"/>
                <w:szCs w:val="20"/>
              </w:rPr>
            </w:pPr>
            <w:r w:rsidRPr="00756BE8">
              <w:rPr>
                <w:sz w:val="20"/>
                <w:szCs w:val="20"/>
              </w:rPr>
              <w:t>Public Administration</w:t>
            </w:r>
          </w:p>
        </w:tc>
      </w:tr>
    </w:tbl>
    <w:p w14:paraId="1A9E1FE5" w14:textId="77777777" w:rsidR="00424B75" w:rsidRPr="00F20FBC" w:rsidRDefault="00424B75" w:rsidP="00424B75">
      <w:pPr>
        <w:numPr>
          <w:ilvl w:val="12"/>
          <w:numId w:val="0"/>
        </w:numPr>
        <w:spacing w:before="20" w:after="20"/>
        <w:ind w:left="810"/>
        <w:rPr>
          <w:bCs/>
          <w:sz w:val="22"/>
          <w:szCs w:val="22"/>
        </w:rPr>
      </w:pPr>
      <w:r w:rsidRPr="00F20FBC">
        <w:rPr>
          <w:bCs/>
          <w:sz w:val="22"/>
          <w:szCs w:val="22"/>
          <w:vertAlign w:val="superscript"/>
        </w:rPr>
        <w:t>a</w:t>
      </w:r>
      <w:r w:rsidRPr="00F20FBC">
        <w:rPr>
          <w:bCs/>
          <w:sz w:val="22"/>
          <w:szCs w:val="22"/>
        </w:rPr>
        <w:t xml:space="preserve"> Includes: Major Source Boilers, Area Source Boilers, and Solid Waste Incinerators</w:t>
      </w:r>
    </w:p>
    <w:p w14:paraId="23869FA5" w14:textId="3F3A4C50" w:rsidR="00F043A5" w:rsidRPr="00D15828" w:rsidRDefault="00424B75" w:rsidP="00E97EDC">
      <w:pPr>
        <w:keepNext/>
        <w:keepLines/>
        <w:ind w:left="810"/>
        <w:jc w:val="both"/>
      </w:pPr>
      <w:r w:rsidRPr="00F20FBC">
        <w:rPr>
          <w:sz w:val="22"/>
          <w:szCs w:val="22"/>
          <w:vertAlign w:val="superscript"/>
        </w:rPr>
        <w:t>b</w:t>
      </w:r>
      <w:r w:rsidRPr="00F20FBC">
        <w:rPr>
          <w:sz w:val="22"/>
          <w:szCs w:val="22"/>
        </w:rPr>
        <w:t xml:space="preserve"> NAICS - North American Industrial Classification System</w:t>
      </w:r>
    </w:p>
    <w:p w14:paraId="66DF2A3D" w14:textId="77777777" w:rsidR="00424B75" w:rsidRDefault="00424B75" w:rsidP="007E3287">
      <w:pPr>
        <w:ind w:firstLine="720"/>
      </w:pPr>
    </w:p>
    <w:p w14:paraId="7EA73103" w14:textId="19121C94" w:rsidR="007E3287" w:rsidRPr="00D15828" w:rsidRDefault="007E3287" w:rsidP="007E3287">
      <w:pPr>
        <w:ind w:firstLine="720"/>
      </w:pPr>
      <w:r w:rsidRPr="00D15828">
        <w:t xml:space="preserve">This table is not intended to be exhaustive, but rather provides a guide for readers regarding entities likely to be impacted by this action. </w:t>
      </w:r>
    </w:p>
    <w:p w14:paraId="6F104981" w14:textId="77777777" w:rsidR="007E3287" w:rsidRPr="00D15828" w:rsidRDefault="007E3287" w:rsidP="007E3287"/>
    <w:p w14:paraId="5EE0DF29" w14:textId="77777777" w:rsidR="007E3287" w:rsidRPr="00D15828" w:rsidRDefault="007E3287" w:rsidP="007E3287">
      <w:pPr>
        <w:ind w:firstLine="720"/>
        <w:rPr>
          <w:b/>
        </w:rPr>
      </w:pPr>
      <w:r w:rsidRPr="00D15828">
        <w:rPr>
          <w:b/>
        </w:rPr>
        <w:t>4(b)</w:t>
      </w:r>
      <w:r w:rsidRPr="00D15828">
        <w:rPr>
          <w:b/>
        </w:rPr>
        <w:tab/>
        <w:t>Information Requested</w:t>
      </w:r>
    </w:p>
    <w:p w14:paraId="73DE0720" w14:textId="77777777" w:rsidR="007E3287" w:rsidRPr="00D15828" w:rsidRDefault="007E3287" w:rsidP="007E3287">
      <w:pPr>
        <w:jc w:val="both"/>
        <w:rPr>
          <w:szCs w:val="28"/>
        </w:rPr>
      </w:pPr>
    </w:p>
    <w:p w14:paraId="27C451A9" w14:textId="425E5B87" w:rsidR="007E3287" w:rsidRPr="00D15828" w:rsidRDefault="007E3287" w:rsidP="007E3287">
      <w:pPr>
        <w:pStyle w:val="CM25"/>
        <w:tabs>
          <w:tab w:val="left" w:pos="8640"/>
          <w:tab w:val="left" w:pos="8730"/>
        </w:tabs>
        <w:spacing w:line="283" w:lineRule="atLeast"/>
        <w:ind w:firstLine="720"/>
        <w:rPr>
          <w:rFonts w:ascii="Times New Roman" w:hAnsi="Times New Roman"/>
        </w:rPr>
      </w:pPr>
      <w:r w:rsidRPr="00D15828">
        <w:rPr>
          <w:rFonts w:ascii="Times New Roman" w:hAnsi="Times New Roman"/>
        </w:rPr>
        <w:t>This section describes information collection requirements applicable to entities that</w:t>
      </w:r>
      <w:r w:rsidR="00F55DB1">
        <w:rPr>
          <w:rFonts w:ascii="Times New Roman" w:hAnsi="Times New Roman"/>
        </w:rPr>
        <w:t xml:space="preserve"> </w:t>
      </w:r>
      <w:r w:rsidR="00C46D6A">
        <w:rPr>
          <w:rFonts w:ascii="Times New Roman" w:hAnsi="Times New Roman"/>
        </w:rPr>
        <w:t>may</w:t>
      </w:r>
      <w:r w:rsidR="00F55DB1">
        <w:rPr>
          <w:rFonts w:ascii="Times New Roman" w:hAnsi="Times New Roman"/>
        </w:rPr>
        <w:t xml:space="preserve"> </w:t>
      </w:r>
      <w:r w:rsidR="00F164D2">
        <w:rPr>
          <w:rFonts w:ascii="Times New Roman" w:hAnsi="Times New Roman"/>
        </w:rPr>
        <w:t>be</w:t>
      </w:r>
      <w:r w:rsidRPr="00D15828">
        <w:rPr>
          <w:rFonts w:ascii="Times New Roman" w:hAnsi="Times New Roman"/>
        </w:rPr>
        <w:t xml:space="preserve"> affected by the </w:t>
      </w:r>
      <w:r w:rsidR="003D0174">
        <w:rPr>
          <w:bCs/>
        </w:rPr>
        <w:t>NHSM</w:t>
      </w:r>
      <w:r w:rsidR="00B554A7">
        <w:rPr>
          <w:bCs/>
        </w:rPr>
        <w:t xml:space="preserve"> Final </w:t>
      </w:r>
      <w:r w:rsidR="00F55DB1" w:rsidRPr="00F20FBC">
        <w:rPr>
          <w:bCs/>
        </w:rPr>
        <w:t>Rule</w:t>
      </w:r>
      <w:r w:rsidR="00F55DB1">
        <w:rPr>
          <w:bCs/>
        </w:rPr>
        <w:t xml:space="preserve"> and its subsequent amendments. </w:t>
      </w:r>
      <w:r w:rsidR="00F55DB1" w:rsidRPr="00F20FBC">
        <w:rPr>
          <w:bCs/>
        </w:rPr>
        <w:t xml:space="preserve"> </w:t>
      </w:r>
    </w:p>
    <w:p w14:paraId="317D7DC3" w14:textId="084FF3B6" w:rsidR="007E3287" w:rsidRPr="00D15828" w:rsidRDefault="00456C0B" w:rsidP="007E3287">
      <w:pPr>
        <w:pStyle w:val="CM25"/>
        <w:spacing w:line="276" w:lineRule="atLeast"/>
        <w:ind w:firstLine="720"/>
        <w:outlineLvl w:val="0"/>
        <w:rPr>
          <w:rFonts w:ascii="Times New Roman" w:hAnsi="Times New Roman"/>
          <w:b/>
          <w:bCs/>
        </w:rPr>
      </w:pPr>
      <w:r>
        <w:rPr>
          <w:rFonts w:ascii="Times New Roman" w:hAnsi="Times New Roman"/>
          <w:b/>
          <w:bCs/>
        </w:rPr>
        <w:t xml:space="preserve">40 CFR </w:t>
      </w:r>
      <w:r w:rsidR="003A15A6">
        <w:rPr>
          <w:rFonts w:ascii="Times New Roman" w:hAnsi="Times New Roman"/>
          <w:b/>
          <w:bCs/>
        </w:rPr>
        <w:t>241.3(c) Petition Process</w:t>
      </w:r>
    </w:p>
    <w:p w14:paraId="364E729D" w14:textId="77777777" w:rsidR="007E3287" w:rsidRPr="00D15828" w:rsidRDefault="007E3287" w:rsidP="007E3287">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14:paraId="7A8FC387" w14:textId="1ADD21A6" w:rsidR="007E3287" w:rsidRPr="00D15828" w:rsidRDefault="002F146D" w:rsidP="007E3287">
      <w:pPr>
        <w:pStyle w:val="BodyTextIndent"/>
      </w:pPr>
      <w:r w:rsidRPr="00044B38">
        <w:t xml:space="preserve">The </w:t>
      </w:r>
      <w:r w:rsidR="00CB58D9" w:rsidRPr="00044B38">
        <w:t>201</w:t>
      </w:r>
      <w:r w:rsidR="001F42BF">
        <w:t>1</w:t>
      </w:r>
      <w:r w:rsidR="00CB58D9" w:rsidRPr="00044B38">
        <w:t xml:space="preserve"> </w:t>
      </w:r>
      <w:r w:rsidRPr="00044B38">
        <w:t>Final Rule</w:t>
      </w:r>
      <w:r w:rsidRPr="002F146D">
        <w:t xml:space="preserve"> establishe</w:t>
      </w:r>
      <w:r w:rsidR="001F42BF">
        <w:t>d</w:t>
      </w:r>
      <w:r w:rsidRPr="002F146D">
        <w:t xml:space="preserve"> a non-waste determination petition</w:t>
      </w:r>
      <w:r w:rsidR="004171BF">
        <w:t xml:space="preserve"> (</w:t>
      </w:r>
      <w:r w:rsidR="00E0267D" w:rsidRPr="000D12E3">
        <w:rPr>
          <w:i/>
        </w:rPr>
        <w:t>See</w:t>
      </w:r>
      <w:r w:rsidR="00E0267D">
        <w:t xml:space="preserve"> </w:t>
      </w:r>
      <w:r w:rsidR="004171BF">
        <w:t>40 CFR 241.3(c))</w:t>
      </w:r>
      <w:r w:rsidRPr="002F146D">
        <w:t xml:space="preserve"> process</w:t>
      </w:r>
      <w:r w:rsidR="00764A53">
        <w:t xml:space="preserve">.  That process </w:t>
      </w:r>
      <w:r w:rsidRPr="002F146D">
        <w:t xml:space="preserve"> provides persons with administrative proc</w:t>
      </w:r>
      <w:r w:rsidR="00764A53">
        <w:t>edures</w:t>
      </w:r>
      <w:r w:rsidRPr="002F146D">
        <w:t xml:space="preserve"> for receiving a formal determination from the EPA Regional Administrator that </w:t>
      </w:r>
      <w:r w:rsidR="003D0174">
        <w:t>NHSM</w:t>
      </w:r>
      <w:r w:rsidRPr="002F146D">
        <w:t xml:space="preserve"> that are burned as a fuel</w:t>
      </w:r>
      <w:r w:rsidR="00F47256">
        <w:t xml:space="preserve">, </w:t>
      </w:r>
      <w:r w:rsidRPr="002F146D">
        <w:t>have not been managed within the control of the generator, have not been discard</w:t>
      </w:r>
      <w:r>
        <w:t>ed, and are</w:t>
      </w:r>
      <w:r w:rsidRPr="002F146D">
        <w:t xml:space="preserve"> indistinguishable in all relevant aspects from a fuel product</w:t>
      </w:r>
      <w:r w:rsidR="00F47256">
        <w:t>,</w:t>
      </w:r>
      <w:r w:rsidRPr="002F146D">
        <w:t xml:space="preserve"> </w:t>
      </w:r>
      <w:r>
        <w:t>are</w:t>
      </w:r>
      <w:r w:rsidRPr="002F146D">
        <w:t xml:space="preserve"> not a solid waste when used as a legitimate fuel in a combustion unit. </w:t>
      </w:r>
      <w:r w:rsidR="007E3287" w:rsidRPr="00D15828">
        <w:t xml:space="preserve">To receive consideration, a petitioner must request a case-specific non-waste determination. While the process is voluntary, it requires the petitioner to provide information describing how the secondary materials satisfy the legitimacy criteria, along with analysis of certain market, human and environmental health, and other factors.  </w:t>
      </w:r>
    </w:p>
    <w:p w14:paraId="784D11B8" w14:textId="2B2818B4" w:rsidR="007E3287" w:rsidRPr="00D15828" w:rsidRDefault="007E3287" w:rsidP="007E3287">
      <w:pPr>
        <w:pStyle w:val="CM30"/>
        <w:spacing w:after="0" w:line="283" w:lineRule="atLeast"/>
        <w:ind w:left="720"/>
        <w:jc w:val="both"/>
        <w:rPr>
          <w:rFonts w:ascii="Times New Roman" w:hAnsi="Times New Roman"/>
        </w:rPr>
      </w:pPr>
      <w:r w:rsidRPr="00D15828">
        <w:rPr>
          <w:rFonts w:ascii="Times New Roman" w:hAnsi="Times New Roman"/>
        </w:rPr>
        <w:t xml:space="preserve">(ii) </w:t>
      </w:r>
      <w:r w:rsidRPr="00D15828">
        <w:rPr>
          <w:rFonts w:ascii="Times New Roman" w:hAnsi="Times New Roman"/>
          <w:u w:val="single"/>
        </w:rPr>
        <w:t>Respondent activities</w:t>
      </w:r>
      <w:r w:rsidRPr="00D15828">
        <w:rPr>
          <w:rFonts w:ascii="Times New Roman" w:hAnsi="Times New Roman"/>
        </w:rPr>
        <w:t xml:space="preserve">: </w:t>
      </w:r>
    </w:p>
    <w:p w14:paraId="3FADAD77" w14:textId="77777777" w:rsidR="007E3287" w:rsidRPr="00D15828" w:rsidRDefault="007E3287" w:rsidP="007E3287">
      <w:pPr>
        <w:pStyle w:val="Default"/>
      </w:pPr>
    </w:p>
    <w:p w14:paraId="04E47E2F" w14:textId="30609461" w:rsidR="007E3287" w:rsidRPr="00D15828" w:rsidRDefault="007E3287" w:rsidP="006C2E31">
      <w:pPr>
        <w:pStyle w:val="BodyTextIndent"/>
      </w:pPr>
      <w:r w:rsidRPr="00D15828">
        <w:t xml:space="preserve">In order for EPA to grant the non-waste determination, a petitioner must show </w:t>
      </w:r>
      <w:r w:rsidR="00C15242" w:rsidRPr="00C15242">
        <w:t xml:space="preserve">that </w:t>
      </w:r>
      <w:r w:rsidR="00C15242">
        <w:t>the material in question</w:t>
      </w:r>
      <w:r w:rsidR="00C15242" w:rsidRPr="00C15242">
        <w:t xml:space="preserve"> was not initially abandoned or thrown away by the generator. After demonstrating that the </w:t>
      </w:r>
      <w:r w:rsidR="00F47256">
        <w:t>NHSM</w:t>
      </w:r>
      <w:r w:rsidR="00C15242" w:rsidRPr="00C15242">
        <w:t>l has not been discarded in the first instance, the petitioner must then demonstrate that the material is indistinguishable in all relevant aspects from a fuel product by showing that it satisfies all of the following five criteria:  (1) whether market participants handle the non-hazardous secondary material as a fuel rather than a waste; (2) whether t</w:t>
      </w:r>
      <w:r w:rsidR="002314C0">
        <w:t>he chemical and physical identit</w:t>
      </w:r>
      <w:r w:rsidR="00C15242" w:rsidRPr="00C15242">
        <w:t xml:space="preserve">y of the non-hazardous secondary material is comparable to a commercial fuel; (3) whether the capacity of the market would use the non-hazardous secondary material in a reasonable time frame; (4) whether the constituents in the non-hazardous secondary material are released to the air, water or land from the point of generation to the point just prior to combustion of the non-hazardous secondary material at levels comparable to what would otherwise be released from traditional fuels; and (5) other relevant factors.  </w:t>
      </w:r>
    </w:p>
    <w:p w14:paraId="21646198" w14:textId="04291420" w:rsidR="003C095F" w:rsidRDefault="00456C0B" w:rsidP="007E3287">
      <w:pPr>
        <w:pStyle w:val="CM25"/>
        <w:spacing w:line="276" w:lineRule="atLeast"/>
        <w:ind w:left="720"/>
        <w:outlineLvl w:val="0"/>
        <w:rPr>
          <w:rFonts w:ascii="Times New Roman" w:hAnsi="Times New Roman"/>
          <w:b/>
          <w:bCs/>
        </w:rPr>
      </w:pPr>
      <w:r>
        <w:rPr>
          <w:rFonts w:ascii="Times New Roman" w:hAnsi="Times New Roman"/>
          <w:b/>
          <w:bCs/>
        </w:rPr>
        <w:t>40 CFR</w:t>
      </w:r>
      <w:r w:rsidR="00661F5D">
        <w:rPr>
          <w:rFonts w:ascii="Times New Roman" w:hAnsi="Times New Roman"/>
          <w:b/>
          <w:bCs/>
        </w:rPr>
        <w:t xml:space="preserve"> 241.4</w:t>
      </w:r>
      <w:r w:rsidR="003C095F">
        <w:rPr>
          <w:rFonts w:ascii="Times New Roman" w:hAnsi="Times New Roman"/>
          <w:b/>
          <w:bCs/>
        </w:rPr>
        <w:t xml:space="preserve"> Petition Process</w:t>
      </w:r>
    </w:p>
    <w:p w14:paraId="2906EFE6" w14:textId="543169AB" w:rsidR="00076B13" w:rsidRDefault="00D91D90" w:rsidP="006C2E31">
      <w:pPr>
        <w:pStyle w:val="Default"/>
        <w:ind w:left="1350" w:hanging="630"/>
      </w:pPr>
      <w:r>
        <w:t>(</w:t>
      </w:r>
      <w:r w:rsidR="00C1367B" w:rsidRPr="006C2E31">
        <w:t>i</w:t>
      </w:r>
      <w:r>
        <w:t>)</w:t>
      </w:r>
      <w:r w:rsidR="00C1367B">
        <w:t xml:space="preserve"> </w:t>
      </w:r>
      <w:r w:rsidR="00C622DC" w:rsidRPr="000D12E3">
        <w:rPr>
          <w:u w:val="single"/>
        </w:rPr>
        <w:t xml:space="preserve">Data </w:t>
      </w:r>
      <w:r w:rsidR="00E226BE">
        <w:rPr>
          <w:u w:val="single"/>
        </w:rPr>
        <w:t>i</w:t>
      </w:r>
      <w:r w:rsidR="00C622DC" w:rsidRPr="000D12E3">
        <w:rPr>
          <w:u w:val="single"/>
        </w:rPr>
        <w:t>tems</w:t>
      </w:r>
      <w:r w:rsidR="00E226BE">
        <w:rPr>
          <w:u w:val="single"/>
        </w:rPr>
        <w:t>:</w:t>
      </w:r>
    </w:p>
    <w:p w14:paraId="5871043F" w14:textId="77777777" w:rsidR="00C1367B" w:rsidRPr="000D12E3" w:rsidRDefault="00C1367B" w:rsidP="000D12E3">
      <w:pPr>
        <w:pStyle w:val="Default"/>
        <w:ind w:left="1350" w:hanging="630"/>
      </w:pPr>
    </w:p>
    <w:p w14:paraId="3889F8D9" w14:textId="39A2BD8F" w:rsidR="00BE2C20" w:rsidRDefault="003C095F" w:rsidP="000D12E3">
      <w:pPr>
        <w:autoSpaceDE w:val="0"/>
        <w:autoSpaceDN w:val="0"/>
        <w:adjustRightInd w:val="0"/>
        <w:ind w:firstLine="630"/>
        <w:rPr>
          <w:color w:val="000000"/>
        </w:rPr>
      </w:pPr>
      <w:r w:rsidRPr="000D12E3">
        <w:rPr>
          <w:color w:val="000000"/>
        </w:rPr>
        <w:t>The EPA recognize</w:t>
      </w:r>
      <w:r w:rsidR="00F16A8F">
        <w:rPr>
          <w:color w:val="000000"/>
        </w:rPr>
        <w:t>d</w:t>
      </w:r>
      <w:r w:rsidRPr="000D12E3">
        <w:rPr>
          <w:color w:val="000000"/>
        </w:rPr>
        <w:t xml:space="preserve"> that there may be NHSMs that can be considered non-wastes when used as</w:t>
      </w:r>
      <w:r w:rsidR="002C54DC" w:rsidRPr="000D12E3">
        <w:rPr>
          <w:color w:val="000000"/>
        </w:rPr>
        <w:t xml:space="preserve"> </w:t>
      </w:r>
      <w:r w:rsidRPr="000D12E3">
        <w:rPr>
          <w:color w:val="000000"/>
        </w:rPr>
        <w:t>fuels in combustion units when</w:t>
      </w:r>
      <w:r w:rsidR="002C54DC" w:rsidRPr="000D12E3">
        <w:rPr>
          <w:color w:val="000000"/>
        </w:rPr>
        <w:t xml:space="preserve"> </w:t>
      </w:r>
      <w:r w:rsidRPr="000D12E3">
        <w:rPr>
          <w:color w:val="000000"/>
        </w:rPr>
        <w:t>balancing the legitimacy criteria and</w:t>
      </w:r>
      <w:r w:rsidR="002C54DC" w:rsidRPr="000D12E3">
        <w:rPr>
          <w:color w:val="000000"/>
        </w:rPr>
        <w:t xml:space="preserve"> </w:t>
      </w:r>
      <w:r w:rsidRPr="000D12E3">
        <w:rPr>
          <w:color w:val="000000"/>
        </w:rPr>
        <w:t>other relevant factors. Thus, under</w:t>
      </w:r>
      <w:r w:rsidR="002C54DC" w:rsidRPr="000D12E3">
        <w:rPr>
          <w:color w:val="000000"/>
        </w:rPr>
        <w:t xml:space="preserve"> </w:t>
      </w:r>
      <w:r w:rsidR="00F16A8F">
        <w:rPr>
          <w:color w:val="000000"/>
        </w:rPr>
        <w:t>the February 2013 amendments, the Agenc</w:t>
      </w:r>
      <w:r w:rsidR="00371209">
        <w:rPr>
          <w:color w:val="000000"/>
        </w:rPr>
        <w:t>y f</w:t>
      </w:r>
      <w:r w:rsidRPr="000D12E3">
        <w:rPr>
          <w:color w:val="000000"/>
        </w:rPr>
        <w:t>inaliz</w:t>
      </w:r>
      <w:r w:rsidR="00371209">
        <w:rPr>
          <w:color w:val="000000"/>
        </w:rPr>
        <w:t>ed</w:t>
      </w:r>
      <w:r w:rsidRPr="000D12E3">
        <w:rPr>
          <w:color w:val="000000"/>
        </w:rPr>
        <w:t xml:space="preserve"> the</w:t>
      </w:r>
      <w:r w:rsidR="002C54DC" w:rsidRPr="000D12E3">
        <w:rPr>
          <w:color w:val="000000"/>
        </w:rPr>
        <w:t xml:space="preserve"> </w:t>
      </w:r>
      <w:r w:rsidRPr="000D12E3">
        <w:rPr>
          <w:color w:val="000000"/>
        </w:rPr>
        <w:t>process whereby persons can submit a</w:t>
      </w:r>
      <w:r w:rsidR="002C54DC" w:rsidRPr="000D12E3">
        <w:rPr>
          <w:color w:val="000000"/>
        </w:rPr>
        <w:t xml:space="preserve"> </w:t>
      </w:r>
      <w:r w:rsidRPr="000D12E3">
        <w:rPr>
          <w:color w:val="000000"/>
        </w:rPr>
        <w:t>rulemaking petition to the</w:t>
      </w:r>
      <w:r w:rsidR="002C54DC" w:rsidRPr="000D12E3">
        <w:rPr>
          <w:color w:val="000000"/>
        </w:rPr>
        <w:t xml:space="preserve"> </w:t>
      </w:r>
      <w:r w:rsidRPr="000D12E3">
        <w:rPr>
          <w:color w:val="000000"/>
        </w:rPr>
        <w:t>Administrator where they can identify</w:t>
      </w:r>
      <w:r w:rsidR="002C54DC" w:rsidRPr="000D12E3">
        <w:rPr>
          <w:color w:val="000000"/>
        </w:rPr>
        <w:t xml:space="preserve"> </w:t>
      </w:r>
      <w:r w:rsidRPr="000D12E3">
        <w:rPr>
          <w:color w:val="000000"/>
        </w:rPr>
        <w:t>and request that additional NHSMs be</w:t>
      </w:r>
      <w:r w:rsidR="002C54DC" w:rsidRPr="000D12E3">
        <w:rPr>
          <w:color w:val="000000"/>
        </w:rPr>
        <w:t xml:space="preserve"> </w:t>
      </w:r>
      <w:r w:rsidRPr="000D12E3">
        <w:rPr>
          <w:color w:val="000000"/>
        </w:rPr>
        <w:t xml:space="preserve">listed in </w:t>
      </w:r>
      <w:r w:rsidR="00E0267D">
        <w:rPr>
          <w:color w:val="000000"/>
        </w:rPr>
        <w:t>40 CFR</w:t>
      </w:r>
      <w:r w:rsidRPr="000D12E3">
        <w:rPr>
          <w:color w:val="000000"/>
        </w:rPr>
        <w:t xml:space="preserve"> 241.4. </w:t>
      </w:r>
      <w:r w:rsidR="00F47256">
        <w:rPr>
          <w:color w:val="000000"/>
        </w:rPr>
        <w:t xml:space="preserve"> Facilities burning these categorical non-wastes for energy recovery  will not need to demonstrate that the NHSM meets legitimacy criteria on a site-by-site basis.</w:t>
      </w:r>
    </w:p>
    <w:p w14:paraId="7837C171" w14:textId="77777777" w:rsidR="00C1367B" w:rsidRDefault="00C1367B" w:rsidP="000D12E3">
      <w:pPr>
        <w:autoSpaceDE w:val="0"/>
        <w:autoSpaceDN w:val="0"/>
        <w:adjustRightInd w:val="0"/>
        <w:rPr>
          <w:color w:val="000000"/>
        </w:rPr>
      </w:pPr>
    </w:p>
    <w:p w14:paraId="2E38A67E" w14:textId="334EE3E7" w:rsidR="00BE2C20" w:rsidRPr="000D12E3" w:rsidRDefault="00E226BE" w:rsidP="000D12E3">
      <w:pPr>
        <w:autoSpaceDE w:val="0"/>
        <w:autoSpaceDN w:val="0"/>
        <w:adjustRightInd w:val="0"/>
        <w:ind w:left="720"/>
        <w:rPr>
          <w:color w:val="000000"/>
        </w:rPr>
      </w:pPr>
      <w:r>
        <w:rPr>
          <w:color w:val="000000"/>
        </w:rPr>
        <w:t xml:space="preserve">(ii) </w:t>
      </w:r>
      <w:r w:rsidR="00BE2C20" w:rsidRPr="000D12E3">
        <w:rPr>
          <w:color w:val="000000"/>
          <w:u w:val="single"/>
        </w:rPr>
        <w:t xml:space="preserve">Respondents </w:t>
      </w:r>
      <w:r w:rsidRPr="000D12E3">
        <w:rPr>
          <w:color w:val="000000"/>
          <w:u w:val="single"/>
        </w:rPr>
        <w:t>a</w:t>
      </w:r>
      <w:r w:rsidR="00BE2C20" w:rsidRPr="000D12E3">
        <w:rPr>
          <w:color w:val="000000"/>
          <w:u w:val="single"/>
        </w:rPr>
        <w:t>ctivities</w:t>
      </w:r>
      <w:r>
        <w:rPr>
          <w:color w:val="000000"/>
        </w:rPr>
        <w:t>:</w:t>
      </w:r>
    </w:p>
    <w:p w14:paraId="7F889013" w14:textId="77777777" w:rsidR="00BE2C20" w:rsidRDefault="00BE2C20" w:rsidP="000D12E3">
      <w:pPr>
        <w:autoSpaceDE w:val="0"/>
        <w:autoSpaceDN w:val="0"/>
        <w:adjustRightInd w:val="0"/>
        <w:rPr>
          <w:color w:val="000000"/>
        </w:rPr>
      </w:pPr>
    </w:p>
    <w:p w14:paraId="12AC427E" w14:textId="67FB9847" w:rsidR="003C095F" w:rsidRPr="000D12E3" w:rsidRDefault="003C095F" w:rsidP="000D12E3">
      <w:pPr>
        <w:autoSpaceDE w:val="0"/>
        <w:autoSpaceDN w:val="0"/>
        <w:adjustRightInd w:val="0"/>
        <w:ind w:firstLine="630"/>
        <w:rPr>
          <w:color w:val="000000"/>
        </w:rPr>
      </w:pPr>
      <w:r w:rsidRPr="000D12E3">
        <w:rPr>
          <w:color w:val="000000"/>
        </w:rPr>
        <w:t>In the context of a rulemaking petition</w:t>
      </w:r>
      <w:r w:rsidR="00F74145" w:rsidRPr="000D12E3">
        <w:rPr>
          <w:color w:val="000000"/>
        </w:rPr>
        <w:t xml:space="preserve"> </w:t>
      </w:r>
      <w:r w:rsidRPr="000D12E3">
        <w:rPr>
          <w:color w:val="000000"/>
        </w:rPr>
        <w:t xml:space="preserve">under </w:t>
      </w:r>
      <w:r w:rsidR="00456C0B">
        <w:rPr>
          <w:color w:val="000000"/>
        </w:rPr>
        <w:t>40 CFR</w:t>
      </w:r>
      <w:r w:rsidRPr="000D12E3">
        <w:rPr>
          <w:color w:val="000000"/>
        </w:rPr>
        <w:t xml:space="preserve"> 241.4(b), any person can</w:t>
      </w:r>
      <w:r w:rsidR="00F74145" w:rsidRPr="000D12E3">
        <w:rPr>
          <w:color w:val="000000"/>
        </w:rPr>
        <w:t xml:space="preserve"> </w:t>
      </w:r>
      <w:r w:rsidRPr="000D12E3">
        <w:rPr>
          <w:color w:val="000000"/>
        </w:rPr>
        <w:t>petition the Administrator for a</w:t>
      </w:r>
      <w:r w:rsidR="00F74145" w:rsidRPr="000D12E3">
        <w:rPr>
          <w:color w:val="000000"/>
        </w:rPr>
        <w:t xml:space="preserve"> </w:t>
      </w:r>
      <w:r w:rsidRPr="000D12E3">
        <w:rPr>
          <w:color w:val="000000"/>
        </w:rPr>
        <w:t>regulatory amendment to identify and</w:t>
      </w:r>
      <w:r w:rsidR="00F74145" w:rsidRPr="000D12E3">
        <w:rPr>
          <w:color w:val="000000"/>
        </w:rPr>
        <w:t xml:space="preserve"> </w:t>
      </w:r>
      <w:r w:rsidRPr="000D12E3">
        <w:rPr>
          <w:color w:val="000000"/>
        </w:rPr>
        <w:t>request that additional NHSMs be</w:t>
      </w:r>
      <w:r w:rsidR="00F74145" w:rsidRPr="000D12E3">
        <w:rPr>
          <w:color w:val="000000"/>
        </w:rPr>
        <w:t xml:space="preserve"> </w:t>
      </w:r>
      <w:r w:rsidR="00BE2C20">
        <w:rPr>
          <w:color w:val="000000"/>
        </w:rPr>
        <w:t>i</w:t>
      </w:r>
      <w:r w:rsidRPr="000D12E3">
        <w:rPr>
          <w:color w:val="000000"/>
        </w:rPr>
        <w:t>ncluded on the list of materials in</w:t>
      </w:r>
      <w:r w:rsidR="00F74145" w:rsidRPr="000D12E3">
        <w:rPr>
          <w:color w:val="000000"/>
        </w:rPr>
        <w:t xml:space="preserve"> </w:t>
      </w:r>
      <w:r w:rsidR="00456C0B">
        <w:rPr>
          <w:color w:val="000000"/>
        </w:rPr>
        <w:t>40 CFR</w:t>
      </w:r>
      <w:r w:rsidRPr="000D12E3">
        <w:rPr>
          <w:color w:val="000000"/>
        </w:rPr>
        <w:t xml:space="preserve"> 241.4(a) that are not solid wastes</w:t>
      </w:r>
      <w:r w:rsidR="00BE2C20">
        <w:rPr>
          <w:color w:val="000000"/>
        </w:rPr>
        <w:t xml:space="preserve"> </w:t>
      </w:r>
      <w:r w:rsidRPr="000D12E3">
        <w:rPr>
          <w:color w:val="000000"/>
        </w:rPr>
        <w:t>when used as a fuel in a combustion</w:t>
      </w:r>
      <w:r w:rsidR="00F74145" w:rsidRPr="000D12E3">
        <w:rPr>
          <w:color w:val="000000"/>
        </w:rPr>
        <w:t xml:space="preserve"> </w:t>
      </w:r>
      <w:r w:rsidRPr="000D12E3">
        <w:rPr>
          <w:color w:val="000000"/>
        </w:rPr>
        <w:t>unit. To be successful, the petitioner</w:t>
      </w:r>
      <w:r w:rsidR="00F74145" w:rsidRPr="000D12E3">
        <w:rPr>
          <w:color w:val="000000"/>
        </w:rPr>
        <w:t xml:space="preserve"> </w:t>
      </w:r>
      <w:r w:rsidRPr="000D12E3">
        <w:rPr>
          <w:color w:val="000000"/>
        </w:rPr>
        <w:t>needs to demonstrate to the satisfaction</w:t>
      </w:r>
    </w:p>
    <w:p w14:paraId="1D15F499" w14:textId="1322AE00" w:rsidR="00C1367B" w:rsidRPr="000D12E3" w:rsidRDefault="003C095F" w:rsidP="000D12E3">
      <w:pPr>
        <w:pStyle w:val="Default"/>
      </w:pPr>
      <w:r w:rsidRPr="000D12E3">
        <w:rPr>
          <w:rFonts w:ascii="Times New Roman" w:hAnsi="Times New Roman" w:cs="Times New Roman"/>
        </w:rPr>
        <w:t>of the Administrator that the proposed</w:t>
      </w:r>
      <w:r w:rsidR="00F74145" w:rsidRPr="000D12E3">
        <w:rPr>
          <w:rFonts w:ascii="Times New Roman" w:hAnsi="Times New Roman" w:cs="Times New Roman"/>
        </w:rPr>
        <w:t xml:space="preserve"> </w:t>
      </w:r>
      <w:r w:rsidRPr="000D12E3">
        <w:rPr>
          <w:rFonts w:ascii="Times New Roman" w:hAnsi="Times New Roman" w:cs="Times New Roman"/>
        </w:rPr>
        <w:t>regulatory amendment involves a</w:t>
      </w:r>
      <w:r w:rsidR="00F74145" w:rsidRPr="000D12E3">
        <w:rPr>
          <w:rFonts w:ascii="Times New Roman" w:hAnsi="Times New Roman" w:cs="Times New Roman"/>
        </w:rPr>
        <w:t xml:space="preserve"> </w:t>
      </w:r>
      <w:r w:rsidRPr="000D12E3">
        <w:rPr>
          <w:rFonts w:ascii="Times New Roman" w:hAnsi="Times New Roman" w:cs="Times New Roman"/>
        </w:rPr>
        <w:t>NHSM that has not been previously</w:t>
      </w:r>
      <w:r w:rsidR="00BE2C20">
        <w:t xml:space="preserve"> </w:t>
      </w:r>
      <w:r w:rsidRPr="000D12E3">
        <w:rPr>
          <w:rFonts w:ascii="Times New Roman" w:hAnsi="Times New Roman" w:cs="Times New Roman"/>
        </w:rPr>
        <w:t>discarded (i.e., was not initially</w:t>
      </w:r>
      <w:r w:rsidR="00F74145" w:rsidRPr="000D12E3">
        <w:rPr>
          <w:rFonts w:ascii="Times New Roman" w:hAnsi="Times New Roman" w:cs="Times New Roman"/>
        </w:rPr>
        <w:t xml:space="preserve"> </w:t>
      </w:r>
      <w:r w:rsidRPr="000D12E3">
        <w:rPr>
          <w:rFonts w:ascii="Times New Roman" w:hAnsi="Times New Roman" w:cs="Times New Roman"/>
        </w:rPr>
        <w:t>abandoned or thrown away), or if</w:t>
      </w:r>
      <w:r w:rsidR="00F74145" w:rsidRPr="000D12E3">
        <w:rPr>
          <w:rFonts w:ascii="Times New Roman" w:hAnsi="Times New Roman" w:cs="Times New Roman"/>
        </w:rPr>
        <w:t xml:space="preserve"> </w:t>
      </w:r>
      <w:r w:rsidRPr="000D12E3">
        <w:rPr>
          <w:rFonts w:ascii="Times New Roman" w:hAnsi="Times New Roman" w:cs="Times New Roman"/>
        </w:rPr>
        <w:t>discarded, has been sufficiently</w:t>
      </w:r>
      <w:r w:rsidR="00F74145" w:rsidRPr="000D12E3">
        <w:rPr>
          <w:rFonts w:ascii="Times New Roman" w:hAnsi="Times New Roman" w:cs="Times New Roman"/>
        </w:rPr>
        <w:t xml:space="preserve"> </w:t>
      </w:r>
      <w:r w:rsidRPr="000D12E3">
        <w:rPr>
          <w:rFonts w:ascii="Times New Roman" w:hAnsi="Times New Roman" w:cs="Times New Roman"/>
        </w:rPr>
        <w:t>processed into a legitimate fuel. The</w:t>
      </w:r>
      <w:r w:rsidR="00F74145" w:rsidRPr="000D12E3">
        <w:rPr>
          <w:rFonts w:ascii="Times New Roman" w:hAnsi="Times New Roman" w:cs="Times New Roman"/>
        </w:rPr>
        <w:t xml:space="preserve"> </w:t>
      </w:r>
      <w:r w:rsidRPr="000D12E3">
        <w:rPr>
          <w:rFonts w:ascii="Times New Roman" w:hAnsi="Times New Roman" w:cs="Times New Roman"/>
        </w:rPr>
        <w:t>petitioner must also demonstrate that</w:t>
      </w:r>
      <w:r w:rsidR="003E7ADE" w:rsidRPr="000D12E3">
        <w:rPr>
          <w:rFonts w:ascii="Times New Roman" w:hAnsi="Times New Roman" w:cs="Times New Roman"/>
        </w:rPr>
        <w:t xml:space="preserve"> </w:t>
      </w:r>
      <w:r w:rsidRPr="000D12E3">
        <w:rPr>
          <w:rFonts w:ascii="Times New Roman" w:hAnsi="Times New Roman" w:cs="Times New Roman"/>
        </w:rPr>
        <w:t>the material is used as a non-waste fuel</w:t>
      </w:r>
      <w:r w:rsidR="003E7ADE" w:rsidRPr="000D12E3">
        <w:rPr>
          <w:rFonts w:ascii="Times New Roman" w:hAnsi="Times New Roman" w:cs="Times New Roman"/>
        </w:rPr>
        <w:t xml:space="preserve"> </w:t>
      </w:r>
      <w:r w:rsidRPr="000D12E3">
        <w:rPr>
          <w:rFonts w:ascii="Times New Roman" w:hAnsi="Times New Roman" w:cs="Times New Roman"/>
        </w:rPr>
        <w:t>in a combustion unit because it either</w:t>
      </w:r>
      <w:r w:rsidR="003E7ADE" w:rsidRPr="000D12E3">
        <w:rPr>
          <w:rFonts w:ascii="Times New Roman" w:hAnsi="Times New Roman" w:cs="Times New Roman"/>
        </w:rPr>
        <w:t xml:space="preserve"> </w:t>
      </w:r>
      <w:r w:rsidRPr="000D12E3">
        <w:rPr>
          <w:rFonts w:ascii="Times New Roman" w:hAnsi="Times New Roman" w:cs="Times New Roman"/>
        </w:rPr>
        <w:t>meets the legitimacy criteria, or, after</w:t>
      </w:r>
      <w:r w:rsidR="003E7ADE" w:rsidRPr="000D12E3">
        <w:rPr>
          <w:rFonts w:ascii="Times New Roman" w:hAnsi="Times New Roman" w:cs="Times New Roman"/>
        </w:rPr>
        <w:t xml:space="preserve"> </w:t>
      </w:r>
      <w:r w:rsidRPr="000D12E3">
        <w:rPr>
          <w:rFonts w:ascii="Times New Roman" w:hAnsi="Times New Roman" w:cs="Times New Roman"/>
        </w:rPr>
        <w:t>balancing the legitimacy criteria with</w:t>
      </w:r>
      <w:r w:rsidR="003E7ADE" w:rsidRPr="000D12E3">
        <w:rPr>
          <w:rFonts w:ascii="Times New Roman" w:hAnsi="Times New Roman" w:cs="Times New Roman"/>
        </w:rPr>
        <w:t xml:space="preserve"> </w:t>
      </w:r>
      <w:r w:rsidRPr="000D12E3">
        <w:rPr>
          <w:rFonts w:ascii="Times New Roman" w:hAnsi="Times New Roman" w:cs="Times New Roman"/>
        </w:rPr>
        <w:t>other relevant factors, such NHSM(s) is</w:t>
      </w:r>
      <w:r w:rsidR="003E7ADE" w:rsidRPr="000D12E3">
        <w:rPr>
          <w:rFonts w:ascii="Times New Roman" w:hAnsi="Times New Roman" w:cs="Times New Roman"/>
        </w:rPr>
        <w:t xml:space="preserve"> </w:t>
      </w:r>
      <w:r w:rsidRPr="000D12E3">
        <w:rPr>
          <w:rFonts w:ascii="Times New Roman" w:hAnsi="Times New Roman" w:cs="Times New Roman"/>
        </w:rPr>
        <w:t>not a solid waste wh</w:t>
      </w:r>
      <w:r w:rsidR="004171BF">
        <w:rPr>
          <w:rFonts w:ascii="Times New Roman" w:hAnsi="Times New Roman" w:cs="Times New Roman"/>
        </w:rPr>
        <w:t>e</w:t>
      </w:r>
      <w:r w:rsidRPr="000D12E3">
        <w:rPr>
          <w:rFonts w:ascii="Times New Roman" w:hAnsi="Times New Roman" w:cs="Times New Roman"/>
        </w:rPr>
        <w:t>n used as a fuel</w:t>
      </w:r>
      <w:r w:rsidR="003E7ADE" w:rsidRPr="000D12E3">
        <w:rPr>
          <w:rFonts w:ascii="Times New Roman" w:hAnsi="Times New Roman" w:cs="Times New Roman"/>
        </w:rPr>
        <w:t xml:space="preserve"> </w:t>
      </w:r>
      <w:r w:rsidRPr="000D12E3">
        <w:rPr>
          <w:rFonts w:ascii="Times New Roman" w:hAnsi="Times New Roman" w:cs="Times New Roman"/>
        </w:rPr>
        <w:t>in a combustion unit.</w:t>
      </w:r>
      <w:r w:rsidR="003E7ADE" w:rsidRPr="000D12E3">
        <w:rPr>
          <w:rFonts w:ascii="Times New Roman" w:hAnsi="Times New Roman" w:cs="Times New Roman"/>
        </w:rPr>
        <w:t xml:space="preserve"> </w:t>
      </w:r>
    </w:p>
    <w:p w14:paraId="7F1F41C5" w14:textId="77777777" w:rsidR="00707227" w:rsidRPr="000D12E3" w:rsidRDefault="00707227" w:rsidP="000D12E3">
      <w:pPr>
        <w:pStyle w:val="Default"/>
      </w:pPr>
    </w:p>
    <w:p w14:paraId="446E9930" w14:textId="7CC5DB9F" w:rsidR="007E3287" w:rsidRPr="00D15828" w:rsidRDefault="007E3287" w:rsidP="000D12E3">
      <w:pPr>
        <w:pStyle w:val="CM25"/>
        <w:ind w:firstLine="720"/>
        <w:outlineLvl w:val="0"/>
        <w:rPr>
          <w:rFonts w:ascii="Times New Roman" w:hAnsi="Times New Roman"/>
          <w:b/>
          <w:bCs/>
        </w:rPr>
      </w:pPr>
      <w:r w:rsidRPr="00D15828">
        <w:rPr>
          <w:rFonts w:ascii="Times New Roman" w:hAnsi="Times New Roman"/>
          <w:b/>
          <w:bCs/>
        </w:rPr>
        <w:t>Rule Familiarization (Reading the Regulations)</w:t>
      </w:r>
      <w:r w:rsidRPr="00D15828">
        <w:rPr>
          <w:rFonts w:ascii="Times New Roman" w:hAnsi="Times New Roman"/>
          <w:b/>
          <w:bCs/>
        </w:rPr>
        <w:tab/>
      </w:r>
      <w:r w:rsidRPr="00D15828">
        <w:rPr>
          <w:rFonts w:ascii="Times New Roman" w:hAnsi="Times New Roman"/>
          <w:b/>
          <w:bCs/>
        </w:rPr>
        <w:tab/>
      </w:r>
    </w:p>
    <w:p w14:paraId="61F796AF" w14:textId="70BACFB3" w:rsidR="007E3287" w:rsidRPr="00D15828" w:rsidRDefault="007E3287" w:rsidP="007E3287">
      <w:pPr>
        <w:pStyle w:val="CM25"/>
        <w:spacing w:line="286" w:lineRule="atLeast"/>
        <w:ind w:firstLine="720"/>
        <w:rPr>
          <w:rFonts w:ascii="Times New Roman" w:hAnsi="Times New Roman"/>
        </w:rPr>
      </w:pPr>
      <w:r w:rsidRPr="00D15828">
        <w:rPr>
          <w:rFonts w:ascii="Times New Roman" w:hAnsi="Times New Roman"/>
        </w:rPr>
        <w:t xml:space="preserve">(i) </w:t>
      </w:r>
      <w:r w:rsidRPr="00D15828">
        <w:rPr>
          <w:rFonts w:ascii="Times New Roman" w:hAnsi="Times New Roman"/>
          <w:u w:val="single"/>
        </w:rPr>
        <w:t>Data items</w:t>
      </w:r>
      <w:r w:rsidRPr="00D15828">
        <w:rPr>
          <w:rFonts w:ascii="Times New Roman" w:hAnsi="Times New Roman"/>
        </w:rPr>
        <w:t xml:space="preserve">: </w:t>
      </w:r>
    </w:p>
    <w:p w14:paraId="725CA604" w14:textId="3E033257" w:rsidR="007E3287" w:rsidRPr="00D15828" w:rsidRDefault="007E3287" w:rsidP="007E3287">
      <w:pPr>
        <w:pStyle w:val="CM25"/>
        <w:spacing w:line="286" w:lineRule="atLeast"/>
        <w:ind w:firstLine="720"/>
        <w:jc w:val="both"/>
        <w:rPr>
          <w:rFonts w:ascii="Times New Roman" w:hAnsi="Times New Roman"/>
        </w:rPr>
      </w:pPr>
      <w:r w:rsidRPr="00D15828">
        <w:rPr>
          <w:rFonts w:ascii="Times New Roman" w:hAnsi="Times New Roman"/>
        </w:rPr>
        <w:t>None.</w:t>
      </w:r>
    </w:p>
    <w:p w14:paraId="6759DD9D" w14:textId="3105C695" w:rsidR="007E3287" w:rsidRPr="00D15828" w:rsidRDefault="007E3287" w:rsidP="007E3287">
      <w:pPr>
        <w:pStyle w:val="CM30"/>
        <w:spacing w:after="0" w:line="283" w:lineRule="atLeast"/>
        <w:ind w:left="720"/>
        <w:jc w:val="both"/>
        <w:rPr>
          <w:rFonts w:ascii="Times New Roman" w:hAnsi="Times New Roman"/>
        </w:rPr>
      </w:pPr>
      <w:r w:rsidRPr="00D15828">
        <w:rPr>
          <w:rFonts w:ascii="Times New Roman" w:hAnsi="Times New Roman"/>
        </w:rPr>
        <w:t xml:space="preserve">(ii) </w:t>
      </w:r>
      <w:r w:rsidRPr="00D15828">
        <w:rPr>
          <w:rFonts w:ascii="Times New Roman" w:hAnsi="Times New Roman"/>
          <w:u w:val="single"/>
        </w:rPr>
        <w:t>Respondent activities</w:t>
      </w:r>
      <w:r w:rsidRPr="00D15828">
        <w:rPr>
          <w:rFonts w:ascii="Times New Roman" w:hAnsi="Times New Roman"/>
        </w:rPr>
        <w:t xml:space="preserve">: </w:t>
      </w:r>
    </w:p>
    <w:p w14:paraId="7D97BB1B" w14:textId="45A002A4" w:rsidR="007E3287" w:rsidRPr="00D15828" w:rsidRDefault="007E3287" w:rsidP="007E3287">
      <w:pPr>
        <w:pStyle w:val="Default"/>
        <w:jc w:val="both"/>
      </w:pPr>
    </w:p>
    <w:p w14:paraId="40F1EA4D" w14:textId="448F0D7D" w:rsidR="007E3287" w:rsidRPr="00D15828" w:rsidRDefault="007E3287" w:rsidP="007E3287">
      <w:pPr>
        <w:pStyle w:val="Default"/>
        <w:jc w:val="both"/>
      </w:pPr>
      <w:r w:rsidRPr="00D15828">
        <w:tab/>
        <w:t xml:space="preserve">It is expected that entities potentially affected by the </w:t>
      </w:r>
      <w:r w:rsidR="00CB58D9">
        <w:t>201</w:t>
      </w:r>
      <w:r w:rsidR="00AF5456">
        <w:t xml:space="preserve">1 </w:t>
      </w:r>
      <w:r w:rsidR="00CD643F">
        <w:t>Final</w:t>
      </w:r>
      <w:r w:rsidRPr="00D15828">
        <w:t xml:space="preserve"> Rule </w:t>
      </w:r>
      <w:r w:rsidR="00AF5456">
        <w:t xml:space="preserve">and subsequent amendments </w:t>
      </w:r>
      <w:r w:rsidRPr="00D15828">
        <w:t xml:space="preserve">will read it to assess how it may affect their operations. </w:t>
      </w:r>
      <w:r w:rsidR="00032FBE">
        <w:t xml:space="preserve">This is considered a one-time burden, and we have assumed that 90 percent of </w:t>
      </w:r>
      <w:r w:rsidR="00F6639C">
        <w:t>potentially-</w:t>
      </w:r>
      <w:r w:rsidR="00032FBE">
        <w:t xml:space="preserve">affected facilities </w:t>
      </w:r>
      <w:r w:rsidR="00F6639C">
        <w:t xml:space="preserve">have </w:t>
      </w:r>
      <w:r w:rsidR="00032FBE">
        <w:t>already read the regulations prior to this ICR renewal period. The remaining 10 percent are accounted for among the respondents for this ICR.</w:t>
      </w:r>
    </w:p>
    <w:p w14:paraId="1BB6709B" w14:textId="77777777" w:rsidR="007E3287" w:rsidRPr="00D15828" w:rsidRDefault="007E3287" w:rsidP="000D12E3">
      <w:pPr>
        <w:pStyle w:val="Default"/>
      </w:pPr>
    </w:p>
    <w:p w14:paraId="6D1682A0" w14:textId="4C13DC4F" w:rsidR="00403DEC" w:rsidRDefault="00403DEC" w:rsidP="00E97EDC">
      <w:pPr>
        <w:pStyle w:val="CM25"/>
        <w:spacing w:line="276" w:lineRule="atLeast"/>
        <w:ind w:firstLine="720"/>
        <w:outlineLvl w:val="0"/>
        <w:rPr>
          <w:rFonts w:ascii="Times New Roman" w:hAnsi="Times New Roman"/>
          <w:b/>
          <w:bCs/>
        </w:rPr>
      </w:pPr>
      <w:r w:rsidRPr="00F20FBC">
        <w:rPr>
          <w:rFonts w:ascii="Times New Roman" w:hAnsi="Times New Roman"/>
          <w:b/>
          <w:bCs/>
        </w:rPr>
        <w:t>C&amp;D Wood Processing Facilities</w:t>
      </w:r>
      <w:r w:rsidR="006A204A">
        <w:rPr>
          <w:rFonts w:ascii="Times New Roman" w:hAnsi="Times New Roman"/>
          <w:b/>
          <w:bCs/>
        </w:rPr>
        <w:t xml:space="preserve"> Certification</w:t>
      </w:r>
    </w:p>
    <w:p w14:paraId="30F7A5C1" w14:textId="37A78BDC" w:rsidR="005D6A50" w:rsidRDefault="005D6A50" w:rsidP="000D12E3">
      <w:pPr>
        <w:pStyle w:val="Default"/>
        <w:numPr>
          <w:ilvl w:val="0"/>
          <w:numId w:val="32"/>
        </w:numPr>
        <w:ind w:left="1080" w:hanging="360"/>
        <w:contextualSpacing/>
      </w:pPr>
      <w:r>
        <w:t>Data Items</w:t>
      </w:r>
    </w:p>
    <w:p w14:paraId="5DFB572B" w14:textId="77777777" w:rsidR="005D6A50" w:rsidRDefault="005D6A50" w:rsidP="000D12E3">
      <w:pPr>
        <w:pStyle w:val="CM25"/>
        <w:spacing w:line="276" w:lineRule="atLeast"/>
        <w:ind w:firstLine="720"/>
        <w:contextualSpacing/>
        <w:jc w:val="both"/>
        <w:outlineLvl w:val="0"/>
      </w:pPr>
    </w:p>
    <w:p w14:paraId="40463BEA" w14:textId="3F054961" w:rsidR="005D6A50" w:rsidRDefault="00403DEC" w:rsidP="005D6A50">
      <w:pPr>
        <w:pStyle w:val="CM25"/>
        <w:spacing w:line="276" w:lineRule="atLeast"/>
        <w:ind w:firstLine="720"/>
        <w:contextualSpacing/>
        <w:jc w:val="both"/>
        <w:outlineLvl w:val="0"/>
      </w:pPr>
      <w:r w:rsidRPr="00F20FBC">
        <w:t xml:space="preserve">Construction and demolition (C&amp;D) wood processing facilities would incur a burden associated with the preparation of </w:t>
      </w:r>
      <w:r w:rsidR="005D6A50">
        <w:t>the</w:t>
      </w:r>
      <w:r w:rsidRPr="00F20FBC">
        <w:t xml:space="preserve"> certification statement </w:t>
      </w:r>
      <w:r w:rsidR="003318BC">
        <w:t xml:space="preserve">(outlined in the 2016 amendments) </w:t>
      </w:r>
      <w:r w:rsidRPr="00F20FBC">
        <w:t>and associated recordkeeping requirements necessary to assure the NHSM combustors that the C&amp;D wood received from such processing facilities is clean and has been processed according to best management practices.</w:t>
      </w:r>
      <w:r w:rsidR="000C5644">
        <w:t xml:space="preserve"> </w:t>
      </w:r>
    </w:p>
    <w:p w14:paraId="6FFBB4DF" w14:textId="77777777" w:rsidR="005D6A50" w:rsidRDefault="005D6A50" w:rsidP="005D6A50">
      <w:pPr>
        <w:pStyle w:val="CM25"/>
        <w:spacing w:line="276" w:lineRule="atLeast"/>
        <w:ind w:firstLine="720"/>
        <w:contextualSpacing/>
        <w:jc w:val="both"/>
        <w:outlineLvl w:val="0"/>
      </w:pPr>
    </w:p>
    <w:p w14:paraId="66AF5852" w14:textId="65EBBD06" w:rsidR="005D6A50" w:rsidRDefault="005D6A50">
      <w:pPr>
        <w:pStyle w:val="CM25"/>
        <w:spacing w:line="276" w:lineRule="atLeast"/>
        <w:ind w:firstLine="720"/>
        <w:contextualSpacing/>
        <w:jc w:val="both"/>
        <w:outlineLvl w:val="0"/>
      </w:pPr>
      <w:r w:rsidRPr="005D6A50">
        <w:t>(ii</w:t>
      </w:r>
      <w:r>
        <w:t>)  Respondent activities</w:t>
      </w:r>
    </w:p>
    <w:p w14:paraId="384A4CF7" w14:textId="77777777" w:rsidR="005D6A50" w:rsidRDefault="005D6A50" w:rsidP="005D6A50">
      <w:pPr>
        <w:pStyle w:val="CM25"/>
        <w:spacing w:line="276" w:lineRule="atLeast"/>
        <w:ind w:firstLine="720"/>
        <w:contextualSpacing/>
        <w:jc w:val="both"/>
        <w:outlineLvl w:val="0"/>
      </w:pPr>
    </w:p>
    <w:p w14:paraId="6B973382" w14:textId="07B140EE" w:rsidR="00403DEC" w:rsidRDefault="000C5644" w:rsidP="000D12E3">
      <w:pPr>
        <w:pStyle w:val="CM25"/>
        <w:spacing w:line="276" w:lineRule="atLeast"/>
        <w:ind w:firstLine="720"/>
        <w:contextualSpacing/>
        <w:jc w:val="both"/>
        <w:outlineLvl w:val="0"/>
      </w:pPr>
      <w:r>
        <w:t xml:space="preserve">Best management practices include sorting by trained operators that excludes or removes non-wood materials (e.g. PVC plastics, drywall, concrete) </w:t>
      </w:r>
      <w:r w:rsidR="006F27D6">
        <w:t>and treated wood through positive sorting (picking out desirable material) or negative sorting (picking out undesirable materials).</w:t>
      </w:r>
      <w:r w:rsidR="00403DEC">
        <w:t xml:space="preserve"> </w:t>
      </w:r>
      <w:r w:rsidR="00E0267D">
        <w:t>The certification statement is provided to combustor owner/operators as record that the material is a NHSM fue</w:t>
      </w:r>
      <w:r w:rsidR="005F0480">
        <w:t>l to meet air regulatory recordkeeping requirements</w:t>
      </w:r>
      <w:r w:rsidR="00E0267D">
        <w:t xml:space="preserve">. </w:t>
      </w:r>
      <w:r w:rsidR="00403DEC" w:rsidRPr="00F20FBC">
        <w:t xml:space="preserve">This certification statement and associated recordkeeping for the processors </w:t>
      </w:r>
      <w:r w:rsidR="00423164">
        <w:t>are</w:t>
      </w:r>
      <w:r w:rsidR="00403DEC" w:rsidRPr="00F20FBC">
        <w:t xml:space="preserve">  </w:t>
      </w:r>
      <w:r w:rsidR="00E0267D">
        <w:t xml:space="preserve">a </w:t>
      </w:r>
      <w:r w:rsidR="00403DEC" w:rsidRPr="00F20FBC">
        <w:t xml:space="preserve">requirement </w:t>
      </w:r>
      <w:r w:rsidR="00423164">
        <w:t xml:space="preserve">established by the </w:t>
      </w:r>
      <w:r w:rsidR="00403DEC" w:rsidRPr="00F20FBC">
        <w:t xml:space="preserve"> </w:t>
      </w:r>
      <w:r w:rsidR="002A06A2">
        <w:t xml:space="preserve">2016 </w:t>
      </w:r>
      <w:r w:rsidR="00403DEC" w:rsidRPr="00F20FBC">
        <w:t>Final Rule</w:t>
      </w:r>
      <w:r w:rsidR="002A06A2">
        <w:t xml:space="preserve"> amendments</w:t>
      </w:r>
      <w:r w:rsidR="00403DEC" w:rsidRPr="00F20FBC">
        <w:t>.</w:t>
      </w:r>
      <w:r w:rsidR="00AF36E5">
        <w:t xml:space="preserve"> We have assumed this certification statement is a one-time burden and that</w:t>
      </w:r>
      <w:r w:rsidR="00313185">
        <w:t xml:space="preserve"> two thirds of facilities already incurred this burden under ICR 2493.03. </w:t>
      </w:r>
      <w:r w:rsidR="00AF36E5">
        <w:t xml:space="preserve"> </w:t>
      </w:r>
    </w:p>
    <w:p w14:paraId="34E29918" w14:textId="670FDD2C" w:rsidR="007E3287" w:rsidRPr="00D15828" w:rsidRDefault="007E3287" w:rsidP="003F010A">
      <w:pPr>
        <w:pStyle w:val="CM25"/>
        <w:tabs>
          <w:tab w:val="left" w:pos="720"/>
        </w:tabs>
        <w:spacing w:line="283" w:lineRule="atLeast"/>
        <w:ind w:left="720" w:hanging="720"/>
        <w:rPr>
          <w:rFonts w:ascii="Times New Roman" w:hAnsi="Times New Roman"/>
        </w:rPr>
      </w:pPr>
      <w:r w:rsidRPr="00D15828">
        <w:rPr>
          <w:rFonts w:ascii="Times New Roman" w:hAnsi="Times New Roman"/>
          <w:b/>
          <w:bCs/>
        </w:rPr>
        <w:t>5.</w:t>
      </w:r>
      <w:r w:rsidR="003F010A">
        <w:rPr>
          <w:rFonts w:ascii="Times New Roman" w:hAnsi="Times New Roman"/>
          <w:b/>
          <w:bCs/>
        </w:rPr>
        <w:tab/>
      </w:r>
      <w:r w:rsidRPr="00D15828">
        <w:rPr>
          <w:rFonts w:ascii="Times New Roman" w:hAnsi="Times New Roman"/>
          <w:b/>
          <w:bCs/>
        </w:rPr>
        <w:t xml:space="preserve">THE INFORMATION COLLECTED—AGENCY ACTIVITIES, COLLECTION METHODOLOGY, AND INFORMATION MANAGEMENT </w:t>
      </w:r>
    </w:p>
    <w:p w14:paraId="74180FF2" w14:textId="77777777" w:rsidR="007E3287" w:rsidRPr="00D15828" w:rsidRDefault="007E3287" w:rsidP="007E3287">
      <w:pPr>
        <w:pStyle w:val="CM25"/>
        <w:spacing w:line="278" w:lineRule="atLeast"/>
        <w:ind w:left="720"/>
        <w:rPr>
          <w:rFonts w:ascii="Times New Roman" w:hAnsi="Times New Roman" w:cs="Times New Roman"/>
        </w:rPr>
      </w:pPr>
      <w:r w:rsidRPr="00D15828">
        <w:rPr>
          <w:rFonts w:ascii="Times New Roman" w:hAnsi="Times New Roman" w:cs="Times New Roman"/>
          <w:b/>
          <w:bCs/>
        </w:rPr>
        <w:t>5(a)</w:t>
      </w:r>
      <w:r w:rsidRPr="00D15828">
        <w:rPr>
          <w:rFonts w:ascii="Times New Roman" w:hAnsi="Times New Roman" w:cs="Times New Roman"/>
          <w:b/>
          <w:bCs/>
        </w:rPr>
        <w:tab/>
        <w:t xml:space="preserve">Agency Activities </w:t>
      </w:r>
    </w:p>
    <w:p w14:paraId="5A28BC23" w14:textId="4B58BC45" w:rsidR="007E3287" w:rsidRPr="00D15828" w:rsidRDefault="007E3287" w:rsidP="003E1774">
      <w:pPr>
        <w:pStyle w:val="CM25"/>
        <w:spacing w:line="286" w:lineRule="atLeast"/>
        <w:ind w:firstLine="720"/>
        <w:jc w:val="both"/>
      </w:pPr>
      <w:r w:rsidRPr="00D15828">
        <w:rPr>
          <w:rFonts w:ascii="Times New Roman" w:hAnsi="Times New Roman"/>
        </w:rPr>
        <w:t xml:space="preserve">As discussed above, EPA </w:t>
      </w:r>
      <w:r w:rsidR="007D5C8A">
        <w:rPr>
          <w:rFonts w:ascii="Times New Roman" w:hAnsi="Times New Roman"/>
        </w:rPr>
        <w:t>has</w:t>
      </w:r>
      <w:r w:rsidRPr="00D15828">
        <w:rPr>
          <w:rFonts w:ascii="Times New Roman" w:hAnsi="Times New Roman"/>
        </w:rPr>
        <w:t xml:space="preserve"> pro</w:t>
      </w:r>
      <w:r w:rsidR="007D5C8A">
        <w:rPr>
          <w:rFonts w:ascii="Times New Roman" w:hAnsi="Times New Roman"/>
        </w:rPr>
        <w:t>mulgat</w:t>
      </w:r>
      <w:r w:rsidR="00D35504">
        <w:rPr>
          <w:rFonts w:ascii="Times New Roman" w:hAnsi="Times New Roman"/>
        </w:rPr>
        <w:t>ed</w:t>
      </w:r>
      <w:r w:rsidRPr="00D15828">
        <w:rPr>
          <w:rFonts w:ascii="Times New Roman" w:hAnsi="Times New Roman"/>
        </w:rPr>
        <w:t xml:space="preserve"> </w:t>
      </w:r>
      <w:r w:rsidRPr="00D15828">
        <w:t xml:space="preserve">a self-implementing approach that requires facilities to determine whether a given material meets EPA’s non-waste criteria. </w:t>
      </w:r>
      <w:r w:rsidR="007D5C8A">
        <w:t xml:space="preserve">The burden of recordkeeping that the material is a fuel under the NHSM rule is borne by the combustor unit through their air regulation recordkeeping requirements, which presumably are reflected in the facility’s air permit. </w:t>
      </w:r>
      <w:r w:rsidRPr="00D15828">
        <w:t xml:space="preserve">The Agency also </w:t>
      </w:r>
      <w:r w:rsidR="00607CB3">
        <w:t>establish</w:t>
      </w:r>
      <w:r w:rsidR="00D360D3">
        <w:t>ed</w:t>
      </w:r>
      <w:r w:rsidR="00607CB3" w:rsidRPr="00D15828">
        <w:t xml:space="preserve"> </w:t>
      </w:r>
      <w:r w:rsidRPr="00D15828">
        <w:t>petition process</w:t>
      </w:r>
      <w:r w:rsidR="00195011">
        <w:t>es</w:t>
      </w:r>
      <w:r w:rsidRPr="00D15828">
        <w:t xml:space="preserve"> under which facilities may seek clarity on whether the materials that they burn are considered </w:t>
      </w:r>
      <w:r w:rsidR="003318BC">
        <w:t>categorical non-</w:t>
      </w:r>
      <w:r w:rsidRPr="00D15828">
        <w:t xml:space="preserve">wastes. </w:t>
      </w:r>
      <w:r w:rsidR="008608EC">
        <w:t>Therefore, under th</w:t>
      </w:r>
      <w:r w:rsidR="002A06A2">
        <w:t>e</w:t>
      </w:r>
      <w:r w:rsidR="00032FBE">
        <w:t xml:space="preserve"> </w:t>
      </w:r>
      <w:r w:rsidR="002A06A2">
        <w:t>201</w:t>
      </w:r>
      <w:r w:rsidR="00032FBE">
        <w:t>3</w:t>
      </w:r>
      <w:r w:rsidR="008608EC">
        <w:t xml:space="preserve"> </w:t>
      </w:r>
      <w:r w:rsidR="007D5C8A">
        <w:t>a</w:t>
      </w:r>
      <w:r w:rsidR="00A945DE">
        <w:t>mendments</w:t>
      </w:r>
      <w:r w:rsidR="00B60764">
        <w:t xml:space="preserve">, </w:t>
      </w:r>
      <w:r w:rsidR="008608EC" w:rsidRPr="00D15828">
        <w:t>EPA will process and review the petitions of facilities seeking non-waste determinations and decide whether the information provided in each petition warrants a non-waste determination.</w:t>
      </w:r>
      <w:r w:rsidR="003E1774" w:rsidDel="003E1774">
        <w:rPr>
          <w:rStyle w:val="FootnoteReference"/>
        </w:rPr>
        <w:t xml:space="preserve"> </w:t>
      </w:r>
    </w:p>
    <w:p w14:paraId="40D2EFD8" w14:textId="77777777" w:rsidR="007E3287" w:rsidRPr="00D15828" w:rsidRDefault="007E3287" w:rsidP="007E3287">
      <w:pPr>
        <w:pStyle w:val="Default"/>
        <w:ind w:firstLine="720"/>
        <w:jc w:val="both"/>
      </w:pPr>
    </w:p>
    <w:p w14:paraId="6C54553C" w14:textId="77777777" w:rsidR="006F4445" w:rsidRPr="00F20FBC" w:rsidRDefault="006F4445" w:rsidP="006F4445">
      <w:pPr>
        <w:pStyle w:val="CM25"/>
        <w:spacing w:line="276" w:lineRule="atLeast"/>
        <w:ind w:firstLine="720"/>
        <w:rPr>
          <w:rFonts w:ascii="Times New Roman" w:hAnsi="Times New Roman" w:cs="Times New Roman"/>
          <w:b/>
          <w:bCs/>
        </w:rPr>
      </w:pPr>
      <w:r w:rsidRPr="00D15828">
        <w:rPr>
          <w:rFonts w:ascii="Times New Roman" w:hAnsi="Times New Roman" w:cs="Times New Roman"/>
          <w:b/>
          <w:bCs/>
        </w:rPr>
        <w:t>5(b)</w:t>
      </w:r>
      <w:r w:rsidRPr="00D15828">
        <w:rPr>
          <w:rFonts w:ascii="Times New Roman" w:hAnsi="Times New Roman" w:cs="Times New Roman"/>
          <w:b/>
          <w:bCs/>
        </w:rPr>
        <w:tab/>
      </w:r>
      <w:r w:rsidRPr="00F20FBC">
        <w:rPr>
          <w:b/>
          <w:bCs/>
        </w:rPr>
        <w:t>Collection Methodology and Management</w:t>
      </w:r>
    </w:p>
    <w:p w14:paraId="40194EA2" w14:textId="0DCABAA3" w:rsidR="007B680A" w:rsidRDefault="004C4BF2" w:rsidP="007B680A">
      <w:pPr>
        <w:pStyle w:val="Default"/>
      </w:pPr>
      <w:r>
        <w:rPr>
          <w:rFonts w:ascii="Times New Roman" w:hAnsi="Times New Roman" w:cs="Times New Roman"/>
          <w:bCs/>
        </w:rPr>
        <w:t xml:space="preserve">All information received through </w:t>
      </w:r>
      <w:r w:rsidR="00B34C58">
        <w:rPr>
          <w:rFonts w:ascii="Times New Roman" w:hAnsi="Times New Roman" w:cs="Times New Roman"/>
          <w:bCs/>
        </w:rPr>
        <w:t xml:space="preserve">the voluntary </w:t>
      </w:r>
      <w:r w:rsidR="00313185">
        <w:rPr>
          <w:rFonts w:ascii="Times New Roman" w:hAnsi="Times New Roman" w:cs="Times New Roman"/>
          <w:bCs/>
        </w:rPr>
        <w:t>40 CFR</w:t>
      </w:r>
      <w:r>
        <w:rPr>
          <w:rFonts w:ascii="Times New Roman" w:hAnsi="Times New Roman" w:cs="Times New Roman"/>
          <w:bCs/>
        </w:rPr>
        <w:t xml:space="preserve"> 241.3(c) petitions and 241.4 petitions</w:t>
      </w:r>
      <w:r w:rsidR="00B34C58">
        <w:rPr>
          <w:rFonts w:ascii="Times New Roman" w:hAnsi="Times New Roman" w:cs="Times New Roman"/>
          <w:bCs/>
        </w:rPr>
        <w:t xml:space="preserve"> are managed under </w:t>
      </w:r>
      <w:r w:rsidR="004A1B4C">
        <w:rPr>
          <w:rFonts w:ascii="Times New Roman" w:hAnsi="Times New Roman" w:cs="Times New Roman"/>
          <w:bCs/>
        </w:rPr>
        <w:t>the Agency’s</w:t>
      </w:r>
      <w:r w:rsidR="00B34C58">
        <w:rPr>
          <w:rFonts w:ascii="Times New Roman" w:hAnsi="Times New Roman" w:cs="Times New Roman"/>
          <w:bCs/>
        </w:rPr>
        <w:t xml:space="preserve"> Confidential Business Information</w:t>
      </w:r>
      <w:r w:rsidR="004A1B4C">
        <w:rPr>
          <w:rFonts w:ascii="Times New Roman" w:hAnsi="Times New Roman" w:cs="Times New Roman"/>
          <w:bCs/>
        </w:rPr>
        <w:t xml:space="preserve"> protocol</w:t>
      </w:r>
      <w:r w:rsidR="007F2987">
        <w:rPr>
          <w:rFonts w:ascii="Times New Roman" w:hAnsi="Times New Roman" w:cs="Times New Roman"/>
          <w:bCs/>
        </w:rPr>
        <w:t xml:space="preserve"> as appropriate</w:t>
      </w:r>
      <w:r w:rsidR="004A1B4C">
        <w:rPr>
          <w:rFonts w:ascii="Times New Roman" w:hAnsi="Times New Roman" w:cs="Times New Roman"/>
          <w:bCs/>
        </w:rPr>
        <w:t>.</w:t>
      </w:r>
      <w:r w:rsidR="00DE12ED">
        <w:rPr>
          <w:rFonts w:ascii="Times New Roman" w:hAnsi="Times New Roman" w:cs="Times New Roman"/>
          <w:bCs/>
        </w:rPr>
        <w:t xml:space="preserve">  Information received </w:t>
      </w:r>
      <w:r w:rsidR="00DD18A1">
        <w:rPr>
          <w:rFonts w:ascii="Times New Roman" w:hAnsi="Times New Roman" w:cs="Times New Roman"/>
          <w:bCs/>
        </w:rPr>
        <w:t>is reviewed</w:t>
      </w:r>
      <w:r w:rsidR="001112D8">
        <w:rPr>
          <w:rFonts w:ascii="Times New Roman" w:hAnsi="Times New Roman" w:cs="Times New Roman"/>
          <w:bCs/>
        </w:rPr>
        <w:t xml:space="preserve"> by the Agency</w:t>
      </w:r>
      <w:r w:rsidR="00DD18A1">
        <w:rPr>
          <w:rFonts w:ascii="Times New Roman" w:hAnsi="Times New Roman" w:cs="Times New Roman"/>
          <w:bCs/>
        </w:rPr>
        <w:t xml:space="preserve"> and revised </w:t>
      </w:r>
      <w:r w:rsidR="001112D8">
        <w:rPr>
          <w:rFonts w:ascii="Times New Roman" w:hAnsi="Times New Roman" w:cs="Times New Roman"/>
          <w:bCs/>
        </w:rPr>
        <w:t xml:space="preserve">by the petitioner </w:t>
      </w:r>
      <w:r w:rsidR="0064072A">
        <w:rPr>
          <w:rFonts w:ascii="Times New Roman" w:hAnsi="Times New Roman" w:cs="Times New Roman"/>
          <w:bCs/>
        </w:rPr>
        <w:t>as throughout the process.</w:t>
      </w:r>
    </w:p>
    <w:p w14:paraId="2D14EA47" w14:textId="77777777" w:rsidR="007B680A" w:rsidRPr="000D12E3" w:rsidRDefault="007B680A" w:rsidP="000D12E3">
      <w:pPr>
        <w:pStyle w:val="Default"/>
      </w:pPr>
    </w:p>
    <w:p w14:paraId="7748108D" w14:textId="2655AACB" w:rsidR="007E3287" w:rsidRPr="00D15828" w:rsidRDefault="007E3287" w:rsidP="007E3287">
      <w:pPr>
        <w:pStyle w:val="CM25"/>
        <w:spacing w:line="276" w:lineRule="atLeast"/>
        <w:ind w:firstLine="720"/>
        <w:rPr>
          <w:rFonts w:ascii="Times New Roman" w:hAnsi="Times New Roman" w:cs="Times New Roman"/>
        </w:rPr>
      </w:pPr>
      <w:r w:rsidRPr="00D15828">
        <w:rPr>
          <w:rFonts w:ascii="Times New Roman" w:hAnsi="Times New Roman" w:cs="Times New Roman"/>
          <w:b/>
          <w:bCs/>
        </w:rPr>
        <w:t>5(</w:t>
      </w:r>
      <w:r w:rsidR="006F4445">
        <w:rPr>
          <w:rFonts w:ascii="Times New Roman" w:hAnsi="Times New Roman" w:cs="Times New Roman"/>
          <w:b/>
          <w:bCs/>
        </w:rPr>
        <w:t>c</w:t>
      </w:r>
      <w:r w:rsidRPr="00D15828">
        <w:rPr>
          <w:rFonts w:ascii="Times New Roman" w:hAnsi="Times New Roman" w:cs="Times New Roman"/>
          <w:b/>
          <w:bCs/>
        </w:rPr>
        <w:t>)</w:t>
      </w:r>
      <w:r w:rsidRPr="00D15828">
        <w:rPr>
          <w:rFonts w:ascii="Times New Roman" w:hAnsi="Times New Roman" w:cs="Times New Roman"/>
          <w:b/>
          <w:bCs/>
        </w:rPr>
        <w:tab/>
        <w:t xml:space="preserve">Small Entity Flexibility </w:t>
      </w:r>
    </w:p>
    <w:p w14:paraId="22AFDE52" w14:textId="4088F78E" w:rsidR="007E3287" w:rsidRDefault="007E3287" w:rsidP="007E3287">
      <w:pPr>
        <w:pStyle w:val="CM25"/>
        <w:spacing w:after="240" w:line="280" w:lineRule="atLeast"/>
        <w:ind w:firstLine="720"/>
        <w:jc w:val="both"/>
        <w:rPr>
          <w:rFonts w:ascii="Times New Roman" w:hAnsi="Times New Roman"/>
        </w:rPr>
      </w:pPr>
      <w:r w:rsidRPr="00D15828">
        <w:rPr>
          <w:rFonts w:ascii="Times New Roman" w:hAnsi="Times New Roman"/>
        </w:rPr>
        <w:t xml:space="preserve">The self-implementing approach for non-waste determinations </w:t>
      </w:r>
      <w:r w:rsidR="008820CB">
        <w:rPr>
          <w:rFonts w:ascii="Times New Roman" w:hAnsi="Times New Roman"/>
        </w:rPr>
        <w:t>finalized</w:t>
      </w:r>
      <w:r w:rsidR="008820CB" w:rsidRPr="00D15828">
        <w:rPr>
          <w:rFonts w:ascii="Times New Roman" w:hAnsi="Times New Roman"/>
        </w:rPr>
        <w:t xml:space="preserve"> </w:t>
      </w:r>
      <w:r w:rsidRPr="00D15828">
        <w:rPr>
          <w:rFonts w:ascii="Times New Roman" w:hAnsi="Times New Roman"/>
        </w:rPr>
        <w:t>by EPA provide</w:t>
      </w:r>
      <w:r w:rsidR="003C568D">
        <w:rPr>
          <w:rFonts w:ascii="Times New Roman" w:hAnsi="Times New Roman"/>
        </w:rPr>
        <w:t>d</w:t>
      </w:r>
      <w:r w:rsidRPr="00D15828">
        <w:rPr>
          <w:rFonts w:ascii="Times New Roman" w:hAnsi="Times New Roman"/>
        </w:rPr>
        <w:t xml:space="preserve"> small entities with flexibility to minimize </w:t>
      </w:r>
      <w:r w:rsidR="00062F64">
        <w:rPr>
          <w:rFonts w:ascii="Times New Roman" w:hAnsi="Times New Roman"/>
        </w:rPr>
        <w:t xml:space="preserve">any burden </w:t>
      </w:r>
      <w:r w:rsidR="009945EE">
        <w:rPr>
          <w:rFonts w:ascii="Times New Roman" w:hAnsi="Times New Roman"/>
        </w:rPr>
        <w:t xml:space="preserve">associated with </w:t>
      </w:r>
      <w:r w:rsidRPr="00D15828">
        <w:rPr>
          <w:rFonts w:ascii="Times New Roman" w:hAnsi="Times New Roman"/>
        </w:rPr>
        <w:t xml:space="preserve">the </w:t>
      </w:r>
      <w:r w:rsidR="00CD643F">
        <w:rPr>
          <w:rFonts w:ascii="Times New Roman" w:hAnsi="Times New Roman"/>
        </w:rPr>
        <w:t>Final</w:t>
      </w:r>
      <w:r w:rsidRPr="00D15828">
        <w:rPr>
          <w:rFonts w:ascii="Times New Roman" w:hAnsi="Times New Roman"/>
        </w:rPr>
        <w:t xml:space="preserve"> Rule. Under this approach, entities  </w:t>
      </w:r>
      <w:r w:rsidR="00735CEE">
        <w:rPr>
          <w:rFonts w:ascii="Times New Roman" w:hAnsi="Times New Roman"/>
        </w:rPr>
        <w:t>are not</w:t>
      </w:r>
      <w:r w:rsidRPr="00D15828">
        <w:rPr>
          <w:rFonts w:ascii="Times New Roman" w:hAnsi="Times New Roman"/>
        </w:rPr>
        <w:t xml:space="preserve"> required to submit any paperwork to EPA or state agencies </w:t>
      </w:r>
      <w:r w:rsidR="003C568D">
        <w:rPr>
          <w:rFonts w:ascii="Times New Roman" w:hAnsi="Times New Roman"/>
        </w:rPr>
        <w:t xml:space="preserve">due to the NHSM rule requirements </w:t>
      </w:r>
      <w:r w:rsidRPr="00D15828">
        <w:rPr>
          <w:rFonts w:ascii="Times New Roman" w:hAnsi="Times New Roman"/>
        </w:rPr>
        <w:t xml:space="preserve">and have the flexibility to develop their own individualized approaches for determining whether the materials that they burn meet the non-waste criteria included in the </w:t>
      </w:r>
      <w:r w:rsidR="002A06A2">
        <w:rPr>
          <w:rFonts w:ascii="Times New Roman" w:hAnsi="Times New Roman"/>
        </w:rPr>
        <w:t>201</w:t>
      </w:r>
      <w:r w:rsidR="005A6B39">
        <w:rPr>
          <w:rFonts w:ascii="Times New Roman" w:hAnsi="Times New Roman"/>
        </w:rPr>
        <w:t>3</w:t>
      </w:r>
      <w:r w:rsidR="002A06A2">
        <w:rPr>
          <w:rFonts w:ascii="Times New Roman" w:hAnsi="Times New Roman"/>
        </w:rPr>
        <w:t xml:space="preserve"> </w:t>
      </w:r>
      <w:r w:rsidR="003C568D">
        <w:rPr>
          <w:rFonts w:ascii="Times New Roman" w:hAnsi="Times New Roman"/>
        </w:rPr>
        <w:t>amendments.</w:t>
      </w:r>
      <w:r w:rsidR="0078035A">
        <w:rPr>
          <w:rFonts w:ascii="Times New Roman" w:hAnsi="Times New Roman"/>
        </w:rPr>
        <w:t xml:space="preserve"> </w:t>
      </w:r>
      <w:r w:rsidR="00E8123E">
        <w:rPr>
          <w:rFonts w:ascii="Times New Roman" w:hAnsi="Times New Roman"/>
        </w:rPr>
        <w:t xml:space="preserve"> </w:t>
      </w:r>
    </w:p>
    <w:p w14:paraId="56B08D4A" w14:textId="77777777" w:rsidR="006F4445" w:rsidRPr="00F20FBC" w:rsidRDefault="006F4445" w:rsidP="000D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20FBC">
        <w:rPr>
          <w:b/>
          <w:bCs/>
        </w:rPr>
        <w:t>5(d)</w:t>
      </w:r>
      <w:r w:rsidRPr="00F20FBC">
        <w:rPr>
          <w:b/>
          <w:bCs/>
        </w:rPr>
        <w:tab/>
        <w:t>Collection Schedule</w:t>
      </w:r>
      <w:bookmarkStart w:id="1" w:name="_Toc349627737"/>
      <w:bookmarkEnd w:id="1"/>
    </w:p>
    <w:p w14:paraId="4E292C32" w14:textId="77777777" w:rsidR="006F4445" w:rsidRPr="00F20FBC" w:rsidRDefault="006F4445" w:rsidP="006F4445">
      <w:pPr>
        <w:pStyle w:val="Default"/>
        <w:tabs>
          <w:tab w:val="left" w:pos="720"/>
        </w:tabs>
        <w:rPr>
          <w:color w:val="auto"/>
        </w:rPr>
      </w:pPr>
      <w:r>
        <w:rPr>
          <w:color w:val="auto"/>
        </w:rPr>
        <w:tab/>
      </w:r>
    </w:p>
    <w:p w14:paraId="1C914B9D" w14:textId="38FF23D5" w:rsidR="006F4445" w:rsidRPr="00F20FBC" w:rsidRDefault="006F4445" w:rsidP="000D12E3">
      <w:pPr>
        <w:pStyle w:val="Default"/>
        <w:jc w:val="both"/>
        <w:rPr>
          <w:color w:val="auto"/>
        </w:rPr>
      </w:pPr>
      <w:r w:rsidRPr="00F20FBC">
        <w:rPr>
          <w:color w:val="auto"/>
        </w:rPr>
        <w:tab/>
        <w:t xml:space="preserve">There are </w:t>
      </w:r>
      <w:r w:rsidR="008504A5">
        <w:rPr>
          <w:color w:val="auto"/>
        </w:rPr>
        <w:t>four</w:t>
      </w:r>
      <w:r w:rsidR="00C71FF8">
        <w:rPr>
          <w:color w:val="auto"/>
        </w:rPr>
        <w:t xml:space="preserve"> </w:t>
      </w:r>
      <w:r w:rsidRPr="00F20FBC">
        <w:rPr>
          <w:color w:val="auto"/>
        </w:rPr>
        <w:t>burden categories associated with this action</w:t>
      </w:r>
      <w:r w:rsidR="00C71FF8">
        <w:rPr>
          <w:color w:val="auto"/>
        </w:rPr>
        <w:t xml:space="preserve"> that are required</w:t>
      </w:r>
      <w:r w:rsidRPr="00F20FBC">
        <w:rPr>
          <w:color w:val="auto"/>
        </w:rPr>
        <w:t>: reading and understanding the rule</w:t>
      </w:r>
      <w:r w:rsidR="00A0638C">
        <w:rPr>
          <w:color w:val="auto"/>
        </w:rPr>
        <w:t>s</w:t>
      </w:r>
      <w:r w:rsidRPr="00F20FBC">
        <w:rPr>
          <w:color w:val="auto"/>
        </w:rPr>
        <w:t xml:space="preserve">, certification statements for affected </w:t>
      </w:r>
      <w:r w:rsidR="00B50054">
        <w:rPr>
          <w:color w:val="auto"/>
        </w:rPr>
        <w:t xml:space="preserve">C&amp;D processing </w:t>
      </w:r>
      <w:r w:rsidRPr="00F20FBC">
        <w:rPr>
          <w:color w:val="auto"/>
        </w:rPr>
        <w:t>facilities</w:t>
      </w:r>
      <w:r w:rsidR="004D2D22">
        <w:rPr>
          <w:color w:val="auto"/>
        </w:rPr>
        <w:t xml:space="preserve"> that are submitted to the combustor</w:t>
      </w:r>
      <w:r w:rsidR="00493C0B">
        <w:rPr>
          <w:color w:val="auto"/>
        </w:rPr>
        <w:t xml:space="preserve">, and petition submittals under </w:t>
      </w:r>
      <w:r w:rsidR="00313185">
        <w:rPr>
          <w:color w:val="auto"/>
        </w:rPr>
        <w:t>40 CFR</w:t>
      </w:r>
      <w:r w:rsidR="00493C0B">
        <w:rPr>
          <w:color w:val="auto"/>
        </w:rPr>
        <w:t xml:space="preserve"> 241.3</w:t>
      </w:r>
      <w:r w:rsidR="00D46D13">
        <w:rPr>
          <w:color w:val="auto"/>
        </w:rPr>
        <w:t xml:space="preserve">(c) and </w:t>
      </w:r>
      <w:r w:rsidR="00313185">
        <w:rPr>
          <w:color w:val="auto"/>
        </w:rPr>
        <w:t xml:space="preserve">40 CFR </w:t>
      </w:r>
      <w:r w:rsidR="00D46D13">
        <w:rPr>
          <w:color w:val="auto"/>
        </w:rPr>
        <w:t>241.1</w:t>
      </w:r>
      <w:r w:rsidR="004D2D22">
        <w:rPr>
          <w:color w:val="auto"/>
        </w:rPr>
        <w:t xml:space="preserve"> that are submitted to the Agency</w:t>
      </w:r>
      <w:r w:rsidRPr="00F20FBC">
        <w:rPr>
          <w:color w:val="auto"/>
        </w:rPr>
        <w:t>. Reading and understanding the rule is a one-time burden</w:t>
      </w:r>
      <w:r w:rsidR="005A6B39">
        <w:rPr>
          <w:color w:val="auto"/>
        </w:rPr>
        <w:t>,</w:t>
      </w:r>
      <w:r w:rsidRPr="00F20FBC">
        <w:rPr>
          <w:color w:val="auto"/>
        </w:rPr>
        <w:t xml:space="preserve"> </w:t>
      </w:r>
      <w:r w:rsidR="005A6B39">
        <w:t>and we have assumed that 90 percent of affected facilities already read the regulations prior to this ICR renewal period.</w:t>
      </w:r>
      <w:r w:rsidRPr="00F20FBC">
        <w:rPr>
          <w:color w:val="auto"/>
        </w:rPr>
        <w:t xml:space="preserve"> The schedule for preparation and submission of certification statements</w:t>
      </w:r>
      <w:r w:rsidR="00DD2F24">
        <w:rPr>
          <w:color w:val="auto"/>
        </w:rPr>
        <w:t xml:space="preserve"> </w:t>
      </w:r>
      <w:r w:rsidR="004D2D22">
        <w:rPr>
          <w:color w:val="auto"/>
        </w:rPr>
        <w:t>and</w:t>
      </w:r>
      <w:r w:rsidR="008B2392">
        <w:rPr>
          <w:color w:val="auto"/>
        </w:rPr>
        <w:t xml:space="preserve"> preparation and submittal of petitions </w:t>
      </w:r>
      <w:r w:rsidRPr="00F20FBC">
        <w:rPr>
          <w:color w:val="auto"/>
        </w:rPr>
        <w:t xml:space="preserve">will occur based on each facility’s needs and production schedule.  </w:t>
      </w:r>
    </w:p>
    <w:p w14:paraId="67EBA89D" w14:textId="77777777" w:rsidR="006F4445" w:rsidRPr="00A60017" w:rsidRDefault="006F4445" w:rsidP="00A60017">
      <w:pPr>
        <w:pStyle w:val="Default"/>
      </w:pPr>
    </w:p>
    <w:p w14:paraId="4FF0B53F" w14:textId="77777777" w:rsidR="0059619C" w:rsidRPr="0059619C" w:rsidRDefault="0059619C" w:rsidP="0059619C">
      <w:pPr>
        <w:pStyle w:val="Default"/>
      </w:pPr>
    </w:p>
    <w:p w14:paraId="60661A56" w14:textId="77777777" w:rsidR="007E3287" w:rsidRPr="00D15828" w:rsidRDefault="007E3287" w:rsidP="007E3287">
      <w:pPr>
        <w:pStyle w:val="CM25"/>
        <w:tabs>
          <w:tab w:val="left" w:pos="8640"/>
        </w:tabs>
        <w:spacing w:line="283" w:lineRule="atLeast"/>
        <w:ind w:left="720" w:hanging="720"/>
        <w:rPr>
          <w:rFonts w:ascii="Times New Roman" w:hAnsi="Times New Roman" w:cs="Times New Roman"/>
          <w:szCs w:val="28"/>
        </w:rPr>
      </w:pPr>
      <w:r w:rsidRPr="00D15828">
        <w:rPr>
          <w:rFonts w:ascii="Times New Roman" w:hAnsi="Times New Roman"/>
          <w:b/>
          <w:bCs/>
        </w:rPr>
        <w:t>6.</w:t>
      </w:r>
      <w:r w:rsidRPr="00D15828">
        <w:rPr>
          <w:rFonts w:ascii="Times New Roman" w:hAnsi="Times New Roman"/>
          <w:b/>
          <w:bCs/>
        </w:rPr>
        <w:tab/>
      </w:r>
      <w:r w:rsidRPr="00D15828">
        <w:rPr>
          <w:rFonts w:ascii="Times New Roman" w:hAnsi="Times New Roman" w:cs="Times New Roman"/>
          <w:b/>
          <w:bCs/>
          <w:szCs w:val="28"/>
        </w:rPr>
        <w:t xml:space="preserve">ESTIMATING THE HOUR AND COST BURDEN OF THE COLLECTION  </w:t>
      </w:r>
    </w:p>
    <w:p w14:paraId="480D3706" w14:textId="77777777" w:rsidR="007E3287" w:rsidRPr="00D15828" w:rsidRDefault="007E3287" w:rsidP="007E3287">
      <w:pPr>
        <w:ind w:firstLine="720"/>
        <w:jc w:val="both"/>
      </w:pPr>
      <w:r w:rsidRPr="00D15828">
        <w:rPr>
          <w:b/>
        </w:rPr>
        <w:t>6(a)</w:t>
      </w:r>
      <w:r w:rsidRPr="00D15828">
        <w:rPr>
          <w:b/>
        </w:rPr>
        <w:tab/>
        <w:t>Estimating Respondent Burden</w:t>
      </w:r>
    </w:p>
    <w:p w14:paraId="3E04BC98" w14:textId="77777777" w:rsidR="007E3287" w:rsidRPr="00D15828" w:rsidRDefault="007E3287" w:rsidP="007E3287">
      <w:pPr>
        <w:jc w:val="both"/>
        <w:rPr>
          <w:szCs w:val="28"/>
        </w:rPr>
      </w:pPr>
    </w:p>
    <w:p w14:paraId="56C3DDC5" w14:textId="6CDAEB9A" w:rsidR="007E3287" w:rsidRDefault="007E3287" w:rsidP="007E3287">
      <w:pPr>
        <w:jc w:val="both"/>
      </w:pPr>
      <w:r w:rsidRPr="00D15828">
        <w:rPr>
          <w:szCs w:val="28"/>
        </w:rPr>
        <w:tab/>
      </w:r>
      <w:r w:rsidRPr="00D15828">
        <w:t xml:space="preserve">In Exhibit 1, EPA estimates the respondent burden associated with the paperwork requirements in the </w:t>
      </w:r>
      <w:r w:rsidR="003318BC">
        <w:t xml:space="preserve">2011 </w:t>
      </w:r>
      <w:r w:rsidR="00CD643F">
        <w:t>Final</w:t>
      </w:r>
      <w:r w:rsidRPr="00D15828">
        <w:t xml:space="preserve"> Rule</w:t>
      </w:r>
      <w:r w:rsidR="00340A8B">
        <w:t xml:space="preserve"> and amendments</w:t>
      </w:r>
      <w:r w:rsidRPr="00D15828">
        <w:t xml:space="preserve">. As shown in the Exhibit, EPA estimates that the total </w:t>
      </w:r>
      <w:r w:rsidR="001934CD">
        <w:t>one-time</w:t>
      </w:r>
      <w:r w:rsidRPr="00D15828">
        <w:t xml:space="preserve"> respondent burden for the new requirements in the rule varies between 1 hour (per respondent) and approximately </w:t>
      </w:r>
      <w:r w:rsidR="00DB70D0">
        <w:t>149</w:t>
      </w:r>
      <w:r w:rsidRPr="00D15828">
        <w:t xml:space="preserve"> hours (per respondent), depending on whether the facility incurs solely rule familiarization costs, or whether it also incurs petition process costs</w:t>
      </w:r>
      <w:r w:rsidR="001934CD">
        <w:t>.</w:t>
      </w:r>
      <w:r w:rsidR="005A6B39">
        <w:t xml:space="preserve"> </w:t>
      </w:r>
      <w:r w:rsidR="005A6B39" w:rsidRPr="00F20FBC">
        <w:t>EPA estimates that C&amp;D wood processors would need approximately 4.1 hours to prepare the certification statement and provide to purchasers (combustors) of the C&amp;D wood.</w:t>
      </w:r>
      <w:r w:rsidR="001934CD">
        <w:t xml:space="preserve">  </w:t>
      </w:r>
    </w:p>
    <w:p w14:paraId="331FC481" w14:textId="77777777" w:rsidR="001934CD" w:rsidRPr="00D15828" w:rsidRDefault="001934CD" w:rsidP="007E3287">
      <w:pPr>
        <w:jc w:val="both"/>
      </w:pPr>
    </w:p>
    <w:p w14:paraId="64C25EF4" w14:textId="77777777" w:rsidR="007E3287" w:rsidRPr="00D15828" w:rsidRDefault="007E3287" w:rsidP="007E3287">
      <w:pPr>
        <w:rPr>
          <w:b/>
        </w:rPr>
      </w:pPr>
      <w:r w:rsidRPr="00D15828">
        <w:t xml:space="preserve"> </w:t>
      </w:r>
      <w:r w:rsidRPr="00D15828">
        <w:tab/>
      </w:r>
      <w:r w:rsidRPr="00D15828">
        <w:rPr>
          <w:b/>
        </w:rPr>
        <w:t>6(b)</w:t>
      </w:r>
      <w:r w:rsidRPr="00D15828">
        <w:rPr>
          <w:b/>
        </w:rPr>
        <w:tab/>
        <w:t>Estimating Respondent Costs</w:t>
      </w:r>
    </w:p>
    <w:p w14:paraId="0FC1AB88" w14:textId="77777777" w:rsidR="007E3287" w:rsidRPr="00D15828" w:rsidRDefault="007E3287" w:rsidP="007E3287"/>
    <w:p w14:paraId="13DE41AC" w14:textId="162C3D1D" w:rsidR="007E3287" w:rsidRPr="00D15828" w:rsidRDefault="007E3287" w:rsidP="00E0732A">
      <w:pPr>
        <w:ind w:firstLine="720"/>
        <w:jc w:val="both"/>
      </w:pPr>
      <w:r w:rsidRPr="00D15828">
        <w:t xml:space="preserve">Exhibit 1 summarizes the total costs of the information collection activities associated with the </w:t>
      </w:r>
      <w:r w:rsidR="002A06A2">
        <w:t>201</w:t>
      </w:r>
      <w:r w:rsidR="000E64EC">
        <w:t>3</w:t>
      </w:r>
      <w:r w:rsidR="002A06A2">
        <w:t xml:space="preserve"> </w:t>
      </w:r>
      <w:r w:rsidR="00CD643F" w:rsidRPr="000D79E7">
        <w:t>Final</w:t>
      </w:r>
      <w:r w:rsidRPr="000D79E7">
        <w:t xml:space="preserve"> Rule</w:t>
      </w:r>
      <w:r w:rsidR="00207E52" w:rsidRPr="000D79E7">
        <w:t xml:space="preserve"> and </w:t>
      </w:r>
      <w:r w:rsidR="00E97EDC" w:rsidRPr="000D79E7">
        <w:t>2016 and 2018 amendments</w:t>
      </w:r>
      <w:r w:rsidRPr="000D79E7">
        <w:t>. As indicated in the exhibit, these range from $</w:t>
      </w:r>
      <w:r w:rsidR="00B148C7" w:rsidRPr="000D79E7">
        <w:t>89</w:t>
      </w:r>
      <w:r w:rsidR="008F4325" w:rsidRPr="000D79E7">
        <w:t xml:space="preserve"> </w:t>
      </w:r>
      <w:r w:rsidRPr="000D79E7">
        <w:t>per respondent for rule familiarization to $</w:t>
      </w:r>
      <w:r w:rsidR="00313185">
        <w:t>23,524</w:t>
      </w:r>
      <w:r w:rsidR="00F748DE" w:rsidRPr="000D79E7">
        <w:t xml:space="preserve"> </w:t>
      </w:r>
      <w:r w:rsidRPr="000D79E7">
        <w:t>for the petition process for non-waste determinations</w:t>
      </w:r>
      <w:r w:rsidR="00313185">
        <w:t xml:space="preserve"> under 40 CFR</w:t>
      </w:r>
      <w:r w:rsidR="00456C0B">
        <w:t xml:space="preserve"> 241.4</w:t>
      </w:r>
      <w:r w:rsidRPr="000D79E7">
        <w:t xml:space="preserve">. </w:t>
      </w:r>
    </w:p>
    <w:p w14:paraId="508A1EFA" w14:textId="77777777" w:rsidR="007E3287" w:rsidRPr="00D15828" w:rsidRDefault="007E3287" w:rsidP="007E3287">
      <w:pPr>
        <w:ind w:firstLine="720"/>
        <w:rPr>
          <w:b/>
        </w:rPr>
      </w:pPr>
    </w:p>
    <w:p w14:paraId="5DD33F33" w14:textId="77777777" w:rsidR="007E3287" w:rsidRPr="00D15828" w:rsidRDefault="007E3287" w:rsidP="007E3287">
      <w:pPr>
        <w:ind w:firstLine="720"/>
        <w:outlineLvl w:val="0"/>
      </w:pPr>
      <w:r w:rsidRPr="00D15828">
        <w:rPr>
          <w:b/>
          <w:bCs/>
        </w:rPr>
        <w:t xml:space="preserve">Labor Costs </w:t>
      </w:r>
    </w:p>
    <w:p w14:paraId="0C2C7454" w14:textId="77777777" w:rsidR="007E3287" w:rsidRPr="00D15828" w:rsidRDefault="007E3287" w:rsidP="007E3287">
      <w:pPr>
        <w:rPr>
          <w:szCs w:val="28"/>
        </w:rPr>
      </w:pPr>
    </w:p>
    <w:p w14:paraId="237176CC" w14:textId="5F83DD46" w:rsidR="00D427E6" w:rsidRDefault="007E3287" w:rsidP="0096503F">
      <w:pPr>
        <w:ind w:firstLine="720"/>
        <w:jc w:val="both"/>
        <w:rPr>
          <w:bCs/>
          <w:color w:val="000000"/>
        </w:rPr>
      </w:pPr>
      <w:r w:rsidRPr="00D15828">
        <w:t>For purposes of this analysis, EPA estimates an average hourly respondent labor cost of  $</w:t>
      </w:r>
      <w:r w:rsidR="00B148C7">
        <w:t>97.67</w:t>
      </w:r>
      <w:r w:rsidR="007D714B" w:rsidRPr="00D15828">
        <w:t xml:space="preserve"> </w:t>
      </w:r>
      <w:r w:rsidRPr="00D15828">
        <w:t>for managerial staff, $</w:t>
      </w:r>
      <w:r w:rsidR="00B148C7">
        <w:t>80.77</w:t>
      </w:r>
      <w:r w:rsidR="007D714B" w:rsidRPr="00D15828">
        <w:t xml:space="preserve"> </w:t>
      </w:r>
      <w:r w:rsidRPr="00D15828">
        <w:t>for technical staff, and $</w:t>
      </w:r>
      <w:r w:rsidR="00B148C7">
        <w:t>38.54</w:t>
      </w:r>
      <w:r w:rsidR="007D714B" w:rsidRPr="00D15828">
        <w:t xml:space="preserve"> </w:t>
      </w:r>
      <w:r w:rsidRPr="00D15828">
        <w:t xml:space="preserve">for clerical staff. These hourly labor costs were obtained from </w:t>
      </w:r>
      <w:r w:rsidR="009A4824">
        <w:t xml:space="preserve">the </w:t>
      </w:r>
      <w:r w:rsidR="009A4824" w:rsidRPr="009A4824">
        <w:t xml:space="preserve">United States Department of Labor, Bureau of Labor Statistics, </w:t>
      </w:r>
      <w:r w:rsidR="00732F83">
        <w:t>June 2018</w:t>
      </w:r>
      <w:r w:rsidR="009A4824" w:rsidRPr="009A4824">
        <w:t xml:space="preserve">, “Table 2. Civilian Workers, by occupational and industry group.” </w:t>
      </w:r>
      <w:r w:rsidR="009A4824">
        <w:rPr>
          <w:rStyle w:val="FootnoteReference"/>
        </w:rPr>
        <w:footnoteReference w:id="6"/>
      </w:r>
      <w:r w:rsidR="00F748DE">
        <w:t xml:space="preserve"> </w:t>
      </w:r>
      <w:r w:rsidR="009A4824" w:rsidRPr="009A4824">
        <w:t xml:space="preserve">The rates are from column </w:t>
      </w:r>
      <w:r w:rsidR="00B148C7">
        <w:t>2</w:t>
      </w:r>
      <w:r w:rsidR="009A4824" w:rsidRPr="009A4824">
        <w:t>, “</w:t>
      </w:r>
      <w:r w:rsidR="00B148C7">
        <w:t xml:space="preserve">Wages and </w:t>
      </w:r>
      <w:r w:rsidR="002F3E76">
        <w:t>s</w:t>
      </w:r>
      <w:r w:rsidR="00B148C7">
        <w:t>alaries</w:t>
      </w:r>
      <w:r w:rsidR="009A4824" w:rsidRPr="009A4824">
        <w:t xml:space="preserve">.” The rates </w:t>
      </w:r>
      <w:r w:rsidR="009A4824" w:rsidRPr="00F336A0">
        <w:t>have been increased by 110 percent</w:t>
      </w:r>
      <w:r w:rsidR="009A4824" w:rsidRPr="009A4824">
        <w:t xml:space="preserve"> to account for the benefit packages available to those employed by private industry.</w:t>
      </w:r>
      <w:r w:rsidRPr="00D15828">
        <w:rPr>
          <w:bCs/>
          <w:color w:val="000000"/>
        </w:rPr>
        <w:t xml:space="preserve"> </w:t>
      </w:r>
    </w:p>
    <w:p w14:paraId="52E7405B" w14:textId="77777777" w:rsidR="007E3287" w:rsidRPr="00D15828" w:rsidRDefault="00765E8B" w:rsidP="007E3287">
      <w:pPr>
        <w:ind w:firstLine="720"/>
        <w:outlineLvl w:val="0"/>
      </w:pPr>
      <w:r>
        <w:rPr>
          <w:bCs/>
          <w:color w:val="000000"/>
        </w:rPr>
        <w:br/>
      </w:r>
      <w:r>
        <w:rPr>
          <w:bCs/>
          <w:color w:val="000000"/>
        </w:rPr>
        <w:br/>
      </w:r>
      <w:r w:rsidR="007E3287" w:rsidRPr="00D15828">
        <w:rPr>
          <w:b/>
          <w:bCs/>
        </w:rPr>
        <w:t>Capital and Operation &amp; Maintenance Costs</w:t>
      </w:r>
    </w:p>
    <w:p w14:paraId="0C9CD182" w14:textId="5AE8C428" w:rsidR="007E3287" w:rsidRPr="00D15828" w:rsidRDefault="007E3287" w:rsidP="007E3287">
      <w:pPr>
        <w:spacing w:before="240"/>
        <w:ind w:firstLine="720"/>
        <w:jc w:val="both"/>
      </w:pPr>
      <w:r w:rsidRPr="00D15828">
        <w:t xml:space="preserve">EPA </w:t>
      </w:r>
      <w:r w:rsidR="00F336A0">
        <w:t xml:space="preserve">anticipates that fulfilling the </w:t>
      </w:r>
      <w:r w:rsidR="001B7BC9">
        <w:t xml:space="preserve">requirements of this ICR can be accomplished using the same capital stock that respondents would already have in place to carry out normal business. No additional capital investments or costs will be required.  </w:t>
      </w:r>
    </w:p>
    <w:p w14:paraId="771E11A9" w14:textId="77777777" w:rsidR="007E3287" w:rsidRPr="00D15828" w:rsidRDefault="007E3287" w:rsidP="007E3287">
      <w:pPr>
        <w:jc w:val="both"/>
      </w:pPr>
    </w:p>
    <w:p w14:paraId="57986B64" w14:textId="2B18AFEE" w:rsidR="007E3287" w:rsidRPr="00C70AB7" w:rsidRDefault="007E3287" w:rsidP="007E3287">
      <w:pPr>
        <w:ind w:firstLine="720"/>
        <w:jc w:val="both"/>
        <w:rPr>
          <w:szCs w:val="28"/>
        </w:rPr>
      </w:pPr>
      <w:r w:rsidRPr="00D15828">
        <w:t>O&amp;M costs are those costs associated with materials and services procured for the information collection requirements included in the ICR. For this ICR, O&amp;M costs may include material testing for the petition process</w:t>
      </w:r>
      <w:r w:rsidR="004313F8">
        <w:t>es</w:t>
      </w:r>
      <w:r w:rsidRPr="00D15828">
        <w:t>, as well as the costs of supplies used in the preparation of each petition (e.g., photocopies).</w:t>
      </w:r>
      <w:r w:rsidR="00C70AB7">
        <w:t xml:space="preserve"> We estimate that facilities will incur O&amp;M costs of $293 per material</w:t>
      </w:r>
      <w:r w:rsidR="006F6851">
        <w:t xml:space="preserve"> </w:t>
      </w:r>
      <w:r w:rsidR="00D01875">
        <w:t>for testing</w:t>
      </w:r>
      <w:r w:rsidR="00C70AB7">
        <w:t>.</w:t>
      </w:r>
      <w:r w:rsidR="006F6851">
        <w:rPr>
          <w:rStyle w:val="FootnoteReference"/>
        </w:rPr>
        <w:footnoteReference w:id="7"/>
      </w:r>
      <w:r w:rsidR="00C70AB7">
        <w:t xml:space="preserve"> </w:t>
      </w:r>
      <w:r w:rsidR="00E918DA">
        <w:t xml:space="preserve">Based on data compiled in support of EPA’s Boiler MACT and CISWI rulemakings, </w:t>
      </w:r>
      <w:r w:rsidR="00400810">
        <w:t xml:space="preserve">we estimate that </w:t>
      </w:r>
      <w:r w:rsidR="00C70AB7">
        <w:t>each facilit</w:t>
      </w:r>
      <w:r w:rsidR="00C70AB7" w:rsidRPr="00C70AB7">
        <w:t xml:space="preserve">y </w:t>
      </w:r>
      <w:r w:rsidR="00C922F4">
        <w:t xml:space="preserve">seeking a non-waste determination </w:t>
      </w:r>
      <w:r w:rsidR="00456C0B">
        <w:t xml:space="preserve">through the 40 CFR 241.3(c) petition process </w:t>
      </w:r>
      <w:r w:rsidR="00C70AB7" w:rsidRPr="00C70AB7">
        <w:t>will</w:t>
      </w:r>
      <w:r w:rsidR="00E918DA">
        <w:t>, on average,</w:t>
      </w:r>
      <w:r w:rsidR="00C70AB7" w:rsidRPr="00C70AB7">
        <w:t xml:space="preserve"> petition</w:t>
      </w:r>
      <w:r w:rsidR="00C70AB7">
        <w:t xml:space="preserve"> for non-</w:t>
      </w:r>
      <w:r w:rsidR="00BD00EE">
        <w:t xml:space="preserve">waste </w:t>
      </w:r>
      <w:r w:rsidR="00C70AB7">
        <w:t>determination</w:t>
      </w:r>
      <w:r w:rsidR="00E918DA">
        <w:t xml:space="preserve">s for 1.38 </w:t>
      </w:r>
      <w:r w:rsidR="00C70AB7" w:rsidRPr="00C70AB7">
        <w:t>materials</w:t>
      </w:r>
      <w:r w:rsidR="00214426">
        <w:t>.</w:t>
      </w:r>
      <w:r w:rsidR="00E918DA">
        <w:rPr>
          <w:rStyle w:val="FootnoteReference"/>
        </w:rPr>
        <w:footnoteReference w:id="8"/>
      </w:r>
      <w:r w:rsidR="00C70AB7" w:rsidRPr="00C70AB7">
        <w:t xml:space="preserve"> </w:t>
      </w:r>
      <w:r w:rsidR="00214426">
        <w:t xml:space="preserve">Applying this to the testing cost of $293 per material, we estimate </w:t>
      </w:r>
      <w:r w:rsidR="00C70AB7" w:rsidRPr="00C70AB7">
        <w:t xml:space="preserve">per facility </w:t>
      </w:r>
      <w:r w:rsidR="00B45731">
        <w:t xml:space="preserve">O&amp;M </w:t>
      </w:r>
      <w:r w:rsidR="00214426">
        <w:t xml:space="preserve">costs </w:t>
      </w:r>
      <w:r w:rsidR="00E918DA">
        <w:t xml:space="preserve">of </w:t>
      </w:r>
      <w:r w:rsidR="00C70AB7" w:rsidRPr="00C70AB7">
        <w:t>$403</w:t>
      </w:r>
      <w:r w:rsidR="00B45731">
        <w:t xml:space="preserve"> for testing</w:t>
      </w:r>
      <w:r w:rsidR="00C70AB7" w:rsidRPr="00C70AB7">
        <w:t>.</w:t>
      </w:r>
      <w:r w:rsidR="00010E9B" w:rsidRPr="00010E9B">
        <w:t xml:space="preserve"> </w:t>
      </w:r>
      <w:r w:rsidR="00456C0B">
        <w:t xml:space="preserve">For categorical non-waste determinations made through the </w:t>
      </w:r>
      <w:r w:rsidR="00456C0B" w:rsidRPr="00456C0B">
        <w:t xml:space="preserve">40 CFR 241.4 </w:t>
      </w:r>
      <w:r w:rsidR="00456C0B">
        <w:t>p</w:t>
      </w:r>
      <w:r w:rsidR="00456C0B" w:rsidRPr="00456C0B">
        <w:t xml:space="preserve">etition </w:t>
      </w:r>
      <w:r w:rsidR="00456C0B">
        <w:t>p</w:t>
      </w:r>
      <w:r w:rsidR="00456C0B" w:rsidRPr="00456C0B">
        <w:t>rocess</w:t>
      </w:r>
      <w:r w:rsidR="00456C0B">
        <w:t>,</w:t>
      </w:r>
      <w:r w:rsidR="00456C0B" w:rsidRPr="00456C0B">
        <w:t xml:space="preserve"> double the $293 per material testing cost </w:t>
      </w:r>
      <w:r w:rsidR="00456C0B">
        <w:t>($586) is assumed per respondent,</w:t>
      </w:r>
      <w:r w:rsidR="00456C0B" w:rsidRPr="00456C0B">
        <w:t xml:space="preserve"> to enable generation of a more robust contaminant database </w:t>
      </w:r>
      <w:r w:rsidR="00456C0B">
        <w:t xml:space="preserve">for categorical non-waste determinations. </w:t>
      </w:r>
      <w:r w:rsidR="00010E9B" w:rsidRPr="00F20FBC">
        <w:t>O&amp;M costs may</w:t>
      </w:r>
      <w:r w:rsidR="00010E9B">
        <w:t xml:space="preserve"> also</w:t>
      </w:r>
      <w:r w:rsidR="00010E9B" w:rsidRPr="00F20FBC">
        <w:t xml:space="preserve"> include the costs of supplies used in the preparation of each C&amp;D wood certification statement (e.g., paper, photocopies, postage).</w:t>
      </w:r>
      <w:r w:rsidR="00C922F4">
        <w:t xml:space="preserve"> </w:t>
      </w:r>
      <w:r w:rsidR="00010E9B" w:rsidRPr="00F20FBC">
        <w:t>These O&amp;M costs are believed to be negligible (less than $1 per certification) and have not been incorporated into Exhibit 1.</w:t>
      </w:r>
    </w:p>
    <w:p w14:paraId="0D5CC3DB" w14:textId="77777777" w:rsidR="007E3287" w:rsidRPr="00D15828" w:rsidRDefault="007E3287" w:rsidP="007E3287">
      <w:pPr>
        <w:jc w:val="both"/>
        <w:rPr>
          <w:szCs w:val="28"/>
        </w:rPr>
      </w:pPr>
    </w:p>
    <w:p w14:paraId="3AD26AF2" w14:textId="77777777" w:rsidR="007E3287" w:rsidRPr="00D15828" w:rsidRDefault="007E3287" w:rsidP="007E3287">
      <w:pPr>
        <w:ind w:firstLine="720"/>
      </w:pPr>
      <w:r w:rsidRPr="00D15828">
        <w:rPr>
          <w:b/>
          <w:bCs/>
        </w:rPr>
        <w:t>6(c)</w:t>
      </w:r>
      <w:r w:rsidRPr="00D15828">
        <w:rPr>
          <w:b/>
          <w:bCs/>
        </w:rPr>
        <w:tab/>
        <w:t>Estimating Agency Burden and Costs</w:t>
      </w:r>
    </w:p>
    <w:p w14:paraId="355D9D35" w14:textId="77777777" w:rsidR="007E3287" w:rsidRPr="00D15828" w:rsidRDefault="007E3287" w:rsidP="007E3287">
      <w:pPr>
        <w:rPr>
          <w:szCs w:val="28"/>
        </w:rPr>
      </w:pPr>
    </w:p>
    <w:p w14:paraId="6364C52E" w14:textId="2EBA07BA" w:rsidR="007E3287" w:rsidRPr="00D15828" w:rsidRDefault="007E3287" w:rsidP="000D12E3">
      <w:pPr>
        <w:pBdr>
          <w:top w:val="single" w:sz="6" w:space="0" w:color="FFFFFF"/>
          <w:left w:val="single" w:sz="6" w:space="0" w:color="FFFFFF"/>
          <w:bottom w:val="single" w:sz="6" w:space="0" w:color="FFFFFF"/>
          <w:right w:val="single" w:sz="6" w:space="0" w:color="FFFFFF"/>
        </w:pBdr>
        <w:ind w:firstLine="720"/>
        <w:jc w:val="both"/>
      </w:pPr>
      <w:r w:rsidRPr="00D15828">
        <w:t xml:space="preserve">Exhibit 2 below presents the estimated Agency burden and costs associated with the requirements covered in this ICR. We estimate that EPA would incur a one-time cost of </w:t>
      </w:r>
      <w:r w:rsidR="0059619C" w:rsidRPr="00E9097C">
        <w:t xml:space="preserve">approximately </w:t>
      </w:r>
      <w:r w:rsidRPr="00E9097C">
        <w:t>$</w:t>
      </w:r>
      <w:r w:rsidR="00F748DE" w:rsidRPr="00E9097C">
        <w:t>7,</w:t>
      </w:r>
      <w:r w:rsidR="00C922F4" w:rsidRPr="00E9097C">
        <w:t xml:space="preserve">568 </w:t>
      </w:r>
      <w:r w:rsidRPr="00E9097C">
        <w:t>per</w:t>
      </w:r>
      <w:r w:rsidRPr="00D15828">
        <w:t xml:space="preserve"> respondent for the </w:t>
      </w:r>
      <w:r w:rsidR="00C32A5D">
        <w:t xml:space="preserve">40 CFR 241.3(c) non-waste </w:t>
      </w:r>
      <w:r w:rsidRPr="00D15828">
        <w:t>petition process</w:t>
      </w:r>
      <w:r w:rsidR="00C32A5D">
        <w:t xml:space="preserve"> and approximately $10,6</w:t>
      </w:r>
      <w:r w:rsidR="00456C0B">
        <w:t>40</w:t>
      </w:r>
      <w:r w:rsidR="00C32A5D">
        <w:t xml:space="preserve"> for the 40 CFR 241.4 categorical non-waste determination petition process</w:t>
      </w:r>
      <w:r w:rsidRPr="00D15828">
        <w:t xml:space="preserve">. </w:t>
      </w:r>
      <w:r w:rsidR="00240F38">
        <w:rPr>
          <w:color w:val="000000"/>
        </w:rPr>
        <w:t xml:space="preserve">This cost is based on the average hourly labor rates </w:t>
      </w:r>
      <w:r w:rsidR="00240F38" w:rsidRPr="00D15828">
        <w:t>of $</w:t>
      </w:r>
      <w:r w:rsidR="006D45AD">
        <w:t>65.71</w:t>
      </w:r>
      <w:r w:rsidR="00240F38" w:rsidRPr="00D15828">
        <w:t xml:space="preserve"> for managerial staff, $</w:t>
      </w:r>
      <w:r w:rsidR="006D45AD">
        <w:t xml:space="preserve">48.75 </w:t>
      </w:r>
      <w:r w:rsidR="00240F38" w:rsidRPr="00D15828">
        <w:t>for technical staff, and $</w:t>
      </w:r>
      <w:r w:rsidR="006D45AD">
        <w:t>26.38</w:t>
      </w:r>
      <w:r w:rsidR="006D45AD" w:rsidRPr="00D15828">
        <w:t xml:space="preserve"> </w:t>
      </w:r>
      <w:r w:rsidR="00240F38" w:rsidRPr="00D15828">
        <w:t>for clerical staff.</w:t>
      </w:r>
      <w:r w:rsidR="00240F38">
        <w:t xml:space="preserve"> </w:t>
      </w:r>
      <w:r w:rsidR="00240F38">
        <w:rPr>
          <w:color w:val="000000"/>
        </w:rPr>
        <w:t xml:space="preserve">These rates are from the Office of Personnel Management (OPM), </w:t>
      </w:r>
      <w:r w:rsidR="006D45AD">
        <w:rPr>
          <w:color w:val="000000"/>
        </w:rPr>
        <w:t xml:space="preserve">2018 </w:t>
      </w:r>
      <w:r w:rsidR="00240F38">
        <w:rPr>
          <w:color w:val="000000"/>
        </w:rPr>
        <w:t>General Schedule, which excludes locality rates of pay. The rates have been increased by 60 percent to account for the benefit packages available to government employees</w:t>
      </w:r>
      <w:r w:rsidR="00240F38" w:rsidRPr="007A0634">
        <w:t xml:space="preserve">. </w:t>
      </w:r>
    </w:p>
    <w:p w14:paraId="2BED6821" w14:textId="77777777" w:rsidR="007E3287" w:rsidRPr="00D15828" w:rsidRDefault="007E3287" w:rsidP="007E3287">
      <w:pPr>
        <w:ind w:firstLine="720"/>
        <w:rPr>
          <w:szCs w:val="28"/>
        </w:rPr>
      </w:pPr>
    </w:p>
    <w:p w14:paraId="4DC07B7A" w14:textId="77777777" w:rsidR="007E3287" w:rsidRPr="00D15828" w:rsidRDefault="007E3287" w:rsidP="007E3287">
      <w:pPr>
        <w:ind w:firstLine="720"/>
        <w:rPr>
          <w:b/>
          <w:bCs/>
        </w:rPr>
      </w:pPr>
      <w:r w:rsidRPr="00D15828">
        <w:rPr>
          <w:b/>
          <w:bCs/>
        </w:rPr>
        <w:t>6(</w:t>
      </w:r>
      <w:r w:rsidR="0055448A">
        <w:rPr>
          <w:b/>
          <w:bCs/>
        </w:rPr>
        <w:t>d</w:t>
      </w:r>
      <w:r w:rsidRPr="00D15828">
        <w:rPr>
          <w:b/>
          <w:bCs/>
        </w:rPr>
        <w:t>)</w:t>
      </w:r>
      <w:r w:rsidRPr="00D15828">
        <w:rPr>
          <w:b/>
          <w:bCs/>
        </w:rPr>
        <w:tab/>
        <w:t>Estimating the Respondent Universe and Total Burden and Costs</w:t>
      </w:r>
    </w:p>
    <w:p w14:paraId="6C4DC7B7" w14:textId="77777777" w:rsidR="007E3287" w:rsidRPr="00D15828" w:rsidRDefault="007E3287" w:rsidP="007E3287">
      <w:pPr>
        <w:rPr>
          <w:szCs w:val="28"/>
        </w:rPr>
      </w:pPr>
    </w:p>
    <w:p w14:paraId="7EF3B3DC" w14:textId="77777777" w:rsidR="007E3287" w:rsidRPr="00D15828" w:rsidRDefault="007E3287" w:rsidP="007E3287">
      <w:pPr>
        <w:ind w:firstLine="720"/>
        <w:jc w:val="both"/>
        <w:outlineLvl w:val="0"/>
        <w:rPr>
          <w:b/>
        </w:rPr>
      </w:pPr>
      <w:r w:rsidRPr="00D15828">
        <w:rPr>
          <w:b/>
        </w:rPr>
        <w:t xml:space="preserve">Respondent Universe </w:t>
      </w:r>
    </w:p>
    <w:p w14:paraId="6647ECD7" w14:textId="77777777" w:rsidR="007E3287" w:rsidRPr="00D15828" w:rsidRDefault="007E3287" w:rsidP="007E3287">
      <w:pPr>
        <w:jc w:val="both"/>
        <w:rPr>
          <w:b/>
        </w:rPr>
      </w:pPr>
    </w:p>
    <w:p w14:paraId="7055DFED" w14:textId="77777777" w:rsidR="007E3287" w:rsidRPr="00D15828" w:rsidRDefault="007E3287" w:rsidP="007E3287">
      <w:pPr>
        <w:ind w:firstLine="720"/>
        <w:jc w:val="both"/>
      </w:pPr>
      <w:r w:rsidRPr="00D15828">
        <w:t xml:space="preserve">The number of affected entities varies by information collection activity, as summarized below: </w:t>
      </w:r>
    </w:p>
    <w:p w14:paraId="297C6F8D" w14:textId="77777777" w:rsidR="007E3287" w:rsidRPr="00D15828" w:rsidRDefault="007E3287" w:rsidP="007E3287">
      <w:pPr>
        <w:ind w:firstLine="720"/>
        <w:jc w:val="both"/>
      </w:pPr>
    </w:p>
    <w:p w14:paraId="25D02FCB" w14:textId="41DDC13E" w:rsidR="007E3287" w:rsidRPr="00D15828" w:rsidRDefault="007E3287" w:rsidP="007E3287">
      <w:pPr>
        <w:ind w:left="720"/>
        <w:jc w:val="both"/>
      </w:pPr>
      <w:r w:rsidRPr="00D15828">
        <w:rPr>
          <w:i/>
        </w:rPr>
        <w:t>Rule Familiarization:</w:t>
      </w:r>
      <w:r w:rsidRPr="00D15828">
        <w:t xml:space="preserve"> </w:t>
      </w:r>
      <w:r w:rsidR="00771893">
        <w:t xml:space="preserve">EPA estimates that </w:t>
      </w:r>
      <w:r w:rsidR="00C922F4">
        <w:t>146</w:t>
      </w:r>
      <w:r w:rsidRPr="00D15828">
        <w:t xml:space="preserve"> facilities will incur rule familiarization costs under the </w:t>
      </w:r>
      <w:r w:rsidR="009C59C4">
        <w:t>Final</w:t>
      </w:r>
      <w:r w:rsidRPr="00D15828">
        <w:t xml:space="preserve"> Rule</w:t>
      </w:r>
      <w:r w:rsidR="002C4317">
        <w:t xml:space="preserve"> and</w:t>
      </w:r>
      <w:r w:rsidR="00E62DC6">
        <w:t xml:space="preserve"> </w:t>
      </w:r>
      <w:r w:rsidR="002C4317">
        <w:t>subsequent amendments</w:t>
      </w:r>
      <w:r w:rsidRPr="00D15828">
        <w:t>.</w:t>
      </w:r>
      <w:r w:rsidR="00771893">
        <w:t xml:space="preserve"> This estimate is based upon information compiled by EPA on the </w:t>
      </w:r>
      <w:r w:rsidR="003D0174">
        <w:t>NHSM</w:t>
      </w:r>
      <w:r w:rsidR="00771893">
        <w:t xml:space="preserve"> burned by individual combustion units potentially affected by </w:t>
      </w:r>
      <w:r w:rsidR="001B5CA2">
        <w:t>either</w:t>
      </w:r>
      <w:r w:rsidR="00771893">
        <w:t xml:space="preserve"> of the following rulemakings: </w:t>
      </w:r>
      <w:r w:rsidR="001B5CA2">
        <w:t xml:space="preserve">(1) </w:t>
      </w:r>
      <w:r w:rsidR="00771893" w:rsidRPr="00771893">
        <w:t>the Standards of Performance for New Stationary Sources and Emission Guidelines for Existing Sources: Commercial and Industrial Solid Waste Incineration (CISWI) Units (the CISWI Rule); and (</w:t>
      </w:r>
      <w:r w:rsidR="00771893">
        <w:t>2</w:t>
      </w:r>
      <w:r w:rsidR="00771893" w:rsidRPr="00771893">
        <w:t>) the National Emission Standards for Hazardous Air Pollutants for Industrial/Commercial/Institutional Boilers and Process Heaters (the major source Boilers Rule)</w:t>
      </w:r>
      <w:r w:rsidR="00771893">
        <w:t>.</w:t>
      </w:r>
      <w:r w:rsidR="008A78C4">
        <w:rPr>
          <w:rStyle w:val="FootnoteReference"/>
        </w:rPr>
        <w:footnoteReference w:id="9"/>
      </w:r>
      <w:r w:rsidR="008A78C4" w:rsidRPr="008A78C4">
        <w:rPr>
          <w:vertAlign w:val="superscript"/>
        </w:rPr>
        <w:t>,</w:t>
      </w:r>
      <w:r w:rsidR="00D80F55">
        <w:rPr>
          <w:rStyle w:val="FootnoteReference"/>
        </w:rPr>
        <w:footnoteReference w:id="10"/>
      </w:r>
      <w:r w:rsidR="00771893">
        <w:t xml:space="preserve"> </w:t>
      </w:r>
      <w:r w:rsidR="00C922F4">
        <w:t>EPA originally estimated that 1,461 facilities would incur a one-time rule familiarization cost for the 201</w:t>
      </w:r>
      <w:r w:rsidR="00515B30">
        <w:t>1</w:t>
      </w:r>
      <w:r w:rsidR="00C922F4">
        <w:t xml:space="preserve"> Final Rule. EPA has estimated that, by now, approximately 90 percent of those respondents will have already read and understood the rule. Therefore, for the current ICR renewal, EPA has decreased its </w:t>
      </w:r>
      <w:r w:rsidR="0035477E">
        <w:t>estimated number of respondents from 1,461 to 146.</w:t>
      </w:r>
    </w:p>
    <w:p w14:paraId="3EC641BB" w14:textId="77777777" w:rsidR="007E3287" w:rsidRPr="00D15828" w:rsidRDefault="007E3287" w:rsidP="007E3287">
      <w:pPr>
        <w:ind w:left="720"/>
        <w:jc w:val="both"/>
      </w:pPr>
    </w:p>
    <w:p w14:paraId="56D48B9B" w14:textId="299E7861" w:rsidR="007E3287" w:rsidRDefault="007E3287" w:rsidP="007E3287">
      <w:pPr>
        <w:ind w:left="720"/>
        <w:jc w:val="both"/>
      </w:pPr>
      <w:r w:rsidRPr="00D15828">
        <w:rPr>
          <w:i/>
        </w:rPr>
        <w:t>Petition Process</w:t>
      </w:r>
      <w:r w:rsidR="00F23A18">
        <w:rPr>
          <w:i/>
        </w:rPr>
        <w:t>es</w:t>
      </w:r>
      <w:r w:rsidRPr="00D15828">
        <w:rPr>
          <w:i/>
        </w:rPr>
        <w:t xml:space="preserve">: </w:t>
      </w:r>
      <w:r w:rsidR="00A04F94">
        <w:t xml:space="preserve">For the previous ICR, </w:t>
      </w:r>
      <w:r w:rsidRPr="00D15828">
        <w:t>EPA assume</w:t>
      </w:r>
      <w:r w:rsidR="00A04F94">
        <w:t>d</w:t>
      </w:r>
      <w:r w:rsidRPr="00D15828">
        <w:t xml:space="preserve"> that facilities currently burn</w:t>
      </w:r>
      <w:r w:rsidR="00A04F94">
        <w:t>ing</w:t>
      </w:r>
      <w:r w:rsidRPr="00D15828">
        <w:t xml:space="preserve"> secondary materials considered to be waste</w:t>
      </w:r>
      <w:r w:rsidR="00364F20">
        <w:t xml:space="preserve"> </w:t>
      </w:r>
      <w:r w:rsidRPr="00D15828">
        <w:t xml:space="preserve">under the </w:t>
      </w:r>
      <w:r w:rsidR="002A06A2">
        <w:t>201</w:t>
      </w:r>
      <w:r w:rsidR="007C5D2C">
        <w:t>1</w:t>
      </w:r>
      <w:r w:rsidR="002A06A2">
        <w:t xml:space="preserve"> </w:t>
      </w:r>
      <w:r w:rsidR="009C59C4">
        <w:t>Final</w:t>
      </w:r>
      <w:r w:rsidRPr="00D15828">
        <w:t xml:space="preserve"> Rule w</w:t>
      </w:r>
      <w:r w:rsidR="00A04F94">
        <w:t>ould</w:t>
      </w:r>
      <w:r w:rsidRPr="00D15828">
        <w:t xml:space="preserve"> undergo the petition process for non-waste determination</w:t>
      </w:r>
      <w:r w:rsidR="00364F20">
        <w:t xml:space="preserve"> if the material is not burned within the control of the generator</w:t>
      </w:r>
      <w:r w:rsidRPr="00D15828">
        <w:t xml:space="preserve">. </w:t>
      </w:r>
      <w:r w:rsidR="0016640C">
        <w:t xml:space="preserve">Based on the unit-level information compiled by EPA for the CISWI Rule and the </w:t>
      </w:r>
      <w:r w:rsidR="00573128">
        <w:t>M</w:t>
      </w:r>
      <w:r w:rsidR="0016640C">
        <w:t xml:space="preserve">ajor </w:t>
      </w:r>
      <w:r w:rsidR="00573128">
        <w:t>S</w:t>
      </w:r>
      <w:r w:rsidR="0016640C">
        <w:t xml:space="preserve">ource Boilers Rule, the Agency </w:t>
      </w:r>
      <w:r w:rsidR="00A04F94">
        <w:t xml:space="preserve">had </w:t>
      </w:r>
      <w:r w:rsidR="0035477E">
        <w:t xml:space="preserve">originally </w:t>
      </w:r>
      <w:r w:rsidR="0016640C">
        <w:t>estimate</w:t>
      </w:r>
      <w:r w:rsidR="00A04F94">
        <w:t>d</w:t>
      </w:r>
      <w:r w:rsidR="0016640C">
        <w:t xml:space="preserve"> </w:t>
      </w:r>
      <w:r w:rsidR="001B5CA2">
        <w:t>t</w:t>
      </w:r>
      <w:r w:rsidRPr="00D15828">
        <w:t xml:space="preserve">hat a total of </w:t>
      </w:r>
      <w:r w:rsidR="0055448A">
        <w:t>168</w:t>
      </w:r>
      <w:r w:rsidRPr="00D15828">
        <w:t xml:space="preserve"> facilities </w:t>
      </w:r>
      <w:r w:rsidR="00932444" w:rsidRPr="00D15828">
        <w:t>w</w:t>
      </w:r>
      <w:r w:rsidR="00932444">
        <w:t>ould</w:t>
      </w:r>
      <w:r w:rsidR="00932444" w:rsidRPr="00D15828">
        <w:t xml:space="preserve"> </w:t>
      </w:r>
      <w:r w:rsidRPr="00D15828">
        <w:t>submit petitions to the Agency.</w:t>
      </w:r>
      <w:r w:rsidRPr="00D15828">
        <w:rPr>
          <w:rStyle w:val="FootnoteReference"/>
        </w:rPr>
        <w:footnoteReference w:id="11"/>
      </w:r>
      <w:r w:rsidR="00A04F94">
        <w:t xml:space="preserve"> However, o</w:t>
      </w:r>
      <w:r w:rsidR="00A04F94" w:rsidRPr="00A04F94">
        <w:t xml:space="preserve">nly two petitions were submitted </w:t>
      </w:r>
      <w:r w:rsidR="00A04F94">
        <w:t xml:space="preserve">over the </w:t>
      </w:r>
      <w:r w:rsidR="0035477E">
        <w:t xml:space="preserve">first ICR renewal </w:t>
      </w:r>
      <w:r w:rsidR="00A04F94">
        <w:t>period</w:t>
      </w:r>
      <w:r w:rsidR="00A04F94" w:rsidRPr="00A04F94">
        <w:t xml:space="preserve">. The number of petitions anticipated to be filed over the next three year period </w:t>
      </w:r>
      <w:r w:rsidR="0035477E">
        <w:t>w</w:t>
      </w:r>
      <w:r w:rsidR="00A04F94" w:rsidRPr="00A04F94">
        <w:t xml:space="preserve">as therefore reduced to 10, which EPA </w:t>
      </w:r>
      <w:r w:rsidR="0035477E" w:rsidRPr="00A04F94">
        <w:t>believe</w:t>
      </w:r>
      <w:r w:rsidR="0035477E">
        <w:t>d</w:t>
      </w:r>
      <w:r w:rsidR="0035477E" w:rsidRPr="00A04F94">
        <w:t xml:space="preserve"> </w:t>
      </w:r>
      <w:r w:rsidR="0035477E">
        <w:t>wa</w:t>
      </w:r>
      <w:r w:rsidR="00A04F94" w:rsidRPr="00A04F94">
        <w:t>s still a conservative estimate.</w:t>
      </w:r>
      <w:r w:rsidR="0035477E">
        <w:t xml:space="preserve"> EPA is retaining th</w:t>
      </w:r>
      <w:r w:rsidR="003343E4">
        <w:t>e</w:t>
      </w:r>
      <w:r w:rsidR="00EF6253">
        <w:t xml:space="preserve"> 10 petition</w:t>
      </w:r>
      <w:r w:rsidR="0035477E">
        <w:t xml:space="preserve"> estimate for the current ICR renewal period.</w:t>
      </w:r>
    </w:p>
    <w:p w14:paraId="7453F97A" w14:textId="77777777" w:rsidR="00CC4396" w:rsidRPr="00D15828" w:rsidRDefault="00CC4396" w:rsidP="007E3287">
      <w:pPr>
        <w:ind w:left="720"/>
        <w:jc w:val="both"/>
        <w:rPr>
          <w:vertAlign w:val="superscript"/>
        </w:rPr>
      </w:pPr>
    </w:p>
    <w:p w14:paraId="32FCAFFF" w14:textId="3FFF0ADB" w:rsidR="007E3287" w:rsidRPr="00D15828" w:rsidRDefault="00CC4396" w:rsidP="007E3287">
      <w:pPr>
        <w:pStyle w:val="CM25"/>
        <w:spacing w:line="286" w:lineRule="atLeast"/>
        <w:ind w:left="720"/>
        <w:jc w:val="both"/>
      </w:pPr>
      <w:r w:rsidRPr="00F20FBC">
        <w:rPr>
          <w:i/>
        </w:rPr>
        <w:t xml:space="preserve">Certification Statement: </w:t>
      </w:r>
      <w:r w:rsidRPr="00F20FBC">
        <w:t xml:space="preserve">We estimate that there may be approximately </w:t>
      </w:r>
      <w:r w:rsidR="002155EB">
        <w:t>167</w:t>
      </w:r>
      <w:r w:rsidR="002155EB" w:rsidRPr="00433C14">
        <w:t xml:space="preserve"> </w:t>
      </w:r>
      <w:r w:rsidRPr="00433C14">
        <w:t>C&amp;D</w:t>
      </w:r>
      <w:r w:rsidRPr="00F20FBC">
        <w:t xml:space="preserve"> wood processing facilities that may need to prepare the certification statement required</w:t>
      </w:r>
      <w:r w:rsidR="00C32A5D">
        <w:t xml:space="preserve"> to be submitted to combustion unit owner/operators</w:t>
      </w:r>
      <w:r w:rsidRPr="00F20FBC">
        <w:t xml:space="preserve"> </w:t>
      </w:r>
      <w:r w:rsidR="00C32A5D">
        <w:t>as a result of</w:t>
      </w:r>
      <w:r w:rsidRPr="00F20FBC">
        <w:t xml:space="preserve"> th</w:t>
      </w:r>
      <w:r>
        <w:t>e 2016</w:t>
      </w:r>
      <w:r w:rsidRPr="00F20FBC">
        <w:t xml:space="preserve"> </w:t>
      </w:r>
      <w:r w:rsidR="002A06A2">
        <w:t>F</w:t>
      </w:r>
      <w:r w:rsidRPr="00F20FBC">
        <w:t xml:space="preserve">inal </w:t>
      </w:r>
      <w:r w:rsidR="002A06A2">
        <w:t>R</w:t>
      </w:r>
      <w:r w:rsidRPr="00F20FBC">
        <w:t>ule</w:t>
      </w:r>
      <w:r w:rsidR="002A06A2">
        <w:t xml:space="preserve"> amendments</w:t>
      </w:r>
      <w:r w:rsidRPr="00F20FBC">
        <w:t>.</w:t>
      </w:r>
    </w:p>
    <w:p w14:paraId="22F898B0" w14:textId="77777777" w:rsidR="007E3287" w:rsidRPr="00D15828" w:rsidRDefault="007E3287" w:rsidP="007E3287">
      <w:pPr>
        <w:ind w:firstLine="720"/>
        <w:outlineLvl w:val="0"/>
      </w:pPr>
      <w:r w:rsidRPr="00D15828">
        <w:rPr>
          <w:b/>
          <w:bCs/>
        </w:rPr>
        <w:t>Respondent Burden and Cost</w:t>
      </w:r>
    </w:p>
    <w:p w14:paraId="3606639E" w14:textId="77777777" w:rsidR="007E3287" w:rsidRPr="00D15828" w:rsidRDefault="007E3287" w:rsidP="007E3287">
      <w:pPr>
        <w:ind w:firstLine="720"/>
      </w:pPr>
    </w:p>
    <w:p w14:paraId="2E286969" w14:textId="77777777" w:rsidR="007E3287" w:rsidRPr="00D15828" w:rsidRDefault="007E3287" w:rsidP="007E3287">
      <w:pPr>
        <w:ind w:firstLine="720"/>
        <w:jc w:val="both"/>
      </w:pPr>
      <w:r w:rsidRPr="00D15828">
        <w:t xml:space="preserve">Based on the universe data presented above, EPA estimates the respondent burden associated with all of the new information collection requirements covered in this ICR in Exhibit 1.  A discussion of the assumptions used in developing these burden estimates follows.  </w:t>
      </w:r>
    </w:p>
    <w:p w14:paraId="5F609FC8" w14:textId="77777777" w:rsidR="007E3287" w:rsidRPr="00D15828" w:rsidRDefault="007E3287" w:rsidP="007E3287">
      <w:pPr>
        <w:rPr>
          <w:szCs w:val="28"/>
        </w:rPr>
      </w:pPr>
    </w:p>
    <w:p w14:paraId="18DEB62B" w14:textId="77777777" w:rsidR="007E3287" w:rsidRPr="00D15828" w:rsidRDefault="007E3287" w:rsidP="007E3287">
      <w:pPr>
        <w:ind w:left="720" w:firstLine="720"/>
        <w:outlineLvl w:val="0"/>
        <w:rPr>
          <w:i/>
        </w:rPr>
      </w:pPr>
      <w:r w:rsidRPr="00D15828">
        <w:rPr>
          <w:b/>
          <w:bCs/>
          <w:i/>
        </w:rPr>
        <w:t>Rule Familiarization</w:t>
      </w:r>
    </w:p>
    <w:p w14:paraId="32FF426C" w14:textId="77777777" w:rsidR="007E3287" w:rsidRPr="00D15828" w:rsidRDefault="007E3287" w:rsidP="007E3287">
      <w:pPr>
        <w:rPr>
          <w:szCs w:val="28"/>
        </w:rPr>
      </w:pPr>
    </w:p>
    <w:p w14:paraId="05A408EC" w14:textId="2C0F3F54" w:rsidR="007E3287" w:rsidRPr="00D15828" w:rsidRDefault="007E3287" w:rsidP="007E3287">
      <w:pPr>
        <w:ind w:firstLine="720"/>
        <w:jc w:val="both"/>
      </w:pPr>
      <w:r w:rsidRPr="00D15828">
        <w:t xml:space="preserve">As shown in Exhibit 1, EPA estimates that </w:t>
      </w:r>
      <w:r w:rsidR="001F1801">
        <w:t>146</w:t>
      </w:r>
      <w:r w:rsidRPr="00D15828">
        <w:t xml:space="preserve"> potentially affected facilities will read the rule. Based on the ICR for another recent RCRA rulemaking, we estimate that the per</w:t>
      </w:r>
      <w:r w:rsidR="009E03F3">
        <w:t>-</w:t>
      </w:r>
      <w:r w:rsidRPr="00D15828">
        <w:t xml:space="preserve">facility burden for rule familiarization is one hour. </w:t>
      </w:r>
      <w:r w:rsidR="003C5B91">
        <w:t xml:space="preserve">Based on the labor rates noted above, </w:t>
      </w:r>
      <w:r w:rsidR="003C5B91" w:rsidRPr="00D15828">
        <w:t xml:space="preserve">the cost per facility for rule familiarization is </w:t>
      </w:r>
      <w:r w:rsidR="003C5B91">
        <w:t xml:space="preserve">estimated at </w:t>
      </w:r>
      <w:r w:rsidR="003C5B91" w:rsidRPr="00D15828">
        <w:t>$</w:t>
      </w:r>
      <w:r w:rsidR="003C5B91">
        <w:t>89.</w:t>
      </w:r>
    </w:p>
    <w:p w14:paraId="00F6F77E" w14:textId="77777777" w:rsidR="007E3287" w:rsidRPr="00D15828" w:rsidRDefault="007E3287" w:rsidP="007E3287">
      <w:pPr>
        <w:rPr>
          <w:szCs w:val="28"/>
        </w:rPr>
      </w:pPr>
    </w:p>
    <w:p w14:paraId="1D814144" w14:textId="77777777" w:rsidR="007E3287" w:rsidRPr="00D15828" w:rsidRDefault="007E3287" w:rsidP="007E3287">
      <w:pPr>
        <w:ind w:left="720" w:firstLine="720"/>
        <w:outlineLvl w:val="0"/>
        <w:rPr>
          <w:i/>
        </w:rPr>
      </w:pPr>
      <w:r w:rsidRPr="00D15828">
        <w:rPr>
          <w:b/>
          <w:bCs/>
          <w:i/>
        </w:rPr>
        <w:t>Petition Process</w:t>
      </w:r>
    </w:p>
    <w:p w14:paraId="02B192CB" w14:textId="77777777" w:rsidR="007E3287" w:rsidRPr="00D15828" w:rsidRDefault="007E3287" w:rsidP="007E3287">
      <w:pPr>
        <w:rPr>
          <w:szCs w:val="28"/>
        </w:rPr>
      </w:pPr>
    </w:p>
    <w:p w14:paraId="7159207D" w14:textId="6E1FD3F1" w:rsidR="007E3287" w:rsidRPr="00D15828" w:rsidRDefault="007E3287" w:rsidP="007E3287">
      <w:pPr>
        <w:ind w:firstLine="720"/>
        <w:jc w:val="both"/>
      </w:pPr>
      <w:r w:rsidRPr="00D15828">
        <w:t xml:space="preserve">As shown in Exhibit 1, EPA estimates that </w:t>
      </w:r>
      <w:r w:rsidR="00020DFB">
        <w:t>10</w:t>
      </w:r>
      <w:r w:rsidR="00020DFB" w:rsidRPr="00D15828">
        <w:t xml:space="preserve"> </w:t>
      </w:r>
      <w:r w:rsidRPr="00D15828">
        <w:t>potentially affected facilities will file petitions for non-waste determinations</w:t>
      </w:r>
      <w:r w:rsidR="009D0443">
        <w:t xml:space="preserve"> and one facility or trade organization will submit a categorical non-waste determination petition</w:t>
      </w:r>
      <w:r w:rsidRPr="00D15828">
        <w:t>.  Similar to reading the regulations, it is assumed that this represents a one-time cost per facility.</w:t>
      </w:r>
    </w:p>
    <w:p w14:paraId="03406074" w14:textId="77777777" w:rsidR="007E3287" w:rsidRPr="00D15828" w:rsidRDefault="007E3287" w:rsidP="007E3287">
      <w:pPr>
        <w:ind w:firstLine="720"/>
        <w:jc w:val="both"/>
      </w:pPr>
    </w:p>
    <w:p w14:paraId="57C0E67B" w14:textId="4D413E9B" w:rsidR="007E3287" w:rsidRPr="00D15828" w:rsidRDefault="007E3287" w:rsidP="00E52DDD">
      <w:pPr>
        <w:ind w:firstLine="720"/>
        <w:jc w:val="both"/>
      </w:pPr>
      <w:r w:rsidRPr="00D15828">
        <w:t xml:space="preserve">We estimate the burden and cost of the petition process based </w:t>
      </w:r>
      <w:r w:rsidR="009D0443">
        <w:t xml:space="preserve">on similar rulemaking procedures and experiences to date with non-waste determination petitions, both facility-specific and categorical. </w:t>
      </w:r>
      <w:r w:rsidR="007F10A3">
        <w:t xml:space="preserve"> </w:t>
      </w:r>
      <w:r w:rsidR="00E52DDD">
        <w:t xml:space="preserve">In addition, testing costs </w:t>
      </w:r>
      <w:r w:rsidR="00B45731">
        <w:t>are</w:t>
      </w:r>
      <w:r w:rsidR="00E52DDD">
        <w:t xml:space="preserve"> assumed to require two hours of field technical labor</w:t>
      </w:r>
      <w:r w:rsidR="007419D6">
        <w:t xml:space="preserve"> </w:t>
      </w:r>
      <w:r w:rsidR="006A1905">
        <w:t>per material petitioned plus</w:t>
      </w:r>
      <w:r w:rsidR="007419D6">
        <w:t xml:space="preserve"> an additional $</w:t>
      </w:r>
      <w:r w:rsidR="006A1905">
        <w:t>293</w:t>
      </w:r>
      <w:r w:rsidR="007419D6">
        <w:t xml:space="preserve"> in O&amp;M costs</w:t>
      </w:r>
      <w:r w:rsidR="006A1905">
        <w:t xml:space="preserve"> per material petitioned</w:t>
      </w:r>
      <w:r w:rsidR="00E52DDD">
        <w:t xml:space="preserve">. </w:t>
      </w:r>
      <w:r w:rsidRPr="00D15828">
        <w:t xml:space="preserve">The estimated per facility burden of this petition process is approximately </w:t>
      </w:r>
      <w:r w:rsidR="00C3113D">
        <w:t>149</w:t>
      </w:r>
      <w:r w:rsidR="00C3113D" w:rsidRPr="00D15828">
        <w:t xml:space="preserve"> </w:t>
      </w:r>
      <w:r w:rsidRPr="00D15828">
        <w:t xml:space="preserve">hours and the estimated cost per facility </w:t>
      </w:r>
      <w:r w:rsidRPr="00F748DE">
        <w:t>is $</w:t>
      </w:r>
      <w:r w:rsidR="00E9097C">
        <w:t>12,235</w:t>
      </w:r>
      <w:r w:rsidRPr="00F748DE">
        <w:t>.</w:t>
      </w:r>
    </w:p>
    <w:p w14:paraId="1E56DA33" w14:textId="258D612B" w:rsidR="007E3287" w:rsidRDefault="007E3287" w:rsidP="007E3287">
      <w:pPr>
        <w:rPr>
          <w:szCs w:val="28"/>
        </w:rPr>
      </w:pPr>
    </w:p>
    <w:p w14:paraId="3BD56997" w14:textId="76E2D40F" w:rsidR="003318BC" w:rsidRPr="000D12E3" w:rsidRDefault="003318BC" w:rsidP="007E3287">
      <w:pPr>
        <w:rPr>
          <w:b/>
          <w:i/>
          <w:szCs w:val="28"/>
        </w:rPr>
      </w:pPr>
      <w:r>
        <w:rPr>
          <w:szCs w:val="28"/>
        </w:rPr>
        <w:tab/>
      </w:r>
      <w:r>
        <w:rPr>
          <w:szCs w:val="28"/>
        </w:rPr>
        <w:tab/>
      </w:r>
      <w:r>
        <w:rPr>
          <w:b/>
          <w:i/>
          <w:szCs w:val="28"/>
        </w:rPr>
        <w:t>Certification Statement ?</w:t>
      </w:r>
    </w:p>
    <w:p w14:paraId="5B938F46" w14:textId="77777777" w:rsidR="00017EED" w:rsidRPr="00D15828" w:rsidRDefault="00017EED" w:rsidP="00017EED">
      <w:pPr>
        <w:ind w:firstLine="720"/>
        <w:rPr>
          <w:szCs w:val="28"/>
        </w:rPr>
      </w:pPr>
    </w:p>
    <w:p w14:paraId="46EC4A58" w14:textId="23EC25C7" w:rsidR="00017EED" w:rsidRDefault="00017EED" w:rsidP="00017EED">
      <w:pPr>
        <w:ind w:firstLine="720"/>
      </w:pPr>
      <w:r w:rsidRPr="00D15828">
        <w:t xml:space="preserve">As shown in Exhibit 1, EPA estimates that </w:t>
      </w:r>
      <w:r>
        <w:t>167</w:t>
      </w:r>
      <w:r w:rsidRPr="00D15828">
        <w:t xml:space="preserve"> potentially affected facilities will </w:t>
      </w:r>
      <w:r w:rsidR="000A4AAA" w:rsidRPr="00374E99">
        <w:t xml:space="preserve">incur </w:t>
      </w:r>
      <w:r w:rsidR="000A4AAA">
        <w:t>one-time costs associated with</w:t>
      </w:r>
      <w:r w:rsidR="000A4AAA" w:rsidRPr="00374E99">
        <w:t xml:space="preserve"> preparing and providing certification statement</w:t>
      </w:r>
      <w:r w:rsidR="000A4AAA">
        <w:t xml:space="preserve">s. </w:t>
      </w:r>
      <w:r w:rsidR="000A4AAA" w:rsidRPr="000A4AAA">
        <w:t xml:space="preserve">The estimated per facility burden </w:t>
      </w:r>
      <w:r w:rsidR="000A4AAA">
        <w:t>for each certification statement</w:t>
      </w:r>
      <w:r w:rsidR="000A4AAA" w:rsidRPr="000A4AAA">
        <w:t xml:space="preserve"> is approximately </w:t>
      </w:r>
      <w:r w:rsidR="000A4AAA">
        <w:t>4.1</w:t>
      </w:r>
      <w:r w:rsidR="000A4AAA" w:rsidRPr="000A4AAA">
        <w:t xml:space="preserve"> hours, and the estimated cost per facility is $</w:t>
      </w:r>
      <w:r w:rsidR="000A4AAA">
        <w:t>348</w:t>
      </w:r>
      <w:r w:rsidR="000A4AAA" w:rsidRPr="000A4AAA">
        <w:t>.</w:t>
      </w:r>
    </w:p>
    <w:p w14:paraId="04FD9505" w14:textId="77777777" w:rsidR="007E3287" w:rsidRPr="00D15828" w:rsidRDefault="007E3287" w:rsidP="007E3287">
      <w:pPr>
        <w:ind w:firstLine="720"/>
        <w:rPr>
          <w:b/>
          <w:bCs/>
          <w:szCs w:val="28"/>
        </w:rPr>
      </w:pPr>
    </w:p>
    <w:p w14:paraId="56CEF062" w14:textId="5B0BA982" w:rsidR="00017EED" w:rsidRPr="00D15828" w:rsidRDefault="007E3287" w:rsidP="007E3287">
      <w:pPr>
        <w:rPr>
          <w:szCs w:val="28"/>
        </w:rPr>
      </w:pPr>
      <w:r w:rsidRPr="00D15828">
        <w:rPr>
          <w:b/>
          <w:bCs/>
          <w:szCs w:val="28"/>
        </w:rPr>
        <w:t>6(</w:t>
      </w:r>
      <w:r w:rsidR="00475275">
        <w:rPr>
          <w:b/>
          <w:bCs/>
          <w:szCs w:val="28"/>
        </w:rPr>
        <w:t>e</w:t>
      </w:r>
      <w:r w:rsidRPr="00D15828">
        <w:rPr>
          <w:b/>
          <w:bCs/>
          <w:szCs w:val="28"/>
        </w:rPr>
        <w:t>)</w:t>
      </w:r>
      <w:r w:rsidRPr="00D15828">
        <w:rPr>
          <w:b/>
          <w:bCs/>
          <w:szCs w:val="28"/>
        </w:rPr>
        <w:tab/>
        <w:t>Bottom Line Burden Hours and Costs</w:t>
      </w:r>
    </w:p>
    <w:p w14:paraId="3296C36D" w14:textId="77777777" w:rsidR="007E3287" w:rsidRPr="00D15828" w:rsidRDefault="007E3287" w:rsidP="007E3287">
      <w:pPr>
        <w:ind w:firstLine="720"/>
        <w:outlineLvl w:val="0"/>
        <w:rPr>
          <w:szCs w:val="28"/>
        </w:rPr>
      </w:pPr>
      <w:r w:rsidRPr="00D15828">
        <w:rPr>
          <w:b/>
          <w:bCs/>
          <w:szCs w:val="28"/>
        </w:rPr>
        <w:t>Respondent Burden and Costs</w:t>
      </w:r>
    </w:p>
    <w:p w14:paraId="5CD40BC1" w14:textId="77777777" w:rsidR="007E3287" w:rsidRPr="00D15828" w:rsidRDefault="007E3287" w:rsidP="007E3287">
      <w:pPr>
        <w:rPr>
          <w:szCs w:val="28"/>
        </w:rPr>
      </w:pPr>
    </w:p>
    <w:p w14:paraId="4DD3DF2D" w14:textId="565EE870" w:rsidR="007E3287" w:rsidRPr="00D15828" w:rsidRDefault="007E3287" w:rsidP="007E3287">
      <w:pPr>
        <w:ind w:firstLine="720"/>
        <w:jc w:val="both"/>
        <w:rPr>
          <w:szCs w:val="28"/>
        </w:rPr>
      </w:pPr>
      <w:r w:rsidRPr="00D15828">
        <w:rPr>
          <w:szCs w:val="28"/>
        </w:rPr>
        <w:t xml:space="preserve">In Exhibit 1, EPA presents the total respondent burden and cost for each of the </w:t>
      </w:r>
      <w:r w:rsidR="009D0443">
        <w:rPr>
          <w:szCs w:val="28"/>
        </w:rPr>
        <w:t xml:space="preserve">four </w:t>
      </w:r>
      <w:r w:rsidRPr="00D15828">
        <w:rPr>
          <w:szCs w:val="28"/>
        </w:rPr>
        <w:t xml:space="preserve">paperwork requirements associated with the </w:t>
      </w:r>
      <w:r w:rsidR="00543BCB">
        <w:rPr>
          <w:szCs w:val="28"/>
        </w:rPr>
        <w:t>201</w:t>
      </w:r>
      <w:r w:rsidR="00BE2370">
        <w:rPr>
          <w:szCs w:val="28"/>
        </w:rPr>
        <w:t>1</w:t>
      </w:r>
      <w:r w:rsidR="00543BCB">
        <w:rPr>
          <w:szCs w:val="28"/>
        </w:rPr>
        <w:t xml:space="preserve"> </w:t>
      </w:r>
      <w:r w:rsidR="009C59C4">
        <w:rPr>
          <w:szCs w:val="28"/>
        </w:rPr>
        <w:t>Final</w:t>
      </w:r>
      <w:r w:rsidRPr="00D15828">
        <w:rPr>
          <w:szCs w:val="28"/>
        </w:rPr>
        <w:t xml:space="preserve"> Rule</w:t>
      </w:r>
      <w:r w:rsidR="00543BCB">
        <w:rPr>
          <w:szCs w:val="28"/>
        </w:rPr>
        <w:t xml:space="preserve"> and </w:t>
      </w:r>
      <w:r w:rsidR="00446AE3">
        <w:rPr>
          <w:szCs w:val="28"/>
        </w:rPr>
        <w:t xml:space="preserve">2013, </w:t>
      </w:r>
      <w:r w:rsidR="00543BCB">
        <w:rPr>
          <w:szCs w:val="28"/>
        </w:rPr>
        <w:t xml:space="preserve">2016 </w:t>
      </w:r>
      <w:r w:rsidR="001F1801">
        <w:rPr>
          <w:szCs w:val="28"/>
        </w:rPr>
        <w:t xml:space="preserve">and 2018 </w:t>
      </w:r>
      <w:r w:rsidR="00543BCB">
        <w:rPr>
          <w:szCs w:val="28"/>
        </w:rPr>
        <w:t>Final Rule amendments</w:t>
      </w:r>
      <w:r w:rsidRPr="00D15828">
        <w:rPr>
          <w:szCs w:val="28"/>
        </w:rPr>
        <w:t xml:space="preserve"> (i.e., rule familiarization</w:t>
      </w:r>
      <w:r w:rsidR="00543BCB">
        <w:rPr>
          <w:szCs w:val="28"/>
        </w:rPr>
        <w:t>,</w:t>
      </w:r>
      <w:r w:rsidR="00475275">
        <w:rPr>
          <w:szCs w:val="28"/>
        </w:rPr>
        <w:t xml:space="preserve"> </w:t>
      </w:r>
      <w:r w:rsidRPr="00D15828">
        <w:rPr>
          <w:szCs w:val="28"/>
        </w:rPr>
        <w:t>petition process for non-waste determinations</w:t>
      </w:r>
      <w:r w:rsidR="00543BCB">
        <w:rPr>
          <w:szCs w:val="28"/>
        </w:rPr>
        <w:t xml:space="preserve">, </w:t>
      </w:r>
      <w:r w:rsidR="009D0443">
        <w:rPr>
          <w:szCs w:val="28"/>
        </w:rPr>
        <w:t xml:space="preserve">categorical non-waste determination petition process, </w:t>
      </w:r>
      <w:r w:rsidR="00543BCB">
        <w:rPr>
          <w:szCs w:val="28"/>
        </w:rPr>
        <w:t>and C&amp;D waste certification</w:t>
      </w:r>
      <w:r w:rsidRPr="00D15828">
        <w:rPr>
          <w:szCs w:val="28"/>
        </w:rPr>
        <w:t xml:space="preserve">). As described above, these paperwork requirements apply to units and facilities that </w:t>
      </w:r>
      <w:r w:rsidR="00446AE3">
        <w:rPr>
          <w:szCs w:val="28"/>
        </w:rPr>
        <w:t xml:space="preserve">process and, in certain situations, </w:t>
      </w:r>
      <w:r w:rsidRPr="00D15828">
        <w:rPr>
          <w:szCs w:val="28"/>
        </w:rPr>
        <w:t xml:space="preserve">burn </w:t>
      </w:r>
      <w:r w:rsidR="003D0174">
        <w:rPr>
          <w:szCs w:val="28"/>
        </w:rPr>
        <w:t>NHSM</w:t>
      </w:r>
      <w:r w:rsidRPr="00D15828">
        <w:rPr>
          <w:szCs w:val="28"/>
        </w:rPr>
        <w:t>. The total respondent burden and costs for these requirements are as follows:</w:t>
      </w:r>
    </w:p>
    <w:p w14:paraId="5425A90C" w14:textId="77777777" w:rsidR="007E3287" w:rsidRPr="00D15828" w:rsidRDefault="007E3287" w:rsidP="007E3287">
      <w:pPr>
        <w:jc w:val="both"/>
        <w:rPr>
          <w:szCs w:val="28"/>
        </w:rPr>
      </w:pPr>
    </w:p>
    <w:p w14:paraId="43D31A2F" w14:textId="77777777" w:rsidR="007E3287" w:rsidRPr="00D15828" w:rsidRDefault="007E3287" w:rsidP="00A57921">
      <w:pPr>
        <w:spacing w:after="280"/>
        <w:ind w:left="720"/>
        <w:jc w:val="both"/>
        <w:outlineLvl w:val="0"/>
        <w:rPr>
          <w:szCs w:val="28"/>
        </w:rPr>
      </w:pPr>
      <w:r w:rsidRPr="00D15828">
        <w:rPr>
          <w:b/>
          <w:i/>
          <w:szCs w:val="28"/>
        </w:rPr>
        <w:t>Rule Familiarization</w:t>
      </w:r>
    </w:p>
    <w:p w14:paraId="14A05B56" w14:textId="3F708967" w:rsidR="007E3287" w:rsidRPr="00D15828" w:rsidRDefault="007E3287" w:rsidP="007E3287">
      <w:pPr>
        <w:ind w:firstLine="720"/>
        <w:jc w:val="both"/>
        <w:rPr>
          <w:szCs w:val="28"/>
        </w:rPr>
      </w:pPr>
      <w:r w:rsidRPr="00D15828">
        <w:rPr>
          <w:szCs w:val="28"/>
        </w:rPr>
        <w:t xml:space="preserve">EPA estimates that </w:t>
      </w:r>
      <w:r w:rsidR="00025184">
        <w:rPr>
          <w:szCs w:val="28"/>
        </w:rPr>
        <w:t>only a small portion</w:t>
      </w:r>
      <w:r w:rsidR="00FD4677">
        <w:rPr>
          <w:szCs w:val="28"/>
        </w:rPr>
        <w:t xml:space="preserve"> (146)</w:t>
      </w:r>
      <w:r w:rsidR="00025184">
        <w:rPr>
          <w:szCs w:val="28"/>
        </w:rPr>
        <w:t xml:space="preserve"> of potentially affected facilities will </w:t>
      </w:r>
      <w:r w:rsidR="00FD4677">
        <w:rPr>
          <w:szCs w:val="28"/>
        </w:rPr>
        <w:t>need to spend time carrying-out rule familiarization in the next three-year period. Total</w:t>
      </w:r>
      <w:r w:rsidR="00C52610">
        <w:rPr>
          <w:szCs w:val="28"/>
        </w:rPr>
        <w:t xml:space="preserve"> b</w:t>
      </w:r>
      <w:r w:rsidRPr="00D15828">
        <w:rPr>
          <w:szCs w:val="28"/>
        </w:rPr>
        <w:t>urden</w:t>
      </w:r>
      <w:r w:rsidR="00C52610">
        <w:rPr>
          <w:szCs w:val="28"/>
        </w:rPr>
        <w:t xml:space="preserve"> </w:t>
      </w:r>
      <w:r w:rsidR="00FD4677">
        <w:rPr>
          <w:szCs w:val="28"/>
        </w:rPr>
        <w:t xml:space="preserve">is anticipated to be </w:t>
      </w:r>
      <w:r w:rsidR="00513E20">
        <w:rPr>
          <w:szCs w:val="28"/>
        </w:rPr>
        <w:t>49</w:t>
      </w:r>
      <w:r w:rsidRPr="00D15828">
        <w:rPr>
          <w:szCs w:val="28"/>
        </w:rPr>
        <w:t xml:space="preserve"> hours </w:t>
      </w:r>
      <w:r w:rsidR="00FD4677">
        <w:rPr>
          <w:szCs w:val="28"/>
        </w:rPr>
        <w:t xml:space="preserve">corresponding to labor costs of </w:t>
      </w:r>
      <w:r w:rsidRPr="00D15828">
        <w:rPr>
          <w:szCs w:val="28"/>
        </w:rPr>
        <w:t>$</w:t>
      </w:r>
      <w:r w:rsidR="00513E20">
        <w:rPr>
          <w:szCs w:val="28"/>
        </w:rPr>
        <w:t>4,342</w:t>
      </w:r>
      <w:r w:rsidRPr="00D15828">
        <w:rPr>
          <w:szCs w:val="28"/>
        </w:rPr>
        <w:t xml:space="preserve">. </w:t>
      </w:r>
    </w:p>
    <w:p w14:paraId="66DCB90C" w14:textId="77777777" w:rsidR="007E3287" w:rsidRPr="00D15828" w:rsidRDefault="007E3287" w:rsidP="007E3287">
      <w:pPr>
        <w:jc w:val="both"/>
        <w:rPr>
          <w:szCs w:val="28"/>
        </w:rPr>
      </w:pPr>
    </w:p>
    <w:p w14:paraId="3CB3F426" w14:textId="77777777" w:rsidR="007E3287" w:rsidRPr="00D15828" w:rsidRDefault="007E3287" w:rsidP="00E9097C">
      <w:pPr>
        <w:spacing w:after="280"/>
        <w:ind w:left="720"/>
        <w:jc w:val="both"/>
        <w:outlineLvl w:val="0"/>
        <w:rPr>
          <w:szCs w:val="28"/>
        </w:rPr>
      </w:pPr>
      <w:r w:rsidRPr="00D15828">
        <w:rPr>
          <w:b/>
          <w:i/>
          <w:szCs w:val="28"/>
        </w:rPr>
        <w:t>Petition Process</w:t>
      </w:r>
    </w:p>
    <w:p w14:paraId="74EF521B" w14:textId="2BE8E56A" w:rsidR="00A57921" w:rsidRDefault="00FD4677" w:rsidP="00A57921">
      <w:pPr>
        <w:ind w:firstLine="720"/>
        <w:jc w:val="both"/>
        <w:rPr>
          <w:rStyle w:val="CommentReference"/>
        </w:rPr>
      </w:pPr>
      <w:r>
        <w:rPr>
          <w:szCs w:val="28"/>
        </w:rPr>
        <w:t xml:space="preserve">EPA estimates that 10 facilities may </w:t>
      </w:r>
      <w:r w:rsidRPr="00D15828">
        <w:rPr>
          <w:szCs w:val="28"/>
        </w:rPr>
        <w:t xml:space="preserve">petitioning for </w:t>
      </w:r>
      <w:r>
        <w:rPr>
          <w:szCs w:val="28"/>
        </w:rPr>
        <w:t xml:space="preserve">a </w:t>
      </w:r>
      <w:r w:rsidRPr="00D15828">
        <w:rPr>
          <w:szCs w:val="28"/>
        </w:rPr>
        <w:t>non-waste determination</w:t>
      </w:r>
      <w:r>
        <w:rPr>
          <w:szCs w:val="28"/>
        </w:rPr>
        <w:t xml:space="preserve"> in the next three-year period</w:t>
      </w:r>
      <w:r w:rsidR="001E3B40">
        <w:rPr>
          <w:szCs w:val="28"/>
        </w:rPr>
        <w:t xml:space="preserve"> under the </w:t>
      </w:r>
      <w:r w:rsidR="00313185">
        <w:t>40 CFR</w:t>
      </w:r>
      <w:r w:rsidR="00AF4C23">
        <w:rPr>
          <w:szCs w:val="28"/>
        </w:rPr>
        <w:t xml:space="preserve"> 241.3(c) process</w:t>
      </w:r>
      <w:r>
        <w:rPr>
          <w:szCs w:val="28"/>
        </w:rPr>
        <w:t xml:space="preserve">. </w:t>
      </w:r>
      <w:r w:rsidR="007E3287" w:rsidRPr="00D15828">
        <w:rPr>
          <w:szCs w:val="28"/>
        </w:rPr>
        <w:t xml:space="preserve"> </w:t>
      </w:r>
      <w:r>
        <w:rPr>
          <w:szCs w:val="28"/>
        </w:rPr>
        <w:t xml:space="preserve">This activity is expected to produce </w:t>
      </w:r>
      <w:r w:rsidR="00513E20">
        <w:rPr>
          <w:szCs w:val="28"/>
        </w:rPr>
        <w:t>496</w:t>
      </w:r>
      <w:r w:rsidR="007E3287" w:rsidRPr="00D15828">
        <w:rPr>
          <w:szCs w:val="28"/>
        </w:rPr>
        <w:t xml:space="preserve"> hours </w:t>
      </w:r>
      <w:r>
        <w:rPr>
          <w:szCs w:val="28"/>
        </w:rPr>
        <w:t xml:space="preserve">of burden and </w:t>
      </w:r>
      <w:r w:rsidR="007E3287" w:rsidRPr="00F748DE">
        <w:rPr>
          <w:szCs w:val="28"/>
        </w:rPr>
        <w:t>$</w:t>
      </w:r>
      <w:r w:rsidR="00513E20">
        <w:rPr>
          <w:szCs w:val="28"/>
        </w:rPr>
        <w:t>40,782</w:t>
      </w:r>
      <w:r>
        <w:rPr>
          <w:szCs w:val="28"/>
        </w:rPr>
        <w:t xml:space="preserve"> of mixed labor and non-labor costs</w:t>
      </w:r>
      <w:r w:rsidR="007E3287" w:rsidRPr="00F748DE">
        <w:rPr>
          <w:szCs w:val="28"/>
        </w:rPr>
        <w:t>.</w:t>
      </w:r>
      <w:r w:rsidR="007E3287" w:rsidRPr="00D15828">
        <w:rPr>
          <w:szCs w:val="28"/>
          <w:vertAlign w:val="superscript"/>
        </w:rPr>
        <w:t xml:space="preserve"> </w:t>
      </w:r>
      <w:r w:rsidR="007E3287" w:rsidRPr="00D15828">
        <w:rPr>
          <w:szCs w:val="28"/>
        </w:rPr>
        <w:t xml:space="preserve"> </w:t>
      </w:r>
      <w:r w:rsidR="00AF4C23">
        <w:rPr>
          <w:szCs w:val="28"/>
        </w:rPr>
        <w:t xml:space="preserve">For the categorical non-waste determination process specified under </w:t>
      </w:r>
      <w:r w:rsidR="00313185">
        <w:rPr>
          <w:szCs w:val="28"/>
        </w:rPr>
        <w:t>40 CFR</w:t>
      </w:r>
      <w:r w:rsidR="00AF4C23">
        <w:rPr>
          <w:szCs w:val="28"/>
        </w:rPr>
        <w:t xml:space="preserve"> 241.4, we estimate one petition over the next three years.  This activity is expected to produce </w:t>
      </w:r>
      <w:r w:rsidR="00513E20">
        <w:rPr>
          <w:szCs w:val="28"/>
        </w:rPr>
        <w:t>95</w:t>
      </w:r>
      <w:r w:rsidR="00AF4C23">
        <w:rPr>
          <w:szCs w:val="28"/>
        </w:rPr>
        <w:t xml:space="preserve"> hours of burden and $</w:t>
      </w:r>
      <w:r w:rsidR="00513E20">
        <w:rPr>
          <w:szCs w:val="28"/>
        </w:rPr>
        <w:t>7,841</w:t>
      </w:r>
      <w:r w:rsidR="00AF4C23">
        <w:rPr>
          <w:szCs w:val="28"/>
        </w:rPr>
        <w:t xml:space="preserve"> of mixed labor and non-labor costs.</w:t>
      </w:r>
    </w:p>
    <w:p w14:paraId="57100938" w14:textId="77777777" w:rsidR="00A57921" w:rsidRDefault="00A57921" w:rsidP="00E9097C">
      <w:pPr>
        <w:ind w:firstLine="720"/>
        <w:jc w:val="both"/>
        <w:rPr>
          <w:b/>
          <w:bCs/>
          <w:i/>
        </w:rPr>
      </w:pPr>
    </w:p>
    <w:p w14:paraId="50F776DC" w14:textId="186850C5" w:rsidR="00A57921" w:rsidRPr="00F20FBC" w:rsidRDefault="00A57921" w:rsidP="00A57921">
      <w:pPr>
        <w:ind w:firstLine="720"/>
        <w:outlineLvl w:val="0"/>
        <w:rPr>
          <w:i/>
        </w:rPr>
      </w:pPr>
      <w:r w:rsidRPr="00F20FBC">
        <w:rPr>
          <w:b/>
          <w:bCs/>
          <w:i/>
        </w:rPr>
        <w:t>Certification Statement</w:t>
      </w:r>
    </w:p>
    <w:p w14:paraId="4097B156" w14:textId="77777777" w:rsidR="00A57921" w:rsidRPr="00F20FBC" w:rsidRDefault="00A57921" w:rsidP="00A57921">
      <w:pPr>
        <w:ind w:firstLine="720"/>
        <w:rPr>
          <w:szCs w:val="28"/>
        </w:rPr>
      </w:pPr>
    </w:p>
    <w:p w14:paraId="167AFACC" w14:textId="13CB6BFF" w:rsidR="00A57921" w:rsidRPr="00F20FBC" w:rsidRDefault="00A57921" w:rsidP="000D12E3">
      <w:pPr>
        <w:ind w:firstLine="720"/>
        <w:jc w:val="both"/>
        <w:rPr>
          <w:szCs w:val="28"/>
        </w:rPr>
      </w:pPr>
      <w:r w:rsidRPr="00374E99">
        <w:t xml:space="preserve">Affected C&amp;D wood processing facilities are expected to incur </w:t>
      </w:r>
      <w:r w:rsidR="000A4AAA">
        <w:t>one-time</w:t>
      </w:r>
      <w:r w:rsidR="00FD4677">
        <w:t xml:space="preserve"> costs associated with</w:t>
      </w:r>
      <w:r w:rsidRPr="00374E99">
        <w:t xml:space="preserve"> preparing and providing certification statement</w:t>
      </w:r>
      <w:r w:rsidR="00FD4677">
        <w:t xml:space="preserve">s. </w:t>
      </w:r>
      <w:r w:rsidR="001C20B4">
        <w:t xml:space="preserve">In total, these facilities are expected to produce </w:t>
      </w:r>
      <w:r w:rsidR="00E2176F">
        <w:t>228</w:t>
      </w:r>
      <w:r w:rsidRPr="00374E99">
        <w:t xml:space="preserve"> hours </w:t>
      </w:r>
      <w:r w:rsidR="001C20B4">
        <w:t xml:space="preserve">of burden and </w:t>
      </w:r>
      <w:r w:rsidR="00193328" w:rsidRPr="00374E99">
        <w:t>$</w:t>
      </w:r>
      <w:r w:rsidR="00AF36E5">
        <w:t>19,330</w:t>
      </w:r>
      <w:r w:rsidR="001C20B4">
        <w:t xml:space="preserve"> in associated labor costs annually</w:t>
      </w:r>
      <w:r w:rsidRPr="00F20FBC">
        <w:rPr>
          <w:szCs w:val="28"/>
        </w:rPr>
        <w:t xml:space="preserve">.  </w:t>
      </w:r>
    </w:p>
    <w:p w14:paraId="43850C82" w14:textId="77777777" w:rsidR="007E3287" w:rsidRPr="00D15828" w:rsidRDefault="007E3287" w:rsidP="007E3287">
      <w:pPr>
        <w:ind w:left="720" w:firstLine="720"/>
        <w:jc w:val="both"/>
        <w:rPr>
          <w:b/>
          <w:i/>
          <w:szCs w:val="28"/>
        </w:rPr>
      </w:pPr>
    </w:p>
    <w:p w14:paraId="623DAF1E" w14:textId="77777777" w:rsidR="007E3287" w:rsidRPr="00D15828" w:rsidRDefault="007E3287" w:rsidP="007E3287">
      <w:pPr>
        <w:ind w:firstLine="720"/>
        <w:jc w:val="both"/>
        <w:rPr>
          <w:szCs w:val="28"/>
        </w:rPr>
      </w:pPr>
    </w:p>
    <w:p w14:paraId="7373EE35" w14:textId="77777777" w:rsidR="007E3287" w:rsidRPr="00D15828" w:rsidRDefault="007E3287" w:rsidP="007E3287">
      <w:pPr>
        <w:ind w:firstLine="720"/>
        <w:outlineLvl w:val="0"/>
        <w:rPr>
          <w:b/>
          <w:szCs w:val="28"/>
        </w:rPr>
      </w:pPr>
      <w:r w:rsidRPr="00D15828">
        <w:rPr>
          <w:b/>
          <w:szCs w:val="28"/>
        </w:rPr>
        <w:t>Agency Burden and Costs</w:t>
      </w:r>
    </w:p>
    <w:p w14:paraId="41865F11" w14:textId="77777777" w:rsidR="007E3287" w:rsidRPr="00D15828" w:rsidRDefault="007E3287" w:rsidP="007E3287">
      <w:pPr>
        <w:ind w:firstLine="720"/>
        <w:rPr>
          <w:b/>
          <w:bCs/>
          <w:szCs w:val="28"/>
        </w:rPr>
      </w:pPr>
    </w:p>
    <w:p w14:paraId="5AF9D3BC" w14:textId="403BA57F" w:rsidR="007E3287" w:rsidRPr="00D15828" w:rsidRDefault="007E3287" w:rsidP="002576AB">
      <w:pPr>
        <w:ind w:firstLine="720"/>
        <w:jc w:val="both"/>
        <w:rPr>
          <w:bCs/>
          <w:szCs w:val="28"/>
        </w:rPr>
      </w:pPr>
      <w:r w:rsidRPr="00D15828">
        <w:rPr>
          <w:bCs/>
          <w:szCs w:val="28"/>
        </w:rPr>
        <w:t xml:space="preserve">Exhibit 2 summarizes the total Agency burden and cost associated with the paperwork requirements for the </w:t>
      </w:r>
      <w:r w:rsidR="00543BCB">
        <w:rPr>
          <w:bCs/>
          <w:szCs w:val="28"/>
        </w:rPr>
        <w:t>201</w:t>
      </w:r>
      <w:r w:rsidR="005E2C15">
        <w:rPr>
          <w:bCs/>
          <w:szCs w:val="28"/>
        </w:rPr>
        <w:t>1</w:t>
      </w:r>
      <w:r w:rsidR="00543BCB">
        <w:rPr>
          <w:bCs/>
          <w:szCs w:val="28"/>
        </w:rPr>
        <w:t xml:space="preserve"> </w:t>
      </w:r>
      <w:r w:rsidR="009C59C4">
        <w:rPr>
          <w:bCs/>
          <w:szCs w:val="28"/>
        </w:rPr>
        <w:t>Final</w:t>
      </w:r>
      <w:r w:rsidRPr="00D15828">
        <w:rPr>
          <w:bCs/>
          <w:szCs w:val="28"/>
        </w:rPr>
        <w:t xml:space="preserve"> Rule</w:t>
      </w:r>
      <w:r w:rsidR="005E2C15">
        <w:rPr>
          <w:bCs/>
          <w:szCs w:val="28"/>
        </w:rPr>
        <w:t xml:space="preserve"> and subsequent amendments</w:t>
      </w:r>
      <w:r w:rsidRPr="00D15828">
        <w:rPr>
          <w:bCs/>
          <w:szCs w:val="28"/>
        </w:rPr>
        <w:t xml:space="preserve">. As indicated in the exhibit, the Agency’s burden and costs relate to the petition process for non-waste determinations included in the </w:t>
      </w:r>
      <w:r w:rsidR="006745BB">
        <w:rPr>
          <w:bCs/>
          <w:szCs w:val="28"/>
        </w:rPr>
        <w:t>201</w:t>
      </w:r>
      <w:r w:rsidR="005F13E5">
        <w:rPr>
          <w:bCs/>
          <w:szCs w:val="28"/>
        </w:rPr>
        <w:t>3</w:t>
      </w:r>
      <w:r w:rsidR="006745BB">
        <w:rPr>
          <w:bCs/>
          <w:szCs w:val="28"/>
        </w:rPr>
        <w:t xml:space="preserve"> </w:t>
      </w:r>
      <w:r w:rsidR="009C59C4">
        <w:rPr>
          <w:bCs/>
          <w:szCs w:val="28"/>
        </w:rPr>
        <w:t>Final</w:t>
      </w:r>
      <w:r w:rsidRPr="00D15828">
        <w:rPr>
          <w:bCs/>
          <w:szCs w:val="28"/>
        </w:rPr>
        <w:t xml:space="preserve"> Rule. The one-time burden realized by the Agency for the </w:t>
      </w:r>
      <w:r w:rsidR="005E2C15">
        <w:rPr>
          <w:bCs/>
          <w:szCs w:val="28"/>
        </w:rPr>
        <w:t xml:space="preserve">40 CFR 241.3(c) </w:t>
      </w:r>
      <w:r w:rsidRPr="00D15828">
        <w:rPr>
          <w:bCs/>
          <w:szCs w:val="28"/>
        </w:rPr>
        <w:t xml:space="preserve">petition process included in the </w:t>
      </w:r>
      <w:r w:rsidR="006745BB">
        <w:rPr>
          <w:bCs/>
          <w:szCs w:val="28"/>
        </w:rPr>
        <w:t>201</w:t>
      </w:r>
      <w:r w:rsidR="00AF4C23">
        <w:rPr>
          <w:bCs/>
          <w:szCs w:val="28"/>
        </w:rPr>
        <w:t>1</w:t>
      </w:r>
      <w:r w:rsidR="006745BB">
        <w:rPr>
          <w:bCs/>
          <w:szCs w:val="28"/>
        </w:rPr>
        <w:t xml:space="preserve"> </w:t>
      </w:r>
      <w:r w:rsidR="009C59C4">
        <w:rPr>
          <w:bCs/>
          <w:szCs w:val="28"/>
        </w:rPr>
        <w:t>Final</w:t>
      </w:r>
      <w:r w:rsidRPr="00D15828">
        <w:rPr>
          <w:bCs/>
          <w:szCs w:val="28"/>
        </w:rPr>
        <w:t xml:space="preserve"> Rule is approximately </w:t>
      </w:r>
      <w:r w:rsidR="00832837">
        <w:rPr>
          <w:bCs/>
          <w:szCs w:val="28"/>
        </w:rPr>
        <w:t>1,570</w:t>
      </w:r>
      <w:r w:rsidRPr="00D15828">
        <w:rPr>
          <w:bCs/>
          <w:szCs w:val="28"/>
        </w:rPr>
        <w:t xml:space="preserve"> hours. EPA estimates that the cost incurred by the Agency under the petition process is approximately $</w:t>
      </w:r>
      <w:r w:rsidR="005F025A">
        <w:rPr>
          <w:bCs/>
          <w:szCs w:val="28"/>
        </w:rPr>
        <w:t>75,</w:t>
      </w:r>
      <w:r w:rsidR="00E51364">
        <w:rPr>
          <w:bCs/>
          <w:szCs w:val="28"/>
        </w:rPr>
        <w:t>675</w:t>
      </w:r>
      <w:r w:rsidRPr="00D15828">
        <w:rPr>
          <w:bCs/>
          <w:szCs w:val="28"/>
        </w:rPr>
        <w:t>.</w:t>
      </w:r>
      <w:r w:rsidR="002576AB" w:rsidRPr="00D15828" w:rsidDel="002576AB">
        <w:rPr>
          <w:rStyle w:val="FootnoteReference"/>
          <w:szCs w:val="28"/>
        </w:rPr>
        <w:t xml:space="preserve"> </w:t>
      </w:r>
      <w:r w:rsidR="00397409">
        <w:rPr>
          <w:szCs w:val="28"/>
        </w:rPr>
        <w:t>Therefore, the annual cost to federal government is estimated at $25,</w:t>
      </w:r>
      <w:r w:rsidR="006D63D3">
        <w:rPr>
          <w:szCs w:val="28"/>
        </w:rPr>
        <w:t>225</w:t>
      </w:r>
      <w:r w:rsidR="00397409">
        <w:rPr>
          <w:szCs w:val="28"/>
        </w:rPr>
        <w:t>.</w:t>
      </w:r>
      <w:r w:rsidR="005E2C15">
        <w:rPr>
          <w:szCs w:val="28"/>
        </w:rPr>
        <w:t xml:space="preserve"> For categorical non-waste determination petitions under 40 CFR 241.4, the one-time (i.e., one petition every three years) is approximately 208 hours at a cost to the federal government of $10,6</w:t>
      </w:r>
      <w:r w:rsidR="002155EB">
        <w:rPr>
          <w:szCs w:val="28"/>
        </w:rPr>
        <w:t>40</w:t>
      </w:r>
      <w:r w:rsidR="005E2C15">
        <w:rPr>
          <w:szCs w:val="28"/>
        </w:rPr>
        <w:t>.</w:t>
      </w:r>
    </w:p>
    <w:p w14:paraId="3D3CB4DB" w14:textId="77777777" w:rsidR="007E3287" w:rsidRPr="00D15828" w:rsidRDefault="007E3287" w:rsidP="007E3287">
      <w:pPr>
        <w:jc w:val="both"/>
        <w:rPr>
          <w:bCs/>
          <w:szCs w:val="28"/>
        </w:rPr>
      </w:pPr>
    </w:p>
    <w:p w14:paraId="5CF2FC11" w14:textId="77777777" w:rsidR="007E3287" w:rsidRPr="00D15828" w:rsidRDefault="007E3287" w:rsidP="007E3287">
      <w:pPr>
        <w:ind w:firstLine="720"/>
        <w:rPr>
          <w:b/>
          <w:bCs/>
          <w:szCs w:val="28"/>
        </w:rPr>
      </w:pPr>
      <w:r w:rsidRPr="00D15828">
        <w:rPr>
          <w:b/>
          <w:bCs/>
          <w:szCs w:val="28"/>
        </w:rPr>
        <w:t>6(</w:t>
      </w:r>
      <w:r w:rsidR="00633D41">
        <w:rPr>
          <w:b/>
          <w:bCs/>
          <w:szCs w:val="28"/>
        </w:rPr>
        <w:t>f</w:t>
      </w:r>
      <w:r w:rsidRPr="00D15828">
        <w:rPr>
          <w:b/>
          <w:bCs/>
          <w:szCs w:val="28"/>
        </w:rPr>
        <w:t>)</w:t>
      </w:r>
      <w:r w:rsidRPr="00D15828">
        <w:rPr>
          <w:b/>
          <w:bCs/>
          <w:szCs w:val="28"/>
        </w:rPr>
        <w:tab/>
        <w:t xml:space="preserve">Reasons for Change in Burden </w:t>
      </w:r>
    </w:p>
    <w:p w14:paraId="70BCEF17" w14:textId="77777777" w:rsidR="007E3287" w:rsidRDefault="007E3287" w:rsidP="007E3287">
      <w:pPr>
        <w:rPr>
          <w:b/>
          <w:bCs/>
          <w:szCs w:val="28"/>
        </w:rPr>
      </w:pPr>
    </w:p>
    <w:p w14:paraId="0645B06E" w14:textId="489EBB07" w:rsidR="00244559" w:rsidRDefault="00050C8A" w:rsidP="007E3287">
      <w:r>
        <w:rPr>
          <w:b/>
          <w:bCs/>
          <w:szCs w:val="28"/>
        </w:rPr>
        <w:tab/>
      </w:r>
      <w:r>
        <w:rPr>
          <w:bCs/>
          <w:szCs w:val="28"/>
        </w:rPr>
        <w:t>For this ICR</w:t>
      </w:r>
      <w:r w:rsidR="00A57947">
        <w:rPr>
          <w:bCs/>
          <w:szCs w:val="28"/>
        </w:rPr>
        <w:t xml:space="preserve"> renewal,</w:t>
      </w:r>
      <w:r>
        <w:rPr>
          <w:bCs/>
          <w:szCs w:val="28"/>
        </w:rPr>
        <w:t xml:space="preserve"> </w:t>
      </w:r>
      <w:r w:rsidR="00A57947">
        <w:t>t</w:t>
      </w:r>
      <w:r w:rsidR="00A57947" w:rsidRPr="00127AEB">
        <w:t>here is</w:t>
      </w:r>
      <w:r w:rsidR="00A57947">
        <w:t xml:space="preserve"> </w:t>
      </w:r>
      <w:r w:rsidR="00244559">
        <w:t xml:space="preserve">a decrease of </w:t>
      </w:r>
      <w:r w:rsidR="00307803">
        <w:t xml:space="preserve">in annual estimated burden, compared to the combined annual burdens of ICR numbers 2382.04 and </w:t>
      </w:r>
      <w:r w:rsidR="00307803" w:rsidRPr="00B377FD">
        <w:t>2493.03</w:t>
      </w:r>
      <w:r w:rsidR="00A61858">
        <w:t xml:space="preserve">. </w:t>
      </w:r>
      <w:r w:rsidR="00244559">
        <w:t xml:space="preserve"> Th</w:t>
      </w:r>
      <w:r w:rsidR="00A61858">
        <w:t>is decrease is</w:t>
      </w:r>
      <w:r w:rsidR="00244559">
        <w:t xml:space="preserve"> due to the following: </w:t>
      </w:r>
    </w:p>
    <w:p w14:paraId="7036AB92" w14:textId="51749FDA" w:rsidR="00816ABC" w:rsidRDefault="00244559" w:rsidP="00244559">
      <w:pPr>
        <w:pStyle w:val="ListParagraph"/>
        <w:numPr>
          <w:ilvl w:val="0"/>
          <w:numId w:val="33"/>
        </w:numPr>
      </w:pPr>
      <w:r>
        <w:t xml:space="preserve">The total number of respondents estimated for rule familiarization decreased by 90%, as it was assumed most </w:t>
      </w:r>
      <w:r w:rsidR="0080429D">
        <w:t xml:space="preserve">respondents will have already met this one-time requirement. The 605 respondents estimated to require rule familiarization under ICR </w:t>
      </w:r>
      <w:r w:rsidR="0080429D" w:rsidRPr="00B377FD">
        <w:t>2493.03</w:t>
      </w:r>
      <w:r w:rsidR="0080429D">
        <w:t xml:space="preserve"> (2016 amendments) were considered a subset of the 1,461 respondents expected to incur the rule familiarization burden under ICR 2382.04 and were therefore not added separately.</w:t>
      </w:r>
    </w:p>
    <w:p w14:paraId="1A6F8435" w14:textId="3FC16659" w:rsidR="009D540E" w:rsidRDefault="009D540E" w:rsidP="000D12E3">
      <w:pPr>
        <w:pStyle w:val="ListParagraph"/>
        <w:numPr>
          <w:ilvl w:val="0"/>
          <w:numId w:val="33"/>
        </w:numPr>
      </w:pPr>
      <w:r>
        <w:t>The estimated number of certification statements required has dropped from 500 to 167, assuming that two thirds of the 500 facilities affected under the 2016 rule have already met this requirement. Furthermore, this cost was previously considered an annual requirement, but it is more accurate to consider this a one-time burden for affected facilities. For the purposes of this ICR, it is assumed 167 facilities will need to meet this requirement one time over the course of this 3-year renewal period.</w:t>
      </w:r>
    </w:p>
    <w:p w14:paraId="0E18B8D7" w14:textId="77777777" w:rsidR="005E2FCB" w:rsidRDefault="005E2FCB" w:rsidP="007E3287">
      <w:pPr>
        <w:ind w:firstLine="720"/>
        <w:rPr>
          <w:b/>
          <w:bCs/>
          <w:szCs w:val="28"/>
        </w:rPr>
      </w:pPr>
    </w:p>
    <w:p w14:paraId="7C73118E" w14:textId="30A6E7D6" w:rsidR="007E3287" w:rsidRPr="00D15828" w:rsidRDefault="007E3287" w:rsidP="007E3287">
      <w:pPr>
        <w:ind w:firstLine="720"/>
        <w:rPr>
          <w:b/>
          <w:bCs/>
          <w:szCs w:val="28"/>
        </w:rPr>
      </w:pPr>
      <w:r w:rsidRPr="00D15828">
        <w:rPr>
          <w:b/>
          <w:bCs/>
          <w:szCs w:val="28"/>
        </w:rPr>
        <w:t>6(</w:t>
      </w:r>
      <w:r w:rsidR="00633D41">
        <w:rPr>
          <w:b/>
          <w:bCs/>
          <w:szCs w:val="28"/>
        </w:rPr>
        <w:t>g</w:t>
      </w:r>
      <w:r w:rsidRPr="00D15828">
        <w:rPr>
          <w:b/>
          <w:bCs/>
          <w:szCs w:val="28"/>
        </w:rPr>
        <w:t>)</w:t>
      </w:r>
      <w:r w:rsidRPr="00D15828">
        <w:rPr>
          <w:b/>
          <w:bCs/>
          <w:szCs w:val="28"/>
        </w:rPr>
        <w:tab/>
        <w:t>Burden Statement</w:t>
      </w:r>
    </w:p>
    <w:p w14:paraId="65757BFB" w14:textId="77777777" w:rsidR="007E3287" w:rsidRPr="00D15828" w:rsidRDefault="007E3287" w:rsidP="007E3287">
      <w:pPr>
        <w:rPr>
          <w:b/>
          <w:bCs/>
          <w:szCs w:val="28"/>
        </w:rPr>
      </w:pPr>
    </w:p>
    <w:p w14:paraId="31ED97A6" w14:textId="28881928" w:rsidR="00397409" w:rsidRDefault="007E3287" w:rsidP="005E2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D15828">
        <w:tab/>
      </w:r>
      <w:r w:rsidR="00397409">
        <w:rPr>
          <w:color w:val="000000"/>
        </w:rPr>
        <w:t>T</w:t>
      </w:r>
      <w:r w:rsidR="00397409">
        <w:t xml:space="preserve">he </w:t>
      </w:r>
      <w:r w:rsidR="00100179">
        <w:t xml:space="preserve">total </w:t>
      </w:r>
      <w:r w:rsidR="00397409">
        <w:t>annual public reporting and recordkeeping burden for this collection of information is estimated to average</w:t>
      </w:r>
      <w:r w:rsidR="00100179">
        <w:t xml:space="preserve"> </w:t>
      </w:r>
      <w:r w:rsidR="00017EED">
        <w:t>868</w:t>
      </w:r>
      <w:r w:rsidR="00100179">
        <w:t xml:space="preserve"> hours.</w:t>
      </w:r>
      <w:r w:rsidR="00397409">
        <w:t xml:space="preserve"> </w:t>
      </w:r>
      <w:r w:rsidR="00397409">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B8D55D3" w14:textId="3FA82DB0" w:rsidR="00397409" w:rsidRDefault="00397409"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 </w:t>
      </w:r>
    </w:p>
    <w:p w14:paraId="65235A66" w14:textId="484985A5" w:rsidR="007E3287" w:rsidRPr="00D15828" w:rsidRDefault="00397409" w:rsidP="007E3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ab/>
      </w:r>
      <w:r w:rsidR="007E3287" w:rsidRPr="00D15828">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00097C6F">
        <w:rPr>
          <w:color w:val="000000"/>
        </w:rPr>
        <w:t>OLEM-2018-0693</w:t>
      </w:r>
      <w:r w:rsidR="007E3287" w:rsidRPr="00D15828">
        <w:rPr>
          <w:color w:val="000000"/>
        </w:rPr>
        <w:t xml:space="preserve">, which is available for online viewing at </w:t>
      </w:r>
      <w:hyperlink r:id="rId14" w:history="1">
        <w:r w:rsidR="007E3287" w:rsidRPr="00D15828">
          <w:rPr>
            <w:color w:val="000000"/>
          </w:rPr>
          <w:t>www.regulations.gov</w:t>
        </w:r>
      </w:hyperlink>
      <w:r w:rsidR="007E3287" w:rsidRPr="00D15828">
        <w:rPr>
          <w:color w:val="000000"/>
        </w:rPr>
        <w:t>,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sidR="00865A15">
        <w:rPr>
          <w:color w:val="000000"/>
        </w:rPr>
        <w:t>OLEM-2018-0693</w:t>
      </w:r>
      <w:r w:rsidR="007E3287" w:rsidRPr="00D15828">
        <w:rPr>
          <w:color w:val="000000"/>
        </w:rPr>
        <w:t xml:space="preserve"> and OMB Control Number 2050-</w:t>
      </w:r>
      <w:r w:rsidR="0014151A">
        <w:rPr>
          <w:color w:val="000000"/>
        </w:rPr>
        <w:t>0205</w:t>
      </w:r>
      <w:r w:rsidR="0014151A" w:rsidRPr="00D15828">
        <w:rPr>
          <w:color w:val="000000"/>
        </w:rPr>
        <w:t xml:space="preserve"> </w:t>
      </w:r>
      <w:r w:rsidR="007E3287" w:rsidRPr="00D15828">
        <w:rPr>
          <w:color w:val="000000"/>
        </w:rPr>
        <w:t>in any correspondence.</w:t>
      </w:r>
    </w:p>
    <w:p w14:paraId="184FE1B6" w14:textId="77777777" w:rsidR="007E3287" w:rsidRPr="00D15828" w:rsidRDefault="007E3287" w:rsidP="007E32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R="007E3287" w:rsidRPr="00D15828" w:rsidSect="007E3287">
          <w:pgSz w:w="12240" w:h="15840"/>
          <w:pgMar w:top="1440" w:right="1440" w:bottom="1440" w:left="1440" w:header="720" w:footer="720" w:gutter="0"/>
          <w:pgNumType w:start="1"/>
          <w:cols w:space="720"/>
          <w:noEndnote/>
        </w:sectPr>
      </w:pPr>
    </w:p>
    <w:tbl>
      <w:tblPr>
        <w:tblpPr w:leftFromText="180" w:rightFromText="180" w:vertAnchor="text" w:horzAnchor="margin" w:tblpY="-715"/>
        <w:tblW w:w="13073" w:type="dxa"/>
        <w:tblBorders>
          <w:top w:val="single" w:sz="12" w:space="0" w:color="000000"/>
          <w:left w:val="single" w:sz="12" w:space="0" w:color="000000"/>
          <w:bottom w:val="single" w:sz="12" w:space="0" w:color="000000"/>
          <w:right w:val="single" w:sz="12" w:space="0" w:color="000000"/>
        </w:tblBorders>
        <w:tblLayout w:type="fixed"/>
        <w:tblCellMar>
          <w:left w:w="29" w:type="dxa"/>
          <w:right w:w="29" w:type="dxa"/>
        </w:tblCellMar>
        <w:tblLook w:val="0000" w:firstRow="0" w:lastRow="0" w:firstColumn="0" w:lastColumn="0" w:noHBand="0" w:noVBand="0"/>
      </w:tblPr>
      <w:tblGrid>
        <w:gridCol w:w="1710"/>
        <w:gridCol w:w="1700"/>
        <w:gridCol w:w="730"/>
        <w:gridCol w:w="810"/>
        <w:gridCol w:w="900"/>
        <w:gridCol w:w="800"/>
        <w:gridCol w:w="900"/>
        <w:gridCol w:w="720"/>
        <w:gridCol w:w="1170"/>
        <w:gridCol w:w="1170"/>
        <w:gridCol w:w="630"/>
        <w:gridCol w:w="810"/>
        <w:gridCol w:w="1023"/>
      </w:tblGrid>
      <w:tr w:rsidR="003C288B" w:rsidRPr="00D15828" w14:paraId="16C7DEC0" w14:textId="77777777" w:rsidTr="00156061">
        <w:tc>
          <w:tcPr>
            <w:tcW w:w="13073" w:type="dxa"/>
            <w:gridSpan w:val="13"/>
            <w:tcBorders>
              <w:top w:val="single" w:sz="8" w:space="0" w:color="000000"/>
              <w:left w:val="single" w:sz="8" w:space="0" w:color="000000"/>
              <w:right w:val="single" w:sz="8" w:space="0" w:color="000000"/>
            </w:tcBorders>
          </w:tcPr>
          <w:p w14:paraId="4B92B0C0" w14:textId="77777777" w:rsidR="003C288B" w:rsidRPr="00BA0BC5" w:rsidRDefault="003C288B" w:rsidP="00156061">
            <w:pPr>
              <w:spacing w:line="120" w:lineRule="exact"/>
              <w:rPr>
                <w:rFonts w:cs="Shruti"/>
                <w:sz w:val="19"/>
                <w:szCs w:val="19"/>
              </w:rPr>
            </w:pPr>
          </w:p>
          <w:p w14:paraId="559380FA" w14:textId="0839CA88" w:rsidR="003C288B" w:rsidRPr="00BA0BC5" w:rsidRDefault="003C288B" w:rsidP="00156061">
            <w:pPr>
              <w:tabs>
                <w:tab w:val="center" w:pos="6360"/>
              </w:tabs>
              <w:spacing w:after="58"/>
              <w:rPr>
                <w:rFonts w:cs="Shruti"/>
                <w:b/>
                <w:sz w:val="19"/>
                <w:szCs w:val="19"/>
              </w:rPr>
            </w:pPr>
            <w:r w:rsidRPr="00BA0BC5">
              <w:rPr>
                <w:rFonts w:cs="Shruti"/>
                <w:bCs/>
                <w:sz w:val="19"/>
                <w:szCs w:val="19"/>
              </w:rPr>
              <w:tab/>
            </w:r>
            <w:r w:rsidRPr="00BA0BC5">
              <w:rPr>
                <w:rFonts w:cs="Shruti"/>
                <w:b/>
                <w:bCs/>
                <w:sz w:val="19"/>
                <w:szCs w:val="19"/>
              </w:rPr>
              <w:t>Exhibit 1 - Estimated Respondent Burden and Cost</w:t>
            </w:r>
          </w:p>
        </w:tc>
      </w:tr>
      <w:tr w:rsidR="003C288B" w:rsidRPr="00D15828" w14:paraId="366E3D06" w14:textId="77777777" w:rsidTr="00156061">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7" w:space="0" w:color="000000"/>
              <w:left w:val="single" w:sz="8" w:space="0" w:color="000000"/>
              <w:bottom w:val="single" w:sz="7" w:space="0" w:color="000000"/>
              <w:right w:val="single" w:sz="8" w:space="0" w:color="000000"/>
            </w:tcBorders>
          </w:tcPr>
          <w:p w14:paraId="0CB91CC2" w14:textId="77777777" w:rsidR="003C288B" w:rsidRPr="00BA0BC5" w:rsidRDefault="003C288B" w:rsidP="00156061">
            <w:pPr>
              <w:spacing w:line="120" w:lineRule="exact"/>
              <w:rPr>
                <w:rFonts w:cs="Shruti"/>
                <w:sz w:val="19"/>
                <w:szCs w:val="19"/>
              </w:rPr>
            </w:pPr>
          </w:p>
          <w:p w14:paraId="3490EA03" w14:textId="348B0D20" w:rsidR="003C288B" w:rsidRPr="00BA0BC5" w:rsidRDefault="003C288B" w:rsidP="00156061">
            <w:pPr>
              <w:tabs>
                <w:tab w:val="left" w:pos="-1080"/>
                <w:tab w:val="left" w:pos="-720"/>
                <w:tab w:val="left" w:pos="0"/>
                <w:tab w:val="left" w:pos="810"/>
              </w:tabs>
              <w:spacing w:after="58"/>
              <w:rPr>
                <w:rFonts w:cs="Shruti"/>
                <w:sz w:val="19"/>
                <w:szCs w:val="19"/>
              </w:rPr>
            </w:pPr>
            <w:r w:rsidRPr="00BA0BC5">
              <w:rPr>
                <w:rFonts w:cs="Shruti"/>
                <w:sz w:val="19"/>
                <w:szCs w:val="19"/>
              </w:rPr>
              <w:t xml:space="preserve">                                                           Hours</w:t>
            </w:r>
            <w:r w:rsidR="00943968" w:rsidRPr="00943968">
              <w:rPr>
                <w:rFonts w:cs="Shruti"/>
                <w:sz w:val="19"/>
                <w:szCs w:val="19"/>
                <w:vertAlign w:val="superscript"/>
              </w:rPr>
              <w:t>1</w:t>
            </w:r>
            <w:r w:rsidRPr="00BA0BC5">
              <w:rPr>
                <w:rFonts w:cs="Shruti"/>
                <w:sz w:val="19"/>
                <w:szCs w:val="19"/>
              </w:rPr>
              <w:t xml:space="preserve"> and Costs per Respondent                                                                                                        </w:t>
            </w:r>
            <w:r>
              <w:rPr>
                <w:rFonts w:cs="Shruti"/>
                <w:sz w:val="19"/>
                <w:szCs w:val="19"/>
              </w:rPr>
              <w:t xml:space="preserve">                </w:t>
            </w:r>
            <w:r w:rsidRPr="00BA0BC5">
              <w:rPr>
                <w:rFonts w:cs="Shruti"/>
                <w:sz w:val="19"/>
                <w:szCs w:val="19"/>
              </w:rPr>
              <w:t>Total Hours and Costs</w:t>
            </w:r>
          </w:p>
        </w:tc>
      </w:tr>
      <w:tr w:rsidR="002F3E76" w:rsidRPr="00D15828" w14:paraId="45BF1D14" w14:textId="77777777" w:rsidTr="00D87C75">
        <w:tblPrEx>
          <w:tblBorders>
            <w:top w:val="none" w:sz="0" w:space="0" w:color="auto"/>
            <w:left w:val="none" w:sz="0" w:space="0" w:color="auto"/>
            <w:bottom w:val="none" w:sz="0" w:space="0" w:color="auto"/>
            <w:right w:val="none" w:sz="0" w:space="0" w:color="auto"/>
          </w:tblBorders>
        </w:tblPrEx>
        <w:trPr>
          <w:trHeight w:val="331"/>
        </w:trPr>
        <w:tc>
          <w:tcPr>
            <w:tcW w:w="1710" w:type="dxa"/>
            <w:vMerge w:val="restart"/>
            <w:tcBorders>
              <w:top w:val="single" w:sz="7" w:space="0" w:color="000000"/>
              <w:left w:val="single" w:sz="8" w:space="0" w:color="000000"/>
              <w:right w:val="single" w:sz="8" w:space="0" w:color="000000"/>
            </w:tcBorders>
          </w:tcPr>
          <w:p w14:paraId="3E27D10B" w14:textId="77777777" w:rsidR="002F3E76" w:rsidRPr="00BA0BC5" w:rsidRDefault="002F3E76" w:rsidP="00156061">
            <w:pPr>
              <w:spacing w:line="120" w:lineRule="exact"/>
              <w:rPr>
                <w:sz w:val="19"/>
                <w:szCs w:val="19"/>
              </w:rPr>
            </w:pPr>
          </w:p>
          <w:p w14:paraId="188B5FE0" w14:textId="77777777"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INFORMATION COLLECTION ACTIVITY</w:t>
            </w:r>
          </w:p>
        </w:tc>
        <w:tc>
          <w:tcPr>
            <w:tcW w:w="1700" w:type="dxa"/>
            <w:vMerge w:val="restart"/>
            <w:tcBorders>
              <w:top w:val="single" w:sz="7" w:space="0" w:color="000000"/>
              <w:left w:val="single" w:sz="8" w:space="0" w:color="000000"/>
              <w:right w:val="single" w:sz="8" w:space="0" w:color="000000"/>
            </w:tcBorders>
          </w:tcPr>
          <w:p w14:paraId="3B42FCED" w14:textId="77777777" w:rsidR="002F3E76" w:rsidRPr="00BA0BC5" w:rsidRDefault="002F3E76" w:rsidP="00156061">
            <w:pPr>
              <w:spacing w:line="120" w:lineRule="exact"/>
              <w:rPr>
                <w:sz w:val="19"/>
                <w:szCs w:val="19"/>
              </w:rPr>
            </w:pPr>
          </w:p>
          <w:p w14:paraId="5E00B892" w14:textId="77777777" w:rsidR="002F3E76" w:rsidRPr="00BA0BC5" w:rsidRDefault="002F3E76" w:rsidP="00156061">
            <w:pPr>
              <w:spacing w:line="120" w:lineRule="exact"/>
              <w:rPr>
                <w:sz w:val="19"/>
                <w:szCs w:val="19"/>
              </w:rPr>
            </w:pPr>
          </w:p>
          <w:p w14:paraId="5CB5A84E" w14:textId="77777777" w:rsidR="002F3E76" w:rsidRPr="00BA0BC5" w:rsidRDefault="002F3E76" w:rsidP="00156061">
            <w:pPr>
              <w:tabs>
                <w:tab w:val="left" w:pos="-1080"/>
                <w:tab w:val="left" w:pos="-720"/>
                <w:tab w:val="left" w:pos="0"/>
                <w:tab w:val="left" w:pos="810"/>
              </w:tabs>
              <w:rPr>
                <w:sz w:val="19"/>
                <w:szCs w:val="19"/>
              </w:rPr>
            </w:pPr>
            <w:r w:rsidRPr="00BA0BC5">
              <w:rPr>
                <w:sz w:val="19"/>
                <w:szCs w:val="19"/>
              </w:rPr>
              <w:t>Mgr.</w:t>
            </w:r>
          </w:p>
          <w:p w14:paraId="4006AE6C" w14:textId="2C1B8352"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w:t>
            </w:r>
            <w:r>
              <w:rPr>
                <w:sz w:val="19"/>
                <w:szCs w:val="19"/>
              </w:rPr>
              <w:t>9</w:t>
            </w:r>
            <w:r w:rsidR="00921F93">
              <w:rPr>
                <w:sz w:val="19"/>
                <w:szCs w:val="19"/>
              </w:rPr>
              <w:t>7.67</w:t>
            </w:r>
            <w:r w:rsidRPr="00BA0BC5">
              <w:rPr>
                <w:sz w:val="19"/>
                <w:szCs w:val="19"/>
              </w:rPr>
              <w:t>/Hr</w:t>
            </w:r>
          </w:p>
        </w:tc>
        <w:tc>
          <w:tcPr>
            <w:tcW w:w="730" w:type="dxa"/>
            <w:vMerge w:val="restart"/>
            <w:tcBorders>
              <w:top w:val="single" w:sz="7" w:space="0" w:color="000000"/>
              <w:left w:val="single" w:sz="8" w:space="0" w:color="000000"/>
              <w:right w:val="single" w:sz="8" w:space="0" w:color="000000"/>
            </w:tcBorders>
          </w:tcPr>
          <w:p w14:paraId="5B5E4943" w14:textId="77777777" w:rsidR="002F3E76" w:rsidRPr="00BA0BC5" w:rsidRDefault="002F3E76" w:rsidP="00156061">
            <w:pPr>
              <w:spacing w:line="120" w:lineRule="exact"/>
              <w:rPr>
                <w:sz w:val="19"/>
                <w:szCs w:val="19"/>
              </w:rPr>
            </w:pPr>
          </w:p>
          <w:p w14:paraId="4B2D7BFC" w14:textId="77777777" w:rsidR="002F3E76" w:rsidRPr="00BA0BC5" w:rsidRDefault="002F3E76" w:rsidP="00156061">
            <w:pPr>
              <w:tabs>
                <w:tab w:val="left" w:pos="-1080"/>
                <w:tab w:val="left" w:pos="-720"/>
                <w:tab w:val="left" w:pos="0"/>
                <w:tab w:val="left" w:pos="810"/>
              </w:tabs>
              <w:rPr>
                <w:sz w:val="19"/>
                <w:szCs w:val="19"/>
              </w:rPr>
            </w:pPr>
            <w:r w:rsidRPr="00BA0BC5">
              <w:rPr>
                <w:sz w:val="19"/>
                <w:szCs w:val="19"/>
              </w:rPr>
              <w:t>Tech.</w:t>
            </w:r>
          </w:p>
          <w:p w14:paraId="2AFA5AEC" w14:textId="3689B84E"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w:t>
            </w:r>
            <w:r>
              <w:rPr>
                <w:sz w:val="19"/>
                <w:szCs w:val="19"/>
              </w:rPr>
              <w:t>8</w:t>
            </w:r>
            <w:r w:rsidR="00921F93">
              <w:rPr>
                <w:sz w:val="19"/>
                <w:szCs w:val="19"/>
              </w:rPr>
              <w:t>0.77</w:t>
            </w:r>
            <w:r w:rsidRPr="00BA0BC5">
              <w:rPr>
                <w:sz w:val="19"/>
                <w:szCs w:val="19"/>
              </w:rPr>
              <w:t>/Hr</w:t>
            </w:r>
          </w:p>
        </w:tc>
        <w:tc>
          <w:tcPr>
            <w:tcW w:w="810" w:type="dxa"/>
            <w:vMerge w:val="restart"/>
            <w:tcBorders>
              <w:top w:val="single" w:sz="7" w:space="0" w:color="000000"/>
              <w:left w:val="single" w:sz="8" w:space="0" w:color="000000"/>
              <w:right w:val="single" w:sz="8" w:space="0" w:color="000000"/>
            </w:tcBorders>
          </w:tcPr>
          <w:p w14:paraId="617EEA8C" w14:textId="77777777" w:rsidR="002F3E76" w:rsidRPr="00BA0BC5" w:rsidRDefault="002F3E76" w:rsidP="00156061">
            <w:pPr>
              <w:spacing w:line="120" w:lineRule="exact"/>
              <w:rPr>
                <w:sz w:val="19"/>
                <w:szCs w:val="19"/>
              </w:rPr>
            </w:pPr>
          </w:p>
          <w:p w14:paraId="5CF8DC64" w14:textId="77777777" w:rsidR="002F3E76" w:rsidRPr="00BA0BC5" w:rsidRDefault="002F3E76" w:rsidP="00156061">
            <w:pPr>
              <w:tabs>
                <w:tab w:val="left" w:pos="-1080"/>
                <w:tab w:val="left" w:pos="-720"/>
                <w:tab w:val="left" w:pos="0"/>
                <w:tab w:val="left" w:pos="810"/>
              </w:tabs>
              <w:rPr>
                <w:sz w:val="19"/>
                <w:szCs w:val="19"/>
              </w:rPr>
            </w:pPr>
            <w:r w:rsidRPr="00BA0BC5">
              <w:rPr>
                <w:sz w:val="19"/>
                <w:szCs w:val="19"/>
              </w:rPr>
              <w:t>Cler.</w:t>
            </w:r>
          </w:p>
          <w:p w14:paraId="233471F3" w14:textId="77777777" w:rsidR="000D12E3" w:rsidRDefault="002F3E76" w:rsidP="00156061">
            <w:pPr>
              <w:tabs>
                <w:tab w:val="left" w:pos="-1080"/>
                <w:tab w:val="left" w:pos="-720"/>
                <w:tab w:val="left" w:pos="0"/>
                <w:tab w:val="left" w:pos="810"/>
              </w:tabs>
              <w:spacing w:after="58"/>
              <w:rPr>
                <w:sz w:val="19"/>
                <w:szCs w:val="19"/>
              </w:rPr>
            </w:pPr>
            <w:r w:rsidRPr="00BA0BC5">
              <w:rPr>
                <w:sz w:val="19"/>
                <w:szCs w:val="19"/>
              </w:rPr>
              <w:t>$</w:t>
            </w:r>
            <w:r>
              <w:rPr>
                <w:sz w:val="19"/>
                <w:szCs w:val="19"/>
              </w:rPr>
              <w:t>3</w:t>
            </w:r>
            <w:r w:rsidR="00921F93">
              <w:rPr>
                <w:sz w:val="19"/>
                <w:szCs w:val="19"/>
              </w:rPr>
              <w:t>8.54</w:t>
            </w:r>
            <w:r w:rsidRPr="00BA0BC5">
              <w:rPr>
                <w:sz w:val="19"/>
                <w:szCs w:val="19"/>
              </w:rPr>
              <w:t>/</w:t>
            </w:r>
          </w:p>
          <w:p w14:paraId="522BD8DF" w14:textId="3868AFFE"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Hr</w:t>
            </w:r>
          </w:p>
        </w:tc>
        <w:tc>
          <w:tcPr>
            <w:tcW w:w="900" w:type="dxa"/>
            <w:vMerge w:val="restart"/>
            <w:tcBorders>
              <w:top w:val="single" w:sz="7" w:space="0" w:color="000000"/>
              <w:left w:val="single" w:sz="8" w:space="0" w:color="000000"/>
              <w:right w:val="single" w:sz="8" w:space="0" w:color="000000"/>
            </w:tcBorders>
          </w:tcPr>
          <w:p w14:paraId="772BB61B" w14:textId="77777777" w:rsidR="002F3E76" w:rsidRPr="00BA0BC5" w:rsidRDefault="002F3E76" w:rsidP="00156061">
            <w:pPr>
              <w:spacing w:line="120" w:lineRule="exact"/>
              <w:rPr>
                <w:sz w:val="19"/>
                <w:szCs w:val="19"/>
              </w:rPr>
            </w:pPr>
          </w:p>
          <w:p w14:paraId="62F61481" w14:textId="4C737F8B"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Respon</w:t>
            </w:r>
            <w:r w:rsidR="00907D38">
              <w:rPr>
                <w:sz w:val="19"/>
                <w:szCs w:val="19"/>
              </w:rPr>
              <w:t>dent</w:t>
            </w:r>
            <w:r w:rsidRPr="00BA0BC5">
              <w:rPr>
                <w:sz w:val="19"/>
                <w:szCs w:val="19"/>
              </w:rPr>
              <w:t>. Hours</w:t>
            </w:r>
          </w:p>
        </w:tc>
        <w:tc>
          <w:tcPr>
            <w:tcW w:w="800" w:type="dxa"/>
            <w:vMerge w:val="restart"/>
            <w:tcBorders>
              <w:top w:val="single" w:sz="7" w:space="0" w:color="000000"/>
              <w:left w:val="single" w:sz="8" w:space="0" w:color="000000"/>
              <w:right w:val="single" w:sz="8" w:space="0" w:color="000000"/>
            </w:tcBorders>
          </w:tcPr>
          <w:p w14:paraId="157D8BE2" w14:textId="77777777" w:rsidR="002F3E76" w:rsidRPr="00BA0BC5" w:rsidRDefault="002F3E76" w:rsidP="00156061">
            <w:pPr>
              <w:spacing w:line="120" w:lineRule="exact"/>
              <w:rPr>
                <w:sz w:val="19"/>
                <w:szCs w:val="19"/>
              </w:rPr>
            </w:pPr>
          </w:p>
          <w:p w14:paraId="0C6C099D" w14:textId="77777777"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Labor Cost</w:t>
            </w:r>
            <w:r w:rsidRPr="00BA0BC5">
              <w:rPr>
                <w:sz w:val="19"/>
                <w:szCs w:val="19"/>
                <w:vertAlign w:val="superscript"/>
              </w:rPr>
              <w:t>1</w:t>
            </w:r>
          </w:p>
        </w:tc>
        <w:tc>
          <w:tcPr>
            <w:tcW w:w="900" w:type="dxa"/>
            <w:vMerge w:val="restart"/>
            <w:tcBorders>
              <w:top w:val="single" w:sz="7" w:space="0" w:color="000000"/>
              <w:left w:val="single" w:sz="8" w:space="0" w:color="000000"/>
              <w:right w:val="single" w:sz="8" w:space="0" w:color="000000"/>
            </w:tcBorders>
          </w:tcPr>
          <w:p w14:paraId="27B97B77" w14:textId="77777777" w:rsidR="002F3E76" w:rsidRPr="00BA0BC5" w:rsidRDefault="002F3E76" w:rsidP="00156061">
            <w:pPr>
              <w:spacing w:line="120" w:lineRule="exact"/>
              <w:rPr>
                <w:sz w:val="19"/>
                <w:szCs w:val="19"/>
              </w:rPr>
            </w:pPr>
          </w:p>
          <w:p w14:paraId="11C25D40" w14:textId="77777777" w:rsidR="002F3E76" w:rsidRPr="00BA0BC5" w:rsidRDefault="002F3E76" w:rsidP="00156061">
            <w:pPr>
              <w:tabs>
                <w:tab w:val="left" w:pos="-1080"/>
                <w:tab w:val="left" w:pos="-720"/>
                <w:tab w:val="left" w:pos="0"/>
                <w:tab w:val="left" w:pos="810"/>
              </w:tabs>
              <w:rPr>
                <w:sz w:val="19"/>
                <w:szCs w:val="19"/>
              </w:rPr>
            </w:pPr>
            <w:r w:rsidRPr="00BA0BC5">
              <w:rPr>
                <w:sz w:val="19"/>
                <w:szCs w:val="19"/>
              </w:rPr>
              <w:t>Capital/</w:t>
            </w:r>
          </w:p>
          <w:p w14:paraId="68800BA2" w14:textId="77777777"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Startup Cost</w:t>
            </w:r>
          </w:p>
        </w:tc>
        <w:tc>
          <w:tcPr>
            <w:tcW w:w="720" w:type="dxa"/>
            <w:vMerge w:val="restart"/>
            <w:tcBorders>
              <w:top w:val="single" w:sz="7" w:space="0" w:color="000000"/>
              <w:left w:val="single" w:sz="8" w:space="0" w:color="000000"/>
              <w:right w:val="single" w:sz="8" w:space="0" w:color="000000"/>
            </w:tcBorders>
          </w:tcPr>
          <w:p w14:paraId="134B2636" w14:textId="77777777" w:rsidR="002F3E76" w:rsidRPr="00BA0BC5" w:rsidRDefault="002F3E76" w:rsidP="00156061">
            <w:pPr>
              <w:spacing w:line="120" w:lineRule="exact"/>
              <w:rPr>
                <w:sz w:val="19"/>
                <w:szCs w:val="19"/>
              </w:rPr>
            </w:pPr>
          </w:p>
          <w:p w14:paraId="4505AFB9" w14:textId="29DA3397" w:rsidR="002F3E76" w:rsidRPr="00BA0BC5" w:rsidRDefault="002F3E76" w:rsidP="00156061">
            <w:pPr>
              <w:tabs>
                <w:tab w:val="left" w:pos="-1080"/>
                <w:tab w:val="left" w:pos="-720"/>
                <w:tab w:val="left" w:pos="0"/>
                <w:tab w:val="left" w:pos="810"/>
              </w:tabs>
              <w:rPr>
                <w:sz w:val="19"/>
                <w:szCs w:val="19"/>
              </w:rPr>
            </w:pPr>
            <w:r w:rsidRPr="00BA0BC5">
              <w:rPr>
                <w:sz w:val="19"/>
                <w:szCs w:val="19"/>
              </w:rPr>
              <w:t xml:space="preserve">O&amp;M </w:t>
            </w:r>
          </w:p>
          <w:p w14:paraId="06331857" w14:textId="77777777"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Cost</w:t>
            </w:r>
          </w:p>
        </w:tc>
        <w:tc>
          <w:tcPr>
            <w:tcW w:w="1170" w:type="dxa"/>
            <w:vMerge w:val="restart"/>
            <w:tcBorders>
              <w:top w:val="single" w:sz="7" w:space="0" w:color="000000"/>
              <w:left w:val="single" w:sz="8" w:space="0" w:color="000000"/>
              <w:right w:val="single" w:sz="8" w:space="0" w:color="000000"/>
            </w:tcBorders>
          </w:tcPr>
          <w:p w14:paraId="713963B2" w14:textId="77777777" w:rsidR="002F3E76" w:rsidRPr="00BA0BC5" w:rsidRDefault="002F3E76" w:rsidP="00156061">
            <w:pPr>
              <w:spacing w:line="120" w:lineRule="exact"/>
              <w:rPr>
                <w:sz w:val="19"/>
                <w:szCs w:val="19"/>
              </w:rPr>
            </w:pPr>
          </w:p>
          <w:p w14:paraId="41B2964E" w14:textId="77777777" w:rsidR="002F3E76" w:rsidRPr="00BA0BC5" w:rsidRDefault="002F3E76" w:rsidP="00156061">
            <w:pPr>
              <w:tabs>
                <w:tab w:val="left" w:pos="-1080"/>
                <w:tab w:val="left" w:pos="-720"/>
                <w:tab w:val="left" w:pos="0"/>
                <w:tab w:val="left" w:pos="810"/>
              </w:tabs>
              <w:rPr>
                <w:sz w:val="19"/>
                <w:szCs w:val="19"/>
              </w:rPr>
            </w:pPr>
            <w:r w:rsidRPr="00BA0BC5">
              <w:rPr>
                <w:sz w:val="19"/>
                <w:szCs w:val="19"/>
              </w:rPr>
              <w:t>Cost per Respondent</w:t>
            </w:r>
          </w:p>
        </w:tc>
        <w:tc>
          <w:tcPr>
            <w:tcW w:w="1170" w:type="dxa"/>
            <w:vMerge w:val="restart"/>
            <w:tcBorders>
              <w:top w:val="single" w:sz="7" w:space="0" w:color="000000"/>
              <w:left w:val="single" w:sz="8" w:space="0" w:color="000000"/>
              <w:right w:val="single" w:sz="8" w:space="0" w:color="000000"/>
            </w:tcBorders>
          </w:tcPr>
          <w:p w14:paraId="7B3D04E0" w14:textId="5F591FAC" w:rsidR="002F3E76" w:rsidRPr="00BA0BC5" w:rsidRDefault="002F3E76" w:rsidP="00156061">
            <w:pPr>
              <w:tabs>
                <w:tab w:val="left" w:pos="-1080"/>
                <w:tab w:val="left" w:pos="-720"/>
                <w:tab w:val="left" w:pos="0"/>
                <w:tab w:val="left" w:pos="810"/>
              </w:tabs>
              <w:spacing w:before="120"/>
              <w:rPr>
                <w:sz w:val="19"/>
                <w:szCs w:val="19"/>
              </w:rPr>
            </w:pPr>
            <w:r w:rsidRPr="00BA0BC5">
              <w:rPr>
                <w:sz w:val="19"/>
                <w:szCs w:val="19"/>
              </w:rPr>
              <w:t xml:space="preserve">Number of </w:t>
            </w:r>
            <w:r w:rsidR="000E4CB3" w:rsidRPr="00BA0BC5">
              <w:rPr>
                <w:sz w:val="19"/>
                <w:szCs w:val="19"/>
              </w:rPr>
              <w:t>Respon</w:t>
            </w:r>
            <w:r w:rsidR="000E4CB3">
              <w:rPr>
                <w:sz w:val="19"/>
                <w:szCs w:val="19"/>
              </w:rPr>
              <w:t>ses (total)</w:t>
            </w:r>
          </w:p>
        </w:tc>
        <w:tc>
          <w:tcPr>
            <w:tcW w:w="1440" w:type="dxa"/>
            <w:gridSpan w:val="2"/>
            <w:tcBorders>
              <w:top w:val="single" w:sz="8" w:space="0" w:color="000000"/>
              <w:left w:val="single" w:sz="8" w:space="0" w:color="000000"/>
              <w:bottom w:val="single" w:sz="4" w:space="0" w:color="auto"/>
              <w:right w:val="single" w:sz="8" w:space="0" w:color="000000"/>
            </w:tcBorders>
            <w:vAlign w:val="center"/>
          </w:tcPr>
          <w:p w14:paraId="38AD74D8" w14:textId="71CD7439" w:rsidR="002F3E76" w:rsidRPr="00BA0BC5" w:rsidRDefault="002F3E76" w:rsidP="00156061">
            <w:pPr>
              <w:spacing w:line="200" w:lineRule="exact"/>
              <w:rPr>
                <w:sz w:val="19"/>
                <w:szCs w:val="19"/>
              </w:rPr>
            </w:pPr>
            <w:r>
              <w:rPr>
                <w:sz w:val="19"/>
                <w:szCs w:val="19"/>
              </w:rPr>
              <w:t>Over 3-yr Renewal Period</w:t>
            </w:r>
          </w:p>
        </w:tc>
        <w:tc>
          <w:tcPr>
            <w:tcW w:w="1023" w:type="dxa"/>
            <w:vMerge w:val="restart"/>
            <w:tcBorders>
              <w:top w:val="single" w:sz="7" w:space="0" w:color="000000"/>
              <w:left w:val="single" w:sz="8" w:space="0" w:color="000000"/>
              <w:right w:val="single" w:sz="8" w:space="0" w:color="000000"/>
            </w:tcBorders>
          </w:tcPr>
          <w:p w14:paraId="587CC5DA" w14:textId="580E9811" w:rsidR="002F3E76" w:rsidRPr="00BA0BC5" w:rsidRDefault="002F3E76" w:rsidP="00156061">
            <w:pPr>
              <w:tabs>
                <w:tab w:val="left" w:pos="-1080"/>
                <w:tab w:val="left" w:pos="-720"/>
                <w:tab w:val="left" w:pos="0"/>
                <w:tab w:val="left" w:pos="810"/>
              </w:tabs>
              <w:spacing w:after="58"/>
              <w:rPr>
                <w:sz w:val="19"/>
                <w:szCs w:val="19"/>
              </w:rPr>
            </w:pPr>
            <w:r>
              <w:rPr>
                <w:sz w:val="19"/>
                <w:szCs w:val="19"/>
              </w:rPr>
              <w:t>Average Annual Cost</w:t>
            </w:r>
          </w:p>
        </w:tc>
      </w:tr>
      <w:tr w:rsidR="002F3E76" w:rsidRPr="00D15828" w14:paraId="7909C3AF" w14:textId="77777777" w:rsidTr="00D87C75">
        <w:tblPrEx>
          <w:tblBorders>
            <w:top w:val="none" w:sz="0" w:space="0" w:color="auto"/>
            <w:left w:val="none" w:sz="0" w:space="0" w:color="auto"/>
            <w:bottom w:val="none" w:sz="0" w:space="0" w:color="auto"/>
            <w:right w:val="none" w:sz="0" w:space="0" w:color="auto"/>
          </w:tblBorders>
        </w:tblPrEx>
        <w:trPr>
          <w:trHeight w:val="1008"/>
        </w:trPr>
        <w:tc>
          <w:tcPr>
            <w:tcW w:w="1710" w:type="dxa"/>
            <w:vMerge/>
            <w:tcBorders>
              <w:left w:val="single" w:sz="8" w:space="0" w:color="000000"/>
              <w:bottom w:val="single" w:sz="7" w:space="0" w:color="000000"/>
              <w:right w:val="single" w:sz="8" w:space="0" w:color="000000"/>
            </w:tcBorders>
          </w:tcPr>
          <w:p w14:paraId="14A00914" w14:textId="77777777" w:rsidR="002F3E76" w:rsidRPr="00BA0BC5" w:rsidRDefault="002F3E76" w:rsidP="00156061">
            <w:pPr>
              <w:spacing w:line="120" w:lineRule="exact"/>
              <w:rPr>
                <w:sz w:val="19"/>
                <w:szCs w:val="19"/>
              </w:rPr>
            </w:pPr>
          </w:p>
        </w:tc>
        <w:tc>
          <w:tcPr>
            <w:tcW w:w="1700" w:type="dxa"/>
            <w:vMerge/>
            <w:tcBorders>
              <w:left w:val="single" w:sz="8" w:space="0" w:color="000000"/>
              <w:bottom w:val="single" w:sz="7" w:space="0" w:color="000000"/>
              <w:right w:val="single" w:sz="8" w:space="0" w:color="000000"/>
            </w:tcBorders>
          </w:tcPr>
          <w:p w14:paraId="548F1A71" w14:textId="77777777" w:rsidR="002F3E76" w:rsidRPr="00BA0BC5" w:rsidRDefault="002F3E76" w:rsidP="00156061">
            <w:pPr>
              <w:spacing w:line="120" w:lineRule="exact"/>
              <w:rPr>
                <w:sz w:val="19"/>
                <w:szCs w:val="19"/>
              </w:rPr>
            </w:pPr>
          </w:p>
        </w:tc>
        <w:tc>
          <w:tcPr>
            <w:tcW w:w="730" w:type="dxa"/>
            <w:vMerge/>
            <w:tcBorders>
              <w:left w:val="single" w:sz="8" w:space="0" w:color="000000"/>
              <w:bottom w:val="single" w:sz="7" w:space="0" w:color="000000"/>
              <w:right w:val="single" w:sz="8" w:space="0" w:color="000000"/>
            </w:tcBorders>
          </w:tcPr>
          <w:p w14:paraId="10F6538B" w14:textId="77777777" w:rsidR="002F3E76" w:rsidRPr="00BA0BC5" w:rsidRDefault="002F3E76" w:rsidP="00156061">
            <w:pPr>
              <w:spacing w:line="120" w:lineRule="exact"/>
              <w:rPr>
                <w:sz w:val="19"/>
                <w:szCs w:val="19"/>
              </w:rPr>
            </w:pPr>
          </w:p>
        </w:tc>
        <w:tc>
          <w:tcPr>
            <w:tcW w:w="810" w:type="dxa"/>
            <w:vMerge/>
            <w:tcBorders>
              <w:left w:val="single" w:sz="8" w:space="0" w:color="000000"/>
              <w:bottom w:val="single" w:sz="7" w:space="0" w:color="000000"/>
              <w:right w:val="single" w:sz="8" w:space="0" w:color="000000"/>
            </w:tcBorders>
          </w:tcPr>
          <w:p w14:paraId="54EFC3F3" w14:textId="77777777" w:rsidR="002F3E76" w:rsidRPr="00BA0BC5" w:rsidRDefault="002F3E76" w:rsidP="00156061">
            <w:pPr>
              <w:spacing w:line="120" w:lineRule="exact"/>
              <w:rPr>
                <w:sz w:val="19"/>
                <w:szCs w:val="19"/>
              </w:rPr>
            </w:pPr>
          </w:p>
        </w:tc>
        <w:tc>
          <w:tcPr>
            <w:tcW w:w="900" w:type="dxa"/>
            <w:vMerge/>
            <w:tcBorders>
              <w:left w:val="single" w:sz="8" w:space="0" w:color="000000"/>
              <w:bottom w:val="single" w:sz="7" w:space="0" w:color="000000"/>
              <w:right w:val="single" w:sz="8" w:space="0" w:color="000000"/>
            </w:tcBorders>
          </w:tcPr>
          <w:p w14:paraId="0D3D33EC" w14:textId="77777777" w:rsidR="002F3E76" w:rsidRPr="00BA0BC5" w:rsidRDefault="002F3E76" w:rsidP="00156061">
            <w:pPr>
              <w:spacing w:line="120" w:lineRule="exact"/>
              <w:rPr>
                <w:sz w:val="19"/>
                <w:szCs w:val="19"/>
              </w:rPr>
            </w:pPr>
          </w:p>
        </w:tc>
        <w:tc>
          <w:tcPr>
            <w:tcW w:w="800" w:type="dxa"/>
            <w:vMerge/>
            <w:tcBorders>
              <w:left w:val="single" w:sz="8" w:space="0" w:color="000000"/>
              <w:bottom w:val="single" w:sz="7" w:space="0" w:color="000000"/>
              <w:right w:val="single" w:sz="8" w:space="0" w:color="000000"/>
            </w:tcBorders>
          </w:tcPr>
          <w:p w14:paraId="7FFD94C3" w14:textId="77777777" w:rsidR="002F3E76" w:rsidRPr="00BA0BC5" w:rsidRDefault="002F3E76" w:rsidP="00156061">
            <w:pPr>
              <w:spacing w:line="120" w:lineRule="exact"/>
              <w:rPr>
                <w:sz w:val="19"/>
                <w:szCs w:val="19"/>
              </w:rPr>
            </w:pPr>
          </w:p>
        </w:tc>
        <w:tc>
          <w:tcPr>
            <w:tcW w:w="900" w:type="dxa"/>
            <w:vMerge/>
            <w:tcBorders>
              <w:left w:val="single" w:sz="8" w:space="0" w:color="000000"/>
              <w:bottom w:val="single" w:sz="7" w:space="0" w:color="000000"/>
              <w:right w:val="single" w:sz="8" w:space="0" w:color="000000"/>
            </w:tcBorders>
          </w:tcPr>
          <w:p w14:paraId="3E40E73D" w14:textId="77777777" w:rsidR="002F3E76" w:rsidRPr="00BA0BC5" w:rsidRDefault="002F3E76" w:rsidP="00156061">
            <w:pPr>
              <w:spacing w:line="120" w:lineRule="exact"/>
              <w:rPr>
                <w:sz w:val="19"/>
                <w:szCs w:val="19"/>
              </w:rPr>
            </w:pPr>
          </w:p>
        </w:tc>
        <w:tc>
          <w:tcPr>
            <w:tcW w:w="720" w:type="dxa"/>
            <w:vMerge/>
            <w:tcBorders>
              <w:left w:val="single" w:sz="8" w:space="0" w:color="000000"/>
              <w:bottom w:val="single" w:sz="7" w:space="0" w:color="000000"/>
              <w:right w:val="single" w:sz="8" w:space="0" w:color="000000"/>
            </w:tcBorders>
          </w:tcPr>
          <w:p w14:paraId="5AF3E64D" w14:textId="77777777" w:rsidR="002F3E76" w:rsidRPr="00BA0BC5" w:rsidRDefault="002F3E76" w:rsidP="00156061">
            <w:pPr>
              <w:spacing w:line="120" w:lineRule="exact"/>
              <w:rPr>
                <w:sz w:val="19"/>
                <w:szCs w:val="19"/>
              </w:rPr>
            </w:pPr>
          </w:p>
        </w:tc>
        <w:tc>
          <w:tcPr>
            <w:tcW w:w="1170" w:type="dxa"/>
            <w:vMerge/>
            <w:tcBorders>
              <w:left w:val="single" w:sz="8" w:space="0" w:color="000000"/>
              <w:bottom w:val="single" w:sz="7" w:space="0" w:color="000000"/>
              <w:right w:val="single" w:sz="8" w:space="0" w:color="000000"/>
            </w:tcBorders>
          </w:tcPr>
          <w:p w14:paraId="59D6FB54" w14:textId="77777777" w:rsidR="002F3E76" w:rsidRPr="00BA0BC5" w:rsidRDefault="002F3E76" w:rsidP="00156061">
            <w:pPr>
              <w:spacing w:line="120" w:lineRule="exact"/>
              <w:rPr>
                <w:sz w:val="19"/>
                <w:szCs w:val="19"/>
              </w:rPr>
            </w:pPr>
          </w:p>
        </w:tc>
        <w:tc>
          <w:tcPr>
            <w:tcW w:w="1170" w:type="dxa"/>
            <w:vMerge/>
            <w:tcBorders>
              <w:left w:val="single" w:sz="8" w:space="0" w:color="000000"/>
              <w:bottom w:val="single" w:sz="7" w:space="0" w:color="000000"/>
              <w:right w:val="single" w:sz="8" w:space="0" w:color="000000"/>
            </w:tcBorders>
          </w:tcPr>
          <w:p w14:paraId="277499D0" w14:textId="77777777" w:rsidR="002F3E76" w:rsidRPr="00BA0BC5" w:rsidRDefault="002F3E76" w:rsidP="00156061">
            <w:pPr>
              <w:tabs>
                <w:tab w:val="left" w:pos="-1080"/>
                <w:tab w:val="left" w:pos="-720"/>
                <w:tab w:val="left" w:pos="0"/>
                <w:tab w:val="left" w:pos="810"/>
              </w:tabs>
              <w:spacing w:before="120"/>
              <w:rPr>
                <w:sz w:val="19"/>
                <w:szCs w:val="19"/>
              </w:rPr>
            </w:pPr>
          </w:p>
        </w:tc>
        <w:tc>
          <w:tcPr>
            <w:tcW w:w="630" w:type="dxa"/>
            <w:tcBorders>
              <w:left w:val="single" w:sz="8" w:space="0" w:color="000000"/>
              <w:bottom w:val="single" w:sz="4" w:space="0" w:color="auto"/>
              <w:right w:val="single" w:sz="8" w:space="0" w:color="000000"/>
            </w:tcBorders>
          </w:tcPr>
          <w:p w14:paraId="3F3D814D" w14:textId="4324562B" w:rsidR="002F3E76" w:rsidRPr="00BA0BC5" w:rsidRDefault="002F3E76" w:rsidP="00156061">
            <w:pPr>
              <w:spacing w:line="200" w:lineRule="exact"/>
              <w:rPr>
                <w:sz w:val="19"/>
                <w:szCs w:val="19"/>
              </w:rPr>
            </w:pPr>
            <w:r w:rsidRPr="00BA0BC5">
              <w:rPr>
                <w:sz w:val="19"/>
                <w:szCs w:val="19"/>
              </w:rPr>
              <w:t>Total Hours</w:t>
            </w:r>
          </w:p>
        </w:tc>
        <w:tc>
          <w:tcPr>
            <w:tcW w:w="810" w:type="dxa"/>
            <w:tcBorders>
              <w:top w:val="single" w:sz="7" w:space="0" w:color="000000"/>
              <w:left w:val="single" w:sz="8" w:space="0" w:color="000000"/>
              <w:bottom w:val="single" w:sz="7" w:space="0" w:color="000000"/>
              <w:right w:val="single" w:sz="8" w:space="0" w:color="000000"/>
            </w:tcBorders>
          </w:tcPr>
          <w:p w14:paraId="35963E6A" w14:textId="056AEF3B" w:rsidR="002F3E76" w:rsidRPr="00BA0BC5" w:rsidRDefault="002F3E76" w:rsidP="00156061">
            <w:pPr>
              <w:spacing w:line="200" w:lineRule="exact"/>
              <w:rPr>
                <w:sz w:val="19"/>
                <w:szCs w:val="19"/>
              </w:rPr>
            </w:pPr>
            <w:r w:rsidRPr="00BA0BC5">
              <w:rPr>
                <w:sz w:val="19"/>
                <w:szCs w:val="19"/>
              </w:rPr>
              <w:t>Total Cost</w:t>
            </w:r>
          </w:p>
        </w:tc>
        <w:tc>
          <w:tcPr>
            <w:tcW w:w="1023" w:type="dxa"/>
            <w:vMerge/>
            <w:tcBorders>
              <w:left w:val="single" w:sz="8" w:space="0" w:color="000000"/>
              <w:bottom w:val="single" w:sz="7" w:space="0" w:color="000000"/>
              <w:right w:val="single" w:sz="8" w:space="0" w:color="000000"/>
            </w:tcBorders>
          </w:tcPr>
          <w:p w14:paraId="5FE5415F" w14:textId="77777777" w:rsidR="002F3E76" w:rsidRPr="00BA0BC5" w:rsidRDefault="002F3E76" w:rsidP="00156061">
            <w:pPr>
              <w:tabs>
                <w:tab w:val="left" w:pos="-1080"/>
                <w:tab w:val="left" w:pos="-720"/>
                <w:tab w:val="left" w:pos="0"/>
                <w:tab w:val="left" w:pos="810"/>
              </w:tabs>
              <w:spacing w:after="58"/>
              <w:rPr>
                <w:sz w:val="19"/>
                <w:szCs w:val="19"/>
              </w:rPr>
            </w:pPr>
          </w:p>
        </w:tc>
      </w:tr>
      <w:tr w:rsidR="003C288B" w:rsidRPr="00D15828" w14:paraId="479024D6" w14:textId="77777777" w:rsidTr="00156061">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7" w:space="0" w:color="000000"/>
              <w:left w:val="single" w:sz="8" w:space="0" w:color="000000"/>
              <w:bottom w:val="single" w:sz="7" w:space="0" w:color="000000"/>
              <w:right w:val="single" w:sz="8" w:space="0" w:color="000000"/>
            </w:tcBorders>
          </w:tcPr>
          <w:p w14:paraId="4FCB5CC9" w14:textId="77777777" w:rsidR="003C288B" w:rsidRPr="00BA0BC5" w:rsidRDefault="003C288B" w:rsidP="00156061">
            <w:pPr>
              <w:spacing w:line="120" w:lineRule="exact"/>
              <w:rPr>
                <w:sz w:val="19"/>
                <w:szCs w:val="19"/>
              </w:rPr>
            </w:pPr>
          </w:p>
          <w:p w14:paraId="47B360AA" w14:textId="55834DE7" w:rsidR="003C288B" w:rsidRPr="00BA0BC5" w:rsidRDefault="003C288B" w:rsidP="00156061">
            <w:pPr>
              <w:tabs>
                <w:tab w:val="left" w:pos="-1080"/>
                <w:tab w:val="left" w:pos="-720"/>
                <w:tab w:val="left" w:pos="0"/>
                <w:tab w:val="left" w:pos="810"/>
              </w:tabs>
              <w:spacing w:after="58"/>
              <w:rPr>
                <w:b/>
                <w:sz w:val="19"/>
                <w:szCs w:val="19"/>
              </w:rPr>
            </w:pPr>
            <w:r w:rsidRPr="00BA0BC5">
              <w:rPr>
                <w:b/>
                <w:sz w:val="19"/>
                <w:szCs w:val="19"/>
              </w:rPr>
              <w:t>RULE FAMILIARIZATION – Read the rule (one-time burden</w:t>
            </w:r>
            <w:r w:rsidR="00943968" w:rsidRPr="00943968">
              <w:rPr>
                <w:b/>
                <w:sz w:val="19"/>
                <w:szCs w:val="19"/>
                <w:vertAlign w:val="superscript"/>
              </w:rPr>
              <w:t>2</w:t>
            </w:r>
            <w:r w:rsidRPr="00BA0BC5">
              <w:rPr>
                <w:b/>
                <w:sz w:val="19"/>
                <w:szCs w:val="19"/>
              </w:rPr>
              <w:t xml:space="preserve"> and cost)</w:t>
            </w:r>
          </w:p>
        </w:tc>
      </w:tr>
      <w:tr w:rsidR="002F3E76" w:rsidRPr="00D15828" w14:paraId="2CB8A105" w14:textId="77777777" w:rsidTr="00D87C75">
        <w:tblPrEx>
          <w:tblBorders>
            <w:top w:val="none" w:sz="0" w:space="0" w:color="auto"/>
            <w:left w:val="none" w:sz="0" w:space="0" w:color="auto"/>
            <w:bottom w:val="none" w:sz="0" w:space="0" w:color="auto"/>
            <w:right w:val="none" w:sz="0" w:space="0" w:color="auto"/>
          </w:tblBorders>
        </w:tblPrEx>
        <w:tc>
          <w:tcPr>
            <w:tcW w:w="1710" w:type="dxa"/>
            <w:tcBorders>
              <w:top w:val="single" w:sz="7" w:space="0" w:color="000000"/>
              <w:left w:val="single" w:sz="8" w:space="0" w:color="000000"/>
              <w:bottom w:val="single" w:sz="12" w:space="0" w:color="000000"/>
              <w:right w:val="single" w:sz="8" w:space="0" w:color="000000"/>
            </w:tcBorders>
          </w:tcPr>
          <w:p w14:paraId="7FE1FFBA" w14:textId="77777777"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Affected Facilities</w:t>
            </w:r>
          </w:p>
        </w:tc>
        <w:tc>
          <w:tcPr>
            <w:tcW w:w="1700" w:type="dxa"/>
            <w:tcBorders>
              <w:top w:val="single" w:sz="7" w:space="0" w:color="000000"/>
              <w:left w:val="single" w:sz="8" w:space="0" w:color="000000"/>
              <w:bottom w:val="single" w:sz="12" w:space="0" w:color="000000"/>
              <w:right w:val="single" w:sz="8" w:space="0" w:color="000000"/>
            </w:tcBorders>
          </w:tcPr>
          <w:p w14:paraId="0DAF0DA6" w14:textId="515FF626"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0.5</w:t>
            </w:r>
          </w:p>
        </w:tc>
        <w:tc>
          <w:tcPr>
            <w:tcW w:w="730" w:type="dxa"/>
            <w:tcBorders>
              <w:top w:val="single" w:sz="7" w:space="0" w:color="000000"/>
              <w:left w:val="single" w:sz="8" w:space="0" w:color="000000"/>
              <w:bottom w:val="single" w:sz="12" w:space="0" w:color="000000"/>
              <w:right w:val="single" w:sz="8" w:space="0" w:color="000000"/>
            </w:tcBorders>
          </w:tcPr>
          <w:p w14:paraId="0FAB41EB" w14:textId="77777777"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0.5</w:t>
            </w:r>
          </w:p>
        </w:tc>
        <w:tc>
          <w:tcPr>
            <w:tcW w:w="810" w:type="dxa"/>
            <w:tcBorders>
              <w:top w:val="single" w:sz="7" w:space="0" w:color="000000"/>
              <w:left w:val="single" w:sz="8" w:space="0" w:color="000000"/>
              <w:bottom w:val="single" w:sz="12" w:space="0" w:color="000000"/>
              <w:right w:val="single" w:sz="8" w:space="0" w:color="000000"/>
            </w:tcBorders>
          </w:tcPr>
          <w:p w14:paraId="380C9915" w14:textId="77777777"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0.0</w:t>
            </w:r>
          </w:p>
        </w:tc>
        <w:tc>
          <w:tcPr>
            <w:tcW w:w="900" w:type="dxa"/>
            <w:tcBorders>
              <w:top w:val="single" w:sz="7" w:space="0" w:color="000000"/>
              <w:left w:val="single" w:sz="8" w:space="0" w:color="000000"/>
              <w:bottom w:val="single" w:sz="12" w:space="0" w:color="000000"/>
              <w:right w:val="single" w:sz="8" w:space="0" w:color="000000"/>
            </w:tcBorders>
          </w:tcPr>
          <w:p w14:paraId="565983C2" w14:textId="09856DF5"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1.0</w:t>
            </w:r>
          </w:p>
        </w:tc>
        <w:tc>
          <w:tcPr>
            <w:tcW w:w="800" w:type="dxa"/>
            <w:tcBorders>
              <w:top w:val="single" w:sz="7" w:space="0" w:color="000000"/>
              <w:left w:val="single" w:sz="8" w:space="0" w:color="000000"/>
              <w:bottom w:val="single" w:sz="12" w:space="0" w:color="000000"/>
              <w:right w:val="single" w:sz="8" w:space="0" w:color="000000"/>
            </w:tcBorders>
          </w:tcPr>
          <w:p w14:paraId="43208E1B" w14:textId="1E8DF998"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w:t>
            </w:r>
            <w:r>
              <w:rPr>
                <w:sz w:val="19"/>
                <w:szCs w:val="19"/>
              </w:rPr>
              <w:t>89</w:t>
            </w:r>
          </w:p>
        </w:tc>
        <w:tc>
          <w:tcPr>
            <w:tcW w:w="900" w:type="dxa"/>
            <w:tcBorders>
              <w:top w:val="single" w:sz="7" w:space="0" w:color="000000"/>
              <w:left w:val="single" w:sz="8" w:space="0" w:color="000000"/>
              <w:bottom w:val="single" w:sz="12" w:space="0" w:color="000000"/>
              <w:right w:val="single" w:sz="8" w:space="0" w:color="000000"/>
            </w:tcBorders>
          </w:tcPr>
          <w:p w14:paraId="52F87979" w14:textId="54B5CFCA"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$0</w:t>
            </w:r>
          </w:p>
        </w:tc>
        <w:tc>
          <w:tcPr>
            <w:tcW w:w="720" w:type="dxa"/>
            <w:tcBorders>
              <w:top w:val="single" w:sz="7" w:space="0" w:color="000000"/>
              <w:left w:val="single" w:sz="8" w:space="0" w:color="000000"/>
              <w:bottom w:val="single" w:sz="12" w:space="0" w:color="000000"/>
              <w:right w:val="single" w:sz="8" w:space="0" w:color="000000"/>
            </w:tcBorders>
          </w:tcPr>
          <w:p w14:paraId="215904BB" w14:textId="5DF14D33"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$0</w:t>
            </w:r>
          </w:p>
        </w:tc>
        <w:tc>
          <w:tcPr>
            <w:tcW w:w="1170" w:type="dxa"/>
            <w:tcBorders>
              <w:top w:val="single" w:sz="7" w:space="0" w:color="000000"/>
              <w:left w:val="single" w:sz="8" w:space="0" w:color="000000"/>
              <w:bottom w:val="single" w:sz="12" w:space="0" w:color="000000"/>
              <w:right w:val="single" w:sz="8" w:space="0" w:color="000000"/>
            </w:tcBorders>
          </w:tcPr>
          <w:p w14:paraId="6F173161" w14:textId="5411E7B1"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w:t>
            </w:r>
            <w:r>
              <w:rPr>
                <w:sz w:val="19"/>
                <w:szCs w:val="19"/>
              </w:rPr>
              <w:t>89</w:t>
            </w:r>
          </w:p>
        </w:tc>
        <w:tc>
          <w:tcPr>
            <w:tcW w:w="1170" w:type="dxa"/>
            <w:tcBorders>
              <w:top w:val="single" w:sz="7" w:space="0" w:color="000000"/>
              <w:left w:val="single" w:sz="8" w:space="0" w:color="000000"/>
              <w:bottom w:val="single" w:sz="12" w:space="0" w:color="000000"/>
              <w:right w:val="single" w:sz="8" w:space="0" w:color="000000"/>
            </w:tcBorders>
          </w:tcPr>
          <w:p w14:paraId="67CE3FF6" w14:textId="69F50082"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146</w:t>
            </w:r>
          </w:p>
        </w:tc>
        <w:tc>
          <w:tcPr>
            <w:tcW w:w="630" w:type="dxa"/>
            <w:tcBorders>
              <w:top w:val="single" w:sz="7" w:space="0" w:color="000000"/>
              <w:left w:val="single" w:sz="8" w:space="0" w:color="000000"/>
              <w:bottom w:val="single" w:sz="12" w:space="0" w:color="000000"/>
              <w:right w:val="single" w:sz="8" w:space="0" w:color="000000"/>
            </w:tcBorders>
          </w:tcPr>
          <w:p w14:paraId="6E78A598" w14:textId="58611576"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146</w:t>
            </w:r>
          </w:p>
        </w:tc>
        <w:tc>
          <w:tcPr>
            <w:tcW w:w="810" w:type="dxa"/>
            <w:tcBorders>
              <w:top w:val="single" w:sz="7" w:space="0" w:color="000000"/>
              <w:left w:val="single" w:sz="8" w:space="0" w:color="000000"/>
              <w:bottom w:val="single" w:sz="12" w:space="0" w:color="000000"/>
              <w:right w:val="single" w:sz="8" w:space="0" w:color="000000"/>
            </w:tcBorders>
          </w:tcPr>
          <w:p w14:paraId="3F48618D" w14:textId="1D926D34"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w:t>
            </w:r>
            <w:r>
              <w:rPr>
                <w:sz w:val="19"/>
                <w:szCs w:val="19"/>
              </w:rPr>
              <w:t>13,026</w:t>
            </w:r>
          </w:p>
        </w:tc>
        <w:tc>
          <w:tcPr>
            <w:tcW w:w="1023" w:type="dxa"/>
            <w:tcBorders>
              <w:top w:val="single" w:sz="7" w:space="0" w:color="000000"/>
              <w:left w:val="single" w:sz="8" w:space="0" w:color="000000"/>
              <w:bottom w:val="single" w:sz="12" w:space="0" w:color="000000"/>
              <w:right w:val="single" w:sz="8" w:space="0" w:color="000000"/>
            </w:tcBorders>
          </w:tcPr>
          <w:p w14:paraId="2575A145" w14:textId="15743724" w:rsidR="002F3E76" w:rsidRPr="00BA0BC5" w:rsidRDefault="00281BB0" w:rsidP="00156061">
            <w:pPr>
              <w:tabs>
                <w:tab w:val="left" w:pos="-1080"/>
                <w:tab w:val="left" w:pos="-720"/>
                <w:tab w:val="left" w:pos="0"/>
                <w:tab w:val="left" w:pos="810"/>
              </w:tabs>
              <w:spacing w:after="58"/>
              <w:jc w:val="center"/>
              <w:rPr>
                <w:sz w:val="19"/>
                <w:szCs w:val="19"/>
              </w:rPr>
            </w:pPr>
            <w:r>
              <w:rPr>
                <w:sz w:val="19"/>
                <w:szCs w:val="19"/>
              </w:rPr>
              <w:t>$4,342</w:t>
            </w:r>
          </w:p>
        </w:tc>
      </w:tr>
      <w:tr w:rsidR="003C288B" w:rsidRPr="00D15828" w14:paraId="7C97FE41" w14:textId="77777777" w:rsidTr="00156061">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12" w:space="0" w:color="000000"/>
              <w:left w:val="single" w:sz="8" w:space="0" w:color="000000"/>
              <w:bottom w:val="single" w:sz="12" w:space="0" w:color="000000"/>
              <w:right w:val="single" w:sz="8" w:space="0" w:color="000000"/>
            </w:tcBorders>
          </w:tcPr>
          <w:p w14:paraId="42060533" w14:textId="77777777" w:rsidR="003C288B" w:rsidRPr="00BA0BC5" w:rsidRDefault="003C288B" w:rsidP="00156061">
            <w:pPr>
              <w:spacing w:line="120" w:lineRule="exact"/>
              <w:rPr>
                <w:sz w:val="19"/>
                <w:szCs w:val="19"/>
              </w:rPr>
            </w:pPr>
          </w:p>
          <w:p w14:paraId="7C023AD5" w14:textId="7DAB8773" w:rsidR="003C288B" w:rsidRPr="00BA0BC5" w:rsidRDefault="003C288B" w:rsidP="00156061">
            <w:pPr>
              <w:tabs>
                <w:tab w:val="left" w:pos="-1080"/>
                <w:tab w:val="left" w:pos="-720"/>
                <w:tab w:val="left" w:pos="0"/>
                <w:tab w:val="left" w:pos="810"/>
              </w:tabs>
              <w:spacing w:after="58"/>
              <w:rPr>
                <w:sz w:val="19"/>
                <w:szCs w:val="19"/>
              </w:rPr>
            </w:pPr>
            <w:r w:rsidRPr="00BA0BC5">
              <w:rPr>
                <w:b/>
                <w:sz w:val="19"/>
                <w:szCs w:val="19"/>
              </w:rPr>
              <w:t>PETITION PROCESS (</w:t>
            </w:r>
            <w:r w:rsidR="004F1310">
              <w:rPr>
                <w:b/>
                <w:sz w:val="19"/>
                <w:szCs w:val="19"/>
              </w:rPr>
              <w:t xml:space="preserve">40 CFR 241.3(c) </w:t>
            </w:r>
            <w:r w:rsidRPr="00BA0BC5">
              <w:rPr>
                <w:b/>
                <w:sz w:val="19"/>
                <w:szCs w:val="19"/>
              </w:rPr>
              <w:t>one-time)</w:t>
            </w:r>
            <w:r w:rsidR="00943968" w:rsidRPr="00943968">
              <w:rPr>
                <w:b/>
                <w:sz w:val="19"/>
                <w:szCs w:val="19"/>
                <w:vertAlign w:val="superscript"/>
              </w:rPr>
              <w:t>3</w:t>
            </w:r>
          </w:p>
        </w:tc>
      </w:tr>
      <w:tr w:rsidR="002F3E76" w:rsidRPr="00F748DE" w14:paraId="50014257" w14:textId="77777777" w:rsidTr="00D87C75">
        <w:tc>
          <w:tcPr>
            <w:tcW w:w="1710" w:type="dxa"/>
            <w:tcBorders>
              <w:top w:val="single" w:sz="12" w:space="0" w:color="000000"/>
              <w:left w:val="single" w:sz="8" w:space="0" w:color="000000"/>
              <w:bottom w:val="single" w:sz="12" w:space="0" w:color="000000"/>
              <w:right w:val="single" w:sz="8" w:space="0" w:color="000000"/>
            </w:tcBorders>
          </w:tcPr>
          <w:p w14:paraId="6E01EDA2" w14:textId="77777777"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Affected Facilities</w:t>
            </w:r>
          </w:p>
        </w:tc>
        <w:tc>
          <w:tcPr>
            <w:tcW w:w="1700" w:type="dxa"/>
            <w:tcBorders>
              <w:top w:val="single" w:sz="12" w:space="0" w:color="000000"/>
              <w:left w:val="single" w:sz="8" w:space="0" w:color="000000"/>
              <w:bottom w:val="single" w:sz="12" w:space="0" w:color="000000"/>
              <w:right w:val="single" w:sz="8" w:space="0" w:color="000000"/>
            </w:tcBorders>
          </w:tcPr>
          <w:p w14:paraId="1EC24948" w14:textId="74B4ECA8"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8</w:t>
            </w:r>
          </w:p>
        </w:tc>
        <w:tc>
          <w:tcPr>
            <w:tcW w:w="730" w:type="dxa"/>
            <w:tcBorders>
              <w:top w:val="single" w:sz="12" w:space="0" w:color="000000"/>
              <w:left w:val="single" w:sz="8" w:space="0" w:color="000000"/>
              <w:bottom w:val="single" w:sz="12" w:space="0" w:color="000000"/>
              <w:right w:val="single" w:sz="8" w:space="0" w:color="000000"/>
            </w:tcBorders>
          </w:tcPr>
          <w:p w14:paraId="1E82246D" w14:textId="77777777"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133</w:t>
            </w:r>
            <w:r w:rsidRPr="00102069">
              <w:rPr>
                <w:sz w:val="19"/>
                <w:szCs w:val="19"/>
                <w:vertAlign w:val="superscript"/>
              </w:rPr>
              <w:t>5</w:t>
            </w:r>
          </w:p>
        </w:tc>
        <w:tc>
          <w:tcPr>
            <w:tcW w:w="810" w:type="dxa"/>
            <w:tcBorders>
              <w:top w:val="single" w:sz="12" w:space="0" w:color="000000"/>
              <w:left w:val="single" w:sz="8" w:space="0" w:color="000000"/>
              <w:bottom w:val="single" w:sz="12" w:space="0" w:color="000000"/>
              <w:right w:val="single" w:sz="8" w:space="0" w:color="000000"/>
            </w:tcBorders>
          </w:tcPr>
          <w:p w14:paraId="01BC3834" w14:textId="77777777"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8</w:t>
            </w:r>
          </w:p>
        </w:tc>
        <w:tc>
          <w:tcPr>
            <w:tcW w:w="900" w:type="dxa"/>
            <w:tcBorders>
              <w:top w:val="single" w:sz="12" w:space="0" w:color="000000"/>
              <w:left w:val="single" w:sz="8" w:space="0" w:color="000000"/>
              <w:bottom w:val="single" w:sz="12" w:space="0" w:color="000000"/>
              <w:right w:val="single" w:sz="8" w:space="0" w:color="000000"/>
            </w:tcBorders>
          </w:tcPr>
          <w:p w14:paraId="2CC4C4C2" w14:textId="77777777"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149</w:t>
            </w:r>
          </w:p>
        </w:tc>
        <w:tc>
          <w:tcPr>
            <w:tcW w:w="800" w:type="dxa"/>
            <w:tcBorders>
              <w:top w:val="single" w:sz="12" w:space="0" w:color="000000"/>
              <w:left w:val="single" w:sz="8" w:space="0" w:color="000000"/>
              <w:bottom w:val="single" w:sz="12" w:space="0" w:color="000000"/>
              <w:right w:val="single" w:sz="8" w:space="0" w:color="000000"/>
            </w:tcBorders>
          </w:tcPr>
          <w:p w14:paraId="13BD2438" w14:textId="6618BCAA"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w:t>
            </w:r>
            <w:r>
              <w:rPr>
                <w:sz w:val="19"/>
                <w:szCs w:val="19"/>
              </w:rPr>
              <w:t>11,832</w:t>
            </w:r>
            <w:r w:rsidRPr="00BA0BC5">
              <w:rPr>
                <w:sz w:val="19"/>
                <w:szCs w:val="19"/>
                <w:vertAlign w:val="superscript"/>
              </w:rPr>
              <w:t>3</w:t>
            </w:r>
          </w:p>
        </w:tc>
        <w:tc>
          <w:tcPr>
            <w:tcW w:w="900" w:type="dxa"/>
            <w:tcBorders>
              <w:top w:val="single" w:sz="12" w:space="0" w:color="000000"/>
              <w:left w:val="single" w:sz="8" w:space="0" w:color="000000"/>
              <w:bottom w:val="single" w:sz="12" w:space="0" w:color="000000"/>
              <w:right w:val="single" w:sz="8" w:space="0" w:color="000000"/>
            </w:tcBorders>
          </w:tcPr>
          <w:p w14:paraId="5A232560" w14:textId="3B2971BE" w:rsidR="002F3E76" w:rsidRPr="00BA0BC5" w:rsidRDefault="002F3E76" w:rsidP="00156061">
            <w:pPr>
              <w:tabs>
                <w:tab w:val="left" w:pos="-1080"/>
                <w:tab w:val="left" w:pos="-720"/>
                <w:tab w:val="left" w:pos="0"/>
                <w:tab w:val="left" w:pos="810"/>
              </w:tabs>
              <w:spacing w:after="58"/>
              <w:jc w:val="center"/>
              <w:rPr>
                <w:sz w:val="19"/>
                <w:szCs w:val="19"/>
              </w:rPr>
            </w:pPr>
            <w:r w:rsidRPr="00BA0BC5">
              <w:rPr>
                <w:sz w:val="19"/>
                <w:szCs w:val="19"/>
              </w:rPr>
              <w:t>$0</w:t>
            </w:r>
          </w:p>
        </w:tc>
        <w:tc>
          <w:tcPr>
            <w:tcW w:w="720" w:type="dxa"/>
            <w:tcBorders>
              <w:top w:val="single" w:sz="12" w:space="0" w:color="000000"/>
              <w:left w:val="single" w:sz="8" w:space="0" w:color="000000"/>
              <w:bottom w:val="single" w:sz="12" w:space="0" w:color="000000"/>
              <w:right w:val="single" w:sz="8" w:space="0" w:color="000000"/>
            </w:tcBorders>
          </w:tcPr>
          <w:p w14:paraId="115DB416" w14:textId="77777777" w:rsidR="002F3E76" w:rsidRPr="00F748DE" w:rsidRDefault="002F3E76" w:rsidP="00156061">
            <w:pPr>
              <w:tabs>
                <w:tab w:val="left" w:pos="-1080"/>
                <w:tab w:val="left" w:pos="-720"/>
                <w:tab w:val="left" w:pos="0"/>
                <w:tab w:val="left" w:pos="810"/>
              </w:tabs>
              <w:spacing w:after="58"/>
              <w:jc w:val="center"/>
              <w:rPr>
                <w:sz w:val="19"/>
                <w:szCs w:val="19"/>
              </w:rPr>
            </w:pPr>
            <w:r w:rsidRPr="00F748DE">
              <w:rPr>
                <w:sz w:val="19"/>
                <w:szCs w:val="19"/>
              </w:rPr>
              <w:t>$403</w:t>
            </w:r>
            <w:r w:rsidRPr="00F748DE">
              <w:rPr>
                <w:sz w:val="19"/>
                <w:szCs w:val="19"/>
                <w:vertAlign w:val="superscript"/>
              </w:rPr>
              <w:t>3</w:t>
            </w:r>
          </w:p>
        </w:tc>
        <w:tc>
          <w:tcPr>
            <w:tcW w:w="1170" w:type="dxa"/>
            <w:tcBorders>
              <w:top w:val="single" w:sz="12" w:space="0" w:color="000000"/>
              <w:left w:val="single" w:sz="8" w:space="0" w:color="000000"/>
              <w:bottom w:val="single" w:sz="12" w:space="0" w:color="000000"/>
              <w:right w:val="single" w:sz="8" w:space="0" w:color="000000"/>
            </w:tcBorders>
          </w:tcPr>
          <w:p w14:paraId="52D26C29" w14:textId="5DCF463F" w:rsidR="002F3E76" w:rsidRPr="00F748DE" w:rsidRDefault="002F3E76" w:rsidP="00156061">
            <w:pPr>
              <w:tabs>
                <w:tab w:val="left" w:pos="-1080"/>
                <w:tab w:val="left" w:pos="-720"/>
                <w:tab w:val="left" w:pos="0"/>
                <w:tab w:val="left" w:pos="810"/>
              </w:tabs>
              <w:spacing w:after="58"/>
              <w:jc w:val="center"/>
              <w:rPr>
                <w:sz w:val="19"/>
                <w:szCs w:val="19"/>
              </w:rPr>
            </w:pPr>
            <w:r w:rsidRPr="00F748DE">
              <w:rPr>
                <w:sz w:val="19"/>
                <w:szCs w:val="19"/>
              </w:rPr>
              <w:t>$</w:t>
            </w:r>
            <w:r>
              <w:rPr>
                <w:sz w:val="19"/>
                <w:szCs w:val="19"/>
              </w:rPr>
              <w:t>12,235</w:t>
            </w:r>
          </w:p>
        </w:tc>
        <w:tc>
          <w:tcPr>
            <w:tcW w:w="1170" w:type="dxa"/>
            <w:tcBorders>
              <w:top w:val="single" w:sz="12" w:space="0" w:color="000000"/>
              <w:left w:val="single" w:sz="8" w:space="0" w:color="000000"/>
              <w:bottom w:val="single" w:sz="12" w:space="0" w:color="000000"/>
              <w:right w:val="single" w:sz="8" w:space="0" w:color="000000"/>
            </w:tcBorders>
          </w:tcPr>
          <w:p w14:paraId="6D8C3543" w14:textId="7920F275" w:rsidR="002F3E76" w:rsidRPr="00BA0BC5" w:rsidRDefault="002F3E76" w:rsidP="00156061">
            <w:pPr>
              <w:tabs>
                <w:tab w:val="left" w:pos="-1080"/>
                <w:tab w:val="left" w:pos="-720"/>
                <w:tab w:val="left" w:pos="0"/>
                <w:tab w:val="left" w:pos="810"/>
              </w:tabs>
              <w:spacing w:after="58"/>
              <w:jc w:val="center"/>
              <w:rPr>
                <w:sz w:val="19"/>
                <w:szCs w:val="19"/>
              </w:rPr>
            </w:pPr>
            <w:r>
              <w:rPr>
                <w:sz w:val="19"/>
                <w:szCs w:val="19"/>
              </w:rPr>
              <w:t>10</w:t>
            </w:r>
            <w:r w:rsidR="00E45B35">
              <w:rPr>
                <w:sz w:val="19"/>
                <w:szCs w:val="19"/>
                <w:vertAlign w:val="superscript"/>
              </w:rPr>
              <w:t>5</w:t>
            </w:r>
          </w:p>
        </w:tc>
        <w:tc>
          <w:tcPr>
            <w:tcW w:w="630" w:type="dxa"/>
            <w:tcBorders>
              <w:top w:val="single" w:sz="12" w:space="0" w:color="000000"/>
              <w:left w:val="single" w:sz="8" w:space="0" w:color="000000"/>
              <w:bottom w:val="single" w:sz="12" w:space="0" w:color="000000"/>
              <w:right w:val="single" w:sz="8" w:space="0" w:color="000000"/>
            </w:tcBorders>
          </w:tcPr>
          <w:p w14:paraId="36E43969" w14:textId="09489081" w:rsidR="002F3E76" w:rsidRPr="00F748DE" w:rsidRDefault="002F3E76" w:rsidP="00156061">
            <w:pPr>
              <w:tabs>
                <w:tab w:val="left" w:pos="-1080"/>
                <w:tab w:val="left" w:pos="-720"/>
                <w:tab w:val="left" w:pos="0"/>
                <w:tab w:val="left" w:pos="810"/>
              </w:tabs>
              <w:spacing w:after="58"/>
              <w:jc w:val="center"/>
              <w:rPr>
                <w:sz w:val="19"/>
                <w:szCs w:val="19"/>
              </w:rPr>
            </w:pPr>
            <w:r w:rsidRPr="00F748DE">
              <w:rPr>
                <w:sz w:val="19"/>
                <w:szCs w:val="19"/>
              </w:rPr>
              <w:t>1,490</w:t>
            </w:r>
          </w:p>
        </w:tc>
        <w:tc>
          <w:tcPr>
            <w:tcW w:w="810" w:type="dxa"/>
            <w:tcBorders>
              <w:top w:val="single" w:sz="12" w:space="0" w:color="000000"/>
              <w:left w:val="single" w:sz="8" w:space="0" w:color="000000"/>
              <w:bottom w:val="single" w:sz="12" w:space="0" w:color="000000"/>
              <w:right w:val="single" w:sz="8" w:space="0" w:color="000000"/>
            </w:tcBorders>
          </w:tcPr>
          <w:p w14:paraId="4B94F177" w14:textId="2A7E3FAC" w:rsidR="002F3E76" w:rsidRPr="00F748DE" w:rsidRDefault="002F3E76" w:rsidP="00156061">
            <w:pPr>
              <w:tabs>
                <w:tab w:val="left" w:pos="-1080"/>
                <w:tab w:val="left" w:pos="-720"/>
                <w:tab w:val="left" w:pos="0"/>
                <w:tab w:val="left" w:pos="810"/>
              </w:tabs>
              <w:spacing w:after="58"/>
              <w:jc w:val="center"/>
              <w:rPr>
                <w:sz w:val="19"/>
                <w:szCs w:val="19"/>
              </w:rPr>
            </w:pPr>
            <w:r w:rsidRPr="00F748DE">
              <w:rPr>
                <w:sz w:val="19"/>
                <w:szCs w:val="19"/>
              </w:rPr>
              <w:t>$</w:t>
            </w:r>
            <w:r>
              <w:rPr>
                <w:sz w:val="19"/>
                <w:szCs w:val="19"/>
              </w:rPr>
              <w:t>122,345</w:t>
            </w:r>
          </w:p>
        </w:tc>
        <w:tc>
          <w:tcPr>
            <w:tcW w:w="1023" w:type="dxa"/>
            <w:tcBorders>
              <w:top w:val="single" w:sz="12" w:space="0" w:color="000000"/>
              <w:left w:val="single" w:sz="8" w:space="0" w:color="000000"/>
              <w:bottom w:val="single" w:sz="12" w:space="0" w:color="000000"/>
              <w:right w:val="single" w:sz="8" w:space="0" w:color="000000"/>
            </w:tcBorders>
          </w:tcPr>
          <w:p w14:paraId="6C7B448A" w14:textId="247A19D0" w:rsidR="002F3E76" w:rsidRPr="00F748DE" w:rsidRDefault="00281BB0" w:rsidP="00156061">
            <w:pPr>
              <w:tabs>
                <w:tab w:val="left" w:pos="-1080"/>
                <w:tab w:val="left" w:pos="-720"/>
                <w:tab w:val="left" w:pos="0"/>
                <w:tab w:val="left" w:pos="810"/>
              </w:tabs>
              <w:spacing w:after="58"/>
              <w:jc w:val="center"/>
              <w:rPr>
                <w:sz w:val="19"/>
                <w:szCs w:val="19"/>
              </w:rPr>
            </w:pPr>
            <w:r>
              <w:rPr>
                <w:sz w:val="19"/>
                <w:szCs w:val="19"/>
              </w:rPr>
              <w:t>$40,782</w:t>
            </w:r>
          </w:p>
        </w:tc>
      </w:tr>
      <w:tr w:rsidR="004F1310" w:rsidRPr="00F748DE" w14:paraId="369F6603" w14:textId="77777777" w:rsidTr="005436E2">
        <w:tc>
          <w:tcPr>
            <w:tcW w:w="13073" w:type="dxa"/>
            <w:gridSpan w:val="13"/>
            <w:tcBorders>
              <w:top w:val="single" w:sz="12" w:space="0" w:color="000000"/>
              <w:left w:val="single" w:sz="8" w:space="0" w:color="000000"/>
              <w:bottom w:val="single" w:sz="12" w:space="0" w:color="000000"/>
              <w:right w:val="single" w:sz="8" w:space="0" w:color="000000"/>
            </w:tcBorders>
          </w:tcPr>
          <w:p w14:paraId="4C1E047F" w14:textId="2A9F7FB8" w:rsidR="004F1310" w:rsidRDefault="004F1310" w:rsidP="000D12E3">
            <w:pPr>
              <w:tabs>
                <w:tab w:val="left" w:pos="-1080"/>
                <w:tab w:val="left" w:pos="-720"/>
                <w:tab w:val="left" w:pos="0"/>
                <w:tab w:val="left" w:pos="810"/>
              </w:tabs>
              <w:spacing w:after="58"/>
              <w:rPr>
                <w:sz w:val="19"/>
                <w:szCs w:val="19"/>
              </w:rPr>
            </w:pPr>
            <w:r w:rsidRPr="00BA0BC5">
              <w:rPr>
                <w:b/>
                <w:sz w:val="19"/>
                <w:szCs w:val="19"/>
              </w:rPr>
              <w:t>PETITION PROCESS (</w:t>
            </w:r>
            <w:r>
              <w:rPr>
                <w:b/>
                <w:sz w:val="19"/>
                <w:szCs w:val="19"/>
              </w:rPr>
              <w:t xml:space="preserve">40 CFR 241.4 </w:t>
            </w:r>
            <w:r w:rsidRPr="00BA0BC5">
              <w:rPr>
                <w:b/>
                <w:sz w:val="19"/>
                <w:szCs w:val="19"/>
              </w:rPr>
              <w:t>one-time)</w:t>
            </w:r>
            <w:r w:rsidR="00E45B35">
              <w:rPr>
                <w:b/>
                <w:sz w:val="19"/>
                <w:szCs w:val="19"/>
                <w:vertAlign w:val="superscript"/>
              </w:rPr>
              <w:t>4</w:t>
            </w:r>
          </w:p>
        </w:tc>
      </w:tr>
      <w:tr w:rsidR="004F1310" w:rsidRPr="00F748DE" w14:paraId="1A6A1D23" w14:textId="77777777" w:rsidTr="00D87C75">
        <w:tc>
          <w:tcPr>
            <w:tcW w:w="1710" w:type="dxa"/>
            <w:tcBorders>
              <w:top w:val="single" w:sz="12" w:space="0" w:color="000000"/>
              <w:left w:val="single" w:sz="8" w:space="0" w:color="000000"/>
              <w:bottom w:val="single" w:sz="12" w:space="0" w:color="000000"/>
              <w:right w:val="single" w:sz="8" w:space="0" w:color="000000"/>
            </w:tcBorders>
          </w:tcPr>
          <w:p w14:paraId="1C02375C" w14:textId="50CDFD9C" w:rsidR="004F1310" w:rsidRPr="00BA0BC5" w:rsidRDefault="004F1310" w:rsidP="00156061">
            <w:pPr>
              <w:tabs>
                <w:tab w:val="left" w:pos="-1080"/>
                <w:tab w:val="left" w:pos="-720"/>
                <w:tab w:val="left" w:pos="0"/>
                <w:tab w:val="left" w:pos="810"/>
              </w:tabs>
              <w:spacing w:after="58"/>
              <w:rPr>
                <w:sz w:val="19"/>
                <w:szCs w:val="19"/>
              </w:rPr>
            </w:pPr>
            <w:r>
              <w:rPr>
                <w:sz w:val="19"/>
                <w:szCs w:val="19"/>
              </w:rPr>
              <w:t>Affected Facilities</w:t>
            </w:r>
          </w:p>
        </w:tc>
        <w:tc>
          <w:tcPr>
            <w:tcW w:w="1700" w:type="dxa"/>
            <w:tcBorders>
              <w:top w:val="single" w:sz="12" w:space="0" w:color="000000"/>
              <w:left w:val="single" w:sz="8" w:space="0" w:color="000000"/>
              <w:bottom w:val="single" w:sz="12" w:space="0" w:color="000000"/>
              <w:right w:val="single" w:sz="8" w:space="0" w:color="000000"/>
            </w:tcBorders>
          </w:tcPr>
          <w:p w14:paraId="1C129366" w14:textId="14875F43" w:rsidR="004F1310" w:rsidRDefault="00E45B35" w:rsidP="00156061">
            <w:pPr>
              <w:tabs>
                <w:tab w:val="left" w:pos="-1080"/>
                <w:tab w:val="left" w:pos="-720"/>
                <w:tab w:val="left" w:pos="0"/>
                <w:tab w:val="left" w:pos="810"/>
              </w:tabs>
              <w:spacing w:after="58"/>
              <w:jc w:val="center"/>
              <w:rPr>
                <w:sz w:val="19"/>
                <w:szCs w:val="19"/>
              </w:rPr>
            </w:pPr>
            <w:r>
              <w:rPr>
                <w:sz w:val="19"/>
                <w:szCs w:val="19"/>
              </w:rPr>
              <w:t>6</w:t>
            </w:r>
            <w:r w:rsidR="00C76527">
              <w:rPr>
                <w:sz w:val="19"/>
                <w:szCs w:val="19"/>
              </w:rPr>
              <w:t>0</w:t>
            </w:r>
          </w:p>
        </w:tc>
        <w:tc>
          <w:tcPr>
            <w:tcW w:w="730" w:type="dxa"/>
            <w:tcBorders>
              <w:top w:val="single" w:sz="12" w:space="0" w:color="000000"/>
              <w:left w:val="single" w:sz="8" w:space="0" w:color="000000"/>
              <w:bottom w:val="single" w:sz="12" w:space="0" w:color="000000"/>
              <w:right w:val="single" w:sz="8" w:space="0" w:color="000000"/>
            </w:tcBorders>
          </w:tcPr>
          <w:p w14:paraId="0FAD74C4" w14:textId="7ECF9FBD" w:rsidR="004F1310" w:rsidRDefault="00E45B35" w:rsidP="00156061">
            <w:pPr>
              <w:tabs>
                <w:tab w:val="left" w:pos="-1080"/>
                <w:tab w:val="left" w:pos="-720"/>
                <w:tab w:val="left" w:pos="0"/>
                <w:tab w:val="left" w:pos="810"/>
              </w:tabs>
              <w:spacing w:after="58"/>
              <w:jc w:val="center"/>
              <w:rPr>
                <w:sz w:val="19"/>
                <w:szCs w:val="19"/>
              </w:rPr>
            </w:pPr>
            <w:r>
              <w:rPr>
                <w:sz w:val="19"/>
                <w:szCs w:val="19"/>
              </w:rPr>
              <w:t>20</w:t>
            </w:r>
            <w:r w:rsidR="00C76527">
              <w:rPr>
                <w:sz w:val="19"/>
                <w:szCs w:val="19"/>
              </w:rPr>
              <w:t>0</w:t>
            </w:r>
          </w:p>
        </w:tc>
        <w:tc>
          <w:tcPr>
            <w:tcW w:w="810" w:type="dxa"/>
            <w:tcBorders>
              <w:top w:val="single" w:sz="12" w:space="0" w:color="000000"/>
              <w:left w:val="single" w:sz="8" w:space="0" w:color="000000"/>
              <w:bottom w:val="single" w:sz="12" w:space="0" w:color="000000"/>
              <w:right w:val="single" w:sz="8" w:space="0" w:color="000000"/>
            </w:tcBorders>
          </w:tcPr>
          <w:p w14:paraId="0C654C56" w14:textId="2481E28F" w:rsidR="004F1310" w:rsidRDefault="00C76527" w:rsidP="00156061">
            <w:pPr>
              <w:tabs>
                <w:tab w:val="left" w:pos="-1080"/>
                <w:tab w:val="left" w:pos="-720"/>
                <w:tab w:val="left" w:pos="0"/>
                <w:tab w:val="left" w:pos="810"/>
              </w:tabs>
              <w:spacing w:after="58"/>
              <w:jc w:val="center"/>
              <w:rPr>
                <w:sz w:val="19"/>
                <w:szCs w:val="19"/>
              </w:rPr>
            </w:pPr>
            <w:r>
              <w:rPr>
                <w:sz w:val="19"/>
                <w:szCs w:val="19"/>
              </w:rPr>
              <w:t>24</w:t>
            </w:r>
          </w:p>
        </w:tc>
        <w:tc>
          <w:tcPr>
            <w:tcW w:w="900" w:type="dxa"/>
            <w:tcBorders>
              <w:top w:val="single" w:sz="12" w:space="0" w:color="000000"/>
              <w:left w:val="single" w:sz="8" w:space="0" w:color="000000"/>
              <w:bottom w:val="single" w:sz="12" w:space="0" w:color="000000"/>
              <w:right w:val="single" w:sz="8" w:space="0" w:color="000000"/>
            </w:tcBorders>
          </w:tcPr>
          <w:p w14:paraId="252E3D82" w14:textId="60E5A0CB" w:rsidR="004F1310" w:rsidRDefault="00E45B35" w:rsidP="00156061">
            <w:pPr>
              <w:tabs>
                <w:tab w:val="left" w:pos="-1080"/>
                <w:tab w:val="left" w:pos="-720"/>
                <w:tab w:val="left" w:pos="0"/>
                <w:tab w:val="left" w:pos="810"/>
              </w:tabs>
              <w:spacing w:after="58"/>
              <w:jc w:val="center"/>
              <w:rPr>
                <w:sz w:val="19"/>
                <w:szCs w:val="19"/>
              </w:rPr>
            </w:pPr>
            <w:r>
              <w:rPr>
                <w:sz w:val="19"/>
                <w:szCs w:val="19"/>
              </w:rPr>
              <w:t>284</w:t>
            </w:r>
          </w:p>
        </w:tc>
        <w:tc>
          <w:tcPr>
            <w:tcW w:w="800" w:type="dxa"/>
            <w:tcBorders>
              <w:top w:val="single" w:sz="12" w:space="0" w:color="000000"/>
              <w:left w:val="single" w:sz="8" w:space="0" w:color="000000"/>
              <w:bottom w:val="single" w:sz="12" w:space="0" w:color="000000"/>
              <w:right w:val="single" w:sz="8" w:space="0" w:color="000000"/>
            </w:tcBorders>
          </w:tcPr>
          <w:p w14:paraId="79FA7BE4" w14:textId="4736245E" w:rsidR="004F1310" w:rsidRPr="00BA0BC5" w:rsidRDefault="00C76527" w:rsidP="00156061">
            <w:pPr>
              <w:tabs>
                <w:tab w:val="left" w:pos="-1080"/>
                <w:tab w:val="left" w:pos="-720"/>
                <w:tab w:val="left" w:pos="0"/>
                <w:tab w:val="left" w:pos="810"/>
              </w:tabs>
              <w:spacing w:after="58"/>
              <w:jc w:val="center"/>
              <w:rPr>
                <w:sz w:val="19"/>
                <w:szCs w:val="19"/>
              </w:rPr>
            </w:pPr>
            <w:r>
              <w:rPr>
                <w:sz w:val="19"/>
                <w:szCs w:val="19"/>
              </w:rPr>
              <w:t>$</w:t>
            </w:r>
            <w:r w:rsidR="004D2214">
              <w:rPr>
                <w:sz w:val="19"/>
                <w:szCs w:val="19"/>
              </w:rPr>
              <w:t>2</w:t>
            </w:r>
            <w:r w:rsidR="003B5A73">
              <w:rPr>
                <w:sz w:val="19"/>
                <w:szCs w:val="19"/>
              </w:rPr>
              <w:t>2,938</w:t>
            </w:r>
          </w:p>
        </w:tc>
        <w:tc>
          <w:tcPr>
            <w:tcW w:w="900" w:type="dxa"/>
            <w:tcBorders>
              <w:top w:val="single" w:sz="12" w:space="0" w:color="000000"/>
              <w:left w:val="single" w:sz="8" w:space="0" w:color="000000"/>
              <w:bottom w:val="single" w:sz="12" w:space="0" w:color="000000"/>
              <w:right w:val="single" w:sz="8" w:space="0" w:color="000000"/>
            </w:tcBorders>
          </w:tcPr>
          <w:p w14:paraId="196FC79A" w14:textId="356713A9" w:rsidR="004F1310" w:rsidRPr="00BA0BC5" w:rsidRDefault="00B75AA8" w:rsidP="00156061">
            <w:pPr>
              <w:tabs>
                <w:tab w:val="left" w:pos="-1080"/>
                <w:tab w:val="left" w:pos="-720"/>
                <w:tab w:val="left" w:pos="0"/>
                <w:tab w:val="left" w:pos="810"/>
              </w:tabs>
              <w:spacing w:after="58"/>
              <w:jc w:val="center"/>
              <w:rPr>
                <w:sz w:val="19"/>
                <w:szCs w:val="19"/>
              </w:rPr>
            </w:pPr>
            <w:r>
              <w:rPr>
                <w:sz w:val="19"/>
                <w:szCs w:val="19"/>
              </w:rPr>
              <w:t>$0</w:t>
            </w:r>
          </w:p>
        </w:tc>
        <w:tc>
          <w:tcPr>
            <w:tcW w:w="720" w:type="dxa"/>
            <w:tcBorders>
              <w:top w:val="single" w:sz="12" w:space="0" w:color="000000"/>
              <w:left w:val="single" w:sz="8" w:space="0" w:color="000000"/>
              <w:bottom w:val="single" w:sz="12" w:space="0" w:color="000000"/>
              <w:right w:val="single" w:sz="8" w:space="0" w:color="000000"/>
            </w:tcBorders>
          </w:tcPr>
          <w:p w14:paraId="70491677" w14:textId="340B63EB" w:rsidR="004F1310" w:rsidRPr="00F748DE" w:rsidRDefault="00C76527" w:rsidP="00156061">
            <w:pPr>
              <w:tabs>
                <w:tab w:val="left" w:pos="-1080"/>
                <w:tab w:val="left" w:pos="-720"/>
                <w:tab w:val="left" w:pos="0"/>
                <w:tab w:val="left" w:pos="810"/>
              </w:tabs>
              <w:spacing w:after="58"/>
              <w:jc w:val="center"/>
              <w:rPr>
                <w:sz w:val="19"/>
                <w:szCs w:val="19"/>
              </w:rPr>
            </w:pPr>
            <w:r>
              <w:rPr>
                <w:sz w:val="19"/>
                <w:szCs w:val="19"/>
              </w:rPr>
              <w:t>$</w:t>
            </w:r>
            <w:r w:rsidR="002818C2">
              <w:rPr>
                <w:sz w:val="19"/>
                <w:szCs w:val="19"/>
              </w:rPr>
              <w:t>586</w:t>
            </w:r>
            <w:r w:rsidR="002818C2" w:rsidRPr="000D12E3">
              <w:rPr>
                <w:sz w:val="19"/>
                <w:szCs w:val="19"/>
                <w:vertAlign w:val="superscript"/>
              </w:rPr>
              <w:t>4</w:t>
            </w:r>
          </w:p>
        </w:tc>
        <w:tc>
          <w:tcPr>
            <w:tcW w:w="1170" w:type="dxa"/>
            <w:tcBorders>
              <w:top w:val="single" w:sz="12" w:space="0" w:color="000000"/>
              <w:left w:val="single" w:sz="8" w:space="0" w:color="000000"/>
              <w:bottom w:val="single" w:sz="12" w:space="0" w:color="000000"/>
              <w:right w:val="single" w:sz="8" w:space="0" w:color="000000"/>
            </w:tcBorders>
          </w:tcPr>
          <w:p w14:paraId="3EEFC3EC" w14:textId="167BBAFD" w:rsidR="004F1310" w:rsidRPr="00F748DE" w:rsidRDefault="00C76527" w:rsidP="00156061">
            <w:pPr>
              <w:tabs>
                <w:tab w:val="left" w:pos="-1080"/>
                <w:tab w:val="left" w:pos="-720"/>
                <w:tab w:val="left" w:pos="0"/>
                <w:tab w:val="left" w:pos="810"/>
              </w:tabs>
              <w:spacing w:after="58"/>
              <w:jc w:val="center"/>
              <w:rPr>
                <w:sz w:val="19"/>
                <w:szCs w:val="19"/>
              </w:rPr>
            </w:pPr>
            <w:r>
              <w:rPr>
                <w:sz w:val="19"/>
                <w:szCs w:val="19"/>
              </w:rPr>
              <w:t>$</w:t>
            </w:r>
            <w:r w:rsidR="004D2214">
              <w:rPr>
                <w:sz w:val="19"/>
                <w:szCs w:val="19"/>
              </w:rPr>
              <w:t>23,</w:t>
            </w:r>
            <w:r w:rsidR="009C6E8D">
              <w:rPr>
                <w:sz w:val="19"/>
                <w:szCs w:val="19"/>
              </w:rPr>
              <w:t>524</w:t>
            </w:r>
          </w:p>
        </w:tc>
        <w:tc>
          <w:tcPr>
            <w:tcW w:w="1170" w:type="dxa"/>
            <w:tcBorders>
              <w:top w:val="single" w:sz="12" w:space="0" w:color="000000"/>
              <w:left w:val="single" w:sz="8" w:space="0" w:color="000000"/>
              <w:bottom w:val="single" w:sz="12" w:space="0" w:color="000000"/>
              <w:right w:val="single" w:sz="8" w:space="0" w:color="000000"/>
            </w:tcBorders>
          </w:tcPr>
          <w:p w14:paraId="0F3C15C5" w14:textId="0AD7F294" w:rsidR="004F1310" w:rsidRDefault="004F1310" w:rsidP="00156061">
            <w:pPr>
              <w:tabs>
                <w:tab w:val="left" w:pos="-1080"/>
                <w:tab w:val="left" w:pos="-720"/>
                <w:tab w:val="left" w:pos="0"/>
                <w:tab w:val="left" w:pos="810"/>
              </w:tabs>
              <w:spacing w:after="58"/>
              <w:jc w:val="center"/>
              <w:rPr>
                <w:sz w:val="19"/>
                <w:szCs w:val="19"/>
              </w:rPr>
            </w:pPr>
            <w:r>
              <w:rPr>
                <w:sz w:val="19"/>
                <w:szCs w:val="19"/>
              </w:rPr>
              <w:t>1</w:t>
            </w:r>
            <w:r w:rsidR="00E45B35">
              <w:rPr>
                <w:sz w:val="19"/>
                <w:szCs w:val="19"/>
                <w:vertAlign w:val="superscript"/>
              </w:rPr>
              <w:t>5</w:t>
            </w:r>
          </w:p>
        </w:tc>
        <w:tc>
          <w:tcPr>
            <w:tcW w:w="630" w:type="dxa"/>
            <w:tcBorders>
              <w:top w:val="single" w:sz="12" w:space="0" w:color="000000"/>
              <w:left w:val="single" w:sz="8" w:space="0" w:color="000000"/>
              <w:bottom w:val="single" w:sz="12" w:space="0" w:color="000000"/>
              <w:right w:val="single" w:sz="8" w:space="0" w:color="000000"/>
            </w:tcBorders>
          </w:tcPr>
          <w:p w14:paraId="0F1BE2AA" w14:textId="5E215C91" w:rsidR="004F1310" w:rsidRPr="00F748DE" w:rsidRDefault="00C76527" w:rsidP="00156061">
            <w:pPr>
              <w:tabs>
                <w:tab w:val="left" w:pos="-1080"/>
                <w:tab w:val="left" w:pos="-720"/>
                <w:tab w:val="left" w:pos="0"/>
                <w:tab w:val="left" w:pos="810"/>
              </w:tabs>
              <w:spacing w:after="58"/>
              <w:jc w:val="center"/>
              <w:rPr>
                <w:sz w:val="19"/>
                <w:szCs w:val="19"/>
              </w:rPr>
            </w:pPr>
            <w:r>
              <w:rPr>
                <w:sz w:val="19"/>
                <w:szCs w:val="19"/>
              </w:rPr>
              <w:t>2</w:t>
            </w:r>
            <w:r w:rsidR="00E45B35">
              <w:rPr>
                <w:sz w:val="19"/>
                <w:szCs w:val="19"/>
              </w:rPr>
              <w:t>84</w:t>
            </w:r>
          </w:p>
        </w:tc>
        <w:tc>
          <w:tcPr>
            <w:tcW w:w="810" w:type="dxa"/>
            <w:tcBorders>
              <w:top w:val="single" w:sz="12" w:space="0" w:color="000000"/>
              <w:left w:val="single" w:sz="8" w:space="0" w:color="000000"/>
              <w:bottom w:val="single" w:sz="12" w:space="0" w:color="000000"/>
              <w:right w:val="single" w:sz="8" w:space="0" w:color="000000"/>
            </w:tcBorders>
          </w:tcPr>
          <w:p w14:paraId="3BD33ACC" w14:textId="0709F30D" w:rsidR="004F1310" w:rsidRPr="00F748DE" w:rsidRDefault="00C76527" w:rsidP="00156061">
            <w:pPr>
              <w:tabs>
                <w:tab w:val="left" w:pos="-1080"/>
                <w:tab w:val="left" w:pos="-720"/>
                <w:tab w:val="left" w:pos="0"/>
                <w:tab w:val="left" w:pos="810"/>
              </w:tabs>
              <w:spacing w:after="58"/>
              <w:jc w:val="center"/>
              <w:rPr>
                <w:sz w:val="19"/>
                <w:szCs w:val="19"/>
              </w:rPr>
            </w:pPr>
            <w:r>
              <w:rPr>
                <w:sz w:val="19"/>
                <w:szCs w:val="19"/>
              </w:rPr>
              <w:t>$</w:t>
            </w:r>
            <w:r w:rsidR="004D2214">
              <w:rPr>
                <w:sz w:val="19"/>
                <w:szCs w:val="19"/>
              </w:rPr>
              <w:t>23,</w:t>
            </w:r>
            <w:r w:rsidR="00921F93">
              <w:rPr>
                <w:sz w:val="19"/>
                <w:szCs w:val="19"/>
              </w:rPr>
              <w:t>524</w:t>
            </w:r>
          </w:p>
        </w:tc>
        <w:tc>
          <w:tcPr>
            <w:tcW w:w="1023" w:type="dxa"/>
            <w:tcBorders>
              <w:top w:val="single" w:sz="12" w:space="0" w:color="000000"/>
              <w:left w:val="single" w:sz="8" w:space="0" w:color="000000"/>
              <w:bottom w:val="single" w:sz="12" w:space="0" w:color="000000"/>
              <w:right w:val="single" w:sz="8" w:space="0" w:color="000000"/>
            </w:tcBorders>
          </w:tcPr>
          <w:p w14:paraId="31836FF0" w14:textId="2A540B76" w:rsidR="004F1310" w:rsidRDefault="00C76527" w:rsidP="00156061">
            <w:pPr>
              <w:tabs>
                <w:tab w:val="left" w:pos="-1080"/>
                <w:tab w:val="left" w:pos="-720"/>
                <w:tab w:val="left" w:pos="0"/>
                <w:tab w:val="left" w:pos="810"/>
              </w:tabs>
              <w:spacing w:after="58"/>
              <w:jc w:val="center"/>
              <w:rPr>
                <w:sz w:val="19"/>
                <w:szCs w:val="19"/>
              </w:rPr>
            </w:pPr>
            <w:r>
              <w:rPr>
                <w:sz w:val="19"/>
                <w:szCs w:val="19"/>
              </w:rPr>
              <w:t>$</w:t>
            </w:r>
            <w:r w:rsidR="004D2214">
              <w:rPr>
                <w:sz w:val="19"/>
                <w:szCs w:val="19"/>
              </w:rPr>
              <w:t>7,8</w:t>
            </w:r>
            <w:r w:rsidR="00921F93">
              <w:rPr>
                <w:sz w:val="19"/>
                <w:szCs w:val="19"/>
              </w:rPr>
              <w:t>41</w:t>
            </w:r>
          </w:p>
        </w:tc>
      </w:tr>
      <w:tr w:rsidR="000C59DF" w:rsidRPr="00D15828" w14:paraId="1656E1F9" w14:textId="77777777" w:rsidTr="00156061">
        <w:tblPrEx>
          <w:tblBorders>
            <w:top w:val="none" w:sz="0" w:space="0" w:color="auto"/>
            <w:left w:val="none" w:sz="0" w:space="0" w:color="auto"/>
            <w:bottom w:val="none" w:sz="0" w:space="0" w:color="auto"/>
            <w:right w:val="none" w:sz="0" w:space="0" w:color="auto"/>
          </w:tblBorders>
        </w:tblPrEx>
        <w:tc>
          <w:tcPr>
            <w:tcW w:w="13073" w:type="dxa"/>
            <w:gridSpan w:val="13"/>
            <w:tcBorders>
              <w:top w:val="single" w:sz="12" w:space="0" w:color="000000"/>
              <w:left w:val="single" w:sz="8" w:space="0" w:color="000000"/>
              <w:bottom w:val="single" w:sz="12" w:space="0" w:color="000000"/>
              <w:right w:val="single" w:sz="8" w:space="0" w:color="000000"/>
            </w:tcBorders>
          </w:tcPr>
          <w:p w14:paraId="772704F0" w14:textId="77777777" w:rsidR="000C59DF" w:rsidRPr="00BA0BC5" w:rsidRDefault="000C59DF" w:rsidP="00156061">
            <w:pPr>
              <w:spacing w:line="120" w:lineRule="exact"/>
              <w:rPr>
                <w:sz w:val="19"/>
                <w:szCs w:val="19"/>
              </w:rPr>
            </w:pPr>
          </w:p>
          <w:p w14:paraId="2EF55F54" w14:textId="75F7DDF4" w:rsidR="000C59DF" w:rsidRPr="00BA0BC5" w:rsidRDefault="000C59DF" w:rsidP="00156061">
            <w:pPr>
              <w:tabs>
                <w:tab w:val="left" w:pos="-1080"/>
                <w:tab w:val="left" w:pos="-720"/>
                <w:tab w:val="left" w:pos="0"/>
                <w:tab w:val="left" w:pos="810"/>
              </w:tabs>
              <w:spacing w:after="58"/>
              <w:rPr>
                <w:sz w:val="19"/>
                <w:szCs w:val="19"/>
              </w:rPr>
            </w:pPr>
            <w:r>
              <w:rPr>
                <w:b/>
                <w:sz w:val="19"/>
                <w:szCs w:val="19"/>
              </w:rPr>
              <w:t>CERTIFICATION STATEMENT</w:t>
            </w:r>
            <w:r w:rsidRPr="00BA0BC5">
              <w:rPr>
                <w:b/>
                <w:sz w:val="19"/>
                <w:szCs w:val="19"/>
              </w:rPr>
              <w:t xml:space="preserve"> (</w:t>
            </w:r>
            <w:r w:rsidR="00921F93">
              <w:rPr>
                <w:b/>
                <w:sz w:val="19"/>
                <w:szCs w:val="19"/>
              </w:rPr>
              <w:t>one-time</w:t>
            </w:r>
            <w:r w:rsidRPr="00BA0BC5">
              <w:rPr>
                <w:b/>
                <w:sz w:val="19"/>
                <w:szCs w:val="19"/>
              </w:rPr>
              <w:t>)</w:t>
            </w:r>
            <w:r w:rsidR="00E45B35">
              <w:rPr>
                <w:b/>
                <w:sz w:val="19"/>
                <w:szCs w:val="19"/>
                <w:vertAlign w:val="superscript"/>
              </w:rPr>
              <w:t>6</w:t>
            </w:r>
          </w:p>
        </w:tc>
      </w:tr>
      <w:tr w:rsidR="002F3E76" w:rsidRPr="00F748DE" w14:paraId="280F6BDE" w14:textId="77777777" w:rsidTr="00D87C75">
        <w:tblPrEx>
          <w:tblBorders>
            <w:top w:val="none" w:sz="0" w:space="0" w:color="auto"/>
            <w:left w:val="none" w:sz="0" w:space="0" w:color="auto"/>
            <w:bottom w:val="none" w:sz="0" w:space="0" w:color="auto"/>
            <w:right w:val="none" w:sz="0" w:space="0" w:color="auto"/>
          </w:tblBorders>
        </w:tblPrEx>
        <w:tc>
          <w:tcPr>
            <w:tcW w:w="1710" w:type="dxa"/>
            <w:tcBorders>
              <w:top w:val="single" w:sz="12" w:space="0" w:color="000000"/>
              <w:left w:val="single" w:sz="8" w:space="0" w:color="000000"/>
              <w:bottom w:val="single" w:sz="7" w:space="0" w:color="000000"/>
              <w:right w:val="single" w:sz="8" w:space="0" w:color="000000"/>
            </w:tcBorders>
          </w:tcPr>
          <w:p w14:paraId="4290E1B6" w14:textId="51B31001" w:rsidR="002F3E76" w:rsidRPr="00BA0BC5" w:rsidRDefault="002F3E76" w:rsidP="00156061">
            <w:pPr>
              <w:tabs>
                <w:tab w:val="left" w:pos="-1080"/>
                <w:tab w:val="left" w:pos="-720"/>
                <w:tab w:val="left" w:pos="0"/>
                <w:tab w:val="left" w:pos="810"/>
              </w:tabs>
              <w:spacing w:after="58"/>
              <w:rPr>
                <w:sz w:val="19"/>
                <w:szCs w:val="19"/>
              </w:rPr>
            </w:pPr>
            <w:r w:rsidRPr="00BA0BC5">
              <w:rPr>
                <w:sz w:val="19"/>
                <w:szCs w:val="19"/>
              </w:rPr>
              <w:t>Affected Facilities</w:t>
            </w:r>
          </w:p>
        </w:tc>
        <w:tc>
          <w:tcPr>
            <w:tcW w:w="1700" w:type="dxa"/>
            <w:tcBorders>
              <w:top w:val="single" w:sz="12" w:space="0" w:color="000000"/>
              <w:left w:val="single" w:sz="8" w:space="0" w:color="000000"/>
              <w:bottom w:val="single" w:sz="7" w:space="0" w:color="000000"/>
              <w:right w:val="single" w:sz="8" w:space="0" w:color="000000"/>
            </w:tcBorders>
          </w:tcPr>
          <w:p w14:paraId="04484B2F" w14:textId="29A7170A" w:rsidR="002F3E76" w:rsidRDefault="002F3E76" w:rsidP="00156061">
            <w:pPr>
              <w:tabs>
                <w:tab w:val="left" w:pos="-1080"/>
                <w:tab w:val="left" w:pos="-720"/>
                <w:tab w:val="left" w:pos="0"/>
                <w:tab w:val="left" w:pos="810"/>
              </w:tabs>
              <w:spacing w:after="58"/>
              <w:jc w:val="center"/>
              <w:rPr>
                <w:sz w:val="19"/>
                <w:szCs w:val="19"/>
              </w:rPr>
            </w:pPr>
            <w:r>
              <w:rPr>
                <w:sz w:val="19"/>
                <w:szCs w:val="19"/>
              </w:rPr>
              <w:t>2.5</w:t>
            </w:r>
          </w:p>
        </w:tc>
        <w:tc>
          <w:tcPr>
            <w:tcW w:w="730" w:type="dxa"/>
            <w:tcBorders>
              <w:top w:val="single" w:sz="12" w:space="0" w:color="000000"/>
              <w:left w:val="single" w:sz="8" w:space="0" w:color="000000"/>
              <w:bottom w:val="single" w:sz="7" w:space="0" w:color="000000"/>
              <w:right w:val="single" w:sz="8" w:space="0" w:color="000000"/>
            </w:tcBorders>
          </w:tcPr>
          <w:p w14:paraId="6478F143" w14:textId="016AA8BC" w:rsidR="002F3E76" w:rsidRDefault="002F3E76" w:rsidP="00156061">
            <w:pPr>
              <w:tabs>
                <w:tab w:val="left" w:pos="-1080"/>
                <w:tab w:val="left" w:pos="-720"/>
                <w:tab w:val="left" w:pos="0"/>
                <w:tab w:val="left" w:pos="810"/>
              </w:tabs>
              <w:spacing w:after="58"/>
              <w:jc w:val="center"/>
              <w:rPr>
                <w:sz w:val="19"/>
                <w:szCs w:val="19"/>
              </w:rPr>
            </w:pPr>
            <w:r>
              <w:rPr>
                <w:sz w:val="19"/>
                <w:szCs w:val="19"/>
              </w:rPr>
              <w:t>1.25</w:t>
            </w:r>
          </w:p>
        </w:tc>
        <w:tc>
          <w:tcPr>
            <w:tcW w:w="810" w:type="dxa"/>
            <w:tcBorders>
              <w:top w:val="single" w:sz="12" w:space="0" w:color="000000"/>
              <w:left w:val="single" w:sz="8" w:space="0" w:color="000000"/>
              <w:bottom w:val="single" w:sz="7" w:space="0" w:color="000000"/>
              <w:right w:val="single" w:sz="8" w:space="0" w:color="000000"/>
            </w:tcBorders>
          </w:tcPr>
          <w:p w14:paraId="0ECC711B" w14:textId="01E9A93A" w:rsidR="002F3E76" w:rsidRDefault="002F3E76" w:rsidP="00156061">
            <w:pPr>
              <w:tabs>
                <w:tab w:val="left" w:pos="-1080"/>
                <w:tab w:val="left" w:pos="-720"/>
                <w:tab w:val="left" w:pos="0"/>
                <w:tab w:val="left" w:pos="810"/>
              </w:tabs>
              <w:spacing w:after="58"/>
              <w:jc w:val="center"/>
              <w:rPr>
                <w:sz w:val="19"/>
                <w:szCs w:val="19"/>
              </w:rPr>
            </w:pPr>
            <w:r>
              <w:rPr>
                <w:sz w:val="19"/>
                <w:szCs w:val="19"/>
              </w:rPr>
              <w:t>0.35</w:t>
            </w:r>
          </w:p>
        </w:tc>
        <w:tc>
          <w:tcPr>
            <w:tcW w:w="900" w:type="dxa"/>
            <w:tcBorders>
              <w:top w:val="single" w:sz="12" w:space="0" w:color="000000"/>
              <w:left w:val="single" w:sz="8" w:space="0" w:color="000000"/>
              <w:bottom w:val="single" w:sz="7" w:space="0" w:color="000000"/>
              <w:right w:val="single" w:sz="8" w:space="0" w:color="000000"/>
            </w:tcBorders>
          </w:tcPr>
          <w:p w14:paraId="541BE383" w14:textId="31736FC7" w:rsidR="002F3E76" w:rsidRPr="00025184" w:rsidRDefault="002F3E76" w:rsidP="00156061">
            <w:pPr>
              <w:tabs>
                <w:tab w:val="left" w:pos="-1080"/>
                <w:tab w:val="left" w:pos="-720"/>
                <w:tab w:val="left" w:pos="0"/>
                <w:tab w:val="left" w:pos="810"/>
              </w:tabs>
              <w:spacing w:after="58"/>
              <w:jc w:val="center"/>
              <w:rPr>
                <w:sz w:val="19"/>
                <w:szCs w:val="19"/>
              </w:rPr>
            </w:pPr>
            <w:r w:rsidRPr="00025184">
              <w:rPr>
                <w:sz w:val="19"/>
                <w:szCs w:val="19"/>
              </w:rPr>
              <w:t>4.1</w:t>
            </w:r>
          </w:p>
        </w:tc>
        <w:tc>
          <w:tcPr>
            <w:tcW w:w="800" w:type="dxa"/>
            <w:tcBorders>
              <w:top w:val="single" w:sz="12" w:space="0" w:color="000000"/>
              <w:left w:val="single" w:sz="8" w:space="0" w:color="000000"/>
              <w:bottom w:val="single" w:sz="7" w:space="0" w:color="000000"/>
              <w:right w:val="single" w:sz="8" w:space="0" w:color="000000"/>
            </w:tcBorders>
          </w:tcPr>
          <w:p w14:paraId="4CF3F61A" w14:textId="485D84D2" w:rsidR="002F3E76" w:rsidRPr="00025184" w:rsidRDefault="002F3E76" w:rsidP="00156061">
            <w:pPr>
              <w:tabs>
                <w:tab w:val="left" w:pos="-1080"/>
                <w:tab w:val="left" w:pos="-720"/>
                <w:tab w:val="left" w:pos="0"/>
                <w:tab w:val="left" w:pos="810"/>
              </w:tabs>
              <w:spacing w:after="58"/>
              <w:jc w:val="center"/>
              <w:rPr>
                <w:sz w:val="19"/>
                <w:szCs w:val="19"/>
              </w:rPr>
            </w:pPr>
            <w:r w:rsidRPr="00025184">
              <w:rPr>
                <w:sz w:val="19"/>
                <w:szCs w:val="19"/>
              </w:rPr>
              <w:t>$348</w:t>
            </w:r>
          </w:p>
        </w:tc>
        <w:tc>
          <w:tcPr>
            <w:tcW w:w="900" w:type="dxa"/>
            <w:tcBorders>
              <w:top w:val="single" w:sz="12" w:space="0" w:color="000000"/>
              <w:left w:val="single" w:sz="8" w:space="0" w:color="000000"/>
              <w:bottom w:val="single" w:sz="7" w:space="0" w:color="000000"/>
              <w:right w:val="single" w:sz="8" w:space="0" w:color="000000"/>
            </w:tcBorders>
          </w:tcPr>
          <w:p w14:paraId="4635114C" w14:textId="6004B44D" w:rsidR="002F3E76" w:rsidRPr="00025184" w:rsidRDefault="002F3E76" w:rsidP="00156061">
            <w:pPr>
              <w:tabs>
                <w:tab w:val="left" w:pos="-1080"/>
                <w:tab w:val="left" w:pos="-720"/>
                <w:tab w:val="left" w:pos="0"/>
                <w:tab w:val="left" w:pos="810"/>
              </w:tabs>
              <w:spacing w:after="58"/>
              <w:jc w:val="center"/>
              <w:rPr>
                <w:sz w:val="19"/>
                <w:szCs w:val="19"/>
              </w:rPr>
            </w:pPr>
            <w:r w:rsidRPr="00025184">
              <w:rPr>
                <w:sz w:val="19"/>
                <w:szCs w:val="19"/>
              </w:rPr>
              <w:t>$0</w:t>
            </w:r>
          </w:p>
        </w:tc>
        <w:tc>
          <w:tcPr>
            <w:tcW w:w="720" w:type="dxa"/>
            <w:tcBorders>
              <w:top w:val="single" w:sz="12" w:space="0" w:color="000000"/>
              <w:left w:val="single" w:sz="8" w:space="0" w:color="000000"/>
              <w:bottom w:val="single" w:sz="7" w:space="0" w:color="000000"/>
              <w:right w:val="single" w:sz="8" w:space="0" w:color="000000"/>
            </w:tcBorders>
          </w:tcPr>
          <w:p w14:paraId="7CE55FE1" w14:textId="3C772F68" w:rsidR="002F3E76" w:rsidRPr="00025184" w:rsidRDefault="002F3E76" w:rsidP="00156061">
            <w:pPr>
              <w:tabs>
                <w:tab w:val="left" w:pos="-1080"/>
                <w:tab w:val="left" w:pos="-720"/>
                <w:tab w:val="left" w:pos="0"/>
                <w:tab w:val="left" w:pos="810"/>
              </w:tabs>
              <w:spacing w:after="58"/>
              <w:jc w:val="center"/>
              <w:rPr>
                <w:sz w:val="19"/>
                <w:szCs w:val="19"/>
              </w:rPr>
            </w:pPr>
            <w:r w:rsidRPr="00025184">
              <w:rPr>
                <w:sz w:val="19"/>
                <w:szCs w:val="19"/>
              </w:rPr>
              <w:t>$0</w:t>
            </w:r>
          </w:p>
        </w:tc>
        <w:tc>
          <w:tcPr>
            <w:tcW w:w="1170" w:type="dxa"/>
            <w:tcBorders>
              <w:top w:val="single" w:sz="12" w:space="0" w:color="000000"/>
              <w:left w:val="single" w:sz="8" w:space="0" w:color="000000"/>
              <w:bottom w:val="single" w:sz="7" w:space="0" w:color="000000"/>
              <w:right w:val="single" w:sz="8" w:space="0" w:color="000000"/>
            </w:tcBorders>
          </w:tcPr>
          <w:p w14:paraId="069C41B0" w14:textId="46BD563D" w:rsidR="002F3E76" w:rsidRPr="00025184" w:rsidRDefault="002F3E76" w:rsidP="00156061">
            <w:pPr>
              <w:tabs>
                <w:tab w:val="left" w:pos="-1080"/>
                <w:tab w:val="left" w:pos="-720"/>
                <w:tab w:val="left" w:pos="0"/>
                <w:tab w:val="left" w:pos="810"/>
              </w:tabs>
              <w:spacing w:after="58"/>
              <w:jc w:val="center"/>
              <w:rPr>
                <w:sz w:val="19"/>
                <w:szCs w:val="19"/>
              </w:rPr>
            </w:pPr>
            <w:r w:rsidRPr="00025184">
              <w:rPr>
                <w:sz w:val="19"/>
                <w:szCs w:val="19"/>
              </w:rPr>
              <w:t>$348</w:t>
            </w:r>
          </w:p>
        </w:tc>
        <w:tc>
          <w:tcPr>
            <w:tcW w:w="1170" w:type="dxa"/>
            <w:tcBorders>
              <w:top w:val="single" w:sz="12" w:space="0" w:color="000000"/>
              <w:left w:val="single" w:sz="8" w:space="0" w:color="000000"/>
              <w:bottom w:val="single" w:sz="7" w:space="0" w:color="000000"/>
              <w:right w:val="single" w:sz="8" w:space="0" w:color="000000"/>
            </w:tcBorders>
          </w:tcPr>
          <w:p w14:paraId="3390B5A9" w14:textId="410ACD2F" w:rsidR="002F3E76" w:rsidRPr="00025184" w:rsidRDefault="00921F93" w:rsidP="00156061">
            <w:pPr>
              <w:tabs>
                <w:tab w:val="left" w:pos="-1080"/>
                <w:tab w:val="left" w:pos="-720"/>
                <w:tab w:val="left" w:pos="0"/>
                <w:tab w:val="left" w:pos="810"/>
              </w:tabs>
              <w:spacing w:after="58"/>
              <w:jc w:val="center"/>
              <w:rPr>
                <w:sz w:val="19"/>
                <w:szCs w:val="19"/>
              </w:rPr>
            </w:pPr>
            <w:r>
              <w:rPr>
                <w:sz w:val="19"/>
                <w:szCs w:val="19"/>
              </w:rPr>
              <w:t>167</w:t>
            </w:r>
          </w:p>
        </w:tc>
        <w:tc>
          <w:tcPr>
            <w:tcW w:w="630" w:type="dxa"/>
            <w:tcBorders>
              <w:top w:val="single" w:sz="12" w:space="0" w:color="000000"/>
              <w:left w:val="single" w:sz="8" w:space="0" w:color="000000"/>
              <w:bottom w:val="single" w:sz="7" w:space="0" w:color="000000"/>
              <w:right w:val="single" w:sz="8" w:space="0" w:color="000000"/>
            </w:tcBorders>
          </w:tcPr>
          <w:p w14:paraId="5195DB20" w14:textId="566E48EF" w:rsidR="002F3E76" w:rsidRPr="00025184" w:rsidRDefault="00A26A18" w:rsidP="00156061">
            <w:pPr>
              <w:tabs>
                <w:tab w:val="left" w:pos="-1080"/>
                <w:tab w:val="left" w:pos="-720"/>
                <w:tab w:val="left" w:pos="0"/>
                <w:tab w:val="left" w:pos="810"/>
              </w:tabs>
              <w:spacing w:after="58"/>
              <w:jc w:val="center"/>
              <w:rPr>
                <w:sz w:val="19"/>
                <w:szCs w:val="19"/>
              </w:rPr>
            </w:pPr>
            <w:r>
              <w:rPr>
                <w:sz w:val="19"/>
                <w:szCs w:val="19"/>
              </w:rPr>
              <w:t>683</w:t>
            </w:r>
          </w:p>
        </w:tc>
        <w:tc>
          <w:tcPr>
            <w:tcW w:w="810" w:type="dxa"/>
            <w:tcBorders>
              <w:top w:val="single" w:sz="12" w:space="0" w:color="000000"/>
              <w:left w:val="single" w:sz="8" w:space="0" w:color="000000"/>
              <w:bottom w:val="single" w:sz="7" w:space="0" w:color="000000"/>
              <w:right w:val="single" w:sz="8" w:space="0" w:color="000000"/>
            </w:tcBorders>
          </w:tcPr>
          <w:p w14:paraId="35341F43" w14:textId="5FF0CFE4" w:rsidR="002F3E76" w:rsidRPr="00025184" w:rsidRDefault="002F3E76" w:rsidP="00156061">
            <w:pPr>
              <w:tabs>
                <w:tab w:val="left" w:pos="-1080"/>
                <w:tab w:val="left" w:pos="-720"/>
                <w:tab w:val="left" w:pos="0"/>
                <w:tab w:val="left" w:pos="810"/>
              </w:tabs>
              <w:spacing w:after="58"/>
              <w:jc w:val="center"/>
              <w:rPr>
                <w:sz w:val="19"/>
                <w:szCs w:val="19"/>
              </w:rPr>
            </w:pPr>
            <w:r w:rsidRPr="00025184">
              <w:rPr>
                <w:sz w:val="19"/>
                <w:szCs w:val="19"/>
              </w:rPr>
              <w:t>$</w:t>
            </w:r>
            <w:r w:rsidR="00A26A18">
              <w:rPr>
                <w:sz w:val="19"/>
                <w:szCs w:val="19"/>
              </w:rPr>
              <w:t>57,989</w:t>
            </w:r>
          </w:p>
        </w:tc>
        <w:tc>
          <w:tcPr>
            <w:tcW w:w="1023" w:type="dxa"/>
            <w:tcBorders>
              <w:top w:val="single" w:sz="12" w:space="0" w:color="000000"/>
              <w:left w:val="single" w:sz="8" w:space="0" w:color="000000"/>
              <w:bottom w:val="single" w:sz="7" w:space="0" w:color="000000"/>
              <w:right w:val="single" w:sz="8" w:space="0" w:color="000000"/>
            </w:tcBorders>
          </w:tcPr>
          <w:p w14:paraId="7D044672" w14:textId="6CC828FF" w:rsidR="002F3E76" w:rsidRPr="00025184" w:rsidRDefault="00281BB0" w:rsidP="00156061">
            <w:pPr>
              <w:tabs>
                <w:tab w:val="left" w:pos="-1080"/>
                <w:tab w:val="left" w:pos="-720"/>
                <w:tab w:val="left" w:pos="0"/>
                <w:tab w:val="left" w:pos="810"/>
              </w:tabs>
              <w:spacing w:after="58"/>
              <w:jc w:val="center"/>
              <w:rPr>
                <w:sz w:val="19"/>
                <w:szCs w:val="19"/>
              </w:rPr>
            </w:pPr>
            <w:r w:rsidRPr="00025184">
              <w:rPr>
                <w:sz w:val="19"/>
                <w:szCs w:val="19"/>
              </w:rPr>
              <w:t>$</w:t>
            </w:r>
            <w:r w:rsidR="00A26A18">
              <w:rPr>
                <w:sz w:val="19"/>
                <w:szCs w:val="19"/>
              </w:rPr>
              <w:t>19,330</w:t>
            </w:r>
          </w:p>
        </w:tc>
      </w:tr>
    </w:tbl>
    <w:p w14:paraId="5B5AE623" w14:textId="77777777" w:rsidR="007E3287" w:rsidRPr="00D15828" w:rsidRDefault="007E3287" w:rsidP="007E3287"/>
    <w:p w14:paraId="777EF658" w14:textId="05C6B6FA" w:rsidR="007E3287" w:rsidRPr="005C0FE4" w:rsidRDefault="007E3287" w:rsidP="00832837">
      <w:pPr>
        <w:autoSpaceDE w:val="0"/>
        <w:autoSpaceDN w:val="0"/>
        <w:adjustRightInd w:val="0"/>
        <w:spacing w:before="120"/>
        <w:jc w:val="both"/>
        <w:rPr>
          <w:bCs/>
          <w:color w:val="000000"/>
          <w:sz w:val="19"/>
          <w:szCs w:val="19"/>
        </w:rPr>
      </w:pPr>
      <w:r w:rsidRPr="005C0FE4">
        <w:rPr>
          <w:sz w:val="19"/>
          <w:szCs w:val="19"/>
          <w:vertAlign w:val="superscript"/>
        </w:rPr>
        <w:t xml:space="preserve">1 </w:t>
      </w:r>
      <w:r w:rsidRPr="005C0FE4">
        <w:rPr>
          <w:bCs/>
          <w:i/>
          <w:color w:val="000000"/>
          <w:sz w:val="19"/>
          <w:szCs w:val="19"/>
          <w:u w:val="single"/>
        </w:rPr>
        <w:t>Hourly Wages:</w:t>
      </w:r>
      <w:r w:rsidRPr="005C0FE4">
        <w:rPr>
          <w:bCs/>
          <w:color w:val="000000"/>
          <w:sz w:val="19"/>
          <w:szCs w:val="19"/>
        </w:rPr>
        <w:t xml:space="preserve"> </w:t>
      </w:r>
      <w:r w:rsidR="00F748DE" w:rsidRPr="00F748DE">
        <w:rPr>
          <w:bCs/>
          <w:color w:val="000000"/>
          <w:sz w:val="19"/>
          <w:szCs w:val="19"/>
        </w:rPr>
        <w:t xml:space="preserve">United States Department of Labor, Bureau of Labor Statistics, </w:t>
      </w:r>
      <w:r w:rsidR="00EB39B9">
        <w:rPr>
          <w:bCs/>
          <w:color w:val="000000"/>
          <w:sz w:val="19"/>
          <w:szCs w:val="19"/>
        </w:rPr>
        <w:t>June 2018</w:t>
      </w:r>
      <w:r w:rsidR="00F748DE" w:rsidRPr="00F748DE">
        <w:rPr>
          <w:bCs/>
          <w:color w:val="000000"/>
          <w:sz w:val="19"/>
          <w:szCs w:val="19"/>
        </w:rPr>
        <w:t xml:space="preserve">, “Table 2. Civilian Workers, by occupational and industry group.”  The rates are from column </w:t>
      </w:r>
      <w:r w:rsidR="002F3E76">
        <w:rPr>
          <w:bCs/>
          <w:color w:val="000000"/>
          <w:sz w:val="19"/>
          <w:szCs w:val="19"/>
        </w:rPr>
        <w:t>2</w:t>
      </w:r>
      <w:r w:rsidR="00F748DE" w:rsidRPr="00F748DE">
        <w:rPr>
          <w:bCs/>
          <w:color w:val="000000"/>
          <w:sz w:val="19"/>
          <w:szCs w:val="19"/>
        </w:rPr>
        <w:t>, “</w:t>
      </w:r>
      <w:r w:rsidR="002F3E76">
        <w:rPr>
          <w:bCs/>
          <w:color w:val="000000"/>
          <w:sz w:val="19"/>
          <w:szCs w:val="19"/>
        </w:rPr>
        <w:t>Wages and salaries</w:t>
      </w:r>
      <w:r w:rsidR="00F748DE" w:rsidRPr="00F748DE">
        <w:rPr>
          <w:bCs/>
          <w:color w:val="000000"/>
          <w:sz w:val="19"/>
          <w:szCs w:val="19"/>
        </w:rPr>
        <w:t xml:space="preserve">.”  </w:t>
      </w:r>
      <w:hyperlink r:id="rId15" w:history="1">
        <w:r w:rsidR="00F748DE" w:rsidRPr="00374984">
          <w:rPr>
            <w:rStyle w:val="Hyperlink"/>
            <w:bCs/>
            <w:sz w:val="19"/>
            <w:szCs w:val="19"/>
          </w:rPr>
          <w:t>http://www.bls.gov/news.release/ecec.t02.htm</w:t>
        </w:r>
      </w:hyperlink>
      <w:r w:rsidR="00F748DE">
        <w:rPr>
          <w:bCs/>
          <w:color w:val="000000"/>
          <w:sz w:val="19"/>
          <w:szCs w:val="19"/>
        </w:rPr>
        <w:t xml:space="preserve">. </w:t>
      </w:r>
      <w:r w:rsidR="00F748DE" w:rsidRPr="00F748DE">
        <w:rPr>
          <w:bCs/>
          <w:color w:val="000000"/>
          <w:sz w:val="19"/>
          <w:szCs w:val="19"/>
        </w:rPr>
        <w:t>The rates have been increased by 110 percent to account for the benefit packages available to those employed by private industry.</w:t>
      </w:r>
      <w:r w:rsidR="00F748DE">
        <w:rPr>
          <w:bCs/>
          <w:color w:val="000000"/>
          <w:sz w:val="19"/>
          <w:szCs w:val="19"/>
        </w:rPr>
        <w:t xml:space="preserve"> </w:t>
      </w:r>
    </w:p>
    <w:p w14:paraId="5CBD8D92" w14:textId="77777777" w:rsidR="007E3287" w:rsidRPr="005C0FE4" w:rsidRDefault="007E3287" w:rsidP="0065452F">
      <w:pPr>
        <w:autoSpaceDE w:val="0"/>
        <w:autoSpaceDN w:val="0"/>
        <w:adjustRightInd w:val="0"/>
        <w:spacing w:before="120"/>
        <w:jc w:val="both"/>
        <w:rPr>
          <w:bCs/>
          <w:i/>
          <w:color w:val="000000"/>
          <w:sz w:val="19"/>
          <w:szCs w:val="19"/>
        </w:rPr>
      </w:pPr>
      <w:r w:rsidRPr="005C0FE4">
        <w:rPr>
          <w:sz w:val="19"/>
          <w:szCs w:val="19"/>
          <w:vertAlign w:val="superscript"/>
        </w:rPr>
        <w:t xml:space="preserve">2 </w:t>
      </w:r>
      <w:r w:rsidRPr="005C0FE4">
        <w:rPr>
          <w:bCs/>
          <w:i/>
          <w:color w:val="000000"/>
          <w:sz w:val="19"/>
          <w:szCs w:val="19"/>
          <w:u w:val="single"/>
        </w:rPr>
        <w:t>Hours for Rule Familiarization:</w:t>
      </w:r>
      <w:r w:rsidRPr="005C0FE4">
        <w:rPr>
          <w:bCs/>
          <w:i/>
          <w:color w:val="000000"/>
          <w:sz w:val="19"/>
          <w:szCs w:val="19"/>
        </w:rPr>
        <w:t xml:space="preserve"> </w:t>
      </w:r>
      <w:r w:rsidRPr="005C0FE4">
        <w:rPr>
          <w:bCs/>
          <w:color w:val="000000"/>
          <w:sz w:val="19"/>
          <w:szCs w:val="19"/>
        </w:rPr>
        <w:t xml:space="preserve">U.S. EPA, Supporting Statement for EPA Information Collection Request Number 2324.01 Reporting and Recordkeeping Requirements for the </w:t>
      </w:r>
      <w:r w:rsidR="009C59C4">
        <w:rPr>
          <w:bCs/>
          <w:color w:val="000000"/>
          <w:sz w:val="19"/>
          <w:szCs w:val="19"/>
        </w:rPr>
        <w:t>Final</w:t>
      </w:r>
      <w:r w:rsidRPr="005C0FE4">
        <w:rPr>
          <w:bCs/>
          <w:color w:val="000000"/>
          <w:sz w:val="19"/>
          <w:szCs w:val="19"/>
        </w:rPr>
        <w:t xml:space="preserve"> Rule in Adding Pharmaceuticals to the Universal Waste Rule (</w:t>
      </w:r>
      <w:r w:rsidR="009C59C4">
        <w:rPr>
          <w:bCs/>
          <w:color w:val="000000"/>
          <w:sz w:val="19"/>
          <w:szCs w:val="19"/>
        </w:rPr>
        <w:t>Final</w:t>
      </w:r>
      <w:r w:rsidRPr="005C0FE4">
        <w:rPr>
          <w:bCs/>
          <w:color w:val="000000"/>
          <w:sz w:val="19"/>
          <w:szCs w:val="19"/>
        </w:rPr>
        <w:t xml:space="preserve"> Rule), September 2008, Exhibit 1.</w:t>
      </w:r>
    </w:p>
    <w:p w14:paraId="6EED00C3" w14:textId="55D9B4F3" w:rsidR="007E3287" w:rsidRPr="005C0FE4" w:rsidRDefault="007E3287" w:rsidP="0065452F">
      <w:pPr>
        <w:autoSpaceDE w:val="0"/>
        <w:autoSpaceDN w:val="0"/>
        <w:adjustRightInd w:val="0"/>
        <w:spacing w:before="120"/>
        <w:jc w:val="both"/>
        <w:rPr>
          <w:sz w:val="19"/>
          <w:szCs w:val="19"/>
        </w:rPr>
      </w:pPr>
      <w:r w:rsidRPr="005C0FE4">
        <w:rPr>
          <w:bCs/>
          <w:color w:val="000000"/>
          <w:sz w:val="19"/>
          <w:szCs w:val="19"/>
        </w:rPr>
        <w:t xml:space="preserve"> </w:t>
      </w:r>
      <w:r w:rsidRPr="005C0FE4">
        <w:rPr>
          <w:sz w:val="19"/>
          <w:szCs w:val="19"/>
          <w:vertAlign w:val="superscript"/>
        </w:rPr>
        <w:t xml:space="preserve">3 </w:t>
      </w:r>
      <w:r w:rsidRPr="005C0FE4">
        <w:rPr>
          <w:bCs/>
          <w:i/>
          <w:color w:val="000000"/>
          <w:sz w:val="19"/>
          <w:szCs w:val="19"/>
          <w:u w:val="single"/>
        </w:rPr>
        <w:t>Petition Process Costs:</w:t>
      </w:r>
      <w:r w:rsidRPr="005C0FE4">
        <w:rPr>
          <w:bCs/>
          <w:i/>
          <w:color w:val="000000"/>
          <w:sz w:val="19"/>
          <w:szCs w:val="19"/>
        </w:rPr>
        <w:t xml:space="preserve"> </w:t>
      </w:r>
      <w:r w:rsidR="00507DC5" w:rsidRPr="005C0FE4">
        <w:rPr>
          <w:bCs/>
          <w:color w:val="000000"/>
          <w:sz w:val="19"/>
          <w:szCs w:val="19"/>
        </w:rPr>
        <w:t xml:space="preserve">Derived from </w:t>
      </w:r>
      <w:r w:rsidRPr="005C0FE4">
        <w:rPr>
          <w:sz w:val="19"/>
          <w:szCs w:val="19"/>
        </w:rPr>
        <w:t xml:space="preserve">U.S. EPA, Supporting Statement for EPA Information Collection Request Number </w:t>
      </w:r>
      <w:r w:rsidR="002B0E0E">
        <w:rPr>
          <w:sz w:val="19"/>
          <w:szCs w:val="19"/>
        </w:rPr>
        <w:t>2310.01</w:t>
      </w:r>
      <w:r w:rsidRPr="005C0FE4">
        <w:rPr>
          <w:sz w:val="19"/>
          <w:szCs w:val="19"/>
        </w:rPr>
        <w:t xml:space="preserve">: </w:t>
      </w:r>
      <w:r w:rsidR="002B0E0E">
        <w:rPr>
          <w:sz w:val="19"/>
          <w:szCs w:val="19"/>
        </w:rPr>
        <w:t>Revisions to the RCRA Definition of Solid Waste (Final Rule), October 28, 2008</w:t>
      </w:r>
      <w:r w:rsidRPr="005C0FE4">
        <w:rPr>
          <w:sz w:val="19"/>
          <w:szCs w:val="19"/>
        </w:rPr>
        <w:t xml:space="preserve">.  </w:t>
      </w:r>
      <w:r w:rsidR="007C1891">
        <w:rPr>
          <w:sz w:val="19"/>
          <w:szCs w:val="19"/>
        </w:rPr>
        <w:t xml:space="preserve">Hours estimate for technical labor also reflects an assumed 2 hours of testing per material petitioned.  </w:t>
      </w:r>
      <w:r w:rsidR="00B35FCB">
        <w:rPr>
          <w:sz w:val="19"/>
          <w:szCs w:val="19"/>
        </w:rPr>
        <w:t xml:space="preserve">In addition, </w:t>
      </w:r>
      <w:r w:rsidR="009B4623">
        <w:rPr>
          <w:sz w:val="19"/>
          <w:szCs w:val="19"/>
        </w:rPr>
        <w:t xml:space="preserve">the estimated </w:t>
      </w:r>
      <w:r w:rsidR="00B35FCB">
        <w:rPr>
          <w:sz w:val="19"/>
          <w:szCs w:val="19"/>
        </w:rPr>
        <w:t xml:space="preserve">O&amp;M cost reflects </w:t>
      </w:r>
      <w:r w:rsidR="00445F94">
        <w:rPr>
          <w:sz w:val="19"/>
          <w:szCs w:val="19"/>
        </w:rPr>
        <w:t xml:space="preserve">a </w:t>
      </w:r>
      <w:r w:rsidR="00B35FCB">
        <w:rPr>
          <w:sz w:val="19"/>
          <w:szCs w:val="19"/>
        </w:rPr>
        <w:t>testing cost of $293 per material tested</w:t>
      </w:r>
      <w:r w:rsidR="00D80339">
        <w:rPr>
          <w:sz w:val="19"/>
          <w:szCs w:val="19"/>
        </w:rPr>
        <w:t>, based on data from the RACER 2005 cost estimating software</w:t>
      </w:r>
      <w:r w:rsidR="00B35FCB">
        <w:rPr>
          <w:sz w:val="19"/>
          <w:szCs w:val="19"/>
        </w:rPr>
        <w:t xml:space="preserve">.  </w:t>
      </w:r>
      <w:r w:rsidR="007C1891">
        <w:rPr>
          <w:sz w:val="19"/>
          <w:szCs w:val="19"/>
        </w:rPr>
        <w:t>Based on the combustion unit databases developed by EPA for the Major Source Boiler MACT and the CISWI rule, we estimate that, on average, 1.38 materials will be tested per petitioner.</w:t>
      </w:r>
      <w:r w:rsidR="00B35FCB">
        <w:rPr>
          <w:sz w:val="19"/>
          <w:szCs w:val="19"/>
        </w:rPr>
        <w:t xml:space="preserve"> </w:t>
      </w:r>
      <w:r w:rsidR="00C76527">
        <w:rPr>
          <w:sz w:val="19"/>
          <w:szCs w:val="19"/>
        </w:rPr>
        <w:t>Assume similar analytical cost for a categorical determination petition.</w:t>
      </w:r>
    </w:p>
    <w:p w14:paraId="6FAE5755" w14:textId="30D2522C" w:rsidR="00E45B35" w:rsidRPr="000D12E3" w:rsidRDefault="00257CF9" w:rsidP="0065452F">
      <w:pPr>
        <w:autoSpaceDE w:val="0"/>
        <w:autoSpaceDN w:val="0"/>
        <w:adjustRightInd w:val="0"/>
        <w:spacing w:before="120"/>
        <w:jc w:val="both"/>
        <w:rPr>
          <w:sz w:val="19"/>
          <w:szCs w:val="19"/>
        </w:rPr>
      </w:pPr>
      <w:r w:rsidRPr="005C0FE4">
        <w:rPr>
          <w:sz w:val="19"/>
          <w:szCs w:val="19"/>
          <w:vertAlign w:val="superscript"/>
        </w:rPr>
        <w:t xml:space="preserve">4 </w:t>
      </w:r>
      <w:r w:rsidR="00E45B35" w:rsidRPr="000D12E3">
        <w:rPr>
          <w:i/>
          <w:sz w:val="19"/>
          <w:szCs w:val="19"/>
        </w:rPr>
        <w:t>40 CFR 241.4 Petition Process Costs:</w:t>
      </w:r>
      <w:r w:rsidR="00E45B35">
        <w:rPr>
          <w:sz w:val="19"/>
          <w:szCs w:val="19"/>
        </w:rPr>
        <w:t xml:space="preserve"> Estimated based on </w:t>
      </w:r>
      <w:r w:rsidR="00F84744">
        <w:rPr>
          <w:sz w:val="19"/>
          <w:szCs w:val="19"/>
        </w:rPr>
        <w:t xml:space="preserve">submittals, meetings and processes of </w:t>
      </w:r>
      <w:r w:rsidR="00235EF1">
        <w:rPr>
          <w:sz w:val="19"/>
          <w:szCs w:val="19"/>
        </w:rPr>
        <w:t xml:space="preserve">making a </w:t>
      </w:r>
      <w:r w:rsidR="00F84744">
        <w:rPr>
          <w:sz w:val="19"/>
          <w:szCs w:val="19"/>
        </w:rPr>
        <w:t xml:space="preserve">categorical determination </w:t>
      </w:r>
      <w:r w:rsidR="00235EF1">
        <w:rPr>
          <w:sz w:val="19"/>
          <w:szCs w:val="19"/>
        </w:rPr>
        <w:t xml:space="preserve">based on </w:t>
      </w:r>
      <w:r w:rsidR="00F84744">
        <w:rPr>
          <w:sz w:val="19"/>
          <w:szCs w:val="19"/>
        </w:rPr>
        <w:t>petitions conducted to date.</w:t>
      </w:r>
      <w:r w:rsidR="002818C2">
        <w:rPr>
          <w:sz w:val="19"/>
          <w:szCs w:val="19"/>
        </w:rPr>
        <w:t xml:space="preserve">  Assumes double the $293 per material testing cost of a 40 CFR 241.3(c) petition to enable generation of a more robust contaminant database.</w:t>
      </w:r>
    </w:p>
    <w:p w14:paraId="15433A2B" w14:textId="1397FAC2" w:rsidR="00257CF9" w:rsidRDefault="00E45B35" w:rsidP="0065452F">
      <w:pPr>
        <w:autoSpaceDE w:val="0"/>
        <w:autoSpaceDN w:val="0"/>
        <w:adjustRightInd w:val="0"/>
        <w:spacing w:before="120"/>
        <w:jc w:val="both"/>
        <w:rPr>
          <w:bCs/>
          <w:color w:val="000000"/>
          <w:sz w:val="19"/>
          <w:szCs w:val="19"/>
        </w:rPr>
      </w:pPr>
      <w:r>
        <w:rPr>
          <w:sz w:val="19"/>
          <w:szCs w:val="19"/>
          <w:vertAlign w:val="superscript"/>
        </w:rPr>
        <w:t xml:space="preserve">5 </w:t>
      </w:r>
      <w:r w:rsidR="00257CF9" w:rsidRPr="005C0FE4">
        <w:rPr>
          <w:bCs/>
          <w:i/>
          <w:color w:val="000000"/>
          <w:sz w:val="19"/>
          <w:szCs w:val="19"/>
          <w:u w:val="single"/>
        </w:rPr>
        <w:t>Uncertainty</w:t>
      </w:r>
      <w:r w:rsidR="005C0FE4" w:rsidRPr="005C0FE4">
        <w:rPr>
          <w:bCs/>
          <w:i/>
          <w:color w:val="000000"/>
          <w:sz w:val="19"/>
          <w:szCs w:val="19"/>
          <w:u w:val="single"/>
        </w:rPr>
        <w:t xml:space="preserve"> </w:t>
      </w:r>
      <w:r w:rsidR="00257CF9" w:rsidRPr="005C0FE4">
        <w:rPr>
          <w:bCs/>
          <w:i/>
          <w:color w:val="000000"/>
          <w:sz w:val="19"/>
          <w:szCs w:val="19"/>
          <w:u w:val="single"/>
        </w:rPr>
        <w:t xml:space="preserve">Regarding Number of Respondents for the Petition Process: </w:t>
      </w:r>
      <w:r w:rsidR="00257CF9" w:rsidRPr="005C0FE4">
        <w:rPr>
          <w:bCs/>
          <w:color w:val="000000"/>
          <w:sz w:val="19"/>
          <w:szCs w:val="19"/>
        </w:rPr>
        <w:t xml:space="preserve">As described in previous sections of this document, EPA assumes that facilities potentially affected by the CISWI rule and the major source Boilers Rule will submit petitions to EPA for a non-waste determination if they burn materials considered to be a solid waste under the </w:t>
      </w:r>
      <w:r w:rsidR="006931C7">
        <w:rPr>
          <w:bCs/>
          <w:color w:val="000000"/>
          <w:sz w:val="19"/>
          <w:szCs w:val="19"/>
        </w:rPr>
        <w:t>Final</w:t>
      </w:r>
      <w:r w:rsidR="006931C7" w:rsidRPr="005C0FE4">
        <w:rPr>
          <w:bCs/>
          <w:color w:val="000000"/>
          <w:sz w:val="19"/>
          <w:szCs w:val="19"/>
        </w:rPr>
        <w:t xml:space="preserve"> </w:t>
      </w:r>
      <w:r w:rsidR="006931C7">
        <w:rPr>
          <w:bCs/>
          <w:color w:val="000000"/>
          <w:sz w:val="19"/>
          <w:szCs w:val="19"/>
        </w:rPr>
        <w:t>R</w:t>
      </w:r>
      <w:r w:rsidR="00257CF9" w:rsidRPr="005C0FE4">
        <w:rPr>
          <w:bCs/>
          <w:color w:val="000000"/>
          <w:sz w:val="19"/>
          <w:szCs w:val="19"/>
        </w:rPr>
        <w:t>ule and if the material is burned outside the control of the generator.  Based on these conditions</w:t>
      </w:r>
      <w:r w:rsidR="002F6697">
        <w:rPr>
          <w:bCs/>
          <w:color w:val="000000"/>
          <w:sz w:val="19"/>
          <w:szCs w:val="19"/>
        </w:rPr>
        <w:t xml:space="preserve"> and on EPA’s experiences over the past three year period</w:t>
      </w:r>
      <w:r w:rsidR="00257CF9" w:rsidRPr="005C0FE4">
        <w:rPr>
          <w:bCs/>
          <w:color w:val="000000"/>
          <w:sz w:val="19"/>
          <w:szCs w:val="19"/>
        </w:rPr>
        <w:t xml:space="preserve">, the Agency estimates that </w:t>
      </w:r>
      <w:r w:rsidR="00943968">
        <w:rPr>
          <w:bCs/>
          <w:color w:val="000000"/>
          <w:sz w:val="19"/>
          <w:szCs w:val="19"/>
        </w:rPr>
        <w:t>10</w:t>
      </w:r>
      <w:r w:rsidR="00943968" w:rsidRPr="005C0FE4">
        <w:rPr>
          <w:bCs/>
          <w:color w:val="000000"/>
          <w:sz w:val="19"/>
          <w:szCs w:val="19"/>
        </w:rPr>
        <w:t xml:space="preserve"> </w:t>
      </w:r>
      <w:r w:rsidR="00257CF9" w:rsidRPr="005C0FE4">
        <w:rPr>
          <w:bCs/>
          <w:color w:val="000000"/>
          <w:sz w:val="19"/>
          <w:szCs w:val="19"/>
        </w:rPr>
        <w:t>facilities will submit petitions</w:t>
      </w:r>
      <w:r w:rsidR="00C76527">
        <w:rPr>
          <w:bCs/>
          <w:color w:val="000000"/>
          <w:sz w:val="19"/>
          <w:szCs w:val="19"/>
        </w:rPr>
        <w:t xml:space="preserve"> and </w:t>
      </w:r>
      <w:r>
        <w:rPr>
          <w:bCs/>
          <w:color w:val="000000"/>
          <w:sz w:val="19"/>
          <w:szCs w:val="19"/>
        </w:rPr>
        <w:t>one</w:t>
      </w:r>
      <w:r w:rsidR="00C76527">
        <w:rPr>
          <w:bCs/>
          <w:color w:val="000000"/>
          <w:sz w:val="19"/>
          <w:szCs w:val="19"/>
        </w:rPr>
        <w:t xml:space="preserve"> categorical determination petition will be submitted by a facility or trade organization</w:t>
      </w:r>
      <w:r w:rsidR="00257CF9" w:rsidRPr="005C0FE4">
        <w:rPr>
          <w:bCs/>
          <w:color w:val="000000"/>
          <w:sz w:val="19"/>
          <w:szCs w:val="19"/>
        </w:rPr>
        <w:t xml:space="preserve">.  In reality, the number of petitions </w:t>
      </w:r>
      <w:r w:rsidR="003F014E" w:rsidRPr="005C0FE4">
        <w:rPr>
          <w:bCs/>
          <w:color w:val="000000"/>
          <w:sz w:val="19"/>
          <w:szCs w:val="19"/>
        </w:rPr>
        <w:t xml:space="preserve">that will be </w:t>
      </w:r>
      <w:r w:rsidR="00257CF9" w:rsidRPr="005C0FE4">
        <w:rPr>
          <w:bCs/>
          <w:color w:val="000000"/>
          <w:sz w:val="19"/>
          <w:szCs w:val="19"/>
        </w:rPr>
        <w:t>submitted</w:t>
      </w:r>
      <w:r w:rsidR="003F014E" w:rsidRPr="005C0FE4">
        <w:rPr>
          <w:bCs/>
          <w:color w:val="000000"/>
          <w:sz w:val="19"/>
          <w:szCs w:val="19"/>
        </w:rPr>
        <w:t xml:space="preserve"> is uncertain and dependent on several factors that EPA is unable to assess (e.g., the operational characteristics of individual facilities).  </w:t>
      </w:r>
    </w:p>
    <w:p w14:paraId="23EC92D2" w14:textId="3F1FDDC4" w:rsidR="00EB39B9" w:rsidRPr="005C0FE4" w:rsidRDefault="00E45B35" w:rsidP="0065452F">
      <w:pPr>
        <w:autoSpaceDE w:val="0"/>
        <w:autoSpaceDN w:val="0"/>
        <w:adjustRightInd w:val="0"/>
        <w:spacing w:before="120"/>
        <w:jc w:val="both"/>
        <w:rPr>
          <w:sz w:val="19"/>
          <w:szCs w:val="19"/>
        </w:rPr>
      </w:pPr>
      <w:r>
        <w:rPr>
          <w:sz w:val="19"/>
          <w:szCs w:val="19"/>
          <w:vertAlign w:val="superscript"/>
        </w:rPr>
        <w:t>6</w:t>
      </w:r>
      <w:r w:rsidR="00EB39B9" w:rsidRPr="005C0FE4">
        <w:rPr>
          <w:sz w:val="19"/>
          <w:szCs w:val="19"/>
          <w:vertAlign w:val="superscript"/>
        </w:rPr>
        <w:t xml:space="preserve"> </w:t>
      </w:r>
      <w:r w:rsidR="00EB39B9">
        <w:rPr>
          <w:bCs/>
          <w:i/>
          <w:color w:val="000000"/>
          <w:sz w:val="19"/>
          <w:szCs w:val="19"/>
          <w:u w:val="single"/>
        </w:rPr>
        <w:t>Certification Statement Assumptions</w:t>
      </w:r>
      <w:r w:rsidR="00EB39B9" w:rsidRPr="005C0FE4">
        <w:rPr>
          <w:bCs/>
          <w:i/>
          <w:color w:val="000000"/>
          <w:sz w:val="19"/>
          <w:szCs w:val="19"/>
          <w:u w:val="single"/>
        </w:rPr>
        <w:t xml:space="preserve">: </w:t>
      </w:r>
      <w:r w:rsidR="00EB39B9" w:rsidRPr="00F20FBC">
        <w:rPr>
          <w:sz w:val="20"/>
          <w:szCs w:val="20"/>
        </w:rPr>
        <w:t xml:space="preserve">EPA (August 24, 2009) estimates there are 3,300 C&amp;D materials recycling facilities operating nationwide.  This includes approximately 3,000 concrete and asphalt recyclers, which leaves about 300 mixed debris (including wood processing) facilities.  Franklin Associates (June 1998) estimates there were about </w:t>
      </w:r>
      <w:r w:rsidR="00EB39B9" w:rsidRPr="00F20FBC">
        <w:rPr>
          <w:b/>
          <w:sz w:val="20"/>
          <w:szCs w:val="20"/>
        </w:rPr>
        <w:t xml:space="preserve">500 </w:t>
      </w:r>
      <w:r w:rsidR="00EB39B9" w:rsidRPr="00F20FBC">
        <w:rPr>
          <w:sz w:val="20"/>
          <w:szCs w:val="20"/>
        </w:rPr>
        <w:t xml:space="preserve">wood waste processing facilities operating in the U.S. in the late 1990’s. </w:t>
      </w:r>
      <w:r w:rsidR="00A26A18">
        <w:rPr>
          <w:sz w:val="20"/>
          <w:szCs w:val="20"/>
        </w:rPr>
        <w:t xml:space="preserve">This was assumed to be a one-time burden over the 3 year period of ICR.2493.03, from 2016 to 2019. We therefore estimate two thirds of the 500 affected facilities have already completed their certification requirements and </w:t>
      </w:r>
      <w:r w:rsidR="00EB39B9" w:rsidRPr="00F20FBC">
        <w:rPr>
          <w:sz w:val="20"/>
          <w:szCs w:val="20"/>
        </w:rPr>
        <w:t xml:space="preserve">use  estimate of </w:t>
      </w:r>
      <w:r w:rsidR="00A26A18">
        <w:rPr>
          <w:sz w:val="20"/>
          <w:szCs w:val="20"/>
        </w:rPr>
        <w:t>167 remaining</w:t>
      </w:r>
      <w:r w:rsidR="00EB39B9" w:rsidRPr="00F20FBC">
        <w:rPr>
          <w:sz w:val="20"/>
          <w:szCs w:val="20"/>
        </w:rPr>
        <w:t xml:space="preserve"> facilities in this ICR.</w:t>
      </w:r>
      <w:r w:rsidR="00921F93">
        <w:rPr>
          <w:sz w:val="20"/>
          <w:szCs w:val="20"/>
        </w:rPr>
        <w:t xml:space="preserve"> </w:t>
      </w:r>
    </w:p>
    <w:p w14:paraId="4F1B4AE1" w14:textId="77777777" w:rsidR="007E3287" w:rsidRPr="00D15828" w:rsidRDefault="007E3287" w:rsidP="003C288B">
      <w:pPr>
        <w:spacing w:before="120"/>
        <w:jc w:val="both"/>
        <w:rPr>
          <w:rFonts w:cs="Shruti"/>
          <w:sz w:val="20"/>
          <w:szCs w:val="20"/>
        </w:rPr>
      </w:pPr>
      <w:r w:rsidRPr="00D15828">
        <w:rPr>
          <w:sz w:val="20"/>
          <w:szCs w:val="20"/>
        </w:rPr>
        <w:br w:type="page"/>
      </w:r>
    </w:p>
    <w:tbl>
      <w:tblPr>
        <w:tblW w:w="14073" w:type="dxa"/>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firstRow="0" w:lastRow="0" w:firstColumn="0" w:lastColumn="0" w:noHBand="0" w:noVBand="0"/>
      </w:tblPr>
      <w:tblGrid>
        <w:gridCol w:w="1710"/>
        <w:gridCol w:w="980"/>
        <w:gridCol w:w="1080"/>
        <w:gridCol w:w="990"/>
        <w:gridCol w:w="1090"/>
        <w:gridCol w:w="990"/>
        <w:gridCol w:w="900"/>
        <w:gridCol w:w="900"/>
        <w:gridCol w:w="1260"/>
        <w:gridCol w:w="1350"/>
        <w:gridCol w:w="900"/>
        <w:gridCol w:w="900"/>
        <w:gridCol w:w="1023"/>
      </w:tblGrid>
      <w:tr w:rsidR="007E3287" w:rsidRPr="00D15828" w14:paraId="210E8C9F" w14:textId="77777777" w:rsidTr="00F84744">
        <w:trPr>
          <w:gridAfter w:val="1"/>
          <w:wAfter w:w="1023" w:type="dxa"/>
          <w:jc w:val="center"/>
        </w:trPr>
        <w:tc>
          <w:tcPr>
            <w:tcW w:w="13050" w:type="dxa"/>
            <w:gridSpan w:val="12"/>
            <w:tcBorders>
              <w:top w:val="single" w:sz="8" w:space="0" w:color="000000"/>
              <w:left w:val="single" w:sz="8" w:space="0" w:color="000000"/>
              <w:right w:val="single" w:sz="8" w:space="0" w:color="000000"/>
            </w:tcBorders>
          </w:tcPr>
          <w:p w14:paraId="6514699C" w14:textId="77777777" w:rsidR="007E3287" w:rsidRPr="00A8563B" w:rsidRDefault="007E3287" w:rsidP="005E4C60">
            <w:pPr>
              <w:spacing w:line="120" w:lineRule="exact"/>
              <w:rPr>
                <w:rFonts w:cs="Shruti"/>
                <w:sz w:val="19"/>
                <w:szCs w:val="19"/>
              </w:rPr>
            </w:pPr>
          </w:p>
          <w:p w14:paraId="5B2477A3" w14:textId="77777777" w:rsidR="007E3287" w:rsidRPr="00A8563B" w:rsidRDefault="007E3287" w:rsidP="005E4C60">
            <w:pPr>
              <w:tabs>
                <w:tab w:val="center" w:pos="6360"/>
              </w:tabs>
              <w:spacing w:after="58"/>
              <w:rPr>
                <w:rFonts w:cs="Shruti"/>
                <w:b/>
                <w:sz w:val="19"/>
                <w:szCs w:val="19"/>
              </w:rPr>
            </w:pPr>
            <w:r w:rsidRPr="00A8563B">
              <w:rPr>
                <w:rFonts w:cs="Shruti"/>
                <w:bCs/>
                <w:sz w:val="19"/>
                <w:szCs w:val="19"/>
              </w:rPr>
              <w:tab/>
            </w:r>
            <w:r w:rsidRPr="00A8563B">
              <w:rPr>
                <w:rFonts w:cs="Shruti"/>
                <w:b/>
                <w:bCs/>
                <w:sz w:val="19"/>
                <w:szCs w:val="19"/>
              </w:rPr>
              <w:t>Exhibit 2 - Estimated Agency Burden and Cost</w:t>
            </w:r>
          </w:p>
        </w:tc>
      </w:tr>
      <w:tr w:rsidR="007E3287" w:rsidRPr="00D15828" w14:paraId="7BA2E276" w14:textId="77777777" w:rsidTr="00F84744">
        <w:tblPrEx>
          <w:tblBorders>
            <w:top w:val="none" w:sz="0" w:space="0" w:color="auto"/>
            <w:left w:val="none" w:sz="0" w:space="0" w:color="auto"/>
            <w:bottom w:val="none" w:sz="0" w:space="0" w:color="auto"/>
            <w:right w:val="none" w:sz="0" w:space="0" w:color="auto"/>
          </w:tblBorders>
        </w:tblPrEx>
        <w:trPr>
          <w:gridAfter w:val="1"/>
          <w:wAfter w:w="1023" w:type="dxa"/>
          <w:jc w:val="center"/>
        </w:trPr>
        <w:tc>
          <w:tcPr>
            <w:tcW w:w="13050" w:type="dxa"/>
            <w:gridSpan w:val="12"/>
            <w:tcBorders>
              <w:top w:val="single" w:sz="7" w:space="0" w:color="000000"/>
              <w:left w:val="single" w:sz="8" w:space="0" w:color="000000"/>
              <w:bottom w:val="single" w:sz="7" w:space="0" w:color="000000"/>
              <w:right w:val="single" w:sz="8" w:space="0" w:color="000000"/>
            </w:tcBorders>
          </w:tcPr>
          <w:p w14:paraId="46357286" w14:textId="77777777" w:rsidR="007E3287" w:rsidRPr="00A8563B" w:rsidRDefault="007E3287" w:rsidP="005E4C60">
            <w:pPr>
              <w:spacing w:line="120" w:lineRule="exact"/>
              <w:rPr>
                <w:rFonts w:cs="Shruti"/>
                <w:sz w:val="19"/>
                <w:szCs w:val="19"/>
              </w:rPr>
            </w:pPr>
          </w:p>
          <w:p w14:paraId="0B775274" w14:textId="448B89C3" w:rsidR="007E3287" w:rsidRPr="00A8563B" w:rsidRDefault="007E3287" w:rsidP="005E4C60">
            <w:pPr>
              <w:tabs>
                <w:tab w:val="left" w:pos="-1080"/>
                <w:tab w:val="left" w:pos="-720"/>
                <w:tab w:val="left" w:pos="0"/>
                <w:tab w:val="left" w:pos="810"/>
              </w:tabs>
              <w:spacing w:after="58"/>
              <w:rPr>
                <w:rFonts w:cs="Shruti"/>
                <w:sz w:val="19"/>
                <w:szCs w:val="19"/>
              </w:rPr>
            </w:pPr>
            <w:r w:rsidRPr="00A8563B">
              <w:rPr>
                <w:rFonts w:cs="Shruti"/>
                <w:sz w:val="19"/>
                <w:szCs w:val="19"/>
              </w:rPr>
              <w:t xml:space="preserve">                                                           Hours and Costs per Respondent                                                                                                        </w:t>
            </w:r>
            <w:r w:rsidR="00D62966">
              <w:rPr>
                <w:rFonts w:cs="Shruti"/>
                <w:sz w:val="19"/>
                <w:szCs w:val="19"/>
              </w:rPr>
              <w:t xml:space="preserve">            </w:t>
            </w:r>
            <w:r w:rsidRPr="00A8563B">
              <w:rPr>
                <w:rFonts w:cs="Shruti"/>
                <w:sz w:val="19"/>
                <w:szCs w:val="19"/>
              </w:rPr>
              <w:t>Total Hours and Costs</w:t>
            </w:r>
          </w:p>
        </w:tc>
      </w:tr>
      <w:tr w:rsidR="00281BB0" w:rsidRPr="00D15828" w14:paraId="0CDC3607" w14:textId="77777777" w:rsidTr="00F84744">
        <w:tblPrEx>
          <w:tblBorders>
            <w:top w:val="none" w:sz="0" w:space="0" w:color="auto"/>
            <w:left w:val="none" w:sz="0" w:space="0" w:color="auto"/>
            <w:bottom w:val="none" w:sz="0" w:space="0" w:color="auto"/>
            <w:right w:val="none" w:sz="0" w:space="0" w:color="auto"/>
          </w:tblBorders>
        </w:tblPrEx>
        <w:trPr>
          <w:gridAfter w:val="1"/>
          <w:wAfter w:w="1023" w:type="dxa"/>
          <w:jc w:val="center"/>
        </w:trPr>
        <w:tc>
          <w:tcPr>
            <w:tcW w:w="1710" w:type="dxa"/>
            <w:tcBorders>
              <w:top w:val="single" w:sz="7" w:space="0" w:color="000000"/>
              <w:left w:val="single" w:sz="8" w:space="0" w:color="000000"/>
              <w:bottom w:val="single" w:sz="7" w:space="0" w:color="000000"/>
              <w:right w:val="single" w:sz="8" w:space="0" w:color="000000"/>
            </w:tcBorders>
          </w:tcPr>
          <w:p w14:paraId="32D6BD28" w14:textId="77777777" w:rsidR="00281BB0" w:rsidRPr="00A8563B" w:rsidRDefault="00281BB0" w:rsidP="005E4C60">
            <w:pPr>
              <w:spacing w:line="120" w:lineRule="exact"/>
              <w:rPr>
                <w:sz w:val="19"/>
                <w:szCs w:val="19"/>
              </w:rPr>
            </w:pPr>
          </w:p>
          <w:p w14:paraId="73237DC5" w14:textId="77777777" w:rsidR="00281BB0" w:rsidRPr="00A8563B" w:rsidRDefault="00281BB0" w:rsidP="005E4C60">
            <w:pPr>
              <w:tabs>
                <w:tab w:val="left" w:pos="-1080"/>
                <w:tab w:val="left" w:pos="-720"/>
                <w:tab w:val="left" w:pos="0"/>
                <w:tab w:val="left" w:pos="810"/>
              </w:tabs>
              <w:spacing w:after="58"/>
              <w:rPr>
                <w:sz w:val="19"/>
                <w:szCs w:val="19"/>
              </w:rPr>
            </w:pPr>
            <w:r w:rsidRPr="00A8563B">
              <w:rPr>
                <w:sz w:val="19"/>
                <w:szCs w:val="19"/>
              </w:rPr>
              <w:t>INFORMATION COLLECTION ACTIVITY</w:t>
            </w:r>
          </w:p>
        </w:tc>
        <w:tc>
          <w:tcPr>
            <w:tcW w:w="980" w:type="dxa"/>
            <w:tcBorders>
              <w:top w:val="single" w:sz="7" w:space="0" w:color="000000"/>
              <w:left w:val="single" w:sz="8" w:space="0" w:color="000000"/>
              <w:bottom w:val="single" w:sz="7" w:space="0" w:color="000000"/>
              <w:right w:val="single" w:sz="8" w:space="0" w:color="000000"/>
            </w:tcBorders>
          </w:tcPr>
          <w:p w14:paraId="49857849" w14:textId="77777777" w:rsidR="00281BB0" w:rsidRPr="00A8563B" w:rsidRDefault="00281BB0" w:rsidP="005E4C60">
            <w:pPr>
              <w:spacing w:line="120" w:lineRule="exact"/>
              <w:rPr>
                <w:sz w:val="19"/>
                <w:szCs w:val="19"/>
              </w:rPr>
            </w:pPr>
          </w:p>
          <w:p w14:paraId="4B229853" w14:textId="77777777" w:rsidR="00281BB0" w:rsidRPr="00A8563B" w:rsidRDefault="00281BB0" w:rsidP="005E4C60">
            <w:pPr>
              <w:spacing w:line="120" w:lineRule="exact"/>
              <w:rPr>
                <w:sz w:val="19"/>
                <w:szCs w:val="19"/>
              </w:rPr>
            </w:pPr>
          </w:p>
          <w:p w14:paraId="093A92DB" w14:textId="77777777" w:rsidR="00281BB0" w:rsidRPr="00A8563B" w:rsidRDefault="00281BB0" w:rsidP="005E4C60">
            <w:pPr>
              <w:tabs>
                <w:tab w:val="left" w:pos="-1080"/>
                <w:tab w:val="left" w:pos="-720"/>
                <w:tab w:val="left" w:pos="0"/>
                <w:tab w:val="left" w:pos="810"/>
              </w:tabs>
              <w:rPr>
                <w:sz w:val="19"/>
                <w:szCs w:val="19"/>
              </w:rPr>
            </w:pPr>
            <w:r w:rsidRPr="00A8563B">
              <w:rPr>
                <w:sz w:val="19"/>
                <w:szCs w:val="19"/>
              </w:rPr>
              <w:t>Mgr.</w:t>
            </w:r>
          </w:p>
          <w:p w14:paraId="17B44A85" w14:textId="77777777" w:rsidR="000D12E3" w:rsidRDefault="00281BB0" w:rsidP="001B218F">
            <w:pPr>
              <w:tabs>
                <w:tab w:val="left" w:pos="-1080"/>
                <w:tab w:val="left" w:pos="-720"/>
                <w:tab w:val="left" w:pos="0"/>
                <w:tab w:val="left" w:pos="810"/>
              </w:tabs>
              <w:spacing w:after="58"/>
              <w:rPr>
                <w:sz w:val="19"/>
                <w:szCs w:val="19"/>
              </w:rPr>
            </w:pPr>
            <w:r w:rsidRPr="00A8563B">
              <w:rPr>
                <w:sz w:val="19"/>
                <w:szCs w:val="19"/>
              </w:rPr>
              <w:t>$</w:t>
            </w:r>
            <w:r>
              <w:rPr>
                <w:sz w:val="19"/>
                <w:szCs w:val="19"/>
              </w:rPr>
              <w:t>6</w:t>
            </w:r>
            <w:r w:rsidR="00921F93">
              <w:rPr>
                <w:sz w:val="19"/>
                <w:szCs w:val="19"/>
              </w:rPr>
              <w:t>5.71</w:t>
            </w:r>
            <w:r w:rsidRPr="00A8563B">
              <w:rPr>
                <w:sz w:val="19"/>
                <w:szCs w:val="19"/>
              </w:rPr>
              <w:t>/</w:t>
            </w:r>
          </w:p>
          <w:p w14:paraId="272081D9" w14:textId="0251D064" w:rsidR="00281BB0" w:rsidRPr="00A8563B" w:rsidRDefault="00281BB0" w:rsidP="001B218F">
            <w:pPr>
              <w:tabs>
                <w:tab w:val="left" w:pos="-1080"/>
                <w:tab w:val="left" w:pos="-720"/>
                <w:tab w:val="left" w:pos="0"/>
                <w:tab w:val="left" w:pos="810"/>
              </w:tabs>
              <w:spacing w:after="58"/>
              <w:rPr>
                <w:sz w:val="19"/>
                <w:szCs w:val="19"/>
              </w:rPr>
            </w:pPr>
            <w:r w:rsidRPr="00A8563B">
              <w:rPr>
                <w:sz w:val="19"/>
                <w:szCs w:val="19"/>
              </w:rPr>
              <w:t>Hr</w:t>
            </w:r>
          </w:p>
        </w:tc>
        <w:tc>
          <w:tcPr>
            <w:tcW w:w="1080" w:type="dxa"/>
            <w:tcBorders>
              <w:top w:val="single" w:sz="7" w:space="0" w:color="000000"/>
              <w:left w:val="single" w:sz="8" w:space="0" w:color="000000"/>
              <w:bottom w:val="single" w:sz="7" w:space="0" w:color="000000"/>
              <w:right w:val="single" w:sz="8" w:space="0" w:color="000000"/>
            </w:tcBorders>
          </w:tcPr>
          <w:p w14:paraId="252234B4" w14:textId="77777777" w:rsidR="00281BB0" w:rsidRPr="00A8563B" w:rsidRDefault="00281BB0" w:rsidP="005E4C60">
            <w:pPr>
              <w:spacing w:line="120" w:lineRule="exact"/>
              <w:rPr>
                <w:sz w:val="19"/>
                <w:szCs w:val="19"/>
              </w:rPr>
            </w:pPr>
          </w:p>
          <w:p w14:paraId="2C4CB32F" w14:textId="77777777" w:rsidR="00281BB0" w:rsidRPr="00A8563B" w:rsidRDefault="00281BB0" w:rsidP="005E4C60">
            <w:pPr>
              <w:tabs>
                <w:tab w:val="left" w:pos="-1080"/>
                <w:tab w:val="left" w:pos="-720"/>
                <w:tab w:val="left" w:pos="0"/>
                <w:tab w:val="left" w:pos="810"/>
              </w:tabs>
              <w:rPr>
                <w:sz w:val="19"/>
                <w:szCs w:val="19"/>
              </w:rPr>
            </w:pPr>
            <w:r w:rsidRPr="00A8563B">
              <w:rPr>
                <w:sz w:val="19"/>
                <w:szCs w:val="19"/>
              </w:rPr>
              <w:t>Tech.</w:t>
            </w:r>
          </w:p>
          <w:p w14:paraId="1582EB18" w14:textId="41E96140" w:rsidR="00281BB0" w:rsidRPr="00A8563B" w:rsidRDefault="00281BB0" w:rsidP="001B218F">
            <w:pPr>
              <w:tabs>
                <w:tab w:val="left" w:pos="-1080"/>
                <w:tab w:val="left" w:pos="-720"/>
                <w:tab w:val="left" w:pos="0"/>
                <w:tab w:val="left" w:pos="810"/>
              </w:tabs>
              <w:spacing w:after="58"/>
              <w:rPr>
                <w:sz w:val="19"/>
                <w:szCs w:val="19"/>
              </w:rPr>
            </w:pPr>
            <w:r w:rsidRPr="00A8563B">
              <w:rPr>
                <w:sz w:val="19"/>
                <w:szCs w:val="19"/>
              </w:rPr>
              <w:t>$</w:t>
            </w:r>
            <w:r w:rsidR="00921F93">
              <w:rPr>
                <w:sz w:val="19"/>
                <w:szCs w:val="19"/>
              </w:rPr>
              <w:t>48.75</w:t>
            </w:r>
            <w:r w:rsidRPr="00A8563B">
              <w:rPr>
                <w:sz w:val="19"/>
                <w:szCs w:val="19"/>
              </w:rPr>
              <w:t>/Hr</w:t>
            </w:r>
          </w:p>
        </w:tc>
        <w:tc>
          <w:tcPr>
            <w:tcW w:w="990" w:type="dxa"/>
            <w:tcBorders>
              <w:top w:val="single" w:sz="7" w:space="0" w:color="000000"/>
              <w:left w:val="single" w:sz="8" w:space="0" w:color="000000"/>
              <w:bottom w:val="single" w:sz="7" w:space="0" w:color="000000"/>
              <w:right w:val="single" w:sz="8" w:space="0" w:color="000000"/>
            </w:tcBorders>
          </w:tcPr>
          <w:p w14:paraId="5A81A31A" w14:textId="77777777" w:rsidR="00281BB0" w:rsidRPr="00A8563B" w:rsidRDefault="00281BB0" w:rsidP="005E4C60">
            <w:pPr>
              <w:spacing w:line="120" w:lineRule="exact"/>
              <w:rPr>
                <w:sz w:val="19"/>
                <w:szCs w:val="19"/>
              </w:rPr>
            </w:pPr>
          </w:p>
          <w:p w14:paraId="3A5AFCCE" w14:textId="77777777" w:rsidR="00281BB0" w:rsidRPr="00A8563B" w:rsidRDefault="00281BB0" w:rsidP="005E4C60">
            <w:pPr>
              <w:tabs>
                <w:tab w:val="left" w:pos="-1080"/>
                <w:tab w:val="left" w:pos="-720"/>
                <w:tab w:val="left" w:pos="0"/>
                <w:tab w:val="left" w:pos="810"/>
              </w:tabs>
              <w:rPr>
                <w:sz w:val="19"/>
                <w:szCs w:val="19"/>
              </w:rPr>
            </w:pPr>
            <w:r w:rsidRPr="00A8563B">
              <w:rPr>
                <w:sz w:val="19"/>
                <w:szCs w:val="19"/>
              </w:rPr>
              <w:t>Cler.</w:t>
            </w:r>
          </w:p>
          <w:p w14:paraId="3F7CF8FC" w14:textId="77777777" w:rsidR="000D12E3" w:rsidRDefault="00281BB0" w:rsidP="001B218F">
            <w:pPr>
              <w:tabs>
                <w:tab w:val="left" w:pos="-1080"/>
                <w:tab w:val="left" w:pos="-720"/>
                <w:tab w:val="left" w:pos="0"/>
                <w:tab w:val="left" w:pos="810"/>
              </w:tabs>
              <w:spacing w:after="58"/>
              <w:rPr>
                <w:sz w:val="19"/>
                <w:szCs w:val="19"/>
              </w:rPr>
            </w:pPr>
            <w:r w:rsidRPr="00A8563B">
              <w:rPr>
                <w:sz w:val="19"/>
                <w:szCs w:val="19"/>
              </w:rPr>
              <w:t>$</w:t>
            </w:r>
            <w:r>
              <w:rPr>
                <w:sz w:val="19"/>
                <w:szCs w:val="19"/>
              </w:rPr>
              <w:t>26</w:t>
            </w:r>
            <w:r w:rsidR="00921F93">
              <w:rPr>
                <w:sz w:val="19"/>
                <w:szCs w:val="19"/>
              </w:rPr>
              <w:t>.38</w:t>
            </w:r>
            <w:r w:rsidRPr="00A8563B">
              <w:rPr>
                <w:sz w:val="19"/>
                <w:szCs w:val="19"/>
              </w:rPr>
              <w:t>/</w:t>
            </w:r>
          </w:p>
          <w:p w14:paraId="4FA134F0" w14:textId="7A9BA103" w:rsidR="00281BB0" w:rsidRPr="00A8563B" w:rsidRDefault="00281BB0" w:rsidP="001B218F">
            <w:pPr>
              <w:tabs>
                <w:tab w:val="left" w:pos="-1080"/>
                <w:tab w:val="left" w:pos="-720"/>
                <w:tab w:val="left" w:pos="0"/>
                <w:tab w:val="left" w:pos="810"/>
              </w:tabs>
              <w:spacing w:after="58"/>
              <w:rPr>
                <w:sz w:val="19"/>
                <w:szCs w:val="19"/>
              </w:rPr>
            </w:pPr>
            <w:r w:rsidRPr="00A8563B">
              <w:rPr>
                <w:sz w:val="19"/>
                <w:szCs w:val="19"/>
              </w:rPr>
              <w:t>Hr</w:t>
            </w:r>
          </w:p>
        </w:tc>
        <w:tc>
          <w:tcPr>
            <w:tcW w:w="1090" w:type="dxa"/>
            <w:tcBorders>
              <w:top w:val="single" w:sz="7" w:space="0" w:color="000000"/>
              <w:left w:val="single" w:sz="8" w:space="0" w:color="000000"/>
              <w:bottom w:val="single" w:sz="7" w:space="0" w:color="000000"/>
              <w:right w:val="single" w:sz="8" w:space="0" w:color="000000"/>
            </w:tcBorders>
          </w:tcPr>
          <w:p w14:paraId="7678CDAD" w14:textId="77777777" w:rsidR="00281BB0" w:rsidRPr="00A8563B" w:rsidRDefault="00281BB0" w:rsidP="005E4C60">
            <w:pPr>
              <w:spacing w:line="120" w:lineRule="exact"/>
              <w:rPr>
                <w:sz w:val="19"/>
                <w:szCs w:val="19"/>
              </w:rPr>
            </w:pPr>
          </w:p>
          <w:p w14:paraId="137754AB" w14:textId="17CFA0AD" w:rsidR="00281BB0" w:rsidRPr="00A8563B" w:rsidRDefault="00281BB0" w:rsidP="005E4C60">
            <w:pPr>
              <w:tabs>
                <w:tab w:val="left" w:pos="-1080"/>
                <w:tab w:val="left" w:pos="-720"/>
                <w:tab w:val="left" w:pos="0"/>
                <w:tab w:val="left" w:pos="810"/>
              </w:tabs>
              <w:spacing w:after="58"/>
              <w:rPr>
                <w:sz w:val="19"/>
                <w:szCs w:val="19"/>
              </w:rPr>
            </w:pPr>
            <w:r>
              <w:rPr>
                <w:sz w:val="19"/>
                <w:szCs w:val="19"/>
              </w:rPr>
              <w:t>Agency</w:t>
            </w:r>
            <w:r w:rsidRPr="00A8563B">
              <w:rPr>
                <w:sz w:val="19"/>
                <w:szCs w:val="19"/>
              </w:rPr>
              <w:t>. Hours</w:t>
            </w:r>
          </w:p>
        </w:tc>
        <w:tc>
          <w:tcPr>
            <w:tcW w:w="990" w:type="dxa"/>
            <w:tcBorders>
              <w:top w:val="single" w:sz="7" w:space="0" w:color="000000"/>
              <w:left w:val="single" w:sz="8" w:space="0" w:color="000000"/>
              <w:bottom w:val="single" w:sz="7" w:space="0" w:color="000000"/>
              <w:right w:val="single" w:sz="8" w:space="0" w:color="000000"/>
            </w:tcBorders>
          </w:tcPr>
          <w:p w14:paraId="63F7F079" w14:textId="77777777" w:rsidR="00281BB0" w:rsidRPr="00A8563B" w:rsidRDefault="00281BB0" w:rsidP="005E4C60">
            <w:pPr>
              <w:spacing w:line="120" w:lineRule="exact"/>
              <w:rPr>
                <w:sz w:val="19"/>
                <w:szCs w:val="19"/>
              </w:rPr>
            </w:pPr>
          </w:p>
          <w:p w14:paraId="39D12F52" w14:textId="77777777" w:rsidR="00281BB0" w:rsidRPr="00A8563B" w:rsidRDefault="00281BB0" w:rsidP="005E4C60">
            <w:pPr>
              <w:tabs>
                <w:tab w:val="left" w:pos="-1080"/>
                <w:tab w:val="left" w:pos="-720"/>
                <w:tab w:val="left" w:pos="0"/>
                <w:tab w:val="left" w:pos="810"/>
              </w:tabs>
              <w:spacing w:after="58"/>
              <w:rPr>
                <w:sz w:val="19"/>
                <w:szCs w:val="19"/>
              </w:rPr>
            </w:pPr>
            <w:r w:rsidRPr="00A8563B">
              <w:rPr>
                <w:sz w:val="19"/>
                <w:szCs w:val="19"/>
              </w:rPr>
              <w:t>Labor Cost</w:t>
            </w:r>
            <w:r w:rsidRPr="00A8563B">
              <w:rPr>
                <w:sz w:val="19"/>
                <w:szCs w:val="19"/>
                <w:vertAlign w:val="superscript"/>
              </w:rPr>
              <w:t>1</w:t>
            </w:r>
          </w:p>
        </w:tc>
        <w:tc>
          <w:tcPr>
            <w:tcW w:w="900" w:type="dxa"/>
            <w:tcBorders>
              <w:top w:val="single" w:sz="7" w:space="0" w:color="000000"/>
              <w:left w:val="single" w:sz="8" w:space="0" w:color="000000"/>
              <w:bottom w:val="single" w:sz="7" w:space="0" w:color="000000"/>
              <w:right w:val="single" w:sz="8" w:space="0" w:color="000000"/>
            </w:tcBorders>
          </w:tcPr>
          <w:p w14:paraId="29111CB4" w14:textId="77777777" w:rsidR="00281BB0" w:rsidRPr="00A8563B" w:rsidRDefault="00281BB0" w:rsidP="005E4C60">
            <w:pPr>
              <w:spacing w:line="120" w:lineRule="exact"/>
              <w:rPr>
                <w:sz w:val="19"/>
                <w:szCs w:val="19"/>
              </w:rPr>
            </w:pPr>
          </w:p>
          <w:p w14:paraId="1086FCE9" w14:textId="77777777" w:rsidR="00281BB0" w:rsidRPr="00A8563B" w:rsidRDefault="00281BB0" w:rsidP="005E4C60">
            <w:pPr>
              <w:tabs>
                <w:tab w:val="left" w:pos="-1080"/>
                <w:tab w:val="left" w:pos="-720"/>
                <w:tab w:val="left" w:pos="0"/>
                <w:tab w:val="left" w:pos="810"/>
              </w:tabs>
              <w:rPr>
                <w:sz w:val="19"/>
                <w:szCs w:val="19"/>
              </w:rPr>
            </w:pPr>
            <w:r w:rsidRPr="00A8563B">
              <w:rPr>
                <w:sz w:val="19"/>
                <w:szCs w:val="19"/>
              </w:rPr>
              <w:t>Capital/</w:t>
            </w:r>
          </w:p>
          <w:p w14:paraId="25A1301E" w14:textId="77777777" w:rsidR="00281BB0" w:rsidRPr="00A8563B" w:rsidRDefault="00281BB0" w:rsidP="005E4C60">
            <w:pPr>
              <w:tabs>
                <w:tab w:val="left" w:pos="-1080"/>
                <w:tab w:val="left" w:pos="-720"/>
                <w:tab w:val="left" w:pos="0"/>
                <w:tab w:val="left" w:pos="810"/>
              </w:tabs>
              <w:spacing w:after="58"/>
              <w:rPr>
                <w:sz w:val="19"/>
                <w:szCs w:val="19"/>
              </w:rPr>
            </w:pPr>
            <w:r w:rsidRPr="00A8563B">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14:paraId="33BFAE97" w14:textId="77777777" w:rsidR="00281BB0" w:rsidRPr="00A8563B" w:rsidRDefault="00281BB0" w:rsidP="005E4C60">
            <w:pPr>
              <w:spacing w:line="120" w:lineRule="exact"/>
              <w:rPr>
                <w:sz w:val="19"/>
                <w:szCs w:val="19"/>
              </w:rPr>
            </w:pPr>
          </w:p>
          <w:p w14:paraId="5B999977" w14:textId="77777777" w:rsidR="00281BB0" w:rsidRPr="00A8563B" w:rsidRDefault="00281BB0" w:rsidP="005E4C60">
            <w:pPr>
              <w:tabs>
                <w:tab w:val="left" w:pos="-1080"/>
                <w:tab w:val="left" w:pos="-720"/>
                <w:tab w:val="left" w:pos="0"/>
                <w:tab w:val="left" w:pos="810"/>
              </w:tabs>
              <w:rPr>
                <w:sz w:val="19"/>
                <w:szCs w:val="19"/>
              </w:rPr>
            </w:pPr>
            <w:r w:rsidRPr="00A8563B">
              <w:rPr>
                <w:sz w:val="19"/>
                <w:szCs w:val="19"/>
              </w:rPr>
              <w:t xml:space="preserve">O &amp; M </w:t>
            </w:r>
          </w:p>
          <w:p w14:paraId="2EA1566E" w14:textId="77777777" w:rsidR="00281BB0" w:rsidRPr="00A8563B" w:rsidRDefault="00281BB0" w:rsidP="005E4C60">
            <w:pPr>
              <w:tabs>
                <w:tab w:val="left" w:pos="-1080"/>
                <w:tab w:val="left" w:pos="-720"/>
                <w:tab w:val="left" w:pos="0"/>
                <w:tab w:val="left" w:pos="810"/>
              </w:tabs>
              <w:spacing w:after="58"/>
              <w:rPr>
                <w:sz w:val="19"/>
                <w:szCs w:val="19"/>
              </w:rPr>
            </w:pPr>
            <w:r w:rsidRPr="00A8563B">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14:paraId="7E7D7886" w14:textId="77777777" w:rsidR="00281BB0" w:rsidRPr="00A8563B" w:rsidRDefault="00281BB0" w:rsidP="005E4C60">
            <w:pPr>
              <w:spacing w:line="120" w:lineRule="exact"/>
              <w:rPr>
                <w:sz w:val="19"/>
                <w:szCs w:val="19"/>
              </w:rPr>
            </w:pPr>
          </w:p>
          <w:p w14:paraId="2E85A038" w14:textId="77777777" w:rsidR="00281BB0" w:rsidRPr="00A8563B" w:rsidRDefault="00281BB0" w:rsidP="005E4C60">
            <w:pPr>
              <w:tabs>
                <w:tab w:val="left" w:pos="-1080"/>
                <w:tab w:val="left" w:pos="-720"/>
                <w:tab w:val="left" w:pos="0"/>
                <w:tab w:val="left" w:pos="810"/>
              </w:tabs>
              <w:rPr>
                <w:sz w:val="19"/>
                <w:szCs w:val="19"/>
              </w:rPr>
            </w:pPr>
            <w:r w:rsidRPr="00A8563B">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14:paraId="576061C7" w14:textId="77777777" w:rsidR="00281BB0" w:rsidRPr="00A8563B" w:rsidRDefault="00281BB0" w:rsidP="00A8563B">
            <w:pPr>
              <w:tabs>
                <w:tab w:val="left" w:pos="-1080"/>
                <w:tab w:val="left" w:pos="-720"/>
                <w:tab w:val="left" w:pos="0"/>
                <w:tab w:val="left" w:pos="810"/>
              </w:tabs>
              <w:spacing w:before="120"/>
              <w:rPr>
                <w:sz w:val="19"/>
                <w:szCs w:val="19"/>
              </w:rPr>
            </w:pPr>
            <w:r w:rsidRPr="00A8563B">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14:paraId="2793FC8A" w14:textId="77777777" w:rsidR="00281BB0" w:rsidRPr="00A8563B" w:rsidRDefault="00281BB0" w:rsidP="005E4C60">
            <w:pPr>
              <w:spacing w:line="120" w:lineRule="exact"/>
              <w:rPr>
                <w:sz w:val="19"/>
                <w:szCs w:val="19"/>
              </w:rPr>
            </w:pPr>
          </w:p>
          <w:p w14:paraId="734C0D86" w14:textId="77777777" w:rsidR="00281BB0" w:rsidRPr="00A8563B" w:rsidRDefault="00281BB0" w:rsidP="005E4C60">
            <w:pPr>
              <w:tabs>
                <w:tab w:val="left" w:pos="-1080"/>
                <w:tab w:val="left" w:pos="-720"/>
                <w:tab w:val="left" w:pos="0"/>
                <w:tab w:val="left" w:pos="810"/>
              </w:tabs>
              <w:spacing w:after="58"/>
              <w:rPr>
                <w:sz w:val="19"/>
                <w:szCs w:val="19"/>
              </w:rPr>
            </w:pPr>
            <w:r w:rsidRPr="00A8563B">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14:paraId="47AFD440" w14:textId="77777777" w:rsidR="00281BB0" w:rsidRPr="00A8563B" w:rsidRDefault="00281BB0" w:rsidP="005E4C60">
            <w:pPr>
              <w:spacing w:line="120" w:lineRule="exact"/>
              <w:rPr>
                <w:sz w:val="19"/>
                <w:szCs w:val="19"/>
              </w:rPr>
            </w:pPr>
          </w:p>
          <w:p w14:paraId="3F6E7DC8" w14:textId="77777777" w:rsidR="00281BB0" w:rsidRPr="00A8563B" w:rsidRDefault="00281BB0" w:rsidP="005E4C60">
            <w:pPr>
              <w:tabs>
                <w:tab w:val="left" w:pos="-1080"/>
                <w:tab w:val="left" w:pos="-720"/>
                <w:tab w:val="left" w:pos="0"/>
                <w:tab w:val="left" w:pos="810"/>
              </w:tabs>
              <w:spacing w:after="58"/>
              <w:rPr>
                <w:sz w:val="19"/>
                <w:szCs w:val="19"/>
              </w:rPr>
            </w:pPr>
            <w:r w:rsidRPr="00A8563B">
              <w:rPr>
                <w:sz w:val="19"/>
                <w:szCs w:val="19"/>
              </w:rPr>
              <w:t>Total Cost</w:t>
            </w:r>
          </w:p>
        </w:tc>
      </w:tr>
      <w:tr w:rsidR="007E3287" w:rsidRPr="00D15828" w14:paraId="31DFBE48" w14:textId="77777777" w:rsidTr="00F84744">
        <w:tblPrEx>
          <w:tblBorders>
            <w:top w:val="none" w:sz="0" w:space="0" w:color="auto"/>
            <w:left w:val="none" w:sz="0" w:space="0" w:color="auto"/>
            <w:bottom w:val="none" w:sz="0" w:space="0" w:color="auto"/>
            <w:right w:val="none" w:sz="0" w:space="0" w:color="auto"/>
          </w:tblBorders>
        </w:tblPrEx>
        <w:trPr>
          <w:gridAfter w:val="1"/>
          <w:wAfter w:w="1023" w:type="dxa"/>
          <w:jc w:val="center"/>
        </w:trPr>
        <w:tc>
          <w:tcPr>
            <w:tcW w:w="13050" w:type="dxa"/>
            <w:gridSpan w:val="12"/>
            <w:tcBorders>
              <w:top w:val="single" w:sz="12" w:space="0" w:color="000000"/>
              <w:left w:val="single" w:sz="8" w:space="0" w:color="000000"/>
              <w:bottom w:val="single" w:sz="12" w:space="0" w:color="000000"/>
              <w:right w:val="single" w:sz="8" w:space="0" w:color="000000"/>
            </w:tcBorders>
          </w:tcPr>
          <w:p w14:paraId="7711723F" w14:textId="77777777" w:rsidR="007E3287" w:rsidRPr="00A8563B" w:rsidRDefault="007E3287" w:rsidP="005E4C60">
            <w:pPr>
              <w:spacing w:line="120" w:lineRule="exact"/>
              <w:rPr>
                <w:sz w:val="19"/>
                <w:szCs w:val="19"/>
              </w:rPr>
            </w:pPr>
          </w:p>
          <w:p w14:paraId="7358D491" w14:textId="0091A4F6" w:rsidR="007E3287" w:rsidRPr="00A8563B" w:rsidRDefault="007E3287" w:rsidP="005E4C60">
            <w:pPr>
              <w:tabs>
                <w:tab w:val="left" w:pos="-1080"/>
                <w:tab w:val="left" w:pos="-720"/>
                <w:tab w:val="left" w:pos="0"/>
                <w:tab w:val="left" w:pos="810"/>
              </w:tabs>
              <w:spacing w:after="58"/>
              <w:rPr>
                <w:sz w:val="19"/>
                <w:szCs w:val="19"/>
              </w:rPr>
            </w:pPr>
            <w:r w:rsidRPr="00A8563B">
              <w:rPr>
                <w:b/>
                <w:sz w:val="19"/>
                <w:szCs w:val="19"/>
              </w:rPr>
              <w:t>PETITION PROCESS (</w:t>
            </w:r>
            <w:r w:rsidR="00F84744">
              <w:rPr>
                <w:b/>
                <w:sz w:val="19"/>
                <w:szCs w:val="19"/>
              </w:rPr>
              <w:t xml:space="preserve">40 CFR 241.3(c) </w:t>
            </w:r>
            <w:r w:rsidRPr="00A8563B">
              <w:rPr>
                <w:b/>
                <w:sz w:val="19"/>
                <w:szCs w:val="19"/>
              </w:rPr>
              <w:t>one-time</w:t>
            </w:r>
            <w:r w:rsidR="00CE6F5C" w:rsidRPr="00A8563B">
              <w:rPr>
                <w:b/>
                <w:sz w:val="19"/>
                <w:szCs w:val="19"/>
              </w:rPr>
              <w:t xml:space="preserve"> burden and cost</w:t>
            </w:r>
            <w:r w:rsidRPr="00A8563B">
              <w:rPr>
                <w:b/>
                <w:sz w:val="19"/>
                <w:szCs w:val="19"/>
              </w:rPr>
              <w:t>)</w:t>
            </w:r>
            <w:r w:rsidR="001B218F" w:rsidRPr="001B218F">
              <w:rPr>
                <w:b/>
                <w:sz w:val="19"/>
                <w:szCs w:val="19"/>
                <w:vertAlign w:val="superscript"/>
              </w:rPr>
              <w:t>2</w:t>
            </w:r>
          </w:p>
        </w:tc>
      </w:tr>
      <w:tr w:rsidR="00281BB0" w:rsidRPr="00D15828" w14:paraId="5CB3C686" w14:textId="77777777" w:rsidTr="000D12E3">
        <w:trPr>
          <w:gridAfter w:val="1"/>
          <w:wAfter w:w="1023" w:type="dxa"/>
          <w:jc w:val="center"/>
        </w:trPr>
        <w:tc>
          <w:tcPr>
            <w:tcW w:w="1710" w:type="dxa"/>
            <w:tcBorders>
              <w:top w:val="single" w:sz="12" w:space="0" w:color="000000"/>
              <w:left w:val="single" w:sz="8" w:space="0" w:color="000000"/>
              <w:bottom w:val="single" w:sz="12" w:space="0" w:color="000000"/>
              <w:right w:val="single" w:sz="8" w:space="0" w:color="000000"/>
            </w:tcBorders>
          </w:tcPr>
          <w:p w14:paraId="6F939084" w14:textId="3144A2B3" w:rsidR="00281BB0" w:rsidRPr="00A8563B" w:rsidRDefault="00E45B35" w:rsidP="005E4C60">
            <w:pPr>
              <w:tabs>
                <w:tab w:val="left" w:pos="-1080"/>
                <w:tab w:val="left" w:pos="-720"/>
                <w:tab w:val="left" w:pos="0"/>
                <w:tab w:val="left" w:pos="810"/>
              </w:tabs>
              <w:spacing w:after="58"/>
              <w:rPr>
                <w:sz w:val="19"/>
                <w:szCs w:val="19"/>
              </w:rPr>
            </w:pPr>
            <w:r>
              <w:rPr>
                <w:sz w:val="19"/>
                <w:szCs w:val="19"/>
              </w:rPr>
              <w:t>Agency</w:t>
            </w:r>
          </w:p>
        </w:tc>
        <w:tc>
          <w:tcPr>
            <w:tcW w:w="980" w:type="dxa"/>
            <w:tcBorders>
              <w:top w:val="single" w:sz="12" w:space="0" w:color="000000"/>
              <w:left w:val="single" w:sz="8" w:space="0" w:color="000000"/>
              <w:bottom w:val="single" w:sz="12" w:space="0" w:color="000000"/>
              <w:right w:val="single" w:sz="8" w:space="0" w:color="000000"/>
            </w:tcBorders>
          </w:tcPr>
          <w:p w14:paraId="5002A66A" w14:textId="4ADFDF83" w:rsidR="00281BB0" w:rsidRPr="00A8563B" w:rsidRDefault="00281BB0" w:rsidP="005E4C60">
            <w:pPr>
              <w:autoSpaceDE w:val="0"/>
              <w:autoSpaceDN w:val="0"/>
              <w:adjustRightInd w:val="0"/>
              <w:jc w:val="center"/>
              <w:rPr>
                <w:color w:val="000000"/>
                <w:sz w:val="19"/>
                <w:szCs w:val="19"/>
              </w:rPr>
            </w:pPr>
            <w:r>
              <w:rPr>
                <w:color w:val="000000"/>
                <w:sz w:val="19"/>
                <w:szCs w:val="19"/>
              </w:rPr>
              <w:t>16</w:t>
            </w:r>
          </w:p>
        </w:tc>
        <w:tc>
          <w:tcPr>
            <w:tcW w:w="1080" w:type="dxa"/>
            <w:tcBorders>
              <w:top w:val="single" w:sz="12" w:space="0" w:color="000000"/>
              <w:left w:val="single" w:sz="8" w:space="0" w:color="000000"/>
              <w:bottom w:val="single" w:sz="12" w:space="0" w:color="000000"/>
              <w:right w:val="single" w:sz="8" w:space="0" w:color="000000"/>
            </w:tcBorders>
          </w:tcPr>
          <w:p w14:paraId="10B70062" w14:textId="77777777" w:rsidR="00281BB0" w:rsidRPr="00A8563B" w:rsidRDefault="00281BB0" w:rsidP="005E4C60">
            <w:pPr>
              <w:autoSpaceDE w:val="0"/>
              <w:autoSpaceDN w:val="0"/>
              <w:adjustRightInd w:val="0"/>
              <w:jc w:val="center"/>
              <w:rPr>
                <w:color w:val="000000"/>
                <w:sz w:val="19"/>
                <w:szCs w:val="19"/>
              </w:rPr>
            </w:pPr>
            <w:r>
              <w:rPr>
                <w:color w:val="000000"/>
                <w:sz w:val="19"/>
                <w:szCs w:val="19"/>
              </w:rPr>
              <w:t>125</w:t>
            </w:r>
          </w:p>
        </w:tc>
        <w:tc>
          <w:tcPr>
            <w:tcW w:w="990" w:type="dxa"/>
            <w:tcBorders>
              <w:top w:val="single" w:sz="12" w:space="0" w:color="000000"/>
              <w:left w:val="single" w:sz="8" w:space="0" w:color="000000"/>
              <w:bottom w:val="single" w:sz="12" w:space="0" w:color="000000"/>
              <w:right w:val="single" w:sz="8" w:space="0" w:color="000000"/>
            </w:tcBorders>
          </w:tcPr>
          <w:p w14:paraId="57967B34" w14:textId="77777777" w:rsidR="00281BB0" w:rsidRPr="00A8563B" w:rsidRDefault="00281BB0" w:rsidP="005E4C60">
            <w:pPr>
              <w:autoSpaceDE w:val="0"/>
              <w:autoSpaceDN w:val="0"/>
              <w:adjustRightInd w:val="0"/>
              <w:jc w:val="center"/>
              <w:rPr>
                <w:color w:val="000000"/>
                <w:sz w:val="19"/>
                <w:szCs w:val="19"/>
              </w:rPr>
            </w:pPr>
            <w:r>
              <w:rPr>
                <w:color w:val="000000"/>
                <w:sz w:val="19"/>
                <w:szCs w:val="19"/>
              </w:rPr>
              <w:t>16</w:t>
            </w:r>
          </w:p>
        </w:tc>
        <w:tc>
          <w:tcPr>
            <w:tcW w:w="1090" w:type="dxa"/>
            <w:tcBorders>
              <w:top w:val="single" w:sz="12" w:space="0" w:color="000000"/>
              <w:left w:val="single" w:sz="8" w:space="0" w:color="000000"/>
              <w:bottom w:val="single" w:sz="12" w:space="0" w:color="000000"/>
              <w:right w:val="single" w:sz="8" w:space="0" w:color="000000"/>
            </w:tcBorders>
          </w:tcPr>
          <w:p w14:paraId="43015E4B" w14:textId="77777777" w:rsidR="00281BB0" w:rsidRPr="00A8563B" w:rsidRDefault="00281BB0" w:rsidP="005E4C60">
            <w:pPr>
              <w:autoSpaceDE w:val="0"/>
              <w:autoSpaceDN w:val="0"/>
              <w:adjustRightInd w:val="0"/>
              <w:jc w:val="center"/>
              <w:rPr>
                <w:color w:val="000000"/>
                <w:sz w:val="19"/>
                <w:szCs w:val="19"/>
              </w:rPr>
            </w:pPr>
            <w:r>
              <w:rPr>
                <w:color w:val="000000"/>
                <w:sz w:val="19"/>
                <w:szCs w:val="19"/>
              </w:rPr>
              <w:t>157</w:t>
            </w:r>
          </w:p>
        </w:tc>
        <w:tc>
          <w:tcPr>
            <w:tcW w:w="990" w:type="dxa"/>
            <w:tcBorders>
              <w:top w:val="single" w:sz="12" w:space="0" w:color="000000"/>
              <w:left w:val="single" w:sz="8" w:space="0" w:color="000000"/>
              <w:bottom w:val="single" w:sz="12" w:space="0" w:color="000000"/>
              <w:right w:val="single" w:sz="8" w:space="0" w:color="000000"/>
            </w:tcBorders>
          </w:tcPr>
          <w:p w14:paraId="268B4C5F" w14:textId="098E8DCB" w:rsidR="00281BB0" w:rsidRPr="00A8563B" w:rsidRDefault="00281BB0" w:rsidP="001B218F">
            <w:pPr>
              <w:autoSpaceDE w:val="0"/>
              <w:autoSpaceDN w:val="0"/>
              <w:adjustRightInd w:val="0"/>
              <w:jc w:val="center"/>
              <w:rPr>
                <w:color w:val="000000"/>
                <w:sz w:val="19"/>
                <w:szCs w:val="19"/>
              </w:rPr>
            </w:pPr>
            <w:r w:rsidRPr="00A8563B">
              <w:rPr>
                <w:color w:val="000000"/>
                <w:sz w:val="19"/>
                <w:szCs w:val="19"/>
              </w:rPr>
              <w:t>$</w:t>
            </w:r>
            <w:r>
              <w:rPr>
                <w:color w:val="000000"/>
                <w:sz w:val="19"/>
                <w:szCs w:val="19"/>
              </w:rPr>
              <w:t>7,568</w:t>
            </w:r>
          </w:p>
        </w:tc>
        <w:tc>
          <w:tcPr>
            <w:tcW w:w="900" w:type="dxa"/>
            <w:tcBorders>
              <w:top w:val="single" w:sz="12" w:space="0" w:color="000000"/>
              <w:left w:val="single" w:sz="8" w:space="0" w:color="000000"/>
              <w:bottom w:val="single" w:sz="12" w:space="0" w:color="000000"/>
              <w:right w:val="single" w:sz="8" w:space="0" w:color="000000"/>
            </w:tcBorders>
          </w:tcPr>
          <w:p w14:paraId="48FDAC48" w14:textId="3CE2591F" w:rsidR="00281BB0" w:rsidRPr="00A8563B" w:rsidRDefault="00281BB0" w:rsidP="005E4C60">
            <w:pPr>
              <w:tabs>
                <w:tab w:val="left" w:pos="-1080"/>
                <w:tab w:val="left" w:pos="-720"/>
                <w:tab w:val="left" w:pos="0"/>
                <w:tab w:val="left" w:pos="810"/>
              </w:tabs>
              <w:spacing w:after="58"/>
              <w:jc w:val="center"/>
              <w:rPr>
                <w:sz w:val="19"/>
                <w:szCs w:val="19"/>
              </w:rPr>
            </w:pPr>
            <w:r w:rsidRPr="00A8563B">
              <w:rPr>
                <w:sz w:val="19"/>
                <w:szCs w:val="19"/>
              </w:rPr>
              <w:t>$0</w:t>
            </w:r>
          </w:p>
        </w:tc>
        <w:tc>
          <w:tcPr>
            <w:tcW w:w="900" w:type="dxa"/>
            <w:tcBorders>
              <w:top w:val="single" w:sz="12" w:space="0" w:color="000000"/>
              <w:left w:val="single" w:sz="8" w:space="0" w:color="000000"/>
              <w:bottom w:val="single" w:sz="12" w:space="0" w:color="000000"/>
              <w:right w:val="single" w:sz="8" w:space="0" w:color="000000"/>
            </w:tcBorders>
          </w:tcPr>
          <w:p w14:paraId="46C722D8" w14:textId="5281D2D3" w:rsidR="00281BB0" w:rsidRPr="00A8563B" w:rsidRDefault="00281BB0" w:rsidP="005E4C60">
            <w:pPr>
              <w:tabs>
                <w:tab w:val="left" w:pos="-1080"/>
                <w:tab w:val="left" w:pos="-720"/>
                <w:tab w:val="left" w:pos="0"/>
                <w:tab w:val="left" w:pos="810"/>
              </w:tabs>
              <w:spacing w:after="58"/>
              <w:jc w:val="center"/>
              <w:rPr>
                <w:sz w:val="19"/>
                <w:szCs w:val="19"/>
              </w:rPr>
            </w:pPr>
            <w:r w:rsidRPr="00A8563B">
              <w:rPr>
                <w:sz w:val="19"/>
                <w:szCs w:val="19"/>
              </w:rPr>
              <w:t>$0</w:t>
            </w:r>
          </w:p>
        </w:tc>
        <w:tc>
          <w:tcPr>
            <w:tcW w:w="1260" w:type="dxa"/>
            <w:tcBorders>
              <w:top w:val="single" w:sz="12" w:space="0" w:color="000000"/>
              <w:left w:val="single" w:sz="8" w:space="0" w:color="000000"/>
              <w:bottom w:val="single" w:sz="12" w:space="0" w:color="000000"/>
              <w:right w:val="single" w:sz="8" w:space="0" w:color="000000"/>
            </w:tcBorders>
          </w:tcPr>
          <w:p w14:paraId="60908664" w14:textId="5981DD51" w:rsidR="00281BB0" w:rsidRPr="00A8563B" w:rsidRDefault="00281BB0" w:rsidP="001B218F">
            <w:pPr>
              <w:tabs>
                <w:tab w:val="left" w:pos="-1080"/>
                <w:tab w:val="left" w:pos="-720"/>
                <w:tab w:val="left" w:pos="0"/>
                <w:tab w:val="left" w:pos="810"/>
              </w:tabs>
              <w:spacing w:after="58"/>
              <w:jc w:val="center"/>
              <w:rPr>
                <w:sz w:val="19"/>
                <w:szCs w:val="19"/>
              </w:rPr>
            </w:pPr>
            <w:r w:rsidRPr="00A8563B">
              <w:rPr>
                <w:sz w:val="19"/>
                <w:szCs w:val="19"/>
              </w:rPr>
              <w:t>$</w:t>
            </w:r>
            <w:r>
              <w:rPr>
                <w:sz w:val="19"/>
                <w:szCs w:val="19"/>
              </w:rPr>
              <w:t>7,568</w:t>
            </w:r>
          </w:p>
        </w:tc>
        <w:tc>
          <w:tcPr>
            <w:tcW w:w="1350" w:type="dxa"/>
            <w:tcBorders>
              <w:top w:val="single" w:sz="12" w:space="0" w:color="000000"/>
              <w:left w:val="single" w:sz="8" w:space="0" w:color="000000"/>
              <w:bottom w:val="single" w:sz="12" w:space="0" w:color="000000"/>
              <w:right w:val="single" w:sz="8" w:space="0" w:color="000000"/>
            </w:tcBorders>
          </w:tcPr>
          <w:p w14:paraId="2380A6F0" w14:textId="2DCC316D" w:rsidR="00281BB0" w:rsidRPr="00A8563B" w:rsidRDefault="00281BB0" w:rsidP="005E4C60">
            <w:pPr>
              <w:tabs>
                <w:tab w:val="left" w:pos="-1080"/>
                <w:tab w:val="left" w:pos="-720"/>
                <w:tab w:val="left" w:pos="0"/>
                <w:tab w:val="left" w:pos="810"/>
              </w:tabs>
              <w:spacing w:after="58"/>
              <w:jc w:val="center"/>
              <w:rPr>
                <w:sz w:val="19"/>
                <w:szCs w:val="19"/>
              </w:rPr>
            </w:pPr>
            <w:r>
              <w:rPr>
                <w:sz w:val="19"/>
                <w:szCs w:val="19"/>
              </w:rPr>
              <w:t>10</w:t>
            </w:r>
            <w:r w:rsidR="00F84744" w:rsidRPr="000D12E3">
              <w:rPr>
                <w:sz w:val="19"/>
                <w:szCs w:val="19"/>
                <w:vertAlign w:val="superscript"/>
              </w:rPr>
              <w:t>4</w:t>
            </w:r>
          </w:p>
        </w:tc>
        <w:tc>
          <w:tcPr>
            <w:tcW w:w="900" w:type="dxa"/>
            <w:tcBorders>
              <w:top w:val="single" w:sz="12" w:space="0" w:color="000000"/>
              <w:left w:val="single" w:sz="8" w:space="0" w:color="000000"/>
              <w:bottom w:val="single" w:sz="12" w:space="0" w:color="000000"/>
              <w:right w:val="single" w:sz="8" w:space="0" w:color="000000"/>
            </w:tcBorders>
          </w:tcPr>
          <w:p w14:paraId="1990FB4A" w14:textId="50184580" w:rsidR="00281BB0" w:rsidRPr="00A8563B" w:rsidRDefault="00281BB0" w:rsidP="00795C31">
            <w:pPr>
              <w:tabs>
                <w:tab w:val="left" w:pos="-1080"/>
                <w:tab w:val="left" w:pos="-720"/>
                <w:tab w:val="left" w:pos="0"/>
                <w:tab w:val="left" w:pos="810"/>
              </w:tabs>
              <w:spacing w:after="58"/>
              <w:jc w:val="center"/>
              <w:rPr>
                <w:sz w:val="19"/>
                <w:szCs w:val="19"/>
              </w:rPr>
            </w:pPr>
            <w:r>
              <w:rPr>
                <w:sz w:val="19"/>
                <w:szCs w:val="19"/>
              </w:rPr>
              <w:t>1,570</w:t>
            </w:r>
          </w:p>
        </w:tc>
        <w:tc>
          <w:tcPr>
            <w:tcW w:w="900" w:type="dxa"/>
            <w:tcBorders>
              <w:top w:val="single" w:sz="12" w:space="0" w:color="000000"/>
              <w:left w:val="single" w:sz="8" w:space="0" w:color="000000"/>
              <w:bottom w:val="single" w:sz="12" w:space="0" w:color="000000"/>
              <w:right w:val="single" w:sz="8" w:space="0" w:color="000000"/>
            </w:tcBorders>
          </w:tcPr>
          <w:p w14:paraId="6A04FEE7" w14:textId="66143F25" w:rsidR="00281BB0" w:rsidRPr="00A8563B" w:rsidRDefault="00281BB0" w:rsidP="001B218F">
            <w:pPr>
              <w:tabs>
                <w:tab w:val="left" w:pos="-1080"/>
                <w:tab w:val="left" w:pos="-720"/>
                <w:tab w:val="left" w:pos="0"/>
                <w:tab w:val="left" w:pos="810"/>
              </w:tabs>
              <w:spacing w:after="58"/>
              <w:jc w:val="center"/>
              <w:rPr>
                <w:sz w:val="19"/>
                <w:szCs w:val="19"/>
              </w:rPr>
            </w:pPr>
            <w:r w:rsidRPr="00A8563B">
              <w:rPr>
                <w:sz w:val="19"/>
                <w:szCs w:val="19"/>
              </w:rPr>
              <w:t>$</w:t>
            </w:r>
            <w:r>
              <w:rPr>
                <w:sz w:val="19"/>
                <w:szCs w:val="19"/>
              </w:rPr>
              <w:t>75,675</w:t>
            </w:r>
          </w:p>
        </w:tc>
      </w:tr>
      <w:tr w:rsidR="00F84744" w:rsidRPr="00D15828" w14:paraId="66141219" w14:textId="77777777" w:rsidTr="005436E2">
        <w:tblPrEx>
          <w:tblBorders>
            <w:top w:val="none" w:sz="0" w:space="0" w:color="auto"/>
            <w:left w:val="none" w:sz="0" w:space="0" w:color="auto"/>
            <w:bottom w:val="none" w:sz="0" w:space="0" w:color="auto"/>
            <w:right w:val="none" w:sz="0" w:space="0" w:color="auto"/>
          </w:tblBorders>
        </w:tblPrEx>
        <w:trPr>
          <w:gridAfter w:val="1"/>
          <w:wAfter w:w="1023" w:type="dxa"/>
          <w:jc w:val="center"/>
        </w:trPr>
        <w:tc>
          <w:tcPr>
            <w:tcW w:w="13050" w:type="dxa"/>
            <w:gridSpan w:val="12"/>
            <w:tcBorders>
              <w:top w:val="single" w:sz="12" w:space="0" w:color="000000"/>
              <w:left w:val="single" w:sz="8" w:space="0" w:color="000000"/>
              <w:bottom w:val="single" w:sz="7" w:space="0" w:color="000000"/>
              <w:right w:val="single" w:sz="8" w:space="0" w:color="000000"/>
            </w:tcBorders>
          </w:tcPr>
          <w:p w14:paraId="168ACE2B" w14:textId="7D4A7DE2" w:rsidR="00F84744" w:rsidRPr="00A8563B" w:rsidRDefault="00F84744" w:rsidP="000D12E3">
            <w:pPr>
              <w:tabs>
                <w:tab w:val="left" w:pos="-1080"/>
                <w:tab w:val="left" w:pos="-720"/>
                <w:tab w:val="left" w:pos="0"/>
                <w:tab w:val="left" w:pos="810"/>
              </w:tabs>
              <w:spacing w:after="58"/>
              <w:rPr>
                <w:sz w:val="19"/>
                <w:szCs w:val="19"/>
              </w:rPr>
            </w:pPr>
            <w:r w:rsidRPr="00BA0BC5">
              <w:rPr>
                <w:b/>
                <w:sz w:val="19"/>
                <w:szCs w:val="19"/>
              </w:rPr>
              <w:t>PETITION PROCESS (</w:t>
            </w:r>
            <w:r>
              <w:rPr>
                <w:b/>
                <w:sz w:val="19"/>
                <w:szCs w:val="19"/>
              </w:rPr>
              <w:t xml:space="preserve">40 CFR 241.4 </w:t>
            </w:r>
            <w:r w:rsidRPr="00BA0BC5">
              <w:rPr>
                <w:b/>
                <w:sz w:val="19"/>
                <w:szCs w:val="19"/>
              </w:rPr>
              <w:t>one-time)</w:t>
            </w:r>
            <w:r>
              <w:rPr>
                <w:b/>
                <w:sz w:val="19"/>
                <w:szCs w:val="19"/>
                <w:vertAlign w:val="superscript"/>
              </w:rPr>
              <w:t>3</w:t>
            </w:r>
          </w:p>
        </w:tc>
      </w:tr>
      <w:tr w:rsidR="00F84744" w:rsidRPr="00D15828" w14:paraId="1B57D8F8" w14:textId="51B4D660" w:rsidTr="00F84744">
        <w:tblPrEx>
          <w:tblBorders>
            <w:top w:val="none" w:sz="0" w:space="0" w:color="auto"/>
            <w:left w:val="none" w:sz="0" w:space="0" w:color="auto"/>
            <w:bottom w:val="none" w:sz="0" w:space="0" w:color="auto"/>
            <w:right w:val="none" w:sz="0" w:space="0" w:color="auto"/>
          </w:tblBorders>
        </w:tblPrEx>
        <w:trPr>
          <w:jc w:val="center"/>
        </w:trPr>
        <w:tc>
          <w:tcPr>
            <w:tcW w:w="1710" w:type="dxa"/>
            <w:tcBorders>
              <w:top w:val="single" w:sz="12" w:space="0" w:color="000000"/>
              <w:left w:val="single" w:sz="8" w:space="0" w:color="000000"/>
              <w:bottom w:val="single" w:sz="7" w:space="0" w:color="000000"/>
              <w:right w:val="single" w:sz="8" w:space="0" w:color="000000"/>
            </w:tcBorders>
          </w:tcPr>
          <w:p w14:paraId="2809F065" w14:textId="4FF017AF" w:rsidR="00F84744" w:rsidRPr="00A8563B" w:rsidRDefault="00F84744" w:rsidP="00F84744">
            <w:pPr>
              <w:tabs>
                <w:tab w:val="left" w:pos="-1080"/>
                <w:tab w:val="left" w:pos="-720"/>
                <w:tab w:val="left" w:pos="0"/>
                <w:tab w:val="left" w:pos="810"/>
              </w:tabs>
              <w:spacing w:after="58"/>
              <w:rPr>
                <w:sz w:val="19"/>
                <w:szCs w:val="19"/>
              </w:rPr>
            </w:pPr>
            <w:r>
              <w:rPr>
                <w:sz w:val="19"/>
                <w:szCs w:val="19"/>
              </w:rPr>
              <w:t>Agency</w:t>
            </w:r>
          </w:p>
        </w:tc>
        <w:tc>
          <w:tcPr>
            <w:tcW w:w="980" w:type="dxa"/>
            <w:tcBorders>
              <w:top w:val="single" w:sz="12" w:space="0" w:color="000000"/>
              <w:left w:val="single" w:sz="8" w:space="0" w:color="000000"/>
              <w:bottom w:val="single" w:sz="7" w:space="0" w:color="000000"/>
              <w:right w:val="single" w:sz="8" w:space="0" w:color="000000"/>
            </w:tcBorders>
          </w:tcPr>
          <w:p w14:paraId="20581F58" w14:textId="7158D8CA" w:rsidR="00F84744" w:rsidRDefault="00F84744" w:rsidP="00F84744">
            <w:pPr>
              <w:autoSpaceDE w:val="0"/>
              <w:autoSpaceDN w:val="0"/>
              <w:adjustRightInd w:val="0"/>
              <w:jc w:val="center"/>
              <w:rPr>
                <w:color w:val="000000"/>
                <w:sz w:val="19"/>
                <w:szCs w:val="19"/>
              </w:rPr>
            </w:pPr>
            <w:r>
              <w:rPr>
                <w:sz w:val="19"/>
                <w:szCs w:val="19"/>
              </w:rPr>
              <w:t>40</w:t>
            </w:r>
          </w:p>
        </w:tc>
        <w:tc>
          <w:tcPr>
            <w:tcW w:w="1080" w:type="dxa"/>
            <w:tcBorders>
              <w:top w:val="single" w:sz="12" w:space="0" w:color="000000"/>
              <w:left w:val="single" w:sz="8" w:space="0" w:color="000000"/>
              <w:bottom w:val="single" w:sz="7" w:space="0" w:color="000000"/>
              <w:right w:val="single" w:sz="8" w:space="0" w:color="000000"/>
            </w:tcBorders>
          </w:tcPr>
          <w:p w14:paraId="6FB745D6" w14:textId="1D75089E" w:rsidR="00F84744" w:rsidRDefault="00F84744" w:rsidP="00F84744">
            <w:pPr>
              <w:autoSpaceDE w:val="0"/>
              <w:autoSpaceDN w:val="0"/>
              <w:adjustRightInd w:val="0"/>
              <w:jc w:val="center"/>
              <w:rPr>
                <w:color w:val="000000"/>
                <w:sz w:val="19"/>
                <w:szCs w:val="19"/>
              </w:rPr>
            </w:pPr>
            <w:r>
              <w:rPr>
                <w:sz w:val="19"/>
                <w:szCs w:val="19"/>
              </w:rPr>
              <w:t>160</w:t>
            </w:r>
          </w:p>
        </w:tc>
        <w:tc>
          <w:tcPr>
            <w:tcW w:w="990" w:type="dxa"/>
            <w:tcBorders>
              <w:top w:val="single" w:sz="12" w:space="0" w:color="000000"/>
              <w:left w:val="single" w:sz="8" w:space="0" w:color="000000"/>
              <w:bottom w:val="single" w:sz="7" w:space="0" w:color="000000"/>
              <w:right w:val="single" w:sz="8" w:space="0" w:color="000000"/>
            </w:tcBorders>
          </w:tcPr>
          <w:p w14:paraId="64FF1EE5" w14:textId="60648908" w:rsidR="00F84744" w:rsidRDefault="00F84744" w:rsidP="00F84744">
            <w:pPr>
              <w:autoSpaceDE w:val="0"/>
              <w:autoSpaceDN w:val="0"/>
              <w:adjustRightInd w:val="0"/>
              <w:jc w:val="center"/>
              <w:rPr>
                <w:color w:val="000000"/>
                <w:sz w:val="19"/>
                <w:szCs w:val="19"/>
              </w:rPr>
            </w:pPr>
            <w:r>
              <w:rPr>
                <w:sz w:val="19"/>
                <w:szCs w:val="19"/>
              </w:rPr>
              <w:t>8</w:t>
            </w:r>
          </w:p>
        </w:tc>
        <w:tc>
          <w:tcPr>
            <w:tcW w:w="1090" w:type="dxa"/>
            <w:tcBorders>
              <w:top w:val="single" w:sz="12" w:space="0" w:color="000000"/>
              <w:left w:val="single" w:sz="8" w:space="0" w:color="000000"/>
              <w:bottom w:val="single" w:sz="7" w:space="0" w:color="000000"/>
              <w:right w:val="single" w:sz="8" w:space="0" w:color="000000"/>
            </w:tcBorders>
          </w:tcPr>
          <w:p w14:paraId="2A5136A5" w14:textId="6D6AA8C5" w:rsidR="00F84744" w:rsidRDefault="00F84744" w:rsidP="00F84744">
            <w:pPr>
              <w:autoSpaceDE w:val="0"/>
              <w:autoSpaceDN w:val="0"/>
              <w:adjustRightInd w:val="0"/>
              <w:jc w:val="center"/>
              <w:rPr>
                <w:color w:val="000000"/>
                <w:sz w:val="19"/>
                <w:szCs w:val="19"/>
              </w:rPr>
            </w:pPr>
            <w:r>
              <w:rPr>
                <w:sz w:val="19"/>
                <w:szCs w:val="19"/>
              </w:rPr>
              <w:t>208</w:t>
            </w:r>
          </w:p>
        </w:tc>
        <w:tc>
          <w:tcPr>
            <w:tcW w:w="990" w:type="dxa"/>
            <w:tcBorders>
              <w:top w:val="single" w:sz="12" w:space="0" w:color="000000"/>
              <w:left w:val="single" w:sz="8" w:space="0" w:color="000000"/>
              <w:bottom w:val="single" w:sz="7" w:space="0" w:color="000000"/>
              <w:right w:val="single" w:sz="8" w:space="0" w:color="000000"/>
            </w:tcBorders>
          </w:tcPr>
          <w:p w14:paraId="08AA30A9" w14:textId="05FE19C6" w:rsidR="00F84744" w:rsidRPr="00A8563B" w:rsidRDefault="00F84744" w:rsidP="00F84744">
            <w:pPr>
              <w:autoSpaceDE w:val="0"/>
              <w:autoSpaceDN w:val="0"/>
              <w:adjustRightInd w:val="0"/>
              <w:jc w:val="center"/>
              <w:rPr>
                <w:color w:val="000000"/>
                <w:sz w:val="19"/>
                <w:szCs w:val="19"/>
              </w:rPr>
            </w:pPr>
            <w:r>
              <w:rPr>
                <w:sz w:val="19"/>
                <w:szCs w:val="19"/>
              </w:rPr>
              <w:t>$</w:t>
            </w:r>
            <w:r w:rsidR="004D2214">
              <w:rPr>
                <w:sz w:val="19"/>
                <w:szCs w:val="19"/>
              </w:rPr>
              <w:t>10,6</w:t>
            </w:r>
            <w:r w:rsidR="00921F93">
              <w:rPr>
                <w:sz w:val="19"/>
                <w:szCs w:val="19"/>
              </w:rPr>
              <w:t>40</w:t>
            </w:r>
          </w:p>
        </w:tc>
        <w:tc>
          <w:tcPr>
            <w:tcW w:w="900" w:type="dxa"/>
            <w:tcBorders>
              <w:top w:val="single" w:sz="12" w:space="0" w:color="000000"/>
              <w:left w:val="single" w:sz="8" w:space="0" w:color="000000"/>
              <w:bottom w:val="single" w:sz="7" w:space="0" w:color="000000"/>
              <w:right w:val="single" w:sz="8" w:space="0" w:color="000000"/>
            </w:tcBorders>
          </w:tcPr>
          <w:p w14:paraId="04197946" w14:textId="7FFD5984" w:rsidR="00F84744" w:rsidRPr="00A8563B" w:rsidRDefault="00F84744" w:rsidP="00F84744">
            <w:pPr>
              <w:tabs>
                <w:tab w:val="left" w:pos="-1080"/>
                <w:tab w:val="left" w:pos="-720"/>
                <w:tab w:val="left" w:pos="0"/>
                <w:tab w:val="left" w:pos="810"/>
              </w:tabs>
              <w:spacing w:after="58"/>
              <w:jc w:val="center"/>
              <w:rPr>
                <w:sz w:val="19"/>
                <w:szCs w:val="19"/>
              </w:rPr>
            </w:pPr>
            <w:r>
              <w:rPr>
                <w:sz w:val="19"/>
                <w:szCs w:val="19"/>
              </w:rPr>
              <w:t>$0</w:t>
            </w:r>
          </w:p>
        </w:tc>
        <w:tc>
          <w:tcPr>
            <w:tcW w:w="900" w:type="dxa"/>
            <w:tcBorders>
              <w:top w:val="single" w:sz="12" w:space="0" w:color="000000"/>
              <w:left w:val="single" w:sz="8" w:space="0" w:color="000000"/>
              <w:bottom w:val="single" w:sz="7" w:space="0" w:color="000000"/>
              <w:right w:val="single" w:sz="8" w:space="0" w:color="000000"/>
            </w:tcBorders>
          </w:tcPr>
          <w:p w14:paraId="604E168B" w14:textId="2C26F7E4" w:rsidR="00F84744" w:rsidRPr="00A8563B" w:rsidRDefault="00F84744" w:rsidP="00F84744">
            <w:pPr>
              <w:tabs>
                <w:tab w:val="left" w:pos="-1080"/>
                <w:tab w:val="left" w:pos="-720"/>
                <w:tab w:val="left" w:pos="0"/>
                <w:tab w:val="left" w:pos="810"/>
              </w:tabs>
              <w:spacing w:after="58"/>
              <w:jc w:val="center"/>
              <w:rPr>
                <w:sz w:val="19"/>
                <w:szCs w:val="19"/>
              </w:rPr>
            </w:pPr>
            <w:r>
              <w:rPr>
                <w:sz w:val="19"/>
                <w:szCs w:val="19"/>
              </w:rPr>
              <w:t>$0</w:t>
            </w:r>
          </w:p>
        </w:tc>
        <w:tc>
          <w:tcPr>
            <w:tcW w:w="1260" w:type="dxa"/>
            <w:tcBorders>
              <w:top w:val="single" w:sz="12" w:space="0" w:color="000000"/>
              <w:left w:val="single" w:sz="8" w:space="0" w:color="000000"/>
              <w:bottom w:val="single" w:sz="7" w:space="0" w:color="000000"/>
              <w:right w:val="single" w:sz="8" w:space="0" w:color="000000"/>
            </w:tcBorders>
          </w:tcPr>
          <w:p w14:paraId="2EC3C177" w14:textId="68FC72EF" w:rsidR="00F84744" w:rsidRPr="00A8563B" w:rsidRDefault="00F84744" w:rsidP="00F84744">
            <w:pPr>
              <w:tabs>
                <w:tab w:val="left" w:pos="-1080"/>
                <w:tab w:val="left" w:pos="-720"/>
                <w:tab w:val="left" w:pos="0"/>
                <w:tab w:val="left" w:pos="810"/>
              </w:tabs>
              <w:spacing w:after="58"/>
              <w:jc w:val="center"/>
              <w:rPr>
                <w:sz w:val="19"/>
                <w:szCs w:val="19"/>
              </w:rPr>
            </w:pPr>
            <w:r>
              <w:rPr>
                <w:sz w:val="19"/>
                <w:szCs w:val="19"/>
              </w:rPr>
              <w:t>$</w:t>
            </w:r>
            <w:r w:rsidR="004D2214">
              <w:rPr>
                <w:sz w:val="19"/>
                <w:szCs w:val="19"/>
              </w:rPr>
              <w:t>10,688</w:t>
            </w:r>
          </w:p>
        </w:tc>
        <w:tc>
          <w:tcPr>
            <w:tcW w:w="1350" w:type="dxa"/>
            <w:tcBorders>
              <w:top w:val="single" w:sz="12" w:space="0" w:color="000000"/>
              <w:left w:val="single" w:sz="8" w:space="0" w:color="000000"/>
              <w:bottom w:val="single" w:sz="7" w:space="0" w:color="000000"/>
              <w:right w:val="single" w:sz="8" w:space="0" w:color="000000"/>
            </w:tcBorders>
          </w:tcPr>
          <w:p w14:paraId="26E1CC72" w14:textId="0D90F2D9" w:rsidR="00F84744" w:rsidRDefault="00F84744" w:rsidP="00F84744">
            <w:pPr>
              <w:tabs>
                <w:tab w:val="left" w:pos="-1080"/>
                <w:tab w:val="left" w:pos="-720"/>
                <w:tab w:val="left" w:pos="0"/>
                <w:tab w:val="left" w:pos="810"/>
              </w:tabs>
              <w:spacing w:after="58"/>
              <w:jc w:val="center"/>
              <w:rPr>
                <w:sz w:val="19"/>
                <w:szCs w:val="19"/>
              </w:rPr>
            </w:pPr>
            <w:r>
              <w:rPr>
                <w:sz w:val="19"/>
                <w:szCs w:val="19"/>
              </w:rPr>
              <w:t>1</w:t>
            </w:r>
            <w:r w:rsidRPr="000D12E3">
              <w:rPr>
                <w:sz w:val="19"/>
                <w:szCs w:val="19"/>
                <w:vertAlign w:val="superscript"/>
              </w:rPr>
              <w:t>4</w:t>
            </w:r>
          </w:p>
        </w:tc>
        <w:tc>
          <w:tcPr>
            <w:tcW w:w="900" w:type="dxa"/>
            <w:tcBorders>
              <w:top w:val="single" w:sz="12" w:space="0" w:color="000000"/>
              <w:left w:val="single" w:sz="8" w:space="0" w:color="000000"/>
              <w:bottom w:val="single" w:sz="7" w:space="0" w:color="000000"/>
              <w:right w:val="single" w:sz="8" w:space="0" w:color="000000"/>
            </w:tcBorders>
          </w:tcPr>
          <w:p w14:paraId="3F6CFF91" w14:textId="4229754B" w:rsidR="00F84744" w:rsidRDefault="00F84744" w:rsidP="00F84744">
            <w:pPr>
              <w:tabs>
                <w:tab w:val="left" w:pos="-1080"/>
                <w:tab w:val="left" w:pos="-720"/>
                <w:tab w:val="left" w:pos="0"/>
                <w:tab w:val="left" w:pos="810"/>
              </w:tabs>
              <w:spacing w:after="58"/>
              <w:jc w:val="center"/>
              <w:rPr>
                <w:sz w:val="19"/>
                <w:szCs w:val="19"/>
              </w:rPr>
            </w:pPr>
            <w:r>
              <w:rPr>
                <w:sz w:val="19"/>
                <w:szCs w:val="19"/>
              </w:rPr>
              <w:t>208</w:t>
            </w:r>
          </w:p>
        </w:tc>
        <w:tc>
          <w:tcPr>
            <w:tcW w:w="900" w:type="dxa"/>
            <w:tcBorders>
              <w:top w:val="single" w:sz="12" w:space="0" w:color="000000"/>
              <w:left w:val="single" w:sz="8" w:space="0" w:color="000000"/>
              <w:bottom w:val="single" w:sz="7" w:space="0" w:color="000000"/>
              <w:right w:val="single" w:sz="8" w:space="0" w:color="000000"/>
            </w:tcBorders>
          </w:tcPr>
          <w:p w14:paraId="53952276" w14:textId="0C87E6D6" w:rsidR="00F84744" w:rsidRPr="00A8563B" w:rsidRDefault="00F84744" w:rsidP="00F84744">
            <w:pPr>
              <w:tabs>
                <w:tab w:val="left" w:pos="-1080"/>
                <w:tab w:val="left" w:pos="-720"/>
                <w:tab w:val="left" w:pos="0"/>
                <w:tab w:val="left" w:pos="810"/>
              </w:tabs>
              <w:spacing w:after="58"/>
              <w:jc w:val="center"/>
              <w:rPr>
                <w:sz w:val="19"/>
                <w:szCs w:val="19"/>
              </w:rPr>
            </w:pPr>
            <w:r>
              <w:rPr>
                <w:sz w:val="19"/>
                <w:szCs w:val="19"/>
              </w:rPr>
              <w:t>$</w:t>
            </w:r>
            <w:r w:rsidR="004D2214">
              <w:rPr>
                <w:sz w:val="19"/>
                <w:szCs w:val="19"/>
              </w:rPr>
              <w:t>10,6</w:t>
            </w:r>
            <w:r w:rsidR="00921F93">
              <w:rPr>
                <w:sz w:val="19"/>
                <w:szCs w:val="19"/>
              </w:rPr>
              <w:t>40</w:t>
            </w:r>
          </w:p>
        </w:tc>
        <w:tc>
          <w:tcPr>
            <w:tcW w:w="1023" w:type="dxa"/>
          </w:tcPr>
          <w:p w14:paraId="21910F2C" w14:textId="22F4FA25" w:rsidR="00F84744" w:rsidRPr="00D15828" w:rsidRDefault="00F84744" w:rsidP="00F84744"/>
        </w:tc>
      </w:tr>
    </w:tbl>
    <w:p w14:paraId="77D3DE04" w14:textId="77777777" w:rsidR="007E3287" w:rsidRPr="00D15828" w:rsidRDefault="007E3287" w:rsidP="007E3287">
      <w:pPr>
        <w:rPr>
          <w:sz w:val="20"/>
          <w:szCs w:val="20"/>
        </w:rPr>
      </w:pPr>
    </w:p>
    <w:p w14:paraId="15F92968" w14:textId="77777777" w:rsidR="007E3287" w:rsidRPr="00D15828" w:rsidRDefault="007E3287" w:rsidP="007E3287">
      <w:pPr>
        <w:rPr>
          <w:b/>
          <w:bCs/>
          <w:sz w:val="20"/>
          <w:szCs w:val="20"/>
        </w:rPr>
      </w:pPr>
    </w:p>
    <w:p w14:paraId="5E428171" w14:textId="483AA0A7" w:rsidR="007E3287" w:rsidRPr="00D15828" w:rsidRDefault="007E3287" w:rsidP="001B218F">
      <w:pPr>
        <w:autoSpaceDE w:val="0"/>
        <w:autoSpaceDN w:val="0"/>
        <w:adjustRightInd w:val="0"/>
        <w:spacing w:before="120"/>
        <w:jc w:val="both"/>
        <w:rPr>
          <w:bCs/>
          <w:color w:val="000000"/>
          <w:sz w:val="20"/>
          <w:szCs w:val="20"/>
        </w:rPr>
      </w:pPr>
      <w:r w:rsidRPr="00D15828">
        <w:rPr>
          <w:sz w:val="20"/>
          <w:szCs w:val="20"/>
          <w:vertAlign w:val="superscript"/>
        </w:rPr>
        <w:t xml:space="preserve">1 </w:t>
      </w:r>
      <w:r w:rsidRPr="00D15828">
        <w:rPr>
          <w:bCs/>
          <w:i/>
          <w:color w:val="000000"/>
          <w:sz w:val="20"/>
          <w:szCs w:val="20"/>
          <w:u w:val="single"/>
        </w:rPr>
        <w:t>Hourly Wages:</w:t>
      </w:r>
      <w:r w:rsidRPr="00D15828">
        <w:rPr>
          <w:bCs/>
          <w:color w:val="000000"/>
          <w:sz w:val="20"/>
          <w:szCs w:val="20"/>
        </w:rPr>
        <w:t xml:space="preserve"> </w:t>
      </w:r>
      <w:r w:rsidR="00832837" w:rsidRPr="00832837">
        <w:rPr>
          <w:bCs/>
          <w:color w:val="000000"/>
          <w:sz w:val="20"/>
          <w:szCs w:val="20"/>
        </w:rPr>
        <w:t xml:space="preserve">These rates are from the Office of Personnel Management (OPM), </w:t>
      </w:r>
      <w:r w:rsidR="00060C3C" w:rsidRPr="00832837">
        <w:rPr>
          <w:bCs/>
          <w:color w:val="000000"/>
          <w:sz w:val="20"/>
          <w:szCs w:val="20"/>
        </w:rPr>
        <w:t>201</w:t>
      </w:r>
      <w:r w:rsidR="00060C3C">
        <w:rPr>
          <w:bCs/>
          <w:color w:val="000000"/>
          <w:sz w:val="20"/>
          <w:szCs w:val="20"/>
        </w:rPr>
        <w:t>8</w:t>
      </w:r>
      <w:r w:rsidR="00060C3C" w:rsidRPr="00832837">
        <w:rPr>
          <w:bCs/>
          <w:color w:val="000000"/>
          <w:sz w:val="20"/>
          <w:szCs w:val="20"/>
        </w:rPr>
        <w:t xml:space="preserve"> </w:t>
      </w:r>
      <w:r w:rsidR="00832837" w:rsidRPr="00832837">
        <w:rPr>
          <w:bCs/>
          <w:color w:val="000000"/>
          <w:sz w:val="20"/>
          <w:szCs w:val="20"/>
        </w:rPr>
        <w:t xml:space="preserve">General Schedule, which excludes locality rates of pay. </w:t>
      </w:r>
      <w:r w:rsidR="00060C3C" w:rsidRPr="00060C3C">
        <w:rPr>
          <w:rStyle w:val="Hyperlink"/>
          <w:bCs/>
          <w:sz w:val="20"/>
          <w:szCs w:val="20"/>
        </w:rPr>
        <w:t>https://www.opm.gov/policy-data-oversight/pay-leave/salaries-wages/salary-tables/pdf/2018/GS_h.pdf</w:t>
      </w:r>
      <w:r w:rsidR="00832837">
        <w:rPr>
          <w:bCs/>
          <w:color w:val="000000"/>
          <w:sz w:val="20"/>
          <w:szCs w:val="20"/>
        </w:rPr>
        <w:t xml:space="preserve">. </w:t>
      </w:r>
      <w:r w:rsidR="00832837" w:rsidRPr="00832837">
        <w:rPr>
          <w:bCs/>
          <w:color w:val="000000"/>
          <w:sz w:val="20"/>
          <w:szCs w:val="20"/>
        </w:rPr>
        <w:t>The rates have been increased by 60 percent to account for the benefit packages available to government employees.</w:t>
      </w:r>
    </w:p>
    <w:p w14:paraId="386CA2BE" w14:textId="09618FD6" w:rsidR="007E3287" w:rsidRDefault="007E3287" w:rsidP="0065452F">
      <w:pPr>
        <w:autoSpaceDE w:val="0"/>
        <w:autoSpaceDN w:val="0"/>
        <w:adjustRightInd w:val="0"/>
        <w:spacing w:before="120"/>
        <w:jc w:val="both"/>
        <w:rPr>
          <w:bCs/>
          <w:color w:val="000000"/>
          <w:sz w:val="20"/>
          <w:szCs w:val="20"/>
        </w:rPr>
      </w:pPr>
      <w:r w:rsidRPr="00D15828">
        <w:rPr>
          <w:sz w:val="20"/>
          <w:szCs w:val="20"/>
          <w:vertAlign w:val="superscript"/>
        </w:rPr>
        <w:t xml:space="preserve">2 </w:t>
      </w:r>
      <w:r w:rsidRPr="00D15828">
        <w:rPr>
          <w:bCs/>
          <w:i/>
          <w:color w:val="000000"/>
          <w:sz w:val="20"/>
          <w:szCs w:val="20"/>
          <w:u w:val="single"/>
        </w:rPr>
        <w:t>Petition Process Costs:</w:t>
      </w:r>
      <w:r w:rsidRPr="00D15828">
        <w:rPr>
          <w:bCs/>
          <w:i/>
          <w:color w:val="000000"/>
          <w:sz w:val="20"/>
          <w:szCs w:val="20"/>
        </w:rPr>
        <w:t xml:space="preserve"> </w:t>
      </w:r>
      <w:r w:rsidR="006663E4" w:rsidRPr="008909AD">
        <w:rPr>
          <w:bCs/>
          <w:color w:val="000000"/>
          <w:sz w:val="20"/>
          <w:szCs w:val="20"/>
        </w:rPr>
        <w:t>Derived from U.S. EPA, Supporting Statement for EPA Information Collection Request Number 2310.01: Revisions to the RCRA Definition of Solid Waste (Final Rule), October 28, 2008</w:t>
      </w:r>
      <w:r w:rsidR="006663E4">
        <w:rPr>
          <w:bCs/>
          <w:color w:val="000000"/>
          <w:sz w:val="20"/>
          <w:szCs w:val="20"/>
        </w:rPr>
        <w:t>.</w:t>
      </w:r>
    </w:p>
    <w:p w14:paraId="1845313B" w14:textId="317E50A4" w:rsidR="00235EF1" w:rsidRPr="000D12E3" w:rsidRDefault="00F84744" w:rsidP="0065452F">
      <w:pPr>
        <w:autoSpaceDE w:val="0"/>
        <w:autoSpaceDN w:val="0"/>
        <w:adjustRightInd w:val="0"/>
        <w:spacing w:before="120"/>
        <w:jc w:val="both"/>
        <w:rPr>
          <w:sz w:val="19"/>
          <w:szCs w:val="19"/>
        </w:rPr>
      </w:pPr>
      <w:r>
        <w:rPr>
          <w:sz w:val="19"/>
          <w:szCs w:val="19"/>
          <w:vertAlign w:val="superscript"/>
        </w:rPr>
        <w:t>3</w:t>
      </w:r>
      <w:r w:rsidRPr="005C0FE4">
        <w:rPr>
          <w:sz w:val="19"/>
          <w:szCs w:val="19"/>
          <w:vertAlign w:val="superscript"/>
        </w:rPr>
        <w:t xml:space="preserve"> </w:t>
      </w:r>
      <w:r w:rsidRPr="004C2054">
        <w:rPr>
          <w:i/>
          <w:sz w:val="19"/>
          <w:szCs w:val="19"/>
        </w:rPr>
        <w:t>40 CFR 241.4 Petition Process Costs:</w:t>
      </w:r>
      <w:r>
        <w:rPr>
          <w:sz w:val="19"/>
          <w:szCs w:val="19"/>
        </w:rPr>
        <w:t xml:space="preserve"> Estimated based on submittals, reviews, stakeholder meetings and conducting the process</w:t>
      </w:r>
      <w:r w:rsidR="00235EF1">
        <w:rPr>
          <w:sz w:val="19"/>
          <w:szCs w:val="19"/>
        </w:rPr>
        <w:t>es</w:t>
      </w:r>
      <w:r>
        <w:rPr>
          <w:sz w:val="19"/>
          <w:szCs w:val="19"/>
        </w:rPr>
        <w:t xml:space="preserve"> of </w:t>
      </w:r>
      <w:r w:rsidR="00235EF1">
        <w:rPr>
          <w:sz w:val="19"/>
          <w:szCs w:val="19"/>
        </w:rPr>
        <w:t xml:space="preserve">making a </w:t>
      </w:r>
      <w:r>
        <w:rPr>
          <w:sz w:val="19"/>
          <w:szCs w:val="19"/>
        </w:rPr>
        <w:t xml:space="preserve">categorical determination </w:t>
      </w:r>
      <w:r w:rsidR="00235EF1">
        <w:rPr>
          <w:sz w:val="19"/>
          <w:szCs w:val="19"/>
        </w:rPr>
        <w:t xml:space="preserve">based on </w:t>
      </w:r>
      <w:r>
        <w:rPr>
          <w:sz w:val="19"/>
          <w:szCs w:val="19"/>
        </w:rPr>
        <w:t>petitions conducted to date.</w:t>
      </w:r>
    </w:p>
    <w:p w14:paraId="3AAC32EF" w14:textId="31228DB0" w:rsidR="005C0FE4" w:rsidRPr="00D15828" w:rsidRDefault="00F84744" w:rsidP="0065452F">
      <w:pPr>
        <w:autoSpaceDE w:val="0"/>
        <w:autoSpaceDN w:val="0"/>
        <w:adjustRightInd w:val="0"/>
        <w:spacing w:before="120"/>
        <w:jc w:val="both"/>
        <w:rPr>
          <w:sz w:val="20"/>
          <w:szCs w:val="20"/>
        </w:rPr>
      </w:pPr>
      <w:r>
        <w:rPr>
          <w:sz w:val="19"/>
          <w:szCs w:val="19"/>
          <w:vertAlign w:val="superscript"/>
        </w:rPr>
        <w:t>4</w:t>
      </w:r>
      <w:r w:rsidR="005C0FE4" w:rsidRPr="005C0FE4">
        <w:rPr>
          <w:sz w:val="19"/>
          <w:szCs w:val="19"/>
          <w:vertAlign w:val="superscript"/>
        </w:rPr>
        <w:t xml:space="preserve"> </w:t>
      </w:r>
      <w:r w:rsidR="005C0FE4" w:rsidRPr="005C0FE4">
        <w:rPr>
          <w:bCs/>
          <w:i/>
          <w:color w:val="000000"/>
          <w:sz w:val="19"/>
          <w:szCs w:val="19"/>
          <w:u w:val="single"/>
        </w:rPr>
        <w:t xml:space="preserve">Uncertainty Regarding Number of Respondents for the Petition Process: </w:t>
      </w:r>
      <w:r w:rsidR="005C0FE4" w:rsidRPr="005C0FE4">
        <w:rPr>
          <w:bCs/>
          <w:color w:val="000000"/>
          <w:sz w:val="19"/>
          <w:szCs w:val="19"/>
        </w:rPr>
        <w:t xml:space="preserve">As described in previous sections of this document, EPA assumes that facilities potentially affected by the CISWI rule and the </w:t>
      </w:r>
      <w:r w:rsidR="006663E4">
        <w:rPr>
          <w:bCs/>
          <w:color w:val="000000"/>
          <w:sz w:val="19"/>
          <w:szCs w:val="19"/>
        </w:rPr>
        <w:t>M</w:t>
      </w:r>
      <w:r w:rsidR="005C0FE4" w:rsidRPr="005C0FE4">
        <w:rPr>
          <w:bCs/>
          <w:color w:val="000000"/>
          <w:sz w:val="19"/>
          <w:szCs w:val="19"/>
        </w:rPr>
        <w:t xml:space="preserve">ajor </w:t>
      </w:r>
      <w:r w:rsidR="006663E4">
        <w:rPr>
          <w:bCs/>
          <w:color w:val="000000"/>
          <w:sz w:val="19"/>
          <w:szCs w:val="19"/>
        </w:rPr>
        <w:t>S</w:t>
      </w:r>
      <w:r w:rsidR="005C0FE4" w:rsidRPr="005C0FE4">
        <w:rPr>
          <w:bCs/>
          <w:color w:val="000000"/>
          <w:sz w:val="19"/>
          <w:szCs w:val="19"/>
        </w:rPr>
        <w:t xml:space="preserve">ource Boilers Rule will submit petitions to EPA for a non-waste determination if they burn materials considered to be a solid waste under the </w:t>
      </w:r>
      <w:r w:rsidR="006663E4">
        <w:rPr>
          <w:bCs/>
          <w:color w:val="000000"/>
          <w:sz w:val="19"/>
          <w:szCs w:val="19"/>
        </w:rPr>
        <w:t>Final</w:t>
      </w:r>
      <w:r w:rsidR="006663E4" w:rsidRPr="005C0FE4">
        <w:rPr>
          <w:bCs/>
          <w:color w:val="000000"/>
          <w:sz w:val="19"/>
          <w:szCs w:val="19"/>
        </w:rPr>
        <w:t xml:space="preserve"> </w:t>
      </w:r>
      <w:r w:rsidR="006663E4">
        <w:rPr>
          <w:bCs/>
          <w:color w:val="000000"/>
          <w:sz w:val="19"/>
          <w:szCs w:val="19"/>
        </w:rPr>
        <w:t>R</w:t>
      </w:r>
      <w:r w:rsidR="005C0FE4" w:rsidRPr="005C0FE4">
        <w:rPr>
          <w:bCs/>
          <w:color w:val="000000"/>
          <w:sz w:val="19"/>
          <w:szCs w:val="19"/>
        </w:rPr>
        <w:t>ule and if the material is burned outside the control of the generator. Based on these conditions</w:t>
      </w:r>
      <w:r w:rsidR="002F6697">
        <w:rPr>
          <w:bCs/>
          <w:color w:val="000000"/>
          <w:sz w:val="19"/>
          <w:szCs w:val="19"/>
        </w:rPr>
        <w:t xml:space="preserve"> and on EPA’s experiences over the past three year period</w:t>
      </w:r>
      <w:r w:rsidR="005C0FE4" w:rsidRPr="005C0FE4">
        <w:rPr>
          <w:bCs/>
          <w:color w:val="000000"/>
          <w:sz w:val="19"/>
          <w:szCs w:val="19"/>
        </w:rPr>
        <w:t xml:space="preserve">, the Agency estimates that </w:t>
      </w:r>
      <w:r w:rsidR="001B218F">
        <w:rPr>
          <w:bCs/>
          <w:color w:val="000000"/>
          <w:sz w:val="19"/>
          <w:szCs w:val="19"/>
        </w:rPr>
        <w:t>10</w:t>
      </w:r>
      <w:r w:rsidR="001B218F" w:rsidRPr="005C0FE4">
        <w:rPr>
          <w:bCs/>
          <w:color w:val="000000"/>
          <w:sz w:val="19"/>
          <w:szCs w:val="19"/>
        </w:rPr>
        <w:t xml:space="preserve"> </w:t>
      </w:r>
      <w:r w:rsidR="005C0FE4" w:rsidRPr="005C0FE4">
        <w:rPr>
          <w:bCs/>
          <w:color w:val="000000"/>
          <w:sz w:val="19"/>
          <w:szCs w:val="19"/>
        </w:rPr>
        <w:t>facilities will submit petitions</w:t>
      </w:r>
      <w:r>
        <w:rPr>
          <w:bCs/>
          <w:color w:val="000000"/>
          <w:sz w:val="19"/>
          <w:szCs w:val="19"/>
        </w:rPr>
        <w:t xml:space="preserve"> and one categorical determination petition will be submitted by a facility or trade organization</w:t>
      </w:r>
      <w:r w:rsidR="005C0FE4" w:rsidRPr="005C0FE4">
        <w:rPr>
          <w:bCs/>
          <w:color w:val="000000"/>
          <w:sz w:val="19"/>
          <w:szCs w:val="19"/>
        </w:rPr>
        <w:t xml:space="preserve">. In reality, the number of petitions that will be submitted is uncertain and dependent on several factors that EPA is unable to assess (e.g., the operational characteristics of individual facilities).  </w:t>
      </w:r>
    </w:p>
    <w:p w14:paraId="73AF7553" w14:textId="102BFB3B" w:rsidR="00C95B8A" w:rsidRPr="000D12E3" w:rsidRDefault="00C95B8A" w:rsidP="000D12E3">
      <w:pPr>
        <w:spacing w:before="120"/>
        <w:jc w:val="both"/>
        <w:rPr>
          <w:sz w:val="20"/>
          <w:szCs w:val="20"/>
        </w:rPr>
      </w:pPr>
    </w:p>
    <w:sectPr w:rsidR="00C95B8A" w:rsidRPr="000D12E3" w:rsidSect="007C76A1">
      <w:footerReference w:type="default" r:id="rId16"/>
      <w:footerReference w:type="first" r:id="rId17"/>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AD0BC" w14:textId="77777777" w:rsidR="00233961" w:rsidRDefault="00233961">
      <w:r>
        <w:separator/>
      </w:r>
    </w:p>
  </w:endnote>
  <w:endnote w:type="continuationSeparator" w:id="0">
    <w:p w14:paraId="0468EDBE" w14:textId="77777777" w:rsidR="00233961" w:rsidRDefault="0023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60FD1" w14:textId="77777777" w:rsidR="003E1DA5" w:rsidRDefault="003E1DA5" w:rsidP="005E4C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365F" w14:textId="77777777" w:rsidR="003E1DA5" w:rsidRDefault="003E1DA5" w:rsidP="005E4C6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4A1DE" w14:textId="3F42013E" w:rsidR="003E1DA5" w:rsidRDefault="003E1DA5" w:rsidP="005E4C60">
    <w:pPr>
      <w:pStyle w:val="Footer"/>
      <w:jc w:val="center"/>
    </w:pPr>
    <w:r>
      <w:rPr>
        <w:rStyle w:val="PageNumber"/>
      </w:rPr>
      <w:fldChar w:fldCharType="begin"/>
    </w:r>
    <w:r>
      <w:rPr>
        <w:rStyle w:val="PageNumber"/>
      </w:rPr>
      <w:instrText xml:space="preserve"> PAGE </w:instrText>
    </w:r>
    <w:r>
      <w:rPr>
        <w:rStyle w:val="PageNumber"/>
      </w:rPr>
      <w:fldChar w:fldCharType="separate"/>
    </w:r>
    <w:r w:rsidR="009335DA">
      <w:rPr>
        <w:rStyle w:val="PageNumber"/>
        <w:noProof/>
      </w:rPr>
      <w:t>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A47A" w14:textId="77777777" w:rsidR="003E1DA5" w:rsidRDefault="003E1DA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6C91" w14:textId="77777777" w:rsidR="003E1DA5" w:rsidRDefault="003E1DA5" w:rsidP="005E4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EB4BD68" w14:textId="77777777" w:rsidR="003E1DA5" w:rsidRDefault="003E1DA5" w:rsidP="005E4C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B15FB" w14:textId="77777777" w:rsidR="00233961" w:rsidRDefault="00233961">
      <w:r>
        <w:separator/>
      </w:r>
    </w:p>
  </w:footnote>
  <w:footnote w:type="continuationSeparator" w:id="0">
    <w:p w14:paraId="66354CE1" w14:textId="77777777" w:rsidR="00233961" w:rsidRDefault="00233961">
      <w:r>
        <w:continuationSeparator/>
      </w:r>
    </w:p>
  </w:footnote>
  <w:footnote w:id="1">
    <w:p w14:paraId="4A211F72" w14:textId="77777777" w:rsidR="003E1DA5" w:rsidRPr="007E3287" w:rsidRDefault="003E1DA5"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A “major source” is any stationary source that emits or has the potential to emit considering controls, in the aggregate, at least 10 tons per year of any hazardous air pollutant or at least 25 tons per year of any combination of hazardous air pollutants.</w:t>
      </w:r>
    </w:p>
  </w:footnote>
  <w:footnote w:id="2">
    <w:p w14:paraId="73C029EF" w14:textId="77777777" w:rsidR="003E1DA5" w:rsidRPr="007E3287" w:rsidRDefault="003E1DA5" w:rsidP="007E328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 xml:space="preserve">The Clean Air Act also requires EPA to identify and list the area source categories (sources that are not major sources) that represent 90 percent of the emissions of the 30 urban air toxics associated with area sources and subject them to standards under the Section 112(d) of the Act. EPA’s Urban Air Toxics Strategy is summarized in </w:t>
      </w:r>
      <w:r w:rsidRPr="007E3287">
        <w:rPr>
          <w:i/>
          <w:sz w:val="20"/>
        </w:rPr>
        <w:t>Federal Register</w:t>
      </w:r>
      <w:r w:rsidRPr="007E3287">
        <w:rPr>
          <w:sz w:val="20"/>
        </w:rPr>
        <w:t>, Vol 64, No. 137, 38706, July 19, 1999.</w:t>
      </w:r>
    </w:p>
  </w:footnote>
  <w:footnote w:id="3">
    <w:p w14:paraId="2E15A7A4" w14:textId="77777777" w:rsidR="003E1DA5" w:rsidRPr="007E3287" w:rsidRDefault="003E1DA5" w:rsidP="007E3287">
      <w:pPr>
        <w:pStyle w:val="FootnoteText"/>
        <w:spacing w:after="120"/>
        <w:rPr>
          <w:sz w:val="20"/>
        </w:rPr>
      </w:pPr>
      <w:r w:rsidRPr="007E3287">
        <w:rPr>
          <w:rStyle w:val="FootnoteReference"/>
          <w:sz w:val="20"/>
        </w:rPr>
        <w:footnoteRef/>
      </w:r>
      <w:r w:rsidRPr="007E3287">
        <w:rPr>
          <w:sz w:val="20"/>
        </w:rPr>
        <w:t xml:space="preserve"> A “secondary material” is </w:t>
      </w:r>
      <w:r w:rsidRPr="00B4717C">
        <w:rPr>
          <w:sz w:val="20"/>
        </w:rPr>
        <w:t>any material that is not the primary product of a manufacturing or commercial process, and can include post-consumer material, off-specification commercial chemical products or manufacturing chemical intermediates, post-industrial material, and scrap.</w:t>
      </w:r>
      <w:r>
        <w:rPr>
          <w:sz w:val="20"/>
        </w:rPr>
        <w:t xml:space="preserve"> </w:t>
      </w:r>
    </w:p>
  </w:footnote>
  <w:footnote w:id="4">
    <w:p w14:paraId="352D58D1" w14:textId="2C477E18" w:rsidR="003E1DA5" w:rsidRPr="00CB1F98" w:rsidRDefault="003E1DA5">
      <w:pPr>
        <w:pStyle w:val="FootnoteText"/>
        <w:rPr>
          <w:sz w:val="20"/>
        </w:rPr>
      </w:pPr>
      <w:r>
        <w:rPr>
          <w:rStyle w:val="FootnoteReference"/>
        </w:rPr>
        <w:footnoteRef/>
      </w:r>
      <w:r>
        <w:t xml:space="preserve"> </w:t>
      </w:r>
      <w:r w:rsidRPr="00CB1F98">
        <w:rPr>
          <w:sz w:val="20"/>
        </w:rPr>
        <w:t>This also includes units at major source pulp and paper mills or power producers subject to 40 CFR 63 Subpart DDDDD that combust CTRTs and had been designed to burn biomass and fuel oil, but are modified (e.g. oil delivery mechanisms are removed) in order to use natural gas instead of fuel oil as part of normal operations. These units may also continue to combust CTRTs after the switch to natural gas from fuel oil, provided they meet certain conditions specified in the rule.</w:t>
      </w:r>
    </w:p>
  </w:footnote>
  <w:footnote w:id="5">
    <w:p w14:paraId="674A7AE7" w14:textId="77777777" w:rsidR="003E1DA5" w:rsidRPr="00CB1F98" w:rsidRDefault="003E1DA5" w:rsidP="00931BAB">
      <w:pPr>
        <w:pStyle w:val="FootnoteText"/>
        <w:rPr>
          <w:rStyle w:val="FootnoteReference"/>
        </w:rPr>
      </w:pPr>
      <w:r>
        <w:rPr>
          <w:rStyle w:val="FootnoteReference"/>
        </w:rPr>
        <w:footnoteRef/>
      </w:r>
      <w:r w:rsidRPr="00CB1F98">
        <w:rPr>
          <w:rStyle w:val="FootnoteReference"/>
        </w:rPr>
        <w:t xml:space="preserve"> </w:t>
      </w:r>
      <w:r w:rsidRPr="00CB1F98">
        <w:rPr>
          <w:sz w:val="20"/>
        </w:rPr>
        <w:t>This also includes units at major source pulp and paper mills or power producers subject to 40 CFR 63 Subpart DDDDD that combust OTRTs and had been designed to burn biomass and fuel oil, but are modified (e.g. oil delivery mechanisms are removed) in order to use natural gas instead of fuel oil as part of normal operations. The creosote-borate and mixed creosote, borate and copper naphthenate treated railroad ties may continue to be combusted as product fuel, provided they meet certain conditions specified in the rule.</w:t>
      </w:r>
    </w:p>
  </w:footnote>
  <w:footnote w:id="6">
    <w:p w14:paraId="735584C4" w14:textId="77777777" w:rsidR="003E1DA5" w:rsidRPr="009A4824" w:rsidRDefault="003E1DA5">
      <w:pPr>
        <w:pStyle w:val="FootnoteText"/>
        <w:rPr>
          <w:sz w:val="20"/>
        </w:rPr>
      </w:pPr>
      <w:r w:rsidRPr="009A4824">
        <w:rPr>
          <w:rStyle w:val="FootnoteReference"/>
          <w:sz w:val="20"/>
        </w:rPr>
        <w:footnoteRef/>
      </w:r>
      <w:r w:rsidRPr="009A4824">
        <w:rPr>
          <w:sz w:val="20"/>
        </w:rPr>
        <w:t xml:space="preserve"> Available at http://www.bls.gov/news.release/ecec.t02.htm</w:t>
      </w:r>
    </w:p>
  </w:footnote>
  <w:footnote w:id="7">
    <w:p w14:paraId="5060E49B" w14:textId="77777777" w:rsidR="003E1DA5" w:rsidRPr="008909AD" w:rsidRDefault="003E1DA5">
      <w:pPr>
        <w:pStyle w:val="FootnoteText"/>
        <w:rPr>
          <w:sz w:val="20"/>
        </w:rPr>
      </w:pPr>
      <w:r w:rsidRPr="008909AD">
        <w:rPr>
          <w:rStyle w:val="FootnoteReference"/>
          <w:sz w:val="20"/>
        </w:rPr>
        <w:footnoteRef/>
      </w:r>
      <w:r w:rsidRPr="008909AD">
        <w:rPr>
          <w:sz w:val="20"/>
        </w:rPr>
        <w:t xml:space="preserve"> Estimate derived from RACER 2005 Cost Estimating Software. </w:t>
      </w:r>
    </w:p>
  </w:footnote>
  <w:footnote w:id="8">
    <w:p w14:paraId="302EF88F" w14:textId="77777777" w:rsidR="003E1DA5" w:rsidRDefault="003E1DA5">
      <w:pPr>
        <w:pStyle w:val="FootnoteText"/>
      </w:pPr>
      <w:r>
        <w:rPr>
          <w:rStyle w:val="FootnoteReference"/>
        </w:rPr>
        <w:footnoteRef/>
      </w:r>
      <w:r>
        <w:t xml:space="preserve"> </w:t>
      </w:r>
      <w:r w:rsidRPr="008A78C4">
        <w:rPr>
          <w:sz w:val="20"/>
        </w:rPr>
        <w:t xml:space="preserve">U.S. EPA, Office of Air Quality Planning and Standards, Draft combustor database in support of the </w:t>
      </w:r>
      <w:r>
        <w:rPr>
          <w:sz w:val="20"/>
        </w:rPr>
        <w:t>proposed</w:t>
      </w:r>
      <w:r w:rsidRPr="008A78C4">
        <w:rPr>
          <w:sz w:val="20"/>
        </w:rPr>
        <w:t xml:space="preserve"> CISWI Rule, April 14, 2009 and U.S. EPA, Office of Air Quality Planning and Standards, Draft combustor database in support of the </w:t>
      </w:r>
      <w:r>
        <w:rPr>
          <w:sz w:val="20"/>
        </w:rPr>
        <w:t>proposed major source</w:t>
      </w:r>
      <w:r w:rsidRPr="008A78C4">
        <w:rPr>
          <w:sz w:val="20"/>
        </w:rPr>
        <w:t xml:space="preserve"> Boilers Rule, March 20, 2009.</w:t>
      </w:r>
    </w:p>
  </w:footnote>
  <w:footnote w:id="9">
    <w:p w14:paraId="15024F28" w14:textId="77777777" w:rsidR="003E1DA5" w:rsidRPr="008A78C4" w:rsidRDefault="003E1DA5">
      <w:pPr>
        <w:pStyle w:val="FootnoteText"/>
        <w:rPr>
          <w:sz w:val="20"/>
        </w:rPr>
      </w:pPr>
      <w:r w:rsidRPr="008A78C4">
        <w:rPr>
          <w:rStyle w:val="FootnoteReference"/>
          <w:sz w:val="20"/>
        </w:rPr>
        <w:footnoteRef/>
      </w:r>
      <w:r w:rsidRPr="008A78C4">
        <w:rPr>
          <w:sz w:val="20"/>
        </w:rPr>
        <w:t xml:space="preserve"> U.S. EPA, Office of Air Quality Planning and Standards, Draft combustor database in support of the </w:t>
      </w:r>
      <w:r>
        <w:rPr>
          <w:sz w:val="20"/>
        </w:rPr>
        <w:t>proposed</w:t>
      </w:r>
      <w:r w:rsidRPr="008A78C4">
        <w:rPr>
          <w:sz w:val="20"/>
        </w:rPr>
        <w:t xml:space="preserve"> CISWI Rule, April 14, 2009 and U.S. EPA, Office of Air Quality Planning and Standards, Draft combustor database in support of the </w:t>
      </w:r>
      <w:r>
        <w:rPr>
          <w:sz w:val="20"/>
        </w:rPr>
        <w:t>proposed major source</w:t>
      </w:r>
      <w:r w:rsidRPr="008A78C4">
        <w:rPr>
          <w:sz w:val="20"/>
        </w:rPr>
        <w:t xml:space="preserve"> Boilers Rule, March 20, 2009.</w:t>
      </w:r>
    </w:p>
  </w:footnote>
  <w:footnote w:id="10">
    <w:p w14:paraId="14A376C5" w14:textId="77777777" w:rsidR="003E1DA5" w:rsidRPr="00D80F55" w:rsidRDefault="003E1DA5">
      <w:pPr>
        <w:pStyle w:val="FootnoteText"/>
        <w:rPr>
          <w:sz w:val="20"/>
        </w:rPr>
      </w:pPr>
      <w:r w:rsidRPr="00D80F55">
        <w:rPr>
          <w:rStyle w:val="FootnoteReference"/>
          <w:sz w:val="20"/>
        </w:rPr>
        <w:footnoteRef/>
      </w:r>
      <w:r w:rsidRPr="00D80F55">
        <w:rPr>
          <w:sz w:val="20"/>
        </w:rPr>
        <w:t xml:space="preserve"> EPA is also issuing National Emission Standards for Hazardous Air Pollutants for Area Sources: Industrial, Commercial, and Institutional Boilers (the area source Boilers Rule)</w:t>
      </w:r>
      <w:r>
        <w:rPr>
          <w:sz w:val="20"/>
        </w:rPr>
        <w:t>.  The vast majority of such units, however, are not designed to burn secondary materials and will therefore not be affected by the Final NHSM Rule.</w:t>
      </w:r>
    </w:p>
  </w:footnote>
  <w:footnote w:id="11">
    <w:p w14:paraId="5E1010BF" w14:textId="77777777" w:rsidR="003E1DA5" w:rsidRPr="007E3287" w:rsidRDefault="003E1DA5" w:rsidP="007E3287">
      <w:pPr>
        <w:pStyle w:val="FootnoteText"/>
        <w:spacing w:after="120"/>
        <w:rPr>
          <w:sz w:val="20"/>
        </w:rPr>
      </w:pPr>
      <w:r w:rsidRPr="007E3287">
        <w:rPr>
          <w:rStyle w:val="FootnoteReference"/>
          <w:sz w:val="20"/>
        </w:rPr>
        <w:footnoteRef/>
      </w:r>
      <w:r w:rsidRPr="007E3287">
        <w:rPr>
          <w:sz w:val="20"/>
        </w:rPr>
        <w:t xml:space="preserve"> </w:t>
      </w:r>
      <w:r w:rsidRPr="008A78C4">
        <w:rPr>
          <w:sz w:val="20"/>
        </w:rPr>
        <w:t xml:space="preserve">U.S. EPA, Office of Air Quality Planning and Standards, </w:t>
      </w:r>
      <w:r w:rsidRPr="008B3712">
        <w:rPr>
          <w:i/>
          <w:sz w:val="20"/>
        </w:rPr>
        <w:t>op cit</w:t>
      </w:r>
      <w:r>
        <w:rPr>
          <w:sz w:val="20"/>
        </w:rPr>
        <w:t>.</w:t>
      </w:r>
      <w:r w:rsidRPr="008A78C4">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DC8B" w14:textId="77777777" w:rsidR="003E1DA5" w:rsidRDefault="003E1DA5" w:rsidP="005E4C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F7938" w14:textId="77777777" w:rsidR="003E1DA5" w:rsidRDefault="003E1DA5" w:rsidP="005E4C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D64B9" w14:textId="77777777" w:rsidR="003E1DA5" w:rsidRDefault="003E1DA5" w:rsidP="005E4C6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070D7"/>
    <w:multiLevelType w:val="hybridMultilevel"/>
    <w:tmpl w:val="BD8073F6"/>
    <w:lvl w:ilvl="0" w:tplc="F1BE8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573AE7"/>
    <w:multiLevelType w:val="hybridMultilevel"/>
    <w:tmpl w:val="A9D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9163627"/>
    <w:multiLevelType w:val="hybridMultilevel"/>
    <w:tmpl w:val="75E2BA64"/>
    <w:lvl w:ilvl="0" w:tplc="642ED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8D5650"/>
    <w:multiLevelType w:val="hybridMultilevel"/>
    <w:tmpl w:val="E9C6DE62"/>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EF40D8"/>
    <w:multiLevelType w:val="hybridMultilevel"/>
    <w:tmpl w:val="B232BBBC"/>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AC56B2"/>
    <w:multiLevelType w:val="hybridMultilevel"/>
    <w:tmpl w:val="338E3FFE"/>
    <w:lvl w:ilvl="0" w:tplc="92BCD1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4A4D43"/>
    <w:multiLevelType w:val="singleLevel"/>
    <w:tmpl w:val="00000000"/>
    <w:lvl w:ilvl="0">
      <w:start w:val="3"/>
      <w:numFmt w:val="decimal"/>
      <w:lvlText w:val="%1."/>
      <w:legacy w:legacy="1" w:legacySpace="0" w:legacyIndent="360"/>
      <w:lvlJc w:val="left"/>
      <w:pPr>
        <w:ind w:left="360" w:hanging="360"/>
      </w:pPr>
    </w:lvl>
  </w:abstractNum>
  <w:abstractNum w:abstractNumId="12">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E2ABB"/>
    <w:multiLevelType w:val="hybridMultilevel"/>
    <w:tmpl w:val="D9BA47C6"/>
    <w:lvl w:ilvl="0" w:tplc="695697E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37167C74"/>
    <w:multiLevelType w:val="hybridMultilevel"/>
    <w:tmpl w:val="C5527882"/>
    <w:lvl w:ilvl="0" w:tplc="D908C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8D77E2"/>
    <w:multiLevelType w:val="hybridMultilevel"/>
    <w:tmpl w:val="C2D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017B6"/>
    <w:multiLevelType w:val="hybridMultilevel"/>
    <w:tmpl w:val="B1BCE5B0"/>
    <w:lvl w:ilvl="0" w:tplc="B7A84FA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B6C90"/>
    <w:multiLevelType w:val="hybridMultilevel"/>
    <w:tmpl w:val="3C7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B24B7C"/>
    <w:multiLevelType w:val="hybridMultilevel"/>
    <w:tmpl w:val="96A492F8"/>
    <w:lvl w:ilvl="0" w:tplc="FB5E0FC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EC36B3"/>
    <w:multiLevelType w:val="hybridMultilevel"/>
    <w:tmpl w:val="4BEE5256"/>
    <w:lvl w:ilvl="0" w:tplc="F16076F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352810"/>
    <w:multiLevelType w:val="hybridMultilevel"/>
    <w:tmpl w:val="5BA4F838"/>
    <w:lvl w:ilvl="0" w:tplc="CBD413E0">
      <w:start w:val="1"/>
      <w:numFmt w:val="bullet"/>
      <w:lvlText w:val=""/>
      <w:lvlJc w:val="left"/>
      <w:pPr>
        <w:tabs>
          <w:tab w:val="num" w:pos="2340"/>
        </w:tabs>
        <w:ind w:left="2340" w:hanging="360"/>
      </w:pPr>
      <w:rPr>
        <w:rFonts w:ascii="Symbol" w:hAnsi="Symbol" w:hint="default"/>
        <w:color w:val="00000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7C5B78"/>
    <w:multiLevelType w:val="hybridMultilevel"/>
    <w:tmpl w:val="8DFA34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79E0662"/>
    <w:multiLevelType w:val="hybridMultilevel"/>
    <w:tmpl w:val="34C2413E"/>
    <w:lvl w:ilvl="0" w:tplc="CBD413E0">
      <w:start w:val="1"/>
      <w:numFmt w:val="bullet"/>
      <w:lvlText w:val=""/>
      <w:lvlJc w:val="left"/>
      <w:pPr>
        <w:tabs>
          <w:tab w:val="num" w:pos="2340"/>
        </w:tabs>
        <w:ind w:left="23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7C6D02"/>
    <w:multiLevelType w:val="hybridMultilevel"/>
    <w:tmpl w:val="AE2671EC"/>
    <w:lvl w:ilvl="0" w:tplc="1A1E63A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86254"/>
    <w:multiLevelType w:val="hybridMultilevel"/>
    <w:tmpl w:val="846802F6"/>
    <w:lvl w:ilvl="0" w:tplc="26422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9"/>
  </w:num>
  <w:num w:numId="5">
    <w:abstractNumId w:val="28"/>
  </w:num>
  <w:num w:numId="6">
    <w:abstractNumId w:val="31"/>
  </w:num>
  <w:num w:numId="7">
    <w:abstractNumId w:val="18"/>
  </w:num>
  <w:num w:numId="8">
    <w:abstractNumId w:val="20"/>
  </w:num>
  <w:num w:numId="9">
    <w:abstractNumId w:val="3"/>
  </w:num>
  <w:num w:numId="10">
    <w:abstractNumId w:val="30"/>
  </w:num>
  <w:num w:numId="11">
    <w:abstractNumId w:val="12"/>
  </w:num>
  <w:num w:numId="12">
    <w:abstractNumId w:val="9"/>
  </w:num>
  <w:num w:numId="13">
    <w:abstractNumId w:val="10"/>
  </w:num>
  <w:num w:numId="14">
    <w:abstractNumId w:val="5"/>
  </w:num>
  <w:num w:numId="15">
    <w:abstractNumId w:val="26"/>
  </w:num>
  <w:num w:numId="16">
    <w:abstractNumId w:val="4"/>
  </w:num>
  <w:num w:numId="17">
    <w:abstractNumId w:val="16"/>
  </w:num>
  <w:num w:numId="18">
    <w:abstractNumId w:val="24"/>
  </w:num>
  <w:num w:numId="19">
    <w:abstractNumId w:val="25"/>
  </w:num>
  <w:num w:numId="20">
    <w:abstractNumId w:val="23"/>
  </w:num>
  <w:num w:numId="21">
    <w:abstractNumId w:val="6"/>
  </w:num>
  <w:num w:numId="22">
    <w:abstractNumId w:val="7"/>
  </w:num>
  <w:num w:numId="23">
    <w:abstractNumId w:val="17"/>
  </w:num>
  <w:num w:numId="24">
    <w:abstractNumId w:val="29"/>
  </w:num>
  <w:num w:numId="25">
    <w:abstractNumId w:val="22"/>
  </w:num>
  <w:num w:numId="26">
    <w:abstractNumId w:val="2"/>
  </w:num>
  <w:num w:numId="27">
    <w:abstractNumId w:val="8"/>
  </w:num>
  <w:num w:numId="28">
    <w:abstractNumId w:val="13"/>
  </w:num>
  <w:num w:numId="29">
    <w:abstractNumId w:val="27"/>
  </w:num>
  <w:num w:numId="30">
    <w:abstractNumId w:val="21"/>
  </w:num>
  <w:num w:numId="31">
    <w:abstractNumId w:val="1"/>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87"/>
    <w:rsid w:val="000009AD"/>
    <w:rsid w:val="0000644F"/>
    <w:rsid w:val="00006AB4"/>
    <w:rsid w:val="00010E9B"/>
    <w:rsid w:val="00011793"/>
    <w:rsid w:val="00011F5E"/>
    <w:rsid w:val="00012542"/>
    <w:rsid w:val="00013AFB"/>
    <w:rsid w:val="000179D6"/>
    <w:rsid w:val="00017EED"/>
    <w:rsid w:val="00020DFB"/>
    <w:rsid w:val="00020E56"/>
    <w:rsid w:val="0002162B"/>
    <w:rsid w:val="000223FC"/>
    <w:rsid w:val="00025184"/>
    <w:rsid w:val="00026BA5"/>
    <w:rsid w:val="0002704E"/>
    <w:rsid w:val="000306AB"/>
    <w:rsid w:val="00032FBE"/>
    <w:rsid w:val="00036013"/>
    <w:rsid w:val="00044B38"/>
    <w:rsid w:val="00046E9F"/>
    <w:rsid w:val="00047E2A"/>
    <w:rsid w:val="00050C8A"/>
    <w:rsid w:val="000532CB"/>
    <w:rsid w:val="00053A22"/>
    <w:rsid w:val="00060C3C"/>
    <w:rsid w:val="00060C86"/>
    <w:rsid w:val="00062F64"/>
    <w:rsid w:val="00073B0F"/>
    <w:rsid w:val="00076B13"/>
    <w:rsid w:val="00077F62"/>
    <w:rsid w:val="00085CB1"/>
    <w:rsid w:val="00085FA3"/>
    <w:rsid w:val="000860DF"/>
    <w:rsid w:val="00094369"/>
    <w:rsid w:val="00095458"/>
    <w:rsid w:val="00097C6F"/>
    <w:rsid w:val="000A2D5C"/>
    <w:rsid w:val="000A3105"/>
    <w:rsid w:val="000A3682"/>
    <w:rsid w:val="000A467F"/>
    <w:rsid w:val="000A4AAA"/>
    <w:rsid w:val="000B3C3D"/>
    <w:rsid w:val="000C0385"/>
    <w:rsid w:val="000C5644"/>
    <w:rsid w:val="000C59DF"/>
    <w:rsid w:val="000D12E3"/>
    <w:rsid w:val="000D43E2"/>
    <w:rsid w:val="000D4869"/>
    <w:rsid w:val="000D6EB5"/>
    <w:rsid w:val="000D79E7"/>
    <w:rsid w:val="000E2885"/>
    <w:rsid w:val="000E4CB3"/>
    <w:rsid w:val="000E5CCF"/>
    <w:rsid w:val="000E64EC"/>
    <w:rsid w:val="00100179"/>
    <w:rsid w:val="00102069"/>
    <w:rsid w:val="001031DE"/>
    <w:rsid w:val="001039DE"/>
    <w:rsid w:val="00104312"/>
    <w:rsid w:val="00104965"/>
    <w:rsid w:val="001112D8"/>
    <w:rsid w:val="00115DCB"/>
    <w:rsid w:val="00117E74"/>
    <w:rsid w:val="00134D94"/>
    <w:rsid w:val="00135043"/>
    <w:rsid w:val="0013692D"/>
    <w:rsid w:val="0014151A"/>
    <w:rsid w:val="00141E07"/>
    <w:rsid w:val="00144B7E"/>
    <w:rsid w:val="00146964"/>
    <w:rsid w:val="00150119"/>
    <w:rsid w:val="00152640"/>
    <w:rsid w:val="00156061"/>
    <w:rsid w:val="001622CD"/>
    <w:rsid w:val="00165E99"/>
    <w:rsid w:val="0016640C"/>
    <w:rsid w:val="00180335"/>
    <w:rsid w:val="001816D4"/>
    <w:rsid w:val="00190B28"/>
    <w:rsid w:val="00191394"/>
    <w:rsid w:val="00191694"/>
    <w:rsid w:val="00193328"/>
    <w:rsid w:val="001934CD"/>
    <w:rsid w:val="00193FB1"/>
    <w:rsid w:val="00194B3B"/>
    <w:rsid w:val="00195011"/>
    <w:rsid w:val="001A0BFA"/>
    <w:rsid w:val="001A2D88"/>
    <w:rsid w:val="001A6D76"/>
    <w:rsid w:val="001A7350"/>
    <w:rsid w:val="001B056A"/>
    <w:rsid w:val="001B218F"/>
    <w:rsid w:val="001B5B9E"/>
    <w:rsid w:val="001B5CA2"/>
    <w:rsid w:val="001B7BC9"/>
    <w:rsid w:val="001C20B4"/>
    <w:rsid w:val="001C2BC9"/>
    <w:rsid w:val="001C4D0B"/>
    <w:rsid w:val="001D2067"/>
    <w:rsid w:val="001D5A46"/>
    <w:rsid w:val="001E037C"/>
    <w:rsid w:val="001E3B40"/>
    <w:rsid w:val="001F0953"/>
    <w:rsid w:val="001F1801"/>
    <w:rsid w:val="001F2910"/>
    <w:rsid w:val="001F42BF"/>
    <w:rsid w:val="001F44E7"/>
    <w:rsid w:val="002066D8"/>
    <w:rsid w:val="00207E52"/>
    <w:rsid w:val="00212D8C"/>
    <w:rsid w:val="00214426"/>
    <w:rsid w:val="002155EB"/>
    <w:rsid w:val="00222320"/>
    <w:rsid w:val="00225CE5"/>
    <w:rsid w:val="002314C0"/>
    <w:rsid w:val="00231CF6"/>
    <w:rsid w:val="00233961"/>
    <w:rsid w:val="00235EF1"/>
    <w:rsid w:val="00240F38"/>
    <w:rsid w:val="00242C79"/>
    <w:rsid w:val="00242CF0"/>
    <w:rsid w:val="00244559"/>
    <w:rsid w:val="002470BA"/>
    <w:rsid w:val="00250E90"/>
    <w:rsid w:val="00252108"/>
    <w:rsid w:val="00253349"/>
    <w:rsid w:val="002568D0"/>
    <w:rsid w:val="00256A06"/>
    <w:rsid w:val="002576AB"/>
    <w:rsid w:val="00257CF9"/>
    <w:rsid w:val="002656F7"/>
    <w:rsid w:val="0026685B"/>
    <w:rsid w:val="00271FF0"/>
    <w:rsid w:val="002738C7"/>
    <w:rsid w:val="00274CCD"/>
    <w:rsid w:val="002818C2"/>
    <w:rsid w:val="00281B84"/>
    <w:rsid w:val="00281BB0"/>
    <w:rsid w:val="002837CD"/>
    <w:rsid w:val="00290327"/>
    <w:rsid w:val="0029147F"/>
    <w:rsid w:val="002A05E8"/>
    <w:rsid w:val="002A06A2"/>
    <w:rsid w:val="002A6631"/>
    <w:rsid w:val="002B0E0E"/>
    <w:rsid w:val="002B140C"/>
    <w:rsid w:val="002B1EE2"/>
    <w:rsid w:val="002C4317"/>
    <w:rsid w:val="002C489F"/>
    <w:rsid w:val="002C54DC"/>
    <w:rsid w:val="002C593F"/>
    <w:rsid w:val="002D5034"/>
    <w:rsid w:val="002D7E71"/>
    <w:rsid w:val="002E10D5"/>
    <w:rsid w:val="002E1A74"/>
    <w:rsid w:val="002E370A"/>
    <w:rsid w:val="002F146D"/>
    <w:rsid w:val="002F3E76"/>
    <w:rsid w:val="002F4A93"/>
    <w:rsid w:val="002F6697"/>
    <w:rsid w:val="00302FB5"/>
    <w:rsid w:val="00307803"/>
    <w:rsid w:val="00310C0F"/>
    <w:rsid w:val="00313185"/>
    <w:rsid w:val="0032208D"/>
    <w:rsid w:val="00324061"/>
    <w:rsid w:val="003266C3"/>
    <w:rsid w:val="00327501"/>
    <w:rsid w:val="00331707"/>
    <w:rsid w:val="003318BC"/>
    <w:rsid w:val="003343E4"/>
    <w:rsid w:val="00340A8B"/>
    <w:rsid w:val="003424C0"/>
    <w:rsid w:val="0035477E"/>
    <w:rsid w:val="00354F40"/>
    <w:rsid w:val="00357087"/>
    <w:rsid w:val="003574C4"/>
    <w:rsid w:val="00364F20"/>
    <w:rsid w:val="00371209"/>
    <w:rsid w:val="00372063"/>
    <w:rsid w:val="00372E58"/>
    <w:rsid w:val="00374672"/>
    <w:rsid w:val="00374E99"/>
    <w:rsid w:val="00380638"/>
    <w:rsid w:val="003807D4"/>
    <w:rsid w:val="00397409"/>
    <w:rsid w:val="003A15A6"/>
    <w:rsid w:val="003A4AE1"/>
    <w:rsid w:val="003A523C"/>
    <w:rsid w:val="003A5523"/>
    <w:rsid w:val="003A552E"/>
    <w:rsid w:val="003B3AA3"/>
    <w:rsid w:val="003B3BAC"/>
    <w:rsid w:val="003B5A73"/>
    <w:rsid w:val="003B6FD7"/>
    <w:rsid w:val="003C095F"/>
    <w:rsid w:val="003C0FEC"/>
    <w:rsid w:val="003C1509"/>
    <w:rsid w:val="003C182C"/>
    <w:rsid w:val="003C288B"/>
    <w:rsid w:val="003C568D"/>
    <w:rsid w:val="003C5B91"/>
    <w:rsid w:val="003C5D9F"/>
    <w:rsid w:val="003C7074"/>
    <w:rsid w:val="003C7EE2"/>
    <w:rsid w:val="003D0174"/>
    <w:rsid w:val="003D6D1F"/>
    <w:rsid w:val="003E1774"/>
    <w:rsid w:val="003E1DA5"/>
    <w:rsid w:val="003E5453"/>
    <w:rsid w:val="003E7ADE"/>
    <w:rsid w:val="003F010A"/>
    <w:rsid w:val="003F014E"/>
    <w:rsid w:val="003F693D"/>
    <w:rsid w:val="00400810"/>
    <w:rsid w:val="00401837"/>
    <w:rsid w:val="00402577"/>
    <w:rsid w:val="00403DEC"/>
    <w:rsid w:val="0040573F"/>
    <w:rsid w:val="00415239"/>
    <w:rsid w:val="004171BF"/>
    <w:rsid w:val="00423164"/>
    <w:rsid w:val="00423D3B"/>
    <w:rsid w:val="00424B75"/>
    <w:rsid w:val="004313F8"/>
    <w:rsid w:val="004315F4"/>
    <w:rsid w:val="004321FF"/>
    <w:rsid w:val="00433BAC"/>
    <w:rsid w:val="00433C14"/>
    <w:rsid w:val="00445F94"/>
    <w:rsid w:val="00446AE3"/>
    <w:rsid w:val="00452F59"/>
    <w:rsid w:val="0045343B"/>
    <w:rsid w:val="00456C0B"/>
    <w:rsid w:val="00474A41"/>
    <w:rsid w:val="00475275"/>
    <w:rsid w:val="004771C4"/>
    <w:rsid w:val="00493C0B"/>
    <w:rsid w:val="00495DCD"/>
    <w:rsid w:val="004A1B4C"/>
    <w:rsid w:val="004A3EE6"/>
    <w:rsid w:val="004B3A9F"/>
    <w:rsid w:val="004B3C33"/>
    <w:rsid w:val="004B5BF3"/>
    <w:rsid w:val="004B6F11"/>
    <w:rsid w:val="004C30A4"/>
    <w:rsid w:val="004C3395"/>
    <w:rsid w:val="004C4BF2"/>
    <w:rsid w:val="004C5893"/>
    <w:rsid w:val="004C6068"/>
    <w:rsid w:val="004D0BE2"/>
    <w:rsid w:val="004D2214"/>
    <w:rsid w:val="004D2D22"/>
    <w:rsid w:val="004D4D0F"/>
    <w:rsid w:val="004D6D2F"/>
    <w:rsid w:val="004E7DF0"/>
    <w:rsid w:val="004F104A"/>
    <w:rsid w:val="004F1310"/>
    <w:rsid w:val="004F38A3"/>
    <w:rsid w:val="004F3E4D"/>
    <w:rsid w:val="004F4044"/>
    <w:rsid w:val="004F46CC"/>
    <w:rsid w:val="0050186E"/>
    <w:rsid w:val="00502D1B"/>
    <w:rsid w:val="005045D5"/>
    <w:rsid w:val="00507DC5"/>
    <w:rsid w:val="00507EF7"/>
    <w:rsid w:val="0051003F"/>
    <w:rsid w:val="0051264C"/>
    <w:rsid w:val="00513E20"/>
    <w:rsid w:val="005148AC"/>
    <w:rsid w:val="00515B30"/>
    <w:rsid w:val="00516E2A"/>
    <w:rsid w:val="0052226B"/>
    <w:rsid w:val="005237CE"/>
    <w:rsid w:val="0052390B"/>
    <w:rsid w:val="00526AB7"/>
    <w:rsid w:val="0053001A"/>
    <w:rsid w:val="00540967"/>
    <w:rsid w:val="00543025"/>
    <w:rsid w:val="005436E2"/>
    <w:rsid w:val="00543BCB"/>
    <w:rsid w:val="0055305E"/>
    <w:rsid w:val="0055448A"/>
    <w:rsid w:val="00561895"/>
    <w:rsid w:val="005666DC"/>
    <w:rsid w:val="00570225"/>
    <w:rsid w:val="00573128"/>
    <w:rsid w:val="005776A6"/>
    <w:rsid w:val="005802E4"/>
    <w:rsid w:val="00582CFA"/>
    <w:rsid w:val="00586B6D"/>
    <w:rsid w:val="00591DBA"/>
    <w:rsid w:val="005958DA"/>
    <w:rsid w:val="0059619C"/>
    <w:rsid w:val="005A0AE3"/>
    <w:rsid w:val="005A2541"/>
    <w:rsid w:val="005A6B39"/>
    <w:rsid w:val="005C0FE4"/>
    <w:rsid w:val="005C6CB7"/>
    <w:rsid w:val="005D169B"/>
    <w:rsid w:val="005D6A50"/>
    <w:rsid w:val="005D7C9B"/>
    <w:rsid w:val="005E2C15"/>
    <w:rsid w:val="005E2FCB"/>
    <w:rsid w:val="005E2FDB"/>
    <w:rsid w:val="005E35F6"/>
    <w:rsid w:val="005E4425"/>
    <w:rsid w:val="005E4B34"/>
    <w:rsid w:val="005E4C60"/>
    <w:rsid w:val="005E781E"/>
    <w:rsid w:val="005F025A"/>
    <w:rsid w:val="005F0480"/>
    <w:rsid w:val="005F13E5"/>
    <w:rsid w:val="00603478"/>
    <w:rsid w:val="00606B7E"/>
    <w:rsid w:val="00607CB3"/>
    <w:rsid w:val="00612D7E"/>
    <w:rsid w:val="00614EBD"/>
    <w:rsid w:val="006170BB"/>
    <w:rsid w:val="0062314F"/>
    <w:rsid w:val="00625E45"/>
    <w:rsid w:val="006330E9"/>
    <w:rsid w:val="00633D41"/>
    <w:rsid w:val="0064072A"/>
    <w:rsid w:val="00644A59"/>
    <w:rsid w:val="00651019"/>
    <w:rsid w:val="0065452F"/>
    <w:rsid w:val="00656B3E"/>
    <w:rsid w:val="00660C5E"/>
    <w:rsid w:val="00661F5D"/>
    <w:rsid w:val="006663E4"/>
    <w:rsid w:val="00674306"/>
    <w:rsid w:val="006745BB"/>
    <w:rsid w:val="006808A0"/>
    <w:rsid w:val="00683D21"/>
    <w:rsid w:val="00690DD1"/>
    <w:rsid w:val="006931C7"/>
    <w:rsid w:val="00693C64"/>
    <w:rsid w:val="00695949"/>
    <w:rsid w:val="006A1905"/>
    <w:rsid w:val="006A204A"/>
    <w:rsid w:val="006A213A"/>
    <w:rsid w:val="006A2946"/>
    <w:rsid w:val="006B20BB"/>
    <w:rsid w:val="006B4E64"/>
    <w:rsid w:val="006B51FD"/>
    <w:rsid w:val="006C12B0"/>
    <w:rsid w:val="006C2E31"/>
    <w:rsid w:val="006C4A31"/>
    <w:rsid w:val="006C6E1D"/>
    <w:rsid w:val="006D339C"/>
    <w:rsid w:val="006D3C34"/>
    <w:rsid w:val="006D45AD"/>
    <w:rsid w:val="006D63D3"/>
    <w:rsid w:val="006F20F5"/>
    <w:rsid w:val="006F27D6"/>
    <w:rsid w:val="006F4445"/>
    <w:rsid w:val="006F6851"/>
    <w:rsid w:val="007004C7"/>
    <w:rsid w:val="00707227"/>
    <w:rsid w:val="00711382"/>
    <w:rsid w:val="00713EDA"/>
    <w:rsid w:val="00726739"/>
    <w:rsid w:val="00726F5F"/>
    <w:rsid w:val="00732F83"/>
    <w:rsid w:val="007342C8"/>
    <w:rsid w:val="00735CEE"/>
    <w:rsid w:val="00740A3A"/>
    <w:rsid w:val="007419D6"/>
    <w:rsid w:val="00744AD6"/>
    <w:rsid w:val="00756BE8"/>
    <w:rsid w:val="007617FE"/>
    <w:rsid w:val="00761A16"/>
    <w:rsid w:val="007624F8"/>
    <w:rsid w:val="00764A53"/>
    <w:rsid w:val="00765E8B"/>
    <w:rsid w:val="00766830"/>
    <w:rsid w:val="00771893"/>
    <w:rsid w:val="00775E76"/>
    <w:rsid w:val="00776B8C"/>
    <w:rsid w:val="0078035A"/>
    <w:rsid w:val="00781A47"/>
    <w:rsid w:val="00781EAA"/>
    <w:rsid w:val="007830D7"/>
    <w:rsid w:val="0078392C"/>
    <w:rsid w:val="00790E5B"/>
    <w:rsid w:val="007917F6"/>
    <w:rsid w:val="00795371"/>
    <w:rsid w:val="00795C31"/>
    <w:rsid w:val="007976B3"/>
    <w:rsid w:val="007A560B"/>
    <w:rsid w:val="007A69E7"/>
    <w:rsid w:val="007B0DE0"/>
    <w:rsid w:val="007B680A"/>
    <w:rsid w:val="007C1891"/>
    <w:rsid w:val="007C5D2C"/>
    <w:rsid w:val="007C76A1"/>
    <w:rsid w:val="007D0AAC"/>
    <w:rsid w:val="007D5C8A"/>
    <w:rsid w:val="007D714B"/>
    <w:rsid w:val="007E05D3"/>
    <w:rsid w:val="007E3287"/>
    <w:rsid w:val="007E3742"/>
    <w:rsid w:val="007F0137"/>
    <w:rsid w:val="007F10A3"/>
    <w:rsid w:val="007F21D4"/>
    <w:rsid w:val="007F263D"/>
    <w:rsid w:val="007F2987"/>
    <w:rsid w:val="007F5FC6"/>
    <w:rsid w:val="007F621B"/>
    <w:rsid w:val="007F7FFC"/>
    <w:rsid w:val="0080429D"/>
    <w:rsid w:val="0081186C"/>
    <w:rsid w:val="00813F68"/>
    <w:rsid w:val="00816ABC"/>
    <w:rsid w:val="008222C6"/>
    <w:rsid w:val="008255CC"/>
    <w:rsid w:val="008278DE"/>
    <w:rsid w:val="008311B6"/>
    <w:rsid w:val="00832837"/>
    <w:rsid w:val="0084311A"/>
    <w:rsid w:val="00844AB5"/>
    <w:rsid w:val="0084556E"/>
    <w:rsid w:val="008504A5"/>
    <w:rsid w:val="008509F2"/>
    <w:rsid w:val="00852D2F"/>
    <w:rsid w:val="008608EC"/>
    <w:rsid w:val="00860E06"/>
    <w:rsid w:val="00865251"/>
    <w:rsid w:val="00865A15"/>
    <w:rsid w:val="008676AD"/>
    <w:rsid w:val="008712F8"/>
    <w:rsid w:val="00872528"/>
    <w:rsid w:val="00872EC9"/>
    <w:rsid w:val="0088018F"/>
    <w:rsid w:val="008802A0"/>
    <w:rsid w:val="008820CB"/>
    <w:rsid w:val="00882E13"/>
    <w:rsid w:val="008909AD"/>
    <w:rsid w:val="00895854"/>
    <w:rsid w:val="008970D3"/>
    <w:rsid w:val="008A0C74"/>
    <w:rsid w:val="008A3DD2"/>
    <w:rsid w:val="008A41B0"/>
    <w:rsid w:val="008A4396"/>
    <w:rsid w:val="008A78C4"/>
    <w:rsid w:val="008A79F2"/>
    <w:rsid w:val="008B2392"/>
    <w:rsid w:val="008B3712"/>
    <w:rsid w:val="008B70C6"/>
    <w:rsid w:val="008C40A9"/>
    <w:rsid w:val="008D70EF"/>
    <w:rsid w:val="008E389F"/>
    <w:rsid w:val="008F4325"/>
    <w:rsid w:val="008F60BE"/>
    <w:rsid w:val="009004A5"/>
    <w:rsid w:val="00907D38"/>
    <w:rsid w:val="00921F93"/>
    <w:rsid w:val="0092240B"/>
    <w:rsid w:val="00923D2F"/>
    <w:rsid w:val="00925EA0"/>
    <w:rsid w:val="0092682A"/>
    <w:rsid w:val="00927A65"/>
    <w:rsid w:val="00931BAB"/>
    <w:rsid w:val="00932444"/>
    <w:rsid w:val="009335DA"/>
    <w:rsid w:val="00937DF1"/>
    <w:rsid w:val="00940948"/>
    <w:rsid w:val="00940C9B"/>
    <w:rsid w:val="00941502"/>
    <w:rsid w:val="00941862"/>
    <w:rsid w:val="00943968"/>
    <w:rsid w:val="009522C7"/>
    <w:rsid w:val="009549C4"/>
    <w:rsid w:val="0096043C"/>
    <w:rsid w:val="009628BF"/>
    <w:rsid w:val="0096503F"/>
    <w:rsid w:val="009711E0"/>
    <w:rsid w:val="00975819"/>
    <w:rsid w:val="00981AB7"/>
    <w:rsid w:val="0099199D"/>
    <w:rsid w:val="009934B4"/>
    <w:rsid w:val="009935D2"/>
    <w:rsid w:val="009945EE"/>
    <w:rsid w:val="009A1075"/>
    <w:rsid w:val="009A25D0"/>
    <w:rsid w:val="009A26CB"/>
    <w:rsid w:val="009A4824"/>
    <w:rsid w:val="009A56D6"/>
    <w:rsid w:val="009B10ED"/>
    <w:rsid w:val="009B2A66"/>
    <w:rsid w:val="009B342C"/>
    <w:rsid w:val="009B4623"/>
    <w:rsid w:val="009C1A9E"/>
    <w:rsid w:val="009C3144"/>
    <w:rsid w:val="009C59C4"/>
    <w:rsid w:val="009C6E8D"/>
    <w:rsid w:val="009D0443"/>
    <w:rsid w:val="009D11F3"/>
    <w:rsid w:val="009D540E"/>
    <w:rsid w:val="009D6F77"/>
    <w:rsid w:val="009E03F3"/>
    <w:rsid w:val="009F03FA"/>
    <w:rsid w:val="00A029C6"/>
    <w:rsid w:val="00A04F94"/>
    <w:rsid w:val="00A0638C"/>
    <w:rsid w:val="00A1443C"/>
    <w:rsid w:val="00A26A18"/>
    <w:rsid w:val="00A4074C"/>
    <w:rsid w:val="00A5119E"/>
    <w:rsid w:val="00A51E7B"/>
    <w:rsid w:val="00A52E61"/>
    <w:rsid w:val="00A57921"/>
    <w:rsid w:val="00A57947"/>
    <w:rsid w:val="00A60017"/>
    <w:rsid w:val="00A61858"/>
    <w:rsid w:val="00A65DAD"/>
    <w:rsid w:val="00A73DDE"/>
    <w:rsid w:val="00A83556"/>
    <w:rsid w:val="00A8563B"/>
    <w:rsid w:val="00A928C9"/>
    <w:rsid w:val="00A93F31"/>
    <w:rsid w:val="00A945DE"/>
    <w:rsid w:val="00A94901"/>
    <w:rsid w:val="00A96DB9"/>
    <w:rsid w:val="00A977CC"/>
    <w:rsid w:val="00AA3B34"/>
    <w:rsid w:val="00AC1EE8"/>
    <w:rsid w:val="00AC2723"/>
    <w:rsid w:val="00AC6641"/>
    <w:rsid w:val="00AD7CCC"/>
    <w:rsid w:val="00AE0539"/>
    <w:rsid w:val="00AF0960"/>
    <w:rsid w:val="00AF2CA2"/>
    <w:rsid w:val="00AF36E5"/>
    <w:rsid w:val="00AF4C23"/>
    <w:rsid w:val="00AF5456"/>
    <w:rsid w:val="00B148C7"/>
    <w:rsid w:val="00B172C0"/>
    <w:rsid w:val="00B23FB7"/>
    <w:rsid w:val="00B260BD"/>
    <w:rsid w:val="00B2640A"/>
    <w:rsid w:val="00B27571"/>
    <w:rsid w:val="00B27C97"/>
    <w:rsid w:val="00B33203"/>
    <w:rsid w:val="00B334EF"/>
    <w:rsid w:val="00B34C58"/>
    <w:rsid w:val="00B35FCB"/>
    <w:rsid w:val="00B377FD"/>
    <w:rsid w:val="00B41BAC"/>
    <w:rsid w:val="00B43678"/>
    <w:rsid w:val="00B4462A"/>
    <w:rsid w:val="00B45731"/>
    <w:rsid w:val="00B4717C"/>
    <w:rsid w:val="00B50054"/>
    <w:rsid w:val="00B530D4"/>
    <w:rsid w:val="00B55010"/>
    <w:rsid w:val="00B554A7"/>
    <w:rsid w:val="00B60764"/>
    <w:rsid w:val="00B60BC7"/>
    <w:rsid w:val="00B72820"/>
    <w:rsid w:val="00B75AA8"/>
    <w:rsid w:val="00B81F12"/>
    <w:rsid w:val="00BA0BC5"/>
    <w:rsid w:val="00BA36C8"/>
    <w:rsid w:val="00BA4D0A"/>
    <w:rsid w:val="00BB01AC"/>
    <w:rsid w:val="00BB4ACD"/>
    <w:rsid w:val="00BB7FD4"/>
    <w:rsid w:val="00BC12DB"/>
    <w:rsid w:val="00BC156D"/>
    <w:rsid w:val="00BC316F"/>
    <w:rsid w:val="00BC6AEF"/>
    <w:rsid w:val="00BD00EE"/>
    <w:rsid w:val="00BD08B5"/>
    <w:rsid w:val="00BD62AB"/>
    <w:rsid w:val="00BE2370"/>
    <w:rsid w:val="00BE2C20"/>
    <w:rsid w:val="00BE6EDC"/>
    <w:rsid w:val="00C0113F"/>
    <w:rsid w:val="00C06561"/>
    <w:rsid w:val="00C077C6"/>
    <w:rsid w:val="00C10002"/>
    <w:rsid w:val="00C127F7"/>
    <w:rsid w:val="00C1367B"/>
    <w:rsid w:val="00C13769"/>
    <w:rsid w:val="00C151ED"/>
    <w:rsid w:val="00C15242"/>
    <w:rsid w:val="00C208CC"/>
    <w:rsid w:val="00C26701"/>
    <w:rsid w:val="00C267F2"/>
    <w:rsid w:val="00C3113D"/>
    <w:rsid w:val="00C3184C"/>
    <w:rsid w:val="00C32A5D"/>
    <w:rsid w:val="00C332CB"/>
    <w:rsid w:val="00C34AB7"/>
    <w:rsid w:val="00C45BDB"/>
    <w:rsid w:val="00C46D6A"/>
    <w:rsid w:val="00C52610"/>
    <w:rsid w:val="00C56771"/>
    <w:rsid w:val="00C622DC"/>
    <w:rsid w:val="00C62614"/>
    <w:rsid w:val="00C67314"/>
    <w:rsid w:val="00C70AB7"/>
    <w:rsid w:val="00C71FF8"/>
    <w:rsid w:val="00C7441E"/>
    <w:rsid w:val="00C74E9A"/>
    <w:rsid w:val="00C75B63"/>
    <w:rsid w:val="00C76527"/>
    <w:rsid w:val="00C82B4D"/>
    <w:rsid w:val="00C83C36"/>
    <w:rsid w:val="00C85565"/>
    <w:rsid w:val="00C9069B"/>
    <w:rsid w:val="00C922F4"/>
    <w:rsid w:val="00C95A2E"/>
    <w:rsid w:val="00C95B8A"/>
    <w:rsid w:val="00C97C43"/>
    <w:rsid w:val="00CA1087"/>
    <w:rsid w:val="00CA3C4F"/>
    <w:rsid w:val="00CA4199"/>
    <w:rsid w:val="00CA6F64"/>
    <w:rsid w:val="00CA726F"/>
    <w:rsid w:val="00CB1F98"/>
    <w:rsid w:val="00CB2BFA"/>
    <w:rsid w:val="00CB3255"/>
    <w:rsid w:val="00CB58D9"/>
    <w:rsid w:val="00CB63AD"/>
    <w:rsid w:val="00CC4396"/>
    <w:rsid w:val="00CD2FF8"/>
    <w:rsid w:val="00CD643F"/>
    <w:rsid w:val="00CD6864"/>
    <w:rsid w:val="00CE0D45"/>
    <w:rsid w:val="00CE43AA"/>
    <w:rsid w:val="00CE57E1"/>
    <w:rsid w:val="00CE591C"/>
    <w:rsid w:val="00CE6B4B"/>
    <w:rsid w:val="00CE6F5C"/>
    <w:rsid w:val="00CF09AE"/>
    <w:rsid w:val="00CF441D"/>
    <w:rsid w:val="00CF5FD4"/>
    <w:rsid w:val="00D01875"/>
    <w:rsid w:val="00D01F2C"/>
    <w:rsid w:val="00D042A5"/>
    <w:rsid w:val="00D05789"/>
    <w:rsid w:val="00D110CB"/>
    <w:rsid w:val="00D135D0"/>
    <w:rsid w:val="00D16F04"/>
    <w:rsid w:val="00D17E3B"/>
    <w:rsid w:val="00D21F38"/>
    <w:rsid w:val="00D22653"/>
    <w:rsid w:val="00D22DEF"/>
    <w:rsid w:val="00D257CE"/>
    <w:rsid w:val="00D27B50"/>
    <w:rsid w:val="00D35504"/>
    <w:rsid w:val="00D360D3"/>
    <w:rsid w:val="00D372AE"/>
    <w:rsid w:val="00D427E6"/>
    <w:rsid w:val="00D43218"/>
    <w:rsid w:val="00D46D13"/>
    <w:rsid w:val="00D5277F"/>
    <w:rsid w:val="00D54031"/>
    <w:rsid w:val="00D553A5"/>
    <w:rsid w:val="00D6021D"/>
    <w:rsid w:val="00D607E0"/>
    <w:rsid w:val="00D6224F"/>
    <w:rsid w:val="00D62966"/>
    <w:rsid w:val="00D62F85"/>
    <w:rsid w:val="00D65A44"/>
    <w:rsid w:val="00D7438C"/>
    <w:rsid w:val="00D77A90"/>
    <w:rsid w:val="00D80339"/>
    <w:rsid w:val="00D80F55"/>
    <w:rsid w:val="00D82045"/>
    <w:rsid w:val="00D84C00"/>
    <w:rsid w:val="00D87C75"/>
    <w:rsid w:val="00D91D90"/>
    <w:rsid w:val="00D9711E"/>
    <w:rsid w:val="00D973DB"/>
    <w:rsid w:val="00DA538F"/>
    <w:rsid w:val="00DA6750"/>
    <w:rsid w:val="00DA7AE1"/>
    <w:rsid w:val="00DA7FA8"/>
    <w:rsid w:val="00DB01F7"/>
    <w:rsid w:val="00DB2323"/>
    <w:rsid w:val="00DB6356"/>
    <w:rsid w:val="00DB70D0"/>
    <w:rsid w:val="00DC247E"/>
    <w:rsid w:val="00DC3106"/>
    <w:rsid w:val="00DD18A1"/>
    <w:rsid w:val="00DD2F24"/>
    <w:rsid w:val="00DD469A"/>
    <w:rsid w:val="00DD633A"/>
    <w:rsid w:val="00DE12ED"/>
    <w:rsid w:val="00DE36D6"/>
    <w:rsid w:val="00DE3DA2"/>
    <w:rsid w:val="00E0267D"/>
    <w:rsid w:val="00E0732A"/>
    <w:rsid w:val="00E100B0"/>
    <w:rsid w:val="00E11493"/>
    <w:rsid w:val="00E17E63"/>
    <w:rsid w:val="00E20FC1"/>
    <w:rsid w:val="00E2176F"/>
    <w:rsid w:val="00E21961"/>
    <w:rsid w:val="00E226BE"/>
    <w:rsid w:val="00E41F8B"/>
    <w:rsid w:val="00E45B35"/>
    <w:rsid w:val="00E508CB"/>
    <w:rsid w:val="00E51364"/>
    <w:rsid w:val="00E52DDD"/>
    <w:rsid w:val="00E56952"/>
    <w:rsid w:val="00E570CA"/>
    <w:rsid w:val="00E5728F"/>
    <w:rsid w:val="00E57772"/>
    <w:rsid w:val="00E62DC6"/>
    <w:rsid w:val="00E67992"/>
    <w:rsid w:val="00E70E55"/>
    <w:rsid w:val="00E8123E"/>
    <w:rsid w:val="00E828EA"/>
    <w:rsid w:val="00E83779"/>
    <w:rsid w:val="00E84F3A"/>
    <w:rsid w:val="00E9097C"/>
    <w:rsid w:val="00E918DA"/>
    <w:rsid w:val="00E94CD2"/>
    <w:rsid w:val="00E97EDC"/>
    <w:rsid w:val="00EB39B9"/>
    <w:rsid w:val="00EB4520"/>
    <w:rsid w:val="00EB7E1A"/>
    <w:rsid w:val="00EC24A2"/>
    <w:rsid w:val="00EC44C4"/>
    <w:rsid w:val="00ED06E8"/>
    <w:rsid w:val="00ED47DC"/>
    <w:rsid w:val="00EE51FE"/>
    <w:rsid w:val="00EE5B75"/>
    <w:rsid w:val="00EF185A"/>
    <w:rsid w:val="00EF6253"/>
    <w:rsid w:val="00F043A5"/>
    <w:rsid w:val="00F10B50"/>
    <w:rsid w:val="00F164D2"/>
    <w:rsid w:val="00F16A8F"/>
    <w:rsid w:val="00F23A18"/>
    <w:rsid w:val="00F27B98"/>
    <w:rsid w:val="00F336A0"/>
    <w:rsid w:val="00F44A4E"/>
    <w:rsid w:val="00F452AD"/>
    <w:rsid w:val="00F46C4D"/>
    <w:rsid w:val="00F47256"/>
    <w:rsid w:val="00F4786B"/>
    <w:rsid w:val="00F53547"/>
    <w:rsid w:val="00F55DB1"/>
    <w:rsid w:val="00F61488"/>
    <w:rsid w:val="00F6639C"/>
    <w:rsid w:val="00F706D5"/>
    <w:rsid w:val="00F70B1D"/>
    <w:rsid w:val="00F729BB"/>
    <w:rsid w:val="00F74145"/>
    <w:rsid w:val="00F748DE"/>
    <w:rsid w:val="00F7566D"/>
    <w:rsid w:val="00F77C66"/>
    <w:rsid w:val="00F822FE"/>
    <w:rsid w:val="00F84744"/>
    <w:rsid w:val="00F85C92"/>
    <w:rsid w:val="00F902DB"/>
    <w:rsid w:val="00F940CF"/>
    <w:rsid w:val="00F94488"/>
    <w:rsid w:val="00F95ACE"/>
    <w:rsid w:val="00FA10E1"/>
    <w:rsid w:val="00FA4D9C"/>
    <w:rsid w:val="00FB3C64"/>
    <w:rsid w:val="00FB6A5C"/>
    <w:rsid w:val="00FD216E"/>
    <w:rsid w:val="00FD2BCA"/>
    <w:rsid w:val="00FD3FE6"/>
    <w:rsid w:val="00FD4677"/>
    <w:rsid w:val="00FD5F74"/>
    <w:rsid w:val="00FE2175"/>
    <w:rsid w:val="00FE50F5"/>
    <w:rsid w:val="00FF0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3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87"/>
    <w:rPr>
      <w:sz w:val="24"/>
      <w:szCs w:val="24"/>
    </w:rPr>
  </w:style>
  <w:style w:type="paragraph" w:styleId="Heading1">
    <w:name w:val="heading 1"/>
    <w:basedOn w:val="Normal"/>
    <w:next w:val="BodyTextIndent"/>
    <w:qFormat/>
    <w:rsid w:val="00327501"/>
    <w:pPr>
      <w:keepNext/>
      <w:spacing w:before="240" w:after="240"/>
      <w:ind w:left="360" w:hanging="360"/>
      <w:outlineLvl w:val="0"/>
    </w:pPr>
    <w:rPr>
      <w:b/>
      <w:caps/>
      <w:kern w:val="28"/>
    </w:rPr>
  </w:style>
  <w:style w:type="paragraph" w:styleId="Heading2">
    <w:name w:val="heading 2"/>
    <w:basedOn w:val="Normal"/>
    <w:next w:val="BodyTextIndent"/>
    <w:qFormat/>
    <w:rsid w:val="00327501"/>
    <w:pPr>
      <w:keepNext/>
      <w:spacing w:before="240" w:after="240"/>
      <w:ind w:left="360" w:hanging="360"/>
      <w:outlineLvl w:val="1"/>
    </w:pPr>
    <w:rPr>
      <w:b/>
      <w:u w:val="single"/>
    </w:rPr>
  </w:style>
  <w:style w:type="paragraph" w:styleId="Heading3">
    <w:name w:val="heading 3"/>
    <w:basedOn w:val="Normal"/>
    <w:next w:val="BodyTextIndent"/>
    <w:qFormat/>
    <w:rsid w:val="00327501"/>
    <w:pPr>
      <w:keepNext/>
      <w:spacing w:before="240" w:after="240"/>
      <w:ind w:left="360" w:hanging="360"/>
      <w:outlineLvl w:val="2"/>
    </w:pPr>
    <w:rPr>
      <w:b/>
    </w:rPr>
  </w:style>
  <w:style w:type="paragraph" w:styleId="Heading4">
    <w:name w:val="heading 4"/>
    <w:basedOn w:val="Normal"/>
    <w:next w:val="BodyTextIndent"/>
    <w:qFormat/>
    <w:rsid w:val="00327501"/>
    <w:pPr>
      <w:keepNext/>
      <w:spacing w:before="240" w:after="240"/>
      <w:ind w:left="1080" w:hanging="360"/>
      <w:outlineLvl w:val="3"/>
    </w:pPr>
    <w:rPr>
      <w:b/>
      <w:u w:val="single"/>
    </w:rPr>
  </w:style>
  <w:style w:type="paragraph" w:styleId="Heading5">
    <w:name w:val="heading 5"/>
    <w:basedOn w:val="Normal"/>
    <w:next w:val="BodyTextIndent"/>
    <w:qFormat/>
    <w:rsid w:val="00327501"/>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501"/>
    <w:pPr>
      <w:spacing w:after="240"/>
      <w:ind w:firstLine="720"/>
      <w:jc w:val="both"/>
    </w:pPr>
  </w:style>
  <w:style w:type="paragraph" w:customStyle="1" w:styleId="Normal11point">
    <w:name w:val="Normal 11point"/>
    <w:basedOn w:val="Normal"/>
    <w:rsid w:val="00327501"/>
    <w:rPr>
      <w:sz w:val="22"/>
    </w:rPr>
  </w:style>
  <w:style w:type="paragraph" w:customStyle="1" w:styleId="ReferencesHeading">
    <w:name w:val="References Heading"/>
    <w:basedOn w:val="Normal11point"/>
    <w:rsid w:val="00327501"/>
    <w:pPr>
      <w:keepNext/>
      <w:spacing w:before="240" w:after="480"/>
      <w:jc w:val="center"/>
    </w:pPr>
    <w:rPr>
      <w:b/>
      <w:caps/>
    </w:rPr>
  </w:style>
  <w:style w:type="paragraph" w:customStyle="1" w:styleId="Heading4under3">
    <w:name w:val="Heading 4 under 3"/>
    <w:basedOn w:val="Normal"/>
    <w:next w:val="BodyTextIndent"/>
    <w:rsid w:val="00327501"/>
    <w:pPr>
      <w:keepNext/>
      <w:spacing w:after="240"/>
      <w:ind w:left="1080" w:hanging="360"/>
    </w:pPr>
    <w:rPr>
      <w:b/>
      <w:u w:val="single"/>
    </w:rPr>
  </w:style>
  <w:style w:type="paragraph" w:customStyle="1" w:styleId="Heading5under4">
    <w:name w:val="Heading 5 under 4"/>
    <w:basedOn w:val="Normal"/>
    <w:next w:val="BodyTextIndent"/>
    <w:rsid w:val="00327501"/>
    <w:pPr>
      <w:keepNext/>
      <w:spacing w:after="240"/>
      <w:ind w:left="1080" w:hanging="360"/>
    </w:pPr>
    <w:rPr>
      <w:b/>
    </w:rPr>
  </w:style>
  <w:style w:type="paragraph" w:styleId="BodyText">
    <w:name w:val="Body Text"/>
    <w:basedOn w:val="Normal"/>
    <w:rsid w:val="00327501"/>
    <w:pPr>
      <w:spacing w:after="240"/>
      <w:jc w:val="both"/>
    </w:pPr>
  </w:style>
  <w:style w:type="paragraph" w:customStyle="1" w:styleId="References">
    <w:name w:val="References"/>
    <w:basedOn w:val="BodyText"/>
    <w:rsid w:val="00327501"/>
    <w:pPr>
      <w:ind w:left="720" w:hanging="720"/>
    </w:pPr>
  </w:style>
  <w:style w:type="paragraph" w:styleId="FootnoteText">
    <w:name w:val="footnote text"/>
    <w:aliases w:val="Char,Char4,ALTS FOOTNOTE,fn,Footnote Text - Preamble,Footnote Text Char1,Footnote Text Char Char,Footnote Text Char1 Char Char1,Footnote Text Char Char Char Char2,Footnote Text Char Char1,Footnote Text Char1 Char Char11,Char2,Ch, Char, Cha"/>
    <w:basedOn w:val="Normal"/>
    <w:link w:val="FootnoteTextChar"/>
    <w:rsid w:val="00327501"/>
    <w:pPr>
      <w:spacing w:after="240"/>
      <w:ind w:firstLine="720"/>
      <w:jc w:val="both"/>
    </w:pPr>
    <w:rPr>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1 Char,Footnote Text Char Char Char Char2 Char,Char2 Char,Ch Char"/>
    <w:link w:val="FootnoteText"/>
    <w:rsid w:val="007E3287"/>
    <w:rPr>
      <w:sz w:val="24"/>
      <w:lang w:val="en-US" w:eastAsia="en-US" w:bidi="ar-SA"/>
    </w:rPr>
  </w:style>
  <w:style w:type="character" w:styleId="FootnoteReference">
    <w:name w:val="footnote reference"/>
    <w:qFormat/>
    <w:rsid w:val="00327501"/>
    <w:rPr>
      <w:vertAlign w:val="superscript"/>
    </w:rPr>
  </w:style>
  <w:style w:type="character" w:styleId="EndnoteReference">
    <w:name w:val="endnote reference"/>
    <w:semiHidden/>
    <w:rsid w:val="00327501"/>
    <w:rPr>
      <w:vertAlign w:val="superscript"/>
    </w:rPr>
  </w:style>
  <w:style w:type="paragraph" w:styleId="EndnoteText">
    <w:name w:val="endnote text"/>
    <w:basedOn w:val="Normal"/>
    <w:semiHidden/>
    <w:rsid w:val="00327501"/>
  </w:style>
  <w:style w:type="paragraph" w:customStyle="1" w:styleId="Heading2under1">
    <w:name w:val="Heading 2 under 1"/>
    <w:basedOn w:val="Normal"/>
    <w:next w:val="BodyTextIndent"/>
    <w:rsid w:val="00327501"/>
    <w:pPr>
      <w:keepNext/>
      <w:spacing w:after="240"/>
      <w:ind w:left="360" w:hanging="360"/>
    </w:pPr>
    <w:rPr>
      <w:b/>
      <w:u w:val="single"/>
    </w:rPr>
  </w:style>
  <w:style w:type="paragraph" w:customStyle="1" w:styleId="Bullets">
    <w:name w:val="Bullets"/>
    <w:basedOn w:val="BodyText"/>
    <w:rsid w:val="00327501"/>
    <w:pPr>
      <w:ind w:left="1440" w:right="720" w:hanging="720"/>
    </w:pPr>
  </w:style>
  <w:style w:type="paragraph" w:customStyle="1" w:styleId="Heading3under2">
    <w:name w:val="Heading 3 under 2"/>
    <w:basedOn w:val="Normal"/>
    <w:next w:val="BodyTextIndent"/>
    <w:rsid w:val="00327501"/>
    <w:pPr>
      <w:keepNext/>
      <w:spacing w:after="240"/>
      <w:ind w:left="360" w:hanging="360"/>
    </w:pPr>
    <w:rPr>
      <w:b/>
    </w:rPr>
  </w:style>
  <w:style w:type="paragraph" w:customStyle="1" w:styleId="Bulletslast">
    <w:name w:val="Bullets last"/>
    <w:basedOn w:val="Normal"/>
    <w:next w:val="BodyTextIndent"/>
    <w:rsid w:val="00327501"/>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rsid w:val="00327501"/>
    <w:pPr>
      <w:tabs>
        <w:tab w:val="center" w:pos="4320"/>
        <w:tab w:val="right" w:pos="8640"/>
      </w:tabs>
    </w:pPr>
  </w:style>
  <w:style w:type="paragraph" w:customStyle="1" w:styleId="Normal12point">
    <w:name w:val="Normal 12 point"/>
    <w:basedOn w:val="Normal"/>
    <w:rsid w:val="00327501"/>
  </w:style>
  <w:style w:type="paragraph" w:styleId="Footer">
    <w:name w:val="footer"/>
    <w:basedOn w:val="Normal"/>
    <w:rsid w:val="00327501"/>
    <w:pPr>
      <w:tabs>
        <w:tab w:val="center" w:pos="4320"/>
        <w:tab w:val="right" w:pos="8640"/>
      </w:tabs>
    </w:pPr>
  </w:style>
  <w:style w:type="character" w:styleId="PageNumber">
    <w:name w:val="page number"/>
    <w:basedOn w:val="DefaultParagraphFont"/>
    <w:rsid w:val="00327501"/>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rsid w:val="00327501"/>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semiHidden/>
    <w:rsid w:val="007E3287"/>
    <w:rPr>
      <w:sz w:val="16"/>
      <w:szCs w:val="16"/>
    </w:rPr>
  </w:style>
  <w:style w:type="paragraph" w:styleId="CommentText">
    <w:name w:val="annotation text"/>
    <w:basedOn w:val="Normal"/>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B530D4"/>
    <w:rPr>
      <w:rFonts w:ascii="Courier New" w:hAnsi="Courier New" w:cs="Courier New"/>
      <w:bCs/>
      <w:sz w:val="24"/>
      <w:szCs w:val="24"/>
      <w:lang w:val="en-US" w:eastAsia="en-US" w:bidi="ar-SA"/>
    </w:rPr>
  </w:style>
  <w:style w:type="paragraph" w:styleId="ListParagraph">
    <w:name w:val="List Paragraph"/>
    <w:basedOn w:val="Normal"/>
    <w:uiPriority w:val="34"/>
    <w:qFormat/>
    <w:rsid w:val="00816ABC"/>
    <w:pPr>
      <w:ind w:left="720"/>
      <w:contextualSpacing/>
    </w:pPr>
  </w:style>
  <w:style w:type="character" w:styleId="Emphasis">
    <w:name w:val="Emphasis"/>
    <w:basedOn w:val="DefaultParagraphFont"/>
    <w:qFormat/>
    <w:rsid w:val="00193328"/>
    <w:rPr>
      <w:i/>
      <w:iCs/>
    </w:rPr>
  </w:style>
  <w:style w:type="paragraph" w:styleId="Revision">
    <w:name w:val="Revision"/>
    <w:hidden/>
    <w:uiPriority w:val="99"/>
    <w:semiHidden/>
    <w:rsid w:val="007917F6"/>
    <w:rPr>
      <w:sz w:val="24"/>
      <w:szCs w:val="24"/>
    </w:rPr>
  </w:style>
  <w:style w:type="paragraph" w:customStyle="1" w:styleId="a">
    <w:name w:val="!"/>
    <w:rsid w:val="00F55DB1"/>
    <w:pPr>
      <w:autoSpaceDE w:val="0"/>
      <w:autoSpaceDN w:val="0"/>
      <w:adjustRightInd w:val="0"/>
      <w:ind w:left="-1440"/>
    </w:pPr>
    <w:rPr>
      <w:sz w:val="24"/>
      <w:szCs w:val="24"/>
    </w:rPr>
  </w:style>
  <w:style w:type="paragraph" w:customStyle="1" w:styleId="Level1">
    <w:name w:val="Level 1"/>
    <w:rsid w:val="008278DE"/>
    <w:pPr>
      <w:widowControl w:val="0"/>
      <w:autoSpaceDE w:val="0"/>
      <w:autoSpaceDN w:val="0"/>
      <w:adjustRightInd w:val="0"/>
      <w:ind w:left="720"/>
      <w:jc w:val="both"/>
    </w:pPr>
    <w:rPr>
      <w:rFonts w:ascii="Courier 10cpi" w:hAnsi="Courier 10cpi"/>
      <w:sz w:val="24"/>
      <w:szCs w:val="24"/>
    </w:rPr>
  </w:style>
  <w:style w:type="character" w:styleId="FollowedHyperlink">
    <w:name w:val="FollowedHyperlink"/>
    <w:basedOn w:val="DefaultParagraphFont"/>
    <w:semiHidden/>
    <w:unhideWhenUsed/>
    <w:rsid w:val="004F13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87"/>
    <w:rPr>
      <w:sz w:val="24"/>
      <w:szCs w:val="24"/>
    </w:rPr>
  </w:style>
  <w:style w:type="paragraph" w:styleId="Heading1">
    <w:name w:val="heading 1"/>
    <w:basedOn w:val="Normal"/>
    <w:next w:val="BodyTextIndent"/>
    <w:qFormat/>
    <w:rsid w:val="00327501"/>
    <w:pPr>
      <w:keepNext/>
      <w:spacing w:before="240" w:after="240"/>
      <w:ind w:left="360" w:hanging="360"/>
      <w:outlineLvl w:val="0"/>
    </w:pPr>
    <w:rPr>
      <w:b/>
      <w:caps/>
      <w:kern w:val="28"/>
    </w:rPr>
  </w:style>
  <w:style w:type="paragraph" w:styleId="Heading2">
    <w:name w:val="heading 2"/>
    <w:basedOn w:val="Normal"/>
    <w:next w:val="BodyTextIndent"/>
    <w:qFormat/>
    <w:rsid w:val="00327501"/>
    <w:pPr>
      <w:keepNext/>
      <w:spacing w:before="240" w:after="240"/>
      <w:ind w:left="360" w:hanging="360"/>
      <w:outlineLvl w:val="1"/>
    </w:pPr>
    <w:rPr>
      <w:b/>
      <w:u w:val="single"/>
    </w:rPr>
  </w:style>
  <w:style w:type="paragraph" w:styleId="Heading3">
    <w:name w:val="heading 3"/>
    <w:basedOn w:val="Normal"/>
    <w:next w:val="BodyTextIndent"/>
    <w:qFormat/>
    <w:rsid w:val="00327501"/>
    <w:pPr>
      <w:keepNext/>
      <w:spacing w:before="240" w:after="240"/>
      <w:ind w:left="360" w:hanging="360"/>
      <w:outlineLvl w:val="2"/>
    </w:pPr>
    <w:rPr>
      <w:b/>
    </w:rPr>
  </w:style>
  <w:style w:type="paragraph" w:styleId="Heading4">
    <w:name w:val="heading 4"/>
    <w:basedOn w:val="Normal"/>
    <w:next w:val="BodyTextIndent"/>
    <w:qFormat/>
    <w:rsid w:val="00327501"/>
    <w:pPr>
      <w:keepNext/>
      <w:spacing w:before="240" w:after="240"/>
      <w:ind w:left="1080" w:hanging="360"/>
      <w:outlineLvl w:val="3"/>
    </w:pPr>
    <w:rPr>
      <w:b/>
      <w:u w:val="single"/>
    </w:rPr>
  </w:style>
  <w:style w:type="paragraph" w:styleId="Heading5">
    <w:name w:val="heading 5"/>
    <w:basedOn w:val="Normal"/>
    <w:next w:val="BodyTextIndent"/>
    <w:qFormat/>
    <w:rsid w:val="00327501"/>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501"/>
    <w:pPr>
      <w:spacing w:after="240"/>
      <w:ind w:firstLine="720"/>
      <w:jc w:val="both"/>
    </w:pPr>
  </w:style>
  <w:style w:type="paragraph" w:customStyle="1" w:styleId="Normal11point">
    <w:name w:val="Normal 11point"/>
    <w:basedOn w:val="Normal"/>
    <w:rsid w:val="00327501"/>
    <w:rPr>
      <w:sz w:val="22"/>
    </w:rPr>
  </w:style>
  <w:style w:type="paragraph" w:customStyle="1" w:styleId="ReferencesHeading">
    <w:name w:val="References Heading"/>
    <w:basedOn w:val="Normal11point"/>
    <w:rsid w:val="00327501"/>
    <w:pPr>
      <w:keepNext/>
      <w:spacing w:before="240" w:after="480"/>
      <w:jc w:val="center"/>
    </w:pPr>
    <w:rPr>
      <w:b/>
      <w:caps/>
    </w:rPr>
  </w:style>
  <w:style w:type="paragraph" w:customStyle="1" w:styleId="Heading4under3">
    <w:name w:val="Heading 4 under 3"/>
    <w:basedOn w:val="Normal"/>
    <w:next w:val="BodyTextIndent"/>
    <w:rsid w:val="00327501"/>
    <w:pPr>
      <w:keepNext/>
      <w:spacing w:after="240"/>
      <w:ind w:left="1080" w:hanging="360"/>
    </w:pPr>
    <w:rPr>
      <w:b/>
      <w:u w:val="single"/>
    </w:rPr>
  </w:style>
  <w:style w:type="paragraph" w:customStyle="1" w:styleId="Heading5under4">
    <w:name w:val="Heading 5 under 4"/>
    <w:basedOn w:val="Normal"/>
    <w:next w:val="BodyTextIndent"/>
    <w:rsid w:val="00327501"/>
    <w:pPr>
      <w:keepNext/>
      <w:spacing w:after="240"/>
      <w:ind w:left="1080" w:hanging="360"/>
    </w:pPr>
    <w:rPr>
      <w:b/>
    </w:rPr>
  </w:style>
  <w:style w:type="paragraph" w:styleId="BodyText">
    <w:name w:val="Body Text"/>
    <w:basedOn w:val="Normal"/>
    <w:rsid w:val="00327501"/>
    <w:pPr>
      <w:spacing w:after="240"/>
      <w:jc w:val="both"/>
    </w:pPr>
  </w:style>
  <w:style w:type="paragraph" w:customStyle="1" w:styleId="References">
    <w:name w:val="References"/>
    <w:basedOn w:val="BodyText"/>
    <w:rsid w:val="00327501"/>
    <w:pPr>
      <w:ind w:left="720" w:hanging="720"/>
    </w:pPr>
  </w:style>
  <w:style w:type="paragraph" w:styleId="FootnoteText">
    <w:name w:val="footnote text"/>
    <w:aliases w:val="Char,Char4,ALTS FOOTNOTE,fn,Footnote Text - Preamble,Footnote Text Char1,Footnote Text Char Char,Footnote Text Char1 Char Char1,Footnote Text Char Char Char Char2,Footnote Text Char Char1,Footnote Text Char1 Char Char11,Char2,Ch, Char, Cha"/>
    <w:basedOn w:val="Normal"/>
    <w:link w:val="FootnoteTextChar"/>
    <w:rsid w:val="00327501"/>
    <w:pPr>
      <w:spacing w:after="240"/>
      <w:ind w:firstLine="720"/>
      <w:jc w:val="both"/>
    </w:pPr>
    <w:rPr>
      <w:szCs w:val="20"/>
    </w:rPr>
  </w:style>
  <w:style w:type="character" w:customStyle="1" w:styleId="FootnoteTextChar">
    <w:name w:val="Footnote Text Char"/>
    <w:aliases w:val="Char Char,Char4 Char,ALTS FOOTNOTE Char,fn Char,Footnote Text - Preamble Char,Footnote Text Char1 Char,Footnote Text Char Char Char,Footnote Text Char1 Char Char1 Char,Footnote Text Char Char Char Char2 Char,Char2 Char,Ch Char"/>
    <w:link w:val="FootnoteText"/>
    <w:rsid w:val="007E3287"/>
    <w:rPr>
      <w:sz w:val="24"/>
      <w:lang w:val="en-US" w:eastAsia="en-US" w:bidi="ar-SA"/>
    </w:rPr>
  </w:style>
  <w:style w:type="character" w:styleId="FootnoteReference">
    <w:name w:val="footnote reference"/>
    <w:qFormat/>
    <w:rsid w:val="00327501"/>
    <w:rPr>
      <w:vertAlign w:val="superscript"/>
    </w:rPr>
  </w:style>
  <w:style w:type="character" w:styleId="EndnoteReference">
    <w:name w:val="endnote reference"/>
    <w:semiHidden/>
    <w:rsid w:val="00327501"/>
    <w:rPr>
      <w:vertAlign w:val="superscript"/>
    </w:rPr>
  </w:style>
  <w:style w:type="paragraph" w:styleId="EndnoteText">
    <w:name w:val="endnote text"/>
    <w:basedOn w:val="Normal"/>
    <w:semiHidden/>
    <w:rsid w:val="00327501"/>
  </w:style>
  <w:style w:type="paragraph" w:customStyle="1" w:styleId="Heading2under1">
    <w:name w:val="Heading 2 under 1"/>
    <w:basedOn w:val="Normal"/>
    <w:next w:val="BodyTextIndent"/>
    <w:rsid w:val="00327501"/>
    <w:pPr>
      <w:keepNext/>
      <w:spacing w:after="240"/>
      <w:ind w:left="360" w:hanging="360"/>
    </w:pPr>
    <w:rPr>
      <w:b/>
      <w:u w:val="single"/>
    </w:rPr>
  </w:style>
  <w:style w:type="paragraph" w:customStyle="1" w:styleId="Bullets">
    <w:name w:val="Bullets"/>
    <w:basedOn w:val="BodyText"/>
    <w:rsid w:val="00327501"/>
    <w:pPr>
      <w:ind w:left="1440" w:right="720" w:hanging="720"/>
    </w:pPr>
  </w:style>
  <w:style w:type="paragraph" w:customStyle="1" w:styleId="Heading3under2">
    <w:name w:val="Heading 3 under 2"/>
    <w:basedOn w:val="Normal"/>
    <w:next w:val="BodyTextIndent"/>
    <w:rsid w:val="00327501"/>
    <w:pPr>
      <w:keepNext/>
      <w:spacing w:after="240"/>
      <w:ind w:left="360" w:hanging="360"/>
    </w:pPr>
    <w:rPr>
      <w:b/>
    </w:rPr>
  </w:style>
  <w:style w:type="paragraph" w:customStyle="1" w:styleId="Bulletslast">
    <w:name w:val="Bullets last"/>
    <w:basedOn w:val="Normal"/>
    <w:next w:val="BodyTextIndent"/>
    <w:rsid w:val="00327501"/>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rsid w:val="00327501"/>
    <w:pPr>
      <w:tabs>
        <w:tab w:val="center" w:pos="4320"/>
        <w:tab w:val="right" w:pos="8640"/>
      </w:tabs>
    </w:pPr>
  </w:style>
  <w:style w:type="paragraph" w:customStyle="1" w:styleId="Normal12point">
    <w:name w:val="Normal 12 point"/>
    <w:basedOn w:val="Normal"/>
    <w:rsid w:val="00327501"/>
  </w:style>
  <w:style w:type="paragraph" w:styleId="Footer">
    <w:name w:val="footer"/>
    <w:basedOn w:val="Normal"/>
    <w:rsid w:val="00327501"/>
    <w:pPr>
      <w:tabs>
        <w:tab w:val="center" w:pos="4320"/>
        <w:tab w:val="right" w:pos="8640"/>
      </w:tabs>
    </w:pPr>
  </w:style>
  <w:style w:type="character" w:styleId="PageNumber">
    <w:name w:val="page number"/>
    <w:basedOn w:val="DefaultParagraphFont"/>
    <w:rsid w:val="00327501"/>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rsid w:val="00327501"/>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semiHidden/>
    <w:rsid w:val="007E3287"/>
    <w:rPr>
      <w:sz w:val="16"/>
      <w:szCs w:val="16"/>
    </w:rPr>
  </w:style>
  <w:style w:type="paragraph" w:styleId="CommentText">
    <w:name w:val="annotation text"/>
    <w:basedOn w:val="Normal"/>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B530D4"/>
    <w:rPr>
      <w:rFonts w:ascii="Courier New" w:hAnsi="Courier New" w:cs="Courier New"/>
      <w:bCs/>
      <w:sz w:val="24"/>
      <w:szCs w:val="24"/>
      <w:lang w:val="en-US" w:eastAsia="en-US" w:bidi="ar-SA"/>
    </w:rPr>
  </w:style>
  <w:style w:type="paragraph" w:styleId="ListParagraph">
    <w:name w:val="List Paragraph"/>
    <w:basedOn w:val="Normal"/>
    <w:uiPriority w:val="34"/>
    <w:qFormat/>
    <w:rsid w:val="00816ABC"/>
    <w:pPr>
      <w:ind w:left="720"/>
      <w:contextualSpacing/>
    </w:pPr>
  </w:style>
  <w:style w:type="character" w:styleId="Emphasis">
    <w:name w:val="Emphasis"/>
    <w:basedOn w:val="DefaultParagraphFont"/>
    <w:qFormat/>
    <w:rsid w:val="00193328"/>
    <w:rPr>
      <w:i/>
      <w:iCs/>
    </w:rPr>
  </w:style>
  <w:style w:type="paragraph" w:styleId="Revision">
    <w:name w:val="Revision"/>
    <w:hidden/>
    <w:uiPriority w:val="99"/>
    <w:semiHidden/>
    <w:rsid w:val="007917F6"/>
    <w:rPr>
      <w:sz w:val="24"/>
      <w:szCs w:val="24"/>
    </w:rPr>
  </w:style>
  <w:style w:type="paragraph" w:customStyle="1" w:styleId="a">
    <w:name w:val="!"/>
    <w:rsid w:val="00F55DB1"/>
    <w:pPr>
      <w:autoSpaceDE w:val="0"/>
      <w:autoSpaceDN w:val="0"/>
      <w:adjustRightInd w:val="0"/>
      <w:ind w:left="-1440"/>
    </w:pPr>
    <w:rPr>
      <w:sz w:val="24"/>
      <w:szCs w:val="24"/>
    </w:rPr>
  </w:style>
  <w:style w:type="paragraph" w:customStyle="1" w:styleId="Level1">
    <w:name w:val="Level 1"/>
    <w:rsid w:val="008278DE"/>
    <w:pPr>
      <w:widowControl w:val="0"/>
      <w:autoSpaceDE w:val="0"/>
      <w:autoSpaceDN w:val="0"/>
      <w:adjustRightInd w:val="0"/>
      <w:ind w:left="720"/>
      <w:jc w:val="both"/>
    </w:pPr>
    <w:rPr>
      <w:rFonts w:ascii="Courier 10cpi" w:hAnsi="Courier 10cpi"/>
      <w:sz w:val="24"/>
      <w:szCs w:val="24"/>
    </w:rPr>
  </w:style>
  <w:style w:type="character" w:styleId="FollowedHyperlink">
    <w:name w:val="FollowedHyperlink"/>
    <w:basedOn w:val="DefaultParagraphFont"/>
    <w:semiHidden/>
    <w:unhideWhenUsed/>
    <w:rsid w:val="004F1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6725">
      <w:bodyDiv w:val="1"/>
      <w:marLeft w:val="0"/>
      <w:marRight w:val="0"/>
      <w:marTop w:val="0"/>
      <w:marBottom w:val="0"/>
      <w:divBdr>
        <w:top w:val="none" w:sz="0" w:space="0" w:color="auto"/>
        <w:left w:val="none" w:sz="0" w:space="0" w:color="auto"/>
        <w:bottom w:val="none" w:sz="0" w:space="0" w:color="auto"/>
        <w:right w:val="none" w:sz="0" w:space="0" w:color="auto"/>
      </w:divBdr>
    </w:div>
    <w:div w:id="656619080">
      <w:bodyDiv w:val="1"/>
      <w:marLeft w:val="0"/>
      <w:marRight w:val="0"/>
      <w:marTop w:val="0"/>
      <w:marBottom w:val="0"/>
      <w:divBdr>
        <w:top w:val="none" w:sz="0" w:space="0" w:color="auto"/>
        <w:left w:val="none" w:sz="0" w:space="0" w:color="auto"/>
        <w:bottom w:val="none" w:sz="0" w:space="0" w:color="auto"/>
        <w:right w:val="none" w:sz="0" w:space="0" w:color="auto"/>
      </w:divBdr>
    </w:div>
    <w:div w:id="1060205209">
      <w:bodyDiv w:val="1"/>
      <w:marLeft w:val="0"/>
      <w:marRight w:val="0"/>
      <w:marTop w:val="0"/>
      <w:marBottom w:val="0"/>
      <w:divBdr>
        <w:top w:val="none" w:sz="0" w:space="0" w:color="auto"/>
        <w:left w:val="none" w:sz="0" w:space="0" w:color="auto"/>
        <w:bottom w:val="none" w:sz="0" w:space="0" w:color="auto"/>
        <w:right w:val="none" w:sz="0" w:space="0" w:color="auto"/>
      </w:divBdr>
    </w:div>
    <w:div w:id="1473523721">
      <w:bodyDiv w:val="1"/>
      <w:marLeft w:val="0"/>
      <w:marRight w:val="0"/>
      <w:marTop w:val="0"/>
      <w:marBottom w:val="0"/>
      <w:divBdr>
        <w:top w:val="none" w:sz="0" w:space="0" w:color="auto"/>
        <w:left w:val="none" w:sz="0" w:space="0" w:color="auto"/>
        <w:bottom w:val="none" w:sz="0" w:space="0" w:color="auto"/>
        <w:right w:val="none" w:sz="0" w:space="0" w:color="auto"/>
      </w:divBdr>
    </w:div>
    <w:div w:id="1540628451">
      <w:bodyDiv w:val="1"/>
      <w:marLeft w:val="0"/>
      <w:marRight w:val="0"/>
      <w:marTop w:val="0"/>
      <w:marBottom w:val="0"/>
      <w:divBdr>
        <w:top w:val="none" w:sz="0" w:space="0" w:color="auto"/>
        <w:left w:val="none" w:sz="0" w:space="0" w:color="auto"/>
        <w:bottom w:val="none" w:sz="0" w:space="0" w:color="auto"/>
        <w:right w:val="none" w:sz="0" w:space="0" w:color="auto"/>
      </w:divBdr>
    </w:div>
    <w:div w:id="1656952379">
      <w:bodyDiv w:val="1"/>
      <w:marLeft w:val="0"/>
      <w:marRight w:val="0"/>
      <w:marTop w:val="0"/>
      <w:marBottom w:val="0"/>
      <w:divBdr>
        <w:top w:val="none" w:sz="0" w:space="0" w:color="auto"/>
        <w:left w:val="none" w:sz="0" w:space="0" w:color="auto"/>
        <w:bottom w:val="none" w:sz="0" w:space="0" w:color="auto"/>
        <w:right w:val="none" w:sz="0" w:space="0" w:color="auto"/>
      </w:divBdr>
    </w:div>
    <w:div w:id="1978679149">
      <w:bodyDiv w:val="1"/>
      <w:marLeft w:val="0"/>
      <w:marRight w:val="0"/>
      <w:marTop w:val="0"/>
      <w:marBottom w:val="0"/>
      <w:divBdr>
        <w:top w:val="none" w:sz="0" w:space="0" w:color="auto"/>
        <w:left w:val="none" w:sz="0" w:space="0" w:color="auto"/>
        <w:bottom w:val="none" w:sz="0" w:space="0" w:color="auto"/>
        <w:right w:val="none" w:sz="0" w:space="0" w:color="auto"/>
      </w:divBdr>
    </w:div>
    <w:div w:id="20573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ls.gov/news.release/ecec.t02.ht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AE5F62-A73C-47F2-9555-DB91DAD7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6580</Words>
  <Characters>37510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44002</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subject/>
  <dc:creator>mhc</dc:creator>
  <cp:keywords/>
  <dc:description/>
  <cp:lastModifiedBy>SYSTEM</cp:lastModifiedBy>
  <cp:revision>2</cp:revision>
  <cp:lastPrinted>2019-04-24T16:54:00Z</cp:lastPrinted>
  <dcterms:created xsi:type="dcterms:W3CDTF">2019-04-30T19:08:00Z</dcterms:created>
  <dcterms:modified xsi:type="dcterms:W3CDTF">2019-04-30T19:08:00Z</dcterms:modified>
</cp:coreProperties>
</file>