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33191" w14:textId="7D41D7FF" w:rsidR="00EB3E6F" w:rsidRPr="00FC7A36" w:rsidRDefault="00FD66F1" w:rsidP="00F00842">
      <w:pPr>
        <w:spacing w:after="0" w:line="240" w:lineRule="auto"/>
        <w:jc w:val="center"/>
        <w:rPr>
          <w:sz w:val="24"/>
          <w:szCs w:val="24"/>
        </w:rPr>
      </w:pPr>
      <w:bookmarkStart w:id="0" w:name="_GoBack"/>
      <w:bookmarkEnd w:id="0"/>
      <w:r w:rsidRPr="00FC7A36">
        <w:rPr>
          <w:sz w:val="24"/>
          <w:szCs w:val="24"/>
        </w:rPr>
        <w:t>Supporting Statement</w:t>
      </w:r>
      <w:r w:rsidR="00E0171E" w:rsidRPr="00FC7A36">
        <w:rPr>
          <w:sz w:val="24"/>
          <w:szCs w:val="24"/>
        </w:rPr>
        <w:t xml:space="preserve"> for</w:t>
      </w:r>
    </w:p>
    <w:p w14:paraId="0BA8F8FC" w14:textId="7C4D65A1" w:rsidR="00087925" w:rsidRPr="00FC7A36" w:rsidRDefault="00FD66F1" w:rsidP="00F00842">
      <w:pPr>
        <w:spacing w:after="0" w:line="240" w:lineRule="auto"/>
        <w:jc w:val="center"/>
        <w:rPr>
          <w:b/>
          <w:sz w:val="24"/>
          <w:szCs w:val="24"/>
        </w:rPr>
      </w:pPr>
      <w:r w:rsidRPr="00FC7A36">
        <w:rPr>
          <w:b/>
          <w:sz w:val="24"/>
          <w:szCs w:val="24"/>
        </w:rPr>
        <w:t>FERC-</w:t>
      </w:r>
      <w:r w:rsidR="003757E9">
        <w:rPr>
          <w:b/>
          <w:sz w:val="24"/>
          <w:szCs w:val="24"/>
        </w:rPr>
        <w:t>725P1</w:t>
      </w:r>
      <w:r w:rsidR="00F2758C" w:rsidRPr="00FC7A36">
        <w:rPr>
          <w:b/>
          <w:sz w:val="24"/>
          <w:szCs w:val="24"/>
        </w:rPr>
        <w:t xml:space="preserve">, </w:t>
      </w:r>
      <w:r w:rsidR="003757E9" w:rsidRPr="007A16CD">
        <w:rPr>
          <w:b/>
          <w:sz w:val="24"/>
          <w:szCs w:val="24"/>
        </w:rPr>
        <w:t>(Mandatory Reliability Standards: PRC-005-</w:t>
      </w:r>
      <w:r w:rsidR="003757E9">
        <w:rPr>
          <w:b/>
          <w:sz w:val="24"/>
          <w:szCs w:val="24"/>
        </w:rPr>
        <w:t>6</w:t>
      </w:r>
      <w:r w:rsidR="00A2311E">
        <w:rPr>
          <w:b/>
          <w:sz w:val="24"/>
          <w:szCs w:val="24"/>
        </w:rPr>
        <w:t xml:space="preserve"> </w:t>
      </w:r>
      <w:r w:rsidR="003757E9" w:rsidRPr="007A16CD">
        <w:rPr>
          <w:b/>
          <w:sz w:val="24"/>
          <w:szCs w:val="24"/>
        </w:rPr>
        <w:t>Reliability Standard)</w:t>
      </w:r>
    </w:p>
    <w:p w14:paraId="03533195" w14:textId="77777777" w:rsidR="00FD66F1" w:rsidRPr="00FC7A36" w:rsidRDefault="00FD66F1" w:rsidP="00F00842">
      <w:pPr>
        <w:spacing w:after="0" w:line="240" w:lineRule="auto"/>
        <w:jc w:val="center"/>
        <w:rPr>
          <w:sz w:val="24"/>
          <w:szCs w:val="24"/>
        </w:rPr>
      </w:pPr>
    </w:p>
    <w:p w14:paraId="0353319D" w14:textId="7C5D2FFE" w:rsidR="00D85C5B" w:rsidRPr="00FC7A36" w:rsidRDefault="00407B78" w:rsidP="00F00842">
      <w:pPr>
        <w:spacing w:after="0" w:line="240" w:lineRule="auto"/>
        <w:rPr>
          <w:sz w:val="24"/>
          <w:szCs w:val="24"/>
        </w:rPr>
      </w:pPr>
      <w:r w:rsidRPr="00FC7A36">
        <w:rPr>
          <w:sz w:val="24"/>
          <w:szCs w:val="24"/>
        </w:rPr>
        <w:t>The Federal Energy Regulatory Commission (FERC</w:t>
      </w:r>
      <w:r w:rsidR="0013054D" w:rsidRPr="00FC7A36">
        <w:rPr>
          <w:sz w:val="24"/>
          <w:szCs w:val="24"/>
        </w:rPr>
        <w:t xml:space="preserve"> or Commission</w:t>
      </w:r>
      <w:r w:rsidRPr="00FC7A36">
        <w:rPr>
          <w:sz w:val="24"/>
          <w:szCs w:val="24"/>
        </w:rPr>
        <w:t>) requests that the Office of Management and Budget (OMB) review and approv</w:t>
      </w:r>
      <w:r w:rsidR="0013054D" w:rsidRPr="00FC7A36">
        <w:rPr>
          <w:sz w:val="24"/>
          <w:szCs w:val="24"/>
        </w:rPr>
        <w:t xml:space="preserve">e </w:t>
      </w:r>
      <w:r w:rsidR="00726341" w:rsidRPr="00FC7A36">
        <w:rPr>
          <w:sz w:val="24"/>
          <w:szCs w:val="24"/>
        </w:rPr>
        <w:t>the FERC-</w:t>
      </w:r>
      <w:r w:rsidR="003757E9">
        <w:rPr>
          <w:sz w:val="24"/>
          <w:szCs w:val="24"/>
        </w:rPr>
        <w:t>725P1</w:t>
      </w:r>
      <w:r w:rsidR="00087925" w:rsidRPr="00FC7A36">
        <w:rPr>
          <w:sz w:val="24"/>
          <w:szCs w:val="24"/>
        </w:rPr>
        <w:t xml:space="preserve"> information collect</w:t>
      </w:r>
      <w:r w:rsidR="00FC7A36" w:rsidRPr="00FC7A36">
        <w:rPr>
          <w:sz w:val="24"/>
          <w:szCs w:val="24"/>
        </w:rPr>
        <w:t>i</w:t>
      </w:r>
      <w:r w:rsidR="00087925" w:rsidRPr="00FC7A36">
        <w:rPr>
          <w:sz w:val="24"/>
          <w:szCs w:val="24"/>
        </w:rPr>
        <w:t>on (</w:t>
      </w:r>
      <w:r w:rsidR="00726341" w:rsidRPr="00FC7A36">
        <w:rPr>
          <w:sz w:val="24"/>
          <w:szCs w:val="24"/>
        </w:rPr>
        <w:t>OMB Control Number 1902-</w:t>
      </w:r>
      <w:r w:rsidR="00FC7A36" w:rsidRPr="00FC7A36">
        <w:rPr>
          <w:sz w:val="24"/>
          <w:szCs w:val="24"/>
        </w:rPr>
        <w:t>0</w:t>
      </w:r>
      <w:r w:rsidR="003757E9">
        <w:rPr>
          <w:sz w:val="24"/>
          <w:szCs w:val="24"/>
        </w:rPr>
        <w:t>280</w:t>
      </w:r>
      <w:r w:rsidR="00726341" w:rsidRPr="00FC7A36">
        <w:rPr>
          <w:sz w:val="24"/>
          <w:szCs w:val="24"/>
        </w:rPr>
        <w:t>)</w:t>
      </w:r>
      <w:r w:rsidR="00087925" w:rsidRPr="00FC7A36">
        <w:rPr>
          <w:sz w:val="24"/>
          <w:szCs w:val="24"/>
        </w:rPr>
        <w:t xml:space="preserve"> for a three-year period.  The FERC-</w:t>
      </w:r>
      <w:r w:rsidR="003757E9">
        <w:rPr>
          <w:sz w:val="24"/>
          <w:szCs w:val="24"/>
        </w:rPr>
        <w:t>725P1</w:t>
      </w:r>
      <w:r w:rsidR="00087925" w:rsidRPr="00FC7A36">
        <w:rPr>
          <w:sz w:val="24"/>
          <w:szCs w:val="24"/>
        </w:rPr>
        <w:t xml:space="preserve"> is a current collection and its </w:t>
      </w:r>
      <w:r w:rsidR="001662E7">
        <w:rPr>
          <w:sz w:val="24"/>
          <w:szCs w:val="24"/>
        </w:rPr>
        <w:t xml:space="preserve">reporting and </w:t>
      </w:r>
      <w:r w:rsidR="00087925" w:rsidRPr="00FC7A36">
        <w:rPr>
          <w:sz w:val="24"/>
          <w:szCs w:val="24"/>
        </w:rPr>
        <w:t xml:space="preserve">record retention requirements are </w:t>
      </w:r>
      <w:r w:rsidR="00EB5A27">
        <w:rPr>
          <w:sz w:val="24"/>
          <w:szCs w:val="24"/>
        </w:rPr>
        <w:t>covered by</w:t>
      </w:r>
      <w:r w:rsidR="00087925" w:rsidRPr="00FC7A36">
        <w:rPr>
          <w:sz w:val="24"/>
          <w:szCs w:val="24"/>
        </w:rPr>
        <w:t xml:space="preserve"> Title 18 Code of Federal Regulations (CFR) Part</w:t>
      </w:r>
      <w:r w:rsidR="003757E9">
        <w:rPr>
          <w:sz w:val="24"/>
          <w:szCs w:val="24"/>
        </w:rPr>
        <w:t xml:space="preserve"> 40</w:t>
      </w:r>
      <w:r w:rsidR="00087925" w:rsidRPr="00FC7A36">
        <w:rPr>
          <w:sz w:val="24"/>
          <w:szCs w:val="24"/>
        </w:rPr>
        <w:t>.</w:t>
      </w:r>
    </w:p>
    <w:p w14:paraId="0353319F" w14:textId="77777777" w:rsidR="00407B78" w:rsidRPr="00FC7A36" w:rsidRDefault="00407B78" w:rsidP="00F00842">
      <w:pPr>
        <w:spacing w:after="0" w:line="240" w:lineRule="auto"/>
        <w:rPr>
          <w:sz w:val="24"/>
          <w:szCs w:val="24"/>
        </w:rPr>
      </w:pPr>
    </w:p>
    <w:p w14:paraId="035331A0" w14:textId="5A1AAC20" w:rsidR="00A72E7B" w:rsidRPr="00FC7A36" w:rsidRDefault="00A72E7B" w:rsidP="00F00842">
      <w:pPr>
        <w:pStyle w:val="FERCparanumber"/>
        <w:rPr>
          <w:sz w:val="24"/>
        </w:rPr>
      </w:pPr>
      <w:r w:rsidRPr="00FC7A36">
        <w:rPr>
          <w:sz w:val="24"/>
        </w:rPr>
        <w:t>CIRCUMSTANCES THAT MAKE THE COLLECTION OF INFORMATION NECESSARY</w:t>
      </w:r>
    </w:p>
    <w:p w14:paraId="23F82A83" w14:textId="34CC6745" w:rsidR="003757E9" w:rsidRPr="003757E9" w:rsidRDefault="003757E9" w:rsidP="00F00842">
      <w:pPr>
        <w:pStyle w:val="FERCparanumber"/>
        <w:numPr>
          <w:ilvl w:val="0"/>
          <w:numId w:val="0"/>
        </w:numPr>
        <w:rPr>
          <w:b w:val="0"/>
          <w:sz w:val="24"/>
        </w:rPr>
      </w:pPr>
      <w:r w:rsidRPr="003757E9">
        <w:rPr>
          <w:b w:val="0"/>
          <w:sz w:val="24"/>
        </w:rPr>
        <w:t>On August 8, 2005, The Electricity Modernization Act of 2005, which is Title XII of the Energy Policy Act of 2005 (EPAct 2005), was enacted into law.</w:t>
      </w:r>
      <w:r w:rsidRPr="003757E9">
        <w:rPr>
          <w:rStyle w:val="FootnoteReference"/>
          <w:sz w:val="24"/>
        </w:rPr>
        <w:footnoteReference w:id="2"/>
      </w:r>
      <w:r w:rsidRPr="003757E9">
        <w:rPr>
          <w:b w:val="0"/>
          <w:sz w:val="24"/>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14:paraId="02839C9D" w14:textId="77777777" w:rsidR="003757E9" w:rsidRPr="003757E9" w:rsidRDefault="003757E9" w:rsidP="00F00842">
      <w:pPr>
        <w:spacing w:after="0" w:line="240" w:lineRule="auto"/>
        <w:rPr>
          <w:sz w:val="24"/>
          <w:szCs w:val="24"/>
        </w:rPr>
      </w:pPr>
      <w:r w:rsidRPr="003757E9">
        <w:rPr>
          <w:sz w:val="24"/>
          <w:szCs w:val="24"/>
        </w:rPr>
        <w:t>On February 3, 2006, the Commission issued Order No. 672, implementing section 215 of the FPA.</w:t>
      </w:r>
      <w:r w:rsidRPr="003757E9">
        <w:rPr>
          <w:sz w:val="24"/>
          <w:szCs w:val="24"/>
          <w:vertAlign w:val="superscript"/>
        </w:rPr>
        <w:footnoteReference w:id="3"/>
      </w:r>
      <w:r w:rsidRPr="003757E9">
        <w:rPr>
          <w:sz w:val="24"/>
          <w:szCs w:val="24"/>
        </w:rPr>
        <w:t xml:space="preserve">  Pursuant to Order No. 672, the Commission certified one organization, North American Electric Reliability Corporation (NERC), as the ERO.</w:t>
      </w:r>
      <w:r w:rsidRPr="003757E9">
        <w:rPr>
          <w:sz w:val="24"/>
          <w:szCs w:val="24"/>
          <w:vertAlign w:val="superscript"/>
        </w:rPr>
        <w:footnoteReference w:id="4"/>
      </w:r>
      <w:r w:rsidRPr="003757E9">
        <w:rPr>
          <w:sz w:val="24"/>
          <w:szCs w:val="24"/>
        </w:rPr>
        <w:t xml:space="preserve">  The Reliability Standards developed by the ERO and approved by the Commission apply to users, owners and operators of the Bulk-Power System as set forth in each Reliability Standard.</w:t>
      </w:r>
    </w:p>
    <w:p w14:paraId="0E1BEF48" w14:textId="77777777" w:rsidR="003757E9" w:rsidRPr="003757E9" w:rsidRDefault="003757E9" w:rsidP="00F00842">
      <w:pPr>
        <w:spacing w:after="0" w:line="240" w:lineRule="auto"/>
        <w:rPr>
          <w:sz w:val="24"/>
          <w:szCs w:val="24"/>
        </w:rPr>
      </w:pPr>
    </w:p>
    <w:p w14:paraId="7CF81B7F" w14:textId="2B84313E" w:rsidR="00CD37F8" w:rsidRPr="00FC7A36" w:rsidRDefault="003757E9" w:rsidP="00F00842">
      <w:pPr>
        <w:spacing w:after="0" w:line="240" w:lineRule="auto"/>
        <w:rPr>
          <w:sz w:val="24"/>
          <w:szCs w:val="24"/>
        </w:rPr>
      </w:pPr>
      <w:r w:rsidRPr="003757E9">
        <w:rPr>
          <w:sz w:val="24"/>
          <w:szCs w:val="24"/>
        </w:rPr>
        <w:t>On November 13, 2015, the North American Electric Reliability Corporation (NERC) filed a petition</w:t>
      </w:r>
      <w:r w:rsidRPr="003757E9">
        <w:rPr>
          <w:rStyle w:val="FootnoteReference"/>
          <w:b w:val="0"/>
          <w:sz w:val="24"/>
          <w:szCs w:val="24"/>
        </w:rPr>
        <w:footnoteReference w:id="5"/>
      </w:r>
      <w:r w:rsidRPr="003757E9">
        <w:rPr>
          <w:sz w:val="24"/>
          <w:szCs w:val="24"/>
        </w:rPr>
        <w:t xml:space="preserve"> for Commission approval of </w:t>
      </w:r>
      <w:r w:rsidR="009A74FD">
        <w:rPr>
          <w:sz w:val="24"/>
          <w:szCs w:val="24"/>
        </w:rPr>
        <w:t xml:space="preserve">the then </w:t>
      </w:r>
      <w:r w:rsidRPr="003757E9">
        <w:rPr>
          <w:sz w:val="24"/>
          <w:szCs w:val="24"/>
        </w:rPr>
        <w:t>proposed Reliability Standard PRC-005-6</w:t>
      </w:r>
      <w:r w:rsidRPr="003757E9">
        <w:rPr>
          <w:rStyle w:val="FootnoteReference"/>
          <w:b w:val="0"/>
          <w:sz w:val="24"/>
          <w:szCs w:val="24"/>
        </w:rPr>
        <w:footnoteReference w:id="6"/>
      </w:r>
      <w:r w:rsidRPr="003757E9">
        <w:rPr>
          <w:sz w:val="24"/>
          <w:szCs w:val="24"/>
        </w:rPr>
        <w:t xml:space="preserve"> </w:t>
      </w:r>
      <w:r w:rsidRPr="003757E9">
        <w:rPr>
          <w:sz w:val="24"/>
          <w:szCs w:val="24"/>
        </w:rPr>
        <w:lastRenderedPageBreak/>
        <w:t>(Protection System, Automatic Reclosing, and Sudden Pressure Relaying Maintenance).  NERC also requested approval of the proposed implementation plan for PRC-005-6, and the retirement of previous versions of Reliability Standard PRC-005.  NERC explained in its petition that Reliability Standard PRC-005-6 represents an improvement upon the most recently-approved version of the standard, PRC-005-4.</w:t>
      </w:r>
      <w:r w:rsidRPr="003757E9">
        <w:rPr>
          <w:rStyle w:val="FootnoteReference"/>
          <w:b w:val="0"/>
          <w:sz w:val="24"/>
          <w:szCs w:val="24"/>
        </w:rPr>
        <w:footnoteReference w:id="7"/>
      </w:r>
      <w:r w:rsidRPr="003757E9">
        <w:rPr>
          <w:sz w:val="24"/>
          <w:szCs w:val="24"/>
          <w:vertAlign w:val="superscript"/>
        </w:rPr>
        <w:t xml:space="preserve"> </w:t>
      </w:r>
      <w:r w:rsidRPr="003757E9">
        <w:rPr>
          <w:sz w:val="24"/>
          <w:szCs w:val="24"/>
        </w:rPr>
        <w:t xml:space="preserve"> In a Delegated Letter Order on December 18, 2015, FERC approved the proposed Reliability Standard PRC-005-6.</w:t>
      </w:r>
      <w:r w:rsidRPr="003757E9">
        <w:rPr>
          <w:rStyle w:val="FootnoteReference"/>
          <w:b w:val="0"/>
          <w:sz w:val="24"/>
          <w:szCs w:val="24"/>
        </w:rPr>
        <w:footnoteReference w:id="8"/>
      </w:r>
    </w:p>
    <w:p w14:paraId="035331B8" w14:textId="77777777" w:rsidR="00A978BD" w:rsidRPr="00FC7A36" w:rsidRDefault="00A978BD" w:rsidP="00F00842">
      <w:pPr>
        <w:spacing w:after="0" w:line="240" w:lineRule="auto"/>
        <w:rPr>
          <w:sz w:val="24"/>
          <w:szCs w:val="24"/>
        </w:rPr>
      </w:pPr>
    </w:p>
    <w:p w14:paraId="035331B9" w14:textId="77777777" w:rsidR="00A72E7B" w:rsidRPr="00FC7A36" w:rsidRDefault="00EB3E6F" w:rsidP="00F00842">
      <w:pPr>
        <w:pStyle w:val="FERCparanumber"/>
        <w:rPr>
          <w:sz w:val="24"/>
        </w:rPr>
      </w:pPr>
      <w:r w:rsidRPr="00FC7A36">
        <w:rPr>
          <w:sz w:val="24"/>
        </w:rPr>
        <w:t>HOW, BY WHOM, AND FOR WHAT PURPOSE THE INFORMATION IS TO BE USED AND THE CONSEQUENCES OF NOT COLLECTING THE INFORMATION</w:t>
      </w:r>
    </w:p>
    <w:p w14:paraId="4E3DC674" w14:textId="77777777" w:rsidR="003757E9" w:rsidRPr="007A16CD" w:rsidRDefault="003757E9" w:rsidP="00F00842">
      <w:pPr>
        <w:spacing w:after="0" w:line="240" w:lineRule="auto"/>
        <w:rPr>
          <w:sz w:val="24"/>
          <w:szCs w:val="24"/>
        </w:rPr>
      </w:pPr>
      <w:r w:rsidRPr="007A16CD">
        <w:rPr>
          <w:sz w:val="24"/>
          <w:szCs w:val="24"/>
        </w:rPr>
        <w:t>As stated by NERC in the Executive Summary of its Petition [footnotes omitted]:</w:t>
      </w:r>
    </w:p>
    <w:p w14:paraId="32F3396A" w14:textId="77777777" w:rsidR="003757E9" w:rsidRPr="007A16CD" w:rsidRDefault="003757E9" w:rsidP="00F00842">
      <w:pPr>
        <w:spacing w:after="0" w:line="240" w:lineRule="auto"/>
        <w:rPr>
          <w:sz w:val="24"/>
          <w:szCs w:val="24"/>
        </w:rPr>
      </w:pPr>
    </w:p>
    <w:p w14:paraId="37EE7937" w14:textId="77777777" w:rsidR="003757E9" w:rsidRPr="007A16CD" w:rsidRDefault="003757E9" w:rsidP="00F00842">
      <w:pPr>
        <w:spacing w:after="0" w:line="240" w:lineRule="auto"/>
        <w:ind w:left="720"/>
        <w:rPr>
          <w:sz w:val="24"/>
          <w:szCs w:val="24"/>
        </w:rPr>
      </w:pPr>
      <w:r w:rsidRPr="007A16CD">
        <w:rPr>
          <w:sz w:val="24"/>
          <w:szCs w:val="24"/>
        </w:rPr>
        <w:t xml:space="preserve">“The PRC-005 Reliability Standard helps ensure that entities have a program for the </w:t>
      </w:r>
    </w:p>
    <w:p w14:paraId="52AD076D" w14:textId="77777777" w:rsidR="003757E9" w:rsidRPr="007A16CD" w:rsidRDefault="003757E9" w:rsidP="00F00842">
      <w:pPr>
        <w:spacing w:after="0" w:line="240" w:lineRule="auto"/>
        <w:ind w:left="720"/>
        <w:rPr>
          <w:sz w:val="24"/>
          <w:szCs w:val="24"/>
        </w:rPr>
      </w:pPr>
      <w:r w:rsidRPr="007A16CD">
        <w:rPr>
          <w:sz w:val="24"/>
          <w:szCs w:val="24"/>
        </w:rPr>
        <w:t>maintenance of their applicable Protection Systems, Automatic Reclosing, and Sudden Pressure Relaying so that they are kept in working order. The standard has been revised several times since its initial approval in Order No. 693 to incorporate interpretations, clarify applicability, and respond to Commission directives. Following a restructuring of the standard in PRC-005-2, a number of versions have been developed, including currently-effective PRC-005-2(i), Commission-approved but not yet effective versions PRC-005-3, PRC-005-3(i), and PRC-005-4, and pending versions PRC-005-2(ii) and PRC-005-3(ii).</w:t>
      </w:r>
    </w:p>
    <w:p w14:paraId="5302AF46" w14:textId="77777777" w:rsidR="003757E9" w:rsidRPr="007A16CD" w:rsidRDefault="003757E9" w:rsidP="00F00842">
      <w:pPr>
        <w:spacing w:after="0" w:line="240" w:lineRule="auto"/>
        <w:ind w:left="720"/>
        <w:rPr>
          <w:sz w:val="24"/>
          <w:szCs w:val="24"/>
        </w:rPr>
      </w:pPr>
    </w:p>
    <w:p w14:paraId="290ADFA1" w14:textId="77777777" w:rsidR="003757E9" w:rsidRPr="007A16CD" w:rsidRDefault="003757E9" w:rsidP="00F00842">
      <w:pPr>
        <w:spacing w:after="0" w:line="240" w:lineRule="auto"/>
        <w:ind w:left="720"/>
        <w:rPr>
          <w:sz w:val="24"/>
          <w:szCs w:val="24"/>
        </w:rPr>
      </w:pPr>
      <w:r w:rsidRPr="007A16CD">
        <w:rPr>
          <w:sz w:val="24"/>
          <w:szCs w:val="24"/>
        </w:rPr>
        <w:t>In this petition, NERC proposes additional modifications that improve upon the most recent Commission-approved version, PRC-005-4, in two respects. First, proposed Reliability Standard PRC-005-6 revises the standard to include supervisory devices and functions associated with applicable autoreclosing relay schemes. Reliability is improved by extending the protections of a strong Protection System Maintenance Program to these devices consistent with Order No. 803.</w:t>
      </w:r>
    </w:p>
    <w:p w14:paraId="2131FD1B" w14:textId="77777777" w:rsidR="003757E9" w:rsidRPr="007A16CD" w:rsidRDefault="003757E9" w:rsidP="00F00842">
      <w:pPr>
        <w:spacing w:after="0" w:line="240" w:lineRule="auto"/>
        <w:ind w:left="720"/>
        <w:rPr>
          <w:sz w:val="24"/>
          <w:szCs w:val="24"/>
        </w:rPr>
      </w:pPr>
    </w:p>
    <w:p w14:paraId="15C7B194" w14:textId="77777777" w:rsidR="003757E9" w:rsidRPr="007A16CD" w:rsidRDefault="003757E9" w:rsidP="00F00842">
      <w:pPr>
        <w:spacing w:after="0" w:line="240" w:lineRule="auto"/>
        <w:ind w:left="720"/>
        <w:rPr>
          <w:sz w:val="24"/>
          <w:szCs w:val="24"/>
        </w:rPr>
      </w:pPr>
      <w:r w:rsidRPr="007A16CD">
        <w:rPr>
          <w:sz w:val="24"/>
          <w:szCs w:val="24"/>
        </w:rPr>
        <w:t>Second, proposed Reliability Standard PRC-005-6 includes a revision to the PRC-005 standard that was included in prior versions of the standard but, as explained further below, was not carried forward to PRC-005-4 due to the timing of the development of that version. Specifically, proposed Reliability Standard PRC-005-6 includes Commission-approved revisions addressing the applicability of PRC-005 to owners of dispersed generation resources. As explained in greater detail below, these revisions reflect the determination of the standard drafting team for Project 2014-01 Standards Applicability for Dispersed Generation Resources that while the components of dispersed power generation, such as individual wind or solar units, often do not pose a significant risk to the reliability of the Bulk-Power System when evaluated individually, reliability could be improved by ensuring the equipment utilized to aggregate these individual units to a common point of interconnection with the Bulk-Power System is operated and maintained as required by the PRC-005 Reliability Standard.</w:t>
      </w:r>
    </w:p>
    <w:p w14:paraId="28F43A28" w14:textId="77777777" w:rsidR="003757E9" w:rsidRPr="007A16CD" w:rsidRDefault="003757E9" w:rsidP="00F00842">
      <w:pPr>
        <w:spacing w:after="0" w:line="240" w:lineRule="auto"/>
        <w:ind w:left="720"/>
        <w:rPr>
          <w:sz w:val="24"/>
          <w:szCs w:val="24"/>
        </w:rPr>
      </w:pPr>
    </w:p>
    <w:p w14:paraId="3C67DDA2" w14:textId="77777777" w:rsidR="003757E9" w:rsidRPr="007A16CD" w:rsidRDefault="003757E9" w:rsidP="00F00842">
      <w:pPr>
        <w:spacing w:after="0" w:line="240" w:lineRule="auto"/>
        <w:ind w:left="720"/>
        <w:rPr>
          <w:sz w:val="24"/>
          <w:szCs w:val="24"/>
        </w:rPr>
      </w:pPr>
      <w:r w:rsidRPr="007A16CD">
        <w:rPr>
          <w:sz w:val="24"/>
          <w:szCs w:val="24"/>
        </w:rPr>
        <w:t xml:space="preserve">Additionally, as there are now multiple versions of the PRC-005 Reliability Standard </w:t>
      </w:r>
    </w:p>
    <w:p w14:paraId="77AE662A" w14:textId="77777777" w:rsidR="003757E9" w:rsidRPr="007A16CD" w:rsidRDefault="003757E9" w:rsidP="00F00842">
      <w:pPr>
        <w:spacing w:after="0" w:line="240" w:lineRule="auto"/>
        <w:ind w:left="720"/>
        <w:rPr>
          <w:sz w:val="24"/>
          <w:szCs w:val="24"/>
        </w:rPr>
      </w:pPr>
      <w:r w:rsidRPr="007A16CD">
        <w:rPr>
          <w:sz w:val="24"/>
          <w:szCs w:val="24"/>
        </w:rPr>
        <w:t>pending enforcement or Commission approval, the implementation plan for proposed PRC-005-6 is designed to assist registered entities and the ERO Enterprise in their transition efforts by simplifying and streamlining the implementation approach for all of the newly-applicable systems introduced in the versions of PRC-005 not yet in effect. As discussed below, the proposed implementation plan retains the reasonable, phased-in implementation approach of past plans, which require registered entities to gradually ensure compliance of a percentage of their devices until they reach 100% compliance. However, NERC proposes to replace the patchwork implementation of requirements for the systems introduced by each successive PRC-005 version with an implementation plan that aligns compliance dates for all newly applicable systems.</w:t>
      </w:r>
    </w:p>
    <w:p w14:paraId="7892630C" w14:textId="77777777" w:rsidR="003757E9" w:rsidRPr="007A16CD" w:rsidRDefault="003757E9" w:rsidP="00F00842">
      <w:pPr>
        <w:spacing w:after="0" w:line="240" w:lineRule="auto"/>
        <w:ind w:left="720"/>
        <w:rPr>
          <w:sz w:val="24"/>
          <w:szCs w:val="24"/>
        </w:rPr>
      </w:pPr>
    </w:p>
    <w:p w14:paraId="22EEC510" w14:textId="77777777" w:rsidR="003757E9" w:rsidRPr="007A16CD" w:rsidRDefault="003757E9" w:rsidP="00F00842">
      <w:pPr>
        <w:spacing w:after="0" w:line="240" w:lineRule="auto"/>
        <w:ind w:left="720"/>
        <w:rPr>
          <w:sz w:val="24"/>
          <w:szCs w:val="24"/>
        </w:rPr>
      </w:pPr>
      <w:r w:rsidRPr="007A16CD">
        <w:rPr>
          <w:sz w:val="24"/>
          <w:szCs w:val="24"/>
        </w:rPr>
        <w:t>Aligning the dates by which registered entities must be compliant for all newly applicable systems necessitates a slight delay from the staggered timeframe contemplated by previous PRC-005 implementation plans. However, the proposed approach advances reliability by: (1) allowing entities sufficient time to develop comprehensive Protection System Maintenance Programs to address all new applicable systems, thereby decreasing the number of opportunities for misidentified and missed devices across successive program revisions and across multiple compliance schedules; (2) promoting the efficient use of entity and ERO Enterprise resources by eliminating the need to create and audit multiple, successive revisions to entity Protection System Maintenance Programs; and (3) providing NERC additional time to provide additional education and outreach to industry regarding the implementation of this important Reliability Standard.”</w:t>
      </w:r>
    </w:p>
    <w:p w14:paraId="3D0ABA79" w14:textId="77777777" w:rsidR="003757E9" w:rsidRPr="007A16CD" w:rsidRDefault="003757E9" w:rsidP="00F00842">
      <w:pPr>
        <w:spacing w:after="0" w:line="240" w:lineRule="auto"/>
        <w:ind w:left="720"/>
        <w:rPr>
          <w:sz w:val="24"/>
          <w:szCs w:val="24"/>
        </w:rPr>
      </w:pPr>
    </w:p>
    <w:p w14:paraId="5FA08E9E" w14:textId="77777777" w:rsidR="003757E9" w:rsidRPr="007A16CD" w:rsidRDefault="003757E9" w:rsidP="00F00842">
      <w:pPr>
        <w:spacing w:after="0" w:line="240" w:lineRule="auto"/>
        <w:ind w:left="720"/>
        <w:rPr>
          <w:sz w:val="24"/>
          <w:szCs w:val="24"/>
        </w:rPr>
      </w:pPr>
      <w:r w:rsidRPr="007A16CD">
        <w:rPr>
          <w:sz w:val="24"/>
          <w:szCs w:val="24"/>
        </w:rPr>
        <w:t>In short, NERC maintains that this approach will:</w:t>
      </w:r>
    </w:p>
    <w:p w14:paraId="2D8C3B5C" w14:textId="77777777" w:rsidR="003757E9" w:rsidRPr="007A16CD" w:rsidRDefault="003757E9" w:rsidP="00F00842">
      <w:pPr>
        <w:pStyle w:val="ListParagraph"/>
        <w:numPr>
          <w:ilvl w:val="0"/>
          <w:numId w:val="26"/>
        </w:numPr>
        <w:spacing w:after="0" w:line="240" w:lineRule="auto"/>
        <w:rPr>
          <w:sz w:val="24"/>
          <w:szCs w:val="24"/>
        </w:rPr>
      </w:pPr>
      <w:r w:rsidRPr="007A16CD">
        <w:rPr>
          <w:sz w:val="24"/>
          <w:szCs w:val="24"/>
        </w:rPr>
        <w:t>simplify and streamline the implementation process, with only a slight delay in the compliance deadlines associated with the testing and maintenance requirements for newly-applicable systems,</w:t>
      </w:r>
    </w:p>
    <w:p w14:paraId="77CE0AD7" w14:textId="77777777" w:rsidR="003757E9" w:rsidRPr="007A16CD" w:rsidRDefault="003757E9" w:rsidP="00F00842">
      <w:pPr>
        <w:pStyle w:val="ListParagraph"/>
        <w:numPr>
          <w:ilvl w:val="0"/>
          <w:numId w:val="26"/>
        </w:numPr>
        <w:spacing w:after="0" w:line="240" w:lineRule="auto"/>
        <w:rPr>
          <w:sz w:val="24"/>
          <w:szCs w:val="24"/>
        </w:rPr>
      </w:pPr>
      <w:r w:rsidRPr="007A16CD">
        <w:rPr>
          <w:sz w:val="24"/>
          <w:szCs w:val="24"/>
        </w:rPr>
        <w:t>result in fewer errors, omissions, and misidentified devices when setting up maintenance programs</w:t>
      </w:r>
    </w:p>
    <w:p w14:paraId="3682D2D1" w14:textId="77777777" w:rsidR="003757E9" w:rsidRPr="007A16CD" w:rsidRDefault="003757E9" w:rsidP="00F00842">
      <w:pPr>
        <w:pStyle w:val="ListParagraph"/>
        <w:numPr>
          <w:ilvl w:val="0"/>
          <w:numId w:val="26"/>
        </w:numPr>
        <w:spacing w:after="0" w:line="240" w:lineRule="auto"/>
        <w:rPr>
          <w:sz w:val="24"/>
          <w:szCs w:val="24"/>
        </w:rPr>
      </w:pPr>
      <w:r w:rsidRPr="007A16CD">
        <w:rPr>
          <w:sz w:val="24"/>
          <w:szCs w:val="24"/>
        </w:rPr>
        <w:t>decrease the potential for confusions and missed device testing when implementing the maintenance programs</w:t>
      </w:r>
    </w:p>
    <w:p w14:paraId="53DE6761" w14:textId="77777777" w:rsidR="003757E9" w:rsidRPr="007A16CD" w:rsidRDefault="003757E9" w:rsidP="00F00842">
      <w:pPr>
        <w:pStyle w:val="ListParagraph"/>
        <w:numPr>
          <w:ilvl w:val="0"/>
          <w:numId w:val="26"/>
        </w:numPr>
        <w:spacing w:after="0" w:line="240" w:lineRule="auto"/>
        <w:rPr>
          <w:sz w:val="24"/>
          <w:szCs w:val="24"/>
        </w:rPr>
      </w:pPr>
      <w:r w:rsidRPr="007A16CD">
        <w:rPr>
          <w:sz w:val="24"/>
          <w:szCs w:val="24"/>
        </w:rPr>
        <w:t xml:space="preserve">promote the efficient use of both registered entity and ERO Enterprise resources, and </w:t>
      </w:r>
    </w:p>
    <w:p w14:paraId="28575BF3" w14:textId="2BDD7380" w:rsidR="00092293" w:rsidRPr="003757E9" w:rsidRDefault="003757E9" w:rsidP="00F00842">
      <w:pPr>
        <w:pStyle w:val="ListParagraph"/>
        <w:numPr>
          <w:ilvl w:val="0"/>
          <w:numId w:val="26"/>
        </w:numPr>
        <w:spacing w:after="0" w:line="240" w:lineRule="auto"/>
        <w:rPr>
          <w:sz w:val="24"/>
          <w:szCs w:val="24"/>
        </w:rPr>
      </w:pPr>
      <w:r w:rsidRPr="007A16CD">
        <w:rPr>
          <w:sz w:val="24"/>
          <w:szCs w:val="24"/>
        </w:rPr>
        <w:t>allow NERC additional time to conduct outreach and provide training on the revised protection system maintenance standard</w:t>
      </w:r>
      <w:r w:rsidR="003418CC" w:rsidRPr="003757E9">
        <w:rPr>
          <w:sz w:val="24"/>
          <w:szCs w:val="24"/>
        </w:rPr>
        <w:t>.</w:t>
      </w:r>
    </w:p>
    <w:p w14:paraId="035331BE" w14:textId="2F40C3AC" w:rsidR="00EB3E6F" w:rsidRPr="00FC7A36" w:rsidRDefault="00EB3E6F" w:rsidP="00F00842">
      <w:pPr>
        <w:spacing w:after="0" w:line="240" w:lineRule="auto"/>
        <w:rPr>
          <w:sz w:val="24"/>
          <w:szCs w:val="24"/>
        </w:rPr>
      </w:pPr>
    </w:p>
    <w:p w14:paraId="035331BF" w14:textId="77777777" w:rsidR="00EB3E6F" w:rsidRPr="00FC7A36" w:rsidRDefault="00EB3E6F" w:rsidP="00F00842">
      <w:pPr>
        <w:pStyle w:val="FERCparanumber"/>
        <w:rPr>
          <w:sz w:val="24"/>
        </w:rPr>
      </w:pPr>
      <w:r w:rsidRPr="00FC7A36">
        <w:rPr>
          <w:sz w:val="24"/>
        </w:rPr>
        <w:t>DESCRIBE ANY CONSIDERATION OF THE USE OF IMPROVED INFORMATION TECHNOLOGY TO REDUCE THE BURDEN AND TECHNICAL OR LEGAL OBSTACLES TO REDUCING BURDEN</w:t>
      </w:r>
    </w:p>
    <w:p w14:paraId="13B7456D" w14:textId="77777777" w:rsidR="003757E9" w:rsidRPr="007A16CD" w:rsidRDefault="003757E9" w:rsidP="00C512B3">
      <w:pPr>
        <w:spacing w:after="0" w:line="240" w:lineRule="auto"/>
        <w:rPr>
          <w:sz w:val="24"/>
          <w:szCs w:val="24"/>
        </w:rPr>
      </w:pPr>
      <w:r w:rsidRPr="007A16CD">
        <w:rPr>
          <w:sz w:val="24"/>
          <w:szCs w:val="24"/>
        </w:rPr>
        <w:t>The use of current or improved technology is not covered in Reliability Standards, and is therefore left to the discretion of each reporting entity.  We think that nearly all of the respondents are likely to make and keep related records in an electronic format.  Each of the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14:paraId="78EF217D" w14:textId="77777777" w:rsidR="003757E9" w:rsidRPr="007A16CD" w:rsidRDefault="003757E9" w:rsidP="00F00842">
      <w:pPr>
        <w:spacing w:after="0" w:line="240" w:lineRule="auto"/>
        <w:rPr>
          <w:sz w:val="24"/>
          <w:szCs w:val="24"/>
        </w:rPr>
      </w:pPr>
    </w:p>
    <w:p w14:paraId="035331C1" w14:textId="789F3C88" w:rsidR="001F65FC" w:rsidRPr="00FC7A36" w:rsidRDefault="003757E9" w:rsidP="00F00842">
      <w:pPr>
        <w:spacing w:after="0" w:line="240" w:lineRule="auto"/>
        <w:rPr>
          <w:sz w:val="24"/>
          <w:szCs w:val="24"/>
        </w:rPr>
      </w:pPr>
      <w:r w:rsidRPr="007A16CD">
        <w:rPr>
          <w:sz w:val="24"/>
          <w:szCs w:val="24"/>
        </w:rPr>
        <w:t>The submittals are not made to FERC</w:t>
      </w:r>
      <w:r w:rsidR="003B390D" w:rsidRPr="00FC7A36">
        <w:rPr>
          <w:sz w:val="24"/>
          <w:szCs w:val="24"/>
        </w:rPr>
        <w:t>.</w:t>
      </w:r>
    </w:p>
    <w:p w14:paraId="035331C2" w14:textId="77777777" w:rsidR="009D7EF5" w:rsidRPr="00FC7A36" w:rsidRDefault="009D7EF5" w:rsidP="00F00842">
      <w:pPr>
        <w:spacing w:after="0" w:line="240" w:lineRule="auto"/>
        <w:rPr>
          <w:sz w:val="24"/>
          <w:szCs w:val="24"/>
        </w:rPr>
      </w:pPr>
    </w:p>
    <w:p w14:paraId="035331C3" w14:textId="77777777" w:rsidR="00EB3E6F" w:rsidRPr="00FC7A36" w:rsidRDefault="00EB3E6F" w:rsidP="00F00842">
      <w:pPr>
        <w:pStyle w:val="FERCparanumber"/>
        <w:rPr>
          <w:sz w:val="24"/>
        </w:rPr>
      </w:pPr>
      <w:r w:rsidRPr="00FC7A36">
        <w:rPr>
          <w:sz w:val="24"/>
        </w:rPr>
        <w:t>DESCRIBE EFFORTS TO IDENTIF</w:t>
      </w:r>
      <w:r w:rsidR="00730A00" w:rsidRPr="00FC7A36">
        <w:rPr>
          <w:sz w:val="24"/>
        </w:rPr>
        <w:t>Y</w:t>
      </w:r>
      <w:r w:rsidRPr="00FC7A36">
        <w:rPr>
          <w:sz w:val="24"/>
        </w:rPr>
        <w:t xml:space="preserve"> DUPLICATION AND SHOW SPECIFICALLY WHY ANY SIMILAR INFORMATION ALREADY AVAILABLE CANNOT BE USED OR MODIFIED FOR USE FOR THE PURPOSE(S) DESCRIBED IN INSTRUCTION NO. 2</w:t>
      </w:r>
    </w:p>
    <w:p w14:paraId="035331C9" w14:textId="192CD6DE" w:rsidR="0029126C" w:rsidRPr="00FC7A36" w:rsidRDefault="003757E9" w:rsidP="00F00842">
      <w:pPr>
        <w:spacing w:after="0" w:line="240" w:lineRule="auto"/>
        <w:rPr>
          <w:sz w:val="24"/>
          <w:szCs w:val="24"/>
        </w:rPr>
      </w:pPr>
      <w:r w:rsidRPr="007A16CD">
        <w:rPr>
          <w:sz w:val="24"/>
          <w:szCs w:val="24"/>
        </w:rPr>
        <w:t>The information collection requirements are unique to this reliability standard and to this information collection.  The Commission does not know of any duplication in the requirements. In addition, the standard-developing group (the ERO and various stakeholders) t</w:t>
      </w:r>
      <w:r w:rsidR="009A74FD">
        <w:rPr>
          <w:sz w:val="24"/>
          <w:szCs w:val="24"/>
        </w:rPr>
        <w:t>hought the issue</w:t>
      </w:r>
      <w:r w:rsidRPr="007A16CD">
        <w:rPr>
          <w:sz w:val="24"/>
          <w:szCs w:val="24"/>
        </w:rPr>
        <w:t xml:space="preserve"> need</w:t>
      </w:r>
      <w:r w:rsidR="009A74FD">
        <w:rPr>
          <w:sz w:val="24"/>
          <w:szCs w:val="24"/>
        </w:rPr>
        <w:t>ed</w:t>
      </w:r>
      <w:r w:rsidRPr="007A16CD">
        <w:rPr>
          <w:sz w:val="24"/>
          <w:szCs w:val="24"/>
        </w:rPr>
        <w:t xml:space="preserve"> to be addressed, as indicated in the NERC petition</w:t>
      </w:r>
      <w:r w:rsidR="0029126C" w:rsidRPr="00FC7A36">
        <w:rPr>
          <w:sz w:val="24"/>
          <w:szCs w:val="24"/>
        </w:rPr>
        <w:t xml:space="preserve">.  </w:t>
      </w:r>
    </w:p>
    <w:p w14:paraId="035331CC" w14:textId="77777777" w:rsidR="00EB3E6F" w:rsidRPr="00FC7A36" w:rsidRDefault="00EB3E6F" w:rsidP="00F00842">
      <w:pPr>
        <w:spacing w:after="0" w:line="240" w:lineRule="auto"/>
        <w:rPr>
          <w:sz w:val="24"/>
          <w:szCs w:val="24"/>
        </w:rPr>
      </w:pPr>
    </w:p>
    <w:p w14:paraId="035331CD" w14:textId="77777777" w:rsidR="00EB3E6F" w:rsidRPr="00FC7A36" w:rsidRDefault="00EB3E6F" w:rsidP="00F00842">
      <w:pPr>
        <w:pStyle w:val="FERCparanumber"/>
        <w:rPr>
          <w:sz w:val="24"/>
        </w:rPr>
      </w:pPr>
      <w:r w:rsidRPr="00FC7A36">
        <w:rPr>
          <w:sz w:val="24"/>
        </w:rPr>
        <w:t>METHODS USED TO MINIMIZE THE BURDEN IN COLLECTION OF INFORMATION INVOLVING SMALL ENTITIES</w:t>
      </w:r>
    </w:p>
    <w:p w14:paraId="37A9A340" w14:textId="77777777" w:rsidR="003757E9" w:rsidRPr="007A16CD" w:rsidRDefault="003757E9" w:rsidP="00C512B3">
      <w:pPr>
        <w:spacing w:after="0" w:line="240" w:lineRule="auto"/>
        <w:rPr>
          <w:sz w:val="24"/>
          <w:szCs w:val="24"/>
        </w:rPr>
      </w:pPr>
      <w:r w:rsidRPr="007A16CD">
        <w:rPr>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01E8A53F" w14:textId="77777777" w:rsidR="003757E9" w:rsidRPr="007A16CD" w:rsidRDefault="003757E9" w:rsidP="00F00842">
      <w:pPr>
        <w:spacing w:after="0" w:line="240" w:lineRule="auto"/>
        <w:rPr>
          <w:sz w:val="24"/>
          <w:szCs w:val="24"/>
        </w:rPr>
      </w:pPr>
    </w:p>
    <w:p w14:paraId="551810F1" w14:textId="77777777" w:rsidR="003757E9" w:rsidRPr="007A16CD" w:rsidRDefault="003757E9" w:rsidP="00F00842">
      <w:pPr>
        <w:spacing w:after="0" w:line="240" w:lineRule="auto"/>
        <w:rPr>
          <w:sz w:val="24"/>
          <w:szCs w:val="24"/>
        </w:rPr>
      </w:pPr>
      <w:r w:rsidRPr="007A16CD">
        <w:rPr>
          <w:sz w:val="24"/>
          <w:szCs w:val="24"/>
        </w:rPr>
        <w:t>Detailed information regarding these options is available in NERC’s Rules of Procedure at sections 507 and 508</w:t>
      </w:r>
      <w:r w:rsidRPr="007A16CD">
        <w:rPr>
          <w:rStyle w:val="FootnoteReference"/>
          <w:sz w:val="24"/>
          <w:szCs w:val="24"/>
        </w:rPr>
        <w:footnoteReference w:id="9"/>
      </w:r>
      <w:r w:rsidRPr="007A16CD">
        <w:rPr>
          <w:sz w:val="24"/>
          <w:szCs w:val="24"/>
        </w:rPr>
        <w:t>.</w:t>
      </w:r>
      <w:r w:rsidRPr="007A16CD">
        <w:rPr>
          <w:sz w:val="24"/>
          <w:szCs w:val="24"/>
          <w:vertAlign w:val="superscript"/>
        </w:rPr>
        <w:t xml:space="preserve"> </w:t>
      </w:r>
      <w:r w:rsidRPr="007A16CD">
        <w:rPr>
          <w:sz w:val="24"/>
          <w:szCs w:val="24"/>
        </w:rPr>
        <w:t xml:space="preserve"> </w:t>
      </w:r>
    </w:p>
    <w:p w14:paraId="035331D0" w14:textId="77777777" w:rsidR="00003CE1" w:rsidRPr="00FC7A36" w:rsidRDefault="00003CE1" w:rsidP="00F00842">
      <w:pPr>
        <w:spacing w:after="0" w:line="240" w:lineRule="auto"/>
        <w:rPr>
          <w:sz w:val="24"/>
          <w:szCs w:val="24"/>
        </w:rPr>
      </w:pPr>
    </w:p>
    <w:p w14:paraId="035331D3" w14:textId="77777777" w:rsidR="00EB3E6F" w:rsidRPr="00FC7A36" w:rsidRDefault="00EB3E6F" w:rsidP="00F00842">
      <w:pPr>
        <w:pStyle w:val="FERCparanumber"/>
        <w:rPr>
          <w:sz w:val="24"/>
        </w:rPr>
      </w:pPr>
      <w:r w:rsidRPr="00FC7A36">
        <w:rPr>
          <w:sz w:val="24"/>
        </w:rPr>
        <w:t>CONSEQUENCE TO FEDERAL PROGRAM IF COLLECTION WERE CONDUCTED LESS FREQUENTLY</w:t>
      </w:r>
    </w:p>
    <w:p w14:paraId="0C2A37B6" w14:textId="0DCBA64A" w:rsidR="0078521D" w:rsidRDefault="0078521D" w:rsidP="00C512B3">
      <w:pPr>
        <w:spacing w:after="0" w:line="240" w:lineRule="auto"/>
        <w:rPr>
          <w:sz w:val="24"/>
          <w:szCs w:val="24"/>
        </w:rPr>
      </w:pPr>
      <w:r w:rsidRPr="007A16CD">
        <w:rPr>
          <w:sz w:val="24"/>
          <w:szCs w:val="24"/>
        </w:rPr>
        <w:t xml:space="preserve">If this standard and the associated information collection requirements did not exist or were performed less frequently, it would not be possible to ensure that applicable entities are performing required maintenance on devices that could, if not properly maintained, affect the reliability of the Bulk-Power System.  This would likely lead to lower system reliability and higher vulnerability and risk, such as transmission system outages and loss of load.  </w:t>
      </w:r>
    </w:p>
    <w:p w14:paraId="58B723D2" w14:textId="77777777" w:rsidR="0078521D" w:rsidRPr="007A16CD" w:rsidRDefault="0078521D" w:rsidP="00C512B3">
      <w:pPr>
        <w:spacing w:after="0" w:line="240" w:lineRule="auto"/>
        <w:rPr>
          <w:sz w:val="24"/>
          <w:szCs w:val="24"/>
        </w:rPr>
      </w:pPr>
    </w:p>
    <w:p w14:paraId="035331DD" w14:textId="77777777" w:rsidR="00EB3E6F" w:rsidRPr="00FC7A36" w:rsidRDefault="00EB3E6F" w:rsidP="00F00842">
      <w:pPr>
        <w:pStyle w:val="FERCparanumber"/>
        <w:rPr>
          <w:sz w:val="24"/>
        </w:rPr>
      </w:pPr>
      <w:r w:rsidRPr="00FC7A36">
        <w:rPr>
          <w:sz w:val="24"/>
        </w:rPr>
        <w:t>EXPLAIN ANY SPECIAL CIRCUMSTANCES RELATING TO THE INFORMATION COLLECTION</w:t>
      </w:r>
    </w:p>
    <w:p w14:paraId="3983519C" w14:textId="77777777" w:rsidR="0078521D" w:rsidRPr="007A16CD" w:rsidRDefault="0078521D" w:rsidP="00C512B3">
      <w:pPr>
        <w:spacing w:after="0" w:line="240" w:lineRule="auto"/>
        <w:rPr>
          <w:sz w:val="24"/>
          <w:szCs w:val="24"/>
        </w:rPr>
      </w:pPr>
      <w:r w:rsidRPr="007A16CD">
        <w:rPr>
          <w:sz w:val="24"/>
          <w:szCs w:val="24"/>
        </w:rPr>
        <w:t xml:space="preserve">There are some special circumstances as described in 5 CFR 1320.5(d)(2) related to this information collection.  </w:t>
      </w:r>
    </w:p>
    <w:p w14:paraId="7DDEA197" w14:textId="77777777" w:rsidR="0078521D" w:rsidRPr="007A16CD" w:rsidRDefault="0078521D" w:rsidP="00F00842">
      <w:pPr>
        <w:spacing w:after="0" w:line="240" w:lineRule="auto"/>
        <w:rPr>
          <w:sz w:val="24"/>
          <w:szCs w:val="24"/>
        </w:rPr>
      </w:pPr>
    </w:p>
    <w:p w14:paraId="60EA087A" w14:textId="7174653C" w:rsidR="0078521D" w:rsidRPr="007A16CD" w:rsidRDefault="0078521D" w:rsidP="00F00842">
      <w:pPr>
        <w:spacing w:after="0" w:line="240" w:lineRule="auto"/>
        <w:rPr>
          <w:sz w:val="24"/>
          <w:szCs w:val="24"/>
        </w:rPr>
      </w:pPr>
      <w:r w:rsidRPr="007A16CD">
        <w:rPr>
          <w:sz w:val="24"/>
          <w:szCs w:val="24"/>
        </w:rPr>
        <w:t>Audits are generally performed every three years, so records are generally retained three years or less.  However some of the evidence must be retained longer, e.g., if there is an investigation.  The Evidence Retention section of the standard follows.</w:t>
      </w:r>
    </w:p>
    <w:p w14:paraId="0D541C72" w14:textId="77777777" w:rsidR="0078521D" w:rsidRPr="007A16CD" w:rsidRDefault="0078521D" w:rsidP="00F00842">
      <w:pPr>
        <w:spacing w:after="0" w:line="240" w:lineRule="auto"/>
        <w:rPr>
          <w:sz w:val="24"/>
          <w:szCs w:val="24"/>
        </w:rPr>
      </w:pPr>
    </w:p>
    <w:p w14:paraId="6ED3F902" w14:textId="77777777" w:rsidR="0078521D" w:rsidRPr="007A16CD" w:rsidRDefault="0078521D" w:rsidP="00F00842">
      <w:pPr>
        <w:spacing w:after="0" w:line="240" w:lineRule="auto"/>
        <w:ind w:left="720"/>
        <w:rPr>
          <w:sz w:val="24"/>
          <w:szCs w:val="24"/>
        </w:rPr>
      </w:pPr>
      <w:r w:rsidRPr="007A16CD">
        <w:rPr>
          <w:b/>
          <w:bCs/>
          <w:sz w:val="24"/>
          <w:szCs w:val="24"/>
        </w:rPr>
        <w:t>“1.2. Evidence Retention</w:t>
      </w:r>
    </w:p>
    <w:p w14:paraId="5504B963" w14:textId="77777777" w:rsidR="0078521D" w:rsidRPr="007A16CD" w:rsidRDefault="0078521D" w:rsidP="00F00842">
      <w:pPr>
        <w:spacing w:after="0" w:line="240" w:lineRule="auto"/>
        <w:ind w:left="720"/>
        <w:rPr>
          <w:sz w:val="24"/>
          <w:szCs w:val="24"/>
        </w:rPr>
      </w:pPr>
    </w:p>
    <w:p w14:paraId="3148E7F4" w14:textId="77777777" w:rsidR="0078521D" w:rsidRPr="007A16CD" w:rsidRDefault="0078521D" w:rsidP="00F00842">
      <w:pPr>
        <w:spacing w:after="0" w:line="240" w:lineRule="auto"/>
        <w:ind w:left="720"/>
        <w:rPr>
          <w:sz w:val="24"/>
          <w:szCs w:val="24"/>
        </w:rPr>
      </w:pPr>
      <w:r w:rsidRPr="007A16CD">
        <w:rPr>
          <w:sz w:val="24"/>
          <w:szCs w:val="24"/>
        </w:rPr>
        <w:t>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time period since the last audit.</w:t>
      </w:r>
    </w:p>
    <w:p w14:paraId="54F73F13" w14:textId="77777777" w:rsidR="0078521D" w:rsidRPr="007A16CD" w:rsidRDefault="0078521D" w:rsidP="00F00842">
      <w:pPr>
        <w:spacing w:after="0" w:line="240" w:lineRule="auto"/>
        <w:ind w:left="720"/>
        <w:rPr>
          <w:sz w:val="24"/>
          <w:szCs w:val="24"/>
        </w:rPr>
      </w:pPr>
    </w:p>
    <w:p w14:paraId="2C3BA807" w14:textId="77777777" w:rsidR="0078521D" w:rsidRPr="007A16CD" w:rsidRDefault="0078521D" w:rsidP="00F00842">
      <w:pPr>
        <w:spacing w:after="0" w:line="240" w:lineRule="auto"/>
        <w:ind w:left="720"/>
        <w:rPr>
          <w:sz w:val="24"/>
          <w:szCs w:val="24"/>
        </w:rPr>
      </w:pPr>
      <w:r w:rsidRPr="007A16CD">
        <w:rPr>
          <w:sz w:val="24"/>
          <w:szCs w:val="24"/>
        </w:rPr>
        <w:t>The Transmission Owner, Generator Owner, and Distribution Provider shall each keep data or evidence to show compliance as identified below unless directed by its Compliance Enforcement Authority to retain specific evidence for a longer period of time as part of an investigation.</w:t>
      </w:r>
    </w:p>
    <w:p w14:paraId="07A9CC25" w14:textId="77777777" w:rsidR="0078521D" w:rsidRPr="007A16CD" w:rsidRDefault="0078521D" w:rsidP="00F00842">
      <w:pPr>
        <w:spacing w:after="0" w:line="240" w:lineRule="auto"/>
        <w:ind w:left="720"/>
        <w:rPr>
          <w:sz w:val="24"/>
          <w:szCs w:val="24"/>
        </w:rPr>
      </w:pPr>
    </w:p>
    <w:p w14:paraId="18095261" w14:textId="77777777" w:rsidR="0078521D" w:rsidRPr="007A16CD" w:rsidRDefault="0078521D" w:rsidP="00F00842">
      <w:pPr>
        <w:spacing w:after="0" w:line="240" w:lineRule="auto"/>
        <w:ind w:left="720"/>
        <w:rPr>
          <w:sz w:val="24"/>
          <w:szCs w:val="24"/>
        </w:rPr>
      </w:pPr>
      <w:r w:rsidRPr="007A16CD">
        <w:rPr>
          <w:sz w:val="24"/>
          <w:szCs w:val="24"/>
        </w:rPr>
        <w:t>For Requirement R1, the Transmission Owner, Generator Owner, and Distribution Provider shall each keep its current dated PSMP, as well as any superseded versions since the preceding compliance audit, including the documentation that specifies the type of maintenance program applied for each Protection System, Automatic Reclosing, or Sudden Pressure Relaying Component Type.</w:t>
      </w:r>
    </w:p>
    <w:p w14:paraId="38AA09C9" w14:textId="77777777" w:rsidR="0078521D" w:rsidRPr="007A16CD" w:rsidRDefault="0078521D" w:rsidP="00F00842">
      <w:pPr>
        <w:spacing w:after="0" w:line="240" w:lineRule="auto"/>
        <w:ind w:left="720"/>
        <w:rPr>
          <w:sz w:val="24"/>
          <w:szCs w:val="24"/>
        </w:rPr>
      </w:pPr>
    </w:p>
    <w:p w14:paraId="6E4646D9" w14:textId="77777777" w:rsidR="0078521D" w:rsidRPr="007A16CD" w:rsidRDefault="0078521D" w:rsidP="00F00842">
      <w:pPr>
        <w:spacing w:after="0" w:line="240" w:lineRule="auto"/>
        <w:ind w:left="720"/>
        <w:rPr>
          <w:sz w:val="24"/>
          <w:szCs w:val="24"/>
        </w:rPr>
      </w:pPr>
      <w:r w:rsidRPr="007A16CD">
        <w:rPr>
          <w:sz w:val="24"/>
          <w:szCs w:val="24"/>
        </w:rPr>
        <w:t>For Requirement R2, Requirement R3, and Requirement R4, in cases where the interval of the maintenance activity is longer than the audit cycle, the Transmission Owner, Generator Owner, and Distribution Provider shall each keep documentation of the most recent performance of that maintenance activity for the Protection System, Automatic Reclosing, or Sudden Pressure Relaying Component. In cases where the interval of the maintenance activity is shorter than the audit cycle, documentation of all performances (in accordance with the tables) of that maintenance activity for the Protection System, Automatic Reclosing, or Sudden Pressure Relaying Component since the previous scheduled audit date shall be retained.</w:t>
      </w:r>
    </w:p>
    <w:p w14:paraId="1918E314" w14:textId="77777777" w:rsidR="0078521D" w:rsidRPr="007A16CD" w:rsidRDefault="0078521D" w:rsidP="00F00842">
      <w:pPr>
        <w:spacing w:after="0" w:line="240" w:lineRule="auto"/>
        <w:ind w:left="720"/>
        <w:rPr>
          <w:sz w:val="24"/>
          <w:szCs w:val="24"/>
        </w:rPr>
      </w:pPr>
    </w:p>
    <w:p w14:paraId="6ACC2DA3" w14:textId="77777777" w:rsidR="0078521D" w:rsidRPr="007A16CD" w:rsidRDefault="0078521D" w:rsidP="00F00842">
      <w:pPr>
        <w:spacing w:after="0" w:line="240" w:lineRule="auto"/>
        <w:ind w:left="720"/>
        <w:rPr>
          <w:sz w:val="24"/>
          <w:szCs w:val="24"/>
        </w:rPr>
      </w:pPr>
      <w:r w:rsidRPr="007A16CD">
        <w:rPr>
          <w:sz w:val="24"/>
          <w:szCs w:val="24"/>
        </w:rPr>
        <w:t>For Requirement R5 the Transmission Owner, Generator Owner, and Distribution Provider shall each keep documentation of Unresolved Maintenance Issues identified by the entity since the last audit, including all that were resolved since the last audit.”</w:t>
      </w:r>
    </w:p>
    <w:p w14:paraId="1B837E08" w14:textId="77777777" w:rsidR="00CA0FA0" w:rsidRPr="00FC7A36" w:rsidRDefault="00CA0FA0" w:rsidP="00F00842">
      <w:pPr>
        <w:spacing w:after="0" w:line="240" w:lineRule="auto"/>
        <w:rPr>
          <w:sz w:val="24"/>
          <w:szCs w:val="24"/>
        </w:rPr>
      </w:pPr>
    </w:p>
    <w:p w14:paraId="035331E1" w14:textId="54CA2B0B" w:rsidR="00EB3E6F" w:rsidRPr="00FC7A36" w:rsidRDefault="00EB3E6F" w:rsidP="00F00842">
      <w:pPr>
        <w:pStyle w:val="FERCparanumber"/>
        <w:rPr>
          <w:sz w:val="24"/>
        </w:rPr>
      </w:pPr>
      <w:r w:rsidRPr="00FC7A36">
        <w:rPr>
          <w:sz w:val="24"/>
        </w:rPr>
        <w:t>DESCRIBE EFFORT</w:t>
      </w:r>
      <w:r w:rsidRPr="00FC7A36">
        <w:rPr>
          <w:bCs/>
          <w:sz w:val="24"/>
        </w:rPr>
        <w:t>S</w:t>
      </w:r>
      <w:r w:rsidRPr="00FC7A36">
        <w:rPr>
          <w:sz w:val="24"/>
        </w:rPr>
        <w:t xml:space="preserve"> TO CONSULT OUTSIDE THE AGENCY: SUMMARIZE PUBLIC COMMENTS AND THE AGENCY’S RESPONSE</w:t>
      </w:r>
    </w:p>
    <w:p w14:paraId="2258568B" w14:textId="77777777" w:rsidR="0078521D" w:rsidRPr="007A16CD" w:rsidRDefault="0078521D" w:rsidP="00F00842">
      <w:pPr>
        <w:spacing w:after="0" w:line="240" w:lineRule="auto"/>
        <w:rPr>
          <w:bCs/>
          <w:sz w:val="24"/>
          <w:szCs w:val="24"/>
        </w:rPr>
      </w:pPr>
      <w:r w:rsidRPr="007A16CD">
        <w:rPr>
          <w:bCs/>
          <w:sz w:val="24"/>
          <w:szCs w:val="24"/>
        </w:rPr>
        <w:t>The ERO process to establish Reliability Standards is a collaborative process with the ERO, Regional Entities and other stakeholders developing and reviewing drafts, and providing comments, voting, submitting the final draft to the Board for review/approval.  When/if the draft standard is approved, NERC submits the standard to the FERC for review.</w:t>
      </w:r>
      <w:r w:rsidRPr="007A16CD">
        <w:rPr>
          <w:b/>
          <w:bCs/>
          <w:sz w:val="24"/>
          <w:szCs w:val="24"/>
          <w:vertAlign w:val="superscript"/>
        </w:rPr>
        <w:footnoteReference w:id="10"/>
      </w:r>
      <w:r w:rsidRPr="007A16CD">
        <w:rPr>
          <w:bCs/>
          <w:sz w:val="24"/>
          <w:szCs w:val="24"/>
        </w:rPr>
        <w:t xml:space="preserve">  </w:t>
      </w:r>
    </w:p>
    <w:p w14:paraId="31FCE6A4" w14:textId="77777777" w:rsidR="0078521D" w:rsidRPr="007A16CD" w:rsidRDefault="0078521D" w:rsidP="00C512B3">
      <w:pPr>
        <w:spacing w:after="0" w:line="240" w:lineRule="auto"/>
        <w:rPr>
          <w:bCs/>
          <w:sz w:val="24"/>
          <w:szCs w:val="24"/>
        </w:rPr>
      </w:pPr>
    </w:p>
    <w:p w14:paraId="19C9D3C7" w14:textId="0CF67932" w:rsidR="0048116A" w:rsidRDefault="008155DC" w:rsidP="00F00842">
      <w:pPr>
        <w:spacing w:line="240" w:lineRule="auto"/>
        <w:rPr>
          <w:sz w:val="24"/>
          <w:szCs w:val="24"/>
        </w:rPr>
      </w:pPr>
      <w:r w:rsidRPr="00FC7A36">
        <w:rPr>
          <w:sz w:val="24"/>
          <w:szCs w:val="24"/>
        </w:rPr>
        <w:t>In accordance with OMB requirements, the Commission published a 60-day notice</w:t>
      </w:r>
      <w:r w:rsidRPr="00FC7A36">
        <w:rPr>
          <w:sz w:val="24"/>
          <w:szCs w:val="24"/>
          <w:vertAlign w:val="superscript"/>
        </w:rPr>
        <w:footnoteReference w:id="11"/>
      </w:r>
      <w:r w:rsidRPr="00FC7A36">
        <w:rPr>
          <w:sz w:val="24"/>
          <w:szCs w:val="24"/>
        </w:rPr>
        <w:t xml:space="preserve"> </w:t>
      </w:r>
      <w:r w:rsidR="00725A8A">
        <w:rPr>
          <w:sz w:val="24"/>
          <w:szCs w:val="24"/>
        </w:rPr>
        <w:t>in Docket N</w:t>
      </w:r>
      <w:r w:rsidR="00090C19">
        <w:rPr>
          <w:sz w:val="24"/>
          <w:szCs w:val="24"/>
        </w:rPr>
        <w:t>o</w:t>
      </w:r>
      <w:r w:rsidR="00725A8A">
        <w:rPr>
          <w:sz w:val="24"/>
          <w:szCs w:val="24"/>
        </w:rPr>
        <w:t xml:space="preserve">. IC19-23 </w:t>
      </w:r>
      <w:r w:rsidRPr="00FC7A36">
        <w:rPr>
          <w:sz w:val="24"/>
          <w:szCs w:val="24"/>
        </w:rPr>
        <w:t xml:space="preserve">on </w:t>
      </w:r>
      <w:r w:rsidR="0048116A">
        <w:rPr>
          <w:sz w:val="24"/>
          <w:szCs w:val="24"/>
        </w:rPr>
        <w:t>5/</w:t>
      </w:r>
      <w:r w:rsidR="009A74FD">
        <w:rPr>
          <w:sz w:val="24"/>
          <w:szCs w:val="24"/>
        </w:rPr>
        <w:t>31</w:t>
      </w:r>
      <w:r w:rsidRPr="00FC7A36">
        <w:rPr>
          <w:sz w:val="24"/>
          <w:szCs w:val="24"/>
        </w:rPr>
        <w:t>/201</w:t>
      </w:r>
      <w:r w:rsidR="001F776B" w:rsidRPr="00FC7A36">
        <w:rPr>
          <w:sz w:val="24"/>
          <w:szCs w:val="24"/>
        </w:rPr>
        <w:t>9</w:t>
      </w:r>
      <w:r w:rsidRPr="00FC7A36">
        <w:rPr>
          <w:sz w:val="24"/>
          <w:szCs w:val="24"/>
        </w:rPr>
        <w:t xml:space="preserve">. </w:t>
      </w:r>
      <w:r w:rsidR="00AB2B5C" w:rsidRPr="00FC7A36">
        <w:rPr>
          <w:sz w:val="24"/>
          <w:szCs w:val="24"/>
        </w:rPr>
        <w:t xml:space="preserve"> </w:t>
      </w:r>
      <w:r w:rsidR="0048116A">
        <w:rPr>
          <w:sz w:val="24"/>
          <w:szCs w:val="24"/>
        </w:rPr>
        <w:t>T</w:t>
      </w:r>
      <w:r w:rsidR="0048116A" w:rsidRPr="00FC7A36">
        <w:rPr>
          <w:sz w:val="24"/>
          <w:szCs w:val="24"/>
        </w:rPr>
        <w:t xml:space="preserve">he Commission noted that it would be requesting a three-year extension of the public reporting burden.  The Commission received no </w:t>
      </w:r>
      <w:r w:rsidR="0048116A">
        <w:rPr>
          <w:sz w:val="24"/>
          <w:szCs w:val="24"/>
        </w:rPr>
        <w:t>comments</w:t>
      </w:r>
      <w:r w:rsidR="0048116A" w:rsidRPr="00FC7A36">
        <w:rPr>
          <w:sz w:val="24"/>
          <w:szCs w:val="24"/>
        </w:rPr>
        <w:t>.</w:t>
      </w:r>
    </w:p>
    <w:p w14:paraId="035331E6" w14:textId="30C20156" w:rsidR="00EB3E6F" w:rsidRPr="00FC7A36" w:rsidRDefault="00AB2B5C" w:rsidP="00F00842">
      <w:pPr>
        <w:spacing w:line="240" w:lineRule="auto"/>
        <w:rPr>
          <w:sz w:val="24"/>
          <w:szCs w:val="24"/>
        </w:rPr>
      </w:pPr>
      <w:r w:rsidRPr="00FC7A36">
        <w:rPr>
          <w:sz w:val="24"/>
          <w:szCs w:val="24"/>
        </w:rPr>
        <w:t xml:space="preserve">Additionally, the Commission </w:t>
      </w:r>
      <w:r w:rsidR="009A74FD">
        <w:rPr>
          <w:sz w:val="24"/>
          <w:szCs w:val="24"/>
        </w:rPr>
        <w:t>publish</w:t>
      </w:r>
      <w:r w:rsidRPr="00FC7A36">
        <w:rPr>
          <w:sz w:val="24"/>
          <w:szCs w:val="24"/>
        </w:rPr>
        <w:t>ed a 30-day notice on 8/</w:t>
      </w:r>
      <w:r w:rsidR="009A74FD">
        <w:rPr>
          <w:sz w:val="24"/>
          <w:szCs w:val="24"/>
        </w:rPr>
        <w:t>22</w:t>
      </w:r>
      <w:r w:rsidRPr="00FC7A36">
        <w:rPr>
          <w:sz w:val="24"/>
          <w:szCs w:val="24"/>
        </w:rPr>
        <w:t>/2019</w:t>
      </w:r>
      <w:r w:rsidRPr="00FC7A36">
        <w:rPr>
          <w:rStyle w:val="FootnoteReference"/>
          <w:sz w:val="24"/>
          <w:szCs w:val="24"/>
        </w:rPr>
        <w:footnoteReference w:id="12"/>
      </w:r>
      <w:r w:rsidRPr="00FC7A36">
        <w:rPr>
          <w:sz w:val="24"/>
          <w:szCs w:val="24"/>
        </w:rPr>
        <w:t>.</w:t>
      </w:r>
      <w:r w:rsidR="008155DC" w:rsidRPr="00FC7A36">
        <w:rPr>
          <w:sz w:val="24"/>
          <w:szCs w:val="24"/>
        </w:rPr>
        <w:t xml:space="preserve"> </w:t>
      </w:r>
      <w:r w:rsidR="0048116A">
        <w:rPr>
          <w:sz w:val="24"/>
          <w:szCs w:val="24"/>
        </w:rPr>
        <w:t xml:space="preserve"> The Commission received no comments.</w:t>
      </w:r>
    </w:p>
    <w:p w14:paraId="035331E7" w14:textId="77777777" w:rsidR="00EB3E6F" w:rsidRPr="00FC7A36" w:rsidRDefault="00D80FBD" w:rsidP="00F00842">
      <w:pPr>
        <w:pStyle w:val="FERCparanumber"/>
        <w:rPr>
          <w:sz w:val="24"/>
        </w:rPr>
      </w:pPr>
      <w:r w:rsidRPr="00FC7A36">
        <w:rPr>
          <w:sz w:val="24"/>
        </w:rPr>
        <w:t>EXPLAIN ANY PAYMENT OR GIFTS TO RESPONDENTS</w:t>
      </w:r>
    </w:p>
    <w:p w14:paraId="035331E9" w14:textId="5956E8AF" w:rsidR="00251161" w:rsidRPr="00FC7A36" w:rsidRDefault="00251161" w:rsidP="00F00842">
      <w:pPr>
        <w:spacing w:line="240" w:lineRule="auto"/>
        <w:rPr>
          <w:sz w:val="24"/>
          <w:szCs w:val="24"/>
        </w:rPr>
      </w:pPr>
      <w:r w:rsidRPr="00FC7A36">
        <w:rPr>
          <w:sz w:val="24"/>
          <w:szCs w:val="24"/>
        </w:rPr>
        <w:t>The Commission does not make payments or provide gifts to respondents related to</w:t>
      </w:r>
      <w:r w:rsidR="006E0D79" w:rsidRPr="00FC7A36">
        <w:rPr>
          <w:sz w:val="24"/>
          <w:szCs w:val="24"/>
        </w:rPr>
        <w:t xml:space="preserve"> FERC</w:t>
      </w:r>
      <w:r w:rsidR="0078521D">
        <w:rPr>
          <w:sz w:val="24"/>
          <w:szCs w:val="24"/>
        </w:rPr>
        <w:t>-725P1</w:t>
      </w:r>
      <w:r w:rsidR="00C40F36" w:rsidRPr="00FC7A36">
        <w:rPr>
          <w:sz w:val="24"/>
          <w:szCs w:val="24"/>
        </w:rPr>
        <w:t>.</w:t>
      </w:r>
      <w:r w:rsidR="006E0D79" w:rsidRPr="00FC7A36">
        <w:rPr>
          <w:sz w:val="24"/>
          <w:szCs w:val="24"/>
        </w:rPr>
        <w:t xml:space="preserve"> </w:t>
      </w:r>
    </w:p>
    <w:p w14:paraId="035331EA" w14:textId="77777777" w:rsidR="00D80FBD" w:rsidRPr="00FC7A36" w:rsidRDefault="00D80FBD" w:rsidP="00F00842">
      <w:pPr>
        <w:pStyle w:val="FERCparanumber"/>
        <w:rPr>
          <w:sz w:val="24"/>
        </w:rPr>
      </w:pPr>
      <w:r w:rsidRPr="00FC7A36">
        <w:rPr>
          <w:sz w:val="24"/>
        </w:rPr>
        <w:t>DESCRIBE ANY ASSURANCE OF CONFIDENTIALITY PROVIDED TO RESPONDENTS</w:t>
      </w:r>
    </w:p>
    <w:p w14:paraId="5E2541C9" w14:textId="77777777" w:rsidR="0078521D" w:rsidRPr="007A16CD" w:rsidRDefault="0078521D" w:rsidP="00C512B3">
      <w:pPr>
        <w:spacing w:after="0" w:line="240" w:lineRule="auto"/>
        <w:rPr>
          <w:sz w:val="24"/>
          <w:szCs w:val="24"/>
        </w:rPr>
      </w:pPr>
      <w:r w:rsidRPr="007A16CD">
        <w:rPr>
          <w:sz w:val="24"/>
          <w:szCs w:val="24"/>
        </w:rPr>
        <w:t>According to the NERC Rule of Procedure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659AB70" w14:textId="77777777" w:rsidR="0078521D" w:rsidRPr="007A16CD" w:rsidRDefault="0078521D" w:rsidP="00F00842">
      <w:pPr>
        <w:spacing w:after="0" w:line="240" w:lineRule="auto"/>
        <w:rPr>
          <w:sz w:val="24"/>
          <w:szCs w:val="24"/>
        </w:rPr>
      </w:pPr>
    </w:p>
    <w:p w14:paraId="7A1EE2E8" w14:textId="5DF783D4" w:rsidR="00E758ED" w:rsidRPr="00FC7A36" w:rsidRDefault="0078521D" w:rsidP="00F00842">
      <w:pPr>
        <w:spacing w:after="0" w:line="240" w:lineRule="auto"/>
        <w:rPr>
          <w:sz w:val="24"/>
          <w:szCs w:val="24"/>
        </w:rPr>
      </w:pPr>
      <w:r w:rsidRPr="007A16CD">
        <w:rPr>
          <w:sz w:val="24"/>
          <w:szCs w:val="24"/>
        </w:rPr>
        <w:t>Responding entities do not submit the information collected under the approved Reliability Standards to FERC.  Rather, they maintain it internally and provide access to the Compliance Enforcement Authority (NERC or the Regional Entity).  Since there are no submissions made to FERC, FERC provides no specific provisions in order to protect confidentiality unless and until any such information is submitted to FERC as part of an enforcement action or other compliance review.</w:t>
      </w:r>
    </w:p>
    <w:p w14:paraId="1BEF2A7D" w14:textId="413EDC23" w:rsidR="00E758ED" w:rsidRPr="00FC7A36" w:rsidRDefault="00E758ED" w:rsidP="00F00842">
      <w:pPr>
        <w:spacing w:after="0" w:line="240" w:lineRule="auto"/>
        <w:rPr>
          <w:sz w:val="24"/>
          <w:szCs w:val="24"/>
          <w:vertAlign w:val="superscript"/>
        </w:rPr>
      </w:pPr>
    </w:p>
    <w:p w14:paraId="035331ED" w14:textId="413DC69E" w:rsidR="00263AAD" w:rsidRPr="00FC7A36" w:rsidRDefault="00263AAD" w:rsidP="00F00842">
      <w:pPr>
        <w:pStyle w:val="FERCparanumber"/>
        <w:rPr>
          <w:sz w:val="24"/>
        </w:rPr>
      </w:pPr>
      <w:r w:rsidRPr="00FC7A36">
        <w:rPr>
          <w:sz w:val="24"/>
        </w:rPr>
        <w:t>PROVIDE ADDITIONAL JUSTIFICATION FOR ANY QUESTIONS OF A SENSITIVE NATURE, SUCH AS SEXUAL BEHAVIOR AND ATTITUDES, RELIGIOUS BELIEFS, AND OTHER MATTERS THAT ARE COMMONLY CONSIDERED PRIVATE.</w:t>
      </w:r>
    </w:p>
    <w:p w14:paraId="035331EF" w14:textId="64ACD331" w:rsidR="006055FC" w:rsidRPr="00FC7A36" w:rsidRDefault="006055FC" w:rsidP="00F00842">
      <w:pPr>
        <w:spacing w:after="0" w:line="240" w:lineRule="auto"/>
        <w:rPr>
          <w:sz w:val="24"/>
          <w:szCs w:val="24"/>
        </w:rPr>
      </w:pPr>
      <w:r w:rsidRPr="00FC7A36">
        <w:rPr>
          <w:sz w:val="24"/>
          <w:szCs w:val="24"/>
        </w:rPr>
        <w:t>There are no questions of a sensitive nature that are considered private</w:t>
      </w:r>
      <w:r w:rsidR="00E9555B" w:rsidRPr="00FC7A36">
        <w:rPr>
          <w:sz w:val="24"/>
          <w:szCs w:val="24"/>
        </w:rPr>
        <w:t xml:space="preserve"> in FERC</w:t>
      </w:r>
      <w:r w:rsidR="001C7F2B" w:rsidRPr="00FC7A36">
        <w:rPr>
          <w:sz w:val="24"/>
          <w:szCs w:val="24"/>
        </w:rPr>
        <w:t>-</w:t>
      </w:r>
      <w:r w:rsidR="0078521D">
        <w:rPr>
          <w:sz w:val="24"/>
          <w:szCs w:val="24"/>
        </w:rPr>
        <w:t>725P1</w:t>
      </w:r>
      <w:r w:rsidR="00F02FEB" w:rsidRPr="00FC7A36">
        <w:rPr>
          <w:sz w:val="24"/>
          <w:szCs w:val="24"/>
        </w:rPr>
        <w:t>.</w:t>
      </w:r>
    </w:p>
    <w:p w14:paraId="035331F0" w14:textId="77777777" w:rsidR="005B09C3" w:rsidRPr="00FC7A36" w:rsidRDefault="005B09C3" w:rsidP="00F00842">
      <w:pPr>
        <w:spacing w:after="0" w:line="240" w:lineRule="auto"/>
        <w:rPr>
          <w:sz w:val="24"/>
          <w:szCs w:val="24"/>
        </w:rPr>
      </w:pPr>
    </w:p>
    <w:p w14:paraId="16BED3EF" w14:textId="77B090F6" w:rsidR="001C7F2B" w:rsidRDefault="00D80FBD" w:rsidP="00A86E52">
      <w:pPr>
        <w:pStyle w:val="FERCparanumber"/>
        <w:spacing w:after="0"/>
        <w:rPr>
          <w:sz w:val="24"/>
        </w:rPr>
      </w:pPr>
      <w:r w:rsidRPr="00FC7A36">
        <w:rPr>
          <w:sz w:val="24"/>
        </w:rPr>
        <w:t>ESTIMATED BURDEN OF COLLECTION OF INFORMATION</w:t>
      </w:r>
    </w:p>
    <w:p w14:paraId="4BB61DFC" w14:textId="77777777" w:rsidR="00FF18DF" w:rsidRDefault="00FF18DF" w:rsidP="00F00842">
      <w:pPr>
        <w:pStyle w:val="FERCparanumber"/>
        <w:numPr>
          <w:ilvl w:val="0"/>
          <w:numId w:val="0"/>
        </w:numPr>
        <w:spacing w:after="0"/>
        <w:ind w:left="720"/>
        <w:rPr>
          <w:sz w:val="24"/>
        </w:rPr>
      </w:pPr>
    </w:p>
    <w:p w14:paraId="13208F44" w14:textId="36D439C2" w:rsidR="00A86E52" w:rsidRPr="00F00842" w:rsidRDefault="00D038EC" w:rsidP="00D038EC">
      <w:pPr>
        <w:pStyle w:val="FERCparanumber"/>
        <w:numPr>
          <w:ilvl w:val="0"/>
          <w:numId w:val="0"/>
        </w:numPr>
        <w:spacing w:after="0"/>
        <w:ind w:left="90"/>
        <w:rPr>
          <w:b w:val="0"/>
          <w:sz w:val="24"/>
        </w:rPr>
      </w:pPr>
      <w:r w:rsidRPr="00D038EC">
        <w:rPr>
          <w:b w:val="0"/>
          <w:sz w:val="24"/>
        </w:rPr>
        <w:t xml:space="preserve">Our estimates of respondents are based on the NERC Compliance Registry, which indicates entities registered as planning coordinators (PC) and generator owner (GO), within the United States.  </w:t>
      </w:r>
      <w:r w:rsidR="00A86E52" w:rsidRPr="00F00842">
        <w:rPr>
          <w:b w:val="0"/>
          <w:sz w:val="24"/>
        </w:rPr>
        <w:t>The annual burden and cost are estimated below.</w:t>
      </w:r>
    </w:p>
    <w:p w14:paraId="5090E64B" w14:textId="77777777" w:rsidR="00A86E52" w:rsidRPr="00FC7A36" w:rsidRDefault="00A86E52" w:rsidP="00F00842">
      <w:pPr>
        <w:pStyle w:val="FERCparanumber"/>
        <w:numPr>
          <w:ilvl w:val="0"/>
          <w:numId w:val="0"/>
        </w:numPr>
        <w:spacing w:after="0"/>
        <w:ind w:left="720"/>
        <w:rPr>
          <w:sz w:val="24"/>
        </w:rPr>
      </w:pPr>
    </w:p>
    <w:tbl>
      <w:tblPr>
        <w:tblW w:w="542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532"/>
        <w:gridCol w:w="1532"/>
        <w:gridCol w:w="1443"/>
        <w:gridCol w:w="1871"/>
        <w:gridCol w:w="2214"/>
      </w:tblGrid>
      <w:tr w:rsidR="00172437" w:rsidRPr="00172437" w14:paraId="4F9A928C" w14:textId="77777777" w:rsidTr="007D2067">
        <w:trPr>
          <w:cantSplit/>
        </w:trPr>
        <w:tc>
          <w:tcPr>
            <w:tcW w:w="5000" w:type="pct"/>
            <w:gridSpan w:val="6"/>
            <w:tcBorders>
              <w:bottom w:val="single" w:sz="4" w:space="0" w:color="auto"/>
            </w:tcBorders>
            <w:shd w:val="clear" w:color="auto" w:fill="D9D9D9"/>
          </w:tcPr>
          <w:p w14:paraId="3F237DB6" w14:textId="238D08A9" w:rsidR="00172437" w:rsidRPr="00172437" w:rsidRDefault="00172437" w:rsidP="00C512B3">
            <w:pPr>
              <w:spacing w:after="0" w:line="240" w:lineRule="auto"/>
              <w:jc w:val="center"/>
              <w:rPr>
                <w:rFonts w:eastAsia="Calibri"/>
                <w:b/>
                <w:sz w:val="20"/>
                <w:szCs w:val="20"/>
              </w:rPr>
            </w:pPr>
            <w:r w:rsidRPr="00172437">
              <w:rPr>
                <w:rFonts w:eastAsia="Calibri"/>
                <w:b/>
                <w:sz w:val="20"/>
                <w:szCs w:val="20"/>
              </w:rPr>
              <w:t>FERC-725</w:t>
            </w:r>
            <w:r>
              <w:rPr>
                <w:rFonts w:eastAsia="Calibri"/>
                <w:b/>
                <w:sz w:val="20"/>
                <w:szCs w:val="20"/>
              </w:rPr>
              <w:t>P1</w:t>
            </w:r>
            <w:r w:rsidRPr="00172437">
              <w:rPr>
                <w:rFonts w:eastAsia="Calibri"/>
                <w:b/>
                <w:sz w:val="20"/>
                <w:szCs w:val="20"/>
                <w:vertAlign w:val="superscript"/>
              </w:rPr>
              <w:footnoteReference w:id="13"/>
            </w:r>
          </w:p>
        </w:tc>
      </w:tr>
      <w:tr w:rsidR="00172437" w:rsidRPr="00172437" w14:paraId="01193E56" w14:textId="77777777" w:rsidTr="007D2067">
        <w:trPr>
          <w:cantSplit/>
        </w:trPr>
        <w:tc>
          <w:tcPr>
            <w:tcW w:w="867" w:type="pct"/>
            <w:shd w:val="clear" w:color="auto" w:fill="D9D9D9"/>
          </w:tcPr>
          <w:p w14:paraId="77F4E01E" w14:textId="77777777" w:rsidR="00172437" w:rsidRPr="00172437" w:rsidRDefault="00172437" w:rsidP="00C512B3">
            <w:pPr>
              <w:spacing w:after="0" w:line="240" w:lineRule="auto"/>
              <w:jc w:val="center"/>
              <w:rPr>
                <w:rFonts w:eastAsia="Calibri"/>
                <w:b/>
                <w:sz w:val="20"/>
                <w:szCs w:val="20"/>
              </w:rPr>
            </w:pPr>
          </w:p>
        </w:tc>
        <w:tc>
          <w:tcPr>
            <w:tcW w:w="737" w:type="pct"/>
            <w:shd w:val="clear" w:color="auto" w:fill="D9D9D9"/>
            <w:vAlign w:val="bottom"/>
          </w:tcPr>
          <w:p w14:paraId="0846E83F" w14:textId="77777777" w:rsidR="00172437" w:rsidRPr="00172437" w:rsidRDefault="00172437" w:rsidP="005B56AF">
            <w:pPr>
              <w:spacing w:after="0" w:line="240" w:lineRule="auto"/>
              <w:jc w:val="center"/>
              <w:rPr>
                <w:rFonts w:eastAsia="Calibri"/>
                <w:b/>
                <w:sz w:val="20"/>
                <w:szCs w:val="20"/>
              </w:rPr>
            </w:pPr>
            <w:r w:rsidRPr="00172437">
              <w:rPr>
                <w:rFonts w:eastAsia="Calibri"/>
                <w:b/>
                <w:sz w:val="20"/>
                <w:szCs w:val="20"/>
              </w:rPr>
              <w:t>Number of Respondents</w:t>
            </w:r>
            <w:r w:rsidRPr="00172437">
              <w:rPr>
                <w:rFonts w:eastAsia="Calibri"/>
                <w:b/>
                <w:sz w:val="20"/>
                <w:szCs w:val="20"/>
              </w:rPr>
              <w:br/>
              <w:t>(1)</w:t>
            </w:r>
          </w:p>
        </w:tc>
        <w:tc>
          <w:tcPr>
            <w:tcW w:w="737" w:type="pct"/>
            <w:shd w:val="clear" w:color="auto" w:fill="D9D9D9"/>
            <w:vAlign w:val="bottom"/>
          </w:tcPr>
          <w:p w14:paraId="23486A6B" w14:textId="77777777" w:rsidR="00172437" w:rsidRPr="00172437" w:rsidRDefault="00172437" w:rsidP="00F00842">
            <w:pPr>
              <w:spacing w:after="0" w:line="240" w:lineRule="auto"/>
              <w:jc w:val="center"/>
              <w:rPr>
                <w:rFonts w:eastAsia="Calibri"/>
                <w:b/>
                <w:sz w:val="20"/>
                <w:szCs w:val="20"/>
              </w:rPr>
            </w:pPr>
            <w:r w:rsidRPr="00172437">
              <w:rPr>
                <w:rFonts w:eastAsia="Calibri"/>
                <w:b/>
                <w:sz w:val="20"/>
                <w:szCs w:val="20"/>
              </w:rPr>
              <w:t>Annual Number of Responses per Respondent</w:t>
            </w:r>
          </w:p>
          <w:p w14:paraId="2C2740D2" w14:textId="77777777" w:rsidR="00172437" w:rsidRPr="00172437" w:rsidRDefault="00172437" w:rsidP="00F00842">
            <w:pPr>
              <w:spacing w:after="0" w:line="240" w:lineRule="auto"/>
              <w:jc w:val="center"/>
              <w:rPr>
                <w:rFonts w:eastAsia="Calibri"/>
                <w:b/>
                <w:sz w:val="20"/>
                <w:szCs w:val="20"/>
              </w:rPr>
            </w:pPr>
            <w:r w:rsidRPr="00172437">
              <w:rPr>
                <w:rFonts w:eastAsia="Calibri"/>
                <w:b/>
                <w:sz w:val="20"/>
                <w:szCs w:val="20"/>
              </w:rPr>
              <w:t>(2)</w:t>
            </w:r>
          </w:p>
        </w:tc>
        <w:tc>
          <w:tcPr>
            <w:tcW w:w="694" w:type="pct"/>
            <w:shd w:val="clear" w:color="auto" w:fill="D9D9D9"/>
            <w:vAlign w:val="bottom"/>
          </w:tcPr>
          <w:p w14:paraId="78EE89BC" w14:textId="77777777" w:rsidR="00172437" w:rsidRPr="00172437" w:rsidRDefault="00172437" w:rsidP="00F00842">
            <w:pPr>
              <w:spacing w:after="0" w:line="240" w:lineRule="auto"/>
              <w:jc w:val="center"/>
              <w:rPr>
                <w:rFonts w:eastAsia="Calibri"/>
                <w:b/>
                <w:sz w:val="20"/>
                <w:szCs w:val="20"/>
              </w:rPr>
            </w:pPr>
            <w:r w:rsidRPr="00172437">
              <w:rPr>
                <w:rFonts w:eastAsia="Calibri"/>
                <w:b/>
                <w:sz w:val="20"/>
                <w:szCs w:val="20"/>
              </w:rPr>
              <w:t>Total Number of Responses (1)*(2)=(3)</w:t>
            </w:r>
          </w:p>
        </w:tc>
        <w:tc>
          <w:tcPr>
            <w:tcW w:w="900" w:type="pct"/>
            <w:shd w:val="clear" w:color="auto" w:fill="D9D9D9"/>
            <w:vAlign w:val="bottom"/>
          </w:tcPr>
          <w:p w14:paraId="7226DC24" w14:textId="77777777" w:rsidR="00172437" w:rsidRPr="00172437" w:rsidRDefault="00172437" w:rsidP="00F00842">
            <w:pPr>
              <w:spacing w:after="0" w:line="240" w:lineRule="auto"/>
              <w:jc w:val="center"/>
              <w:rPr>
                <w:rFonts w:eastAsia="Calibri"/>
                <w:b/>
                <w:sz w:val="20"/>
                <w:szCs w:val="20"/>
              </w:rPr>
            </w:pPr>
            <w:r w:rsidRPr="00172437">
              <w:rPr>
                <w:rFonts w:eastAsia="Calibri"/>
                <w:b/>
                <w:sz w:val="20"/>
                <w:szCs w:val="20"/>
              </w:rPr>
              <w:t>Average Burden Hrs. &amp; Cost Per Response</w:t>
            </w:r>
            <w:r w:rsidRPr="00172437">
              <w:rPr>
                <w:rFonts w:eastAsia="Calibri"/>
                <w:b/>
                <w:sz w:val="20"/>
                <w:szCs w:val="20"/>
                <w:vertAlign w:val="superscript"/>
              </w:rPr>
              <w:footnoteReference w:id="14"/>
            </w:r>
          </w:p>
          <w:p w14:paraId="57D8522E" w14:textId="77777777" w:rsidR="00172437" w:rsidRPr="00172437" w:rsidRDefault="00172437" w:rsidP="00F00842">
            <w:pPr>
              <w:spacing w:after="0" w:line="240" w:lineRule="auto"/>
              <w:jc w:val="center"/>
              <w:rPr>
                <w:rFonts w:eastAsia="Calibri"/>
                <w:b/>
                <w:sz w:val="20"/>
                <w:szCs w:val="20"/>
              </w:rPr>
            </w:pPr>
            <w:r w:rsidRPr="00172437">
              <w:rPr>
                <w:rFonts w:eastAsia="Calibri"/>
                <w:b/>
                <w:sz w:val="20"/>
                <w:szCs w:val="20"/>
              </w:rPr>
              <w:t>(4)</w:t>
            </w:r>
          </w:p>
        </w:tc>
        <w:tc>
          <w:tcPr>
            <w:tcW w:w="1065" w:type="pct"/>
            <w:shd w:val="clear" w:color="auto" w:fill="D9D9D9"/>
            <w:vAlign w:val="bottom"/>
          </w:tcPr>
          <w:p w14:paraId="20D5875A" w14:textId="77777777" w:rsidR="00172437" w:rsidRPr="00172437" w:rsidRDefault="00172437" w:rsidP="00F00842">
            <w:pPr>
              <w:spacing w:after="0" w:line="240" w:lineRule="auto"/>
              <w:jc w:val="center"/>
              <w:rPr>
                <w:rFonts w:eastAsia="Calibri"/>
                <w:b/>
                <w:sz w:val="20"/>
                <w:szCs w:val="20"/>
              </w:rPr>
            </w:pPr>
            <w:r w:rsidRPr="00172437">
              <w:rPr>
                <w:rFonts w:eastAsia="Calibri"/>
                <w:b/>
                <w:sz w:val="20"/>
                <w:szCs w:val="20"/>
              </w:rPr>
              <w:t>Total Annual Burden Hours &amp; Total Annual Cost</w:t>
            </w:r>
            <w:r w:rsidRPr="00172437">
              <w:rPr>
                <w:rFonts w:eastAsia="Calibri"/>
                <w:b/>
                <w:sz w:val="20"/>
                <w:szCs w:val="20"/>
                <w:vertAlign w:val="superscript"/>
              </w:rPr>
              <w:footnoteReference w:id="15"/>
            </w:r>
          </w:p>
          <w:p w14:paraId="3AB65CF7" w14:textId="77777777" w:rsidR="00172437" w:rsidRPr="00172437" w:rsidRDefault="00172437" w:rsidP="00F00842">
            <w:pPr>
              <w:spacing w:after="0" w:line="240" w:lineRule="auto"/>
              <w:jc w:val="center"/>
              <w:rPr>
                <w:rFonts w:eastAsia="Calibri"/>
                <w:b/>
                <w:sz w:val="20"/>
                <w:szCs w:val="20"/>
              </w:rPr>
            </w:pPr>
            <w:r w:rsidRPr="00172437">
              <w:rPr>
                <w:rFonts w:eastAsia="Calibri"/>
                <w:b/>
                <w:sz w:val="20"/>
                <w:szCs w:val="20"/>
              </w:rPr>
              <w:t>(3)*(4)=(5)</w:t>
            </w:r>
          </w:p>
        </w:tc>
      </w:tr>
      <w:tr w:rsidR="00172437" w:rsidRPr="00172437" w14:paraId="72FA54E4" w14:textId="77777777" w:rsidTr="007D2067">
        <w:trPr>
          <w:cantSplit/>
        </w:trPr>
        <w:tc>
          <w:tcPr>
            <w:tcW w:w="867" w:type="pct"/>
          </w:tcPr>
          <w:p w14:paraId="40790B1C" w14:textId="77777777" w:rsidR="00172437" w:rsidRPr="00172437" w:rsidRDefault="00172437" w:rsidP="00C512B3">
            <w:pPr>
              <w:spacing w:after="0" w:line="240" w:lineRule="auto"/>
              <w:rPr>
                <w:rFonts w:eastAsia="Calibri"/>
                <w:sz w:val="20"/>
                <w:szCs w:val="20"/>
              </w:rPr>
            </w:pPr>
            <w:r w:rsidRPr="00172437">
              <w:rPr>
                <w:rFonts w:eastAsia="Calibri"/>
                <w:sz w:val="20"/>
                <w:szCs w:val="20"/>
              </w:rPr>
              <w:t>PRC-005-6 Reliability Standard</w:t>
            </w:r>
          </w:p>
        </w:tc>
        <w:tc>
          <w:tcPr>
            <w:tcW w:w="737" w:type="pct"/>
          </w:tcPr>
          <w:p w14:paraId="7EAC0EE8" w14:textId="3B1E45A9" w:rsidR="00172437" w:rsidRPr="00172437" w:rsidRDefault="00172437" w:rsidP="005B56AF">
            <w:pPr>
              <w:spacing w:after="0" w:line="240" w:lineRule="auto"/>
              <w:jc w:val="right"/>
              <w:rPr>
                <w:rFonts w:eastAsia="Calibri"/>
                <w:sz w:val="20"/>
                <w:szCs w:val="20"/>
              </w:rPr>
            </w:pPr>
            <w:r w:rsidRPr="00172437">
              <w:rPr>
                <w:rFonts w:eastAsia="Calibri"/>
                <w:sz w:val="20"/>
                <w:szCs w:val="20"/>
              </w:rPr>
              <w:t>996</w:t>
            </w:r>
            <w:r w:rsidRPr="00172437">
              <w:rPr>
                <w:rFonts w:eastAsia="Calibri"/>
                <w:b/>
                <w:sz w:val="20"/>
                <w:szCs w:val="20"/>
                <w:vertAlign w:val="superscript"/>
              </w:rPr>
              <w:footnoteReference w:id="16"/>
            </w:r>
          </w:p>
        </w:tc>
        <w:tc>
          <w:tcPr>
            <w:tcW w:w="737" w:type="pct"/>
          </w:tcPr>
          <w:p w14:paraId="29C4C881" w14:textId="77777777" w:rsidR="00172437" w:rsidRPr="00172437" w:rsidRDefault="00172437" w:rsidP="00F00842">
            <w:pPr>
              <w:spacing w:after="0" w:line="240" w:lineRule="auto"/>
              <w:jc w:val="right"/>
              <w:rPr>
                <w:rFonts w:eastAsia="Calibri"/>
                <w:sz w:val="20"/>
                <w:szCs w:val="20"/>
              </w:rPr>
            </w:pPr>
            <w:r w:rsidRPr="00172437">
              <w:rPr>
                <w:rFonts w:eastAsia="Calibri"/>
                <w:sz w:val="20"/>
                <w:szCs w:val="20"/>
              </w:rPr>
              <w:t>1</w:t>
            </w:r>
          </w:p>
        </w:tc>
        <w:tc>
          <w:tcPr>
            <w:tcW w:w="694" w:type="pct"/>
          </w:tcPr>
          <w:p w14:paraId="7D4CB7D4" w14:textId="6E702F01" w:rsidR="00172437" w:rsidRPr="00172437" w:rsidRDefault="00172437" w:rsidP="00F00842">
            <w:pPr>
              <w:spacing w:after="0" w:line="240" w:lineRule="auto"/>
              <w:jc w:val="right"/>
              <w:rPr>
                <w:rFonts w:eastAsia="Calibri"/>
                <w:sz w:val="20"/>
                <w:szCs w:val="20"/>
              </w:rPr>
            </w:pPr>
            <w:r w:rsidRPr="00172437">
              <w:rPr>
                <w:rFonts w:eastAsia="Calibri"/>
                <w:sz w:val="20"/>
                <w:szCs w:val="20"/>
              </w:rPr>
              <w:t>996</w:t>
            </w:r>
          </w:p>
        </w:tc>
        <w:tc>
          <w:tcPr>
            <w:tcW w:w="900" w:type="pct"/>
          </w:tcPr>
          <w:p w14:paraId="03353E59" w14:textId="77777777" w:rsidR="00172437" w:rsidRPr="00172437" w:rsidRDefault="00172437" w:rsidP="00F00842">
            <w:pPr>
              <w:spacing w:after="0" w:line="240" w:lineRule="auto"/>
              <w:jc w:val="right"/>
              <w:rPr>
                <w:rFonts w:eastAsia="Calibri"/>
                <w:sz w:val="20"/>
                <w:szCs w:val="20"/>
              </w:rPr>
            </w:pPr>
            <w:r w:rsidRPr="00172437">
              <w:rPr>
                <w:rFonts w:eastAsia="Calibri"/>
                <w:sz w:val="20"/>
                <w:szCs w:val="20"/>
              </w:rPr>
              <w:t>2 hrs.;</w:t>
            </w:r>
          </w:p>
          <w:p w14:paraId="2CA59966" w14:textId="77777777" w:rsidR="00172437" w:rsidRPr="00172437" w:rsidRDefault="00172437" w:rsidP="00F00842">
            <w:pPr>
              <w:spacing w:after="0" w:line="240" w:lineRule="auto"/>
              <w:jc w:val="right"/>
              <w:rPr>
                <w:rFonts w:eastAsia="Calibri"/>
                <w:sz w:val="20"/>
                <w:szCs w:val="20"/>
              </w:rPr>
            </w:pPr>
            <w:r w:rsidRPr="00172437">
              <w:rPr>
                <w:rFonts w:eastAsia="Calibri"/>
                <w:sz w:val="20"/>
                <w:szCs w:val="20"/>
              </w:rPr>
              <w:t>$133.80</w:t>
            </w:r>
          </w:p>
        </w:tc>
        <w:tc>
          <w:tcPr>
            <w:tcW w:w="1065" w:type="pct"/>
          </w:tcPr>
          <w:p w14:paraId="67FAB951" w14:textId="60C834B2" w:rsidR="00172437" w:rsidRPr="00172437" w:rsidRDefault="00172437" w:rsidP="00F00842">
            <w:pPr>
              <w:spacing w:after="0" w:line="240" w:lineRule="auto"/>
              <w:jc w:val="right"/>
              <w:rPr>
                <w:rFonts w:eastAsia="Calibri"/>
                <w:sz w:val="20"/>
                <w:szCs w:val="20"/>
              </w:rPr>
            </w:pPr>
            <w:r w:rsidRPr="00172437">
              <w:rPr>
                <w:rFonts w:eastAsia="Calibri"/>
                <w:sz w:val="20"/>
                <w:szCs w:val="20"/>
              </w:rPr>
              <w:t>1,992 hrs.;</w:t>
            </w:r>
          </w:p>
          <w:p w14:paraId="18A45269" w14:textId="6BBF1A2E" w:rsidR="00172437" w:rsidRPr="00172437" w:rsidRDefault="00172437" w:rsidP="00AD78F3">
            <w:pPr>
              <w:spacing w:after="0" w:line="240" w:lineRule="auto"/>
              <w:jc w:val="right"/>
              <w:rPr>
                <w:rFonts w:eastAsia="Calibri"/>
                <w:sz w:val="20"/>
                <w:szCs w:val="20"/>
              </w:rPr>
            </w:pPr>
            <w:r w:rsidRPr="00172437">
              <w:rPr>
                <w:rFonts w:eastAsia="Calibri"/>
                <w:sz w:val="20"/>
                <w:szCs w:val="20"/>
              </w:rPr>
              <w:t>$133,265</w:t>
            </w:r>
            <w:r w:rsidRPr="00172437">
              <w:rPr>
                <w:rFonts w:eastAsia="Calibri"/>
                <w:b/>
                <w:sz w:val="20"/>
                <w:szCs w:val="20"/>
                <w:vertAlign w:val="superscript"/>
              </w:rPr>
              <w:footnoteReference w:id="17"/>
            </w:r>
          </w:p>
        </w:tc>
      </w:tr>
    </w:tbl>
    <w:p w14:paraId="5DC20E6A" w14:textId="5DB3583B" w:rsidR="001C7F2B" w:rsidRPr="00FC7A36" w:rsidRDefault="001C7F2B" w:rsidP="00F00842">
      <w:pPr>
        <w:spacing w:after="0" w:line="240" w:lineRule="auto"/>
        <w:rPr>
          <w:sz w:val="24"/>
          <w:szCs w:val="24"/>
        </w:rPr>
      </w:pPr>
    </w:p>
    <w:p w14:paraId="03533207" w14:textId="77777777" w:rsidR="00D80FBD" w:rsidRPr="00FC7A36" w:rsidRDefault="00E636D7" w:rsidP="00F00842">
      <w:pPr>
        <w:pStyle w:val="FERCparanumber"/>
        <w:rPr>
          <w:sz w:val="24"/>
        </w:rPr>
      </w:pPr>
      <w:r w:rsidRPr="00FC7A36">
        <w:rPr>
          <w:sz w:val="24"/>
        </w:rPr>
        <w:t>ESTIMATE OF THE TOTAL ANNUAL COST BURDEN TO RESPONDENTS</w:t>
      </w:r>
    </w:p>
    <w:p w14:paraId="7199B207" w14:textId="08420D59" w:rsidR="00172437" w:rsidRPr="00172437" w:rsidRDefault="00172437" w:rsidP="00C512B3">
      <w:pPr>
        <w:spacing w:after="0" w:line="240" w:lineRule="auto"/>
        <w:rPr>
          <w:rFonts w:eastAsia="Calibri"/>
          <w:szCs w:val="26"/>
        </w:rPr>
      </w:pPr>
      <w:r w:rsidRPr="00172437">
        <w:rPr>
          <w:rFonts w:eastAsia="Calibri"/>
          <w:szCs w:val="26"/>
        </w:rPr>
        <w:t xml:space="preserve">The costs related to </w:t>
      </w:r>
      <w:r>
        <w:rPr>
          <w:rFonts w:eastAsia="Calibri"/>
          <w:szCs w:val="26"/>
        </w:rPr>
        <w:t>the FERC-725P1</w:t>
      </w:r>
      <w:r w:rsidRPr="00172437">
        <w:rPr>
          <w:rFonts w:eastAsia="Calibri"/>
          <w:szCs w:val="26"/>
        </w:rPr>
        <w:t xml:space="preserve"> are associated with burden hours (labor) and described in #12 and #15.</w:t>
      </w:r>
    </w:p>
    <w:p w14:paraId="7F779164" w14:textId="77777777" w:rsidR="00172437" w:rsidRPr="00FC7A36" w:rsidRDefault="00172437" w:rsidP="00F00842">
      <w:pPr>
        <w:spacing w:after="0" w:line="240" w:lineRule="auto"/>
        <w:rPr>
          <w:sz w:val="24"/>
          <w:szCs w:val="24"/>
        </w:rPr>
      </w:pPr>
    </w:p>
    <w:p w14:paraId="0353320B" w14:textId="77777777" w:rsidR="00380519" w:rsidRPr="00FC7A36" w:rsidRDefault="00A276F5" w:rsidP="00F00842">
      <w:pPr>
        <w:pStyle w:val="FERCparanumber"/>
        <w:spacing w:after="0"/>
        <w:rPr>
          <w:sz w:val="24"/>
        </w:rPr>
      </w:pPr>
      <w:r w:rsidRPr="00FC7A36">
        <w:rPr>
          <w:sz w:val="24"/>
        </w:rPr>
        <w:t>ESTIMATED ANNUALIZED COST TO FEDERAL GOVERNMENT</w:t>
      </w:r>
      <w:r w:rsidR="00764BC0" w:rsidRPr="00FC7A36">
        <w:rPr>
          <w:sz w:val="24"/>
        </w:rPr>
        <w:t xml:space="preserve"> </w:t>
      </w:r>
    </w:p>
    <w:p w14:paraId="66A064D0" w14:textId="77777777" w:rsidR="00C512B3" w:rsidRDefault="00C512B3" w:rsidP="00C512B3">
      <w:pPr>
        <w:spacing w:after="0" w:line="240" w:lineRule="auto"/>
        <w:rPr>
          <w:szCs w:val="26"/>
        </w:rPr>
      </w:pPr>
    </w:p>
    <w:p w14:paraId="5653645C" w14:textId="69B52D86" w:rsidR="00172437" w:rsidRDefault="00172437" w:rsidP="00F00842">
      <w:pPr>
        <w:spacing w:after="0" w:line="240" w:lineRule="auto"/>
        <w:rPr>
          <w:szCs w:val="26"/>
        </w:rPr>
      </w:pPr>
      <w:r>
        <w:rPr>
          <w:szCs w:val="26"/>
        </w:rPr>
        <w:t xml:space="preserve">The Regional Entities and NERC do most of the data processing, monitoring, auditing, and compliance work for Reliability Standards.  Any involvement by the Commission is covered under the FERC-725 (OMB Control No. 1902-0255) and is not part of this request or package.  The data for FERC-725P1 are not submitted to FERC.  </w:t>
      </w:r>
    </w:p>
    <w:p w14:paraId="583DEEA5" w14:textId="77777777" w:rsidR="00172437" w:rsidRDefault="00172437" w:rsidP="00F00842">
      <w:pPr>
        <w:spacing w:after="0" w:line="240" w:lineRule="auto"/>
        <w:rPr>
          <w:szCs w:val="26"/>
        </w:rPr>
      </w:pPr>
    </w:p>
    <w:p w14:paraId="5AF905E2" w14:textId="77777777" w:rsidR="00172437" w:rsidRDefault="00172437" w:rsidP="00F00842">
      <w:pPr>
        <w:spacing w:after="0" w:line="240" w:lineRule="auto"/>
        <w:rPr>
          <w:szCs w:val="26"/>
        </w:rPr>
      </w:pPr>
      <w:r>
        <w:rPr>
          <w:szCs w:val="26"/>
        </w:rPr>
        <w:t xml:space="preserve">The Commission does incur the costs associated with obtaining OMB clearance for the collection under the Paperwork Reduction Act of 1995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w:t>
      </w:r>
    </w:p>
    <w:p w14:paraId="1E63960E" w14:textId="77777777" w:rsidR="00172437" w:rsidRDefault="00172437" w:rsidP="00C512B3">
      <w:pPr>
        <w:spacing w:after="0" w:line="240" w:lineRule="auto"/>
        <w:rPr>
          <w:szCs w:val="26"/>
        </w:rPr>
      </w:pPr>
    </w:p>
    <w:tbl>
      <w:tblPr>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72437" w14:paraId="32434C1A" w14:textId="77777777" w:rsidTr="007D2067">
        <w:trPr>
          <w:jc w:val="right"/>
        </w:trPr>
        <w:tc>
          <w:tcPr>
            <w:tcW w:w="3182"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6D806097" w14:textId="77777777" w:rsidR="00172437" w:rsidRDefault="00172437" w:rsidP="005B56AF">
            <w:pPr>
              <w:spacing w:after="0" w:line="240" w:lineRule="auto"/>
              <w:jc w:val="center"/>
              <w:rPr>
                <w:b/>
                <w:szCs w:val="26"/>
              </w:rPr>
            </w:pPr>
            <w:r>
              <w:rPr>
                <w:b/>
                <w:szCs w:val="26"/>
              </w:rPr>
              <w:t>FERC-725P1</w:t>
            </w:r>
          </w:p>
        </w:tc>
        <w:tc>
          <w:tcPr>
            <w:tcW w:w="3201"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710661F6" w14:textId="1FF5824C" w:rsidR="00172437" w:rsidRDefault="00827C18" w:rsidP="00F00842">
            <w:pPr>
              <w:spacing w:after="0" w:line="240" w:lineRule="auto"/>
              <w:jc w:val="center"/>
              <w:rPr>
                <w:b/>
                <w:szCs w:val="26"/>
              </w:rPr>
            </w:pPr>
            <w:r>
              <w:rPr>
                <w:b/>
                <w:szCs w:val="26"/>
              </w:rPr>
              <w:t xml:space="preserve"> </w:t>
            </w:r>
            <w:r w:rsidR="00172437">
              <w:rPr>
                <w:b/>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1CE903CB" w14:textId="77777777" w:rsidR="00172437" w:rsidRDefault="00172437" w:rsidP="00F00842">
            <w:pPr>
              <w:spacing w:after="0" w:line="240" w:lineRule="auto"/>
              <w:jc w:val="center"/>
              <w:rPr>
                <w:b/>
                <w:szCs w:val="26"/>
              </w:rPr>
            </w:pPr>
            <w:r>
              <w:rPr>
                <w:b/>
                <w:szCs w:val="26"/>
              </w:rPr>
              <w:t>Estimated Annual Federal Cost</w:t>
            </w:r>
          </w:p>
        </w:tc>
      </w:tr>
      <w:tr w:rsidR="00172437" w14:paraId="7F1A29FA" w14:textId="77777777" w:rsidTr="007D2067">
        <w:trPr>
          <w:jc w:val="right"/>
        </w:trPr>
        <w:tc>
          <w:tcPr>
            <w:tcW w:w="3182" w:type="dxa"/>
            <w:tcBorders>
              <w:top w:val="single" w:sz="4" w:space="0" w:color="auto"/>
              <w:left w:val="single" w:sz="4" w:space="0" w:color="auto"/>
              <w:bottom w:val="single" w:sz="4" w:space="0" w:color="auto"/>
              <w:right w:val="single" w:sz="4" w:space="0" w:color="auto"/>
            </w:tcBorders>
            <w:hideMark/>
          </w:tcPr>
          <w:p w14:paraId="5ACB549D" w14:textId="77777777" w:rsidR="00172437" w:rsidRDefault="00172437" w:rsidP="00C512B3">
            <w:pPr>
              <w:spacing w:after="0" w:line="240" w:lineRule="auto"/>
              <w:rPr>
                <w:szCs w:val="26"/>
              </w:rPr>
            </w:pPr>
            <w:r>
              <w:rPr>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4579FCB4" w14:textId="77777777" w:rsidR="00172437" w:rsidRDefault="00172437" w:rsidP="005B56AF">
            <w:pPr>
              <w:spacing w:after="0" w:line="240" w:lineRule="auto"/>
              <w:jc w:val="right"/>
              <w:rPr>
                <w:szCs w:val="26"/>
              </w:rPr>
            </w:pPr>
            <w:r>
              <w:rPr>
                <w:szCs w:val="26"/>
              </w:rPr>
              <w:t>0.0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73E04DEB" w14:textId="77777777" w:rsidR="00172437" w:rsidRDefault="00172437" w:rsidP="00F00842">
            <w:pPr>
              <w:spacing w:after="0" w:line="240" w:lineRule="auto"/>
              <w:jc w:val="right"/>
              <w:rPr>
                <w:szCs w:val="26"/>
              </w:rPr>
            </w:pPr>
            <w:r>
              <w:rPr>
                <w:szCs w:val="26"/>
              </w:rPr>
              <w:t>$0</w:t>
            </w:r>
          </w:p>
        </w:tc>
      </w:tr>
      <w:tr w:rsidR="00172437" w14:paraId="3C69CD55" w14:textId="77777777" w:rsidTr="007D2067">
        <w:trPr>
          <w:jc w:val="right"/>
        </w:trPr>
        <w:tc>
          <w:tcPr>
            <w:tcW w:w="3182" w:type="dxa"/>
            <w:tcBorders>
              <w:top w:val="single" w:sz="4" w:space="0" w:color="auto"/>
              <w:left w:val="single" w:sz="4" w:space="0" w:color="auto"/>
              <w:bottom w:val="single" w:sz="4" w:space="0" w:color="auto"/>
              <w:right w:val="single" w:sz="4" w:space="0" w:color="auto"/>
            </w:tcBorders>
            <w:hideMark/>
          </w:tcPr>
          <w:p w14:paraId="29C95488" w14:textId="7650E0D1" w:rsidR="00172437" w:rsidRDefault="00172437" w:rsidP="00C512B3">
            <w:pPr>
              <w:spacing w:after="0" w:line="240" w:lineRule="auto"/>
              <w:rPr>
                <w:szCs w:val="26"/>
              </w:rPr>
            </w:pPr>
            <w:r>
              <w:rPr>
                <w:szCs w:val="26"/>
              </w:rPr>
              <w:t>PRA Administrative Cost</w:t>
            </w:r>
            <w:r w:rsidR="00840A91">
              <w:rPr>
                <w:rStyle w:val="FootnoteReference"/>
                <w:szCs w:val="26"/>
              </w:rPr>
              <w:footnoteReference w:id="18"/>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BBCB0DC" w14:textId="77777777" w:rsidR="00172437" w:rsidRDefault="00172437" w:rsidP="005B56AF">
            <w:pPr>
              <w:spacing w:after="0" w:line="240" w:lineRule="auto"/>
              <w:rPr>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0D9BE65" w14:textId="77777777" w:rsidR="00172437" w:rsidRDefault="00172437" w:rsidP="00F00842">
            <w:pPr>
              <w:spacing w:after="0" w:line="240" w:lineRule="auto"/>
              <w:jc w:val="right"/>
              <w:rPr>
                <w:szCs w:val="26"/>
              </w:rPr>
            </w:pPr>
            <w:r>
              <w:rPr>
                <w:szCs w:val="26"/>
              </w:rPr>
              <w:t>$4,832</w:t>
            </w:r>
          </w:p>
        </w:tc>
      </w:tr>
      <w:tr w:rsidR="00172437" w14:paraId="74E51103" w14:textId="77777777" w:rsidTr="007D2067">
        <w:trPr>
          <w:jc w:val="right"/>
        </w:trPr>
        <w:tc>
          <w:tcPr>
            <w:tcW w:w="3182" w:type="dxa"/>
            <w:tcBorders>
              <w:top w:val="single" w:sz="4" w:space="0" w:color="auto"/>
              <w:left w:val="single" w:sz="4" w:space="0" w:color="auto"/>
              <w:bottom w:val="single" w:sz="4" w:space="0" w:color="auto"/>
              <w:right w:val="single" w:sz="4" w:space="0" w:color="auto"/>
            </w:tcBorders>
            <w:hideMark/>
          </w:tcPr>
          <w:p w14:paraId="41F708E7" w14:textId="77777777" w:rsidR="00172437" w:rsidRDefault="00172437" w:rsidP="00C512B3">
            <w:pPr>
              <w:spacing w:after="0" w:line="240" w:lineRule="auto"/>
              <w:rPr>
                <w:b/>
                <w:szCs w:val="26"/>
              </w:rPr>
            </w:pPr>
            <w:r>
              <w:rPr>
                <w:b/>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D4EC0" w14:textId="77777777" w:rsidR="00172437" w:rsidRDefault="00172437" w:rsidP="00F00842">
            <w:pPr>
              <w:spacing w:after="0" w:line="240" w:lineRule="auto"/>
              <w:rPr>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862E482" w14:textId="77777777" w:rsidR="00172437" w:rsidRDefault="00172437" w:rsidP="00C512B3">
            <w:pPr>
              <w:spacing w:after="0" w:line="240" w:lineRule="auto"/>
              <w:jc w:val="right"/>
              <w:rPr>
                <w:szCs w:val="26"/>
              </w:rPr>
            </w:pPr>
            <w:r>
              <w:rPr>
                <w:szCs w:val="26"/>
              </w:rPr>
              <w:t>$4,832</w:t>
            </w:r>
          </w:p>
        </w:tc>
      </w:tr>
    </w:tbl>
    <w:p w14:paraId="03533243" w14:textId="77777777" w:rsidR="00A276F5" w:rsidRPr="00FC7A36" w:rsidRDefault="00A276F5" w:rsidP="00F00842">
      <w:pPr>
        <w:spacing w:after="0" w:line="240" w:lineRule="auto"/>
        <w:rPr>
          <w:sz w:val="24"/>
          <w:szCs w:val="24"/>
        </w:rPr>
      </w:pPr>
    </w:p>
    <w:p w14:paraId="188D303B" w14:textId="17DE3A02" w:rsidR="007E7E53" w:rsidRDefault="00A276F5" w:rsidP="00840A91">
      <w:pPr>
        <w:pStyle w:val="FERCparanumber"/>
        <w:spacing w:after="0"/>
        <w:rPr>
          <w:sz w:val="24"/>
        </w:rPr>
      </w:pPr>
      <w:r w:rsidRPr="00FC7A36">
        <w:rPr>
          <w:sz w:val="24"/>
        </w:rPr>
        <w:t>REASONS FOR CHANGES IN BURDEN INCLUDING THE NEED FOR ANY INCREASE</w:t>
      </w:r>
      <w:r w:rsidR="008344B1" w:rsidRPr="00FC7A36">
        <w:rPr>
          <w:sz w:val="24"/>
        </w:rPr>
        <w:t xml:space="preserve"> </w:t>
      </w:r>
    </w:p>
    <w:p w14:paraId="43640E4E" w14:textId="77777777" w:rsidR="00090C19" w:rsidRDefault="00090C19" w:rsidP="00475100">
      <w:pPr>
        <w:pStyle w:val="FERCparanumber"/>
        <w:numPr>
          <w:ilvl w:val="0"/>
          <w:numId w:val="0"/>
        </w:numPr>
        <w:spacing w:after="0"/>
        <w:ind w:left="720"/>
        <w:rPr>
          <w:sz w:val="24"/>
        </w:rPr>
      </w:pPr>
    </w:p>
    <w:p w14:paraId="7E429958" w14:textId="7E4727BF" w:rsidR="00475100" w:rsidRPr="00475100" w:rsidRDefault="00475100" w:rsidP="00475100">
      <w:pPr>
        <w:pStyle w:val="FERCparanumber"/>
        <w:numPr>
          <w:ilvl w:val="0"/>
          <w:numId w:val="0"/>
        </w:numPr>
        <w:spacing w:after="0"/>
        <w:rPr>
          <w:sz w:val="24"/>
        </w:rPr>
      </w:pPr>
      <w:r>
        <w:rPr>
          <w:b w:val="0"/>
          <w:sz w:val="24"/>
        </w:rPr>
        <w:t>The</w:t>
      </w:r>
      <w:r w:rsidR="00827C18">
        <w:rPr>
          <w:b w:val="0"/>
          <w:sz w:val="24"/>
        </w:rPr>
        <w:t xml:space="preserve"> majority of the </w:t>
      </w:r>
      <w:r>
        <w:rPr>
          <w:b w:val="0"/>
          <w:sz w:val="24"/>
        </w:rPr>
        <w:t xml:space="preserve">previous burden </w:t>
      </w:r>
      <w:r w:rsidR="00827C18">
        <w:rPr>
          <w:b w:val="0"/>
          <w:sz w:val="24"/>
        </w:rPr>
        <w:t>estimate was based on one-time reviews</w:t>
      </w:r>
      <w:r>
        <w:rPr>
          <w:b w:val="0"/>
          <w:sz w:val="24"/>
        </w:rPr>
        <w:t>, which are now completed</w:t>
      </w:r>
      <w:r w:rsidR="004403F8">
        <w:rPr>
          <w:b w:val="0"/>
          <w:sz w:val="24"/>
        </w:rPr>
        <w:t xml:space="preserve">, and </w:t>
      </w:r>
      <w:r>
        <w:rPr>
          <w:b w:val="0"/>
          <w:sz w:val="24"/>
        </w:rPr>
        <w:t>being removed from FERC-725P1,</w:t>
      </w:r>
      <w:r w:rsidR="00827C18">
        <w:rPr>
          <w:b w:val="0"/>
          <w:sz w:val="24"/>
        </w:rPr>
        <w:t xml:space="preserve"> </w:t>
      </w:r>
      <w:r>
        <w:rPr>
          <w:b w:val="0"/>
          <w:sz w:val="24"/>
        </w:rPr>
        <w:t>giving the program reduction.  Those one-time reviews include</w:t>
      </w:r>
      <w:r w:rsidR="004403F8">
        <w:rPr>
          <w:b w:val="0"/>
          <w:sz w:val="24"/>
        </w:rPr>
        <w:t>d</w:t>
      </w:r>
      <w:r w:rsidR="00B052D2">
        <w:rPr>
          <w:b w:val="0"/>
          <w:sz w:val="24"/>
        </w:rPr>
        <w:t>:</w:t>
      </w:r>
    </w:p>
    <w:p w14:paraId="296DAEF4" w14:textId="77777777" w:rsidR="00475100" w:rsidRPr="00475100" w:rsidRDefault="00827C18" w:rsidP="00475100">
      <w:pPr>
        <w:pStyle w:val="FERCparanumber"/>
        <w:numPr>
          <w:ilvl w:val="0"/>
          <w:numId w:val="31"/>
        </w:numPr>
        <w:spacing w:after="0"/>
        <w:rPr>
          <w:sz w:val="24"/>
        </w:rPr>
      </w:pPr>
      <w:r>
        <w:rPr>
          <w:b w:val="0"/>
          <w:sz w:val="24"/>
        </w:rPr>
        <w:t>a o</w:t>
      </w:r>
      <w:r w:rsidR="007E7E53" w:rsidRPr="00475100">
        <w:rPr>
          <w:b w:val="0"/>
          <w:sz w:val="24"/>
        </w:rPr>
        <w:t xml:space="preserve">ne-time review of existing plant and substation sites to determine which ones fall under PRC-005-6 </w:t>
      </w:r>
      <w:r w:rsidR="007E7E53">
        <w:rPr>
          <w:b w:val="0"/>
          <w:sz w:val="24"/>
        </w:rPr>
        <w:t xml:space="preserve">and </w:t>
      </w:r>
    </w:p>
    <w:p w14:paraId="03533244" w14:textId="0915EE90" w:rsidR="00A276F5" w:rsidRPr="00FC7A36" w:rsidRDefault="00827C18" w:rsidP="00475100">
      <w:pPr>
        <w:pStyle w:val="FERCparanumber"/>
        <w:numPr>
          <w:ilvl w:val="0"/>
          <w:numId w:val="31"/>
        </w:numPr>
        <w:spacing w:after="0"/>
        <w:rPr>
          <w:sz w:val="24"/>
        </w:rPr>
      </w:pPr>
      <w:r>
        <w:rPr>
          <w:b w:val="0"/>
          <w:sz w:val="24"/>
        </w:rPr>
        <w:t>one</w:t>
      </w:r>
      <w:r w:rsidR="007E7E53" w:rsidRPr="00475100">
        <w:rPr>
          <w:b w:val="0"/>
          <w:sz w:val="24"/>
        </w:rPr>
        <w:t>-time review and adjustment of existing program for reclosing relays and associated equipment</w:t>
      </w:r>
      <w:r>
        <w:rPr>
          <w:b w:val="0"/>
          <w:sz w:val="24"/>
        </w:rPr>
        <w:t>.</w:t>
      </w:r>
      <w:r w:rsidR="00CE2D53">
        <w:rPr>
          <w:b w:val="0"/>
          <w:sz w:val="24"/>
        </w:rPr>
        <w:t xml:space="preserve">  </w:t>
      </w:r>
    </w:p>
    <w:p w14:paraId="40D65F7B" w14:textId="77777777" w:rsidR="001324B3" w:rsidRPr="00FC7A36" w:rsidRDefault="001324B3" w:rsidP="00F00842">
      <w:pPr>
        <w:spacing w:after="0" w:line="240" w:lineRule="auto"/>
        <w:rPr>
          <w:sz w:val="24"/>
          <w:szCs w:val="24"/>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1530"/>
        <w:gridCol w:w="1440"/>
        <w:gridCol w:w="1710"/>
        <w:gridCol w:w="1530"/>
      </w:tblGrid>
      <w:tr w:rsidR="008344B1" w:rsidRPr="00FC7A36" w14:paraId="03533251" w14:textId="77777777" w:rsidTr="00E40EC8">
        <w:trPr>
          <w:trHeight w:val="791"/>
        </w:trPr>
        <w:tc>
          <w:tcPr>
            <w:tcW w:w="3127" w:type="dxa"/>
            <w:shd w:val="clear" w:color="auto" w:fill="D9D9D9"/>
            <w:vAlign w:val="center"/>
          </w:tcPr>
          <w:p w14:paraId="0353324B" w14:textId="1A73DED4" w:rsidR="008344B1" w:rsidRPr="00FC7A36" w:rsidRDefault="00694BC4" w:rsidP="00F00842">
            <w:pPr>
              <w:spacing w:after="0" w:line="240" w:lineRule="auto"/>
              <w:rPr>
                <w:b/>
                <w:sz w:val="24"/>
                <w:szCs w:val="24"/>
              </w:rPr>
            </w:pPr>
            <w:r w:rsidRPr="00FC7A36">
              <w:rPr>
                <w:sz w:val="24"/>
                <w:szCs w:val="24"/>
              </w:rPr>
              <w:br w:type="page"/>
            </w:r>
          </w:p>
          <w:p w14:paraId="0353324C" w14:textId="77777777" w:rsidR="003C36C3" w:rsidRPr="00FC7A36" w:rsidRDefault="003C36C3" w:rsidP="00F00842">
            <w:pPr>
              <w:spacing w:after="0" w:line="240" w:lineRule="auto"/>
              <w:rPr>
                <w:b/>
                <w:sz w:val="24"/>
                <w:szCs w:val="24"/>
              </w:rPr>
            </w:pPr>
          </w:p>
        </w:tc>
        <w:tc>
          <w:tcPr>
            <w:tcW w:w="1530" w:type="dxa"/>
            <w:shd w:val="clear" w:color="auto" w:fill="D9D9D9"/>
            <w:vAlign w:val="center"/>
          </w:tcPr>
          <w:p w14:paraId="0353324D" w14:textId="77777777" w:rsidR="008344B1" w:rsidRPr="00FC7A36" w:rsidRDefault="008344B1" w:rsidP="00F00842">
            <w:pPr>
              <w:spacing w:after="0" w:line="240" w:lineRule="auto"/>
              <w:rPr>
                <w:b/>
                <w:sz w:val="24"/>
                <w:szCs w:val="24"/>
              </w:rPr>
            </w:pPr>
            <w:r w:rsidRPr="00FC7A36">
              <w:rPr>
                <w:b/>
                <w:sz w:val="24"/>
                <w:szCs w:val="24"/>
              </w:rPr>
              <w:t>Total Request</w:t>
            </w:r>
          </w:p>
        </w:tc>
        <w:tc>
          <w:tcPr>
            <w:tcW w:w="1440" w:type="dxa"/>
            <w:shd w:val="clear" w:color="auto" w:fill="D9D9D9"/>
            <w:vAlign w:val="center"/>
          </w:tcPr>
          <w:p w14:paraId="0353324E" w14:textId="77777777" w:rsidR="008344B1" w:rsidRPr="00FC7A36" w:rsidRDefault="008344B1" w:rsidP="00F00842">
            <w:pPr>
              <w:spacing w:after="0" w:line="240" w:lineRule="auto"/>
              <w:rPr>
                <w:b/>
                <w:sz w:val="24"/>
                <w:szCs w:val="24"/>
              </w:rPr>
            </w:pPr>
            <w:r w:rsidRPr="00FC7A36">
              <w:rPr>
                <w:b/>
                <w:sz w:val="24"/>
                <w:szCs w:val="24"/>
              </w:rPr>
              <w:t>Previously Approved</w:t>
            </w:r>
          </w:p>
        </w:tc>
        <w:tc>
          <w:tcPr>
            <w:tcW w:w="1710" w:type="dxa"/>
            <w:shd w:val="clear" w:color="auto" w:fill="D9D9D9"/>
            <w:vAlign w:val="center"/>
          </w:tcPr>
          <w:p w14:paraId="0353324F" w14:textId="77777777" w:rsidR="008344B1" w:rsidRPr="00FC7A36" w:rsidRDefault="008344B1" w:rsidP="00F00842">
            <w:pPr>
              <w:spacing w:after="0" w:line="240" w:lineRule="auto"/>
              <w:rPr>
                <w:b/>
                <w:sz w:val="24"/>
                <w:szCs w:val="24"/>
              </w:rPr>
            </w:pPr>
            <w:r w:rsidRPr="00FC7A36">
              <w:rPr>
                <w:b/>
                <w:sz w:val="24"/>
                <w:szCs w:val="24"/>
              </w:rPr>
              <w:t>Change due to Adjustment in Estimate</w:t>
            </w:r>
          </w:p>
        </w:tc>
        <w:tc>
          <w:tcPr>
            <w:tcW w:w="1530" w:type="dxa"/>
            <w:shd w:val="clear" w:color="auto" w:fill="D9D9D9"/>
            <w:vAlign w:val="center"/>
          </w:tcPr>
          <w:p w14:paraId="03533250" w14:textId="77777777" w:rsidR="008344B1" w:rsidRPr="00FC7A36" w:rsidRDefault="008344B1" w:rsidP="00F00842">
            <w:pPr>
              <w:spacing w:after="0" w:line="240" w:lineRule="auto"/>
              <w:rPr>
                <w:b/>
                <w:sz w:val="24"/>
                <w:szCs w:val="24"/>
              </w:rPr>
            </w:pPr>
            <w:r w:rsidRPr="00FC7A36">
              <w:rPr>
                <w:b/>
                <w:sz w:val="24"/>
                <w:szCs w:val="24"/>
              </w:rPr>
              <w:t>Change Due to Agency Discretion</w:t>
            </w:r>
          </w:p>
        </w:tc>
      </w:tr>
      <w:tr w:rsidR="008F4F08" w:rsidRPr="00FC7A36" w14:paraId="0353325D" w14:textId="77777777" w:rsidTr="00E40EC8">
        <w:trPr>
          <w:trHeight w:val="173"/>
        </w:trPr>
        <w:tc>
          <w:tcPr>
            <w:tcW w:w="3127" w:type="dxa"/>
            <w:vAlign w:val="center"/>
          </w:tcPr>
          <w:p w14:paraId="03533258" w14:textId="1941FD84" w:rsidR="008F4F08" w:rsidRPr="00FC7A36" w:rsidRDefault="008F4F08" w:rsidP="00F00842">
            <w:pPr>
              <w:spacing w:after="0" w:line="240" w:lineRule="auto"/>
              <w:rPr>
                <w:sz w:val="24"/>
                <w:szCs w:val="24"/>
              </w:rPr>
            </w:pPr>
            <w:r w:rsidRPr="00FC7A36">
              <w:rPr>
                <w:sz w:val="24"/>
                <w:szCs w:val="24"/>
              </w:rPr>
              <w:t>Annual Number of Responses</w:t>
            </w:r>
          </w:p>
        </w:tc>
        <w:tc>
          <w:tcPr>
            <w:tcW w:w="1530" w:type="dxa"/>
            <w:vAlign w:val="center"/>
          </w:tcPr>
          <w:p w14:paraId="03533259" w14:textId="65EAC9FF" w:rsidR="008F4F08" w:rsidRPr="00FC7A36" w:rsidRDefault="001324B3" w:rsidP="00F00842">
            <w:pPr>
              <w:spacing w:after="0" w:line="240" w:lineRule="auto"/>
              <w:jc w:val="right"/>
              <w:rPr>
                <w:sz w:val="24"/>
                <w:szCs w:val="24"/>
              </w:rPr>
            </w:pPr>
            <w:r>
              <w:rPr>
                <w:sz w:val="24"/>
                <w:szCs w:val="24"/>
              </w:rPr>
              <w:t>996</w:t>
            </w:r>
          </w:p>
        </w:tc>
        <w:tc>
          <w:tcPr>
            <w:tcW w:w="1440" w:type="dxa"/>
            <w:vAlign w:val="center"/>
          </w:tcPr>
          <w:p w14:paraId="0353325A" w14:textId="546C291B" w:rsidR="008F4F08" w:rsidRPr="00FC7A36" w:rsidRDefault="001324B3" w:rsidP="00F00842">
            <w:pPr>
              <w:spacing w:after="0" w:line="240" w:lineRule="auto"/>
              <w:jc w:val="right"/>
              <w:rPr>
                <w:sz w:val="24"/>
                <w:szCs w:val="24"/>
              </w:rPr>
            </w:pPr>
            <w:r>
              <w:rPr>
                <w:sz w:val="24"/>
                <w:szCs w:val="24"/>
              </w:rPr>
              <w:t>2,512</w:t>
            </w:r>
          </w:p>
        </w:tc>
        <w:tc>
          <w:tcPr>
            <w:tcW w:w="1710" w:type="dxa"/>
            <w:vAlign w:val="center"/>
          </w:tcPr>
          <w:p w14:paraId="0353325B" w14:textId="28FF2FBF" w:rsidR="008F4F08" w:rsidRPr="00FC7A36" w:rsidRDefault="00475100" w:rsidP="0056200B">
            <w:pPr>
              <w:spacing w:after="0" w:line="240" w:lineRule="auto"/>
              <w:jc w:val="right"/>
              <w:rPr>
                <w:sz w:val="24"/>
                <w:szCs w:val="24"/>
              </w:rPr>
            </w:pPr>
            <w:r>
              <w:rPr>
                <w:sz w:val="24"/>
                <w:szCs w:val="24"/>
              </w:rPr>
              <w:t>0</w:t>
            </w:r>
          </w:p>
        </w:tc>
        <w:tc>
          <w:tcPr>
            <w:tcW w:w="1530" w:type="dxa"/>
            <w:vAlign w:val="center"/>
          </w:tcPr>
          <w:p w14:paraId="0353325C" w14:textId="60D77F90" w:rsidR="008F4F08" w:rsidRPr="00FC7A36" w:rsidRDefault="00475100" w:rsidP="00F00842">
            <w:pPr>
              <w:spacing w:after="0" w:line="240" w:lineRule="auto"/>
              <w:jc w:val="right"/>
              <w:rPr>
                <w:sz w:val="24"/>
                <w:szCs w:val="24"/>
              </w:rPr>
            </w:pPr>
            <w:r>
              <w:rPr>
                <w:sz w:val="24"/>
                <w:szCs w:val="24"/>
              </w:rPr>
              <w:t>-1,516</w:t>
            </w:r>
          </w:p>
        </w:tc>
      </w:tr>
      <w:tr w:rsidR="008F4F08" w:rsidRPr="00FC7A36" w14:paraId="03533263" w14:textId="77777777" w:rsidTr="00E40EC8">
        <w:trPr>
          <w:trHeight w:val="173"/>
        </w:trPr>
        <w:tc>
          <w:tcPr>
            <w:tcW w:w="3127" w:type="dxa"/>
            <w:vAlign w:val="center"/>
          </w:tcPr>
          <w:p w14:paraId="0353325E" w14:textId="47087DB0" w:rsidR="008F4F08" w:rsidRPr="00FC7A36" w:rsidRDefault="008F4F08" w:rsidP="00F00842">
            <w:pPr>
              <w:spacing w:after="0" w:line="240" w:lineRule="auto"/>
              <w:rPr>
                <w:sz w:val="24"/>
                <w:szCs w:val="24"/>
              </w:rPr>
            </w:pPr>
            <w:r w:rsidRPr="00FC7A36">
              <w:rPr>
                <w:sz w:val="24"/>
                <w:szCs w:val="24"/>
              </w:rPr>
              <w:t>Annual Time Burden (Hr.)</w:t>
            </w:r>
          </w:p>
        </w:tc>
        <w:tc>
          <w:tcPr>
            <w:tcW w:w="1530" w:type="dxa"/>
            <w:vAlign w:val="center"/>
          </w:tcPr>
          <w:p w14:paraId="0353325F" w14:textId="64F68D69" w:rsidR="008F4F08" w:rsidRPr="00FC7A36" w:rsidRDefault="001324B3" w:rsidP="00F00842">
            <w:pPr>
              <w:spacing w:after="0" w:line="240" w:lineRule="auto"/>
              <w:jc w:val="right"/>
              <w:rPr>
                <w:sz w:val="24"/>
                <w:szCs w:val="24"/>
              </w:rPr>
            </w:pPr>
            <w:r>
              <w:rPr>
                <w:sz w:val="24"/>
                <w:szCs w:val="24"/>
              </w:rPr>
              <w:t>1,992</w:t>
            </w:r>
          </w:p>
        </w:tc>
        <w:tc>
          <w:tcPr>
            <w:tcW w:w="1440" w:type="dxa"/>
            <w:vAlign w:val="center"/>
          </w:tcPr>
          <w:p w14:paraId="03533260" w14:textId="7B61648A" w:rsidR="008F4F08" w:rsidRPr="00FC7A36" w:rsidRDefault="001324B3" w:rsidP="00F00842">
            <w:pPr>
              <w:spacing w:after="0" w:line="240" w:lineRule="auto"/>
              <w:jc w:val="right"/>
              <w:rPr>
                <w:sz w:val="24"/>
                <w:szCs w:val="24"/>
              </w:rPr>
            </w:pPr>
            <w:r>
              <w:rPr>
                <w:sz w:val="24"/>
                <w:szCs w:val="24"/>
              </w:rPr>
              <w:t>14,628</w:t>
            </w:r>
          </w:p>
        </w:tc>
        <w:tc>
          <w:tcPr>
            <w:tcW w:w="1710" w:type="dxa"/>
            <w:vAlign w:val="center"/>
          </w:tcPr>
          <w:p w14:paraId="03533261" w14:textId="766290E3" w:rsidR="008F4F08" w:rsidRPr="00FC7A36" w:rsidRDefault="00475100" w:rsidP="002E4237">
            <w:pPr>
              <w:spacing w:after="0" w:line="240" w:lineRule="auto"/>
              <w:jc w:val="right"/>
              <w:rPr>
                <w:sz w:val="24"/>
                <w:szCs w:val="24"/>
              </w:rPr>
            </w:pPr>
            <w:r>
              <w:rPr>
                <w:sz w:val="24"/>
                <w:szCs w:val="24"/>
              </w:rPr>
              <w:t>0</w:t>
            </w:r>
          </w:p>
        </w:tc>
        <w:tc>
          <w:tcPr>
            <w:tcW w:w="1530" w:type="dxa"/>
            <w:vAlign w:val="center"/>
          </w:tcPr>
          <w:p w14:paraId="03533262" w14:textId="3E5D5677" w:rsidR="008F4F08" w:rsidRPr="00FC7A36" w:rsidRDefault="00475100" w:rsidP="00F00842">
            <w:pPr>
              <w:spacing w:after="0" w:line="240" w:lineRule="auto"/>
              <w:jc w:val="right"/>
              <w:rPr>
                <w:sz w:val="24"/>
                <w:szCs w:val="24"/>
              </w:rPr>
            </w:pPr>
            <w:r>
              <w:rPr>
                <w:sz w:val="24"/>
                <w:szCs w:val="24"/>
              </w:rPr>
              <w:t>-12,636</w:t>
            </w:r>
          </w:p>
        </w:tc>
      </w:tr>
      <w:tr w:rsidR="008F4F08" w:rsidRPr="00FC7A36" w14:paraId="03533269" w14:textId="77777777" w:rsidTr="00E40EC8">
        <w:trPr>
          <w:trHeight w:val="260"/>
        </w:trPr>
        <w:tc>
          <w:tcPr>
            <w:tcW w:w="3127" w:type="dxa"/>
            <w:tcBorders>
              <w:bottom w:val="single" w:sz="4" w:space="0" w:color="auto"/>
            </w:tcBorders>
            <w:vAlign w:val="center"/>
          </w:tcPr>
          <w:p w14:paraId="03533264" w14:textId="1CE235FF" w:rsidR="008F4F08" w:rsidRPr="00FC7A36" w:rsidRDefault="008F4F08" w:rsidP="00F00842">
            <w:pPr>
              <w:spacing w:after="0" w:line="240" w:lineRule="auto"/>
              <w:rPr>
                <w:sz w:val="24"/>
                <w:szCs w:val="24"/>
              </w:rPr>
            </w:pPr>
            <w:r w:rsidRPr="00FC7A36">
              <w:rPr>
                <w:sz w:val="24"/>
                <w:szCs w:val="24"/>
              </w:rPr>
              <w:t>Annual Cost Burden ($)</w:t>
            </w:r>
          </w:p>
        </w:tc>
        <w:tc>
          <w:tcPr>
            <w:tcW w:w="1530" w:type="dxa"/>
            <w:tcBorders>
              <w:bottom w:val="single" w:sz="4" w:space="0" w:color="auto"/>
            </w:tcBorders>
            <w:vAlign w:val="center"/>
          </w:tcPr>
          <w:p w14:paraId="03533265" w14:textId="4AA9BD95" w:rsidR="008F4F08" w:rsidRPr="00FC7A36" w:rsidRDefault="001324B3" w:rsidP="00F00842">
            <w:pPr>
              <w:spacing w:after="0" w:line="240" w:lineRule="auto"/>
              <w:jc w:val="right"/>
              <w:rPr>
                <w:sz w:val="24"/>
                <w:szCs w:val="24"/>
              </w:rPr>
            </w:pPr>
            <w:r>
              <w:rPr>
                <w:sz w:val="24"/>
                <w:szCs w:val="24"/>
              </w:rPr>
              <w:t>0</w:t>
            </w:r>
          </w:p>
        </w:tc>
        <w:tc>
          <w:tcPr>
            <w:tcW w:w="1440" w:type="dxa"/>
            <w:tcBorders>
              <w:bottom w:val="single" w:sz="4" w:space="0" w:color="auto"/>
            </w:tcBorders>
            <w:vAlign w:val="center"/>
          </w:tcPr>
          <w:p w14:paraId="03533266" w14:textId="2039B381" w:rsidR="008F4F08" w:rsidRPr="00FC7A36" w:rsidRDefault="001324B3" w:rsidP="00F00842">
            <w:pPr>
              <w:spacing w:after="0" w:line="240" w:lineRule="auto"/>
              <w:jc w:val="right"/>
              <w:rPr>
                <w:sz w:val="24"/>
                <w:szCs w:val="24"/>
              </w:rPr>
            </w:pPr>
            <w:r>
              <w:rPr>
                <w:sz w:val="24"/>
                <w:szCs w:val="24"/>
              </w:rPr>
              <w:t>0</w:t>
            </w:r>
          </w:p>
        </w:tc>
        <w:tc>
          <w:tcPr>
            <w:tcW w:w="1710" w:type="dxa"/>
            <w:tcBorders>
              <w:bottom w:val="single" w:sz="4" w:space="0" w:color="auto"/>
            </w:tcBorders>
            <w:vAlign w:val="center"/>
          </w:tcPr>
          <w:p w14:paraId="03533267" w14:textId="2C7DB5F7" w:rsidR="008F4F08" w:rsidRPr="00FC7A36" w:rsidRDefault="001324B3" w:rsidP="00F00842">
            <w:pPr>
              <w:spacing w:after="0" w:line="240" w:lineRule="auto"/>
              <w:jc w:val="right"/>
              <w:rPr>
                <w:sz w:val="24"/>
                <w:szCs w:val="24"/>
              </w:rPr>
            </w:pPr>
            <w:r>
              <w:rPr>
                <w:sz w:val="24"/>
                <w:szCs w:val="24"/>
              </w:rPr>
              <w:t>0</w:t>
            </w:r>
          </w:p>
        </w:tc>
        <w:tc>
          <w:tcPr>
            <w:tcW w:w="1530" w:type="dxa"/>
            <w:tcBorders>
              <w:bottom w:val="single" w:sz="4" w:space="0" w:color="auto"/>
            </w:tcBorders>
            <w:vAlign w:val="center"/>
          </w:tcPr>
          <w:p w14:paraId="03533268" w14:textId="4D958B29" w:rsidR="008F4F08" w:rsidRPr="00FC7A36" w:rsidRDefault="008F4F08" w:rsidP="00F00842">
            <w:pPr>
              <w:spacing w:after="0" w:line="240" w:lineRule="auto"/>
              <w:jc w:val="right"/>
              <w:rPr>
                <w:sz w:val="24"/>
                <w:szCs w:val="24"/>
              </w:rPr>
            </w:pPr>
            <w:r w:rsidRPr="00FC7A36">
              <w:rPr>
                <w:sz w:val="24"/>
                <w:szCs w:val="24"/>
              </w:rPr>
              <w:t>0</w:t>
            </w:r>
          </w:p>
        </w:tc>
      </w:tr>
    </w:tbl>
    <w:p w14:paraId="1686A8A2" w14:textId="77777777" w:rsidR="000C574F" w:rsidRPr="00FC7A36" w:rsidRDefault="000C574F" w:rsidP="00F00842">
      <w:pPr>
        <w:pStyle w:val="ListParagraph"/>
        <w:spacing w:after="0" w:line="240" w:lineRule="auto"/>
        <w:ind w:left="360"/>
        <w:rPr>
          <w:b/>
          <w:sz w:val="24"/>
          <w:szCs w:val="24"/>
        </w:rPr>
      </w:pPr>
    </w:p>
    <w:p w14:paraId="03533282" w14:textId="77777777" w:rsidR="00A276F5" w:rsidRPr="00FC7A36" w:rsidRDefault="00414F32" w:rsidP="00F00842">
      <w:pPr>
        <w:pStyle w:val="FERCparanumber"/>
        <w:rPr>
          <w:sz w:val="24"/>
        </w:rPr>
      </w:pPr>
      <w:r w:rsidRPr="00FC7A36">
        <w:rPr>
          <w:sz w:val="24"/>
        </w:rPr>
        <w:t>TIME SCHEDULE FOR PUBLICATION OF DATA</w:t>
      </w:r>
    </w:p>
    <w:p w14:paraId="03533284" w14:textId="03727EC5" w:rsidR="000D4661" w:rsidRPr="00FC7A36" w:rsidRDefault="000D4661" w:rsidP="00F00842">
      <w:pPr>
        <w:spacing w:after="0" w:line="240" w:lineRule="auto"/>
        <w:rPr>
          <w:sz w:val="24"/>
          <w:szCs w:val="24"/>
        </w:rPr>
      </w:pPr>
      <w:r w:rsidRPr="00FC7A36">
        <w:rPr>
          <w:sz w:val="24"/>
          <w:szCs w:val="24"/>
        </w:rPr>
        <w:t xml:space="preserve">There is no publication of data associated with </w:t>
      </w:r>
      <w:r w:rsidR="008344B1" w:rsidRPr="00FC7A36">
        <w:rPr>
          <w:sz w:val="24"/>
          <w:szCs w:val="24"/>
        </w:rPr>
        <w:t>FERC-</w:t>
      </w:r>
      <w:r w:rsidR="001324B3">
        <w:rPr>
          <w:sz w:val="24"/>
          <w:szCs w:val="24"/>
        </w:rPr>
        <w:t xml:space="preserve">725P1 </w:t>
      </w:r>
      <w:r w:rsidRPr="00FC7A36">
        <w:rPr>
          <w:sz w:val="24"/>
          <w:szCs w:val="24"/>
        </w:rPr>
        <w:t>information</w:t>
      </w:r>
      <w:r w:rsidR="001324B3">
        <w:rPr>
          <w:sz w:val="24"/>
          <w:szCs w:val="24"/>
        </w:rPr>
        <w:t xml:space="preserve"> collection</w:t>
      </w:r>
      <w:r w:rsidRPr="00FC7A36">
        <w:rPr>
          <w:sz w:val="24"/>
          <w:szCs w:val="24"/>
        </w:rPr>
        <w:t>.</w:t>
      </w:r>
    </w:p>
    <w:p w14:paraId="03533285" w14:textId="77777777" w:rsidR="0072366E" w:rsidRPr="00FC7A36" w:rsidRDefault="0072366E" w:rsidP="00F00842">
      <w:pPr>
        <w:spacing w:after="0" w:line="240" w:lineRule="auto"/>
        <w:rPr>
          <w:sz w:val="24"/>
          <w:szCs w:val="24"/>
        </w:rPr>
      </w:pPr>
    </w:p>
    <w:p w14:paraId="03533286" w14:textId="77777777" w:rsidR="00414F32" w:rsidRPr="00FC7A36" w:rsidRDefault="00414F32" w:rsidP="00F00842">
      <w:pPr>
        <w:pStyle w:val="FERCparanumber"/>
        <w:rPr>
          <w:sz w:val="24"/>
        </w:rPr>
      </w:pPr>
      <w:r w:rsidRPr="00FC7A36">
        <w:rPr>
          <w:sz w:val="24"/>
        </w:rPr>
        <w:t>DISPLAY OF EXPIRATION DATE</w:t>
      </w:r>
    </w:p>
    <w:p w14:paraId="03533288" w14:textId="0B2DC4C7" w:rsidR="00414F32" w:rsidRPr="00FC7A36" w:rsidRDefault="0087430F" w:rsidP="00F00842">
      <w:pPr>
        <w:spacing w:after="0" w:line="240" w:lineRule="auto"/>
        <w:rPr>
          <w:sz w:val="24"/>
          <w:szCs w:val="24"/>
        </w:rPr>
      </w:pPr>
      <w:r w:rsidRPr="00FC7A36">
        <w:rPr>
          <w:sz w:val="24"/>
          <w:szCs w:val="24"/>
        </w:rPr>
        <w:t xml:space="preserve">The expiration dates are available at </w:t>
      </w:r>
      <w:hyperlink r:id="rId14" w:history="1">
        <w:r w:rsidRPr="00FC7A36">
          <w:rPr>
            <w:rStyle w:val="Hyperlink"/>
            <w:sz w:val="24"/>
            <w:szCs w:val="24"/>
          </w:rPr>
          <w:t>http://www.ferc.gov/docs-filing/info-collections.asp</w:t>
        </w:r>
      </w:hyperlink>
      <w:r w:rsidRPr="00FC7A36">
        <w:rPr>
          <w:sz w:val="24"/>
          <w:szCs w:val="24"/>
        </w:rPr>
        <w:t xml:space="preserve">. </w:t>
      </w:r>
      <w:r w:rsidR="00730A00" w:rsidRPr="00FC7A36">
        <w:rPr>
          <w:sz w:val="24"/>
          <w:szCs w:val="24"/>
        </w:rPr>
        <w:t xml:space="preserve"> </w:t>
      </w:r>
    </w:p>
    <w:p w14:paraId="03533289" w14:textId="77777777" w:rsidR="00414F32" w:rsidRPr="00FC7A36" w:rsidRDefault="00414F32" w:rsidP="00F00842">
      <w:pPr>
        <w:spacing w:after="0" w:line="240" w:lineRule="auto"/>
        <w:rPr>
          <w:sz w:val="24"/>
          <w:szCs w:val="24"/>
        </w:rPr>
      </w:pPr>
    </w:p>
    <w:p w14:paraId="0353328A" w14:textId="77777777" w:rsidR="00414F32" w:rsidRPr="00FC7A36" w:rsidRDefault="00414F32" w:rsidP="00F00842">
      <w:pPr>
        <w:pStyle w:val="FERCparanumber"/>
        <w:rPr>
          <w:sz w:val="24"/>
        </w:rPr>
      </w:pPr>
      <w:r w:rsidRPr="00FC7A36">
        <w:rPr>
          <w:sz w:val="24"/>
        </w:rPr>
        <w:t>EXCEPTIONS TO THE CERTIFICATION STATEMENT</w:t>
      </w:r>
    </w:p>
    <w:p w14:paraId="0353328C" w14:textId="77777777" w:rsidR="0057700F" w:rsidRPr="00FC7A36" w:rsidRDefault="0087430F" w:rsidP="00F00842">
      <w:pPr>
        <w:spacing w:after="0" w:line="240" w:lineRule="auto"/>
        <w:rPr>
          <w:b/>
          <w:sz w:val="24"/>
          <w:szCs w:val="24"/>
        </w:rPr>
      </w:pPr>
      <w:r w:rsidRPr="00FC7A36">
        <w:rPr>
          <w:sz w:val="24"/>
          <w:szCs w:val="24"/>
        </w:rPr>
        <w:t>There are no exceptions</w:t>
      </w:r>
      <w:r w:rsidR="00077D2A" w:rsidRPr="00FC7A36">
        <w:rPr>
          <w:sz w:val="24"/>
          <w:szCs w:val="24"/>
        </w:rPr>
        <w:t>.</w:t>
      </w:r>
    </w:p>
    <w:p w14:paraId="0353328D" w14:textId="77777777" w:rsidR="00414F32" w:rsidRPr="00FC7A36" w:rsidRDefault="00414F32" w:rsidP="00F00842">
      <w:pPr>
        <w:spacing w:after="0" w:line="240" w:lineRule="auto"/>
        <w:rPr>
          <w:sz w:val="24"/>
          <w:szCs w:val="24"/>
        </w:rPr>
      </w:pPr>
    </w:p>
    <w:sectPr w:rsidR="00414F32" w:rsidRPr="00FC7A3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12D68" w14:textId="77777777" w:rsidR="00D2526D" w:rsidRDefault="00D2526D" w:rsidP="00FD66F1">
      <w:pPr>
        <w:spacing w:after="0" w:line="240" w:lineRule="auto"/>
      </w:pPr>
      <w:r>
        <w:separator/>
      </w:r>
    </w:p>
    <w:p w14:paraId="7447E3AB" w14:textId="77777777" w:rsidR="00D2526D" w:rsidRDefault="00D2526D"/>
    <w:p w14:paraId="04F5FEC0" w14:textId="77777777" w:rsidR="00D2526D" w:rsidRDefault="00D2526D" w:rsidP="00080C15"/>
  </w:endnote>
  <w:endnote w:type="continuationSeparator" w:id="0">
    <w:p w14:paraId="25FD57C7" w14:textId="77777777" w:rsidR="00D2526D" w:rsidRDefault="00D2526D" w:rsidP="00FD66F1">
      <w:pPr>
        <w:spacing w:after="0" w:line="240" w:lineRule="auto"/>
      </w:pPr>
      <w:r>
        <w:continuationSeparator/>
      </w:r>
    </w:p>
    <w:p w14:paraId="031D2FC2" w14:textId="77777777" w:rsidR="00D2526D" w:rsidRDefault="00D2526D"/>
    <w:p w14:paraId="11BDDD60" w14:textId="77777777" w:rsidR="00D2526D" w:rsidRDefault="00D2526D" w:rsidP="00080C15"/>
  </w:endnote>
  <w:endnote w:type="continuationNotice" w:id="1">
    <w:p w14:paraId="79568700" w14:textId="77777777" w:rsidR="00D2526D" w:rsidRDefault="00D2526D">
      <w:pPr>
        <w:spacing w:after="0" w:line="240" w:lineRule="auto"/>
      </w:pPr>
    </w:p>
    <w:p w14:paraId="07860CA1" w14:textId="77777777" w:rsidR="00D2526D" w:rsidRDefault="00D2526D"/>
    <w:p w14:paraId="3C9F3941" w14:textId="77777777" w:rsidR="00D2526D" w:rsidRDefault="00D2526D" w:rsidP="00080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0C861" w14:textId="77777777" w:rsidR="00A2311E" w:rsidRDefault="00A23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sz w:val="24"/>
        <w:szCs w:val="24"/>
      </w:rPr>
    </w:sdtEndPr>
    <w:sdtContent>
      <w:p w14:paraId="61C9DF52" w14:textId="77777777" w:rsidR="007D2067" w:rsidRDefault="007D2067">
        <w:pPr>
          <w:pStyle w:val="Footer"/>
          <w:jc w:val="right"/>
        </w:pPr>
      </w:p>
      <w:p w14:paraId="03533297" w14:textId="188928CE" w:rsidR="007D2067" w:rsidRPr="00F00842" w:rsidRDefault="007D2067">
        <w:pPr>
          <w:pStyle w:val="Footer"/>
          <w:jc w:val="right"/>
          <w:rPr>
            <w:sz w:val="24"/>
            <w:szCs w:val="24"/>
          </w:rPr>
        </w:pPr>
        <w:r w:rsidRPr="00F00842">
          <w:rPr>
            <w:sz w:val="24"/>
            <w:szCs w:val="24"/>
          </w:rPr>
          <w:fldChar w:fldCharType="begin"/>
        </w:r>
        <w:r w:rsidRPr="00F00842">
          <w:rPr>
            <w:sz w:val="24"/>
            <w:szCs w:val="24"/>
          </w:rPr>
          <w:instrText xml:space="preserve"> PAGE   \* MERGEFORMAT </w:instrText>
        </w:r>
        <w:r w:rsidRPr="00F00842">
          <w:rPr>
            <w:sz w:val="24"/>
            <w:szCs w:val="24"/>
          </w:rPr>
          <w:fldChar w:fldCharType="separate"/>
        </w:r>
        <w:r w:rsidR="00B965F3">
          <w:rPr>
            <w:noProof/>
            <w:sz w:val="24"/>
            <w:szCs w:val="24"/>
          </w:rPr>
          <w:t>1</w:t>
        </w:r>
        <w:r w:rsidRPr="00F00842">
          <w:rPr>
            <w:noProof/>
            <w:sz w:val="24"/>
            <w:szCs w:val="24"/>
          </w:rPr>
          <w:fldChar w:fldCharType="end"/>
        </w:r>
      </w:p>
    </w:sdtContent>
  </w:sdt>
  <w:p w14:paraId="03533298" w14:textId="77777777" w:rsidR="007D2067" w:rsidRDefault="007D20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7DB28" w14:textId="77777777" w:rsidR="00A2311E" w:rsidRDefault="00A23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FD362" w14:textId="77777777" w:rsidR="00D2526D" w:rsidRDefault="00D2526D" w:rsidP="00FD66F1">
      <w:pPr>
        <w:spacing w:after="0" w:line="240" w:lineRule="auto"/>
      </w:pPr>
      <w:r>
        <w:separator/>
      </w:r>
    </w:p>
  </w:footnote>
  <w:footnote w:type="continuationSeparator" w:id="0">
    <w:p w14:paraId="0A7B4682" w14:textId="77777777" w:rsidR="00D2526D" w:rsidRDefault="00D2526D" w:rsidP="00FD66F1">
      <w:pPr>
        <w:spacing w:after="0" w:line="240" w:lineRule="auto"/>
      </w:pPr>
      <w:r>
        <w:continuationSeparator/>
      </w:r>
    </w:p>
    <w:p w14:paraId="364CAFF6" w14:textId="77777777" w:rsidR="00D2526D" w:rsidRDefault="00D2526D"/>
    <w:p w14:paraId="370735D4" w14:textId="77777777" w:rsidR="00D2526D" w:rsidRDefault="00D2526D" w:rsidP="00080C15"/>
  </w:footnote>
  <w:footnote w:type="continuationNotice" w:id="1">
    <w:p w14:paraId="28116F3B" w14:textId="77777777" w:rsidR="00D2526D" w:rsidRDefault="00D2526D">
      <w:pPr>
        <w:spacing w:after="0" w:line="240" w:lineRule="auto"/>
      </w:pPr>
    </w:p>
    <w:p w14:paraId="3FE4DF7C" w14:textId="77777777" w:rsidR="00D2526D" w:rsidRDefault="00D2526D"/>
    <w:p w14:paraId="4A5E629A" w14:textId="77777777" w:rsidR="00D2526D" w:rsidRDefault="00D2526D" w:rsidP="00080C15"/>
  </w:footnote>
  <w:footnote w:id="2">
    <w:p w14:paraId="73D6BCF0" w14:textId="77777777" w:rsidR="007D2067" w:rsidRPr="00F00842" w:rsidRDefault="007D2067" w:rsidP="003757E9">
      <w:pPr>
        <w:pStyle w:val="FootnoteText"/>
        <w:spacing w:after="0"/>
        <w:ind w:firstLine="0"/>
        <w:rPr>
          <w:sz w:val="24"/>
          <w:szCs w:val="24"/>
        </w:rPr>
      </w:pPr>
      <w:r w:rsidRPr="00F00842">
        <w:rPr>
          <w:rStyle w:val="FootnoteReference"/>
          <w:sz w:val="24"/>
          <w:szCs w:val="24"/>
        </w:rPr>
        <w:footnoteRef/>
      </w:r>
      <w:r w:rsidRPr="00F00842">
        <w:rPr>
          <w:sz w:val="24"/>
          <w:szCs w:val="24"/>
        </w:rPr>
        <w:t xml:space="preserve"> The Energy Policy Act of 2005, Pub. L. No 109-58, Title XII, Subtitle A, 119 Stat. 594, 941 (2005), codified at 16 U.S.C. 824o (2000).</w:t>
      </w:r>
    </w:p>
  </w:footnote>
  <w:footnote w:id="3">
    <w:p w14:paraId="101B342F" w14:textId="77777777" w:rsidR="007D2067" w:rsidRPr="00F00842" w:rsidRDefault="007D2067" w:rsidP="003757E9">
      <w:pPr>
        <w:pStyle w:val="FootnoteText"/>
        <w:keepLines/>
        <w:spacing w:after="0"/>
        <w:ind w:firstLine="0"/>
        <w:rPr>
          <w:sz w:val="24"/>
          <w:szCs w:val="24"/>
        </w:rPr>
      </w:pPr>
      <w:r w:rsidRPr="00F00842">
        <w:rPr>
          <w:rStyle w:val="FootnoteReference"/>
          <w:sz w:val="24"/>
          <w:szCs w:val="24"/>
        </w:rPr>
        <w:footnoteRef/>
      </w:r>
      <w:r w:rsidRPr="00F00842">
        <w:rPr>
          <w:sz w:val="24"/>
          <w:szCs w:val="24"/>
        </w:rPr>
        <w:t xml:space="preserve">  </w:t>
      </w:r>
      <w:r w:rsidRPr="00F00842">
        <w:rPr>
          <w:i/>
          <w:iCs/>
          <w:sz w:val="24"/>
          <w:szCs w:val="24"/>
        </w:rPr>
        <w:t>Rules Concerning Certification of the Electric Reliability Organization; and Procedures for the Establishment, Approval, and Enforcement of Electric Reliability Standards</w:t>
      </w:r>
      <w:r w:rsidRPr="00F00842">
        <w:rPr>
          <w:sz w:val="24"/>
          <w:szCs w:val="24"/>
        </w:rPr>
        <w:t xml:space="preserve">, Order No. 672, FERC Stats. &amp; Regs. ¶ 31,204, </w:t>
      </w:r>
      <w:r w:rsidRPr="00F00842">
        <w:rPr>
          <w:i/>
          <w:iCs/>
          <w:sz w:val="24"/>
          <w:szCs w:val="24"/>
        </w:rPr>
        <w:t>order on reh’g</w:t>
      </w:r>
      <w:r w:rsidRPr="00F00842">
        <w:rPr>
          <w:sz w:val="24"/>
          <w:szCs w:val="24"/>
        </w:rPr>
        <w:t>, Order No. 672-A, FERC Stats. &amp; Regs. ¶ 31,212 (2006).</w:t>
      </w:r>
    </w:p>
  </w:footnote>
  <w:footnote w:id="4">
    <w:p w14:paraId="7EAD9F40" w14:textId="77777777" w:rsidR="007D2067" w:rsidRPr="00F00842" w:rsidRDefault="007D2067" w:rsidP="003757E9">
      <w:pPr>
        <w:pStyle w:val="FootnoteText"/>
        <w:spacing w:after="0"/>
        <w:ind w:firstLine="0"/>
        <w:rPr>
          <w:sz w:val="24"/>
          <w:szCs w:val="24"/>
        </w:rPr>
      </w:pPr>
      <w:r w:rsidRPr="00F00842">
        <w:rPr>
          <w:rStyle w:val="FootnoteReference"/>
          <w:sz w:val="24"/>
          <w:szCs w:val="24"/>
        </w:rPr>
        <w:footnoteRef/>
      </w:r>
      <w:r w:rsidRPr="00F00842">
        <w:rPr>
          <w:sz w:val="24"/>
          <w:szCs w:val="24"/>
        </w:rPr>
        <w:t xml:space="preserve">  </w:t>
      </w:r>
      <w:r w:rsidRPr="00F00842">
        <w:rPr>
          <w:i/>
          <w:sz w:val="24"/>
          <w:szCs w:val="24"/>
        </w:rPr>
        <w:t>North American Electric Reliability Corp</w:t>
      </w:r>
      <w:r w:rsidRPr="00F00842">
        <w:rPr>
          <w:sz w:val="24"/>
          <w:szCs w:val="24"/>
        </w:rPr>
        <w:t xml:space="preserve">., 116 FERC ¶ 61,062, </w:t>
      </w:r>
      <w:r w:rsidRPr="00F00842">
        <w:rPr>
          <w:i/>
          <w:sz w:val="24"/>
          <w:szCs w:val="24"/>
        </w:rPr>
        <w:t>order on reh’g and compliance</w:t>
      </w:r>
      <w:r w:rsidRPr="00F00842">
        <w:rPr>
          <w:sz w:val="24"/>
          <w:szCs w:val="24"/>
        </w:rPr>
        <w:t>, 117 FERC ¶ 61,126 (2006),</w:t>
      </w:r>
      <w:r w:rsidRPr="00F00842">
        <w:rPr>
          <w:i/>
          <w:sz w:val="24"/>
          <w:szCs w:val="24"/>
        </w:rPr>
        <w:t xml:space="preserve"> order on compliance</w:t>
      </w:r>
      <w:r w:rsidRPr="00F00842">
        <w:rPr>
          <w:sz w:val="24"/>
          <w:szCs w:val="24"/>
        </w:rPr>
        <w:t xml:space="preserve">, 118 FERC ¶ 61,190, </w:t>
      </w:r>
      <w:r w:rsidRPr="00F00842">
        <w:rPr>
          <w:i/>
          <w:sz w:val="24"/>
          <w:szCs w:val="24"/>
        </w:rPr>
        <w:t>order on reh’g</w:t>
      </w:r>
      <w:r w:rsidRPr="00F00842">
        <w:rPr>
          <w:sz w:val="24"/>
          <w:szCs w:val="24"/>
        </w:rPr>
        <w:t xml:space="preserve">, 119 FERC ¶ 61,046 (2007), </w:t>
      </w:r>
      <w:r w:rsidRPr="00F00842">
        <w:rPr>
          <w:i/>
          <w:sz w:val="24"/>
          <w:szCs w:val="24"/>
        </w:rPr>
        <w:t>aff’d sub nom. Alcoa Inc. v. FERC</w:t>
      </w:r>
      <w:r w:rsidRPr="00F00842">
        <w:rPr>
          <w:sz w:val="24"/>
          <w:szCs w:val="24"/>
        </w:rPr>
        <w:t>, 564 F.3d 1342 (D.C. Cir. 2009).</w:t>
      </w:r>
    </w:p>
  </w:footnote>
  <w:footnote w:id="5">
    <w:p w14:paraId="65C35295" w14:textId="77777777" w:rsidR="007D2067" w:rsidRPr="00F00842" w:rsidRDefault="007D2067" w:rsidP="003757E9">
      <w:pPr>
        <w:pStyle w:val="FootnoteText"/>
        <w:spacing w:after="0"/>
        <w:ind w:firstLine="0"/>
        <w:rPr>
          <w:sz w:val="24"/>
          <w:szCs w:val="24"/>
        </w:rPr>
      </w:pPr>
      <w:r w:rsidRPr="00F00842">
        <w:rPr>
          <w:rStyle w:val="FootnoteReference"/>
          <w:sz w:val="24"/>
          <w:szCs w:val="24"/>
        </w:rPr>
        <w:footnoteRef/>
      </w:r>
      <w:r w:rsidRPr="00F00842">
        <w:rPr>
          <w:sz w:val="24"/>
          <w:szCs w:val="24"/>
        </w:rPr>
        <w:t xml:space="preserve"> http://elibrary.ferc.gov/idmws/common/OpenNat.asp?fileID=14052280</w:t>
      </w:r>
    </w:p>
  </w:footnote>
  <w:footnote w:id="6">
    <w:p w14:paraId="1144138B" w14:textId="77777777" w:rsidR="007D2067" w:rsidRPr="00F00842" w:rsidRDefault="007D2067" w:rsidP="003757E9">
      <w:pPr>
        <w:pStyle w:val="FootnoteText"/>
        <w:spacing w:after="0"/>
        <w:ind w:firstLine="0"/>
        <w:rPr>
          <w:sz w:val="24"/>
          <w:szCs w:val="24"/>
        </w:rPr>
      </w:pPr>
      <w:r w:rsidRPr="00F00842">
        <w:rPr>
          <w:rStyle w:val="FootnoteReference"/>
          <w:sz w:val="24"/>
          <w:szCs w:val="24"/>
        </w:rPr>
        <w:footnoteRef/>
      </w:r>
      <w:r w:rsidRPr="00F00842">
        <w:rPr>
          <w:sz w:val="24"/>
          <w:szCs w:val="24"/>
        </w:rPr>
        <w:t xml:space="preserve"> Proposed Reliability Standard PRC-005-6 (Exhibit A of NERC’s Petition) is available at http://elibrary.ferc.gov/idmws/common/OpenNat.asp?fileID=14052281.</w:t>
      </w:r>
    </w:p>
  </w:footnote>
  <w:footnote w:id="7">
    <w:p w14:paraId="7BAE872C" w14:textId="77777777" w:rsidR="007D2067" w:rsidRPr="00F00842" w:rsidRDefault="007D2067" w:rsidP="003757E9">
      <w:pPr>
        <w:pStyle w:val="FootnoteText"/>
        <w:spacing w:after="0"/>
        <w:ind w:firstLine="0"/>
        <w:rPr>
          <w:sz w:val="24"/>
          <w:szCs w:val="24"/>
        </w:rPr>
      </w:pPr>
      <w:r w:rsidRPr="00F00842">
        <w:rPr>
          <w:rStyle w:val="FootnoteReference"/>
          <w:sz w:val="24"/>
          <w:szCs w:val="24"/>
        </w:rPr>
        <w:footnoteRef/>
      </w:r>
      <w:r w:rsidRPr="00F00842">
        <w:rPr>
          <w:sz w:val="24"/>
          <w:szCs w:val="24"/>
        </w:rPr>
        <w:t xml:space="preserve"> As noted in NERC’s petition, NERC filed a separate motion to delay implementation of the approved, but not yet effective, versions of the PRC-005 Reliability Standard in Docket Nos. RM14-8-000 (PRC-005-3), RD15-3-000 (PRC-005-3(i)), and RM15-9-000 (PRC-005-4) until after the Commission issues an order or rule regarding proposed PRC-005-6.  NERC’s motion was granted in a delegated letter order issued December 4, 2015.  See North American Elec. Reliability Corp., Docket Nos. RM14-8-000 et al. (Dec. 4, 2015) (delegated letter order).  </w:t>
      </w:r>
    </w:p>
  </w:footnote>
  <w:footnote w:id="8">
    <w:p w14:paraId="71848E5B" w14:textId="77777777" w:rsidR="007D2067" w:rsidRPr="003757E9" w:rsidRDefault="007D2067" w:rsidP="003757E9">
      <w:pPr>
        <w:pStyle w:val="FootnoteText"/>
        <w:spacing w:after="0"/>
        <w:ind w:firstLine="0"/>
        <w:rPr>
          <w:sz w:val="20"/>
        </w:rPr>
      </w:pPr>
      <w:r w:rsidRPr="00F00842">
        <w:rPr>
          <w:rStyle w:val="FootnoteReference"/>
          <w:sz w:val="24"/>
          <w:szCs w:val="24"/>
        </w:rPr>
        <w:footnoteRef/>
      </w:r>
      <w:r w:rsidRPr="00F00842">
        <w:rPr>
          <w:sz w:val="24"/>
          <w:szCs w:val="24"/>
        </w:rPr>
        <w:t xml:space="preserve"> The Delegated Letter Order is available in FERC’s eLibrary at http://elibrary.ferc.gov/idmws/common/opennat.asp?fileID=14076238.</w:t>
      </w:r>
    </w:p>
  </w:footnote>
  <w:footnote w:id="9">
    <w:p w14:paraId="174ECA18" w14:textId="77777777" w:rsidR="007D2067" w:rsidRPr="00F00842" w:rsidRDefault="007D2067" w:rsidP="00F00842">
      <w:pPr>
        <w:pStyle w:val="FootnoteText"/>
        <w:ind w:firstLine="0"/>
        <w:rPr>
          <w:sz w:val="24"/>
          <w:szCs w:val="24"/>
        </w:rPr>
      </w:pPr>
      <w:r w:rsidRPr="00F00842">
        <w:rPr>
          <w:rStyle w:val="FootnoteReference"/>
          <w:sz w:val="24"/>
          <w:szCs w:val="24"/>
        </w:rPr>
        <w:footnoteRef/>
      </w:r>
      <w:r w:rsidRPr="00F00842">
        <w:rPr>
          <w:sz w:val="24"/>
          <w:szCs w:val="24"/>
        </w:rPr>
        <w:t xml:space="preserve"> Details of the current ERO Reliability Standard processes are available on the NERC website at </w:t>
      </w:r>
      <w:hyperlink r:id="rId1" w:history="1">
        <w:r w:rsidRPr="00F00842">
          <w:rPr>
            <w:rStyle w:val="Hyperlink"/>
            <w:sz w:val="24"/>
            <w:szCs w:val="24"/>
          </w:rPr>
          <w:t>http://www.nerc.com/FilingsOrders/us/RuleOfProcedureDL/Appendix_3A_StandardProcessesManual_20130626.pdf</w:t>
        </w:r>
      </w:hyperlink>
      <w:r w:rsidRPr="00F00842">
        <w:rPr>
          <w:sz w:val="24"/>
          <w:szCs w:val="24"/>
        </w:rPr>
        <w:t>.</w:t>
      </w:r>
    </w:p>
  </w:footnote>
  <w:footnote w:id="10">
    <w:p w14:paraId="4E28FABE" w14:textId="77777777" w:rsidR="007D2067" w:rsidRPr="00F00842" w:rsidRDefault="007D2067" w:rsidP="00F00842">
      <w:pPr>
        <w:pStyle w:val="FootnoteText"/>
        <w:spacing w:after="0"/>
        <w:ind w:firstLine="0"/>
        <w:rPr>
          <w:sz w:val="24"/>
          <w:szCs w:val="24"/>
        </w:rPr>
      </w:pPr>
      <w:r w:rsidRPr="00F00842">
        <w:rPr>
          <w:rStyle w:val="FootnoteReference"/>
          <w:sz w:val="24"/>
          <w:szCs w:val="24"/>
        </w:rPr>
        <w:footnoteRef/>
      </w:r>
      <w:r w:rsidRPr="00F00842">
        <w:rPr>
          <w:sz w:val="24"/>
          <w:szCs w:val="24"/>
        </w:rPr>
        <w:t xml:space="preserve"> Details of the current ERO Reliability Standard processes are available on the NERC website at </w:t>
      </w:r>
      <w:hyperlink r:id="rId2" w:history="1">
        <w:r w:rsidRPr="00F00842">
          <w:rPr>
            <w:rStyle w:val="Hyperlink"/>
            <w:sz w:val="24"/>
            <w:szCs w:val="24"/>
          </w:rPr>
          <w:t>http://www.nerc.com</w:t>
        </w:r>
      </w:hyperlink>
      <w:r w:rsidRPr="00F00842">
        <w:rPr>
          <w:sz w:val="24"/>
          <w:szCs w:val="24"/>
        </w:rPr>
        <w:t xml:space="preserve"> .</w:t>
      </w:r>
    </w:p>
  </w:footnote>
  <w:footnote w:id="11">
    <w:p w14:paraId="6BA5F497" w14:textId="0FE6ED37" w:rsidR="007D2067" w:rsidRPr="00F00842" w:rsidRDefault="007D2067" w:rsidP="003757E9">
      <w:pPr>
        <w:pStyle w:val="FootnoteText"/>
        <w:spacing w:after="0"/>
        <w:ind w:firstLine="0"/>
        <w:rPr>
          <w:sz w:val="24"/>
          <w:szCs w:val="24"/>
        </w:rPr>
      </w:pPr>
      <w:r w:rsidRPr="00F00842">
        <w:rPr>
          <w:rStyle w:val="FootnoteReference"/>
          <w:b w:val="0"/>
          <w:sz w:val="24"/>
          <w:szCs w:val="24"/>
        </w:rPr>
        <w:footnoteRef/>
      </w:r>
      <w:r w:rsidRPr="00F00842">
        <w:rPr>
          <w:b/>
          <w:sz w:val="24"/>
          <w:szCs w:val="24"/>
        </w:rPr>
        <w:t xml:space="preserve"> </w:t>
      </w:r>
      <w:r w:rsidRPr="00F00842">
        <w:rPr>
          <w:sz w:val="24"/>
          <w:szCs w:val="24"/>
        </w:rPr>
        <w:t>84 FR 25249 (5/31/2019)</w:t>
      </w:r>
    </w:p>
  </w:footnote>
  <w:footnote w:id="12">
    <w:p w14:paraId="5C4B5530" w14:textId="2927134D" w:rsidR="007D2067" w:rsidRPr="003757E9" w:rsidRDefault="007D2067" w:rsidP="003757E9">
      <w:pPr>
        <w:pStyle w:val="FootnoteText"/>
        <w:spacing w:after="0"/>
        <w:ind w:firstLine="0"/>
        <w:rPr>
          <w:sz w:val="20"/>
        </w:rPr>
      </w:pPr>
      <w:r w:rsidRPr="00F00842">
        <w:rPr>
          <w:rStyle w:val="FootnoteReference"/>
          <w:b w:val="0"/>
          <w:sz w:val="24"/>
          <w:szCs w:val="24"/>
        </w:rPr>
        <w:footnoteRef/>
      </w:r>
      <w:r w:rsidRPr="00F00842">
        <w:rPr>
          <w:sz w:val="24"/>
          <w:szCs w:val="24"/>
        </w:rPr>
        <w:t xml:space="preserve"> </w:t>
      </w:r>
      <w:hyperlink r:id="rId3" w:history="1">
        <w:r w:rsidRPr="00F00842">
          <w:rPr>
            <w:rStyle w:val="Hyperlink"/>
            <w:sz w:val="24"/>
            <w:szCs w:val="24"/>
          </w:rPr>
          <w:t>84</w:t>
        </w:r>
      </w:hyperlink>
      <w:r w:rsidRPr="00F00842">
        <w:rPr>
          <w:rStyle w:val="Hyperlink"/>
          <w:sz w:val="24"/>
          <w:szCs w:val="24"/>
        </w:rPr>
        <w:t xml:space="preserve"> FR 43798 (8/22/2019)</w:t>
      </w:r>
    </w:p>
  </w:footnote>
  <w:footnote w:id="13">
    <w:p w14:paraId="0897AB5D" w14:textId="77777777" w:rsidR="007D2067" w:rsidRPr="00F00842" w:rsidRDefault="007D2067" w:rsidP="00F00842">
      <w:pPr>
        <w:pStyle w:val="FootnoteText"/>
        <w:spacing w:after="0"/>
        <w:ind w:firstLine="0"/>
        <w:rPr>
          <w:sz w:val="24"/>
          <w:szCs w:val="24"/>
        </w:rPr>
      </w:pPr>
      <w:r w:rsidRPr="00F00842">
        <w:rPr>
          <w:rStyle w:val="FootnoteReference"/>
          <w:sz w:val="24"/>
          <w:szCs w:val="24"/>
        </w:rPr>
        <w:footnoteRef/>
      </w:r>
      <w:r w:rsidRPr="00F00842">
        <w:rPr>
          <w:sz w:val="24"/>
          <w:szCs w:val="24"/>
        </w:rPr>
        <w:t xml:space="preserve"> Entities affected by the PRC-005-6 Reliability Standard are registered to serve any of the following roles: </w:t>
      </w:r>
    </w:p>
    <w:p w14:paraId="3D95BE11" w14:textId="77777777" w:rsidR="007D2067" w:rsidRPr="00F00842" w:rsidRDefault="007D2067" w:rsidP="00172437">
      <w:pPr>
        <w:pStyle w:val="FootnoteText"/>
        <w:widowControl/>
        <w:numPr>
          <w:ilvl w:val="0"/>
          <w:numId w:val="27"/>
        </w:numPr>
        <w:spacing w:after="0"/>
        <w:rPr>
          <w:sz w:val="24"/>
          <w:szCs w:val="24"/>
        </w:rPr>
      </w:pPr>
      <w:r w:rsidRPr="00F00842">
        <w:rPr>
          <w:sz w:val="24"/>
          <w:szCs w:val="24"/>
        </w:rPr>
        <w:t xml:space="preserve">PC=Planning Coordinators; </w:t>
      </w:r>
    </w:p>
    <w:p w14:paraId="34A95D41" w14:textId="77777777" w:rsidR="007D2067" w:rsidRPr="00F00842" w:rsidRDefault="007D2067" w:rsidP="00172437">
      <w:pPr>
        <w:pStyle w:val="FootnoteText"/>
        <w:widowControl/>
        <w:numPr>
          <w:ilvl w:val="0"/>
          <w:numId w:val="27"/>
        </w:numPr>
        <w:spacing w:after="0"/>
        <w:rPr>
          <w:sz w:val="24"/>
          <w:szCs w:val="24"/>
        </w:rPr>
      </w:pPr>
      <w:r w:rsidRPr="00F00842">
        <w:rPr>
          <w:sz w:val="24"/>
          <w:szCs w:val="24"/>
        </w:rPr>
        <w:t>GO=Generator Owners.</w:t>
      </w:r>
    </w:p>
    <w:p w14:paraId="606B609A" w14:textId="77777777" w:rsidR="007D2067" w:rsidRPr="00F035BD" w:rsidRDefault="007D2067" w:rsidP="00F00842">
      <w:pPr>
        <w:pStyle w:val="FootnoteText"/>
        <w:spacing w:after="0"/>
        <w:ind w:firstLine="0"/>
        <w:rPr>
          <w:szCs w:val="26"/>
        </w:rPr>
      </w:pPr>
      <w:r w:rsidRPr="00F00842">
        <w:rPr>
          <w:sz w:val="24"/>
          <w:szCs w:val="24"/>
        </w:rPr>
        <w:t>Some entities are registered to serve both roles.</w:t>
      </w:r>
    </w:p>
  </w:footnote>
  <w:footnote w:id="14">
    <w:p w14:paraId="1265D38F" w14:textId="77777777" w:rsidR="007D2067" w:rsidRPr="00F00842" w:rsidRDefault="007D2067" w:rsidP="00F00842">
      <w:pPr>
        <w:pStyle w:val="FootnoteText"/>
        <w:spacing w:after="0"/>
        <w:ind w:firstLine="0"/>
        <w:rPr>
          <w:sz w:val="24"/>
          <w:szCs w:val="24"/>
        </w:rPr>
      </w:pPr>
      <w:r w:rsidRPr="00F00842">
        <w:rPr>
          <w:rStyle w:val="FootnoteReference"/>
          <w:sz w:val="24"/>
          <w:szCs w:val="24"/>
        </w:rPr>
        <w:footnoteRef/>
      </w:r>
      <w:r w:rsidRPr="00F00842">
        <w:rPr>
          <w:sz w:val="24"/>
          <w:szCs w:val="24"/>
        </w:rPr>
        <w:t xml:space="preserve"> The estimated hourly cost (salary plus benefits) provided in this section is based on the salary figures (</w:t>
      </w:r>
      <w:hyperlink r:id="rId4" w:history="1">
        <w:r w:rsidRPr="00F00842">
          <w:rPr>
            <w:rStyle w:val="Hyperlink"/>
            <w:sz w:val="24"/>
            <w:szCs w:val="24"/>
          </w:rPr>
          <w:t>http://www.bls.gov/oes/current/naics2_22.htm</w:t>
        </w:r>
      </w:hyperlink>
      <w:r w:rsidRPr="00F00842">
        <w:rPr>
          <w:rStyle w:val="Hyperlink"/>
          <w:sz w:val="24"/>
          <w:szCs w:val="24"/>
        </w:rPr>
        <w:t>)</w:t>
      </w:r>
      <w:r w:rsidRPr="00F00842">
        <w:rPr>
          <w:sz w:val="24"/>
          <w:szCs w:val="24"/>
        </w:rPr>
        <w:t xml:space="preserve"> and benefits (</w:t>
      </w:r>
      <w:hyperlink r:id="rId5" w:history="1">
        <w:r w:rsidRPr="00F00842">
          <w:rPr>
            <w:rStyle w:val="Hyperlink"/>
            <w:sz w:val="24"/>
            <w:szCs w:val="24"/>
          </w:rPr>
          <w:t>http://www.bls.gov/news.release/ecec.nr0.htm</w:t>
        </w:r>
      </w:hyperlink>
      <w:r w:rsidRPr="00F00842">
        <w:rPr>
          <w:rStyle w:val="Hyperlink"/>
          <w:sz w:val="24"/>
          <w:szCs w:val="24"/>
        </w:rPr>
        <w:t>)</w:t>
      </w:r>
      <w:r w:rsidRPr="00F00842">
        <w:rPr>
          <w:sz w:val="24"/>
          <w:szCs w:val="24"/>
        </w:rPr>
        <w:t xml:space="preserve"> for May 2017 posted by the Bureau of Labor Statistics for the Utilities sector.  The hourly estimates for salary plus benefits are $66.90/hour based on the Electrical Engineering career (Occupation Code: 17-2071).</w:t>
      </w:r>
    </w:p>
  </w:footnote>
  <w:footnote w:id="15">
    <w:p w14:paraId="6771BFBB" w14:textId="77777777" w:rsidR="007D2067" w:rsidRPr="00F00842" w:rsidRDefault="007D2067" w:rsidP="00F00842">
      <w:pPr>
        <w:pStyle w:val="FootnoteText"/>
        <w:spacing w:after="0"/>
        <w:ind w:firstLine="0"/>
        <w:rPr>
          <w:sz w:val="24"/>
          <w:szCs w:val="24"/>
        </w:rPr>
      </w:pPr>
      <w:r w:rsidRPr="00F00842">
        <w:rPr>
          <w:rStyle w:val="FootnoteReference"/>
          <w:sz w:val="24"/>
          <w:szCs w:val="24"/>
        </w:rPr>
        <w:footnoteRef/>
      </w:r>
      <w:r w:rsidRPr="00F00842">
        <w:rPr>
          <w:sz w:val="24"/>
          <w:szCs w:val="24"/>
        </w:rPr>
        <w:t xml:space="preserve"> Total Annual Cost is rounded-up from $133,264.80 to $133,265.</w:t>
      </w:r>
    </w:p>
  </w:footnote>
  <w:footnote w:id="16">
    <w:p w14:paraId="2CD7804A" w14:textId="7BA3A696" w:rsidR="00E216BE" w:rsidRDefault="007D2067" w:rsidP="00F00842">
      <w:pPr>
        <w:pStyle w:val="FootnoteText"/>
        <w:spacing w:after="0"/>
        <w:ind w:firstLine="0"/>
        <w:rPr>
          <w:sz w:val="24"/>
          <w:szCs w:val="24"/>
        </w:rPr>
      </w:pPr>
      <w:r w:rsidRPr="00F00842">
        <w:rPr>
          <w:rStyle w:val="FootnoteReference"/>
          <w:sz w:val="24"/>
          <w:szCs w:val="24"/>
        </w:rPr>
        <w:footnoteRef/>
      </w:r>
      <w:r w:rsidRPr="00F00842">
        <w:rPr>
          <w:sz w:val="24"/>
          <w:szCs w:val="24"/>
        </w:rPr>
        <w:t xml:space="preserve"> </w:t>
      </w:r>
      <w:r w:rsidR="00AD78F3" w:rsidRPr="00AD78F3">
        <w:rPr>
          <w:sz w:val="24"/>
          <w:szCs w:val="24"/>
        </w:rPr>
        <w:t xml:space="preserve">Our estimates for the number of respondents are based on the NERC Compliance Registry </w:t>
      </w:r>
      <w:r w:rsidR="00090C19">
        <w:rPr>
          <w:sz w:val="24"/>
          <w:szCs w:val="24"/>
        </w:rPr>
        <w:t>showing</w:t>
      </w:r>
      <w:r w:rsidR="00AD78F3" w:rsidRPr="00AD78F3">
        <w:rPr>
          <w:sz w:val="24"/>
          <w:szCs w:val="24"/>
        </w:rPr>
        <w:t xml:space="preserve"> planning coordinators (PC) and generator owner</w:t>
      </w:r>
      <w:r w:rsidR="00090C19">
        <w:rPr>
          <w:sz w:val="24"/>
          <w:szCs w:val="24"/>
        </w:rPr>
        <w:t>s</w:t>
      </w:r>
      <w:r w:rsidR="00AD78F3" w:rsidRPr="00AD78F3">
        <w:rPr>
          <w:sz w:val="24"/>
          <w:szCs w:val="24"/>
        </w:rPr>
        <w:t xml:space="preserve"> (GO), within the United States.  </w:t>
      </w:r>
    </w:p>
    <w:p w14:paraId="11D55E46" w14:textId="65970A3A" w:rsidR="007D2067" w:rsidRPr="00F00842" w:rsidRDefault="007D2067" w:rsidP="00F00842">
      <w:pPr>
        <w:pStyle w:val="FootnoteText"/>
        <w:spacing w:after="0"/>
        <w:ind w:firstLine="0"/>
        <w:rPr>
          <w:sz w:val="24"/>
          <w:szCs w:val="24"/>
        </w:rPr>
      </w:pPr>
      <w:r w:rsidRPr="00F00842">
        <w:rPr>
          <w:sz w:val="24"/>
          <w:szCs w:val="24"/>
        </w:rPr>
        <w:t>20 (PC role only) + 927 (GO role only) + 49 (joint role as PC and GO) = 996 unique entities</w:t>
      </w:r>
    </w:p>
  </w:footnote>
  <w:footnote w:id="17">
    <w:p w14:paraId="418E6824" w14:textId="7A6821C9" w:rsidR="007D2067" w:rsidRPr="00F035BD" w:rsidRDefault="007D2067" w:rsidP="00F00842">
      <w:pPr>
        <w:pStyle w:val="FootnoteText"/>
        <w:spacing w:after="0"/>
        <w:ind w:firstLine="0"/>
        <w:rPr>
          <w:szCs w:val="26"/>
        </w:rPr>
      </w:pPr>
      <w:r w:rsidRPr="00F00842">
        <w:rPr>
          <w:rStyle w:val="FootnoteReference"/>
          <w:sz w:val="24"/>
          <w:szCs w:val="24"/>
        </w:rPr>
        <w:footnoteRef/>
      </w:r>
      <w:r w:rsidRPr="00F00842">
        <w:rPr>
          <w:sz w:val="24"/>
          <w:szCs w:val="24"/>
        </w:rPr>
        <w:t xml:space="preserve"> This number is rounded from $133,264.80</w:t>
      </w:r>
      <w:r w:rsidR="00D321E4">
        <w:rPr>
          <w:sz w:val="24"/>
          <w:szCs w:val="24"/>
        </w:rPr>
        <w:t>.</w:t>
      </w:r>
    </w:p>
  </w:footnote>
  <w:footnote w:id="18">
    <w:p w14:paraId="17CDABC3" w14:textId="2332C99D" w:rsidR="007D2067" w:rsidRPr="00840A91" w:rsidRDefault="007D2067" w:rsidP="00840A91">
      <w:pPr>
        <w:pStyle w:val="FootnoteText"/>
        <w:spacing w:after="0"/>
        <w:ind w:firstLine="0"/>
        <w:rPr>
          <w:sz w:val="24"/>
          <w:szCs w:val="24"/>
        </w:rPr>
      </w:pPr>
      <w:r w:rsidRPr="00840A91">
        <w:rPr>
          <w:rStyle w:val="FootnoteReference"/>
          <w:sz w:val="24"/>
          <w:szCs w:val="24"/>
        </w:rPr>
        <w:footnoteRef/>
      </w:r>
      <w:r w:rsidRPr="00840A91">
        <w:rPr>
          <w:sz w:val="24"/>
          <w:szCs w:val="24"/>
        </w:rPr>
        <w:t xml:space="preserve"> The estimate was updated 7/2019.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BC380" w14:textId="77777777" w:rsidR="00A2311E" w:rsidRDefault="00A231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33296" w14:textId="3D2A12CF" w:rsidR="007D2067" w:rsidRDefault="007D2067">
    <w:pPr>
      <w:pStyle w:val="Header"/>
      <w:rPr>
        <w:szCs w:val="26"/>
      </w:rPr>
    </w:pPr>
    <w:r w:rsidRPr="00A13551">
      <w:rPr>
        <w:szCs w:val="26"/>
      </w:rPr>
      <w:t>FERC-</w:t>
    </w:r>
    <w:r>
      <w:rPr>
        <w:szCs w:val="26"/>
      </w:rPr>
      <w:t>725P1</w:t>
    </w:r>
    <w:r w:rsidRPr="00A13551">
      <w:rPr>
        <w:szCs w:val="26"/>
      </w:rPr>
      <w:t xml:space="preserve"> (OMB Control No. 1902</w:t>
    </w:r>
    <w:r w:rsidRPr="00AB779E">
      <w:rPr>
        <w:szCs w:val="26"/>
      </w:rPr>
      <w:t>-</w:t>
    </w:r>
    <w:r>
      <w:rPr>
        <w:szCs w:val="26"/>
      </w:rPr>
      <w:t>0280</w:t>
    </w:r>
    <w:r w:rsidRPr="00AB779E">
      <w:rPr>
        <w:szCs w:val="26"/>
      </w:rPr>
      <w:t>)</w:t>
    </w:r>
  </w:p>
  <w:p w14:paraId="1220648C" w14:textId="7587F84C" w:rsidR="00090C19" w:rsidRPr="00087925" w:rsidRDefault="00090C19">
    <w:pPr>
      <w:pStyle w:val="Header"/>
      <w:rPr>
        <w:szCs w:val="26"/>
        <w:highlight w:val="yellow"/>
      </w:rPr>
    </w:pPr>
    <w:r>
      <w:rPr>
        <w:szCs w:val="26"/>
      </w:rPr>
      <w:t xml:space="preserve">(Renewal, </w:t>
    </w:r>
    <w:r w:rsidR="00A2311E">
      <w:rPr>
        <w:szCs w:val="26"/>
      </w:rPr>
      <w:t xml:space="preserve">in </w:t>
    </w:r>
    <w:r>
      <w:rPr>
        <w:szCs w:val="26"/>
      </w:rPr>
      <w:t>Docket No. IC19-23)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60C1D" w14:textId="77777777" w:rsidR="00A2311E" w:rsidRDefault="00A23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D6F"/>
    <w:multiLevelType w:val="hybridMultilevel"/>
    <w:tmpl w:val="3804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F37D5"/>
    <w:multiLevelType w:val="hybridMultilevel"/>
    <w:tmpl w:val="5E648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633D0A"/>
    <w:multiLevelType w:val="hybridMultilevel"/>
    <w:tmpl w:val="37369F70"/>
    <w:lvl w:ilvl="0" w:tplc="66C8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BA1EC1"/>
    <w:multiLevelType w:val="hybridMultilevel"/>
    <w:tmpl w:val="5C28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E05C5"/>
    <w:multiLevelType w:val="hybridMultilevel"/>
    <w:tmpl w:val="040EC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0631BD"/>
    <w:multiLevelType w:val="hybridMultilevel"/>
    <w:tmpl w:val="BA26EF54"/>
    <w:lvl w:ilvl="0" w:tplc="424E0E28">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15549"/>
    <w:multiLevelType w:val="hybridMultilevel"/>
    <w:tmpl w:val="B8AC1B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1A1318"/>
    <w:multiLevelType w:val="hybridMultilevel"/>
    <w:tmpl w:val="4C2A6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nsid w:val="3CF716F4"/>
    <w:multiLevelType w:val="hybridMultilevel"/>
    <w:tmpl w:val="AB22D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DA2535"/>
    <w:multiLevelType w:val="hybridMultilevel"/>
    <w:tmpl w:val="2468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E20BA"/>
    <w:multiLevelType w:val="hybridMultilevel"/>
    <w:tmpl w:val="705A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947BD2"/>
    <w:multiLevelType w:val="hybridMultilevel"/>
    <w:tmpl w:val="ACB29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FF114D"/>
    <w:multiLevelType w:val="hybridMultilevel"/>
    <w:tmpl w:val="5094B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4955CE"/>
    <w:multiLevelType w:val="hybridMultilevel"/>
    <w:tmpl w:val="3F96D202"/>
    <w:lvl w:ilvl="0" w:tplc="26F4CD08">
      <w:start w:val="1"/>
      <w:numFmt w:val="decimal"/>
      <w:pStyle w:val="FERCparanumb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CC1895"/>
    <w:multiLevelType w:val="hybridMultilevel"/>
    <w:tmpl w:val="A4E8DF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172529"/>
    <w:multiLevelType w:val="hybridMultilevel"/>
    <w:tmpl w:val="B936F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40E08"/>
    <w:multiLevelType w:val="hybridMultilevel"/>
    <w:tmpl w:val="DBF6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31521C9"/>
    <w:multiLevelType w:val="hybridMultilevel"/>
    <w:tmpl w:val="C1B8561C"/>
    <w:lvl w:ilvl="0" w:tplc="6D84D9DE">
      <w:start w:val="1"/>
      <w:numFmt w:val="decimal"/>
      <w:lvlText w:val="%1."/>
      <w:lvlJc w:val="left"/>
      <w:pPr>
        <w:tabs>
          <w:tab w:val="num" w:pos="720"/>
        </w:tabs>
        <w:ind w:left="0" w:firstLine="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6895"/>
    <w:multiLevelType w:val="hybridMultilevel"/>
    <w:tmpl w:val="EF8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EF0882"/>
    <w:multiLevelType w:val="hybridMultilevel"/>
    <w:tmpl w:val="272A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9334CE6"/>
    <w:multiLevelType w:val="hybridMultilevel"/>
    <w:tmpl w:val="BE30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DC3392"/>
    <w:multiLevelType w:val="hybridMultilevel"/>
    <w:tmpl w:val="32C64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613FFA"/>
    <w:multiLevelType w:val="hybridMultilevel"/>
    <w:tmpl w:val="5F40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75217B"/>
    <w:multiLevelType w:val="hybridMultilevel"/>
    <w:tmpl w:val="52B2E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633736"/>
    <w:multiLevelType w:val="hybridMultilevel"/>
    <w:tmpl w:val="C6507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7D865936"/>
    <w:multiLevelType w:val="hybridMultilevel"/>
    <w:tmpl w:val="4722348E"/>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7E4E4DD3"/>
    <w:multiLevelType w:val="hybridMultilevel"/>
    <w:tmpl w:val="F68E5210"/>
    <w:lvl w:ilvl="0" w:tplc="BF7A64A2">
      <w:start w:val="1"/>
      <w:numFmt w:val="decimal"/>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8"/>
  </w:num>
  <w:num w:numId="3">
    <w:abstractNumId w:val="22"/>
  </w:num>
  <w:num w:numId="4">
    <w:abstractNumId w:val="24"/>
  </w:num>
  <w:num w:numId="5">
    <w:abstractNumId w:val="7"/>
  </w:num>
  <w:num w:numId="6">
    <w:abstractNumId w:val="13"/>
  </w:num>
  <w:num w:numId="7">
    <w:abstractNumId w:val="12"/>
  </w:num>
  <w:num w:numId="8">
    <w:abstractNumId w:val="27"/>
  </w:num>
  <w:num w:numId="9">
    <w:abstractNumId w:val="2"/>
  </w:num>
  <w:num w:numId="10">
    <w:abstractNumId w:val="28"/>
  </w:num>
  <w:num w:numId="11">
    <w:abstractNumId w:val="1"/>
  </w:num>
  <w:num w:numId="12">
    <w:abstractNumId w:val="10"/>
  </w:num>
  <w:num w:numId="13">
    <w:abstractNumId w:val="23"/>
  </w:num>
  <w:num w:numId="14">
    <w:abstractNumId w:val="19"/>
  </w:num>
  <w:num w:numId="15">
    <w:abstractNumId w:val="29"/>
  </w:num>
  <w:num w:numId="16">
    <w:abstractNumId w:val="5"/>
  </w:num>
  <w:num w:numId="17">
    <w:abstractNumId w:val="9"/>
  </w:num>
  <w:num w:numId="18">
    <w:abstractNumId w:val="18"/>
  </w:num>
  <w:num w:numId="19">
    <w:abstractNumId w:val="25"/>
  </w:num>
  <w:num w:numId="20">
    <w:abstractNumId w:val="4"/>
  </w:num>
  <w:num w:numId="21">
    <w:abstractNumId w:val="3"/>
  </w:num>
  <w:num w:numId="22">
    <w:abstractNumId w:val="14"/>
  </w:num>
  <w:num w:numId="23">
    <w:abstractNumId w:val="20"/>
  </w:num>
  <w:num w:numId="24">
    <w:abstractNumId w:val="17"/>
  </w:num>
  <w:num w:numId="25">
    <w:abstractNumId w:val="30"/>
  </w:num>
  <w:num w:numId="26">
    <w:abstractNumId w:val="6"/>
  </w:num>
  <w:num w:numId="27">
    <w:abstractNumId w:val="21"/>
  </w:num>
  <w:num w:numId="28">
    <w:abstractNumId w:val="26"/>
  </w:num>
  <w:num w:numId="29">
    <w:abstractNumId w:val="11"/>
  </w:num>
  <w:num w:numId="30">
    <w:abstractNumId w:val="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CC4"/>
    <w:rsid w:val="00003CE1"/>
    <w:rsid w:val="00006B63"/>
    <w:rsid w:val="000125A6"/>
    <w:rsid w:val="0001300F"/>
    <w:rsid w:val="00016333"/>
    <w:rsid w:val="00017188"/>
    <w:rsid w:val="0002086D"/>
    <w:rsid w:val="0002242D"/>
    <w:rsid w:val="00026BBF"/>
    <w:rsid w:val="00035845"/>
    <w:rsid w:val="00040A41"/>
    <w:rsid w:val="00040F26"/>
    <w:rsid w:val="00044824"/>
    <w:rsid w:val="00046434"/>
    <w:rsid w:val="00047D6A"/>
    <w:rsid w:val="00047FEC"/>
    <w:rsid w:val="000515DD"/>
    <w:rsid w:val="00054BDD"/>
    <w:rsid w:val="000558CF"/>
    <w:rsid w:val="00055D18"/>
    <w:rsid w:val="00061171"/>
    <w:rsid w:val="00066272"/>
    <w:rsid w:val="00066332"/>
    <w:rsid w:val="00072F5E"/>
    <w:rsid w:val="00076F49"/>
    <w:rsid w:val="00077D2A"/>
    <w:rsid w:val="00080C15"/>
    <w:rsid w:val="00081AE2"/>
    <w:rsid w:val="00084093"/>
    <w:rsid w:val="00087925"/>
    <w:rsid w:val="00090C19"/>
    <w:rsid w:val="00092293"/>
    <w:rsid w:val="000964D1"/>
    <w:rsid w:val="000965F4"/>
    <w:rsid w:val="000A3EC7"/>
    <w:rsid w:val="000B0C37"/>
    <w:rsid w:val="000B1731"/>
    <w:rsid w:val="000B304B"/>
    <w:rsid w:val="000B5BDF"/>
    <w:rsid w:val="000C48E4"/>
    <w:rsid w:val="000C574F"/>
    <w:rsid w:val="000C5911"/>
    <w:rsid w:val="000D393A"/>
    <w:rsid w:val="000D4661"/>
    <w:rsid w:val="000E05DE"/>
    <w:rsid w:val="000E281C"/>
    <w:rsid w:val="000E73E9"/>
    <w:rsid w:val="000F3167"/>
    <w:rsid w:val="000F36C6"/>
    <w:rsid w:val="000F38AA"/>
    <w:rsid w:val="000F5965"/>
    <w:rsid w:val="000F5C85"/>
    <w:rsid w:val="001007E2"/>
    <w:rsid w:val="00104D09"/>
    <w:rsid w:val="0010626D"/>
    <w:rsid w:val="00113774"/>
    <w:rsid w:val="00114AAD"/>
    <w:rsid w:val="00115E3C"/>
    <w:rsid w:val="001178E9"/>
    <w:rsid w:val="0012226C"/>
    <w:rsid w:val="001236A8"/>
    <w:rsid w:val="00125FD1"/>
    <w:rsid w:val="0013054D"/>
    <w:rsid w:val="00130D2A"/>
    <w:rsid w:val="001324B3"/>
    <w:rsid w:val="00137515"/>
    <w:rsid w:val="0014047F"/>
    <w:rsid w:val="00141FF2"/>
    <w:rsid w:val="00143103"/>
    <w:rsid w:val="00157BFC"/>
    <w:rsid w:val="001625A2"/>
    <w:rsid w:val="0016470D"/>
    <w:rsid w:val="001662E7"/>
    <w:rsid w:val="00170C3B"/>
    <w:rsid w:val="00172437"/>
    <w:rsid w:val="00175F4F"/>
    <w:rsid w:val="00181727"/>
    <w:rsid w:val="00183BEF"/>
    <w:rsid w:val="00183E4B"/>
    <w:rsid w:val="0018519A"/>
    <w:rsid w:val="00185730"/>
    <w:rsid w:val="001904A5"/>
    <w:rsid w:val="001908C2"/>
    <w:rsid w:val="00191654"/>
    <w:rsid w:val="00191CFD"/>
    <w:rsid w:val="001920F4"/>
    <w:rsid w:val="00192737"/>
    <w:rsid w:val="00197BFB"/>
    <w:rsid w:val="001A1A1A"/>
    <w:rsid w:val="001A4B89"/>
    <w:rsid w:val="001A6FE7"/>
    <w:rsid w:val="001B5F2E"/>
    <w:rsid w:val="001C1BDA"/>
    <w:rsid w:val="001C284A"/>
    <w:rsid w:val="001C7F2B"/>
    <w:rsid w:val="001D0597"/>
    <w:rsid w:val="001D4B79"/>
    <w:rsid w:val="001D6B85"/>
    <w:rsid w:val="001D6BB3"/>
    <w:rsid w:val="001E7CB6"/>
    <w:rsid w:val="001F0D63"/>
    <w:rsid w:val="001F0F5A"/>
    <w:rsid w:val="001F1B35"/>
    <w:rsid w:val="001F1DF6"/>
    <w:rsid w:val="001F2568"/>
    <w:rsid w:val="001F3B98"/>
    <w:rsid w:val="001F65FC"/>
    <w:rsid w:val="001F776B"/>
    <w:rsid w:val="00206C84"/>
    <w:rsid w:val="002102D3"/>
    <w:rsid w:val="002120B4"/>
    <w:rsid w:val="002120F5"/>
    <w:rsid w:val="002162A8"/>
    <w:rsid w:val="00220E12"/>
    <w:rsid w:val="00223CBA"/>
    <w:rsid w:val="002266F5"/>
    <w:rsid w:val="00233C20"/>
    <w:rsid w:val="002343F5"/>
    <w:rsid w:val="002376FC"/>
    <w:rsid w:val="00247B6F"/>
    <w:rsid w:val="00251161"/>
    <w:rsid w:val="00257A93"/>
    <w:rsid w:val="002613E4"/>
    <w:rsid w:val="0026234B"/>
    <w:rsid w:val="002625B3"/>
    <w:rsid w:val="00263AAD"/>
    <w:rsid w:val="00265328"/>
    <w:rsid w:val="0026674D"/>
    <w:rsid w:val="00266784"/>
    <w:rsid w:val="00272FBF"/>
    <w:rsid w:val="0027461E"/>
    <w:rsid w:val="002748E7"/>
    <w:rsid w:val="00281255"/>
    <w:rsid w:val="00287421"/>
    <w:rsid w:val="0029126C"/>
    <w:rsid w:val="00292FAF"/>
    <w:rsid w:val="002939A6"/>
    <w:rsid w:val="002A28F1"/>
    <w:rsid w:val="002B13E2"/>
    <w:rsid w:val="002B3B80"/>
    <w:rsid w:val="002B4041"/>
    <w:rsid w:val="002B47EF"/>
    <w:rsid w:val="002C07FB"/>
    <w:rsid w:val="002C0DC5"/>
    <w:rsid w:val="002C3651"/>
    <w:rsid w:val="002C37FD"/>
    <w:rsid w:val="002C54C7"/>
    <w:rsid w:val="002C6C16"/>
    <w:rsid w:val="002D1DB6"/>
    <w:rsid w:val="002D273A"/>
    <w:rsid w:val="002D3EFA"/>
    <w:rsid w:val="002D6010"/>
    <w:rsid w:val="002D737B"/>
    <w:rsid w:val="002E185A"/>
    <w:rsid w:val="002E4237"/>
    <w:rsid w:val="002F5149"/>
    <w:rsid w:val="002F5A68"/>
    <w:rsid w:val="0030691A"/>
    <w:rsid w:val="003101A7"/>
    <w:rsid w:val="00312D79"/>
    <w:rsid w:val="00313CA4"/>
    <w:rsid w:val="00314A0B"/>
    <w:rsid w:val="00325F2E"/>
    <w:rsid w:val="00334EAB"/>
    <w:rsid w:val="003373BC"/>
    <w:rsid w:val="00337C1F"/>
    <w:rsid w:val="00340A9C"/>
    <w:rsid w:val="0034146E"/>
    <w:rsid w:val="003418CC"/>
    <w:rsid w:val="00345C0F"/>
    <w:rsid w:val="0034742B"/>
    <w:rsid w:val="00361F90"/>
    <w:rsid w:val="00364963"/>
    <w:rsid w:val="00365A41"/>
    <w:rsid w:val="003757E9"/>
    <w:rsid w:val="00380094"/>
    <w:rsid w:val="00380519"/>
    <w:rsid w:val="00382D1C"/>
    <w:rsid w:val="00383952"/>
    <w:rsid w:val="0038397C"/>
    <w:rsid w:val="00391185"/>
    <w:rsid w:val="00391981"/>
    <w:rsid w:val="003929C9"/>
    <w:rsid w:val="003A121A"/>
    <w:rsid w:val="003A6137"/>
    <w:rsid w:val="003A69A4"/>
    <w:rsid w:val="003B0CBE"/>
    <w:rsid w:val="003B390D"/>
    <w:rsid w:val="003B4CD3"/>
    <w:rsid w:val="003B506D"/>
    <w:rsid w:val="003B7D63"/>
    <w:rsid w:val="003C074E"/>
    <w:rsid w:val="003C131E"/>
    <w:rsid w:val="003C2527"/>
    <w:rsid w:val="003C36C3"/>
    <w:rsid w:val="003C4B76"/>
    <w:rsid w:val="003C5F59"/>
    <w:rsid w:val="003E1161"/>
    <w:rsid w:val="003E14C2"/>
    <w:rsid w:val="003E3C50"/>
    <w:rsid w:val="003E562F"/>
    <w:rsid w:val="003F32EE"/>
    <w:rsid w:val="003F7D3D"/>
    <w:rsid w:val="00402589"/>
    <w:rsid w:val="00403CA4"/>
    <w:rsid w:val="00403F18"/>
    <w:rsid w:val="00407B78"/>
    <w:rsid w:val="00413695"/>
    <w:rsid w:val="00413E87"/>
    <w:rsid w:val="00414F32"/>
    <w:rsid w:val="0041558F"/>
    <w:rsid w:val="00416A61"/>
    <w:rsid w:val="0042095B"/>
    <w:rsid w:val="004237EC"/>
    <w:rsid w:val="004331B5"/>
    <w:rsid w:val="004341F5"/>
    <w:rsid w:val="004403F8"/>
    <w:rsid w:val="00441079"/>
    <w:rsid w:val="00442FF5"/>
    <w:rsid w:val="004478C0"/>
    <w:rsid w:val="00454FB3"/>
    <w:rsid w:val="0046088C"/>
    <w:rsid w:val="00461330"/>
    <w:rsid w:val="00463399"/>
    <w:rsid w:val="004654B7"/>
    <w:rsid w:val="004656BB"/>
    <w:rsid w:val="00467B68"/>
    <w:rsid w:val="00467EC9"/>
    <w:rsid w:val="004704C3"/>
    <w:rsid w:val="00475100"/>
    <w:rsid w:val="00475748"/>
    <w:rsid w:val="0048116A"/>
    <w:rsid w:val="0048121C"/>
    <w:rsid w:val="0048274C"/>
    <w:rsid w:val="00483AE6"/>
    <w:rsid w:val="00484FEF"/>
    <w:rsid w:val="004A1B27"/>
    <w:rsid w:val="004A328D"/>
    <w:rsid w:val="004A3872"/>
    <w:rsid w:val="004B02ED"/>
    <w:rsid w:val="004B339A"/>
    <w:rsid w:val="004B43E6"/>
    <w:rsid w:val="004B6D19"/>
    <w:rsid w:val="004B6F85"/>
    <w:rsid w:val="004C4C89"/>
    <w:rsid w:val="004D20D7"/>
    <w:rsid w:val="004D227C"/>
    <w:rsid w:val="004D3EDB"/>
    <w:rsid w:val="004D5759"/>
    <w:rsid w:val="004E0A6A"/>
    <w:rsid w:val="004E2FB0"/>
    <w:rsid w:val="004E3D70"/>
    <w:rsid w:val="004E5F1F"/>
    <w:rsid w:val="004F5375"/>
    <w:rsid w:val="004F6977"/>
    <w:rsid w:val="004F76B6"/>
    <w:rsid w:val="00502DDD"/>
    <w:rsid w:val="00505C63"/>
    <w:rsid w:val="00510DAD"/>
    <w:rsid w:val="00514C2F"/>
    <w:rsid w:val="0051540C"/>
    <w:rsid w:val="00517450"/>
    <w:rsid w:val="00522F69"/>
    <w:rsid w:val="00525341"/>
    <w:rsid w:val="00526F05"/>
    <w:rsid w:val="005315CA"/>
    <w:rsid w:val="00531EDC"/>
    <w:rsid w:val="00532537"/>
    <w:rsid w:val="0053287C"/>
    <w:rsid w:val="00533079"/>
    <w:rsid w:val="00540D88"/>
    <w:rsid w:val="0054515D"/>
    <w:rsid w:val="00545E31"/>
    <w:rsid w:val="005542D9"/>
    <w:rsid w:val="005560A2"/>
    <w:rsid w:val="0056200B"/>
    <w:rsid w:val="00571847"/>
    <w:rsid w:val="00571C5E"/>
    <w:rsid w:val="00574DA1"/>
    <w:rsid w:val="00575726"/>
    <w:rsid w:val="005763C9"/>
    <w:rsid w:val="0057700F"/>
    <w:rsid w:val="00577D51"/>
    <w:rsid w:val="00581724"/>
    <w:rsid w:val="005876BD"/>
    <w:rsid w:val="00591AB0"/>
    <w:rsid w:val="0059412A"/>
    <w:rsid w:val="00596052"/>
    <w:rsid w:val="0059684A"/>
    <w:rsid w:val="005A2792"/>
    <w:rsid w:val="005B09C3"/>
    <w:rsid w:val="005B2FDC"/>
    <w:rsid w:val="005B56AF"/>
    <w:rsid w:val="005B77CE"/>
    <w:rsid w:val="005B7DE4"/>
    <w:rsid w:val="005C08D5"/>
    <w:rsid w:val="005C36B0"/>
    <w:rsid w:val="005C443A"/>
    <w:rsid w:val="005C48BB"/>
    <w:rsid w:val="005D78E6"/>
    <w:rsid w:val="005D7FFC"/>
    <w:rsid w:val="005E3029"/>
    <w:rsid w:val="005E4483"/>
    <w:rsid w:val="005F1594"/>
    <w:rsid w:val="005F1C3C"/>
    <w:rsid w:val="005F4501"/>
    <w:rsid w:val="005F546A"/>
    <w:rsid w:val="005F587E"/>
    <w:rsid w:val="00600501"/>
    <w:rsid w:val="00602B1D"/>
    <w:rsid w:val="006055FC"/>
    <w:rsid w:val="00615F42"/>
    <w:rsid w:val="006166FA"/>
    <w:rsid w:val="00620867"/>
    <w:rsid w:val="006232D1"/>
    <w:rsid w:val="00624632"/>
    <w:rsid w:val="00624834"/>
    <w:rsid w:val="00626BB9"/>
    <w:rsid w:val="00626F2D"/>
    <w:rsid w:val="00632B16"/>
    <w:rsid w:val="0063362C"/>
    <w:rsid w:val="00635CA0"/>
    <w:rsid w:val="00640E19"/>
    <w:rsid w:val="00641EFB"/>
    <w:rsid w:val="0065682B"/>
    <w:rsid w:val="00664BC0"/>
    <w:rsid w:val="006703FC"/>
    <w:rsid w:val="006747A4"/>
    <w:rsid w:val="00685B21"/>
    <w:rsid w:val="00690136"/>
    <w:rsid w:val="00694BC4"/>
    <w:rsid w:val="006A1B0E"/>
    <w:rsid w:val="006A239B"/>
    <w:rsid w:val="006A4C63"/>
    <w:rsid w:val="006A510E"/>
    <w:rsid w:val="006A6C9E"/>
    <w:rsid w:val="006B07E8"/>
    <w:rsid w:val="006C10EE"/>
    <w:rsid w:val="006C5B0F"/>
    <w:rsid w:val="006D079B"/>
    <w:rsid w:val="006D5207"/>
    <w:rsid w:val="006E0484"/>
    <w:rsid w:val="006E0BDA"/>
    <w:rsid w:val="006E0D79"/>
    <w:rsid w:val="006E0EF9"/>
    <w:rsid w:val="006E7324"/>
    <w:rsid w:val="006E79CC"/>
    <w:rsid w:val="006E7F02"/>
    <w:rsid w:val="006F2F9D"/>
    <w:rsid w:val="006F5B92"/>
    <w:rsid w:val="006F6744"/>
    <w:rsid w:val="006F7D0E"/>
    <w:rsid w:val="007044C2"/>
    <w:rsid w:val="00711F7A"/>
    <w:rsid w:val="00714F89"/>
    <w:rsid w:val="00717C31"/>
    <w:rsid w:val="007211E5"/>
    <w:rsid w:val="0072366E"/>
    <w:rsid w:val="00725A8A"/>
    <w:rsid w:val="00726341"/>
    <w:rsid w:val="00727155"/>
    <w:rsid w:val="0072782A"/>
    <w:rsid w:val="00730A00"/>
    <w:rsid w:val="00732959"/>
    <w:rsid w:val="007401B3"/>
    <w:rsid w:val="0074069F"/>
    <w:rsid w:val="00746357"/>
    <w:rsid w:val="00746ED5"/>
    <w:rsid w:val="00747C32"/>
    <w:rsid w:val="00751112"/>
    <w:rsid w:val="007512DC"/>
    <w:rsid w:val="00756BA7"/>
    <w:rsid w:val="0076017D"/>
    <w:rsid w:val="00760B7C"/>
    <w:rsid w:val="00761221"/>
    <w:rsid w:val="00762605"/>
    <w:rsid w:val="00762BAB"/>
    <w:rsid w:val="007637A8"/>
    <w:rsid w:val="007646B2"/>
    <w:rsid w:val="00764BC0"/>
    <w:rsid w:val="00764E29"/>
    <w:rsid w:val="00766EA3"/>
    <w:rsid w:val="007704C5"/>
    <w:rsid w:val="00772C3F"/>
    <w:rsid w:val="007735D7"/>
    <w:rsid w:val="00773AEB"/>
    <w:rsid w:val="0078025C"/>
    <w:rsid w:val="00783A94"/>
    <w:rsid w:val="00785072"/>
    <w:rsid w:val="0078521D"/>
    <w:rsid w:val="00787670"/>
    <w:rsid w:val="007879AE"/>
    <w:rsid w:val="0079397E"/>
    <w:rsid w:val="007942EE"/>
    <w:rsid w:val="00795616"/>
    <w:rsid w:val="00795DEB"/>
    <w:rsid w:val="00796931"/>
    <w:rsid w:val="007A1A24"/>
    <w:rsid w:val="007A2F92"/>
    <w:rsid w:val="007A4F46"/>
    <w:rsid w:val="007B213A"/>
    <w:rsid w:val="007B7DD6"/>
    <w:rsid w:val="007C3591"/>
    <w:rsid w:val="007C399A"/>
    <w:rsid w:val="007C6ED1"/>
    <w:rsid w:val="007C729E"/>
    <w:rsid w:val="007D07DD"/>
    <w:rsid w:val="007D1731"/>
    <w:rsid w:val="007D1D0D"/>
    <w:rsid w:val="007D2067"/>
    <w:rsid w:val="007D2432"/>
    <w:rsid w:val="007D366A"/>
    <w:rsid w:val="007D69FF"/>
    <w:rsid w:val="007E0F5B"/>
    <w:rsid w:val="007E2274"/>
    <w:rsid w:val="007E7C0F"/>
    <w:rsid w:val="007E7E53"/>
    <w:rsid w:val="007F1BB4"/>
    <w:rsid w:val="007F596A"/>
    <w:rsid w:val="007F67F1"/>
    <w:rsid w:val="00800E46"/>
    <w:rsid w:val="0080194B"/>
    <w:rsid w:val="008037DE"/>
    <w:rsid w:val="0080458F"/>
    <w:rsid w:val="008155DC"/>
    <w:rsid w:val="00816112"/>
    <w:rsid w:val="008163AF"/>
    <w:rsid w:val="00823B1B"/>
    <w:rsid w:val="0082668A"/>
    <w:rsid w:val="00827C18"/>
    <w:rsid w:val="00830794"/>
    <w:rsid w:val="00832F79"/>
    <w:rsid w:val="008344B1"/>
    <w:rsid w:val="00835457"/>
    <w:rsid w:val="00840A91"/>
    <w:rsid w:val="00841758"/>
    <w:rsid w:val="00842C9F"/>
    <w:rsid w:val="00844559"/>
    <w:rsid w:val="00845060"/>
    <w:rsid w:val="008463D3"/>
    <w:rsid w:val="008464CA"/>
    <w:rsid w:val="0085339F"/>
    <w:rsid w:val="00854FB0"/>
    <w:rsid w:val="008619E1"/>
    <w:rsid w:val="00863223"/>
    <w:rsid w:val="00864BB0"/>
    <w:rsid w:val="00866F91"/>
    <w:rsid w:val="00873F87"/>
    <w:rsid w:val="0087430F"/>
    <w:rsid w:val="00876F75"/>
    <w:rsid w:val="0088434C"/>
    <w:rsid w:val="008860D9"/>
    <w:rsid w:val="00892073"/>
    <w:rsid w:val="008948C8"/>
    <w:rsid w:val="00894DCE"/>
    <w:rsid w:val="00896275"/>
    <w:rsid w:val="008A21A4"/>
    <w:rsid w:val="008A5B49"/>
    <w:rsid w:val="008A7D93"/>
    <w:rsid w:val="008B187A"/>
    <w:rsid w:val="008B45EB"/>
    <w:rsid w:val="008B6D5A"/>
    <w:rsid w:val="008B703B"/>
    <w:rsid w:val="008C288D"/>
    <w:rsid w:val="008C3579"/>
    <w:rsid w:val="008C3710"/>
    <w:rsid w:val="008D20EF"/>
    <w:rsid w:val="008E6EC9"/>
    <w:rsid w:val="008E70CD"/>
    <w:rsid w:val="008F1572"/>
    <w:rsid w:val="008F4C0A"/>
    <w:rsid w:val="008F4F08"/>
    <w:rsid w:val="008F54D4"/>
    <w:rsid w:val="008F5AA2"/>
    <w:rsid w:val="008F63C6"/>
    <w:rsid w:val="00903093"/>
    <w:rsid w:val="00904581"/>
    <w:rsid w:val="00905A0C"/>
    <w:rsid w:val="00906B3E"/>
    <w:rsid w:val="0090741D"/>
    <w:rsid w:val="009075A8"/>
    <w:rsid w:val="00913A8B"/>
    <w:rsid w:val="00920098"/>
    <w:rsid w:val="009238E1"/>
    <w:rsid w:val="00932CFE"/>
    <w:rsid w:val="009347E1"/>
    <w:rsid w:val="00937E89"/>
    <w:rsid w:val="00945CC1"/>
    <w:rsid w:val="00950C29"/>
    <w:rsid w:val="00951DFE"/>
    <w:rsid w:val="009547E8"/>
    <w:rsid w:val="00967C5B"/>
    <w:rsid w:val="00970FE4"/>
    <w:rsid w:val="00976D64"/>
    <w:rsid w:val="00985703"/>
    <w:rsid w:val="00986CD7"/>
    <w:rsid w:val="00987A1B"/>
    <w:rsid w:val="00990301"/>
    <w:rsid w:val="00993113"/>
    <w:rsid w:val="00997F3D"/>
    <w:rsid w:val="009A1AAE"/>
    <w:rsid w:val="009A2D25"/>
    <w:rsid w:val="009A4321"/>
    <w:rsid w:val="009A5730"/>
    <w:rsid w:val="009A680E"/>
    <w:rsid w:val="009A7005"/>
    <w:rsid w:val="009A74FD"/>
    <w:rsid w:val="009B2F8C"/>
    <w:rsid w:val="009B3189"/>
    <w:rsid w:val="009C07F8"/>
    <w:rsid w:val="009C125C"/>
    <w:rsid w:val="009C5B89"/>
    <w:rsid w:val="009D7EF5"/>
    <w:rsid w:val="009E1190"/>
    <w:rsid w:val="009E4840"/>
    <w:rsid w:val="009E5CEF"/>
    <w:rsid w:val="009E65F7"/>
    <w:rsid w:val="009E79D7"/>
    <w:rsid w:val="009F21B0"/>
    <w:rsid w:val="009F332A"/>
    <w:rsid w:val="009F5FF5"/>
    <w:rsid w:val="009F7B29"/>
    <w:rsid w:val="00A0452A"/>
    <w:rsid w:val="00A04A2B"/>
    <w:rsid w:val="00A058DF"/>
    <w:rsid w:val="00A0607C"/>
    <w:rsid w:val="00A067F6"/>
    <w:rsid w:val="00A11001"/>
    <w:rsid w:val="00A13551"/>
    <w:rsid w:val="00A2311E"/>
    <w:rsid w:val="00A23734"/>
    <w:rsid w:val="00A276F5"/>
    <w:rsid w:val="00A2773F"/>
    <w:rsid w:val="00A318A5"/>
    <w:rsid w:val="00A3582B"/>
    <w:rsid w:val="00A36C5F"/>
    <w:rsid w:val="00A4149E"/>
    <w:rsid w:val="00A42D65"/>
    <w:rsid w:val="00A53290"/>
    <w:rsid w:val="00A54DF3"/>
    <w:rsid w:val="00A57CCF"/>
    <w:rsid w:val="00A60392"/>
    <w:rsid w:val="00A60B34"/>
    <w:rsid w:val="00A624E2"/>
    <w:rsid w:val="00A637EA"/>
    <w:rsid w:val="00A64B42"/>
    <w:rsid w:val="00A663C5"/>
    <w:rsid w:val="00A67479"/>
    <w:rsid w:val="00A71D1B"/>
    <w:rsid w:val="00A72282"/>
    <w:rsid w:val="00A72E7B"/>
    <w:rsid w:val="00A7548D"/>
    <w:rsid w:val="00A77F07"/>
    <w:rsid w:val="00A802DF"/>
    <w:rsid w:val="00A81DBD"/>
    <w:rsid w:val="00A84A03"/>
    <w:rsid w:val="00A86E52"/>
    <w:rsid w:val="00A879CA"/>
    <w:rsid w:val="00A9513C"/>
    <w:rsid w:val="00A96B65"/>
    <w:rsid w:val="00A97886"/>
    <w:rsid w:val="00A978BD"/>
    <w:rsid w:val="00AA4829"/>
    <w:rsid w:val="00AA4F0A"/>
    <w:rsid w:val="00AA6384"/>
    <w:rsid w:val="00AA6860"/>
    <w:rsid w:val="00AA785E"/>
    <w:rsid w:val="00AB2B5C"/>
    <w:rsid w:val="00AB4172"/>
    <w:rsid w:val="00AB4D48"/>
    <w:rsid w:val="00AB58A0"/>
    <w:rsid w:val="00AB742F"/>
    <w:rsid w:val="00AB779E"/>
    <w:rsid w:val="00AC4EA7"/>
    <w:rsid w:val="00AC6361"/>
    <w:rsid w:val="00AC6DD6"/>
    <w:rsid w:val="00AD3A95"/>
    <w:rsid w:val="00AD3BD2"/>
    <w:rsid w:val="00AD3DE5"/>
    <w:rsid w:val="00AD78F3"/>
    <w:rsid w:val="00AD7B46"/>
    <w:rsid w:val="00AD7C5F"/>
    <w:rsid w:val="00AE0122"/>
    <w:rsid w:val="00AE4E16"/>
    <w:rsid w:val="00AE6D6E"/>
    <w:rsid w:val="00AF24BB"/>
    <w:rsid w:val="00AF3005"/>
    <w:rsid w:val="00AF3DF2"/>
    <w:rsid w:val="00AF5495"/>
    <w:rsid w:val="00AF596F"/>
    <w:rsid w:val="00B01E0D"/>
    <w:rsid w:val="00B02CB3"/>
    <w:rsid w:val="00B052D2"/>
    <w:rsid w:val="00B10572"/>
    <w:rsid w:val="00B120BA"/>
    <w:rsid w:val="00B14F4F"/>
    <w:rsid w:val="00B16297"/>
    <w:rsid w:val="00B27601"/>
    <w:rsid w:val="00B30CBD"/>
    <w:rsid w:val="00B3300B"/>
    <w:rsid w:val="00B34397"/>
    <w:rsid w:val="00B52F52"/>
    <w:rsid w:val="00B600BA"/>
    <w:rsid w:val="00B60B6B"/>
    <w:rsid w:val="00B61A33"/>
    <w:rsid w:val="00B6220F"/>
    <w:rsid w:val="00B74279"/>
    <w:rsid w:val="00B7469E"/>
    <w:rsid w:val="00B81322"/>
    <w:rsid w:val="00B81AB3"/>
    <w:rsid w:val="00B81D44"/>
    <w:rsid w:val="00B9579D"/>
    <w:rsid w:val="00B965F3"/>
    <w:rsid w:val="00BA1C7D"/>
    <w:rsid w:val="00BA1CD5"/>
    <w:rsid w:val="00BA503C"/>
    <w:rsid w:val="00BA5299"/>
    <w:rsid w:val="00BA5961"/>
    <w:rsid w:val="00BA7C56"/>
    <w:rsid w:val="00BB6054"/>
    <w:rsid w:val="00BB77ED"/>
    <w:rsid w:val="00BC3795"/>
    <w:rsid w:val="00BC75D0"/>
    <w:rsid w:val="00BC7C64"/>
    <w:rsid w:val="00BD066D"/>
    <w:rsid w:val="00BD217A"/>
    <w:rsid w:val="00BE1DE1"/>
    <w:rsid w:val="00BE228E"/>
    <w:rsid w:val="00BE3871"/>
    <w:rsid w:val="00BE54BC"/>
    <w:rsid w:val="00BF1282"/>
    <w:rsid w:val="00BF7B9F"/>
    <w:rsid w:val="00C01698"/>
    <w:rsid w:val="00C02748"/>
    <w:rsid w:val="00C07792"/>
    <w:rsid w:val="00C13720"/>
    <w:rsid w:val="00C17780"/>
    <w:rsid w:val="00C17D0A"/>
    <w:rsid w:val="00C22E5E"/>
    <w:rsid w:val="00C273C8"/>
    <w:rsid w:val="00C303DC"/>
    <w:rsid w:val="00C34C7E"/>
    <w:rsid w:val="00C357BA"/>
    <w:rsid w:val="00C361D7"/>
    <w:rsid w:val="00C37C97"/>
    <w:rsid w:val="00C40730"/>
    <w:rsid w:val="00C40F36"/>
    <w:rsid w:val="00C44FD5"/>
    <w:rsid w:val="00C45A0D"/>
    <w:rsid w:val="00C4635B"/>
    <w:rsid w:val="00C50D12"/>
    <w:rsid w:val="00C510DD"/>
    <w:rsid w:val="00C512B3"/>
    <w:rsid w:val="00C52E83"/>
    <w:rsid w:val="00C57271"/>
    <w:rsid w:val="00C63136"/>
    <w:rsid w:val="00C63A57"/>
    <w:rsid w:val="00C63D68"/>
    <w:rsid w:val="00C6405B"/>
    <w:rsid w:val="00C6552B"/>
    <w:rsid w:val="00C66CD2"/>
    <w:rsid w:val="00C7148B"/>
    <w:rsid w:val="00C72C12"/>
    <w:rsid w:val="00C743F1"/>
    <w:rsid w:val="00C80DCE"/>
    <w:rsid w:val="00C86731"/>
    <w:rsid w:val="00C91E9A"/>
    <w:rsid w:val="00C9582C"/>
    <w:rsid w:val="00C95B7C"/>
    <w:rsid w:val="00C96572"/>
    <w:rsid w:val="00CA0FA0"/>
    <w:rsid w:val="00CA21DF"/>
    <w:rsid w:val="00CA495F"/>
    <w:rsid w:val="00CA59C3"/>
    <w:rsid w:val="00CB1335"/>
    <w:rsid w:val="00CC4FAD"/>
    <w:rsid w:val="00CD22DA"/>
    <w:rsid w:val="00CD37F8"/>
    <w:rsid w:val="00CD3A0D"/>
    <w:rsid w:val="00CD3C8E"/>
    <w:rsid w:val="00CE285F"/>
    <w:rsid w:val="00CE2D53"/>
    <w:rsid w:val="00CE36D5"/>
    <w:rsid w:val="00CE4736"/>
    <w:rsid w:val="00CE6468"/>
    <w:rsid w:val="00CF00DA"/>
    <w:rsid w:val="00CF4A2E"/>
    <w:rsid w:val="00CF7B7F"/>
    <w:rsid w:val="00D00089"/>
    <w:rsid w:val="00D00935"/>
    <w:rsid w:val="00D038EC"/>
    <w:rsid w:val="00D03F10"/>
    <w:rsid w:val="00D0532B"/>
    <w:rsid w:val="00D05CA4"/>
    <w:rsid w:val="00D106AE"/>
    <w:rsid w:val="00D12836"/>
    <w:rsid w:val="00D14739"/>
    <w:rsid w:val="00D204A2"/>
    <w:rsid w:val="00D23806"/>
    <w:rsid w:val="00D2526D"/>
    <w:rsid w:val="00D264CD"/>
    <w:rsid w:val="00D301FD"/>
    <w:rsid w:val="00D3076B"/>
    <w:rsid w:val="00D321E4"/>
    <w:rsid w:val="00D54DFD"/>
    <w:rsid w:val="00D625C0"/>
    <w:rsid w:val="00D64E4E"/>
    <w:rsid w:val="00D660D3"/>
    <w:rsid w:val="00D752A1"/>
    <w:rsid w:val="00D77AEA"/>
    <w:rsid w:val="00D80FBD"/>
    <w:rsid w:val="00D838B1"/>
    <w:rsid w:val="00D85C5B"/>
    <w:rsid w:val="00D95E09"/>
    <w:rsid w:val="00D97DB0"/>
    <w:rsid w:val="00DA17C5"/>
    <w:rsid w:val="00DA646E"/>
    <w:rsid w:val="00DA72AF"/>
    <w:rsid w:val="00DB6E17"/>
    <w:rsid w:val="00DC4E36"/>
    <w:rsid w:val="00DD0510"/>
    <w:rsid w:val="00DD233E"/>
    <w:rsid w:val="00DE04D1"/>
    <w:rsid w:val="00DE0E34"/>
    <w:rsid w:val="00DE2779"/>
    <w:rsid w:val="00DF39FE"/>
    <w:rsid w:val="00E01409"/>
    <w:rsid w:val="00E0171E"/>
    <w:rsid w:val="00E04114"/>
    <w:rsid w:val="00E07A1C"/>
    <w:rsid w:val="00E07E7D"/>
    <w:rsid w:val="00E11CA6"/>
    <w:rsid w:val="00E12167"/>
    <w:rsid w:val="00E13E96"/>
    <w:rsid w:val="00E14565"/>
    <w:rsid w:val="00E20587"/>
    <w:rsid w:val="00E20612"/>
    <w:rsid w:val="00E216BE"/>
    <w:rsid w:val="00E23CD9"/>
    <w:rsid w:val="00E25BCE"/>
    <w:rsid w:val="00E32C15"/>
    <w:rsid w:val="00E357A1"/>
    <w:rsid w:val="00E35F0F"/>
    <w:rsid w:val="00E3613F"/>
    <w:rsid w:val="00E40EC8"/>
    <w:rsid w:val="00E43BFB"/>
    <w:rsid w:val="00E4624D"/>
    <w:rsid w:val="00E462BF"/>
    <w:rsid w:val="00E466CE"/>
    <w:rsid w:val="00E524B7"/>
    <w:rsid w:val="00E52E4D"/>
    <w:rsid w:val="00E553D7"/>
    <w:rsid w:val="00E56680"/>
    <w:rsid w:val="00E623F7"/>
    <w:rsid w:val="00E636D7"/>
    <w:rsid w:val="00E705EA"/>
    <w:rsid w:val="00E73F64"/>
    <w:rsid w:val="00E74428"/>
    <w:rsid w:val="00E758ED"/>
    <w:rsid w:val="00E76B67"/>
    <w:rsid w:val="00E80113"/>
    <w:rsid w:val="00E81FB0"/>
    <w:rsid w:val="00E82E18"/>
    <w:rsid w:val="00E87A4F"/>
    <w:rsid w:val="00E9555B"/>
    <w:rsid w:val="00E96D7A"/>
    <w:rsid w:val="00E97E29"/>
    <w:rsid w:val="00EA0A18"/>
    <w:rsid w:val="00EA2220"/>
    <w:rsid w:val="00EA5A55"/>
    <w:rsid w:val="00EB3E6F"/>
    <w:rsid w:val="00EB4D6D"/>
    <w:rsid w:val="00EB5A27"/>
    <w:rsid w:val="00EC04B1"/>
    <w:rsid w:val="00EC4BCE"/>
    <w:rsid w:val="00EC520C"/>
    <w:rsid w:val="00ED28F2"/>
    <w:rsid w:val="00ED3C95"/>
    <w:rsid w:val="00ED5560"/>
    <w:rsid w:val="00ED65C5"/>
    <w:rsid w:val="00EE1B8F"/>
    <w:rsid w:val="00EE2020"/>
    <w:rsid w:val="00EF4749"/>
    <w:rsid w:val="00EF5FDE"/>
    <w:rsid w:val="00EF6962"/>
    <w:rsid w:val="00F00842"/>
    <w:rsid w:val="00F02FEB"/>
    <w:rsid w:val="00F1142E"/>
    <w:rsid w:val="00F11EED"/>
    <w:rsid w:val="00F12DC2"/>
    <w:rsid w:val="00F13794"/>
    <w:rsid w:val="00F13898"/>
    <w:rsid w:val="00F152DF"/>
    <w:rsid w:val="00F21880"/>
    <w:rsid w:val="00F25629"/>
    <w:rsid w:val="00F2758C"/>
    <w:rsid w:val="00F32D23"/>
    <w:rsid w:val="00F37C56"/>
    <w:rsid w:val="00F37EA3"/>
    <w:rsid w:val="00F40FFD"/>
    <w:rsid w:val="00F415C8"/>
    <w:rsid w:val="00F43765"/>
    <w:rsid w:val="00F47ED2"/>
    <w:rsid w:val="00F61893"/>
    <w:rsid w:val="00F630B7"/>
    <w:rsid w:val="00F631D3"/>
    <w:rsid w:val="00F66F64"/>
    <w:rsid w:val="00F70245"/>
    <w:rsid w:val="00F749A4"/>
    <w:rsid w:val="00F8311D"/>
    <w:rsid w:val="00F84A10"/>
    <w:rsid w:val="00F86375"/>
    <w:rsid w:val="00F869E5"/>
    <w:rsid w:val="00F941E3"/>
    <w:rsid w:val="00F9482C"/>
    <w:rsid w:val="00F95CEE"/>
    <w:rsid w:val="00FA25F9"/>
    <w:rsid w:val="00FA5222"/>
    <w:rsid w:val="00FA75D2"/>
    <w:rsid w:val="00FA762D"/>
    <w:rsid w:val="00FB0476"/>
    <w:rsid w:val="00FB2433"/>
    <w:rsid w:val="00FB2DA3"/>
    <w:rsid w:val="00FB7E56"/>
    <w:rsid w:val="00FC26A1"/>
    <w:rsid w:val="00FC66A2"/>
    <w:rsid w:val="00FC6C3B"/>
    <w:rsid w:val="00FC7A36"/>
    <w:rsid w:val="00FC7EA7"/>
    <w:rsid w:val="00FD25C8"/>
    <w:rsid w:val="00FD5ACF"/>
    <w:rsid w:val="00FD66F1"/>
    <w:rsid w:val="00FE1D33"/>
    <w:rsid w:val="00FE53C7"/>
    <w:rsid w:val="00FE6B4D"/>
    <w:rsid w:val="00FF18DF"/>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53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uiPriority w:val="99"/>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uiPriority w:val="99"/>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0468">
      <w:bodyDiv w:val="1"/>
      <w:marLeft w:val="0"/>
      <w:marRight w:val="0"/>
      <w:marTop w:val="0"/>
      <w:marBottom w:val="0"/>
      <w:divBdr>
        <w:top w:val="none" w:sz="0" w:space="0" w:color="auto"/>
        <w:left w:val="none" w:sz="0" w:space="0" w:color="auto"/>
        <w:bottom w:val="none" w:sz="0" w:space="0" w:color="auto"/>
        <w:right w:val="none" w:sz="0" w:space="0" w:color="auto"/>
      </w:divBdr>
    </w:div>
    <w:div w:id="268591806">
      <w:bodyDiv w:val="1"/>
      <w:marLeft w:val="0"/>
      <w:marRight w:val="0"/>
      <w:marTop w:val="0"/>
      <w:marBottom w:val="0"/>
      <w:divBdr>
        <w:top w:val="none" w:sz="0" w:space="0" w:color="auto"/>
        <w:left w:val="none" w:sz="0" w:space="0" w:color="auto"/>
        <w:bottom w:val="none" w:sz="0" w:space="0" w:color="auto"/>
        <w:right w:val="none" w:sz="0" w:space="0" w:color="auto"/>
      </w:divBdr>
    </w:div>
    <w:div w:id="421993725">
      <w:bodyDiv w:val="1"/>
      <w:marLeft w:val="0"/>
      <w:marRight w:val="0"/>
      <w:marTop w:val="0"/>
      <w:marBottom w:val="0"/>
      <w:divBdr>
        <w:top w:val="none" w:sz="0" w:space="0" w:color="auto"/>
        <w:left w:val="none" w:sz="0" w:space="0" w:color="auto"/>
        <w:bottom w:val="none" w:sz="0" w:space="0" w:color="auto"/>
        <w:right w:val="none" w:sz="0" w:space="0" w:color="auto"/>
      </w:divBdr>
    </w:div>
    <w:div w:id="445851296">
      <w:bodyDiv w:val="1"/>
      <w:marLeft w:val="0"/>
      <w:marRight w:val="0"/>
      <w:marTop w:val="0"/>
      <w:marBottom w:val="0"/>
      <w:divBdr>
        <w:top w:val="none" w:sz="0" w:space="0" w:color="auto"/>
        <w:left w:val="none" w:sz="0" w:space="0" w:color="auto"/>
        <w:bottom w:val="none" w:sz="0" w:space="0" w:color="auto"/>
        <w:right w:val="none" w:sz="0" w:space="0" w:color="auto"/>
      </w:divBdr>
    </w:div>
    <w:div w:id="479855767">
      <w:bodyDiv w:val="1"/>
      <w:marLeft w:val="0"/>
      <w:marRight w:val="0"/>
      <w:marTop w:val="0"/>
      <w:marBottom w:val="0"/>
      <w:divBdr>
        <w:top w:val="none" w:sz="0" w:space="0" w:color="auto"/>
        <w:left w:val="none" w:sz="0" w:space="0" w:color="auto"/>
        <w:bottom w:val="none" w:sz="0" w:space="0" w:color="auto"/>
        <w:right w:val="none" w:sz="0" w:space="0" w:color="auto"/>
      </w:divBdr>
    </w:div>
    <w:div w:id="617564368">
      <w:bodyDiv w:val="1"/>
      <w:marLeft w:val="0"/>
      <w:marRight w:val="0"/>
      <w:marTop w:val="0"/>
      <w:marBottom w:val="0"/>
      <w:divBdr>
        <w:top w:val="none" w:sz="0" w:space="0" w:color="auto"/>
        <w:left w:val="none" w:sz="0" w:space="0" w:color="auto"/>
        <w:bottom w:val="none" w:sz="0" w:space="0" w:color="auto"/>
        <w:right w:val="none" w:sz="0" w:space="0" w:color="auto"/>
      </w:divBdr>
    </w:div>
    <w:div w:id="711656887">
      <w:bodyDiv w:val="1"/>
      <w:marLeft w:val="0"/>
      <w:marRight w:val="0"/>
      <w:marTop w:val="0"/>
      <w:marBottom w:val="0"/>
      <w:divBdr>
        <w:top w:val="none" w:sz="0" w:space="0" w:color="auto"/>
        <w:left w:val="none" w:sz="0" w:space="0" w:color="auto"/>
        <w:bottom w:val="none" w:sz="0" w:space="0" w:color="auto"/>
        <w:right w:val="none" w:sz="0" w:space="0" w:color="auto"/>
      </w:divBdr>
    </w:div>
    <w:div w:id="727647904">
      <w:bodyDiv w:val="1"/>
      <w:marLeft w:val="0"/>
      <w:marRight w:val="0"/>
      <w:marTop w:val="0"/>
      <w:marBottom w:val="0"/>
      <w:divBdr>
        <w:top w:val="none" w:sz="0" w:space="0" w:color="auto"/>
        <w:left w:val="none" w:sz="0" w:space="0" w:color="auto"/>
        <w:bottom w:val="none" w:sz="0" w:space="0" w:color="auto"/>
        <w:right w:val="none" w:sz="0" w:space="0" w:color="auto"/>
      </w:divBdr>
    </w:div>
    <w:div w:id="728572530">
      <w:bodyDiv w:val="1"/>
      <w:marLeft w:val="0"/>
      <w:marRight w:val="0"/>
      <w:marTop w:val="0"/>
      <w:marBottom w:val="0"/>
      <w:divBdr>
        <w:top w:val="none" w:sz="0" w:space="0" w:color="auto"/>
        <w:left w:val="none" w:sz="0" w:space="0" w:color="auto"/>
        <w:bottom w:val="none" w:sz="0" w:space="0" w:color="auto"/>
        <w:right w:val="none" w:sz="0" w:space="0" w:color="auto"/>
      </w:divBdr>
    </w:div>
    <w:div w:id="730928173">
      <w:bodyDiv w:val="1"/>
      <w:marLeft w:val="0"/>
      <w:marRight w:val="0"/>
      <w:marTop w:val="0"/>
      <w:marBottom w:val="0"/>
      <w:divBdr>
        <w:top w:val="none" w:sz="0" w:space="0" w:color="auto"/>
        <w:left w:val="none" w:sz="0" w:space="0" w:color="auto"/>
        <w:bottom w:val="none" w:sz="0" w:space="0" w:color="auto"/>
        <w:right w:val="none" w:sz="0" w:space="0" w:color="auto"/>
      </w:divBdr>
    </w:div>
    <w:div w:id="952639996">
      <w:bodyDiv w:val="1"/>
      <w:marLeft w:val="0"/>
      <w:marRight w:val="0"/>
      <w:marTop w:val="0"/>
      <w:marBottom w:val="0"/>
      <w:divBdr>
        <w:top w:val="none" w:sz="0" w:space="0" w:color="auto"/>
        <w:left w:val="none" w:sz="0" w:space="0" w:color="auto"/>
        <w:bottom w:val="none" w:sz="0" w:space="0" w:color="auto"/>
        <w:right w:val="none" w:sz="0" w:space="0" w:color="auto"/>
      </w:divBdr>
    </w:div>
    <w:div w:id="1006859342">
      <w:bodyDiv w:val="1"/>
      <w:marLeft w:val="0"/>
      <w:marRight w:val="0"/>
      <w:marTop w:val="0"/>
      <w:marBottom w:val="0"/>
      <w:divBdr>
        <w:top w:val="none" w:sz="0" w:space="0" w:color="auto"/>
        <w:left w:val="none" w:sz="0" w:space="0" w:color="auto"/>
        <w:bottom w:val="none" w:sz="0" w:space="0" w:color="auto"/>
        <w:right w:val="none" w:sz="0" w:space="0" w:color="auto"/>
      </w:divBdr>
    </w:div>
    <w:div w:id="1203203282">
      <w:bodyDiv w:val="1"/>
      <w:marLeft w:val="0"/>
      <w:marRight w:val="0"/>
      <w:marTop w:val="0"/>
      <w:marBottom w:val="0"/>
      <w:divBdr>
        <w:top w:val="none" w:sz="0" w:space="0" w:color="auto"/>
        <w:left w:val="none" w:sz="0" w:space="0" w:color="auto"/>
        <w:bottom w:val="none" w:sz="0" w:space="0" w:color="auto"/>
        <w:right w:val="none" w:sz="0" w:space="0" w:color="auto"/>
      </w:divBdr>
    </w:div>
    <w:div w:id="1262370407">
      <w:bodyDiv w:val="1"/>
      <w:marLeft w:val="0"/>
      <w:marRight w:val="0"/>
      <w:marTop w:val="0"/>
      <w:marBottom w:val="0"/>
      <w:divBdr>
        <w:top w:val="none" w:sz="0" w:space="0" w:color="auto"/>
        <w:left w:val="none" w:sz="0" w:space="0" w:color="auto"/>
        <w:bottom w:val="none" w:sz="0" w:space="0" w:color="auto"/>
        <w:right w:val="none" w:sz="0" w:space="0" w:color="auto"/>
      </w:divBdr>
    </w:div>
    <w:div w:id="1354920624">
      <w:bodyDiv w:val="1"/>
      <w:marLeft w:val="0"/>
      <w:marRight w:val="0"/>
      <w:marTop w:val="0"/>
      <w:marBottom w:val="0"/>
      <w:divBdr>
        <w:top w:val="none" w:sz="0" w:space="0" w:color="auto"/>
        <w:left w:val="none" w:sz="0" w:space="0" w:color="auto"/>
        <w:bottom w:val="none" w:sz="0" w:space="0" w:color="auto"/>
        <w:right w:val="none" w:sz="0" w:space="0" w:color="auto"/>
      </w:divBdr>
    </w:div>
    <w:div w:id="1431001859">
      <w:bodyDiv w:val="1"/>
      <w:marLeft w:val="0"/>
      <w:marRight w:val="0"/>
      <w:marTop w:val="0"/>
      <w:marBottom w:val="0"/>
      <w:divBdr>
        <w:top w:val="none" w:sz="0" w:space="0" w:color="auto"/>
        <w:left w:val="none" w:sz="0" w:space="0" w:color="auto"/>
        <w:bottom w:val="none" w:sz="0" w:space="0" w:color="auto"/>
        <w:right w:val="none" w:sz="0" w:space="0" w:color="auto"/>
      </w:divBdr>
    </w:div>
    <w:div w:id="1691684141">
      <w:bodyDiv w:val="1"/>
      <w:marLeft w:val="0"/>
      <w:marRight w:val="0"/>
      <w:marTop w:val="0"/>
      <w:marBottom w:val="0"/>
      <w:divBdr>
        <w:top w:val="none" w:sz="0" w:space="0" w:color="auto"/>
        <w:left w:val="none" w:sz="0" w:space="0" w:color="auto"/>
        <w:bottom w:val="none" w:sz="0" w:space="0" w:color="auto"/>
        <w:right w:val="none" w:sz="0" w:space="0" w:color="auto"/>
      </w:divBdr>
    </w:div>
    <w:div w:id="1729106083">
      <w:bodyDiv w:val="1"/>
      <w:marLeft w:val="0"/>
      <w:marRight w:val="0"/>
      <w:marTop w:val="0"/>
      <w:marBottom w:val="0"/>
      <w:divBdr>
        <w:top w:val="none" w:sz="0" w:space="0" w:color="auto"/>
        <w:left w:val="none" w:sz="0" w:space="0" w:color="auto"/>
        <w:bottom w:val="none" w:sz="0" w:space="0" w:color="auto"/>
        <w:right w:val="none" w:sz="0" w:space="0" w:color="auto"/>
      </w:divBdr>
      <w:divsChild>
        <w:div w:id="363334496">
          <w:marLeft w:val="0"/>
          <w:marRight w:val="0"/>
          <w:marTop w:val="0"/>
          <w:marBottom w:val="0"/>
          <w:divBdr>
            <w:top w:val="none" w:sz="0" w:space="0" w:color="auto"/>
            <w:left w:val="none" w:sz="0" w:space="0" w:color="auto"/>
            <w:bottom w:val="none" w:sz="0" w:space="0" w:color="auto"/>
            <w:right w:val="none" w:sz="0" w:space="0" w:color="auto"/>
          </w:divBdr>
          <w:divsChild>
            <w:div w:id="5713477">
              <w:marLeft w:val="0"/>
              <w:marRight w:val="0"/>
              <w:marTop w:val="0"/>
              <w:marBottom w:val="0"/>
              <w:divBdr>
                <w:top w:val="none" w:sz="0" w:space="0" w:color="auto"/>
                <w:left w:val="none" w:sz="0" w:space="0" w:color="auto"/>
                <w:bottom w:val="none" w:sz="0" w:space="0" w:color="auto"/>
                <w:right w:val="none" w:sz="0" w:space="0" w:color="auto"/>
              </w:divBdr>
              <w:divsChild>
                <w:div w:id="1894735358">
                  <w:marLeft w:val="0"/>
                  <w:marRight w:val="0"/>
                  <w:marTop w:val="0"/>
                  <w:marBottom w:val="0"/>
                  <w:divBdr>
                    <w:top w:val="none" w:sz="0" w:space="0" w:color="auto"/>
                    <w:left w:val="none" w:sz="0" w:space="0" w:color="auto"/>
                    <w:bottom w:val="none" w:sz="0" w:space="0" w:color="auto"/>
                    <w:right w:val="none" w:sz="0" w:space="0" w:color="auto"/>
                  </w:divBdr>
                  <w:divsChild>
                    <w:div w:id="2026636678">
                      <w:marLeft w:val="0"/>
                      <w:marRight w:val="0"/>
                      <w:marTop w:val="0"/>
                      <w:marBottom w:val="0"/>
                      <w:divBdr>
                        <w:top w:val="none" w:sz="0" w:space="0" w:color="auto"/>
                        <w:left w:val="none" w:sz="0" w:space="0" w:color="auto"/>
                        <w:bottom w:val="none" w:sz="0" w:space="0" w:color="auto"/>
                        <w:right w:val="none" w:sz="0" w:space="0" w:color="auto"/>
                      </w:divBdr>
                      <w:divsChild>
                        <w:div w:id="715393361">
                          <w:marLeft w:val="0"/>
                          <w:marRight w:val="0"/>
                          <w:marTop w:val="0"/>
                          <w:marBottom w:val="0"/>
                          <w:divBdr>
                            <w:top w:val="none" w:sz="0" w:space="0" w:color="auto"/>
                            <w:left w:val="none" w:sz="0" w:space="0" w:color="auto"/>
                            <w:bottom w:val="none" w:sz="0" w:space="0" w:color="auto"/>
                            <w:right w:val="none" w:sz="0" w:space="0" w:color="auto"/>
                          </w:divBdr>
                          <w:divsChild>
                            <w:div w:id="402993040">
                              <w:marLeft w:val="0"/>
                              <w:marRight w:val="0"/>
                              <w:marTop w:val="0"/>
                              <w:marBottom w:val="0"/>
                              <w:divBdr>
                                <w:top w:val="single" w:sz="6" w:space="0" w:color="auto"/>
                                <w:left w:val="single" w:sz="6" w:space="0" w:color="auto"/>
                                <w:bottom w:val="single" w:sz="6" w:space="0" w:color="auto"/>
                                <w:right w:val="single" w:sz="6" w:space="0" w:color="auto"/>
                              </w:divBdr>
                              <w:divsChild>
                                <w:div w:id="836773394">
                                  <w:marLeft w:val="0"/>
                                  <w:marRight w:val="195"/>
                                  <w:marTop w:val="0"/>
                                  <w:marBottom w:val="0"/>
                                  <w:divBdr>
                                    <w:top w:val="none" w:sz="0" w:space="0" w:color="auto"/>
                                    <w:left w:val="none" w:sz="0" w:space="0" w:color="auto"/>
                                    <w:bottom w:val="none" w:sz="0" w:space="0" w:color="auto"/>
                                    <w:right w:val="none" w:sz="0" w:space="0" w:color="auto"/>
                                  </w:divBdr>
                                  <w:divsChild>
                                    <w:div w:id="375933214">
                                      <w:marLeft w:val="0"/>
                                      <w:marRight w:val="0"/>
                                      <w:marTop w:val="0"/>
                                      <w:marBottom w:val="0"/>
                                      <w:divBdr>
                                        <w:top w:val="none" w:sz="0" w:space="0" w:color="auto"/>
                                        <w:left w:val="none" w:sz="0" w:space="0" w:color="auto"/>
                                        <w:bottom w:val="none" w:sz="0" w:space="0" w:color="auto"/>
                                        <w:right w:val="none" w:sz="0" w:space="0" w:color="auto"/>
                                      </w:divBdr>
                                      <w:divsChild>
                                        <w:div w:id="1576553995">
                                          <w:marLeft w:val="0"/>
                                          <w:marRight w:val="195"/>
                                          <w:marTop w:val="0"/>
                                          <w:marBottom w:val="0"/>
                                          <w:divBdr>
                                            <w:top w:val="none" w:sz="0" w:space="0" w:color="auto"/>
                                            <w:left w:val="none" w:sz="0" w:space="0" w:color="auto"/>
                                            <w:bottom w:val="none" w:sz="0" w:space="0" w:color="auto"/>
                                            <w:right w:val="none" w:sz="0" w:space="0" w:color="auto"/>
                                          </w:divBdr>
                                          <w:divsChild>
                                            <w:div w:id="222299442">
                                              <w:marLeft w:val="0"/>
                                              <w:marRight w:val="0"/>
                                              <w:marTop w:val="0"/>
                                              <w:marBottom w:val="0"/>
                                              <w:divBdr>
                                                <w:top w:val="none" w:sz="0" w:space="0" w:color="auto"/>
                                                <w:left w:val="none" w:sz="0" w:space="0" w:color="auto"/>
                                                <w:bottom w:val="none" w:sz="0" w:space="0" w:color="auto"/>
                                                <w:right w:val="none" w:sz="0" w:space="0" w:color="auto"/>
                                              </w:divBdr>
                                              <w:divsChild>
                                                <w:div w:id="1871722730">
                                                  <w:marLeft w:val="0"/>
                                                  <w:marRight w:val="0"/>
                                                  <w:marTop w:val="0"/>
                                                  <w:marBottom w:val="0"/>
                                                  <w:divBdr>
                                                    <w:top w:val="none" w:sz="0" w:space="0" w:color="auto"/>
                                                    <w:left w:val="none" w:sz="0" w:space="0" w:color="auto"/>
                                                    <w:bottom w:val="none" w:sz="0" w:space="0" w:color="auto"/>
                                                    <w:right w:val="none" w:sz="0" w:space="0" w:color="auto"/>
                                                  </w:divBdr>
                                                  <w:divsChild>
                                                    <w:div w:id="1396198682">
                                                      <w:marLeft w:val="0"/>
                                                      <w:marRight w:val="0"/>
                                                      <w:marTop w:val="0"/>
                                                      <w:marBottom w:val="0"/>
                                                      <w:divBdr>
                                                        <w:top w:val="none" w:sz="0" w:space="0" w:color="auto"/>
                                                        <w:left w:val="none" w:sz="0" w:space="0" w:color="auto"/>
                                                        <w:bottom w:val="none" w:sz="0" w:space="0" w:color="auto"/>
                                                        <w:right w:val="none" w:sz="0" w:space="0" w:color="auto"/>
                                                      </w:divBdr>
                                                      <w:divsChild>
                                                        <w:div w:id="713626554">
                                                          <w:marLeft w:val="0"/>
                                                          <w:marRight w:val="0"/>
                                                          <w:marTop w:val="0"/>
                                                          <w:marBottom w:val="0"/>
                                                          <w:divBdr>
                                                            <w:top w:val="none" w:sz="0" w:space="0" w:color="auto"/>
                                                            <w:left w:val="none" w:sz="0" w:space="0" w:color="auto"/>
                                                            <w:bottom w:val="none" w:sz="0" w:space="0" w:color="auto"/>
                                                            <w:right w:val="none" w:sz="0" w:space="0" w:color="auto"/>
                                                          </w:divBdr>
                                                          <w:divsChild>
                                                            <w:div w:id="1555777122">
                                                              <w:marLeft w:val="0"/>
                                                              <w:marRight w:val="0"/>
                                                              <w:marTop w:val="0"/>
                                                              <w:marBottom w:val="0"/>
                                                              <w:divBdr>
                                                                <w:top w:val="none" w:sz="0" w:space="0" w:color="auto"/>
                                                                <w:left w:val="none" w:sz="0" w:space="0" w:color="auto"/>
                                                                <w:bottom w:val="none" w:sz="0" w:space="0" w:color="auto"/>
                                                                <w:right w:val="none" w:sz="0" w:space="0" w:color="auto"/>
                                                              </w:divBdr>
                                                              <w:divsChild>
                                                                <w:div w:id="447504980">
                                                                  <w:marLeft w:val="405"/>
                                                                  <w:marRight w:val="0"/>
                                                                  <w:marTop w:val="0"/>
                                                                  <w:marBottom w:val="0"/>
                                                                  <w:divBdr>
                                                                    <w:top w:val="none" w:sz="0" w:space="0" w:color="auto"/>
                                                                    <w:left w:val="none" w:sz="0" w:space="0" w:color="auto"/>
                                                                    <w:bottom w:val="none" w:sz="0" w:space="0" w:color="auto"/>
                                                                    <w:right w:val="none" w:sz="0" w:space="0" w:color="auto"/>
                                                                  </w:divBdr>
                                                                  <w:divsChild>
                                                                    <w:div w:id="391733856">
                                                                      <w:marLeft w:val="0"/>
                                                                      <w:marRight w:val="0"/>
                                                                      <w:marTop w:val="0"/>
                                                                      <w:marBottom w:val="0"/>
                                                                      <w:divBdr>
                                                                        <w:top w:val="none" w:sz="0" w:space="0" w:color="auto"/>
                                                                        <w:left w:val="none" w:sz="0" w:space="0" w:color="auto"/>
                                                                        <w:bottom w:val="none" w:sz="0" w:space="0" w:color="auto"/>
                                                                        <w:right w:val="none" w:sz="0" w:space="0" w:color="auto"/>
                                                                      </w:divBdr>
                                                                      <w:divsChild>
                                                                        <w:div w:id="1173766332">
                                                                          <w:marLeft w:val="0"/>
                                                                          <w:marRight w:val="0"/>
                                                                          <w:marTop w:val="0"/>
                                                                          <w:marBottom w:val="0"/>
                                                                          <w:divBdr>
                                                                            <w:top w:val="none" w:sz="0" w:space="0" w:color="auto"/>
                                                                            <w:left w:val="none" w:sz="0" w:space="0" w:color="auto"/>
                                                                            <w:bottom w:val="none" w:sz="0" w:space="0" w:color="auto"/>
                                                                            <w:right w:val="none" w:sz="0" w:space="0" w:color="auto"/>
                                                                          </w:divBdr>
                                                                          <w:divsChild>
                                                                            <w:div w:id="2126804478">
                                                                              <w:marLeft w:val="0"/>
                                                                              <w:marRight w:val="0"/>
                                                                              <w:marTop w:val="0"/>
                                                                              <w:marBottom w:val="0"/>
                                                                              <w:divBdr>
                                                                                <w:top w:val="none" w:sz="0" w:space="0" w:color="auto"/>
                                                                                <w:left w:val="none" w:sz="0" w:space="0" w:color="auto"/>
                                                                                <w:bottom w:val="none" w:sz="0" w:space="0" w:color="auto"/>
                                                                                <w:right w:val="none" w:sz="0" w:space="0" w:color="auto"/>
                                                                              </w:divBdr>
                                                                              <w:divsChild>
                                                                                <w:div w:id="1202787776">
                                                                                  <w:marLeft w:val="0"/>
                                                                                  <w:marRight w:val="0"/>
                                                                                  <w:marTop w:val="0"/>
                                                                                  <w:marBottom w:val="0"/>
                                                                                  <w:divBdr>
                                                                                    <w:top w:val="none" w:sz="0" w:space="0" w:color="auto"/>
                                                                                    <w:left w:val="none" w:sz="0" w:space="0" w:color="auto"/>
                                                                                    <w:bottom w:val="none" w:sz="0" w:space="0" w:color="auto"/>
                                                                                    <w:right w:val="none" w:sz="0" w:space="0" w:color="auto"/>
                                                                                  </w:divBdr>
                                                                                  <w:divsChild>
                                                                                    <w:div w:id="979991883">
                                                                                      <w:marLeft w:val="0"/>
                                                                                      <w:marRight w:val="0"/>
                                                                                      <w:marTop w:val="0"/>
                                                                                      <w:marBottom w:val="0"/>
                                                                                      <w:divBdr>
                                                                                        <w:top w:val="none" w:sz="0" w:space="0" w:color="auto"/>
                                                                                        <w:left w:val="none" w:sz="0" w:space="0" w:color="auto"/>
                                                                                        <w:bottom w:val="none" w:sz="0" w:space="0" w:color="auto"/>
                                                                                        <w:right w:val="none" w:sz="0" w:space="0" w:color="auto"/>
                                                                                      </w:divBdr>
                                                                                      <w:divsChild>
                                                                                        <w:div w:id="402025701">
                                                                                          <w:marLeft w:val="0"/>
                                                                                          <w:marRight w:val="0"/>
                                                                                          <w:marTop w:val="0"/>
                                                                                          <w:marBottom w:val="0"/>
                                                                                          <w:divBdr>
                                                                                            <w:top w:val="none" w:sz="0" w:space="0" w:color="auto"/>
                                                                                            <w:left w:val="none" w:sz="0" w:space="0" w:color="auto"/>
                                                                                            <w:bottom w:val="none" w:sz="0" w:space="0" w:color="auto"/>
                                                                                            <w:right w:val="none" w:sz="0" w:space="0" w:color="auto"/>
                                                                                          </w:divBdr>
                                                                                          <w:divsChild>
                                                                                            <w:div w:id="1403060605">
                                                                                              <w:marLeft w:val="0"/>
                                                                                              <w:marRight w:val="150"/>
                                                                                              <w:marTop w:val="75"/>
                                                                                              <w:marBottom w:val="0"/>
                                                                                              <w:divBdr>
                                                                                                <w:top w:val="none" w:sz="0" w:space="0" w:color="auto"/>
                                                                                                <w:left w:val="none" w:sz="0" w:space="0" w:color="auto"/>
                                                                                                <w:bottom w:val="single" w:sz="6" w:space="15" w:color="auto"/>
                                                                                                <w:right w:val="none" w:sz="0" w:space="0" w:color="auto"/>
                                                                                              </w:divBdr>
                                                                                              <w:divsChild>
                                                                                                <w:div w:id="2081631567">
                                                                                                  <w:marLeft w:val="1200"/>
                                                                                                  <w:marRight w:val="0"/>
                                                                                                  <w:marTop w:val="180"/>
                                                                                                  <w:marBottom w:val="0"/>
                                                                                                  <w:divBdr>
                                                                                                    <w:top w:val="none" w:sz="0" w:space="0" w:color="auto"/>
                                                                                                    <w:left w:val="none" w:sz="0" w:space="0" w:color="auto"/>
                                                                                                    <w:bottom w:val="none" w:sz="0" w:space="0" w:color="auto"/>
                                                                                                    <w:right w:val="none" w:sz="0" w:space="0" w:color="auto"/>
                                                                                                  </w:divBdr>
                                                                                                  <w:divsChild>
                                                                                                    <w:div w:id="534196524">
                                                                                                      <w:marLeft w:val="0"/>
                                                                                                      <w:marRight w:val="0"/>
                                                                                                      <w:marTop w:val="0"/>
                                                                                                      <w:marBottom w:val="0"/>
                                                                                                      <w:divBdr>
                                                                                                        <w:top w:val="none" w:sz="0" w:space="0" w:color="auto"/>
                                                                                                        <w:left w:val="none" w:sz="0" w:space="0" w:color="auto"/>
                                                                                                        <w:bottom w:val="none" w:sz="0" w:space="0" w:color="auto"/>
                                                                                                        <w:right w:val="none" w:sz="0" w:space="0" w:color="auto"/>
                                                                                                      </w:divBdr>
                                                                                                      <w:divsChild>
                                                                                                        <w:div w:id="1177043376">
                                                                                                          <w:marLeft w:val="0"/>
                                                                                                          <w:marRight w:val="0"/>
                                                                                                          <w:marTop w:val="15"/>
                                                                                                          <w:marBottom w:val="0"/>
                                                                                                          <w:divBdr>
                                                                                                            <w:top w:val="none" w:sz="0" w:space="0" w:color="auto"/>
                                                                                                            <w:left w:val="none" w:sz="0" w:space="0" w:color="auto"/>
                                                                                                            <w:bottom w:val="none" w:sz="0" w:space="0" w:color="auto"/>
                                                                                                            <w:right w:val="none" w:sz="0" w:space="0" w:color="auto"/>
                                                                                                          </w:divBdr>
                                                                                                          <w:divsChild>
                                                                                                            <w:div w:id="528375553">
                                                                                                              <w:marLeft w:val="0"/>
                                                                                                              <w:marRight w:val="0"/>
                                                                                                              <w:marTop w:val="0"/>
                                                                                                              <w:marBottom w:val="0"/>
                                                                                                              <w:divBdr>
                                                                                                                <w:top w:val="none" w:sz="0" w:space="0" w:color="auto"/>
                                                                                                                <w:left w:val="none" w:sz="0" w:space="0" w:color="auto"/>
                                                                                                                <w:bottom w:val="none" w:sz="0" w:space="0" w:color="auto"/>
                                                                                                                <w:right w:val="none" w:sz="0" w:space="0" w:color="auto"/>
                                                                                                              </w:divBdr>
                                                                                                              <w:divsChild>
                                                                                                                <w:div w:id="2114782416">
                                                                                                                  <w:marLeft w:val="0"/>
                                                                                                                  <w:marRight w:val="0"/>
                                                                                                                  <w:marTop w:val="0"/>
                                                                                                                  <w:marBottom w:val="0"/>
                                                                                                                  <w:divBdr>
                                                                                                                    <w:top w:val="none" w:sz="0" w:space="0" w:color="auto"/>
                                                                                                                    <w:left w:val="none" w:sz="0" w:space="0" w:color="auto"/>
                                                                                                                    <w:bottom w:val="none" w:sz="0" w:space="0" w:color="auto"/>
                                                                                                                    <w:right w:val="none" w:sz="0" w:space="0" w:color="auto"/>
                                                                                                                  </w:divBdr>
                                                                                                                  <w:divsChild>
                                                                                                                    <w:div w:id="303777513">
                                                                                                                      <w:marLeft w:val="0"/>
                                                                                                                      <w:marRight w:val="0"/>
                                                                                                                      <w:marTop w:val="0"/>
                                                                                                                      <w:marBottom w:val="0"/>
                                                                                                                      <w:divBdr>
                                                                                                                        <w:top w:val="none" w:sz="0" w:space="0" w:color="auto"/>
                                                                                                                        <w:left w:val="none" w:sz="0" w:space="0" w:color="auto"/>
                                                                                                                        <w:bottom w:val="none" w:sz="0" w:space="0" w:color="auto"/>
                                                                                                                        <w:right w:val="none" w:sz="0" w:space="0" w:color="auto"/>
                                                                                                                      </w:divBdr>
                                                                                                                      <w:divsChild>
                                                                                                                        <w:div w:id="753161916">
                                                                                                                          <w:marLeft w:val="0"/>
                                                                                                                          <w:marRight w:val="0"/>
                                                                                                                          <w:marTop w:val="0"/>
                                                                                                                          <w:marBottom w:val="0"/>
                                                                                                                          <w:divBdr>
                                                                                                                            <w:top w:val="none" w:sz="0" w:space="0" w:color="auto"/>
                                                                                                                            <w:left w:val="none" w:sz="0" w:space="0" w:color="auto"/>
                                                                                                                            <w:bottom w:val="none" w:sz="0" w:space="0" w:color="auto"/>
                                                                                                                            <w:right w:val="none" w:sz="0" w:space="0" w:color="auto"/>
                                                                                                                          </w:divBdr>
                                                                                                                          <w:divsChild>
                                                                                                                            <w:div w:id="5651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359539">
      <w:bodyDiv w:val="1"/>
      <w:marLeft w:val="0"/>
      <w:marRight w:val="0"/>
      <w:marTop w:val="0"/>
      <w:marBottom w:val="0"/>
      <w:divBdr>
        <w:top w:val="none" w:sz="0" w:space="0" w:color="auto"/>
        <w:left w:val="none" w:sz="0" w:space="0" w:color="auto"/>
        <w:bottom w:val="none" w:sz="0" w:space="0" w:color="auto"/>
        <w:right w:val="none" w:sz="0" w:space="0" w:color="auto"/>
      </w:divBdr>
    </w:div>
    <w:div w:id="2065446155">
      <w:bodyDiv w:val="1"/>
      <w:marLeft w:val="0"/>
      <w:marRight w:val="0"/>
      <w:marTop w:val="0"/>
      <w:marBottom w:val="0"/>
      <w:divBdr>
        <w:top w:val="none" w:sz="0" w:space="0" w:color="auto"/>
        <w:left w:val="none" w:sz="0" w:space="0" w:color="auto"/>
        <w:bottom w:val="none" w:sz="0" w:space="0" w:color="auto"/>
        <w:right w:val="none" w:sz="0" w:space="0" w:color="auto"/>
      </w:divBdr>
    </w:div>
    <w:div w:id="21394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backup.ferc.gov/idmws/common/OpenNat.asp?fileID=15336115" TargetMode="External"/><Relationship Id="rId2" Type="http://schemas.openxmlformats.org/officeDocument/2006/relationships/hyperlink" Target="http://www.nerc.com" TargetMode="External"/><Relationship Id="rId1" Type="http://schemas.openxmlformats.org/officeDocument/2006/relationships/hyperlink" Target="http://www.nerc.com/FilingsOrders/us/RuleOfProcedureDL/Appendix_3A_StandardProcessesManual_20130626.pdf" TargetMode="External"/><Relationship Id="rId5" Type="http://schemas.openxmlformats.org/officeDocument/2006/relationships/hyperlink" Target="http://www.bls.gov/news.release/ecec.nr0.htm"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725P1</_x0031__x002e__x0020_Collection_x0020_Number>
    <Date xmlns="d6eefc7d-9817-4fa6-84d5-3bc009be21b8">2019-10-02T04:00:00+00:00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IC19-23</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04089-58C2-4FA1-9DA6-3E56F58A7AD4}">
  <ds:schemaRefs>
    <ds:schemaRef ds:uri="Microsoft.SharePoint.Taxonomy.ContentTypeSync"/>
  </ds:schemaRefs>
</ds:datastoreItem>
</file>

<file path=customXml/itemProps2.xml><?xml version="1.0" encoding="utf-8"?>
<ds:datastoreItem xmlns:ds="http://schemas.openxmlformats.org/officeDocument/2006/customXml" ds:itemID="{720718CA-22C1-4769-B83F-867623E8C6E9}">
  <ds:schemaRefs>
    <ds:schemaRef ds:uri="http://schemas.microsoft.com/sharepoint/v3/contenttype/forms"/>
  </ds:schemaRefs>
</ds:datastoreItem>
</file>

<file path=customXml/itemProps3.xml><?xml version="1.0" encoding="utf-8"?>
<ds:datastoreItem xmlns:ds="http://schemas.openxmlformats.org/officeDocument/2006/customXml" ds:itemID="{F4066863-0AD3-4FB7-AB6B-F5F305C365B8}">
  <ds:schemaRefs>
    <ds:schemaRef ds:uri="http://schemas.microsoft.com/office/2006/metadata/customXsn"/>
  </ds:schemaRefs>
</ds:datastoreItem>
</file>

<file path=customXml/itemProps4.xml><?xml version="1.0" encoding="utf-8"?>
<ds:datastoreItem xmlns:ds="http://schemas.openxmlformats.org/officeDocument/2006/customXml" ds:itemID="{7CAE5E15-3BC7-4EB9-94E5-E9DECD5ED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20B679-E6B1-409C-B1B1-A730CF36D1A8}">
  <ds:schemaRef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C1C53E97-22A4-44E1-B216-135FD5BC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FERC-725P1 supporting statement</vt:lpstr>
    </vt:vector>
  </TitlesOfParts>
  <Company>FERC</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FERC-725P1 supporting statement</dc:title>
  <dc:subject/>
  <dc:creator>ferc</dc:creator>
  <cp:keywords/>
  <dc:description/>
  <cp:lastModifiedBy>SYSTEM</cp:lastModifiedBy>
  <cp:revision>2</cp:revision>
  <cp:lastPrinted>2019-07-18T12:39:00Z</cp:lastPrinted>
  <dcterms:created xsi:type="dcterms:W3CDTF">2019-10-03T20:44:00Z</dcterms:created>
  <dcterms:modified xsi:type="dcterms:W3CDTF">2019-10-03T20:44:00Z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y fmtid="{D5CDD505-2E9C-101B-9397-08002B2CF9AE}" pid="4" name="MSIP_Label_ce1c3a0c-0a9f-46ac-929d-37a2930e205e_Enabled">
    <vt:lpwstr>False</vt:lpwstr>
  </property>
  <property fmtid="{D5CDD505-2E9C-101B-9397-08002B2CF9AE}" pid="5" name="MSIP_Label_ce1c3a0c-0a9f-46ac-929d-37a2930e205e_SiteId">
    <vt:lpwstr>19caa9e9-04ff-43fa-885f-d77fac387903</vt:lpwstr>
  </property>
  <property fmtid="{D5CDD505-2E9C-101B-9397-08002B2CF9AE}" pid="6" name="MSIP_Label_ce1c3a0c-0a9f-46ac-929d-37a2930e205e_Owner">
    <vt:lpwstr>Laura.Chipkin@ferc.gov</vt:lpwstr>
  </property>
  <property fmtid="{D5CDD505-2E9C-101B-9397-08002B2CF9AE}" pid="7" name="MSIP_Label_ce1c3a0c-0a9f-46ac-929d-37a2930e205e_SetDate">
    <vt:lpwstr>2019-07-08T16:52:53.9082001Z</vt:lpwstr>
  </property>
  <property fmtid="{D5CDD505-2E9C-101B-9397-08002B2CF9AE}" pid="8" name="MSIP_Label_ce1c3a0c-0a9f-46ac-929d-37a2930e205e_Name">
    <vt:lpwstr>INV</vt:lpwstr>
  </property>
  <property fmtid="{D5CDD505-2E9C-101B-9397-08002B2CF9AE}" pid="9" name="MSIP_Label_ce1c3a0c-0a9f-46ac-929d-37a2930e205e_Application">
    <vt:lpwstr>Microsoft Azure Information Protection</vt:lpwstr>
  </property>
  <property fmtid="{D5CDD505-2E9C-101B-9397-08002B2CF9AE}" pid="10" name="MSIP_Label_ce1c3a0c-0a9f-46ac-929d-37a2930e205e_ActionId">
    <vt:lpwstr>52c2545c-f629-4119-a7c4-b3612d3fa80c</vt:lpwstr>
  </property>
  <property fmtid="{D5CDD505-2E9C-101B-9397-08002B2CF9AE}" pid="11" name="MSIP_Label_ce1c3a0c-0a9f-46ac-929d-37a2930e205e_Extended_MSFT_Method">
    <vt:lpwstr>Manual</vt:lpwstr>
  </property>
</Properties>
</file>