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ABB77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A39D2">
        <w:rPr>
          <w:rFonts w:ascii="Arial" w:hAnsi="Arial" w:cs="Arial"/>
          <w:b/>
          <w:bCs/>
          <w:sz w:val="20"/>
          <w:szCs w:val="20"/>
        </w:rPr>
        <w:t>18 CFR Ch. I (4–1–19 Edition)</w:t>
      </w:r>
    </w:p>
    <w:p w14:paraId="0F567F94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68FEDA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9D2">
        <w:rPr>
          <w:rFonts w:ascii="Arial" w:hAnsi="Arial" w:cs="Arial"/>
          <w:b/>
          <w:bCs/>
          <w:sz w:val="20"/>
          <w:szCs w:val="20"/>
        </w:rPr>
        <w:t>PART 40—MANDATORY RELIABILITY</w:t>
      </w:r>
    </w:p>
    <w:p w14:paraId="4B059982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9D2">
        <w:rPr>
          <w:rFonts w:ascii="Arial" w:hAnsi="Arial" w:cs="Arial"/>
          <w:b/>
          <w:bCs/>
          <w:sz w:val="20"/>
          <w:szCs w:val="20"/>
        </w:rPr>
        <w:t>STANDARDS FOR THE BULKPOWER</w:t>
      </w:r>
    </w:p>
    <w:p w14:paraId="30DEDF6D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9D2">
        <w:rPr>
          <w:rFonts w:ascii="Arial" w:hAnsi="Arial" w:cs="Arial"/>
          <w:b/>
          <w:bCs/>
          <w:sz w:val="20"/>
          <w:szCs w:val="20"/>
        </w:rPr>
        <w:t>SYSTEM</w:t>
      </w:r>
    </w:p>
    <w:p w14:paraId="712E3236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Sec.</w:t>
      </w:r>
    </w:p>
    <w:p w14:paraId="144924C0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40.1 Applicability.</w:t>
      </w:r>
    </w:p>
    <w:p w14:paraId="55139937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40.2 Mandatory Reliability Standards.</w:t>
      </w:r>
    </w:p>
    <w:p w14:paraId="6BE9A70C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40.3 Availability of Reliability Standards.</w:t>
      </w:r>
    </w:p>
    <w:p w14:paraId="7DBA6FEA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AUTHORITY: 16 U.S.C. 824o.</w:t>
      </w:r>
    </w:p>
    <w:p w14:paraId="74646E3F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SOURCE: Order 693, 72 FR 16598, Apr. 4, 2007,</w:t>
      </w:r>
    </w:p>
    <w:p w14:paraId="4BE66C09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unless otherwise noted.</w:t>
      </w:r>
    </w:p>
    <w:p w14:paraId="61CB6691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9D2">
        <w:rPr>
          <w:rFonts w:ascii="Arial" w:hAnsi="Arial" w:cs="Arial"/>
          <w:b/>
          <w:bCs/>
          <w:sz w:val="20"/>
          <w:szCs w:val="20"/>
        </w:rPr>
        <w:t>§ 40.1 Applicability.</w:t>
      </w:r>
    </w:p>
    <w:p w14:paraId="532AA596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(a) This part applies to all users,</w:t>
      </w:r>
    </w:p>
    <w:p w14:paraId="261F4E53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owners and operators of the Bulk-</w:t>
      </w:r>
    </w:p>
    <w:p w14:paraId="1A0C9009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Power System within the United</w:t>
      </w:r>
    </w:p>
    <w:p w14:paraId="6EFE607D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States (other than Alaska or Hawaii),</w:t>
      </w:r>
    </w:p>
    <w:p w14:paraId="2FC89698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including, but not limited to, entities</w:t>
      </w:r>
    </w:p>
    <w:p w14:paraId="3D46105F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described in section 201(f) of the Federal</w:t>
      </w:r>
    </w:p>
    <w:p w14:paraId="43EEED78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Power Act.</w:t>
      </w:r>
    </w:p>
    <w:p w14:paraId="4018F015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(b) Each Reliability Standard made</w:t>
      </w:r>
    </w:p>
    <w:p w14:paraId="17BF2727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effective by § 40.2 must identify the</w:t>
      </w:r>
    </w:p>
    <w:p w14:paraId="1B4DCEA0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subset of users, owners and operators</w:t>
      </w:r>
    </w:p>
    <w:p w14:paraId="12FC803B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of the Bulk-Power System to which a</w:t>
      </w:r>
    </w:p>
    <w:p w14:paraId="7BD0226F" w14:textId="77777777" w:rsidR="006F423A" w:rsidRPr="006A39D2" w:rsidRDefault="00DE6FD6" w:rsidP="00DE6FD6">
      <w:pPr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particular Reliability Standard applies.</w:t>
      </w:r>
    </w:p>
    <w:p w14:paraId="7AC5F5B4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9D2">
        <w:rPr>
          <w:rFonts w:ascii="Arial" w:hAnsi="Arial" w:cs="Arial"/>
          <w:b/>
          <w:bCs/>
          <w:sz w:val="20"/>
          <w:szCs w:val="20"/>
        </w:rPr>
        <w:t>§ 40.2 Mandatory Reliability Standards.</w:t>
      </w:r>
    </w:p>
    <w:p w14:paraId="1770047C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(a) Each applicable user, owner or operator</w:t>
      </w:r>
    </w:p>
    <w:p w14:paraId="3F68D9E5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of the Bulk-Power System must</w:t>
      </w:r>
    </w:p>
    <w:p w14:paraId="347BFFA8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comply with Commission-approved Reliability</w:t>
      </w:r>
    </w:p>
    <w:p w14:paraId="140BA53A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Standards developed by the</w:t>
      </w:r>
    </w:p>
    <w:p w14:paraId="1DCE69B4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Electric Reliability Organization.</w:t>
      </w:r>
    </w:p>
    <w:p w14:paraId="12B9EABF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(b) A proposed modification to a Reliability</w:t>
      </w:r>
    </w:p>
    <w:p w14:paraId="016F5863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Standard proposed to become</w:t>
      </w:r>
    </w:p>
    <w:p w14:paraId="279E8DE1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effective pursuant to § 39.5 of this Chapter</w:t>
      </w:r>
    </w:p>
    <w:p w14:paraId="08B5C842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will not be effective until approved</w:t>
      </w:r>
    </w:p>
    <w:p w14:paraId="40D050F3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by the Commission.</w:t>
      </w:r>
    </w:p>
    <w:p w14:paraId="12BE489E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F49863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39D2">
        <w:rPr>
          <w:rFonts w:ascii="Arial" w:hAnsi="Arial" w:cs="Arial"/>
          <w:b/>
          <w:bCs/>
          <w:sz w:val="20"/>
          <w:szCs w:val="20"/>
        </w:rPr>
        <w:t>§ 40.3 Availability of Reliability Standards.</w:t>
      </w:r>
    </w:p>
    <w:p w14:paraId="4A86D047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The Electric Reliability Organization</w:t>
      </w:r>
    </w:p>
    <w:p w14:paraId="30F1041E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must post on its Web site the currently</w:t>
      </w:r>
    </w:p>
    <w:p w14:paraId="2937C1F3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effective Reliability Standards as approved</w:t>
      </w:r>
    </w:p>
    <w:p w14:paraId="5B1852F4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and enforceable by the Commission.</w:t>
      </w:r>
    </w:p>
    <w:p w14:paraId="4F334603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The effective date of the Reliability</w:t>
      </w:r>
    </w:p>
    <w:p w14:paraId="7D11C617" w14:textId="77777777" w:rsidR="00DE6FD6" w:rsidRPr="006A39D2" w:rsidRDefault="00DE6FD6" w:rsidP="00DE6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Standards must be included in</w:t>
      </w:r>
    </w:p>
    <w:p w14:paraId="2DE95ADD" w14:textId="77777777" w:rsidR="00DE6FD6" w:rsidRPr="006A39D2" w:rsidRDefault="00DE6FD6" w:rsidP="00DE6FD6">
      <w:pPr>
        <w:rPr>
          <w:rFonts w:ascii="Arial" w:hAnsi="Arial" w:cs="Arial"/>
          <w:sz w:val="20"/>
          <w:szCs w:val="20"/>
        </w:rPr>
      </w:pPr>
      <w:r w:rsidRPr="006A39D2">
        <w:rPr>
          <w:rFonts w:ascii="Arial" w:hAnsi="Arial" w:cs="Arial"/>
          <w:sz w:val="20"/>
          <w:szCs w:val="20"/>
        </w:rPr>
        <w:t>the posting.</w:t>
      </w:r>
    </w:p>
    <w:sectPr w:rsidR="00DE6FD6" w:rsidRPr="006A3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8D9B8" w14:textId="77777777" w:rsidR="00DE6FD6" w:rsidRDefault="00DE6FD6" w:rsidP="00DE6FD6">
      <w:pPr>
        <w:spacing w:after="0" w:line="240" w:lineRule="auto"/>
      </w:pPr>
      <w:r>
        <w:separator/>
      </w:r>
    </w:p>
  </w:endnote>
  <w:endnote w:type="continuationSeparator" w:id="0">
    <w:p w14:paraId="02B0CC76" w14:textId="77777777" w:rsidR="00DE6FD6" w:rsidRDefault="00DE6FD6" w:rsidP="00D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A1364" w14:textId="77777777" w:rsidR="00DE6FD6" w:rsidRDefault="00DE6FD6" w:rsidP="00DE6FD6">
      <w:pPr>
        <w:spacing w:after="0" w:line="240" w:lineRule="auto"/>
      </w:pPr>
      <w:r>
        <w:separator/>
      </w:r>
    </w:p>
  </w:footnote>
  <w:footnote w:type="continuationSeparator" w:id="0">
    <w:p w14:paraId="24B35F5D" w14:textId="77777777" w:rsidR="00DE6FD6" w:rsidRDefault="00DE6FD6" w:rsidP="00DE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D6"/>
    <w:rsid w:val="0065638F"/>
    <w:rsid w:val="006A39D2"/>
    <w:rsid w:val="006F423A"/>
    <w:rsid w:val="00D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219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725P1</_x0031__x002e__x0020_Collection_x0020_Number>
    <Date xmlns="d6eefc7d-9817-4fa6-84d5-3bc009be21b8">2019-10-03T04:00:00.000Z</Date>
    <Status xmlns="d6eefc7d-9817-4fa6-84d5-3bc009be21b8">None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IC19-</_x0031__x002e__x0020_Docket_x0020_Number>
    <_x0033__x002e__x0020_Collection_x0020_Number xmlns="d6eefc7d-9817-4fa6-84d5-3bc009be21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111D4-AE99-4B4C-9AAE-E3DD6F94A6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BADEA4-611B-475C-81D8-B4509089C3E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5596DA2-87A0-45BD-8004-227A4EC44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DC456-125F-405C-9F8A-B7F7844274F6}">
  <ds:schemaRefs>
    <ds:schemaRef ds:uri="http://purl.org/dc/elements/1.1/"/>
    <ds:schemaRef ds:uri="http://schemas.microsoft.com/office/2006/metadata/properties"/>
    <ds:schemaRef ds:uri="d6eefc7d-9817-4fa6-84d5-3bc009be21b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D76BCD1-C4D4-4F12-A839-8586058D0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2019-10-03T20:23:00Z</dcterms:created>
  <dcterms:modified xsi:type="dcterms:W3CDTF">2019-10-03T20:23:00Z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