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2C50D" w14:textId="77777777" w:rsidR="00F53486" w:rsidRPr="008449DF" w:rsidRDefault="00F53486" w:rsidP="00F53486">
      <w:pPr>
        <w:widowControl/>
        <w:tabs>
          <w:tab w:val="center" w:pos="5040"/>
        </w:tabs>
        <w:jc w:val="center"/>
      </w:pPr>
      <w:bookmarkStart w:id="0" w:name="_GoBack"/>
      <w:bookmarkEnd w:id="0"/>
      <w:r w:rsidRPr="008449DF">
        <w:t>Supporting</w:t>
      </w:r>
      <w:r w:rsidR="00C42FEF" w:rsidRPr="008449DF">
        <w:t xml:space="preserve"> </w:t>
      </w:r>
      <w:r w:rsidRPr="008449DF">
        <w:t>Statement</w:t>
      </w:r>
      <w:r w:rsidR="00AA373D" w:rsidRPr="008449DF">
        <w:t xml:space="preserve"> for</w:t>
      </w:r>
    </w:p>
    <w:p w14:paraId="41FE31A7" w14:textId="0B27CDC5" w:rsidR="00246703" w:rsidRDefault="00BD54F2" w:rsidP="00246703">
      <w:pPr>
        <w:jc w:val="center"/>
        <w:rPr>
          <w:b/>
        </w:rPr>
      </w:pPr>
      <w:r>
        <w:rPr>
          <w:b/>
        </w:rPr>
        <w:t>FERC-538</w:t>
      </w:r>
      <w:r w:rsidR="00246703">
        <w:rPr>
          <w:b/>
        </w:rPr>
        <w:t xml:space="preserve">, </w:t>
      </w:r>
      <w:r w:rsidRPr="00BD54F2">
        <w:rPr>
          <w:b/>
          <w:bCs/>
        </w:rPr>
        <w:t>Gas Pipeline Certificate: Section 7(a) Mandatory Initial Service</w:t>
      </w:r>
    </w:p>
    <w:p w14:paraId="4FC3BAC5" w14:textId="77777777" w:rsidR="00AA373D" w:rsidRPr="008449DF" w:rsidRDefault="00AA373D" w:rsidP="00AA373D">
      <w:pPr>
        <w:widowControl/>
        <w:tabs>
          <w:tab w:val="center" w:pos="5040"/>
        </w:tabs>
        <w:jc w:val="center"/>
        <w:rPr>
          <w:b/>
          <w:bCs/>
        </w:rPr>
      </w:pPr>
    </w:p>
    <w:p w14:paraId="22E0EF03" w14:textId="3E52A1CC" w:rsidR="00F53486" w:rsidRPr="0020642E" w:rsidRDefault="00AA373D" w:rsidP="006861E1">
      <w:pPr>
        <w:rPr>
          <w:b/>
        </w:rPr>
      </w:pPr>
      <w:r w:rsidRPr="008449DF">
        <w:t xml:space="preserve">The Federal Energy Regulatory Commission (Commission or FERC) requests that the Office of Management and Budget (OMB) review and </w:t>
      </w:r>
      <w:r w:rsidRPr="00AF122D">
        <w:t xml:space="preserve">approve </w:t>
      </w:r>
      <w:r w:rsidR="00BD54F2">
        <w:t>FERC-538</w:t>
      </w:r>
      <w:r w:rsidR="003E742E" w:rsidRPr="00AF122D">
        <w:t xml:space="preserve">, </w:t>
      </w:r>
      <w:r w:rsidR="00BD54F2" w:rsidRPr="00BD54F2">
        <w:t>Gas Pipeline Certificate: Section 7(a) Mandatory Initial Service</w:t>
      </w:r>
      <w:r w:rsidRPr="00AF122D">
        <w:rPr>
          <w:bCs/>
        </w:rPr>
        <w:t xml:space="preserve">, </w:t>
      </w:r>
      <w:r w:rsidRPr="00AF122D">
        <w:t>for a three year period.  FER</w:t>
      </w:r>
      <w:r w:rsidR="00E06F16" w:rsidRPr="00AF122D">
        <w:t>C</w:t>
      </w:r>
      <w:r w:rsidR="00BD54F2">
        <w:t>-538 (OMB Control No. 1902-0061</w:t>
      </w:r>
      <w:r w:rsidRPr="008449DF">
        <w:t>) is an existing Commission data collection, as stated by 18 Code o</w:t>
      </w:r>
      <w:r w:rsidR="008B7AEA" w:rsidRPr="008449DF">
        <w:t>f Federal Regulations</w:t>
      </w:r>
      <w:r w:rsidR="00894FE3" w:rsidRPr="008449DF">
        <w:t xml:space="preserve"> (CFR)</w:t>
      </w:r>
      <w:r w:rsidR="0020642E">
        <w:t xml:space="preserve"> </w:t>
      </w:r>
      <w:r w:rsidR="003E742E">
        <w:t>15</w:t>
      </w:r>
      <w:r w:rsidR="00BD54F2">
        <w:t>6.</w:t>
      </w:r>
    </w:p>
    <w:p w14:paraId="2A3DF898" w14:textId="77777777" w:rsidR="00F53486" w:rsidRPr="008449DF" w:rsidRDefault="00F53486" w:rsidP="00F53486">
      <w:pPr>
        <w:widowControl/>
      </w:pPr>
    </w:p>
    <w:p w14:paraId="2676A308" w14:textId="77777777" w:rsidR="00F53486" w:rsidRPr="008449DF" w:rsidRDefault="00F53486" w:rsidP="007129A6">
      <w:pPr>
        <w:widowControl/>
        <w:numPr>
          <w:ilvl w:val="0"/>
          <w:numId w:val="9"/>
        </w:numPr>
        <w:tabs>
          <w:tab w:val="clear" w:pos="1080"/>
          <w:tab w:val="num" w:pos="720"/>
          <w:tab w:val="left" w:pos="1800"/>
        </w:tabs>
        <w:ind w:left="720" w:hanging="720"/>
        <w:rPr>
          <w:b/>
        </w:rPr>
      </w:pPr>
      <w:r w:rsidRPr="008449DF">
        <w:rPr>
          <w:b/>
        </w:rPr>
        <w:t>CIRCUMSTANCES THAT MAKE THE COLLECTION OF INFORMATION NECESSARY</w:t>
      </w:r>
    </w:p>
    <w:p w14:paraId="30592C25" w14:textId="77777777" w:rsidR="003E742E" w:rsidRPr="007954B4" w:rsidRDefault="003E742E" w:rsidP="003E742E"/>
    <w:p w14:paraId="36D988ED" w14:textId="7B3E3624" w:rsidR="00BD54F2" w:rsidRPr="00BD54F2" w:rsidRDefault="00BD54F2" w:rsidP="00BD54F2">
      <w:r w:rsidRPr="00BD54F2">
        <w:t>Under the Natural Gas Act (N</w:t>
      </w:r>
      <w:r w:rsidR="007D0AE0">
        <w:t>GA) (Public Law 75-688) (15 USC</w:t>
      </w:r>
      <w:r w:rsidRPr="00BD54F2">
        <w:t xml:space="preserve"> 717-717w), upon application by a local distribution company or municipality, a natural gas pipeline company may be ordered by the Commission to extend or improve transportation facilities, to establish physical connections to serve, and sell natural gas to the applicant.</w:t>
      </w:r>
    </w:p>
    <w:p w14:paraId="5266B9DF" w14:textId="77777777" w:rsidR="00BD54F2" w:rsidRPr="00BD54F2" w:rsidRDefault="00BD54F2" w:rsidP="00BD54F2"/>
    <w:p w14:paraId="49F58EAE" w14:textId="77777777" w:rsidR="00BD54F2" w:rsidRPr="00BD54F2" w:rsidRDefault="00BD54F2" w:rsidP="00BD54F2">
      <w:r w:rsidRPr="00BD54F2">
        <w:t xml:space="preserve">As stated in Section 156 (18 CFR 156), filings pursuant to the provisions of Section 7(a) of the NGA are to contain all information necessary to advise the Commission fully concerning the service which the applicant has requested the Commission to direct the natural gas pipeline company to render.  Included in the information to be provided as stated in 18 CFR 156.5 (1-16) are included (but not limited to): </w:t>
      </w:r>
    </w:p>
    <w:p w14:paraId="6C6F8DEA" w14:textId="77777777" w:rsidR="00BD54F2" w:rsidRPr="00BD54F2" w:rsidRDefault="00BD54F2" w:rsidP="00BD54F2"/>
    <w:p w14:paraId="0EA428A5" w14:textId="77777777" w:rsidR="00BD54F2" w:rsidRPr="00BD54F2" w:rsidRDefault="00BD54F2" w:rsidP="00BD54F2">
      <w:pPr>
        <w:numPr>
          <w:ilvl w:val="0"/>
          <w:numId w:val="19"/>
        </w:numPr>
      </w:pPr>
      <w:r w:rsidRPr="00BD54F2">
        <w:t xml:space="preserve">A description of any improvement or extension of facilities which the natural gas pipeline company will be required to make in connection with the requested rendition of the service; </w:t>
      </w:r>
    </w:p>
    <w:p w14:paraId="4AB8054D" w14:textId="77777777" w:rsidR="00BD54F2" w:rsidRPr="00BD54F2" w:rsidRDefault="00BD54F2" w:rsidP="00BD54F2">
      <w:pPr>
        <w:numPr>
          <w:ilvl w:val="0"/>
          <w:numId w:val="19"/>
        </w:numPr>
      </w:pPr>
      <w:r w:rsidRPr="00BD54F2">
        <w:t>The applicant's present and proposed operations, construction, service, and sales, together with a description of any extension or improvement of facilities by the applicant which will be required in order to enable applicant to engage in the local distribution of natural gas.</w:t>
      </w:r>
    </w:p>
    <w:p w14:paraId="10B04021" w14:textId="77777777" w:rsidR="00BD54F2" w:rsidRPr="00BD54F2" w:rsidRDefault="00BD54F2" w:rsidP="00BD54F2"/>
    <w:p w14:paraId="7849E3B7" w14:textId="5498EDB5" w:rsidR="00F53486" w:rsidRDefault="00BD54F2" w:rsidP="00BD54F2">
      <w:r w:rsidRPr="00BD54F2">
        <w:t>If the request is granted, the natural gas pipeline company must extend or improve transportation facilities and establish physical connection to serve the local distribution companies</w:t>
      </w:r>
      <w:r w:rsidR="0020642E">
        <w:t>.</w:t>
      </w:r>
    </w:p>
    <w:p w14:paraId="45B1C93C" w14:textId="77777777" w:rsidR="0020642E" w:rsidRPr="008449DF" w:rsidRDefault="0020642E" w:rsidP="0020642E"/>
    <w:p w14:paraId="5081D00C" w14:textId="77777777" w:rsidR="00F53486" w:rsidRPr="008449DF" w:rsidRDefault="00F53486" w:rsidP="007129A6">
      <w:pPr>
        <w:widowControl/>
        <w:numPr>
          <w:ilvl w:val="0"/>
          <w:numId w:val="2"/>
        </w:numPr>
        <w:tabs>
          <w:tab w:val="clear" w:pos="1815"/>
          <w:tab w:val="num" w:pos="720"/>
        </w:tabs>
        <w:ind w:left="720" w:hanging="720"/>
        <w:rPr>
          <w:b/>
        </w:rPr>
      </w:pPr>
      <w:r w:rsidRPr="008449DF">
        <w:rPr>
          <w:b/>
        </w:rPr>
        <w:t xml:space="preserve">HOW, BY WHOM AND FOR WHAT PURPOSE IS THE INFORMATION TO BE USED AND THE CONSEQUENCES OF NOT COLLECTING THE INFORMATION </w:t>
      </w:r>
    </w:p>
    <w:p w14:paraId="1F17409E" w14:textId="77777777" w:rsidR="00F53486" w:rsidRPr="008449DF" w:rsidRDefault="00F53486" w:rsidP="00F53486">
      <w:pPr>
        <w:widowControl/>
        <w:ind w:left="1440"/>
      </w:pPr>
    </w:p>
    <w:p w14:paraId="061BD758" w14:textId="77777777" w:rsidR="00BD54F2" w:rsidRPr="00BD54F2" w:rsidRDefault="00BD54F2" w:rsidP="00BD54F2">
      <w:pPr>
        <w:tabs>
          <w:tab w:val="left" w:pos="720"/>
        </w:tabs>
        <w:rPr>
          <w:bCs/>
        </w:rPr>
      </w:pPr>
      <w:r w:rsidRPr="00BD54F2">
        <w:rPr>
          <w:bCs/>
        </w:rPr>
        <w:t>The Commission uses the FERC-538 data to perform its regulatory functions.  The Commission must determine whether the distributor applicant can economically construct and manage its facilities.  A request is made by a person or municipality to have the Commission, by order, direct a natural gas company to extend or improve its transportation facilities, and sell natural gas to the municipality or person and, for such purpose, to extend its transportation facilities to communities immediately adjacent to such facilities or to territories served by the natural gas pipeline company.</w:t>
      </w:r>
    </w:p>
    <w:p w14:paraId="75210748" w14:textId="77777777" w:rsidR="00BD54F2" w:rsidRPr="00BD54F2" w:rsidRDefault="00BD54F2" w:rsidP="00BD54F2">
      <w:pPr>
        <w:tabs>
          <w:tab w:val="left" w:pos="720"/>
        </w:tabs>
        <w:rPr>
          <w:bCs/>
        </w:rPr>
      </w:pPr>
    </w:p>
    <w:p w14:paraId="0F215DD4" w14:textId="77777777" w:rsidR="00BD54F2" w:rsidRPr="00BD54F2" w:rsidRDefault="00BD54F2" w:rsidP="00BD54F2">
      <w:pPr>
        <w:tabs>
          <w:tab w:val="left" w:pos="720"/>
        </w:tabs>
        <w:rPr>
          <w:bCs/>
        </w:rPr>
      </w:pPr>
      <w:r w:rsidRPr="00BD54F2">
        <w:rPr>
          <w:bCs/>
        </w:rPr>
        <w:t xml:space="preserve">In addition, the Commission uses the flow data and market data to evaluate existing and future customer requirements on the system in order to determine if sufficient capacity will be available.  Likewise, the Commission uses the cost of facilities and the rate data to evaluate the financial impact of the project to both the pipeline company and its customers. </w:t>
      </w:r>
    </w:p>
    <w:p w14:paraId="0E194D7C" w14:textId="77777777" w:rsidR="00BD54F2" w:rsidRPr="00BD54F2" w:rsidRDefault="00BD54F2" w:rsidP="00BD54F2">
      <w:pPr>
        <w:tabs>
          <w:tab w:val="left" w:pos="720"/>
        </w:tabs>
        <w:rPr>
          <w:bCs/>
        </w:rPr>
      </w:pPr>
    </w:p>
    <w:p w14:paraId="732114AE" w14:textId="7BBE3BC0" w:rsidR="00F53486" w:rsidRPr="008449DF" w:rsidRDefault="00BD54F2" w:rsidP="00BD54F2">
      <w:pPr>
        <w:tabs>
          <w:tab w:val="left" w:pos="720"/>
        </w:tabs>
        <w:rPr>
          <w:bCs/>
        </w:rPr>
      </w:pPr>
      <w:r w:rsidRPr="00BD54F2">
        <w:rPr>
          <w:bCs/>
        </w:rPr>
        <w:t>The information collection cannot be discontinued nor collected less frequently because of statutory requirements.  The Commission is required to review applications concerning improvement or extensions of facilities and services for local distributors of natural gas.  The consequences of not collecting this information are that the Commission would be unable to fulfill its statutory mandate under the NGA and its Rules of Practice and Procedure, and the distribution companies would be unable to request the Commission to direct pipelines to serve them</w:t>
      </w:r>
      <w:r w:rsidR="009F18B6" w:rsidRPr="008449DF">
        <w:rPr>
          <w:bCs/>
        </w:rPr>
        <w:t>.</w:t>
      </w:r>
    </w:p>
    <w:p w14:paraId="572348CD" w14:textId="77777777" w:rsidR="00821D54" w:rsidRPr="008449DF" w:rsidRDefault="00821D54" w:rsidP="00541EB8">
      <w:pPr>
        <w:tabs>
          <w:tab w:val="left" w:pos="720"/>
        </w:tabs>
      </w:pPr>
    </w:p>
    <w:p w14:paraId="7FACC865" w14:textId="77777777" w:rsidR="00F53486" w:rsidRPr="008449DF" w:rsidRDefault="00F53486" w:rsidP="007129A6">
      <w:pPr>
        <w:widowControl/>
        <w:numPr>
          <w:ilvl w:val="0"/>
          <w:numId w:val="2"/>
        </w:numPr>
        <w:tabs>
          <w:tab w:val="clear" w:pos="1815"/>
        </w:tabs>
        <w:ind w:left="720" w:hanging="720"/>
      </w:pPr>
      <w:r w:rsidRPr="008449DF">
        <w:rPr>
          <w:b/>
        </w:rPr>
        <w:t>DESCRIBE ANY CONSIDERATION OF THE USE OF IMPROVED INFORMATION TECHNOLOGY TO REDUCE BURDEN AND THE TECHNICAL OR LEGAL OBSTACLES TO REDUCING BURDEN</w:t>
      </w:r>
    </w:p>
    <w:p w14:paraId="2290C86C" w14:textId="77777777" w:rsidR="00577AB2" w:rsidRPr="008449DF" w:rsidRDefault="00577AB2" w:rsidP="00577AB2">
      <w:pPr>
        <w:widowControl/>
      </w:pPr>
    </w:p>
    <w:p w14:paraId="2F1A785A" w14:textId="77777777" w:rsidR="00BD54F2" w:rsidRPr="00BD54F2" w:rsidRDefault="00BD54F2" w:rsidP="00BD54F2">
      <w:pPr>
        <w:pStyle w:val="Default"/>
      </w:pPr>
      <w:r w:rsidRPr="00BD54F2">
        <w:t xml:space="preserve">There is an ongoing effort to determine the potential and value of improved information technology to reduce the burden.  As the Commission increases its use of electronic media for filing, storage, retrieval, and tracking of information and documents, greater uniformity in filing procedures, where practical, will greatly expedite and simplify conversion to electronic media. </w:t>
      </w:r>
    </w:p>
    <w:p w14:paraId="2587EEE9" w14:textId="77777777" w:rsidR="00BD54F2" w:rsidRPr="00BD54F2" w:rsidRDefault="00BD54F2" w:rsidP="00BD54F2">
      <w:pPr>
        <w:pStyle w:val="Default"/>
      </w:pPr>
    </w:p>
    <w:p w14:paraId="77211CD3" w14:textId="6AE52ECB" w:rsidR="002835ED" w:rsidRPr="008449DF" w:rsidRDefault="00BD54F2" w:rsidP="00BD54F2">
      <w:pPr>
        <w:pStyle w:val="Default"/>
      </w:pPr>
      <w:r w:rsidRPr="00BD54F2">
        <w:rPr>
          <w:color w:val="auto"/>
        </w:rPr>
        <w:t>The FERC-538 application may be eFiled through FERC’s eFiling system.  Application filings made in accordance with Sections 7(a) and 7(c) can be filed electronically.  However, due to the complexity of the exhibits, maps, and projects, three additional paper copies of the eFiled applications would be needed for staff review, processing, and collaboration.  As noted above, as additional uses of information technology (including geospatial information systems) are implemented, FERC may be able to reduce or eliminate the need for the additional paper copies</w:t>
      </w:r>
      <w:r w:rsidR="002835ED" w:rsidRPr="008449DF">
        <w:t>.</w:t>
      </w:r>
    </w:p>
    <w:p w14:paraId="4C5BC5A3" w14:textId="77777777" w:rsidR="00F53486" w:rsidRPr="008449DF" w:rsidRDefault="00F53486" w:rsidP="00F53486">
      <w:pPr>
        <w:widowControl/>
      </w:pPr>
    </w:p>
    <w:p w14:paraId="77B9E23E" w14:textId="77777777" w:rsidR="00F53486" w:rsidRPr="008449DF" w:rsidRDefault="00F53486" w:rsidP="007129A6">
      <w:pPr>
        <w:widowControl/>
        <w:tabs>
          <w:tab w:val="left" w:pos="720"/>
        </w:tabs>
        <w:ind w:left="720" w:hanging="720"/>
        <w:rPr>
          <w:b/>
        </w:rPr>
      </w:pPr>
      <w:r w:rsidRPr="008449DF">
        <w:rPr>
          <w:b/>
        </w:rPr>
        <w:t>4.</w:t>
      </w:r>
      <w:r w:rsidRPr="008449DF">
        <w:rPr>
          <w:b/>
        </w:rPr>
        <w:tab/>
        <w:t>DESCRIBE EFFORTS TO IDENTIFY DUPLICATION AND SHOW SPECIFICALLY WHY ANY SIMILAR INFORMATION ALREADY AVAILABLE CANNOT BE USED OR MODIFIED FOR USE FOR THE PURPOSE(S) DESCRIBED IN INSTRUCTION NO. 2.</w:t>
      </w:r>
    </w:p>
    <w:p w14:paraId="3129512C" w14:textId="77777777" w:rsidR="000A1237" w:rsidRPr="008449DF" w:rsidRDefault="000A1237" w:rsidP="000A1237">
      <w:pPr>
        <w:widowControl/>
        <w:ind w:firstLine="720"/>
        <w:rPr>
          <w:b/>
        </w:rPr>
      </w:pPr>
    </w:p>
    <w:p w14:paraId="5FBA9217" w14:textId="39F57A10" w:rsidR="000A1237" w:rsidRPr="008449DF" w:rsidRDefault="00BD54F2" w:rsidP="003E742E">
      <w:r w:rsidRPr="00BD54F2">
        <w:t>Filing requirements are periodically reviewed as OMB review dates arise or as the Commission may deem necessary in carrying out its regulatory responsibilities under the NGA in an effort to alleviate duplication.  All Commission information collections are subject to analysis by Commission staff and are examined for redundancy.  There is no other source of this information.</w:t>
      </w:r>
      <w:r w:rsidRPr="00BD54F2">
        <w:softHyphen/>
        <w:t xml:space="preserve"> The information is case specific</w:t>
      </w:r>
      <w:r w:rsidR="009D772E">
        <w:t>.</w:t>
      </w:r>
    </w:p>
    <w:p w14:paraId="13836DA6" w14:textId="77777777" w:rsidR="00F53486" w:rsidRPr="008449DF" w:rsidRDefault="00F53486" w:rsidP="00F53486"/>
    <w:p w14:paraId="3412455C" w14:textId="77777777" w:rsidR="00F53486" w:rsidRPr="008449DF" w:rsidRDefault="00F53486" w:rsidP="007129A6">
      <w:pPr>
        <w:widowControl/>
        <w:tabs>
          <w:tab w:val="left" w:pos="720"/>
        </w:tabs>
        <w:ind w:left="720" w:hanging="720"/>
      </w:pPr>
      <w:r w:rsidRPr="008449DF">
        <w:rPr>
          <w:b/>
        </w:rPr>
        <w:t>5.</w:t>
      </w:r>
      <w:r w:rsidRPr="008449DF">
        <w:t xml:space="preserve"> </w:t>
      </w:r>
      <w:r w:rsidRPr="008449DF">
        <w:tab/>
      </w:r>
      <w:r w:rsidRPr="008449DF">
        <w:rPr>
          <w:b/>
        </w:rPr>
        <w:t>METHODS USED TO MINIMIZE BURDEN IN COLLECTION OF INFORMATION INVOLVING SMALL ENTITIES</w:t>
      </w:r>
      <w:r w:rsidRPr="008449DF">
        <w:t xml:space="preserve"> </w:t>
      </w:r>
    </w:p>
    <w:p w14:paraId="3BFB9BE9" w14:textId="77777777" w:rsidR="00F53486" w:rsidRPr="008449DF" w:rsidRDefault="00F53486" w:rsidP="00F53486">
      <w:pPr>
        <w:widowControl/>
        <w:ind w:left="1440" w:hanging="720"/>
      </w:pPr>
    </w:p>
    <w:p w14:paraId="2E434703" w14:textId="22817841" w:rsidR="00D222C7" w:rsidRPr="008449DF" w:rsidRDefault="00BD54F2" w:rsidP="003E742E">
      <w:pPr>
        <w:widowControl/>
        <w:rPr>
          <w:b/>
          <w:bCs/>
        </w:rPr>
      </w:pPr>
      <w:r w:rsidRPr="00BD54F2">
        <w:t>FERC-538 is a regulatory filing requirement implementing a statutory provision concerned with initial service as stated above in Question number two.  Small businesses and other small entities seeking initial natural gas service while not the subject of these regulations may still be impacted by the filing requirements under FERC-538.  There is minimum data required that is necessary to evaluate the filing irrespective of company size.  The information is readily available to respondents</w:t>
      </w:r>
      <w:r w:rsidR="00773922" w:rsidRPr="00FA0F8D">
        <w:t>.</w:t>
      </w:r>
    </w:p>
    <w:p w14:paraId="66080379" w14:textId="77777777" w:rsidR="00F53486" w:rsidRPr="008449DF" w:rsidRDefault="00F53486" w:rsidP="00F53486">
      <w:pPr>
        <w:widowControl/>
        <w:ind w:left="1440"/>
      </w:pPr>
    </w:p>
    <w:p w14:paraId="5C7A1A70" w14:textId="77777777" w:rsidR="007E2455" w:rsidRPr="008449DF" w:rsidRDefault="00F53486" w:rsidP="007129A6">
      <w:pPr>
        <w:widowControl/>
        <w:numPr>
          <w:ilvl w:val="0"/>
          <w:numId w:val="3"/>
        </w:numPr>
        <w:tabs>
          <w:tab w:val="clear" w:pos="1080"/>
          <w:tab w:val="num" w:pos="720"/>
        </w:tabs>
        <w:ind w:left="720" w:hanging="720"/>
        <w:rPr>
          <w:b/>
        </w:rPr>
      </w:pPr>
      <w:r w:rsidRPr="008449DF">
        <w:rPr>
          <w:b/>
        </w:rPr>
        <w:t>CONSEQUENCE TO FEDERAL PROGRAM IF COLLECTION WERE CONDUCTED LESS FREQUENTLY</w:t>
      </w:r>
    </w:p>
    <w:p w14:paraId="53552097" w14:textId="77777777" w:rsidR="007C11A8" w:rsidRPr="008449DF" w:rsidRDefault="007C11A8" w:rsidP="007C11A8">
      <w:pPr>
        <w:widowControl/>
        <w:rPr>
          <w:b/>
        </w:rPr>
      </w:pPr>
    </w:p>
    <w:p w14:paraId="03D01BE6" w14:textId="65ADDD6C" w:rsidR="007E2455" w:rsidRPr="008449DF" w:rsidRDefault="00BD54F2" w:rsidP="009A3A3B">
      <w:pPr>
        <w:tabs>
          <w:tab w:val="left" w:pos="720"/>
        </w:tabs>
        <w:rPr>
          <w:bCs/>
        </w:rPr>
      </w:pPr>
      <w:r w:rsidRPr="00BD54F2">
        <w:rPr>
          <w:bCs/>
        </w:rPr>
        <w:t>Without the data filed under FERC-538, the Commission would be unable to evaluate the merits of respondents seeking initial gas service and provide a forum for discussion by all interested/affected parties.  The timing and frequency of data filed under FERC-538 is determined by the respondent and the respondent's need for the natural gas service.  Also, see response to Question # 2 above</w:t>
      </w:r>
      <w:r w:rsidR="007E2455" w:rsidRPr="008449DF">
        <w:rPr>
          <w:bCs/>
        </w:rPr>
        <w:t>.</w:t>
      </w:r>
    </w:p>
    <w:p w14:paraId="61CAEE44" w14:textId="77777777" w:rsidR="00F53486" w:rsidRPr="008449DF" w:rsidRDefault="00F53486" w:rsidP="00056B57">
      <w:pPr>
        <w:widowControl/>
      </w:pPr>
    </w:p>
    <w:p w14:paraId="41238AE2" w14:textId="77777777" w:rsidR="00F53486" w:rsidRPr="008449DF" w:rsidRDefault="00F53486" w:rsidP="007129A6">
      <w:pPr>
        <w:widowControl/>
        <w:tabs>
          <w:tab w:val="left" w:pos="720"/>
        </w:tabs>
        <w:ind w:left="720" w:hanging="720"/>
        <w:rPr>
          <w:b/>
        </w:rPr>
      </w:pPr>
      <w:r w:rsidRPr="008449DF">
        <w:rPr>
          <w:b/>
        </w:rPr>
        <w:t>7</w:t>
      </w:r>
      <w:r w:rsidRPr="008449DF">
        <w:t>.</w:t>
      </w:r>
      <w:r w:rsidRPr="008449DF">
        <w:tab/>
      </w:r>
      <w:r w:rsidRPr="008449DF">
        <w:rPr>
          <w:b/>
        </w:rPr>
        <w:t>EXPLAIN ANY SPECIAL CIRCUMSTANCES RELATING TO THE INFORMATION</w:t>
      </w:r>
    </w:p>
    <w:p w14:paraId="0B93D453" w14:textId="77777777" w:rsidR="00C90BA2" w:rsidRPr="008449DF" w:rsidRDefault="00C90BA2" w:rsidP="00DA3CB6">
      <w:pPr>
        <w:widowControl/>
        <w:ind w:firstLine="720"/>
        <w:rPr>
          <w:b/>
        </w:rPr>
      </w:pPr>
    </w:p>
    <w:p w14:paraId="4EFB2B8E" w14:textId="77777777" w:rsidR="00BD54F2" w:rsidRPr="00BD54F2" w:rsidRDefault="00BD54F2" w:rsidP="00BD54F2">
      <w:pPr>
        <w:widowControl/>
      </w:pPr>
      <w:r w:rsidRPr="00BD54F2">
        <w:t xml:space="preserve">FERC-538 meets all of OMB's Section 1320.5 requirements with the exception of 1320.5(d) (2) (iii).  The application may be eFiled through FERC’s eFiling system.  For applications that are eFiled, as posted at </w:t>
      </w:r>
      <w:hyperlink r:id="rId16" w:history="1">
        <w:r w:rsidRPr="00BD54F2">
          <w:rPr>
            <w:rStyle w:val="Hyperlink"/>
          </w:rPr>
          <w:t>http://www.ferc.gov/docs-filing/efiling/filing.pdf</w:t>
        </w:r>
      </w:hyperlink>
      <w:r w:rsidRPr="00BD54F2">
        <w:t xml:space="preserve">, an additional three paper copies are required for use by the Office of Energy Projects and Office of General Counsel. </w:t>
      </w:r>
    </w:p>
    <w:p w14:paraId="14C2D003" w14:textId="77777777" w:rsidR="00BD54F2" w:rsidRPr="00BD54F2" w:rsidRDefault="00BD54F2" w:rsidP="00BD54F2">
      <w:pPr>
        <w:widowControl/>
      </w:pPr>
    </w:p>
    <w:p w14:paraId="10B2CC5F" w14:textId="77777777" w:rsidR="00BD54F2" w:rsidRPr="00BD54F2" w:rsidRDefault="00BD54F2" w:rsidP="00BD54F2">
      <w:pPr>
        <w:widowControl/>
      </w:pPr>
      <w:r w:rsidRPr="00BD54F2">
        <w:t xml:space="preserve">If the application is filed on paper and/or CD, Section 156.3 of the Commission's regulations (18 CFR. 156.3) requires original and seven conformed copies for the Commission to conduct the regulatory review.  The original is routed to the eLibrary System for public viewing over the Commission's web site (and then goes to the official files).  One copy is distributed for public inspection in the Commission's Public Reference Room. The remaining copies are distributed within the Office of Energy Projects to ensure that each Division(s)/Office(s) involved in processing the case can review, analyze and respond in a timely fashion.  </w:t>
      </w:r>
    </w:p>
    <w:p w14:paraId="365724B7" w14:textId="77777777" w:rsidR="00BD54F2" w:rsidRPr="00BD54F2" w:rsidRDefault="00BD54F2" w:rsidP="00BD54F2">
      <w:pPr>
        <w:widowControl/>
      </w:pPr>
    </w:p>
    <w:p w14:paraId="41452DEC" w14:textId="48284FE7" w:rsidR="00CB20FD" w:rsidRPr="008449DF" w:rsidRDefault="00BD54F2" w:rsidP="00BD54F2">
      <w:pPr>
        <w:widowControl/>
        <w:rPr>
          <w:b/>
          <w:bCs/>
        </w:rPr>
      </w:pPr>
      <w:r w:rsidRPr="00BD54F2">
        <w:t>Fewer copies would result in delay and reproduction requirements.  As noted above, the majority of filings under Sections 7(a) and 7(c) of the Natural Gas Act are filed electronically</w:t>
      </w:r>
      <w:r w:rsidR="00A86DC2" w:rsidRPr="008449DF">
        <w:t>.</w:t>
      </w:r>
    </w:p>
    <w:p w14:paraId="15FF924D" w14:textId="77777777" w:rsidR="00390518" w:rsidRPr="008449DF" w:rsidRDefault="00390518" w:rsidP="00F53486">
      <w:pPr>
        <w:widowControl/>
      </w:pPr>
    </w:p>
    <w:p w14:paraId="089C461A" w14:textId="77777777" w:rsidR="00F53486" w:rsidRPr="008449DF" w:rsidRDefault="00C42FEF" w:rsidP="00A86DC2">
      <w:pPr>
        <w:widowControl/>
        <w:tabs>
          <w:tab w:val="left" w:pos="720"/>
        </w:tabs>
        <w:ind w:left="720" w:hanging="720"/>
        <w:rPr>
          <w:b/>
        </w:rPr>
      </w:pPr>
      <w:r w:rsidRPr="008449DF">
        <w:rPr>
          <w:b/>
        </w:rPr>
        <w:t xml:space="preserve">8.  </w:t>
      </w:r>
      <w:r w:rsidR="00A86DC2" w:rsidRPr="008449DF">
        <w:rPr>
          <w:b/>
        </w:rPr>
        <w:tab/>
      </w:r>
      <w:r w:rsidR="00F53486" w:rsidRPr="008449DF">
        <w:rPr>
          <w:b/>
        </w:rPr>
        <w:t>DESCRIBE EFFORTS TO CONSULT OUTSIDE THE AGENC</w:t>
      </w:r>
      <w:r w:rsidR="00DA3CB6" w:rsidRPr="008449DF">
        <w:rPr>
          <w:b/>
        </w:rPr>
        <w:t xml:space="preserve">Y:  </w:t>
      </w:r>
      <w:r w:rsidR="00F53486" w:rsidRPr="008449DF">
        <w:rPr>
          <w:b/>
        </w:rPr>
        <w:t>SUMMARIZE PUBLIC COMMENTS AND THE AGENCY’S RESPONSE TO THESE COMMENTS</w:t>
      </w:r>
    </w:p>
    <w:p w14:paraId="6E3A1AC6" w14:textId="77777777" w:rsidR="00F53486" w:rsidRPr="008449DF" w:rsidRDefault="00F53486" w:rsidP="00F53486">
      <w:pPr>
        <w:widowControl/>
        <w:ind w:firstLine="720"/>
      </w:pPr>
    </w:p>
    <w:p w14:paraId="46221B23" w14:textId="2603A7B6" w:rsidR="00F53486" w:rsidRPr="008449DF" w:rsidRDefault="00CB20FD" w:rsidP="00F53486">
      <w:pPr>
        <w:pStyle w:val="LegalFormat"/>
        <w:rPr>
          <w:sz w:val="24"/>
          <w:szCs w:val="24"/>
        </w:rPr>
      </w:pPr>
      <w:r w:rsidRPr="008449DF">
        <w:rPr>
          <w:sz w:val="24"/>
          <w:szCs w:val="24"/>
        </w:rPr>
        <w:t>In accordance with OMB requirements</w:t>
      </w:r>
      <w:r w:rsidRPr="008449DF">
        <w:rPr>
          <w:rStyle w:val="FootnoteReference"/>
          <w:sz w:val="24"/>
          <w:szCs w:val="24"/>
        </w:rPr>
        <w:footnoteReference w:id="2"/>
      </w:r>
      <w:r w:rsidRPr="008449DF">
        <w:rPr>
          <w:sz w:val="24"/>
          <w:szCs w:val="24"/>
        </w:rPr>
        <w:t>, the Commission published a 60-day notice</w:t>
      </w:r>
      <w:bookmarkStart w:id="1" w:name="_Ref433365347"/>
      <w:r w:rsidRPr="008449DF">
        <w:rPr>
          <w:sz w:val="24"/>
          <w:szCs w:val="24"/>
          <w:vertAlign w:val="superscript"/>
        </w:rPr>
        <w:footnoteReference w:id="3"/>
      </w:r>
      <w:bookmarkEnd w:id="1"/>
      <w:r w:rsidRPr="008449DF">
        <w:rPr>
          <w:sz w:val="24"/>
          <w:szCs w:val="24"/>
        </w:rPr>
        <w:t xml:space="preserve"> and </w:t>
      </w:r>
      <w:r w:rsidRPr="00BB1D25">
        <w:rPr>
          <w:sz w:val="24"/>
          <w:szCs w:val="24"/>
        </w:rPr>
        <w:t>a 30-day notice</w:t>
      </w:r>
      <w:r w:rsidRPr="00BB1D25">
        <w:rPr>
          <w:b/>
          <w:sz w:val="24"/>
          <w:szCs w:val="24"/>
          <w:vertAlign w:val="superscript"/>
        </w:rPr>
        <w:footnoteReference w:id="4"/>
      </w:r>
      <w:r w:rsidRPr="00BB1D25">
        <w:rPr>
          <w:sz w:val="24"/>
          <w:szCs w:val="24"/>
        </w:rPr>
        <w:t xml:space="preserve"> to the public regarding this information collection on </w:t>
      </w:r>
      <w:r w:rsidR="00BD54F2">
        <w:rPr>
          <w:sz w:val="24"/>
          <w:szCs w:val="24"/>
        </w:rPr>
        <w:t>12/18</w:t>
      </w:r>
      <w:r w:rsidR="0069287A" w:rsidRPr="00BB1D25">
        <w:rPr>
          <w:sz w:val="24"/>
          <w:szCs w:val="24"/>
        </w:rPr>
        <w:t>/</w:t>
      </w:r>
      <w:r w:rsidR="00AA1E9C">
        <w:rPr>
          <w:sz w:val="24"/>
          <w:szCs w:val="24"/>
        </w:rPr>
        <w:t>2018</w:t>
      </w:r>
      <w:r w:rsidRPr="00BB1D25">
        <w:rPr>
          <w:sz w:val="24"/>
          <w:szCs w:val="24"/>
        </w:rPr>
        <w:t xml:space="preserve"> </w:t>
      </w:r>
      <w:r w:rsidR="00661EED" w:rsidRPr="00BB1D25">
        <w:rPr>
          <w:sz w:val="24"/>
          <w:szCs w:val="24"/>
        </w:rPr>
        <w:t xml:space="preserve">and </w:t>
      </w:r>
      <w:r w:rsidR="00BD54F2">
        <w:rPr>
          <w:sz w:val="24"/>
          <w:szCs w:val="24"/>
        </w:rPr>
        <w:t>3/19</w:t>
      </w:r>
      <w:r w:rsidR="00AA1E9C">
        <w:rPr>
          <w:sz w:val="24"/>
          <w:szCs w:val="24"/>
        </w:rPr>
        <w:t>/2019</w:t>
      </w:r>
      <w:r w:rsidRPr="0063011A">
        <w:rPr>
          <w:sz w:val="24"/>
          <w:szCs w:val="24"/>
        </w:rPr>
        <w:t xml:space="preserve"> respectively</w:t>
      </w:r>
      <w:r w:rsidRPr="008449DF">
        <w:rPr>
          <w:sz w:val="24"/>
          <w:szCs w:val="24"/>
        </w:rPr>
        <w:t>. Within the public notice</w:t>
      </w:r>
      <w:r w:rsidR="006A3140">
        <w:rPr>
          <w:sz w:val="24"/>
          <w:szCs w:val="24"/>
        </w:rPr>
        <w:t>s</w:t>
      </w:r>
      <w:r w:rsidRPr="008449DF">
        <w:rPr>
          <w:sz w:val="24"/>
          <w:szCs w:val="24"/>
        </w:rPr>
        <w:t>, the Commission noted that it would be requesting a three-year extension of the public reporting burden with no change to the existing requirements concerning the collection of data.  No comments were received.</w:t>
      </w:r>
    </w:p>
    <w:p w14:paraId="2577D546" w14:textId="77777777" w:rsidR="00CB20FD" w:rsidRPr="008449DF" w:rsidRDefault="00CB20FD" w:rsidP="00F53486">
      <w:pPr>
        <w:pStyle w:val="LegalFormat"/>
        <w:rPr>
          <w:sz w:val="24"/>
          <w:szCs w:val="24"/>
        </w:rPr>
      </w:pPr>
    </w:p>
    <w:p w14:paraId="013DA3D1" w14:textId="77777777" w:rsidR="00F53486" w:rsidRPr="008449DF" w:rsidRDefault="00F53486" w:rsidP="00A86DC2">
      <w:pPr>
        <w:widowControl/>
        <w:tabs>
          <w:tab w:val="left" w:pos="720"/>
        </w:tabs>
        <w:ind w:left="720" w:hanging="720"/>
        <w:rPr>
          <w:b/>
        </w:rPr>
      </w:pPr>
      <w:r w:rsidRPr="008449DF">
        <w:rPr>
          <w:b/>
        </w:rPr>
        <w:t>9.</w:t>
      </w:r>
      <w:r w:rsidRPr="008449DF">
        <w:t xml:space="preserve"> </w:t>
      </w:r>
      <w:r w:rsidRPr="008449DF">
        <w:tab/>
      </w:r>
      <w:r w:rsidRPr="008449DF">
        <w:rPr>
          <w:b/>
        </w:rPr>
        <w:t>EXPLAIN ANY PAYMENT OR GIFTS TO RESPONDENTS</w:t>
      </w:r>
    </w:p>
    <w:p w14:paraId="34C2440C" w14:textId="77777777" w:rsidR="00F53486" w:rsidRPr="008449DF" w:rsidRDefault="00F53486" w:rsidP="00F53486">
      <w:pPr>
        <w:widowControl/>
        <w:ind w:firstLine="720"/>
        <w:rPr>
          <w:b/>
        </w:rPr>
      </w:pPr>
    </w:p>
    <w:p w14:paraId="1BB93FE7" w14:textId="4374C019" w:rsidR="00CB20FD" w:rsidRPr="008449DF" w:rsidRDefault="00F53486" w:rsidP="00C90BA2">
      <w:r w:rsidRPr="008449DF">
        <w:t xml:space="preserve"> </w:t>
      </w:r>
      <w:r w:rsidR="00CB20FD" w:rsidRPr="008449DF">
        <w:t xml:space="preserve">There are </w:t>
      </w:r>
      <w:r w:rsidR="00135FB3">
        <w:t>n</w:t>
      </w:r>
      <w:r w:rsidR="00BD54F2">
        <w:t>o payments or gifts to FERC-538</w:t>
      </w:r>
      <w:r w:rsidR="00CB20FD" w:rsidRPr="008449DF">
        <w:t xml:space="preserve"> respondents.</w:t>
      </w:r>
    </w:p>
    <w:p w14:paraId="2CD54118" w14:textId="77777777" w:rsidR="00F53486" w:rsidRPr="008449DF" w:rsidRDefault="00F53486" w:rsidP="00F53486">
      <w:pPr>
        <w:widowControl/>
        <w:ind w:firstLine="720"/>
      </w:pPr>
    </w:p>
    <w:p w14:paraId="0C2F1272" w14:textId="77777777" w:rsidR="00F53486" w:rsidRPr="008449DF" w:rsidRDefault="00F53486" w:rsidP="00A86DC2">
      <w:pPr>
        <w:widowControl/>
        <w:tabs>
          <w:tab w:val="left" w:pos="720"/>
        </w:tabs>
        <w:ind w:left="720" w:hanging="720"/>
        <w:rPr>
          <w:b/>
        </w:rPr>
      </w:pPr>
      <w:r w:rsidRPr="008449DF">
        <w:rPr>
          <w:b/>
        </w:rPr>
        <w:t>10.</w:t>
      </w:r>
      <w:r w:rsidRPr="008449DF">
        <w:rPr>
          <w:b/>
        </w:rPr>
        <w:tab/>
      </w:r>
      <w:r w:rsidR="000F0C44" w:rsidRPr="008449DF">
        <w:rPr>
          <w:b/>
        </w:rPr>
        <w:t xml:space="preserve"> </w:t>
      </w:r>
      <w:r w:rsidRPr="008449DF">
        <w:rPr>
          <w:b/>
        </w:rPr>
        <w:t>DESCRIBE ANY ASSURANCE OF CONFIDENTIALITY</w:t>
      </w:r>
      <w:r w:rsidR="009A7A06" w:rsidRPr="008449DF">
        <w:rPr>
          <w:b/>
        </w:rPr>
        <w:t xml:space="preserve"> </w:t>
      </w:r>
      <w:r w:rsidRPr="008449DF">
        <w:rPr>
          <w:b/>
        </w:rPr>
        <w:t>PROVIDED TO RESPONDENTS</w:t>
      </w:r>
    </w:p>
    <w:p w14:paraId="04E35DA5" w14:textId="77777777" w:rsidR="00F53486" w:rsidRPr="008449DF" w:rsidRDefault="00F53486" w:rsidP="00F53486">
      <w:pPr>
        <w:widowControl/>
        <w:ind w:firstLine="720"/>
        <w:rPr>
          <w:b/>
        </w:rPr>
      </w:pPr>
    </w:p>
    <w:p w14:paraId="218C43F2" w14:textId="4F8B4366" w:rsidR="0063011A" w:rsidRDefault="0063011A" w:rsidP="0063011A">
      <w:r>
        <w:t>The Commission does not consider</w:t>
      </w:r>
      <w:r w:rsidRPr="00C84FE6">
        <w:t xml:space="preserve"> the i</w:t>
      </w:r>
      <w:r w:rsidR="00BD54F2">
        <w:t>nformation collected in FERC-538</w:t>
      </w:r>
      <w:r w:rsidRPr="00C84FE6">
        <w:t xml:space="preserve"> filings to be</w:t>
      </w:r>
      <w:r>
        <w:t xml:space="preserve"> confidential</w:t>
      </w:r>
      <w:r w:rsidRPr="00C84FE6">
        <w:t xml:space="preserve">. </w:t>
      </w:r>
      <w:r>
        <w:t xml:space="preserve"> However, the filer may request privileged treatment of a filing that may contain information harmful to the competitive posture of the applicant if released to the general public.</w:t>
      </w:r>
      <w:r w:rsidRPr="00BD54F2">
        <w:rPr>
          <w:rStyle w:val="FootnoteReference"/>
          <w:b w:val="0"/>
          <w:sz w:val="24"/>
          <w:szCs w:val="24"/>
        </w:rPr>
        <w:footnoteReference w:id="5"/>
      </w:r>
      <w:r w:rsidRPr="00EF0AEF">
        <w:rPr>
          <w:b/>
        </w:rPr>
        <w:t xml:space="preserve"> </w:t>
      </w:r>
      <w:r w:rsidRPr="00C84FE6">
        <w:t xml:space="preserve"> </w:t>
      </w:r>
    </w:p>
    <w:p w14:paraId="1D175134" w14:textId="77777777" w:rsidR="00986B0D" w:rsidRPr="008449DF" w:rsidRDefault="00986B0D" w:rsidP="00C90BA2">
      <w:pPr>
        <w:widowControl/>
      </w:pPr>
    </w:p>
    <w:p w14:paraId="2292EF27" w14:textId="77777777" w:rsidR="00F53486" w:rsidRPr="008449DF" w:rsidRDefault="00F53486" w:rsidP="00A86DC2">
      <w:pPr>
        <w:widowControl/>
        <w:tabs>
          <w:tab w:val="left" w:pos="720"/>
        </w:tabs>
        <w:ind w:left="720" w:hanging="720"/>
        <w:rPr>
          <w:b/>
        </w:rPr>
      </w:pPr>
      <w:r w:rsidRPr="008449DF">
        <w:rPr>
          <w:b/>
        </w:rPr>
        <w:t>11.</w:t>
      </w:r>
      <w:r w:rsidRPr="008449DF">
        <w:rPr>
          <w:b/>
        </w:rPr>
        <w:tab/>
      </w:r>
      <w:r w:rsidR="000F0C44" w:rsidRPr="008449DF">
        <w:rPr>
          <w:b/>
        </w:rPr>
        <w:t xml:space="preserve"> </w:t>
      </w:r>
      <w:r w:rsidR="00A701B9" w:rsidRPr="00A701B9">
        <w:rPr>
          <w:b/>
        </w:rPr>
        <w:t>PROVIDE ADDITIONAL JUSTIFICATION FOR ANY QUESTIONS OF A SENSITIVE NATURE, SUCH AS SEXUAL BEHAVIOR AND ATTITUDES, RELIGIOUS BELIEFS, AND OTHER MATTERS THAT ARE COMMONLY CONSIDERED PRIVATE</w:t>
      </w:r>
    </w:p>
    <w:p w14:paraId="79ED7049" w14:textId="77777777" w:rsidR="00F53486" w:rsidRPr="008449DF" w:rsidRDefault="00F53486" w:rsidP="00F53486">
      <w:pPr>
        <w:widowControl/>
        <w:rPr>
          <w:b/>
        </w:rPr>
      </w:pPr>
    </w:p>
    <w:p w14:paraId="24F9A329" w14:textId="68F23621" w:rsidR="00F53486" w:rsidRPr="008449DF" w:rsidRDefault="00F31A81" w:rsidP="00BD54F2">
      <w:pPr>
        <w:widowControl/>
        <w:rPr>
          <w:b/>
        </w:rPr>
      </w:pPr>
      <w:r w:rsidRPr="008449DF">
        <w:t>The Commission does not consider any of t</w:t>
      </w:r>
      <w:r w:rsidR="0063011A">
        <w:t xml:space="preserve">he questions </w:t>
      </w:r>
      <w:r w:rsidR="00A701B9">
        <w:t>to be sensitive or</w:t>
      </w:r>
      <w:r w:rsidR="00EF0AEF">
        <w:t xml:space="preserve"> private.</w:t>
      </w:r>
      <w:r w:rsidR="00B66750">
        <w:br w:type="page"/>
      </w:r>
      <w:r w:rsidR="00F53486" w:rsidRPr="008449DF">
        <w:rPr>
          <w:b/>
        </w:rPr>
        <w:t>12.</w:t>
      </w:r>
      <w:r w:rsidR="00F53486" w:rsidRPr="008449DF">
        <w:rPr>
          <w:b/>
        </w:rPr>
        <w:tab/>
      </w:r>
      <w:r w:rsidR="00FF5CA4" w:rsidRPr="008449DF">
        <w:rPr>
          <w:b/>
        </w:rPr>
        <w:t xml:space="preserve"> </w:t>
      </w:r>
      <w:r w:rsidR="00F53486" w:rsidRPr="008449DF">
        <w:rPr>
          <w:b/>
        </w:rPr>
        <w:t>ESTIMATED BURDEN OF COLLECTION OF INFORMATION</w:t>
      </w:r>
    </w:p>
    <w:p w14:paraId="17F516B7" w14:textId="77777777" w:rsidR="00F53486" w:rsidRPr="008449DF" w:rsidRDefault="00F53486" w:rsidP="00F53486"/>
    <w:p w14:paraId="5074D77C" w14:textId="77777777" w:rsidR="00BD54F2" w:rsidRPr="00BD54F2" w:rsidRDefault="00BD54F2" w:rsidP="00BD54F2">
      <w:pPr>
        <w:widowControl/>
        <w:tabs>
          <w:tab w:val="left" w:pos="-1440"/>
        </w:tabs>
      </w:pPr>
      <w:r w:rsidRPr="00BD54F2">
        <w:t xml:space="preserve">Currently, applications under Section 7(a) of the NGA are rarely submitted to FERC (although FERC has received them in the past).  As such, FERC has included a ‘placeholder’ burden of 240 hours for one respondent in the event that a filing is submitted, even though one has not been received in several years.  </w:t>
      </w:r>
    </w:p>
    <w:p w14:paraId="2D7B8458" w14:textId="77777777" w:rsidR="00BD54F2" w:rsidRPr="00BD54F2" w:rsidRDefault="00BD54F2" w:rsidP="00BD54F2">
      <w:pPr>
        <w:widowControl/>
        <w:tabs>
          <w:tab w:val="left" w:pos="-1440"/>
        </w:tabs>
      </w:pPr>
    </w:p>
    <w:p w14:paraId="3E2F45CD" w14:textId="72605520" w:rsidR="00BD54F2" w:rsidRDefault="00BD54F2" w:rsidP="00BD54F2">
      <w:pPr>
        <w:widowControl/>
        <w:tabs>
          <w:tab w:val="left" w:pos="-1440"/>
        </w:tabs>
      </w:pPr>
      <w:r w:rsidRPr="00BD54F2">
        <w:t>The potential reporting burden to an LDC or municipality were they to file would include any work effort to compose a description of the bases upon which local distribution companies (for example) request that the Commission require a jurisdictional company to provide service. This would include documentation of legal history, casework, and precedence.  Additionally, attachments and exhibits (such as  maps, system engineering diagrams, flow diagram data, pressure and volume reading, delivery points, cost and market data, etc.). may accompany the applications. FERC estimates that this burden would total approximately 240 hours</w:t>
      </w:r>
      <w:r w:rsidR="009D1ABC">
        <w:t>.</w:t>
      </w:r>
    </w:p>
    <w:p w14:paraId="36959D3E" w14:textId="77777777" w:rsidR="00BD54F2" w:rsidRDefault="00BD54F2" w:rsidP="00C90BA2">
      <w:pPr>
        <w:widowControl/>
        <w:tabs>
          <w:tab w:val="left" w:pos="-1440"/>
        </w:tabs>
      </w:pPr>
    </w:p>
    <w:p w14:paraId="30753483" w14:textId="77777777" w:rsidR="00AF2652" w:rsidRPr="008449DF" w:rsidRDefault="009237E8" w:rsidP="00C90BA2">
      <w:pPr>
        <w:widowControl/>
        <w:tabs>
          <w:tab w:val="left" w:pos="-1440"/>
        </w:tabs>
      </w:pPr>
      <w:r w:rsidRPr="008449DF">
        <w:t>The Commission estimates the Public Reporting Burden for this information collection as:</w:t>
      </w:r>
    </w:p>
    <w:p w14:paraId="1B6C4AC0" w14:textId="77777777" w:rsidR="008166A6" w:rsidRPr="008449DF" w:rsidRDefault="008166A6" w:rsidP="00CA23F7">
      <w:pPr>
        <w:widowControl/>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1416"/>
        <w:gridCol w:w="1416"/>
        <w:gridCol w:w="1334"/>
        <w:gridCol w:w="1241"/>
        <w:gridCol w:w="1247"/>
        <w:gridCol w:w="1169"/>
      </w:tblGrid>
      <w:tr w:rsidR="00BD54F2" w:rsidRPr="00BD54F2" w14:paraId="0B00A2E0" w14:textId="77777777" w:rsidTr="009418C5">
        <w:trPr>
          <w:cantSplit/>
        </w:trPr>
        <w:tc>
          <w:tcPr>
            <w:tcW w:w="5000" w:type="pct"/>
            <w:gridSpan w:val="7"/>
            <w:tcBorders>
              <w:bottom w:val="single" w:sz="4" w:space="0" w:color="auto"/>
            </w:tcBorders>
            <w:shd w:val="clear" w:color="auto" w:fill="D9D9D9"/>
          </w:tcPr>
          <w:p w14:paraId="4D45D4C7" w14:textId="77777777" w:rsidR="00BD54F2" w:rsidRPr="00BD54F2" w:rsidRDefault="00BD54F2" w:rsidP="00BD54F2">
            <w:pPr>
              <w:widowControl/>
              <w:autoSpaceDE/>
              <w:autoSpaceDN/>
              <w:adjustRightInd/>
              <w:jc w:val="center"/>
              <w:rPr>
                <w:rFonts w:eastAsia="Calibri"/>
                <w:b/>
                <w:sz w:val="20"/>
                <w:szCs w:val="20"/>
              </w:rPr>
            </w:pPr>
            <w:r w:rsidRPr="00BD54F2">
              <w:rPr>
                <w:rFonts w:eastAsia="Calibri"/>
                <w:b/>
                <w:sz w:val="20"/>
                <w:szCs w:val="20"/>
              </w:rPr>
              <w:t>FERC-538: Gas Pipeline Certificates: Section 7(a) Mandatory Initial Service</w:t>
            </w:r>
          </w:p>
        </w:tc>
      </w:tr>
      <w:tr w:rsidR="00BD54F2" w:rsidRPr="00BD54F2" w14:paraId="1800413D" w14:textId="77777777" w:rsidTr="009418C5">
        <w:trPr>
          <w:cantSplit/>
        </w:trPr>
        <w:tc>
          <w:tcPr>
            <w:tcW w:w="878" w:type="pct"/>
            <w:shd w:val="clear" w:color="auto" w:fill="D9D9D9"/>
          </w:tcPr>
          <w:p w14:paraId="327510EA" w14:textId="77777777" w:rsidR="00BD54F2" w:rsidRPr="00BD54F2" w:rsidRDefault="00BD54F2" w:rsidP="00BD54F2">
            <w:pPr>
              <w:widowControl/>
              <w:autoSpaceDE/>
              <w:autoSpaceDN/>
              <w:adjustRightInd/>
              <w:jc w:val="center"/>
              <w:rPr>
                <w:rFonts w:eastAsia="Calibri"/>
                <w:b/>
                <w:sz w:val="20"/>
                <w:szCs w:val="20"/>
              </w:rPr>
            </w:pPr>
          </w:p>
        </w:tc>
        <w:tc>
          <w:tcPr>
            <w:tcW w:w="746" w:type="pct"/>
            <w:shd w:val="clear" w:color="auto" w:fill="D9D9D9"/>
            <w:vAlign w:val="bottom"/>
          </w:tcPr>
          <w:p w14:paraId="5016BAEC" w14:textId="77777777" w:rsidR="00BD54F2" w:rsidRPr="00BD54F2" w:rsidRDefault="00BD54F2" w:rsidP="00BD54F2">
            <w:pPr>
              <w:widowControl/>
              <w:autoSpaceDE/>
              <w:autoSpaceDN/>
              <w:adjustRightInd/>
              <w:jc w:val="center"/>
              <w:rPr>
                <w:rFonts w:eastAsia="Calibri"/>
                <w:b/>
                <w:sz w:val="20"/>
                <w:szCs w:val="20"/>
              </w:rPr>
            </w:pPr>
            <w:r w:rsidRPr="00BD54F2">
              <w:rPr>
                <w:rFonts w:eastAsia="Calibri"/>
                <w:b/>
                <w:sz w:val="20"/>
                <w:szCs w:val="20"/>
              </w:rPr>
              <w:t>Number of Respondents</w:t>
            </w:r>
            <w:r w:rsidRPr="00BD54F2">
              <w:rPr>
                <w:rFonts w:eastAsia="Calibri"/>
                <w:b/>
                <w:sz w:val="20"/>
                <w:szCs w:val="20"/>
              </w:rPr>
              <w:br/>
              <w:t>(1)</w:t>
            </w:r>
          </w:p>
        </w:tc>
        <w:tc>
          <w:tcPr>
            <w:tcW w:w="746" w:type="pct"/>
            <w:shd w:val="clear" w:color="auto" w:fill="D9D9D9"/>
            <w:vAlign w:val="bottom"/>
          </w:tcPr>
          <w:p w14:paraId="130DC861" w14:textId="77777777" w:rsidR="00BD54F2" w:rsidRPr="00BD54F2" w:rsidRDefault="00BD54F2" w:rsidP="00BD54F2">
            <w:pPr>
              <w:widowControl/>
              <w:autoSpaceDE/>
              <w:autoSpaceDN/>
              <w:adjustRightInd/>
              <w:jc w:val="center"/>
              <w:rPr>
                <w:rFonts w:eastAsia="Calibri"/>
                <w:b/>
                <w:sz w:val="20"/>
                <w:szCs w:val="20"/>
              </w:rPr>
            </w:pPr>
            <w:r w:rsidRPr="00BD54F2">
              <w:rPr>
                <w:rFonts w:eastAsia="Calibri"/>
                <w:b/>
                <w:sz w:val="20"/>
                <w:szCs w:val="20"/>
              </w:rPr>
              <w:t>Annual Number of Responses per Respondent</w:t>
            </w:r>
          </w:p>
          <w:p w14:paraId="12CCE025" w14:textId="77777777" w:rsidR="00BD54F2" w:rsidRPr="00BD54F2" w:rsidRDefault="00BD54F2" w:rsidP="00BD54F2">
            <w:pPr>
              <w:widowControl/>
              <w:autoSpaceDE/>
              <w:autoSpaceDN/>
              <w:adjustRightInd/>
              <w:jc w:val="center"/>
              <w:rPr>
                <w:rFonts w:eastAsia="Calibri"/>
                <w:b/>
                <w:sz w:val="20"/>
                <w:szCs w:val="20"/>
              </w:rPr>
            </w:pPr>
            <w:r w:rsidRPr="00BD54F2">
              <w:rPr>
                <w:rFonts w:eastAsia="Calibri"/>
                <w:b/>
                <w:sz w:val="20"/>
                <w:szCs w:val="20"/>
              </w:rPr>
              <w:t>(2)</w:t>
            </w:r>
          </w:p>
        </w:tc>
        <w:tc>
          <w:tcPr>
            <w:tcW w:w="703" w:type="pct"/>
            <w:shd w:val="clear" w:color="auto" w:fill="D9D9D9"/>
            <w:vAlign w:val="bottom"/>
          </w:tcPr>
          <w:p w14:paraId="58BFBA0A" w14:textId="77777777" w:rsidR="00BD54F2" w:rsidRPr="00BD54F2" w:rsidRDefault="00BD54F2" w:rsidP="00BD54F2">
            <w:pPr>
              <w:widowControl/>
              <w:autoSpaceDE/>
              <w:autoSpaceDN/>
              <w:adjustRightInd/>
              <w:jc w:val="center"/>
              <w:rPr>
                <w:rFonts w:eastAsia="Calibri"/>
                <w:b/>
                <w:sz w:val="20"/>
                <w:szCs w:val="20"/>
              </w:rPr>
            </w:pPr>
            <w:r w:rsidRPr="00BD54F2">
              <w:rPr>
                <w:rFonts w:eastAsia="Calibri"/>
                <w:b/>
                <w:sz w:val="20"/>
                <w:szCs w:val="20"/>
              </w:rPr>
              <w:t>Total Number of Responses (1)*(2)=(3)</w:t>
            </w:r>
          </w:p>
        </w:tc>
        <w:tc>
          <w:tcPr>
            <w:tcW w:w="654" w:type="pct"/>
            <w:shd w:val="clear" w:color="auto" w:fill="D9D9D9"/>
            <w:vAlign w:val="bottom"/>
          </w:tcPr>
          <w:p w14:paraId="4E51003A" w14:textId="77777777" w:rsidR="00BD54F2" w:rsidRPr="00BD54F2" w:rsidRDefault="00BD54F2" w:rsidP="00BD54F2">
            <w:pPr>
              <w:widowControl/>
              <w:autoSpaceDE/>
              <w:autoSpaceDN/>
              <w:adjustRightInd/>
              <w:jc w:val="center"/>
              <w:rPr>
                <w:rFonts w:eastAsia="Calibri"/>
                <w:b/>
                <w:sz w:val="20"/>
                <w:szCs w:val="20"/>
              </w:rPr>
            </w:pPr>
            <w:r w:rsidRPr="00BD54F2">
              <w:rPr>
                <w:rFonts w:eastAsia="Calibri"/>
                <w:b/>
                <w:sz w:val="20"/>
                <w:szCs w:val="20"/>
              </w:rPr>
              <w:t>Average Burden Hrs. &amp; Cost ($) Per Response</w:t>
            </w:r>
            <w:bookmarkStart w:id="2" w:name="_Ref433704633"/>
            <w:r w:rsidRPr="00BD54F2">
              <w:rPr>
                <w:rFonts w:eastAsia="Calibri"/>
                <w:b/>
                <w:sz w:val="26"/>
                <w:szCs w:val="26"/>
                <w:vertAlign w:val="superscript"/>
              </w:rPr>
              <w:footnoteReference w:id="6"/>
            </w:r>
            <w:bookmarkEnd w:id="2"/>
          </w:p>
          <w:p w14:paraId="14828ECF" w14:textId="77777777" w:rsidR="00BD54F2" w:rsidRPr="00BD54F2" w:rsidRDefault="00BD54F2" w:rsidP="00BD54F2">
            <w:pPr>
              <w:widowControl/>
              <w:autoSpaceDE/>
              <w:autoSpaceDN/>
              <w:adjustRightInd/>
              <w:jc w:val="center"/>
              <w:rPr>
                <w:rFonts w:eastAsia="Calibri"/>
                <w:b/>
                <w:sz w:val="20"/>
                <w:szCs w:val="20"/>
              </w:rPr>
            </w:pPr>
            <w:r w:rsidRPr="00BD54F2">
              <w:rPr>
                <w:rFonts w:eastAsia="Calibri"/>
                <w:b/>
                <w:sz w:val="20"/>
                <w:szCs w:val="20"/>
              </w:rPr>
              <w:t>(4)</w:t>
            </w:r>
          </w:p>
        </w:tc>
        <w:tc>
          <w:tcPr>
            <w:tcW w:w="657" w:type="pct"/>
            <w:shd w:val="clear" w:color="auto" w:fill="D9D9D9"/>
            <w:vAlign w:val="bottom"/>
          </w:tcPr>
          <w:p w14:paraId="6FAD5797" w14:textId="77777777" w:rsidR="00BD54F2" w:rsidRPr="00BD54F2" w:rsidRDefault="00BD54F2" w:rsidP="00BD54F2">
            <w:pPr>
              <w:widowControl/>
              <w:autoSpaceDE/>
              <w:autoSpaceDN/>
              <w:adjustRightInd/>
              <w:jc w:val="center"/>
              <w:rPr>
                <w:rFonts w:eastAsia="Calibri"/>
                <w:b/>
                <w:sz w:val="20"/>
                <w:szCs w:val="20"/>
              </w:rPr>
            </w:pPr>
            <w:r w:rsidRPr="00BD54F2">
              <w:rPr>
                <w:rFonts w:eastAsia="Calibri"/>
                <w:b/>
                <w:sz w:val="20"/>
                <w:szCs w:val="20"/>
              </w:rPr>
              <w:t>Total Annual Burden Hours &amp; Total Annual Cost ($)</w:t>
            </w:r>
          </w:p>
          <w:p w14:paraId="68062521" w14:textId="77777777" w:rsidR="00BD54F2" w:rsidRPr="00BD54F2" w:rsidRDefault="00BD54F2" w:rsidP="00BD54F2">
            <w:pPr>
              <w:widowControl/>
              <w:autoSpaceDE/>
              <w:autoSpaceDN/>
              <w:adjustRightInd/>
              <w:jc w:val="center"/>
              <w:rPr>
                <w:rFonts w:eastAsia="Calibri"/>
                <w:b/>
                <w:sz w:val="20"/>
                <w:szCs w:val="20"/>
              </w:rPr>
            </w:pPr>
            <w:r w:rsidRPr="00BD54F2">
              <w:rPr>
                <w:rFonts w:eastAsia="Calibri"/>
                <w:b/>
                <w:sz w:val="20"/>
                <w:szCs w:val="20"/>
              </w:rPr>
              <w:t>(3)*(4)=(5)</w:t>
            </w:r>
          </w:p>
        </w:tc>
        <w:tc>
          <w:tcPr>
            <w:tcW w:w="616" w:type="pct"/>
            <w:shd w:val="clear" w:color="auto" w:fill="D9D9D9"/>
            <w:vAlign w:val="bottom"/>
          </w:tcPr>
          <w:p w14:paraId="4ECB44C5" w14:textId="77777777" w:rsidR="00BD54F2" w:rsidRPr="00BD54F2" w:rsidRDefault="00BD54F2" w:rsidP="00BD54F2">
            <w:pPr>
              <w:widowControl/>
              <w:autoSpaceDE/>
              <w:autoSpaceDN/>
              <w:adjustRightInd/>
              <w:jc w:val="center"/>
              <w:rPr>
                <w:rFonts w:eastAsia="Calibri"/>
                <w:b/>
                <w:sz w:val="20"/>
                <w:szCs w:val="20"/>
              </w:rPr>
            </w:pPr>
            <w:r w:rsidRPr="00BD54F2">
              <w:rPr>
                <w:rFonts w:eastAsia="Calibri"/>
                <w:b/>
                <w:sz w:val="20"/>
                <w:szCs w:val="20"/>
              </w:rPr>
              <w:t>Cost per Respondent</w:t>
            </w:r>
          </w:p>
          <w:p w14:paraId="671A14FA" w14:textId="77777777" w:rsidR="00BD54F2" w:rsidRPr="00BD54F2" w:rsidRDefault="00BD54F2" w:rsidP="00BD54F2">
            <w:pPr>
              <w:widowControl/>
              <w:autoSpaceDE/>
              <w:autoSpaceDN/>
              <w:adjustRightInd/>
              <w:jc w:val="center"/>
              <w:rPr>
                <w:rFonts w:eastAsia="Calibri"/>
                <w:b/>
                <w:sz w:val="20"/>
                <w:szCs w:val="20"/>
              </w:rPr>
            </w:pPr>
            <w:r w:rsidRPr="00BD54F2">
              <w:rPr>
                <w:rFonts w:eastAsia="Calibri"/>
                <w:b/>
                <w:sz w:val="20"/>
                <w:szCs w:val="20"/>
              </w:rPr>
              <w:t xml:space="preserve"> ($)</w:t>
            </w:r>
          </w:p>
          <w:p w14:paraId="6EA3ABBC" w14:textId="77777777" w:rsidR="00BD54F2" w:rsidRPr="00BD54F2" w:rsidRDefault="00BD54F2" w:rsidP="00BD54F2">
            <w:pPr>
              <w:widowControl/>
              <w:autoSpaceDE/>
              <w:autoSpaceDN/>
              <w:adjustRightInd/>
              <w:jc w:val="center"/>
              <w:rPr>
                <w:rFonts w:eastAsia="Calibri"/>
                <w:b/>
                <w:sz w:val="20"/>
                <w:szCs w:val="20"/>
              </w:rPr>
            </w:pPr>
            <w:r w:rsidRPr="00BD54F2">
              <w:rPr>
                <w:rFonts w:eastAsia="Calibri"/>
                <w:b/>
                <w:sz w:val="20"/>
                <w:szCs w:val="20"/>
              </w:rPr>
              <w:t>(5)÷(1)</w:t>
            </w:r>
          </w:p>
        </w:tc>
      </w:tr>
      <w:tr w:rsidR="00BD54F2" w:rsidRPr="00BD54F2" w14:paraId="1A5038AE" w14:textId="77777777" w:rsidTr="009418C5">
        <w:trPr>
          <w:cantSplit/>
        </w:trPr>
        <w:tc>
          <w:tcPr>
            <w:tcW w:w="878" w:type="pct"/>
          </w:tcPr>
          <w:p w14:paraId="5CD3710A" w14:textId="77777777" w:rsidR="00BD54F2" w:rsidRPr="00BD54F2" w:rsidRDefault="00BD54F2" w:rsidP="00BD54F2">
            <w:pPr>
              <w:widowControl/>
              <w:autoSpaceDE/>
              <w:autoSpaceDN/>
              <w:adjustRightInd/>
              <w:rPr>
                <w:rFonts w:eastAsia="Calibri"/>
                <w:sz w:val="20"/>
                <w:szCs w:val="20"/>
              </w:rPr>
            </w:pPr>
            <w:r w:rsidRPr="00BD54F2">
              <w:rPr>
                <w:rFonts w:eastAsia="Calibri"/>
                <w:sz w:val="20"/>
                <w:szCs w:val="20"/>
              </w:rPr>
              <w:t>Gas Pipeline Certificates</w:t>
            </w:r>
          </w:p>
        </w:tc>
        <w:tc>
          <w:tcPr>
            <w:tcW w:w="746" w:type="pct"/>
          </w:tcPr>
          <w:p w14:paraId="36A46918" w14:textId="77777777" w:rsidR="00BD54F2" w:rsidRPr="00BD54F2" w:rsidRDefault="00BD54F2" w:rsidP="00BD54F2">
            <w:pPr>
              <w:widowControl/>
              <w:autoSpaceDE/>
              <w:autoSpaceDN/>
              <w:adjustRightInd/>
              <w:jc w:val="right"/>
              <w:rPr>
                <w:rFonts w:eastAsia="Calibri"/>
                <w:sz w:val="20"/>
                <w:szCs w:val="20"/>
              </w:rPr>
            </w:pPr>
            <w:r w:rsidRPr="00BD54F2">
              <w:rPr>
                <w:rFonts w:eastAsia="Calibri"/>
                <w:sz w:val="20"/>
                <w:szCs w:val="20"/>
              </w:rPr>
              <w:t>1</w:t>
            </w:r>
          </w:p>
          <w:p w14:paraId="5C609D1A" w14:textId="77777777" w:rsidR="00BD54F2" w:rsidRPr="00BD54F2" w:rsidRDefault="00BD54F2" w:rsidP="00BD54F2">
            <w:pPr>
              <w:widowControl/>
              <w:autoSpaceDE/>
              <w:autoSpaceDN/>
              <w:adjustRightInd/>
              <w:jc w:val="right"/>
              <w:rPr>
                <w:rFonts w:eastAsia="Calibri"/>
                <w:sz w:val="20"/>
                <w:szCs w:val="20"/>
              </w:rPr>
            </w:pPr>
          </w:p>
        </w:tc>
        <w:tc>
          <w:tcPr>
            <w:tcW w:w="746" w:type="pct"/>
          </w:tcPr>
          <w:p w14:paraId="0177D10E" w14:textId="77777777" w:rsidR="00BD54F2" w:rsidRPr="00BD54F2" w:rsidRDefault="00BD54F2" w:rsidP="00BD54F2">
            <w:pPr>
              <w:widowControl/>
              <w:autoSpaceDE/>
              <w:autoSpaceDN/>
              <w:adjustRightInd/>
              <w:jc w:val="right"/>
              <w:rPr>
                <w:rFonts w:eastAsia="Calibri"/>
                <w:sz w:val="20"/>
                <w:szCs w:val="20"/>
              </w:rPr>
            </w:pPr>
            <w:r w:rsidRPr="00BD54F2">
              <w:rPr>
                <w:rFonts w:eastAsia="Calibri"/>
                <w:sz w:val="20"/>
                <w:szCs w:val="20"/>
              </w:rPr>
              <w:t>1</w:t>
            </w:r>
          </w:p>
        </w:tc>
        <w:tc>
          <w:tcPr>
            <w:tcW w:w="703" w:type="pct"/>
          </w:tcPr>
          <w:p w14:paraId="6C9BBB0F" w14:textId="77777777" w:rsidR="00BD54F2" w:rsidRPr="00BD54F2" w:rsidRDefault="00BD54F2" w:rsidP="00BD54F2">
            <w:pPr>
              <w:widowControl/>
              <w:autoSpaceDE/>
              <w:autoSpaceDN/>
              <w:adjustRightInd/>
              <w:jc w:val="right"/>
              <w:rPr>
                <w:rFonts w:eastAsia="Calibri"/>
                <w:sz w:val="20"/>
                <w:szCs w:val="20"/>
              </w:rPr>
            </w:pPr>
            <w:r w:rsidRPr="00BD54F2">
              <w:rPr>
                <w:rFonts w:eastAsia="Calibri"/>
                <w:sz w:val="20"/>
                <w:szCs w:val="20"/>
              </w:rPr>
              <w:t>1</w:t>
            </w:r>
          </w:p>
        </w:tc>
        <w:tc>
          <w:tcPr>
            <w:tcW w:w="654" w:type="pct"/>
          </w:tcPr>
          <w:p w14:paraId="2D641867" w14:textId="77777777" w:rsidR="00BD54F2" w:rsidRPr="00BD54F2" w:rsidRDefault="00BD54F2" w:rsidP="00BD54F2">
            <w:pPr>
              <w:widowControl/>
              <w:autoSpaceDE/>
              <w:autoSpaceDN/>
              <w:adjustRightInd/>
              <w:jc w:val="right"/>
              <w:rPr>
                <w:rFonts w:eastAsia="Calibri"/>
                <w:sz w:val="20"/>
                <w:szCs w:val="20"/>
              </w:rPr>
            </w:pPr>
            <w:r w:rsidRPr="00BD54F2">
              <w:rPr>
                <w:rFonts w:eastAsia="Calibri"/>
                <w:sz w:val="20"/>
                <w:szCs w:val="20"/>
              </w:rPr>
              <w:t>240 hrs.;</w:t>
            </w:r>
          </w:p>
          <w:p w14:paraId="7408E049" w14:textId="77777777" w:rsidR="00BD54F2" w:rsidRPr="00BD54F2" w:rsidRDefault="00BD54F2" w:rsidP="00BD54F2">
            <w:pPr>
              <w:widowControl/>
              <w:autoSpaceDE/>
              <w:autoSpaceDN/>
              <w:adjustRightInd/>
              <w:jc w:val="right"/>
              <w:rPr>
                <w:rFonts w:eastAsia="Calibri"/>
                <w:sz w:val="20"/>
                <w:szCs w:val="20"/>
              </w:rPr>
            </w:pPr>
            <w:r w:rsidRPr="00BD54F2">
              <w:rPr>
                <w:rFonts w:eastAsia="Calibri"/>
                <w:sz w:val="20"/>
                <w:szCs w:val="20"/>
              </w:rPr>
              <w:t>$18,960</w:t>
            </w:r>
          </w:p>
        </w:tc>
        <w:tc>
          <w:tcPr>
            <w:tcW w:w="657" w:type="pct"/>
          </w:tcPr>
          <w:p w14:paraId="13914B8E" w14:textId="77777777" w:rsidR="00BD54F2" w:rsidRPr="00BD54F2" w:rsidRDefault="00BD54F2" w:rsidP="00BD54F2">
            <w:pPr>
              <w:widowControl/>
              <w:autoSpaceDE/>
              <w:autoSpaceDN/>
              <w:adjustRightInd/>
              <w:jc w:val="right"/>
              <w:rPr>
                <w:rFonts w:eastAsia="Calibri"/>
                <w:sz w:val="20"/>
                <w:szCs w:val="20"/>
              </w:rPr>
            </w:pPr>
            <w:r w:rsidRPr="00BD54F2">
              <w:rPr>
                <w:rFonts w:eastAsia="Calibri"/>
                <w:sz w:val="20"/>
                <w:szCs w:val="20"/>
              </w:rPr>
              <w:t xml:space="preserve"> 240 hrs.;</w:t>
            </w:r>
          </w:p>
          <w:p w14:paraId="480C43F4" w14:textId="77777777" w:rsidR="00BD54F2" w:rsidRPr="00BD54F2" w:rsidRDefault="00BD54F2" w:rsidP="00BD54F2">
            <w:pPr>
              <w:widowControl/>
              <w:autoSpaceDE/>
              <w:autoSpaceDN/>
              <w:adjustRightInd/>
              <w:jc w:val="right"/>
              <w:rPr>
                <w:rFonts w:eastAsia="Calibri"/>
                <w:sz w:val="20"/>
                <w:szCs w:val="20"/>
              </w:rPr>
            </w:pPr>
            <w:r w:rsidRPr="00BD54F2">
              <w:rPr>
                <w:rFonts w:eastAsia="Calibri"/>
                <w:sz w:val="20"/>
                <w:szCs w:val="20"/>
              </w:rPr>
              <w:t xml:space="preserve">$18,960 </w:t>
            </w:r>
          </w:p>
        </w:tc>
        <w:tc>
          <w:tcPr>
            <w:tcW w:w="616" w:type="pct"/>
          </w:tcPr>
          <w:p w14:paraId="1997B86A" w14:textId="77777777" w:rsidR="00BD54F2" w:rsidRPr="00BD54F2" w:rsidRDefault="00BD54F2" w:rsidP="00BD54F2">
            <w:pPr>
              <w:widowControl/>
              <w:autoSpaceDE/>
              <w:autoSpaceDN/>
              <w:adjustRightInd/>
              <w:jc w:val="right"/>
              <w:rPr>
                <w:rFonts w:eastAsia="Calibri"/>
                <w:sz w:val="20"/>
                <w:szCs w:val="20"/>
              </w:rPr>
            </w:pPr>
            <w:r w:rsidRPr="00BD54F2">
              <w:rPr>
                <w:rFonts w:eastAsia="Calibri"/>
                <w:sz w:val="20"/>
                <w:szCs w:val="20"/>
              </w:rPr>
              <w:t xml:space="preserve">$18,960 </w:t>
            </w:r>
          </w:p>
          <w:p w14:paraId="6C8A8D00" w14:textId="77777777" w:rsidR="00BD54F2" w:rsidRPr="00BD54F2" w:rsidRDefault="00BD54F2" w:rsidP="00BD54F2">
            <w:pPr>
              <w:widowControl/>
              <w:autoSpaceDE/>
              <w:autoSpaceDN/>
              <w:adjustRightInd/>
              <w:jc w:val="right"/>
              <w:rPr>
                <w:rFonts w:eastAsia="Calibri"/>
                <w:sz w:val="20"/>
                <w:szCs w:val="20"/>
              </w:rPr>
            </w:pPr>
          </w:p>
        </w:tc>
      </w:tr>
    </w:tbl>
    <w:p w14:paraId="0A89B64E" w14:textId="77777777" w:rsidR="00CA23F7" w:rsidRPr="008449DF" w:rsidRDefault="00CA23F7" w:rsidP="00CA23F7">
      <w:pPr>
        <w:widowControl/>
      </w:pPr>
    </w:p>
    <w:p w14:paraId="60237885" w14:textId="77777777" w:rsidR="00DB2C75" w:rsidRPr="008449DF" w:rsidRDefault="00DB2C75" w:rsidP="00F53486">
      <w:pPr>
        <w:widowControl/>
        <w:ind w:firstLine="720"/>
      </w:pPr>
    </w:p>
    <w:p w14:paraId="4BD36A45" w14:textId="77777777" w:rsidR="00F53486" w:rsidRPr="008449DF" w:rsidRDefault="00FF5CA4" w:rsidP="00B05B7C">
      <w:pPr>
        <w:widowControl/>
        <w:numPr>
          <w:ilvl w:val="0"/>
          <w:numId w:val="4"/>
        </w:numPr>
        <w:tabs>
          <w:tab w:val="left" w:pos="720"/>
        </w:tabs>
        <w:ind w:left="720" w:hanging="720"/>
        <w:rPr>
          <w:b/>
        </w:rPr>
      </w:pPr>
      <w:r w:rsidRPr="008449DF">
        <w:rPr>
          <w:b/>
        </w:rPr>
        <w:t xml:space="preserve"> </w:t>
      </w:r>
      <w:r w:rsidR="00F53486" w:rsidRPr="008449DF">
        <w:rPr>
          <w:b/>
        </w:rPr>
        <w:t>ESTIMATE OF</w:t>
      </w:r>
      <w:r w:rsidRPr="008449DF">
        <w:rPr>
          <w:b/>
        </w:rPr>
        <w:t xml:space="preserve"> TOTAL ANNUAL COST OF BURDEN TO</w:t>
      </w:r>
    </w:p>
    <w:p w14:paraId="08A0BEBF" w14:textId="77777777" w:rsidR="00F53486" w:rsidRPr="008449DF" w:rsidRDefault="00B05B7C" w:rsidP="00B05B7C">
      <w:pPr>
        <w:widowControl/>
        <w:tabs>
          <w:tab w:val="left" w:pos="720"/>
        </w:tabs>
        <w:rPr>
          <w:b/>
        </w:rPr>
      </w:pPr>
      <w:r w:rsidRPr="008449DF">
        <w:rPr>
          <w:b/>
        </w:rPr>
        <w:tab/>
        <w:t xml:space="preserve"> </w:t>
      </w:r>
      <w:r w:rsidR="00F53486" w:rsidRPr="008449DF">
        <w:rPr>
          <w:b/>
        </w:rPr>
        <w:t>RESPONDENTS</w:t>
      </w:r>
    </w:p>
    <w:p w14:paraId="19C26B86" w14:textId="77777777" w:rsidR="005B500A" w:rsidRPr="008449DF" w:rsidRDefault="005B500A" w:rsidP="00305758">
      <w:pPr>
        <w:widowControl/>
      </w:pPr>
    </w:p>
    <w:p w14:paraId="52A3A7C1" w14:textId="77777777" w:rsidR="00F53486" w:rsidRDefault="00A7570B" w:rsidP="00181B23">
      <w:pPr>
        <w:widowControl/>
      </w:pPr>
      <w:r>
        <w:t xml:space="preserve">There </w:t>
      </w:r>
      <w:r w:rsidR="00181B23">
        <w:t>are no non-labor start-up costs. All costs are related to burden hours and are addressed in Questions #12 and #15.</w:t>
      </w:r>
    </w:p>
    <w:p w14:paraId="6B677A2B" w14:textId="77777777" w:rsidR="00181B23" w:rsidRPr="008449DF" w:rsidRDefault="00181B23" w:rsidP="00181B23">
      <w:pPr>
        <w:widowControl/>
        <w:rPr>
          <w:b/>
        </w:rPr>
      </w:pPr>
    </w:p>
    <w:p w14:paraId="7BC6A267" w14:textId="77777777" w:rsidR="00FF5CA4" w:rsidRPr="008449DF" w:rsidRDefault="00F53486" w:rsidP="00B05B7C">
      <w:pPr>
        <w:widowControl/>
        <w:tabs>
          <w:tab w:val="left" w:pos="720"/>
        </w:tabs>
        <w:ind w:left="720" w:hanging="720"/>
        <w:rPr>
          <w:b/>
        </w:rPr>
      </w:pPr>
      <w:r w:rsidRPr="008449DF">
        <w:rPr>
          <w:b/>
        </w:rPr>
        <w:t>14.</w:t>
      </w:r>
      <w:r w:rsidRPr="008449DF">
        <w:tab/>
      </w:r>
      <w:r w:rsidR="00FF5CA4" w:rsidRPr="008449DF">
        <w:t xml:space="preserve"> </w:t>
      </w:r>
      <w:r w:rsidRPr="008449DF">
        <w:rPr>
          <w:b/>
        </w:rPr>
        <w:t>ESTIM</w:t>
      </w:r>
      <w:r w:rsidR="00FF5CA4" w:rsidRPr="008449DF">
        <w:rPr>
          <w:b/>
        </w:rPr>
        <w:t>ATED ANNUALIZED COST TO FEDERAL</w:t>
      </w:r>
    </w:p>
    <w:p w14:paraId="0E514115" w14:textId="77777777" w:rsidR="00F53486" w:rsidRPr="008449DF" w:rsidRDefault="00FF5CA4" w:rsidP="00B05B7C">
      <w:pPr>
        <w:widowControl/>
        <w:tabs>
          <w:tab w:val="left" w:pos="720"/>
        </w:tabs>
        <w:ind w:left="720" w:hanging="720"/>
        <w:rPr>
          <w:b/>
        </w:rPr>
      </w:pPr>
      <w:r w:rsidRPr="008449DF">
        <w:rPr>
          <w:b/>
        </w:rPr>
        <w:t xml:space="preserve">       </w:t>
      </w:r>
      <w:r w:rsidR="00B05B7C" w:rsidRPr="008449DF">
        <w:rPr>
          <w:b/>
        </w:rPr>
        <w:tab/>
        <w:t xml:space="preserve"> </w:t>
      </w:r>
      <w:r w:rsidR="00A7570B">
        <w:rPr>
          <w:b/>
        </w:rPr>
        <w:t>GOVERNMENT</w:t>
      </w:r>
    </w:p>
    <w:p w14:paraId="5E3A7940" w14:textId="77777777" w:rsidR="00F53486" w:rsidRPr="008449DF" w:rsidRDefault="00F53486" w:rsidP="00F53486">
      <w:pPr>
        <w:tabs>
          <w:tab w:val="left" w:pos="-1440"/>
        </w:tabs>
        <w:ind w:left="5040" w:hanging="43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2953"/>
        <w:gridCol w:w="2965"/>
      </w:tblGrid>
      <w:tr w:rsidR="0053577B" w:rsidRPr="008449DF" w14:paraId="02D6ED3E" w14:textId="77777777" w:rsidTr="007822C4">
        <w:tc>
          <w:tcPr>
            <w:tcW w:w="2938" w:type="dxa"/>
            <w:shd w:val="clear" w:color="auto" w:fill="CCCCCC"/>
          </w:tcPr>
          <w:p w14:paraId="044A760D" w14:textId="77777777" w:rsidR="0053577B" w:rsidRPr="008449DF" w:rsidRDefault="0053577B" w:rsidP="0053577B"/>
        </w:tc>
        <w:tc>
          <w:tcPr>
            <w:tcW w:w="2953" w:type="dxa"/>
            <w:shd w:val="clear" w:color="auto" w:fill="CCCCCC"/>
          </w:tcPr>
          <w:p w14:paraId="379F967B" w14:textId="77777777" w:rsidR="0053577B" w:rsidRPr="008449DF" w:rsidRDefault="0053577B" w:rsidP="0053577B">
            <w:pPr>
              <w:rPr>
                <w:b/>
              </w:rPr>
            </w:pPr>
            <w:r w:rsidRPr="008449DF">
              <w:rPr>
                <w:b/>
              </w:rPr>
              <w:t>Number of Employees (FTEs)</w:t>
            </w:r>
          </w:p>
        </w:tc>
        <w:tc>
          <w:tcPr>
            <w:tcW w:w="2965" w:type="dxa"/>
            <w:shd w:val="clear" w:color="auto" w:fill="CCCCCC"/>
          </w:tcPr>
          <w:p w14:paraId="005CCAA6" w14:textId="77777777" w:rsidR="0053577B" w:rsidRPr="008449DF" w:rsidRDefault="0053577B" w:rsidP="0053577B">
            <w:pPr>
              <w:rPr>
                <w:b/>
              </w:rPr>
            </w:pPr>
            <w:r w:rsidRPr="008449DF">
              <w:rPr>
                <w:b/>
              </w:rPr>
              <w:t>Estimated Annual Federal Cost</w:t>
            </w:r>
          </w:p>
        </w:tc>
      </w:tr>
      <w:tr w:rsidR="007822C4" w:rsidRPr="008449DF" w14:paraId="7BAB0868" w14:textId="77777777" w:rsidTr="00181B23">
        <w:tc>
          <w:tcPr>
            <w:tcW w:w="2938" w:type="dxa"/>
            <w:shd w:val="clear" w:color="auto" w:fill="auto"/>
          </w:tcPr>
          <w:p w14:paraId="0A581A14" w14:textId="77777777" w:rsidR="007822C4" w:rsidRPr="008449DF" w:rsidRDefault="00181B23" w:rsidP="0053577B">
            <w:r w:rsidRPr="007F1297">
              <w:rPr>
                <w:szCs w:val="26"/>
              </w:rPr>
              <w:t>PRA</w:t>
            </w:r>
            <w:r w:rsidRPr="003B0D2E">
              <w:rPr>
                <w:rStyle w:val="FootnoteReference"/>
                <w:b w:val="0"/>
              </w:rPr>
              <w:footnoteReference w:id="7"/>
            </w:r>
            <w:r w:rsidRPr="003B0D2E">
              <w:rPr>
                <w:b/>
                <w:szCs w:val="26"/>
              </w:rPr>
              <w:t xml:space="preserve"> </w:t>
            </w:r>
            <w:r w:rsidRPr="007F1297">
              <w:rPr>
                <w:szCs w:val="26"/>
              </w:rPr>
              <w:t>Administration Cost</w:t>
            </w:r>
            <w:r w:rsidRPr="003B0D2E">
              <w:rPr>
                <w:b/>
                <w:szCs w:val="26"/>
                <w:vertAlign w:val="superscript"/>
              </w:rPr>
              <w:footnoteReference w:id="8"/>
            </w:r>
            <w:r>
              <w:rPr>
                <w:szCs w:val="26"/>
              </w:rPr>
              <w:t xml:space="preserve"> </w:t>
            </w:r>
          </w:p>
        </w:tc>
        <w:tc>
          <w:tcPr>
            <w:tcW w:w="2953" w:type="dxa"/>
            <w:shd w:val="clear" w:color="auto" w:fill="auto"/>
          </w:tcPr>
          <w:p w14:paraId="70ED15BE" w14:textId="77777777" w:rsidR="007822C4" w:rsidRPr="008449DF" w:rsidRDefault="00181B23" w:rsidP="0053577B">
            <w:pPr>
              <w:jc w:val="right"/>
            </w:pPr>
            <w:r>
              <w:t>-</w:t>
            </w:r>
          </w:p>
        </w:tc>
        <w:tc>
          <w:tcPr>
            <w:tcW w:w="2965" w:type="dxa"/>
            <w:shd w:val="clear" w:color="auto" w:fill="auto"/>
          </w:tcPr>
          <w:p w14:paraId="52680595" w14:textId="7A473BB8" w:rsidR="007822C4" w:rsidRPr="008449DF" w:rsidRDefault="005939C1" w:rsidP="00181B23">
            <w:pPr>
              <w:jc w:val="right"/>
            </w:pPr>
            <w:r w:rsidRPr="008449DF">
              <w:t>$</w:t>
            </w:r>
            <w:r w:rsidR="00AA1E9C">
              <w:t>4,931</w:t>
            </w:r>
          </w:p>
        </w:tc>
      </w:tr>
      <w:tr w:rsidR="00181B23" w:rsidRPr="008449DF" w14:paraId="41B11F88" w14:textId="77777777" w:rsidTr="00181B23">
        <w:tc>
          <w:tcPr>
            <w:tcW w:w="2938" w:type="dxa"/>
            <w:shd w:val="clear" w:color="auto" w:fill="auto"/>
          </w:tcPr>
          <w:p w14:paraId="6B6E7178" w14:textId="6C75150A" w:rsidR="00181B23" w:rsidRPr="007F1297" w:rsidRDefault="00181B23" w:rsidP="0053577B">
            <w:pPr>
              <w:rPr>
                <w:szCs w:val="26"/>
              </w:rPr>
            </w:pPr>
            <w:r>
              <w:rPr>
                <w:szCs w:val="26"/>
              </w:rPr>
              <w:t>Data Processing and Analysis</w:t>
            </w:r>
            <w:r w:rsidR="00AF122D" w:rsidRPr="00AF122D">
              <w:rPr>
                <w:szCs w:val="26"/>
                <w:vertAlign w:val="superscript"/>
              </w:rPr>
              <w:footnoteReference w:id="9"/>
            </w:r>
          </w:p>
        </w:tc>
        <w:tc>
          <w:tcPr>
            <w:tcW w:w="2953" w:type="dxa"/>
            <w:shd w:val="clear" w:color="auto" w:fill="auto"/>
          </w:tcPr>
          <w:p w14:paraId="0703F3D2" w14:textId="7B52D1A9" w:rsidR="00181B23" w:rsidRPr="008449DF" w:rsidRDefault="00BD54F2" w:rsidP="0053577B">
            <w:pPr>
              <w:jc w:val="right"/>
            </w:pPr>
            <w:r>
              <w:t>1</w:t>
            </w:r>
          </w:p>
        </w:tc>
        <w:tc>
          <w:tcPr>
            <w:tcW w:w="2965" w:type="dxa"/>
            <w:shd w:val="clear" w:color="auto" w:fill="auto"/>
          </w:tcPr>
          <w:p w14:paraId="3DAD7011" w14:textId="23B53121" w:rsidR="00181B23" w:rsidRPr="008449DF" w:rsidRDefault="00181B23" w:rsidP="00181B23">
            <w:pPr>
              <w:jc w:val="right"/>
            </w:pPr>
            <w:r>
              <w:t>$</w:t>
            </w:r>
            <w:r w:rsidR="00BD54F2">
              <w:t>164,820</w:t>
            </w:r>
          </w:p>
        </w:tc>
      </w:tr>
      <w:tr w:rsidR="00181B23" w:rsidRPr="008449DF" w14:paraId="6E0DBBD3" w14:textId="77777777" w:rsidTr="00EC0D8E">
        <w:tc>
          <w:tcPr>
            <w:tcW w:w="2938" w:type="dxa"/>
            <w:shd w:val="clear" w:color="auto" w:fill="auto"/>
          </w:tcPr>
          <w:p w14:paraId="431378B3" w14:textId="77777777" w:rsidR="00181B23" w:rsidRPr="007F1297" w:rsidRDefault="00181B23" w:rsidP="0053577B">
            <w:pPr>
              <w:rPr>
                <w:szCs w:val="26"/>
              </w:rPr>
            </w:pPr>
            <w:r>
              <w:rPr>
                <w:szCs w:val="26"/>
              </w:rPr>
              <w:t>FERC Total</w:t>
            </w:r>
          </w:p>
        </w:tc>
        <w:tc>
          <w:tcPr>
            <w:tcW w:w="2953" w:type="dxa"/>
            <w:tcBorders>
              <w:bottom w:val="single" w:sz="4" w:space="0" w:color="auto"/>
            </w:tcBorders>
            <w:shd w:val="clear" w:color="auto" w:fill="BFBFBF"/>
          </w:tcPr>
          <w:p w14:paraId="5D0A5221" w14:textId="77777777" w:rsidR="00181B23" w:rsidRPr="008449DF" w:rsidRDefault="00181B23" w:rsidP="0053577B">
            <w:pPr>
              <w:jc w:val="right"/>
            </w:pPr>
          </w:p>
        </w:tc>
        <w:tc>
          <w:tcPr>
            <w:tcW w:w="2965" w:type="dxa"/>
            <w:shd w:val="clear" w:color="auto" w:fill="auto"/>
          </w:tcPr>
          <w:p w14:paraId="6FFD936D" w14:textId="60B5DE88" w:rsidR="00181B23" w:rsidRPr="008449DF" w:rsidRDefault="00BD54F2" w:rsidP="00181B23">
            <w:pPr>
              <w:jc w:val="right"/>
            </w:pPr>
            <w:r>
              <w:t>$169,751</w:t>
            </w:r>
          </w:p>
        </w:tc>
      </w:tr>
    </w:tbl>
    <w:p w14:paraId="1FEB77FA" w14:textId="77777777" w:rsidR="00F53486" w:rsidRPr="008449DF" w:rsidRDefault="00F53486" w:rsidP="00F53486">
      <w:pPr>
        <w:widowControl/>
      </w:pPr>
    </w:p>
    <w:p w14:paraId="27668212" w14:textId="20E5D4C3" w:rsidR="009237E8" w:rsidRPr="008449DF" w:rsidRDefault="004F1164" w:rsidP="004F1164">
      <w:pPr>
        <w:tabs>
          <w:tab w:val="center" w:pos="4680"/>
        </w:tabs>
      </w:pPr>
      <w:r w:rsidRPr="008449DF">
        <w:t>The Commission bases its estimate of the “</w:t>
      </w:r>
      <w:r w:rsidR="00EA28D2">
        <w:t xml:space="preserve">Data </w:t>
      </w:r>
      <w:r w:rsidRPr="008449DF">
        <w:t xml:space="preserve">Processing </w:t>
      </w:r>
      <w:r w:rsidR="00EA28D2">
        <w:t>and Analysis”</w:t>
      </w:r>
      <w:r w:rsidRPr="008449DF">
        <w:t xml:space="preserve"> cost to the Federal Government on salaries and benefits for professional and clerical support.  This estimated cost represents staff analysis, decision making, and review of any actual filings made in response to the information collection.</w:t>
      </w:r>
    </w:p>
    <w:p w14:paraId="2298B49F" w14:textId="77777777" w:rsidR="00F53486" w:rsidRPr="008449DF" w:rsidRDefault="00F53486" w:rsidP="00F53486"/>
    <w:p w14:paraId="5756078F" w14:textId="77777777" w:rsidR="00F53486" w:rsidRPr="008449DF" w:rsidRDefault="00F53486" w:rsidP="00A941B2">
      <w:pPr>
        <w:widowControl/>
        <w:tabs>
          <w:tab w:val="left" w:pos="720"/>
        </w:tabs>
        <w:ind w:left="720" w:hanging="720"/>
        <w:rPr>
          <w:b/>
        </w:rPr>
      </w:pPr>
      <w:r w:rsidRPr="008449DF">
        <w:rPr>
          <w:b/>
        </w:rPr>
        <w:t>15.</w:t>
      </w:r>
      <w:r w:rsidRPr="008449DF">
        <w:rPr>
          <w:b/>
        </w:rPr>
        <w:tab/>
      </w:r>
      <w:r w:rsidR="00FF5CA4" w:rsidRPr="008449DF">
        <w:rPr>
          <w:b/>
        </w:rPr>
        <w:t xml:space="preserve"> </w:t>
      </w:r>
      <w:r w:rsidRPr="008449DF">
        <w:rPr>
          <w:b/>
        </w:rPr>
        <w:t xml:space="preserve">REASONS FOR CHANGES IN BURDEN INCLUDING THE NEED </w:t>
      </w:r>
      <w:r w:rsidR="00A941B2" w:rsidRPr="008449DF">
        <w:rPr>
          <w:b/>
        </w:rPr>
        <w:t xml:space="preserve">         </w:t>
      </w:r>
      <w:r w:rsidRPr="008449DF">
        <w:rPr>
          <w:b/>
        </w:rPr>
        <w:t>FOR ANY INCREASE</w:t>
      </w:r>
    </w:p>
    <w:p w14:paraId="1A6CE3F3" w14:textId="77777777" w:rsidR="00CA23F7" w:rsidRPr="008449DF" w:rsidRDefault="00CA23F7" w:rsidP="00F53486">
      <w:pPr>
        <w:widowControl/>
        <w:ind w:firstLine="720"/>
        <w:rPr>
          <w:b/>
        </w:rPr>
      </w:pPr>
    </w:p>
    <w:p w14:paraId="11AD4B97" w14:textId="4E40BB31" w:rsidR="00900190" w:rsidRPr="0006511E" w:rsidRDefault="002942FD" w:rsidP="006861E1">
      <w:r w:rsidRPr="002942FD">
        <w:t>The requirements within FERC-538 did not change.  Thus, there is no substantive change in burden from the last date of submittal</w:t>
      </w:r>
      <w:r w:rsidR="00900190">
        <w:t>.</w:t>
      </w:r>
    </w:p>
    <w:p w14:paraId="4039A158" w14:textId="77777777" w:rsidR="004103A0" w:rsidRDefault="004103A0" w:rsidP="00181B23">
      <w:pPr>
        <w:rPr>
          <w:szCs w:val="26"/>
        </w:rPr>
      </w:pPr>
    </w:p>
    <w:p w14:paraId="7DEF7D5D" w14:textId="77777777" w:rsidR="00181B23" w:rsidRDefault="00181B23" w:rsidP="00181B23">
      <w:pPr>
        <w:rPr>
          <w:szCs w:val="26"/>
        </w:rPr>
      </w:pPr>
      <w:r>
        <w:rPr>
          <w:szCs w:val="26"/>
        </w:rPr>
        <w:t>The following table shows the total burden of the new collection of information.  The format, labels, and definitions of the table follow the ROCIS submission system’s “Information Collection Request Summary of Burden” for the metadata.</w:t>
      </w:r>
    </w:p>
    <w:p w14:paraId="67A9552A" w14:textId="77777777" w:rsidR="00CA23F7" w:rsidRPr="008449DF" w:rsidRDefault="00CA23F7" w:rsidP="00F53486">
      <w:pPr>
        <w:widowControl/>
        <w:ind w:firstLine="720"/>
        <w:rPr>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779"/>
        <w:gridCol w:w="1959"/>
        <w:gridCol w:w="1958"/>
        <w:gridCol w:w="1504"/>
      </w:tblGrid>
      <w:tr w:rsidR="00CA23F7" w:rsidRPr="008449DF" w14:paraId="35F90114" w14:textId="77777777" w:rsidTr="00CA23F7">
        <w:trPr>
          <w:trHeight w:val="870"/>
        </w:trPr>
        <w:tc>
          <w:tcPr>
            <w:tcW w:w="2160" w:type="dxa"/>
            <w:shd w:val="clear" w:color="auto" w:fill="D9D9D9"/>
            <w:vAlign w:val="bottom"/>
          </w:tcPr>
          <w:p w14:paraId="66351A2D" w14:textId="1C1EEEF0" w:rsidR="00CA23F7" w:rsidRPr="008449DF" w:rsidRDefault="00CA23F7" w:rsidP="00CA23F7">
            <w:pPr>
              <w:jc w:val="center"/>
              <w:rPr>
                <w:b/>
              </w:rPr>
            </w:pPr>
            <w:r w:rsidRPr="008449DF">
              <w:rPr>
                <w:b/>
              </w:rPr>
              <w:t>F</w:t>
            </w:r>
            <w:r w:rsidR="007D0AE0">
              <w:rPr>
                <w:b/>
              </w:rPr>
              <w:t>ERC-538</w:t>
            </w:r>
          </w:p>
        </w:tc>
        <w:tc>
          <w:tcPr>
            <w:tcW w:w="1779" w:type="dxa"/>
            <w:shd w:val="clear" w:color="auto" w:fill="D9D9D9"/>
            <w:vAlign w:val="bottom"/>
          </w:tcPr>
          <w:p w14:paraId="1E3A1C19" w14:textId="77777777" w:rsidR="00CA23F7" w:rsidRPr="008449DF" w:rsidRDefault="00CA23F7" w:rsidP="00CA23F7">
            <w:pPr>
              <w:jc w:val="center"/>
              <w:rPr>
                <w:b/>
              </w:rPr>
            </w:pPr>
            <w:r w:rsidRPr="008449DF">
              <w:rPr>
                <w:b/>
              </w:rPr>
              <w:t>Total Request</w:t>
            </w:r>
          </w:p>
        </w:tc>
        <w:tc>
          <w:tcPr>
            <w:tcW w:w="1959" w:type="dxa"/>
            <w:shd w:val="clear" w:color="auto" w:fill="D9D9D9"/>
            <w:vAlign w:val="bottom"/>
          </w:tcPr>
          <w:p w14:paraId="3654A634" w14:textId="77777777" w:rsidR="00CA23F7" w:rsidRPr="008449DF" w:rsidRDefault="00CA23F7" w:rsidP="00CA23F7">
            <w:pPr>
              <w:jc w:val="center"/>
              <w:rPr>
                <w:b/>
              </w:rPr>
            </w:pPr>
            <w:r w:rsidRPr="008449DF">
              <w:rPr>
                <w:b/>
              </w:rPr>
              <w:t>Previously Approved</w:t>
            </w:r>
          </w:p>
        </w:tc>
        <w:tc>
          <w:tcPr>
            <w:tcW w:w="1958" w:type="dxa"/>
            <w:shd w:val="clear" w:color="auto" w:fill="D9D9D9"/>
            <w:vAlign w:val="bottom"/>
          </w:tcPr>
          <w:p w14:paraId="6878D86D" w14:textId="77777777" w:rsidR="00CA23F7" w:rsidRPr="008449DF" w:rsidRDefault="00CA23F7" w:rsidP="00CA23F7">
            <w:pPr>
              <w:jc w:val="center"/>
              <w:rPr>
                <w:b/>
              </w:rPr>
            </w:pPr>
            <w:r w:rsidRPr="008449DF">
              <w:rPr>
                <w:b/>
              </w:rPr>
              <w:t>Change due to Adjustment in Estimate</w:t>
            </w:r>
          </w:p>
        </w:tc>
        <w:tc>
          <w:tcPr>
            <w:tcW w:w="1504" w:type="dxa"/>
            <w:shd w:val="clear" w:color="auto" w:fill="D9D9D9"/>
            <w:vAlign w:val="bottom"/>
          </w:tcPr>
          <w:p w14:paraId="7F13CEFF" w14:textId="77777777" w:rsidR="00CA23F7" w:rsidRPr="008449DF" w:rsidRDefault="00CA23F7" w:rsidP="00CA23F7">
            <w:pPr>
              <w:jc w:val="center"/>
              <w:rPr>
                <w:b/>
              </w:rPr>
            </w:pPr>
            <w:r w:rsidRPr="008449DF">
              <w:rPr>
                <w:b/>
              </w:rPr>
              <w:t>Change Due to Agency Discretion</w:t>
            </w:r>
          </w:p>
        </w:tc>
      </w:tr>
      <w:tr w:rsidR="00CA23F7" w:rsidRPr="008449DF" w14:paraId="6059A6CE" w14:textId="77777777" w:rsidTr="00CA23F7">
        <w:trPr>
          <w:trHeight w:val="591"/>
        </w:trPr>
        <w:tc>
          <w:tcPr>
            <w:tcW w:w="2160" w:type="dxa"/>
            <w:shd w:val="clear" w:color="auto" w:fill="auto"/>
          </w:tcPr>
          <w:p w14:paraId="2CAB1A3C" w14:textId="77777777" w:rsidR="00CA23F7" w:rsidRPr="008449DF" w:rsidRDefault="00CA23F7" w:rsidP="00CA23F7">
            <w:pPr>
              <w:jc w:val="center"/>
            </w:pPr>
            <w:r w:rsidRPr="008449DF">
              <w:t>Annual Number of Responses</w:t>
            </w:r>
          </w:p>
        </w:tc>
        <w:tc>
          <w:tcPr>
            <w:tcW w:w="1779" w:type="dxa"/>
            <w:shd w:val="clear" w:color="auto" w:fill="auto"/>
            <w:vAlign w:val="center"/>
          </w:tcPr>
          <w:p w14:paraId="3B1A2B97" w14:textId="0E7582C6" w:rsidR="00CA23F7" w:rsidRPr="008449DF" w:rsidRDefault="002942FD" w:rsidP="00CA23F7">
            <w:pPr>
              <w:jc w:val="right"/>
            </w:pPr>
            <w:r>
              <w:t>1</w:t>
            </w:r>
          </w:p>
        </w:tc>
        <w:tc>
          <w:tcPr>
            <w:tcW w:w="1959" w:type="dxa"/>
            <w:shd w:val="clear" w:color="auto" w:fill="auto"/>
            <w:vAlign w:val="center"/>
          </w:tcPr>
          <w:p w14:paraId="760717BE" w14:textId="5CFD5AC5" w:rsidR="00CA23F7" w:rsidRPr="008449DF" w:rsidRDefault="002942FD" w:rsidP="00CA23F7">
            <w:pPr>
              <w:jc w:val="right"/>
            </w:pPr>
            <w:r>
              <w:t>1</w:t>
            </w:r>
          </w:p>
        </w:tc>
        <w:tc>
          <w:tcPr>
            <w:tcW w:w="1958" w:type="dxa"/>
            <w:shd w:val="clear" w:color="auto" w:fill="auto"/>
            <w:vAlign w:val="center"/>
          </w:tcPr>
          <w:p w14:paraId="0926D6B4" w14:textId="7B5F8D44" w:rsidR="00CA23F7" w:rsidRPr="008449DF" w:rsidRDefault="002942FD" w:rsidP="00CA23F7">
            <w:pPr>
              <w:jc w:val="right"/>
            </w:pPr>
            <w:r>
              <w:t>0</w:t>
            </w:r>
          </w:p>
        </w:tc>
        <w:tc>
          <w:tcPr>
            <w:tcW w:w="1504" w:type="dxa"/>
            <w:shd w:val="clear" w:color="auto" w:fill="auto"/>
            <w:vAlign w:val="center"/>
          </w:tcPr>
          <w:p w14:paraId="3207627A" w14:textId="77777777" w:rsidR="00CA23F7" w:rsidRPr="008449DF" w:rsidRDefault="00CA23F7" w:rsidP="00CA23F7">
            <w:pPr>
              <w:jc w:val="right"/>
            </w:pPr>
            <w:r w:rsidRPr="008449DF">
              <w:t>0</w:t>
            </w:r>
          </w:p>
        </w:tc>
      </w:tr>
      <w:tr w:rsidR="00CA23F7" w:rsidRPr="008449DF" w14:paraId="64AACC4D" w14:textId="77777777" w:rsidTr="00CA23F7">
        <w:trPr>
          <w:trHeight w:val="575"/>
        </w:trPr>
        <w:tc>
          <w:tcPr>
            <w:tcW w:w="2160" w:type="dxa"/>
            <w:shd w:val="clear" w:color="auto" w:fill="auto"/>
          </w:tcPr>
          <w:p w14:paraId="6A61076C" w14:textId="77777777" w:rsidR="00CA23F7" w:rsidRPr="008449DF" w:rsidRDefault="00CA23F7" w:rsidP="00CA23F7">
            <w:pPr>
              <w:jc w:val="center"/>
            </w:pPr>
            <w:r w:rsidRPr="008449DF">
              <w:t>Annual Time Burden (Hr)</w:t>
            </w:r>
          </w:p>
        </w:tc>
        <w:tc>
          <w:tcPr>
            <w:tcW w:w="1779" w:type="dxa"/>
            <w:shd w:val="clear" w:color="auto" w:fill="auto"/>
            <w:vAlign w:val="center"/>
          </w:tcPr>
          <w:p w14:paraId="2766AB3A" w14:textId="529B8F2C" w:rsidR="00CA23F7" w:rsidRPr="008449DF" w:rsidRDefault="002942FD" w:rsidP="00CA23F7">
            <w:pPr>
              <w:jc w:val="right"/>
            </w:pPr>
            <w:r>
              <w:t>240</w:t>
            </w:r>
          </w:p>
        </w:tc>
        <w:tc>
          <w:tcPr>
            <w:tcW w:w="1959" w:type="dxa"/>
            <w:shd w:val="clear" w:color="auto" w:fill="auto"/>
            <w:vAlign w:val="center"/>
          </w:tcPr>
          <w:p w14:paraId="28C3A69D" w14:textId="33B578EA" w:rsidR="00CA23F7" w:rsidRPr="008449DF" w:rsidRDefault="002942FD" w:rsidP="00CA23F7">
            <w:pPr>
              <w:jc w:val="right"/>
            </w:pPr>
            <w:r>
              <w:t>240</w:t>
            </w:r>
          </w:p>
        </w:tc>
        <w:tc>
          <w:tcPr>
            <w:tcW w:w="1958" w:type="dxa"/>
            <w:shd w:val="clear" w:color="auto" w:fill="auto"/>
            <w:vAlign w:val="center"/>
          </w:tcPr>
          <w:p w14:paraId="74DBA701" w14:textId="31900596" w:rsidR="00CA23F7" w:rsidRPr="008449DF" w:rsidRDefault="002942FD" w:rsidP="00CA23F7">
            <w:pPr>
              <w:jc w:val="right"/>
            </w:pPr>
            <w:r>
              <w:t>0</w:t>
            </w:r>
          </w:p>
        </w:tc>
        <w:tc>
          <w:tcPr>
            <w:tcW w:w="1504" w:type="dxa"/>
            <w:shd w:val="clear" w:color="auto" w:fill="auto"/>
            <w:vAlign w:val="center"/>
          </w:tcPr>
          <w:p w14:paraId="29A2C6A1" w14:textId="77777777" w:rsidR="00CA23F7" w:rsidRPr="008449DF" w:rsidRDefault="00CA23F7" w:rsidP="00CA23F7">
            <w:pPr>
              <w:jc w:val="right"/>
            </w:pPr>
            <w:r w:rsidRPr="008449DF">
              <w:t>0</w:t>
            </w:r>
          </w:p>
        </w:tc>
      </w:tr>
      <w:tr w:rsidR="00CA23F7" w:rsidRPr="008449DF" w14:paraId="0D2AF269" w14:textId="77777777" w:rsidTr="00CA23F7">
        <w:trPr>
          <w:trHeight w:val="295"/>
        </w:trPr>
        <w:tc>
          <w:tcPr>
            <w:tcW w:w="2160" w:type="dxa"/>
            <w:tcBorders>
              <w:bottom w:val="single" w:sz="4" w:space="0" w:color="auto"/>
            </w:tcBorders>
            <w:shd w:val="clear" w:color="auto" w:fill="auto"/>
          </w:tcPr>
          <w:p w14:paraId="076CA08F" w14:textId="77777777" w:rsidR="00CA23F7" w:rsidRPr="008449DF" w:rsidRDefault="00CA23F7" w:rsidP="00CA23F7">
            <w:pPr>
              <w:jc w:val="center"/>
            </w:pPr>
            <w:r w:rsidRPr="008449DF">
              <w:t>Annual Cost Burden ($)</w:t>
            </w:r>
          </w:p>
        </w:tc>
        <w:tc>
          <w:tcPr>
            <w:tcW w:w="1779" w:type="dxa"/>
            <w:tcBorders>
              <w:bottom w:val="single" w:sz="4" w:space="0" w:color="auto"/>
            </w:tcBorders>
            <w:shd w:val="clear" w:color="auto" w:fill="auto"/>
            <w:vAlign w:val="center"/>
          </w:tcPr>
          <w:p w14:paraId="6D5847B7" w14:textId="34474FCA" w:rsidR="00CA23F7" w:rsidRPr="008449DF" w:rsidRDefault="002942FD" w:rsidP="00CA23F7">
            <w:pPr>
              <w:jc w:val="right"/>
            </w:pPr>
            <w:r>
              <w:t>$0</w:t>
            </w:r>
          </w:p>
        </w:tc>
        <w:tc>
          <w:tcPr>
            <w:tcW w:w="1959" w:type="dxa"/>
            <w:tcBorders>
              <w:bottom w:val="single" w:sz="4" w:space="0" w:color="auto"/>
            </w:tcBorders>
            <w:shd w:val="clear" w:color="auto" w:fill="auto"/>
            <w:vAlign w:val="center"/>
          </w:tcPr>
          <w:p w14:paraId="6EC43967" w14:textId="1E8915F2" w:rsidR="00CA23F7" w:rsidRPr="008449DF" w:rsidRDefault="002942FD" w:rsidP="00CA23F7">
            <w:pPr>
              <w:jc w:val="right"/>
            </w:pPr>
            <w:r>
              <w:t>$0</w:t>
            </w:r>
          </w:p>
        </w:tc>
        <w:tc>
          <w:tcPr>
            <w:tcW w:w="1958" w:type="dxa"/>
            <w:tcBorders>
              <w:bottom w:val="single" w:sz="4" w:space="0" w:color="auto"/>
            </w:tcBorders>
            <w:shd w:val="clear" w:color="auto" w:fill="auto"/>
            <w:vAlign w:val="center"/>
          </w:tcPr>
          <w:p w14:paraId="78DB236B" w14:textId="7AA0D8C6" w:rsidR="00CA23F7" w:rsidRPr="008449DF" w:rsidRDefault="002942FD" w:rsidP="00CA23F7">
            <w:pPr>
              <w:jc w:val="right"/>
            </w:pPr>
            <w:r>
              <w:t>$0</w:t>
            </w:r>
          </w:p>
        </w:tc>
        <w:tc>
          <w:tcPr>
            <w:tcW w:w="1504" w:type="dxa"/>
            <w:tcBorders>
              <w:bottom w:val="single" w:sz="4" w:space="0" w:color="auto"/>
            </w:tcBorders>
            <w:shd w:val="clear" w:color="auto" w:fill="auto"/>
            <w:vAlign w:val="center"/>
          </w:tcPr>
          <w:p w14:paraId="09EABB95" w14:textId="7EA2A762" w:rsidR="00CA23F7" w:rsidRPr="008449DF" w:rsidRDefault="002942FD" w:rsidP="00CA23F7">
            <w:pPr>
              <w:jc w:val="right"/>
            </w:pPr>
            <w:r>
              <w:t>$0</w:t>
            </w:r>
          </w:p>
        </w:tc>
      </w:tr>
    </w:tbl>
    <w:p w14:paraId="43A27139" w14:textId="77777777" w:rsidR="00CA23F7" w:rsidRPr="008449DF" w:rsidRDefault="00CA23F7" w:rsidP="00C90BA2">
      <w:pPr>
        <w:widowControl/>
      </w:pPr>
    </w:p>
    <w:p w14:paraId="49DE71B2" w14:textId="77777777" w:rsidR="00CA23F7" w:rsidRPr="008449DF" w:rsidRDefault="00CA23F7" w:rsidP="00CA23F7">
      <w:pPr>
        <w:rPr>
          <w:b/>
          <w:bCs/>
        </w:rPr>
      </w:pPr>
      <w:r w:rsidRPr="008449DF">
        <w:rPr>
          <w:bCs/>
        </w:rPr>
        <w:t>The format, labels, and definitions of the table above follow the ROCIS system’s “ICR Summary of Burden” for the meta-data.</w:t>
      </w:r>
      <w:r w:rsidRPr="008449DF">
        <w:rPr>
          <w:b/>
          <w:bCs/>
        </w:rPr>
        <w:tab/>
      </w:r>
    </w:p>
    <w:p w14:paraId="75BC9945" w14:textId="77777777" w:rsidR="000C12A0" w:rsidRPr="008449DF" w:rsidRDefault="000C12A0" w:rsidP="00FA7A8F">
      <w:pPr>
        <w:widowControl/>
      </w:pPr>
    </w:p>
    <w:p w14:paraId="5F50E393" w14:textId="77777777" w:rsidR="00F53486" w:rsidRPr="008449DF" w:rsidRDefault="00FF5CA4" w:rsidP="00A941B2">
      <w:pPr>
        <w:widowControl/>
        <w:numPr>
          <w:ilvl w:val="0"/>
          <w:numId w:val="5"/>
        </w:numPr>
        <w:tabs>
          <w:tab w:val="clear" w:pos="1080"/>
          <w:tab w:val="num" w:pos="720"/>
        </w:tabs>
        <w:ind w:left="720" w:hanging="720"/>
        <w:rPr>
          <w:b/>
        </w:rPr>
      </w:pPr>
      <w:r w:rsidRPr="008449DF">
        <w:rPr>
          <w:b/>
        </w:rPr>
        <w:t xml:space="preserve"> </w:t>
      </w:r>
      <w:r w:rsidR="00F53486" w:rsidRPr="008449DF">
        <w:rPr>
          <w:b/>
        </w:rPr>
        <w:t>TIME SCHEDULE FOR PUBLICATION OF DATA</w:t>
      </w:r>
    </w:p>
    <w:p w14:paraId="3D3773D1" w14:textId="77777777" w:rsidR="00F53486" w:rsidRPr="008449DF" w:rsidRDefault="00F53486" w:rsidP="00F53486">
      <w:pPr>
        <w:widowControl/>
        <w:ind w:left="720"/>
        <w:rPr>
          <w:b/>
        </w:rPr>
      </w:pPr>
    </w:p>
    <w:p w14:paraId="1362E49B" w14:textId="77777777" w:rsidR="00801837" w:rsidRPr="008449DF" w:rsidRDefault="00801837" w:rsidP="00801837">
      <w:pPr>
        <w:widowControl/>
      </w:pPr>
      <w:r w:rsidRPr="008449DF">
        <w:t>There are no tabulating, statistical or tabulating analysis or publication plans for the collection of information.  The data are used for regulatory purposes only.</w:t>
      </w:r>
    </w:p>
    <w:p w14:paraId="53E8D351" w14:textId="77777777" w:rsidR="00F53486" w:rsidRPr="008449DF" w:rsidRDefault="00F53486" w:rsidP="00F53486">
      <w:pPr>
        <w:widowControl/>
        <w:ind w:firstLine="720"/>
      </w:pPr>
    </w:p>
    <w:p w14:paraId="25FFAF6E" w14:textId="77777777" w:rsidR="00F53486" w:rsidRPr="008449DF" w:rsidRDefault="00F53486" w:rsidP="00A941B2">
      <w:pPr>
        <w:widowControl/>
        <w:tabs>
          <w:tab w:val="left" w:pos="720"/>
        </w:tabs>
        <w:ind w:left="720" w:hanging="720"/>
        <w:rPr>
          <w:b/>
        </w:rPr>
      </w:pPr>
      <w:r w:rsidRPr="008449DF">
        <w:rPr>
          <w:b/>
        </w:rPr>
        <w:t>17.</w:t>
      </w:r>
      <w:r w:rsidRPr="008449DF">
        <w:tab/>
      </w:r>
      <w:r w:rsidR="00FF5CA4" w:rsidRPr="008449DF">
        <w:t xml:space="preserve"> </w:t>
      </w:r>
      <w:r w:rsidRPr="008449DF">
        <w:rPr>
          <w:b/>
        </w:rPr>
        <w:t>DISPLAY OF EXPIRATION DATE</w:t>
      </w:r>
    </w:p>
    <w:p w14:paraId="5CF9E31B" w14:textId="77777777" w:rsidR="00F53486" w:rsidRPr="008449DF" w:rsidRDefault="00F53486" w:rsidP="00F53486">
      <w:pPr>
        <w:widowControl/>
        <w:ind w:firstLine="720"/>
        <w:rPr>
          <w:b/>
        </w:rPr>
      </w:pPr>
    </w:p>
    <w:p w14:paraId="798A5BF8" w14:textId="77777777" w:rsidR="00F53486" w:rsidRDefault="008854B8" w:rsidP="00F53486">
      <w:pPr>
        <w:widowControl/>
        <w:ind w:firstLine="720"/>
      </w:pPr>
      <w:r w:rsidRPr="008854B8">
        <w:t xml:space="preserve">The OMB expiration dates are posted on </w:t>
      </w:r>
      <w:hyperlink r:id="rId17" w:history="1">
        <w:r w:rsidRPr="00FC78F0">
          <w:rPr>
            <w:rStyle w:val="Hyperlink"/>
          </w:rPr>
          <w:t>http://www.ferc.gov/docs-filing/info-collections.asp</w:t>
        </w:r>
      </w:hyperlink>
      <w:r w:rsidR="00397224">
        <w:t xml:space="preserve"> .</w:t>
      </w:r>
    </w:p>
    <w:p w14:paraId="4BF73F24" w14:textId="77777777" w:rsidR="00397224" w:rsidRPr="008449DF" w:rsidRDefault="00397224" w:rsidP="00F53486">
      <w:pPr>
        <w:widowControl/>
        <w:ind w:firstLine="720"/>
      </w:pPr>
    </w:p>
    <w:p w14:paraId="673E2044" w14:textId="77777777" w:rsidR="00F53486" w:rsidRPr="008449DF" w:rsidRDefault="00F53486" w:rsidP="00A941B2">
      <w:pPr>
        <w:widowControl/>
        <w:numPr>
          <w:ilvl w:val="0"/>
          <w:numId w:val="6"/>
        </w:numPr>
        <w:tabs>
          <w:tab w:val="clear" w:pos="1080"/>
          <w:tab w:val="num" w:pos="720"/>
        </w:tabs>
        <w:ind w:left="720" w:hanging="720"/>
        <w:rPr>
          <w:b/>
        </w:rPr>
      </w:pPr>
      <w:r w:rsidRPr="008449DF">
        <w:rPr>
          <w:b/>
        </w:rPr>
        <w:t xml:space="preserve"> EXCEPTIONS TO THE CERTIFICATION STATEMENT</w:t>
      </w:r>
    </w:p>
    <w:p w14:paraId="5568C8E3" w14:textId="77777777" w:rsidR="00F53486" w:rsidRPr="008449DF" w:rsidRDefault="00F53486" w:rsidP="00F53486">
      <w:pPr>
        <w:widowControl/>
        <w:ind w:left="720"/>
        <w:rPr>
          <w:b/>
        </w:rPr>
      </w:pPr>
    </w:p>
    <w:p w14:paraId="2FEF93CB" w14:textId="77777777" w:rsidR="00801837" w:rsidRPr="008449DF" w:rsidRDefault="00181B23" w:rsidP="00801837">
      <w:r>
        <w:t>There are no exceptions.</w:t>
      </w:r>
    </w:p>
    <w:p w14:paraId="150598BB" w14:textId="77777777" w:rsidR="00112165" w:rsidRPr="008449DF" w:rsidRDefault="00112165" w:rsidP="00801837">
      <w:pPr>
        <w:widowControl/>
        <w:ind w:firstLine="720"/>
      </w:pPr>
    </w:p>
    <w:sectPr w:rsidR="00112165" w:rsidRPr="008449DF">
      <w:headerReference w:type="default" r:id="rId18"/>
      <w:footerReference w:type="even" r:id="rId19"/>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6E054" w14:textId="77777777" w:rsidR="00907C1A" w:rsidRDefault="00907C1A">
      <w:r>
        <w:separator/>
      </w:r>
    </w:p>
  </w:endnote>
  <w:endnote w:type="continuationSeparator" w:id="0">
    <w:p w14:paraId="593AEAB2" w14:textId="77777777" w:rsidR="00907C1A" w:rsidRDefault="00907C1A">
      <w:r>
        <w:continuationSeparator/>
      </w:r>
    </w:p>
  </w:endnote>
  <w:endnote w:type="continuationNotice" w:id="1">
    <w:p w14:paraId="7AFBE7AD" w14:textId="77777777" w:rsidR="00907C1A" w:rsidRDefault="00907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82317" w14:textId="77777777" w:rsidR="00A7570B" w:rsidRDefault="00A7570B" w:rsidP="00F53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A6DA36" w14:textId="77777777" w:rsidR="00A7570B" w:rsidRDefault="00A7570B" w:rsidP="00F5348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BB6F1" w14:textId="77777777" w:rsidR="00A7570B" w:rsidRDefault="00A7570B" w:rsidP="00F53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7B9E">
      <w:rPr>
        <w:rStyle w:val="PageNumber"/>
        <w:noProof/>
      </w:rPr>
      <w:t>1</w:t>
    </w:r>
    <w:r>
      <w:rPr>
        <w:rStyle w:val="PageNumber"/>
      </w:rPr>
      <w:fldChar w:fldCharType="end"/>
    </w:r>
  </w:p>
  <w:p w14:paraId="7615FCA9" w14:textId="77777777" w:rsidR="00A7570B" w:rsidRDefault="00A7570B" w:rsidP="00F5348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1A032" w14:textId="77777777" w:rsidR="00907C1A" w:rsidRDefault="00907C1A">
      <w:r>
        <w:separator/>
      </w:r>
    </w:p>
  </w:footnote>
  <w:footnote w:type="continuationSeparator" w:id="0">
    <w:p w14:paraId="6992617A" w14:textId="77777777" w:rsidR="00907C1A" w:rsidRDefault="00907C1A">
      <w:r>
        <w:continuationSeparator/>
      </w:r>
    </w:p>
  </w:footnote>
  <w:footnote w:type="continuationNotice" w:id="1">
    <w:p w14:paraId="6ACB249D" w14:textId="77777777" w:rsidR="00907C1A" w:rsidRDefault="00907C1A"/>
  </w:footnote>
  <w:footnote w:id="2">
    <w:p w14:paraId="3C6B4BE1" w14:textId="77777777" w:rsidR="00A7570B" w:rsidRPr="007D0AE0" w:rsidRDefault="00A7570B" w:rsidP="007D0AE0">
      <w:pPr>
        <w:pStyle w:val="FootnoteText"/>
        <w:spacing w:after="0"/>
        <w:ind w:firstLine="0"/>
        <w:rPr>
          <w:szCs w:val="24"/>
          <w:lang w:val="fr-FR"/>
        </w:rPr>
      </w:pPr>
      <w:r w:rsidRPr="007D0AE0">
        <w:rPr>
          <w:rStyle w:val="FootnoteReference"/>
          <w:b w:val="0"/>
          <w:sz w:val="24"/>
          <w:szCs w:val="24"/>
          <w:vertAlign w:val="baseline"/>
        </w:rPr>
        <w:footnoteRef/>
      </w:r>
      <w:r w:rsidRPr="007D0AE0">
        <w:rPr>
          <w:szCs w:val="24"/>
          <w:lang w:val="fr-FR"/>
        </w:rPr>
        <w:t xml:space="preserve"> 5 CFR 1320.8(d)</w:t>
      </w:r>
    </w:p>
  </w:footnote>
  <w:footnote w:id="3">
    <w:p w14:paraId="7B4ABAB2" w14:textId="43B660C6" w:rsidR="00A7570B" w:rsidRPr="007D0AE0" w:rsidRDefault="00A7570B" w:rsidP="007D0AE0">
      <w:pPr>
        <w:pStyle w:val="FootnoteText"/>
        <w:spacing w:after="0"/>
        <w:ind w:firstLine="0"/>
        <w:rPr>
          <w:szCs w:val="24"/>
          <w:lang w:val="fr-FR"/>
        </w:rPr>
      </w:pPr>
      <w:r w:rsidRPr="007D0AE0">
        <w:rPr>
          <w:rStyle w:val="FootnoteReference"/>
          <w:b w:val="0"/>
          <w:sz w:val="24"/>
          <w:szCs w:val="24"/>
          <w:vertAlign w:val="baseline"/>
        </w:rPr>
        <w:footnoteRef/>
      </w:r>
      <w:r w:rsidR="00BD54F2" w:rsidRPr="007D0AE0">
        <w:rPr>
          <w:b/>
          <w:szCs w:val="24"/>
          <w:lang w:val="fr-FR"/>
        </w:rPr>
        <w:t xml:space="preserve"> </w:t>
      </w:r>
      <w:r w:rsidR="00BD54F2" w:rsidRPr="007D0AE0">
        <w:rPr>
          <w:szCs w:val="24"/>
          <w:lang w:val="fr-FR"/>
        </w:rPr>
        <w:t>83 FR 64824</w:t>
      </w:r>
    </w:p>
  </w:footnote>
  <w:footnote w:id="4">
    <w:p w14:paraId="7CE93532" w14:textId="3B0F89D9" w:rsidR="00A7570B" w:rsidRPr="007D0AE0" w:rsidRDefault="00A7570B" w:rsidP="007D0AE0">
      <w:pPr>
        <w:pStyle w:val="FootnoteText"/>
        <w:spacing w:after="0"/>
        <w:ind w:firstLine="0"/>
        <w:rPr>
          <w:szCs w:val="24"/>
          <w:lang w:val="fr-FR"/>
        </w:rPr>
      </w:pPr>
      <w:r w:rsidRPr="007D0AE0">
        <w:rPr>
          <w:rStyle w:val="FootnoteReference"/>
          <w:b w:val="0"/>
          <w:sz w:val="24"/>
          <w:szCs w:val="24"/>
          <w:vertAlign w:val="baseline"/>
        </w:rPr>
        <w:footnoteRef/>
      </w:r>
      <w:r w:rsidR="00135FB3" w:rsidRPr="007D0AE0">
        <w:rPr>
          <w:szCs w:val="24"/>
          <w:lang w:val="fr-FR"/>
        </w:rPr>
        <w:t xml:space="preserve"> </w:t>
      </w:r>
      <w:r w:rsidR="00AA6F6C" w:rsidRPr="007D0AE0">
        <w:rPr>
          <w:szCs w:val="24"/>
          <w:lang w:val="fr-FR"/>
        </w:rPr>
        <w:t>84</w:t>
      </w:r>
      <w:r w:rsidR="00BD54F2" w:rsidRPr="007D0AE0">
        <w:rPr>
          <w:szCs w:val="24"/>
          <w:lang w:val="fr-FR"/>
        </w:rPr>
        <w:t xml:space="preserve"> FR 10064</w:t>
      </w:r>
    </w:p>
  </w:footnote>
  <w:footnote w:id="5">
    <w:p w14:paraId="19AACD28" w14:textId="77777777" w:rsidR="0063011A" w:rsidRPr="007D0AE0" w:rsidRDefault="0063011A" w:rsidP="007D0AE0">
      <w:pPr>
        <w:pStyle w:val="FootnoteText"/>
        <w:spacing w:after="0"/>
        <w:ind w:firstLine="0"/>
        <w:rPr>
          <w:szCs w:val="24"/>
        </w:rPr>
      </w:pPr>
      <w:r w:rsidRPr="007D0AE0">
        <w:rPr>
          <w:rStyle w:val="FootnoteReference"/>
          <w:b w:val="0"/>
          <w:sz w:val="24"/>
          <w:szCs w:val="24"/>
          <w:vertAlign w:val="baseline"/>
        </w:rPr>
        <w:footnoteRef/>
      </w:r>
      <w:r w:rsidRPr="007D0AE0">
        <w:rPr>
          <w:b/>
          <w:szCs w:val="24"/>
        </w:rPr>
        <w:t xml:space="preserve"> </w:t>
      </w:r>
      <w:r w:rsidRPr="007D0AE0">
        <w:rPr>
          <w:szCs w:val="24"/>
        </w:rPr>
        <w:t>18 CFR 388.112</w:t>
      </w:r>
    </w:p>
  </w:footnote>
  <w:footnote w:id="6">
    <w:p w14:paraId="129B3279" w14:textId="77777777" w:rsidR="00BD54F2" w:rsidRPr="007D0AE0" w:rsidRDefault="00BD54F2" w:rsidP="007D0AE0">
      <w:pPr>
        <w:pStyle w:val="FootnoteText"/>
        <w:spacing w:after="0"/>
        <w:ind w:firstLine="0"/>
        <w:rPr>
          <w:szCs w:val="24"/>
        </w:rPr>
      </w:pPr>
      <w:r w:rsidRPr="007D0AE0">
        <w:rPr>
          <w:rStyle w:val="FootnoteReference"/>
          <w:b w:val="0"/>
          <w:sz w:val="24"/>
          <w:szCs w:val="24"/>
          <w:vertAlign w:val="baseline"/>
        </w:rPr>
        <w:footnoteRef/>
      </w:r>
      <w:r w:rsidRPr="007D0AE0">
        <w:rPr>
          <w:szCs w:val="24"/>
        </w:rPr>
        <w:t xml:space="preserve"> The estimates for cost per response are derived using the following formula: Average Burden Hours per Response * $79.00/hour = Average cost/response.  The figure is the 2018 FERC average hourly cost (for wages and benefits) of $79.00 (and an average annual cost of $164,820/year).  Commission staff is using the FERC average salary plus benefits because we consider people completing the FERC-538 to be compensated at rates similar to FERC employees.</w:t>
      </w:r>
    </w:p>
  </w:footnote>
  <w:footnote w:id="7">
    <w:p w14:paraId="6A460E51" w14:textId="77777777" w:rsidR="00181B23" w:rsidRPr="007D0AE0" w:rsidRDefault="00181B23" w:rsidP="007D0AE0">
      <w:pPr>
        <w:pStyle w:val="FootnoteText"/>
        <w:spacing w:after="0"/>
        <w:ind w:firstLine="0"/>
        <w:rPr>
          <w:szCs w:val="24"/>
        </w:rPr>
      </w:pPr>
      <w:r w:rsidRPr="007D0AE0">
        <w:rPr>
          <w:rStyle w:val="FootnoteReference"/>
          <w:b w:val="0"/>
          <w:sz w:val="24"/>
          <w:szCs w:val="24"/>
          <w:vertAlign w:val="baseline"/>
        </w:rPr>
        <w:footnoteRef/>
      </w:r>
      <w:r w:rsidRPr="007D0AE0">
        <w:rPr>
          <w:b/>
          <w:szCs w:val="24"/>
        </w:rPr>
        <w:t xml:space="preserve"> </w:t>
      </w:r>
      <w:r w:rsidRPr="007D0AE0">
        <w:rPr>
          <w:szCs w:val="24"/>
        </w:rPr>
        <w:t>Paperwork Reduction Act of 1995 (PRA).</w:t>
      </w:r>
    </w:p>
  </w:footnote>
  <w:footnote w:id="8">
    <w:p w14:paraId="1CA02493" w14:textId="7B3A950E" w:rsidR="00181B23" w:rsidRPr="007D0AE0" w:rsidRDefault="00181B23" w:rsidP="007D0AE0">
      <w:pPr>
        <w:pStyle w:val="FootnoteText"/>
        <w:spacing w:after="0"/>
        <w:ind w:firstLine="0"/>
        <w:rPr>
          <w:szCs w:val="24"/>
        </w:rPr>
      </w:pPr>
      <w:r w:rsidRPr="007D0AE0">
        <w:rPr>
          <w:rStyle w:val="FootnoteReference"/>
          <w:b w:val="0"/>
          <w:sz w:val="24"/>
          <w:szCs w:val="24"/>
          <w:vertAlign w:val="baseline"/>
        </w:rPr>
        <w:footnoteRef/>
      </w:r>
      <w:r w:rsidRPr="007D0AE0">
        <w:rPr>
          <w:b/>
          <w:szCs w:val="24"/>
        </w:rPr>
        <w:t xml:space="preserve"> </w:t>
      </w:r>
      <w:r w:rsidR="009D1ABC" w:rsidRPr="009D1ABC">
        <w:rPr>
          <w:szCs w:val="24"/>
        </w:rPr>
        <w:t>The Paperwork Reduction Act of 1995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footnote>
  <w:footnote w:id="9">
    <w:p w14:paraId="62B520FC" w14:textId="77777777" w:rsidR="00AF122D" w:rsidRPr="007D0AE0" w:rsidRDefault="00AF122D" w:rsidP="007D0AE0">
      <w:pPr>
        <w:pStyle w:val="FootnoteText"/>
        <w:spacing w:after="0"/>
        <w:ind w:firstLine="0"/>
        <w:rPr>
          <w:szCs w:val="24"/>
        </w:rPr>
      </w:pPr>
      <w:r w:rsidRPr="007D0AE0">
        <w:rPr>
          <w:rStyle w:val="FootnoteReference"/>
          <w:b w:val="0"/>
          <w:sz w:val="24"/>
          <w:szCs w:val="24"/>
          <w:vertAlign w:val="baseline"/>
        </w:rPr>
        <w:footnoteRef/>
      </w:r>
      <w:r w:rsidRPr="007D0AE0">
        <w:rPr>
          <w:b/>
          <w:szCs w:val="24"/>
        </w:rPr>
        <w:t xml:space="preserve"> </w:t>
      </w:r>
      <w:r w:rsidRPr="007D0AE0">
        <w:rPr>
          <w:szCs w:val="24"/>
        </w:rPr>
        <w:t>The cost estimate is based upon FERC’s FY2018 average annual salary plus benefits per FTE (full-time equivalent) of $164,820.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82602" w14:textId="6D2EFAA6" w:rsidR="00A7570B" w:rsidRPr="0018303F" w:rsidRDefault="00A7570B">
    <w:pPr>
      <w:spacing w:line="240" w:lineRule="exact"/>
    </w:pPr>
    <w:r w:rsidRPr="0018303F">
      <w:t>FER</w:t>
    </w:r>
    <w:r w:rsidR="00BD54F2">
      <w:t>C-538 (OMB Control No. 1902-0061</w:t>
    </w:r>
    <w:r w:rsidRPr="0018303F">
      <w:t>)</w:t>
    </w:r>
    <w:r w:rsidRPr="0018303F">
      <w:tab/>
    </w:r>
    <w:r w:rsidRPr="0018303F">
      <w:tab/>
    </w:r>
    <w:r w:rsidRPr="0018303F">
      <w:tab/>
    </w:r>
    <w:r w:rsidRPr="0018303F">
      <w:tab/>
    </w:r>
    <w:r w:rsidRPr="0018303F">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2AE7EA"/>
    <w:multiLevelType w:val="hybridMultilevel"/>
    <w:tmpl w:val="C3A138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0C552D5"/>
    <w:multiLevelType w:val="hybridMultilevel"/>
    <w:tmpl w:val="001BB7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A243ECF"/>
    <w:multiLevelType w:val="hybridMultilevel"/>
    <w:tmpl w:val="78B6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51A1B"/>
    <w:multiLevelType w:val="hybridMultilevel"/>
    <w:tmpl w:val="734EEF40"/>
    <w:lvl w:ilvl="0" w:tplc="A0DA6B22">
      <w:start w:val="13"/>
      <w:numFmt w:val="decimal"/>
      <w:lvlText w:val="%1."/>
      <w:lvlJc w:val="left"/>
      <w:pPr>
        <w:tabs>
          <w:tab w:val="num" w:pos="24840"/>
        </w:tabs>
        <w:ind w:left="24840" w:hanging="360"/>
      </w:pPr>
      <w:rPr>
        <w:rFonts w:hint="default"/>
      </w:rPr>
    </w:lvl>
    <w:lvl w:ilvl="1" w:tplc="04090019" w:tentative="1">
      <w:start w:val="1"/>
      <w:numFmt w:val="lowerLetter"/>
      <w:lvlText w:val="%2."/>
      <w:lvlJc w:val="left"/>
      <w:pPr>
        <w:tabs>
          <w:tab w:val="num" w:pos="25560"/>
        </w:tabs>
        <w:ind w:left="25560" w:hanging="360"/>
      </w:pPr>
    </w:lvl>
    <w:lvl w:ilvl="2" w:tplc="0409001B" w:tentative="1">
      <w:start w:val="1"/>
      <w:numFmt w:val="lowerRoman"/>
      <w:lvlText w:val="%3."/>
      <w:lvlJc w:val="right"/>
      <w:pPr>
        <w:tabs>
          <w:tab w:val="num" w:pos="26280"/>
        </w:tabs>
        <w:ind w:left="26280" w:hanging="180"/>
      </w:pPr>
    </w:lvl>
    <w:lvl w:ilvl="3" w:tplc="0409000F" w:tentative="1">
      <w:start w:val="1"/>
      <w:numFmt w:val="decimal"/>
      <w:lvlText w:val="%4."/>
      <w:lvlJc w:val="left"/>
      <w:pPr>
        <w:tabs>
          <w:tab w:val="num" w:pos="27000"/>
        </w:tabs>
        <w:ind w:left="27000" w:hanging="360"/>
      </w:pPr>
    </w:lvl>
    <w:lvl w:ilvl="4" w:tplc="04090019" w:tentative="1">
      <w:start w:val="1"/>
      <w:numFmt w:val="lowerLetter"/>
      <w:lvlText w:val="%5."/>
      <w:lvlJc w:val="left"/>
      <w:pPr>
        <w:tabs>
          <w:tab w:val="num" w:pos="27720"/>
        </w:tabs>
        <w:ind w:left="27720" w:hanging="360"/>
      </w:pPr>
    </w:lvl>
    <w:lvl w:ilvl="5" w:tplc="0409001B" w:tentative="1">
      <w:start w:val="1"/>
      <w:numFmt w:val="lowerRoman"/>
      <w:lvlText w:val="%6."/>
      <w:lvlJc w:val="right"/>
      <w:pPr>
        <w:tabs>
          <w:tab w:val="num" w:pos="28440"/>
        </w:tabs>
        <w:ind w:left="28440" w:hanging="180"/>
      </w:pPr>
    </w:lvl>
    <w:lvl w:ilvl="6" w:tplc="0409000F" w:tentative="1">
      <w:start w:val="1"/>
      <w:numFmt w:val="decimal"/>
      <w:lvlText w:val="%7."/>
      <w:lvlJc w:val="left"/>
      <w:pPr>
        <w:tabs>
          <w:tab w:val="num" w:pos="29160"/>
        </w:tabs>
        <w:ind w:left="29160" w:hanging="360"/>
      </w:pPr>
    </w:lvl>
    <w:lvl w:ilvl="7" w:tplc="04090019" w:tentative="1">
      <w:start w:val="1"/>
      <w:numFmt w:val="lowerLetter"/>
      <w:lvlText w:val="%8."/>
      <w:lvlJc w:val="left"/>
      <w:pPr>
        <w:tabs>
          <w:tab w:val="num" w:pos="29880"/>
        </w:tabs>
        <w:ind w:left="29880" w:hanging="360"/>
      </w:pPr>
    </w:lvl>
    <w:lvl w:ilvl="8" w:tplc="0409001B" w:tentative="1">
      <w:start w:val="1"/>
      <w:numFmt w:val="lowerRoman"/>
      <w:lvlText w:val="%9."/>
      <w:lvlJc w:val="right"/>
      <w:pPr>
        <w:tabs>
          <w:tab w:val="num" w:pos="30600"/>
        </w:tabs>
        <w:ind w:left="30600" w:hanging="180"/>
      </w:pPr>
    </w:lvl>
  </w:abstractNum>
  <w:abstractNum w:abstractNumId="4">
    <w:nsid w:val="15FF140A"/>
    <w:multiLevelType w:val="hybridMultilevel"/>
    <w:tmpl w:val="DECA9992"/>
    <w:lvl w:ilvl="0" w:tplc="F0EE7DE2">
      <w:start w:val="1"/>
      <w:numFmt w:val="low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0285AF5"/>
    <w:multiLevelType w:val="hybridMultilevel"/>
    <w:tmpl w:val="BF769E0E"/>
    <w:lvl w:ilvl="0" w:tplc="DDE889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70A5E69"/>
    <w:multiLevelType w:val="hybridMultilevel"/>
    <w:tmpl w:val="3D80A4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2B3306C"/>
    <w:multiLevelType w:val="hybridMultilevel"/>
    <w:tmpl w:val="9C609F50"/>
    <w:lvl w:ilvl="0" w:tplc="57027DC0">
      <w:start w:val="2"/>
      <w:numFmt w:val="decimal"/>
      <w:lvlText w:val="%1."/>
      <w:lvlJc w:val="left"/>
      <w:pPr>
        <w:tabs>
          <w:tab w:val="num" w:pos="1815"/>
        </w:tabs>
        <w:ind w:left="1815" w:hanging="109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D3B395D"/>
    <w:multiLevelType w:val="hybridMultilevel"/>
    <w:tmpl w:val="D37CD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D11FF3"/>
    <w:multiLevelType w:val="hybridMultilevel"/>
    <w:tmpl w:val="D29B6F6A"/>
    <w:lvl w:ilvl="0" w:tplc="E1E8FF70">
      <w:start w:val="1"/>
      <w:numFmt w:val="ideographDigital"/>
      <w:lvlText w:val=""/>
      <w:lvlJc w:val="left"/>
    </w:lvl>
    <w:lvl w:ilvl="1" w:tplc="275427DE">
      <w:numFmt w:val="decimal"/>
      <w:lvlText w:val=""/>
      <w:lvlJc w:val="left"/>
    </w:lvl>
    <w:lvl w:ilvl="2" w:tplc="F9584D02">
      <w:numFmt w:val="decimal"/>
      <w:lvlText w:val=""/>
      <w:lvlJc w:val="left"/>
    </w:lvl>
    <w:lvl w:ilvl="3" w:tplc="CA7207F4">
      <w:numFmt w:val="decimal"/>
      <w:lvlText w:val=""/>
      <w:lvlJc w:val="left"/>
    </w:lvl>
    <w:lvl w:ilvl="4" w:tplc="82A68B28">
      <w:numFmt w:val="decimal"/>
      <w:lvlText w:val=""/>
      <w:lvlJc w:val="left"/>
    </w:lvl>
    <w:lvl w:ilvl="5" w:tplc="04FEDACE">
      <w:numFmt w:val="decimal"/>
      <w:lvlText w:val=""/>
      <w:lvlJc w:val="left"/>
    </w:lvl>
    <w:lvl w:ilvl="6" w:tplc="C310C674">
      <w:numFmt w:val="decimal"/>
      <w:lvlText w:val=""/>
      <w:lvlJc w:val="left"/>
    </w:lvl>
    <w:lvl w:ilvl="7" w:tplc="E30CFC6C">
      <w:numFmt w:val="decimal"/>
      <w:lvlText w:val=""/>
      <w:lvlJc w:val="left"/>
    </w:lvl>
    <w:lvl w:ilvl="8" w:tplc="6010DCC8">
      <w:numFmt w:val="decimal"/>
      <w:lvlText w:val=""/>
      <w:lvlJc w:val="left"/>
    </w:lvl>
  </w:abstractNum>
  <w:abstractNum w:abstractNumId="11">
    <w:nsid w:val="48F803E2"/>
    <w:multiLevelType w:val="hybridMultilevel"/>
    <w:tmpl w:val="0BE239CA"/>
    <w:lvl w:ilvl="0" w:tplc="9E40732E">
      <w:start w:val="18"/>
      <w:numFmt w:val="decimal"/>
      <w:lvlText w:val="%1."/>
      <w:lvlJc w:val="left"/>
      <w:pPr>
        <w:tabs>
          <w:tab w:val="num" w:pos="1080"/>
        </w:tabs>
        <w:ind w:left="1080" w:hanging="360"/>
      </w:pPr>
      <w:rPr>
        <w:rFonts w:hint="default"/>
      </w:rPr>
    </w:lvl>
    <w:lvl w:ilvl="1" w:tplc="501CC4FA" w:tentative="1">
      <w:start w:val="1"/>
      <w:numFmt w:val="lowerLetter"/>
      <w:lvlText w:val="%2."/>
      <w:lvlJc w:val="left"/>
      <w:pPr>
        <w:tabs>
          <w:tab w:val="num" w:pos="1800"/>
        </w:tabs>
        <w:ind w:left="1800" w:hanging="360"/>
      </w:pPr>
    </w:lvl>
    <w:lvl w:ilvl="2" w:tplc="39F26B7A" w:tentative="1">
      <w:start w:val="1"/>
      <w:numFmt w:val="lowerRoman"/>
      <w:lvlText w:val="%3."/>
      <w:lvlJc w:val="right"/>
      <w:pPr>
        <w:tabs>
          <w:tab w:val="num" w:pos="2520"/>
        </w:tabs>
        <w:ind w:left="2520" w:hanging="180"/>
      </w:pPr>
    </w:lvl>
    <w:lvl w:ilvl="3" w:tplc="B67E797C" w:tentative="1">
      <w:start w:val="1"/>
      <w:numFmt w:val="decimal"/>
      <w:lvlText w:val="%4."/>
      <w:lvlJc w:val="left"/>
      <w:pPr>
        <w:tabs>
          <w:tab w:val="num" w:pos="3240"/>
        </w:tabs>
        <w:ind w:left="3240" w:hanging="360"/>
      </w:pPr>
    </w:lvl>
    <w:lvl w:ilvl="4" w:tplc="2B1C4FA2" w:tentative="1">
      <w:start w:val="1"/>
      <w:numFmt w:val="lowerLetter"/>
      <w:lvlText w:val="%5."/>
      <w:lvlJc w:val="left"/>
      <w:pPr>
        <w:tabs>
          <w:tab w:val="num" w:pos="3960"/>
        </w:tabs>
        <w:ind w:left="3960" w:hanging="360"/>
      </w:pPr>
    </w:lvl>
    <w:lvl w:ilvl="5" w:tplc="56F0A9FA" w:tentative="1">
      <w:start w:val="1"/>
      <w:numFmt w:val="lowerRoman"/>
      <w:lvlText w:val="%6."/>
      <w:lvlJc w:val="right"/>
      <w:pPr>
        <w:tabs>
          <w:tab w:val="num" w:pos="4680"/>
        </w:tabs>
        <w:ind w:left="4680" w:hanging="180"/>
      </w:pPr>
    </w:lvl>
    <w:lvl w:ilvl="6" w:tplc="7A5461F4" w:tentative="1">
      <w:start w:val="1"/>
      <w:numFmt w:val="decimal"/>
      <w:lvlText w:val="%7."/>
      <w:lvlJc w:val="left"/>
      <w:pPr>
        <w:tabs>
          <w:tab w:val="num" w:pos="5400"/>
        </w:tabs>
        <w:ind w:left="5400" w:hanging="360"/>
      </w:pPr>
    </w:lvl>
    <w:lvl w:ilvl="7" w:tplc="2BC23CA8" w:tentative="1">
      <w:start w:val="1"/>
      <w:numFmt w:val="lowerLetter"/>
      <w:lvlText w:val="%8."/>
      <w:lvlJc w:val="left"/>
      <w:pPr>
        <w:tabs>
          <w:tab w:val="num" w:pos="6120"/>
        </w:tabs>
        <w:ind w:left="6120" w:hanging="360"/>
      </w:pPr>
    </w:lvl>
    <w:lvl w:ilvl="8" w:tplc="577A6F0E" w:tentative="1">
      <w:start w:val="1"/>
      <w:numFmt w:val="lowerRoman"/>
      <w:lvlText w:val="%9."/>
      <w:lvlJc w:val="right"/>
      <w:pPr>
        <w:tabs>
          <w:tab w:val="num" w:pos="6840"/>
        </w:tabs>
        <w:ind w:left="6840" w:hanging="180"/>
      </w:pPr>
    </w:lvl>
  </w:abstractNum>
  <w:abstractNum w:abstractNumId="12">
    <w:nsid w:val="54381D49"/>
    <w:multiLevelType w:val="hybridMultilevel"/>
    <w:tmpl w:val="56A09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6F06CC6"/>
    <w:multiLevelType w:val="hybridMultilevel"/>
    <w:tmpl w:val="A038F154"/>
    <w:lvl w:ilvl="0" w:tplc="FFFFFFFF">
      <w:start w:val="1"/>
      <w:numFmt w:val="decimal"/>
      <w:lvlText w:val="(%1)"/>
      <w:lvlJc w:val="left"/>
      <w:pPr>
        <w:tabs>
          <w:tab w:val="num" w:pos="1155"/>
        </w:tabs>
        <w:ind w:left="1155" w:hanging="4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nsid w:val="59E7312B"/>
    <w:multiLevelType w:val="hybridMultilevel"/>
    <w:tmpl w:val="2C68D9A6"/>
    <w:lvl w:ilvl="0" w:tplc="D3700D42">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EE719D3"/>
    <w:multiLevelType w:val="hybridMultilevel"/>
    <w:tmpl w:val="B9A2F77C"/>
    <w:lvl w:ilvl="0" w:tplc="1472AE6A">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CE18228"/>
    <w:multiLevelType w:val="hybridMultilevel"/>
    <w:tmpl w:val="9A7EF4B6"/>
    <w:lvl w:ilvl="0" w:tplc="042ECDC8">
      <w:start w:val="1"/>
      <w:numFmt w:val="ideographDigit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7">
    <w:nsid w:val="74175FA3"/>
    <w:multiLevelType w:val="hybridMultilevel"/>
    <w:tmpl w:val="C144F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4A5A00"/>
    <w:multiLevelType w:val="hybridMultilevel"/>
    <w:tmpl w:val="E267F0BF"/>
    <w:lvl w:ilvl="0" w:tplc="E4FAF836">
      <w:start w:val="1"/>
      <w:numFmt w:val="ideographDigit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num w:numId="1">
    <w:abstractNumId w:val="15"/>
  </w:num>
  <w:num w:numId="2">
    <w:abstractNumId w:val="8"/>
  </w:num>
  <w:num w:numId="3">
    <w:abstractNumId w:val="14"/>
  </w:num>
  <w:num w:numId="4">
    <w:abstractNumId w:val="3"/>
  </w:num>
  <w:num w:numId="5">
    <w:abstractNumId w:val="5"/>
  </w:num>
  <w:num w:numId="6">
    <w:abstractNumId w:val="11"/>
  </w:num>
  <w:num w:numId="7">
    <w:abstractNumId w:val="4"/>
  </w:num>
  <w:num w:numId="8">
    <w:abstractNumId w:val="13"/>
  </w:num>
  <w:num w:numId="9">
    <w:abstractNumId w:val="6"/>
  </w:num>
  <w:num w:numId="10">
    <w:abstractNumId w:val="16"/>
  </w:num>
  <w:num w:numId="11">
    <w:abstractNumId w:val="18"/>
  </w:num>
  <w:num w:numId="12">
    <w:abstractNumId w:val="0"/>
  </w:num>
  <w:num w:numId="13">
    <w:abstractNumId w:val="1"/>
  </w:num>
  <w:num w:numId="14">
    <w:abstractNumId w:val="10"/>
  </w:num>
  <w:num w:numId="15">
    <w:abstractNumId w:val="12"/>
  </w:num>
  <w:num w:numId="16">
    <w:abstractNumId w:val="7"/>
  </w:num>
  <w:num w:numId="17">
    <w:abstractNumId w:val="9"/>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41B"/>
    <w:rsid w:val="00000363"/>
    <w:rsid w:val="00000E56"/>
    <w:rsid w:val="00001A60"/>
    <w:rsid w:val="00002B47"/>
    <w:rsid w:val="00002FFB"/>
    <w:rsid w:val="00004715"/>
    <w:rsid w:val="00005A6A"/>
    <w:rsid w:val="0000646C"/>
    <w:rsid w:val="00007461"/>
    <w:rsid w:val="00010709"/>
    <w:rsid w:val="00010F9E"/>
    <w:rsid w:val="00012456"/>
    <w:rsid w:val="00012C95"/>
    <w:rsid w:val="00012F33"/>
    <w:rsid w:val="00013533"/>
    <w:rsid w:val="00016043"/>
    <w:rsid w:val="000178F8"/>
    <w:rsid w:val="00021144"/>
    <w:rsid w:val="00021C4B"/>
    <w:rsid w:val="000222D5"/>
    <w:rsid w:val="00027DC3"/>
    <w:rsid w:val="0003097E"/>
    <w:rsid w:val="000317A1"/>
    <w:rsid w:val="00033652"/>
    <w:rsid w:val="000356C4"/>
    <w:rsid w:val="00037B15"/>
    <w:rsid w:val="00040B30"/>
    <w:rsid w:val="00041919"/>
    <w:rsid w:val="0004337C"/>
    <w:rsid w:val="00043F30"/>
    <w:rsid w:val="000446C0"/>
    <w:rsid w:val="00045684"/>
    <w:rsid w:val="00046D56"/>
    <w:rsid w:val="000505EB"/>
    <w:rsid w:val="0005088D"/>
    <w:rsid w:val="0005159C"/>
    <w:rsid w:val="000515DB"/>
    <w:rsid w:val="000521BF"/>
    <w:rsid w:val="00052C67"/>
    <w:rsid w:val="00056B57"/>
    <w:rsid w:val="00060041"/>
    <w:rsid w:val="0006213B"/>
    <w:rsid w:val="00062746"/>
    <w:rsid w:val="000637B3"/>
    <w:rsid w:val="00076AE2"/>
    <w:rsid w:val="000818B7"/>
    <w:rsid w:val="00081E83"/>
    <w:rsid w:val="00082F14"/>
    <w:rsid w:val="000841A8"/>
    <w:rsid w:val="0008557F"/>
    <w:rsid w:val="00087FF0"/>
    <w:rsid w:val="000903C1"/>
    <w:rsid w:val="00094779"/>
    <w:rsid w:val="0009760A"/>
    <w:rsid w:val="000A0764"/>
    <w:rsid w:val="000A1237"/>
    <w:rsid w:val="000B2D7B"/>
    <w:rsid w:val="000B2F75"/>
    <w:rsid w:val="000B48AE"/>
    <w:rsid w:val="000B603A"/>
    <w:rsid w:val="000B746B"/>
    <w:rsid w:val="000C0490"/>
    <w:rsid w:val="000C12A0"/>
    <w:rsid w:val="000C3447"/>
    <w:rsid w:val="000C772D"/>
    <w:rsid w:val="000D62B6"/>
    <w:rsid w:val="000D65EF"/>
    <w:rsid w:val="000D6A7D"/>
    <w:rsid w:val="000D7294"/>
    <w:rsid w:val="000D7724"/>
    <w:rsid w:val="000D7C85"/>
    <w:rsid w:val="000E0677"/>
    <w:rsid w:val="000E10F7"/>
    <w:rsid w:val="000E25FE"/>
    <w:rsid w:val="000E3740"/>
    <w:rsid w:val="000E3C9A"/>
    <w:rsid w:val="000E7706"/>
    <w:rsid w:val="000F0C44"/>
    <w:rsid w:val="000F2028"/>
    <w:rsid w:val="000F285F"/>
    <w:rsid w:val="000F4D2A"/>
    <w:rsid w:val="000F7368"/>
    <w:rsid w:val="00105DF4"/>
    <w:rsid w:val="001117C2"/>
    <w:rsid w:val="00111D7B"/>
    <w:rsid w:val="00112165"/>
    <w:rsid w:val="0011326F"/>
    <w:rsid w:val="001137E9"/>
    <w:rsid w:val="001144BE"/>
    <w:rsid w:val="001178F6"/>
    <w:rsid w:val="00120591"/>
    <w:rsid w:val="0012164F"/>
    <w:rsid w:val="0012166C"/>
    <w:rsid w:val="001216AC"/>
    <w:rsid w:val="00121B59"/>
    <w:rsid w:val="00124C55"/>
    <w:rsid w:val="001261D4"/>
    <w:rsid w:val="00126CA1"/>
    <w:rsid w:val="00130B16"/>
    <w:rsid w:val="00130E0A"/>
    <w:rsid w:val="00135FB3"/>
    <w:rsid w:val="00140B74"/>
    <w:rsid w:val="0014112C"/>
    <w:rsid w:val="0014123A"/>
    <w:rsid w:val="00142A35"/>
    <w:rsid w:val="00143007"/>
    <w:rsid w:val="00143200"/>
    <w:rsid w:val="00144F33"/>
    <w:rsid w:val="001465D9"/>
    <w:rsid w:val="0014696E"/>
    <w:rsid w:val="00150BC2"/>
    <w:rsid w:val="00151456"/>
    <w:rsid w:val="00152123"/>
    <w:rsid w:val="00152AFE"/>
    <w:rsid w:val="00152F33"/>
    <w:rsid w:val="00152FA5"/>
    <w:rsid w:val="00156B00"/>
    <w:rsid w:val="00156B03"/>
    <w:rsid w:val="0015749E"/>
    <w:rsid w:val="001575D5"/>
    <w:rsid w:val="001612F8"/>
    <w:rsid w:val="00162E14"/>
    <w:rsid w:val="001630DC"/>
    <w:rsid w:val="001644A0"/>
    <w:rsid w:val="001644A3"/>
    <w:rsid w:val="0016491A"/>
    <w:rsid w:val="00166462"/>
    <w:rsid w:val="00171CB2"/>
    <w:rsid w:val="00173047"/>
    <w:rsid w:val="0017413C"/>
    <w:rsid w:val="0018066C"/>
    <w:rsid w:val="001809C5"/>
    <w:rsid w:val="00181179"/>
    <w:rsid w:val="001817AD"/>
    <w:rsid w:val="00181B23"/>
    <w:rsid w:val="001827BF"/>
    <w:rsid w:val="00182E32"/>
    <w:rsid w:val="0018303F"/>
    <w:rsid w:val="001873FE"/>
    <w:rsid w:val="0018747B"/>
    <w:rsid w:val="00192270"/>
    <w:rsid w:val="00196226"/>
    <w:rsid w:val="00197F8F"/>
    <w:rsid w:val="001A007E"/>
    <w:rsid w:val="001A35BC"/>
    <w:rsid w:val="001A496C"/>
    <w:rsid w:val="001A6698"/>
    <w:rsid w:val="001A76AB"/>
    <w:rsid w:val="001A76CF"/>
    <w:rsid w:val="001B00E6"/>
    <w:rsid w:val="001B06D4"/>
    <w:rsid w:val="001B15A7"/>
    <w:rsid w:val="001B4702"/>
    <w:rsid w:val="001B5147"/>
    <w:rsid w:val="001B7A77"/>
    <w:rsid w:val="001C0C2E"/>
    <w:rsid w:val="001C7E97"/>
    <w:rsid w:val="001D4A35"/>
    <w:rsid w:val="001D4E11"/>
    <w:rsid w:val="001D7CA4"/>
    <w:rsid w:val="001E00FC"/>
    <w:rsid w:val="001E10EA"/>
    <w:rsid w:val="001E1A33"/>
    <w:rsid w:val="001E4E81"/>
    <w:rsid w:val="001E6077"/>
    <w:rsid w:val="001F22E7"/>
    <w:rsid w:val="001F4264"/>
    <w:rsid w:val="00204BD0"/>
    <w:rsid w:val="0020642E"/>
    <w:rsid w:val="00206639"/>
    <w:rsid w:val="002069A8"/>
    <w:rsid w:val="00206BB3"/>
    <w:rsid w:val="00207676"/>
    <w:rsid w:val="00207C5A"/>
    <w:rsid w:val="00207DC8"/>
    <w:rsid w:val="00211146"/>
    <w:rsid w:val="002119FB"/>
    <w:rsid w:val="00214318"/>
    <w:rsid w:val="00214610"/>
    <w:rsid w:val="002154BE"/>
    <w:rsid w:val="00217BBB"/>
    <w:rsid w:val="00222CFC"/>
    <w:rsid w:val="00226598"/>
    <w:rsid w:val="00226D28"/>
    <w:rsid w:val="00230220"/>
    <w:rsid w:val="002323AB"/>
    <w:rsid w:val="0023772B"/>
    <w:rsid w:val="00240632"/>
    <w:rsid w:val="0024121D"/>
    <w:rsid w:val="00242D03"/>
    <w:rsid w:val="0024436C"/>
    <w:rsid w:val="00244CC1"/>
    <w:rsid w:val="00245529"/>
    <w:rsid w:val="00246703"/>
    <w:rsid w:val="00252D14"/>
    <w:rsid w:val="002561B9"/>
    <w:rsid w:val="00260F32"/>
    <w:rsid w:val="00261F7F"/>
    <w:rsid w:val="00263093"/>
    <w:rsid w:val="0026611F"/>
    <w:rsid w:val="002677EF"/>
    <w:rsid w:val="00270F2B"/>
    <w:rsid w:val="0027117C"/>
    <w:rsid w:val="0027232A"/>
    <w:rsid w:val="00274C0D"/>
    <w:rsid w:val="00280494"/>
    <w:rsid w:val="0028075E"/>
    <w:rsid w:val="002832DA"/>
    <w:rsid w:val="002835ED"/>
    <w:rsid w:val="00283D03"/>
    <w:rsid w:val="002850FF"/>
    <w:rsid w:val="002861B6"/>
    <w:rsid w:val="00293003"/>
    <w:rsid w:val="002942FD"/>
    <w:rsid w:val="0029437C"/>
    <w:rsid w:val="0029499F"/>
    <w:rsid w:val="002A028B"/>
    <w:rsid w:val="002A2342"/>
    <w:rsid w:val="002A2918"/>
    <w:rsid w:val="002A43A4"/>
    <w:rsid w:val="002A64EE"/>
    <w:rsid w:val="002A756F"/>
    <w:rsid w:val="002B552F"/>
    <w:rsid w:val="002B62A0"/>
    <w:rsid w:val="002B6CE1"/>
    <w:rsid w:val="002C0D75"/>
    <w:rsid w:val="002C0ECB"/>
    <w:rsid w:val="002C12FC"/>
    <w:rsid w:val="002C1DAC"/>
    <w:rsid w:val="002C48E7"/>
    <w:rsid w:val="002C558A"/>
    <w:rsid w:val="002D006E"/>
    <w:rsid w:val="002D2879"/>
    <w:rsid w:val="002D4086"/>
    <w:rsid w:val="002D46F0"/>
    <w:rsid w:val="002D4EC2"/>
    <w:rsid w:val="002E069A"/>
    <w:rsid w:val="002E1BC3"/>
    <w:rsid w:val="002E3D93"/>
    <w:rsid w:val="002E51DE"/>
    <w:rsid w:val="002E57FB"/>
    <w:rsid w:val="002E768D"/>
    <w:rsid w:val="002E7CF3"/>
    <w:rsid w:val="002F05EC"/>
    <w:rsid w:val="002F0A06"/>
    <w:rsid w:val="002F0BD5"/>
    <w:rsid w:val="002F1A9A"/>
    <w:rsid w:val="002F28D4"/>
    <w:rsid w:val="002F6E9E"/>
    <w:rsid w:val="00302481"/>
    <w:rsid w:val="00302B8E"/>
    <w:rsid w:val="00303779"/>
    <w:rsid w:val="00305758"/>
    <w:rsid w:val="003063A4"/>
    <w:rsid w:val="003078D4"/>
    <w:rsid w:val="003078DD"/>
    <w:rsid w:val="003147E9"/>
    <w:rsid w:val="003153C4"/>
    <w:rsid w:val="00317F6A"/>
    <w:rsid w:val="003200B8"/>
    <w:rsid w:val="003215A7"/>
    <w:rsid w:val="003217CF"/>
    <w:rsid w:val="00322511"/>
    <w:rsid w:val="0033774F"/>
    <w:rsid w:val="003377D5"/>
    <w:rsid w:val="00337993"/>
    <w:rsid w:val="003421DE"/>
    <w:rsid w:val="00344460"/>
    <w:rsid w:val="00345D0C"/>
    <w:rsid w:val="003517F8"/>
    <w:rsid w:val="00353F93"/>
    <w:rsid w:val="003558D2"/>
    <w:rsid w:val="003564A5"/>
    <w:rsid w:val="00356954"/>
    <w:rsid w:val="00357C43"/>
    <w:rsid w:val="003600A3"/>
    <w:rsid w:val="00363D30"/>
    <w:rsid w:val="003641A4"/>
    <w:rsid w:val="003660A1"/>
    <w:rsid w:val="00366330"/>
    <w:rsid w:val="00367FD7"/>
    <w:rsid w:val="00370613"/>
    <w:rsid w:val="003707BE"/>
    <w:rsid w:val="003714DE"/>
    <w:rsid w:val="00371FE9"/>
    <w:rsid w:val="003735B7"/>
    <w:rsid w:val="003747FD"/>
    <w:rsid w:val="00375625"/>
    <w:rsid w:val="00376893"/>
    <w:rsid w:val="00377DAF"/>
    <w:rsid w:val="00377FD7"/>
    <w:rsid w:val="00380A8B"/>
    <w:rsid w:val="003840C6"/>
    <w:rsid w:val="0038584E"/>
    <w:rsid w:val="00387D9F"/>
    <w:rsid w:val="00390518"/>
    <w:rsid w:val="003910C0"/>
    <w:rsid w:val="00391F34"/>
    <w:rsid w:val="003950FD"/>
    <w:rsid w:val="00396D51"/>
    <w:rsid w:val="00397224"/>
    <w:rsid w:val="003A1D7A"/>
    <w:rsid w:val="003A2F16"/>
    <w:rsid w:val="003A429A"/>
    <w:rsid w:val="003A7313"/>
    <w:rsid w:val="003B0489"/>
    <w:rsid w:val="003B2E64"/>
    <w:rsid w:val="003B7EED"/>
    <w:rsid w:val="003C120B"/>
    <w:rsid w:val="003C1F91"/>
    <w:rsid w:val="003C43FB"/>
    <w:rsid w:val="003C5BBF"/>
    <w:rsid w:val="003D3040"/>
    <w:rsid w:val="003E19AF"/>
    <w:rsid w:val="003E3C7E"/>
    <w:rsid w:val="003E5AEE"/>
    <w:rsid w:val="003E742E"/>
    <w:rsid w:val="003F0178"/>
    <w:rsid w:val="003F3330"/>
    <w:rsid w:val="003F35D5"/>
    <w:rsid w:val="003F4092"/>
    <w:rsid w:val="003F4AAC"/>
    <w:rsid w:val="00400101"/>
    <w:rsid w:val="00400271"/>
    <w:rsid w:val="00405933"/>
    <w:rsid w:val="00405A82"/>
    <w:rsid w:val="004063CE"/>
    <w:rsid w:val="00406959"/>
    <w:rsid w:val="00406DBA"/>
    <w:rsid w:val="00407010"/>
    <w:rsid w:val="004103A0"/>
    <w:rsid w:val="00411626"/>
    <w:rsid w:val="00412248"/>
    <w:rsid w:val="004127D0"/>
    <w:rsid w:val="00412EC0"/>
    <w:rsid w:val="0041485E"/>
    <w:rsid w:val="0041677A"/>
    <w:rsid w:val="004179C8"/>
    <w:rsid w:val="00420560"/>
    <w:rsid w:val="0042183B"/>
    <w:rsid w:val="004237DF"/>
    <w:rsid w:val="00426BD5"/>
    <w:rsid w:val="0042746E"/>
    <w:rsid w:val="00427BBB"/>
    <w:rsid w:val="00431982"/>
    <w:rsid w:val="00435FF2"/>
    <w:rsid w:val="004405BF"/>
    <w:rsid w:val="00441AA9"/>
    <w:rsid w:val="0044342B"/>
    <w:rsid w:val="00443646"/>
    <w:rsid w:val="00444881"/>
    <w:rsid w:val="00450921"/>
    <w:rsid w:val="00451521"/>
    <w:rsid w:val="0045481D"/>
    <w:rsid w:val="00454F4D"/>
    <w:rsid w:val="0046023F"/>
    <w:rsid w:val="0046046E"/>
    <w:rsid w:val="0046104B"/>
    <w:rsid w:val="004620FA"/>
    <w:rsid w:val="00464372"/>
    <w:rsid w:val="00465410"/>
    <w:rsid w:val="00470CBD"/>
    <w:rsid w:val="00470DC8"/>
    <w:rsid w:val="00471615"/>
    <w:rsid w:val="00471DB2"/>
    <w:rsid w:val="00472307"/>
    <w:rsid w:val="004808E2"/>
    <w:rsid w:val="004814E2"/>
    <w:rsid w:val="00481A3E"/>
    <w:rsid w:val="0048375B"/>
    <w:rsid w:val="00483D2D"/>
    <w:rsid w:val="00484A3B"/>
    <w:rsid w:val="00484B8A"/>
    <w:rsid w:val="00486CFB"/>
    <w:rsid w:val="00487256"/>
    <w:rsid w:val="00487C5C"/>
    <w:rsid w:val="004926FF"/>
    <w:rsid w:val="00493995"/>
    <w:rsid w:val="0049446B"/>
    <w:rsid w:val="00495050"/>
    <w:rsid w:val="00495552"/>
    <w:rsid w:val="004956D8"/>
    <w:rsid w:val="0049657A"/>
    <w:rsid w:val="00496EA8"/>
    <w:rsid w:val="004979A6"/>
    <w:rsid w:val="004A00E2"/>
    <w:rsid w:val="004A1449"/>
    <w:rsid w:val="004A2F0F"/>
    <w:rsid w:val="004A362D"/>
    <w:rsid w:val="004A43CC"/>
    <w:rsid w:val="004B05F7"/>
    <w:rsid w:val="004B0791"/>
    <w:rsid w:val="004B46A3"/>
    <w:rsid w:val="004B4EF4"/>
    <w:rsid w:val="004C11C4"/>
    <w:rsid w:val="004C352A"/>
    <w:rsid w:val="004C6CC5"/>
    <w:rsid w:val="004C715D"/>
    <w:rsid w:val="004D026E"/>
    <w:rsid w:val="004D1FFC"/>
    <w:rsid w:val="004D5C73"/>
    <w:rsid w:val="004D7B9E"/>
    <w:rsid w:val="004E0D31"/>
    <w:rsid w:val="004E2BF1"/>
    <w:rsid w:val="004E5D48"/>
    <w:rsid w:val="004E7782"/>
    <w:rsid w:val="004F1164"/>
    <w:rsid w:val="004F15BA"/>
    <w:rsid w:val="004F3304"/>
    <w:rsid w:val="004F41D7"/>
    <w:rsid w:val="004F5B8F"/>
    <w:rsid w:val="004F67DA"/>
    <w:rsid w:val="004F782A"/>
    <w:rsid w:val="00501B2D"/>
    <w:rsid w:val="00504289"/>
    <w:rsid w:val="00506EC4"/>
    <w:rsid w:val="00512FB8"/>
    <w:rsid w:val="005134C9"/>
    <w:rsid w:val="005154D6"/>
    <w:rsid w:val="005172C6"/>
    <w:rsid w:val="005219CF"/>
    <w:rsid w:val="00523E93"/>
    <w:rsid w:val="00524507"/>
    <w:rsid w:val="00524ACB"/>
    <w:rsid w:val="00525B7E"/>
    <w:rsid w:val="00532DB1"/>
    <w:rsid w:val="00532DDA"/>
    <w:rsid w:val="0053310C"/>
    <w:rsid w:val="00533E86"/>
    <w:rsid w:val="0053474F"/>
    <w:rsid w:val="0053542D"/>
    <w:rsid w:val="0053577B"/>
    <w:rsid w:val="00536065"/>
    <w:rsid w:val="0054022C"/>
    <w:rsid w:val="0054122A"/>
    <w:rsid w:val="00541EB8"/>
    <w:rsid w:val="00543D6D"/>
    <w:rsid w:val="0054477B"/>
    <w:rsid w:val="005448D8"/>
    <w:rsid w:val="005463DB"/>
    <w:rsid w:val="005475F7"/>
    <w:rsid w:val="00556AC8"/>
    <w:rsid w:val="005573F3"/>
    <w:rsid w:val="005607C9"/>
    <w:rsid w:val="005611A6"/>
    <w:rsid w:val="00561335"/>
    <w:rsid w:val="00562389"/>
    <w:rsid w:val="0056274A"/>
    <w:rsid w:val="00563876"/>
    <w:rsid w:val="00563F43"/>
    <w:rsid w:val="005643C5"/>
    <w:rsid w:val="0056623B"/>
    <w:rsid w:val="00567FC5"/>
    <w:rsid w:val="005738A0"/>
    <w:rsid w:val="00576897"/>
    <w:rsid w:val="0057746D"/>
    <w:rsid w:val="00577AB2"/>
    <w:rsid w:val="0058061F"/>
    <w:rsid w:val="005820A9"/>
    <w:rsid w:val="005838B4"/>
    <w:rsid w:val="00583E7C"/>
    <w:rsid w:val="00584833"/>
    <w:rsid w:val="00584E02"/>
    <w:rsid w:val="005916D2"/>
    <w:rsid w:val="005939C1"/>
    <w:rsid w:val="00593A8A"/>
    <w:rsid w:val="00596032"/>
    <w:rsid w:val="00596216"/>
    <w:rsid w:val="005A4901"/>
    <w:rsid w:val="005A675D"/>
    <w:rsid w:val="005B3DE7"/>
    <w:rsid w:val="005B500A"/>
    <w:rsid w:val="005B5E21"/>
    <w:rsid w:val="005B629A"/>
    <w:rsid w:val="005B774B"/>
    <w:rsid w:val="005C0E05"/>
    <w:rsid w:val="005C10C9"/>
    <w:rsid w:val="005C12A4"/>
    <w:rsid w:val="005C1AED"/>
    <w:rsid w:val="005C1C67"/>
    <w:rsid w:val="005C55ED"/>
    <w:rsid w:val="005C68CA"/>
    <w:rsid w:val="005C6B50"/>
    <w:rsid w:val="005D0285"/>
    <w:rsid w:val="005D0CDE"/>
    <w:rsid w:val="005D3558"/>
    <w:rsid w:val="005D3C29"/>
    <w:rsid w:val="005E01D4"/>
    <w:rsid w:val="005E513B"/>
    <w:rsid w:val="005F2054"/>
    <w:rsid w:val="005F2929"/>
    <w:rsid w:val="005F2DDF"/>
    <w:rsid w:val="005F320D"/>
    <w:rsid w:val="005F4A17"/>
    <w:rsid w:val="005F5746"/>
    <w:rsid w:val="005F5B69"/>
    <w:rsid w:val="005F6C60"/>
    <w:rsid w:val="005F700E"/>
    <w:rsid w:val="005F796A"/>
    <w:rsid w:val="006006AC"/>
    <w:rsid w:val="006016BF"/>
    <w:rsid w:val="006022D7"/>
    <w:rsid w:val="00602606"/>
    <w:rsid w:val="00604A67"/>
    <w:rsid w:val="00604DA0"/>
    <w:rsid w:val="00604E58"/>
    <w:rsid w:val="006071F8"/>
    <w:rsid w:val="00612C90"/>
    <w:rsid w:val="00615E89"/>
    <w:rsid w:val="00617678"/>
    <w:rsid w:val="00620FD4"/>
    <w:rsid w:val="00623688"/>
    <w:rsid w:val="0062370A"/>
    <w:rsid w:val="00623F94"/>
    <w:rsid w:val="006243CC"/>
    <w:rsid w:val="00625C24"/>
    <w:rsid w:val="00625E46"/>
    <w:rsid w:val="0063011A"/>
    <w:rsid w:val="006322DD"/>
    <w:rsid w:val="00633A78"/>
    <w:rsid w:val="006347C0"/>
    <w:rsid w:val="0063541B"/>
    <w:rsid w:val="0063692D"/>
    <w:rsid w:val="00637DDD"/>
    <w:rsid w:val="0064704F"/>
    <w:rsid w:val="00647951"/>
    <w:rsid w:val="00650ACC"/>
    <w:rsid w:val="006531D6"/>
    <w:rsid w:val="00653DCD"/>
    <w:rsid w:val="006562D9"/>
    <w:rsid w:val="006571FF"/>
    <w:rsid w:val="0066040D"/>
    <w:rsid w:val="00660E00"/>
    <w:rsid w:val="00661999"/>
    <w:rsid w:val="00661EED"/>
    <w:rsid w:val="006661D3"/>
    <w:rsid w:val="0066711C"/>
    <w:rsid w:val="00670B59"/>
    <w:rsid w:val="00671B10"/>
    <w:rsid w:val="0067250E"/>
    <w:rsid w:val="00674A7C"/>
    <w:rsid w:val="00683538"/>
    <w:rsid w:val="006861E1"/>
    <w:rsid w:val="00686250"/>
    <w:rsid w:val="00690A8D"/>
    <w:rsid w:val="006914F3"/>
    <w:rsid w:val="0069287A"/>
    <w:rsid w:val="00692EFE"/>
    <w:rsid w:val="00693BAF"/>
    <w:rsid w:val="0069412C"/>
    <w:rsid w:val="00694A73"/>
    <w:rsid w:val="006965F8"/>
    <w:rsid w:val="00696BDA"/>
    <w:rsid w:val="00697B54"/>
    <w:rsid w:val="006A3140"/>
    <w:rsid w:val="006A4285"/>
    <w:rsid w:val="006A53D8"/>
    <w:rsid w:val="006A5BFE"/>
    <w:rsid w:val="006A6533"/>
    <w:rsid w:val="006B0205"/>
    <w:rsid w:val="006B0402"/>
    <w:rsid w:val="006B11A4"/>
    <w:rsid w:val="006B200C"/>
    <w:rsid w:val="006B2BE2"/>
    <w:rsid w:val="006B4206"/>
    <w:rsid w:val="006B4C3F"/>
    <w:rsid w:val="006B6A9B"/>
    <w:rsid w:val="006B70DF"/>
    <w:rsid w:val="006B71A4"/>
    <w:rsid w:val="006B7800"/>
    <w:rsid w:val="006C3153"/>
    <w:rsid w:val="006C31BD"/>
    <w:rsid w:val="006C4690"/>
    <w:rsid w:val="006C5B7B"/>
    <w:rsid w:val="006C6BC8"/>
    <w:rsid w:val="006C7D65"/>
    <w:rsid w:val="006D5678"/>
    <w:rsid w:val="006D5CDC"/>
    <w:rsid w:val="006D6F07"/>
    <w:rsid w:val="006E2736"/>
    <w:rsid w:val="006E56E7"/>
    <w:rsid w:val="006F17A9"/>
    <w:rsid w:val="006F2ED9"/>
    <w:rsid w:val="006F5682"/>
    <w:rsid w:val="006F5C74"/>
    <w:rsid w:val="006F6478"/>
    <w:rsid w:val="006F76E1"/>
    <w:rsid w:val="006F7C84"/>
    <w:rsid w:val="006F7DA9"/>
    <w:rsid w:val="006F7F61"/>
    <w:rsid w:val="007028B3"/>
    <w:rsid w:val="00702A4D"/>
    <w:rsid w:val="0070318D"/>
    <w:rsid w:val="00703CD0"/>
    <w:rsid w:val="007052BD"/>
    <w:rsid w:val="0070582B"/>
    <w:rsid w:val="00706590"/>
    <w:rsid w:val="00706D2B"/>
    <w:rsid w:val="00710C5B"/>
    <w:rsid w:val="007119F7"/>
    <w:rsid w:val="007129A6"/>
    <w:rsid w:val="00714D85"/>
    <w:rsid w:val="007152BF"/>
    <w:rsid w:val="00721C06"/>
    <w:rsid w:val="007239F5"/>
    <w:rsid w:val="007251C2"/>
    <w:rsid w:val="00726047"/>
    <w:rsid w:val="0072643A"/>
    <w:rsid w:val="00730FBC"/>
    <w:rsid w:val="00731CBD"/>
    <w:rsid w:val="00732235"/>
    <w:rsid w:val="00732E8E"/>
    <w:rsid w:val="00733C05"/>
    <w:rsid w:val="00737F36"/>
    <w:rsid w:val="00741864"/>
    <w:rsid w:val="00742267"/>
    <w:rsid w:val="007438F3"/>
    <w:rsid w:val="00744765"/>
    <w:rsid w:val="00744FF8"/>
    <w:rsid w:val="0074688A"/>
    <w:rsid w:val="0075010F"/>
    <w:rsid w:val="007503D1"/>
    <w:rsid w:val="00751054"/>
    <w:rsid w:val="00751D4F"/>
    <w:rsid w:val="007531D9"/>
    <w:rsid w:val="007546C3"/>
    <w:rsid w:val="00757ABF"/>
    <w:rsid w:val="00757B8C"/>
    <w:rsid w:val="00760E29"/>
    <w:rsid w:val="00764BA4"/>
    <w:rsid w:val="007653B0"/>
    <w:rsid w:val="00765980"/>
    <w:rsid w:val="00766850"/>
    <w:rsid w:val="00767146"/>
    <w:rsid w:val="00767464"/>
    <w:rsid w:val="007676F9"/>
    <w:rsid w:val="00772A21"/>
    <w:rsid w:val="00773922"/>
    <w:rsid w:val="00775B42"/>
    <w:rsid w:val="00775E68"/>
    <w:rsid w:val="007767A9"/>
    <w:rsid w:val="00777446"/>
    <w:rsid w:val="007776A6"/>
    <w:rsid w:val="007822C4"/>
    <w:rsid w:val="0078241C"/>
    <w:rsid w:val="007872D2"/>
    <w:rsid w:val="007924A3"/>
    <w:rsid w:val="00793159"/>
    <w:rsid w:val="00793699"/>
    <w:rsid w:val="007941E5"/>
    <w:rsid w:val="00794D00"/>
    <w:rsid w:val="00795FED"/>
    <w:rsid w:val="007965C3"/>
    <w:rsid w:val="007965FF"/>
    <w:rsid w:val="007A0C6E"/>
    <w:rsid w:val="007A22B7"/>
    <w:rsid w:val="007A416A"/>
    <w:rsid w:val="007A5F1B"/>
    <w:rsid w:val="007A73C2"/>
    <w:rsid w:val="007A7FA8"/>
    <w:rsid w:val="007B059B"/>
    <w:rsid w:val="007B160B"/>
    <w:rsid w:val="007B241B"/>
    <w:rsid w:val="007B26EC"/>
    <w:rsid w:val="007B501F"/>
    <w:rsid w:val="007B5683"/>
    <w:rsid w:val="007B5FA4"/>
    <w:rsid w:val="007B6040"/>
    <w:rsid w:val="007B742B"/>
    <w:rsid w:val="007C0665"/>
    <w:rsid w:val="007C0750"/>
    <w:rsid w:val="007C11A8"/>
    <w:rsid w:val="007C3607"/>
    <w:rsid w:val="007C3BD7"/>
    <w:rsid w:val="007C5354"/>
    <w:rsid w:val="007C559A"/>
    <w:rsid w:val="007C6DBF"/>
    <w:rsid w:val="007D0AE0"/>
    <w:rsid w:val="007D26E5"/>
    <w:rsid w:val="007D3283"/>
    <w:rsid w:val="007D6A14"/>
    <w:rsid w:val="007D73E2"/>
    <w:rsid w:val="007E181A"/>
    <w:rsid w:val="007E1DA0"/>
    <w:rsid w:val="007E1EF1"/>
    <w:rsid w:val="007E2455"/>
    <w:rsid w:val="007E68EB"/>
    <w:rsid w:val="007F1BCD"/>
    <w:rsid w:val="007F5755"/>
    <w:rsid w:val="007F774D"/>
    <w:rsid w:val="00801837"/>
    <w:rsid w:val="008031F9"/>
    <w:rsid w:val="00803BA3"/>
    <w:rsid w:val="00804657"/>
    <w:rsid w:val="008059B1"/>
    <w:rsid w:val="008059F5"/>
    <w:rsid w:val="00807B11"/>
    <w:rsid w:val="00807EE8"/>
    <w:rsid w:val="008141E2"/>
    <w:rsid w:val="008143F7"/>
    <w:rsid w:val="00815A3F"/>
    <w:rsid w:val="008166A6"/>
    <w:rsid w:val="0082030A"/>
    <w:rsid w:val="00820D5E"/>
    <w:rsid w:val="00821D54"/>
    <w:rsid w:val="008241D8"/>
    <w:rsid w:val="00824EF5"/>
    <w:rsid w:val="00824F4A"/>
    <w:rsid w:val="00825406"/>
    <w:rsid w:val="0082566B"/>
    <w:rsid w:val="008266F7"/>
    <w:rsid w:val="008308FC"/>
    <w:rsid w:val="00832116"/>
    <w:rsid w:val="008339D1"/>
    <w:rsid w:val="00834733"/>
    <w:rsid w:val="00835890"/>
    <w:rsid w:val="0083686A"/>
    <w:rsid w:val="008368A8"/>
    <w:rsid w:val="00837365"/>
    <w:rsid w:val="0084057F"/>
    <w:rsid w:val="00840681"/>
    <w:rsid w:val="008416A7"/>
    <w:rsid w:val="008449DF"/>
    <w:rsid w:val="0084540E"/>
    <w:rsid w:val="00851401"/>
    <w:rsid w:val="00853324"/>
    <w:rsid w:val="00853BF3"/>
    <w:rsid w:val="008544BC"/>
    <w:rsid w:val="00857C13"/>
    <w:rsid w:val="0086309F"/>
    <w:rsid w:val="0086311B"/>
    <w:rsid w:val="008654FD"/>
    <w:rsid w:val="00866A9B"/>
    <w:rsid w:val="00867F63"/>
    <w:rsid w:val="008700C2"/>
    <w:rsid w:val="00871B10"/>
    <w:rsid w:val="008736EB"/>
    <w:rsid w:val="0087571B"/>
    <w:rsid w:val="0087699F"/>
    <w:rsid w:val="008811E7"/>
    <w:rsid w:val="008823E6"/>
    <w:rsid w:val="008825A5"/>
    <w:rsid w:val="00883133"/>
    <w:rsid w:val="00883F07"/>
    <w:rsid w:val="008854B8"/>
    <w:rsid w:val="00891178"/>
    <w:rsid w:val="00891376"/>
    <w:rsid w:val="00894DE8"/>
    <w:rsid w:val="00894FE3"/>
    <w:rsid w:val="008950E2"/>
    <w:rsid w:val="00895629"/>
    <w:rsid w:val="00897406"/>
    <w:rsid w:val="0089783A"/>
    <w:rsid w:val="00897A22"/>
    <w:rsid w:val="008A0FCE"/>
    <w:rsid w:val="008A52AE"/>
    <w:rsid w:val="008A5681"/>
    <w:rsid w:val="008A57C8"/>
    <w:rsid w:val="008A643C"/>
    <w:rsid w:val="008B0F73"/>
    <w:rsid w:val="008B2F87"/>
    <w:rsid w:val="008B383A"/>
    <w:rsid w:val="008B48F3"/>
    <w:rsid w:val="008B4C83"/>
    <w:rsid w:val="008B5057"/>
    <w:rsid w:val="008B59B5"/>
    <w:rsid w:val="008B6C3B"/>
    <w:rsid w:val="008B7AEA"/>
    <w:rsid w:val="008C3335"/>
    <w:rsid w:val="008C52E7"/>
    <w:rsid w:val="008C5749"/>
    <w:rsid w:val="008D03D9"/>
    <w:rsid w:val="008D1F20"/>
    <w:rsid w:val="008D46D4"/>
    <w:rsid w:val="008D7A1E"/>
    <w:rsid w:val="008E075B"/>
    <w:rsid w:val="008E1B21"/>
    <w:rsid w:val="008E1EC6"/>
    <w:rsid w:val="008E514F"/>
    <w:rsid w:val="008E672D"/>
    <w:rsid w:val="008E7D98"/>
    <w:rsid w:val="008F0BC5"/>
    <w:rsid w:val="008F1820"/>
    <w:rsid w:val="008F4BAE"/>
    <w:rsid w:val="008F4F08"/>
    <w:rsid w:val="00900190"/>
    <w:rsid w:val="00900EB6"/>
    <w:rsid w:val="00901BB8"/>
    <w:rsid w:val="0090248F"/>
    <w:rsid w:val="00902942"/>
    <w:rsid w:val="00902F6A"/>
    <w:rsid w:val="009063AA"/>
    <w:rsid w:val="00906B1C"/>
    <w:rsid w:val="00907C1A"/>
    <w:rsid w:val="00912ECE"/>
    <w:rsid w:val="0091536C"/>
    <w:rsid w:val="009161AD"/>
    <w:rsid w:val="0091686D"/>
    <w:rsid w:val="009168DB"/>
    <w:rsid w:val="00917EB8"/>
    <w:rsid w:val="009237E8"/>
    <w:rsid w:val="00927E38"/>
    <w:rsid w:val="0093782D"/>
    <w:rsid w:val="00942ACF"/>
    <w:rsid w:val="0094411B"/>
    <w:rsid w:val="00947B47"/>
    <w:rsid w:val="00947F24"/>
    <w:rsid w:val="00952DCD"/>
    <w:rsid w:val="00956997"/>
    <w:rsid w:val="00957087"/>
    <w:rsid w:val="00960B2B"/>
    <w:rsid w:val="009623A8"/>
    <w:rsid w:val="009659A2"/>
    <w:rsid w:val="00970097"/>
    <w:rsid w:val="00972A23"/>
    <w:rsid w:val="00980E7D"/>
    <w:rsid w:val="0098123A"/>
    <w:rsid w:val="009819F4"/>
    <w:rsid w:val="009831E4"/>
    <w:rsid w:val="009832F8"/>
    <w:rsid w:val="00983F30"/>
    <w:rsid w:val="00986B0D"/>
    <w:rsid w:val="00986FDF"/>
    <w:rsid w:val="00992281"/>
    <w:rsid w:val="00996B2E"/>
    <w:rsid w:val="00997824"/>
    <w:rsid w:val="009A1DB6"/>
    <w:rsid w:val="009A24BD"/>
    <w:rsid w:val="009A2B83"/>
    <w:rsid w:val="009A3A3B"/>
    <w:rsid w:val="009A6C8C"/>
    <w:rsid w:val="009A7235"/>
    <w:rsid w:val="009A7A06"/>
    <w:rsid w:val="009B0922"/>
    <w:rsid w:val="009B2B80"/>
    <w:rsid w:val="009B437B"/>
    <w:rsid w:val="009C0270"/>
    <w:rsid w:val="009C0B57"/>
    <w:rsid w:val="009C453E"/>
    <w:rsid w:val="009C4D63"/>
    <w:rsid w:val="009C5270"/>
    <w:rsid w:val="009C6109"/>
    <w:rsid w:val="009C6269"/>
    <w:rsid w:val="009C6EA9"/>
    <w:rsid w:val="009D1ABC"/>
    <w:rsid w:val="009D30F1"/>
    <w:rsid w:val="009D4559"/>
    <w:rsid w:val="009D4B17"/>
    <w:rsid w:val="009D6706"/>
    <w:rsid w:val="009D7587"/>
    <w:rsid w:val="009D772E"/>
    <w:rsid w:val="009E289E"/>
    <w:rsid w:val="009E4973"/>
    <w:rsid w:val="009E4A26"/>
    <w:rsid w:val="009E590B"/>
    <w:rsid w:val="009E611A"/>
    <w:rsid w:val="009E6915"/>
    <w:rsid w:val="009E6A77"/>
    <w:rsid w:val="009F0794"/>
    <w:rsid w:val="009F09E1"/>
    <w:rsid w:val="009F18B6"/>
    <w:rsid w:val="009F373D"/>
    <w:rsid w:val="009F3DF7"/>
    <w:rsid w:val="009F4FF1"/>
    <w:rsid w:val="009F7377"/>
    <w:rsid w:val="009F7F3E"/>
    <w:rsid w:val="00A11160"/>
    <w:rsid w:val="00A1717D"/>
    <w:rsid w:val="00A1769E"/>
    <w:rsid w:val="00A214D1"/>
    <w:rsid w:val="00A2188D"/>
    <w:rsid w:val="00A22602"/>
    <w:rsid w:val="00A229EF"/>
    <w:rsid w:val="00A2369B"/>
    <w:rsid w:val="00A252F8"/>
    <w:rsid w:val="00A26CAA"/>
    <w:rsid w:val="00A32287"/>
    <w:rsid w:val="00A323F7"/>
    <w:rsid w:val="00A32D6F"/>
    <w:rsid w:val="00A360F4"/>
    <w:rsid w:val="00A41266"/>
    <w:rsid w:val="00A41520"/>
    <w:rsid w:val="00A42A73"/>
    <w:rsid w:val="00A43F32"/>
    <w:rsid w:val="00A46103"/>
    <w:rsid w:val="00A46BBC"/>
    <w:rsid w:val="00A502B9"/>
    <w:rsid w:val="00A514DA"/>
    <w:rsid w:val="00A5351E"/>
    <w:rsid w:val="00A54324"/>
    <w:rsid w:val="00A55225"/>
    <w:rsid w:val="00A56A25"/>
    <w:rsid w:val="00A5788F"/>
    <w:rsid w:val="00A57D3A"/>
    <w:rsid w:val="00A6121C"/>
    <w:rsid w:val="00A613B1"/>
    <w:rsid w:val="00A61FEA"/>
    <w:rsid w:val="00A63757"/>
    <w:rsid w:val="00A63F63"/>
    <w:rsid w:val="00A64615"/>
    <w:rsid w:val="00A64F4E"/>
    <w:rsid w:val="00A652BE"/>
    <w:rsid w:val="00A67D4B"/>
    <w:rsid w:val="00A701B9"/>
    <w:rsid w:val="00A72438"/>
    <w:rsid w:val="00A74341"/>
    <w:rsid w:val="00A7570B"/>
    <w:rsid w:val="00A77F9E"/>
    <w:rsid w:val="00A81EB5"/>
    <w:rsid w:val="00A84A9D"/>
    <w:rsid w:val="00A86DC2"/>
    <w:rsid w:val="00A9060D"/>
    <w:rsid w:val="00A906EA"/>
    <w:rsid w:val="00A92AD3"/>
    <w:rsid w:val="00A94001"/>
    <w:rsid w:val="00A941B2"/>
    <w:rsid w:val="00A945AA"/>
    <w:rsid w:val="00A95CA2"/>
    <w:rsid w:val="00A97F38"/>
    <w:rsid w:val="00AA1685"/>
    <w:rsid w:val="00AA1E9C"/>
    <w:rsid w:val="00AA373D"/>
    <w:rsid w:val="00AA4749"/>
    <w:rsid w:val="00AA56D9"/>
    <w:rsid w:val="00AA6F6C"/>
    <w:rsid w:val="00AA7C70"/>
    <w:rsid w:val="00AA7E16"/>
    <w:rsid w:val="00AA7E17"/>
    <w:rsid w:val="00AB04AA"/>
    <w:rsid w:val="00AB0A99"/>
    <w:rsid w:val="00AB4B0E"/>
    <w:rsid w:val="00AB6149"/>
    <w:rsid w:val="00AB6EF9"/>
    <w:rsid w:val="00AB70CA"/>
    <w:rsid w:val="00AB7CE1"/>
    <w:rsid w:val="00AC29AE"/>
    <w:rsid w:val="00AC2E52"/>
    <w:rsid w:val="00AC45CA"/>
    <w:rsid w:val="00AC6B01"/>
    <w:rsid w:val="00AD03AC"/>
    <w:rsid w:val="00AD20B1"/>
    <w:rsid w:val="00AD2BA7"/>
    <w:rsid w:val="00AD37E5"/>
    <w:rsid w:val="00AD3E72"/>
    <w:rsid w:val="00AD4109"/>
    <w:rsid w:val="00AD4224"/>
    <w:rsid w:val="00AE03A8"/>
    <w:rsid w:val="00AE3DBA"/>
    <w:rsid w:val="00AE4C02"/>
    <w:rsid w:val="00AE4C65"/>
    <w:rsid w:val="00AE62F6"/>
    <w:rsid w:val="00AE72A7"/>
    <w:rsid w:val="00AE76F8"/>
    <w:rsid w:val="00AE7CC9"/>
    <w:rsid w:val="00AE7F2D"/>
    <w:rsid w:val="00AF122D"/>
    <w:rsid w:val="00AF205F"/>
    <w:rsid w:val="00AF2652"/>
    <w:rsid w:val="00B007FF"/>
    <w:rsid w:val="00B00B95"/>
    <w:rsid w:val="00B05B7C"/>
    <w:rsid w:val="00B06752"/>
    <w:rsid w:val="00B069B9"/>
    <w:rsid w:val="00B10CA6"/>
    <w:rsid w:val="00B157E8"/>
    <w:rsid w:val="00B15E55"/>
    <w:rsid w:val="00B16238"/>
    <w:rsid w:val="00B1661B"/>
    <w:rsid w:val="00B16781"/>
    <w:rsid w:val="00B17D41"/>
    <w:rsid w:val="00B21628"/>
    <w:rsid w:val="00B22689"/>
    <w:rsid w:val="00B227E1"/>
    <w:rsid w:val="00B242B7"/>
    <w:rsid w:val="00B2558A"/>
    <w:rsid w:val="00B255A6"/>
    <w:rsid w:val="00B268AC"/>
    <w:rsid w:val="00B268B3"/>
    <w:rsid w:val="00B26C44"/>
    <w:rsid w:val="00B27B75"/>
    <w:rsid w:val="00B333D2"/>
    <w:rsid w:val="00B36CC0"/>
    <w:rsid w:val="00B37129"/>
    <w:rsid w:val="00B377A8"/>
    <w:rsid w:val="00B4017D"/>
    <w:rsid w:val="00B43419"/>
    <w:rsid w:val="00B44F76"/>
    <w:rsid w:val="00B46C8B"/>
    <w:rsid w:val="00B51773"/>
    <w:rsid w:val="00B51ADE"/>
    <w:rsid w:val="00B53FC8"/>
    <w:rsid w:val="00B54BCE"/>
    <w:rsid w:val="00B57E8F"/>
    <w:rsid w:val="00B6383C"/>
    <w:rsid w:val="00B63D77"/>
    <w:rsid w:val="00B6400A"/>
    <w:rsid w:val="00B64533"/>
    <w:rsid w:val="00B64C37"/>
    <w:rsid w:val="00B665DC"/>
    <w:rsid w:val="00B66750"/>
    <w:rsid w:val="00B67536"/>
    <w:rsid w:val="00B705B0"/>
    <w:rsid w:val="00B70BF5"/>
    <w:rsid w:val="00B71558"/>
    <w:rsid w:val="00B740A1"/>
    <w:rsid w:val="00B7441B"/>
    <w:rsid w:val="00B752DF"/>
    <w:rsid w:val="00B75595"/>
    <w:rsid w:val="00B76D95"/>
    <w:rsid w:val="00B80A0C"/>
    <w:rsid w:val="00B822B3"/>
    <w:rsid w:val="00B83C35"/>
    <w:rsid w:val="00B91803"/>
    <w:rsid w:val="00B935D7"/>
    <w:rsid w:val="00B944AE"/>
    <w:rsid w:val="00B970FF"/>
    <w:rsid w:val="00B97206"/>
    <w:rsid w:val="00B975A9"/>
    <w:rsid w:val="00BA19E7"/>
    <w:rsid w:val="00BA2F67"/>
    <w:rsid w:val="00BA3B0E"/>
    <w:rsid w:val="00BA473D"/>
    <w:rsid w:val="00BA7BC8"/>
    <w:rsid w:val="00BB1D25"/>
    <w:rsid w:val="00BB30D5"/>
    <w:rsid w:val="00BB3901"/>
    <w:rsid w:val="00BC0770"/>
    <w:rsid w:val="00BC3AD4"/>
    <w:rsid w:val="00BC47A5"/>
    <w:rsid w:val="00BC5702"/>
    <w:rsid w:val="00BC6BCC"/>
    <w:rsid w:val="00BC78F7"/>
    <w:rsid w:val="00BC7F54"/>
    <w:rsid w:val="00BD3EB5"/>
    <w:rsid w:val="00BD54F2"/>
    <w:rsid w:val="00BD5AB0"/>
    <w:rsid w:val="00BE1B19"/>
    <w:rsid w:val="00BE2035"/>
    <w:rsid w:val="00BE3A47"/>
    <w:rsid w:val="00BF1860"/>
    <w:rsid w:val="00BF41A9"/>
    <w:rsid w:val="00BF5D88"/>
    <w:rsid w:val="00C015D3"/>
    <w:rsid w:val="00C03A3C"/>
    <w:rsid w:val="00C04D0A"/>
    <w:rsid w:val="00C0761A"/>
    <w:rsid w:val="00C10304"/>
    <w:rsid w:val="00C11E2B"/>
    <w:rsid w:val="00C13AD8"/>
    <w:rsid w:val="00C174E8"/>
    <w:rsid w:val="00C200D9"/>
    <w:rsid w:val="00C21BD5"/>
    <w:rsid w:val="00C24336"/>
    <w:rsid w:val="00C25055"/>
    <w:rsid w:val="00C26B0D"/>
    <w:rsid w:val="00C306A2"/>
    <w:rsid w:val="00C332BC"/>
    <w:rsid w:val="00C342F7"/>
    <w:rsid w:val="00C36B99"/>
    <w:rsid w:val="00C37143"/>
    <w:rsid w:val="00C377D7"/>
    <w:rsid w:val="00C42FEF"/>
    <w:rsid w:val="00C51B80"/>
    <w:rsid w:val="00C524BB"/>
    <w:rsid w:val="00C5357E"/>
    <w:rsid w:val="00C53C77"/>
    <w:rsid w:val="00C54108"/>
    <w:rsid w:val="00C55329"/>
    <w:rsid w:val="00C5785E"/>
    <w:rsid w:val="00C60156"/>
    <w:rsid w:val="00C60E60"/>
    <w:rsid w:val="00C73442"/>
    <w:rsid w:val="00C74091"/>
    <w:rsid w:val="00C76300"/>
    <w:rsid w:val="00C763FB"/>
    <w:rsid w:val="00C77D66"/>
    <w:rsid w:val="00C80B08"/>
    <w:rsid w:val="00C82A73"/>
    <w:rsid w:val="00C8586F"/>
    <w:rsid w:val="00C85A55"/>
    <w:rsid w:val="00C90BA2"/>
    <w:rsid w:val="00C90ED6"/>
    <w:rsid w:val="00C9111F"/>
    <w:rsid w:val="00C93E27"/>
    <w:rsid w:val="00C94769"/>
    <w:rsid w:val="00C95036"/>
    <w:rsid w:val="00C96042"/>
    <w:rsid w:val="00C969AA"/>
    <w:rsid w:val="00C96EA8"/>
    <w:rsid w:val="00C9766D"/>
    <w:rsid w:val="00CA10E6"/>
    <w:rsid w:val="00CA1680"/>
    <w:rsid w:val="00CA23F7"/>
    <w:rsid w:val="00CA27B2"/>
    <w:rsid w:val="00CA4042"/>
    <w:rsid w:val="00CA53C5"/>
    <w:rsid w:val="00CA662B"/>
    <w:rsid w:val="00CB0971"/>
    <w:rsid w:val="00CB09D0"/>
    <w:rsid w:val="00CB1857"/>
    <w:rsid w:val="00CB20FD"/>
    <w:rsid w:val="00CB4207"/>
    <w:rsid w:val="00CB48F5"/>
    <w:rsid w:val="00CB6D8B"/>
    <w:rsid w:val="00CC0D24"/>
    <w:rsid w:val="00CC301C"/>
    <w:rsid w:val="00CC4231"/>
    <w:rsid w:val="00CC460B"/>
    <w:rsid w:val="00CD1588"/>
    <w:rsid w:val="00CD39CB"/>
    <w:rsid w:val="00CD6482"/>
    <w:rsid w:val="00CE2AEB"/>
    <w:rsid w:val="00CE2FE3"/>
    <w:rsid w:val="00CE450C"/>
    <w:rsid w:val="00CE45D7"/>
    <w:rsid w:val="00CE4953"/>
    <w:rsid w:val="00CE656C"/>
    <w:rsid w:val="00CF3B1D"/>
    <w:rsid w:val="00CF5531"/>
    <w:rsid w:val="00CF70FD"/>
    <w:rsid w:val="00CF7F44"/>
    <w:rsid w:val="00D002F9"/>
    <w:rsid w:val="00D035B7"/>
    <w:rsid w:val="00D0741E"/>
    <w:rsid w:val="00D07C3D"/>
    <w:rsid w:val="00D14B3A"/>
    <w:rsid w:val="00D14EA1"/>
    <w:rsid w:val="00D16C33"/>
    <w:rsid w:val="00D17ECC"/>
    <w:rsid w:val="00D20F09"/>
    <w:rsid w:val="00D222C7"/>
    <w:rsid w:val="00D24F6C"/>
    <w:rsid w:val="00D2693D"/>
    <w:rsid w:val="00D3284D"/>
    <w:rsid w:val="00D35EB4"/>
    <w:rsid w:val="00D36947"/>
    <w:rsid w:val="00D4079E"/>
    <w:rsid w:val="00D40921"/>
    <w:rsid w:val="00D42016"/>
    <w:rsid w:val="00D423DB"/>
    <w:rsid w:val="00D42E77"/>
    <w:rsid w:val="00D43527"/>
    <w:rsid w:val="00D45B60"/>
    <w:rsid w:val="00D45F95"/>
    <w:rsid w:val="00D52043"/>
    <w:rsid w:val="00D642FA"/>
    <w:rsid w:val="00D649E8"/>
    <w:rsid w:val="00D67620"/>
    <w:rsid w:val="00D70436"/>
    <w:rsid w:val="00D7380A"/>
    <w:rsid w:val="00D74C14"/>
    <w:rsid w:val="00D755FB"/>
    <w:rsid w:val="00D76CD3"/>
    <w:rsid w:val="00D76D4B"/>
    <w:rsid w:val="00D77B4E"/>
    <w:rsid w:val="00D803E2"/>
    <w:rsid w:val="00D845B3"/>
    <w:rsid w:val="00D8569B"/>
    <w:rsid w:val="00D85A98"/>
    <w:rsid w:val="00D87C69"/>
    <w:rsid w:val="00D9001A"/>
    <w:rsid w:val="00D90E8D"/>
    <w:rsid w:val="00D92947"/>
    <w:rsid w:val="00DA3CB6"/>
    <w:rsid w:val="00DA5EC5"/>
    <w:rsid w:val="00DA751F"/>
    <w:rsid w:val="00DB19F7"/>
    <w:rsid w:val="00DB2269"/>
    <w:rsid w:val="00DB2B90"/>
    <w:rsid w:val="00DB2C75"/>
    <w:rsid w:val="00DB574A"/>
    <w:rsid w:val="00DB7E85"/>
    <w:rsid w:val="00DC03E9"/>
    <w:rsid w:val="00DC1459"/>
    <w:rsid w:val="00DD044E"/>
    <w:rsid w:val="00DD1B86"/>
    <w:rsid w:val="00DD3B45"/>
    <w:rsid w:val="00DD4A02"/>
    <w:rsid w:val="00DD5145"/>
    <w:rsid w:val="00DD6032"/>
    <w:rsid w:val="00DD6EDC"/>
    <w:rsid w:val="00DD743A"/>
    <w:rsid w:val="00DE2DD5"/>
    <w:rsid w:val="00DE326A"/>
    <w:rsid w:val="00DE36E3"/>
    <w:rsid w:val="00DE4C21"/>
    <w:rsid w:val="00DF2673"/>
    <w:rsid w:val="00DF3932"/>
    <w:rsid w:val="00DF3DAF"/>
    <w:rsid w:val="00DF403D"/>
    <w:rsid w:val="00DF526C"/>
    <w:rsid w:val="00DF5657"/>
    <w:rsid w:val="00DF56D2"/>
    <w:rsid w:val="00DF6C93"/>
    <w:rsid w:val="00E00009"/>
    <w:rsid w:val="00E049FB"/>
    <w:rsid w:val="00E05E6B"/>
    <w:rsid w:val="00E06D01"/>
    <w:rsid w:val="00E06F16"/>
    <w:rsid w:val="00E07C53"/>
    <w:rsid w:val="00E10452"/>
    <w:rsid w:val="00E10E3F"/>
    <w:rsid w:val="00E11853"/>
    <w:rsid w:val="00E11A17"/>
    <w:rsid w:val="00E11DC7"/>
    <w:rsid w:val="00E12BAB"/>
    <w:rsid w:val="00E1645C"/>
    <w:rsid w:val="00E20430"/>
    <w:rsid w:val="00E21C63"/>
    <w:rsid w:val="00E248A7"/>
    <w:rsid w:val="00E310B1"/>
    <w:rsid w:val="00E32BD2"/>
    <w:rsid w:val="00E33B8C"/>
    <w:rsid w:val="00E355FA"/>
    <w:rsid w:val="00E367BE"/>
    <w:rsid w:val="00E37A46"/>
    <w:rsid w:val="00E40FA3"/>
    <w:rsid w:val="00E43889"/>
    <w:rsid w:val="00E43F21"/>
    <w:rsid w:val="00E51CEB"/>
    <w:rsid w:val="00E53D3C"/>
    <w:rsid w:val="00E546E4"/>
    <w:rsid w:val="00E54B1B"/>
    <w:rsid w:val="00E55E3E"/>
    <w:rsid w:val="00E57768"/>
    <w:rsid w:val="00E601A5"/>
    <w:rsid w:val="00E607D0"/>
    <w:rsid w:val="00E7121C"/>
    <w:rsid w:val="00E724E2"/>
    <w:rsid w:val="00E767B1"/>
    <w:rsid w:val="00E80561"/>
    <w:rsid w:val="00E80806"/>
    <w:rsid w:val="00E80E3F"/>
    <w:rsid w:val="00E82962"/>
    <w:rsid w:val="00E8561F"/>
    <w:rsid w:val="00E90009"/>
    <w:rsid w:val="00E915D7"/>
    <w:rsid w:val="00E91D53"/>
    <w:rsid w:val="00E93003"/>
    <w:rsid w:val="00E95B96"/>
    <w:rsid w:val="00E965B4"/>
    <w:rsid w:val="00EA1D0E"/>
    <w:rsid w:val="00EA2040"/>
    <w:rsid w:val="00EA28D2"/>
    <w:rsid w:val="00EA3831"/>
    <w:rsid w:val="00EA3DDC"/>
    <w:rsid w:val="00EA4A6C"/>
    <w:rsid w:val="00EA4FA3"/>
    <w:rsid w:val="00EA5739"/>
    <w:rsid w:val="00EA79DC"/>
    <w:rsid w:val="00EB1A81"/>
    <w:rsid w:val="00EB2C39"/>
    <w:rsid w:val="00EB2DC1"/>
    <w:rsid w:val="00EB32AE"/>
    <w:rsid w:val="00EB3430"/>
    <w:rsid w:val="00EB5E00"/>
    <w:rsid w:val="00EB5FF4"/>
    <w:rsid w:val="00EB6BC5"/>
    <w:rsid w:val="00EB7300"/>
    <w:rsid w:val="00EC0D8E"/>
    <w:rsid w:val="00EC106E"/>
    <w:rsid w:val="00EC3F0A"/>
    <w:rsid w:val="00EC3F47"/>
    <w:rsid w:val="00EC5527"/>
    <w:rsid w:val="00EC6C18"/>
    <w:rsid w:val="00ED1657"/>
    <w:rsid w:val="00ED1A36"/>
    <w:rsid w:val="00ED1A49"/>
    <w:rsid w:val="00ED30BD"/>
    <w:rsid w:val="00ED4AF3"/>
    <w:rsid w:val="00ED6398"/>
    <w:rsid w:val="00ED64B1"/>
    <w:rsid w:val="00ED6C10"/>
    <w:rsid w:val="00ED765D"/>
    <w:rsid w:val="00EE28C1"/>
    <w:rsid w:val="00EE365B"/>
    <w:rsid w:val="00EF0A3A"/>
    <w:rsid w:val="00EF0AEF"/>
    <w:rsid w:val="00EF129C"/>
    <w:rsid w:val="00EF296D"/>
    <w:rsid w:val="00EF4877"/>
    <w:rsid w:val="00EF5788"/>
    <w:rsid w:val="00EF6071"/>
    <w:rsid w:val="00EF6C8B"/>
    <w:rsid w:val="00F012F7"/>
    <w:rsid w:val="00F05715"/>
    <w:rsid w:val="00F062A3"/>
    <w:rsid w:val="00F1031B"/>
    <w:rsid w:val="00F1392D"/>
    <w:rsid w:val="00F17D46"/>
    <w:rsid w:val="00F20FCC"/>
    <w:rsid w:val="00F23E09"/>
    <w:rsid w:val="00F240DC"/>
    <w:rsid w:val="00F24678"/>
    <w:rsid w:val="00F300A2"/>
    <w:rsid w:val="00F31A81"/>
    <w:rsid w:val="00F342CE"/>
    <w:rsid w:val="00F40298"/>
    <w:rsid w:val="00F411FA"/>
    <w:rsid w:val="00F42623"/>
    <w:rsid w:val="00F45917"/>
    <w:rsid w:val="00F46014"/>
    <w:rsid w:val="00F47098"/>
    <w:rsid w:val="00F5012D"/>
    <w:rsid w:val="00F501AF"/>
    <w:rsid w:val="00F515F8"/>
    <w:rsid w:val="00F51F65"/>
    <w:rsid w:val="00F52415"/>
    <w:rsid w:val="00F52433"/>
    <w:rsid w:val="00F52963"/>
    <w:rsid w:val="00F53486"/>
    <w:rsid w:val="00F534F5"/>
    <w:rsid w:val="00F53E8C"/>
    <w:rsid w:val="00F54354"/>
    <w:rsid w:val="00F551FD"/>
    <w:rsid w:val="00F55285"/>
    <w:rsid w:val="00F5796C"/>
    <w:rsid w:val="00F57D31"/>
    <w:rsid w:val="00F6120D"/>
    <w:rsid w:val="00F63E9C"/>
    <w:rsid w:val="00F66D93"/>
    <w:rsid w:val="00F66DFD"/>
    <w:rsid w:val="00F701EB"/>
    <w:rsid w:val="00F724FF"/>
    <w:rsid w:val="00F72A76"/>
    <w:rsid w:val="00F73006"/>
    <w:rsid w:val="00F76F2B"/>
    <w:rsid w:val="00F77EF2"/>
    <w:rsid w:val="00F8011E"/>
    <w:rsid w:val="00F80EC1"/>
    <w:rsid w:val="00F83318"/>
    <w:rsid w:val="00F83C59"/>
    <w:rsid w:val="00F842FE"/>
    <w:rsid w:val="00F84330"/>
    <w:rsid w:val="00F84AB6"/>
    <w:rsid w:val="00F857D6"/>
    <w:rsid w:val="00F86995"/>
    <w:rsid w:val="00F90D8D"/>
    <w:rsid w:val="00F91748"/>
    <w:rsid w:val="00F9550D"/>
    <w:rsid w:val="00F96F55"/>
    <w:rsid w:val="00FA0F8D"/>
    <w:rsid w:val="00FA222E"/>
    <w:rsid w:val="00FA24F9"/>
    <w:rsid w:val="00FA2A52"/>
    <w:rsid w:val="00FA4FCC"/>
    <w:rsid w:val="00FA56BB"/>
    <w:rsid w:val="00FA5CA1"/>
    <w:rsid w:val="00FA6455"/>
    <w:rsid w:val="00FA68B5"/>
    <w:rsid w:val="00FA7686"/>
    <w:rsid w:val="00FA7A8F"/>
    <w:rsid w:val="00FB2E56"/>
    <w:rsid w:val="00FB3FEB"/>
    <w:rsid w:val="00FB40FB"/>
    <w:rsid w:val="00FB770F"/>
    <w:rsid w:val="00FC050D"/>
    <w:rsid w:val="00FC275D"/>
    <w:rsid w:val="00FC3183"/>
    <w:rsid w:val="00FC3B1B"/>
    <w:rsid w:val="00FC4FCC"/>
    <w:rsid w:val="00FC6081"/>
    <w:rsid w:val="00FD15FE"/>
    <w:rsid w:val="00FD1824"/>
    <w:rsid w:val="00FD5ED2"/>
    <w:rsid w:val="00FE02E2"/>
    <w:rsid w:val="00FE0EED"/>
    <w:rsid w:val="00FF1425"/>
    <w:rsid w:val="00FF2851"/>
    <w:rsid w:val="00FF5CA4"/>
    <w:rsid w:val="00FF6512"/>
    <w:rsid w:val="00FF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E9D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486"/>
    <w:pPr>
      <w:widowControl w:val="0"/>
      <w:autoSpaceDE w:val="0"/>
      <w:autoSpaceDN w:val="0"/>
      <w:adjustRightInd w:val="0"/>
    </w:pPr>
    <w:rPr>
      <w:sz w:val="24"/>
      <w:szCs w:val="24"/>
    </w:rPr>
  </w:style>
  <w:style w:type="paragraph" w:styleId="Heading2">
    <w:name w:val="heading 2"/>
    <w:basedOn w:val="Normal"/>
    <w:qFormat/>
    <w:rsid w:val="004B05F7"/>
    <w:pPr>
      <w:widowControl/>
      <w:autoSpaceDE/>
      <w:autoSpaceDN/>
      <w:adjustRightInd/>
      <w:spacing w:before="100" w:beforeAutospacing="1" w:after="100" w:afterAutospacing="1"/>
      <w:outlineLvl w:val="1"/>
    </w:pPr>
    <w:rPr>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487256"/>
    <w:rPr>
      <w:rFonts w:ascii="Times New Roman" w:hAnsi="Times New Roman"/>
      <w:b/>
      <w:sz w:val="26"/>
      <w:szCs w:val="26"/>
      <w:vertAlign w:val="superscript"/>
    </w:rPr>
  </w:style>
  <w:style w:type="paragraph" w:styleId="FootnoteText">
    <w:name w:val="footnote text"/>
    <w:aliases w:val="Footnote Text Char,fn,Footnote Text Char1,Footnote Text Char Char,Footnote Text Char1 Char,Footnote Text Char Char Char, Char,Footnote Text Char Char1,Char,Footnote Text Char1 Char Char Char1,Footnote Text Char Char Char Char Char1,ft"/>
    <w:basedOn w:val="Normal"/>
    <w:link w:val="FootnoteTextChar2"/>
    <w:rsid w:val="00487256"/>
    <w:pPr>
      <w:spacing w:after="260"/>
      <w:ind w:firstLine="720"/>
    </w:pPr>
    <w:rPr>
      <w:szCs w:val="20"/>
    </w:rPr>
  </w:style>
  <w:style w:type="paragraph" w:styleId="Footer">
    <w:name w:val="footer"/>
    <w:basedOn w:val="Normal"/>
    <w:rsid w:val="00F53486"/>
    <w:pPr>
      <w:tabs>
        <w:tab w:val="center" w:pos="4320"/>
        <w:tab w:val="right" w:pos="8640"/>
      </w:tabs>
    </w:pPr>
  </w:style>
  <w:style w:type="character" w:styleId="PageNumber">
    <w:name w:val="page number"/>
    <w:basedOn w:val="DefaultParagraphFont"/>
    <w:rsid w:val="00F53486"/>
  </w:style>
  <w:style w:type="table" w:styleId="TableGrid">
    <w:name w:val="Table Grid"/>
    <w:basedOn w:val="TableNormal"/>
    <w:rsid w:val="00F5348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rmat">
    <w:name w:val="Legal Format"/>
    <w:basedOn w:val="ListContinue"/>
    <w:autoRedefine/>
    <w:rsid w:val="00F53486"/>
    <w:pPr>
      <w:widowControl/>
      <w:tabs>
        <w:tab w:val="num" w:pos="0"/>
      </w:tabs>
      <w:autoSpaceDE/>
      <w:autoSpaceDN/>
      <w:adjustRightInd/>
      <w:spacing w:after="0"/>
      <w:ind w:left="0" w:hanging="18"/>
    </w:pPr>
    <w:rPr>
      <w:sz w:val="26"/>
      <w:szCs w:val="26"/>
    </w:rPr>
  </w:style>
  <w:style w:type="paragraph" w:styleId="ListContinue">
    <w:name w:val="List Continue"/>
    <w:basedOn w:val="Normal"/>
    <w:rsid w:val="00F53486"/>
    <w:pPr>
      <w:spacing w:after="120"/>
      <w:ind w:left="360"/>
    </w:pPr>
  </w:style>
  <w:style w:type="character" w:styleId="Hyperlink">
    <w:name w:val="Hyperlink"/>
    <w:rsid w:val="004B05F7"/>
    <w:rPr>
      <w:strike w:val="0"/>
      <w:dstrike w:val="0"/>
      <w:color w:val="000080"/>
      <w:u w:val="none"/>
      <w:effect w:val="none"/>
    </w:rPr>
  </w:style>
  <w:style w:type="character" w:styleId="Emphasis">
    <w:name w:val="Emphasis"/>
    <w:qFormat/>
    <w:rsid w:val="004B05F7"/>
    <w:rPr>
      <w:i/>
      <w:iCs/>
    </w:rPr>
  </w:style>
  <w:style w:type="paragraph" w:styleId="NormalWeb">
    <w:name w:val="Normal (Web)"/>
    <w:basedOn w:val="Normal"/>
    <w:rsid w:val="004B05F7"/>
    <w:pPr>
      <w:widowControl/>
      <w:autoSpaceDE/>
      <w:autoSpaceDN/>
      <w:adjustRightInd/>
      <w:spacing w:before="100" w:beforeAutospacing="1" w:after="100" w:afterAutospacing="1"/>
    </w:pPr>
  </w:style>
  <w:style w:type="character" w:customStyle="1" w:styleId="srchlead">
    <w:name w:val="srchlead"/>
    <w:rsid w:val="004B05F7"/>
    <w:rPr>
      <w:b w:val="0"/>
      <w:bCs w:val="0"/>
      <w:i/>
      <w:iCs/>
    </w:rPr>
  </w:style>
  <w:style w:type="character" w:customStyle="1" w:styleId="searchbox">
    <w:name w:val="searchbox"/>
    <w:rsid w:val="004B05F7"/>
    <w:rPr>
      <w:b w:val="0"/>
      <w:bCs w:val="0"/>
    </w:rPr>
  </w:style>
  <w:style w:type="paragraph" w:styleId="z-TopofForm">
    <w:name w:val="HTML Top of Form"/>
    <w:basedOn w:val="Normal"/>
    <w:next w:val="Normal"/>
    <w:hidden/>
    <w:rsid w:val="004B05F7"/>
    <w:pPr>
      <w:widowControl/>
      <w:pBdr>
        <w:bottom w:val="single" w:sz="6" w:space="1" w:color="auto"/>
      </w:pBdr>
      <w:autoSpaceDE/>
      <w:autoSpaceDN/>
      <w:adjustRightInd/>
      <w:jc w:val="center"/>
    </w:pPr>
    <w:rPr>
      <w:rFonts w:ascii="Arial" w:hAnsi="Arial" w:cs="Arial"/>
      <w:vanish/>
      <w:sz w:val="16"/>
      <w:szCs w:val="16"/>
    </w:rPr>
  </w:style>
  <w:style w:type="paragraph" w:styleId="z-BottomofForm">
    <w:name w:val="HTML Bottom of Form"/>
    <w:basedOn w:val="Normal"/>
    <w:next w:val="Normal"/>
    <w:hidden/>
    <w:rsid w:val="004B05F7"/>
    <w:pPr>
      <w:widowControl/>
      <w:pBdr>
        <w:top w:val="single" w:sz="6" w:space="1" w:color="auto"/>
      </w:pBdr>
      <w:autoSpaceDE/>
      <w:autoSpaceDN/>
      <w:adjustRightInd/>
      <w:jc w:val="center"/>
    </w:pPr>
    <w:rPr>
      <w:rFonts w:ascii="Arial" w:hAnsi="Arial" w:cs="Arial"/>
      <w:vanish/>
      <w:sz w:val="16"/>
      <w:szCs w:val="16"/>
    </w:rPr>
  </w:style>
  <w:style w:type="character" w:customStyle="1" w:styleId="topicref">
    <w:name w:val="topicref"/>
    <w:rsid w:val="004B05F7"/>
    <w:rPr>
      <w:b w:val="0"/>
      <w:bCs w:val="0"/>
    </w:rPr>
  </w:style>
  <w:style w:type="character" w:customStyle="1" w:styleId="ptext-1">
    <w:name w:val="ptext-1"/>
    <w:rsid w:val="004B05F7"/>
    <w:rPr>
      <w:b w:val="0"/>
      <w:bCs w:val="0"/>
    </w:rPr>
  </w:style>
  <w:style w:type="character" w:customStyle="1" w:styleId="ptext-2">
    <w:name w:val="ptext-2"/>
    <w:rsid w:val="004B05F7"/>
    <w:rPr>
      <w:b w:val="0"/>
      <w:bCs w:val="0"/>
    </w:rPr>
  </w:style>
  <w:style w:type="character" w:customStyle="1" w:styleId="ptext-3">
    <w:name w:val="ptext-3"/>
    <w:rsid w:val="004B05F7"/>
    <w:rPr>
      <w:b w:val="0"/>
      <w:bCs w:val="0"/>
    </w:rPr>
  </w:style>
  <w:style w:type="character" w:customStyle="1" w:styleId="ptext-4">
    <w:name w:val="ptext-4"/>
    <w:rsid w:val="004B05F7"/>
    <w:rPr>
      <w:b w:val="0"/>
      <w:bCs w:val="0"/>
    </w:rPr>
  </w:style>
  <w:style w:type="character" w:customStyle="1" w:styleId="enumbell">
    <w:name w:val="enumbell"/>
    <w:rsid w:val="004B05F7"/>
    <w:rPr>
      <w:b/>
      <w:bCs/>
    </w:rPr>
  </w:style>
  <w:style w:type="character" w:customStyle="1" w:styleId="enumlstr">
    <w:name w:val="enumlstr"/>
    <w:rsid w:val="004B05F7"/>
    <w:rPr>
      <w:b/>
      <w:bCs/>
      <w:color w:val="000066"/>
    </w:rPr>
  </w:style>
  <w:style w:type="character" w:customStyle="1" w:styleId="ptext-5">
    <w:name w:val="ptext-5"/>
    <w:rsid w:val="004B05F7"/>
    <w:rPr>
      <w:b w:val="0"/>
      <w:bCs w:val="0"/>
    </w:rPr>
  </w:style>
  <w:style w:type="paragraph" w:styleId="HTMLPreformatted">
    <w:name w:val="HTML Preformatted"/>
    <w:basedOn w:val="Normal"/>
    <w:rsid w:val="004B0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ypertext">
    <w:name w:val="Hypertext"/>
    <w:rsid w:val="004B05F7"/>
    <w:rPr>
      <w:color w:val="0000FF"/>
      <w:u w:val="single"/>
    </w:rPr>
  </w:style>
  <w:style w:type="paragraph" w:styleId="Header">
    <w:name w:val="header"/>
    <w:basedOn w:val="Normal"/>
    <w:rsid w:val="004B05F7"/>
    <w:pPr>
      <w:tabs>
        <w:tab w:val="center" w:pos="4320"/>
        <w:tab w:val="right" w:pos="8640"/>
      </w:tabs>
    </w:pPr>
  </w:style>
  <w:style w:type="paragraph" w:customStyle="1" w:styleId="BodyFootnote">
    <w:name w:val="Body Footnote"/>
    <w:basedOn w:val="FootnoteText"/>
    <w:autoRedefine/>
    <w:rsid w:val="004B05F7"/>
    <w:pPr>
      <w:spacing w:after="0"/>
    </w:pPr>
    <w:rPr>
      <w:sz w:val="26"/>
      <w:szCs w:val="26"/>
    </w:rPr>
  </w:style>
  <w:style w:type="character" w:customStyle="1" w:styleId="Hyperlink6">
    <w:name w:val="Hyperlink6"/>
    <w:rsid w:val="004B05F7"/>
    <w:rPr>
      <w:color w:val="3300CC"/>
      <w:u w:val="single"/>
    </w:rPr>
  </w:style>
  <w:style w:type="character" w:customStyle="1" w:styleId="msoins0">
    <w:name w:val="msoins"/>
    <w:rsid w:val="004B05F7"/>
    <w:rPr>
      <w:color w:val="000080"/>
      <w:u w:val="single"/>
    </w:rPr>
  </w:style>
  <w:style w:type="paragraph" w:customStyle="1" w:styleId="FERCparanumberChar">
    <w:name w:val="FERC paranumber Char"/>
    <w:basedOn w:val="Normal"/>
    <w:rsid w:val="004B05F7"/>
    <w:pPr>
      <w:tabs>
        <w:tab w:val="num" w:pos="720"/>
      </w:tabs>
      <w:spacing w:after="240"/>
    </w:pPr>
    <w:rPr>
      <w:sz w:val="26"/>
      <w:szCs w:val="26"/>
    </w:rPr>
  </w:style>
  <w:style w:type="character" w:customStyle="1" w:styleId="FootnoteTextCharChar1Char">
    <w:name w:val="Footnote Text Char Char1 Char"/>
    <w:aliases w:val="Footnote Text Char Char2,fn Char,Footnote Text Char1 Char1,Footnote Text Char Char Char1,Footnote Text Char1 Char Char,Footnote Text Char Char Char Char, Char Char,Footnote Text Char2 Char,Footnote Text Char1 Char1 Char Cha"/>
    <w:rsid w:val="004B05F7"/>
    <w:rPr>
      <w:sz w:val="26"/>
      <w:lang w:val="en-US" w:eastAsia="en-US" w:bidi="ar-SA"/>
    </w:rPr>
  </w:style>
  <w:style w:type="character" w:customStyle="1" w:styleId="FERCparanumberCharChar">
    <w:name w:val="FERC paranumber Char Char"/>
    <w:rsid w:val="004B05F7"/>
    <w:rPr>
      <w:sz w:val="26"/>
      <w:szCs w:val="26"/>
      <w:lang w:val="en-US" w:eastAsia="en-US" w:bidi="ar-SA"/>
    </w:rPr>
  </w:style>
  <w:style w:type="character" w:styleId="FollowedHyperlink">
    <w:name w:val="FollowedHyperlink"/>
    <w:rsid w:val="004B05F7"/>
    <w:rPr>
      <w:color w:val="800080"/>
      <w:u w:val="single"/>
    </w:rPr>
  </w:style>
  <w:style w:type="character" w:styleId="Strong">
    <w:name w:val="Strong"/>
    <w:qFormat/>
    <w:rsid w:val="00E51CEB"/>
    <w:rPr>
      <w:b/>
      <w:bCs/>
    </w:rPr>
  </w:style>
  <w:style w:type="paragraph" w:customStyle="1" w:styleId="Default">
    <w:name w:val="Default"/>
    <w:rsid w:val="00214318"/>
    <w:pPr>
      <w:autoSpaceDE w:val="0"/>
      <w:autoSpaceDN w:val="0"/>
      <w:adjustRightInd w:val="0"/>
    </w:pPr>
    <w:rPr>
      <w:color w:val="000000"/>
      <w:sz w:val="24"/>
      <w:szCs w:val="24"/>
    </w:rPr>
  </w:style>
  <w:style w:type="paragraph" w:customStyle="1" w:styleId="CCHCHART">
    <w:name w:val="CCHCHART"/>
    <w:rsid w:val="00B91803"/>
    <w:pPr>
      <w:widowControl w:val="0"/>
      <w:autoSpaceDE w:val="0"/>
      <w:autoSpaceDN w:val="0"/>
      <w:adjustRightInd w:val="0"/>
    </w:pPr>
    <w:rPr>
      <w:rFonts w:ascii="Courier New" w:hAnsi="Courier New" w:cs="Courier New"/>
    </w:rPr>
  </w:style>
  <w:style w:type="paragraph" w:styleId="BalloonText">
    <w:name w:val="Balloon Text"/>
    <w:basedOn w:val="Normal"/>
    <w:semiHidden/>
    <w:rsid w:val="00C90ED6"/>
    <w:rPr>
      <w:rFonts w:ascii="Tahoma" w:hAnsi="Tahoma" w:cs="Tahoma"/>
      <w:sz w:val="16"/>
      <w:szCs w:val="16"/>
    </w:rPr>
  </w:style>
  <w:style w:type="character" w:styleId="CommentReference">
    <w:name w:val="annotation reference"/>
    <w:semiHidden/>
    <w:rsid w:val="00A214D1"/>
    <w:rPr>
      <w:sz w:val="16"/>
      <w:szCs w:val="16"/>
    </w:rPr>
  </w:style>
  <w:style w:type="paragraph" w:styleId="CommentText">
    <w:name w:val="annotation text"/>
    <w:basedOn w:val="Normal"/>
    <w:semiHidden/>
    <w:rsid w:val="00A214D1"/>
    <w:rPr>
      <w:sz w:val="20"/>
      <w:szCs w:val="20"/>
    </w:rPr>
  </w:style>
  <w:style w:type="paragraph" w:styleId="CommentSubject">
    <w:name w:val="annotation subject"/>
    <w:basedOn w:val="CommentText"/>
    <w:next w:val="CommentText"/>
    <w:semiHidden/>
    <w:rsid w:val="00A214D1"/>
    <w:rPr>
      <w:b/>
      <w:bCs/>
    </w:rPr>
  </w:style>
  <w:style w:type="paragraph" w:styleId="Revision">
    <w:name w:val="Revision"/>
    <w:hidden/>
    <w:uiPriority w:val="99"/>
    <w:semiHidden/>
    <w:rsid w:val="007129A6"/>
    <w:rPr>
      <w:sz w:val="24"/>
      <w:szCs w:val="24"/>
    </w:rPr>
  </w:style>
  <w:style w:type="character" w:customStyle="1" w:styleId="FootnoteTextChar2">
    <w:name w:val="Footnote Text Char2"/>
    <w:aliases w:val="Footnote Text Char Char3,fn Char1,Footnote Text Char1 Char2,Footnote Text Char Char Char2,Footnote Text Char1 Char Char1,Footnote Text Char Char Char Char1, Char Char1,Footnote Text Char Char1 Char1,Char Char,ft Char"/>
    <w:link w:val="FootnoteText"/>
    <w:uiPriority w:val="99"/>
    <w:locked/>
    <w:rsid w:val="0020642E"/>
    <w:rPr>
      <w:sz w:val="24"/>
    </w:rPr>
  </w:style>
  <w:style w:type="paragraph" w:styleId="BodyText2">
    <w:name w:val="Body Text 2"/>
    <w:basedOn w:val="Normal"/>
    <w:link w:val="BodyText2Char"/>
    <w:uiPriority w:val="99"/>
    <w:rsid w:val="0020642E"/>
    <w:pPr>
      <w:widowControl/>
      <w:autoSpaceDE/>
      <w:autoSpaceDN/>
      <w:adjustRightInd/>
      <w:spacing w:after="120" w:line="480" w:lineRule="auto"/>
    </w:pPr>
    <w:rPr>
      <w:rFonts w:ascii="Calibri" w:eastAsia="Calibri" w:hAnsi="Calibri"/>
      <w:sz w:val="22"/>
      <w:szCs w:val="22"/>
    </w:rPr>
  </w:style>
  <w:style w:type="character" w:customStyle="1" w:styleId="BodyText2Char">
    <w:name w:val="Body Text 2 Char"/>
    <w:link w:val="BodyText2"/>
    <w:uiPriority w:val="99"/>
    <w:rsid w:val="0020642E"/>
    <w:rPr>
      <w:rFonts w:ascii="Calibri" w:eastAsia="Calibri" w:hAnsi="Calibri"/>
      <w:sz w:val="22"/>
      <w:szCs w:val="22"/>
    </w:rPr>
  </w:style>
  <w:style w:type="paragraph" w:styleId="BodyTextIndent2">
    <w:name w:val="Body Text Indent 2"/>
    <w:basedOn w:val="Normal"/>
    <w:link w:val="BodyTextIndent2Char"/>
    <w:uiPriority w:val="99"/>
    <w:unhideWhenUsed/>
    <w:rsid w:val="003E742E"/>
    <w:pPr>
      <w:widowControl/>
      <w:autoSpaceDE/>
      <w:autoSpaceDN/>
      <w:adjustRightInd/>
      <w:spacing w:after="120" w:line="480" w:lineRule="auto"/>
      <w:ind w:left="360"/>
    </w:pPr>
    <w:rPr>
      <w:rFonts w:ascii="Calibri" w:eastAsia="Calibri" w:hAnsi="Calibri"/>
      <w:sz w:val="22"/>
      <w:szCs w:val="22"/>
    </w:rPr>
  </w:style>
  <w:style w:type="character" w:customStyle="1" w:styleId="BodyTextIndent2Char">
    <w:name w:val="Body Text Indent 2 Char"/>
    <w:link w:val="BodyTextIndent2"/>
    <w:uiPriority w:val="99"/>
    <w:rsid w:val="003E742E"/>
    <w:rPr>
      <w:rFonts w:ascii="Calibri" w:eastAsia="Calibri" w:hAnsi="Calibri"/>
      <w:sz w:val="22"/>
      <w:szCs w:val="22"/>
    </w:rPr>
  </w:style>
  <w:style w:type="character" w:customStyle="1" w:styleId="FootnoteTextChar2CharChar">
    <w:name w:val="Footnote Text Char2 Char Char"/>
    <w:aliases w:val="Footnote Text Char Char1 Char Char,Footnote Text Char1 Char Char Char Char,Footnote Text Char Char Char Char Char Char,Footnote Text Char1 Char Char Char Char Char Char Char Char"/>
    <w:rsid w:val="00584833"/>
    <w:rPr>
      <w:sz w:val="22"/>
    </w:rPr>
  </w:style>
  <w:style w:type="paragraph" w:styleId="ListParagraph">
    <w:name w:val="List Paragraph"/>
    <w:basedOn w:val="Normal"/>
    <w:uiPriority w:val="34"/>
    <w:qFormat/>
    <w:rsid w:val="001830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486"/>
    <w:pPr>
      <w:widowControl w:val="0"/>
      <w:autoSpaceDE w:val="0"/>
      <w:autoSpaceDN w:val="0"/>
      <w:adjustRightInd w:val="0"/>
    </w:pPr>
    <w:rPr>
      <w:sz w:val="24"/>
      <w:szCs w:val="24"/>
    </w:rPr>
  </w:style>
  <w:style w:type="paragraph" w:styleId="Heading2">
    <w:name w:val="heading 2"/>
    <w:basedOn w:val="Normal"/>
    <w:qFormat/>
    <w:rsid w:val="004B05F7"/>
    <w:pPr>
      <w:widowControl/>
      <w:autoSpaceDE/>
      <w:autoSpaceDN/>
      <w:adjustRightInd/>
      <w:spacing w:before="100" w:beforeAutospacing="1" w:after="100" w:afterAutospacing="1"/>
      <w:outlineLvl w:val="1"/>
    </w:pPr>
    <w:rPr>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487256"/>
    <w:rPr>
      <w:rFonts w:ascii="Times New Roman" w:hAnsi="Times New Roman"/>
      <w:b/>
      <w:sz w:val="26"/>
      <w:szCs w:val="26"/>
      <w:vertAlign w:val="superscript"/>
    </w:rPr>
  </w:style>
  <w:style w:type="paragraph" w:styleId="FootnoteText">
    <w:name w:val="footnote text"/>
    <w:aliases w:val="Footnote Text Char,fn,Footnote Text Char1,Footnote Text Char Char,Footnote Text Char1 Char,Footnote Text Char Char Char, Char,Footnote Text Char Char1,Char,Footnote Text Char1 Char Char Char1,Footnote Text Char Char Char Char Char1,ft"/>
    <w:basedOn w:val="Normal"/>
    <w:link w:val="FootnoteTextChar2"/>
    <w:rsid w:val="00487256"/>
    <w:pPr>
      <w:spacing w:after="260"/>
      <w:ind w:firstLine="720"/>
    </w:pPr>
    <w:rPr>
      <w:szCs w:val="20"/>
    </w:rPr>
  </w:style>
  <w:style w:type="paragraph" w:styleId="Footer">
    <w:name w:val="footer"/>
    <w:basedOn w:val="Normal"/>
    <w:rsid w:val="00F53486"/>
    <w:pPr>
      <w:tabs>
        <w:tab w:val="center" w:pos="4320"/>
        <w:tab w:val="right" w:pos="8640"/>
      </w:tabs>
    </w:pPr>
  </w:style>
  <w:style w:type="character" w:styleId="PageNumber">
    <w:name w:val="page number"/>
    <w:basedOn w:val="DefaultParagraphFont"/>
    <w:rsid w:val="00F53486"/>
  </w:style>
  <w:style w:type="table" w:styleId="TableGrid">
    <w:name w:val="Table Grid"/>
    <w:basedOn w:val="TableNormal"/>
    <w:rsid w:val="00F5348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rmat">
    <w:name w:val="Legal Format"/>
    <w:basedOn w:val="ListContinue"/>
    <w:autoRedefine/>
    <w:rsid w:val="00F53486"/>
    <w:pPr>
      <w:widowControl/>
      <w:tabs>
        <w:tab w:val="num" w:pos="0"/>
      </w:tabs>
      <w:autoSpaceDE/>
      <w:autoSpaceDN/>
      <w:adjustRightInd/>
      <w:spacing w:after="0"/>
      <w:ind w:left="0" w:hanging="18"/>
    </w:pPr>
    <w:rPr>
      <w:sz w:val="26"/>
      <w:szCs w:val="26"/>
    </w:rPr>
  </w:style>
  <w:style w:type="paragraph" w:styleId="ListContinue">
    <w:name w:val="List Continue"/>
    <w:basedOn w:val="Normal"/>
    <w:rsid w:val="00F53486"/>
    <w:pPr>
      <w:spacing w:after="120"/>
      <w:ind w:left="360"/>
    </w:pPr>
  </w:style>
  <w:style w:type="character" w:styleId="Hyperlink">
    <w:name w:val="Hyperlink"/>
    <w:rsid w:val="004B05F7"/>
    <w:rPr>
      <w:strike w:val="0"/>
      <w:dstrike w:val="0"/>
      <w:color w:val="000080"/>
      <w:u w:val="none"/>
      <w:effect w:val="none"/>
    </w:rPr>
  </w:style>
  <w:style w:type="character" w:styleId="Emphasis">
    <w:name w:val="Emphasis"/>
    <w:qFormat/>
    <w:rsid w:val="004B05F7"/>
    <w:rPr>
      <w:i/>
      <w:iCs/>
    </w:rPr>
  </w:style>
  <w:style w:type="paragraph" w:styleId="NormalWeb">
    <w:name w:val="Normal (Web)"/>
    <w:basedOn w:val="Normal"/>
    <w:rsid w:val="004B05F7"/>
    <w:pPr>
      <w:widowControl/>
      <w:autoSpaceDE/>
      <w:autoSpaceDN/>
      <w:adjustRightInd/>
      <w:spacing w:before="100" w:beforeAutospacing="1" w:after="100" w:afterAutospacing="1"/>
    </w:pPr>
  </w:style>
  <w:style w:type="character" w:customStyle="1" w:styleId="srchlead">
    <w:name w:val="srchlead"/>
    <w:rsid w:val="004B05F7"/>
    <w:rPr>
      <w:b w:val="0"/>
      <w:bCs w:val="0"/>
      <w:i/>
      <w:iCs/>
    </w:rPr>
  </w:style>
  <w:style w:type="character" w:customStyle="1" w:styleId="searchbox">
    <w:name w:val="searchbox"/>
    <w:rsid w:val="004B05F7"/>
    <w:rPr>
      <w:b w:val="0"/>
      <w:bCs w:val="0"/>
    </w:rPr>
  </w:style>
  <w:style w:type="paragraph" w:styleId="z-TopofForm">
    <w:name w:val="HTML Top of Form"/>
    <w:basedOn w:val="Normal"/>
    <w:next w:val="Normal"/>
    <w:hidden/>
    <w:rsid w:val="004B05F7"/>
    <w:pPr>
      <w:widowControl/>
      <w:pBdr>
        <w:bottom w:val="single" w:sz="6" w:space="1" w:color="auto"/>
      </w:pBdr>
      <w:autoSpaceDE/>
      <w:autoSpaceDN/>
      <w:adjustRightInd/>
      <w:jc w:val="center"/>
    </w:pPr>
    <w:rPr>
      <w:rFonts w:ascii="Arial" w:hAnsi="Arial" w:cs="Arial"/>
      <w:vanish/>
      <w:sz w:val="16"/>
      <w:szCs w:val="16"/>
    </w:rPr>
  </w:style>
  <w:style w:type="paragraph" w:styleId="z-BottomofForm">
    <w:name w:val="HTML Bottom of Form"/>
    <w:basedOn w:val="Normal"/>
    <w:next w:val="Normal"/>
    <w:hidden/>
    <w:rsid w:val="004B05F7"/>
    <w:pPr>
      <w:widowControl/>
      <w:pBdr>
        <w:top w:val="single" w:sz="6" w:space="1" w:color="auto"/>
      </w:pBdr>
      <w:autoSpaceDE/>
      <w:autoSpaceDN/>
      <w:adjustRightInd/>
      <w:jc w:val="center"/>
    </w:pPr>
    <w:rPr>
      <w:rFonts w:ascii="Arial" w:hAnsi="Arial" w:cs="Arial"/>
      <w:vanish/>
      <w:sz w:val="16"/>
      <w:szCs w:val="16"/>
    </w:rPr>
  </w:style>
  <w:style w:type="character" w:customStyle="1" w:styleId="topicref">
    <w:name w:val="topicref"/>
    <w:rsid w:val="004B05F7"/>
    <w:rPr>
      <w:b w:val="0"/>
      <w:bCs w:val="0"/>
    </w:rPr>
  </w:style>
  <w:style w:type="character" w:customStyle="1" w:styleId="ptext-1">
    <w:name w:val="ptext-1"/>
    <w:rsid w:val="004B05F7"/>
    <w:rPr>
      <w:b w:val="0"/>
      <w:bCs w:val="0"/>
    </w:rPr>
  </w:style>
  <w:style w:type="character" w:customStyle="1" w:styleId="ptext-2">
    <w:name w:val="ptext-2"/>
    <w:rsid w:val="004B05F7"/>
    <w:rPr>
      <w:b w:val="0"/>
      <w:bCs w:val="0"/>
    </w:rPr>
  </w:style>
  <w:style w:type="character" w:customStyle="1" w:styleId="ptext-3">
    <w:name w:val="ptext-3"/>
    <w:rsid w:val="004B05F7"/>
    <w:rPr>
      <w:b w:val="0"/>
      <w:bCs w:val="0"/>
    </w:rPr>
  </w:style>
  <w:style w:type="character" w:customStyle="1" w:styleId="ptext-4">
    <w:name w:val="ptext-4"/>
    <w:rsid w:val="004B05F7"/>
    <w:rPr>
      <w:b w:val="0"/>
      <w:bCs w:val="0"/>
    </w:rPr>
  </w:style>
  <w:style w:type="character" w:customStyle="1" w:styleId="enumbell">
    <w:name w:val="enumbell"/>
    <w:rsid w:val="004B05F7"/>
    <w:rPr>
      <w:b/>
      <w:bCs/>
    </w:rPr>
  </w:style>
  <w:style w:type="character" w:customStyle="1" w:styleId="enumlstr">
    <w:name w:val="enumlstr"/>
    <w:rsid w:val="004B05F7"/>
    <w:rPr>
      <w:b/>
      <w:bCs/>
      <w:color w:val="000066"/>
    </w:rPr>
  </w:style>
  <w:style w:type="character" w:customStyle="1" w:styleId="ptext-5">
    <w:name w:val="ptext-5"/>
    <w:rsid w:val="004B05F7"/>
    <w:rPr>
      <w:b w:val="0"/>
      <w:bCs w:val="0"/>
    </w:rPr>
  </w:style>
  <w:style w:type="paragraph" w:styleId="HTMLPreformatted">
    <w:name w:val="HTML Preformatted"/>
    <w:basedOn w:val="Normal"/>
    <w:rsid w:val="004B0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ypertext">
    <w:name w:val="Hypertext"/>
    <w:rsid w:val="004B05F7"/>
    <w:rPr>
      <w:color w:val="0000FF"/>
      <w:u w:val="single"/>
    </w:rPr>
  </w:style>
  <w:style w:type="paragraph" w:styleId="Header">
    <w:name w:val="header"/>
    <w:basedOn w:val="Normal"/>
    <w:rsid w:val="004B05F7"/>
    <w:pPr>
      <w:tabs>
        <w:tab w:val="center" w:pos="4320"/>
        <w:tab w:val="right" w:pos="8640"/>
      </w:tabs>
    </w:pPr>
  </w:style>
  <w:style w:type="paragraph" w:customStyle="1" w:styleId="BodyFootnote">
    <w:name w:val="Body Footnote"/>
    <w:basedOn w:val="FootnoteText"/>
    <w:autoRedefine/>
    <w:rsid w:val="004B05F7"/>
    <w:pPr>
      <w:spacing w:after="0"/>
    </w:pPr>
    <w:rPr>
      <w:sz w:val="26"/>
      <w:szCs w:val="26"/>
    </w:rPr>
  </w:style>
  <w:style w:type="character" w:customStyle="1" w:styleId="Hyperlink6">
    <w:name w:val="Hyperlink6"/>
    <w:rsid w:val="004B05F7"/>
    <w:rPr>
      <w:color w:val="3300CC"/>
      <w:u w:val="single"/>
    </w:rPr>
  </w:style>
  <w:style w:type="character" w:customStyle="1" w:styleId="msoins0">
    <w:name w:val="msoins"/>
    <w:rsid w:val="004B05F7"/>
    <w:rPr>
      <w:color w:val="000080"/>
      <w:u w:val="single"/>
    </w:rPr>
  </w:style>
  <w:style w:type="paragraph" w:customStyle="1" w:styleId="FERCparanumberChar">
    <w:name w:val="FERC paranumber Char"/>
    <w:basedOn w:val="Normal"/>
    <w:rsid w:val="004B05F7"/>
    <w:pPr>
      <w:tabs>
        <w:tab w:val="num" w:pos="720"/>
      </w:tabs>
      <w:spacing w:after="240"/>
    </w:pPr>
    <w:rPr>
      <w:sz w:val="26"/>
      <w:szCs w:val="26"/>
    </w:rPr>
  </w:style>
  <w:style w:type="character" w:customStyle="1" w:styleId="FootnoteTextCharChar1Char">
    <w:name w:val="Footnote Text Char Char1 Char"/>
    <w:aliases w:val="Footnote Text Char Char2,fn Char,Footnote Text Char1 Char1,Footnote Text Char Char Char1,Footnote Text Char1 Char Char,Footnote Text Char Char Char Char, Char Char,Footnote Text Char2 Char,Footnote Text Char1 Char1 Char Cha"/>
    <w:rsid w:val="004B05F7"/>
    <w:rPr>
      <w:sz w:val="26"/>
      <w:lang w:val="en-US" w:eastAsia="en-US" w:bidi="ar-SA"/>
    </w:rPr>
  </w:style>
  <w:style w:type="character" w:customStyle="1" w:styleId="FERCparanumberCharChar">
    <w:name w:val="FERC paranumber Char Char"/>
    <w:rsid w:val="004B05F7"/>
    <w:rPr>
      <w:sz w:val="26"/>
      <w:szCs w:val="26"/>
      <w:lang w:val="en-US" w:eastAsia="en-US" w:bidi="ar-SA"/>
    </w:rPr>
  </w:style>
  <w:style w:type="character" w:styleId="FollowedHyperlink">
    <w:name w:val="FollowedHyperlink"/>
    <w:rsid w:val="004B05F7"/>
    <w:rPr>
      <w:color w:val="800080"/>
      <w:u w:val="single"/>
    </w:rPr>
  </w:style>
  <w:style w:type="character" w:styleId="Strong">
    <w:name w:val="Strong"/>
    <w:qFormat/>
    <w:rsid w:val="00E51CEB"/>
    <w:rPr>
      <w:b/>
      <w:bCs/>
    </w:rPr>
  </w:style>
  <w:style w:type="paragraph" w:customStyle="1" w:styleId="Default">
    <w:name w:val="Default"/>
    <w:rsid w:val="00214318"/>
    <w:pPr>
      <w:autoSpaceDE w:val="0"/>
      <w:autoSpaceDN w:val="0"/>
      <w:adjustRightInd w:val="0"/>
    </w:pPr>
    <w:rPr>
      <w:color w:val="000000"/>
      <w:sz w:val="24"/>
      <w:szCs w:val="24"/>
    </w:rPr>
  </w:style>
  <w:style w:type="paragraph" w:customStyle="1" w:styleId="CCHCHART">
    <w:name w:val="CCHCHART"/>
    <w:rsid w:val="00B91803"/>
    <w:pPr>
      <w:widowControl w:val="0"/>
      <w:autoSpaceDE w:val="0"/>
      <w:autoSpaceDN w:val="0"/>
      <w:adjustRightInd w:val="0"/>
    </w:pPr>
    <w:rPr>
      <w:rFonts w:ascii="Courier New" w:hAnsi="Courier New" w:cs="Courier New"/>
    </w:rPr>
  </w:style>
  <w:style w:type="paragraph" w:styleId="BalloonText">
    <w:name w:val="Balloon Text"/>
    <w:basedOn w:val="Normal"/>
    <w:semiHidden/>
    <w:rsid w:val="00C90ED6"/>
    <w:rPr>
      <w:rFonts w:ascii="Tahoma" w:hAnsi="Tahoma" w:cs="Tahoma"/>
      <w:sz w:val="16"/>
      <w:szCs w:val="16"/>
    </w:rPr>
  </w:style>
  <w:style w:type="character" w:styleId="CommentReference">
    <w:name w:val="annotation reference"/>
    <w:semiHidden/>
    <w:rsid w:val="00A214D1"/>
    <w:rPr>
      <w:sz w:val="16"/>
      <w:szCs w:val="16"/>
    </w:rPr>
  </w:style>
  <w:style w:type="paragraph" w:styleId="CommentText">
    <w:name w:val="annotation text"/>
    <w:basedOn w:val="Normal"/>
    <w:semiHidden/>
    <w:rsid w:val="00A214D1"/>
    <w:rPr>
      <w:sz w:val="20"/>
      <w:szCs w:val="20"/>
    </w:rPr>
  </w:style>
  <w:style w:type="paragraph" w:styleId="CommentSubject">
    <w:name w:val="annotation subject"/>
    <w:basedOn w:val="CommentText"/>
    <w:next w:val="CommentText"/>
    <w:semiHidden/>
    <w:rsid w:val="00A214D1"/>
    <w:rPr>
      <w:b/>
      <w:bCs/>
    </w:rPr>
  </w:style>
  <w:style w:type="paragraph" w:styleId="Revision">
    <w:name w:val="Revision"/>
    <w:hidden/>
    <w:uiPriority w:val="99"/>
    <w:semiHidden/>
    <w:rsid w:val="007129A6"/>
    <w:rPr>
      <w:sz w:val="24"/>
      <w:szCs w:val="24"/>
    </w:rPr>
  </w:style>
  <w:style w:type="character" w:customStyle="1" w:styleId="FootnoteTextChar2">
    <w:name w:val="Footnote Text Char2"/>
    <w:aliases w:val="Footnote Text Char Char3,fn Char1,Footnote Text Char1 Char2,Footnote Text Char Char Char2,Footnote Text Char1 Char Char1,Footnote Text Char Char Char Char1, Char Char1,Footnote Text Char Char1 Char1,Char Char,ft Char"/>
    <w:link w:val="FootnoteText"/>
    <w:uiPriority w:val="99"/>
    <w:locked/>
    <w:rsid w:val="0020642E"/>
    <w:rPr>
      <w:sz w:val="24"/>
    </w:rPr>
  </w:style>
  <w:style w:type="paragraph" w:styleId="BodyText2">
    <w:name w:val="Body Text 2"/>
    <w:basedOn w:val="Normal"/>
    <w:link w:val="BodyText2Char"/>
    <w:uiPriority w:val="99"/>
    <w:rsid w:val="0020642E"/>
    <w:pPr>
      <w:widowControl/>
      <w:autoSpaceDE/>
      <w:autoSpaceDN/>
      <w:adjustRightInd/>
      <w:spacing w:after="120" w:line="480" w:lineRule="auto"/>
    </w:pPr>
    <w:rPr>
      <w:rFonts w:ascii="Calibri" w:eastAsia="Calibri" w:hAnsi="Calibri"/>
      <w:sz w:val="22"/>
      <w:szCs w:val="22"/>
    </w:rPr>
  </w:style>
  <w:style w:type="character" w:customStyle="1" w:styleId="BodyText2Char">
    <w:name w:val="Body Text 2 Char"/>
    <w:link w:val="BodyText2"/>
    <w:uiPriority w:val="99"/>
    <w:rsid w:val="0020642E"/>
    <w:rPr>
      <w:rFonts w:ascii="Calibri" w:eastAsia="Calibri" w:hAnsi="Calibri"/>
      <w:sz w:val="22"/>
      <w:szCs w:val="22"/>
    </w:rPr>
  </w:style>
  <w:style w:type="paragraph" w:styleId="BodyTextIndent2">
    <w:name w:val="Body Text Indent 2"/>
    <w:basedOn w:val="Normal"/>
    <w:link w:val="BodyTextIndent2Char"/>
    <w:uiPriority w:val="99"/>
    <w:unhideWhenUsed/>
    <w:rsid w:val="003E742E"/>
    <w:pPr>
      <w:widowControl/>
      <w:autoSpaceDE/>
      <w:autoSpaceDN/>
      <w:adjustRightInd/>
      <w:spacing w:after="120" w:line="480" w:lineRule="auto"/>
      <w:ind w:left="360"/>
    </w:pPr>
    <w:rPr>
      <w:rFonts w:ascii="Calibri" w:eastAsia="Calibri" w:hAnsi="Calibri"/>
      <w:sz w:val="22"/>
      <w:szCs w:val="22"/>
    </w:rPr>
  </w:style>
  <w:style w:type="character" w:customStyle="1" w:styleId="BodyTextIndent2Char">
    <w:name w:val="Body Text Indent 2 Char"/>
    <w:link w:val="BodyTextIndent2"/>
    <w:uiPriority w:val="99"/>
    <w:rsid w:val="003E742E"/>
    <w:rPr>
      <w:rFonts w:ascii="Calibri" w:eastAsia="Calibri" w:hAnsi="Calibri"/>
      <w:sz w:val="22"/>
      <w:szCs w:val="22"/>
    </w:rPr>
  </w:style>
  <w:style w:type="character" w:customStyle="1" w:styleId="FootnoteTextChar2CharChar">
    <w:name w:val="Footnote Text Char2 Char Char"/>
    <w:aliases w:val="Footnote Text Char Char1 Char Char,Footnote Text Char1 Char Char Char Char,Footnote Text Char Char Char Char Char Char,Footnote Text Char1 Char Char Char Char Char Char Char Char"/>
    <w:rsid w:val="00584833"/>
    <w:rPr>
      <w:sz w:val="22"/>
    </w:rPr>
  </w:style>
  <w:style w:type="paragraph" w:styleId="ListParagraph">
    <w:name w:val="List Paragraph"/>
    <w:basedOn w:val="Normal"/>
    <w:uiPriority w:val="34"/>
    <w:qFormat/>
    <w:rsid w:val="00183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www.ferc.gov/docs-filing/info-collections.asp" TargetMode="External"/><Relationship Id="rId2" Type="http://schemas.openxmlformats.org/officeDocument/2006/relationships/customXml" Target="../customXml/item2.xml"/><Relationship Id="rId16" Type="http://schemas.openxmlformats.org/officeDocument/2006/relationships/hyperlink" Target="http://www.ferc.gov/docs-filing/efiling/filing.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538</_x0031__x002e__x0020_Collection_x0020_Number>
    <Date xmlns="d6eefc7d-9817-4fa6-84d5-3bc009be21b8">2019-05-21T00:00:00-04:00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IC19-11</_x0031__x002e__x0020_Docket_x0020_Number>
    <_x0033__x002e__x0020_Collection_x0020_Number xmlns="d6eefc7d-9817-4fa6-84d5-3bc009be21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CA544-39B8-428A-80DD-A23F11F3F4F8}">
  <ds:schemaRefs>
    <ds:schemaRef ds:uri="d6eefc7d-9817-4fa6-84d5-3bc009be21b8"/>
    <ds:schemaRef ds:uri="http://purl.org/dc/elements/1.1/"/>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407E6A7-1446-4170-B395-5C5E20CAA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F8C519-610A-4F97-AFCE-891C0CB0F82F}">
  <ds:schemaRefs>
    <ds:schemaRef ds:uri="http://schemas.microsoft.com/office/2006/metadata/customXsn"/>
  </ds:schemaRefs>
</ds:datastoreItem>
</file>

<file path=customXml/itemProps4.xml><?xml version="1.0" encoding="utf-8"?>
<ds:datastoreItem xmlns:ds="http://schemas.openxmlformats.org/officeDocument/2006/customXml" ds:itemID="{05BF8446-5D88-4D75-B1D0-2DAAA67E098E}">
  <ds:schemaRefs>
    <ds:schemaRef ds:uri="http://schemas.microsoft.com/sharepoint/v3/contenttype/forms"/>
  </ds:schemaRefs>
</ds:datastoreItem>
</file>

<file path=customXml/itemProps5.xml><?xml version="1.0" encoding="utf-8"?>
<ds:datastoreItem xmlns:ds="http://schemas.openxmlformats.org/officeDocument/2006/customXml" ds:itemID="{E095D1F7-400A-4DCB-AB5D-079E7BEA9DCE}">
  <ds:schemaRefs>
    <ds:schemaRef ds:uri="Microsoft.SharePoint.Taxonomy.ContentTypeSync"/>
  </ds:schemaRefs>
</ds:datastoreItem>
</file>

<file path=customXml/itemProps6.xml><?xml version="1.0" encoding="utf-8"?>
<ds:datastoreItem xmlns:ds="http://schemas.openxmlformats.org/officeDocument/2006/customXml" ds:itemID="{3B3F86FB-E6A7-454D-AC9C-D3C4AAD22445}">
  <ds:schemaRefs>
    <ds:schemaRef ds:uri="http://schemas.microsoft.com/office/2006/metadata/longProperties"/>
  </ds:schemaRefs>
</ds:datastoreItem>
</file>

<file path=customXml/itemProps7.xml><?xml version="1.0" encoding="utf-8"?>
<ds:datastoreItem xmlns:ds="http://schemas.openxmlformats.org/officeDocument/2006/customXml" ds:itemID="{E04DFB08-0A87-4AF0-8915-5F3F55F5F04D}">
  <ds:schemaRefs>
    <ds:schemaRef ds:uri="http://schemas.openxmlformats.org/officeDocument/2006/bibliography"/>
  </ds:schemaRefs>
</ds:datastoreItem>
</file>

<file path=customXml/itemProps8.xml><?xml version="1.0" encoding="utf-8"?>
<ds:datastoreItem xmlns:ds="http://schemas.openxmlformats.org/officeDocument/2006/customXml" ds:itemID="{2E56DE07-A391-45B0-9E6B-53451E34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1860</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FERC-538 supporting statement</vt:lpstr>
    </vt:vector>
  </TitlesOfParts>
  <Company>FERC</Company>
  <LinksUpToDate>false</LinksUpToDate>
  <CharactersWithSpaces>12438</CharactersWithSpaces>
  <SharedDoc>false</SharedDoc>
  <HLinks>
    <vt:vector size="18" baseType="variant">
      <vt:variant>
        <vt:i4>1310738</vt:i4>
      </vt:variant>
      <vt:variant>
        <vt:i4>6</vt:i4>
      </vt:variant>
      <vt:variant>
        <vt:i4>0</vt:i4>
      </vt:variant>
      <vt:variant>
        <vt:i4>5</vt:i4>
      </vt:variant>
      <vt:variant>
        <vt:lpwstr>http://www.ferc.gov/docs-filing/info-collections.asp</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1966125</vt:i4>
      </vt:variant>
      <vt:variant>
        <vt:i4>0</vt:i4>
      </vt:variant>
      <vt:variant>
        <vt:i4>0</vt:i4>
      </vt:variant>
      <vt:variant>
        <vt:i4>5</vt:i4>
      </vt:variant>
      <vt:variant>
        <vt:lpwstr>https://www.bls.gov/oes/current/naics2_22.htm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FERC-538 supporting statement</dc:title>
  <dc:subject/>
  <dc:creator>Heather Dowding</dc:creator>
  <cp:keywords/>
  <cp:lastModifiedBy>SYSTEM</cp:lastModifiedBy>
  <cp:revision>2</cp:revision>
  <cp:lastPrinted>2009-06-08T18:25:00Z</cp:lastPrinted>
  <dcterms:created xsi:type="dcterms:W3CDTF">2019-05-21T18:48:00Z</dcterms:created>
  <dcterms:modified xsi:type="dcterms:W3CDTF">2019-05-21T18:48:00Z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1935980585</vt:i4>
  </property>
  <property fmtid="{D5CDD505-2E9C-101B-9397-08002B2CF9AE}" pid="3" name="ContentTypeId">
    <vt:lpwstr>0x0101001EA51C0686BDB848B772F285AB6866B0</vt:lpwstr>
  </property>
  <property fmtid="{D5CDD505-2E9C-101B-9397-08002B2CF9AE}" pid="4" name="Renewal Document Type">
    <vt:lpwstr>OMB Supporting Statement</vt:lpwstr>
  </property>
  <property fmtid="{D5CDD505-2E9C-101B-9397-08002B2CF9AE}" pid="5" name="Rulemaking Document Type">
    <vt:lpwstr>None</vt:lpwstr>
  </property>
  <property fmtid="{D5CDD505-2E9C-101B-9397-08002B2CF9AE}" pid="6" name="3. Docket Number">
    <vt:lpwstr/>
  </property>
  <property fmtid="{D5CDD505-2E9C-101B-9397-08002B2CF9AE}" pid="7" name="1. Collection Number">
    <vt:lpwstr>546</vt:lpwstr>
  </property>
  <property fmtid="{D5CDD505-2E9C-101B-9397-08002B2CF9AE}" pid="8" name="Date">
    <vt:lpwstr>2019-01-24T00:00:00Z</vt:lpwstr>
  </property>
  <property fmtid="{D5CDD505-2E9C-101B-9397-08002B2CF9AE}" pid="9" name="Status">
    <vt:lpwstr>Draft</vt:lpwstr>
  </property>
  <property fmtid="{D5CDD505-2E9C-101B-9397-08002B2CF9AE}" pid="10" name="2. Docket Number">
    <vt:lpwstr/>
  </property>
  <property fmtid="{D5CDD505-2E9C-101B-9397-08002B2CF9AE}" pid="11" name="2. Collection Number">
    <vt:lpwstr/>
  </property>
  <property fmtid="{D5CDD505-2E9C-101B-9397-08002B2CF9AE}" pid="12" name="1. Docket Number">
    <vt:lpwstr>IC19-3</vt:lpwstr>
  </property>
  <property fmtid="{D5CDD505-2E9C-101B-9397-08002B2CF9AE}" pid="13" name="3. Collection Number">
    <vt:lpwstr/>
  </property>
</Properties>
</file>