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2D7D5"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05FEFC65" w14:textId="77777777" w:rsidR="001C75B2" w:rsidRDefault="001C75B2" w:rsidP="008647BA">
      <w:pPr>
        <w:jc w:val="center"/>
      </w:pPr>
      <w:r>
        <w:t>FEDERAL ENERGY REGULATORY COMMISSION</w:t>
      </w:r>
    </w:p>
    <w:p w14:paraId="22256564" w14:textId="77777777" w:rsidR="001C75B2" w:rsidRDefault="001C75B2" w:rsidP="001C75B2"/>
    <w:p w14:paraId="0FAF77BC" w14:textId="0D4635E8" w:rsidR="001C75B2" w:rsidRPr="00A9249D" w:rsidRDefault="001C75B2" w:rsidP="008647BA">
      <w:pPr>
        <w:jc w:val="center"/>
      </w:pPr>
      <w:r w:rsidRPr="00A9249D">
        <w:t>[Docket No. IC</w:t>
      </w:r>
      <w:r w:rsidR="00A9249D" w:rsidRPr="00A9249D">
        <w:t>19</w:t>
      </w:r>
      <w:r w:rsidRPr="00A9249D">
        <w:t>-</w:t>
      </w:r>
      <w:r w:rsidR="00A9249D" w:rsidRPr="00A9249D">
        <w:t>17</w:t>
      </w:r>
      <w:r w:rsidRPr="00A9249D">
        <w:t>-00</w:t>
      </w:r>
      <w:r w:rsidR="00172C34" w:rsidRPr="00A9249D">
        <w:t>0</w:t>
      </w:r>
      <w:r w:rsidRPr="00A9249D">
        <w:t>]</w:t>
      </w:r>
    </w:p>
    <w:p w14:paraId="599128EF" w14:textId="77777777" w:rsidR="001C75B2" w:rsidRPr="00A9249D" w:rsidRDefault="001C75B2" w:rsidP="001C75B2"/>
    <w:p w14:paraId="30DC3729" w14:textId="77777777" w:rsidR="007920A8" w:rsidRPr="00A9249D" w:rsidRDefault="001C75B2" w:rsidP="008024B2">
      <w:pPr>
        <w:jc w:val="center"/>
      </w:pPr>
      <w:r w:rsidRPr="00A9249D">
        <w:t xml:space="preserve">COMMISSION INFORMATION COLLECTION ACTIVITIES </w:t>
      </w:r>
    </w:p>
    <w:p w14:paraId="0B3CEDAC" w14:textId="7AB344EA" w:rsidR="007920A8" w:rsidRPr="00A9249D" w:rsidRDefault="001C75B2" w:rsidP="008024B2">
      <w:pPr>
        <w:jc w:val="center"/>
      </w:pPr>
      <w:r w:rsidRPr="00A9249D">
        <w:t>(</w:t>
      </w:r>
      <w:r w:rsidR="00A9249D" w:rsidRPr="00A9249D">
        <w:t>FERC FORM NO. 60, FERC-61, and FERC-555A</w:t>
      </w:r>
      <w:r w:rsidR="007920A8" w:rsidRPr="00A9249D">
        <w:t>)</w:t>
      </w:r>
    </w:p>
    <w:p w14:paraId="3B76A7CA" w14:textId="77777777" w:rsidR="001C75B2" w:rsidRPr="00A9249D" w:rsidRDefault="001C75B2" w:rsidP="008024B2">
      <w:pPr>
        <w:jc w:val="center"/>
      </w:pPr>
      <w:r w:rsidRPr="00A9249D">
        <w:t>COMMENT REQUEST</w:t>
      </w:r>
      <w:r w:rsidR="00B2244D" w:rsidRPr="00A9249D">
        <w:t xml:space="preserve">  </w:t>
      </w:r>
    </w:p>
    <w:p w14:paraId="520FD516" w14:textId="77777777" w:rsidR="001C75B2" w:rsidRPr="00A9249D" w:rsidRDefault="001C75B2" w:rsidP="001C75B2"/>
    <w:p w14:paraId="5FEF62C6" w14:textId="43B96C93" w:rsidR="001C75B2" w:rsidRDefault="00C87925" w:rsidP="00C87925">
      <w:pPr>
        <w:jc w:val="center"/>
      </w:pPr>
      <w:r w:rsidRPr="00C87925">
        <w:t>(May 21, 2019)</w:t>
      </w:r>
    </w:p>
    <w:p w14:paraId="3B871B12" w14:textId="77777777" w:rsidR="00C87925" w:rsidRPr="00C87925" w:rsidRDefault="00C87925" w:rsidP="00C87925"/>
    <w:p w14:paraId="7DAD241C" w14:textId="77777777" w:rsidR="001C75B2" w:rsidRDefault="008024B2" w:rsidP="00C0217E">
      <w:pPr>
        <w:spacing w:line="480" w:lineRule="auto"/>
      </w:pPr>
      <w:r w:rsidRPr="00C0217E">
        <w:rPr>
          <w:b/>
        </w:rPr>
        <w:t>AGENCY:</w:t>
      </w:r>
      <w:r>
        <w:t xml:space="preserve">  </w:t>
      </w:r>
      <w:r w:rsidR="001C75B2">
        <w:t>Federal Energy Regulatory Commission.</w:t>
      </w:r>
    </w:p>
    <w:p w14:paraId="764F52BC" w14:textId="77777777" w:rsidR="001C75B2" w:rsidRDefault="008024B2" w:rsidP="00C0217E">
      <w:pPr>
        <w:spacing w:line="480" w:lineRule="auto"/>
      </w:pPr>
      <w:r w:rsidRPr="00C0217E">
        <w:rPr>
          <w:b/>
        </w:rPr>
        <w:t>ACTION:</w:t>
      </w:r>
      <w:r>
        <w:t xml:space="preserve">  </w:t>
      </w:r>
      <w:r w:rsidR="00B87F46">
        <w:t>C</w:t>
      </w:r>
      <w:r w:rsidR="00E94542">
        <w:t>omment request.</w:t>
      </w:r>
    </w:p>
    <w:p w14:paraId="5C25ED35" w14:textId="1FF7CD1A" w:rsidR="001C75B2"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253DB">
        <w:t>,</w:t>
      </w:r>
      <w:r w:rsidR="000253DB" w:rsidRPr="000253DB">
        <w:rPr>
          <w:szCs w:val="26"/>
        </w:rPr>
        <w:t xml:space="preserve"> </w:t>
      </w:r>
      <w:r w:rsidR="001F0E50">
        <w:t>44 U</w:t>
      </w:r>
      <w:r w:rsidR="000253DB" w:rsidRPr="000253DB">
        <w:t>SC 3507</w:t>
      </w:r>
      <w:r w:rsidR="006F53CD">
        <w:t>(a)(1)(D)</w:t>
      </w:r>
      <w:r w:rsidR="00172C34">
        <w:t>,</w:t>
      </w:r>
      <w:r>
        <w:t xml:space="preserve"> the Federal Energy Regulatory Commission (Commission or FERC) </w:t>
      </w:r>
      <w:r w:rsidR="00172C34">
        <w:t>is</w:t>
      </w:r>
      <w:r>
        <w:t xml:space="preserve"> submitt</w:t>
      </w:r>
      <w:r w:rsidR="00172C34">
        <w:t>ing</w:t>
      </w:r>
      <w:r w:rsidR="00A9249D">
        <w:t xml:space="preserve"> the</w:t>
      </w:r>
      <w:r>
        <w:t xml:space="preserve"> information collection</w:t>
      </w:r>
      <w:r w:rsidR="00A9249D">
        <w:t>s below</w:t>
      </w:r>
      <w:r>
        <w:t xml:space="preserve"> to the Office of Management and Budget (OMB) for review of the information collection requirements.  Any interested person may file comments directly with OMB and should address a copy of those comments to the Commission as explained below.  The Commission </w:t>
      </w:r>
      <w:r w:rsidR="001F0E50">
        <w:t xml:space="preserve">previously </w:t>
      </w:r>
      <w:r w:rsidR="00A9249D">
        <w:t>published</w:t>
      </w:r>
      <w:r>
        <w:t xml:space="preserve"> a </w:t>
      </w:r>
      <w:r w:rsidR="00A9249D">
        <w:t xml:space="preserve">Notice in the Federal </w:t>
      </w:r>
      <w:r w:rsidR="00A9249D" w:rsidRPr="00A9249D">
        <w:t>Register 84</w:t>
      </w:r>
      <w:r w:rsidR="00CC2DF1" w:rsidRPr="00A9249D">
        <w:t xml:space="preserve"> </w:t>
      </w:r>
      <w:r w:rsidR="00A9249D" w:rsidRPr="00A9249D">
        <w:t>FR 10308</w:t>
      </w:r>
      <w:r w:rsidRPr="00A9249D">
        <w:t xml:space="preserve">, </w:t>
      </w:r>
      <w:r w:rsidR="00A9249D" w:rsidRPr="00A9249D">
        <w:t>3/20/2019</w:t>
      </w:r>
      <w:r w:rsidRPr="00A9249D">
        <w:t>) requesting public</w:t>
      </w:r>
      <w:r>
        <w:t xml:space="preserve"> </w:t>
      </w:r>
      <w:r w:rsidRPr="00A9249D">
        <w:t xml:space="preserve">comments.  </w:t>
      </w:r>
      <w:r w:rsidR="001F0E50" w:rsidRPr="00A9249D">
        <w:t>The Commission</w:t>
      </w:r>
      <w:r w:rsidRPr="00A9249D">
        <w:t xml:space="preserve"> received no comments on the </w:t>
      </w:r>
      <w:r w:rsidR="00A9249D" w:rsidRPr="00A9249D">
        <w:t>FERC Form No. 60, FERC-61, or FERC-555A</w:t>
      </w:r>
      <w:r w:rsidRPr="00A9249D">
        <w:t xml:space="preserve"> and </w:t>
      </w:r>
      <w:r w:rsidR="00172C34" w:rsidRPr="00A9249D">
        <w:t>is making</w:t>
      </w:r>
      <w:r w:rsidR="00B2244D" w:rsidRPr="00A9249D">
        <w:t xml:space="preserve"> this notation in its submittal</w:t>
      </w:r>
      <w:r w:rsidRPr="00A9249D">
        <w:t xml:space="preserve"> to OMB</w:t>
      </w:r>
      <w:r w:rsidR="00A9249D" w:rsidRPr="00A9249D">
        <w:t>.</w:t>
      </w:r>
    </w:p>
    <w:p w14:paraId="3609EE49" w14:textId="3CA4FE3B" w:rsidR="001C75B2" w:rsidRDefault="001C75B2" w:rsidP="00C0217E">
      <w:pPr>
        <w:spacing w:line="480" w:lineRule="auto"/>
      </w:pPr>
      <w:r w:rsidRPr="00F04F4C">
        <w:rPr>
          <w:b/>
        </w:rPr>
        <w:t>DATES:</w:t>
      </w:r>
      <w:r w:rsidR="00EA3F0A">
        <w:rPr>
          <w:b/>
        </w:rPr>
        <w:t xml:space="preserve"> </w:t>
      </w:r>
      <w:r>
        <w:t xml:space="preserve"> Comments on the collection of information are due by [</w:t>
      </w:r>
      <w:r w:rsidR="00726A08" w:rsidRPr="00726A08">
        <w:rPr>
          <w:b/>
        </w:rPr>
        <w:t>Insert Date</w:t>
      </w:r>
      <w:r w:rsidR="00726A08">
        <w:t xml:space="preserve"> </w:t>
      </w:r>
      <w:r w:rsidRPr="00A9249D">
        <w:rPr>
          <w:b/>
        </w:rPr>
        <w:t xml:space="preserve">30 days after </w:t>
      </w:r>
      <w:r w:rsidR="00726A08">
        <w:rPr>
          <w:b/>
        </w:rPr>
        <w:t xml:space="preserve">date of </w:t>
      </w:r>
      <w:r w:rsidRPr="00A9249D">
        <w:rPr>
          <w:b/>
        </w:rPr>
        <w:t>publication in the Federal Register</w:t>
      </w:r>
      <w:r>
        <w:t xml:space="preserve">].   </w:t>
      </w:r>
    </w:p>
    <w:p w14:paraId="36072CCE" w14:textId="78C0D392" w:rsidR="00121C3B" w:rsidRDefault="001C75B2" w:rsidP="00B2244D">
      <w:pPr>
        <w:spacing w:line="480" w:lineRule="auto"/>
      </w:pPr>
      <w:r w:rsidRPr="00F04F4C">
        <w:rPr>
          <w:b/>
        </w:rPr>
        <w:t>ADDRESSES:</w:t>
      </w:r>
      <w:r>
        <w:t xml:space="preserve"> </w:t>
      </w:r>
      <w:r w:rsidR="00EA3F0A">
        <w:t xml:space="preserve"> </w:t>
      </w:r>
      <w:r w:rsidR="00EA4BD0">
        <w:t xml:space="preserve">Comments </w:t>
      </w:r>
      <w:r w:rsidR="00121C3B">
        <w:t>filed with OMB</w:t>
      </w:r>
      <w:r w:rsidR="00EA4BD0">
        <w:t xml:space="preserve">, </w:t>
      </w:r>
      <w:r w:rsidR="00121C3B">
        <w:t>identified by the OMB C</w:t>
      </w:r>
      <w:r w:rsidR="00121C3B" w:rsidRPr="00A9249D">
        <w:t xml:space="preserve">ontrol No. </w:t>
      </w:r>
      <w:r w:rsidR="00A9249D" w:rsidRPr="00A9249D">
        <w:t>1902-0215 (FERC Form No. 60, FERC-61, or FERC-555A</w:t>
      </w:r>
      <w:r w:rsidR="007920A8" w:rsidRPr="00A9249D">
        <w:t>)</w:t>
      </w:r>
      <w:r w:rsidR="00121C3B" w:rsidRPr="00A9249D">
        <w:t xml:space="preserve"> </w:t>
      </w:r>
      <w:r w:rsidR="00157960" w:rsidRPr="00A9249D">
        <w:t>should</w:t>
      </w:r>
      <w:r w:rsidR="00EA4BD0" w:rsidRPr="00A9249D">
        <w:t xml:space="preserve"> be sent</w:t>
      </w:r>
      <w:r w:rsidR="00EA4BD0">
        <w:t xml:space="preserve"> via email</w:t>
      </w:r>
      <w:r w:rsidR="00644093">
        <w:t xml:space="preserve"> to the Office of Information and Regulatory Affairs</w:t>
      </w:r>
      <w:r w:rsidR="006615E1">
        <w:t xml:space="preserve">: </w:t>
      </w:r>
      <w:hyperlink r:id="rId12" w:history="1">
        <w:r w:rsidR="006615E1" w:rsidRPr="00866BB4">
          <w:rPr>
            <w:rStyle w:val="Hyperlink"/>
          </w:rPr>
          <w:t>oira_submission@omb.gov</w:t>
        </w:r>
      </w:hyperlink>
      <w:r w:rsidR="006615E1">
        <w:t xml:space="preserve">.  Attention: </w:t>
      </w:r>
      <w:r w:rsidR="006615E1">
        <w:lastRenderedPageBreak/>
        <w:t>Federal Energy Regulatory Commission Desk Officer.</w:t>
      </w:r>
      <w:r w:rsidR="00775D65">
        <w:t xml:space="preserve">  The Desk Officer may also be reach</w:t>
      </w:r>
      <w:r w:rsidR="00816467">
        <w:t>ed via telephone at 202-395-0710</w:t>
      </w:r>
      <w:r w:rsidR="00B2244D">
        <w:t>.</w:t>
      </w:r>
    </w:p>
    <w:p w14:paraId="4C4E9CD9" w14:textId="715051B4" w:rsidR="00775D65" w:rsidRDefault="00095258" w:rsidP="00775D65">
      <w:pPr>
        <w:spacing w:line="480" w:lineRule="auto"/>
        <w:ind w:firstLine="720"/>
      </w:pPr>
      <w:r>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A9249D" w:rsidRPr="00A9249D">
        <w:t>IC19-17</w:t>
      </w:r>
      <w:r w:rsidR="003178F3" w:rsidRPr="00A9249D">
        <w:t>-00</w:t>
      </w:r>
      <w:r w:rsidR="00172C34" w:rsidRPr="00A9249D">
        <w:t>0</w:t>
      </w:r>
      <w:r w:rsidR="003178F3" w:rsidRPr="00A9249D">
        <w:t>,</w:t>
      </w:r>
      <w:r w:rsidRPr="00A9249D">
        <w:t xml:space="preserve"> </w:t>
      </w:r>
      <w:r w:rsidR="00775D65" w:rsidRPr="00A9249D">
        <w:t>by</w:t>
      </w:r>
      <w:r w:rsidR="00775D65">
        <w:t xml:space="preserve"> either of the following methods:</w:t>
      </w:r>
    </w:p>
    <w:p w14:paraId="7EE40BA4"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3" w:history="1">
        <w:r w:rsidRPr="0057675D">
          <w:rPr>
            <w:rStyle w:val="Hyperlink"/>
          </w:rPr>
          <w:t>http://www.ferc.gov/docs-filing/efiling.asp</w:t>
        </w:r>
      </w:hyperlink>
      <w:r>
        <w:t xml:space="preserve">.  </w:t>
      </w:r>
    </w:p>
    <w:p w14:paraId="0D9F987A"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3EA94A93"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7F9EC376"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r w:rsidR="00095258">
        <w:t xml:space="preserve"> </w:t>
      </w:r>
    </w:p>
    <w:p w14:paraId="08BD92D0" w14:textId="77777777" w:rsidR="001C75B2" w:rsidRDefault="001C75B2" w:rsidP="00C0217E">
      <w:pPr>
        <w:spacing w:line="480" w:lineRule="auto"/>
      </w:pPr>
      <w:r w:rsidRPr="00F04F4C">
        <w:rPr>
          <w:b/>
        </w:rPr>
        <w:t>FOR FURTHER INFORMATION:</w:t>
      </w:r>
      <w:r>
        <w:t xml:space="preserve">   </w:t>
      </w:r>
      <w:smartTag w:uri="urn:schemas-microsoft-com:office:smarttags" w:element="PersonName">
        <w:r w:rsidRPr="00A9249D">
          <w:t>Ellen Brown</w:t>
        </w:r>
      </w:smartTag>
      <w:r w:rsidRPr="00A9249D">
        <w:t xml:space="preserve"> may be reached by</w:t>
      </w:r>
      <w:r>
        <w:t xml:space="preserve"> e-mail at </w:t>
      </w:r>
      <w:hyperlink r:id="rId16" w:history="1">
        <w:r w:rsidR="00822C8E" w:rsidRPr="00006D4B">
          <w:rPr>
            <w:rStyle w:val="Hyperlink"/>
          </w:rPr>
          <w:t>DataClearance@FERC.gov</w:t>
        </w:r>
      </w:hyperlink>
      <w:r>
        <w:t xml:space="preserve">, by telephone at (202) 502-8663, and by fax at (202) 273-0873. </w:t>
      </w:r>
    </w:p>
    <w:p w14:paraId="6BB5DC4C" w14:textId="77777777" w:rsidR="003820D6" w:rsidRDefault="003820D6" w:rsidP="003820D6">
      <w:pPr>
        <w:spacing w:line="480" w:lineRule="auto"/>
      </w:pPr>
      <w:r w:rsidRPr="001C3703">
        <w:rPr>
          <w:b/>
        </w:rPr>
        <w:t>SUPPLEMENTARY INFORMATION:</w:t>
      </w:r>
      <w:r>
        <w:t xml:space="preserve">  </w:t>
      </w:r>
    </w:p>
    <w:p w14:paraId="3AD14C4A" w14:textId="77777777" w:rsidR="007920A8" w:rsidRDefault="007920A8" w:rsidP="007920A8">
      <w:pPr>
        <w:spacing w:line="480" w:lineRule="auto"/>
      </w:pPr>
      <w:r w:rsidRPr="00C1462E">
        <w:rPr>
          <w:b/>
        </w:rPr>
        <w:t>Type of Request</w:t>
      </w:r>
      <w:r>
        <w:rPr>
          <w:i/>
        </w:rPr>
        <w:t>:</w:t>
      </w:r>
      <w:r>
        <w:t xml:space="preserve"> Three-year extension of the information collection requirements for all collections described below with no changes to the current reporting requirements.  Please note that each collection is distinct from the next.</w:t>
      </w:r>
    </w:p>
    <w:p w14:paraId="0A689651" w14:textId="77777777" w:rsidR="007920A8" w:rsidRPr="007920A8" w:rsidRDefault="007920A8" w:rsidP="007920A8">
      <w:pPr>
        <w:spacing w:line="480" w:lineRule="auto"/>
      </w:pPr>
      <w:r w:rsidRPr="00493451">
        <w:rPr>
          <w:b/>
        </w:rPr>
        <w:lastRenderedPageBreak/>
        <w:t>Comments:</w:t>
      </w:r>
      <w:r>
        <w:rPr>
          <w:i/>
        </w:rPr>
        <w:t xml:space="preserve">  </w:t>
      </w:r>
      <w:r>
        <w:t xml:space="preserve">Comments are invited on:  (1) whether the collections of information are necessary for the proper performance of the functions of the Commission, including whether the information will have practical utility; (2) the accuracy of the agency's estimates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14:paraId="593F9F03" w14:textId="77777777" w:rsidR="00A9249D" w:rsidRDefault="00A9249D" w:rsidP="00A9249D">
      <w:pPr>
        <w:spacing w:line="480" w:lineRule="auto"/>
        <w:rPr>
          <w:b/>
        </w:rPr>
      </w:pPr>
      <w:r>
        <w:rPr>
          <w:b/>
        </w:rPr>
        <w:t>FERC Form No. 60</w:t>
      </w:r>
      <w:r>
        <w:rPr>
          <w:rStyle w:val="FootnoteReference"/>
          <w:b w:val="0"/>
        </w:rPr>
        <w:footnoteReference w:id="1"/>
      </w:r>
      <w:r w:rsidRPr="00C1462E">
        <w:rPr>
          <w:b/>
        </w:rPr>
        <w:t xml:space="preserve"> </w:t>
      </w:r>
      <w:r w:rsidRPr="00895156">
        <w:rPr>
          <w:b/>
        </w:rPr>
        <w:t>(Annual Report of Centralized Service Companies), FERC-61 (Narrative Description of Service Company Functions), and FERC-555A (Preservation of Records Companies and Service Companies Subject to PUHCA)</w:t>
      </w:r>
    </w:p>
    <w:p w14:paraId="78C4214F" w14:textId="77777777" w:rsidR="00A9249D" w:rsidRPr="0098180D" w:rsidRDefault="00A9249D" w:rsidP="00A9249D">
      <w:pPr>
        <w:spacing w:line="480" w:lineRule="auto"/>
      </w:pPr>
      <w:r>
        <w:rPr>
          <w:i/>
        </w:rPr>
        <w:t xml:space="preserve">OMB Control No.: </w:t>
      </w:r>
      <w:r>
        <w:t>1902-0215</w:t>
      </w:r>
    </w:p>
    <w:p w14:paraId="173ED122" w14:textId="77777777" w:rsidR="00A9249D" w:rsidRPr="007869ED" w:rsidRDefault="00A9249D" w:rsidP="00A9249D">
      <w:pPr>
        <w:spacing w:line="480" w:lineRule="auto"/>
        <w:rPr>
          <w:szCs w:val="26"/>
        </w:rPr>
      </w:pPr>
      <w:r>
        <w:rPr>
          <w:i/>
        </w:rPr>
        <w:t>Abstract:</w:t>
      </w:r>
      <w:r>
        <w:t xml:space="preserve"> </w:t>
      </w:r>
      <w:r w:rsidRPr="008D377B">
        <w:t>In accordance with the Energy Policy Act of 2005 (EPAct 2005), the Commission implemented the repeal of the Public Utility Holding Company Act of 1935 (PUHCA 1935) and implemented the provisions of a newly enacted Public Utility Holding Company Act 2005 (PUHCA 2005).  Pursuant to PUHCA 2005, the Commission requires centralized service companies to file the Form No. 60</w:t>
      </w:r>
      <w:r>
        <w:t>, unless the company is exempted or granted a waiver pursuant to the Commission’s regulations</w:t>
      </w:r>
      <w:r w:rsidRPr="008D377B">
        <w:t>.  The information collected in Form No. 60 enables better monitoring for cross-subsidization, and aids the Commission in carrying out its statutory responsibilities.</w:t>
      </w:r>
      <w:r>
        <w:t xml:space="preserve">  In addition, centralized service companies are required to follow the Commission’s preservation of records requirements for centralized service companies.</w:t>
      </w:r>
    </w:p>
    <w:p w14:paraId="5FE9BB86" w14:textId="77777777" w:rsidR="00A9249D" w:rsidRPr="00C53408" w:rsidRDefault="00A9249D" w:rsidP="00A9249D">
      <w:pPr>
        <w:spacing w:line="480" w:lineRule="auto"/>
        <w:rPr>
          <w:b/>
          <w:szCs w:val="26"/>
        </w:rPr>
      </w:pPr>
      <w:r w:rsidRPr="00C53408">
        <w:rPr>
          <w:b/>
          <w:szCs w:val="26"/>
        </w:rPr>
        <w:t xml:space="preserve">FERC Form </w:t>
      </w:r>
      <w:r>
        <w:rPr>
          <w:b/>
          <w:szCs w:val="26"/>
        </w:rPr>
        <w:t xml:space="preserve">No. </w:t>
      </w:r>
      <w:r w:rsidRPr="00C53408">
        <w:rPr>
          <w:b/>
          <w:szCs w:val="26"/>
        </w:rPr>
        <w:t>60</w:t>
      </w:r>
    </w:p>
    <w:p w14:paraId="24CBEA09" w14:textId="77777777" w:rsidR="00A9249D" w:rsidRPr="007869ED" w:rsidRDefault="00A9249D" w:rsidP="00A9249D">
      <w:pPr>
        <w:spacing w:line="480" w:lineRule="auto"/>
        <w:ind w:firstLine="720"/>
        <w:rPr>
          <w:szCs w:val="26"/>
        </w:rPr>
      </w:pPr>
      <w:r w:rsidRPr="007869ED">
        <w:rPr>
          <w:szCs w:val="26"/>
        </w:rPr>
        <w:t xml:space="preserve">Form No. 60 is an annual reporting requirement </w:t>
      </w:r>
      <w:r>
        <w:rPr>
          <w:szCs w:val="26"/>
        </w:rPr>
        <w:t>for centralized service companies set forth in 1</w:t>
      </w:r>
      <w:r w:rsidRPr="007869ED">
        <w:rPr>
          <w:szCs w:val="26"/>
        </w:rPr>
        <w:t>8 CFR 366.23</w:t>
      </w:r>
      <w:r>
        <w:rPr>
          <w:szCs w:val="26"/>
        </w:rPr>
        <w:t>. The report’s function is</w:t>
      </w:r>
      <w:r w:rsidRPr="007869ED">
        <w:rPr>
          <w:szCs w:val="26"/>
        </w:rPr>
        <w:t xml:space="preserve"> to collect financial information (including balance sheet, assets, liabilities, billing and charges for associated and non-associated companies) from centralized service companies subject to the </w:t>
      </w:r>
      <w:r>
        <w:rPr>
          <w:szCs w:val="26"/>
        </w:rPr>
        <w:t xml:space="preserve">Commission’s </w:t>
      </w:r>
      <w:r w:rsidRPr="007869ED">
        <w:rPr>
          <w:szCs w:val="26"/>
        </w:rPr>
        <w:t>jurisdiction.  Unless</w:t>
      </w:r>
      <w:r>
        <w:rPr>
          <w:szCs w:val="26"/>
        </w:rPr>
        <w:t xml:space="preserve"> the Commission exempts or grants a waiver pursuant to 18 CFR 366.3 and 366.4</w:t>
      </w:r>
      <w:r w:rsidRPr="007869ED">
        <w:rPr>
          <w:szCs w:val="26"/>
        </w:rPr>
        <w:t xml:space="preserve"> </w:t>
      </w:r>
      <w:r>
        <w:rPr>
          <w:szCs w:val="26"/>
        </w:rPr>
        <w:t xml:space="preserve">to </w:t>
      </w:r>
      <w:r w:rsidRPr="007869ED">
        <w:rPr>
          <w:szCs w:val="26"/>
        </w:rPr>
        <w:t xml:space="preserve">the holding company system, every centralized service company in a holding company system must prepare and file electronically with the FERC the Form No. 60, pursuant to the General Instructions in the form. </w:t>
      </w:r>
    </w:p>
    <w:p w14:paraId="3DDE1364" w14:textId="77777777" w:rsidR="00A9249D" w:rsidRPr="00C53408" w:rsidRDefault="00A9249D" w:rsidP="00A9249D">
      <w:pPr>
        <w:spacing w:line="480" w:lineRule="auto"/>
        <w:rPr>
          <w:b/>
          <w:szCs w:val="26"/>
        </w:rPr>
      </w:pPr>
      <w:r w:rsidRPr="00C53408">
        <w:rPr>
          <w:b/>
          <w:szCs w:val="26"/>
        </w:rPr>
        <w:t xml:space="preserve">FERC-61  </w:t>
      </w:r>
    </w:p>
    <w:p w14:paraId="0B9ABF0B" w14:textId="77777777" w:rsidR="00A9249D" w:rsidRPr="007869ED" w:rsidRDefault="00A9249D" w:rsidP="00A9249D">
      <w:pPr>
        <w:spacing w:line="480" w:lineRule="auto"/>
        <w:ind w:firstLine="720"/>
        <w:rPr>
          <w:szCs w:val="26"/>
        </w:rPr>
      </w:pPr>
      <w:r w:rsidRPr="007869ED">
        <w:rPr>
          <w:szCs w:val="26"/>
        </w:rPr>
        <w:t xml:space="preserve">FERC-61 is a filing requirement for service companies in holding company systems (including special purpose companies) that are currently exempt or granted a waiver of FERC’s regulations and would not have to file </w:t>
      </w:r>
      <w:r>
        <w:rPr>
          <w:szCs w:val="26"/>
        </w:rPr>
        <w:t xml:space="preserve">the </w:t>
      </w:r>
      <w:r w:rsidRPr="007869ED">
        <w:rPr>
          <w:szCs w:val="26"/>
        </w:rPr>
        <w:t xml:space="preserve">FERC Form </w:t>
      </w:r>
      <w:r>
        <w:rPr>
          <w:szCs w:val="26"/>
        </w:rPr>
        <w:t xml:space="preserve">No. </w:t>
      </w:r>
      <w:r w:rsidRPr="007869ED">
        <w:rPr>
          <w:szCs w:val="26"/>
        </w:rPr>
        <w:t xml:space="preserve">60.  Instead, those service companies are required to file, on an annual basis, a narrative description of the service company’s functions during the prior calendar year (FERC-61).  In complying, a holding company may make a single filing on behalf of all of its service company subsidiaries.  </w:t>
      </w:r>
    </w:p>
    <w:p w14:paraId="4A9FC90F" w14:textId="77777777" w:rsidR="00A9249D" w:rsidRPr="00C53408" w:rsidRDefault="00A9249D" w:rsidP="00A9249D">
      <w:pPr>
        <w:spacing w:line="480" w:lineRule="auto"/>
        <w:rPr>
          <w:b/>
          <w:szCs w:val="26"/>
        </w:rPr>
      </w:pPr>
      <w:r w:rsidRPr="00C53408">
        <w:rPr>
          <w:b/>
          <w:szCs w:val="26"/>
        </w:rPr>
        <w:t>FERC-555A</w:t>
      </w:r>
    </w:p>
    <w:p w14:paraId="6EF129E6" w14:textId="77777777" w:rsidR="00A9249D" w:rsidRPr="007869ED" w:rsidRDefault="00A9249D" w:rsidP="00A9249D">
      <w:pPr>
        <w:spacing w:line="480" w:lineRule="auto"/>
        <w:ind w:firstLine="720"/>
        <w:rPr>
          <w:szCs w:val="26"/>
        </w:rPr>
      </w:pPr>
      <w:r>
        <w:rPr>
          <w:szCs w:val="26"/>
        </w:rPr>
        <w:t xml:space="preserve">The Commission’s regulations </w:t>
      </w:r>
      <w:r w:rsidRPr="007869ED">
        <w:rPr>
          <w:szCs w:val="26"/>
        </w:rPr>
        <w:t xml:space="preserve">prescribe a mandated preservation of records requirements for holding companies and service companies (unless otherwise exempted by FERC).  This requires them to maintain and make available to FERC, their books and records.  The preservation of records requirement provides for uniform records retention by holding companies and centralized service companies subject to PUHCA 2005. </w:t>
      </w:r>
    </w:p>
    <w:p w14:paraId="34E15A83" w14:textId="77777777" w:rsidR="00A9249D" w:rsidRPr="007869ED" w:rsidRDefault="00A9249D" w:rsidP="00A9249D">
      <w:pPr>
        <w:spacing w:line="480" w:lineRule="auto"/>
        <w:rPr>
          <w:szCs w:val="26"/>
        </w:rPr>
      </w:pPr>
      <w:r w:rsidRPr="007869ED">
        <w:rPr>
          <w:szCs w:val="26"/>
        </w:rPr>
        <w:tab/>
        <w:t xml:space="preserve">Data from the FERC Form </w:t>
      </w:r>
      <w:r>
        <w:rPr>
          <w:szCs w:val="26"/>
        </w:rPr>
        <w:t xml:space="preserve">No. </w:t>
      </w:r>
      <w:r w:rsidRPr="007869ED">
        <w:rPr>
          <w:szCs w:val="26"/>
        </w:rPr>
        <w:t xml:space="preserve">60, FERC-61, and FERC-555A provide a level of transparency that:  1) helps protect ratepayers from pass-through of improper service company costs, 2) enables </w:t>
      </w:r>
      <w:r>
        <w:rPr>
          <w:szCs w:val="26"/>
        </w:rPr>
        <w:t>the Commission</w:t>
      </w:r>
      <w:r w:rsidRPr="007869ED">
        <w:rPr>
          <w:szCs w:val="26"/>
        </w:rPr>
        <w:t xml:space="preserve"> to review and determine cost allocations (among holding company members) for certain non-power goods and services, 3) aids </w:t>
      </w:r>
      <w:r>
        <w:rPr>
          <w:szCs w:val="26"/>
        </w:rPr>
        <w:t xml:space="preserve">the Commission </w:t>
      </w:r>
      <w:r w:rsidRPr="007869ED">
        <w:rPr>
          <w:szCs w:val="26"/>
        </w:rPr>
        <w:t xml:space="preserve">in meeting its oversight and market monitoring obligations, and 4) benefits the public, both as ratepayers and investors.  In addition, the </w:t>
      </w:r>
      <w:r>
        <w:rPr>
          <w:szCs w:val="26"/>
        </w:rPr>
        <w:t xml:space="preserve">Commission’s audit staff uses these </w:t>
      </w:r>
      <w:r w:rsidRPr="007869ED">
        <w:rPr>
          <w:szCs w:val="26"/>
        </w:rPr>
        <w:t xml:space="preserve">records during compliance reviews and special analyses.  </w:t>
      </w:r>
    </w:p>
    <w:p w14:paraId="445A141A" w14:textId="77777777" w:rsidR="00A9249D" w:rsidRPr="00895156" w:rsidRDefault="00A9249D" w:rsidP="00A9249D">
      <w:pPr>
        <w:spacing w:line="480" w:lineRule="auto"/>
        <w:rPr>
          <w:iCs/>
          <w:szCs w:val="26"/>
        </w:rPr>
      </w:pPr>
      <w:r w:rsidRPr="007869ED">
        <w:rPr>
          <w:szCs w:val="26"/>
        </w:rPr>
        <w:tab/>
        <w:t xml:space="preserve">If data from the FERC Form </w:t>
      </w:r>
      <w:r>
        <w:rPr>
          <w:szCs w:val="26"/>
        </w:rPr>
        <w:t xml:space="preserve">No. </w:t>
      </w:r>
      <w:r w:rsidRPr="007869ED">
        <w:rPr>
          <w:szCs w:val="26"/>
        </w:rPr>
        <w:t xml:space="preserve">60, FERC-61, and FERC-555A were not available, </w:t>
      </w:r>
      <w:r>
        <w:rPr>
          <w:szCs w:val="26"/>
        </w:rPr>
        <w:t xml:space="preserve">it would be difficult for the Commission to </w:t>
      </w:r>
      <w:r w:rsidRPr="007869ED">
        <w:rPr>
          <w:szCs w:val="26"/>
        </w:rPr>
        <w:t xml:space="preserve">meet its statutory responsibilities under EPAct 1992, EPAct of 2005, and PUHCA 2005, and </w:t>
      </w:r>
      <w:r>
        <w:rPr>
          <w:szCs w:val="26"/>
        </w:rPr>
        <w:t>the Commission</w:t>
      </w:r>
      <w:r w:rsidRPr="007869ED">
        <w:rPr>
          <w:szCs w:val="26"/>
        </w:rPr>
        <w:t xml:space="preserve"> would have </w:t>
      </w:r>
      <w:r>
        <w:rPr>
          <w:szCs w:val="26"/>
        </w:rPr>
        <w:t>fewer</w:t>
      </w:r>
      <w:r w:rsidRPr="007869ED">
        <w:rPr>
          <w:szCs w:val="26"/>
        </w:rPr>
        <w:t xml:space="preserve"> </w:t>
      </w:r>
      <w:r>
        <w:rPr>
          <w:szCs w:val="26"/>
        </w:rPr>
        <w:t xml:space="preserve">of the </w:t>
      </w:r>
      <w:r w:rsidRPr="007869ED">
        <w:rPr>
          <w:szCs w:val="26"/>
        </w:rPr>
        <w:t xml:space="preserve">regulatory mechanisms necessary to ensure </w:t>
      </w:r>
      <w:r>
        <w:rPr>
          <w:szCs w:val="26"/>
        </w:rPr>
        <w:t>transparency and protect ratepayers.</w:t>
      </w:r>
    </w:p>
    <w:p w14:paraId="4EC21258" w14:textId="77777777" w:rsidR="00A9249D" w:rsidRPr="0098180D" w:rsidRDefault="00A9249D" w:rsidP="00A9249D">
      <w:pPr>
        <w:spacing w:line="480" w:lineRule="auto"/>
      </w:pPr>
      <w:r>
        <w:rPr>
          <w:i/>
        </w:rPr>
        <w:t xml:space="preserve">Type of Respondent: </w:t>
      </w:r>
      <w:r>
        <w:t>centralized service companies</w:t>
      </w:r>
    </w:p>
    <w:p w14:paraId="382CA654" w14:textId="77777777" w:rsidR="00A9249D" w:rsidRDefault="00A9249D" w:rsidP="00A9249D">
      <w:pPr>
        <w:spacing w:line="480" w:lineRule="auto"/>
      </w:pPr>
      <w:r>
        <w:rPr>
          <w:i/>
        </w:rPr>
        <w:t xml:space="preserve">Estimate of Annual Burden: </w:t>
      </w:r>
      <w:r>
        <w:t>The Commission estimates the annual public reporting burden for the information collection as:</w:t>
      </w:r>
    </w:p>
    <w:p w14:paraId="6643D1AB" w14:textId="77777777" w:rsidR="001C75B2" w:rsidRDefault="001C75B2" w:rsidP="001C75B2"/>
    <w:tbl>
      <w:tblPr>
        <w:tblpPr w:leftFromText="180" w:rightFromText="180" w:vertAnchor="text" w:horzAnchor="margin" w:tblpY="486"/>
        <w:tblW w:w="53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CD41CD" w:rsidRPr="00CE28EA" w14:paraId="3C2CE495" w14:textId="77777777" w:rsidTr="00401AFA">
        <w:trPr>
          <w:cantSplit/>
        </w:trPr>
        <w:tc>
          <w:tcPr>
            <w:tcW w:w="5000" w:type="pct"/>
            <w:gridSpan w:val="7"/>
            <w:tcBorders>
              <w:bottom w:val="single" w:sz="4" w:space="0" w:color="auto"/>
            </w:tcBorders>
            <w:shd w:val="clear" w:color="auto" w:fill="D9D9D9"/>
          </w:tcPr>
          <w:p w14:paraId="11DF3CD1" w14:textId="77777777" w:rsidR="00CD41CD" w:rsidRPr="00CE28EA" w:rsidRDefault="00CD41CD" w:rsidP="00401AFA">
            <w:pPr>
              <w:jc w:val="center"/>
              <w:rPr>
                <w:rFonts w:eastAsia="Calibri"/>
                <w:b/>
                <w:sz w:val="20"/>
                <w:szCs w:val="20"/>
              </w:rPr>
            </w:pPr>
            <w:r w:rsidRPr="00655152">
              <w:rPr>
                <w:rFonts w:eastAsia="Calibri"/>
                <w:b/>
                <w:bCs/>
                <w:sz w:val="20"/>
                <w:szCs w:val="20"/>
              </w:rPr>
              <w:t>FERC Form No. 60 (Annual Report of Centralized Service Companies), FERC-61 (Narrative Description of Service Company Functions), and FERC-555A (Preservation of Records Holding Companies and Service Companies Subject to PUHCA)</w:t>
            </w:r>
          </w:p>
        </w:tc>
      </w:tr>
      <w:tr w:rsidR="00CD41CD" w:rsidRPr="00CE28EA" w14:paraId="171DA862" w14:textId="77777777" w:rsidTr="00401AFA">
        <w:trPr>
          <w:cantSplit/>
        </w:trPr>
        <w:tc>
          <w:tcPr>
            <w:tcW w:w="878" w:type="pct"/>
            <w:shd w:val="clear" w:color="auto" w:fill="D9D9D9"/>
          </w:tcPr>
          <w:p w14:paraId="214A0CFC" w14:textId="77777777" w:rsidR="00CD41CD" w:rsidRPr="00CE28EA" w:rsidRDefault="00CD41CD" w:rsidP="00401AFA">
            <w:pPr>
              <w:jc w:val="center"/>
              <w:rPr>
                <w:rFonts w:eastAsia="Calibri"/>
                <w:b/>
                <w:sz w:val="20"/>
                <w:szCs w:val="20"/>
              </w:rPr>
            </w:pPr>
          </w:p>
        </w:tc>
        <w:tc>
          <w:tcPr>
            <w:tcW w:w="746" w:type="pct"/>
            <w:shd w:val="clear" w:color="auto" w:fill="D9D9D9"/>
            <w:vAlign w:val="bottom"/>
          </w:tcPr>
          <w:p w14:paraId="30E0E5C2" w14:textId="77777777" w:rsidR="00CD41CD" w:rsidRPr="00CE28EA" w:rsidRDefault="00CD41CD" w:rsidP="00401AFA">
            <w:pPr>
              <w:jc w:val="center"/>
              <w:rPr>
                <w:rFonts w:eastAsia="Calibri"/>
                <w:b/>
                <w:sz w:val="20"/>
                <w:szCs w:val="20"/>
              </w:rPr>
            </w:pPr>
            <w:r w:rsidRPr="00CE28EA">
              <w:rPr>
                <w:rFonts w:eastAsia="Calibri"/>
                <w:b/>
                <w:sz w:val="20"/>
                <w:szCs w:val="20"/>
              </w:rPr>
              <w:t>Number of Respondents</w:t>
            </w:r>
            <w:r w:rsidRPr="00CE28EA">
              <w:rPr>
                <w:rFonts w:eastAsia="Calibri"/>
                <w:b/>
                <w:sz w:val="20"/>
                <w:szCs w:val="20"/>
              </w:rPr>
              <w:br/>
              <w:t>(1)</w:t>
            </w:r>
          </w:p>
        </w:tc>
        <w:tc>
          <w:tcPr>
            <w:tcW w:w="746" w:type="pct"/>
            <w:shd w:val="clear" w:color="auto" w:fill="D9D9D9"/>
            <w:vAlign w:val="bottom"/>
          </w:tcPr>
          <w:p w14:paraId="3EDAFE85" w14:textId="77777777" w:rsidR="00CD41CD" w:rsidRPr="00CE28EA" w:rsidRDefault="00CD41CD" w:rsidP="00401AFA">
            <w:pPr>
              <w:jc w:val="center"/>
              <w:rPr>
                <w:rFonts w:eastAsia="Calibri"/>
                <w:b/>
                <w:sz w:val="20"/>
                <w:szCs w:val="20"/>
              </w:rPr>
            </w:pPr>
            <w:r w:rsidRPr="00CE28EA">
              <w:rPr>
                <w:rFonts w:eastAsia="Calibri"/>
                <w:b/>
                <w:sz w:val="20"/>
                <w:szCs w:val="20"/>
              </w:rPr>
              <w:t>Annual Number of Responses per Respondent</w:t>
            </w:r>
          </w:p>
          <w:p w14:paraId="7263133F" w14:textId="77777777" w:rsidR="00CD41CD" w:rsidRPr="00CE28EA" w:rsidRDefault="00CD41CD" w:rsidP="00401AFA">
            <w:pPr>
              <w:jc w:val="center"/>
              <w:rPr>
                <w:rFonts w:eastAsia="Calibri"/>
                <w:b/>
                <w:sz w:val="20"/>
                <w:szCs w:val="20"/>
              </w:rPr>
            </w:pPr>
            <w:r w:rsidRPr="00CE28EA">
              <w:rPr>
                <w:rFonts w:eastAsia="Calibri"/>
                <w:b/>
                <w:sz w:val="20"/>
                <w:szCs w:val="20"/>
              </w:rPr>
              <w:t>(2)</w:t>
            </w:r>
          </w:p>
        </w:tc>
        <w:tc>
          <w:tcPr>
            <w:tcW w:w="703" w:type="pct"/>
            <w:shd w:val="clear" w:color="auto" w:fill="D9D9D9"/>
            <w:vAlign w:val="bottom"/>
          </w:tcPr>
          <w:p w14:paraId="5DE65D68" w14:textId="77777777" w:rsidR="00CD41CD" w:rsidRPr="00CE28EA" w:rsidRDefault="00CD41CD" w:rsidP="00401AFA">
            <w:pPr>
              <w:jc w:val="center"/>
              <w:rPr>
                <w:rFonts w:eastAsia="Calibri"/>
                <w:b/>
                <w:sz w:val="20"/>
                <w:szCs w:val="20"/>
              </w:rPr>
            </w:pPr>
            <w:r w:rsidRPr="00CE28EA">
              <w:rPr>
                <w:rFonts w:eastAsia="Calibri"/>
                <w:b/>
                <w:sz w:val="20"/>
                <w:szCs w:val="20"/>
              </w:rPr>
              <w:t>Total Number of Responses (1)*(2)=(3)</w:t>
            </w:r>
          </w:p>
        </w:tc>
        <w:tc>
          <w:tcPr>
            <w:tcW w:w="654" w:type="pct"/>
            <w:shd w:val="clear" w:color="auto" w:fill="D9D9D9"/>
            <w:vAlign w:val="bottom"/>
          </w:tcPr>
          <w:p w14:paraId="699A52FE" w14:textId="77777777" w:rsidR="00CD41CD" w:rsidRPr="00CE28EA" w:rsidRDefault="00CD41CD" w:rsidP="00401AFA">
            <w:pPr>
              <w:jc w:val="center"/>
              <w:rPr>
                <w:rFonts w:eastAsia="Calibri"/>
                <w:b/>
                <w:sz w:val="20"/>
                <w:szCs w:val="20"/>
              </w:rPr>
            </w:pPr>
            <w:r w:rsidRPr="00CE28EA">
              <w:rPr>
                <w:rFonts w:eastAsia="Calibri"/>
                <w:b/>
                <w:sz w:val="20"/>
                <w:szCs w:val="20"/>
              </w:rPr>
              <w:t>Average Burden &amp; Cost Per Response</w:t>
            </w:r>
            <w:r w:rsidRPr="00CE28EA">
              <w:rPr>
                <w:rFonts w:eastAsia="Calibri"/>
                <w:b/>
                <w:sz w:val="20"/>
                <w:szCs w:val="20"/>
                <w:vertAlign w:val="superscript"/>
              </w:rPr>
              <w:footnoteReference w:id="2"/>
            </w:r>
          </w:p>
          <w:p w14:paraId="606ECFE9" w14:textId="77777777" w:rsidR="00CD41CD" w:rsidRPr="00CE28EA" w:rsidRDefault="00CD41CD" w:rsidP="00401AFA">
            <w:pPr>
              <w:jc w:val="center"/>
              <w:rPr>
                <w:rFonts w:eastAsia="Calibri"/>
                <w:b/>
                <w:sz w:val="20"/>
                <w:szCs w:val="20"/>
              </w:rPr>
            </w:pPr>
            <w:r w:rsidRPr="00CE28EA">
              <w:rPr>
                <w:rFonts w:eastAsia="Calibri"/>
                <w:b/>
                <w:sz w:val="20"/>
                <w:szCs w:val="20"/>
              </w:rPr>
              <w:t>(4)</w:t>
            </w:r>
          </w:p>
        </w:tc>
        <w:tc>
          <w:tcPr>
            <w:tcW w:w="657" w:type="pct"/>
            <w:shd w:val="clear" w:color="auto" w:fill="D9D9D9"/>
            <w:vAlign w:val="bottom"/>
          </w:tcPr>
          <w:p w14:paraId="162AFE3B" w14:textId="77777777" w:rsidR="00CD41CD" w:rsidRPr="00CE28EA" w:rsidRDefault="00CD41CD" w:rsidP="00401AFA">
            <w:pPr>
              <w:jc w:val="center"/>
              <w:rPr>
                <w:rFonts w:eastAsia="Calibri"/>
                <w:b/>
                <w:sz w:val="20"/>
                <w:szCs w:val="20"/>
              </w:rPr>
            </w:pPr>
            <w:r w:rsidRPr="00CE28EA">
              <w:rPr>
                <w:rFonts w:eastAsia="Calibri"/>
                <w:b/>
                <w:sz w:val="20"/>
                <w:szCs w:val="20"/>
              </w:rPr>
              <w:t>Total Annual Burden Hours &amp; Total Annual Cost</w:t>
            </w:r>
          </w:p>
          <w:p w14:paraId="0A67D615" w14:textId="77777777" w:rsidR="00CD41CD" w:rsidRPr="00CE28EA" w:rsidRDefault="00CD41CD" w:rsidP="00401AFA">
            <w:pPr>
              <w:jc w:val="center"/>
              <w:rPr>
                <w:rFonts w:eastAsia="Calibri"/>
                <w:b/>
                <w:sz w:val="20"/>
                <w:szCs w:val="20"/>
              </w:rPr>
            </w:pPr>
            <w:r w:rsidRPr="00CE28EA">
              <w:rPr>
                <w:rFonts w:eastAsia="Calibri"/>
                <w:b/>
                <w:sz w:val="20"/>
                <w:szCs w:val="20"/>
              </w:rPr>
              <w:t>(3)*(4)=(5)</w:t>
            </w:r>
          </w:p>
        </w:tc>
        <w:tc>
          <w:tcPr>
            <w:tcW w:w="616" w:type="pct"/>
            <w:shd w:val="clear" w:color="auto" w:fill="D9D9D9"/>
            <w:vAlign w:val="bottom"/>
          </w:tcPr>
          <w:p w14:paraId="4C8CA364" w14:textId="77777777" w:rsidR="00CD41CD" w:rsidRPr="00CE28EA" w:rsidRDefault="00CD41CD" w:rsidP="00401AFA">
            <w:pPr>
              <w:jc w:val="center"/>
              <w:rPr>
                <w:rFonts w:eastAsia="Calibri"/>
                <w:b/>
                <w:sz w:val="20"/>
                <w:szCs w:val="20"/>
              </w:rPr>
            </w:pPr>
            <w:r w:rsidRPr="00CE28EA">
              <w:rPr>
                <w:rFonts w:eastAsia="Calibri"/>
                <w:b/>
                <w:sz w:val="20"/>
                <w:szCs w:val="20"/>
              </w:rPr>
              <w:t>Cost per Respondent</w:t>
            </w:r>
          </w:p>
          <w:p w14:paraId="4A652345" w14:textId="77777777" w:rsidR="00CD41CD" w:rsidRPr="00CE28EA" w:rsidRDefault="00CD41CD" w:rsidP="00401AFA">
            <w:pPr>
              <w:jc w:val="center"/>
              <w:rPr>
                <w:rFonts w:eastAsia="Calibri"/>
                <w:b/>
                <w:sz w:val="20"/>
                <w:szCs w:val="20"/>
              </w:rPr>
            </w:pPr>
            <w:r w:rsidRPr="00CE28EA">
              <w:rPr>
                <w:rFonts w:eastAsia="Calibri"/>
                <w:b/>
                <w:sz w:val="20"/>
                <w:szCs w:val="20"/>
              </w:rPr>
              <w:t xml:space="preserve"> ($)</w:t>
            </w:r>
          </w:p>
          <w:p w14:paraId="2506F625" w14:textId="77777777" w:rsidR="00CD41CD" w:rsidRPr="00CE28EA" w:rsidRDefault="00CD41CD" w:rsidP="00401AFA">
            <w:pPr>
              <w:jc w:val="center"/>
              <w:rPr>
                <w:rFonts w:eastAsia="Calibri"/>
                <w:b/>
                <w:sz w:val="20"/>
                <w:szCs w:val="20"/>
              </w:rPr>
            </w:pPr>
            <w:r w:rsidRPr="00CE28EA">
              <w:rPr>
                <w:rFonts w:eastAsia="Calibri"/>
                <w:b/>
                <w:sz w:val="20"/>
                <w:szCs w:val="20"/>
              </w:rPr>
              <w:t>(5)÷(1)</w:t>
            </w:r>
            <w:r w:rsidRPr="00CE28EA">
              <w:rPr>
                <w:rStyle w:val="FootnoteReference"/>
                <w:rFonts w:eastAsia="Calibri"/>
                <w:b w:val="0"/>
                <w:sz w:val="20"/>
                <w:szCs w:val="20"/>
              </w:rPr>
              <w:footnoteReference w:id="3"/>
            </w:r>
          </w:p>
        </w:tc>
      </w:tr>
      <w:tr w:rsidR="00CD41CD" w:rsidRPr="00CE28EA" w14:paraId="597574F3" w14:textId="77777777" w:rsidTr="00401AFA">
        <w:trPr>
          <w:cantSplit/>
        </w:trPr>
        <w:tc>
          <w:tcPr>
            <w:tcW w:w="878" w:type="pct"/>
          </w:tcPr>
          <w:p w14:paraId="67D18141" w14:textId="77777777" w:rsidR="00CD41CD" w:rsidRPr="00CE28EA" w:rsidRDefault="00CD41CD" w:rsidP="00401AFA">
            <w:pPr>
              <w:rPr>
                <w:rFonts w:eastAsia="Calibri"/>
                <w:sz w:val="20"/>
                <w:szCs w:val="20"/>
              </w:rPr>
            </w:pPr>
            <w:r>
              <w:rPr>
                <w:rFonts w:eastAsia="Calibri"/>
                <w:sz w:val="20"/>
                <w:szCs w:val="20"/>
              </w:rPr>
              <w:t>Form No. 60</w:t>
            </w:r>
            <w:r w:rsidRPr="00577139">
              <w:rPr>
                <w:rFonts w:eastAsia="Calibri"/>
                <w:b/>
                <w:sz w:val="20"/>
                <w:szCs w:val="20"/>
                <w:vertAlign w:val="superscript"/>
              </w:rPr>
              <w:footnoteReference w:id="4"/>
            </w:r>
          </w:p>
        </w:tc>
        <w:tc>
          <w:tcPr>
            <w:tcW w:w="746" w:type="pct"/>
          </w:tcPr>
          <w:p w14:paraId="6B5889A8" w14:textId="77777777" w:rsidR="00CD41CD" w:rsidRPr="00CE28EA" w:rsidRDefault="00CD41CD" w:rsidP="00401AFA">
            <w:pPr>
              <w:jc w:val="right"/>
              <w:rPr>
                <w:rFonts w:eastAsia="Calibri"/>
                <w:sz w:val="20"/>
                <w:szCs w:val="20"/>
              </w:rPr>
            </w:pPr>
            <w:r>
              <w:rPr>
                <w:rFonts w:eastAsia="Calibri"/>
                <w:sz w:val="20"/>
                <w:szCs w:val="20"/>
              </w:rPr>
              <w:t>39</w:t>
            </w:r>
          </w:p>
          <w:p w14:paraId="3EA5D337" w14:textId="77777777" w:rsidR="00CD41CD" w:rsidRPr="00CE28EA" w:rsidRDefault="00CD41CD" w:rsidP="00401AFA">
            <w:pPr>
              <w:jc w:val="right"/>
              <w:rPr>
                <w:rFonts w:eastAsia="Calibri"/>
                <w:sz w:val="20"/>
                <w:szCs w:val="20"/>
              </w:rPr>
            </w:pPr>
          </w:p>
        </w:tc>
        <w:tc>
          <w:tcPr>
            <w:tcW w:w="746" w:type="pct"/>
          </w:tcPr>
          <w:p w14:paraId="7AA4AF15" w14:textId="77777777" w:rsidR="00CD41CD" w:rsidRPr="00CE28EA" w:rsidRDefault="00CD41CD" w:rsidP="00401AFA">
            <w:pPr>
              <w:jc w:val="right"/>
              <w:rPr>
                <w:rFonts w:eastAsia="Calibri"/>
                <w:sz w:val="20"/>
                <w:szCs w:val="20"/>
              </w:rPr>
            </w:pPr>
            <w:r>
              <w:rPr>
                <w:rFonts w:eastAsia="Calibri"/>
                <w:sz w:val="20"/>
                <w:szCs w:val="20"/>
              </w:rPr>
              <w:t>1</w:t>
            </w:r>
          </w:p>
        </w:tc>
        <w:tc>
          <w:tcPr>
            <w:tcW w:w="703" w:type="pct"/>
          </w:tcPr>
          <w:p w14:paraId="1ADDAB1F" w14:textId="77777777" w:rsidR="00CD41CD" w:rsidRPr="00CE28EA" w:rsidRDefault="00CD41CD" w:rsidP="00401AFA">
            <w:pPr>
              <w:jc w:val="right"/>
              <w:rPr>
                <w:rFonts w:eastAsia="Calibri"/>
                <w:sz w:val="20"/>
                <w:szCs w:val="20"/>
              </w:rPr>
            </w:pPr>
            <w:r>
              <w:rPr>
                <w:rFonts w:eastAsia="Calibri"/>
                <w:sz w:val="20"/>
                <w:szCs w:val="20"/>
              </w:rPr>
              <w:t>39</w:t>
            </w:r>
          </w:p>
        </w:tc>
        <w:tc>
          <w:tcPr>
            <w:tcW w:w="654" w:type="pct"/>
          </w:tcPr>
          <w:p w14:paraId="44FA8CB8" w14:textId="77777777" w:rsidR="00CD41CD" w:rsidRPr="00CE28EA" w:rsidRDefault="00CD41CD" w:rsidP="00401AFA">
            <w:pPr>
              <w:jc w:val="right"/>
              <w:rPr>
                <w:rFonts w:eastAsia="Calibri"/>
                <w:sz w:val="20"/>
                <w:szCs w:val="20"/>
              </w:rPr>
            </w:pPr>
            <w:r>
              <w:rPr>
                <w:rFonts w:eastAsia="Calibri"/>
                <w:sz w:val="20"/>
                <w:szCs w:val="20"/>
              </w:rPr>
              <w:t>75</w:t>
            </w:r>
            <w:r w:rsidRPr="00CE28EA">
              <w:rPr>
                <w:rFonts w:eastAsia="Calibri"/>
                <w:sz w:val="20"/>
                <w:szCs w:val="20"/>
              </w:rPr>
              <w:t xml:space="preserve"> hrs.;</w:t>
            </w:r>
          </w:p>
          <w:p w14:paraId="5AF53B1F" w14:textId="77777777" w:rsidR="00CD41CD" w:rsidRPr="00CE28EA" w:rsidRDefault="00CD41CD" w:rsidP="00401AFA">
            <w:pPr>
              <w:jc w:val="right"/>
              <w:rPr>
                <w:rFonts w:eastAsia="Calibri"/>
                <w:sz w:val="20"/>
                <w:szCs w:val="20"/>
              </w:rPr>
            </w:pPr>
            <w:r>
              <w:rPr>
                <w:rFonts w:eastAsia="Calibri"/>
                <w:sz w:val="20"/>
                <w:szCs w:val="20"/>
              </w:rPr>
              <w:t>$4,749</w:t>
            </w:r>
          </w:p>
        </w:tc>
        <w:tc>
          <w:tcPr>
            <w:tcW w:w="657" w:type="pct"/>
          </w:tcPr>
          <w:p w14:paraId="0CE9EAA8" w14:textId="77777777" w:rsidR="00CD41CD" w:rsidRPr="00CE28EA" w:rsidRDefault="00CD41CD" w:rsidP="00401AFA">
            <w:pPr>
              <w:jc w:val="right"/>
              <w:rPr>
                <w:rFonts w:eastAsia="Calibri"/>
                <w:sz w:val="20"/>
                <w:szCs w:val="20"/>
              </w:rPr>
            </w:pPr>
            <w:r>
              <w:rPr>
                <w:rFonts w:eastAsia="Calibri"/>
                <w:sz w:val="20"/>
                <w:szCs w:val="20"/>
              </w:rPr>
              <w:t>2,925 hrs.;</w:t>
            </w:r>
          </w:p>
          <w:p w14:paraId="04DBF312" w14:textId="77777777" w:rsidR="00CD41CD" w:rsidRPr="00CE28EA" w:rsidRDefault="00CD41CD" w:rsidP="00401AFA">
            <w:pPr>
              <w:jc w:val="right"/>
              <w:rPr>
                <w:rFonts w:eastAsia="Calibri"/>
                <w:sz w:val="20"/>
                <w:szCs w:val="20"/>
              </w:rPr>
            </w:pPr>
            <w:r>
              <w:rPr>
                <w:rFonts w:eastAsia="Calibri"/>
                <w:sz w:val="20"/>
                <w:szCs w:val="20"/>
              </w:rPr>
              <w:t>$185,211</w:t>
            </w:r>
            <w:r w:rsidRPr="00CE28EA">
              <w:rPr>
                <w:rFonts w:eastAsia="Calibri"/>
                <w:sz w:val="20"/>
                <w:szCs w:val="20"/>
              </w:rPr>
              <w:t xml:space="preserve"> </w:t>
            </w:r>
          </w:p>
        </w:tc>
        <w:tc>
          <w:tcPr>
            <w:tcW w:w="616" w:type="pct"/>
          </w:tcPr>
          <w:p w14:paraId="0508AA52" w14:textId="77777777" w:rsidR="00CD41CD" w:rsidRPr="00CE28EA" w:rsidRDefault="00CD41CD" w:rsidP="00401AFA">
            <w:pPr>
              <w:jc w:val="right"/>
              <w:rPr>
                <w:rFonts w:eastAsia="Calibri"/>
                <w:sz w:val="20"/>
                <w:szCs w:val="20"/>
              </w:rPr>
            </w:pPr>
            <w:r>
              <w:rPr>
                <w:rFonts w:eastAsia="Calibri"/>
                <w:sz w:val="20"/>
                <w:szCs w:val="20"/>
              </w:rPr>
              <w:t>$4,749</w:t>
            </w:r>
          </w:p>
          <w:p w14:paraId="387AC8C8" w14:textId="77777777" w:rsidR="00CD41CD" w:rsidRPr="00CE28EA" w:rsidRDefault="00CD41CD" w:rsidP="00401AFA">
            <w:pPr>
              <w:jc w:val="right"/>
              <w:rPr>
                <w:rFonts w:eastAsia="Calibri"/>
                <w:sz w:val="20"/>
                <w:szCs w:val="20"/>
              </w:rPr>
            </w:pPr>
          </w:p>
        </w:tc>
      </w:tr>
      <w:tr w:rsidR="00CD41CD" w:rsidRPr="00CE28EA" w14:paraId="40A95B79" w14:textId="77777777" w:rsidTr="00401AFA">
        <w:trPr>
          <w:cantSplit/>
        </w:trPr>
        <w:tc>
          <w:tcPr>
            <w:tcW w:w="878" w:type="pct"/>
          </w:tcPr>
          <w:p w14:paraId="0A147562" w14:textId="77777777" w:rsidR="00CD41CD" w:rsidRPr="00CE28EA" w:rsidRDefault="00CD41CD" w:rsidP="00401AFA">
            <w:pPr>
              <w:rPr>
                <w:rFonts w:eastAsia="Calibri"/>
                <w:sz w:val="20"/>
                <w:szCs w:val="20"/>
              </w:rPr>
            </w:pPr>
            <w:r>
              <w:rPr>
                <w:rFonts w:eastAsia="Calibri"/>
                <w:sz w:val="20"/>
                <w:szCs w:val="20"/>
              </w:rPr>
              <w:t>Form No. 61</w:t>
            </w:r>
            <w:r w:rsidRPr="00655152">
              <w:rPr>
                <w:rFonts w:eastAsia="Calibri"/>
                <w:b/>
                <w:sz w:val="20"/>
                <w:szCs w:val="20"/>
                <w:vertAlign w:val="superscript"/>
              </w:rPr>
              <w:footnoteReference w:id="5"/>
            </w:r>
          </w:p>
        </w:tc>
        <w:tc>
          <w:tcPr>
            <w:tcW w:w="746" w:type="pct"/>
          </w:tcPr>
          <w:p w14:paraId="4DE7E1AE" w14:textId="77777777" w:rsidR="00CD41CD" w:rsidRPr="00CE28EA" w:rsidRDefault="00CD41CD" w:rsidP="00401AFA">
            <w:pPr>
              <w:jc w:val="right"/>
              <w:rPr>
                <w:rFonts w:eastAsia="Calibri"/>
                <w:sz w:val="20"/>
                <w:szCs w:val="20"/>
              </w:rPr>
            </w:pPr>
            <w:r>
              <w:rPr>
                <w:rFonts w:eastAsia="Calibri"/>
                <w:sz w:val="20"/>
                <w:szCs w:val="20"/>
              </w:rPr>
              <w:t>78</w:t>
            </w:r>
          </w:p>
        </w:tc>
        <w:tc>
          <w:tcPr>
            <w:tcW w:w="746" w:type="pct"/>
          </w:tcPr>
          <w:p w14:paraId="53C9A913" w14:textId="77777777" w:rsidR="00CD41CD" w:rsidRPr="00CE28EA" w:rsidRDefault="00CD41CD" w:rsidP="00401AFA">
            <w:pPr>
              <w:jc w:val="right"/>
              <w:rPr>
                <w:rFonts w:eastAsia="Calibri"/>
                <w:sz w:val="20"/>
                <w:szCs w:val="20"/>
              </w:rPr>
            </w:pPr>
            <w:r>
              <w:rPr>
                <w:rFonts w:eastAsia="Calibri"/>
                <w:sz w:val="20"/>
                <w:szCs w:val="20"/>
              </w:rPr>
              <w:t>1</w:t>
            </w:r>
          </w:p>
        </w:tc>
        <w:tc>
          <w:tcPr>
            <w:tcW w:w="703" w:type="pct"/>
          </w:tcPr>
          <w:p w14:paraId="7A682813" w14:textId="77777777" w:rsidR="00CD41CD" w:rsidRPr="00CE28EA" w:rsidRDefault="00CD41CD" w:rsidP="00401AFA">
            <w:pPr>
              <w:jc w:val="right"/>
              <w:rPr>
                <w:rFonts w:eastAsia="Calibri"/>
                <w:sz w:val="20"/>
                <w:szCs w:val="20"/>
              </w:rPr>
            </w:pPr>
            <w:r>
              <w:rPr>
                <w:rFonts w:eastAsia="Calibri"/>
                <w:sz w:val="20"/>
                <w:szCs w:val="20"/>
              </w:rPr>
              <w:t>78</w:t>
            </w:r>
          </w:p>
        </w:tc>
        <w:tc>
          <w:tcPr>
            <w:tcW w:w="654" w:type="pct"/>
          </w:tcPr>
          <w:p w14:paraId="08D64982" w14:textId="77777777" w:rsidR="00CD41CD" w:rsidRPr="00CE28EA" w:rsidRDefault="00CD41CD" w:rsidP="00401AFA">
            <w:pPr>
              <w:jc w:val="right"/>
              <w:rPr>
                <w:rFonts w:eastAsia="Calibri"/>
                <w:sz w:val="20"/>
                <w:szCs w:val="20"/>
              </w:rPr>
            </w:pPr>
            <w:r>
              <w:rPr>
                <w:rFonts w:eastAsia="Calibri"/>
                <w:sz w:val="20"/>
                <w:szCs w:val="20"/>
              </w:rPr>
              <w:t>0.5 hrs</w:t>
            </w:r>
            <w:r w:rsidRPr="00CE28EA">
              <w:rPr>
                <w:rFonts w:eastAsia="Calibri"/>
                <w:sz w:val="20"/>
                <w:szCs w:val="20"/>
              </w:rPr>
              <w:t>.;</w:t>
            </w:r>
          </w:p>
          <w:p w14:paraId="1FCEA338" w14:textId="77777777" w:rsidR="00CD41CD" w:rsidRPr="00CE28EA" w:rsidRDefault="00CD41CD" w:rsidP="00401AFA">
            <w:pPr>
              <w:jc w:val="right"/>
              <w:rPr>
                <w:rFonts w:eastAsia="Calibri"/>
                <w:sz w:val="20"/>
                <w:szCs w:val="20"/>
              </w:rPr>
            </w:pPr>
            <w:r>
              <w:rPr>
                <w:rFonts w:eastAsia="Calibri"/>
                <w:sz w:val="20"/>
                <w:szCs w:val="20"/>
              </w:rPr>
              <w:t>$19.84</w:t>
            </w:r>
          </w:p>
        </w:tc>
        <w:tc>
          <w:tcPr>
            <w:tcW w:w="657" w:type="pct"/>
          </w:tcPr>
          <w:p w14:paraId="55586E83" w14:textId="77777777" w:rsidR="00CD41CD" w:rsidRPr="00CE28EA" w:rsidRDefault="00CD41CD" w:rsidP="00401AFA">
            <w:pPr>
              <w:jc w:val="right"/>
              <w:rPr>
                <w:rFonts w:eastAsia="Calibri"/>
                <w:sz w:val="20"/>
                <w:szCs w:val="20"/>
              </w:rPr>
            </w:pPr>
            <w:r>
              <w:rPr>
                <w:rFonts w:eastAsia="Calibri"/>
                <w:sz w:val="20"/>
                <w:szCs w:val="20"/>
              </w:rPr>
              <w:t>39</w:t>
            </w:r>
            <w:r w:rsidRPr="00CE28EA">
              <w:rPr>
                <w:rFonts w:eastAsia="Calibri"/>
                <w:sz w:val="20"/>
                <w:szCs w:val="20"/>
              </w:rPr>
              <w:t xml:space="preserve"> hrs.;</w:t>
            </w:r>
          </w:p>
          <w:p w14:paraId="3C948942" w14:textId="77777777" w:rsidR="00CD41CD" w:rsidRPr="00CE28EA" w:rsidRDefault="00CD41CD" w:rsidP="00401AFA">
            <w:pPr>
              <w:jc w:val="right"/>
              <w:rPr>
                <w:rFonts w:eastAsia="Calibri"/>
                <w:sz w:val="20"/>
                <w:szCs w:val="20"/>
              </w:rPr>
            </w:pPr>
            <w:r>
              <w:rPr>
                <w:rFonts w:eastAsia="Calibri"/>
                <w:sz w:val="20"/>
                <w:szCs w:val="20"/>
              </w:rPr>
              <w:t>$1,548</w:t>
            </w:r>
          </w:p>
        </w:tc>
        <w:tc>
          <w:tcPr>
            <w:tcW w:w="616" w:type="pct"/>
          </w:tcPr>
          <w:p w14:paraId="29627182" w14:textId="77777777" w:rsidR="00CD41CD" w:rsidRPr="00CE28EA" w:rsidRDefault="00CD41CD" w:rsidP="00401AFA">
            <w:pPr>
              <w:jc w:val="right"/>
              <w:rPr>
                <w:rFonts w:eastAsia="Calibri"/>
                <w:sz w:val="20"/>
                <w:szCs w:val="20"/>
              </w:rPr>
            </w:pPr>
            <w:r>
              <w:rPr>
                <w:rFonts w:eastAsia="Calibri"/>
                <w:sz w:val="20"/>
                <w:szCs w:val="20"/>
              </w:rPr>
              <w:t>$19.84</w:t>
            </w:r>
          </w:p>
        </w:tc>
      </w:tr>
      <w:tr w:rsidR="00CD41CD" w:rsidRPr="00CE28EA" w14:paraId="5A0A512D" w14:textId="77777777" w:rsidTr="00401AFA">
        <w:trPr>
          <w:cantSplit/>
        </w:trPr>
        <w:tc>
          <w:tcPr>
            <w:tcW w:w="878" w:type="pct"/>
          </w:tcPr>
          <w:p w14:paraId="3C27033B" w14:textId="77777777" w:rsidR="00CD41CD" w:rsidRDefault="00CD41CD" w:rsidP="00401AFA">
            <w:pPr>
              <w:rPr>
                <w:rFonts w:eastAsia="Calibri"/>
                <w:sz w:val="20"/>
                <w:szCs w:val="20"/>
              </w:rPr>
            </w:pPr>
            <w:r>
              <w:rPr>
                <w:rFonts w:eastAsia="Calibri"/>
                <w:sz w:val="20"/>
                <w:szCs w:val="20"/>
              </w:rPr>
              <w:t>Form No. 555A</w:t>
            </w:r>
            <w:r w:rsidRPr="00655152">
              <w:rPr>
                <w:rFonts w:eastAsia="Calibri"/>
                <w:b/>
                <w:sz w:val="20"/>
                <w:szCs w:val="20"/>
                <w:vertAlign w:val="superscript"/>
              </w:rPr>
              <w:footnoteReference w:id="6"/>
            </w:r>
          </w:p>
        </w:tc>
        <w:tc>
          <w:tcPr>
            <w:tcW w:w="746" w:type="pct"/>
          </w:tcPr>
          <w:p w14:paraId="3FB3B2D8" w14:textId="77777777" w:rsidR="00CD41CD" w:rsidRPr="00CE28EA" w:rsidRDefault="00CD41CD" w:rsidP="00401AFA">
            <w:pPr>
              <w:jc w:val="right"/>
              <w:rPr>
                <w:rFonts w:eastAsia="Calibri"/>
                <w:sz w:val="20"/>
                <w:szCs w:val="20"/>
              </w:rPr>
            </w:pPr>
            <w:r>
              <w:rPr>
                <w:rFonts w:eastAsia="Calibri"/>
                <w:sz w:val="20"/>
                <w:szCs w:val="20"/>
              </w:rPr>
              <w:t>117</w:t>
            </w:r>
          </w:p>
        </w:tc>
        <w:tc>
          <w:tcPr>
            <w:tcW w:w="746" w:type="pct"/>
          </w:tcPr>
          <w:p w14:paraId="6BE0DC16" w14:textId="77777777" w:rsidR="00CD41CD" w:rsidRPr="00CE28EA" w:rsidRDefault="00CD41CD" w:rsidP="00401AFA">
            <w:pPr>
              <w:jc w:val="right"/>
              <w:rPr>
                <w:rFonts w:eastAsia="Calibri"/>
                <w:sz w:val="20"/>
                <w:szCs w:val="20"/>
              </w:rPr>
            </w:pPr>
            <w:r>
              <w:rPr>
                <w:rFonts w:eastAsia="Calibri"/>
                <w:sz w:val="20"/>
                <w:szCs w:val="20"/>
              </w:rPr>
              <w:t>1</w:t>
            </w:r>
          </w:p>
        </w:tc>
        <w:tc>
          <w:tcPr>
            <w:tcW w:w="703" w:type="pct"/>
          </w:tcPr>
          <w:p w14:paraId="2C682D1B" w14:textId="77777777" w:rsidR="00CD41CD" w:rsidRPr="00CE28EA" w:rsidRDefault="00CD41CD" w:rsidP="00401AFA">
            <w:pPr>
              <w:jc w:val="right"/>
              <w:rPr>
                <w:rFonts w:eastAsia="Calibri"/>
                <w:sz w:val="20"/>
                <w:szCs w:val="20"/>
              </w:rPr>
            </w:pPr>
            <w:r>
              <w:rPr>
                <w:rFonts w:eastAsia="Calibri"/>
                <w:sz w:val="20"/>
                <w:szCs w:val="20"/>
              </w:rPr>
              <w:t>117</w:t>
            </w:r>
          </w:p>
        </w:tc>
        <w:tc>
          <w:tcPr>
            <w:tcW w:w="654" w:type="pct"/>
          </w:tcPr>
          <w:p w14:paraId="33973B0D" w14:textId="77777777" w:rsidR="00CD41CD" w:rsidRDefault="00CD41CD" w:rsidP="00401AFA">
            <w:pPr>
              <w:jc w:val="right"/>
              <w:rPr>
                <w:rFonts w:eastAsia="Calibri"/>
                <w:sz w:val="20"/>
                <w:szCs w:val="20"/>
              </w:rPr>
            </w:pPr>
            <w:r>
              <w:rPr>
                <w:rFonts w:eastAsia="Calibri"/>
                <w:sz w:val="20"/>
                <w:szCs w:val="20"/>
              </w:rPr>
              <w:t>1,080 hrs.;</w:t>
            </w:r>
          </w:p>
          <w:p w14:paraId="4BC13E2F" w14:textId="77777777" w:rsidR="00CD41CD" w:rsidRPr="00CE28EA" w:rsidRDefault="00CD41CD" w:rsidP="00401AFA">
            <w:pPr>
              <w:jc w:val="right"/>
              <w:rPr>
                <w:rFonts w:eastAsia="Calibri"/>
                <w:sz w:val="20"/>
                <w:szCs w:val="20"/>
              </w:rPr>
            </w:pPr>
            <w:r>
              <w:rPr>
                <w:rFonts w:eastAsia="Calibri"/>
                <w:sz w:val="20"/>
                <w:szCs w:val="20"/>
              </w:rPr>
              <w:t>$36,061</w:t>
            </w:r>
          </w:p>
        </w:tc>
        <w:tc>
          <w:tcPr>
            <w:tcW w:w="657" w:type="pct"/>
          </w:tcPr>
          <w:p w14:paraId="4F7B7075" w14:textId="77777777" w:rsidR="00CD41CD" w:rsidRDefault="00CD41CD" w:rsidP="00401AFA">
            <w:pPr>
              <w:jc w:val="right"/>
              <w:rPr>
                <w:rFonts w:eastAsia="Calibri"/>
                <w:sz w:val="20"/>
                <w:szCs w:val="20"/>
              </w:rPr>
            </w:pPr>
            <w:r>
              <w:rPr>
                <w:rFonts w:eastAsia="Calibri"/>
                <w:sz w:val="20"/>
                <w:szCs w:val="20"/>
              </w:rPr>
              <w:t>126,360 hrs.;</w:t>
            </w:r>
          </w:p>
          <w:p w14:paraId="4D961B1C" w14:textId="77777777" w:rsidR="00CD41CD" w:rsidRPr="00CE28EA" w:rsidRDefault="00CD41CD" w:rsidP="00401AFA">
            <w:pPr>
              <w:jc w:val="right"/>
              <w:rPr>
                <w:rFonts w:eastAsia="Calibri"/>
                <w:sz w:val="20"/>
                <w:szCs w:val="20"/>
              </w:rPr>
            </w:pPr>
            <w:r>
              <w:rPr>
                <w:rFonts w:eastAsia="Calibri"/>
                <w:sz w:val="20"/>
                <w:szCs w:val="20"/>
              </w:rPr>
              <w:t>$4,219,160</w:t>
            </w:r>
          </w:p>
        </w:tc>
        <w:tc>
          <w:tcPr>
            <w:tcW w:w="616" w:type="pct"/>
          </w:tcPr>
          <w:p w14:paraId="129ADC83" w14:textId="77777777" w:rsidR="00CD41CD" w:rsidRPr="00CE28EA" w:rsidRDefault="00CD41CD" w:rsidP="00401AFA">
            <w:pPr>
              <w:jc w:val="right"/>
              <w:rPr>
                <w:rFonts w:eastAsia="Calibri"/>
                <w:sz w:val="20"/>
                <w:szCs w:val="20"/>
              </w:rPr>
            </w:pPr>
            <w:r>
              <w:rPr>
                <w:rFonts w:eastAsia="Calibri"/>
                <w:sz w:val="20"/>
                <w:szCs w:val="20"/>
              </w:rPr>
              <w:t>$36,061</w:t>
            </w:r>
          </w:p>
        </w:tc>
      </w:tr>
      <w:tr w:rsidR="00CD41CD" w:rsidRPr="00CE28EA" w14:paraId="595206A6" w14:textId="77777777" w:rsidTr="00401AFA">
        <w:trPr>
          <w:cantSplit/>
          <w:trHeight w:val="485"/>
        </w:trPr>
        <w:tc>
          <w:tcPr>
            <w:tcW w:w="878" w:type="pct"/>
            <w:tcBorders>
              <w:bottom w:val="single" w:sz="4" w:space="0" w:color="auto"/>
            </w:tcBorders>
          </w:tcPr>
          <w:p w14:paraId="58D8FF0B" w14:textId="77777777" w:rsidR="00CD41CD" w:rsidRPr="00CE28EA" w:rsidRDefault="00CD41CD" w:rsidP="00401AFA">
            <w:pPr>
              <w:rPr>
                <w:rFonts w:eastAsia="Calibri"/>
                <w:b/>
                <w:sz w:val="20"/>
                <w:szCs w:val="20"/>
              </w:rPr>
            </w:pPr>
            <w:r>
              <w:rPr>
                <w:rFonts w:eastAsia="Calibri"/>
                <w:b/>
                <w:sz w:val="20"/>
                <w:szCs w:val="20"/>
              </w:rPr>
              <w:t>Total Paperwork Burden</w:t>
            </w:r>
          </w:p>
        </w:tc>
        <w:tc>
          <w:tcPr>
            <w:tcW w:w="1492" w:type="pct"/>
            <w:gridSpan w:val="2"/>
            <w:tcBorders>
              <w:bottom w:val="single" w:sz="4" w:space="0" w:color="auto"/>
            </w:tcBorders>
            <w:shd w:val="clear" w:color="auto" w:fill="D9D9D9"/>
          </w:tcPr>
          <w:p w14:paraId="17BD1EB8" w14:textId="77777777" w:rsidR="00CD41CD" w:rsidRPr="00CE28EA" w:rsidRDefault="00CD41CD" w:rsidP="00401AFA">
            <w:pPr>
              <w:jc w:val="right"/>
              <w:rPr>
                <w:rFonts w:eastAsia="Calibri"/>
                <w:sz w:val="20"/>
                <w:szCs w:val="20"/>
              </w:rPr>
            </w:pPr>
          </w:p>
        </w:tc>
        <w:tc>
          <w:tcPr>
            <w:tcW w:w="703" w:type="pct"/>
            <w:tcBorders>
              <w:bottom w:val="single" w:sz="4" w:space="0" w:color="auto"/>
            </w:tcBorders>
            <w:shd w:val="clear" w:color="auto" w:fill="auto"/>
          </w:tcPr>
          <w:p w14:paraId="4D502487" w14:textId="77777777" w:rsidR="00CD41CD" w:rsidRPr="00CE28EA" w:rsidRDefault="00CD41CD" w:rsidP="00401AFA">
            <w:pPr>
              <w:jc w:val="right"/>
              <w:rPr>
                <w:rFonts w:eastAsia="Calibri"/>
                <w:b/>
                <w:sz w:val="20"/>
                <w:szCs w:val="20"/>
              </w:rPr>
            </w:pPr>
            <w:r>
              <w:rPr>
                <w:rFonts w:eastAsia="Calibri"/>
                <w:b/>
                <w:sz w:val="20"/>
                <w:szCs w:val="20"/>
              </w:rPr>
              <w:t>234</w:t>
            </w:r>
          </w:p>
        </w:tc>
        <w:tc>
          <w:tcPr>
            <w:tcW w:w="654" w:type="pct"/>
            <w:tcBorders>
              <w:bottom w:val="single" w:sz="4" w:space="0" w:color="auto"/>
            </w:tcBorders>
            <w:shd w:val="clear" w:color="auto" w:fill="D9D9D9"/>
          </w:tcPr>
          <w:p w14:paraId="169624EA" w14:textId="77777777" w:rsidR="00CD41CD" w:rsidRPr="00CE28EA" w:rsidRDefault="00CD41CD" w:rsidP="00401AFA">
            <w:pPr>
              <w:jc w:val="right"/>
              <w:rPr>
                <w:rFonts w:eastAsia="Calibri"/>
                <w:sz w:val="20"/>
                <w:szCs w:val="20"/>
              </w:rPr>
            </w:pPr>
          </w:p>
        </w:tc>
        <w:tc>
          <w:tcPr>
            <w:tcW w:w="657" w:type="pct"/>
            <w:tcBorders>
              <w:bottom w:val="single" w:sz="4" w:space="0" w:color="auto"/>
            </w:tcBorders>
          </w:tcPr>
          <w:p w14:paraId="1912DEA1" w14:textId="77777777" w:rsidR="00CD41CD" w:rsidRPr="00CE28EA" w:rsidRDefault="00CD41CD" w:rsidP="00401AFA">
            <w:pPr>
              <w:jc w:val="right"/>
              <w:rPr>
                <w:rFonts w:eastAsia="Calibri"/>
                <w:b/>
                <w:sz w:val="20"/>
                <w:szCs w:val="20"/>
              </w:rPr>
            </w:pPr>
            <w:r>
              <w:rPr>
                <w:rFonts w:eastAsia="Calibri"/>
                <w:b/>
                <w:sz w:val="20"/>
                <w:szCs w:val="20"/>
              </w:rPr>
              <w:t>129,324</w:t>
            </w:r>
            <w:r w:rsidRPr="00CE28EA">
              <w:rPr>
                <w:rFonts w:eastAsia="Calibri"/>
                <w:b/>
                <w:sz w:val="20"/>
                <w:szCs w:val="20"/>
              </w:rPr>
              <w:t xml:space="preserve"> hrs.;</w:t>
            </w:r>
          </w:p>
          <w:p w14:paraId="03F3941E" w14:textId="77777777" w:rsidR="00CD41CD" w:rsidRPr="00CE28EA" w:rsidRDefault="00CD41CD" w:rsidP="00401AFA">
            <w:pPr>
              <w:jc w:val="right"/>
              <w:rPr>
                <w:rFonts w:eastAsia="Calibri"/>
                <w:b/>
                <w:sz w:val="20"/>
                <w:szCs w:val="20"/>
              </w:rPr>
            </w:pPr>
            <w:r>
              <w:rPr>
                <w:rFonts w:eastAsia="Calibri"/>
                <w:b/>
                <w:sz w:val="20"/>
                <w:szCs w:val="20"/>
              </w:rPr>
              <w:t>$4,405,919</w:t>
            </w:r>
          </w:p>
        </w:tc>
        <w:tc>
          <w:tcPr>
            <w:tcW w:w="616" w:type="pct"/>
            <w:tcBorders>
              <w:bottom w:val="single" w:sz="4" w:space="0" w:color="auto"/>
            </w:tcBorders>
            <w:shd w:val="clear" w:color="auto" w:fill="D9D9D9"/>
          </w:tcPr>
          <w:p w14:paraId="3285FD45" w14:textId="77777777" w:rsidR="00CD41CD" w:rsidRPr="00CE28EA" w:rsidRDefault="00CD41CD" w:rsidP="00401AFA">
            <w:pPr>
              <w:jc w:val="right"/>
              <w:rPr>
                <w:rFonts w:eastAsia="Calibri"/>
                <w:b/>
                <w:sz w:val="20"/>
                <w:szCs w:val="20"/>
              </w:rPr>
            </w:pPr>
          </w:p>
        </w:tc>
      </w:tr>
    </w:tbl>
    <w:p w14:paraId="1A268F25" w14:textId="77777777" w:rsidR="00CD41CD" w:rsidRDefault="00CD41CD" w:rsidP="001C75B2"/>
    <w:p w14:paraId="52CF7E0A" w14:textId="77777777" w:rsidR="001C75B2" w:rsidRDefault="001C75B2" w:rsidP="001C75B2"/>
    <w:tbl>
      <w:tblPr>
        <w:tblpPr w:leftFromText="180" w:rightFromText="180" w:vertAnchor="text" w:horzAnchor="margin" w:tblpY="486"/>
        <w:tblW w:w="3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443"/>
        <w:gridCol w:w="1342"/>
        <w:gridCol w:w="1346"/>
      </w:tblGrid>
      <w:tr w:rsidR="00CD41CD" w:rsidRPr="00CE28EA" w14:paraId="1C6A1D26" w14:textId="77777777" w:rsidTr="00401AFA">
        <w:trPr>
          <w:cantSplit/>
        </w:trPr>
        <w:tc>
          <w:tcPr>
            <w:tcW w:w="5000" w:type="pct"/>
            <w:gridSpan w:val="4"/>
            <w:shd w:val="clear" w:color="auto" w:fill="D9D9D9"/>
          </w:tcPr>
          <w:p w14:paraId="318D7FBC" w14:textId="77777777" w:rsidR="00CD41CD" w:rsidRPr="00CE28EA" w:rsidRDefault="00CD41CD" w:rsidP="00401AFA">
            <w:pPr>
              <w:jc w:val="center"/>
              <w:rPr>
                <w:rFonts w:eastAsia="Calibri"/>
                <w:b/>
                <w:sz w:val="20"/>
                <w:szCs w:val="20"/>
              </w:rPr>
            </w:pPr>
            <w:r>
              <w:rPr>
                <w:rFonts w:eastAsia="Calibri"/>
                <w:b/>
                <w:sz w:val="20"/>
                <w:szCs w:val="20"/>
              </w:rPr>
              <w:t>FERC-555A Record Retention Requirements</w:t>
            </w:r>
          </w:p>
        </w:tc>
      </w:tr>
      <w:tr w:rsidR="00CD41CD" w:rsidRPr="00CE28EA" w14:paraId="340B4695" w14:textId="77777777" w:rsidTr="00401AFA">
        <w:trPr>
          <w:cantSplit/>
        </w:trPr>
        <w:tc>
          <w:tcPr>
            <w:tcW w:w="1519" w:type="pct"/>
            <w:shd w:val="clear" w:color="auto" w:fill="D9D9D9"/>
          </w:tcPr>
          <w:p w14:paraId="2DED0A15" w14:textId="77777777" w:rsidR="00CD41CD" w:rsidRPr="00CE28EA" w:rsidRDefault="00CD41CD" w:rsidP="00401AFA">
            <w:pPr>
              <w:jc w:val="center"/>
              <w:rPr>
                <w:rFonts w:eastAsia="Calibri"/>
                <w:b/>
                <w:sz w:val="20"/>
                <w:szCs w:val="20"/>
              </w:rPr>
            </w:pPr>
          </w:p>
        </w:tc>
        <w:tc>
          <w:tcPr>
            <w:tcW w:w="1216" w:type="pct"/>
            <w:shd w:val="clear" w:color="auto" w:fill="D9D9D9"/>
            <w:vAlign w:val="bottom"/>
          </w:tcPr>
          <w:p w14:paraId="79A881D8" w14:textId="77777777" w:rsidR="00CD41CD" w:rsidRPr="00CE28EA" w:rsidRDefault="00CD41CD" w:rsidP="00401AFA">
            <w:pPr>
              <w:jc w:val="center"/>
              <w:rPr>
                <w:rFonts w:eastAsia="Calibri"/>
                <w:b/>
                <w:sz w:val="20"/>
                <w:szCs w:val="20"/>
              </w:rPr>
            </w:pPr>
            <w:r w:rsidRPr="00CE28EA">
              <w:rPr>
                <w:rFonts w:eastAsia="Calibri"/>
                <w:b/>
                <w:sz w:val="20"/>
                <w:szCs w:val="20"/>
              </w:rPr>
              <w:t>Total Number of Responses (1)*(2)=(3)</w:t>
            </w:r>
          </w:p>
        </w:tc>
        <w:tc>
          <w:tcPr>
            <w:tcW w:w="1131" w:type="pct"/>
            <w:shd w:val="clear" w:color="auto" w:fill="D9D9D9"/>
            <w:vAlign w:val="bottom"/>
          </w:tcPr>
          <w:p w14:paraId="508A40D7" w14:textId="77777777" w:rsidR="00CD41CD" w:rsidRPr="00CE28EA" w:rsidRDefault="00CD41CD" w:rsidP="00401AFA">
            <w:pPr>
              <w:jc w:val="center"/>
              <w:rPr>
                <w:rFonts w:eastAsia="Calibri"/>
                <w:b/>
                <w:sz w:val="20"/>
                <w:szCs w:val="20"/>
              </w:rPr>
            </w:pPr>
            <w:r>
              <w:rPr>
                <w:rFonts w:eastAsia="Calibri"/>
                <w:b/>
                <w:sz w:val="20"/>
                <w:szCs w:val="20"/>
              </w:rPr>
              <w:t>Cost Per Respondent</w:t>
            </w:r>
          </w:p>
          <w:p w14:paraId="62E65E3B" w14:textId="77777777" w:rsidR="00CD41CD" w:rsidRPr="00CE28EA" w:rsidRDefault="00CD41CD" w:rsidP="00401AFA">
            <w:pPr>
              <w:jc w:val="center"/>
              <w:rPr>
                <w:rFonts w:eastAsia="Calibri"/>
                <w:b/>
                <w:sz w:val="20"/>
                <w:szCs w:val="20"/>
              </w:rPr>
            </w:pPr>
            <w:r w:rsidRPr="00CE28EA">
              <w:rPr>
                <w:rFonts w:eastAsia="Calibri"/>
                <w:b/>
                <w:sz w:val="20"/>
                <w:szCs w:val="20"/>
              </w:rPr>
              <w:t>(4)</w:t>
            </w:r>
          </w:p>
        </w:tc>
        <w:tc>
          <w:tcPr>
            <w:tcW w:w="1134" w:type="pct"/>
            <w:shd w:val="clear" w:color="auto" w:fill="D9D9D9"/>
            <w:vAlign w:val="bottom"/>
          </w:tcPr>
          <w:p w14:paraId="3AB9ED61" w14:textId="77777777" w:rsidR="00CD41CD" w:rsidRPr="00CE28EA" w:rsidRDefault="00CD41CD" w:rsidP="00401AFA">
            <w:pPr>
              <w:jc w:val="center"/>
              <w:rPr>
                <w:rFonts w:eastAsia="Calibri"/>
                <w:b/>
                <w:sz w:val="20"/>
                <w:szCs w:val="20"/>
              </w:rPr>
            </w:pPr>
            <w:r w:rsidRPr="00CE28EA">
              <w:rPr>
                <w:rFonts w:eastAsia="Calibri"/>
                <w:b/>
                <w:sz w:val="20"/>
                <w:szCs w:val="20"/>
              </w:rPr>
              <w:t>Total Annual Burden Hours &amp; Total Annual Cost</w:t>
            </w:r>
          </w:p>
          <w:p w14:paraId="09D463F4" w14:textId="77777777" w:rsidR="00CD41CD" w:rsidRPr="00CE28EA" w:rsidRDefault="00CD41CD" w:rsidP="00401AFA">
            <w:pPr>
              <w:jc w:val="center"/>
              <w:rPr>
                <w:rFonts w:eastAsia="Calibri"/>
                <w:b/>
                <w:sz w:val="20"/>
                <w:szCs w:val="20"/>
              </w:rPr>
            </w:pPr>
            <w:r w:rsidRPr="00CE28EA">
              <w:rPr>
                <w:rFonts w:eastAsia="Calibri"/>
                <w:b/>
                <w:sz w:val="20"/>
                <w:szCs w:val="20"/>
              </w:rPr>
              <w:t>(3)*(4)=(5)</w:t>
            </w:r>
          </w:p>
        </w:tc>
      </w:tr>
      <w:tr w:rsidR="00CD41CD" w:rsidRPr="00CE28EA" w14:paraId="0EF105CF" w14:textId="77777777" w:rsidTr="00401AFA">
        <w:trPr>
          <w:cantSplit/>
        </w:trPr>
        <w:tc>
          <w:tcPr>
            <w:tcW w:w="1519" w:type="pct"/>
          </w:tcPr>
          <w:p w14:paraId="2F9F8BC9" w14:textId="77777777" w:rsidR="00CD41CD" w:rsidRPr="00CE28EA" w:rsidRDefault="00CD41CD" w:rsidP="00401AFA">
            <w:pPr>
              <w:rPr>
                <w:rFonts w:eastAsia="Calibri"/>
                <w:sz w:val="20"/>
                <w:szCs w:val="20"/>
              </w:rPr>
            </w:pPr>
            <w:r>
              <w:rPr>
                <w:rFonts w:eastAsia="Calibri"/>
                <w:sz w:val="20"/>
                <w:szCs w:val="20"/>
              </w:rPr>
              <w:t>Paper Storage</w:t>
            </w:r>
          </w:p>
        </w:tc>
        <w:tc>
          <w:tcPr>
            <w:tcW w:w="1216" w:type="pct"/>
          </w:tcPr>
          <w:p w14:paraId="16C266B4" w14:textId="77777777" w:rsidR="00CD41CD" w:rsidRPr="00CE28EA" w:rsidRDefault="00CD41CD" w:rsidP="00401AFA">
            <w:pPr>
              <w:jc w:val="right"/>
              <w:rPr>
                <w:rFonts w:eastAsia="Calibri"/>
                <w:sz w:val="20"/>
                <w:szCs w:val="20"/>
              </w:rPr>
            </w:pPr>
            <w:r>
              <w:rPr>
                <w:rFonts w:eastAsia="Calibri"/>
                <w:sz w:val="20"/>
                <w:szCs w:val="20"/>
              </w:rPr>
              <w:t>117</w:t>
            </w:r>
          </w:p>
        </w:tc>
        <w:tc>
          <w:tcPr>
            <w:tcW w:w="1131" w:type="pct"/>
          </w:tcPr>
          <w:p w14:paraId="3AEAC236" w14:textId="77777777" w:rsidR="00CD41CD" w:rsidRPr="00CE28EA" w:rsidRDefault="00CD41CD" w:rsidP="00401AFA">
            <w:pPr>
              <w:jc w:val="right"/>
              <w:rPr>
                <w:rFonts w:eastAsia="Calibri"/>
                <w:sz w:val="20"/>
                <w:szCs w:val="20"/>
              </w:rPr>
            </w:pPr>
            <w:r>
              <w:rPr>
                <w:rFonts w:eastAsia="Calibri"/>
                <w:sz w:val="20"/>
                <w:szCs w:val="20"/>
              </w:rPr>
              <w:t>$387.60</w:t>
            </w:r>
          </w:p>
        </w:tc>
        <w:tc>
          <w:tcPr>
            <w:tcW w:w="1134" w:type="pct"/>
          </w:tcPr>
          <w:p w14:paraId="5B295BA5" w14:textId="77777777" w:rsidR="00CD41CD" w:rsidRPr="00CE28EA" w:rsidRDefault="00CD41CD" w:rsidP="00401AFA">
            <w:pPr>
              <w:jc w:val="right"/>
              <w:rPr>
                <w:rFonts w:eastAsia="Calibri"/>
                <w:sz w:val="20"/>
                <w:szCs w:val="20"/>
              </w:rPr>
            </w:pPr>
            <w:r>
              <w:rPr>
                <w:rFonts w:eastAsia="Calibri"/>
                <w:sz w:val="20"/>
                <w:szCs w:val="20"/>
              </w:rPr>
              <w:t>$45,349.20</w:t>
            </w:r>
          </w:p>
          <w:p w14:paraId="5CADB476" w14:textId="77777777" w:rsidR="00CD41CD" w:rsidRPr="00CE28EA" w:rsidRDefault="00CD41CD" w:rsidP="00401AFA">
            <w:pPr>
              <w:jc w:val="right"/>
              <w:rPr>
                <w:rFonts w:eastAsia="Calibri"/>
                <w:sz w:val="20"/>
                <w:szCs w:val="20"/>
              </w:rPr>
            </w:pPr>
          </w:p>
        </w:tc>
      </w:tr>
      <w:tr w:rsidR="00CD41CD" w:rsidRPr="00CE28EA" w14:paraId="3613923B" w14:textId="77777777" w:rsidTr="00401AFA">
        <w:trPr>
          <w:cantSplit/>
        </w:trPr>
        <w:tc>
          <w:tcPr>
            <w:tcW w:w="1519" w:type="pct"/>
          </w:tcPr>
          <w:p w14:paraId="4F78A21A" w14:textId="77777777" w:rsidR="00CD41CD" w:rsidRPr="00CE28EA" w:rsidRDefault="00CD41CD" w:rsidP="00401AFA">
            <w:pPr>
              <w:rPr>
                <w:rFonts w:eastAsia="Calibri"/>
                <w:sz w:val="20"/>
                <w:szCs w:val="20"/>
              </w:rPr>
            </w:pPr>
            <w:r>
              <w:rPr>
                <w:rFonts w:eastAsia="Calibri"/>
                <w:sz w:val="20"/>
                <w:szCs w:val="20"/>
              </w:rPr>
              <w:t>Electronic Storage</w:t>
            </w:r>
          </w:p>
        </w:tc>
        <w:tc>
          <w:tcPr>
            <w:tcW w:w="1216" w:type="pct"/>
          </w:tcPr>
          <w:p w14:paraId="61EF995C" w14:textId="77777777" w:rsidR="00CD41CD" w:rsidRPr="00CE28EA" w:rsidRDefault="00CD41CD" w:rsidP="00401AFA">
            <w:pPr>
              <w:jc w:val="right"/>
              <w:rPr>
                <w:rFonts w:eastAsia="Calibri"/>
                <w:sz w:val="20"/>
                <w:szCs w:val="20"/>
              </w:rPr>
            </w:pPr>
            <w:r>
              <w:rPr>
                <w:rFonts w:eastAsia="Calibri"/>
                <w:sz w:val="20"/>
                <w:szCs w:val="20"/>
              </w:rPr>
              <w:t>117</w:t>
            </w:r>
          </w:p>
        </w:tc>
        <w:tc>
          <w:tcPr>
            <w:tcW w:w="1131" w:type="pct"/>
          </w:tcPr>
          <w:p w14:paraId="3FDB3710" w14:textId="77777777" w:rsidR="00CD41CD" w:rsidRPr="00CE28EA" w:rsidRDefault="00CD41CD" w:rsidP="00401AFA">
            <w:pPr>
              <w:jc w:val="right"/>
              <w:rPr>
                <w:rFonts w:eastAsia="Calibri"/>
                <w:sz w:val="20"/>
                <w:szCs w:val="20"/>
              </w:rPr>
            </w:pPr>
            <w:r>
              <w:rPr>
                <w:rFonts w:eastAsia="Calibri"/>
                <w:sz w:val="20"/>
                <w:szCs w:val="20"/>
              </w:rPr>
              <w:t>$15.25</w:t>
            </w:r>
          </w:p>
        </w:tc>
        <w:tc>
          <w:tcPr>
            <w:tcW w:w="1134" w:type="pct"/>
          </w:tcPr>
          <w:p w14:paraId="57DC3614" w14:textId="77777777" w:rsidR="00CD41CD" w:rsidRPr="00CE28EA" w:rsidRDefault="00CD41CD" w:rsidP="00401AFA">
            <w:pPr>
              <w:jc w:val="right"/>
              <w:rPr>
                <w:rFonts w:eastAsia="Calibri"/>
                <w:sz w:val="20"/>
                <w:szCs w:val="20"/>
              </w:rPr>
            </w:pPr>
            <w:r>
              <w:rPr>
                <w:rFonts w:eastAsia="Calibri"/>
                <w:sz w:val="20"/>
                <w:szCs w:val="20"/>
              </w:rPr>
              <w:t>$1,784.25</w:t>
            </w:r>
          </w:p>
        </w:tc>
      </w:tr>
      <w:tr w:rsidR="00CD41CD" w:rsidRPr="00CE28EA" w14:paraId="116B25BB" w14:textId="77777777" w:rsidTr="00401AFA">
        <w:trPr>
          <w:cantSplit/>
          <w:trHeight w:val="485"/>
        </w:trPr>
        <w:tc>
          <w:tcPr>
            <w:tcW w:w="1519" w:type="pct"/>
            <w:tcBorders>
              <w:bottom w:val="single" w:sz="4" w:space="0" w:color="auto"/>
            </w:tcBorders>
          </w:tcPr>
          <w:p w14:paraId="27DDA9AB" w14:textId="77777777" w:rsidR="00CD41CD" w:rsidRPr="00CE28EA" w:rsidRDefault="00CD41CD" w:rsidP="00401AFA">
            <w:pPr>
              <w:rPr>
                <w:rFonts w:eastAsia="Calibri"/>
                <w:b/>
                <w:sz w:val="20"/>
                <w:szCs w:val="20"/>
              </w:rPr>
            </w:pPr>
            <w:r>
              <w:rPr>
                <w:rFonts w:eastAsia="Calibri"/>
                <w:b/>
                <w:sz w:val="20"/>
                <w:szCs w:val="20"/>
              </w:rPr>
              <w:t>Total Storage Burden</w:t>
            </w:r>
          </w:p>
        </w:tc>
        <w:tc>
          <w:tcPr>
            <w:tcW w:w="1216" w:type="pct"/>
            <w:tcBorders>
              <w:bottom w:val="single" w:sz="4" w:space="0" w:color="auto"/>
            </w:tcBorders>
            <w:shd w:val="clear" w:color="auto" w:fill="auto"/>
          </w:tcPr>
          <w:p w14:paraId="7DC2BC7D" w14:textId="77777777" w:rsidR="00CD41CD" w:rsidRPr="00CE28EA" w:rsidRDefault="00CD41CD" w:rsidP="00401AFA">
            <w:pPr>
              <w:jc w:val="right"/>
              <w:rPr>
                <w:rFonts w:eastAsia="Calibri"/>
                <w:b/>
                <w:sz w:val="20"/>
                <w:szCs w:val="20"/>
              </w:rPr>
            </w:pPr>
            <w:r>
              <w:rPr>
                <w:rFonts w:eastAsia="Calibri"/>
                <w:b/>
                <w:sz w:val="20"/>
                <w:szCs w:val="20"/>
              </w:rPr>
              <w:t>117</w:t>
            </w:r>
            <w:r>
              <w:rPr>
                <w:rStyle w:val="FootnoteReference"/>
                <w:rFonts w:eastAsia="Calibri"/>
                <w:b w:val="0"/>
              </w:rPr>
              <w:footnoteReference w:id="7"/>
            </w:r>
          </w:p>
        </w:tc>
        <w:tc>
          <w:tcPr>
            <w:tcW w:w="1131" w:type="pct"/>
            <w:tcBorders>
              <w:bottom w:val="single" w:sz="4" w:space="0" w:color="auto"/>
            </w:tcBorders>
            <w:shd w:val="clear" w:color="auto" w:fill="D9D9D9"/>
          </w:tcPr>
          <w:p w14:paraId="32C61088" w14:textId="77777777" w:rsidR="00CD41CD" w:rsidRPr="00CE28EA" w:rsidRDefault="00CD41CD" w:rsidP="00401AFA">
            <w:pPr>
              <w:jc w:val="right"/>
              <w:rPr>
                <w:rFonts w:eastAsia="Calibri"/>
                <w:sz w:val="20"/>
                <w:szCs w:val="20"/>
              </w:rPr>
            </w:pPr>
          </w:p>
        </w:tc>
        <w:tc>
          <w:tcPr>
            <w:tcW w:w="1134" w:type="pct"/>
            <w:tcBorders>
              <w:bottom w:val="single" w:sz="4" w:space="0" w:color="auto"/>
            </w:tcBorders>
          </w:tcPr>
          <w:p w14:paraId="7374F477" w14:textId="77777777" w:rsidR="00CD41CD" w:rsidRPr="00CE28EA" w:rsidRDefault="00CD41CD" w:rsidP="00401AFA">
            <w:pPr>
              <w:jc w:val="right"/>
              <w:rPr>
                <w:rFonts w:eastAsia="Calibri"/>
                <w:b/>
                <w:sz w:val="20"/>
                <w:szCs w:val="20"/>
              </w:rPr>
            </w:pPr>
          </w:p>
          <w:p w14:paraId="68D368DF" w14:textId="77777777" w:rsidR="00CD41CD" w:rsidRPr="00CE28EA" w:rsidRDefault="00CD41CD" w:rsidP="00401AFA">
            <w:pPr>
              <w:jc w:val="right"/>
              <w:rPr>
                <w:rFonts w:eastAsia="Calibri"/>
                <w:b/>
                <w:sz w:val="20"/>
                <w:szCs w:val="20"/>
              </w:rPr>
            </w:pPr>
            <w:r>
              <w:rPr>
                <w:rFonts w:eastAsia="Calibri"/>
                <w:b/>
                <w:sz w:val="20"/>
                <w:szCs w:val="20"/>
              </w:rPr>
              <w:t>$47,133.45</w:t>
            </w:r>
          </w:p>
        </w:tc>
      </w:tr>
    </w:tbl>
    <w:p w14:paraId="5F972834" w14:textId="77777777" w:rsidR="00CD41CD" w:rsidRDefault="00CD41CD" w:rsidP="001C75B2"/>
    <w:p w14:paraId="44EE4C33" w14:textId="77777777" w:rsidR="00CD41CD" w:rsidRDefault="00CD41CD" w:rsidP="001C75B2"/>
    <w:p w14:paraId="7D231534" w14:textId="77777777" w:rsidR="001C75B2" w:rsidRDefault="001C75B2" w:rsidP="001C75B2"/>
    <w:p w14:paraId="6755E9BC" w14:textId="77777777" w:rsidR="00CD41CD" w:rsidRDefault="00CD41CD" w:rsidP="001C75B2"/>
    <w:p w14:paraId="65F4CF2D" w14:textId="77777777" w:rsidR="00CD41CD" w:rsidRDefault="00CD41CD" w:rsidP="001C75B2"/>
    <w:p w14:paraId="7BBCD12D" w14:textId="77777777" w:rsidR="00CD41CD" w:rsidRDefault="00CD41CD" w:rsidP="001C75B2"/>
    <w:p w14:paraId="15B1B7C4" w14:textId="77777777" w:rsidR="00CD41CD" w:rsidRDefault="00CD41CD" w:rsidP="001C75B2"/>
    <w:p w14:paraId="5DE39CF6" w14:textId="77777777" w:rsidR="00CD41CD" w:rsidRDefault="00CD41CD" w:rsidP="001C75B2"/>
    <w:p w14:paraId="00098381" w14:textId="77777777" w:rsidR="00CD41CD" w:rsidRDefault="00CD41CD" w:rsidP="001C75B2"/>
    <w:p w14:paraId="0806A231" w14:textId="77777777" w:rsidR="00CD41CD" w:rsidRDefault="00CD41CD" w:rsidP="001C75B2"/>
    <w:p w14:paraId="0188D95E" w14:textId="77777777" w:rsidR="00CD41CD" w:rsidRDefault="00CD41CD" w:rsidP="001C75B2"/>
    <w:p w14:paraId="7A07A8AE" w14:textId="77777777" w:rsidR="00CD41CD" w:rsidRDefault="00CD41CD" w:rsidP="001C75B2"/>
    <w:p w14:paraId="12DF1870" w14:textId="77777777" w:rsidR="00CD41CD" w:rsidRDefault="00CD41CD" w:rsidP="001C75B2"/>
    <w:p w14:paraId="5895E942" w14:textId="77777777" w:rsidR="00CD41CD" w:rsidDel="00FC5072" w:rsidRDefault="00CD41CD" w:rsidP="00CD41CD">
      <w:pPr>
        <w:spacing w:line="480" w:lineRule="auto"/>
      </w:pPr>
      <w:r w:rsidRPr="00376A65">
        <w:rPr>
          <w:u w:val="single"/>
        </w:rPr>
        <w:t>Total Annual Cost</w:t>
      </w:r>
      <w:r>
        <w:t>: $4,409,919 (Paperwork Burden) + $47,133.45 (Record Retention) = $4,453,052.45.</w:t>
      </w:r>
    </w:p>
    <w:p w14:paraId="0A227DCB" w14:textId="77777777" w:rsidR="00CD41CD" w:rsidRDefault="00CD41CD" w:rsidP="00CD41CD">
      <w:pPr>
        <w:spacing w:line="480" w:lineRule="auto"/>
      </w:pPr>
      <w:r>
        <w:t>A more accurate breakdown of the FERC-60/61/555A cost categories follows:</w:t>
      </w:r>
    </w:p>
    <w:p w14:paraId="68408F0A" w14:textId="77777777" w:rsidR="00CD41CD" w:rsidRPr="00E93712" w:rsidRDefault="00CD41CD" w:rsidP="00CD41CD">
      <w:pPr>
        <w:spacing w:line="480" w:lineRule="auto"/>
      </w:pPr>
      <w:r>
        <w:tab/>
      </w:r>
      <w:r w:rsidRPr="00057E4E">
        <w:rPr>
          <w:b/>
          <w:u w:val="single"/>
        </w:rPr>
        <w:t>Labor Cost</w:t>
      </w:r>
      <w:r w:rsidRPr="00057E4E">
        <w:rPr>
          <w:b/>
        </w:rPr>
        <w:t>:</w:t>
      </w:r>
      <w:r>
        <w:t xml:space="preserve"> </w:t>
      </w:r>
      <w:r w:rsidRPr="00E93712">
        <w:t xml:space="preserve">The total estimated annual cost </w:t>
      </w:r>
      <w:r>
        <w:t xml:space="preserve">for labor </w:t>
      </w:r>
      <w:r w:rsidRPr="00E93712">
        <w:t>burden to respondents is $</w:t>
      </w:r>
      <w:r>
        <w:t>4,405,919</w:t>
      </w:r>
      <w:r w:rsidRPr="00E93712">
        <w:t xml:space="preserve"> [$</w:t>
      </w:r>
      <w:r>
        <w:t>185,211</w:t>
      </w:r>
      <w:r w:rsidRPr="00E93712">
        <w:t xml:space="preserve"> (FERC Form </w:t>
      </w:r>
      <w:r>
        <w:t xml:space="preserve">No. </w:t>
      </w:r>
      <w:r w:rsidRPr="00E93712">
        <w:t>60) + $</w:t>
      </w:r>
      <w:r>
        <w:t>1,548</w:t>
      </w:r>
      <w:r w:rsidRPr="00E93712">
        <w:t xml:space="preserve"> (FERC-61) +</w:t>
      </w:r>
      <w:r>
        <w:t xml:space="preserve">$4,219,160 </w:t>
      </w:r>
      <w:r w:rsidRPr="00E93712">
        <w:t>(FERC-555A)]</w:t>
      </w:r>
    </w:p>
    <w:p w14:paraId="0FBC589D" w14:textId="77777777" w:rsidR="00CD41CD" w:rsidRPr="00976C4A" w:rsidRDefault="00CD41CD" w:rsidP="00CD41CD">
      <w:pPr>
        <w:spacing w:line="480" w:lineRule="auto"/>
        <w:ind w:firstLine="720"/>
      </w:pPr>
      <w:r w:rsidRPr="00976C4A">
        <w:rPr>
          <w:u w:val="single"/>
        </w:rPr>
        <w:t xml:space="preserve">FERC Form </w:t>
      </w:r>
      <w:r>
        <w:rPr>
          <w:u w:val="single"/>
        </w:rPr>
        <w:t xml:space="preserve">No. </w:t>
      </w:r>
      <w:r w:rsidRPr="00976C4A">
        <w:rPr>
          <w:u w:val="single"/>
        </w:rPr>
        <w:t>60</w:t>
      </w:r>
      <w:r w:rsidRPr="00976C4A">
        <w:t xml:space="preserve">: </w:t>
      </w:r>
      <w:r>
        <w:t>2925</w:t>
      </w:r>
      <w:r w:rsidRPr="00976C4A">
        <w:t xml:space="preserve"> hours </w:t>
      </w:r>
      <w:r>
        <w:t>(75 hours x 39 respondents)</w:t>
      </w:r>
      <w:r w:rsidRPr="00976C4A">
        <w:t xml:space="preserve">* </w:t>
      </w:r>
      <w:r>
        <w:t>$63.32/hour</w:t>
      </w:r>
      <w:r w:rsidRPr="00976C4A">
        <w:t xml:space="preserve"> = $</w:t>
      </w:r>
      <w:r>
        <w:t>185,211</w:t>
      </w:r>
    </w:p>
    <w:p w14:paraId="47A03AAE" w14:textId="77777777" w:rsidR="00CD41CD" w:rsidRPr="00CE5145" w:rsidRDefault="00CD41CD" w:rsidP="00CD41CD">
      <w:pPr>
        <w:spacing w:line="480" w:lineRule="auto"/>
        <w:ind w:firstLine="720"/>
      </w:pPr>
      <w:r w:rsidRPr="00CE5145">
        <w:rPr>
          <w:u w:val="single"/>
        </w:rPr>
        <w:t>FERC-61</w:t>
      </w:r>
      <w:r>
        <w:t xml:space="preserve">:  39 </w:t>
      </w:r>
      <w:r w:rsidRPr="00CE5145">
        <w:t xml:space="preserve">hours </w:t>
      </w:r>
      <w:r>
        <w:t>(.5 hours x 78 respondents)</w:t>
      </w:r>
      <w:r w:rsidRPr="00CE5145">
        <w:t xml:space="preserve">* </w:t>
      </w:r>
      <w:r w:rsidRPr="00D90F2B">
        <w:t>$</w:t>
      </w:r>
      <w:r>
        <w:t>39.68</w:t>
      </w:r>
      <w:r w:rsidRPr="00CE5145">
        <w:t>/hour = $</w:t>
      </w:r>
      <w:r w:rsidDel="00152D2F">
        <w:t>1</w:t>
      </w:r>
      <w:r>
        <w:t>,548</w:t>
      </w:r>
    </w:p>
    <w:p w14:paraId="68F7EF2A" w14:textId="77777777" w:rsidR="00CD41CD" w:rsidRPr="00C217BE" w:rsidRDefault="00CD41CD" w:rsidP="00CD41CD">
      <w:pPr>
        <w:spacing w:line="480" w:lineRule="auto"/>
        <w:ind w:firstLine="720"/>
        <w:rPr>
          <w:i/>
        </w:rPr>
      </w:pPr>
      <w:r w:rsidRPr="00C217BE">
        <w:rPr>
          <w:i/>
          <w:u w:val="single"/>
        </w:rPr>
        <w:t>FERC-555A</w:t>
      </w:r>
      <w:r>
        <w:rPr>
          <w:i/>
          <w:u w:val="single"/>
        </w:rPr>
        <w:t>:</w:t>
      </w:r>
      <w:r w:rsidRPr="00057E4E">
        <w:t xml:space="preserve"> </w:t>
      </w:r>
      <w:r>
        <w:t>126,360 hours (1080 hours x 117 respondents) * $33.39</w:t>
      </w:r>
      <w:r w:rsidRPr="00D90F2B">
        <w:t>/hour</w:t>
      </w:r>
      <w:r>
        <w:t xml:space="preserve"> = $4,219,160</w:t>
      </w:r>
    </w:p>
    <w:p w14:paraId="0A9F02D1" w14:textId="77777777" w:rsidR="00CD41CD" w:rsidRDefault="00CD41CD" w:rsidP="00CD41CD">
      <w:pPr>
        <w:spacing w:line="480" w:lineRule="auto"/>
        <w:ind w:firstLine="720"/>
      </w:pPr>
      <w:r w:rsidRPr="00057E4E">
        <w:rPr>
          <w:b/>
          <w:u w:val="single"/>
        </w:rPr>
        <w:t>Storage Cost</w:t>
      </w:r>
      <w:r>
        <w:rPr>
          <w:rStyle w:val="FootnoteReference"/>
          <w:b w:val="0"/>
          <w:u w:val="single"/>
        </w:rPr>
        <w:footnoteReference w:id="8"/>
      </w:r>
      <w:r w:rsidRPr="00057E4E">
        <w:t>:</w:t>
      </w:r>
      <w:r w:rsidRPr="00057E4E">
        <w:rPr>
          <w:b/>
        </w:rPr>
        <w:t xml:space="preserve"> </w:t>
      </w:r>
      <w:r>
        <w:t>In addition to the labor (burden cost provided above) the table reflects an additional cost for record retention and storage:</w:t>
      </w:r>
    </w:p>
    <w:p w14:paraId="113BB643" w14:textId="5D6737DF" w:rsidR="00CD41CD" w:rsidRDefault="00CD41CD" w:rsidP="00CD41CD">
      <w:pPr>
        <w:numPr>
          <w:ilvl w:val="0"/>
          <w:numId w:val="5"/>
        </w:numPr>
        <w:spacing w:line="480" w:lineRule="auto"/>
      </w:pPr>
      <w:r>
        <w:t>Paper storage costs (using an estimate of 60 cubic feet x $6.46 per cubic foot):  $387.60 per respondent annually.   Total annual paper storage cost to industry ($387.60 x 117 respondents): $45,349.20.  This estimate assumes that a respondent stores the same volume of paper as it did in the past and that the cost of such storage has not changed. We expect that this estimate should trend downward over time as more companies move away from paper storage and rely more heavily on electronic storage.</w:t>
      </w:r>
    </w:p>
    <w:p w14:paraId="725D107E" w14:textId="11BCCEE0" w:rsidR="00CD41CD" w:rsidRDefault="00CD41CD" w:rsidP="001C75B2">
      <w:pPr>
        <w:numPr>
          <w:ilvl w:val="0"/>
          <w:numId w:val="5"/>
        </w:numPr>
        <w:spacing w:line="480" w:lineRule="auto"/>
      </w:pPr>
      <w:r w:rsidRPr="00CD41CD">
        <w:t>Electronic storage costs: $15.25 per respondent annually.  Total annual electronic storage cost to industry ($15.25 x 117 respondents): $1,784.25.  This calculation retains the previous estimate that storage of 1GB per year cost of $15.25.  We expect that this estimate should trend downward over time as the cost of electronic storage technology, including cloud storage, continues to decrease.  For example, external hard drives of approximately 500GB are available for a</w:t>
      </w:r>
      <w:r>
        <w:t>pproximately $50.  In addition,</w:t>
      </w:r>
      <w:r w:rsidRPr="00CD41CD">
        <w:t xml:space="preserve"> cloud storage plans from multiple providers for 1TB of storage (with a reasonable amount of requests and data transfers) are available for less than $35 per month</w:t>
      </w:r>
      <w:r>
        <w:t>.</w:t>
      </w:r>
    </w:p>
    <w:p w14:paraId="774EA396" w14:textId="77777777" w:rsidR="00CD41CD" w:rsidRDefault="00CD41CD" w:rsidP="001C75B2"/>
    <w:p w14:paraId="45F16859" w14:textId="77777777" w:rsidR="001C75B2" w:rsidRPr="00CD41CD" w:rsidRDefault="001C75B2" w:rsidP="00F04F4C">
      <w:pPr>
        <w:jc w:val="center"/>
      </w:pPr>
      <w:r w:rsidRPr="00CD41CD">
        <w:t>Kimberly D. Bose,</w:t>
      </w:r>
    </w:p>
    <w:p w14:paraId="593CECEE" w14:textId="77777777" w:rsidR="0078241C" w:rsidRDefault="001C75B2" w:rsidP="0096632C">
      <w:pPr>
        <w:jc w:val="center"/>
      </w:pPr>
      <w:r w:rsidRPr="00CD41CD">
        <w:t>Secretary.</w:t>
      </w:r>
    </w:p>
    <w:sectPr w:rsidR="0078241C" w:rsidSect="00190EB5">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AD1C6" w14:textId="77777777" w:rsidR="00732D6C" w:rsidRDefault="00732D6C">
      <w:r>
        <w:separator/>
      </w:r>
    </w:p>
  </w:endnote>
  <w:endnote w:type="continuationSeparator" w:id="0">
    <w:p w14:paraId="2356CA8D" w14:textId="77777777" w:rsidR="00732D6C" w:rsidRDefault="0073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A550F" w14:textId="77777777" w:rsidR="00732D6C" w:rsidRDefault="00732D6C">
      <w:r>
        <w:separator/>
      </w:r>
    </w:p>
  </w:footnote>
  <w:footnote w:type="continuationSeparator" w:id="0">
    <w:p w14:paraId="63CD760B" w14:textId="77777777" w:rsidR="00732D6C" w:rsidRDefault="00732D6C">
      <w:r>
        <w:continuationSeparator/>
      </w:r>
    </w:p>
  </w:footnote>
  <w:footnote w:id="1">
    <w:p w14:paraId="06469F33" w14:textId="77777777" w:rsidR="00A9249D" w:rsidRPr="00AC7096" w:rsidRDefault="00A9249D" w:rsidP="00A9249D">
      <w:pPr>
        <w:pStyle w:val="FootnoteText"/>
        <w:rPr>
          <w:sz w:val="20"/>
        </w:rPr>
      </w:pPr>
      <w:r w:rsidRPr="00AC7096">
        <w:rPr>
          <w:rStyle w:val="FootnoteReference"/>
          <w:sz w:val="20"/>
          <w:szCs w:val="20"/>
        </w:rPr>
        <w:footnoteRef/>
      </w:r>
      <w:r w:rsidRPr="00AC7096">
        <w:rPr>
          <w:sz w:val="20"/>
        </w:rPr>
        <w:t xml:space="preserve"> The Form No. 60 is also part of a Commission Notice of Proposed Rulemaking (NOPR) issued on January 17, 2019 in Docket No. RM19-12 that includes 10 information collections.  </w:t>
      </w:r>
      <w:r w:rsidRPr="00AC7096">
        <w:rPr>
          <w:i/>
          <w:sz w:val="20"/>
        </w:rPr>
        <w:t>See Revisions to the Filing Process for Commission Forms</w:t>
      </w:r>
      <w:r w:rsidRPr="00AC7096">
        <w:rPr>
          <w:sz w:val="20"/>
        </w:rPr>
        <w:t xml:space="preserve">, 166 FERC ¶ 61,027 (2019).  The NOPR proposes to change the format of the information that is being collected from a Commission-distributed software application called Visual FoxPro (VFP) to a standard built on eXtensible Business Reporting Language (XBRL).  Under the NOPR, the Commission is not proposing to change the information currently collected in the Form No. 60 (or in any of the VFP Forms), but rather to change the format of the information that is being collected from VFP to XBRL.  Because there can be only one pending item per OMB Control No. pending OMB review at one time, the Form No. 60 is represented in the RM19-12 NOPR process as the “Form No. 60-A.” </w:t>
      </w:r>
    </w:p>
  </w:footnote>
  <w:footnote w:id="2">
    <w:p w14:paraId="3AD5EC31" w14:textId="77777777" w:rsidR="00CD41CD" w:rsidRPr="00AC7096" w:rsidRDefault="00CD41CD" w:rsidP="00CD41CD">
      <w:pPr>
        <w:pStyle w:val="FootnoteText"/>
        <w:rPr>
          <w:sz w:val="20"/>
        </w:rPr>
      </w:pPr>
      <w:r w:rsidRPr="00AC7096">
        <w:rPr>
          <w:rStyle w:val="FootnoteReference"/>
          <w:sz w:val="20"/>
          <w:szCs w:val="20"/>
        </w:rPr>
        <w:footnoteRef/>
      </w:r>
      <w:r w:rsidRPr="00AC7096">
        <w:rPr>
          <w:sz w:val="20"/>
        </w:rPr>
        <w:t xml:space="preserve"> The estimates for cost per response are derived using the following formula: Average Burden Hours per Response * $79.00/hour = Average cost/response.  The figure is the 2018 FERC average hourly cost (for wages and benefits) of $79.00 (and an average annual salary of $164,820/year).  Commission staff is using the FERC average salary because we consider any reporting requirements completed in response to the FERC-537 to be compensated at rates similar to the work of FERC employees.</w:t>
      </w:r>
    </w:p>
  </w:footnote>
  <w:footnote w:id="3">
    <w:p w14:paraId="3BD2DE21" w14:textId="77777777" w:rsidR="00CD41CD" w:rsidRPr="00AC7096" w:rsidRDefault="00CD41CD" w:rsidP="00CD41CD">
      <w:pPr>
        <w:pStyle w:val="FootnoteText"/>
        <w:rPr>
          <w:sz w:val="20"/>
        </w:rPr>
      </w:pPr>
      <w:r w:rsidRPr="00AC7096">
        <w:rPr>
          <w:rStyle w:val="FootnoteReference"/>
          <w:sz w:val="20"/>
          <w:szCs w:val="20"/>
        </w:rPr>
        <w:footnoteRef/>
      </w:r>
      <w:r w:rsidRPr="00AC7096">
        <w:rPr>
          <w:sz w:val="20"/>
        </w:rPr>
        <w:t xml:space="preserve"> Each of the figures in this column are rounded to the nearest dollar.</w:t>
      </w:r>
    </w:p>
  </w:footnote>
  <w:footnote w:id="4">
    <w:p w14:paraId="23A07906" w14:textId="77777777" w:rsidR="00CD41CD" w:rsidRPr="00AC7096" w:rsidRDefault="00CD41CD" w:rsidP="00CD41CD">
      <w:pPr>
        <w:pStyle w:val="FootnoteText"/>
        <w:rPr>
          <w:sz w:val="20"/>
        </w:rPr>
      </w:pPr>
      <w:r w:rsidRPr="00AC7096">
        <w:rPr>
          <w:rStyle w:val="FootnoteReference"/>
          <w:sz w:val="20"/>
          <w:szCs w:val="20"/>
        </w:rPr>
        <w:footnoteRef/>
      </w:r>
      <w:r w:rsidRPr="00AC7096">
        <w:rPr>
          <w:sz w:val="20"/>
        </w:rPr>
        <w:t xml:space="preserve"> For the FERC Form No. 60, the $63.32 hourly cost figure comes from the average cost (wages plus benefits) of a utility management analyst (Occupation Code 13-1111) and an accountant (Occupation Code 13-2011) as posted on the Bureau of Labor Statistics (BLS) website (</w:t>
      </w:r>
      <w:hyperlink r:id="rId1" w:history="1">
        <w:r w:rsidRPr="00AC7096">
          <w:rPr>
            <w:rStyle w:val="Hyperlink"/>
            <w:sz w:val="20"/>
          </w:rPr>
          <w:t>http://www.bls.gov/oes/current/naics2_22.htm</w:t>
        </w:r>
      </w:hyperlink>
      <w:r w:rsidRPr="00AC7096">
        <w:rPr>
          <w:sz w:val="20"/>
        </w:rPr>
        <w:t xml:space="preserve">).  </w:t>
      </w:r>
    </w:p>
  </w:footnote>
  <w:footnote w:id="5">
    <w:p w14:paraId="5E4F9745" w14:textId="77777777" w:rsidR="00CD41CD" w:rsidRPr="00AC7096" w:rsidRDefault="00CD41CD" w:rsidP="00CD41CD">
      <w:pPr>
        <w:pStyle w:val="FootnoteText"/>
        <w:rPr>
          <w:sz w:val="20"/>
        </w:rPr>
      </w:pPr>
      <w:r w:rsidRPr="00AC7096">
        <w:rPr>
          <w:rStyle w:val="FootnoteReference"/>
          <w:sz w:val="20"/>
          <w:szCs w:val="20"/>
        </w:rPr>
        <w:footnoteRef/>
      </w:r>
      <w:r w:rsidRPr="00AC7096">
        <w:rPr>
          <w:sz w:val="20"/>
        </w:rPr>
        <w:t>For the FERC-61, the $39.68 hourly cost figure comes from the cost of a records clerk (Occupation Code 43-4199) as posted on the BLS website (</w:t>
      </w:r>
      <w:hyperlink r:id="rId2" w:history="1">
        <w:r w:rsidRPr="00AC7096">
          <w:rPr>
            <w:rStyle w:val="Hyperlink"/>
            <w:sz w:val="20"/>
          </w:rPr>
          <w:t>http://www.bls.gov/oes/current/naics2_22.htm</w:t>
        </w:r>
      </w:hyperlink>
      <w:r w:rsidRPr="00AC7096">
        <w:rPr>
          <w:sz w:val="20"/>
        </w:rPr>
        <w:t>).</w:t>
      </w:r>
    </w:p>
  </w:footnote>
  <w:footnote w:id="6">
    <w:p w14:paraId="2E6B25D5" w14:textId="77777777" w:rsidR="00CD41CD" w:rsidRPr="00DE01AF" w:rsidRDefault="00CD41CD" w:rsidP="00CD41CD">
      <w:pPr>
        <w:pStyle w:val="FootnoteText"/>
        <w:rPr>
          <w:sz w:val="20"/>
        </w:rPr>
      </w:pPr>
      <w:r w:rsidRPr="00DE01AF">
        <w:rPr>
          <w:rStyle w:val="FootnoteReference"/>
          <w:sz w:val="20"/>
          <w:szCs w:val="20"/>
        </w:rPr>
        <w:footnoteRef/>
      </w:r>
      <w:r w:rsidRPr="00DE01AF">
        <w:rPr>
          <w:sz w:val="20"/>
        </w:rPr>
        <w:t>For the FERC-555A, the $33.39 hourly cost figure comes from the average cost (wages plus benefits) of a file clerk (Occupation Code 43-4071) as posted on the BLS website (</w:t>
      </w:r>
      <w:hyperlink r:id="rId3" w:history="1">
        <w:r w:rsidRPr="00DE01AF">
          <w:rPr>
            <w:rStyle w:val="Hyperlink"/>
            <w:sz w:val="20"/>
          </w:rPr>
          <w:t>http://www.bls.gov/oes/current/naics2_22.htm</w:t>
        </w:r>
      </w:hyperlink>
      <w:r w:rsidRPr="00DE01AF">
        <w:rPr>
          <w:sz w:val="20"/>
        </w:rPr>
        <w:t>).</w:t>
      </w:r>
    </w:p>
  </w:footnote>
  <w:footnote w:id="7">
    <w:p w14:paraId="56932DEE" w14:textId="77777777" w:rsidR="00CD41CD" w:rsidRDefault="00CD41CD" w:rsidP="00CD41CD">
      <w:pPr>
        <w:pStyle w:val="FootnoteText"/>
      </w:pPr>
      <w:r w:rsidRPr="00DE01AF">
        <w:rPr>
          <w:rStyle w:val="FootnoteReference"/>
          <w:sz w:val="20"/>
          <w:szCs w:val="20"/>
        </w:rPr>
        <w:footnoteRef/>
      </w:r>
      <w:r w:rsidRPr="00DE01AF">
        <w:rPr>
          <w:sz w:val="20"/>
        </w:rPr>
        <w:t xml:space="preserve"> Each of the 117 entities is assumed to have both paper and electronic record retention.</w:t>
      </w:r>
    </w:p>
  </w:footnote>
  <w:footnote w:id="8">
    <w:p w14:paraId="3D576916" w14:textId="77777777" w:rsidR="00CD41CD" w:rsidRPr="00AC7096" w:rsidRDefault="00CD41CD" w:rsidP="00CD41CD">
      <w:pPr>
        <w:pStyle w:val="FootnoteText"/>
        <w:rPr>
          <w:sz w:val="20"/>
        </w:rPr>
      </w:pPr>
      <w:r w:rsidRPr="00AC7096">
        <w:rPr>
          <w:rStyle w:val="FootnoteReference"/>
          <w:sz w:val="20"/>
          <w:szCs w:val="20"/>
        </w:rPr>
        <w:footnoteRef/>
      </w:r>
      <w:r w:rsidRPr="00AC7096">
        <w:rPr>
          <w:sz w:val="20"/>
        </w:rPr>
        <w:t xml:space="preserve"> Internal analysis assumes 50% paper storage and 50% electronic storage.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7D2DA"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40B1F7"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F425C"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2DD8">
      <w:rPr>
        <w:rStyle w:val="PageNumber"/>
        <w:noProof/>
      </w:rPr>
      <w:t>2</w:t>
    </w:r>
    <w:r>
      <w:rPr>
        <w:rStyle w:val="PageNumber"/>
      </w:rPr>
      <w:fldChar w:fldCharType="end"/>
    </w:r>
  </w:p>
  <w:p w14:paraId="65F1C01A" w14:textId="36E2BB6E" w:rsidR="009A6D11" w:rsidRDefault="009A6D11" w:rsidP="0096632C">
    <w:pPr>
      <w:pStyle w:val="Header"/>
      <w:ind w:right="360"/>
    </w:pPr>
    <w:r w:rsidRPr="00A9249D">
      <w:t xml:space="preserve">Docket No. </w:t>
    </w:r>
    <w:r w:rsidR="00A9249D" w:rsidRPr="00A9249D">
      <w:t>IC19-17</w:t>
    </w:r>
    <w:r w:rsidRPr="00A9249D">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53DB"/>
    <w:rsid w:val="00036FEC"/>
    <w:rsid w:val="00041471"/>
    <w:rsid w:val="00043468"/>
    <w:rsid w:val="000436E9"/>
    <w:rsid w:val="0006335A"/>
    <w:rsid w:val="00072256"/>
    <w:rsid w:val="00072448"/>
    <w:rsid w:val="00080D5F"/>
    <w:rsid w:val="000838BE"/>
    <w:rsid w:val="000854B7"/>
    <w:rsid w:val="00093E92"/>
    <w:rsid w:val="00095258"/>
    <w:rsid w:val="000A27CA"/>
    <w:rsid w:val="000A5308"/>
    <w:rsid w:val="000B723A"/>
    <w:rsid w:val="000C56A4"/>
    <w:rsid w:val="000D3639"/>
    <w:rsid w:val="000D5216"/>
    <w:rsid w:val="000F3E00"/>
    <w:rsid w:val="00103D50"/>
    <w:rsid w:val="00114B14"/>
    <w:rsid w:val="00121C3B"/>
    <w:rsid w:val="001240FD"/>
    <w:rsid w:val="00125F00"/>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B40FA"/>
    <w:rsid w:val="001B49BD"/>
    <w:rsid w:val="001C3324"/>
    <w:rsid w:val="001C4D3A"/>
    <w:rsid w:val="001C5D46"/>
    <w:rsid w:val="001C75B2"/>
    <w:rsid w:val="001E3ECE"/>
    <w:rsid w:val="001E69DB"/>
    <w:rsid w:val="001F0B06"/>
    <w:rsid w:val="001F0E50"/>
    <w:rsid w:val="001F2664"/>
    <w:rsid w:val="001F47CB"/>
    <w:rsid w:val="00204D0F"/>
    <w:rsid w:val="002265E9"/>
    <w:rsid w:val="00252CD0"/>
    <w:rsid w:val="00260FBB"/>
    <w:rsid w:val="002677D6"/>
    <w:rsid w:val="00285E62"/>
    <w:rsid w:val="0028677A"/>
    <w:rsid w:val="0029476E"/>
    <w:rsid w:val="00296592"/>
    <w:rsid w:val="002A6174"/>
    <w:rsid w:val="002B62A0"/>
    <w:rsid w:val="002C0ECB"/>
    <w:rsid w:val="002C23E9"/>
    <w:rsid w:val="002E2667"/>
    <w:rsid w:val="002E3314"/>
    <w:rsid w:val="002F1283"/>
    <w:rsid w:val="002F5FB8"/>
    <w:rsid w:val="003178F3"/>
    <w:rsid w:val="00317A96"/>
    <w:rsid w:val="00321EB8"/>
    <w:rsid w:val="00323139"/>
    <w:rsid w:val="00335092"/>
    <w:rsid w:val="00341866"/>
    <w:rsid w:val="00356E26"/>
    <w:rsid w:val="003575F3"/>
    <w:rsid w:val="00366669"/>
    <w:rsid w:val="00370763"/>
    <w:rsid w:val="00374409"/>
    <w:rsid w:val="00381700"/>
    <w:rsid w:val="003820D6"/>
    <w:rsid w:val="00386BED"/>
    <w:rsid w:val="003A1D7A"/>
    <w:rsid w:val="003C1644"/>
    <w:rsid w:val="003C1F91"/>
    <w:rsid w:val="003D0480"/>
    <w:rsid w:val="003D6813"/>
    <w:rsid w:val="003F32A9"/>
    <w:rsid w:val="00414715"/>
    <w:rsid w:val="004230B0"/>
    <w:rsid w:val="00423C49"/>
    <w:rsid w:val="0042785C"/>
    <w:rsid w:val="00432C41"/>
    <w:rsid w:val="0044362C"/>
    <w:rsid w:val="00445DDF"/>
    <w:rsid w:val="00453F74"/>
    <w:rsid w:val="00455A33"/>
    <w:rsid w:val="00470106"/>
    <w:rsid w:val="004721F3"/>
    <w:rsid w:val="0047321C"/>
    <w:rsid w:val="004757BF"/>
    <w:rsid w:val="004855F2"/>
    <w:rsid w:val="00487256"/>
    <w:rsid w:val="00490E50"/>
    <w:rsid w:val="00492DD8"/>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35D4"/>
    <w:rsid w:val="00556AC8"/>
    <w:rsid w:val="005665D1"/>
    <w:rsid w:val="0058734A"/>
    <w:rsid w:val="005916D2"/>
    <w:rsid w:val="00592AD7"/>
    <w:rsid w:val="00594550"/>
    <w:rsid w:val="005953A4"/>
    <w:rsid w:val="005A02C5"/>
    <w:rsid w:val="005A6D8E"/>
    <w:rsid w:val="005B0E46"/>
    <w:rsid w:val="005C7047"/>
    <w:rsid w:val="005D0272"/>
    <w:rsid w:val="005E6B6B"/>
    <w:rsid w:val="005F533D"/>
    <w:rsid w:val="006070B9"/>
    <w:rsid w:val="00617E46"/>
    <w:rsid w:val="0062025E"/>
    <w:rsid w:val="00625882"/>
    <w:rsid w:val="006276C9"/>
    <w:rsid w:val="006400D4"/>
    <w:rsid w:val="00644093"/>
    <w:rsid w:val="0065768D"/>
    <w:rsid w:val="006615E1"/>
    <w:rsid w:val="0068483B"/>
    <w:rsid w:val="0069142C"/>
    <w:rsid w:val="00695504"/>
    <w:rsid w:val="006A2074"/>
    <w:rsid w:val="006A4D89"/>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26A08"/>
    <w:rsid w:val="00732D6C"/>
    <w:rsid w:val="007349ED"/>
    <w:rsid w:val="00764A91"/>
    <w:rsid w:val="0076589D"/>
    <w:rsid w:val="00766823"/>
    <w:rsid w:val="007726D7"/>
    <w:rsid w:val="00773856"/>
    <w:rsid w:val="00775D65"/>
    <w:rsid w:val="0078241C"/>
    <w:rsid w:val="007920A8"/>
    <w:rsid w:val="007957B9"/>
    <w:rsid w:val="007A46B4"/>
    <w:rsid w:val="007A5C4A"/>
    <w:rsid w:val="007B03E0"/>
    <w:rsid w:val="007D2400"/>
    <w:rsid w:val="007D4A4A"/>
    <w:rsid w:val="007E52AC"/>
    <w:rsid w:val="007E6973"/>
    <w:rsid w:val="007E699A"/>
    <w:rsid w:val="007E7573"/>
    <w:rsid w:val="007F4F94"/>
    <w:rsid w:val="007F7E3C"/>
    <w:rsid w:val="008024B2"/>
    <w:rsid w:val="00804E53"/>
    <w:rsid w:val="00816467"/>
    <w:rsid w:val="00822C8E"/>
    <w:rsid w:val="00827DA2"/>
    <w:rsid w:val="0083270A"/>
    <w:rsid w:val="00834B9E"/>
    <w:rsid w:val="00841CCE"/>
    <w:rsid w:val="00851C49"/>
    <w:rsid w:val="00852671"/>
    <w:rsid w:val="00855434"/>
    <w:rsid w:val="0085560E"/>
    <w:rsid w:val="008647BA"/>
    <w:rsid w:val="00865E72"/>
    <w:rsid w:val="0087254C"/>
    <w:rsid w:val="008814F7"/>
    <w:rsid w:val="00891E91"/>
    <w:rsid w:val="00893FB3"/>
    <w:rsid w:val="008956A4"/>
    <w:rsid w:val="008B5814"/>
    <w:rsid w:val="008D7DF2"/>
    <w:rsid w:val="008E4CB7"/>
    <w:rsid w:val="00906BFB"/>
    <w:rsid w:val="009124A0"/>
    <w:rsid w:val="009131BC"/>
    <w:rsid w:val="0091686D"/>
    <w:rsid w:val="00924B80"/>
    <w:rsid w:val="00937BCD"/>
    <w:rsid w:val="00944ACD"/>
    <w:rsid w:val="00956FF9"/>
    <w:rsid w:val="00961DAE"/>
    <w:rsid w:val="0096632C"/>
    <w:rsid w:val="00967943"/>
    <w:rsid w:val="0097434D"/>
    <w:rsid w:val="00977E05"/>
    <w:rsid w:val="009840D5"/>
    <w:rsid w:val="00991D87"/>
    <w:rsid w:val="00994B38"/>
    <w:rsid w:val="009A61E8"/>
    <w:rsid w:val="009A6D11"/>
    <w:rsid w:val="009B7DFA"/>
    <w:rsid w:val="009E030D"/>
    <w:rsid w:val="009E1DA1"/>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249D"/>
    <w:rsid w:val="00A96311"/>
    <w:rsid w:val="00A9631E"/>
    <w:rsid w:val="00AA7819"/>
    <w:rsid w:val="00AB0A99"/>
    <w:rsid w:val="00AB20D8"/>
    <w:rsid w:val="00AB58C3"/>
    <w:rsid w:val="00AC4CC5"/>
    <w:rsid w:val="00AC7480"/>
    <w:rsid w:val="00AE0995"/>
    <w:rsid w:val="00AF06CA"/>
    <w:rsid w:val="00AF4F93"/>
    <w:rsid w:val="00B018B9"/>
    <w:rsid w:val="00B2244D"/>
    <w:rsid w:val="00B3254F"/>
    <w:rsid w:val="00B33628"/>
    <w:rsid w:val="00B337D1"/>
    <w:rsid w:val="00B4431A"/>
    <w:rsid w:val="00B460AF"/>
    <w:rsid w:val="00B62B35"/>
    <w:rsid w:val="00B710EA"/>
    <w:rsid w:val="00B75595"/>
    <w:rsid w:val="00B806DB"/>
    <w:rsid w:val="00B81BC5"/>
    <w:rsid w:val="00B835C5"/>
    <w:rsid w:val="00B87F46"/>
    <w:rsid w:val="00B97BC8"/>
    <w:rsid w:val="00BB1C54"/>
    <w:rsid w:val="00BC1B93"/>
    <w:rsid w:val="00BD0A6B"/>
    <w:rsid w:val="00BD15D4"/>
    <w:rsid w:val="00BF144D"/>
    <w:rsid w:val="00C01B8E"/>
    <w:rsid w:val="00C0217E"/>
    <w:rsid w:val="00C0487E"/>
    <w:rsid w:val="00C1080B"/>
    <w:rsid w:val="00C14CA1"/>
    <w:rsid w:val="00C209EA"/>
    <w:rsid w:val="00C20BA6"/>
    <w:rsid w:val="00C211B3"/>
    <w:rsid w:val="00C3310F"/>
    <w:rsid w:val="00C33BBC"/>
    <w:rsid w:val="00C41350"/>
    <w:rsid w:val="00C446C7"/>
    <w:rsid w:val="00C4788A"/>
    <w:rsid w:val="00C63FEE"/>
    <w:rsid w:val="00C70D6C"/>
    <w:rsid w:val="00C71F08"/>
    <w:rsid w:val="00C856C1"/>
    <w:rsid w:val="00C87925"/>
    <w:rsid w:val="00C936A0"/>
    <w:rsid w:val="00C950B8"/>
    <w:rsid w:val="00C9728E"/>
    <w:rsid w:val="00CA5395"/>
    <w:rsid w:val="00CA582B"/>
    <w:rsid w:val="00CA5D25"/>
    <w:rsid w:val="00CB10EF"/>
    <w:rsid w:val="00CC084C"/>
    <w:rsid w:val="00CC2DF1"/>
    <w:rsid w:val="00CC312A"/>
    <w:rsid w:val="00CC5DDE"/>
    <w:rsid w:val="00CC74B4"/>
    <w:rsid w:val="00CD31E5"/>
    <w:rsid w:val="00CD41CD"/>
    <w:rsid w:val="00CE0EF2"/>
    <w:rsid w:val="00CF0A7E"/>
    <w:rsid w:val="00CF5B9A"/>
    <w:rsid w:val="00D02D61"/>
    <w:rsid w:val="00D225FB"/>
    <w:rsid w:val="00D23599"/>
    <w:rsid w:val="00D33436"/>
    <w:rsid w:val="00D43998"/>
    <w:rsid w:val="00D47828"/>
    <w:rsid w:val="00D579BC"/>
    <w:rsid w:val="00D63C82"/>
    <w:rsid w:val="00D67693"/>
    <w:rsid w:val="00D70310"/>
    <w:rsid w:val="00D77890"/>
    <w:rsid w:val="00D87C24"/>
    <w:rsid w:val="00D90CBF"/>
    <w:rsid w:val="00D90F48"/>
    <w:rsid w:val="00D9166B"/>
    <w:rsid w:val="00D92CB4"/>
    <w:rsid w:val="00D93E95"/>
    <w:rsid w:val="00D94313"/>
    <w:rsid w:val="00DA6F3C"/>
    <w:rsid w:val="00DB44CE"/>
    <w:rsid w:val="00DC09DD"/>
    <w:rsid w:val="00DC0CCD"/>
    <w:rsid w:val="00DD02E8"/>
    <w:rsid w:val="00DD3E84"/>
    <w:rsid w:val="00DF281F"/>
    <w:rsid w:val="00DF3DC8"/>
    <w:rsid w:val="00DF57D1"/>
    <w:rsid w:val="00E027CE"/>
    <w:rsid w:val="00E0745C"/>
    <w:rsid w:val="00E102DA"/>
    <w:rsid w:val="00E2091C"/>
    <w:rsid w:val="00E257B4"/>
    <w:rsid w:val="00E310B1"/>
    <w:rsid w:val="00E35ECB"/>
    <w:rsid w:val="00E4230F"/>
    <w:rsid w:val="00E436DC"/>
    <w:rsid w:val="00E43FF3"/>
    <w:rsid w:val="00E52021"/>
    <w:rsid w:val="00E521EB"/>
    <w:rsid w:val="00E57F5B"/>
    <w:rsid w:val="00E57FC8"/>
    <w:rsid w:val="00E60318"/>
    <w:rsid w:val="00E6445A"/>
    <w:rsid w:val="00E6573E"/>
    <w:rsid w:val="00E92ACF"/>
    <w:rsid w:val="00E94542"/>
    <w:rsid w:val="00E9701C"/>
    <w:rsid w:val="00EA07A3"/>
    <w:rsid w:val="00EA26F9"/>
    <w:rsid w:val="00EA3F0A"/>
    <w:rsid w:val="00EA4BD0"/>
    <w:rsid w:val="00EA5739"/>
    <w:rsid w:val="00EB6628"/>
    <w:rsid w:val="00EB6EE6"/>
    <w:rsid w:val="00EC4610"/>
    <w:rsid w:val="00EC7372"/>
    <w:rsid w:val="00EE4F64"/>
    <w:rsid w:val="00EE5F32"/>
    <w:rsid w:val="00F02B46"/>
    <w:rsid w:val="00F04F4C"/>
    <w:rsid w:val="00F04F98"/>
    <w:rsid w:val="00F05061"/>
    <w:rsid w:val="00F133AE"/>
    <w:rsid w:val="00F137D5"/>
    <w:rsid w:val="00F15EB8"/>
    <w:rsid w:val="00F168B6"/>
    <w:rsid w:val="00F17D46"/>
    <w:rsid w:val="00F2283B"/>
    <w:rsid w:val="00F239CB"/>
    <w:rsid w:val="00F252DC"/>
    <w:rsid w:val="00F31331"/>
    <w:rsid w:val="00F33CC9"/>
    <w:rsid w:val="00F34211"/>
    <w:rsid w:val="00F4212C"/>
    <w:rsid w:val="00F500B7"/>
    <w:rsid w:val="00F567F0"/>
    <w:rsid w:val="00F619B0"/>
    <w:rsid w:val="00F62C6E"/>
    <w:rsid w:val="00F63C6E"/>
    <w:rsid w:val="00F72A15"/>
    <w:rsid w:val="00F730F8"/>
    <w:rsid w:val="00F75289"/>
    <w:rsid w:val="00F80272"/>
    <w:rsid w:val="00FA1560"/>
    <w:rsid w:val="00FA2A52"/>
    <w:rsid w:val="00FB1597"/>
    <w:rsid w:val="00FB5088"/>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14:docId w14:val="71B7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rsid w:val="009A6D1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rsid w:val="009A6D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bls.gov/oes/current/naics2_22.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D388D-3F16-49E3-8306-F4F930A16244}">
  <ds:schemaRefs>
    <ds:schemaRef ds:uri="http://schemas.microsoft.com/office/2006/documentManagement/types"/>
    <ds:schemaRef ds:uri="http://purl.org/dc/elements/1.1/"/>
    <ds:schemaRef ds:uri="http://purl.org/dc/dcmitype/"/>
    <ds:schemaRef ds:uri="http://www.w3.org/XML/1998/namespace"/>
    <ds:schemaRef ds:uri="5e8733a2-e908-454b-85cf-c9d17e1d0943"/>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B811484-68D4-46F4-8CFF-C822B5C24D91}">
  <ds:schemaRefs>
    <ds:schemaRef ds:uri="Microsoft.SharePoint.Taxonomy.ContentTypeSync"/>
  </ds:schemaRefs>
</ds:datastoreItem>
</file>

<file path=customXml/itemProps3.xml><?xml version="1.0" encoding="utf-8"?>
<ds:datastoreItem xmlns:ds="http://schemas.openxmlformats.org/officeDocument/2006/customXml" ds:itemID="{4E6BFA55-E72B-4F38-9C4F-D9385E621969}">
  <ds:schemaRefs>
    <ds:schemaRef ds:uri="http://schemas.microsoft.com/sharepoint/v3/contenttype/forms"/>
  </ds:schemaRefs>
</ds:datastoreItem>
</file>

<file path=customXml/itemProps4.xml><?xml version="1.0" encoding="utf-8"?>
<ds:datastoreItem xmlns:ds="http://schemas.openxmlformats.org/officeDocument/2006/customXml" ds:itemID="{F9608739-C7CB-42BB-921F-B1BE1E95F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10406</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2019-05-22T14:18:00Z</dcterms:created>
  <dcterms:modified xsi:type="dcterms:W3CDTF">2019-05-22T14:18:00Z</dcterms:modified>
  <cp:category/>
  <dc:identifier/>
  <cp:contentStatus/>
  <cp:version/>
</cp:coreProperties>
</file>