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4D830" w14:textId="77777777" w:rsidR="00320387" w:rsidRDefault="00320387" w:rsidP="00320387">
      <w:pPr>
        <w:keepNext/>
        <w:numPr>
          <w:ilvl w:val="0"/>
          <w:numId w:val="1"/>
        </w:numPr>
        <w:tabs>
          <w:tab w:val="left" w:pos="360"/>
        </w:tabs>
        <w:rPr>
          <w:b/>
          <w:i/>
        </w:rPr>
      </w:pPr>
      <w:bookmarkStart w:id="0" w:name="_GoBack"/>
      <w:bookmarkEnd w:id="0"/>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6506568B" w14:textId="77777777" w:rsidR="00320387" w:rsidRDefault="00320387" w:rsidP="00320387">
      <w:pPr>
        <w:keepNext/>
        <w:numPr>
          <w:ilvl w:val="12"/>
          <w:numId w:val="0"/>
        </w:numPr>
        <w:ind w:left="360"/>
      </w:pPr>
    </w:p>
    <w:p w14:paraId="3F32F9AC" w14:textId="76B00A41" w:rsidR="00DB0916" w:rsidRDefault="00DB0916" w:rsidP="00F633AB">
      <w:pPr>
        <w:widowControl w:val="0"/>
        <w:autoSpaceDE w:val="0"/>
        <w:autoSpaceDN w:val="0"/>
        <w:adjustRightInd w:val="0"/>
        <w:ind w:left="360"/>
      </w:pPr>
      <w:r>
        <w:t>T</w:t>
      </w:r>
      <w:r w:rsidR="005962ED">
        <w:t>he Transportation Security Administration (T</w:t>
      </w:r>
      <w:r>
        <w:t>SA</w:t>
      </w:r>
      <w:r w:rsidR="005962ED">
        <w:t>)</w:t>
      </w:r>
      <w:r>
        <w:t xml:space="preserve"> is requesting approval to </w:t>
      </w:r>
      <w:r w:rsidR="008B6157">
        <w:t>renew</w:t>
      </w:r>
      <w:r>
        <w:t xml:space="preserve"> this collection of information to comply with 49 U.S.C. 44935, which requires TSA to establish qualification standards for the employment of security screening personnel.  With approval from </w:t>
      </w:r>
      <w:r w:rsidR="005962ED">
        <w:t>the Office of Management and Budget (</w:t>
      </w:r>
      <w:r>
        <w:t>OMB</w:t>
      </w:r>
      <w:r w:rsidR="005962ED">
        <w:t>)</w:t>
      </w:r>
      <w:r>
        <w:t xml:space="preserve">, TSA currently collects information </w:t>
      </w:r>
      <w:r w:rsidR="00CE7397">
        <w:t xml:space="preserve">necessary to validate qualification standards are met through the </w:t>
      </w:r>
      <w:r>
        <w:t xml:space="preserve">Transportation Security Officer (TSO) </w:t>
      </w:r>
      <w:r w:rsidR="00CE7397">
        <w:t>m</w:t>
      </w:r>
      <w:r>
        <w:t xml:space="preserve">edical </w:t>
      </w:r>
      <w:r w:rsidR="00CE7397">
        <w:t>q</w:t>
      </w:r>
      <w:r>
        <w:t>uestionnaire</w:t>
      </w:r>
      <w:r w:rsidR="008B6157">
        <w:t xml:space="preserve"> and </w:t>
      </w:r>
      <w:r w:rsidR="00266F22">
        <w:t>further evaluation forms</w:t>
      </w:r>
      <w:r w:rsidR="00403B97">
        <w:t xml:space="preserve">. </w:t>
      </w:r>
      <w:r w:rsidR="00025714">
        <w:t xml:space="preserve"> </w:t>
      </w:r>
      <w:r w:rsidR="00403B97" w:rsidRPr="00EA480B">
        <w:rPr>
          <w:i/>
        </w:rPr>
        <w:t>See</w:t>
      </w:r>
      <w:r w:rsidR="00403B97">
        <w:t xml:space="preserve"> ICR Reference N</w:t>
      </w:r>
      <w:r w:rsidR="00EA480B">
        <w:t>o.</w:t>
      </w:r>
      <w:r w:rsidR="00403B97">
        <w:t xml:space="preserve"> 201301-1652-006 (March 29, 2013). </w:t>
      </w:r>
      <w:r w:rsidR="00025714">
        <w:t xml:space="preserve"> </w:t>
      </w:r>
    </w:p>
    <w:p w14:paraId="1AB4EBCF" w14:textId="509744DC" w:rsidR="005C571E" w:rsidRDefault="005C571E" w:rsidP="00F633AB">
      <w:pPr>
        <w:widowControl w:val="0"/>
        <w:autoSpaceDE w:val="0"/>
        <w:autoSpaceDN w:val="0"/>
        <w:adjustRightInd w:val="0"/>
        <w:ind w:left="360"/>
      </w:pPr>
    </w:p>
    <w:p w14:paraId="56399558" w14:textId="5FC0256E" w:rsidR="005C571E" w:rsidRDefault="005C571E" w:rsidP="00F633AB">
      <w:pPr>
        <w:widowControl w:val="0"/>
        <w:autoSpaceDE w:val="0"/>
        <w:autoSpaceDN w:val="0"/>
        <w:adjustRightInd w:val="0"/>
        <w:ind w:left="360"/>
      </w:pPr>
      <w:r>
        <w:t xml:space="preserve">TSA is revising the collection and will no longer </w:t>
      </w:r>
      <w:r w:rsidR="00BB66CB">
        <w:t>require</w:t>
      </w:r>
      <w:r>
        <w:t xml:space="preserve"> TSOs to provide</w:t>
      </w:r>
      <w:r w:rsidR="00DD615E">
        <w:t xml:space="preserve"> additional information via the </w:t>
      </w:r>
      <w:r>
        <w:t>further evaluation forms</w:t>
      </w:r>
      <w:r w:rsidR="00BB66CB">
        <w:t>.  TSA will continue to use the medical questionnaire to determine medical and physical abilities.</w:t>
      </w:r>
    </w:p>
    <w:p w14:paraId="21A119E5"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3C6B3AF0"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78C0CD5E" w14:textId="77777777" w:rsidR="00320387" w:rsidRDefault="00320387" w:rsidP="00320387">
      <w:pPr>
        <w:keepNext/>
        <w:numPr>
          <w:ilvl w:val="12"/>
          <w:numId w:val="0"/>
        </w:numPr>
        <w:ind w:left="360"/>
      </w:pPr>
    </w:p>
    <w:p w14:paraId="17939A98" w14:textId="548E9E23" w:rsidR="006527AD" w:rsidRDefault="006527AD" w:rsidP="008D5832">
      <w:pPr>
        <w:widowControl w:val="0"/>
        <w:autoSpaceDE w:val="0"/>
        <w:autoSpaceDN w:val="0"/>
        <w:adjustRightInd w:val="0"/>
        <w:ind w:left="360"/>
      </w:pPr>
      <w:r>
        <w:t xml:space="preserve">This collection of information assists the agency in </w:t>
      </w:r>
      <w:r w:rsidR="00630420" w:rsidRPr="00CF3117">
        <w:rPr>
          <w:rFonts w:cs="Times New Roman"/>
          <w:szCs w:val="24"/>
        </w:rPr>
        <w:t>meet</w:t>
      </w:r>
      <w:r w:rsidR="00CF3117">
        <w:rPr>
          <w:rFonts w:cs="Times New Roman"/>
          <w:szCs w:val="24"/>
        </w:rPr>
        <w:t>ing</w:t>
      </w:r>
      <w:r w:rsidR="00630420" w:rsidRPr="00CF3117">
        <w:rPr>
          <w:rFonts w:cs="Times New Roman"/>
          <w:szCs w:val="24"/>
        </w:rPr>
        <w:t xml:space="preserve"> its statutory obligation</w:t>
      </w:r>
      <w:r w:rsidR="00CF3117" w:rsidRPr="00CF3117">
        <w:rPr>
          <w:rFonts w:cs="Times New Roman"/>
          <w:szCs w:val="24"/>
        </w:rPr>
        <w:t xml:space="preserve"> to ensure that</w:t>
      </w:r>
      <w:r w:rsidR="00630420" w:rsidRPr="00CF3117">
        <w:rPr>
          <w:rFonts w:cs="Times New Roman"/>
          <w:szCs w:val="24"/>
        </w:rPr>
        <w:t xml:space="preserve"> no individual serve</w:t>
      </w:r>
      <w:r w:rsidR="009546DD">
        <w:rPr>
          <w:rFonts w:cs="Times New Roman"/>
          <w:szCs w:val="24"/>
        </w:rPr>
        <w:t>s</w:t>
      </w:r>
      <w:r w:rsidR="00630420" w:rsidRPr="00CF3117">
        <w:rPr>
          <w:rFonts w:cs="Times New Roman"/>
          <w:szCs w:val="24"/>
        </w:rPr>
        <w:t xml:space="preserve"> as a </w:t>
      </w:r>
      <w:r w:rsidR="00061479">
        <w:rPr>
          <w:rFonts w:cs="Times New Roman"/>
          <w:szCs w:val="24"/>
        </w:rPr>
        <w:t>TSO</w:t>
      </w:r>
      <w:r w:rsidR="00630420" w:rsidRPr="00CF3117">
        <w:rPr>
          <w:rFonts w:cs="Times New Roman"/>
          <w:szCs w:val="24"/>
        </w:rPr>
        <w:t xml:space="preserve"> </w:t>
      </w:r>
      <w:r w:rsidR="00CF3117" w:rsidRPr="00CF3117">
        <w:rPr>
          <w:rFonts w:cs="Times New Roman"/>
          <w:szCs w:val="24"/>
        </w:rPr>
        <w:t>who does not “</w:t>
      </w:r>
      <w:r w:rsidR="00CF3117" w:rsidRPr="00CF3117">
        <w:rPr>
          <w:rStyle w:val="ptext-3"/>
          <w:rFonts w:cs="Times New Roman"/>
          <w:szCs w:val="24"/>
        </w:rPr>
        <w:t xml:space="preserve">possess basic aptitudes and physical abilities, including color perception, visual and aural acuity, physical coordination, and motor skills.” </w:t>
      </w:r>
      <w:r w:rsidR="00025714">
        <w:rPr>
          <w:rStyle w:val="ptext-3"/>
          <w:rFonts w:cs="Times New Roman"/>
          <w:szCs w:val="24"/>
        </w:rPr>
        <w:t xml:space="preserve"> </w:t>
      </w:r>
      <w:r w:rsidR="00CF3117" w:rsidRPr="00CF3117">
        <w:rPr>
          <w:rStyle w:val="ptext-3"/>
          <w:rFonts w:cs="Times New Roman"/>
          <w:szCs w:val="24"/>
        </w:rPr>
        <w:t>49 U.S.C. 44935(f)(1)(B)</w:t>
      </w:r>
      <w:r w:rsidRPr="00CF3117">
        <w:rPr>
          <w:rFonts w:cs="Times New Roman"/>
          <w:szCs w:val="24"/>
        </w:rPr>
        <w:t>.</w:t>
      </w:r>
      <w:r>
        <w:t xml:space="preserve">  </w:t>
      </w:r>
      <w:r w:rsidR="00CE7397">
        <w:t xml:space="preserve">The Security Officer Medical Questionnaire (SOMQ) enables TSA to collect the information necessary to assist health care providers in making determinations regarding candidates’ medical and physical abilities to successfully perform the job without being overly intrusive.  The scope of this determination provides a </w:t>
      </w:r>
      <w:r>
        <w:t>candidate’s current and past medical history, including visual and aural acuity, physical coordination, and motor skills to be able to: (a) distinguish on screening equipment monitors the appropriate imaging standard; (b) distinguish each color displayed on every type of screening equipment and explain what each color signifies; (c) hear and respond to the spoken voice and to audible alarms in an active checkpoint environment; (d) perform physical searches by efficiently and thoroughly manipulating and handling baggage containers, and other objects; (e) perform pat-downs or hand-held metal detector searches of individuals with sufficient dexterity and capacity to thoroughly conduct the procedures over an individual’s entire body; and (f) demonstrate a daily fitness for duty without impairment due to illegal drugs, sleep deprivation, medication, or alcohol.</w:t>
      </w:r>
    </w:p>
    <w:p w14:paraId="149E6E0C" w14:textId="77777777" w:rsidR="006527AD" w:rsidRDefault="006527AD" w:rsidP="006527AD">
      <w:pPr>
        <w:tabs>
          <w:tab w:val="left" w:pos="360"/>
        </w:tabs>
        <w:ind w:left="360"/>
      </w:pPr>
    </w:p>
    <w:p w14:paraId="1CF07803" w14:textId="5817508E" w:rsidR="006527AD" w:rsidRDefault="006527AD" w:rsidP="006527AD">
      <w:pPr>
        <w:tabs>
          <w:tab w:val="left" w:pos="360"/>
        </w:tabs>
        <w:ind w:left="360"/>
      </w:pPr>
      <w:r>
        <w:t>A TSA contractor facilitate</w:t>
      </w:r>
      <w:r w:rsidR="00266F22">
        <w:t>s</w:t>
      </w:r>
      <w:r>
        <w:t xml:space="preserve"> receipt and processing of </w:t>
      </w:r>
      <w:r w:rsidR="00FC71B7">
        <w:t xml:space="preserve">all </w:t>
      </w:r>
      <w:r w:rsidR="00536401">
        <w:t xml:space="preserve">medical </w:t>
      </w:r>
      <w:r w:rsidR="00FC71B7">
        <w:t>forms</w:t>
      </w:r>
      <w:r w:rsidR="003E289A">
        <w:t>.</w:t>
      </w:r>
    </w:p>
    <w:p w14:paraId="5038C0AA" w14:textId="77777777" w:rsidR="00320387" w:rsidRDefault="00320387" w:rsidP="00320387">
      <w:pPr>
        <w:numPr>
          <w:ilvl w:val="12"/>
          <w:numId w:val="0"/>
        </w:numPr>
      </w:pPr>
    </w:p>
    <w:p w14:paraId="2C440EBA" w14:textId="77777777" w:rsidR="00320387" w:rsidRPr="009B7B1E" w:rsidRDefault="00320387" w:rsidP="00B65D1E">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w:t>
      </w:r>
      <w:r w:rsidRPr="003F5F68">
        <w:rPr>
          <w:b/>
          <w:i/>
          <w:snapToGrid w:val="0"/>
        </w:rPr>
        <w:t>2003</w:t>
      </w:r>
      <w:r>
        <w:rPr>
          <w:b/>
          <w:i/>
          <w:snapToGrid w:val="0"/>
        </w:rPr>
        <w:t>, or an explanation of why this is not practicable.]</w:t>
      </w:r>
    </w:p>
    <w:p w14:paraId="49F5CEA9" w14:textId="77777777" w:rsidR="009B7B1E" w:rsidRPr="00AB7CEA" w:rsidRDefault="009B7B1E" w:rsidP="009B7B1E">
      <w:pPr>
        <w:keepNext/>
        <w:tabs>
          <w:tab w:val="left" w:pos="360"/>
        </w:tabs>
        <w:ind w:left="360"/>
        <w:rPr>
          <w:b/>
          <w:i/>
        </w:rPr>
      </w:pPr>
    </w:p>
    <w:p w14:paraId="7606021B" w14:textId="67063057" w:rsidR="008D0A57" w:rsidRDefault="00F94213" w:rsidP="00F633AB">
      <w:pPr>
        <w:ind w:left="360"/>
      </w:pPr>
      <w:r>
        <w:t>Consistent with the Government Paperwork Elimination Act, TSA</w:t>
      </w:r>
      <w:r w:rsidR="00F2768B">
        <w:t xml:space="preserve"> has </w:t>
      </w:r>
      <w:r w:rsidR="007C451A">
        <w:t xml:space="preserve">routinely </w:t>
      </w:r>
      <w:r w:rsidR="008D0A57">
        <w:t>considered</w:t>
      </w:r>
      <w:r w:rsidR="00F2768B">
        <w:t xml:space="preserve"> </w:t>
      </w:r>
      <w:r w:rsidR="008D0A57">
        <w:t>technology to reduce the burden of this collection</w:t>
      </w:r>
      <w:r w:rsidR="007C451A">
        <w:t>.  As such, it has recently identified a means to collect this information electronically and is currently preparing an implementation plan to deploy an electronic version of the SOMQ in 2019</w:t>
      </w:r>
      <w:r w:rsidR="00536401">
        <w:t xml:space="preserve">.  </w:t>
      </w:r>
      <w:r w:rsidR="007C451A">
        <w:t xml:space="preserve">Until the electronic solution can be deployed, </w:t>
      </w:r>
      <w:r w:rsidR="008D0A57">
        <w:t>t</w:t>
      </w:r>
      <w:r w:rsidR="00B65D1E">
        <w:t xml:space="preserve">he collection of information from candidates under employment consideration for </w:t>
      </w:r>
      <w:r>
        <w:t>TSO</w:t>
      </w:r>
      <w:r w:rsidR="00B65D1E">
        <w:t xml:space="preserve"> positions </w:t>
      </w:r>
      <w:r w:rsidR="007C451A">
        <w:t xml:space="preserve">will be </w:t>
      </w:r>
      <w:r w:rsidR="003D6B26">
        <w:t xml:space="preserve">conducted </w:t>
      </w:r>
      <w:r w:rsidR="00B65D1E">
        <w:t>manually</w:t>
      </w:r>
      <w:r w:rsidR="003D6B26">
        <w:t>.</w:t>
      </w:r>
    </w:p>
    <w:p w14:paraId="5F8BC868" w14:textId="2F47DCBF" w:rsidR="00320387" w:rsidRDefault="00320387" w:rsidP="00F633AB">
      <w:pPr>
        <w:ind w:left="360"/>
      </w:pPr>
    </w:p>
    <w:p w14:paraId="10942EB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FD0589A" w14:textId="77777777" w:rsidR="006527AD" w:rsidRDefault="006527AD" w:rsidP="006527AD">
      <w:pPr>
        <w:widowControl w:val="0"/>
        <w:autoSpaceDE w:val="0"/>
        <w:autoSpaceDN w:val="0"/>
        <w:adjustRightInd w:val="0"/>
        <w:ind w:left="360"/>
      </w:pPr>
    </w:p>
    <w:p w14:paraId="16E3E20A" w14:textId="69BF4778" w:rsidR="006527AD" w:rsidRDefault="00CE7397" w:rsidP="006527AD">
      <w:pPr>
        <w:widowControl w:val="0"/>
        <w:autoSpaceDE w:val="0"/>
        <w:autoSpaceDN w:val="0"/>
        <w:adjustRightInd w:val="0"/>
        <w:ind w:left="360"/>
      </w:pPr>
      <w:r>
        <w:t>T</w:t>
      </w:r>
      <w:r w:rsidR="006527AD">
        <w:t>he S</w:t>
      </w:r>
      <w:r w:rsidR="00B853AB">
        <w:t>O</w:t>
      </w:r>
      <w:r w:rsidR="006527AD">
        <w:t xml:space="preserve">MQ form </w:t>
      </w:r>
      <w:r>
        <w:t xml:space="preserve">has proven to be the most effective and appropriate method for collecting </w:t>
      </w:r>
      <w:r w:rsidR="006527AD">
        <w:t xml:space="preserve">the information necessary to assist the </w:t>
      </w:r>
      <w:r w:rsidR="00F633AB">
        <w:t xml:space="preserve">health care </w:t>
      </w:r>
      <w:r w:rsidR="006527AD">
        <w:t xml:space="preserve">providers in making determinations regarding </w:t>
      </w:r>
      <w:r w:rsidR="00084DC2">
        <w:t>candidate</w:t>
      </w:r>
      <w:r w:rsidR="006527AD">
        <w:t>s’ medical and physical abilities to successfully perform the job without being overly intrusive.</w:t>
      </w:r>
    </w:p>
    <w:p w14:paraId="22815F78" w14:textId="0F4EBC18" w:rsidR="00CE7397" w:rsidRDefault="00CE7397" w:rsidP="006527AD">
      <w:pPr>
        <w:widowControl w:val="0"/>
        <w:autoSpaceDE w:val="0"/>
        <w:autoSpaceDN w:val="0"/>
        <w:adjustRightInd w:val="0"/>
        <w:ind w:left="360"/>
      </w:pPr>
    </w:p>
    <w:p w14:paraId="6FC36F7C" w14:textId="794C0B87" w:rsidR="00CE7397" w:rsidRDefault="00CE7397" w:rsidP="00CE7397">
      <w:pPr>
        <w:widowControl w:val="0"/>
        <w:autoSpaceDE w:val="0"/>
        <w:autoSpaceDN w:val="0"/>
        <w:adjustRightInd w:val="0"/>
        <w:ind w:left="360"/>
      </w:pPr>
      <w:r>
        <w:t xml:space="preserve">During the rapid hiring of TSOs (formerly referred to as Transportation Security Screeners) in 2002 and until summer 2004, TSA used the SF-93, Report of Medical History, as the collection technique to ensure candidates under employment consideration for TSO positions met the qualification standards to successfully perform the functions of the position.  With OMB approval, TSA began using the SOMQ instead of the SF-93 in 2007.  </w:t>
      </w:r>
      <w:r w:rsidRPr="00E24AC0">
        <w:rPr>
          <w:i/>
        </w:rPr>
        <w:t>See</w:t>
      </w:r>
      <w:r>
        <w:t xml:space="preserve"> ICR Reference No. 200608-1652-003 (January 4, 2007).  TSA has found the SOMQ form more suitable to collect the information necessary to assist health care providers in making determinations regarding candidates’ medical and physical abilities to successfully perform the job without being overly intrusive.</w:t>
      </w:r>
    </w:p>
    <w:p w14:paraId="5A92A934" w14:textId="77777777" w:rsidR="00CE7397" w:rsidRDefault="00CE7397" w:rsidP="006527AD">
      <w:pPr>
        <w:widowControl w:val="0"/>
        <w:autoSpaceDE w:val="0"/>
        <w:autoSpaceDN w:val="0"/>
        <w:adjustRightInd w:val="0"/>
        <w:ind w:left="360"/>
      </w:pPr>
    </w:p>
    <w:p w14:paraId="3F636828" w14:textId="77777777" w:rsidR="00320387" w:rsidRDefault="00320387" w:rsidP="00320387">
      <w:pPr>
        <w:numPr>
          <w:ilvl w:val="12"/>
          <w:numId w:val="0"/>
        </w:numPr>
      </w:pPr>
    </w:p>
    <w:p w14:paraId="639FAE28"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7FE91662" w14:textId="77777777" w:rsidR="00320387" w:rsidRDefault="00320387" w:rsidP="00320387">
      <w:pPr>
        <w:keepNext/>
        <w:numPr>
          <w:ilvl w:val="12"/>
          <w:numId w:val="0"/>
        </w:numPr>
        <w:ind w:left="360"/>
      </w:pPr>
    </w:p>
    <w:p w14:paraId="2C0CB659" w14:textId="3CEE7559" w:rsidR="006527AD" w:rsidRDefault="006527AD" w:rsidP="006527AD">
      <w:pPr>
        <w:numPr>
          <w:ilvl w:val="12"/>
          <w:numId w:val="0"/>
        </w:numPr>
        <w:ind w:left="360"/>
      </w:pPr>
      <w:r>
        <w:t xml:space="preserve">The collection of information does not have a significant impact on a substantial number of small businesses or other small entities.  As described above, the medical questionnaire information is collected from candidates under employment consideration for </w:t>
      </w:r>
      <w:r w:rsidR="00476F4D">
        <w:t>TSO</w:t>
      </w:r>
      <w:r>
        <w:t xml:space="preserve"> positions.</w:t>
      </w:r>
    </w:p>
    <w:p w14:paraId="7EBC3AD6" w14:textId="77777777" w:rsidR="00320387" w:rsidRDefault="00320387" w:rsidP="00320387">
      <w:pPr>
        <w:numPr>
          <w:ilvl w:val="12"/>
          <w:numId w:val="0"/>
        </w:numPr>
      </w:pPr>
    </w:p>
    <w:p w14:paraId="162A2106" w14:textId="77777777" w:rsidR="00320387" w:rsidRDefault="00320387" w:rsidP="0032038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14:paraId="6941B1A1" w14:textId="77777777" w:rsidR="00320387" w:rsidRDefault="00320387" w:rsidP="00320387">
      <w:pPr>
        <w:keepNext/>
        <w:numPr>
          <w:ilvl w:val="12"/>
          <w:numId w:val="0"/>
        </w:numPr>
        <w:ind w:left="360"/>
      </w:pPr>
    </w:p>
    <w:p w14:paraId="18484E26" w14:textId="77777777" w:rsidR="006527AD" w:rsidRDefault="006527AD" w:rsidP="006527AD">
      <w:pPr>
        <w:numPr>
          <w:ilvl w:val="12"/>
          <w:numId w:val="0"/>
        </w:numPr>
        <w:ind w:left="360"/>
      </w:pPr>
      <w:r>
        <w:t xml:space="preserve">The determination that </w:t>
      </w:r>
      <w:r w:rsidR="00476F4D">
        <w:t xml:space="preserve">TSO </w:t>
      </w:r>
      <w:r>
        <w:t>candidates successfully meet the qualification requirements described above is essential to create and maintain a national workforce of skilled and medically qualified employees charged with protecting the Nation’s transportation systems by ensuring the freedom of movement for people and commerce.  The security of the Nation’s transportation systems would be severely compromised if this collection is not conducted or is conducted less frequently.</w:t>
      </w:r>
    </w:p>
    <w:p w14:paraId="28EAC76C" w14:textId="77777777" w:rsidR="00320387" w:rsidRDefault="00320387" w:rsidP="00320387">
      <w:pPr>
        <w:numPr>
          <w:ilvl w:val="12"/>
          <w:numId w:val="0"/>
        </w:numPr>
      </w:pPr>
    </w:p>
    <w:p w14:paraId="51F135E0"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2DACC2B2" w14:textId="77777777" w:rsidR="00320387" w:rsidRDefault="00320387" w:rsidP="00320387">
      <w:pPr>
        <w:keepNext/>
        <w:numPr>
          <w:ilvl w:val="12"/>
          <w:numId w:val="0"/>
        </w:numPr>
        <w:ind w:left="360"/>
      </w:pPr>
    </w:p>
    <w:p w14:paraId="57B5E4DA" w14:textId="77777777" w:rsidR="006527AD" w:rsidRDefault="006527AD" w:rsidP="006527AD">
      <w:pPr>
        <w:tabs>
          <w:tab w:val="left" w:pos="360"/>
        </w:tabs>
        <w:ind w:left="360"/>
      </w:pPr>
      <w:r>
        <w:t>There are no special circumstances that require the collection to be conducted in a manner inconsistent with the general information collection guidelines in 5 CFR 1320.5(d)(2).</w:t>
      </w:r>
    </w:p>
    <w:p w14:paraId="78197641" w14:textId="77777777" w:rsidR="00320387" w:rsidRDefault="00320387" w:rsidP="00320387">
      <w:pPr>
        <w:numPr>
          <w:ilvl w:val="12"/>
          <w:numId w:val="0"/>
        </w:numPr>
      </w:pPr>
    </w:p>
    <w:p w14:paraId="03DA8D82"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2736B4C" w14:textId="77777777" w:rsidR="00320387" w:rsidRDefault="00320387" w:rsidP="00320387">
      <w:pPr>
        <w:keepNext/>
        <w:numPr>
          <w:ilvl w:val="12"/>
          <w:numId w:val="0"/>
        </w:numPr>
        <w:ind w:left="360"/>
      </w:pPr>
    </w:p>
    <w:p w14:paraId="50E82FDB" w14:textId="16439D5B" w:rsidR="006527AD" w:rsidRPr="001D078F" w:rsidRDefault="006527AD" w:rsidP="006527AD">
      <w:pPr>
        <w:numPr>
          <w:ilvl w:val="12"/>
          <w:numId w:val="0"/>
        </w:numPr>
        <w:ind w:left="360"/>
        <w:rPr>
          <w:color w:val="auto"/>
        </w:rPr>
      </w:pPr>
      <w:r w:rsidRPr="001D078F">
        <w:t xml:space="preserve">TSA invited public comment on this information collection requirement, </w:t>
      </w:r>
      <w:r w:rsidR="007711B4">
        <w:t xml:space="preserve">a 60-day notice </w:t>
      </w:r>
      <w:r w:rsidR="0033175D">
        <w:t xml:space="preserve">was </w:t>
      </w:r>
      <w:r w:rsidR="0033175D" w:rsidRPr="001D078F">
        <w:t>published</w:t>
      </w:r>
      <w:r w:rsidRPr="001D078F">
        <w:t xml:space="preserve"> in the </w:t>
      </w:r>
      <w:r w:rsidRPr="00CC427D">
        <w:t xml:space="preserve">Federal Register on </w:t>
      </w:r>
      <w:r w:rsidR="009A35B3" w:rsidRPr="009A35B3">
        <w:rPr>
          <w:color w:val="auto"/>
        </w:rPr>
        <w:t>December 6</w:t>
      </w:r>
      <w:r w:rsidR="002A42C2" w:rsidRPr="009A35B3">
        <w:rPr>
          <w:color w:val="auto"/>
        </w:rPr>
        <w:t>, 201</w:t>
      </w:r>
      <w:r w:rsidR="005C571E" w:rsidRPr="009A35B3">
        <w:rPr>
          <w:color w:val="auto"/>
        </w:rPr>
        <w:t>8</w:t>
      </w:r>
      <w:r w:rsidR="002A42C2" w:rsidRPr="009A35B3">
        <w:rPr>
          <w:color w:val="auto"/>
        </w:rPr>
        <w:t xml:space="preserve"> </w:t>
      </w:r>
      <w:r w:rsidRPr="009A35B3">
        <w:rPr>
          <w:color w:val="auto"/>
        </w:rPr>
        <w:t>(</w:t>
      </w:r>
      <w:r w:rsidR="002A42C2" w:rsidRPr="009A35B3">
        <w:rPr>
          <w:color w:val="auto"/>
        </w:rPr>
        <w:t>8</w:t>
      </w:r>
      <w:r w:rsidR="005C571E" w:rsidRPr="009A35B3">
        <w:rPr>
          <w:color w:val="auto"/>
        </w:rPr>
        <w:t>3</w:t>
      </w:r>
      <w:r w:rsidR="007711B4" w:rsidRPr="009A35B3">
        <w:rPr>
          <w:color w:val="auto"/>
          <w:szCs w:val="24"/>
        </w:rPr>
        <w:t xml:space="preserve"> </w:t>
      </w:r>
      <w:r w:rsidR="00E157EF" w:rsidRPr="009A35B3">
        <w:rPr>
          <w:color w:val="auto"/>
          <w:szCs w:val="24"/>
        </w:rPr>
        <w:t>FR</w:t>
      </w:r>
      <w:r w:rsidR="00BC502D" w:rsidRPr="009A35B3">
        <w:rPr>
          <w:color w:val="auto"/>
          <w:szCs w:val="24"/>
        </w:rPr>
        <w:t xml:space="preserve"> </w:t>
      </w:r>
      <w:r w:rsidR="009A35B3" w:rsidRPr="009A35B3">
        <w:rPr>
          <w:color w:val="auto"/>
          <w:szCs w:val="24"/>
        </w:rPr>
        <w:t>62879</w:t>
      </w:r>
      <w:r w:rsidRPr="009A35B3">
        <w:rPr>
          <w:color w:val="auto"/>
        </w:rPr>
        <w:t>)</w:t>
      </w:r>
      <w:r w:rsidR="007711B4" w:rsidRPr="00CC427D">
        <w:rPr>
          <w:color w:val="auto"/>
        </w:rPr>
        <w:t xml:space="preserve"> and a 30-day notice was published on </w:t>
      </w:r>
      <w:r w:rsidR="005C571E" w:rsidRPr="00C604D4">
        <w:rPr>
          <w:color w:val="auto"/>
        </w:rPr>
        <w:t>M</w:t>
      </w:r>
      <w:r w:rsidR="00C604D4" w:rsidRPr="00C604D4">
        <w:rPr>
          <w:color w:val="auto"/>
        </w:rPr>
        <w:t>arch</w:t>
      </w:r>
      <w:r w:rsidR="005C571E" w:rsidRPr="00C604D4">
        <w:rPr>
          <w:color w:val="auto"/>
        </w:rPr>
        <w:t xml:space="preserve"> </w:t>
      </w:r>
      <w:r w:rsidR="00C604D4" w:rsidRPr="00C604D4">
        <w:rPr>
          <w:color w:val="auto"/>
        </w:rPr>
        <w:t>27</w:t>
      </w:r>
      <w:r w:rsidR="005C571E" w:rsidRPr="00C604D4">
        <w:rPr>
          <w:color w:val="auto"/>
        </w:rPr>
        <w:t>, 201</w:t>
      </w:r>
      <w:r w:rsidR="00C604D4" w:rsidRPr="00C604D4">
        <w:rPr>
          <w:color w:val="auto"/>
        </w:rPr>
        <w:t>9</w:t>
      </w:r>
      <w:r w:rsidR="005C571E" w:rsidRPr="00C604D4">
        <w:rPr>
          <w:color w:val="auto"/>
        </w:rPr>
        <w:t xml:space="preserve"> (84</w:t>
      </w:r>
      <w:r w:rsidR="005C571E" w:rsidRPr="00C604D4">
        <w:rPr>
          <w:color w:val="auto"/>
          <w:szCs w:val="24"/>
        </w:rPr>
        <w:t xml:space="preserve"> FR </w:t>
      </w:r>
      <w:r w:rsidR="00C604D4" w:rsidRPr="00C604D4">
        <w:rPr>
          <w:color w:val="auto"/>
          <w:szCs w:val="24"/>
        </w:rPr>
        <w:t>11552</w:t>
      </w:r>
      <w:r w:rsidR="005C571E" w:rsidRPr="00C604D4">
        <w:rPr>
          <w:color w:val="auto"/>
        </w:rPr>
        <w:t>)</w:t>
      </w:r>
      <w:r w:rsidR="000A2D67" w:rsidRPr="00C604D4">
        <w:rPr>
          <w:color w:val="auto"/>
        </w:rPr>
        <w:t>.</w:t>
      </w:r>
      <w:r w:rsidRPr="001D078F">
        <w:rPr>
          <w:color w:val="auto"/>
        </w:rPr>
        <w:t xml:space="preserve">  </w:t>
      </w:r>
      <w:r w:rsidR="0040192F" w:rsidRPr="000F7F38">
        <w:t>Consistent with the requirements of Executive Order (E</w:t>
      </w:r>
      <w:r w:rsidR="00025714">
        <w:t>.</w:t>
      </w:r>
      <w:r w:rsidR="0040192F" w:rsidRPr="000F7F38">
        <w:t>O</w:t>
      </w:r>
      <w:r w:rsidR="00025714">
        <w:t>.</w:t>
      </w:r>
      <w:r w:rsidR="0040192F" w:rsidRPr="000F7F38">
        <w:t>) 13771, Reducing Regulation and Controlling Regulatory Costs, and E</w:t>
      </w:r>
      <w:r w:rsidR="00025714">
        <w:t>.</w:t>
      </w:r>
      <w:r w:rsidR="0040192F" w:rsidRPr="000F7F38">
        <w:t>O</w:t>
      </w:r>
      <w:r w:rsidR="00025714">
        <w:t>.</w:t>
      </w:r>
      <w:r w:rsidR="0040192F" w:rsidRPr="000F7F38">
        <w:t xml:space="preserve"> 13777, Enforcing the Regulatory Reform Agenda, the notices included a specific request for comments on the extent to which this request for information could be modified to reduce the burden on respondents</w:t>
      </w:r>
      <w:r w:rsidR="0040192F" w:rsidRPr="00E53815">
        <w:t>.</w:t>
      </w:r>
      <w:r w:rsidR="0040192F">
        <w:t xml:space="preserve">  </w:t>
      </w:r>
      <w:r w:rsidRPr="001D078F">
        <w:rPr>
          <w:color w:val="auto"/>
        </w:rPr>
        <w:t xml:space="preserve">TSA </w:t>
      </w:r>
      <w:r w:rsidR="000A2D67">
        <w:rPr>
          <w:color w:val="auto"/>
        </w:rPr>
        <w:t xml:space="preserve">received </w:t>
      </w:r>
      <w:r w:rsidRPr="001D078F">
        <w:rPr>
          <w:color w:val="auto"/>
        </w:rPr>
        <w:t xml:space="preserve">no </w:t>
      </w:r>
      <w:r w:rsidR="001B4CB0">
        <w:rPr>
          <w:color w:val="auto"/>
        </w:rPr>
        <w:t xml:space="preserve">public </w:t>
      </w:r>
      <w:r w:rsidRPr="001D078F">
        <w:rPr>
          <w:color w:val="auto"/>
        </w:rPr>
        <w:t>comments in response to th</w:t>
      </w:r>
      <w:r w:rsidR="000A2D67">
        <w:rPr>
          <w:color w:val="auto"/>
        </w:rPr>
        <w:t>e</w:t>
      </w:r>
      <w:r w:rsidRPr="001D078F">
        <w:rPr>
          <w:color w:val="auto"/>
        </w:rPr>
        <w:t xml:space="preserve"> notice</w:t>
      </w:r>
      <w:r w:rsidR="000A2D67">
        <w:rPr>
          <w:color w:val="auto"/>
        </w:rPr>
        <w:t>s</w:t>
      </w:r>
      <w:r w:rsidRPr="001D078F">
        <w:rPr>
          <w:color w:val="auto"/>
        </w:rPr>
        <w:t>.</w:t>
      </w:r>
    </w:p>
    <w:p w14:paraId="4323AB9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A7A9A4B"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5C7E124D" w14:textId="77777777" w:rsidR="00320387" w:rsidRDefault="00320387" w:rsidP="00320387">
      <w:pPr>
        <w:keepNext/>
        <w:numPr>
          <w:ilvl w:val="12"/>
          <w:numId w:val="0"/>
        </w:numPr>
        <w:ind w:left="360"/>
      </w:pPr>
    </w:p>
    <w:p w14:paraId="6B90F2C1" w14:textId="77777777" w:rsidR="006527AD" w:rsidRDefault="006527AD" w:rsidP="006527AD">
      <w:pPr>
        <w:tabs>
          <w:tab w:val="left" w:pos="360"/>
        </w:tabs>
        <w:ind w:left="360"/>
      </w:pPr>
      <w:r>
        <w:t>TSA will not provide any payment or gift to respondents.</w:t>
      </w:r>
    </w:p>
    <w:p w14:paraId="32BDCDB3" w14:textId="77777777" w:rsidR="00320387" w:rsidRDefault="00320387" w:rsidP="00320387">
      <w:pPr>
        <w:numPr>
          <w:ilvl w:val="12"/>
          <w:numId w:val="0"/>
        </w:numPr>
      </w:pPr>
    </w:p>
    <w:p w14:paraId="368921F9"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45E90E0C" w14:textId="77777777" w:rsidR="00320387" w:rsidRDefault="00320387" w:rsidP="00320387">
      <w:pPr>
        <w:keepNext/>
        <w:numPr>
          <w:ilvl w:val="12"/>
          <w:numId w:val="0"/>
        </w:numPr>
        <w:ind w:left="360"/>
      </w:pPr>
    </w:p>
    <w:p w14:paraId="18CCABDE" w14:textId="546247E8" w:rsidR="006527AD" w:rsidRDefault="006527AD" w:rsidP="005714A1">
      <w:pPr>
        <w:tabs>
          <w:tab w:val="left" w:pos="360"/>
        </w:tabs>
        <w:ind w:left="360"/>
      </w:pPr>
      <w:r>
        <w:t>TSA will maintain the information according to the Privacy Act, OPM/GOVT-10 System</w:t>
      </w:r>
      <w:r w:rsidR="00B853AB">
        <w:t>, Employee Medical File</w:t>
      </w:r>
      <w:r>
        <w:t xml:space="preserve"> of Records </w:t>
      </w:r>
      <w:r w:rsidR="007B6B26">
        <w:t xml:space="preserve">of </w:t>
      </w:r>
      <w:r w:rsidR="00476F4D">
        <w:t>TSO</w:t>
      </w:r>
      <w:r w:rsidR="007B6B26">
        <w:t xml:space="preserve"> candidates who are </w:t>
      </w:r>
      <w:r>
        <w:t>hired, or under the OPM/GOVT-5</w:t>
      </w:r>
      <w:r w:rsidR="00B853AB">
        <w:t>, Recruiting, Examining, and Placement</w:t>
      </w:r>
      <w:r>
        <w:t xml:space="preserve"> System of Records </w:t>
      </w:r>
      <w:r w:rsidR="007B6B26">
        <w:t xml:space="preserve">of </w:t>
      </w:r>
      <w:r w:rsidR="00476F4D">
        <w:t>TSO</w:t>
      </w:r>
      <w:r w:rsidR="007B6B26">
        <w:t xml:space="preserve"> candidates who are </w:t>
      </w:r>
      <w:r>
        <w:t xml:space="preserve">not hired.  TSA will maintain the information in a secured area with access limited to authorized personnel </w:t>
      </w:r>
      <w:r w:rsidR="00B55F8E">
        <w:t>who have a business need to know the information</w:t>
      </w:r>
      <w:r>
        <w:t>.</w:t>
      </w:r>
      <w:r w:rsidR="005714A1" w:rsidRPr="005714A1">
        <w:t xml:space="preserve"> </w:t>
      </w:r>
      <w:r w:rsidR="00C836AD">
        <w:t xml:space="preserve">The collection is also covered by SORN – DHS/TSA-022, which reflects TSA’s move from its legacy payroll and personnel system to become a payroll customer of the USDA’s National Finance Center (NFC).  </w:t>
      </w:r>
      <w:r w:rsidR="005714A1">
        <w:t>A Privacy Impact Assessment for the HRAccess Program was published by DHS on July 28, 2009.</w:t>
      </w:r>
    </w:p>
    <w:p w14:paraId="7EEA1E64" w14:textId="77777777" w:rsidR="00B853AB" w:rsidRDefault="00B853AB" w:rsidP="006527AD">
      <w:pPr>
        <w:tabs>
          <w:tab w:val="left" w:pos="360"/>
        </w:tabs>
        <w:ind w:left="360"/>
      </w:pPr>
    </w:p>
    <w:p w14:paraId="769CCBC0" w14:textId="77777777" w:rsidR="00B853AB" w:rsidRDefault="00B853AB" w:rsidP="00B853AB">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78417477" w14:textId="77777777" w:rsidR="00BC502D" w:rsidRDefault="00BC502D" w:rsidP="00B853AB">
      <w:pPr>
        <w:numPr>
          <w:ilvl w:val="12"/>
          <w:numId w:val="0"/>
        </w:numPr>
      </w:pPr>
    </w:p>
    <w:p w14:paraId="021DF2D8" w14:textId="5736E8FD" w:rsidR="00F52394" w:rsidRDefault="00B853AB">
      <w:pPr>
        <w:numPr>
          <w:ilvl w:val="12"/>
          <w:numId w:val="0"/>
        </w:numPr>
        <w:ind w:left="360"/>
      </w:pPr>
      <w:r>
        <w:t>While some of the questions TSA is posing could be considered to be of a sensitive nature, TSA deems this collection necessary to evaluate a candidate’s medical suitability for the TSO job.  While some of this information is commonly considered private, the collection is essential to ensure that the individuals performing TSA’s security mission are physically able to perform their duties safely, with minimal risk of injury to themselves or others, and in a manner that does not compromise security.</w:t>
      </w:r>
      <w:r w:rsidR="00BC502D">
        <w:t xml:space="preserve">  As noted above, TSA will follow appropriate procedures to protect this information from unauthorized disclosure.</w:t>
      </w:r>
    </w:p>
    <w:p w14:paraId="51F9F473" w14:textId="77777777" w:rsidR="00B853AB" w:rsidRDefault="00B853AB" w:rsidP="00B853AB">
      <w:pPr>
        <w:numPr>
          <w:ilvl w:val="12"/>
          <w:numId w:val="0"/>
        </w:numPr>
      </w:pPr>
    </w:p>
    <w:p w14:paraId="7D23D184" w14:textId="77777777" w:rsidR="00B853AB" w:rsidRDefault="00B853AB" w:rsidP="00B853AB">
      <w:pPr>
        <w:keepNext/>
        <w:numPr>
          <w:ilvl w:val="0"/>
          <w:numId w:val="1"/>
        </w:numPr>
        <w:tabs>
          <w:tab w:val="left" w:pos="360"/>
        </w:tabs>
        <w:rPr>
          <w:b/>
          <w:i/>
        </w:rPr>
      </w:pPr>
      <w:r>
        <w:rPr>
          <w:b/>
          <w:i/>
        </w:rPr>
        <w:t>Provide estimates of hour</w:t>
      </w:r>
      <w:r w:rsidR="002A42C2">
        <w:rPr>
          <w:b/>
          <w:i/>
        </w:rPr>
        <w:t xml:space="preserve"> and cost burden</w:t>
      </w:r>
      <w:r>
        <w:rPr>
          <w:b/>
          <w:i/>
        </w:rPr>
        <w:t xml:space="preserve"> of the collection of information.</w:t>
      </w:r>
    </w:p>
    <w:p w14:paraId="6229C1D1" w14:textId="77777777" w:rsidR="00B853AB" w:rsidRDefault="00B853AB" w:rsidP="00B853AB">
      <w:pPr>
        <w:keepNext/>
        <w:numPr>
          <w:ilvl w:val="12"/>
          <w:numId w:val="0"/>
        </w:numPr>
        <w:ind w:left="360"/>
      </w:pPr>
    </w:p>
    <w:p w14:paraId="76FD5B58" w14:textId="1AF518AF" w:rsidR="004054E6" w:rsidRPr="004054E6" w:rsidRDefault="004054E6" w:rsidP="004054E6">
      <w:pPr>
        <w:ind w:left="360"/>
        <w:rPr>
          <w:rFonts w:eastAsia="Calibri" w:cs="Times New Roman"/>
          <w:color w:val="auto"/>
          <w:szCs w:val="22"/>
        </w:rPr>
      </w:pPr>
      <w:r w:rsidRPr="004054E6">
        <w:rPr>
          <w:rFonts w:eastAsia="Calibri" w:cs="Times New Roman"/>
          <w:color w:val="auto"/>
          <w:szCs w:val="22"/>
        </w:rPr>
        <w:t xml:space="preserve">TSA uses the SOMQ to collect the information necessary to assist the health care providers in making determinations regarding the medical and physical abilities of applicants for </w:t>
      </w:r>
      <w:r w:rsidR="00A768CF">
        <w:rPr>
          <w:rFonts w:eastAsia="Calibri" w:cs="Times New Roman"/>
          <w:color w:val="auto"/>
          <w:szCs w:val="22"/>
        </w:rPr>
        <w:t xml:space="preserve">the position of </w:t>
      </w:r>
      <w:r w:rsidR="000F57B9">
        <w:rPr>
          <w:rFonts w:eastAsia="Calibri" w:cs="Times New Roman"/>
          <w:color w:val="auto"/>
          <w:szCs w:val="22"/>
        </w:rPr>
        <w:t xml:space="preserve">TSO </w:t>
      </w:r>
      <w:r w:rsidRPr="004054E6">
        <w:rPr>
          <w:rFonts w:eastAsia="Calibri" w:cs="Times New Roman"/>
          <w:color w:val="auto"/>
          <w:szCs w:val="22"/>
        </w:rPr>
        <w:t>to successfully perform the job.</w:t>
      </w:r>
      <w:r w:rsidR="00025714">
        <w:rPr>
          <w:rFonts w:eastAsia="Calibri" w:cs="Times New Roman"/>
          <w:color w:val="auto"/>
          <w:szCs w:val="22"/>
        </w:rPr>
        <w:t xml:space="preserve"> </w:t>
      </w:r>
      <w:r w:rsidRPr="004054E6">
        <w:rPr>
          <w:rFonts w:eastAsia="Calibri" w:cs="Times New Roman"/>
          <w:color w:val="auto"/>
          <w:szCs w:val="22"/>
        </w:rPr>
        <w:t xml:space="preserve"> </w:t>
      </w:r>
      <w:r w:rsidRPr="004054E6">
        <w:rPr>
          <w:rFonts w:eastAsia="Calibri" w:cs="Times New Roman"/>
          <w:color w:val="auto"/>
          <w:szCs w:val="24"/>
        </w:rPr>
        <w:t xml:space="preserve">The hour and cost burden calculations depend on </w:t>
      </w:r>
      <w:r w:rsidRPr="004054E6">
        <w:rPr>
          <w:rFonts w:eastAsia="Calibri" w:cs="Times New Roman"/>
          <w:color w:val="auto"/>
          <w:szCs w:val="22"/>
        </w:rPr>
        <w:t>all applicants for a TSO position complet</w:t>
      </w:r>
      <w:r w:rsidR="00B74405">
        <w:rPr>
          <w:rFonts w:eastAsia="Calibri" w:cs="Times New Roman"/>
          <w:color w:val="auto"/>
          <w:szCs w:val="22"/>
        </w:rPr>
        <w:t xml:space="preserve">ing the required </w:t>
      </w:r>
      <w:r w:rsidRPr="004054E6">
        <w:rPr>
          <w:rFonts w:eastAsia="Calibri" w:cs="Times New Roman"/>
          <w:color w:val="auto"/>
          <w:szCs w:val="22"/>
        </w:rPr>
        <w:t>SOMQ.</w:t>
      </w:r>
    </w:p>
    <w:p w14:paraId="70A638CD" w14:textId="77777777" w:rsidR="004054E6" w:rsidRPr="004054E6" w:rsidRDefault="004054E6" w:rsidP="004054E6">
      <w:pPr>
        <w:ind w:left="360"/>
        <w:rPr>
          <w:rFonts w:eastAsia="Calibri" w:cs="Times New Roman"/>
          <w:color w:val="auto"/>
          <w:szCs w:val="22"/>
        </w:rPr>
      </w:pPr>
    </w:p>
    <w:p w14:paraId="63F20B67" w14:textId="74AC2E57" w:rsidR="00C42623" w:rsidRDefault="004054E6" w:rsidP="004054E6">
      <w:pPr>
        <w:ind w:left="360"/>
        <w:rPr>
          <w:rFonts w:eastAsia="Calibri" w:cs="Times New Roman"/>
          <w:color w:val="auto"/>
          <w:szCs w:val="22"/>
        </w:rPr>
      </w:pPr>
      <w:r w:rsidRPr="004054E6">
        <w:rPr>
          <w:rFonts w:eastAsia="Calibri" w:cs="Times New Roman"/>
          <w:color w:val="auto"/>
          <w:szCs w:val="22"/>
        </w:rPr>
        <w:t xml:space="preserve">TSA estimates that the average annual number of </w:t>
      </w:r>
      <w:r w:rsidR="00FC630C">
        <w:rPr>
          <w:rFonts w:eastAsia="Calibri" w:cs="Times New Roman"/>
          <w:color w:val="auto"/>
          <w:szCs w:val="22"/>
        </w:rPr>
        <w:t xml:space="preserve">respondents </w:t>
      </w:r>
      <w:r w:rsidR="00FC630C" w:rsidRPr="004054E6">
        <w:rPr>
          <w:rFonts w:eastAsia="Calibri" w:cs="Times New Roman"/>
          <w:color w:val="auto"/>
          <w:szCs w:val="22"/>
        </w:rPr>
        <w:t>to this information collection process</w:t>
      </w:r>
      <w:r w:rsidR="00FC630C">
        <w:rPr>
          <w:rFonts w:eastAsia="Calibri" w:cs="Times New Roman"/>
          <w:color w:val="auto"/>
          <w:szCs w:val="22"/>
        </w:rPr>
        <w:t xml:space="preserve"> is </w:t>
      </w:r>
      <w:r w:rsidR="00EA48A1">
        <w:rPr>
          <w:rFonts w:eastAsia="Calibri" w:cs="Times New Roman"/>
          <w:color w:val="auto"/>
          <w:szCs w:val="22"/>
        </w:rPr>
        <w:t>approximately 22,500</w:t>
      </w:r>
      <w:r w:rsidR="003F5F68">
        <w:rPr>
          <w:rFonts w:eastAsia="Calibri" w:cs="Times New Roman"/>
          <w:color w:val="auto"/>
          <w:szCs w:val="22"/>
        </w:rPr>
        <w:t xml:space="preserve"> </w:t>
      </w:r>
      <w:r w:rsidR="009643A0">
        <w:rPr>
          <w:rFonts w:eastAsia="Calibri" w:cs="Times New Roman"/>
          <w:color w:val="auto"/>
          <w:szCs w:val="22"/>
        </w:rPr>
        <w:t xml:space="preserve">annual </w:t>
      </w:r>
      <w:r w:rsidR="009643A0" w:rsidRPr="004054E6">
        <w:rPr>
          <w:rFonts w:eastAsia="Calibri" w:cs="Times New Roman"/>
          <w:color w:val="auto"/>
          <w:szCs w:val="22"/>
        </w:rPr>
        <w:t>responses</w:t>
      </w:r>
      <w:r w:rsidR="00BF32D9">
        <w:rPr>
          <w:rFonts w:eastAsia="Calibri" w:cs="Times New Roman"/>
          <w:color w:val="auto"/>
          <w:szCs w:val="22"/>
        </w:rPr>
        <w:t>.</w:t>
      </w:r>
      <w:r w:rsidR="00FC630C">
        <w:rPr>
          <w:rFonts w:eastAsia="Calibri" w:cs="Times New Roman"/>
          <w:color w:val="auto"/>
          <w:szCs w:val="22"/>
        </w:rPr>
        <w:t xml:space="preserve"> </w:t>
      </w:r>
      <w:r w:rsidR="00025714">
        <w:rPr>
          <w:rFonts w:eastAsia="Calibri" w:cs="Times New Roman"/>
          <w:color w:val="auto"/>
          <w:szCs w:val="22"/>
        </w:rPr>
        <w:t xml:space="preserve"> </w:t>
      </w:r>
      <w:r w:rsidRPr="004054E6">
        <w:rPr>
          <w:rFonts w:eastAsia="Calibri" w:cs="Times New Roman"/>
          <w:color w:val="auto"/>
          <w:szCs w:val="22"/>
        </w:rPr>
        <w:t xml:space="preserve">TSA estimates that the </w:t>
      </w:r>
      <w:r w:rsidR="00580EE1">
        <w:rPr>
          <w:rFonts w:eastAsia="Calibri" w:cs="Times New Roman"/>
          <w:color w:val="auto"/>
          <w:szCs w:val="22"/>
        </w:rPr>
        <w:t>medical screening required to evaluate a candidate and complete the SOMQ</w:t>
      </w:r>
      <w:r w:rsidR="00084736">
        <w:rPr>
          <w:rFonts w:eastAsia="Calibri" w:cs="Times New Roman"/>
          <w:color w:val="auto"/>
          <w:szCs w:val="22"/>
        </w:rPr>
        <w:t xml:space="preserve"> is</w:t>
      </w:r>
      <w:r w:rsidR="00580EE1">
        <w:rPr>
          <w:rFonts w:eastAsia="Calibri" w:cs="Times New Roman"/>
          <w:color w:val="auto"/>
          <w:szCs w:val="22"/>
        </w:rPr>
        <w:t xml:space="preserve"> 45 minutes (0.75 hours), resulting in an annual hour burden of </w:t>
      </w:r>
      <w:r w:rsidR="00EA48A1">
        <w:rPr>
          <w:rFonts w:eastAsia="Calibri" w:cs="Times New Roman"/>
          <w:color w:val="auto"/>
          <w:szCs w:val="22"/>
        </w:rPr>
        <w:t>1</w:t>
      </w:r>
      <w:r w:rsidR="00104578">
        <w:rPr>
          <w:rFonts w:eastAsia="Calibri" w:cs="Times New Roman"/>
          <w:color w:val="auto"/>
          <w:szCs w:val="22"/>
        </w:rPr>
        <w:t>6</w:t>
      </w:r>
      <w:r w:rsidR="00EA48A1">
        <w:rPr>
          <w:rFonts w:eastAsia="Calibri" w:cs="Times New Roman"/>
          <w:color w:val="auto"/>
          <w:szCs w:val="22"/>
        </w:rPr>
        <w:t>,</w:t>
      </w:r>
      <w:r w:rsidR="00104578">
        <w:rPr>
          <w:rFonts w:eastAsia="Calibri" w:cs="Times New Roman"/>
          <w:color w:val="auto"/>
          <w:szCs w:val="22"/>
        </w:rPr>
        <w:t>875</w:t>
      </w:r>
      <w:r w:rsidR="00580EE1">
        <w:rPr>
          <w:rFonts w:eastAsia="Calibri" w:cs="Times New Roman"/>
          <w:color w:val="auto"/>
          <w:szCs w:val="22"/>
        </w:rPr>
        <w:t xml:space="preserve"> hours</w:t>
      </w:r>
      <w:r w:rsidRPr="004054E6">
        <w:rPr>
          <w:rFonts w:eastAsia="Calibri" w:cs="Times New Roman"/>
          <w:color w:val="auto"/>
          <w:szCs w:val="22"/>
        </w:rPr>
        <w:t xml:space="preserve">. </w:t>
      </w:r>
      <w:r w:rsidR="00025714">
        <w:rPr>
          <w:rFonts w:eastAsia="Calibri" w:cs="Times New Roman"/>
          <w:color w:val="auto"/>
          <w:szCs w:val="22"/>
        </w:rPr>
        <w:t xml:space="preserve"> </w:t>
      </w:r>
      <w:r w:rsidR="00580EE1">
        <w:rPr>
          <w:rFonts w:eastAsia="Calibri" w:cs="Times New Roman"/>
          <w:color w:val="auto"/>
          <w:szCs w:val="22"/>
        </w:rPr>
        <w:t xml:space="preserve">In addition, applicants to the TSO position are required to travel to a TSA-contracted medical services provider in order to receive the necessary medical screening. </w:t>
      </w:r>
      <w:r w:rsidR="00025714">
        <w:rPr>
          <w:rFonts w:eastAsia="Calibri" w:cs="Times New Roman"/>
          <w:color w:val="auto"/>
          <w:szCs w:val="22"/>
        </w:rPr>
        <w:t xml:space="preserve"> </w:t>
      </w:r>
      <w:r w:rsidR="00580EE1">
        <w:rPr>
          <w:rFonts w:eastAsia="Calibri" w:cs="Times New Roman"/>
          <w:color w:val="auto"/>
          <w:szCs w:val="22"/>
        </w:rPr>
        <w:t>TSA estimates round-trip travel time to the TSA-contracted medical services provider to be 54 minu</w:t>
      </w:r>
      <w:r w:rsidR="00C42623">
        <w:rPr>
          <w:rFonts w:eastAsia="Calibri" w:cs="Times New Roman"/>
          <w:color w:val="auto"/>
          <w:szCs w:val="22"/>
        </w:rPr>
        <w:t>tes (0.9 hours), resulting in a</w:t>
      </w:r>
      <w:r w:rsidR="00084736">
        <w:rPr>
          <w:rFonts w:eastAsia="Calibri" w:cs="Times New Roman"/>
          <w:color w:val="auto"/>
          <w:szCs w:val="22"/>
        </w:rPr>
        <w:t>n</w:t>
      </w:r>
      <w:r w:rsidR="00C42623">
        <w:rPr>
          <w:rFonts w:eastAsia="Calibri" w:cs="Times New Roman"/>
          <w:color w:val="auto"/>
          <w:szCs w:val="22"/>
        </w:rPr>
        <w:t xml:space="preserve"> </w:t>
      </w:r>
      <w:r w:rsidR="00580EE1">
        <w:rPr>
          <w:rFonts w:eastAsia="Calibri" w:cs="Times New Roman"/>
          <w:color w:val="auto"/>
          <w:szCs w:val="22"/>
        </w:rPr>
        <w:t>annual hour travel burden of 20,250 hours.</w:t>
      </w:r>
      <w:r w:rsidR="00C42623">
        <w:rPr>
          <w:rFonts w:eastAsia="Calibri" w:cs="Times New Roman"/>
          <w:color w:val="auto"/>
          <w:szCs w:val="22"/>
        </w:rPr>
        <w:t xml:space="preserve"> </w:t>
      </w:r>
      <w:r w:rsidR="00025714">
        <w:rPr>
          <w:rFonts w:eastAsia="Calibri" w:cs="Times New Roman"/>
          <w:color w:val="auto"/>
          <w:szCs w:val="22"/>
        </w:rPr>
        <w:t xml:space="preserve"> </w:t>
      </w:r>
      <w:r w:rsidR="00C42623">
        <w:rPr>
          <w:rFonts w:eastAsia="Calibri" w:cs="Times New Roman"/>
          <w:color w:val="auto"/>
          <w:szCs w:val="22"/>
        </w:rPr>
        <w:t xml:space="preserve">The total annual hour burden of this collection is 37,125 hours (111,375 hours over three years). </w:t>
      </w:r>
      <w:r w:rsidR="00025714">
        <w:rPr>
          <w:rFonts w:eastAsia="Calibri" w:cs="Times New Roman"/>
          <w:color w:val="auto"/>
          <w:szCs w:val="22"/>
        </w:rPr>
        <w:t xml:space="preserve"> </w:t>
      </w:r>
      <w:r w:rsidR="00C42623">
        <w:rPr>
          <w:rFonts w:eastAsia="Calibri" w:cs="Times New Roman"/>
          <w:color w:val="auto"/>
          <w:szCs w:val="22"/>
        </w:rPr>
        <w:t>As TSO applicants can be any member of the public, TSA uses a fully-loaded</w:t>
      </w:r>
      <w:r w:rsidR="00C42623">
        <w:rPr>
          <w:rStyle w:val="FootnoteReference"/>
          <w:rFonts w:eastAsia="Calibri" w:cs="Times New Roman"/>
          <w:color w:val="auto"/>
          <w:szCs w:val="22"/>
        </w:rPr>
        <w:footnoteReference w:id="1"/>
      </w:r>
      <w:r w:rsidR="00C42623">
        <w:rPr>
          <w:rFonts w:eastAsia="Calibri" w:cs="Times New Roman"/>
          <w:color w:val="auto"/>
          <w:szCs w:val="22"/>
        </w:rPr>
        <w:t xml:space="preserve"> wage rate of $36.32.</w:t>
      </w:r>
      <w:r w:rsidR="00C42623">
        <w:rPr>
          <w:rStyle w:val="FootnoteReference"/>
          <w:rFonts w:eastAsia="Calibri" w:cs="Times New Roman"/>
          <w:color w:val="auto"/>
          <w:szCs w:val="22"/>
        </w:rPr>
        <w:footnoteReference w:id="2"/>
      </w:r>
      <w:r w:rsidR="00C42623">
        <w:rPr>
          <w:rFonts w:eastAsia="Calibri" w:cs="Times New Roman"/>
          <w:color w:val="auto"/>
          <w:szCs w:val="22"/>
        </w:rPr>
        <w:t xml:space="preserve"> </w:t>
      </w:r>
      <w:r w:rsidR="00025714">
        <w:rPr>
          <w:rFonts w:eastAsia="Calibri" w:cs="Times New Roman"/>
          <w:color w:val="auto"/>
          <w:szCs w:val="22"/>
        </w:rPr>
        <w:t xml:space="preserve"> </w:t>
      </w:r>
      <w:r w:rsidR="00C42623">
        <w:rPr>
          <w:rFonts w:eastAsia="Calibri" w:cs="Times New Roman"/>
          <w:color w:val="auto"/>
          <w:szCs w:val="22"/>
        </w:rPr>
        <w:t xml:space="preserve">TSA estimates a total annual hour burden cost of $1,348,380. </w:t>
      </w:r>
      <w:r w:rsidR="00025714">
        <w:rPr>
          <w:rFonts w:eastAsia="Calibri" w:cs="Times New Roman"/>
          <w:color w:val="auto"/>
          <w:szCs w:val="22"/>
        </w:rPr>
        <w:t xml:space="preserve"> </w:t>
      </w:r>
      <w:r w:rsidR="00C42623">
        <w:rPr>
          <w:rFonts w:eastAsia="Calibri" w:cs="Times New Roman"/>
          <w:color w:val="auto"/>
          <w:szCs w:val="22"/>
        </w:rPr>
        <w:t>Table 1 summarizes these calculations.</w:t>
      </w:r>
    </w:p>
    <w:p w14:paraId="05E95F08" w14:textId="77777777" w:rsidR="00C42623" w:rsidRDefault="00C42623" w:rsidP="004054E6">
      <w:pPr>
        <w:ind w:left="360"/>
        <w:rPr>
          <w:rFonts w:eastAsia="Calibri" w:cs="Times New Roman"/>
          <w:color w:val="auto"/>
          <w:szCs w:val="22"/>
        </w:rPr>
      </w:pPr>
    </w:p>
    <w:tbl>
      <w:tblPr>
        <w:tblW w:w="5000" w:type="pct"/>
        <w:tblLook w:val="04A0" w:firstRow="1" w:lastRow="0" w:firstColumn="1" w:lastColumn="0" w:noHBand="0" w:noVBand="1"/>
      </w:tblPr>
      <w:tblGrid>
        <w:gridCol w:w="2022"/>
        <w:gridCol w:w="2498"/>
        <w:gridCol w:w="1597"/>
        <w:gridCol w:w="1739"/>
        <w:gridCol w:w="1720"/>
      </w:tblGrid>
      <w:tr w:rsidR="00025714" w:rsidRPr="00025714" w14:paraId="5E61FA76" w14:textId="77777777" w:rsidTr="00025714">
        <w:trPr>
          <w:trHeight w:val="315"/>
        </w:trPr>
        <w:tc>
          <w:tcPr>
            <w:tcW w:w="5000" w:type="pct"/>
            <w:gridSpan w:val="5"/>
            <w:tcBorders>
              <w:top w:val="nil"/>
              <w:left w:val="nil"/>
              <w:bottom w:val="nil"/>
              <w:right w:val="nil"/>
            </w:tcBorders>
            <w:shd w:val="clear" w:color="auto" w:fill="auto"/>
            <w:noWrap/>
            <w:vAlign w:val="bottom"/>
            <w:hideMark/>
          </w:tcPr>
          <w:p w14:paraId="6845F201" w14:textId="0907F537" w:rsidR="00025714" w:rsidRPr="00025714" w:rsidRDefault="00025714" w:rsidP="00025714">
            <w:pPr>
              <w:keepNext/>
              <w:rPr>
                <w:rFonts w:cs="Times New Roman"/>
                <w:b/>
                <w:bCs/>
                <w:szCs w:val="24"/>
              </w:rPr>
            </w:pPr>
            <w:r w:rsidRPr="00025714">
              <w:rPr>
                <w:rFonts w:cs="Times New Roman"/>
                <w:b/>
                <w:bCs/>
                <w:szCs w:val="24"/>
              </w:rPr>
              <w:t>Table 1.  Hour Burden and Costs for TSO Medical Questionnaire</w:t>
            </w:r>
          </w:p>
        </w:tc>
      </w:tr>
      <w:tr w:rsidR="00C42623" w:rsidRPr="00025714" w14:paraId="5829F315" w14:textId="77777777" w:rsidTr="00025714">
        <w:trPr>
          <w:trHeight w:val="600"/>
        </w:trPr>
        <w:tc>
          <w:tcPr>
            <w:tcW w:w="1032"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FD2627F" w14:textId="77777777" w:rsidR="00C42623" w:rsidRPr="00025714" w:rsidRDefault="00C42623" w:rsidP="00025714">
            <w:pPr>
              <w:keepNext/>
              <w:jc w:val="center"/>
              <w:rPr>
                <w:rFonts w:cs="Times New Roman"/>
                <w:b/>
                <w:bCs/>
                <w:szCs w:val="24"/>
              </w:rPr>
            </w:pPr>
            <w:r w:rsidRPr="00025714">
              <w:rPr>
                <w:rFonts w:cs="Times New Roman"/>
                <w:b/>
                <w:bCs/>
                <w:szCs w:val="24"/>
              </w:rPr>
              <w:t>Activity</w:t>
            </w:r>
          </w:p>
        </w:tc>
        <w:tc>
          <w:tcPr>
            <w:tcW w:w="1334" w:type="pct"/>
            <w:tcBorders>
              <w:top w:val="single" w:sz="8" w:space="0" w:color="auto"/>
              <w:left w:val="nil"/>
              <w:bottom w:val="single" w:sz="4" w:space="0" w:color="auto"/>
              <w:right w:val="single" w:sz="4" w:space="0" w:color="auto"/>
            </w:tcBorders>
            <w:shd w:val="clear" w:color="auto" w:fill="auto"/>
            <w:vAlign w:val="bottom"/>
            <w:hideMark/>
          </w:tcPr>
          <w:p w14:paraId="751995F9" w14:textId="77777777" w:rsidR="00C42623" w:rsidRPr="00025714" w:rsidRDefault="00C42623" w:rsidP="00025714">
            <w:pPr>
              <w:keepNext/>
              <w:rPr>
                <w:rFonts w:cs="Times New Roman"/>
                <w:b/>
                <w:bCs/>
                <w:szCs w:val="24"/>
              </w:rPr>
            </w:pPr>
            <w:r w:rsidRPr="00025714">
              <w:rPr>
                <w:rFonts w:cs="Times New Roman"/>
                <w:b/>
                <w:bCs/>
                <w:szCs w:val="24"/>
              </w:rPr>
              <w:t>Number of TSO Medical Screenings</w:t>
            </w:r>
          </w:p>
        </w:tc>
        <w:tc>
          <w:tcPr>
            <w:tcW w:w="817" w:type="pct"/>
            <w:tcBorders>
              <w:top w:val="single" w:sz="8" w:space="0" w:color="auto"/>
              <w:left w:val="nil"/>
              <w:bottom w:val="single" w:sz="4" w:space="0" w:color="auto"/>
              <w:right w:val="single" w:sz="4" w:space="0" w:color="auto"/>
            </w:tcBorders>
            <w:shd w:val="clear" w:color="auto" w:fill="auto"/>
            <w:noWrap/>
            <w:vAlign w:val="bottom"/>
            <w:hideMark/>
          </w:tcPr>
          <w:p w14:paraId="719B6AC3" w14:textId="77777777" w:rsidR="00C42623" w:rsidRPr="00025714" w:rsidRDefault="00C42623" w:rsidP="00025714">
            <w:pPr>
              <w:keepNext/>
              <w:rPr>
                <w:rFonts w:cs="Times New Roman"/>
                <w:b/>
                <w:bCs/>
                <w:szCs w:val="24"/>
              </w:rPr>
            </w:pPr>
            <w:r w:rsidRPr="00025714">
              <w:rPr>
                <w:rFonts w:cs="Times New Roman"/>
                <w:b/>
                <w:bCs/>
                <w:szCs w:val="24"/>
              </w:rPr>
              <w:t xml:space="preserve">Hour Burden </w:t>
            </w:r>
          </w:p>
        </w:tc>
        <w:tc>
          <w:tcPr>
            <w:tcW w:w="938" w:type="pct"/>
            <w:tcBorders>
              <w:top w:val="single" w:sz="8" w:space="0" w:color="auto"/>
              <w:left w:val="nil"/>
              <w:bottom w:val="single" w:sz="4" w:space="0" w:color="auto"/>
              <w:right w:val="single" w:sz="4" w:space="0" w:color="auto"/>
            </w:tcBorders>
            <w:shd w:val="clear" w:color="auto" w:fill="auto"/>
            <w:vAlign w:val="bottom"/>
            <w:hideMark/>
          </w:tcPr>
          <w:p w14:paraId="725BBE09" w14:textId="77777777" w:rsidR="00C42623" w:rsidRPr="00025714" w:rsidRDefault="00C42623" w:rsidP="00025714">
            <w:pPr>
              <w:keepNext/>
              <w:rPr>
                <w:rFonts w:cs="Times New Roman"/>
                <w:b/>
                <w:bCs/>
                <w:szCs w:val="24"/>
              </w:rPr>
            </w:pPr>
            <w:r w:rsidRPr="00025714">
              <w:rPr>
                <w:rFonts w:cs="Times New Roman"/>
                <w:b/>
                <w:bCs/>
                <w:szCs w:val="24"/>
              </w:rPr>
              <w:t>Annual Hour Burden</w:t>
            </w:r>
          </w:p>
        </w:tc>
        <w:tc>
          <w:tcPr>
            <w:tcW w:w="879" w:type="pct"/>
            <w:tcBorders>
              <w:top w:val="single" w:sz="8" w:space="0" w:color="auto"/>
              <w:left w:val="nil"/>
              <w:bottom w:val="single" w:sz="4" w:space="0" w:color="auto"/>
              <w:right w:val="single" w:sz="8" w:space="0" w:color="auto"/>
            </w:tcBorders>
            <w:shd w:val="clear" w:color="auto" w:fill="auto"/>
            <w:vAlign w:val="bottom"/>
            <w:hideMark/>
          </w:tcPr>
          <w:p w14:paraId="44966192" w14:textId="77777777" w:rsidR="00C42623" w:rsidRPr="00025714" w:rsidRDefault="00C42623" w:rsidP="00025714">
            <w:pPr>
              <w:keepNext/>
              <w:rPr>
                <w:rFonts w:cs="Times New Roman"/>
                <w:b/>
                <w:bCs/>
                <w:szCs w:val="24"/>
              </w:rPr>
            </w:pPr>
            <w:r w:rsidRPr="00025714">
              <w:rPr>
                <w:rFonts w:cs="Times New Roman"/>
                <w:b/>
                <w:bCs/>
                <w:szCs w:val="24"/>
              </w:rPr>
              <w:t>Annual Hour Burden Cost</w:t>
            </w:r>
          </w:p>
        </w:tc>
      </w:tr>
      <w:tr w:rsidR="00C42623" w:rsidRPr="00025714" w14:paraId="30080356" w14:textId="77777777" w:rsidTr="00025714">
        <w:trPr>
          <w:trHeight w:val="315"/>
        </w:trPr>
        <w:tc>
          <w:tcPr>
            <w:tcW w:w="1032" w:type="pct"/>
            <w:vMerge/>
            <w:tcBorders>
              <w:top w:val="single" w:sz="8" w:space="0" w:color="auto"/>
              <w:left w:val="single" w:sz="8" w:space="0" w:color="auto"/>
              <w:bottom w:val="single" w:sz="8" w:space="0" w:color="000000"/>
              <w:right w:val="single" w:sz="4" w:space="0" w:color="auto"/>
            </w:tcBorders>
            <w:vAlign w:val="center"/>
            <w:hideMark/>
          </w:tcPr>
          <w:p w14:paraId="5C5F4CB0" w14:textId="77777777" w:rsidR="00C42623" w:rsidRPr="00025714" w:rsidRDefault="00C42623" w:rsidP="00025714">
            <w:pPr>
              <w:keepNext/>
              <w:rPr>
                <w:rFonts w:cs="Times New Roman"/>
                <w:b/>
                <w:bCs/>
                <w:szCs w:val="24"/>
              </w:rPr>
            </w:pPr>
          </w:p>
        </w:tc>
        <w:tc>
          <w:tcPr>
            <w:tcW w:w="1334" w:type="pct"/>
            <w:tcBorders>
              <w:top w:val="nil"/>
              <w:left w:val="nil"/>
              <w:bottom w:val="single" w:sz="8" w:space="0" w:color="auto"/>
              <w:right w:val="single" w:sz="4" w:space="0" w:color="auto"/>
            </w:tcBorders>
            <w:shd w:val="clear" w:color="auto" w:fill="auto"/>
            <w:noWrap/>
            <w:vAlign w:val="bottom"/>
            <w:hideMark/>
          </w:tcPr>
          <w:p w14:paraId="4F0DD088" w14:textId="77777777" w:rsidR="00C42623" w:rsidRPr="00025714" w:rsidRDefault="00C42623" w:rsidP="00025714">
            <w:pPr>
              <w:keepNext/>
              <w:jc w:val="center"/>
              <w:rPr>
                <w:rFonts w:cs="Times New Roman"/>
                <w:b/>
                <w:bCs/>
                <w:szCs w:val="24"/>
              </w:rPr>
            </w:pPr>
            <w:r w:rsidRPr="00025714">
              <w:rPr>
                <w:rFonts w:cs="Times New Roman"/>
                <w:b/>
                <w:bCs/>
                <w:szCs w:val="24"/>
              </w:rPr>
              <w:t>A</w:t>
            </w:r>
          </w:p>
        </w:tc>
        <w:tc>
          <w:tcPr>
            <w:tcW w:w="817" w:type="pct"/>
            <w:tcBorders>
              <w:top w:val="nil"/>
              <w:left w:val="nil"/>
              <w:bottom w:val="single" w:sz="8" w:space="0" w:color="auto"/>
              <w:right w:val="single" w:sz="4" w:space="0" w:color="auto"/>
            </w:tcBorders>
            <w:shd w:val="clear" w:color="auto" w:fill="auto"/>
            <w:noWrap/>
            <w:vAlign w:val="bottom"/>
            <w:hideMark/>
          </w:tcPr>
          <w:p w14:paraId="6005CE04" w14:textId="77777777" w:rsidR="00C42623" w:rsidRPr="00025714" w:rsidRDefault="00C42623" w:rsidP="00025714">
            <w:pPr>
              <w:keepNext/>
              <w:jc w:val="center"/>
              <w:rPr>
                <w:rFonts w:cs="Times New Roman"/>
                <w:b/>
                <w:bCs/>
                <w:szCs w:val="24"/>
              </w:rPr>
            </w:pPr>
            <w:r w:rsidRPr="00025714">
              <w:rPr>
                <w:rFonts w:cs="Times New Roman"/>
                <w:b/>
                <w:bCs/>
                <w:szCs w:val="24"/>
              </w:rPr>
              <w:t>B</w:t>
            </w:r>
          </w:p>
        </w:tc>
        <w:tc>
          <w:tcPr>
            <w:tcW w:w="938" w:type="pct"/>
            <w:tcBorders>
              <w:top w:val="nil"/>
              <w:left w:val="nil"/>
              <w:bottom w:val="single" w:sz="8" w:space="0" w:color="auto"/>
              <w:right w:val="single" w:sz="4" w:space="0" w:color="auto"/>
            </w:tcBorders>
            <w:shd w:val="clear" w:color="auto" w:fill="auto"/>
            <w:noWrap/>
            <w:vAlign w:val="bottom"/>
            <w:hideMark/>
          </w:tcPr>
          <w:p w14:paraId="59BD5CC6" w14:textId="77777777" w:rsidR="00C42623" w:rsidRPr="00025714" w:rsidRDefault="00C42623" w:rsidP="00025714">
            <w:pPr>
              <w:keepNext/>
              <w:jc w:val="center"/>
              <w:rPr>
                <w:rFonts w:cs="Times New Roman"/>
                <w:b/>
                <w:bCs/>
                <w:szCs w:val="24"/>
              </w:rPr>
            </w:pPr>
            <w:r w:rsidRPr="00025714">
              <w:rPr>
                <w:rFonts w:cs="Times New Roman"/>
                <w:b/>
                <w:bCs/>
                <w:szCs w:val="24"/>
              </w:rPr>
              <w:t>C = A x B</w:t>
            </w:r>
          </w:p>
        </w:tc>
        <w:tc>
          <w:tcPr>
            <w:tcW w:w="879" w:type="pct"/>
            <w:tcBorders>
              <w:top w:val="nil"/>
              <w:left w:val="nil"/>
              <w:bottom w:val="single" w:sz="8" w:space="0" w:color="auto"/>
              <w:right w:val="single" w:sz="8" w:space="0" w:color="auto"/>
            </w:tcBorders>
            <w:shd w:val="clear" w:color="auto" w:fill="auto"/>
            <w:noWrap/>
            <w:vAlign w:val="bottom"/>
            <w:hideMark/>
          </w:tcPr>
          <w:p w14:paraId="509CF24B" w14:textId="77777777" w:rsidR="00C42623" w:rsidRPr="00025714" w:rsidRDefault="00C42623" w:rsidP="00025714">
            <w:pPr>
              <w:keepNext/>
              <w:jc w:val="center"/>
              <w:rPr>
                <w:rFonts w:cs="Times New Roman"/>
                <w:b/>
                <w:bCs/>
                <w:szCs w:val="24"/>
              </w:rPr>
            </w:pPr>
            <w:r w:rsidRPr="00025714">
              <w:rPr>
                <w:rFonts w:cs="Times New Roman"/>
                <w:b/>
                <w:bCs/>
                <w:szCs w:val="24"/>
              </w:rPr>
              <w:t>D = C x $36.32</w:t>
            </w:r>
          </w:p>
        </w:tc>
      </w:tr>
      <w:tr w:rsidR="00C42623" w:rsidRPr="00025714" w14:paraId="62598807" w14:textId="77777777" w:rsidTr="00025714">
        <w:trPr>
          <w:trHeight w:val="300"/>
        </w:trPr>
        <w:tc>
          <w:tcPr>
            <w:tcW w:w="1032" w:type="pct"/>
            <w:tcBorders>
              <w:top w:val="nil"/>
              <w:left w:val="single" w:sz="4" w:space="0" w:color="auto"/>
              <w:bottom w:val="single" w:sz="4" w:space="0" w:color="auto"/>
              <w:right w:val="single" w:sz="4" w:space="0" w:color="auto"/>
            </w:tcBorders>
            <w:shd w:val="clear" w:color="auto" w:fill="auto"/>
            <w:noWrap/>
            <w:vAlign w:val="bottom"/>
            <w:hideMark/>
          </w:tcPr>
          <w:p w14:paraId="3E74B6C9" w14:textId="77777777" w:rsidR="00C42623" w:rsidRPr="00025714" w:rsidRDefault="00C42623" w:rsidP="00C42623">
            <w:pPr>
              <w:rPr>
                <w:rFonts w:cs="Times New Roman"/>
                <w:szCs w:val="24"/>
              </w:rPr>
            </w:pPr>
            <w:r w:rsidRPr="00025714">
              <w:rPr>
                <w:rFonts w:cs="Times New Roman"/>
                <w:szCs w:val="24"/>
              </w:rPr>
              <w:t>Medical Screening</w:t>
            </w:r>
          </w:p>
        </w:tc>
        <w:tc>
          <w:tcPr>
            <w:tcW w:w="13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950DDF" w14:textId="27EBCDD0" w:rsidR="00C42623" w:rsidRPr="00025714" w:rsidRDefault="00C42623" w:rsidP="00A22FEB">
            <w:pPr>
              <w:jc w:val="right"/>
              <w:rPr>
                <w:rFonts w:cs="Times New Roman"/>
                <w:szCs w:val="24"/>
              </w:rPr>
            </w:pPr>
            <w:r w:rsidRPr="00025714">
              <w:rPr>
                <w:rFonts w:cs="Times New Roman"/>
                <w:szCs w:val="24"/>
              </w:rPr>
              <w:t>22,500</w:t>
            </w:r>
          </w:p>
        </w:tc>
        <w:tc>
          <w:tcPr>
            <w:tcW w:w="817" w:type="pct"/>
            <w:tcBorders>
              <w:top w:val="nil"/>
              <w:left w:val="nil"/>
              <w:bottom w:val="single" w:sz="4" w:space="0" w:color="auto"/>
              <w:right w:val="single" w:sz="4" w:space="0" w:color="auto"/>
            </w:tcBorders>
            <w:shd w:val="clear" w:color="auto" w:fill="auto"/>
            <w:noWrap/>
            <w:vAlign w:val="center"/>
            <w:hideMark/>
          </w:tcPr>
          <w:p w14:paraId="5741D71D" w14:textId="77777777" w:rsidR="00C42623" w:rsidRPr="00025714" w:rsidRDefault="00C42623" w:rsidP="00C42623">
            <w:pPr>
              <w:jc w:val="right"/>
              <w:rPr>
                <w:rFonts w:cs="Times New Roman"/>
                <w:szCs w:val="24"/>
              </w:rPr>
            </w:pPr>
            <w:r w:rsidRPr="00025714">
              <w:rPr>
                <w:rFonts w:cs="Times New Roman"/>
                <w:szCs w:val="24"/>
              </w:rPr>
              <w:t>0.75</w:t>
            </w:r>
          </w:p>
        </w:tc>
        <w:tc>
          <w:tcPr>
            <w:tcW w:w="938" w:type="pct"/>
            <w:tcBorders>
              <w:top w:val="nil"/>
              <w:left w:val="nil"/>
              <w:bottom w:val="single" w:sz="4" w:space="0" w:color="auto"/>
              <w:right w:val="single" w:sz="4" w:space="0" w:color="auto"/>
            </w:tcBorders>
            <w:shd w:val="clear" w:color="auto" w:fill="auto"/>
            <w:noWrap/>
            <w:vAlign w:val="center"/>
            <w:hideMark/>
          </w:tcPr>
          <w:p w14:paraId="13E648BB" w14:textId="00C0BF8C" w:rsidR="00C42623" w:rsidRPr="00025714" w:rsidRDefault="00C42623" w:rsidP="00025714">
            <w:pPr>
              <w:jc w:val="right"/>
              <w:rPr>
                <w:rFonts w:cs="Times New Roman"/>
                <w:szCs w:val="24"/>
              </w:rPr>
            </w:pPr>
            <w:r w:rsidRPr="00025714">
              <w:rPr>
                <w:rFonts w:cs="Times New Roman"/>
                <w:szCs w:val="24"/>
              </w:rPr>
              <w:t>16,875</w:t>
            </w:r>
          </w:p>
        </w:tc>
        <w:tc>
          <w:tcPr>
            <w:tcW w:w="879" w:type="pct"/>
            <w:tcBorders>
              <w:top w:val="nil"/>
              <w:left w:val="nil"/>
              <w:bottom w:val="single" w:sz="4" w:space="0" w:color="auto"/>
              <w:right w:val="single" w:sz="4" w:space="0" w:color="auto"/>
            </w:tcBorders>
            <w:shd w:val="clear" w:color="auto" w:fill="auto"/>
            <w:noWrap/>
            <w:vAlign w:val="center"/>
            <w:hideMark/>
          </w:tcPr>
          <w:p w14:paraId="0480F592" w14:textId="77777777" w:rsidR="00C42623" w:rsidRPr="00025714" w:rsidRDefault="00C42623" w:rsidP="00C42623">
            <w:pPr>
              <w:jc w:val="right"/>
              <w:rPr>
                <w:rFonts w:cs="Times New Roman"/>
                <w:szCs w:val="24"/>
              </w:rPr>
            </w:pPr>
            <w:r w:rsidRPr="00025714">
              <w:rPr>
                <w:rFonts w:cs="Times New Roman"/>
                <w:szCs w:val="24"/>
              </w:rPr>
              <w:t>$612,900</w:t>
            </w:r>
          </w:p>
        </w:tc>
      </w:tr>
      <w:tr w:rsidR="00C42623" w:rsidRPr="00025714" w14:paraId="630AC655" w14:textId="77777777" w:rsidTr="00025714">
        <w:trPr>
          <w:trHeight w:val="615"/>
        </w:trPr>
        <w:tc>
          <w:tcPr>
            <w:tcW w:w="1032" w:type="pct"/>
            <w:tcBorders>
              <w:top w:val="nil"/>
              <w:left w:val="single" w:sz="4" w:space="0" w:color="auto"/>
              <w:bottom w:val="nil"/>
              <w:right w:val="single" w:sz="4" w:space="0" w:color="auto"/>
            </w:tcBorders>
            <w:shd w:val="clear" w:color="auto" w:fill="auto"/>
            <w:vAlign w:val="bottom"/>
            <w:hideMark/>
          </w:tcPr>
          <w:p w14:paraId="1FC451E8" w14:textId="77777777" w:rsidR="00C42623" w:rsidRPr="00025714" w:rsidRDefault="00C42623" w:rsidP="00C42623">
            <w:pPr>
              <w:rPr>
                <w:rFonts w:cs="Times New Roman"/>
                <w:szCs w:val="24"/>
              </w:rPr>
            </w:pPr>
            <w:r w:rsidRPr="00025714">
              <w:rPr>
                <w:rFonts w:cs="Times New Roman"/>
                <w:szCs w:val="24"/>
              </w:rPr>
              <w:t>Travel to Doctor's Office</w:t>
            </w:r>
          </w:p>
        </w:tc>
        <w:tc>
          <w:tcPr>
            <w:tcW w:w="1334" w:type="pct"/>
            <w:vMerge/>
            <w:tcBorders>
              <w:top w:val="nil"/>
              <w:left w:val="single" w:sz="4" w:space="0" w:color="auto"/>
              <w:bottom w:val="single" w:sz="4" w:space="0" w:color="auto"/>
              <w:right w:val="single" w:sz="4" w:space="0" w:color="auto"/>
            </w:tcBorders>
            <w:vAlign w:val="center"/>
            <w:hideMark/>
          </w:tcPr>
          <w:p w14:paraId="4986F132" w14:textId="77777777" w:rsidR="00C42623" w:rsidRPr="00025714" w:rsidRDefault="00C42623" w:rsidP="00025714">
            <w:pPr>
              <w:jc w:val="right"/>
              <w:rPr>
                <w:rFonts w:cs="Times New Roman"/>
                <w:szCs w:val="24"/>
              </w:rPr>
            </w:pPr>
          </w:p>
        </w:tc>
        <w:tc>
          <w:tcPr>
            <w:tcW w:w="817" w:type="pct"/>
            <w:tcBorders>
              <w:top w:val="nil"/>
              <w:left w:val="nil"/>
              <w:bottom w:val="nil"/>
              <w:right w:val="single" w:sz="4" w:space="0" w:color="auto"/>
            </w:tcBorders>
            <w:shd w:val="clear" w:color="auto" w:fill="auto"/>
            <w:noWrap/>
            <w:vAlign w:val="center"/>
            <w:hideMark/>
          </w:tcPr>
          <w:p w14:paraId="58DFE2AE" w14:textId="77777777" w:rsidR="00C42623" w:rsidRPr="00025714" w:rsidRDefault="00C42623" w:rsidP="00C42623">
            <w:pPr>
              <w:jc w:val="right"/>
              <w:rPr>
                <w:rFonts w:cs="Times New Roman"/>
                <w:szCs w:val="24"/>
              </w:rPr>
            </w:pPr>
            <w:r w:rsidRPr="00025714">
              <w:rPr>
                <w:rFonts w:cs="Times New Roman"/>
                <w:szCs w:val="24"/>
              </w:rPr>
              <w:t>0.90</w:t>
            </w:r>
          </w:p>
        </w:tc>
        <w:tc>
          <w:tcPr>
            <w:tcW w:w="938" w:type="pct"/>
            <w:tcBorders>
              <w:top w:val="nil"/>
              <w:left w:val="nil"/>
              <w:bottom w:val="nil"/>
              <w:right w:val="single" w:sz="4" w:space="0" w:color="auto"/>
            </w:tcBorders>
            <w:shd w:val="clear" w:color="auto" w:fill="auto"/>
            <w:noWrap/>
            <w:vAlign w:val="center"/>
            <w:hideMark/>
          </w:tcPr>
          <w:p w14:paraId="20080D0C" w14:textId="5960BA7C" w:rsidR="00C42623" w:rsidRPr="00025714" w:rsidRDefault="00C42623" w:rsidP="00025714">
            <w:pPr>
              <w:jc w:val="right"/>
              <w:rPr>
                <w:rFonts w:cs="Times New Roman"/>
                <w:szCs w:val="24"/>
              </w:rPr>
            </w:pPr>
            <w:r w:rsidRPr="00025714">
              <w:rPr>
                <w:rFonts w:cs="Times New Roman"/>
                <w:szCs w:val="24"/>
              </w:rPr>
              <w:t>20,250</w:t>
            </w:r>
          </w:p>
        </w:tc>
        <w:tc>
          <w:tcPr>
            <w:tcW w:w="879" w:type="pct"/>
            <w:tcBorders>
              <w:top w:val="nil"/>
              <w:left w:val="nil"/>
              <w:bottom w:val="nil"/>
              <w:right w:val="single" w:sz="4" w:space="0" w:color="auto"/>
            </w:tcBorders>
            <w:shd w:val="clear" w:color="auto" w:fill="auto"/>
            <w:noWrap/>
            <w:vAlign w:val="center"/>
            <w:hideMark/>
          </w:tcPr>
          <w:p w14:paraId="6FE9450C" w14:textId="77777777" w:rsidR="00C42623" w:rsidRPr="00025714" w:rsidRDefault="00C42623" w:rsidP="00C42623">
            <w:pPr>
              <w:jc w:val="right"/>
              <w:rPr>
                <w:rFonts w:cs="Times New Roman"/>
                <w:szCs w:val="24"/>
              </w:rPr>
            </w:pPr>
            <w:r w:rsidRPr="00025714">
              <w:rPr>
                <w:rFonts w:cs="Times New Roman"/>
                <w:szCs w:val="24"/>
              </w:rPr>
              <w:t>$735,480</w:t>
            </w:r>
          </w:p>
        </w:tc>
      </w:tr>
      <w:tr w:rsidR="00C42623" w:rsidRPr="00025714" w14:paraId="44FD3E55" w14:textId="77777777" w:rsidTr="00025714">
        <w:trPr>
          <w:trHeight w:val="315"/>
        </w:trPr>
        <w:tc>
          <w:tcPr>
            <w:tcW w:w="103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F679727" w14:textId="77777777" w:rsidR="00C42623" w:rsidRPr="00025714" w:rsidRDefault="00C42623" w:rsidP="00C42623">
            <w:pPr>
              <w:rPr>
                <w:rFonts w:cs="Times New Roman"/>
                <w:b/>
                <w:bCs/>
                <w:szCs w:val="24"/>
              </w:rPr>
            </w:pPr>
            <w:r w:rsidRPr="00025714">
              <w:rPr>
                <w:rFonts w:cs="Times New Roman"/>
                <w:b/>
                <w:bCs/>
                <w:szCs w:val="24"/>
              </w:rPr>
              <w:t>Total</w:t>
            </w:r>
          </w:p>
        </w:tc>
        <w:tc>
          <w:tcPr>
            <w:tcW w:w="1334" w:type="pct"/>
            <w:tcBorders>
              <w:top w:val="single" w:sz="8" w:space="0" w:color="auto"/>
              <w:left w:val="nil"/>
              <w:bottom w:val="single" w:sz="8" w:space="0" w:color="auto"/>
              <w:right w:val="single" w:sz="4" w:space="0" w:color="auto"/>
            </w:tcBorders>
            <w:shd w:val="clear" w:color="auto" w:fill="auto"/>
            <w:noWrap/>
            <w:vAlign w:val="center"/>
            <w:hideMark/>
          </w:tcPr>
          <w:p w14:paraId="341E78B4" w14:textId="1C4375CA" w:rsidR="00C42623" w:rsidRPr="00025714" w:rsidRDefault="00C42623" w:rsidP="00A22FEB">
            <w:pPr>
              <w:jc w:val="right"/>
              <w:rPr>
                <w:rFonts w:cs="Times New Roman"/>
                <w:b/>
                <w:bCs/>
                <w:szCs w:val="24"/>
              </w:rPr>
            </w:pPr>
            <w:r w:rsidRPr="00025714">
              <w:rPr>
                <w:rFonts w:cs="Times New Roman"/>
                <w:b/>
                <w:bCs/>
                <w:szCs w:val="24"/>
              </w:rPr>
              <w:t>22,500</w:t>
            </w:r>
          </w:p>
        </w:tc>
        <w:tc>
          <w:tcPr>
            <w:tcW w:w="817" w:type="pct"/>
            <w:tcBorders>
              <w:top w:val="single" w:sz="8" w:space="0" w:color="auto"/>
              <w:left w:val="nil"/>
              <w:bottom w:val="single" w:sz="8" w:space="0" w:color="auto"/>
              <w:right w:val="single" w:sz="4" w:space="0" w:color="auto"/>
            </w:tcBorders>
            <w:shd w:val="clear" w:color="000000" w:fill="A5A5A5"/>
            <w:noWrap/>
            <w:vAlign w:val="center"/>
            <w:hideMark/>
          </w:tcPr>
          <w:p w14:paraId="10095A73" w14:textId="77777777" w:rsidR="00C42623" w:rsidRPr="00025714" w:rsidRDefault="00C42623" w:rsidP="00C42623">
            <w:pPr>
              <w:rPr>
                <w:rFonts w:cs="Times New Roman"/>
                <w:b/>
                <w:bCs/>
                <w:szCs w:val="24"/>
              </w:rPr>
            </w:pPr>
            <w:r w:rsidRPr="00025714">
              <w:rPr>
                <w:rFonts w:cs="Times New Roman"/>
                <w:b/>
                <w:bCs/>
                <w:szCs w:val="24"/>
              </w:rPr>
              <w:t> </w:t>
            </w:r>
          </w:p>
        </w:tc>
        <w:tc>
          <w:tcPr>
            <w:tcW w:w="938" w:type="pct"/>
            <w:tcBorders>
              <w:top w:val="single" w:sz="8" w:space="0" w:color="auto"/>
              <w:left w:val="nil"/>
              <w:bottom w:val="single" w:sz="8" w:space="0" w:color="auto"/>
              <w:right w:val="single" w:sz="4" w:space="0" w:color="auto"/>
            </w:tcBorders>
            <w:shd w:val="clear" w:color="auto" w:fill="auto"/>
            <w:noWrap/>
            <w:vAlign w:val="center"/>
            <w:hideMark/>
          </w:tcPr>
          <w:p w14:paraId="51DFA513" w14:textId="5568EAF6" w:rsidR="00C42623" w:rsidRPr="00025714" w:rsidRDefault="00C42623" w:rsidP="00025714">
            <w:pPr>
              <w:jc w:val="right"/>
              <w:rPr>
                <w:rFonts w:cs="Times New Roman"/>
                <w:b/>
                <w:bCs/>
                <w:szCs w:val="24"/>
              </w:rPr>
            </w:pPr>
            <w:r w:rsidRPr="00025714">
              <w:rPr>
                <w:rFonts w:cs="Times New Roman"/>
                <w:b/>
                <w:bCs/>
                <w:szCs w:val="24"/>
              </w:rPr>
              <w:t>37,125</w:t>
            </w:r>
          </w:p>
        </w:tc>
        <w:tc>
          <w:tcPr>
            <w:tcW w:w="879" w:type="pct"/>
            <w:tcBorders>
              <w:top w:val="single" w:sz="8" w:space="0" w:color="auto"/>
              <w:left w:val="nil"/>
              <w:bottom w:val="single" w:sz="8" w:space="0" w:color="auto"/>
              <w:right w:val="single" w:sz="8" w:space="0" w:color="auto"/>
            </w:tcBorders>
            <w:shd w:val="clear" w:color="auto" w:fill="auto"/>
            <w:noWrap/>
            <w:vAlign w:val="center"/>
            <w:hideMark/>
          </w:tcPr>
          <w:p w14:paraId="0BCCA5B1" w14:textId="77777777" w:rsidR="00C42623" w:rsidRPr="00025714" w:rsidRDefault="00C42623" w:rsidP="00C42623">
            <w:pPr>
              <w:jc w:val="right"/>
              <w:rPr>
                <w:rFonts w:cs="Times New Roman"/>
                <w:b/>
                <w:bCs/>
                <w:szCs w:val="24"/>
              </w:rPr>
            </w:pPr>
            <w:r w:rsidRPr="00025714">
              <w:rPr>
                <w:rFonts w:cs="Times New Roman"/>
                <w:b/>
                <w:bCs/>
                <w:szCs w:val="24"/>
              </w:rPr>
              <w:t>$1,348,380</w:t>
            </w:r>
          </w:p>
        </w:tc>
      </w:tr>
    </w:tbl>
    <w:p w14:paraId="33DDF7CD" w14:textId="6F49F9CD" w:rsidR="004054E6" w:rsidRPr="009A35B3" w:rsidRDefault="00C42623" w:rsidP="004054E6">
      <w:pPr>
        <w:ind w:left="360"/>
        <w:rPr>
          <w:rFonts w:eastAsia="Calibri" w:cs="Times New Roman"/>
          <w:color w:val="auto"/>
          <w:sz w:val="20"/>
        </w:rPr>
      </w:pPr>
      <w:r w:rsidRPr="009A35B3">
        <w:rPr>
          <w:rFonts w:eastAsia="Calibri" w:cs="Times New Roman"/>
          <w:color w:val="auto"/>
          <w:sz w:val="20"/>
        </w:rPr>
        <w:t xml:space="preserve">Note: Totals may not add due to rounding. </w:t>
      </w:r>
    </w:p>
    <w:p w14:paraId="79B02225" w14:textId="77777777" w:rsidR="000C7FF1" w:rsidRDefault="000C7FF1" w:rsidP="00A51F4D"/>
    <w:p w14:paraId="751ADC80" w14:textId="77777777" w:rsidR="00B853AB" w:rsidRDefault="00B853AB" w:rsidP="00B853AB">
      <w:pPr>
        <w:keepNext/>
        <w:numPr>
          <w:ilvl w:val="0"/>
          <w:numId w:val="1"/>
        </w:numPr>
        <w:tabs>
          <w:tab w:val="left" w:pos="360"/>
        </w:tabs>
        <w:rPr>
          <w:b/>
          <w:i/>
        </w:rPr>
      </w:pPr>
      <w:r>
        <w:rPr>
          <w:b/>
          <w:i/>
        </w:rPr>
        <w:t xml:space="preserve">Provide an estimate of the total annual cost burden to respondents or </w:t>
      </w:r>
      <w:r w:rsidR="00F20CD4">
        <w:rPr>
          <w:b/>
          <w:i/>
        </w:rPr>
        <w:t>record keepers</w:t>
      </w:r>
      <w:r>
        <w:rPr>
          <w:b/>
          <w:i/>
        </w:rPr>
        <w:t xml:space="preserve"> resulting from the collection of information.</w:t>
      </w:r>
    </w:p>
    <w:p w14:paraId="228A0C78" w14:textId="77777777" w:rsidR="00B853AB" w:rsidRDefault="00B853AB" w:rsidP="00B853AB">
      <w:pPr>
        <w:keepNext/>
        <w:numPr>
          <w:ilvl w:val="12"/>
          <w:numId w:val="0"/>
        </w:numPr>
        <w:ind w:left="360"/>
      </w:pPr>
    </w:p>
    <w:p w14:paraId="250D15B6" w14:textId="22525EC9" w:rsidR="00A277B3" w:rsidRDefault="003E0AAB" w:rsidP="008B1788">
      <w:pPr>
        <w:pStyle w:val="NormalLeft025"/>
        <w:rPr>
          <w:rFonts w:eastAsia="Calibri"/>
          <w:szCs w:val="22"/>
        </w:rPr>
      </w:pPr>
      <w:r w:rsidRPr="00815B2C">
        <w:rPr>
          <w:color w:val="auto"/>
          <w:szCs w:val="24"/>
        </w:rPr>
        <w:t xml:space="preserve">TSA </w:t>
      </w:r>
      <w:r>
        <w:rPr>
          <w:color w:val="auto"/>
          <w:szCs w:val="24"/>
        </w:rPr>
        <w:t>estimates no costs in addition to the hour burdens discussed above for this information collection.</w:t>
      </w:r>
      <w:r w:rsidR="00A22FEB">
        <w:rPr>
          <w:color w:val="auto"/>
          <w:szCs w:val="24"/>
        </w:rPr>
        <w:t xml:space="preserve"> </w:t>
      </w:r>
      <w:r w:rsidR="00F92D80">
        <w:rPr>
          <w:color w:val="auto"/>
          <w:szCs w:val="24"/>
        </w:rPr>
        <w:t xml:space="preserve"> </w:t>
      </w:r>
      <w:r w:rsidR="00F01F85">
        <w:rPr>
          <w:szCs w:val="24"/>
        </w:rPr>
        <w:t xml:space="preserve">TSA estimates </w:t>
      </w:r>
      <w:r w:rsidR="009643A0">
        <w:rPr>
          <w:szCs w:val="24"/>
        </w:rPr>
        <w:t xml:space="preserve">that </w:t>
      </w:r>
      <w:r w:rsidR="00DD0101" w:rsidRPr="004054E6">
        <w:rPr>
          <w:rFonts w:eastAsia="Calibri"/>
          <w:color w:val="auto"/>
          <w:szCs w:val="22"/>
        </w:rPr>
        <w:t xml:space="preserve">the average annual number of </w:t>
      </w:r>
      <w:r w:rsidR="00DD0101">
        <w:rPr>
          <w:rFonts w:eastAsia="Calibri"/>
          <w:color w:val="auto"/>
          <w:szCs w:val="22"/>
        </w:rPr>
        <w:t xml:space="preserve">respondents </w:t>
      </w:r>
      <w:r w:rsidR="00DD0101" w:rsidRPr="004054E6">
        <w:rPr>
          <w:rFonts w:eastAsia="Calibri"/>
          <w:color w:val="auto"/>
          <w:szCs w:val="22"/>
        </w:rPr>
        <w:t>to this information collection</w:t>
      </w:r>
      <w:r w:rsidR="00DD0101">
        <w:rPr>
          <w:szCs w:val="24"/>
        </w:rPr>
        <w:t xml:space="preserve"> is </w:t>
      </w:r>
      <w:r w:rsidR="00FC3B43">
        <w:rPr>
          <w:szCs w:val="24"/>
        </w:rPr>
        <w:t>22,500</w:t>
      </w:r>
      <w:r w:rsidR="00F92D80" w:rsidRPr="009D7742">
        <w:rPr>
          <w:szCs w:val="24"/>
        </w:rPr>
        <w:t xml:space="preserve"> annual </w:t>
      </w:r>
      <w:r w:rsidR="000D4F27">
        <w:rPr>
          <w:szCs w:val="24"/>
        </w:rPr>
        <w:t>responses</w:t>
      </w:r>
      <w:r w:rsidR="00536401">
        <w:rPr>
          <w:szCs w:val="24"/>
        </w:rPr>
        <w:t xml:space="preserve"> </w:t>
      </w:r>
      <w:r w:rsidR="000D4F27">
        <w:rPr>
          <w:szCs w:val="24"/>
        </w:rPr>
        <w:t xml:space="preserve">and average annual </w:t>
      </w:r>
      <w:r w:rsidR="00DD0101">
        <w:rPr>
          <w:szCs w:val="24"/>
        </w:rPr>
        <w:t xml:space="preserve">hour burden </w:t>
      </w:r>
      <w:r w:rsidR="00F92D80">
        <w:rPr>
          <w:szCs w:val="24"/>
        </w:rPr>
        <w:t xml:space="preserve">cost </w:t>
      </w:r>
      <w:r w:rsidR="00F92D80" w:rsidRPr="009D7742">
        <w:rPr>
          <w:szCs w:val="24"/>
        </w:rPr>
        <w:t xml:space="preserve">of </w:t>
      </w:r>
      <w:r w:rsidR="00C66F1A" w:rsidRPr="00C66F1A">
        <w:rPr>
          <w:szCs w:val="24"/>
        </w:rPr>
        <w:t>$1,348,380</w:t>
      </w:r>
      <w:r w:rsidR="009643A0" w:rsidRPr="00C66F1A">
        <w:rPr>
          <w:szCs w:val="24"/>
        </w:rPr>
        <w:t>.</w:t>
      </w:r>
    </w:p>
    <w:p w14:paraId="0206B0DA" w14:textId="77777777" w:rsidR="00DD0101" w:rsidRDefault="00DD0101" w:rsidP="008B1788">
      <w:pPr>
        <w:pStyle w:val="NormalLeft025"/>
      </w:pPr>
    </w:p>
    <w:p w14:paraId="55BB447B" w14:textId="77777777" w:rsidR="00B853AB" w:rsidRDefault="00B853AB" w:rsidP="00B853AB">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0C3EFFC0" w14:textId="77777777" w:rsidR="00B853AB" w:rsidRDefault="00B853AB" w:rsidP="00B853AB">
      <w:pPr>
        <w:keepNext/>
        <w:numPr>
          <w:ilvl w:val="12"/>
          <w:numId w:val="0"/>
        </w:numPr>
        <w:ind w:left="360"/>
      </w:pPr>
    </w:p>
    <w:p w14:paraId="67E623CB" w14:textId="77777777" w:rsidR="0034244F" w:rsidRDefault="0034244F" w:rsidP="008D5832">
      <w:pPr>
        <w:autoSpaceDE w:val="0"/>
        <w:autoSpaceDN w:val="0"/>
        <w:adjustRightInd w:val="0"/>
        <w:ind w:left="360"/>
        <w:rPr>
          <w:rFonts w:eastAsia="Calibri" w:cs="Times New Roman"/>
          <w:color w:val="auto"/>
          <w:szCs w:val="22"/>
        </w:rPr>
      </w:pPr>
      <w:r w:rsidRPr="004054E6">
        <w:rPr>
          <w:rFonts w:eastAsia="Calibri" w:cs="Times New Roman"/>
          <w:color w:val="auto"/>
          <w:szCs w:val="22"/>
        </w:rPr>
        <w:t xml:space="preserve">Based on the data provided by TSA Office of Chief Medical Officer and CHS, TSA estimates that the </w:t>
      </w:r>
      <w:r>
        <w:rPr>
          <w:rFonts w:eastAsia="Calibri" w:cs="Times New Roman"/>
          <w:color w:val="auto"/>
          <w:szCs w:val="22"/>
        </w:rPr>
        <w:t>to</w:t>
      </w:r>
      <w:r w:rsidR="009400C5">
        <w:rPr>
          <w:rFonts w:eastAsia="Calibri" w:cs="Times New Roman"/>
          <w:color w:val="auto"/>
          <w:szCs w:val="22"/>
        </w:rPr>
        <w:t>t</w:t>
      </w:r>
      <w:r>
        <w:rPr>
          <w:rFonts w:eastAsia="Calibri" w:cs="Times New Roman"/>
          <w:color w:val="auto"/>
          <w:szCs w:val="22"/>
        </w:rPr>
        <w:t>al annual cost incurred by the Federal Government is $</w:t>
      </w:r>
      <w:r w:rsidR="00E6121E">
        <w:rPr>
          <w:rFonts w:eastAsia="Calibri" w:cs="Times New Roman"/>
          <w:color w:val="auto"/>
          <w:szCs w:val="22"/>
        </w:rPr>
        <w:t>503,07</w:t>
      </w:r>
      <w:r w:rsidR="00622670">
        <w:rPr>
          <w:rFonts w:eastAsia="Calibri" w:cs="Times New Roman"/>
          <w:color w:val="auto"/>
          <w:szCs w:val="22"/>
        </w:rPr>
        <w:t>4</w:t>
      </w:r>
      <w:r w:rsidR="00E43FDF">
        <w:rPr>
          <w:rFonts w:eastAsia="Calibri" w:cs="Times New Roman"/>
          <w:color w:val="auto"/>
          <w:szCs w:val="22"/>
        </w:rPr>
        <w:t xml:space="preserve"> (i.e., $</w:t>
      </w:r>
      <w:r w:rsidR="00E6121E">
        <w:rPr>
          <w:rFonts w:eastAsia="Calibri" w:cs="Times New Roman"/>
          <w:color w:val="auto"/>
          <w:szCs w:val="22"/>
        </w:rPr>
        <w:t>217,623</w:t>
      </w:r>
      <w:r w:rsidR="00E43FDF">
        <w:rPr>
          <w:rFonts w:eastAsia="Calibri" w:cs="Times New Roman"/>
          <w:color w:val="auto"/>
          <w:szCs w:val="22"/>
        </w:rPr>
        <w:t xml:space="preserve"> assessment by medical personnel+ $</w:t>
      </w:r>
      <w:r w:rsidR="00622670">
        <w:rPr>
          <w:rFonts w:eastAsia="Calibri" w:cs="Times New Roman"/>
          <w:color w:val="auto"/>
          <w:szCs w:val="22"/>
        </w:rPr>
        <w:t>285,451</w:t>
      </w:r>
      <w:r w:rsidR="00C714E0">
        <w:rPr>
          <w:rFonts w:eastAsia="Calibri" w:cs="Times New Roman"/>
          <w:color w:val="auto"/>
          <w:szCs w:val="22"/>
        </w:rPr>
        <w:t xml:space="preserve"> </w:t>
      </w:r>
      <w:r w:rsidR="00E43FDF">
        <w:rPr>
          <w:rFonts w:eastAsia="Calibri" w:cs="Times New Roman"/>
          <w:color w:val="auto"/>
          <w:szCs w:val="22"/>
        </w:rPr>
        <w:t>shipping and storage).</w:t>
      </w:r>
    </w:p>
    <w:p w14:paraId="02F801AF" w14:textId="77777777" w:rsidR="0034244F" w:rsidRDefault="0034244F" w:rsidP="008D5832">
      <w:pPr>
        <w:autoSpaceDE w:val="0"/>
        <w:autoSpaceDN w:val="0"/>
        <w:adjustRightInd w:val="0"/>
        <w:ind w:left="360"/>
        <w:rPr>
          <w:rFonts w:eastAsia="Calibri" w:cs="Times New Roman"/>
          <w:color w:val="auto"/>
          <w:szCs w:val="22"/>
        </w:rPr>
      </w:pPr>
    </w:p>
    <w:p w14:paraId="6CA2BD36" w14:textId="77777777" w:rsidR="0034244F" w:rsidRDefault="0034244F" w:rsidP="008D5832">
      <w:pPr>
        <w:pStyle w:val="NormalLeft025"/>
        <w:keepNext/>
        <w:rPr>
          <w:color w:val="auto"/>
          <w:szCs w:val="24"/>
        </w:rPr>
      </w:pPr>
      <w:r w:rsidRPr="00253AE5">
        <w:rPr>
          <w:color w:val="auto"/>
          <w:szCs w:val="24"/>
          <w:u w:val="single"/>
        </w:rPr>
        <w:t>Calculations</w:t>
      </w:r>
      <w:r>
        <w:rPr>
          <w:color w:val="auto"/>
          <w:szCs w:val="24"/>
        </w:rPr>
        <w:t>:</w:t>
      </w:r>
    </w:p>
    <w:p w14:paraId="3A41BF52" w14:textId="77777777" w:rsidR="00000AC7" w:rsidRDefault="00000AC7" w:rsidP="008D5832">
      <w:pPr>
        <w:pStyle w:val="NormalLeft025"/>
        <w:keepNext/>
        <w:rPr>
          <w:color w:val="auto"/>
          <w:szCs w:val="24"/>
        </w:rPr>
      </w:pPr>
    </w:p>
    <w:p w14:paraId="07558CA0" w14:textId="419BA001" w:rsidR="00000AC7" w:rsidRDefault="00410B15" w:rsidP="0034244F">
      <w:pPr>
        <w:pStyle w:val="NormalLeft025"/>
        <w:rPr>
          <w:color w:val="auto"/>
          <w:szCs w:val="24"/>
        </w:rPr>
      </w:pPr>
      <w:r>
        <w:rPr>
          <w:color w:val="auto"/>
          <w:szCs w:val="24"/>
        </w:rPr>
        <w:t>The cost TSA incurs</w:t>
      </w:r>
      <w:r w:rsidR="00000AC7">
        <w:rPr>
          <w:color w:val="auto"/>
          <w:szCs w:val="24"/>
        </w:rPr>
        <w:t xml:space="preserve"> due to this information collection </w:t>
      </w:r>
      <w:r>
        <w:rPr>
          <w:color w:val="auto"/>
          <w:szCs w:val="24"/>
        </w:rPr>
        <w:t>has</w:t>
      </w:r>
      <w:r w:rsidR="00000AC7">
        <w:rPr>
          <w:color w:val="auto"/>
          <w:szCs w:val="24"/>
        </w:rPr>
        <w:t xml:space="preserve"> two components. </w:t>
      </w:r>
      <w:r w:rsidR="00A22FEB">
        <w:rPr>
          <w:color w:val="auto"/>
          <w:szCs w:val="24"/>
        </w:rPr>
        <w:t xml:space="preserve"> </w:t>
      </w:r>
      <w:r w:rsidR="00000AC7">
        <w:rPr>
          <w:color w:val="auto"/>
          <w:szCs w:val="24"/>
        </w:rPr>
        <w:t xml:space="preserve">The first cost component </w:t>
      </w:r>
      <w:r>
        <w:rPr>
          <w:color w:val="auto"/>
          <w:szCs w:val="24"/>
        </w:rPr>
        <w:t>is related</w:t>
      </w:r>
      <w:r w:rsidR="00000AC7">
        <w:rPr>
          <w:color w:val="auto"/>
          <w:szCs w:val="24"/>
        </w:rPr>
        <w:t xml:space="preserve"> to the assessment of the SOMQ by a team of medical personnel. TSA estimates that the assessment team of medical personnel takes 5 minutes (0.083 hours) each to review and process the SOMQ.</w:t>
      </w:r>
      <w:r>
        <w:rPr>
          <w:color w:val="auto"/>
          <w:szCs w:val="24"/>
        </w:rPr>
        <w:t xml:space="preserve"> </w:t>
      </w:r>
      <w:r w:rsidR="00A22FEB">
        <w:rPr>
          <w:color w:val="auto"/>
          <w:szCs w:val="24"/>
        </w:rPr>
        <w:t xml:space="preserve"> </w:t>
      </w:r>
      <w:r>
        <w:rPr>
          <w:color w:val="auto"/>
          <w:szCs w:val="24"/>
        </w:rPr>
        <w:t xml:space="preserve">TSA also estimates that the fully loaded average hourly wage rate for a medical </w:t>
      </w:r>
      <w:r w:rsidR="00B02047">
        <w:rPr>
          <w:color w:val="auto"/>
          <w:szCs w:val="24"/>
        </w:rPr>
        <w:t>professional</w:t>
      </w:r>
      <w:r>
        <w:rPr>
          <w:color w:val="auto"/>
          <w:szCs w:val="24"/>
        </w:rPr>
        <w:t xml:space="preserve"> involved in the assessment of </w:t>
      </w:r>
      <w:r w:rsidR="00FC3B43">
        <w:rPr>
          <w:color w:val="auto"/>
          <w:szCs w:val="24"/>
        </w:rPr>
        <w:t xml:space="preserve">the </w:t>
      </w:r>
      <w:r>
        <w:rPr>
          <w:color w:val="auto"/>
          <w:szCs w:val="24"/>
        </w:rPr>
        <w:t xml:space="preserve">SOMQ is $90. The second cost component is associated with shipping and storage costs. </w:t>
      </w:r>
      <w:r w:rsidR="00A22FEB">
        <w:rPr>
          <w:color w:val="auto"/>
          <w:szCs w:val="24"/>
        </w:rPr>
        <w:t xml:space="preserve"> </w:t>
      </w:r>
      <w:r w:rsidR="0099272C">
        <w:rPr>
          <w:color w:val="auto"/>
          <w:szCs w:val="24"/>
        </w:rPr>
        <w:t xml:space="preserve">TSA estimates that the shipping cost of </w:t>
      </w:r>
      <w:r w:rsidR="00FC3B43">
        <w:rPr>
          <w:color w:val="auto"/>
          <w:szCs w:val="24"/>
        </w:rPr>
        <w:t xml:space="preserve">the </w:t>
      </w:r>
      <w:r w:rsidR="0099272C">
        <w:rPr>
          <w:color w:val="auto"/>
          <w:szCs w:val="24"/>
        </w:rPr>
        <w:t xml:space="preserve">SOMQ from the health care providers to the review location and then to a storage facility is $9.50 per package (i.e., SOMQ </w:t>
      </w:r>
      <w:r w:rsidR="0034749D">
        <w:rPr>
          <w:color w:val="auto"/>
          <w:szCs w:val="24"/>
        </w:rPr>
        <w:t>shipped per candidate</w:t>
      </w:r>
      <w:r w:rsidR="0099272C">
        <w:rPr>
          <w:color w:val="auto"/>
          <w:szCs w:val="24"/>
        </w:rPr>
        <w:t xml:space="preserve">). In addition, the storage cost associated with the SOMQ is $0.56 per </w:t>
      </w:r>
      <w:r w:rsidR="00A77A81">
        <w:rPr>
          <w:color w:val="auto"/>
          <w:szCs w:val="24"/>
        </w:rPr>
        <w:t>TSO candidate</w:t>
      </w:r>
      <w:r w:rsidR="0099272C">
        <w:rPr>
          <w:color w:val="auto"/>
          <w:szCs w:val="24"/>
        </w:rPr>
        <w:t>.</w:t>
      </w:r>
    </w:p>
    <w:p w14:paraId="780095D0" w14:textId="77777777" w:rsidR="0034244F" w:rsidRDefault="0034244F" w:rsidP="008D5832">
      <w:pPr>
        <w:autoSpaceDE w:val="0"/>
        <w:autoSpaceDN w:val="0"/>
        <w:adjustRightInd w:val="0"/>
        <w:ind w:left="360"/>
        <w:rPr>
          <w:rFonts w:eastAsia="Calibri" w:cs="Times New Roman"/>
          <w:color w:val="auto"/>
          <w:szCs w:val="22"/>
        </w:rPr>
      </w:pPr>
    </w:p>
    <w:p w14:paraId="49803589" w14:textId="797EC337" w:rsidR="00000AC7" w:rsidRDefault="00000AC7" w:rsidP="00A22FEB">
      <w:pPr>
        <w:keepNext/>
        <w:tabs>
          <w:tab w:val="left" w:pos="360"/>
        </w:tabs>
        <w:ind w:left="360"/>
        <w:rPr>
          <w:color w:val="auto"/>
          <w:szCs w:val="24"/>
          <w:u w:val="single"/>
        </w:rPr>
      </w:pPr>
      <w:r w:rsidRPr="00BC2049">
        <w:rPr>
          <w:color w:val="auto"/>
          <w:szCs w:val="24"/>
        </w:rPr>
        <w:t>(a)</w:t>
      </w:r>
      <w:r>
        <w:rPr>
          <w:color w:val="auto"/>
          <w:szCs w:val="24"/>
          <w:u w:val="single"/>
        </w:rPr>
        <w:t xml:space="preserve"> Completing</w:t>
      </w:r>
      <w:r w:rsidR="00FC3B43">
        <w:rPr>
          <w:color w:val="auto"/>
          <w:szCs w:val="24"/>
          <w:u w:val="single"/>
        </w:rPr>
        <w:t xml:space="preserve"> (</w:t>
      </w:r>
      <w:r w:rsidR="00BE7DD6">
        <w:rPr>
          <w:color w:val="auto"/>
          <w:szCs w:val="24"/>
          <w:u w:val="single"/>
        </w:rPr>
        <w:t>Reviewing)</w:t>
      </w:r>
      <w:r w:rsidR="00BE7DD6" w:rsidRPr="00D05756">
        <w:rPr>
          <w:color w:val="auto"/>
          <w:szCs w:val="24"/>
          <w:u w:val="single"/>
        </w:rPr>
        <w:t xml:space="preserve"> SOMQ</w:t>
      </w:r>
    </w:p>
    <w:p w14:paraId="5692B50A" w14:textId="77777777" w:rsidR="00671244" w:rsidRDefault="00671244">
      <w:pPr>
        <w:keepNext/>
        <w:autoSpaceDE w:val="0"/>
        <w:autoSpaceDN w:val="0"/>
        <w:adjustRightInd w:val="0"/>
        <w:ind w:left="360"/>
        <w:rPr>
          <w:rFonts w:eastAsia="Calibri" w:cs="Times New Roman"/>
          <w:color w:val="auto"/>
          <w:szCs w:val="22"/>
        </w:rPr>
      </w:pPr>
    </w:p>
    <w:p w14:paraId="55382C87" w14:textId="1798B019" w:rsidR="00671244" w:rsidRDefault="0099272C" w:rsidP="008D5832">
      <w:pPr>
        <w:autoSpaceDE w:val="0"/>
        <w:autoSpaceDN w:val="0"/>
        <w:adjustRightInd w:val="0"/>
        <w:ind w:left="1080"/>
        <w:rPr>
          <w:rFonts w:eastAsia="Calibri" w:cs="Times New Roman"/>
          <w:color w:val="auto"/>
          <w:szCs w:val="22"/>
        </w:rPr>
      </w:pPr>
      <w:r>
        <w:rPr>
          <w:rFonts w:eastAsia="Calibri" w:cs="Times New Roman"/>
          <w:color w:val="auto"/>
          <w:szCs w:val="22"/>
        </w:rPr>
        <w:t xml:space="preserve">Government cost = </w:t>
      </w:r>
      <w:r w:rsidR="00FC3B43">
        <w:rPr>
          <w:rFonts w:eastAsia="Calibri" w:cs="Times New Roman"/>
          <w:color w:val="auto"/>
          <w:szCs w:val="22"/>
        </w:rPr>
        <w:t>22,500</w:t>
      </w:r>
      <w:r>
        <w:rPr>
          <w:rFonts w:eastAsia="Calibri" w:cs="Times New Roman"/>
          <w:color w:val="auto"/>
          <w:szCs w:val="22"/>
        </w:rPr>
        <w:t xml:space="preserve"> responses x 0.083 hours x $90 = $1</w:t>
      </w:r>
      <w:r w:rsidR="00FC3B43">
        <w:rPr>
          <w:rFonts w:eastAsia="Calibri" w:cs="Times New Roman"/>
          <w:color w:val="auto"/>
          <w:szCs w:val="22"/>
        </w:rPr>
        <w:t>68,075</w:t>
      </w:r>
      <w:r>
        <w:rPr>
          <w:rFonts w:eastAsia="Calibri" w:cs="Times New Roman"/>
          <w:color w:val="auto"/>
          <w:szCs w:val="22"/>
        </w:rPr>
        <w:t xml:space="preserve"> per year</w:t>
      </w:r>
    </w:p>
    <w:p w14:paraId="5A8C6563" w14:textId="77777777" w:rsidR="00BC2049" w:rsidRDefault="00BC2049" w:rsidP="008D5832">
      <w:pPr>
        <w:autoSpaceDE w:val="0"/>
        <w:autoSpaceDN w:val="0"/>
        <w:adjustRightInd w:val="0"/>
        <w:ind w:left="360"/>
        <w:rPr>
          <w:rFonts w:eastAsia="Calibri" w:cs="Times New Roman"/>
          <w:color w:val="auto"/>
          <w:szCs w:val="22"/>
        </w:rPr>
      </w:pPr>
    </w:p>
    <w:p w14:paraId="571A6DB1" w14:textId="1933D305" w:rsidR="00BC2049" w:rsidRDefault="00BC2049" w:rsidP="00A22FEB">
      <w:pPr>
        <w:keepNext/>
        <w:tabs>
          <w:tab w:val="left" w:pos="360"/>
        </w:tabs>
        <w:ind w:left="360"/>
        <w:rPr>
          <w:color w:val="auto"/>
          <w:szCs w:val="24"/>
          <w:u w:val="single"/>
        </w:rPr>
      </w:pPr>
      <w:r w:rsidRPr="00BC2049">
        <w:rPr>
          <w:color w:val="auto"/>
          <w:szCs w:val="24"/>
        </w:rPr>
        <w:t>(</w:t>
      </w:r>
      <w:r w:rsidR="00FC3B43">
        <w:rPr>
          <w:color w:val="auto"/>
          <w:szCs w:val="24"/>
        </w:rPr>
        <w:t>b</w:t>
      </w:r>
      <w:r w:rsidRPr="00BC2049">
        <w:rPr>
          <w:color w:val="auto"/>
          <w:szCs w:val="24"/>
        </w:rPr>
        <w:t>)</w:t>
      </w:r>
      <w:r>
        <w:rPr>
          <w:color w:val="auto"/>
          <w:szCs w:val="24"/>
          <w:u w:val="single"/>
        </w:rPr>
        <w:t xml:space="preserve"> Shipping </w:t>
      </w:r>
      <w:r w:rsidR="00536401">
        <w:rPr>
          <w:color w:val="auto"/>
          <w:szCs w:val="24"/>
          <w:u w:val="single"/>
        </w:rPr>
        <w:t xml:space="preserve">of </w:t>
      </w:r>
      <w:r>
        <w:rPr>
          <w:color w:val="auto"/>
          <w:szCs w:val="24"/>
          <w:u w:val="single"/>
        </w:rPr>
        <w:t>SOMQ</w:t>
      </w:r>
    </w:p>
    <w:p w14:paraId="2BEEFA44" w14:textId="77777777" w:rsidR="00BC2049" w:rsidRDefault="00BC2049">
      <w:pPr>
        <w:keepNext/>
        <w:autoSpaceDE w:val="0"/>
        <w:autoSpaceDN w:val="0"/>
        <w:adjustRightInd w:val="0"/>
        <w:ind w:left="360"/>
        <w:rPr>
          <w:rFonts w:eastAsia="Calibri" w:cs="Times New Roman"/>
          <w:color w:val="auto"/>
          <w:szCs w:val="22"/>
        </w:rPr>
      </w:pPr>
    </w:p>
    <w:p w14:paraId="0A03C9D0" w14:textId="21C40D4E" w:rsidR="00BC2049" w:rsidRDefault="00BC2049" w:rsidP="008D5832">
      <w:pPr>
        <w:autoSpaceDE w:val="0"/>
        <w:autoSpaceDN w:val="0"/>
        <w:adjustRightInd w:val="0"/>
        <w:ind w:left="1080"/>
        <w:rPr>
          <w:rFonts w:eastAsia="Calibri" w:cs="Times New Roman"/>
          <w:color w:val="auto"/>
          <w:szCs w:val="22"/>
        </w:rPr>
      </w:pPr>
      <w:r>
        <w:rPr>
          <w:rFonts w:eastAsia="Calibri" w:cs="Times New Roman"/>
          <w:color w:val="auto"/>
          <w:szCs w:val="22"/>
        </w:rPr>
        <w:t xml:space="preserve">Government cost = </w:t>
      </w:r>
      <w:r w:rsidR="0034749D">
        <w:rPr>
          <w:rFonts w:eastAsia="Calibri" w:cs="Times New Roman"/>
          <w:color w:val="auto"/>
          <w:szCs w:val="22"/>
        </w:rPr>
        <w:t>2</w:t>
      </w:r>
      <w:r w:rsidR="00FC3B43">
        <w:rPr>
          <w:rFonts w:eastAsia="Calibri" w:cs="Times New Roman"/>
          <w:color w:val="auto"/>
          <w:szCs w:val="22"/>
        </w:rPr>
        <w:t>2,500</w:t>
      </w:r>
      <w:r>
        <w:rPr>
          <w:rFonts w:eastAsia="Calibri" w:cs="Times New Roman"/>
          <w:color w:val="auto"/>
          <w:szCs w:val="22"/>
        </w:rPr>
        <w:t xml:space="preserve"> </w:t>
      </w:r>
      <w:r w:rsidR="00617827">
        <w:rPr>
          <w:rFonts w:eastAsia="Calibri" w:cs="Times New Roman"/>
          <w:color w:val="auto"/>
          <w:szCs w:val="22"/>
        </w:rPr>
        <w:t>packages</w:t>
      </w:r>
      <w:r>
        <w:rPr>
          <w:rFonts w:eastAsia="Calibri" w:cs="Times New Roman"/>
          <w:color w:val="auto"/>
          <w:szCs w:val="22"/>
        </w:rPr>
        <w:t xml:space="preserve"> x $9.50 per </w:t>
      </w:r>
      <w:r w:rsidR="00E43FDF">
        <w:rPr>
          <w:rFonts w:eastAsia="Calibri" w:cs="Times New Roman"/>
          <w:color w:val="auto"/>
          <w:szCs w:val="22"/>
        </w:rPr>
        <w:t>package</w:t>
      </w:r>
      <w:r>
        <w:rPr>
          <w:rFonts w:eastAsia="Calibri" w:cs="Times New Roman"/>
          <w:color w:val="auto"/>
          <w:szCs w:val="22"/>
        </w:rPr>
        <w:t xml:space="preserve"> = $</w:t>
      </w:r>
      <w:r w:rsidR="00E6121E">
        <w:rPr>
          <w:rFonts w:eastAsia="Calibri" w:cs="Times New Roman"/>
          <w:color w:val="auto"/>
          <w:szCs w:val="22"/>
        </w:rPr>
        <w:t>2</w:t>
      </w:r>
      <w:r w:rsidR="00FC3B43">
        <w:rPr>
          <w:rFonts w:eastAsia="Calibri" w:cs="Times New Roman"/>
          <w:color w:val="auto"/>
          <w:szCs w:val="22"/>
        </w:rPr>
        <w:t>13,750</w:t>
      </w:r>
      <w:r w:rsidR="00084DC2">
        <w:rPr>
          <w:rFonts w:eastAsia="Calibri" w:cs="Times New Roman"/>
          <w:color w:val="auto"/>
          <w:szCs w:val="22"/>
        </w:rPr>
        <w:t xml:space="preserve"> </w:t>
      </w:r>
      <w:r>
        <w:rPr>
          <w:rFonts w:eastAsia="Calibri" w:cs="Times New Roman"/>
          <w:color w:val="auto"/>
          <w:szCs w:val="22"/>
        </w:rPr>
        <w:t>per year</w:t>
      </w:r>
    </w:p>
    <w:p w14:paraId="1EA0EC59" w14:textId="77777777" w:rsidR="00BC2049" w:rsidRDefault="00BC2049" w:rsidP="008D5832">
      <w:pPr>
        <w:autoSpaceDE w:val="0"/>
        <w:autoSpaceDN w:val="0"/>
        <w:adjustRightInd w:val="0"/>
        <w:ind w:left="360"/>
        <w:rPr>
          <w:rFonts w:eastAsia="Calibri" w:cs="Times New Roman"/>
          <w:color w:val="auto"/>
          <w:szCs w:val="22"/>
        </w:rPr>
      </w:pPr>
    </w:p>
    <w:p w14:paraId="1E97CFA0" w14:textId="13576421" w:rsidR="00BC2049" w:rsidRDefault="00BC2049" w:rsidP="00A22FEB">
      <w:pPr>
        <w:keepNext/>
        <w:tabs>
          <w:tab w:val="left" w:pos="360"/>
        </w:tabs>
        <w:ind w:left="360"/>
        <w:rPr>
          <w:color w:val="auto"/>
          <w:szCs w:val="24"/>
          <w:u w:val="single"/>
        </w:rPr>
      </w:pPr>
      <w:r w:rsidRPr="00BC2049">
        <w:rPr>
          <w:color w:val="auto"/>
          <w:szCs w:val="24"/>
        </w:rPr>
        <w:t>(</w:t>
      </w:r>
      <w:r w:rsidR="00FC3B43">
        <w:rPr>
          <w:color w:val="auto"/>
          <w:szCs w:val="24"/>
        </w:rPr>
        <w:t>c</w:t>
      </w:r>
      <w:r w:rsidRPr="00BC2049">
        <w:rPr>
          <w:color w:val="auto"/>
          <w:szCs w:val="24"/>
        </w:rPr>
        <w:t>)</w:t>
      </w:r>
      <w:r>
        <w:rPr>
          <w:color w:val="auto"/>
          <w:szCs w:val="24"/>
          <w:u w:val="single"/>
        </w:rPr>
        <w:t xml:space="preserve"> Storage of SOMQ</w:t>
      </w:r>
    </w:p>
    <w:p w14:paraId="4104F6EE" w14:textId="77777777" w:rsidR="00BC2049" w:rsidRDefault="00BC2049">
      <w:pPr>
        <w:keepNext/>
        <w:autoSpaceDE w:val="0"/>
        <w:autoSpaceDN w:val="0"/>
        <w:adjustRightInd w:val="0"/>
        <w:ind w:left="360"/>
        <w:rPr>
          <w:rFonts w:eastAsia="Calibri" w:cs="Times New Roman"/>
          <w:color w:val="auto"/>
          <w:szCs w:val="22"/>
        </w:rPr>
      </w:pPr>
    </w:p>
    <w:p w14:paraId="7681DF13" w14:textId="6D5E218F" w:rsidR="00E43FDF" w:rsidRDefault="00E43FDF" w:rsidP="008D5832">
      <w:pPr>
        <w:autoSpaceDE w:val="0"/>
        <w:autoSpaceDN w:val="0"/>
        <w:adjustRightInd w:val="0"/>
        <w:ind w:left="1080"/>
        <w:rPr>
          <w:rFonts w:eastAsia="Calibri" w:cs="Times New Roman"/>
          <w:color w:val="auto"/>
          <w:szCs w:val="22"/>
        </w:rPr>
      </w:pPr>
      <w:r>
        <w:rPr>
          <w:rFonts w:eastAsia="Calibri" w:cs="Times New Roman"/>
          <w:color w:val="auto"/>
          <w:szCs w:val="22"/>
        </w:rPr>
        <w:t xml:space="preserve">Government cost = </w:t>
      </w:r>
      <w:r w:rsidR="00FC3B43">
        <w:rPr>
          <w:rFonts w:eastAsia="Calibri" w:cs="Times New Roman"/>
          <w:color w:val="auto"/>
          <w:szCs w:val="22"/>
        </w:rPr>
        <w:t>22,500</w:t>
      </w:r>
      <w:r w:rsidR="00A77A81">
        <w:rPr>
          <w:rFonts w:eastAsia="Calibri" w:cs="Times New Roman"/>
          <w:color w:val="auto"/>
          <w:szCs w:val="22"/>
        </w:rPr>
        <w:t xml:space="preserve"> </w:t>
      </w:r>
      <w:r w:rsidR="00724C88">
        <w:rPr>
          <w:rFonts w:eastAsia="Calibri" w:cs="Times New Roman"/>
          <w:color w:val="auto"/>
          <w:szCs w:val="22"/>
        </w:rPr>
        <w:t xml:space="preserve">candidates </w:t>
      </w:r>
      <w:r>
        <w:rPr>
          <w:rFonts w:eastAsia="Calibri" w:cs="Times New Roman"/>
          <w:color w:val="auto"/>
          <w:szCs w:val="22"/>
        </w:rPr>
        <w:t xml:space="preserve">x $0.56 per </w:t>
      </w:r>
      <w:r w:rsidR="00724C88">
        <w:rPr>
          <w:rFonts w:eastAsia="Calibri" w:cs="Times New Roman"/>
          <w:color w:val="auto"/>
          <w:szCs w:val="22"/>
        </w:rPr>
        <w:t xml:space="preserve">candidate </w:t>
      </w:r>
      <w:r>
        <w:rPr>
          <w:rFonts w:eastAsia="Calibri" w:cs="Times New Roman"/>
          <w:color w:val="auto"/>
          <w:szCs w:val="22"/>
        </w:rPr>
        <w:t>= $</w:t>
      </w:r>
      <w:r w:rsidR="00FC3B43">
        <w:rPr>
          <w:rFonts w:eastAsia="Calibri" w:cs="Times New Roman"/>
          <w:color w:val="auto"/>
          <w:szCs w:val="22"/>
        </w:rPr>
        <w:t>12,600</w:t>
      </w:r>
      <w:r w:rsidR="00724C88">
        <w:rPr>
          <w:rFonts w:eastAsia="Calibri" w:cs="Times New Roman"/>
          <w:color w:val="auto"/>
          <w:szCs w:val="22"/>
        </w:rPr>
        <w:t xml:space="preserve"> </w:t>
      </w:r>
      <w:r>
        <w:rPr>
          <w:rFonts w:eastAsia="Calibri" w:cs="Times New Roman"/>
          <w:color w:val="auto"/>
          <w:szCs w:val="22"/>
        </w:rPr>
        <w:t>per year</w:t>
      </w:r>
    </w:p>
    <w:p w14:paraId="18814B1C" w14:textId="77777777" w:rsidR="001C7410" w:rsidRDefault="001C7410" w:rsidP="008D5832">
      <w:pPr>
        <w:autoSpaceDE w:val="0"/>
        <w:autoSpaceDN w:val="0"/>
        <w:adjustRightInd w:val="0"/>
        <w:ind w:left="360"/>
        <w:rPr>
          <w:rFonts w:eastAsia="Calibri" w:cs="Times New Roman"/>
          <w:color w:val="auto"/>
          <w:szCs w:val="22"/>
        </w:rPr>
      </w:pPr>
    </w:p>
    <w:p w14:paraId="332B3655" w14:textId="7E19AD7B" w:rsidR="00DC599F" w:rsidRDefault="00C714E0" w:rsidP="008D5832">
      <w:pPr>
        <w:autoSpaceDE w:val="0"/>
        <w:autoSpaceDN w:val="0"/>
        <w:adjustRightInd w:val="0"/>
        <w:ind w:left="360"/>
        <w:rPr>
          <w:rFonts w:eastAsia="Calibri" w:cs="Times New Roman"/>
          <w:color w:val="auto"/>
          <w:szCs w:val="22"/>
        </w:rPr>
      </w:pPr>
      <w:r>
        <w:rPr>
          <w:rFonts w:eastAsia="Calibri" w:cs="Times New Roman"/>
          <w:color w:val="auto"/>
          <w:szCs w:val="22"/>
        </w:rPr>
        <w:t>Total government cost = $</w:t>
      </w:r>
      <w:r w:rsidR="00D50041">
        <w:rPr>
          <w:rFonts w:eastAsia="Calibri" w:cs="Times New Roman"/>
          <w:color w:val="auto"/>
          <w:szCs w:val="22"/>
        </w:rPr>
        <w:t>394,425</w:t>
      </w:r>
      <w:r>
        <w:rPr>
          <w:rFonts w:eastAsia="Calibri" w:cs="Times New Roman"/>
          <w:color w:val="auto"/>
          <w:szCs w:val="22"/>
        </w:rPr>
        <w:t xml:space="preserve"> (sum of (a) to (</w:t>
      </w:r>
      <w:r w:rsidR="00FC3B43">
        <w:rPr>
          <w:rFonts w:eastAsia="Calibri" w:cs="Times New Roman"/>
          <w:color w:val="auto"/>
          <w:szCs w:val="22"/>
        </w:rPr>
        <w:t>c</w:t>
      </w:r>
      <w:r>
        <w:rPr>
          <w:rFonts w:eastAsia="Calibri" w:cs="Times New Roman"/>
          <w:color w:val="auto"/>
          <w:szCs w:val="22"/>
        </w:rPr>
        <w:t>)</w:t>
      </w:r>
      <w:r w:rsidR="001C7410">
        <w:rPr>
          <w:rFonts w:eastAsia="Calibri" w:cs="Times New Roman"/>
          <w:color w:val="auto"/>
          <w:szCs w:val="22"/>
        </w:rPr>
        <w:t>).</w:t>
      </w:r>
    </w:p>
    <w:p w14:paraId="24A353DD" w14:textId="77777777" w:rsidR="00B853AB" w:rsidRDefault="00B853AB" w:rsidP="00B853AB">
      <w:pPr>
        <w:pStyle w:val="IndexHeading"/>
        <w:keepNext w:val="0"/>
        <w:numPr>
          <w:ilvl w:val="12"/>
          <w:numId w:val="0"/>
        </w:numPr>
        <w:spacing w:line="240" w:lineRule="auto"/>
        <w:rPr>
          <w:rFonts w:ascii="Times New Roman" w:hAnsi="Times New Roman"/>
          <w:spacing w:val="0"/>
        </w:rPr>
      </w:pPr>
    </w:p>
    <w:p w14:paraId="28D51DDA" w14:textId="77777777" w:rsidR="00B853AB" w:rsidRDefault="00B853AB" w:rsidP="00B853AB">
      <w:pPr>
        <w:keepNext/>
        <w:numPr>
          <w:ilvl w:val="0"/>
          <w:numId w:val="1"/>
        </w:numPr>
        <w:tabs>
          <w:tab w:val="left" w:pos="360"/>
        </w:tabs>
        <w:rPr>
          <w:b/>
          <w:i/>
        </w:rPr>
      </w:pPr>
      <w:r>
        <w:rPr>
          <w:b/>
          <w:i/>
        </w:rPr>
        <w:t>Explain the reasons for any program changes or adjustments reported in Items 13 or 14 of the OMB Form 83-I.</w:t>
      </w:r>
    </w:p>
    <w:p w14:paraId="12E70280" w14:textId="77777777" w:rsidR="00B853AB" w:rsidRDefault="00B853AB" w:rsidP="00B853AB">
      <w:pPr>
        <w:keepNext/>
        <w:numPr>
          <w:ilvl w:val="12"/>
          <w:numId w:val="0"/>
        </w:numPr>
        <w:ind w:left="360"/>
      </w:pPr>
    </w:p>
    <w:p w14:paraId="435794DC" w14:textId="34819BEF" w:rsidR="00B853AB" w:rsidRDefault="00CF7E5E" w:rsidP="00B853AB">
      <w:pPr>
        <w:numPr>
          <w:ilvl w:val="12"/>
          <w:numId w:val="0"/>
        </w:numPr>
        <w:ind w:left="360"/>
      </w:pPr>
      <w:r>
        <w:t xml:space="preserve">TSA will no longer require TSOs to provide additional information via the further evaluation forms.  </w:t>
      </w:r>
      <w:r w:rsidR="00BE0DF3">
        <w:t xml:space="preserve"> </w:t>
      </w:r>
      <w:r w:rsidR="00DD5541">
        <w:t xml:space="preserve">However, the burden has increased due to </w:t>
      </w:r>
      <w:r w:rsidR="00424793">
        <w:t xml:space="preserve">the </w:t>
      </w:r>
      <w:r w:rsidR="00DD5541">
        <w:t xml:space="preserve">use of </w:t>
      </w:r>
      <w:r w:rsidR="009A35B3">
        <w:t xml:space="preserve">more </w:t>
      </w:r>
      <w:r w:rsidR="0040192F">
        <w:t>accurate estimates</w:t>
      </w:r>
      <w:r w:rsidR="009A35B3">
        <w:t xml:space="preserve"> regarding candidate evaluations</w:t>
      </w:r>
      <w:r w:rsidR="00DD5541">
        <w:t xml:space="preserve"> provided by the program office.  Also, d</w:t>
      </w:r>
      <w:r w:rsidR="00BE0DF3">
        <w:t xml:space="preserve">ue to </w:t>
      </w:r>
      <w:r w:rsidR="007F0FE0">
        <w:t xml:space="preserve">improved </w:t>
      </w:r>
      <w:r w:rsidR="00BE0DF3">
        <w:t>efficiencies in the program office, the</w:t>
      </w:r>
      <w:r w:rsidR="00221542">
        <w:t xml:space="preserve"> cost to TSA has decreased.  </w:t>
      </w:r>
      <w:r w:rsidR="00882132">
        <w:t>T</w:t>
      </w:r>
      <w:r w:rsidR="00221542">
        <w:t>he cost is per candi</w:t>
      </w:r>
      <w:r w:rsidR="00BE0DF3">
        <w:t>date delivery to the contractor</w:t>
      </w:r>
      <w:r w:rsidR="007F0FE0">
        <w:t xml:space="preserve">, as both </w:t>
      </w:r>
      <w:r w:rsidR="00221542">
        <w:t xml:space="preserve">the candidate and </w:t>
      </w:r>
      <w:r w:rsidR="007F0FE0">
        <w:t xml:space="preserve">the provider </w:t>
      </w:r>
      <w:r w:rsidR="00221542">
        <w:t>will complete and review the same form for shipment</w:t>
      </w:r>
      <w:r w:rsidR="007F0FE0">
        <w:t xml:space="preserve"> instead of separately as done in the past.</w:t>
      </w:r>
    </w:p>
    <w:p w14:paraId="11F683C8" w14:textId="77777777" w:rsidR="00B853AB" w:rsidRDefault="00B853AB" w:rsidP="00B853AB">
      <w:pPr>
        <w:pStyle w:val="IndexHeading"/>
        <w:keepNext w:val="0"/>
        <w:numPr>
          <w:ilvl w:val="12"/>
          <w:numId w:val="0"/>
        </w:numPr>
        <w:spacing w:line="240" w:lineRule="auto"/>
        <w:rPr>
          <w:rFonts w:ascii="Times New Roman" w:hAnsi="Times New Roman"/>
          <w:spacing w:val="0"/>
        </w:rPr>
      </w:pPr>
    </w:p>
    <w:p w14:paraId="392A4A8D" w14:textId="77777777" w:rsidR="00B853AB" w:rsidRDefault="00B853AB" w:rsidP="00B853AB">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7AD439" w14:textId="77777777" w:rsidR="00B853AB" w:rsidRDefault="00B853AB" w:rsidP="00B853AB">
      <w:pPr>
        <w:keepNext/>
        <w:numPr>
          <w:ilvl w:val="12"/>
          <w:numId w:val="0"/>
        </w:numPr>
        <w:ind w:left="360"/>
      </w:pPr>
    </w:p>
    <w:p w14:paraId="512C4FBE" w14:textId="77777777" w:rsidR="00B853AB" w:rsidRPr="008D5832" w:rsidRDefault="00B853AB" w:rsidP="00B853AB">
      <w:pPr>
        <w:pStyle w:val="BodyTextIndent"/>
        <w:rPr>
          <w:color w:val="auto"/>
        </w:rPr>
      </w:pPr>
      <w:r>
        <w:t>TSA will not publish the information collected.</w:t>
      </w:r>
    </w:p>
    <w:p w14:paraId="2BFC1F57" w14:textId="77777777" w:rsidR="00B853AB" w:rsidRPr="002723B5" w:rsidRDefault="00B853AB" w:rsidP="00B853AB">
      <w:pPr>
        <w:pStyle w:val="IndexHeading"/>
        <w:keepNext w:val="0"/>
        <w:numPr>
          <w:ilvl w:val="12"/>
          <w:numId w:val="0"/>
        </w:numPr>
        <w:spacing w:line="240" w:lineRule="auto"/>
        <w:rPr>
          <w:rFonts w:ascii="Times New Roman" w:hAnsi="Times New Roman"/>
          <w:spacing w:val="0"/>
        </w:rPr>
      </w:pPr>
    </w:p>
    <w:p w14:paraId="024B14FE" w14:textId="77777777" w:rsidR="00B853AB" w:rsidRDefault="00B853AB" w:rsidP="00B853AB">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570F339" w14:textId="77777777" w:rsidR="00B853AB" w:rsidRDefault="00B853AB" w:rsidP="00B853AB">
      <w:pPr>
        <w:keepNext/>
        <w:numPr>
          <w:ilvl w:val="12"/>
          <w:numId w:val="0"/>
        </w:numPr>
        <w:ind w:left="360"/>
      </w:pPr>
    </w:p>
    <w:p w14:paraId="292F85DC" w14:textId="77777777" w:rsidR="00B853AB" w:rsidRDefault="00B853AB" w:rsidP="00B853AB">
      <w:pPr>
        <w:tabs>
          <w:tab w:val="left" w:pos="360"/>
        </w:tabs>
        <w:ind w:left="360"/>
      </w:pPr>
      <w:r>
        <w:t>TSA is not seeking such approval and will display the expiration date for OMB approval of the information collection.</w:t>
      </w:r>
    </w:p>
    <w:p w14:paraId="1F2F2396" w14:textId="77777777" w:rsidR="00B853AB" w:rsidRDefault="00B853AB" w:rsidP="00B853AB">
      <w:pPr>
        <w:numPr>
          <w:ilvl w:val="12"/>
          <w:numId w:val="0"/>
        </w:numPr>
        <w:tabs>
          <w:tab w:val="left" w:pos="360"/>
        </w:tabs>
      </w:pPr>
    </w:p>
    <w:p w14:paraId="6E750316" w14:textId="77777777" w:rsidR="00B853AB" w:rsidRDefault="00B853AB" w:rsidP="00B853AB">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A045BC7" w14:textId="77777777" w:rsidR="00B853AB" w:rsidRDefault="00B853AB" w:rsidP="00B853AB">
      <w:pPr>
        <w:keepNext/>
        <w:numPr>
          <w:ilvl w:val="12"/>
          <w:numId w:val="0"/>
        </w:numPr>
        <w:ind w:left="360"/>
      </w:pPr>
    </w:p>
    <w:p w14:paraId="3441B3A4" w14:textId="77777777" w:rsidR="003C0F11" w:rsidRDefault="00B853AB" w:rsidP="00024049">
      <w:pPr>
        <w:ind w:left="360"/>
      </w:pPr>
      <w:r>
        <w:t>TSA is not seeking any exceptions to the certification statement identified in Item 19, OMB Form 83-I, Certification for Paperwork Reduction Act Submissions.</w:t>
      </w:r>
    </w:p>
    <w:sectPr w:rsidR="003C0F11" w:rsidSect="00D32902">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87E7B" w14:textId="77777777" w:rsidR="00FC72FA" w:rsidRDefault="00FC72FA">
      <w:r>
        <w:separator/>
      </w:r>
    </w:p>
  </w:endnote>
  <w:endnote w:type="continuationSeparator" w:id="0">
    <w:p w14:paraId="435E3DD5" w14:textId="77777777" w:rsidR="00FC72FA" w:rsidRDefault="00FC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5454" w14:textId="77777777" w:rsidR="003209A1" w:rsidRDefault="003209A1">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642DE" w14:textId="77777777" w:rsidR="00FC72FA" w:rsidRDefault="00FC72FA">
      <w:r>
        <w:separator/>
      </w:r>
    </w:p>
  </w:footnote>
  <w:footnote w:type="continuationSeparator" w:id="0">
    <w:p w14:paraId="45943064" w14:textId="77777777" w:rsidR="00FC72FA" w:rsidRDefault="00FC72FA">
      <w:r>
        <w:continuationSeparator/>
      </w:r>
    </w:p>
  </w:footnote>
  <w:footnote w:id="1">
    <w:p w14:paraId="6C4DD3C4" w14:textId="5E78DC67" w:rsidR="00C42623" w:rsidRDefault="00C42623">
      <w:pPr>
        <w:pStyle w:val="FootnoteText"/>
      </w:pPr>
      <w:r>
        <w:rPr>
          <w:rStyle w:val="FootnoteReference"/>
        </w:rPr>
        <w:footnoteRef/>
      </w:r>
      <w:r>
        <w:t xml:space="preserve"> A fully loaded wage rate accounts for non-compensation costs of employment, such as health and retirement benefits.</w:t>
      </w:r>
    </w:p>
  </w:footnote>
  <w:footnote w:id="2">
    <w:p w14:paraId="5CFC63B4" w14:textId="5A924E79" w:rsidR="00C42623" w:rsidRDefault="00C42623" w:rsidP="008D5832">
      <w:r w:rsidRPr="009A35B3">
        <w:rPr>
          <w:rStyle w:val="FootnoteReference"/>
          <w:rFonts w:cs="Times New Roman"/>
          <w:sz w:val="20"/>
        </w:rPr>
        <w:footnoteRef/>
      </w:r>
      <w:r w:rsidRPr="009A35B3">
        <w:rPr>
          <w:rFonts w:cs="Times New Roman"/>
          <w:sz w:val="20"/>
        </w:rPr>
        <w:t xml:space="preserve"> BLS. </w:t>
      </w:r>
      <w:r w:rsidR="00025714">
        <w:rPr>
          <w:rFonts w:cs="Times New Roman"/>
          <w:sz w:val="20"/>
        </w:rPr>
        <w:t xml:space="preserve"> </w:t>
      </w:r>
      <w:r w:rsidRPr="009A35B3">
        <w:rPr>
          <w:rFonts w:cs="Times New Roman"/>
          <w:sz w:val="20"/>
        </w:rPr>
        <w:t xml:space="preserve">Employer Costs for Employee Compensation - March 2018. </w:t>
      </w:r>
      <w:r w:rsidR="00025714">
        <w:rPr>
          <w:rFonts w:cs="Times New Roman"/>
          <w:sz w:val="20"/>
        </w:rPr>
        <w:t xml:space="preserve"> </w:t>
      </w:r>
      <w:r w:rsidRPr="009A35B3">
        <w:rPr>
          <w:rFonts w:cs="Times New Roman"/>
          <w:sz w:val="20"/>
        </w:rPr>
        <w:t xml:space="preserve">Table 1. Employer costs per hour worked for employee compensation and costs as a percent of total compensation: civilian workers. </w:t>
      </w:r>
      <w:r w:rsidR="00025714">
        <w:rPr>
          <w:rFonts w:cs="Times New Roman"/>
          <w:sz w:val="20"/>
        </w:rPr>
        <w:t xml:space="preserve"> </w:t>
      </w:r>
      <w:r w:rsidRPr="009A35B3">
        <w:rPr>
          <w:rFonts w:cs="Times New Roman"/>
          <w:sz w:val="20"/>
        </w:rPr>
        <w:t>All Workers.</w:t>
      </w:r>
      <w:r w:rsidR="00025714">
        <w:rPr>
          <w:rFonts w:cs="Times New Roman"/>
          <w:sz w:val="20"/>
        </w:rPr>
        <w:t xml:space="preserve"> </w:t>
      </w:r>
      <w:r w:rsidRPr="009A35B3">
        <w:rPr>
          <w:rFonts w:cs="Times New Roman"/>
          <w:sz w:val="20"/>
        </w:rPr>
        <w:t xml:space="preserve"> Last modified June 8, 2018 (accessed September 11, 2018). </w:t>
      </w:r>
      <w:r w:rsidR="00025714">
        <w:rPr>
          <w:rFonts w:cs="Times New Roman"/>
          <w:sz w:val="20"/>
        </w:rPr>
        <w:t>H</w:t>
      </w:r>
      <w:r w:rsidRPr="009A35B3">
        <w:rPr>
          <w:rFonts w:cs="Times New Roman"/>
          <w:sz w:val="20"/>
        </w:rPr>
        <w:t>ttps://www.bls.gov/news.release/archives/ecec_06082018.htm</w:t>
      </w:r>
      <w:r w:rsidR="00025714">
        <w:rPr>
          <w:rFonts w:cs="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0E0AE" w14:textId="2BB03443" w:rsidR="003209A1" w:rsidRDefault="003209A1">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54E35">
      <w:rPr>
        <w:rStyle w:val="PageNumber"/>
        <w:rFonts w:ascii="Times New Roman" w:hAnsi="Times New Roman"/>
        <w:noProof/>
        <w:sz w:val="24"/>
      </w:rPr>
      <w:t>2</w:t>
    </w:r>
    <w:r>
      <w:rPr>
        <w:rStyle w:val="PageNumber"/>
        <w:rFonts w:ascii="Times New Roman" w:hAnsi="Times New Roman"/>
        <w:sz w:val="24"/>
      </w:rPr>
      <w:fldChar w:fldCharType="end"/>
    </w:r>
  </w:p>
  <w:p w14:paraId="5AC83226" w14:textId="77777777" w:rsidR="003209A1" w:rsidRPr="00320387" w:rsidRDefault="003209A1">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2656" w14:textId="77777777" w:rsidR="003209A1" w:rsidRDefault="003209A1">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5FB6C10" w14:textId="77777777" w:rsidR="003209A1" w:rsidRDefault="003209A1">
    <w:pPr>
      <w:jc w:val="center"/>
      <w:rPr>
        <w:rFonts w:cs="Times New Roman"/>
        <w:b/>
        <w:sz w:val="28"/>
      </w:rPr>
    </w:pPr>
  </w:p>
  <w:p w14:paraId="696D6BD7" w14:textId="77777777" w:rsidR="003209A1" w:rsidRDefault="003209A1" w:rsidP="00DB0916">
    <w:pPr>
      <w:jc w:val="center"/>
      <w:rPr>
        <w:rFonts w:cs="Times New Roman"/>
        <w:b/>
        <w:i/>
        <w:sz w:val="28"/>
        <w:szCs w:val="28"/>
      </w:rPr>
    </w:pPr>
    <w:r w:rsidRPr="00E25FE6">
      <w:rPr>
        <w:rFonts w:cs="Times New Roman"/>
        <w:b/>
        <w:i/>
        <w:sz w:val="28"/>
        <w:szCs w:val="28"/>
      </w:rPr>
      <w:t xml:space="preserve">Transportation Security </w:t>
    </w:r>
    <w:r>
      <w:rPr>
        <w:rFonts w:cs="Times New Roman"/>
        <w:b/>
        <w:i/>
        <w:sz w:val="28"/>
        <w:szCs w:val="28"/>
      </w:rPr>
      <w:t>Officer</w:t>
    </w:r>
    <w:r w:rsidRPr="00E25FE6">
      <w:rPr>
        <w:rFonts w:cs="Times New Roman"/>
        <w:b/>
        <w:i/>
        <w:sz w:val="28"/>
        <w:szCs w:val="28"/>
      </w:rPr>
      <w:t xml:space="preserve"> </w:t>
    </w:r>
    <w:r>
      <w:rPr>
        <w:rFonts w:cs="Times New Roman"/>
        <w:b/>
        <w:i/>
        <w:sz w:val="28"/>
        <w:szCs w:val="28"/>
      </w:rPr>
      <w:t xml:space="preserve">(TSO) </w:t>
    </w:r>
    <w:r w:rsidRPr="00E25FE6">
      <w:rPr>
        <w:rFonts w:cs="Times New Roman"/>
        <w:b/>
        <w:i/>
        <w:sz w:val="28"/>
        <w:szCs w:val="28"/>
      </w:rPr>
      <w:t>Medical Questionnaire</w:t>
    </w:r>
  </w:p>
  <w:p w14:paraId="25CF02A1" w14:textId="77777777" w:rsidR="003209A1" w:rsidRDefault="003209A1" w:rsidP="00DB0916">
    <w:pPr>
      <w:jc w:val="center"/>
      <w:rPr>
        <w:rFonts w:cs="Times New Roman"/>
        <w:sz w:val="28"/>
        <w:szCs w:val="28"/>
      </w:rPr>
    </w:pPr>
  </w:p>
  <w:p w14:paraId="11A4A711" w14:textId="77777777" w:rsidR="003209A1" w:rsidRDefault="003209A1" w:rsidP="00DB0916">
    <w:pPr>
      <w:jc w:val="center"/>
      <w:rPr>
        <w:rFonts w:cs="Times New Roman"/>
        <w:sz w:val="28"/>
        <w:szCs w:val="28"/>
      </w:rPr>
    </w:pPr>
    <w:r>
      <w:rPr>
        <w:rFonts w:cs="Times New Roman"/>
        <w:sz w:val="28"/>
        <w:szCs w:val="28"/>
      </w:rPr>
      <w:t>OMB No. 1652-0032</w:t>
    </w:r>
  </w:p>
  <w:p w14:paraId="74AA0313" w14:textId="50CF95B4" w:rsidR="003209A1" w:rsidRPr="005B0F49" w:rsidRDefault="003209A1" w:rsidP="00DB0916">
    <w:pPr>
      <w:jc w:val="center"/>
      <w:rPr>
        <w:rFonts w:cs="Times New Roman"/>
        <w:sz w:val="28"/>
        <w:szCs w:val="28"/>
      </w:rPr>
    </w:pPr>
    <w:r w:rsidRPr="003F5F68">
      <w:rPr>
        <w:rFonts w:cs="Times New Roman"/>
        <w:sz w:val="28"/>
        <w:szCs w:val="28"/>
      </w:rPr>
      <w:t xml:space="preserve">Exp. </w:t>
    </w:r>
    <w:r w:rsidR="003F5F68" w:rsidRPr="003F5F68">
      <w:rPr>
        <w:rFonts w:cs="Times New Roman"/>
        <w:sz w:val="28"/>
        <w:szCs w:val="28"/>
      </w:rPr>
      <w:t>7</w:t>
    </w:r>
    <w:r w:rsidRPr="003F5F68">
      <w:rPr>
        <w:rFonts w:cs="Times New Roman"/>
        <w:sz w:val="28"/>
        <w:szCs w:val="28"/>
      </w:rPr>
      <w:t>/31/201</w:t>
    </w:r>
    <w:r w:rsidR="003F5F68" w:rsidRPr="003F5F68">
      <w:rPr>
        <w:rFonts w:cs="Times New Roman"/>
        <w:sz w:val="28"/>
        <w:szCs w:val="28"/>
      </w:rPr>
      <w:t>9</w:t>
    </w:r>
  </w:p>
  <w:p w14:paraId="3944F02E" w14:textId="77777777" w:rsidR="003209A1" w:rsidRDefault="003209A1">
    <w:pPr>
      <w:jc w:val="center"/>
      <w:rPr>
        <w:rFonts w:cs="Times New Roman"/>
        <w:b/>
        <w:sz w:val="28"/>
      </w:rPr>
    </w:pPr>
  </w:p>
  <w:p w14:paraId="24BEED5A" w14:textId="77777777" w:rsidR="003209A1" w:rsidRDefault="003209A1"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5AD814"/>
    <w:lvl w:ilvl="0">
      <w:numFmt w:val="decimal"/>
      <w:lvlText w:val="*"/>
      <w:lvlJc w:val="left"/>
    </w:lvl>
  </w:abstractNum>
  <w:abstractNum w:abstractNumId="1">
    <w:nsid w:val="17861D93"/>
    <w:multiLevelType w:val="hybridMultilevel"/>
    <w:tmpl w:val="A8847EEC"/>
    <w:lvl w:ilvl="0" w:tplc="25A69A6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6D5F1897"/>
    <w:multiLevelType w:val="hybridMultilevel"/>
    <w:tmpl w:val="F844E212"/>
    <w:lvl w:ilvl="0" w:tplc="79A64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numFmt w:val="bullet"/>
        <w:lvlText w:val=""/>
        <w:legacy w:legacy="1" w:legacySpace="0" w:legacyIndent="0"/>
        <w:lvlJc w:val="left"/>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0AC7"/>
    <w:rsid w:val="00022DBF"/>
    <w:rsid w:val="00024049"/>
    <w:rsid w:val="00025714"/>
    <w:rsid w:val="000304BB"/>
    <w:rsid w:val="00033AC7"/>
    <w:rsid w:val="00045367"/>
    <w:rsid w:val="0005407B"/>
    <w:rsid w:val="00056A70"/>
    <w:rsid w:val="000600E2"/>
    <w:rsid w:val="00061479"/>
    <w:rsid w:val="00070317"/>
    <w:rsid w:val="00081DD5"/>
    <w:rsid w:val="00084736"/>
    <w:rsid w:val="00084DC2"/>
    <w:rsid w:val="00087F14"/>
    <w:rsid w:val="000904A4"/>
    <w:rsid w:val="000976AD"/>
    <w:rsid w:val="000A2D67"/>
    <w:rsid w:val="000B7FA4"/>
    <w:rsid w:val="000C7FF1"/>
    <w:rsid w:val="000D19D8"/>
    <w:rsid w:val="000D4F27"/>
    <w:rsid w:val="000D52B2"/>
    <w:rsid w:val="000E550C"/>
    <w:rsid w:val="000F57B9"/>
    <w:rsid w:val="000F5916"/>
    <w:rsid w:val="00104578"/>
    <w:rsid w:val="00106482"/>
    <w:rsid w:val="00113FB6"/>
    <w:rsid w:val="00120A21"/>
    <w:rsid w:val="00131120"/>
    <w:rsid w:val="001341F8"/>
    <w:rsid w:val="00134272"/>
    <w:rsid w:val="00143537"/>
    <w:rsid w:val="00143D9D"/>
    <w:rsid w:val="001458DB"/>
    <w:rsid w:val="001608E4"/>
    <w:rsid w:val="00170EC5"/>
    <w:rsid w:val="00173E01"/>
    <w:rsid w:val="00177E05"/>
    <w:rsid w:val="00181E9C"/>
    <w:rsid w:val="001828D0"/>
    <w:rsid w:val="00186C03"/>
    <w:rsid w:val="0019187D"/>
    <w:rsid w:val="0019213E"/>
    <w:rsid w:val="001B2B85"/>
    <w:rsid w:val="001B4CB0"/>
    <w:rsid w:val="001B5609"/>
    <w:rsid w:val="001C0093"/>
    <w:rsid w:val="001C7410"/>
    <w:rsid w:val="001D078F"/>
    <w:rsid w:val="001D7627"/>
    <w:rsid w:val="001E001D"/>
    <w:rsid w:val="001E10C7"/>
    <w:rsid w:val="001E529E"/>
    <w:rsid w:val="001F0EB1"/>
    <w:rsid w:val="001F1D71"/>
    <w:rsid w:val="001F6EDF"/>
    <w:rsid w:val="002121DF"/>
    <w:rsid w:val="00213D16"/>
    <w:rsid w:val="00214984"/>
    <w:rsid w:val="002178F4"/>
    <w:rsid w:val="00221542"/>
    <w:rsid w:val="002372F4"/>
    <w:rsid w:val="002406AC"/>
    <w:rsid w:val="00241583"/>
    <w:rsid w:val="0024480B"/>
    <w:rsid w:val="002473A6"/>
    <w:rsid w:val="00247646"/>
    <w:rsid w:val="00260EFC"/>
    <w:rsid w:val="00260F82"/>
    <w:rsid w:val="00263523"/>
    <w:rsid w:val="002643DB"/>
    <w:rsid w:val="00264B21"/>
    <w:rsid w:val="00266F22"/>
    <w:rsid w:val="00267386"/>
    <w:rsid w:val="002723B5"/>
    <w:rsid w:val="00275E09"/>
    <w:rsid w:val="002A42C2"/>
    <w:rsid w:val="002C5CE4"/>
    <w:rsid w:val="002C5F23"/>
    <w:rsid w:val="002D4BA7"/>
    <w:rsid w:val="002D4E7A"/>
    <w:rsid w:val="002E5805"/>
    <w:rsid w:val="00302BBC"/>
    <w:rsid w:val="00320387"/>
    <w:rsid w:val="003209A1"/>
    <w:rsid w:val="00323668"/>
    <w:rsid w:val="0033175D"/>
    <w:rsid w:val="0034244F"/>
    <w:rsid w:val="0034749D"/>
    <w:rsid w:val="00370224"/>
    <w:rsid w:val="00374A6E"/>
    <w:rsid w:val="0038123F"/>
    <w:rsid w:val="0038256C"/>
    <w:rsid w:val="003847BC"/>
    <w:rsid w:val="00392E55"/>
    <w:rsid w:val="003A5714"/>
    <w:rsid w:val="003B0911"/>
    <w:rsid w:val="003B6E75"/>
    <w:rsid w:val="003C0F11"/>
    <w:rsid w:val="003C2C9A"/>
    <w:rsid w:val="003C348D"/>
    <w:rsid w:val="003D6B26"/>
    <w:rsid w:val="003E0AAB"/>
    <w:rsid w:val="003E0D28"/>
    <w:rsid w:val="003E10F0"/>
    <w:rsid w:val="003E1BB0"/>
    <w:rsid w:val="003E289A"/>
    <w:rsid w:val="003F0D67"/>
    <w:rsid w:val="003F5F68"/>
    <w:rsid w:val="003F62CA"/>
    <w:rsid w:val="0040192F"/>
    <w:rsid w:val="00403B97"/>
    <w:rsid w:val="004054E6"/>
    <w:rsid w:val="004058C4"/>
    <w:rsid w:val="00406278"/>
    <w:rsid w:val="00410B15"/>
    <w:rsid w:val="004112E6"/>
    <w:rsid w:val="004114BE"/>
    <w:rsid w:val="00415D6F"/>
    <w:rsid w:val="00421AE2"/>
    <w:rsid w:val="004243D1"/>
    <w:rsid w:val="00424793"/>
    <w:rsid w:val="00424FCD"/>
    <w:rsid w:val="00433C02"/>
    <w:rsid w:val="00437CC4"/>
    <w:rsid w:val="0044308D"/>
    <w:rsid w:val="00443441"/>
    <w:rsid w:val="004449CA"/>
    <w:rsid w:val="004626BA"/>
    <w:rsid w:val="00465F57"/>
    <w:rsid w:val="00471B2C"/>
    <w:rsid w:val="00476F4D"/>
    <w:rsid w:val="00484CE0"/>
    <w:rsid w:val="004878F4"/>
    <w:rsid w:val="00490494"/>
    <w:rsid w:val="0049227F"/>
    <w:rsid w:val="004A0544"/>
    <w:rsid w:val="004B37B9"/>
    <w:rsid w:val="004B703D"/>
    <w:rsid w:val="004C516D"/>
    <w:rsid w:val="004C6D3B"/>
    <w:rsid w:val="004D2971"/>
    <w:rsid w:val="004D7916"/>
    <w:rsid w:val="004D7E52"/>
    <w:rsid w:val="004E7004"/>
    <w:rsid w:val="004F4468"/>
    <w:rsid w:val="00500187"/>
    <w:rsid w:val="0050208A"/>
    <w:rsid w:val="00505486"/>
    <w:rsid w:val="00506B88"/>
    <w:rsid w:val="00527A45"/>
    <w:rsid w:val="00533EF0"/>
    <w:rsid w:val="00536401"/>
    <w:rsid w:val="00536CD0"/>
    <w:rsid w:val="00537E0F"/>
    <w:rsid w:val="0054129E"/>
    <w:rsid w:val="00542100"/>
    <w:rsid w:val="00543DD7"/>
    <w:rsid w:val="00565F1C"/>
    <w:rsid w:val="00566115"/>
    <w:rsid w:val="00570FA5"/>
    <w:rsid w:val="005714A1"/>
    <w:rsid w:val="00575E96"/>
    <w:rsid w:val="00580EE1"/>
    <w:rsid w:val="00590D87"/>
    <w:rsid w:val="00593295"/>
    <w:rsid w:val="005962ED"/>
    <w:rsid w:val="005A0413"/>
    <w:rsid w:val="005A64B5"/>
    <w:rsid w:val="005A6539"/>
    <w:rsid w:val="005A6DAB"/>
    <w:rsid w:val="005B0F49"/>
    <w:rsid w:val="005C1413"/>
    <w:rsid w:val="005C571E"/>
    <w:rsid w:val="005D14CF"/>
    <w:rsid w:val="005E1874"/>
    <w:rsid w:val="005F3BB7"/>
    <w:rsid w:val="00614E8C"/>
    <w:rsid w:val="00617827"/>
    <w:rsid w:val="00622670"/>
    <w:rsid w:val="006258BE"/>
    <w:rsid w:val="00630420"/>
    <w:rsid w:val="00642BB6"/>
    <w:rsid w:val="00647A50"/>
    <w:rsid w:val="006527AD"/>
    <w:rsid w:val="00654BC0"/>
    <w:rsid w:val="00671244"/>
    <w:rsid w:val="006760A1"/>
    <w:rsid w:val="00676B5A"/>
    <w:rsid w:val="006A5A00"/>
    <w:rsid w:val="006C4A75"/>
    <w:rsid w:val="006E69F3"/>
    <w:rsid w:val="00710FBA"/>
    <w:rsid w:val="00711ADD"/>
    <w:rsid w:val="00724C88"/>
    <w:rsid w:val="0073014F"/>
    <w:rsid w:val="00733C5A"/>
    <w:rsid w:val="00734261"/>
    <w:rsid w:val="0073432B"/>
    <w:rsid w:val="007352AB"/>
    <w:rsid w:val="007370BA"/>
    <w:rsid w:val="00737936"/>
    <w:rsid w:val="007404D5"/>
    <w:rsid w:val="00741A4B"/>
    <w:rsid w:val="00743D3B"/>
    <w:rsid w:val="00754457"/>
    <w:rsid w:val="007704DE"/>
    <w:rsid w:val="007711B4"/>
    <w:rsid w:val="007811B4"/>
    <w:rsid w:val="00784CFB"/>
    <w:rsid w:val="00794EC9"/>
    <w:rsid w:val="0079555E"/>
    <w:rsid w:val="007B4790"/>
    <w:rsid w:val="007B626E"/>
    <w:rsid w:val="007B6B26"/>
    <w:rsid w:val="007C3854"/>
    <w:rsid w:val="007C451A"/>
    <w:rsid w:val="007D0F4B"/>
    <w:rsid w:val="007D12AA"/>
    <w:rsid w:val="007E57B6"/>
    <w:rsid w:val="007F0871"/>
    <w:rsid w:val="007F0FE0"/>
    <w:rsid w:val="007F3B06"/>
    <w:rsid w:val="00806C9B"/>
    <w:rsid w:val="00807621"/>
    <w:rsid w:val="00823A18"/>
    <w:rsid w:val="008409B2"/>
    <w:rsid w:val="008547DC"/>
    <w:rsid w:val="00862924"/>
    <w:rsid w:val="00865217"/>
    <w:rsid w:val="00867CCC"/>
    <w:rsid w:val="008700BA"/>
    <w:rsid w:val="00874938"/>
    <w:rsid w:val="00882132"/>
    <w:rsid w:val="008916B9"/>
    <w:rsid w:val="008B1788"/>
    <w:rsid w:val="008B347B"/>
    <w:rsid w:val="008B6157"/>
    <w:rsid w:val="008B6864"/>
    <w:rsid w:val="008C1DE4"/>
    <w:rsid w:val="008C1FE8"/>
    <w:rsid w:val="008C4D3F"/>
    <w:rsid w:val="008D0A57"/>
    <w:rsid w:val="008D5832"/>
    <w:rsid w:val="008D6F74"/>
    <w:rsid w:val="008D728E"/>
    <w:rsid w:val="008E1C64"/>
    <w:rsid w:val="008F5D69"/>
    <w:rsid w:val="00901E8C"/>
    <w:rsid w:val="00907D18"/>
    <w:rsid w:val="00917871"/>
    <w:rsid w:val="00920611"/>
    <w:rsid w:val="009253A0"/>
    <w:rsid w:val="00927FD1"/>
    <w:rsid w:val="00935C31"/>
    <w:rsid w:val="009400C5"/>
    <w:rsid w:val="00945000"/>
    <w:rsid w:val="00945066"/>
    <w:rsid w:val="00950989"/>
    <w:rsid w:val="00952AB1"/>
    <w:rsid w:val="009546DD"/>
    <w:rsid w:val="00963FC3"/>
    <w:rsid w:val="009643A0"/>
    <w:rsid w:val="00965133"/>
    <w:rsid w:val="00966EDC"/>
    <w:rsid w:val="00984FD8"/>
    <w:rsid w:val="009914E3"/>
    <w:rsid w:val="0099272C"/>
    <w:rsid w:val="009A20A1"/>
    <w:rsid w:val="009A35B3"/>
    <w:rsid w:val="009B7B1E"/>
    <w:rsid w:val="009C5A9E"/>
    <w:rsid w:val="009D5CA3"/>
    <w:rsid w:val="009E4E7D"/>
    <w:rsid w:val="009E788D"/>
    <w:rsid w:val="009F23E7"/>
    <w:rsid w:val="00A10CAB"/>
    <w:rsid w:val="00A11645"/>
    <w:rsid w:val="00A13FEB"/>
    <w:rsid w:val="00A22FEB"/>
    <w:rsid w:val="00A277B3"/>
    <w:rsid w:val="00A3692E"/>
    <w:rsid w:val="00A41FF5"/>
    <w:rsid w:val="00A46000"/>
    <w:rsid w:val="00A47218"/>
    <w:rsid w:val="00A51AA8"/>
    <w:rsid w:val="00A51F4D"/>
    <w:rsid w:val="00A51F67"/>
    <w:rsid w:val="00A53C50"/>
    <w:rsid w:val="00A57D5B"/>
    <w:rsid w:val="00A6323A"/>
    <w:rsid w:val="00A6659E"/>
    <w:rsid w:val="00A74224"/>
    <w:rsid w:val="00A768CF"/>
    <w:rsid w:val="00A77A81"/>
    <w:rsid w:val="00A77E6F"/>
    <w:rsid w:val="00A87A69"/>
    <w:rsid w:val="00AA0F53"/>
    <w:rsid w:val="00AA516D"/>
    <w:rsid w:val="00AB0E7D"/>
    <w:rsid w:val="00AB123F"/>
    <w:rsid w:val="00AB174F"/>
    <w:rsid w:val="00AB7CEA"/>
    <w:rsid w:val="00AD5EF4"/>
    <w:rsid w:val="00AE4142"/>
    <w:rsid w:val="00AE4270"/>
    <w:rsid w:val="00AF70EB"/>
    <w:rsid w:val="00B02047"/>
    <w:rsid w:val="00B04100"/>
    <w:rsid w:val="00B117F0"/>
    <w:rsid w:val="00B130C1"/>
    <w:rsid w:val="00B2312D"/>
    <w:rsid w:val="00B342A6"/>
    <w:rsid w:val="00B4759B"/>
    <w:rsid w:val="00B55F8E"/>
    <w:rsid w:val="00B62581"/>
    <w:rsid w:val="00B65D1E"/>
    <w:rsid w:val="00B74405"/>
    <w:rsid w:val="00B853AB"/>
    <w:rsid w:val="00B96C63"/>
    <w:rsid w:val="00BA4E08"/>
    <w:rsid w:val="00BB66CB"/>
    <w:rsid w:val="00BC0C21"/>
    <w:rsid w:val="00BC2049"/>
    <w:rsid w:val="00BC24BC"/>
    <w:rsid w:val="00BC502D"/>
    <w:rsid w:val="00BC622B"/>
    <w:rsid w:val="00BD1069"/>
    <w:rsid w:val="00BD45E3"/>
    <w:rsid w:val="00BD5510"/>
    <w:rsid w:val="00BE0DF3"/>
    <w:rsid w:val="00BE5764"/>
    <w:rsid w:val="00BE7DD6"/>
    <w:rsid w:val="00BF32D9"/>
    <w:rsid w:val="00BF737D"/>
    <w:rsid w:val="00C05EC6"/>
    <w:rsid w:val="00C06E79"/>
    <w:rsid w:val="00C20350"/>
    <w:rsid w:val="00C20977"/>
    <w:rsid w:val="00C226F7"/>
    <w:rsid w:val="00C263CA"/>
    <w:rsid w:val="00C27F7C"/>
    <w:rsid w:val="00C31572"/>
    <w:rsid w:val="00C42623"/>
    <w:rsid w:val="00C44EA2"/>
    <w:rsid w:val="00C464A5"/>
    <w:rsid w:val="00C558DF"/>
    <w:rsid w:val="00C574D2"/>
    <w:rsid w:val="00C604D4"/>
    <w:rsid w:val="00C60A38"/>
    <w:rsid w:val="00C62554"/>
    <w:rsid w:val="00C657AA"/>
    <w:rsid w:val="00C66F1A"/>
    <w:rsid w:val="00C714E0"/>
    <w:rsid w:val="00C836AD"/>
    <w:rsid w:val="00C90E6D"/>
    <w:rsid w:val="00CA2AFA"/>
    <w:rsid w:val="00CA3261"/>
    <w:rsid w:val="00CB16AE"/>
    <w:rsid w:val="00CB2C51"/>
    <w:rsid w:val="00CB7899"/>
    <w:rsid w:val="00CC0D67"/>
    <w:rsid w:val="00CC427D"/>
    <w:rsid w:val="00CE7397"/>
    <w:rsid w:val="00CF213B"/>
    <w:rsid w:val="00CF3117"/>
    <w:rsid w:val="00CF7E5E"/>
    <w:rsid w:val="00D05756"/>
    <w:rsid w:val="00D10EB8"/>
    <w:rsid w:val="00D2447E"/>
    <w:rsid w:val="00D32902"/>
    <w:rsid w:val="00D32F19"/>
    <w:rsid w:val="00D36C34"/>
    <w:rsid w:val="00D43A21"/>
    <w:rsid w:val="00D50041"/>
    <w:rsid w:val="00D54E35"/>
    <w:rsid w:val="00D63E4D"/>
    <w:rsid w:val="00D80533"/>
    <w:rsid w:val="00D92D9C"/>
    <w:rsid w:val="00DA1624"/>
    <w:rsid w:val="00DB0916"/>
    <w:rsid w:val="00DC599F"/>
    <w:rsid w:val="00DD0101"/>
    <w:rsid w:val="00DD13A2"/>
    <w:rsid w:val="00DD22A7"/>
    <w:rsid w:val="00DD2783"/>
    <w:rsid w:val="00DD3713"/>
    <w:rsid w:val="00DD5541"/>
    <w:rsid w:val="00DD615E"/>
    <w:rsid w:val="00E10210"/>
    <w:rsid w:val="00E13054"/>
    <w:rsid w:val="00E157EF"/>
    <w:rsid w:val="00E21DDD"/>
    <w:rsid w:val="00E24207"/>
    <w:rsid w:val="00E24AC0"/>
    <w:rsid w:val="00E322BA"/>
    <w:rsid w:val="00E35C94"/>
    <w:rsid w:val="00E41210"/>
    <w:rsid w:val="00E43523"/>
    <w:rsid w:val="00E43FDF"/>
    <w:rsid w:val="00E5384C"/>
    <w:rsid w:val="00E6121E"/>
    <w:rsid w:val="00E70490"/>
    <w:rsid w:val="00E71E5C"/>
    <w:rsid w:val="00E72F32"/>
    <w:rsid w:val="00E828A4"/>
    <w:rsid w:val="00E90994"/>
    <w:rsid w:val="00EA0D46"/>
    <w:rsid w:val="00EA2C12"/>
    <w:rsid w:val="00EA480B"/>
    <w:rsid w:val="00EA48A1"/>
    <w:rsid w:val="00EA4989"/>
    <w:rsid w:val="00EA71A4"/>
    <w:rsid w:val="00EB52FE"/>
    <w:rsid w:val="00EB67C7"/>
    <w:rsid w:val="00EC281D"/>
    <w:rsid w:val="00EC43E3"/>
    <w:rsid w:val="00EC6B3D"/>
    <w:rsid w:val="00EC746C"/>
    <w:rsid w:val="00EF6971"/>
    <w:rsid w:val="00F003BB"/>
    <w:rsid w:val="00F0127E"/>
    <w:rsid w:val="00F01F85"/>
    <w:rsid w:val="00F07A90"/>
    <w:rsid w:val="00F121F5"/>
    <w:rsid w:val="00F1589A"/>
    <w:rsid w:val="00F17B00"/>
    <w:rsid w:val="00F20CD4"/>
    <w:rsid w:val="00F22561"/>
    <w:rsid w:val="00F2768B"/>
    <w:rsid w:val="00F400BF"/>
    <w:rsid w:val="00F52394"/>
    <w:rsid w:val="00F53870"/>
    <w:rsid w:val="00F6002B"/>
    <w:rsid w:val="00F633AB"/>
    <w:rsid w:val="00F64D8A"/>
    <w:rsid w:val="00F7339E"/>
    <w:rsid w:val="00F854A8"/>
    <w:rsid w:val="00F85CED"/>
    <w:rsid w:val="00F92D80"/>
    <w:rsid w:val="00F94213"/>
    <w:rsid w:val="00FB1502"/>
    <w:rsid w:val="00FB752D"/>
    <w:rsid w:val="00FC3B43"/>
    <w:rsid w:val="00FC630C"/>
    <w:rsid w:val="00FC71B7"/>
    <w:rsid w:val="00FC72FA"/>
    <w:rsid w:val="00FD6021"/>
    <w:rsid w:val="00FD7070"/>
    <w:rsid w:val="00FF020A"/>
    <w:rsid w:val="00FF2FA1"/>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6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6527AD"/>
    <w:rPr>
      <w:rFonts w:ascii="Tahoma" w:hAnsi="Tahoma" w:cs="Tahoma"/>
      <w:sz w:val="16"/>
      <w:szCs w:val="16"/>
    </w:rPr>
  </w:style>
  <w:style w:type="character" w:customStyle="1" w:styleId="BalloonTextChar">
    <w:name w:val="Balloon Text Char"/>
    <w:basedOn w:val="DefaultParagraphFont"/>
    <w:link w:val="BalloonText"/>
    <w:rsid w:val="006527AD"/>
    <w:rPr>
      <w:rFonts w:ascii="Tahoma" w:hAnsi="Tahoma" w:cs="Tahoma"/>
      <w:color w:val="000000"/>
      <w:sz w:val="16"/>
      <w:szCs w:val="16"/>
    </w:rPr>
  </w:style>
  <w:style w:type="paragraph" w:styleId="BodyTextIndent">
    <w:name w:val="Body Text Indent"/>
    <w:basedOn w:val="Normal"/>
    <w:link w:val="BodyTextIndentChar"/>
    <w:rsid w:val="00DB0916"/>
    <w:pPr>
      <w:numPr>
        <w:ilvl w:val="12"/>
      </w:numPr>
      <w:ind w:left="432"/>
    </w:pPr>
  </w:style>
  <w:style w:type="character" w:customStyle="1" w:styleId="BodyTextIndentChar">
    <w:name w:val="Body Text Indent Char"/>
    <w:basedOn w:val="DefaultParagraphFont"/>
    <w:link w:val="BodyTextIndent"/>
    <w:rsid w:val="00DB0916"/>
    <w:rPr>
      <w:rFonts w:cs="Arial"/>
      <w:color w:val="000000"/>
      <w:sz w:val="24"/>
    </w:rPr>
  </w:style>
  <w:style w:type="paragraph" w:styleId="CommentText">
    <w:name w:val="annotation text"/>
    <w:basedOn w:val="Normal"/>
    <w:link w:val="CommentTextChar"/>
    <w:rsid w:val="00A41FF5"/>
    <w:rPr>
      <w:rFonts w:cs="Times New Roman"/>
      <w:color w:val="auto"/>
      <w:sz w:val="20"/>
    </w:rPr>
  </w:style>
  <w:style w:type="character" w:customStyle="1" w:styleId="CommentTextChar">
    <w:name w:val="Comment Text Char"/>
    <w:basedOn w:val="DefaultParagraphFont"/>
    <w:link w:val="CommentText"/>
    <w:rsid w:val="00A41FF5"/>
  </w:style>
  <w:style w:type="character" w:styleId="CommentReference">
    <w:name w:val="annotation reference"/>
    <w:basedOn w:val="DefaultParagraphFont"/>
    <w:rsid w:val="00247646"/>
    <w:rPr>
      <w:sz w:val="16"/>
      <w:szCs w:val="16"/>
    </w:rPr>
  </w:style>
  <w:style w:type="paragraph" w:styleId="CommentSubject">
    <w:name w:val="annotation subject"/>
    <w:basedOn w:val="CommentText"/>
    <w:next w:val="CommentText"/>
    <w:link w:val="CommentSubjectChar"/>
    <w:rsid w:val="00247646"/>
    <w:rPr>
      <w:rFonts w:cs="Arial"/>
      <w:b/>
      <w:bCs/>
      <w:color w:val="000000"/>
    </w:rPr>
  </w:style>
  <w:style w:type="character" w:customStyle="1" w:styleId="CommentSubjectChar">
    <w:name w:val="Comment Subject Char"/>
    <w:basedOn w:val="CommentTextChar"/>
    <w:link w:val="CommentSubject"/>
    <w:rsid w:val="00247646"/>
    <w:rPr>
      <w:rFonts w:cs="Arial"/>
      <w:b/>
      <w:bCs/>
      <w:color w:val="000000"/>
    </w:rPr>
  </w:style>
  <w:style w:type="table" w:styleId="TableGrid">
    <w:name w:val="Table Grid"/>
    <w:basedOn w:val="TableNormal"/>
    <w:rsid w:val="00145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ext-3">
    <w:name w:val="ptext-3"/>
    <w:basedOn w:val="DefaultParagraphFont"/>
    <w:rsid w:val="00CF3117"/>
    <w:rPr>
      <w:b w:val="0"/>
      <w:bCs w:val="0"/>
    </w:rPr>
  </w:style>
  <w:style w:type="paragraph" w:styleId="ListParagraph">
    <w:name w:val="List Paragraph"/>
    <w:basedOn w:val="Normal"/>
    <w:uiPriority w:val="34"/>
    <w:qFormat/>
    <w:rsid w:val="002A42C2"/>
    <w:pPr>
      <w:ind w:left="720"/>
      <w:contextualSpacing/>
    </w:pPr>
  </w:style>
  <w:style w:type="paragraph" w:styleId="Revision">
    <w:name w:val="Revision"/>
    <w:hidden/>
    <w:uiPriority w:val="99"/>
    <w:semiHidden/>
    <w:rsid w:val="002A42C2"/>
    <w:rPr>
      <w:rFonts w:cs="Arial"/>
      <w:color w:val="000000"/>
      <w:sz w:val="24"/>
    </w:rPr>
  </w:style>
  <w:style w:type="paragraph" w:styleId="FootnoteText">
    <w:name w:val="footnote text"/>
    <w:basedOn w:val="Normal"/>
    <w:link w:val="FootnoteTextChar"/>
    <w:rsid w:val="00E70490"/>
    <w:rPr>
      <w:sz w:val="20"/>
    </w:rPr>
  </w:style>
  <w:style w:type="character" w:customStyle="1" w:styleId="FootnoteTextChar">
    <w:name w:val="Footnote Text Char"/>
    <w:basedOn w:val="DefaultParagraphFont"/>
    <w:link w:val="FootnoteText"/>
    <w:rsid w:val="00E70490"/>
    <w:rPr>
      <w:rFonts w:cs="Arial"/>
      <w:color w:val="000000"/>
    </w:rPr>
  </w:style>
  <w:style w:type="character" w:styleId="FootnoteReference">
    <w:name w:val="footnote reference"/>
    <w:basedOn w:val="DefaultParagraphFont"/>
    <w:rsid w:val="00E70490"/>
    <w:rPr>
      <w:vertAlign w:val="superscript"/>
    </w:rPr>
  </w:style>
  <w:style w:type="paragraph" w:customStyle="1" w:styleId="NormalLeft025">
    <w:name w:val="Normal + Left:  0.25&quot;"/>
    <w:basedOn w:val="Normal"/>
    <w:rsid w:val="003E0AAB"/>
    <w:pPr>
      <w:numPr>
        <w:ilvl w:val="12"/>
      </w:numPr>
      <w:ind w:left="36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6527AD"/>
    <w:rPr>
      <w:rFonts w:ascii="Tahoma" w:hAnsi="Tahoma" w:cs="Tahoma"/>
      <w:sz w:val="16"/>
      <w:szCs w:val="16"/>
    </w:rPr>
  </w:style>
  <w:style w:type="character" w:customStyle="1" w:styleId="BalloonTextChar">
    <w:name w:val="Balloon Text Char"/>
    <w:basedOn w:val="DefaultParagraphFont"/>
    <w:link w:val="BalloonText"/>
    <w:rsid w:val="006527AD"/>
    <w:rPr>
      <w:rFonts w:ascii="Tahoma" w:hAnsi="Tahoma" w:cs="Tahoma"/>
      <w:color w:val="000000"/>
      <w:sz w:val="16"/>
      <w:szCs w:val="16"/>
    </w:rPr>
  </w:style>
  <w:style w:type="paragraph" w:styleId="BodyTextIndent">
    <w:name w:val="Body Text Indent"/>
    <w:basedOn w:val="Normal"/>
    <w:link w:val="BodyTextIndentChar"/>
    <w:rsid w:val="00DB0916"/>
    <w:pPr>
      <w:numPr>
        <w:ilvl w:val="12"/>
      </w:numPr>
      <w:ind w:left="432"/>
    </w:pPr>
  </w:style>
  <w:style w:type="character" w:customStyle="1" w:styleId="BodyTextIndentChar">
    <w:name w:val="Body Text Indent Char"/>
    <w:basedOn w:val="DefaultParagraphFont"/>
    <w:link w:val="BodyTextIndent"/>
    <w:rsid w:val="00DB0916"/>
    <w:rPr>
      <w:rFonts w:cs="Arial"/>
      <w:color w:val="000000"/>
      <w:sz w:val="24"/>
    </w:rPr>
  </w:style>
  <w:style w:type="paragraph" w:styleId="CommentText">
    <w:name w:val="annotation text"/>
    <w:basedOn w:val="Normal"/>
    <w:link w:val="CommentTextChar"/>
    <w:rsid w:val="00A41FF5"/>
    <w:rPr>
      <w:rFonts w:cs="Times New Roman"/>
      <w:color w:val="auto"/>
      <w:sz w:val="20"/>
    </w:rPr>
  </w:style>
  <w:style w:type="character" w:customStyle="1" w:styleId="CommentTextChar">
    <w:name w:val="Comment Text Char"/>
    <w:basedOn w:val="DefaultParagraphFont"/>
    <w:link w:val="CommentText"/>
    <w:rsid w:val="00A41FF5"/>
  </w:style>
  <w:style w:type="character" w:styleId="CommentReference">
    <w:name w:val="annotation reference"/>
    <w:basedOn w:val="DefaultParagraphFont"/>
    <w:rsid w:val="00247646"/>
    <w:rPr>
      <w:sz w:val="16"/>
      <w:szCs w:val="16"/>
    </w:rPr>
  </w:style>
  <w:style w:type="paragraph" w:styleId="CommentSubject">
    <w:name w:val="annotation subject"/>
    <w:basedOn w:val="CommentText"/>
    <w:next w:val="CommentText"/>
    <w:link w:val="CommentSubjectChar"/>
    <w:rsid w:val="00247646"/>
    <w:rPr>
      <w:rFonts w:cs="Arial"/>
      <w:b/>
      <w:bCs/>
      <w:color w:val="000000"/>
    </w:rPr>
  </w:style>
  <w:style w:type="character" w:customStyle="1" w:styleId="CommentSubjectChar">
    <w:name w:val="Comment Subject Char"/>
    <w:basedOn w:val="CommentTextChar"/>
    <w:link w:val="CommentSubject"/>
    <w:rsid w:val="00247646"/>
    <w:rPr>
      <w:rFonts w:cs="Arial"/>
      <w:b/>
      <w:bCs/>
      <w:color w:val="000000"/>
    </w:rPr>
  </w:style>
  <w:style w:type="table" w:styleId="TableGrid">
    <w:name w:val="Table Grid"/>
    <w:basedOn w:val="TableNormal"/>
    <w:rsid w:val="00145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ext-3">
    <w:name w:val="ptext-3"/>
    <w:basedOn w:val="DefaultParagraphFont"/>
    <w:rsid w:val="00CF3117"/>
    <w:rPr>
      <w:b w:val="0"/>
      <w:bCs w:val="0"/>
    </w:rPr>
  </w:style>
  <w:style w:type="paragraph" w:styleId="ListParagraph">
    <w:name w:val="List Paragraph"/>
    <w:basedOn w:val="Normal"/>
    <w:uiPriority w:val="34"/>
    <w:qFormat/>
    <w:rsid w:val="002A42C2"/>
    <w:pPr>
      <w:ind w:left="720"/>
      <w:contextualSpacing/>
    </w:pPr>
  </w:style>
  <w:style w:type="paragraph" w:styleId="Revision">
    <w:name w:val="Revision"/>
    <w:hidden/>
    <w:uiPriority w:val="99"/>
    <w:semiHidden/>
    <w:rsid w:val="002A42C2"/>
    <w:rPr>
      <w:rFonts w:cs="Arial"/>
      <w:color w:val="000000"/>
      <w:sz w:val="24"/>
    </w:rPr>
  </w:style>
  <w:style w:type="paragraph" w:styleId="FootnoteText">
    <w:name w:val="footnote text"/>
    <w:basedOn w:val="Normal"/>
    <w:link w:val="FootnoteTextChar"/>
    <w:rsid w:val="00E70490"/>
    <w:rPr>
      <w:sz w:val="20"/>
    </w:rPr>
  </w:style>
  <w:style w:type="character" w:customStyle="1" w:styleId="FootnoteTextChar">
    <w:name w:val="Footnote Text Char"/>
    <w:basedOn w:val="DefaultParagraphFont"/>
    <w:link w:val="FootnoteText"/>
    <w:rsid w:val="00E70490"/>
    <w:rPr>
      <w:rFonts w:cs="Arial"/>
      <w:color w:val="000000"/>
    </w:rPr>
  </w:style>
  <w:style w:type="character" w:styleId="FootnoteReference">
    <w:name w:val="footnote reference"/>
    <w:basedOn w:val="DefaultParagraphFont"/>
    <w:rsid w:val="00E70490"/>
    <w:rPr>
      <w:vertAlign w:val="superscript"/>
    </w:rPr>
  </w:style>
  <w:style w:type="paragraph" w:customStyle="1" w:styleId="NormalLeft025">
    <w:name w:val="Normal + Left:  0.25&quot;"/>
    <w:basedOn w:val="Normal"/>
    <w:rsid w:val="003E0AAB"/>
    <w:pPr>
      <w:numPr>
        <w:ilvl w:val="12"/>
      </w:numPr>
      <w:ind w:left="36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5809">
      <w:bodyDiv w:val="1"/>
      <w:marLeft w:val="0"/>
      <w:marRight w:val="0"/>
      <w:marTop w:val="0"/>
      <w:marBottom w:val="0"/>
      <w:divBdr>
        <w:top w:val="none" w:sz="0" w:space="0" w:color="auto"/>
        <w:left w:val="none" w:sz="0" w:space="0" w:color="auto"/>
        <w:bottom w:val="none" w:sz="0" w:space="0" w:color="auto"/>
        <w:right w:val="none" w:sz="0" w:space="0" w:color="auto"/>
      </w:divBdr>
    </w:div>
    <w:div w:id="185755246">
      <w:bodyDiv w:val="1"/>
      <w:marLeft w:val="0"/>
      <w:marRight w:val="0"/>
      <w:marTop w:val="0"/>
      <w:marBottom w:val="0"/>
      <w:divBdr>
        <w:top w:val="none" w:sz="0" w:space="0" w:color="auto"/>
        <w:left w:val="none" w:sz="0" w:space="0" w:color="auto"/>
        <w:bottom w:val="none" w:sz="0" w:space="0" w:color="auto"/>
        <w:right w:val="none" w:sz="0" w:space="0" w:color="auto"/>
      </w:divBdr>
    </w:div>
    <w:div w:id="275720228">
      <w:bodyDiv w:val="1"/>
      <w:marLeft w:val="0"/>
      <w:marRight w:val="0"/>
      <w:marTop w:val="0"/>
      <w:marBottom w:val="0"/>
      <w:divBdr>
        <w:top w:val="none" w:sz="0" w:space="0" w:color="auto"/>
        <w:left w:val="none" w:sz="0" w:space="0" w:color="auto"/>
        <w:bottom w:val="none" w:sz="0" w:space="0" w:color="auto"/>
        <w:right w:val="none" w:sz="0" w:space="0" w:color="auto"/>
      </w:divBdr>
    </w:div>
    <w:div w:id="909074706">
      <w:bodyDiv w:val="1"/>
      <w:marLeft w:val="0"/>
      <w:marRight w:val="0"/>
      <w:marTop w:val="0"/>
      <w:marBottom w:val="0"/>
      <w:divBdr>
        <w:top w:val="none" w:sz="0" w:space="0" w:color="auto"/>
        <w:left w:val="none" w:sz="0" w:space="0" w:color="auto"/>
        <w:bottom w:val="none" w:sz="0" w:space="0" w:color="auto"/>
        <w:right w:val="none" w:sz="0" w:space="0" w:color="auto"/>
      </w:divBdr>
    </w:div>
    <w:div w:id="971598898">
      <w:bodyDiv w:val="1"/>
      <w:marLeft w:val="0"/>
      <w:marRight w:val="0"/>
      <w:marTop w:val="0"/>
      <w:marBottom w:val="0"/>
      <w:divBdr>
        <w:top w:val="none" w:sz="0" w:space="0" w:color="auto"/>
        <w:left w:val="none" w:sz="0" w:space="0" w:color="auto"/>
        <w:bottom w:val="none" w:sz="0" w:space="0" w:color="auto"/>
        <w:right w:val="none" w:sz="0" w:space="0" w:color="auto"/>
      </w:divBdr>
    </w:div>
    <w:div w:id="1003506791">
      <w:bodyDiv w:val="1"/>
      <w:marLeft w:val="0"/>
      <w:marRight w:val="0"/>
      <w:marTop w:val="0"/>
      <w:marBottom w:val="0"/>
      <w:divBdr>
        <w:top w:val="none" w:sz="0" w:space="0" w:color="auto"/>
        <w:left w:val="none" w:sz="0" w:space="0" w:color="auto"/>
        <w:bottom w:val="none" w:sz="0" w:space="0" w:color="auto"/>
        <w:right w:val="none" w:sz="0" w:space="0" w:color="auto"/>
      </w:divBdr>
    </w:div>
    <w:div w:id="1889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cc26ded-df53-40e4-b0ec-50f0378640d6">2MNXFYDWMX7Y-1127488870-1507</_dlc_DocId>
    <_dlc_DocIdUrl xmlns="dcc26ded-df53-40e4-b0ec-50f0378640d6">
      <Url>https://office.ishare.tsa.dhs.gov/sites/oit/bmo/pra/_layouts/15/DocIdRedir.aspx?ID=2MNXFYDWMX7Y-1127488870-1507</Url>
      <Description>2MNXFYDWMX7Y-1127488870-1507</Description>
    </_dlc_DocIdUrl>
    <Prog_x002e__x0020_Office xmlns="b4b07245-ae5e-4f46-8beb-6f9ce3b587d9">N/A</Prog_x002e__x0020_Office>
    <Type_x0020_of_x0020_Request xmlns="b4b07245-ae5e-4f46-8beb-6f9ce3b587d9">EXT</Type_x0020_of_x0020_Request>
    <Col_x002e__x0020_Yr_x002e_ xmlns="b4b07245-ae5e-4f46-8beb-6f9ce3b587d9">FY18</Col_x002e__x0020_Yr_x002e_>
    <Reviewer_x0020_Cmt_x0028_s_x0029_ xmlns="b4b07245-ae5e-4f46-8beb-6f9ce3b587d9" xsi:nil="true"/>
    <Doc_x002e__x0020_Type xmlns="b4b07245-ae5e-4f46-8beb-6f9ce3b587d9">N/A</Doc_x002e__x0020_Type>
    <Other_x0020_Actions xmlns="b4b07245-ae5e-4f46-8beb-6f9ce3b587d9">Legacy</Other_x0020_Action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A416D-D5E0-4F08-A9F1-C764BD3E4E2F}">
  <ds:schemaRefs>
    <ds:schemaRef ds:uri="http://schemas.microsoft.com/sharepoint/events"/>
  </ds:schemaRefs>
</ds:datastoreItem>
</file>

<file path=customXml/itemProps2.xml><?xml version="1.0" encoding="utf-8"?>
<ds:datastoreItem xmlns:ds="http://schemas.openxmlformats.org/officeDocument/2006/customXml" ds:itemID="{744918F3-7A76-42C9-9E31-B9EAE2FC7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DBD9B-9D4C-41BF-92F5-DE30A1C453E4}">
  <ds:schemaRefs>
    <ds:schemaRef ds:uri="http://purl.org/dc/terms/"/>
    <ds:schemaRef ds:uri="http://schemas.openxmlformats.org/package/2006/metadata/core-properties"/>
    <ds:schemaRef ds:uri="http://purl.org/dc/dcmitype/"/>
    <ds:schemaRef ds:uri="b4b07245-ae5e-4f46-8beb-6f9ce3b587d9"/>
    <ds:schemaRef ds:uri="http://schemas.microsoft.com/office/2006/documentManagement/types"/>
    <ds:schemaRef ds:uri="http://schemas.microsoft.com/office/2006/metadata/properties"/>
    <ds:schemaRef ds:uri="http://schemas.microsoft.com/office/infopath/2007/PartnerControls"/>
    <ds:schemaRef ds:uri="dcc26ded-df53-40e4-b0ec-50f0378640d6"/>
    <ds:schemaRef ds:uri="http://www.w3.org/XML/1998/namespace"/>
    <ds:schemaRef ds:uri="http://purl.org/dc/elements/1.1/"/>
  </ds:schemaRefs>
</ds:datastoreItem>
</file>

<file path=customXml/itemProps4.xml><?xml version="1.0" encoding="utf-8"?>
<ds:datastoreItem xmlns:ds="http://schemas.openxmlformats.org/officeDocument/2006/customXml" ds:itemID="{91A6C892-CBEF-45CE-BA25-46807D009F33}">
  <ds:schemaRefs>
    <ds:schemaRef ds:uri="http://schemas.microsoft.com/sharepoint/v3/contenttype/forms"/>
  </ds:schemaRefs>
</ds:datastoreItem>
</file>

<file path=customXml/itemProps5.xml><?xml version="1.0" encoding="utf-8"?>
<ds:datastoreItem xmlns:ds="http://schemas.openxmlformats.org/officeDocument/2006/customXml" ds:itemID="{35E187CA-058B-4E4A-BA24-D3E6FA48960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D8BA0E96-5A7B-4A91-A7B8-3A9676CF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tmm Comments on 83i Supplemental Supporting Stmt</vt:lpstr>
    </vt:vector>
  </TitlesOfParts>
  <Company>Transportation Security Administration</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tmm Comments on 83i Supplemental Supporting Stmt</dc:title>
  <dc:creator>Marisa Mullen</dc:creator>
  <cp:keywords>5000.22</cp:keywords>
  <cp:lastModifiedBy>SYSTEM</cp:lastModifiedBy>
  <cp:revision>2</cp:revision>
  <cp:lastPrinted>2015-09-08T15:15:00Z</cp:lastPrinted>
  <dcterms:created xsi:type="dcterms:W3CDTF">2019-06-12T21:17:00Z</dcterms:created>
  <dcterms:modified xsi:type="dcterms:W3CDTF">2019-06-12T21:17:00Z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Status">
    <vt:lpwstr>Draft</vt:lpwstr>
  </property>
  <property fmtid="{D5CDD505-2E9C-101B-9397-08002B2CF9AE}" pid="4" name="ContentType">
    <vt:lpwstr>Project Workspace Document</vt:lpwstr>
  </property>
  <property fmtid="{D5CDD505-2E9C-101B-9397-08002B2CF9AE}" pid="5" name="ContentTypeId">
    <vt:lpwstr>0x0101007514090916F9E74382DCB387F2133766</vt:lpwstr>
  </property>
  <property fmtid="{D5CDD505-2E9C-101B-9397-08002B2CF9AE}" pid="6" name="Owner">
    <vt:lpwstr/>
  </property>
  <property fmtid="{D5CDD505-2E9C-101B-9397-08002B2CF9AE}" pid="7" name="_NewReviewCycle">
    <vt:lpwstr/>
  </property>
  <property fmtid="{D5CDD505-2E9C-101B-9397-08002B2CF9AE}" pid="8" name="_dlc_DocIdItemGuid">
    <vt:lpwstr>d4aef8b3-557c-420c-b245-0b5b72cd4373</vt:lpwstr>
  </property>
  <property fmtid="{D5CDD505-2E9C-101B-9397-08002B2CF9AE}" pid="9" name="Order">
    <vt:r8>294600</vt:r8>
  </property>
</Properties>
</file>