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A4F" w:rsidRDefault="00E359D3" w:rsidP="004E005D">
      <w:pPr>
        <w:jc w:val="center"/>
      </w:pPr>
      <w:bookmarkStart w:id="0" w:name="_GoBack"/>
      <w:bookmarkEnd w:id="0"/>
      <w:r>
        <w:t>Supporting Statement</w:t>
      </w:r>
    </w:p>
    <w:p w:rsidR="00E359D3" w:rsidRDefault="00E359D3" w:rsidP="004E005D">
      <w:pPr>
        <w:jc w:val="center"/>
      </w:pPr>
    </w:p>
    <w:p w:rsidR="00E359D3" w:rsidRDefault="00E359D3" w:rsidP="004E005D">
      <w:pPr>
        <w:jc w:val="center"/>
      </w:pPr>
      <w:r>
        <w:t>Internal Revenue Service</w:t>
      </w:r>
    </w:p>
    <w:p w:rsidR="00E359D3" w:rsidRDefault="00F24CC4" w:rsidP="004E005D">
      <w:pPr>
        <w:jc w:val="center"/>
      </w:pPr>
      <w:r>
        <w:t>Statistics of Income Division</w:t>
      </w:r>
    </w:p>
    <w:p w:rsidR="00E359D3" w:rsidRDefault="00E359D3" w:rsidP="004E005D">
      <w:pPr>
        <w:jc w:val="center"/>
      </w:pPr>
    </w:p>
    <w:p w:rsidR="00E359D3" w:rsidRDefault="00221E2A" w:rsidP="004E005D">
      <w:pPr>
        <w:jc w:val="center"/>
      </w:pPr>
      <w:r>
        <w:t>May 2019</w:t>
      </w:r>
      <w:r w:rsidR="002944AE">
        <w:t xml:space="preserve"> through </w:t>
      </w:r>
      <w:r>
        <w:t>April</w:t>
      </w:r>
      <w:r w:rsidR="00690B66">
        <w:t xml:space="preserve"> </w:t>
      </w:r>
      <w:r>
        <w:t>2022</w:t>
      </w:r>
    </w:p>
    <w:p w:rsidR="00E359D3" w:rsidRDefault="00E359D3"/>
    <w:p w:rsidR="00E359D3" w:rsidRDefault="00E359D3" w:rsidP="00E63133">
      <w:pPr>
        <w:ind w:left="360"/>
      </w:pPr>
      <w:r>
        <w:t>Justification</w:t>
      </w:r>
    </w:p>
    <w:p w:rsidR="002F6C5F" w:rsidRDefault="002F6C5F" w:rsidP="002F6C5F">
      <w:pPr>
        <w:ind w:left="360"/>
      </w:pPr>
    </w:p>
    <w:p w:rsidR="00E359D3" w:rsidRDefault="00E359D3" w:rsidP="00E359D3">
      <w:pPr>
        <w:numPr>
          <w:ilvl w:val="1"/>
          <w:numId w:val="1"/>
        </w:numPr>
      </w:pPr>
      <w:r>
        <w:t>Circumstances Necessitating Collection of Information</w:t>
      </w:r>
    </w:p>
    <w:p w:rsidR="00E359D3" w:rsidRDefault="00E359D3" w:rsidP="00E359D3">
      <w:pPr>
        <w:ind w:left="1080"/>
      </w:pPr>
    </w:p>
    <w:p w:rsidR="00E359D3" w:rsidRDefault="00553DB5" w:rsidP="00E359D3">
      <w:pPr>
        <w:ind w:left="1080"/>
      </w:pPr>
      <w:r>
        <w:t>We are requesting a three-year approval</w:t>
      </w:r>
      <w:r w:rsidR="00E359D3">
        <w:t xml:space="preserve"> of the generic clearance </w:t>
      </w:r>
      <w:r>
        <w:t xml:space="preserve">1545-1432 </w:t>
      </w:r>
      <w:r w:rsidR="00E359D3">
        <w:t>to conduct customer s</w:t>
      </w:r>
      <w:r w:rsidR="008101BF">
        <w:t>atisfaction and opinion surveys</w:t>
      </w:r>
      <w:r w:rsidR="00E359D3">
        <w:t xml:space="preserve">.  </w:t>
      </w:r>
      <w:r>
        <w:t>Approval of this generic clearance</w:t>
      </w:r>
      <w:r w:rsidR="00E359D3">
        <w:t xml:space="preserve"> will allow us to continue </w:t>
      </w:r>
      <w:r w:rsidR="00007011">
        <w:t>using</w:t>
      </w:r>
      <w:r w:rsidR="00E359D3">
        <w:t xml:space="preserve"> a data-driven approach to understand customer satisfaction at the Internal Revenue Service (IRS).</w:t>
      </w:r>
    </w:p>
    <w:p w:rsidR="00E359D3" w:rsidRDefault="00E359D3" w:rsidP="00E359D3">
      <w:pPr>
        <w:ind w:left="1080"/>
      </w:pPr>
    </w:p>
    <w:p w:rsidR="00E359D3" w:rsidRDefault="00E359D3" w:rsidP="00E359D3">
      <w:pPr>
        <w:ind w:left="1080"/>
      </w:pPr>
      <w:r>
        <w:t>Collecting, analyzing, and using customer opinion data is a vital component of IRS’s Balance</w:t>
      </w:r>
      <w:r w:rsidR="008C6DEC">
        <w:t>d</w:t>
      </w:r>
      <w:r>
        <w:t xml:space="preserve"> Measures Approach, as mandated by Internal Revenue Service Reform and Restructuring Act of 1998 and Executive Order 12862.</w:t>
      </w:r>
    </w:p>
    <w:p w:rsidR="00E359D3" w:rsidRDefault="00E359D3" w:rsidP="00E359D3">
      <w:pPr>
        <w:ind w:left="1080"/>
      </w:pPr>
    </w:p>
    <w:p w:rsidR="00E359D3" w:rsidRDefault="00E359D3" w:rsidP="00E359D3">
      <w:pPr>
        <w:ind w:left="1080"/>
      </w:pPr>
      <w:r>
        <w:t>The generic clearance will streamline our ability to provide for a wide range of initiatives that will better serve the public.  Particularly critical initiatives include correspondence improvements, filing services, taxpayer education and communication and increased e-file.  Using the generic clearance has e</w:t>
      </w:r>
      <w:r w:rsidR="00FB3901">
        <w:t>nabled IRS</w:t>
      </w:r>
      <w:r>
        <w:t xml:space="preserve"> to gather critical baseline and trend data to monitor the results of these initiatives and gain the taxpayer’s perspective on the extent of the initiatives success.  Renewal of the generic clearance will enable IRS to continue to monitor the effectiveness of its initiatives from not only a business perspective, but also from the customer’s perspective.</w:t>
      </w:r>
    </w:p>
    <w:p w:rsidR="00E9411B" w:rsidRDefault="00E9411B" w:rsidP="00E359D3">
      <w:pPr>
        <w:ind w:left="1080"/>
      </w:pPr>
    </w:p>
    <w:p w:rsidR="00414C62" w:rsidRDefault="00414C62" w:rsidP="00414C62">
      <w:r>
        <w:tab/>
        <w:t xml:space="preserve">      Generic Clearance Procedures</w:t>
      </w:r>
    </w:p>
    <w:p w:rsidR="00414C62" w:rsidRDefault="00414C62" w:rsidP="00414C62"/>
    <w:p w:rsidR="00414C62" w:rsidRDefault="00414C62" w:rsidP="00C43D7E">
      <w:pPr>
        <w:tabs>
          <w:tab w:val="left" w:pos="1080"/>
        </w:tabs>
        <w:ind w:left="1080"/>
      </w:pPr>
      <w:r>
        <w:t xml:space="preserve">This clearance is administered by the Statistics of Income Division on behalf </w:t>
      </w:r>
    </w:p>
    <w:p w:rsidR="00414C62" w:rsidRDefault="00414C62" w:rsidP="00414C62">
      <w:pPr>
        <w:ind w:left="720"/>
      </w:pPr>
      <w:r>
        <w:t xml:space="preserve">      of </w:t>
      </w:r>
      <w:r w:rsidR="008101BF">
        <w:t>many</w:t>
      </w:r>
      <w:r>
        <w:t xml:space="preserve"> IRS </w:t>
      </w:r>
      <w:r w:rsidR="00EF213F">
        <w:t>operating</w:t>
      </w:r>
      <w:r>
        <w:t xml:space="preserve"> functions.</w:t>
      </w:r>
    </w:p>
    <w:p w:rsidR="00414C62" w:rsidRDefault="00414C62" w:rsidP="00414C62"/>
    <w:p w:rsidR="00414C62" w:rsidRDefault="00414C62" w:rsidP="00C43D7E">
      <w:pPr>
        <w:ind w:left="1080"/>
      </w:pPr>
      <w:r>
        <w:t xml:space="preserve">The Statistics of Income Division will provide assistance to anyone within IRS wishing to engage in an information gathering effort under this generic clearance umbrella by helping them develop the data collection instrument and attendant sampling and collection methodologies.  Staff </w:t>
      </w:r>
      <w:r w:rsidR="00E81C80">
        <w:t>within SOI with extensive survey expertise will</w:t>
      </w:r>
      <w:r>
        <w:t xml:space="preserve"> review all proposed studies to ensure the following:</w:t>
      </w:r>
    </w:p>
    <w:p w:rsidR="00414C62" w:rsidRDefault="00414C62" w:rsidP="00414C62"/>
    <w:p w:rsidR="00414C62" w:rsidRDefault="00414C62" w:rsidP="00C43D7E">
      <w:pPr>
        <w:numPr>
          <w:ilvl w:val="0"/>
          <w:numId w:val="2"/>
        </w:numPr>
      </w:pPr>
      <w:r>
        <w:t>Consistency with IRS’ mission and strategic objectives</w:t>
      </w:r>
    </w:p>
    <w:p w:rsidR="00C43D7E" w:rsidRDefault="00C43D7E" w:rsidP="00C43D7E">
      <w:pPr>
        <w:numPr>
          <w:ilvl w:val="0"/>
          <w:numId w:val="2"/>
        </w:numPr>
      </w:pPr>
      <w:r>
        <w:t>Technical adequacy as to frame, sample selection</w:t>
      </w:r>
      <w:r w:rsidR="00E81C80">
        <w:t>,</w:t>
      </w:r>
      <w:r>
        <w:t xml:space="preserve"> expected response rates, quality control in data gathering, recording, and analysis</w:t>
      </w:r>
      <w:r w:rsidR="00E81C80">
        <w:t xml:space="preserve"> of data</w:t>
      </w:r>
    </w:p>
    <w:p w:rsidR="00C43D7E" w:rsidRDefault="00C43D7E" w:rsidP="00C43D7E">
      <w:pPr>
        <w:numPr>
          <w:ilvl w:val="0"/>
          <w:numId w:val="2"/>
        </w:numPr>
      </w:pPr>
      <w:r>
        <w:t xml:space="preserve">Minimizing </w:t>
      </w:r>
      <w:r w:rsidR="00E81C80">
        <w:t xml:space="preserve">customer </w:t>
      </w:r>
      <w:r>
        <w:t>burden</w:t>
      </w:r>
    </w:p>
    <w:p w:rsidR="00C43D7E" w:rsidRDefault="00C43D7E" w:rsidP="00C43D7E">
      <w:pPr>
        <w:numPr>
          <w:ilvl w:val="0"/>
          <w:numId w:val="2"/>
        </w:numPr>
      </w:pPr>
      <w:r>
        <w:t xml:space="preserve">Ensuring that all surveys are truly voluntary and </w:t>
      </w:r>
      <w:r w:rsidR="008C6DEC">
        <w:t>private</w:t>
      </w:r>
      <w:r w:rsidR="008101BF">
        <w:t xml:space="preserve"> to the extent allowed by law</w:t>
      </w:r>
    </w:p>
    <w:p w:rsidR="00DF139D" w:rsidRPr="00EB2F57" w:rsidRDefault="00DF139D" w:rsidP="00C43D7E">
      <w:pPr>
        <w:numPr>
          <w:ilvl w:val="0"/>
          <w:numId w:val="2"/>
        </w:numPr>
      </w:pPr>
      <w:r w:rsidRPr="00EB2F57">
        <w:lastRenderedPageBreak/>
        <w:t>Ensure that all surveys</w:t>
      </w:r>
      <w:r w:rsidR="005E0668" w:rsidRPr="00EB2F57">
        <w:t xml:space="preserve"> pass a Privacy Impact Assessment confirming there are no Personally Identifiable Information or issues with the information collection</w:t>
      </w:r>
    </w:p>
    <w:p w:rsidR="00C43D7E" w:rsidRDefault="00C43D7E" w:rsidP="00C43D7E">
      <w:pPr>
        <w:numPr>
          <w:ilvl w:val="0"/>
          <w:numId w:val="2"/>
        </w:numPr>
      </w:pPr>
      <w:r>
        <w:t>Consistency with generic clearance</w:t>
      </w:r>
      <w:r w:rsidR="00E81C80">
        <w:t xml:space="preserve"> guidelines</w:t>
      </w:r>
    </w:p>
    <w:p w:rsidR="00C43D7E" w:rsidRDefault="00C43D7E" w:rsidP="00C43D7E">
      <w:pPr>
        <w:numPr>
          <w:ilvl w:val="0"/>
          <w:numId w:val="2"/>
        </w:numPr>
      </w:pPr>
      <w:r>
        <w:t>Consistency with applicable laws and regulations (e.g. the Paperwork Reduction Act of 1995)</w:t>
      </w:r>
    </w:p>
    <w:p w:rsidR="00414C62" w:rsidRDefault="00C43D7E" w:rsidP="00414C62">
      <w:pPr>
        <w:numPr>
          <w:ilvl w:val="0"/>
          <w:numId w:val="2"/>
        </w:numPr>
      </w:pPr>
      <w:r>
        <w:t>Consistency with the June 6, 2002, memorandum from OIRA Administrator Graham titled “Ensuring Full Compliance with the Paperwork Reduction Act”</w:t>
      </w:r>
    </w:p>
    <w:p w:rsidR="00C43D7E" w:rsidRDefault="00C43D7E" w:rsidP="00414C62">
      <w:pPr>
        <w:numPr>
          <w:ilvl w:val="0"/>
          <w:numId w:val="2"/>
        </w:numPr>
      </w:pPr>
      <w:r>
        <w:t>Timely submission to the Office of Management and Budget of the final data collection instrument, along with specific burden estimate</w:t>
      </w:r>
      <w:r w:rsidR="00E81C80">
        <w:t>s</w:t>
      </w:r>
      <w:r>
        <w:t xml:space="preserve"> and a summary of the objectives of the </w:t>
      </w:r>
      <w:r w:rsidR="00E81C80">
        <w:t xml:space="preserve">various </w:t>
      </w:r>
      <w:r>
        <w:t>data collection project</w:t>
      </w:r>
      <w:r w:rsidR="00E81C80">
        <w:t>s</w:t>
      </w:r>
    </w:p>
    <w:p w:rsidR="00C43D7E" w:rsidRDefault="00C43D7E" w:rsidP="00C43D7E"/>
    <w:p w:rsidR="00C43D7E" w:rsidRDefault="00C43D7E" w:rsidP="00C43D7E">
      <w:pPr>
        <w:tabs>
          <w:tab w:val="left" w:pos="1080"/>
        </w:tabs>
        <w:ind w:left="1080" w:hanging="360"/>
      </w:pPr>
      <w:r>
        <w:tab/>
        <w:t>Following the review procedures described above, copies of the specific instruments will be submitted to OMB only after an additional independent r</w:t>
      </w:r>
      <w:r w:rsidR="008101BF">
        <w:t>eview is accomplished by the</w:t>
      </w:r>
      <w:r>
        <w:t xml:space="preserve"> </w:t>
      </w:r>
      <w:r w:rsidR="00CD78F9">
        <w:t xml:space="preserve">IRS </w:t>
      </w:r>
      <w:r>
        <w:t>Reports Clearance Officer.</w:t>
      </w:r>
    </w:p>
    <w:p w:rsidR="00C43D7E" w:rsidRDefault="00C43D7E" w:rsidP="00C43D7E">
      <w:pPr>
        <w:tabs>
          <w:tab w:val="left" w:pos="1080"/>
        </w:tabs>
        <w:ind w:left="1080" w:hanging="360"/>
      </w:pPr>
    </w:p>
    <w:p w:rsidR="00C43D7E" w:rsidRDefault="00C43D7E" w:rsidP="00C43D7E">
      <w:pPr>
        <w:numPr>
          <w:ilvl w:val="1"/>
          <w:numId w:val="1"/>
        </w:numPr>
        <w:tabs>
          <w:tab w:val="left" w:pos="1080"/>
        </w:tabs>
      </w:pPr>
      <w:r>
        <w:t>Use of the Data</w:t>
      </w:r>
    </w:p>
    <w:p w:rsidR="00C43D7E" w:rsidRDefault="00C43D7E" w:rsidP="00C43D7E">
      <w:pPr>
        <w:tabs>
          <w:tab w:val="left" w:pos="1080"/>
        </w:tabs>
        <w:ind w:left="1080"/>
      </w:pPr>
    </w:p>
    <w:p w:rsidR="007922FC" w:rsidRDefault="00C43D7E" w:rsidP="007922FC">
      <w:pPr>
        <w:tabs>
          <w:tab w:val="left" w:pos="1080"/>
        </w:tabs>
        <w:ind w:left="1080"/>
      </w:pPr>
      <w:r>
        <w:t xml:space="preserve">Due to the varied nature of the customer data needed, a variety of data collection methods will be employed, including </w:t>
      </w:r>
      <w:r w:rsidR="007B3B7A">
        <w:t xml:space="preserve">web and </w:t>
      </w:r>
      <w:r>
        <w:t>mail surveys, in-person written surveys, telephone surveys</w:t>
      </w:r>
      <w:r w:rsidR="00E81C80">
        <w:t>,</w:t>
      </w:r>
      <w:r>
        <w:t xml:space="preserve"> and other means as appropriate.  The data collected in these information collection efforts will indicate what our customers require of us and where we meet or fail to meet their needs.  This customer feedback serves as a guide for making product and/or service improvement decisions.</w:t>
      </w:r>
      <w:r w:rsidR="002069D5">
        <w:t xml:space="preserve"> </w:t>
      </w:r>
      <w:r w:rsidR="007922FC">
        <w:t>The results of collections under this clearance will not be publicly disseminated, including the use as influential information in the formulation or revision of agency policy.</w:t>
      </w:r>
    </w:p>
    <w:p w:rsidR="00C43D7E" w:rsidRDefault="00C43D7E" w:rsidP="00C43D7E">
      <w:pPr>
        <w:tabs>
          <w:tab w:val="left" w:pos="1080"/>
        </w:tabs>
        <w:ind w:left="1080"/>
      </w:pPr>
    </w:p>
    <w:p w:rsidR="00C43D7E" w:rsidRDefault="00C43D7E" w:rsidP="00C43D7E">
      <w:pPr>
        <w:numPr>
          <w:ilvl w:val="1"/>
          <w:numId w:val="1"/>
        </w:numPr>
        <w:tabs>
          <w:tab w:val="left" w:pos="1080"/>
        </w:tabs>
      </w:pPr>
      <w:r>
        <w:t>Use of Improved Information Technology to Reduce Burden</w:t>
      </w:r>
    </w:p>
    <w:p w:rsidR="00C43D7E" w:rsidRDefault="00C43D7E" w:rsidP="00C43D7E">
      <w:pPr>
        <w:tabs>
          <w:tab w:val="left" w:pos="1080"/>
        </w:tabs>
        <w:ind w:left="1080"/>
      </w:pPr>
    </w:p>
    <w:p w:rsidR="00C43D7E" w:rsidRDefault="009B7F12" w:rsidP="00C43D7E">
      <w:pPr>
        <w:tabs>
          <w:tab w:val="left" w:pos="1080"/>
        </w:tabs>
        <w:ind w:left="1080"/>
      </w:pPr>
      <w:r>
        <w:t xml:space="preserve">The methodology employed in each data effort will include a criterion for the minimization of burden on the public.  This will include minimal length of the data collection instrument itself, along with the utilization of the smallest sample size necessary to obtain valid and reliable information that is consistent with the </w:t>
      </w:r>
      <w:r w:rsidR="00E81C80">
        <w:t>objectives</w:t>
      </w:r>
      <w:r>
        <w:t xml:space="preserve"> of the data collection effort.  Instead of standard mail surveys or face-to-face interviews, some </w:t>
      </w:r>
      <w:r w:rsidR="00E81C80">
        <w:t xml:space="preserve">data </w:t>
      </w:r>
      <w:r>
        <w:t xml:space="preserve">collection efforts will utilize live or automated telephonic interviews, e-mail, </w:t>
      </w:r>
      <w:r w:rsidR="008101BF">
        <w:t>internet</w:t>
      </w:r>
      <w:r>
        <w:t>, or other available technologies.</w:t>
      </w:r>
    </w:p>
    <w:p w:rsidR="009B7F12" w:rsidRDefault="009B7F12" w:rsidP="00C43D7E">
      <w:pPr>
        <w:tabs>
          <w:tab w:val="left" w:pos="1080"/>
        </w:tabs>
        <w:ind w:left="1080"/>
      </w:pPr>
    </w:p>
    <w:p w:rsidR="009B7F12" w:rsidRDefault="009B7F12" w:rsidP="009B7F12">
      <w:pPr>
        <w:numPr>
          <w:ilvl w:val="1"/>
          <w:numId w:val="1"/>
        </w:numPr>
        <w:tabs>
          <w:tab w:val="left" w:pos="1080"/>
        </w:tabs>
      </w:pPr>
      <w:r>
        <w:t>Efforts to Identify Duplication</w:t>
      </w:r>
    </w:p>
    <w:p w:rsidR="009B7F12" w:rsidRDefault="009B7F12" w:rsidP="009B7F12">
      <w:pPr>
        <w:tabs>
          <w:tab w:val="left" w:pos="1080"/>
        </w:tabs>
      </w:pPr>
    </w:p>
    <w:p w:rsidR="008101BF" w:rsidRDefault="009B7F12" w:rsidP="008101BF">
      <w:pPr>
        <w:tabs>
          <w:tab w:val="left" w:pos="1080"/>
        </w:tabs>
        <w:ind w:left="1080"/>
      </w:pPr>
      <w:r>
        <w:t>We have attempted to eliminate duplication within the agency</w:t>
      </w:r>
      <w:r w:rsidR="00E81C80">
        <w:t>,</w:t>
      </w:r>
      <w:r>
        <w:t xml:space="preserve"> wherever possible.  Survey questions relate specifically to IRS products and services and do not duplicate what other agencies are doing.  This information is generally not available from other sources</w:t>
      </w:r>
      <w:r w:rsidR="008101BF">
        <w:t xml:space="preserve"> within the IRS or externally.</w:t>
      </w:r>
    </w:p>
    <w:p w:rsidR="008101BF" w:rsidRDefault="008101BF" w:rsidP="008101BF">
      <w:pPr>
        <w:tabs>
          <w:tab w:val="left" w:pos="1080"/>
        </w:tabs>
        <w:ind w:left="1080"/>
      </w:pPr>
    </w:p>
    <w:p w:rsidR="009B7F12" w:rsidRDefault="008101BF" w:rsidP="008101BF">
      <w:pPr>
        <w:tabs>
          <w:tab w:val="left" w:pos="1080"/>
        </w:tabs>
        <w:ind w:left="1080"/>
      </w:pPr>
      <w:r>
        <w:t>R</w:t>
      </w:r>
      <w:r w:rsidR="009B7F12">
        <w:t>eview and approval system</w:t>
      </w:r>
      <w:r>
        <w:t>s within IRS</w:t>
      </w:r>
      <w:r w:rsidR="009B7F12">
        <w:t xml:space="preserve"> ha</w:t>
      </w:r>
      <w:r>
        <w:t>ve</w:t>
      </w:r>
      <w:r w:rsidR="009B7F12">
        <w:t xml:space="preserve"> been established </w:t>
      </w:r>
      <w:r>
        <w:t>to ensure the duplication of data gathering within the I</w:t>
      </w:r>
      <w:r w:rsidR="009B7F12">
        <w:t xml:space="preserve">RS is eliminated.  As potential duplications </w:t>
      </w:r>
      <w:r w:rsidR="00E81C80">
        <w:lastRenderedPageBreak/>
        <w:t xml:space="preserve">of data gathering are identified </w:t>
      </w:r>
      <w:r w:rsidR="009B7F12">
        <w:t xml:space="preserve">on proposed surveys, </w:t>
      </w:r>
      <w:r w:rsidR="00E81C80">
        <w:t>it</w:t>
      </w:r>
      <w:r w:rsidR="009B7F12">
        <w:t xml:space="preserve"> will </w:t>
      </w:r>
      <w:r w:rsidR="00E81C80">
        <w:t xml:space="preserve">be </w:t>
      </w:r>
      <w:r w:rsidR="009B7F12">
        <w:t>require</w:t>
      </w:r>
      <w:r w:rsidR="00E81C80">
        <w:t>d</w:t>
      </w:r>
      <w:r w:rsidR="009B7F12">
        <w:t xml:space="preserve"> </w:t>
      </w:r>
      <w:r w:rsidR="00E81C80">
        <w:t>that these efforts be</w:t>
      </w:r>
      <w:r w:rsidR="009B7F12">
        <w:t xml:space="preserve"> combin</w:t>
      </w:r>
      <w:r w:rsidR="00E81C80">
        <w:t>ed or eliminated</w:t>
      </w:r>
      <w:r w:rsidR="009B7F12">
        <w:t>.</w:t>
      </w:r>
    </w:p>
    <w:p w:rsidR="009B7F12" w:rsidRDefault="009B7F12" w:rsidP="009B7F12">
      <w:pPr>
        <w:tabs>
          <w:tab w:val="left" w:pos="1080"/>
        </w:tabs>
        <w:ind w:left="1080"/>
      </w:pPr>
    </w:p>
    <w:p w:rsidR="009B7F12" w:rsidRDefault="009B7F12" w:rsidP="009B7F12">
      <w:pPr>
        <w:numPr>
          <w:ilvl w:val="1"/>
          <w:numId w:val="1"/>
        </w:numPr>
        <w:tabs>
          <w:tab w:val="left" w:pos="1080"/>
        </w:tabs>
      </w:pPr>
      <w:r>
        <w:t>Methods to Minimize Burden on Small Businesses or Other Small Entities</w:t>
      </w:r>
    </w:p>
    <w:p w:rsidR="009B7F12" w:rsidRDefault="009B7F12" w:rsidP="009B7F12">
      <w:pPr>
        <w:tabs>
          <w:tab w:val="left" w:pos="1080"/>
        </w:tabs>
        <w:ind w:left="1080"/>
      </w:pPr>
    </w:p>
    <w:p w:rsidR="009B7F12" w:rsidRDefault="009B7F12" w:rsidP="009B7F12">
      <w:pPr>
        <w:tabs>
          <w:tab w:val="left" w:pos="1080"/>
        </w:tabs>
        <w:ind w:left="1080"/>
      </w:pPr>
      <w:r>
        <w:t xml:space="preserve">Small Businesses may be surveyed relative to issues of concern to them as customers and users of IRS products and services; however, all </w:t>
      </w:r>
      <w:r w:rsidR="00E81C80">
        <w:t>data collection efforts</w:t>
      </w:r>
      <w:r>
        <w:t xml:space="preserve"> will be </w:t>
      </w:r>
      <w:r w:rsidR="00043708">
        <w:t>voluntary,</w:t>
      </w:r>
      <w:r>
        <w:t xml:space="preserve"> and no respondents will be required to consult or access business record</w:t>
      </w:r>
      <w:r w:rsidR="00FB3901">
        <w:t>s</w:t>
      </w:r>
      <w:r>
        <w:t xml:space="preserve"> for detailed factual information.</w:t>
      </w:r>
    </w:p>
    <w:p w:rsidR="009B7F12" w:rsidRDefault="009B7F12" w:rsidP="009B7F12">
      <w:pPr>
        <w:tabs>
          <w:tab w:val="left" w:pos="1080"/>
        </w:tabs>
        <w:ind w:left="1080"/>
      </w:pPr>
    </w:p>
    <w:p w:rsidR="009B7F12" w:rsidRDefault="009B7F12" w:rsidP="009B7F12">
      <w:pPr>
        <w:numPr>
          <w:ilvl w:val="1"/>
          <w:numId w:val="1"/>
        </w:numPr>
        <w:tabs>
          <w:tab w:val="left" w:pos="1080"/>
        </w:tabs>
      </w:pPr>
      <w:r>
        <w:t>Consequences of Less Frequent Collection of Federal Programs or Policy Activities</w:t>
      </w:r>
    </w:p>
    <w:p w:rsidR="009B7F12" w:rsidRDefault="009B7F12" w:rsidP="009B7F12">
      <w:pPr>
        <w:tabs>
          <w:tab w:val="left" w:pos="1080"/>
        </w:tabs>
        <w:ind w:left="1080"/>
      </w:pPr>
    </w:p>
    <w:p w:rsidR="009B7F12" w:rsidRDefault="009B7F12" w:rsidP="009B7F12">
      <w:pPr>
        <w:tabs>
          <w:tab w:val="left" w:pos="1080"/>
        </w:tabs>
        <w:ind w:left="1080"/>
      </w:pPr>
      <w:r>
        <w:t>This clearance generally involves one-time data collection activities; however, follow-up efforts may be conducted, as necessary, to measure improvement over time.</w:t>
      </w:r>
    </w:p>
    <w:p w:rsidR="009B7F12" w:rsidRDefault="009B7F12" w:rsidP="009B7F12">
      <w:pPr>
        <w:tabs>
          <w:tab w:val="left" w:pos="1080"/>
        </w:tabs>
        <w:ind w:left="1080"/>
      </w:pPr>
    </w:p>
    <w:p w:rsidR="009B7F12" w:rsidRDefault="009B7F12" w:rsidP="009B7F12">
      <w:pPr>
        <w:numPr>
          <w:ilvl w:val="1"/>
          <w:numId w:val="1"/>
        </w:numPr>
        <w:tabs>
          <w:tab w:val="left" w:pos="1080"/>
        </w:tabs>
      </w:pPr>
      <w:r>
        <w:t>Special Circumstances Requiring Data Collection to be Inconsistent with Guidelines in 5 CFR 1320.5(d) (2)</w:t>
      </w:r>
    </w:p>
    <w:p w:rsidR="009B7F12" w:rsidRDefault="009B7F12" w:rsidP="009B7F12">
      <w:pPr>
        <w:tabs>
          <w:tab w:val="left" w:pos="1080"/>
        </w:tabs>
        <w:ind w:left="1080"/>
      </w:pPr>
    </w:p>
    <w:p w:rsidR="009B7F12" w:rsidRDefault="00E72C71" w:rsidP="009B7F12">
      <w:pPr>
        <w:tabs>
          <w:tab w:val="left" w:pos="1080"/>
        </w:tabs>
        <w:ind w:left="1080"/>
      </w:pPr>
      <w:r>
        <w:t xml:space="preserve">The IRS will collect information under this clearance in a manner that complies with 5 </w:t>
      </w:r>
      <w:r w:rsidR="00721F37">
        <w:t xml:space="preserve">CFR </w:t>
      </w:r>
      <w:r>
        <w:t>1320.5(d) (2).</w:t>
      </w:r>
    </w:p>
    <w:p w:rsidR="00E72C71" w:rsidRDefault="00E72C71" w:rsidP="009B7F12">
      <w:pPr>
        <w:tabs>
          <w:tab w:val="left" w:pos="1080"/>
        </w:tabs>
        <w:ind w:left="1080"/>
      </w:pPr>
    </w:p>
    <w:p w:rsidR="00E72C71" w:rsidRDefault="00E72C71" w:rsidP="00E72C71">
      <w:pPr>
        <w:numPr>
          <w:ilvl w:val="1"/>
          <w:numId w:val="1"/>
        </w:numPr>
        <w:tabs>
          <w:tab w:val="left" w:pos="1080"/>
        </w:tabs>
      </w:pPr>
      <w:r>
        <w:t>Consultation with Individuals Outside of the Agency on Availability of Data</w:t>
      </w:r>
      <w:r w:rsidR="00E81C80">
        <w:t>,</w:t>
      </w:r>
      <w:r>
        <w:t xml:space="preserve"> Frequency of Collection, Clarity of Instructions and Forms, and Data Elements</w:t>
      </w:r>
    </w:p>
    <w:p w:rsidR="00B8266F" w:rsidRDefault="00B8266F" w:rsidP="00022CAF">
      <w:pPr>
        <w:ind w:left="1080"/>
      </w:pPr>
    </w:p>
    <w:p w:rsidR="00B8266F" w:rsidRPr="00B8266F" w:rsidRDefault="00B8266F" w:rsidP="00B82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G Times" w:hAnsi="CG Times"/>
        </w:rPr>
      </w:pPr>
      <w:r w:rsidRPr="00B8266F">
        <w:rPr>
          <w:rFonts w:ascii="CG Times" w:hAnsi="CG Times"/>
        </w:rPr>
        <w:t>a.   Other agencies - not applicable.</w:t>
      </w:r>
    </w:p>
    <w:p w:rsidR="00B8266F" w:rsidRPr="00B8266F" w:rsidRDefault="00B8266F" w:rsidP="00B8266F">
      <w:pPr>
        <w:widowControl w:val="0"/>
        <w:numPr>
          <w:ilvl w:val="0"/>
          <w:numId w:val="4"/>
        </w:numPr>
        <w:tabs>
          <w:tab w:val="clear" w:pos="360"/>
          <w:tab w:val="left" w:pos="0"/>
          <w:tab w:val="left" w:pos="720"/>
          <w:tab w:val="left" w:pos="2880"/>
          <w:tab w:val="left" w:pos="3600"/>
          <w:tab w:val="left" w:pos="4320"/>
          <w:tab w:val="left" w:pos="5040"/>
          <w:tab w:val="left" w:pos="5760"/>
          <w:tab w:val="left" w:pos="6480"/>
          <w:tab w:val="left" w:pos="7200"/>
          <w:tab w:val="left" w:pos="7920"/>
          <w:tab w:val="left" w:pos="8640"/>
        </w:tabs>
        <w:ind w:left="1080"/>
        <w:rPr>
          <w:rFonts w:ascii="CG Times" w:hAnsi="CG Times"/>
        </w:rPr>
      </w:pPr>
      <w:r w:rsidRPr="00B8266F">
        <w:rPr>
          <w:rFonts w:ascii="CG Times" w:hAnsi="CG Times"/>
        </w:rPr>
        <w:t xml:space="preserve"> </w:t>
      </w:r>
    </w:p>
    <w:p w:rsidR="00B8266F" w:rsidRPr="00B8266F" w:rsidRDefault="00B8266F" w:rsidP="00B8266F">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s>
        <w:ind w:left="1440"/>
        <w:rPr>
          <w:rFonts w:ascii="CG Times" w:hAnsi="CG Times"/>
        </w:rPr>
      </w:pPr>
      <w:r w:rsidRPr="00B8266F">
        <w:rPr>
          <w:rFonts w:ascii="CG Times" w:hAnsi="CG Times"/>
        </w:rPr>
        <w:t>b. Within the IRS, coordination occurs on each propose</w:t>
      </w:r>
      <w:r w:rsidR="002C46DD">
        <w:rPr>
          <w:rFonts w:ascii="CG Times" w:hAnsi="CG Times"/>
        </w:rPr>
        <w:t>d</w:t>
      </w:r>
      <w:r w:rsidRPr="00B8266F">
        <w:rPr>
          <w:rFonts w:ascii="CG Times" w:hAnsi="CG Times"/>
        </w:rPr>
        <w:t xml:space="preserve"> project through other areas of the IRS.  Care is taken to ensure that efforts do not duplicate those of opinion research or surveys conducted by contractors at the request of the IRS subject matter specialists.  The individuals responsible for this coordination are:</w:t>
      </w:r>
    </w:p>
    <w:p w:rsidR="00B8266F" w:rsidRPr="00B8266F" w:rsidRDefault="00B8266F" w:rsidP="00B8266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p>
    <w:p w:rsidR="00B8266F" w:rsidRPr="00EB2F57" w:rsidRDefault="005E0668" w:rsidP="00B8266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EB2F57">
        <w:rPr>
          <w:rFonts w:ascii="CG Times" w:hAnsi="CG Times"/>
        </w:rPr>
        <w:t>Timothy S. Castle</w:t>
      </w:r>
    </w:p>
    <w:p w:rsidR="00B8266F" w:rsidRPr="00EB2F57" w:rsidRDefault="00B8266F" w:rsidP="00B8266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EB2F57">
        <w:rPr>
          <w:rFonts w:ascii="CG Times" w:hAnsi="CG Times"/>
        </w:rPr>
        <w:t>Internal Revenue Service</w:t>
      </w:r>
    </w:p>
    <w:p w:rsidR="00B8266F" w:rsidRPr="00EB2F57" w:rsidRDefault="00B8266F" w:rsidP="00B8266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EB2F57">
        <w:rPr>
          <w:rFonts w:ascii="CG Times" w:hAnsi="CG Times"/>
        </w:rPr>
        <w:t>Statistics of Income Division</w:t>
      </w:r>
    </w:p>
    <w:p w:rsidR="00B8266F" w:rsidRPr="00EB2F57" w:rsidRDefault="008101BF" w:rsidP="00B8266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EB2F57">
        <w:rPr>
          <w:rFonts w:ascii="CG Times" w:hAnsi="CG Times"/>
        </w:rPr>
        <w:t xml:space="preserve">77 K </w:t>
      </w:r>
      <w:r w:rsidR="00B8266F" w:rsidRPr="00EB2F57">
        <w:rPr>
          <w:rFonts w:ascii="CG Times" w:hAnsi="CG Times"/>
        </w:rPr>
        <w:t>Street</w:t>
      </w:r>
      <w:r w:rsidRPr="00EB2F57">
        <w:rPr>
          <w:rFonts w:ascii="CG Times" w:hAnsi="CG Times"/>
        </w:rPr>
        <w:t>, NE</w:t>
      </w:r>
    </w:p>
    <w:p w:rsidR="00B8266F" w:rsidRPr="00EB2F57" w:rsidRDefault="00B8266F" w:rsidP="00B8266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EB2F57">
        <w:rPr>
          <w:rFonts w:ascii="CG Times" w:hAnsi="CG Times"/>
        </w:rPr>
        <w:t>Washington, DC 2000</w:t>
      </w:r>
      <w:r w:rsidR="008101BF" w:rsidRPr="00EB2F57">
        <w:rPr>
          <w:rFonts w:ascii="CG Times" w:hAnsi="CG Times"/>
        </w:rPr>
        <w:t>2</w:t>
      </w:r>
    </w:p>
    <w:p w:rsidR="00B8266F" w:rsidRPr="00B8266F" w:rsidRDefault="00B8266F" w:rsidP="00B8266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EB2F57">
        <w:rPr>
          <w:rFonts w:ascii="CG Times" w:hAnsi="CG Times"/>
        </w:rPr>
        <w:t>(202) 8</w:t>
      </w:r>
      <w:r w:rsidR="00EF213F" w:rsidRPr="00EB2F57">
        <w:rPr>
          <w:rFonts w:ascii="CG Times" w:hAnsi="CG Times"/>
        </w:rPr>
        <w:t>03</w:t>
      </w:r>
      <w:r w:rsidRPr="00EB2F57">
        <w:rPr>
          <w:rFonts w:ascii="CG Times" w:hAnsi="CG Times"/>
        </w:rPr>
        <w:t>-</w:t>
      </w:r>
      <w:r w:rsidR="00EF213F" w:rsidRPr="00EB2F57">
        <w:rPr>
          <w:rFonts w:ascii="CG Times" w:hAnsi="CG Times"/>
        </w:rPr>
        <w:t>9</w:t>
      </w:r>
      <w:r w:rsidR="005E0668" w:rsidRPr="00EB2F57">
        <w:rPr>
          <w:rFonts w:ascii="CG Times" w:hAnsi="CG Times"/>
        </w:rPr>
        <w:t>106</w:t>
      </w:r>
    </w:p>
    <w:p w:rsidR="00B8266F" w:rsidRPr="00B8266F" w:rsidRDefault="00B8266F" w:rsidP="00B82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rPr>
      </w:pPr>
    </w:p>
    <w:p w:rsidR="003D12AD" w:rsidRPr="00EB2F57" w:rsidRDefault="003D12AD" w:rsidP="00B82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EB2F57">
        <w:rPr>
          <w:rFonts w:ascii="CG Times" w:hAnsi="CG Times"/>
        </w:rPr>
        <w:t>Donna Baldwin</w:t>
      </w:r>
    </w:p>
    <w:p w:rsidR="003D12AD" w:rsidRPr="00EB2F57" w:rsidRDefault="003D12AD" w:rsidP="003D12AD">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EB2F57">
        <w:rPr>
          <w:rFonts w:ascii="CG Times" w:hAnsi="CG Times"/>
        </w:rPr>
        <w:t>Internal Revenue Service</w:t>
      </w:r>
    </w:p>
    <w:p w:rsidR="003D12AD" w:rsidRPr="00EB2F57" w:rsidRDefault="003D12AD" w:rsidP="003D12AD">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EB2F57">
        <w:rPr>
          <w:rFonts w:ascii="CG Times" w:hAnsi="CG Times"/>
        </w:rPr>
        <w:t>Statistics of Income Division</w:t>
      </w:r>
    </w:p>
    <w:p w:rsidR="003D12AD" w:rsidRPr="00EB2F57" w:rsidRDefault="003D12AD" w:rsidP="003D12AD">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EB2F57">
        <w:rPr>
          <w:rFonts w:ascii="CG Times" w:hAnsi="CG Times"/>
        </w:rPr>
        <w:t>77 K Street, NE</w:t>
      </w:r>
    </w:p>
    <w:p w:rsidR="003D12AD" w:rsidRPr="00EB2F57" w:rsidRDefault="003D12AD" w:rsidP="003D12AD">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EB2F57">
        <w:rPr>
          <w:rFonts w:ascii="CG Times" w:hAnsi="CG Times"/>
        </w:rPr>
        <w:t>Washington, DC 20002</w:t>
      </w:r>
    </w:p>
    <w:p w:rsidR="003D12AD" w:rsidRDefault="003D12AD" w:rsidP="00B82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EB2F57">
        <w:rPr>
          <w:rFonts w:ascii="CG Times" w:hAnsi="CG Times"/>
        </w:rPr>
        <w:t>703-795-3950</w:t>
      </w:r>
    </w:p>
    <w:p w:rsidR="00B8266F" w:rsidRPr="00B8266F" w:rsidRDefault="00B8266F" w:rsidP="00B82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p>
    <w:p w:rsidR="00B8266F" w:rsidRPr="00B8266F" w:rsidRDefault="00B8266F" w:rsidP="00B826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ind w:left="-2160" w:firstLine="720"/>
        <w:jc w:val="both"/>
        <w:rPr>
          <w:rFonts w:ascii="CG Times" w:hAnsi="CG Times"/>
        </w:rPr>
      </w:pPr>
      <w:r w:rsidRPr="00B8266F">
        <w:rPr>
          <w:rFonts w:ascii="CG Times" w:hAnsi="CG Times"/>
        </w:rPr>
        <w:tab/>
      </w:r>
      <w:r w:rsidRPr="00B8266F">
        <w:rPr>
          <w:rFonts w:ascii="CG Times" w:hAnsi="CG Times"/>
        </w:rPr>
        <w:tab/>
      </w:r>
      <w:r w:rsidRPr="00B8266F">
        <w:rPr>
          <w:rFonts w:ascii="CG Times" w:hAnsi="CG Times"/>
        </w:rPr>
        <w:tab/>
      </w:r>
      <w:r w:rsidRPr="00B8266F">
        <w:rPr>
          <w:rFonts w:ascii="CG Times" w:hAnsi="CG Times"/>
        </w:rPr>
        <w:tab/>
        <w:t>c.</w:t>
      </w:r>
      <w:r w:rsidRPr="00B8266F">
        <w:rPr>
          <w:rFonts w:ascii="CG Times" w:hAnsi="CG Times"/>
        </w:rPr>
        <w:tab/>
        <w:t>There are no unresolved problems.</w:t>
      </w:r>
    </w:p>
    <w:p w:rsidR="00B8266F" w:rsidRDefault="00B8266F" w:rsidP="00B826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ind w:left="-2160"/>
        <w:jc w:val="both"/>
        <w:rPr>
          <w:rFonts w:ascii="CG Times" w:hAnsi="CG Times"/>
        </w:rPr>
      </w:pPr>
    </w:p>
    <w:p w:rsidR="00872B84" w:rsidRPr="00B8266F" w:rsidRDefault="00872B84" w:rsidP="00B826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ind w:left="-2160"/>
        <w:jc w:val="both"/>
        <w:rPr>
          <w:rFonts w:ascii="CG Times" w:hAnsi="CG Times"/>
        </w:rPr>
      </w:pPr>
    </w:p>
    <w:p w:rsidR="00B8266F" w:rsidRPr="00B8266F" w:rsidRDefault="00B8266F" w:rsidP="00B8266F">
      <w:pPr>
        <w:pStyle w:val="BodyTextIndent2"/>
        <w:spacing w:line="240" w:lineRule="auto"/>
        <w:ind w:left="1440"/>
      </w:pPr>
      <w:r w:rsidRPr="00B8266F">
        <w:t>d.</w:t>
      </w:r>
      <w:r w:rsidRPr="00B8266F">
        <w:tab/>
        <w:t>No other comments have been received; however, continual feedback from the scientific community is an important aspect of the proposed research.  In both laboratory and field studies, consultation with representatives of various fields of psychology, anthropology, sociology and the like, will have direct impact on the future course of research projects, and promises to determine the feasibility of data collection and the validity of research studies.</w:t>
      </w:r>
    </w:p>
    <w:p w:rsidR="00B8266F" w:rsidRDefault="00885F2C" w:rsidP="00B826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jc w:val="both"/>
        <w:rPr>
          <w:rFonts w:ascii="CG Times" w:hAnsi="CG Times"/>
        </w:rPr>
      </w:pPr>
      <w:r>
        <w:rPr>
          <w:rFonts w:ascii="CG Times" w:hAnsi="CG Times"/>
        </w:rPr>
        <w:tab/>
      </w:r>
      <w:r>
        <w:rPr>
          <w:rFonts w:ascii="CG Times" w:hAnsi="CG Times"/>
        </w:rPr>
        <w:tab/>
      </w:r>
    </w:p>
    <w:p w:rsidR="00885F2C" w:rsidRPr="00885F2C" w:rsidRDefault="00885F2C" w:rsidP="00885F2C">
      <w:pPr>
        <w:ind w:left="1440"/>
      </w:pPr>
      <w:r w:rsidRPr="00885F2C">
        <w:t xml:space="preserve">In response to the Federal Register notice </w:t>
      </w:r>
      <w:r w:rsidR="00E63133" w:rsidRPr="00885F2C">
        <w:t>dated March</w:t>
      </w:r>
      <w:r w:rsidRPr="00885F2C">
        <w:t xml:space="preserve"> 22, 2019 (84 FR 1</w:t>
      </w:r>
      <w:r w:rsidR="00094ED0">
        <w:t>0896</w:t>
      </w:r>
      <w:r w:rsidRPr="00885F2C">
        <w:t>), we received no comments during the comment period regarding this survey</w:t>
      </w:r>
      <w:r>
        <w:t>.</w:t>
      </w:r>
    </w:p>
    <w:p w:rsidR="00885F2C" w:rsidRDefault="00885F2C" w:rsidP="00B826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jc w:val="both"/>
        <w:rPr>
          <w:rFonts w:ascii="CG Times" w:hAnsi="CG Times"/>
        </w:rPr>
      </w:pPr>
    </w:p>
    <w:p w:rsidR="009F0ABF" w:rsidRDefault="009F0ABF" w:rsidP="00885F2C">
      <w:pPr>
        <w:numPr>
          <w:ilvl w:val="1"/>
          <w:numId w:val="1"/>
        </w:numPr>
        <w:tabs>
          <w:tab w:val="left" w:pos="-2160"/>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jc w:val="both"/>
      </w:pPr>
      <w:r>
        <w:t>Explanation of Decision to Provide any Payment or Gift to Respondents</w:t>
      </w:r>
    </w:p>
    <w:p w:rsidR="009F0ABF" w:rsidRDefault="009F0ABF" w:rsidP="009F0ABF">
      <w:pPr>
        <w:tabs>
          <w:tab w:val="left" w:pos="1080"/>
        </w:tabs>
        <w:ind w:left="1080"/>
      </w:pPr>
    </w:p>
    <w:p w:rsidR="00A659D6" w:rsidRPr="00A659D6" w:rsidRDefault="0088346C" w:rsidP="00CD78F9">
      <w:pPr>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ind w:left="1080"/>
        <w:rPr>
          <w:rFonts w:ascii="CG Times" w:hAnsi="CG Times"/>
        </w:rPr>
      </w:pPr>
      <w:r>
        <w:t xml:space="preserve">At times, incentives are authorized as a thank you for, and to encourage participation in IRS </w:t>
      </w:r>
      <w:r w:rsidR="00D33996">
        <w:t>collections such as focus groups</w:t>
      </w:r>
      <w:r w:rsidR="009F0ABF">
        <w:t xml:space="preserve">.  </w:t>
      </w:r>
      <w:r w:rsidR="00D33996">
        <w:t>Any proposed incentives under this clearance will adhere to existing OMB guidance and will undergo review and approval by OMB through the individual collection requests under this clearance.</w:t>
      </w:r>
    </w:p>
    <w:p w:rsidR="009F0ABF" w:rsidRDefault="009F0ABF" w:rsidP="009F0ABF">
      <w:pPr>
        <w:tabs>
          <w:tab w:val="left" w:pos="1080"/>
        </w:tabs>
        <w:ind w:left="1080"/>
      </w:pPr>
    </w:p>
    <w:p w:rsidR="009F0ABF" w:rsidRDefault="009F0ABF" w:rsidP="009F0ABF">
      <w:pPr>
        <w:numPr>
          <w:ilvl w:val="1"/>
          <w:numId w:val="1"/>
        </w:numPr>
        <w:tabs>
          <w:tab w:val="left" w:pos="1080"/>
        </w:tabs>
      </w:pPr>
      <w:r>
        <w:t xml:space="preserve">Assurance of </w:t>
      </w:r>
      <w:r w:rsidR="008C6DEC">
        <w:t>Privacy</w:t>
      </w:r>
      <w:r>
        <w:t xml:space="preserve"> of Response</w:t>
      </w:r>
    </w:p>
    <w:p w:rsidR="009F0ABF" w:rsidRDefault="009F0ABF" w:rsidP="009F0ABF">
      <w:pPr>
        <w:tabs>
          <w:tab w:val="left" w:pos="1080"/>
        </w:tabs>
      </w:pPr>
    </w:p>
    <w:p w:rsidR="009F0ABF" w:rsidRDefault="009F0ABF" w:rsidP="009F0ABF">
      <w:pPr>
        <w:tabs>
          <w:tab w:val="left" w:pos="1080"/>
        </w:tabs>
        <w:ind w:left="1080"/>
      </w:pPr>
      <w:r>
        <w:t xml:space="preserve">Agency policy dictates non-disclosure of taxpayer information.  Survey respondents contacted by mail, Internet, or some other form of written communication will be advised on the survey form, cover letter, or other accompanying document that participation is </w:t>
      </w:r>
      <w:r w:rsidR="003D12AD">
        <w:t>voluntary,</w:t>
      </w:r>
      <w:r>
        <w:t xml:space="preserve"> and that the data provided will be kept </w:t>
      </w:r>
      <w:r w:rsidR="008C6DEC">
        <w:t>private</w:t>
      </w:r>
      <w:r w:rsidR="0088346C">
        <w:t xml:space="preserve"> to the extent allowed by law</w:t>
      </w:r>
      <w:r>
        <w:t xml:space="preserve">.  As part of the introduction to a data gathering effort during telephone or personal interview, the interviewer will inform respondents that the survey is </w:t>
      </w:r>
      <w:r w:rsidR="003D12AD">
        <w:t>voluntary,</w:t>
      </w:r>
      <w:r>
        <w:t xml:space="preserve"> and that the data provided will be kept </w:t>
      </w:r>
      <w:r w:rsidR="008C6DEC">
        <w:t>private</w:t>
      </w:r>
      <w:r w:rsidR="0088346C">
        <w:t xml:space="preserve"> to the extent allowed by law</w:t>
      </w:r>
      <w:r>
        <w:t xml:space="preserve">.  </w:t>
      </w:r>
    </w:p>
    <w:p w:rsidR="009F0ABF" w:rsidRDefault="009F0ABF" w:rsidP="009F0ABF">
      <w:pPr>
        <w:tabs>
          <w:tab w:val="left" w:pos="1080"/>
        </w:tabs>
        <w:ind w:left="1080"/>
      </w:pPr>
    </w:p>
    <w:p w:rsidR="009F0ABF" w:rsidRDefault="009F0ABF" w:rsidP="009F0ABF">
      <w:pPr>
        <w:numPr>
          <w:ilvl w:val="1"/>
          <w:numId w:val="1"/>
        </w:numPr>
        <w:tabs>
          <w:tab w:val="left" w:pos="1080"/>
        </w:tabs>
      </w:pPr>
      <w:r>
        <w:t>Justification of Sensitive Questions</w:t>
      </w:r>
    </w:p>
    <w:p w:rsidR="009F0ABF" w:rsidRDefault="009F0ABF" w:rsidP="009F0ABF">
      <w:pPr>
        <w:tabs>
          <w:tab w:val="left" w:pos="1080"/>
        </w:tabs>
        <w:ind w:left="1080"/>
      </w:pPr>
    </w:p>
    <w:p w:rsidR="00E72C71" w:rsidRDefault="009F0ABF" w:rsidP="00EF4136">
      <w:pPr>
        <w:tabs>
          <w:tab w:val="left" w:pos="1080"/>
        </w:tabs>
        <w:ind w:left="1080"/>
      </w:pPr>
      <w:r>
        <w:t>Questions are not normally of a sensitive nature and should not pose a problem to respondents.  However, on occasion, some respondents may consider some of the standard demographic questions as sensitive in nature (e.g., questions that request the respondent’s age, gender, education, or household income).  Demographic questions are useful in profiling and tracking the responses and are he</w:t>
      </w:r>
      <w:r w:rsidR="00EF4136">
        <w:t>lpful in evaluating the results; therefore, respondents will be encouraged to answer these questions</w:t>
      </w:r>
      <w:r w:rsidR="004F0E2F">
        <w:t>,</w:t>
      </w:r>
      <w:r w:rsidR="00EF4136">
        <w:t xml:space="preserve"> but assured that their participation is completely voluntary.</w:t>
      </w:r>
    </w:p>
    <w:p w:rsidR="00B40CDF" w:rsidRDefault="00B40CDF" w:rsidP="00EF4136">
      <w:pPr>
        <w:tabs>
          <w:tab w:val="left" w:pos="1080"/>
        </w:tabs>
        <w:ind w:left="1080"/>
      </w:pPr>
    </w:p>
    <w:p w:rsidR="00B40CDF" w:rsidRDefault="00B40CDF" w:rsidP="00B40CDF">
      <w:pPr>
        <w:numPr>
          <w:ilvl w:val="1"/>
          <w:numId w:val="1"/>
        </w:numPr>
        <w:tabs>
          <w:tab w:val="left" w:pos="1080"/>
        </w:tabs>
      </w:pPr>
      <w:r>
        <w:t>Estimated Burden of Information Collection</w:t>
      </w:r>
    </w:p>
    <w:p w:rsidR="00B40CDF" w:rsidRDefault="00B40CDF" w:rsidP="00B40CDF">
      <w:pPr>
        <w:tabs>
          <w:tab w:val="left" w:pos="1080"/>
        </w:tabs>
        <w:ind w:left="1080"/>
      </w:pPr>
    </w:p>
    <w:p w:rsidR="00B40CDF" w:rsidRDefault="00B40CDF" w:rsidP="00B40CDF">
      <w:pPr>
        <w:tabs>
          <w:tab w:val="left" w:pos="1080"/>
        </w:tabs>
        <w:ind w:left="1080"/>
      </w:pPr>
      <w:r>
        <w:t>The total respondent burden during this three-year appr</w:t>
      </w:r>
      <w:r w:rsidR="0088346C">
        <w:t xml:space="preserve">oval period is estimated to be </w:t>
      </w:r>
      <w:r w:rsidR="003516EF">
        <w:t>27</w:t>
      </w:r>
      <w:r w:rsidRPr="00EB2F57">
        <w:t>,000</w:t>
      </w:r>
      <w:r w:rsidR="009D2DE7" w:rsidRPr="00EB2F57">
        <w:t xml:space="preserve"> (</w:t>
      </w:r>
      <w:r w:rsidR="003516EF">
        <w:t>9</w:t>
      </w:r>
      <w:r w:rsidR="00EB2F57">
        <w:t>,000</w:t>
      </w:r>
      <w:r w:rsidR="009D2DE7">
        <w:t xml:space="preserve"> annually)</w:t>
      </w:r>
      <w:r>
        <w:t xml:space="preserve"> hours.  </w:t>
      </w:r>
      <w:r w:rsidR="0088346C">
        <w:t>A</w:t>
      </w:r>
      <w:r>
        <w:t xml:space="preserve"> variety of questionnaires are expected to be used in </w:t>
      </w:r>
      <w:r w:rsidR="0088346C">
        <w:t>IRS</w:t>
      </w:r>
      <w:r>
        <w:t xml:space="preserve"> data gathering efforts (i.e. surveys).  The exact number of different forms, the length of each form, and the number of respondents per form are also unknown at the present time.  This estimate is based on our experience from the previous three-year approval period, as further explained in item 15.</w:t>
      </w:r>
    </w:p>
    <w:p w:rsidR="00F24CC4" w:rsidRDefault="00F24CC4" w:rsidP="00B40CDF">
      <w:pPr>
        <w:tabs>
          <w:tab w:val="left" w:pos="1080"/>
        </w:tabs>
        <w:ind w:left="1080"/>
      </w:pPr>
    </w:p>
    <w:p w:rsidR="00B40CDF" w:rsidRDefault="00B40CDF" w:rsidP="00B40CDF">
      <w:pPr>
        <w:numPr>
          <w:ilvl w:val="1"/>
          <w:numId w:val="1"/>
        </w:numPr>
        <w:tabs>
          <w:tab w:val="left" w:pos="1080"/>
        </w:tabs>
      </w:pPr>
      <w:r>
        <w:t>Estimated Total Annual Cost Burden to Respondents</w:t>
      </w:r>
    </w:p>
    <w:p w:rsidR="00B40CDF" w:rsidRPr="000A5E02" w:rsidRDefault="00E63133" w:rsidP="000A5E02">
      <w:pPr>
        <w:spacing w:before="100" w:beforeAutospacing="1" w:after="150"/>
        <w:ind w:left="1080"/>
        <w:outlineLvl w:val="1"/>
      </w:pPr>
      <w:r>
        <w:t xml:space="preserve">The total </w:t>
      </w:r>
      <w:r w:rsidR="000A5E02">
        <w:t xml:space="preserve">estimated annual cost burden to </w:t>
      </w:r>
      <w:r>
        <w:t>respondent</w:t>
      </w:r>
      <w:r w:rsidR="000A5E02">
        <w:t>s</w:t>
      </w:r>
      <w:r>
        <w:t xml:space="preserve"> is $</w:t>
      </w:r>
      <w:r w:rsidR="003516EF">
        <w:t>224,820</w:t>
      </w:r>
      <w:r>
        <w:t xml:space="preserve"> </w:t>
      </w:r>
      <w:r w:rsidR="000A5E02">
        <w:t>($</w:t>
      </w:r>
      <w:r w:rsidR="003516EF">
        <w:t>674</w:t>
      </w:r>
      <w:r w:rsidR="000A5E02">
        <w:t>,4</w:t>
      </w:r>
      <w:r w:rsidR="003516EF">
        <w:t>6</w:t>
      </w:r>
      <w:r w:rsidR="000A5E02">
        <w:t>0 for 3 years</w:t>
      </w:r>
      <w:r>
        <w:t xml:space="preserve">).  The surveys take place </w:t>
      </w:r>
      <w:r w:rsidR="000A5E02">
        <w:t>across</w:t>
      </w:r>
      <w:r w:rsidRPr="000A5E02">
        <w:t xml:space="preserve"> the United States with all cross-sections of society.  This estimate was created using the </w:t>
      </w:r>
      <w:r w:rsidR="000A5E02">
        <w:rPr>
          <w:kern w:val="36"/>
        </w:rPr>
        <w:t xml:space="preserve">mean hourly wage for all occupations ($24.98) from the </w:t>
      </w:r>
      <w:r w:rsidR="000A5E02" w:rsidRPr="000A5E02">
        <w:t xml:space="preserve">BLS </w:t>
      </w:r>
      <w:r w:rsidR="000A5E02" w:rsidRPr="000A5E02">
        <w:rPr>
          <w:kern w:val="36"/>
        </w:rPr>
        <w:t>May 2018 National Occupational Employment and Wage Estimates</w:t>
      </w:r>
      <w:r w:rsidR="000A5E02">
        <w:rPr>
          <w:kern w:val="36"/>
        </w:rPr>
        <w:t xml:space="preserve"> - </w:t>
      </w:r>
      <w:r w:rsidR="000A5E02" w:rsidRPr="000A5E02">
        <w:rPr>
          <w:kern w:val="36"/>
        </w:rPr>
        <w:t>United States</w:t>
      </w:r>
      <w:r w:rsidR="00B40CDF" w:rsidRPr="000A5E02">
        <w:t>.</w:t>
      </w:r>
    </w:p>
    <w:p w:rsidR="00B40CDF" w:rsidRDefault="00B40CDF" w:rsidP="00B40CDF">
      <w:pPr>
        <w:tabs>
          <w:tab w:val="left" w:pos="1080"/>
        </w:tabs>
      </w:pPr>
    </w:p>
    <w:p w:rsidR="00B40CDF" w:rsidRDefault="00EA1343" w:rsidP="00EA1343">
      <w:pPr>
        <w:numPr>
          <w:ilvl w:val="1"/>
          <w:numId w:val="1"/>
        </w:numPr>
        <w:tabs>
          <w:tab w:val="left" w:pos="1080"/>
        </w:tabs>
      </w:pPr>
      <w:r>
        <w:t>Estimated Annualized Cost to the Federal Government</w:t>
      </w:r>
    </w:p>
    <w:p w:rsidR="00EA1343" w:rsidRDefault="00EA1343" w:rsidP="00EA1343">
      <w:pPr>
        <w:tabs>
          <w:tab w:val="left" w:pos="1080"/>
        </w:tabs>
      </w:pPr>
    </w:p>
    <w:p w:rsidR="00F24CC4" w:rsidRDefault="00EA1343" w:rsidP="00FB3901">
      <w:pPr>
        <w:tabs>
          <w:tab w:val="left" w:pos="1080"/>
        </w:tabs>
        <w:ind w:left="1080"/>
      </w:pPr>
      <w:r w:rsidRPr="00EB2F57">
        <w:t xml:space="preserve">The cost to the government </w:t>
      </w:r>
      <w:r w:rsidR="003D12AD" w:rsidRPr="00EB2F57">
        <w:t>over the three-year period is estimated to be $807,354</w:t>
      </w:r>
      <w:r>
        <w:t xml:space="preserve">.  </w:t>
      </w:r>
      <w:r w:rsidR="00FB3901">
        <w:t xml:space="preserve">A </w:t>
      </w:r>
      <w:r>
        <w:t xml:space="preserve">Project can range from as little as a few hundred dollars (or even less) for a small local survey conducted in-house by telephone, mail or </w:t>
      </w:r>
      <w:r w:rsidR="0088346C">
        <w:t>email</w:t>
      </w:r>
      <w:r>
        <w:t xml:space="preserve">, to several hundred thousand dollars (or more) for a large nationwide survey that is contracted-out to a vendor.  </w:t>
      </w:r>
      <w:r w:rsidR="00FB3901">
        <w:t xml:space="preserve">The final cost to the government will be directly related to the extent and complexity of research conducted </w:t>
      </w:r>
      <w:r w:rsidR="003D12AD">
        <w:t xml:space="preserve">over </w:t>
      </w:r>
      <w:r w:rsidR="00FB3901">
        <w:t xml:space="preserve">the </w:t>
      </w:r>
      <w:r w:rsidR="003D12AD">
        <w:t>three-year</w:t>
      </w:r>
      <w:r w:rsidR="00FB3901">
        <w:t xml:space="preserve"> period. </w:t>
      </w:r>
    </w:p>
    <w:p w:rsidR="00F24CC4" w:rsidRDefault="00F24CC4" w:rsidP="00FB3901">
      <w:pPr>
        <w:tabs>
          <w:tab w:val="left" w:pos="1080"/>
        </w:tabs>
        <w:ind w:left="1080"/>
      </w:pPr>
    </w:p>
    <w:p w:rsidR="00EA1343" w:rsidRDefault="004F0E2F" w:rsidP="00FB3901">
      <w:pPr>
        <w:tabs>
          <w:tab w:val="left" w:pos="1080"/>
        </w:tabs>
        <w:ind w:left="1080"/>
      </w:pPr>
      <w:r>
        <w:t xml:space="preserve">15.  </w:t>
      </w:r>
      <w:r w:rsidR="00B04466">
        <w:t>Reasons for Change in Burden</w:t>
      </w:r>
    </w:p>
    <w:p w:rsidR="00B04466" w:rsidRDefault="00B04466" w:rsidP="00B04466">
      <w:pPr>
        <w:tabs>
          <w:tab w:val="left" w:pos="1080"/>
        </w:tabs>
        <w:ind w:left="1080"/>
      </w:pPr>
    </w:p>
    <w:p w:rsidR="00B04466" w:rsidRDefault="00B04466" w:rsidP="00EF4136">
      <w:pPr>
        <w:tabs>
          <w:tab w:val="left" w:pos="1080"/>
        </w:tabs>
        <w:ind w:left="1080"/>
      </w:pPr>
      <w:r w:rsidRPr="00EB2F57">
        <w:t>Using the past three</w:t>
      </w:r>
      <w:r w:rsidR="003D12AD" w:rsidRPr="00EB2F57">
        <w:t>-</w:t>
      </w:r>
      <w:r w:rsidRPr="00EB2F57">
        <w:t xml:space="preserve">year as a baseline, we estimate that </w:t>
      </w:r>
      <w:r w:rsidR="003516EF">
        <w:t>27</w:t>
      </w:r>
      <w:r w:rsidR="003731A7" w:rsidRPr="00EB2F57">
        <w:t>,000 (</w:t>
      </w:r>
      <w:r w:rsidR="003516EF">
        <w:t>9</w:t>
      </w:r>
      <w:r w:rsidR="00EB2F57">
        <w:t>,000</w:t>
      </w:r>
      <w:r w:rsidR="003731A7">
        <w:t xml:space="preserve"> annually) </w:t>
      </w:r>
      <w:r>
        <w:t xml:space="preserve">burden hours will be used </w:t>
      </w:r>
      <w:r w:rsidR="00491A25">
        <w:t>over the course of the next</w:t>
      </w:r>
      <w:r>
        <w:t xml:space="preserve"> three</w:t>
      </w:r>
      <w:r w:rsidR="00491A25">
        <w:t xml:space="preserve"> </w:t>
      </w:r>
      <w:r>
        <w:t>year</w:t>
      </w:r>
      <w:r w:rsidR="00491A25">
        <w:t>s</w:t>
      </w:r>
      <w:r w:rsidR="00F24CC4">
        <w:t xml:space="preserve">. </w:t>
      </w:r>
      <w:r w:rsidR="003516EF">
        <w:t xml:space="preserve"> Previously the Comprehensive Taxpayer Attitude Survey (CTAS) was </w:t>
      </w:r>
      <w:r w:rsidR="00724675">
        <w:t>approved under this generic clearance.  CTAS is now being approved with its own OMB number, and appropriate changes to the burden estimates have been made in this submission.</w:t>
      </w:r>
    </w:p>
    <w:p w:rsidR="00762F5D" w:rsidRDefault="00762F5D" w:rsidP="00EF4136">
      <w:pPr>
        <w:tabs>
          <w:tab w:val="left" w:pos="1080"/>
        </w:tabs>
        <w:ind w:left="1080"/>
      </w:pPr>
    </w:p>
    <w:p w:rsidR="00B04466" w:rsidRDefault="00B04466" w:rsidP="004F0E2F">
      <w:pPr>
        <w:numPr>
          <w:ilvl w:val="0"/>
          <w:numId w:val="5"/>
        </w:numPr>
      </w:pPr>
      <w:r>
        <w:t>Plans for Tabulation, Statistical Analysis and Publication</w:t>
      </w:r>
    </w:p>
    <w:p w:rsidR="00B04466" w:rsidRDefault="00B04466" w:rsidP="00B04466">
      <w:pPr>
        <w:tabs>
          <w:tab w:val="left" w:pos="1080"/>
        </w:tabs>
      </w:pPr>
    </w:p>
    <w:p w:rsidR="00B04466" w:rsidRDefault="001A0CE1" w:rsidP="00B04466">
      <w:pPr>
        <w:tabs>
          <w:tab w:val="left" w:pos="1080"/>
        </w:tabs>
        <w:ind w:left="1080"/>
      </w:pPr>
      <w:r>
        <w:t>Due to the nature of this clearance, we do not have time schedules for each data collection effort since the information collection proposals under this clearance are unknown at this time.  The information collected, however, will be for internal use in most cases.  Where appropriate, as in the case of summary data on general satisfaction with IRS performance, some information may be released outside the agency.</w:t>
      </w:r>
    </w:p>
    <w:p w:rsidR="00094ED0" w:rsidRDefault="00094ED0" w:rsidP="00B04466">
      <w:pPr>
        <w:tabs>
          <w:tab w:val="left" w:pos="1080"/>
        </w:tabs>
        <w:ind w:left="1080"/>
      </w:pPr>
    </w:p>
    <w:p w:rsidR="001A0CE1" w:rsidRDefault="001A0CE1" w:rsidP="004F0E2F">
      <w:pPr>
        <w:numPr>
          <w:ilvl w:val="0"/>
          <w:numId w:val="5"/>
        </w:numPr>
      </w:pPr>
      <w:r>
        <w:t>Reasons why Displaying the OMB Expiration Date is Inappropriate</w:t>
      </w:r>
    </w:p>
    <w:p w:rsidR="001A0CE1" w:rsidRDefault="001A0CE1" w:rsidP="001A0CE1">
      <w:pPr>
        <w:tabs>
          <w:tab w:val="left" w:pos="1080"/>
        </w:tabs>
        <w:ind w:left="1080"/>
      </w:pPr>
    </w:p>
    <w:p w:rsidR="00D33996" w:rsidRDefault="00E63133" w:rsidP="00D33996">
      <w:pPr>
        <w:tabs>
          <w:tab w:val="left" w:pos="1080"/>
        </w:tabs>
        <w:ind w:left="1080"/>
      </w:pPr>
      <w:r>
        <w:t>I</w:t>
      </w:r>
      <w:r w:rsidR="00D33996">
        <w:t>ndividual collections under this clearance may request an exemption to the requirement to display an expiration dat</w:t>
      </w:r>
      <w:r w:rsidR="00362B35">
        <w:t>e</w:t>
      </w:r>
      <w:r w:rsidR="00D33996">
        <w:t>.</w:t>
      </w:r>
    </w:p>
    <w:p w:rsidR="00CF4B40" w:rsidRDefault="00CF4B40" w:rsidP="001A0CE1">
      <w:pPr>
        <w:tabs>
          <w:tab w:val="left" w:pos="1080"/>
        </w:tabs>
        <w:ind w:left="1080"/>
      </w:pPr>
    </w:p>
    <w:p w:rsidR="00CF4B40" w:rsidRDefault="00D7365A" w:rsidP="004F0E2F">
      <w:pPr>
        <w:numPr>
          <w:ilvl w:val="0"/>
          <w:numId w:val="5"/>
        </w:numPr>
      </w:pPr>
      <w:r>
        <w:t xml:space="preserve">Exceptions to the Certification Statement </w:t>
      </w:r>
    </w:p>
    <w:p w:rsidR="00D7365A" w:rsidRDefault="00D7365A" w:rsidP="00D7365A">
      <w:pPr>
        <w:tabs>
          <w:tab w:val="left" w:pos="1080"/>
        </w:tabs>
        <w:ind w:left="1080"/>
      </w:pPr>
    </w:p>
    <w:p w:rsidR="001273F2" w:rsidRPr="001273F2" w:rsidRDefault="00D7365A" w:rsidP="001273F2">
      <w:pPr>
        <w:ind w:left="720" w:firstLine="15"/>
        <w:rPr>
          <w:bCs/>
        </w:rPr>
      </w:pPr>
      <w:r>
        <w:tab/>
      </w:r>
      <w:r w:rsidR="001273F2" w:rsidRPr="001273F2">
        <w:rPr>
          <w:bCs/>
        </w:rPr>
        <w:t xml:space="preserve">There are no exceptions to the certification statement. </w:t>
      </w:r>
    </w:p>
    <w:p w:rsidR="00EF4136" w:rsidRDefault="00EF4136" w:rsidP="00E72C71">
      <w:pPr>
        <w:tabs>
          <w:tab w:val="left" w:pos="1080"/>
        </w:tabs>
      </w:pPr>
    </w:p>
    <w:p w:rsidR="00D7365A" w:rsidRDefault="00D7365A" w:rsidP="00D7365A">
      <w:pPr>
        <w:tabs>
          <w:tab w:val="left" w:pos="1080"/>
        </w:tabs>
        <w:ind w:left="1080"/>
      </w:pPr>
      <w:r>
        <w:t>Note:  The following paragraph applies to all of the collections of information in this</w:t>
      </w:r>
    </w:p>
    <w:p w:rsidR="00D7365A" w:rsidRDefault="00D7365A" w:rsidP="00D7365A">
      <w:pPr>
        <w:tabs>
          <w:tab w:val="left" w:pos="1080"/>
        </w:tabs>
        <w:ind w:left="1080"/>
      </w:pPr>
      <w:r>
        <w:t>submission:</w:t>
      </w:r>
    </w:p>
    <w:p w:rsidR="009B7F12" w:rsidRDefault="00D7365A" w:rsidP="009B7F12">
      <w:pPr>
        <w:tabs>
          <w:tab w:val="left" w:pos="1080"/>
        </w:tabs>
      </w:pPr>
      <w:r>
        <w:tab/>
      </w:r>
    </w:p>
    <w:p w:rsidR="00C43D7E" w:rsidRDefault="00D7365A" w:rsidP="00D7365A">
      <w:pPr>
        <w:ind w:left="1080"/>
      </w:pPr>
      <w:r>
        <w:t>An agency may not conduct or sponsor</w:t>
      </w:r>
      <w:r w:rsidR="004F0E2F">
        <w:t xml:space="preserve"> data gathering efforts</w:t>
      </w:r>
      <w:r>
        <w:t>, and a person is not required to respond to a collection of information</w:t>
      </w:r>
      <w:r w:rsidR="004F0E2F">
        <w:t>,</w:t>
      </w:r>
      <w:r>
        <w:t xml:space="preserve"> unless the collection of information displays a valid OMB Control Number.  Books or records relating to a collection of information must be retained as long as the contents may become material in the administration</w:t>
      </w:r>
      <w:r w:rsidR="00CC34F5">
        <w:t xml:space="preserve"> </w:t>
      </w:r>
      <w:r>
        <w:t>of any Internal Revenue law.  Generally, tax returns and tax return information are confidential, as required by 25 U.S.C. 6103.</w:t>
      </w:r>
    </w:p>
    <w:p w:rsidR="00CC34F5" w:rsidRDefault="00CC34F5" w:rsidP="00CC34F5"/>
    <w:p w:rsidR="00C87F35" w:rsidRDefault="00C87F35" w:rsidP="00E63133">
      <w:pPr>
        <w:ind w:firstLine="720"/>
        <w:rPr>
          <w:rFonts w:ascii="CG Times" w:hAnsi="CG Times"/>
        </w:rPr>
      </w:pPr>
    </w:p>
    <w:p w:rsidR="00833E53" w:rsidRPr="00833E53" w:rsidRDefault="00833E53" w:rsidP="0083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p>
    <w:p w:rsidR="00E66313" w:rsidRDefault="00E66313" w:rsidP="00FF57B9">
      <w:pPr>
        <w:ind w:left="1080"/>
      </w:pPr>
    </w:p>
    <w:sectPr w:rsidR="00E66313" w:rsidSect="00C87F3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AE4" w:rsidRDefault="00B60AE4">
      <w:r>
        <w:separator/>
      </w:r>
    </w:p>
  </w:endnote>
  <w:endnote w:type="continuationSeparator" w:id="0">
    <w:p w:rsidR="00B60AE4" w:rsidRDefault="00B60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Math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9B6" w:rsidRDefault="000C6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9B6" w:rsidRDefault="000C69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9B6" w:rsidRDefault="000C69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AE4" w:rsidRDefault="00B60AE4">
      <w:r>
        <w:separator/>
      </w:r>
    </w:p>
  </w:footnote>
  <w:footnote w:type="continuationSeparator" w:id="0">
    <w:p w:rsidR="00B60AE4" w:rsidRDefault="00B60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9B6" w:rsidRDefault="000C69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FFD" w:rsidRDefault="003F1FFD">
    <w:pPr>
      <w:pStyle w:val="Header"/>
    </w:pPr>
    <w:r>
      <w:t>OMB# 1545-1432</w:t>
    </w:r>
    <w:r>
      <w:tab/>
    </w:r>
    <w:r>
      <w:tab/>
      <w:t xml:space="preserve">Page </w:t>
    </w:r>
    <w:r>
      <w:fldChar w:fldCharType="begin"/>
    </w:r>
    <w:r>
      <w:instrText xml:space="preserve"> PAGE </w:instrText>
    </w:r>
    <w:r>
      <w:fldChar w:fldCharType="separate"/>
    </w:r>
    <w:r w:rsidR="00255848">
      <w:rPr>
        <w:noProof/>
      </w:rPr>
      <w:t>2</w:t>
    </w:r>
    <w:r>
      <w:fldChar w:fldCharType="end"/>
    </w:r>
    <w:r>
      <w:t xml:space="preserve"> of </w:t>
    </w:r>
    <w:r w:rsidR="00255848">
      <w:fldChar w:fldCharType="begin"/>
    </w:r>
    <w:r w:rsidR="00255848">
      <w:instrText xml:space="preserve"> NUMPAGES </w:instrText>
    </w:r>
    <w:r w:rsidR="00255848">
      <w:fldChar w:fldCharType="separate"/>
    </w:r>
    <w:r w:rsidR="00255848">
      <w:rPr>
        <w:noProof/>
      </w:rPr>
      <w:t>2</w:t>
    </w:r>
    <w:r w:rsidR="00255848">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9B6" w:rsidRDefault="000C69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B0EC7"/>
    <w:multiLevelType w:val="hybridMultilevel"/>
    <w:tmpl w:val="AB0C5AC2"/>
    <w:lvl w:ilvl="0" w:tplc="1B168DF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125F6F3C"/>
    <w:multiLevelType w:val="hybridMultilevel"/>
    <w:tmpl w:val="866EA7AE"/>
    <w:lvl w:ilvl="0" w:tplc="CA325880">
      <w:start w:val="16"/>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43018A3"/>
    <w:multiLevelType w:val="hybridMultilevel"/>
    <w:tmpl w:val="6C0683C0"/>
    <w:lvl w:ilvl="0" w:tplc="CE4AA660">
      <w:start w:val="1"/>
      <w:numFmt w:val="upperLetter"/>
      <w:lvlText w:val="%1."/>
      <w:lvlJc w:val="left"/>
      <w:pPr>
        <w:tabs>
          <w:tab w:val="num" w:pos="1080"/>
        </w:tabs>
        <w:ind w:left="1080" w:hanging="720"/>
      </w:pPr>
      <w:rPr>
        <w:rFonts w:ascii="Times New Roman" w:eastAsia="Times New Roman" w:hAnsi="Times New Roman" w:cs="Times New Roman"/>
      </w:rPr>
    </w:lvl>
    <w:lvl w:ilvl="1" w:tplc="9780991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B4376B"/>
    <w:multiLevelType w:val="singleLevel"/>
    <w:tmpl w:val="8C620E38"/>
    <w:lvl w:ilvl="0">
      <w:start w:val="1"/>
      <w:numFmt w:val="lowerLetter"/>
      <w:lvlText w:val=""/>
      <w:lvlJc w:val="left"/>
      <w:pPr>
        <w:tabs>
          <w:tab w:val="num" w:pos="360"/>
        </w:tabs>
        <w:ind w:left="360" w:hanging="360"/>
      </w:pPr>
      <w:rPr>
        <w:rFonts w:ascii="WP MathA" w:hAnsi="WP MathA" w:hint="default"/>
      </w:rPr>
    </w:lvl>
  </w:abstractNum>
  <w:abstractNum w:abstractNumId="4">
    <w:nsid w:val="68A001CC"/>
    <w:multiLevelType w:val="hybridMultilevel"/>
    <w:tmpl w:val="52480E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EF9"/>
    <w:rsid w:val="00002C3C"/>
    <w:rsid w:val="00007011"/>
    <w:rsid w:val="00020C66"/>
    <w:rsid w:val="00022CAF"/>
    <w:rsid w:val="00043708"/>
    <w:rsid w:val="0005346D"/>
    <w:rsid w:val="0005369B"/>
    <w:rsid w:val="00094ED0"/>
    <w:rsid w:val="000A43B1"/>
    <w:rsid w:val="000A5E02"/>
    <w:rsid w:val="000B3F8C"/>
    <w:rsid w:val="000C3754"/>
    <w:rsid w:val="000C69B6"/>
    <w:rsid w:val="000D10D3"/>
    <w:rsid w:val="00104ED7"/>
    <w:rsid w:val="00105CE8"/>
    <w:rsid w:val="001222D7"/>
    <w:rsid w:val="001239DA"/>
    <w:rsid w:val="001273F2"/>
    <w:rsid w:val="00165979"/>
    <w:rsid w:val="001775EF"/>
    <w:rsid w:val="001852A9"/>
    <w:rsid w:val="00194F23"/>
    <w:rsid w:val="001A0CE1"/>
    <w:rsid w:val="001A26A6"/>
    <w:rsid w:val="001A2E8D"/>
    <w:rsid w:val="001E4AC9"/>
    <w:rsid w:val="001E6897"/>
    <w:rsid w:val="001F6D05"/>
    <w:rsid w:val="002069D5"/>
    <w:rsid w:val="00221E2A"/>
    <w:rsid w:val="002305C6"/>
    <w:rsid w:val="002471A7"/>
    <w:rsid w:val="00255848"/>
    <w:rsid w:val="00283B6E"/>
    <w:rsid w:val="002843E3"/>
    <w:rsid w:val="002944AE"/>
    <w:rsid w:val="00297226"/>
    <w:rsid w:val="002C46DD"/>
    <w:rsid w:val="002F6C5F"/>
    <w:rsid w:val="00312F28"/>
    <w:rsid w:val="003163AB"/>
    <w:rsid w:val="003337B9"/>
    <w:rsid w:val="003460E4"/>
    <w:rsid w:val="003516EF"/>
    <w:rsid w:val="00362B35"/>
    <w:rsid w:val="003731A7"/>
    <w:rsid w:val="003766E0"/>
    <w:rsid w:val="003B64AF"/>
    <w:rsid w:val="003C2394"/>
    <w:rsid w:val="003D12AD"/>
    <w:rsid w:val="003D1A99"/>
    <w:rsid w:val="003F1FFD"/>
    <w:rsid w:val="003F6856"/>
    <w:rsid w:val="00414C62"/>
    <w:rsid w:val="00447CF1"/>
    <w:rsid w:val="00463EC9"/>
    <w:rsid w:val="00491A25"/>
    <w:rsid w:val="00493F9A"/>
    <w:rsid w:val="004E005D"/>
    <w:rsid w:val="004F0E2F"/>
    <w:rsid w:val="00537424"/>
    <w:rsid w:val="00553DB5"/>
    <w:rsid w:val="00577429"/>
    <w:rsid w:val="005A514A"/>
    <w:rsid w:val="005E0668"/>
    <w:rsid w:val="00685931"/>
    <w:rsid w:val="00690B66"/>
    <w:rsid w:val="006D15EB"/>
    <w:rsid w:val="006E3D73"/>
    <w:rsid w:val="00707EF9"/>
    <w:rsid w:val="00721F37"/>
    <w:rsid w:val="00724675"/>
    <w:rsid w:val="007608A1"/>
    <w:rsid w:val="00762F5D"/>
    <w:rsid w:val="00777B81"/>
    <w:rsid w:val="007922FC"/>
    <w:rsid w:val="007B3B7A"/>
    <w:rsid w:val="007D79DD"/>
    <w:rsid w:val="008101BF"/>
    <w:rsid w:val="00814FCE"/>
    <w:rsid w:val="00833E53"/>
    <w:rsid w:val="00842B26"/>
    <w:rsid w:val="008642B4"/>
    <w:rsid w:val="00872B84"/>
    <w:rsid w:val="008767B5"/>
    <w:rsid w:val="0088346C"/>
    <w:rsid w:val="008854FB"/>
    <w:rsid w:val="00885F2C"/>
    <w:rsid w:val="008C2332"/>
    <w:rsid w:val="008C6DEC"/>
    <w:rsid w:val="00916FDC"/>
    <w:rsid w:val="00930CDB"/>
    <w:rsid w:val="009327F3"/>
    <w:rsid w:val="009B72D6"/>
    <w:rsid w:val="009B732E"/>
    <w:rsid w:val="009B7F12"/>
    <w:rsid w:val="009D2DE7"/>
    <w:rsid w:val="009E3815"/>
    <w:rsid w:val="009F0ABF"/>
    <w:rsid w:val="00A02C43"/>
    <w:rsid w:val="00A464E0"/>
    <w:rsid w:val="00A56DF2"/>
    <w:rsid w:val="00A659D6"/>
    <w:rsid w:val="00AD6DAD"/>
    <w:rsid w:val="00AF63B0"/>
    <w:rsid w:val="00B00661"/>
    <w:rsid w:val="00B04466"/>
    <w:rsid w:val="00B06E40"/>
    <w:rsid w:val="00B14720"/>
    <w:rsid w:val="00B40CDF"/>
    <w:rsid w:val="00B60AE4"/>
    <w:rsid w:val="00B8266F"/>
    <w:rsid w:val="00BB729B"/>
    <w:rsid w:val="00BD5629"/>
    <w:rsid w:val="00C10070"/>
    <w:rsid w:val="00C2509F"/>
    <w:rsid w:val="00C43D7E"/>
    <w:rsid w:val="00C61471"/>
    <w:rsid w:val="00C63810"/>
    <w:rsid w:val="00C65D91"/>
    <w:rsid w:val="00C65F7A"/>
    <w:rsid w:val="00C87F35"/>
    <w:rsid w:val="00CC34F5"/>
    <w:rsid w:val="00CD78F9"/>
    <w:rsid w:val="00CE0284"/>
    <w:rsid w:val="00CF4B40"/>
    <w:rsid w:val="00D06A8F"/>
    <w:rsid w:val="00D16E2D"/>
    <w:rsid w:val="00D279BA"/>
    <w:rsid w:val="00D33996"/>
    <w:rsid w:val="00D7365A"/>
    <w:rsid w:val="00DA5A4D"/>
    <w:rsid w:val="00DD248F"/>
    <w:rsid w:val="00DF139D"/>
    <w:rsid w:val="00E00A7B"/>
    <w:rsid w:val="00E04C01"/>
    <w:rsid w:val="00E22DC8"/>
    <w:rsid w:val="00E359D3"/>
    <w:rsid w:val="00E47567"/>
    <w:rsid w:val="00E52B69"/>
    <w:rsid w:val="00E63133"/>
    <w:rsid w:val="00E66313"/>
    <w:rsid w:val="00E72C71"/>
    <w:rsid w:val="00E81C80"/>
    <w:rsid w:val="00E87ED9"/>
    <w:rsid w:val="00E9411B"/>
    <w:rsid w:val="00EA1343"/>
    <w:rsid w:val="00EB2F57"/>
    <w:rsid w:val="00EB63D5"/>
    <w:rsid w:val="00EF1A4F"/>
    <w:rsid w:val="00EF213F"/>
    <w:rsid w:val="00EF4136"/>
    <w:rsid w:val="00F24CC4"/>
    <w:rsid w:val="00F5778E"/>
    <w:rsid w:val="00F74663"/>
    <w:rsid w:val="00F76A36"/>
    <w:rsid w:val="00F97E7F"/>
    <w:rsid w:val="00FA0B5B"/>
    <w:rsid w:val="00FB3901"/>
    <w:rsid w:val="00FD4926"/>
    <w:rsid w:val="00FE64D8"/>
    <w:rsid w:val="00FF5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6C5F"/>
    <w:pPr>
      <w:tabs>
        <w:tab w:val="center" w:pos="4320"/>
        <w:tab w:val="right" w:pos="8640"/>
      </w:tabs>
    </w:pPr>
  </w:style>
  <w:style w:type="paragraph" w:styleId="Footer">
    <w:name w:val="footer"/>
    <w:basedOn w:val="Normal"/>
    <w:rsid w:val="002F6C5F"/>
    <w:pPr>
      <w:tabs>
        <w:tab w:val="center" w:pos="4320"/>
        <w:tab w:val="right" w:pos="8640"/>
      </w:tabs>
    </w:pPr>
  </w:style>
  <w:style w:type="paragraph" w:styleId="BodyText">
    <w:name w:val="Body Text"/>
    <w:basedOn w:val="Normal"/>
    <w:rsid w:val="00AF63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G Times" w:hAnsi="CG Times"/>
      <w:b/>
      <w:snapToGrid w:val="0"/>
      <w:szCs w:val="20"/>
    </w:rPr>
  </w:style>
  <w:style w:type="paragraph" w:styleId="BalloonText">
    <w:name w:val="Balloon Text"/>
    <w:basedOn w:val="Normal"/>
    <w:semiHidden/>
    <w:rsid w:val="006D15EB"/>
    <w:rPr>
      <w:rFonts w:ascii="Tahoma" w:hAnsi="Tahoma" w:cs="Tahoma"/>
      <w:sz w:val="16"/>
      <w:szCs w:val="16"/>
    </w:rPr>
  </w:style>
  <w:style w:type="paragraph" w:styleId="BodyTextIndent2">
    <w:name w:val="Body Text Indent 2"/>
    <w:basedOn w:val="Normal"/>
    <w:rsid w:val="00B8266F"/>
    <w:pPr>
      <w:spacing w:after="120" w:line="480" w:lineRule="auto"/>
      <w:ind w:left="360"/>
    </w:pPr>
  </w:style>
  <w:style w:type="character" w:styleId="CommentReference">
    <w:name w:val="annotation reference"/>
    <w:rsid w:val="00BB729B"/>
    <w:rPr>
      <w:sz w:val="16"/>
      <w:szCs w:val="16"/>
    </w:rPr>
  </w:style>
  <w:style w:type="paragraph" w:styleId="CommentText">
    <w:name w:val="annotation text"/>
    <w:basedOn w:val="Normal"/>
    <w:link w:val="CommentTextChar"/>
    <w:rsid w:val="00BB729B"/>
    <w:rPr>
      <w:sz w:val="20"/>
      <w:szCs w:val="20"/>
    </w:rPr>
  </w:style>
  <w:style w:type="character" w:customStyle="1" w:styleId="CommentTextChar">
    <w:name w:val="Comment Text Char"/>
    <w:basedOn w:val="DefaultParagraphFont"/>
    <w:link w:val="CommentText"/>
    <w:rsid w:val="00BB729B"/>
  </w:style>
  <w:style w:type="paragraph" w:styleId="CommentSubject">
    <w:name w:val="annotation subject"/>
    <w:basedOn w:val="CommentText"/>
    <w:next w:val="CommentText"/>
    <w:link w:val="CommentSubjectChar"/>
    <w:rsid w:val="00BB729B"/>
    <w:rPr>
      <w:b/>
      <w:bCs/>
    </w:rPr>
  </w:style>
  <w:style w:type="character" w:customStyle="1" w:styleId="CommentSubjectChar">
    <w:name w:val="Comment Subject Char"/>
    <w:link w:val="CommentSubject"/>
    <w:rsid w:val="00BB729B"/>
    <w:rPr>
      <w:b/>
      <w:bCs/>
    </w:rPr>
  </w:style>
  <w:style w:type="character" w:styleId="Hyperlink">
    <w:name w:val="Hyperlink"/>
    <w:uiPriority w:val="99"/>
    <w:unhideWhenUsed/>
    <w:rsid w:val="00D33996"/>
    <w:rPr>
      <w:color w:val="0000FF"/>
      <w:u w:val="single"/>
    </w:rPr>
  </w:style>
  <w:style w:type="character" w:styleId="FollowedHyperlink">
    <w:name w:val="FollowedHyperlink"/>
    <w:rsid w:val="0005369B"/>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6C5F"/>
    <w:pPr>
      <w:tabs>
        <w:tab w:val="center" w:pos="4320"/>
        <w:tab w:val="right" w:pos="8640"/>
      </w:tabs>
    </w:pPr>
  </w:style>
  <w:style w:type="paragraph" w:styleId="Footer">
    <w:name w:val="footer"/>
    <w:basedOn w:val="Normal"/>
    <w:rsid w:val="002F6C5F"/>
    <w:pPr>
      <w:tabs>
        <w:tab w:val="center" w:pos="4320"/>
        <w:tab w:val="right" w:pos="8640"/>
      </w:tabs>
    </w:pPr>
  </w:style>
  <w:style w:type="paragraph" w:styleId="BodyText">
    <w:name w:val="Body Text"/>
    <w:basedOn w:val="Normal"/>
    <w:rsid w:val="00AF63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G Times" w:hAnsi="CG Times"/>
      <w:b/>
      <w:snapToGrid w:val="0"/>
      <w:szCs w:val="20"/>
    </w:rPr>
  </w:style>
  <w:style w:type="paragraph" w:styleId="BalloonText">
    <w:name w:val="Balloon Text"/>
    <w:basedOn w:val="Normal"/>
    <w:semiHidden/>
    <w:rsid w:val="006D15EB"/>
    <w:rPr>
      <w:rFonts w:ascii="Tahoma" w:hAnsi="Tahoma" w:cs="Tahoma"/>
      <w:sz w:val="16"/>
      <w:szCs w:val="16"/>
    </w:rPr>
  </w:style>
  <w:style w:type="paragraph" w:styleId="BodyTextIndent2">
    <w:name w:val="Body Text Indent 2"/>
    <w:basedOn w:val="Normal"/>
    <w:rsid w:val="00B8266F"/>
    <w:pPr>
      <w:spacing w:after="120" w:line="480" w:lineRule="auto"/>
      <w:ind w:left="360"/>
    </w:pPr>
  </w:style>
  <w:style w:type="character" w:styleId="CommentReference">
    <w:name w:val="annotation reference"/>
    <w:rsid w:val="00BB729B"/>
    <w:rPr>
      <w:sz w:val="16"/>
      <w:szCs w:val="16"/>
    </w:rPr>
  </w:style>
  <w:style w:type="paragraph" w:styleId="CommentText">
    <w:name w:val="annotation text"/>
    <w:basedOn w:val="Normal"/>
    <w:link w:val="CommentTextChar"/>
    <w:rsid w:val="00BB729B"/>
    <w:rPr>
      <w:sz w:val="20"/>
      <w:szCs w:val="20"/>
    </w:rPr>
  </w:style>
  <w:style w:type="character" w:customStyle="1" w:styleId="CommentTextChar">
    <w:name w:val="Comment Text Char"/>
    <w:basedOn w:val="DefaultParagraphFont"/>
    <w:link w:val="CommentText"/>
    <w:rsid w:val="00BB729B"/>
  </w:style>
  <w:style w:type="paragraph" w:styleId="CommentSubject">
    <w:name w:val="annotation subject"/>
    <w:basedOn w:val="CommentText"/>
    <w:next w:val="CommentText"/>
    <w:link w:val="CommentSubjectChar"/>
    <w:rsid w:val="00BB729B"/>
    <w:rPr>
      <w:b/>
      <w:bCs/>
    </w:rPr>
  </w:style>
  <w:style w:type="character" w:customStyle="1" w:styleId="CommentSubjectChar">
    <w:name w:val="Comment Subject Char"/>
    <w:link w:val="CommentSubject"/>
    <w:rsid w:val="00BB729B"/>
    <w:rPr>
      <w:b/>
      <w:bCs/>
    </w:rPr>
  </w:style>
  <w:style w:type="character" w:styleId="Hyperlink">
    <w:name w:val="Hyperlink"/>
    <w:uiPriority w:val="99"/>
    <w:unhideWhenUsed/>
    <w:rsid w:val="00D33996"/>
    <w:rPr>
      <w:color w:val="0000FF"/>
      <w:u w:val="single"/>
    </w:rPr>
  </w:style>
  <w:style w:type="character" w:styleId="FollowedHyperlink">
    <w:name w:val="FollowedHyperlink"/>
    <w:rsid w:val="0005369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170343">
      <w:bodyDiv w:val="1"/>
      <w:marLeft w:val="0"/>
      <w:marRight w:val="0"/>
      <w:marTop w:val="0"/>
      <w:marBottom w:val="0"/>
      <w:divBdr>
        <w:top w:val="none" w:sz="0" w:space="0" w:color="auto"/>
        <w:left w:val="none" w:sz="0" w:space="0" w:color="auto"/>
        <w:bottom w:val="none" w:sz="0" w:space="0" w:color="auto"/>
        <w:right w:val="none" w:sz="0" w:space="0" w:color="auto"/>
      </w:divBdr>
      <w:divsChild>
        <w:div w:id="1070006550">
          <w:marLeft w:val="0"/>
          <w:marRight w:val="0"/>
          <w:marTop w:val="0"/>
          <w:marBottom w:val="0"/>
          <w:divBdr>
            <w:top w:val="none" w:sz="0" w:space="0" w:color="auto"/>
            <w:left w:val="none" w:sz="0" w:space="0" w:color="auto"/>
            <w:bottom w:val="none" w:sz="0" w:space="0" w:color="auto"/>
            <w:right w:val="none" w:sz="0" w:space="0" w:color="auto"/>
          </w:divBdr>
          <w:divsChild>
            <w:div w:id="2083335877">
              <w:marLeft w:val="0"/>
              <w:marRight w:val="0"/>
              <w:marTop w:val="0"/>
              <w:marBottom w:val="0"/>
              <w:divBdr>
                <w:top w:val="none" w:sz="0" w:space="0" w:color="auto"/>
                <w:left w:val="single" w:sz="6" w:space="0" w:color="E2E2E2"/>
                <w:bottom w:val="none" w:sz="0" w:space="0" w:color="auto"/>
                <w:right w:val="single" w:sz="6" w:space="0" w:color="E2E2E2"/>
              </w:divBdr>
              <w:divsChild>
                <w:div w:id="1398622997">
                  <w:marLeft w:val="0"/>
                  <w:marRight w:val="0"/>
                  <w:marTop w:val="0"/>
                  <w:marBottom w:val="0"/>
                  <w:divBdr>
                    <w:top w:val="none" w:sz="0" w:space="0" w:color="auto"/>
                    <w:left w:val="none" w:sz="0" w:space="0" w:color="auto"/>
                    <w:bottom w:val="none" w:sz="0" w:space="0" w:color="auto"/>
                    <w:right w:val="none" w:sz="0" w:space="0" w:color="auto"/>
                  </w:divBdr>
                  <w:divsChild>
                    <w:div w:id="654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908634">
      <w:bodyDiv w:val="1"/>
      <w:marLeft w:val="0"/>
      <w:marRight w:val="0"/>
      <w:marTop w:val="0"/>
      <w:marBottom w:val="0"/>
      <w:divBdr>
        <w:top w:val="none" w:sz="0" w:space="0" w:color="auto"/>
        <w:left w:val="none" w:sz="0" w:space="0" w:color="auto"/>
        <w:bottom w:val="none" w:sz="0" w:space="0" w:color="auto"/>
        <w:right w:val="none" w:sz="0" w:space="0" w:color="auto"/>
      </w:divBdr>
    </w:div>
    <w:div w:id="1676154007">
      <w:bodyDiv w:val="1"/>
      <w:marLeft w:val="0"/>
      <w:marRight w:val="0"/>
      <w:marTop w:val="0"/>
      <w:marBottom w:val="0"/>
      <w:divBdr>
        <w:top w:val="none" w:sz="0" w:space="0" w:color="auto"/>
        <w:left w:val="none" w:sz="0" w:space="0" w:color="auto"/>
        <w:bottom w:val="none" w:sz="0" w:space="0" w:color="auto"/>
        <w:right w:val="none" w:sz="0" w:space="0" w:color="auto"/>
      </w:divBdr>
    </w:div>
    <w:div w:id="201375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1802</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2019-08-26T17:45:00Z</dcterms:created>
  <dcterms:modified xsi:type="dcterms:W3CDTF">2019-08-26T17:45:00Z</dcterms:modified>
</cp:coreProperties>
</file>