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2261" w14:textId="5F315D4D" w:rsidR="00186CAA" w:rsidRDefault="00186CAA" w:rsidP="00531552">
      <w:pPr>
        <w:pStyle w:val="Heading2"/>
        <w:spacing w:before="0" w:after="0"/>
        <w:ind w:left="720" w:hanging="720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0" w:name="_Toc478986085"/>
      <w:bookmarkStart w:id="1" w:name="_GoBack"/>
      <w:bookmarkEnd w:id="1"/>
      <w:r w:rsidRPr="00186CA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To: </w:t>
      </w:r>
      <w:r w:rsidR="00076D56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9B6833">
        <w:rPr>
          <w:rFonts w:asciiTheme="minorHAnsi" w:hAnsiTheme="minorHAnsi" w:cstheme="minorHAnsi"/>
          <w:b w:val="0"/>
          <w:i w:val="0"/>
          <w:sz w:val="22"/>
          <w:szCs w:val="22"/>
        </w:rPr>
        <w:t>Josh Brammer and Margo Schwab, Office of Information and Regulatory Affairs (OIRA), Office of Management and Budget (</w:t>
      </w:r>
      <w:r w:rsidRPr="00186CAA">
        <w:rPr>
          <w:rFonts w:asciiTheme="minorHAnsi" w:hAnsiTheme="minorHAnsi" w:cstheme="minorHAnsi"/>
          <w:b w:val="0"/>
          <w:i w:val="0"/>
          <w:sz w:val="22"/>
          <w:szCs w:val="22"/>
        </w:rPr>
        <w:t>OMB</w:t>
      </w:r>
      <w:r w:rsidR="009B6833">
        <w:rPr>
          <w:rFonts w:asciiTheme="minorHAnsi" w:hAnsiTheme="minorHAnsi" w:cstheme="minorHAnsi"/>
          <w:b w:val="0"/>
          <w:i w:val="0"/>
          <w:sz w:val="22"/>
          <w:szCs w:val="22"/>
        </w:rPr>
        <w:t>)</w:t>
      </w:r>
    </w:p>
    <w:p w14:paraId="3F09CFDC" w14:textId="77777777" w:rsidR="001B4D4D" w:rsidRPr="001B4D4D" w:rsidRDefault="001B4D4D" w:rsidP="00531552">
      <w:pPr>
        <w:ind w:left="720" w:hanging="720"/>
      </w:pPr>
    </w:p>
    <w:p w14:paraId="32513830" w14:textId="01C63AF8" w:rsidR="00186CAA" w:rsidRDefault="00186CAA" w:rsidP="0053155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86CAA">
        <w:rPr>
          <w:rFonts w:asciiTheme="minorHAnsi" w:hAnsiTheme="minorHAnsi" w:cstheme="minorHAnsi"/>
          <w:sz w:val="22"/>
          <w:szCs w:val="22"/>
        </w:rPr>
        <w:t xml:space="preserve">From: </w:t>
      </w:r>
      <w:r w:rsidR="00076D56">
        <w:rPr>
          <w:rFonts w:asciiTheme="minorHAnsi" w:hAnsiTheme="minorHAnsi" w:cstheme="minorHAnsi"/>
          <w:sz w:val="22"/>
          <w:szCs w:val="22"/>
        </w:rPr>
        <w:tab/>
      </w:r>
      <w:r w:rsidR="001B4D4D" w:rsidRPr="001B4D4D">
        <w:rPr>
          <w:rFonts w:asciiTheme="minorHAnsi" w:hAnsiTheme="minorHAnsi" w:cstheme="minorHAnsi"/>
          <w:sz w:val="22"/>
          <w:szCs w:val="22"/>
        </w:rPr>
        <w:t>Nancy Geyelin Margie and Laura Nerenberg, Office of Planning, Research and Evaluation (OPRE), Administration for Children and Families (ACF)</w:t>
      </w:r>
    </w:p>
    <w:p w14:paraId="08A300BD" w14:textId="77777777" w:rsidR="001B4D4D" w:rsidRPr="00186CAA" w:rsidRDefault="001B4D4D" w:rsidP="00531552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1DACD0FE" w14:textId="367948ED" w:rsidR="00186CAA" w:rsidRDefault="00186CAA" w:rsidP="00531552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186CAA">
        <w:rPr>
          <w:rFonts w:asciiTheme="minorHAnsi" w:hAnsiTheme="minorHAnsi" w:cstheme="minorHAnsi"/>
          <w:sz w:val="22"/>
          <w:szCs w:val="22"/>
        </w:rPr>
        <w:t>Date:</w:t>
      </w:r>
      <w:r w:rsidR="001B4D4D">
        <w:rPr>
          <w:rFonts w:asciiTheme="minorHAnsi" w:hAnsiTheme="minorHAnsi" w:cstheme="minorHAnsi"/>
          <w:sz w:val="22"/>
          <w:szCs w:val="22"/>
        </w:rPr>
        <w:tab/>
      </w:r>
      <w:r w:rsidR="00D05853">
        <w:rPr>
          <w:rFonts w:asciiTheme="minorHAnsi" w:hAnsiTheme="minorHAnsi" w:cstheme="minorHAnsi"/>
          <w:sz w:val="22"/>
          <w:szCs w:val="22"/>
        </w:rPr>
        <w:t>February 2019</w:t>
      </w:r>
    </w:p>
    <w:p w14:paraId="33921E99" w14:textId="77777777" w:rsidR="001B4D4D" w:rsidRPr="00186CAA" w:rsidRDefault="001B4D4D" w:rsidP="00531552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CC5A933" w14:textId="1E4737DE" w:rsidR="00186CAA" w:rsidRPr="00186CAA" w:rsidRDefault="00186CAA" w:rsidP="00531552">
      <w:pPr>
        <w:ind w:left="720" w:hanging="720"/>
        <w:rPr>
          <w:rFonts w:asciiTheme="minorHAnsi" w:hAnsiTheme="minorHAnsi" w:cstheme="minorHAnsi"/>
        </w:rPr>
      </w:pPr>
      <w:r w:rsidRPr="00186CAA">
        <w:rPr>
          <w:rFonts w:asciiTheme="minorHAnsi" w:hAnsiTheme="minorHAnsi" w:cstheme="minorHAnsi"/>
          <w:sz w:val="22"/>
          <w:szCs w:val="22"/>
        </w:rPr>
        <w:t xml:space="preserve">Re: </w:t>
      </w:r>
      <w:r w:rsidR="00076D56">
        <w:rPr>
          <w:rFonts w:asciiTheme="minorHAnsi" w:hAnsiTheme="minorHAnsi" w:cstheme="minorHAnsi"/>
          <w:sz w:val="22"/>
          <w:szCs w:val="22"/>
        </w:rPr>
        <w:tab/>
      </w:r>
      <w:r w:rsidRPr="00186CAA">
        <w:rPr>
          <w:rFonts w:asciiTheme="minorHAnsi" w:hAnsiTheme="minorHAnsi" w:cstheme="minorHAnsi"/>
          <w:sz w:val="22"/>
          <w:szCs w:val="22"/>
        </w:rPr>
        <w:t>MIHOPE incentive experiment results: 15-month follow-up</w:t>
      </w:r>
      <w:r w:rsidR="001B4D4D">
        <w:rPr>
          <w:rFonts w:asciiTheme="minorHAnsi" w:hAnsiTheme="minorHAnsi" w:cstheme="minorHAnsi"/>
          <w:sz w:val="22"/>
          <w:szCs w:val="22"/>
        </w:rPr>
        <w:t xml:space="preserve"> (</w:t>
      </w:r>
      <w:r w:rsidR="001B4D4D" w:rsidRPr="001B4D4D">
        <w:rPr>
          <w:rFonts w:asciiTheme="minorHAnsi" w:hAnsiTheme="minorHAnsi" w:cstheme="minorHAnsi"/>
          <w:sz w:val="22"/>
          <w:szCs w:val="22"/>
        </w:rPr>
        <w:t>OMB Control Number: 0970-0402</w:t>
      </w:r>
      <w:r w:rsidR="001B4D4D">
        <w:rPr>
          <w:rFonts w:asciiTheme="minorHAnsi" w:hAnsiTheme="minorHAnsi" w:cstheme="minorHAnsi"/>
          <w:sz w:val="22"/>
          <w:szCs w:val="22"/>
        </w:rPr>
        <w:t>)</w:t>
      </w:r>
    </w:p>
    <w:p w14:paraId="1BD24EFF" w14:textId="77777777" w:rsidR="00186CAA" w:rsidRPr="00186CAA" w:rsidRDefault="00186CAA" w:rsidP="00186CAA"/>
    <w:p w14:paraId="381BBC40" w14:textId="10824D49" w:rsidR="00186CAA" w:rsidRDefault="00B9146B" w:rsidP="00186CAA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This memo reports on the results of the incentive experiment </w:t>
      </w:r>
      <w:r w:rsidR="0084143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conducted </w:t>
      </w:r>
      <w:r w:rsidR="0053155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during 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the MIHOPE </w:t>
      </w:r>
      <w:r w:rsidR="0084143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data collection </w:t>
      </w:r>
      <w:r w:rsidR="0053155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round </w:t>
      </w:r>
      <w:r w:rsidRPr="00186CA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when </w:t>
      </w:r>
      <w:r w:rsidR="00841430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participating </w:t>
      </w:r>
      <w:r w:rsidRPr="00186CAA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children were about 15 months old. </w:t>
      </w:r>
      <w:r w:rsidR="00172F1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OMB approved this incentive experiment on </w:t>
      </w:r>
      <w:r w:rsidR="00E71E97">
        <w:rPr>
          <w:rFonts w:asciiTheme="minorHAnsi" w:hAnsiTheme="minorHAnsi" w:cstheme="minorHAnsi"/>
          <w:b w:val="0"/>
          <w:i w:val="0"/>
          <w:sz w:val="22"/>
          <w:szCs w:val="22"/>
        </w:rPr>
        <w:t>April 22, 2015</w:t>
      </w:r>
      <w:r w:rsidR="00172F1E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. </w:t>
      </w:r>
      <w:r w:rsidR="00186CAA" w:rsidRPr="00186CAA">
        <w:rPr>
          <w:rFonts w:asciiTheme="minorHAnsi" w:hAnsiTheme="minorHAnsi" w:cstheme="minorHAnsi"/>
          <w:b w:val="0"/>
          <w:i w:val="0"/>
          <w:sz w:val="22"/>
          <w:szCs w:val="22"/>
        </w:rPr>
        <w:t>The memo contains the following sections:</w:t>
      </w:r>
    </w:p>
    <w:p w14:paraId="0E2CF6E1" w14:textId="77777777" w:rsidR="00076D56" w:rsidRPr="00076D56" w:rsidRDefault="00076D56" w:rsidP="00076D56"/>
    <w:p w14:paraId="584C6AA8" w14:textId="2FC3B45E" w:rsidR="00186CAA" w:rsidRPr="00076D56" w:rsidRDefault="00186CAA" w:rsidP="00076D56">
      <w:pPr>
        <w:pStyle w:val="Heading2"/>
        <w:numPr>
          <w:ilvl w:val="0"/>
          <w:numId w:val="3"/>
        </w:numPr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An </w:t>
      </w:r>
      <w:r w:rsidR="009D0C56" w:rsidRPr="00076D56">
        <w:rPr>
          <w:rFonts w:asciiTheme="minorHAnsi" w:hAnsiTheme="minorHAnsi" w:cstheme="minorHAnsi"/>
          <w:b w:val="0"/>
          <w:i w:val="0"/>
          <w:sz w:val="22"/>
          <w:szCs w:val="22"/>
        </w:rPr>
        <w:t>introduc</w:t>
      </w: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>tion to</w:t>
      </w:r>
      <w:r w:rsidR="009D0C56"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the</w:t>
      </w: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15-month data collection activities</w:t>
      </w:r>
      <w:r w:rsidR="00531552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and purpose of the experiment</w:t>
      </w:r>
    </w:p>
    <w:p w14:paraId="6F8220DE" w14:textId="417BE860" w:rsidR="00186CAA" w:rsidRPr="00076D56" w:rsidRDefault="00186CAA" w:rsidP="00076D56">
      <w:pPr>
        <w:pStyle w:val="Heading2"/>
        <w:numPr>
          <w:ilvl w:val="0"/>
          <w:numId w:val="3"/>
        </w:numPr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>The incentive experiment design and sample</w:t>
      </w:r>
    </w:p>
    <w:p w14:paraId="79726A13" w14:textId="533513B7" w:rsidR="00186CAA" w:rsidRPr="00076D56" w:rsidRDefault="00186CAA" w:rsidP="00076D56">
      <w:pPr>
        <w:pStyle w:val="Heading2"/>
        <w:numPr>
          <w:ilvl w:val="0"/>
          <w:numId w:val="3"/>
        </w:numPr>
        <w:spacing w:before="0" w:after="0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Effects on </w:t>
      </w:r>
      <w:r w:rsidRPr="00D21DF6">
        <w:rPr>
          <w:rFonts w:asciiTheme="minorHAnsi" w:hAnsiTheme="minorHAnsi" w:cstheme="minorHAnsi"/>
          <w:i w:val="0"/>
          <w:sz w:val="22"/>
          <w:szCs w:val="22"/>
        </w:rPr>
        <w:t>overall</w:t>
      </w: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Pr="00D21DF6">
        <w:rPr>
          <w:rFonts w:asciiTheme="minorHAnsi" w:hAnsiTheme="minorHAnsi" w:cstheme="minorHAnsi"/>
          <w:i w:val="0"/>
          <w:sz w:val="22"/>
          <w:szCs w:val="22"/>
        </w:rPr>
        <w:t>response rates</w:t>
      </w:r>
      <w:r w:rsidRPr="00076D5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at the end of the data collection period</w:t>
      </w:r>
    </w:p>
    <w:p w14:paraId="766A71D7" w14:textId="5C7F0FE0" w:rsidR="00186CAA" w:rsidRPr="00076D56" w:rsidRDefault="00186CAA" w:rsidP="00076D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6D56">
        <w:rPr>
          <w:rFonts w:asciiTheme="minorHAnsi" w:hAnsiTheme="minorHAnsi" w:cstheme="minorHAnsi"/>
          <w:sz w:val="22"/>
          <w:szCs w:val="22"/>
        </w:rPr>
        <w:t xml:space="preserve">Effects on </w:t>
      </w:r>
      <w:r w:rsidRPr="00D21DF6">
        <w:rPr>
          <w:rFonts w:asciiTheme="minorHAnsi" w:hAnsiTheme="minorHAnsi" w:cstheme="minorHAnsi"/>
          <w:b/>
          <w:i/>
          <w:sz w:val="22"/>
          <w:szCs w:val="22"/>
        </w:rPr>
        <w:t>differential</w:t>
      </w:r>
      <w:r w:rsidRPr="00076D56">
        <w:rPr>
          <w:rFonts w:asciiTheme="minorHAnsi" w:hAnsiTheme="minorHAnsi" w:cstheme="minorHAnsi"/>
          <w:sz w:val="22"/>
          <w:szCs w:val="22"/>
        </w:rPr>
        <w:t xml:space="preserve"> </w:t>
      </w:r>
      <w:r w:rsidRPr="00D21DF6">
        <w:rPr>
          <w:rFonts w:asciiTheme="minorHAnsi" w:hAnsiTheme="minorHAnsi" w:cstheme="minorHAnsi"/>
          <w:b/>
          <w:sz w:val="22"/>
          <w:szCs w:val="22"/>
        </w:rPr>
        <w:t>response rates</w:t>
      </w:r>
      <w:r w:rsidRPr="00076D56">
        <w:rPr>
          <w:rFonts w:asciiTheme="minorHAnsi" w:hAnsiTheme="minorHAnsi" w:cstheme="minorHAnsi"/>
          <w:sz w:val="22"/>
          <w:szCs w:val="22"/>
        </w:rPr>
        <w:t xml:space="preserve"> at the end of the data collection period</w:t>
      </w:r>
    </w:p>
    <w:p w14:paraId="1190F6DE" w14:textId="19286D89" w:rsidR="00186CAA" w:rsidRPr="00076D56" w:rsidRDefault="00186CAA" w:rsidP="00076D5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6D56">
        <w:rPr>
          <w:rFonts w:asciiTheme="minorHAnsi" w:hAnsiTheme="minorHAnsi" w:cstheme="minorHAnsi"/>
          <w:sz w:val="22"/>
          <w:szCs w:val="22"/>
        </w:rPr>
        <w:t xml:space="preserve">Effects on </w:t>
      </w:r>
      <w:r w:rsidR="00076D56" w:rsidRPr="00076D56">
        <w:rPr>
          <w:rFonts w:asciiTheme="minorHAnsi" w:hAnsiTheme="minorHAnsi" w:cstheme="minorHAnsi"/>
          <w:sz w:val="22"/>
          <w:szCs w:val="22"/>
        </w:rPr>
        <w:t>overall response rates at the end of the early bird period</w:t>
      </w:r>
    </w:p>
    <w:p w14:paraId="16BF7248" w14:textId="77777777" w:rsidR="00B9146B" w:rsidRDefault="00B9146B" w:rsidP="00186CAA">
      <w:pPr>
        <w:pStyle w:val="Heading2"/>
        <w:spacing w:before="0" w:after="0"/>
        <w:rPr>
          <w:rFonts w:asciiTheme="minorHAnsi" w:hAnsiTheme="minorHAnsi" w:cstheme="minorHAnsi"/>
          <w:i w:val="0"/>
        </w:rPr>
      </w:pPr>
    </w:p>
    <w:p w14:paraId="6A27F70D" w14:textId="6190C1B2" w:rsidR="009E620F" w:rsidRPr="00C24236" w:rsidRDefault="00516854" w:rsidP="00186CAA">
      <w:pPr>
        <w:pStyle w:val="Heading2"/>
        <w:spacing w:before="0" w:after="0"/>
        <w:rPr>
          <w:rFonts w:asciiTheme="minorHAnsi" w:hAnsiTheme="minorHAnsi" w:cstheme="minorHAnsi"/>
          <w:i w:val="0"/>
          <w:sz w:val="32"/>
          <w:szCs w:val="32"/>
        </w:rPr>
      </w:pPr>
      <w:r w:rsidRPr="00C24236">
        <w:rPr>
          <w:rFonts w:asciiTheme="minorHAnsi" w:hAnsiTheme="minorHAnsi" w:cstheme="minorHAnsi"/>
          <w:i w:val="0"/>
          <w:sz w:val="32"/>
          <w:szCs w:val="32"/>
        </w:rPr>
        <w:t>MIHOPE 15-month F</w:t>
      </w:r>
      <w:r w:rsidR="009E620F" w:rsidRPr="00C24236">
        <w:rPr>
          <w:rFonts w:asciiTheme="minorHAnsi" w:hAnsiTheme="minorHAnsi" w:cstheme="minorHAnsi"/>
          <w:i w:val="0"/>
          <w:sz w:val="32"/>
          <w:szCs w:val="32"/>
        </w:rPr>
        <w:t>ollow-up Data Collection</w:t>
      </w:r>
      <w:bookmarkEnd w:id="0"/>
    </w:p>
    <w:p w14:paraId="333DB68B" w14:textId="77777777" w:rsidR="00BF28C4" w:rsidRDefault="00BF28C4" w:rsidP="00186CAA">
      <w:pPr>
        <w:rPr>
          <w:rFonts w:asciiTheme="minorHAnsi" w:hAnsiTheme="minorHAnsi" w:cstheme="minorHAnsi"/>
          <w:b/>
          <w:sz w:val="24"/>
          <w:szCs w:val="24"/>
        </w:rPr>
      </w:pPr>
    </w:p>
    <w:p w14:paraId="1A3D8D7C" w14:textId="23AA3CF7" w:rsidR="00393FF3" w:rsidRPr="005E47B0" w:rsidRDefault="00A12C1A" w:rsidP="00186CA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Initial </w:t>
      </w:r>
      <w:r w:rsidR="00CA3755">
        <w:rPr>
          <w:rFonts w:asciiTheme="minorHAnsi" w:hAnsiTheme="minorHAnsi" w:cstheme="minorHAnsi"/>
          <w:b/>
          <w:sz w:val="24"/>
          <w:szCs w:val="24"/>
        </w:rPr>
        <w:t>P</w:t>
      </w:r>
      <w:r>
        <w:rPr>
          <w:rFonts w:asciiTheme="minorHAnsi" w:hAnsiTheme="minorHAnsi" w:cstheme="minorHAnsi"/>
          <w:b/>
          <w:sz w:val="24"/>
          <w:szCs w:val="24"/>
        </w:rPr>
        <w:t xml:space="preserve">lans for </w:t>
      </w:r>
      <w:r w:rsidR="004C1147" w:rsidRPr="005E47B0">
        <w:rPr>
          <w:rFonts w:asciiTheme="minorHAnsi" w:hAnsiTheme="minorHAnsi" w:cstheme="minorHAnsi"/>
          <w:b/>
          <w:sz w:val="24"/>
          <w:szCs w:val="24"/>
        </w:rPr>
        <w:t xml:space="preserve">Data Collection </w:t>
      </w:r>
    </w:p>
    <w:p w14:paraId="466986C4" w14:textId="6052BE65" w:rsidR="00FA6AA4" w:rsidRPr="004C1147" w:rsidRDefault="00D21DF6" w:rsidP="00186CA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The Mother and Infant Home Visiting Program Evaluation (</w:t>
      </w:r>
      <w:r w:rsidR="00495575">
        <w:rPr>
          <w:rFonts w:asciiTheme="minorHAnsi" w:hAnsiTheme="minorHAnsi" w:cstheme="minorHAnsi"/>
          <w:sz w:val="22"/>
        </w:rPr>
        <w:t>MIHOPE</w:t>
      </w:r>
      <w:r>
        <w:rPr>
          <w:rFonts w:asciiTheme="minorHAnsi" w:hAnsiTheme="minorHAnsi" w:cstheme="minorHAnsi"/>
          <w:sz w:val="22"/>
        </w:rPr>
        <w:t>)</w:t>
      </w:r>
      <w:r w:rsidR="00495575">
        <w:rPr>
          <w:rFonts w:asciiTheme="minorHAnsi" w:hAnsiTheme="minorHAnsi" w:cstheme="minorHAnsi"/>
          <w:sz w:val="22"/>
        </w:rPr>
        <w:t xml:space="preserve"> is a longitudinal study </w:t>
      </w:r>
      <w:r w:rsidR="00D76BC6">
        <w:rPr>
          <w:rFonts w:asciiTheme="minorHAnsi" w:hAnsiTheme="minorHAnsi" w:cstheme="minorHAnsi"/>
          <w:sz w:val="22"/>
        </w:rPr>
        <w:t>providing information about the effectiveness of the Maternal, Infant, and Early Childhood Home Visiting (MIECHV) program</w:t>
      </w:r>
      <w:r w:rsidR="00495575">
        <w:rPr>
          <w:rFonts w:asciiTheme="minorHAnsi" w:hAnsiTheme="minorHAnsi" w:cstheme="minorHAnsi"/>
          <w:sz w:val="22"/>
        </w:rPr>
        <w:t>.</w:t>
      </w:r>
      <w:r w:rsidR="00EC1738">
        <w:rPr>
          <w:rFonts w:asciiTheme="minorHAnsi" w:hAnsiTheme="minorHAnsi" w:cstheme="minorHAnsi"/>
          <w:sz w:val="22"/>
        </w:rPr>
        <w:t xml:space="preserve"> </w:t>
      </w:r>
      <w:r w:rsidR="00D76BC6">
        <w:rPr>
          <w:rFonts w:asciiTheme="minorHAnsi" w:hAnsiTheme="minorHAnsi" w:cstheme="minorHAnsi"/>
          <w:sz w:val="22"/>
        </w:rPr>
        <w:t xml:space="preserve">Families enrolled in the study between </w:t>
      </w:r>
      <w:r w:rsidR="006807E6">
        <w:rPr>
          <w:rFonts w:asciiTheme="minorHAnsi" w:hAnsiTheme="minorHAnsi" w:cstheme="minorHAnsi"/>
          <w:sz w:val="22"/>
        </w:rPr>
        <w:t xml:space="preserve">2012 and 2015. </w:t>
      </w:r>
      <w:r w:rsidR="009E620F" w:rsidRPr="004C1147">
        <w:rPr>
          <w:rFonts w:asciiTheme="minorHAnsi" w:hAnsiTheme="minorHAnsi" w:cstheme="minorHAnsi"/>
          <w:sz w:val="22"/>
        </w:rPr>
        <w:t>When child</w:t>
      </w:r>
      <w:r w:rsidR="00FA6AA4" w:rsidRPr="004C1147">
        <w:rPr>
          <w:rFonts w:asciiTheme="minorHAnsi" w:hAnsiTheme="minorHAnsi" w:cstheme="minorHAnsi"/>
          <w:sz w:val="22"/>
        </w:rPr>
        <w:t>ren in the MIHOPE sample were</w:t>
      </w:r>
      <w:r w:rsidR="009E620F" w:rsidRPr="004C1147">
        <w:rPr>
          <w:rFonts w:asciiTheme="minorHAnsi" w:hAnsiTheme="minorHAnsi" w:cstheme="minorHAnsi"/>
          <w:sz w:val="22"/>
        </w:rPr>
        <w:t xml:space="preserve"> approximately 15 months old, families </w:t>
      </w:r>
      <w:r w:rsidR="00FA6AA4" w:rsidRPr="004C1147">
        <w:rPr>
          <w:rFonts w:asciiTheme="minorHAnsi" w:hAnsiTheme="minorHAnsi" w:cstheme="minorHAnsi"/>
          <w:sz w:val="22"/>
        </w:rPr>
        <w:t>were</w:t>
      </w:r>
      <w:r w:rsidR="009E620F" w:rsidRPr="004C1147">
        <w:rPr>
          <w:rFonts w:asciiTheme="minorHAnsi" w:hAnsiTheme="minorHAnsi" w:cstheme="minorHAnsi"/>
          <w:sz w:val="22"/>
        </w:rPr>
        <w:t xml:space="preserve"> contacted and invited to participate in a 60-minute telephone interview and a 90-minute in-home </w:t>
      </w:r>
      <w:r w:rsidR="00FA6AA4" w:rsidRPr="004C1147">
        <w:rPr>
          <w:rFonts w:asciiTheme="minorHAnsi" w:hAnsiTheme="minorHAnsi" w:cstheme="minorHAnsi"/>
          <w:sz w:val="22"/>
        </w:rPr>
        <w:t>visit</w:t>
      </w:r>
      <w:r w:rsidR="005F4B0B">
        <w:rPr>
          <w:rFonts w:asciiTheme="minorHAnsi" w:hAnsiTheme="minorHAnsi" w:cstheme="minorHAnsi"/>
          <w:sz w:val="22"/>
        </w:rPr>
        <w:t>.</w:t>
      </w:r>
      <w:r w:rsidR="00F63715">
        <w:rPr>
          <w:rFonts w:asciiTheme="minorHAnsi" w:hAnsiTheme="minorHAnsi" w:cstheme="minorHAnsi"/>
          <w:sz w:val="22"/>
        </w:rPr>
        <w:t xml:space="preserve"> </w:t>
      </w:r>
      <w:r w:rsidR="005F4B0B">
        <w:rPr>
          <w:rFonts w:asciiTheme="minorHAnsi" w:hAnsiTheme="minorHAnsi" w:cstheme="minorHAnsi"/>
          <w:sz w:val="22"/>
        </w:rPr>
        <w:t>I</w:t>
      </w:r>
      <w:r w:rsidR="006801F8">
        <w:rPr>
          <w:rFonts w:asciiTheme="minorHAnsi" w:hAnsiTheme="minorHAnsi" w:cstheme="minorHAnsi"/>
          <w:sz w:val="22"/>
        </w:rPr>
        <w:t xml:space="preserve">nitial communications to participants </w:t>
      </w:r>
      <w:r w:rsidR="0038583A">
        <w:rPr>
          <w:rFonts w:asciiTheme="minorHAnsi" w:hAnsiTheme="minorHAnsi" w:cstheme="minorHAnsi"/>
          <w:sz w:val="22"/>
        </w:rPr>
        <w:t xml:space="preserve">included information about both the phone interview incentive and </w:t>
      </w:r>
      <w:r w:rsidR="00CA3755">
        <w:rPr>
          <w:rFonts w:asciiTheme="minorHAnsi" w:hAnsiTheme="minorHAnsi" w:cstheme="minorHAnsi"/>
          <w:sz w:val="22"/>
        </w:rPr>
        <w:t>in-home visit incentive</w:t>
      </w:r>
      <w:r w:rsidR="009E620F" w:rsidRPr="004C1147">
        <w:rPr>
          <w:rFonts w:asciiTheme="minorHAnsi" w:hAnsiTheme="minorHAnsi" w:cstheme="minorHAnsi"/>
          <w:sz w:val="22"/>
        </w:rPr>
        <w:t xml:space="preserve">. </w:t>
      </w:r>
      <w:r w:rsidR="0018052B">
        <w:rPr>
          <w:rFonts w:asciiTheme="minorHAnsi" w:hAnsiTheme="minorHAnsi" w:cstheme="minorHAnsi"/>
          <w:sz w:val="22"/>
        </w:rPr>
        <w:t xml:space="preserve">Respondents were first invited to complete the phone interview. </w:t>
      </w:r>
      <w:r w:rsidR="00531552">
        <w:rPr>
          <w:rFonts w:asciiTheme="minorHAnsi" w:hAnsiTheme="minorHAnsi" w:cstheme="minorHAnsi"/>
          <w:sz w:val="22"/>
        </w:rPr>
        <w:t xml:space="preserve">If families had not completed the telephone interview within </w:t>
      </w:r>
      <w:r w:rsidR="0018052B">
        <w:rPr>
          <w:rFonts w:asciiTheme="minorHAnsi" w:hAnsiTheme="minorHAnsi" w:cstheme="minorHAnsi"/>
          <w:sz w:val="22"/>
        </w:rPr>
        <w:t xml:space="preserve">four weeks, </w:t>
      </w:r>
      <w:r w:rsidR="00531552">
        <w:rPr>
          <w:rFonts w:asciiTheme="minorHAnsi" w:hAnsiTheme="minorHAnsi" w:cstheme="minorHAnsi"/>
          <w:sz w:val="22"/>
        </w:rPr>
        <w:t>field staff followed up with them to invite them to complete the phone interview and the in-home visit</w:t>
      </w:r>
      <w:r w:rsidR="004B33C9">
        <w:rPr>
          <w:rFonts w:asciiTheme="minorHAnsi" w:hAnsiTheme="minorHAnsi" w:cstheme="minorHAnsi"/>
          <w:sz w:val="22"/>
        </w:rPr>
        <w:t xml:space="preserve"> (this is referred to as in-person locating).</w:t>
      </w:r>
      <w:r w:rsidR="00531552">
        <w:rPr>
          <w:rFonts w:asciiTheme="minorHAnsi" w:hAnsiTheme="minorHAnsi" w:cstheme="minorHAnsi"/>
          <w:sz w:val="22"/>
        </w:rPr>
        <w:t xml:space="preserve"> </w:t>
      </w:r>
      <w:r w:rsidR="00BB415D">
        <w:rPr>
          <w:rFonts w:asciiTheme="minorHAnsi" w:hAnsiTheme="minorHAnsi" w:cstheme="minorHAnsi"/>
          <w:sz w:val="22"/>
        </w:rPr>
        <w:t xml:space="preserve">The data collection period </w:t>
      </w:r>
      <w:r w:rsidR="00841430">
        <w:rPr>
          <w:rFonts w:asciiTheme="minorHAnsi" w:hAnsiTheme="minorHAnsi" w:cstheme="minorHAnsi"/>
          <w:sz w:val="22"/>
        </w:rPr>
        <w:t xml:space="preserve">for each family </w:t>
      </w:r>
      <w:r w:rsidR="00BB415D">
        <w:rPr>
          <w:rFonts w:asciiTheme="minorHAnsi" w:hAnsiTheme="minorHAnsi" w:cstheme="minorHAnsi"/>
          <w:sz w:val="22"/>
        </w:rPr>
        <w:t xml:space="preserve">was </w:t>
      </w:r>
      <w:r w:rsidR="00232877">
        <w:rPr>
          <w:rFonts w:asciiTheme="minorHAnsi" w:hAnsiTheme="minorHAnsi" w:cstheme="minorHAnsi"/>
          <w:sz w:val="22"/>
        </w:rPr>
        <w:t xml:space="preserve">approximately </w:t>
      </w:r>
      <w:r w:rsidR="00BB415D">
        <w:rPr>
          <w:rFonts w:asciiTheme="minorHAnsi" w:hAnsiTheme="minorHAnsi" w:cstheme="minorHAnsi"/>
          <w:sz w:val="22"/>
        </w:rPr>
        <w:t>22 weeks long.</w:t>
      </w:r>
    </w:p>
    <w:p w14:paraId="5963FA4C" w14:textId="77777777" w:rsidR="00FA6AA4" w:rsidRPr="004C1147" w:rsidRDefault="00FA6AA4" w:rsidP="009E620F">
      <w:pPr>
        <w:rPr>
          <w:rFonts w:asciiTheme="minorHAnsi" w:hAnsiTheme="minorHAnsi" w:cstheme="minorHAnsi"/>
          <w:sz w:val="22"/>
        </w:rPr>
      </w:pPr>
    </w:p>
    <w:p w14:paraId="181596E5" w14:textId="3430320D" w:rsidR="000A32B2" w:rsidRDefault="009E620F" w:rsidP="009E620F">
      <w:pPr>
        <w:rPr>
          <w:rFonts w:asciiTheme="minorHAnsi" w:hAnsiTheme="minorHAnsi" w:cstheme="minorHAnsi"/>
          <w:sz w:val="22"/>
        </w:rPr>
      </w:pPr>
      <w:r w:rsidRPr="004C1147">
        <w:rPr>
          <w:rFonts w:asciiTheme="minorHAnsi" w:hAnsiTheme="minorHAnsi" w:cstheme="minorHAnsi"/>
          <w:sz w:val="22"/>
        </w:rPr>
        <w:t xml:space="preserve">Families </w:t>
      </w:r>
      <w:r w:rsidR="00FA6AA4" w:rsidRPr="004C1147">
        <w:rPr>
          <w:rFonts w:asciiTheme="minorHAnsi" w:hAnsiTheme="minorHAnsi" w:cstheme="minorHAnsi"/>
          <w:sz w:val="22"/>
        </w:rPr>
        <w:t>were initially</w:t>
      </w:r>
      <w:r w:rsidRPr="004C1147">
        <w:rPr>
          <w:rFonts w:asciiTheme="minorHAnsi" w:hAnsiTheme="minorHAnsi" w:cstheme="minorHAnsi"/>
          <w:sz w:val="22"/>
        </w:rPr>
        <w:t xml:space="preserve"> offered gift cards valued at $25 for completing the interview and $20 for completing the in-home visit activities.</w:t>
      </w:r>
      <w:r w:rsidR="0067136E">
        <w:rPr>
          <w:rFonts w:asciiTheme="minorHAnsi" w:hAnsiTheme="minorHAnsi" w:cstheme="minorHAnsi"/>
          <w:sz w:val="22"/>
        </w:rPr>
        <w:t xml:space="preserve"> </w:t>
      </w:r>
    </w:p>
    <w:p w14:paraId="1989D4D8" w14:textId="5FBC44FE" w:rsidR="00A12C1A" w:rsidRDefault="00A12C1A" w:rsidP="000A32B2">
      <w:pPr>
        <w:rPr>
          <w:rFonts w:asciiTheme="minorHAnsi" w:hAnsiTheme="minorHAnsi" w:cstheme="minorHAnsi"/>
          <w:sz w:val="22"/>
        </w:rPr>
      </w:pPr>
    </w:p>
    <w:p w14:paraId="54AFBC28" w14:textId="440AAE2C" w:rsidR="00A12C1A" w:rsidRPr="001D256B" w:rsidRDefault="00A12C1A" w:rsidP="000A32B2">
      <w:pPr>
        <w:rPr>
          <w:rFonts w:asciiTheme="minorHAnsi" w:hAnsiTheme="minorHAnsi" w:cstheme="minorHAnsi"/>
          <w:b/>
          <w:sz w:val="22"/>
        </w:rPr>
      </w:pPr>
      <w:r w:rsidRPr="001D256B">
        <w:rPr>
          <w:rFonts w:asciiTheme="minorHAnsi" w:hAnsiTheme="minorHAnsi" w:cstheme="minorHAnsi"/>
          <w:b/>
          <w:sz w:val="22"/>
        </w:rPr>
        <w:t>Addition of Incentive Experiment</w:t>
      </w:r>
    </w:p>
    <w:p w14:paraId="3B7AD262" w14:textId="692DC0C4" w:rsidR="000A32B2" w:rsidRDefault="00FB516A" w:rsidP="000A32B2">
      <w:pPr>
        <w:rPr>
          <w:rFonts w:asciiTheme="minorHAnsi" w:hAnsiTheme="minorHAnsi" w:cstheme="minorHAnsi"/>
          <w:color w:val="FF0000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0A32B2" w:rsidRPr="00C1147E">
        <w:rPr>
          <w:rFonts w:asciiTheme="minorHAnsi" w:hAnsiTheme="minorHAnsi" w:cstheme="minorHAnsi"/>
          <w:sz w:val="22"/>
        </w:rPr>
        <w:t xml:space="preserve">esponse rates </w:t>
      </w:r>
      <w:r w:rsidR="005D2D8F">
        <w:rPr>
          <w:rFonts w:asciiTheme="minorHAnsi" w:hAnsiTheme="minorHAnsi" w:cstheme="minorHAnsi"/>
          <w:sz w:val="22"/>
        </w:rPr>
        <w:t xml:space="preserve">for cases </w:t>
      </w:r>
      <w:r w:rsidR="002A0C14">
        <w:rPr>
          <w:rFonts w:asciiTheme="minorHAnsi" w:hAnsiTheme="minorHAnsi" w:cstheme="minorHAnsi"/>
          <w:sz w:val="22"/>
        </w:rPr>
        <w:t>release</w:t>
      </w:r>
      <w:r w:rsidR="00D83D8B">
        <w:rPr>
          <w:rFonts w:asciiTheme="minorHAnsi" w:hAnsiTheme="minorHAnsi" w:cstheme="minorHAnsi"/>
          <w:sz w:val="22"/>
        </w:rPr>
        <w:t>d</w:t>
      </w:r>
      <w:r w:rsidR="002A0C14">
        <w:rPr>
          <w:rFonts w:asciiTheme="minorHAnsi" w:hAnsiTheme="minorHAnsi" w:cstheme="minorHAnsi"/>
          <w:sz w:val="22"/>
        </w:rPr>
        <w:t xml:space="preserve"> during the first four months of </w:t>
      </w:r>
      <w:r w:rsidR="005270B6">
        <w:rPr>
          <w:rFonts w:asciiTheme="minorHAnsi" w:hAnsiTheme="minorHAnsi" w:cstheme="minorHAnsi"/>
          <w:sz w:val="22"/>
        </w:rPr>
        <w:t>data collection</w:t>
      </w:r>
      <w:r w:rsidR="00642BF4">
        <w:rPr>
          <w:rFonts w:asciiTheme="minorHAnsi" w:hAnsiTheme="minorHAnsi" w:cstheme="minorHAnsi"/>
          <w:sz w:val="22"/>
        </w:rPr>
        <w:t xml:space="preserve"> </w:t>
      </w:r>
      <w:r w:rsidR="000A32B2" w:rsidRPr="00C1147E">
        <w:rPr>
          <w:rFonts w:asciiTheme="minorHAnsi" w:hAnsiTheme="minorHAnsi" w:cstheme="minorHAnsi"/>
          <w:sz w:val="22"/>
        </w:rPr>
        <w:t xml:space="preserve">were below the target of 85% for both the </w:t>
      </w:r>
      <w:r w:rsidR="0000506F">
        <w:rPr>
          <w:rFonts w:asciiTheme="minorHAnsi" w:hAnsiTheme="minorHAnsi" w:cstheme="minorHAnsi"/>
          <w:sz w:val="22"/>
        </w:rPr>
        <w:t>phone interview</w:t>
      </w:r>
      <w:r w:rsidR="0000506F" w:rsidRPr="00C1147E">
        <w:rPr>
          <w:rFonts w:asciiTheme="minorHAnsi" w:hAnsiTheme="minorHAnsi" w:cstheme="minorHAnsi"/>
          <w:sz w:val="22"/>
        </w:rPr>
        <w:t xml:space="preserve"> </w:t>
      </w:r>
      <w:r w:rsidR="000A32B2" w:rsidRPr="00C1147E">
        <w:rPr>
          <w:rFonts w:asciiTheme="minorHAnsi" w:hAnsiTheme="minorHAnsi" w:cstheme="minorHAnsi"/>
          <w:sz w:val="22"/>
        </w:rPr>
        <w:t xml:space="preserve">and the in-home data collection. For example, 66% of 191 cases fielded in April through July 2014 had responded to the follow-up </w:t>
      </w:r>
      <w:r w:rsidR="0023156C">
        <w:rPr>
          <w:rFonts w:asciiTheme="minorHAnsi" w:hAnsiTheme="minorHAnsi" w:cstheme="minorHAnsi"/>
          <w:sz w:val="22"/>
        </w:rPr>
        <w:t>phone interview</w:t>
      </w:r>
      <w:r w:rsidR="0023156C" w:rsidRPr="00C1147E">
        <w:rPr>
          <w:rFonts w:asciiTheme="minorHAnsi" w:hAnsiTheme="minorHAnsi" w:cstheme="minorHAnsi"/>
          <w:sz w:val="22"/>
        </w:rPr>
        <w:t xml:space="preserve"> </w:t>
      </w:r>
      <w:r w:rsidR="000A32B2" w:rsidRPr="00C1147E">
        <w:rPr>
          <w:rFonts w:asciiTheme="minorHAnsi" w:hAnsiTheme="minorHAnsi" w:cstheme="minorHAnsi"/>
          <w:sz w:val="22"/>
        </w:rPr>
        <w:t xml:space="preserve">and 63% had provided some data through the in-home assessments. </w:t>
      </w:r>
    </w:p>
    <w:p w14:paraId="31E2B6D7" w14:textId="77777777" w:rsidR="00C1147E" w:rsidRPr="00984C79" w:rsidRDefault="00C1147E" w:rsidP="000A32B2">
      <w:pPr>
        <w:rPr>
          <w:rFonts w:asciiTheme="minorHAnsi" w:hAnsiTheme="minorHAnsi" w:cstheme="minorHAnsi"/>
          <w:sz w:val="22"/>
        </w:rPr>
      </w:pPr>
    </w:p>
    <w:p w14:paraId="77CAB8C7" w14:textId="7AE926DA" w:rsidR="00C1147E" w:rsidRDefault="00C1147E" w:rsidP="000A32B2">
      <w:pPr>
        <w:rPr>
          <w:rFonts w:asciiTheme="minorHAnsi" w:hAnsiTheme="minorHAnsi" w:cstheme="minorHAnsi"/>
          <w:sz w:val="22"/>
        </w:rPr>
      </w:pPr>
      <w:r w:rsidRPr="00984C79">
        <w:rPr>
          <w:rFonts w:asciiTheme="minorHAnsi" w:hAnsiTheme="minorHAnsi" w:cstheme="minorHAnsi"/>
          <w:sz w:val="22"/>
        </w:rPr>
        <w:t>In addition, the percentage of mothers requiring in-person locati</w:t>
      </w:r>
      <w:r w:rsidR="004B33C9">
        <w:rPr>
          <w:rFonts w:asciiTheme="minorHAnsi" w:hAnsiTheme="minorHAnsi" w:cstheme="minorHAnsi"/>
          <w:sz w:val="22"/>
        </w:rPr>
        <w:t>ng</w:t>
      </w:r>
      <w:r w:rsidRPr="00984C79">
        <w:rPr>
          <w:rFonts w:asciiTheme="minorHAnsi" w:hAnsiTheme="minorHAnsi" w:cstheme="minorHAnsi"/>
          <w:sz w:val="22"/>
        </w:rPr>
        <w:t xml:space="preserve"> </w:t>
      </w:r>
      <w:r w:rsidR="003655D4" w:rsidRPr="00984C79">
        <w:rPr>
          <w:rFonts w:asciiTheme="minorHAnsi" w:hAnsiTheme="minorHAnsi" w:cstheme="minorHAnsi"/>
          <w:sz w:val="22"/>
        </w:rPr>
        <w:t>was</w:t>
      </w:r>
      <w:r w:rsidRPr="00984C79">
        <w:rPr>
          <w:rFonts w:asciiTheme="minorHAnsi" w:hAnsiTheme="minorHAnsi" w:cstheme="minorHAnsi"/>
          <w:sz w:val="22"/>
        </w:rPr>
        <w:t xml:space="preserve"> much higher than expected</w:t>
      </w:r>
      <w:r w:rsidR="003655D4" w:rsidRPr="00984C79">
        <w:rPr>
          <w:rFonts w:asciiTheme="minorHAnsi" w:hAnsiTheme="minorHAnsi" w:cstheme="minorHAnsi"/>
          <w:sz w:val="22"/>
        </w:rPr>
        <w:t xml:space="preserve"> during the </w:t>
      </w:r>
      <w:r w:rsidR="00BA5706" w:rsidRPr="00984C79">
        <w:rPr>
          <w:rFonts w:asciiTheme="minorHAnsi" w:hAnsiTheme="minorHAnsi" w:cstheme="minorHAnsi"/>
          <w:sz w:val="22"/>
        </w:rPr>
        <w:t xml:space="preserve">first portion of the </w:t>
      </w:r>
      <w:r w:rsidR="003655D4" w:rsidRPr="00984C79">
        <w:rPr>
          <w:rFonts w:asciiTheme="minorHAnsi" w:hAnsiTheme="minorHAnsi" w:cstheme="minorHAnsi"/>
          <w:sz w:val="22"/>
        </w:rPr>
        <w:t>fielding period</w:t>
      </w:r>
      <w:r w:rsidRPr="00984C79">
        <w:rPr>
          <w:rFonts w:asciiTheme="minorHAnsi" w:hAnsiTheme="minorHAnsi" w:cstheme="minorHAnsi"/>
          <w:sz w:val="22"/>
        </w:rPr>
        <w:t xml:space="preserve">. Initially, the study planned to try to reach mothers by phone for </w:t>
      </w:r>
      <w:r w:rsidR="00A12C1A">
        <w:rPr>
          <w:rFonts w:asciiTheme="minorHAnsi" w:hAnsiTheme="minorHAnsi" w:cstheme="minorHAnsi"/>
          <w:sz w:val="22"/>
        </w:rPr>
        <w:t xml:space="preserve">four weeks </w:t>
      </w:r>
      <w:r w:rsidRPr="00984C79">
        <w:rPr>
          <w:rFonts w:asciiTheme="minorHAnsi" w:hAnsiTheme="minorHAnsi" w:cstheme="minorHAnsi"/>
          <w:sz w:val="22"/>
        </w:rPr>
        <w:t>and then, if they did</w:t>
      </w:r>
      <w:r w:rsidR="00BA5706" w:rsidRPr="00984C79">
        <w:rPr>
          <w:rFonts w:asciiTheme="minorHAnsi" w:hAnsiTheme="minorHAnsi" w:cstheme="minorHAnsi"/>
          <w:sz w:val="22"/>
        </w:rPr>
        <w:t xml:space="preserve"> not</w:t>
      </w:r>
      <w:r w:rsidRPr="00984C79">
        <w:rPr>
          <w:rFonts w:asciiTheme="minorHAnsi" w:hAnsiTheme="minorHAnsi" w:cstheme="minorHAnsi"/>
          <w:sz w:val="22"/>
        </w:rPr>
        <w:t xml:space="preserve"> respond, use field staff to try to locate them for </w:t>
      </w:r>
      <w:r w:rsidR="00481265">
        <w:rPr>
          <w:rFonts w:asciiTheme="minorHAnsi" w:hAnsiTheme="minorHAnsi" w:cstheme="minorHAnsi"/>
          <w:sz w:val="22"/>
        </w:rPr>
        <w:t>approximately four</w:t>
      </w:r>
      <w:r w:rsidR="00A12C1A">
        <w:rPr>
          <w:rFonts w:asciiTheme="minorHAnsi" w:hAnsiTheme="minorHAnsi" w:cstheme="minorHAnsi"/>
          <w:sz w:val="22"/>
        </w:rPr>
        <w:t xml:space="preserve"> </w:t>
      </w:r>
      <w:r w:rsidRPr="00984C79">
        <w:rPr>
          <w:rFonts w:asciiTheme="minorHAnsi" w:hAnsiTheme="minorHAnsi" w:cstheme="minorHAnsi"/>
          <w:sz w:val="22"/>
        </w:rPr>
        <w:t xml:space="preserve">months. The project assumed that about half of mothers would complete the </w:t>
      </w:r>
      <w:r w:rsidR="0000506F">
        <w:rPr>
          <w:rFonts w:asciiTheme="minorHAnsi" w:hAnsiTheme="minorHAnsi" w:cstheme="minorHAnsi"/>
          <w:sz w:val="22"/>
        </w:rPr>
        <w:t xml:space="preserve">phone </w:t>
      </w:r>
      <w:r w:rsidR="0000506F">
        <w:rPr>
          <w:rFonts w:asciiTheme="minorHAnsi" w:hAnsiTheme="minorHAnsi" w:cstheme="minorHAnsi"/>
          <w:sz w:val="22"/>
        </w:rPr>
        <w:lastRenderedPageBreak/>
        <w:t>interview</w:t>
      </w:r>
      <w:r w:rsidR="0000506F" w:rsidRPr="00984C79">
        <w:rPr>
          <w:rFonts w:asciiTheme="minorHAnsi" w:hAnsiTheme="minorHAnsi" w:cstheme="minorHAnsi"/>
          <w:sz w:val="22"/>
        </w:rPr>
        <w:t xml:space="preserve"> </w:t>
      </w:r>
      <w:r w:rsidRPr="00984C79">
        <w:rPr>
          <w:rFonts w:asciiTheme="minorHAnsi" w:hAnsiTheme="minorHAnsi" w:cstheme="minorHAnsi"/>
          <w:sz w:val="22"/>
        </w:rPr>
        <w:t>by responding to telephone calls or by calling the Mathematica Survey Operations Center and the remainder would require in-person location</w:t>
      </w:r>
      <w:r w:rsidR="009C1A9B" w:rsidRPr="00984C79">
        <w:rPr>
          <w:rFonts w:asciiTheme="minorHAnsi" w:hAnsiTheme="minorHAnsi" w:cstheme="minorHAnsi"/>
          <w:sz w:val="22"/>
        </w:rPr>
        <w:t xml:space="preserve"> by field staff</w:t>
      </w:r>
      <w:r w:rsidRPr="00984C79">
        <w:rPr>
          <w:rFonts w:asciiTheme="minorHAnsi" w:hAnsiTheme="minorHAnsi" w:cstheme="minorHAnsi"/>
          <w:sz w:val="22"/>
        </w:rPr>
        <w:t xml:space="preserve">. However, </w:t>
      </w:r>
      <w:r w:rsidR="00884F43" w:rsidRPr="00984C79">
        <w:rPr>
          <w:rFonts w:asciiTheme="minorHAnsi" w:hAnsiTheme="minorHAnsi" w:cstheme="minorHAnsi"/>
          <w:sz w:val="22"/>
        </w:rPr>
        <w:t>during</w:t>
      </w:r>
      <w:r w:rsidR="00877CE5" w:rsidRPr="00984C79">
        <w:rPr>
          <w:rFonts w:asciiTheme="minorHAnsi" w:hAnsiTheme="minorHAnsi" w:cstheme="minorHAnsi"/>
          <w:sz w:val="22"/>
        </w:rPr>
        <w:t xml:space="preserve"> the first portion of the fielding period, </w:t>
      </w:r>
      <w:r w:rsidRPr="00984C79">
        <w:rPr>
          <w:rFonts w:asciiTheme="minorHAnsi" w:hAnsiTheme="minorHAnsi" w:cstheme="minorHAnsi"/>
          <w:sz w:val="22"/>
        </w:rPr>
        <w:t xml:space="preserve">only approximately 30% of mothers completed the </w:t>
      </w:r>
      <w:r w:rsidR="0000506F">
        <w:rPr>
          <w:rFonts w:asciiTheme="minorHAnsi" w:hAnsiTheme="minorHAnsi" w:cstheme="minorHAnsi"/>
          <w:sz w:val="22"/>
        </w:rPr>
        <w:t>phone interview</w:t>
      </w:r>
      <w:r w:rsidRPr="00984C79">
        <w:rPr>
          <w:rFonts w:asciiTheme="minorHAnsi" w:hAnsiTheme="minorHAnsi" w:cstheme="minorHAnsi"/>
          <w:sz w:val="22"/>
        </w:rPr>
        <w:t xml:space="preserve"> via phone, requiring field staff to locate and facilitate </w:t>
      </w:r>
      <w:r w:rsidR="0023156C">
        <w:rPr>
          <w:rFonts w:asciiTheme="minorHAnsi" w:hAnsiTheme="minorHAnsi" w:cstheme="minorHAnsi"/>
          <w:sz w:val="22"/>
        </w:rPr>
        <w:t>phone interview</w:t>
      </w:r>
      <w:r w:rsidR="0023156C" w:rsidRPr="00984C79">
        <w:rPr>
          <w:rFonts w:asciiTheme="minorHAnsi" w:hAnsiTheme="minorHAnsi" w:cstheme="minorHAnsi"/>
          <w:sz w:val="22"/>
        </w:rPr>
        <w:t xml:space="preserve"> </w:t>
      </w:r>
      <w:r w:rsidRPr="00984C79">
        <w:rPr>
          <w:rFonts w:asciiTheme="minorHAnsi" w:hAnsiTheme="minorHAnsi" w:cstheme="minorHAnsi"/>
          <w:sz w:val="22"/>
        </w:rPr>
        <w:t xml:space="preserve">completion for </w:t>
      </w:r>
      <w:r w:rsidR="00BB6378">
        <w:rPr>
          <w:rFonts w:asciiTheme="minorHAnsi" w:hAnsiTheme="minorHAnsi" w:cstheme="minorHAnsi"/>
          <w:sz w:val="22"/>
        </w:rPr>
        <w:t>an</w:t>
      </w:r>
      <w:r w:rsidR="00BB6378" w:rsidRPr="00984C79">
        <w:rPr>
          <w:rFonts w:asciiTheme="minorHAnsi" w:hAnsiTheme="minorHAnsi" w:cstheme="minorHAnsi"/>
          <w:sz w:val="22"/>
        </w:rPr>
        <w:t xml:space="preserve"> </w:t>
      </w:r>
      <w:r w:rsidR="009C2969">
        <w:rPr>
          <w:rFonts w:asciiTheme="minorHAnsi" w:hAnsiTheme="minorHAnsi" w:cstheme="minorHAnsi"/>
          <w:sz w:val="22"/>
        </w:rPr>
        <w:t xml:space="preserve">additional </w:t>
      </w:r>
      <w:r w:rsidRPr="00984C79">
        <w:rPr>
          <w:rFonts w:asciiTheme="minorHAnsi" w:hAnsiTheme="minorHAnsi" w:cstheme="minorHAnsi"/>
          <w:sz w:val="22"/>
        </w:rPr>
        <w:t>55%</w:t>
      </w:r>
      <w:r w:rsidR="00BB6378">
        <w:rPr>
          <w:rFonts w:asciiTheme="minorHAnsi" w:hAnsiTheme="minorHAnsi" w:cstheme="minorHAnsi"/>
          <w:sz w:val="22"/>
        </w:rPr>
        <w:t xml:space="preserve"> in order to reach the </w:t>
      </w:r>
      <w:r w:rsidR="00BB055B">
        <w:rPr>
          <w:rFonts w:asciiTheme="minorHAnsi" w:hAnsiTheme="minorHAnsi" w:cstheme="minorHAnsi"/>
          <w:sz w:val="22"/>
        </w:rPr>
        <w:t>85% target response rate</w:t>
      </w:r>
      <w:r w:rsidRPr="00984C79">
        <w:rPr>
          <w:rFonts w:asciiTheme="minorHAnsi" w:hAnsiTheme="minorHAnsi" w:cstheme="minorHAnsi"/>
          <w:sz w:val="22"/>
        </w:rPr>
        <w:t>. This resulted in increased data collection costs.</w:t>
      </w:r>
    </w:p>
    <w:p w14:paraId="13A88135" w14:textId="45535990" w:rsidR="00531552" w:rsidRDefault="00531552" w:rsidP="000A32B2">
      <w:pPr>
        <w:rPr>
          <w:rFonts w:asciiTheme="minorHAnsi" w:hAnsiTheme="minorHAnsi" w:cstheme="minorHAnsi"/>
          <w:sz w:val="22"/>
        </w:rPr>
      </w:pPr>
    </w:p>
    <w:p w14:paraId="299FCD91" w14:textId="0D3CEB97" w:rsidR="00A12C1A" w:rsidRPr="00984C79" w:rsidRDefault="00A12C1A" w:rsidP="000A32B2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We hypothesized that increasing the incentives would increase </w:t>
      </w:r>
      <w:r w:rsidR="002B497A">
        <w:rPr>
          <w:rFonts w:asciiTheme="minorHAnsi" w:hAnsiTheme="minorHAnsi" w:cstheme="minorHAnsi"/>
          <w:sz w:val="22"/>
        </w:rPr>
        <w:t>early</w:t>
      </w:r>
      <w:r>
        <w:rPr>
          <w:rFonts w:asciiTheme="minorHAnsi" w:hAnsiTheme="minorHAnsi" w:cstheme="minorHAnsi"/>
          <w:sz w:val="22"/>
        </w:rPr>
        <w:t xml:space="preserve"> response rates and decrease the need for in-person locating. Therefore, we proposed systematically studying whether increased incentives and/or an early bird incentive would impact response rates and need for in-person locating.</w:t>
      </w:r>
    </w:p>
    <w:p w14:paraId="7C31EC7C" w14:textId="12010F85" w:rsidR="00BF28C4" w:rsidRDefault="005E47B0" w:rsidP="009E620F">
      <w:pPr>
        <w:pStyle w:val="Heading2"/>
        <w:rPr>
          <w:rFonts w:asciiTheme="minorHAnsi" w:hAnsiTheme="minorHAnsi" w:cstheme="minorHAnsi"/>
          <w:i w:val="0"/>
          <w:sz w:val="32"/>
          <w:szCs w:val="32"/>
        </w:rPr>
      </w:pPr>
      <w:bookmarkStart w:id="2" w:name="_Toc478986086"/>
      <w:r w:rsidRPr="00C24236">
        <w:rPr>
          <w:rFonts w:asciiTheme="minorHAnsi" w:hAnsiTheme="minorHAnsi" w:cstheme="minorHAnsi"/>
          <w:i w:val="0"/>
          <w:sz w:val="32"/>
          <w:szCs w:val="32"/>
        </w:rPr>
        <w:t xml:space="preserve">Incentive </w:t>
      </w:r>
      <w:r w:rsidR="009E620F" w:rsidRPr="00C24236">
        <w:rPr>
          <w:rFonts w:asciiTheme="minorHAnsi" w:hAnsiTheme="minorHAnsi" w:cstheme="minorHAnsi"/>
          <w:i w:val="0"/>
          <w:sz w:val="32"/>
          <w:szCs w:val="32"/>
        </w:rPr>
        <w:t>Experiment</w:t>
      </w:r>
      <w:bookmarkEnd w:id="2"/>
      <w:r w:rsidR="00393FF3" w:rsidRPr="00C24236">
        <w:rPr>
          <w:rFonts w:asciiTheme="minorHAnsi" w:hAnsiTheme="minorHAnsi" w:cstheme="minorHAnsi"/>
          <w:i w:val="0"/>
          <w:sz w:val="32"/>
          <w:szCs w:val="32"/>
        </w:rPr>
        <w:t xml:space="preserve"> </w:t>
      </w:r>
      <w:r w:rsidR="00BF28C4">
        <w:rPr>
          <w:rFonts w:asciiTheme="minorHAnsi" w:hAnsiTheme="minorHAnsi" w:cstheme="minorHAnsi"/>
          <w:i w:val="0"/>
          <w:sz w:val="32"/>
          <w:szCs w:val="32"/>
        </w:rPr>
        <w:t>Design</w:t>
      </w:r>
    </w:p>
    <w:p w14:paraId="6D1AF2A8" w14:textId="77777777" w:rsidR="00BF28C4" w:rsidRDefault="00BF28C4" w:rsidP="009E620F">
      <w:pPr>
        <w:rPr>
          <w:rFonts w:asciiTheme="minorHAnsi" w:hAnsiTheme="minorHAnsi" w:cstheme="minorHAnsi"/>
          <w:sz w:val="22"/>
        </w:rPr>
      </w:pPr>
    </w:p>
    <w:p w14:paraId="7B6024EF" w14:textId="694E933B" w:rsidR="000B77F3" w:rsidRDefault="007C17BB" w:rsidP="007C17B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OMB approved conducting this experiment in </w:t>
      </w:r>
      <w:r w:rsidR="00B4500E">
        <w:rPr>
          <w:rFonts w:asciiTheme="minorHAnsi" w:hAnsiTheme="minorHAnsi" w:cstheme="minorHAnsi"/>
          <w:sz w:val="22"/>
        </w:rPr>
        <w:t>April 2015.</w:t>
      </w:r>
      <w:r w:rsidR="004C1147" w:rsidRPr="004C1147">
        <w:rPr>
          <w:rFonts w:asciiTheme="minorHAnsi" w:hAnsiTheme="minorHAnsi" w:cstheme="minorHAnsi"/>
          <w:sz w:val="22"/>
        </w:rPr>
        <w:t xml:space="preserve"> </w:t>
      </w:r>
      <w:r w:rsidR="00E16CC4" w:rsidRPr="004C1147">
        <w:rPr>
          <w:rFonts w:asciiTheme="minorHAnsi" w:hAnsiTheme="minorHAnsi" w:cstheme="minorHAnsi"/>
          <w:sz w:val="22"/>
        </w:rPr>
        <w:t xml:space="preserve">The experiment sample included </w:t>
      </w:r>
      <w:r w:rsidR="00E16CC4">
        <w:rPr>
          <w:rFonts w:asciiTheme="minorHAnsi" w:hAnsiTheme="minorHAnsi" w:cstheme="minorHAnsi"/>
          <w:sz w:val="22"/>
        </w:rPr>
        <w:t xml:space="preserve">the </w:t>
      </w:r>
      <w:r w:rsidR="00E16CC4" w:rsidRPr="004C1147">
        <w:rPr>
          <w:rFonts w:asciiTheme="minorHAnsi" w:hAnsiTheme="minorHAnsi" w:cstheme="minorHAnsi"/>
          <w:sz w:val="22"/>
        </w:rPr>
        <w:t xml:space="preserve">1,187 families </w:t>
      </w:r>
      <w:r w:rsidR="00E16CC4">
        <w:rPr>
          <w:rFonts w:asciiTheme="minorHAnsi" w:hAnsiTheme="minorHAnsi" w:cstheme="minorHAnsi"/>
          <w:sz w:val="22"/>
        </w:rPr>
        <w:t xml:space="preserve">participating in MIHOPE who had children approximately 15 months old </w:t>
      </w:r>
      <w:r w:rsidR="00E16CC4" w:rsidRPr="004C1147">
        <w:rPr>
          <w:rFonts w:asciiTheme="minorHAnsi" w:hAnsiTheme="minorHAnsi" w:cstheme="minorHAnsi"/>
          <w:sz w:val="22"/>
        </w:rPr>
        <w:t xml:space="preserve">between July 2015 and April 2016. </w:t>
      </w:r>
      <w:r w:rsidR="003847AB">
        <w:rPr>
          <w:rFonts w:asciiTheme="minorHAnsi" w:hAnsiTheme="minorHAnsi" w:cstheme="minorHAnsi"/>
          <w:sz w:val="22"/>
        </w:rPr>
        <w:t xml:space="preserve">The experiment </w:t>
      </w:r>
      <w:r w:rsidR="003847AB" w:rsidRPr="005B0006">
        <w:rPr>
          <w:rFonts w:asciiTheme="minorHAnsi" w:hAnsiTheme="minorHAnsi" w:cstheme="minorHAnsi"/>
          <w:sz w:val="22"/>
          <w:szCs w:val="22"/>
        </w:rPr>
        <w:t>used a factorial design,</w:t>
      </w:r>
      <w:r w:rsidR="00D706FF">
        <w:rPr>
          <w:rStyle w:val="FootnoteReference"/>
          <w:rFonts w:asciiTheme="minorHAnsi" w:hAnsiTheme="minorHAnsi" w:cstheme="minorHAnsi"/>
          <w:sz w:val="22"/>
          <w:szCs w:val="22"/>
        </w:rPr>
        <w:footnoteReference w:id="2"/>
      </w:r>
      <w:r w:rsidR="003847AB" w:rsidRPr="005B0006">
        <w:rPr>
          <w:rFonts w:asciiTheme="minorHAnsi" w:hAnsiTheme="minorHAnsi" w:cstheme="minorHAnsi"/>
          <w:sz w:val="22"/>
          <w:szCs w:val="22"/>
        </w:rPr>
        <w:t xml:space="preserve"> and f</w:t>
      </w:r>
      <w:r w:rsidR="009E620F" w:rsidRPr="005B0006">
        <w:rPr>
          <w:rFonts w:asciiTheme="minorHAnsi" w:hAnsiTheme="minorHAnsi" w:cstheme="minorHAnsi"/>
          <w:sz w:val="22"/>
          <w:szCs w:val="22"/>
        </w:rPr>
        <w:t xml:space="preserve">amilies were </w:t>
      </w:r>
      <w:r w:rsidR="004C1147" w:rsidRPr="005B0006">
        <w:rPr>
          <w:rFonts w:asciiTheme="minorHAnsi" w:hAnsiTheme="minorHAnsi" w:cstheme="minorHAnsi"/>
          <w:sz w:val="22"/>
          <w:szCs w:val="22"/>
        </w:rPr>
        <w:t>randomly assigned to</w:t>
      </w:r>
      <w:r w:rsidR="009E620F" w:rsidRPr="005B0006">
        <w:rPr>
          <w:rFonts w:asciiTheme="minorHAnsi" w:hAnsiTheme="minorHAnsi" w:cstheme="minorHAnsi"/>
          <w:sz w:val="22"/>
          <w:szCs w:val="22"/>
        </w:rPr>
        <w:t xml:space="preserve"> one of six experimental </w:t>
      </w:r>
      <w:r w:rsidRPr="005B0006">
        <w:rPr>
          <w:rFonts w:asciiTheme="minorHAnsi" w:hAnsiTheme="minorHAnsi" w:cstheme="minorHAnsi"/>
          <w:sz w:val="22"/>
          <w:szCs w:val="22"/>
        </w:rPr>
        <w:t>groups</w:t>
      </w:r>
      <w:r w:rsidR="009E620F" w:rsidRPr="005B00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1E7133" w14:textId="77777777" w:rsidR="000B77F3" w:rsidRDefault="000B77F3" w:rsidP="007C17BB">
      <w:pPr>
        <w:rPr>
          <w:rFonts w:asciiTheme="minorHAnsi" w:hAnsiTheme="minorHAnsi" w:cstheme="minorHAnsi"/>
          <w:sz w:val="22"/>
          <w:szCs w:val="22"/>
        </w:rPr>
      </w:pPr>
    </w:p>
    <w:p w14:paraId="63C7DBFF" w14:textId="77777777" w:rsidR="000B77F3" w:rsidRDefault="00FA6AA4" w:rsidP="007C17BB">
      <w:pPr>
        <w:rPr>
          <w:rFonts w:asciiTheme="minorHAnsi" w:hAnsiTheme="minorHAnsi" w:cstheme="minorHAnsi"/>
          <w:sz w:val="22"/>
          <w:szCs w:val="22"/>
        </w:rPr>
      </w:pPr>
      <w:r w:rsidRPr="005B0006">
        <w:rPr>
          <w:rFonts w:asciiTheme="minorHAnsi" w:hAnsiTheme="minorHAnsi" w:cstheme="minorHAnsi"/>
          <w:sz w:val="22"/>
          <w:szCs w:val="22"/>
        </w:rPr>
        <w:t>For the phone interview, families were offered</w:t>
      </w:r>
      <w:r w:rsidR="000B77F3">
        <w:rPr>
          <w:rFonts w:asciiTheme="minorHAnsi" w:hAnsiTheme="minorHAnsi" w:cstheme="minorHAnsi"/>
          <w:sz w:val="22"/>
          <w:szCs w:val="22"/>
        </w:rPr>
        <w:t>:</w:t>
      </w:r>
      <w:r w:rsidRPr="005B00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5C5551" w14:textId="51E014E2" w:rsidR="000B77F3" w:rsidRPr="00F7025E" w:rsidRDefault="00FA6AA4" w:rsidP="00F7025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 xml:space="preserve">the standard incentive amount ($25), </w:t>
      </w:r>
    </w:p>
    <w:p w14:paraId="683EDFCC" w14:textId="1C8E047C" w:rsidR="000B77F3" w:rsidRPr="00F7025E" w:rsidRDefault="00FA6AA4" w:rsidP="00F7025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 xml:space="preserve">a higher incentive amount ($35), or </w:t>
      </w:r>
    </w:p>
    <w:p w14:paraId="6341C21B" w14:textId="5D7A71A1" w:rsidR="000B77F3" w:rsidRPr="00F7025E" w:rsidRDefault="00FC1E68" w:rsidP="00F7025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 xml:space="preserve">an early bird incentive ($35 offered in the first four weeks of data collection and $25 offered after that). </w:t>
      </w:r>
    </w:p>
    <w:p w14:paraId="7C3FA157" w14:textId="77777777" w:rsidR="000B77F3" w:rsidRDefault="000B77F3" w:rsidP="000B77F3">
      <w:pPr>
        <w:rPr>
          <w:rFonts w:asciiTheme="minorHAnsi" w:hAnsiTheme="minorHAnsi" w:cstheme="minorHAnsi"/>
          <w:sz w:val="22"/>
          <w:szCs w:val="22"/>
        </w:rPr>
      </w:pPr>
    </w:p>
    <w:p w14:paraId="58F9F52D" w14:textId="77777777" w:rsidR="000B77F3" w:rsidRDefault="00FC1E68" w:rsidP="000B77F3">
      <w:pPr>
        <w:rPr>
          <w:rFonts w:asciiTheme="minorHAnsi" w:hAnsiTheme="minorHAnsi" w:cstheme="minorHAnsi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>For the in-home visit, f</w:t>
      </w:r>
      <w:r w:rsidR="00FA6AA4" w:rsidRPr="00F7025E">
        <w:rPr>
          <w:rFonts w:asciiTheme="minorHAnsi" w:hAnsiTheme="minorHAnsi" w:cstheme="minorHAnsi"/>
          <w:sz w:val="22"/>
          <w:szCs w:val="22"/>
        </w:rPr>
        <w:t>amilies were</w:t>
      </w:r>
      <w:r w:rsidRPr="00F7025E">
        <w:rPr>
          <w:rFonts w:asciiTheme="minorHAnsi" w:hAnsiTheme="minorHAnsi" w:cstheme="minorHAnsi"/>
          <w:sz w:val="22"/>
          <w:szCs w:val="22"/>
        </w:rPr>
        <w:t xml:space="preserve"> offered</w:t>
      </w:r>
      <w:r w:rsidR="000B77F3">
        <w:rPr>
          <w:rFonts w:asciiTheme="minorHAnsi" w:hAnsiTheme="minorHAnsi" w:cstheme="minorHAnsi"/>
          <w:sz w:val="22"/>
          <w:szCs w:val="22"/>
        </w:rPr>
        <w:t>:</w:t>
      </w:r>
    </w:p>
    <w:p w14:paraId="642B596C" w14:textId="70562E42" w:rsidR="000B77F3" w:rsidRPr="00F7025E" w:rsidRDefault="00FC1E68" w:rsidP="00F702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 xml:space="preserve">the standard incentive amount ($20) or </w:t>
      </w:r>
    </w:p>
    <w:p w14:paraId="05FBFA16" w14:textId="35399B14" w:rsidR="000B77F3" w:rsidRPr="00F7025E" w:rsidRDefault="00FC1E68" w:rsidP="00F7025E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t>the higher incentive amount ($40).</w:t>
      </w:r>
      <w:r w:rsidR="0009313D" w:rsidRPr="00F702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3F89E5" w14:textId="25D35183" w:rsidR="000B77F3" w:rsidRDefault="000B77F3" w:rsidP="00F7025E">
      <w:pPr>
        <w:ind w:left="45"/>
        <w:rPr>
          <w:rFonts w:asciiTheme="minorHAnsi" w:hAnsiTheme="minorHAnsi" w:cstheme="minorHAnsi"/>
          <w:sz w:val="22"/>
          <w:szCs w:val="22"/>
        </w:rPr>
      </w:pPr>
    </w:p>
    <w:p w14:paraId="36EAE2F6" w14:textId="0FBD7AFA" w:rsidR="00F7025E" w:rsidRDefault="00B246FC" w:rsidP="00F7025E">
      <w:pPr>
        <w:ind w:left="4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combination of these offered incentives yielded the following six groups</w:t>
      </w:r>
      <w:r w:rsidR="00E16CC4">
        <w:rPr>
          <w:rFonts w:asciiTheme="minorHAnsi" w:hAnsiTheme="minorHAnsi" w:cstheme="minorHAnsi"/>
          <w:sz w:val="22"/>
          <w:szCs w:val="22"/>
        </w:rPr>
        <w:t xml:space="preserve"> presented here as Table 1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732389C8" w14:textId="77777777" w:rsidR="002E4A75" w:rsidRDefault="002E4A75" w:rsidP="00F7025E">
      <w:pPr>
        <w:ind w:left="45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1861"/>
        <w:gridCol w:w="1628"/>
        <w:gridCol w:w="1374"/>
        <w:gridCol w:w="1530"/>
      </w:tblGrid>
      <w:tr w:rsidR="00F55A84" w14:paraId="6BA49D6C" w14:textId="555004CC" w:rsidTr="00492D64">
        <w:trPr>
          <w:jc w:val="center"/>
        </w:trPr>
        <w:tc>
          <w:tcPr>
            <w:tcW w:w="1861" w:type="dxa"/>
          </w:tcPr>
          <w:p w14:paraId="193ADDE3" w14:textId="1C2B30DD" w:rsidR="00F55A84" w:rsidRPr="002E4A75" w:rsidRDefault="00F55A84" w:rsidP="002E4A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4A75">
              <w:rPr>
                <w:rFonts w:asciiTheme="minorHAnsi" w:hAnsiTheme="minorHAnsi" w:cstheme="minorHAnsi"/>
                <w:b/>
                <w:sz w:val="22"/>
                <w:szCs w:val="22"/>
              </w:rPr>
              <w:t>Incentive Experiment Condition</w:t>
            </w:r>
          </w:p>
        </w:tc>
        <w:tc>
          <w:tcPr>
            <w:tcW w:w="1861" w:type="dxa"/>
          </w:tcPr>
          <w:p w14:paraId="025F1806" w14:textId="7007EE51" w:rsidR="00F55A84" w:rsidRPr="002E4A75" w:rsidRDefault="00F55A84" w:rsidP="002E4A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4A75">
              <w:rPr>
                <w:rFonts w:asciiTheme="minorHAnsi" w:hAnsiTheme="minorHAnsi" w:cstheme="minorHAnsi"/>
                <w:b/>
                <w:sz w:val="22"/>
                <w:szCs w:val="22"/>
              </w:rPr>
              <w:t>Phone Interview</w:t>
            </w:r>
          </w:p>
        </w:tc>
        <w:tc>
          <w:tcPr>
            <w:tcW w:w="1628" w:type="dxa"/>
          </w:tcPr>
          <w:p w14:paraId="15294765" w14:textId="7F889C9A" w:rsidR="00F55A84" w:rsidRPr="002E4A75" w:rsidRDefault="00F55A84" w:rsidP="002E4A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4A75">
              <w:rPr>
                <w:rFonts w:asciiTheme="minorHAnsi" w:hAnsiTheme="minorHAnsi" w:cstheme="minorHAnsi"/>
                <w:b/>
                <w:sz w:val="22"/>
                <w:szCs w:val="22"/>
              </w:rPr>
              <w:t>In-home</w:t>
            </w:r>
            <w:r w:rsidR="00DD6B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Visit</w:t>
            </w:r>
          </w:p>
        </w:tc>
        <w:tc>
          <w:tcPr>
            <w:tcW w:w="1374" w:type="dxa"/>
          </w:tcPr>
          <w:p w14:paraId="69080829" w14:textId="391D778B" w:rsidR="00F55A84" w:rsidRPr="002E4A75" w:rsidRDefault="00E16CC4" w:rsidP="002E4A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of Families Randomly Assigned</w:t>
            </w:r>
          </w:p>
        </w:tc>
        <w:tc>
          <w:tcPr>
            <w:tcW w:w="1530" w:type="dxa"/>
          </w:tcPr>
          <w:p w14:paraId="79D4ECC2" w14:textId="0AAED386" w:rsidR="00F55A84" w:rsidRPr="002E4A75" w:rsidRDefault="00295B51" w:rsidP="002E4A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Percentage</w:t>
            </w:r>
            <w:r w:rsidR="00F55A84" w:rsidRPr="002E4A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Experiment Sample</w:t>
            </w:r>
          </w:p>
        </w:tc>
      </w:tr>
      <w:tr w:rsidR="00F55A84" w14:paraId="18D4B7A5" w14:textId="788BC8D5" w:rsidTr="00492D64">
        <w:trPr>
          <w:jc w:val="center"/>
        </w:trPr>
        <w:tc>
          <w:tcPr>
            <w:tcW w:w="1861" w:type="dxa"/>
          </w:tcPr>
          <w:p w14:paraId="25381DC4" w14:textId="69E182C3" w:rsidR="00F55A84" w:rsidRDefault="00F55A84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861" w:type="dxa"/>
          </w:tcPr>
          <w:p w14:paraId="74DAA079" w14:textId="7882EE6A" w:rsidR="00F55A84" w:rsidRDefault="00F55A84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628" w:type="dxa"/>
          </w:tcPr>
          <w:p w14:paraId="024B2B9C" w14:textId="28B756CF" w:rsidR="00F55A84" w:rsidRDefault="00F55A84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374" w:type="dxa"/>
          </w:tcPr>
          <w:p w14:paraId="237A639F" w14:textId="68F65FC8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30" w:type="dxa"/>
          </w:tcPr>
          <w:p w14:paraId="25A4850C" w14:textId="0644FA18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16.68</w:t>
            </w:r>
          </w:p>
        </w:tc>
      </w:tr>
      <w:tr w:rsidR="00F55A84" w14:paraId="4DF2514B" w14:textId="3390E5F7" w:rsidTr="00492D64">
        <w:trPr>
          <w:jc w:val="center"/>
        </w:trPr>
        <w:tc>
          <w:tcPr>
            <w:tcW w:w="1861" w:type="dxa"/>
          </w:tcPr>
          <w:p w14:paraId="339602B8" w14:textId="6DDECC09" w:rsidR="00295B51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2A</w:t>
            </w:r>
          </w:p>
        </w:tc>
        <w:tc>
          <w:tcPr>
            <w:tcW w:w="1861" w:type="dxa"/>
          </w:tcPr>
          <w:p w14:paraId="1CF32C28" w14:textId="648C5EC6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</w:p>
        </w:tc>
        <w:tc>
          <w:tcPr>
            <w:tcW w:w="1628" w:type="dxa"/>
          </w:tcPr>
          <w:p w14:paraId="37F1AFCE" w14:textId="6E7DBB3A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374" w:type="dxa"/>
          </w:tcPr>
          <w:p w14:paraId="79511C46" w14:textId="1F3B16EE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30" w:type="dxa"/>
          </w:tcPr>
          <w:p w14:paraId="58D30EF1" w14:textId="38EB6262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16.76</w:t>
            </w:r>
          </w:p>
        </w:tc>
      </w:tr>
      <w:tr w:rsidR="00F55A84" w14:paraId="34D5CA9D" w14:textId="33F12811" w:rsidTr="00492D64">
        <w:trPr>
          <w:jc w:val="center"/>
        </w:trPr>
        <w:tc>
          <w:tcPr>
            <w:tcW w:w="1861" w:type="dxa"/>
          </w:tcPr>
          <w:p w14:paraId="642593D1" w14:textId="307DD3FF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3A</w:t>
            </w:r>
          </w:p>
        </w:tc>
        <w:tc>
          <w:tcPr>
            <w:tcW w:w="1861" w:type="dxa"/>
          </w:tcPr>
          <w:p w14:paraId="10A4B682" w14:textId="6A68C0E9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Early bird</w:t>
            </w:r>
          </w:p>
        </w:tc>
        <w:tc>
          <w:tcPr>
            <w:tcW w:w="1628" w:type="dxa"/>
          </w:tcPr>
          <w:p w14:paraId="19FA5D30" w14:textId="79712F4B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374" w:type="dxa"/>
          </w:tcPr>
          <w:p w14:paraId="744ECC57" w14:textId="392A0CBD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1530" w:type="dxa"/>
          </w:tcPr>
          <w:p w14:paraId="459AD8F6" w14:textId="1D377EE9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16.76</w:t>
            </w:r>
          </w:p>
        </w:tc>
      </w:tr>
      <w:tr w:rsidR="00F55A84" w14:paraId="48A2A710" w14:textId="60822577" w:rsidTr="00492D64">
        <w:trPr>
          <w:jc w:val="center"/>
        </w:trPr>
        <w:tc>
          <w:tcPr>
            <w:tcW w:w="1861" w:type="dxa"/>
          </w:tcPr>
          <w:p w14:paraId="08CAAA27" w14:textId="7C9EA6BC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1B</w:t>
            </w:r>
          </w:p>
        </w:tc>
        <w:tc>
          <w:tcPr>
            <w:tcW w:w="1861" w:type="dxa"/>
          </w:tcPr>
          <w:p w14:paraId="61EE47B9" w14:textId="5F400007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  <w:tc>
          <w:tcPr>
            <w:tcW w:w="1628" w:type="dxa"/>
          </w:tcPr>
          <w:p w14:paraId="0D426ED5" w14:textId="440A9857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</w:p>
        </w:tc>
        <w:tc>
          <w:tcPr>
            <w:tcW w:w="1374" w:type="dxa"/>
          </w:tcPr>
          <w:p w14:paraId="0015CE8B" w14:textId="750C78B9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1530" w:type="dxa"/>
          </w:tcPr>
          <w:p w14:paraId="7BE426BC" w14:textId="7A80475E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16.93</w:t>
            </w:r>
          </w:p>
        </w:tc>
      </w:tr>
      <w:tr w:rsidR="00F55A84" w14:paraId="32806128" w14:textId="7AAEF8B3" w:rsidTr="00492D64">
        <w:trPr>
          <w:jc w:val="center"/>
        </w:trPr>
        <w:tc>
          <w:tcPr>
            <w:tcW w:w="1861" w:type="dxa"/>
          </w:tcPr>
          <w:p w14:paraId="22EFE7CE" w14:textId="4756E349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  <w:tc>
          <w:tcPr>
            <w:tcW w:w="1861" w:type="dxa"/>
          </w:tcPr>
          <w:p w14:paraId="689C9F41" w14:textId="42495145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</w:p>
        </w:tc>
        <w:tc>
          <w:tcPr>
            <w:tcW w:w="1628" w:type="dxa"/>
          </w:tcPr>
          <w:p w14:paraId="5B965D26" w14:textId="2FA87DE1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</w:p>
        </w:tc>
        <w:tc>
          <w:tcPr>
            <w:tcW w:w="1374" w:type="dxa"/>
          </w:tcPr>
          <w:p w14:paraId="4D3D0404" w14:textId="263ECC39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30" w:type="dxa"/>
          </w:tcPr>
          <w:p w14:paraId="2587D55A" w14:textId="522D6FE9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16.34</w:t>
            </w:r>
          </w:p>
        </w:tc>
      </w:tr>
      <w:tr w:rsidR="00F55A84" w14:paraId="2F346206" w14:textId="6710ADF1" w:rsidTr="00492D64">
        <w:trPr>
          <w:jc w:val="center"/>
        </w:trPr>
        <w:tc>
          <w:tcPr>
            <w:tcW w:w="1861" w:type="dxa"/>
          </w:tcPr>
          <w:p w14:paraId="021C1A05" w14:textId="67A1BC1A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3B</w:t>
            </w:r>
          </w:p>
        </w:tc>
        <w:tc>
          <w:tcPr>
            <w:tcW w:w="1861" w:type="dxa"/>
          </w:tcPr>
          <w:p w14:paraId="0B1EE72B" w14:textId="4A660812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Early bird</w:t>
            </w:r>
          </w:p>
        </w:tc>
        <w:tc>
          <w:tcPr>
            <w:tcW w:w="1628" w:type="dxa"/>
          </w:tcPr>
          <w:p w14:paraId="3B971CB0" w14:textId="543396D7" w:rsidR="00F55A84" w:rsidRDefault="00295B51" w:rsidP="002E4A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Higher</w:t>
            </w:r>
          </w:p>
        </w:tc>
        <w:tc>
          <w:tcPr>
            <w:tcW w:w="1374" w:type="dxa"/>
          </w:tcPr>
          <w:p w14:paraId="1D69FD15" w14:textId="342B293E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530" w:type="dxa"/>
          </w:tcPr>
          <w:p w14:paraId="05EDE500" w14:textId="76DA0311" w:rsidR="00F55A84" w:rsidRDefault="00F55A84" w:rsidP="002E4A7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E47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16.51</w:t>
            </w:r>
          </w:p>
        </w:tc>
      </w:tr>
    </w:tbl>
    <w:p w14:paraId="408200B9" w14:textId="32B8E260" w:rsidR="00B246FC" w:rsidRDefault="00B246FC" w:rsidP="00F7025E">
      <w:pPr>
        <w:ind w:left="45"/>
        <w:rPr>
          <w:rFonts w:asciiTheme="minorHAnsi" w:hAnsiTheme="minorHAnsi" w:cstheme="minorHAnsi"/>
          <w:sz w:val="22"/>
          <w:szCs w:val="22"/>
        </w:rPr>
      </w:pPr>
    </w:p>
    <w:p w14:paraId="578D6476" w14:textId="77777777" w:rsidR="00492D64" w:rsidRDefault="00492D64">
      <w:pPr>
        <w:autoSpaceDE/>
        <w:autoSpaceDN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5669DAA" w14:textId="1DE79009" w:rsidR="00604936" w:rsidRPr="005E47B0" w:rsidRDefault="0009313D" w:rsidP="002E4A75">
      <w:pPr>
        <w:ind w:left="45"/>
        <w:rPr>
          <w:rFonts w:asciiTheme="minorHAnsi" w:hAnsiTheme="minorHAnsi" w:cstheme="minorHAnsi"/>
          <w:sz w:val="22"/>
        </w:rPr>
      </w:pPr>
      <w:r w:rsidRPr="00F7025E">
        <w:rPr>
          <w:rFonts w:asciiTheme="minorHAnsi" w:hAnsiTheme="minorHAnsi" w:cstheme="minorHAnsi"/>
          <w:sz w:val="22"/>
          <w:szCs w:val="22"/>
        </w:rPr>
        <w:lastRenderedPageBreak/>
        <w:t xml:space="preserve">The total amount offered to each group is </w:t>
      </w:r>
      <w:r w:rsidR="00AE7935">
        <w:rPr>
          <w:rFonts w:asciiTheme="minorHAnsi" w:hAnsiTheme="minorHAnsi" w:cstheme="minorHAnsi"/>
          <w:sz w:val="22"/>
          <w:szCs w:val="22"/>
        </w:rPr>
        <w:t>as follows</w:t>
      </w:r>
      <w:r w:rsidR="00E16CC4">
        <w:rPr>
          <w:rFonts w:asciiTheme="minorHAnsi" w:hAnsiTheme="minorHAnsi" w:cstheme="minorHAnsi"/>
          <w:sz w:val="22"/>
          <w:szCs w:val="22"/>
        </w:rPr>
        <w:t xml:space="preserve"> here in Table 2</w:t>
      </w:r>
      <w:r w:rsidR="00AE7935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79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12"/>
        <w:gridCol w:w="2216"/>
        <w:gridCol w:w="2252"/>
        <w:gridCol w:w="2340"/>
      </w:tblGrid>
      <w:tr w:rsidR="00846C29" w:rsidRPr="005E47B0" w14:paraId="0A1E5432" w14:textId="77777777" w:rsidTr="00846C29">
        <w:trPr>
          <w:gridBefore w:val="2"/>
          <w:wBefore w:w="3328" w:type="dxa"/>
          <w:trHeight w:val="444"/>
          <w:jc w:val="center"/>
        </w:trPr>
        <w:tc>
          <w:tcPr>
            <w:tcW w:w="4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CD7C4" w14:textId="5D0314CC" w:rsidR="00846C29" w:rsidRPr="005E47B0" w:rsidRDefault="00846C29" w:rsidP="002E4A7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4"/>
                <w:szCs w:val="24"/>
              </w:rPr>
            </w:pPr>
            <w:r w:rsidRPr="009624D7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In-home visit</w:t>
            </w:r>
          </w:p>
        </w:tc>
      </w:tr>
      <w:tr w:rsidR="00846C29" w:rsidRPr="005E47B0" w14:paraId="2CD8418C" w14:textId="77777777" w:rsidTr="00846C29">
        <w:trPr>
          <w:gridBefore w:val="2"/>
          <w:wBefore w:w="3328" w:type="dxa"/>
          <w:trHeight w:val="20"/>
          <w:jc w:val="center"/>
        </w:trPr>
        <w:tc>
          <w:tcPr>
            <w:tcW w:w="2252" w:type="dxa"/>
            <w:tcBorders>
              <w:top w:val="single" w:sz="8" w:space="0" w:color="A6A6A6"/>
              <w:left w:val="single" w:sz="4" w:space="0" w:color="A6A6A6" w:themeColor="background1" w:themeShade="A6"/>
              <w:bottom w:val="single" w:sz="12" w:space="0" w:color="808080"/>
              <w:right w:val="single" w:sz="4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F816A" w14:textId="5FA0B7E5" w:rsidR="00846C29" w:rsidRPr="002E4A75" w:rsidRDefault="00846C29" w:rsidP="002E4A75">
            <w:pPr>
              <w:pStyle w:val="ListParagraph"/>
              <w:numPr>
                <w:ilvl w:val="0"/>
                <w:numId w:val="10"/>
              </w:num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Standard </w:t>
            </w:r>
            <w:r w:rsidRPr="002E4A7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$20</w:t>
            </w:r>
          </w:p>
        </w:tc>
        <w:tc>
          <w:tcPr>
            <w:tcW w:w="2340" w:type="dxa"/>
            <w:tcBorders>
              <w:top w:val="single" w:sz="8" w:space="0" w:color="A6A6A6"/>
              <w:left w:val="single" w:sz="4" w:space="0" w:color="808080"/>
              <w:bottom w:val="single" w:sz="12" w:space="0" w:color="808080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471A2" w14:textId="33BBC786" w:rsidR="00846C29" w:rsidRPr="002E4A75" w:rsidRDefault="00846C29" w:rsidP="002E4A75">
            <w:pPr>
              <w:pStyle w:val="ListParagraph"/>
              <w:numPr>
                <w:ilvl w:val="0"/>
                <w:numId w:val="10"/>
              </w:num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Higher </w:t>
            </w:r>
            <w:r w:rsidRPr="002E4A7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$40</w:t>
            </w:r>
          </w:p>
        </w:tc>
      </w:tr>
      <w:tr w:rsidR="00AB40A2" w:rsidRPr="005E47B0" w14:paraId="6A1D979B" w14:textId="77777777" w:rsidTr="00492D64">
        <w:trPr>
          <w:trHeight w:val="20"/>
          <w:jc w:val="center"/>
        </w:trPr>
        <w:tc>
          <w:tcPr>
            <w:tcW w:w="1112" w:type="dxa"/>
            <w:vMerge w:val="restart"/>
            <w:tcBorders>
              <w:top w:val="nil"/>
              <w:left w:val="nil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3EB6DF" w14:textId="6C8C4A78" w:rsidR="00AB40A2" w:rsidRPr="005E47B0" w:rsidRDefault="00AB40A2" w:rsidP="002E4A75">
            <w:pPr>
              <w:autoSpaceDE/>
              <w:autoSpaceDN/>
              <w:ind w:left="113" w:right="113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9624D7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Phone interview</w:t>
            </w:r>
          </w:p>
        </w:tc>
        <w:tc>
          <w:tcPr>
            <w:tcW w:w="2216" w:type="dxa"/>
            <w:tcBorders>
              <w:top w:val="single" w:sz="4" w:space="0" w:color="808080"/>
              <w:left w:val="single" w:sz="8" w:space="0" w:color="A6A6A6"/>
              <w:bottom w:val="single" w:sz="4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A6DF0" w14:textId="79C3D3E8" w:rsidR="00AB40A2" w:rsidRPr="002E4A75" w:rsidRDefault="00AB40A2" w:rsidP="002E4A75">
            <w:pPr>
              <w:pStyle w:val="ListParagraph"/>
              <w:numPr>
                <w:ilvl w:val="0"/>
                <w:numId w:val="11"/>
              </w:num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Standard </w:t>
            </w:r>
            <w:r w:rsidRPr="002E4A7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$25 </w:t>
            </w:r>
          </w:p>
        </w:tc>
        <w:tc>
          <w:tcPr>
            <w:tcW w:w="22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883BA" w14:textId="6D762C5F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1A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($45)</w:t>
            </w:r>
          </w:p>
        </w:tc>
        <w:tc>
          <w:tcPr>
            <w:tcW w:w="23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25401" w14:textId="31494804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1B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($65)</w:t>
            </w:r>
          </w:p>
        </w:tc>
      </w:tr>
      <w:tr w:rsidR="00AB40A2" w:rsidRPr="005E47B0" w14:paraId="39EE1F24" w14:textId="77777777" w:rsidTr="00492D64">
        <w:trPr>
          <w:trHeight w:val="20"/>
          <w:jc w:val="center"/>
        </w:trPr>
        <w:tc>
          <w:tcPr>
            <w:tcW w:w="1112" w:type="dxa"/>
            <w:vMerge/>
            <w:tcBorders>
              <w:left w:val="nil"/>
              <w:right w:val="single" w:sz="8" w:space="0" w:color="A6A6A6"/>
            </w:tcBorders>
            <w:vAlign w:val="center"/>
            <w:hideMark/>
          </w:tcPr>
          <w:p w14:paraId="29AA9F20" w14:textId="51D0B616" w:rsidR="00AB40A2" w:rsidRPr="005E47B0" w:rsidRDefault="00AB40A2" w:rsidP="00FA6AA4">
            <w:pPr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808080"/>
              <w:left w:val="single" w:sz="8" w:space="0" w:color="A6A6A6"/>
              <w:bottom w:val="single" w:sz="4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768EB" w14:textId="33A4E774" w:rsidR="00AB40A2" w:rsidRPr="002E4A75" w:rsidRDefault="00AB40A2" w:rsidP="002E4A75">
            <w:pPr>
              <w:pStyle w:val="ListParagraph"/>
              <w:numPr>
                <w:ilvl w:val="0"/>
                <w:numId w:val="11"/>
              </w:num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Higher </w:t>
            </w:r>
            <w:r w:rsidRPr="002E4A7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$35 </w:t>
            </w:r>
          </w:p>
        </w:tc>
        <w:tc>
          <w:tcPr>
            <w:tcW w:w="22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0AE20" w14:textId="7F429E50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2A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($55)</w:t>
            </w:r>
          </w:p>
        </w:tc>
        <w:tc>
          <w:tcPr>
            <w:tcW w:w="23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4E8A7" w14:textId="69A759AB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2B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($75)</w:t>
            </w:r>
          </w:p>
        </w:tc>
      </w:tr>
      <w:tr w:rsidR="00AB40A2" w:rsidRPr="005E47B0" w14:paraId="5F66C9A2" w14:textId="77777777" w:rsidTr="00492D64">
        <w:trPr>
          <w:trHeight w:val="20"/>
          <w:jc w:val="center"/>
        </w:trPr>
        <w:tc>
          <w:tcPr>
            <w:tcW w:w="1112" w:type="dxa"/>
            <w:vMerge/>
            <w:tcBorders>
              <w:left w:val="nil"/>
              <w:bottom w:val="nil"/>
              <w:right w:val="single" w:sz="8" w:space="0" w:color="A6A6A6"/>
            </w:tcBorders>
            <w:vAlign w:val="center"/>
            <w:hideMark/>
          </w:tcPr>
          <w:p w14:paraId="1056A09D" w14:textId="1AF47DF6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808080"/>
              <w:left w:val="single" w:sz="8" w:space="0" w:color="A6A6A6"/>
              <w:bottom w:val="single" w:sz="8" w:space="0" w:color="A6A6A6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A709" w14:textId="77777777" w:rsidR="00AB40A2" w:rsidRPr="002E4A75" w:rsidRDefault="00AB40A2" w:rsidP="002E4A75">
            <w:pPr>
              <w:pStyle w:val="ListParagraph"/>
              <w:numPr>
                <w:ilvl w:val="0"/>
                <w:numId w:val="11"/>
              </w:num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 xml:space="preserve">Early bird </w:t>
            </w:r>
          </w:p>
          <w:p w14:paraId="665C6CCB" w14:textId="79035F15" w:rsidR="00AB40A2" w:rsidRPr="002E4A75" w:rsidRDefault="00AB40A2" w:rsidP="002E4A75">
            <w:pPr>
              <w:pStyle w:val="ListParagraph"/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2E4A7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$35 or $25</w:t>
            </w:r>
          </w:p>
        </w:tc>
        <w:tc>
          <w:tcPr>
            <w:tcW w:w="22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685B6" w14:textId="2D9C76B9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3A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($55 or $45)</w:t>
            </w:r>
          </w:p>
        </w:tc>
        <w:tc>
          <w:tcPr>
            <w:tcW w:w="23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420E" w14:textId="7DEFA0DB" w:rsidR="00AB40A2" w:rsidRPr="005E47B0" w:rsidRDefault="00AB40A2" w:rsidP="00FA6AA4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Pr="005E47B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Group 3B </w:t>
            </w:r>
            <w:r w:rsidRPr="005E47B0">
              <w:rPr>
                <w:rFonts w:asciiTheme="minorHAnsi" w:hAnsiTheme="minorHAnsi" w:cstheme="minorHAnsi"/>
                <w:i/>
                <w:iCs/>
                <w:kern w:val="24"/>
                <w:sz w:val="22"/>
                <w:szCs w:val="22"/>
              </w:rPr>
              <w:t>($75 or $65)</w:t>
            </w:r>
          </w:p>
        </w:tc>
      </w:tr>
    </w:tbl>
    <w:p w14:paraId="055245B0" w14:textId="77777777" w:rsidR="00604936" w:rsidRPr="004C1147" w:rsidRDefault="00604936" w:rsidP="009E620F">
      <w:pPr>
        <w:rPr>
          <w:rFonts w:asciiTheme="minorHAnsi" w:hAnsiTheme="minorHAnsi" w:cstheme="minorHAnsi"/>
          <w:sz w:val="22"/>
        </w:rPr>
      </w:pPr>
    </w:p>
    <w:p w14:paraId="78EB4563" w14:textId="69AE15D7" w:rsidR="009E620F" w:rsidRPr="004C1147" w:rsidRDefault="0067102C" w:rsidP="007A605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Effects on Overall Response Rates at the End of the Data Collection Period</w:t>
      </w:r>
    </w:p>
    <w:p w14:paraId="0FC6330B" w14:textId="77777777" w:rsidR="00115203" w:rsidRDefault="00115203" w:rsidP="00E46DCA">
      <w:pPr>
        <w:rPr>
          <w:rFonts w:asciiTheme="minorHAnsi" w:hAnsiTheme="minorHAnsi" w:cstheme="minorHAnsi"/>
          <w:sz w:val="22"/>
        </w:rPr>
      </w:pPr>
    </w:p>
    <w:p w14:paraId="14672C84" w14:textId="313D17C8" w:rsidR="00E46DCA" w:rsidRPr="0061489F" w:rsidRDefault="00BF7630" w:rsidP="00E46DCA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For the experiment sample, t</w:t>
      </w:r>
      <w:r w:rsidRPr="004C1147">
        <w:rPr>
          <w:rFonts w:asciiTheme="minorHAnsi" w:hAnsiTheme="minorHAnsi" w:cstheme="minorHAnsi"/>
          <w:sz w:val="22"/>
        </w:rPr>
        <w:t>he overall response rate for the interview was 8</w:t>
      </w:r>
      <w:r>
        <w:rPr>
          <w:rFonts w:asciiTheme="minorHAnsi" w:hAnsiTheme="minorHAnsi" w:cstheme="minorHAnsi"/>
          <w:sz w:val="22"/>
        </w:rPr>
        <w:t>4</w:t>
      </w:r>
      <w:r w:rsidRPr="004C1147">
        <w:rPr>
          <w:rFonts w:asciiTheme="minorHAnsi" w:hAnsiTheme="minorHAnsi" w:cstheme="minorHAnsi"/>
          <w:sz w:val="22"/>
        </w:rPr>
        <w:t>%.</w:t>
      </w:r>
      <w:r>
        <w:rPr>
          <w:rFonts w:asciiTheme="minorHAnsi" w:hAnsiTheme="minorHAnsi" w:cstheme="minorHAnsi"/>
          <w:sz w:val="22"/>
        </w:rPr>
        <w:t xml:space="preserve"> The data collection period was 22 weeks long.</w:t>
      </w:r>
      <w:r w:rsidR="00E46DCA">
        <w:rPr>
          <w:rFonts w:asciiTheme="minorHAnsi" w:hAnsiTheme="minorHAnsi" w:cstheme="minorHAnsi"/>
          <w:sz w:val="22"/>
        </w:rPr>
        <w:t xml:space="preserve"> </w:t>
      </w:r>
      <w:r w:rsidR="00C70502">
        <w:rPr>
          <w:rFonts w:asciiTheme="minorHAnsi" w:hAnsiTheme="minorHAnsi" w:cstheme="minorHAnsi"/>
          <w:sz w:val="22"/>
        </w:rPr>
        <w:t>The design of the experiment allows us to examine</w:t>
      </w:r>
      <w:r w:rsidR="0065092D">
        <w:rPr>
          <w:rFonts w:asciiTheme="minorHAnsi" w:hAnsiTheme="minorHAnsi" w:cstheme="minorHAnsi"/>
          <w:sz w:val="22"/>
        </w:rPr>
        <w:t xml:space="preserve"> </w:t>
      </w:r>
      <w:r w:rsidR="00E46DCA" w:rsidRPr="0061489F">
        <w:rPr>
          <w:rFonts w:asciiTheme="minorHAnsi" w:hAnsiTheme="minorHAnsi" w:cstheme="minorHAnsi"/>
          <w:sz w:val="22"/>
        </w:rPr>
        <w:t>bot</w:t>
      </w:r>
      <w:r w:rsidR="00A51611">
        <w:rPr>
          <w:rFonts w:asciiTheme="minorHAnsi" w:hAnsiTheme="minorHAnsi" w:cstheme="minorHAnsi"/>
          <w:sz w:val="22"/>
        </w:rPr>
        <w:t>h</w:t>
      </w:r>
      <w:r w:rsidR="00E46DCA" w:rsidRPr="0061489F">
        <w:rPr>
          <w:rFonts w:asciiTheme="minorHAnsi" w:hAnsiTheme="minorHAnsi" w:cstheme="minorHAnsi"/>
          <w:sz w:val="22"/>
        </w:rPr>
        <w:t xml:space="preserve"> main effects </w:t>
      </w:r>
      <w:r w:rsidR="00A16CE0">
        <w:rPr>
          <w:rFonts w:asciiTheme="minorHAnsi" w:hAnsiTheme="minorHAnsi" w:cstheme="minorHAnsi"/>
          <w:sz w:val="22"/>
        </w:rPr>
        <w:t>and interaction effect</w:t>
      </w:r>
      <w:r w:rsidR="001B457E">
        <w:rPr>
          <w:rFonts w:asciiTheme="minorHAnsi" w:hAnsiTheme="minorHAnsi" w:cstheme="minorHAnsi"/>
          <w:sz w:val="22"/>
        </w:rPr>
        <w:t xml:space="preserve">s, </w:t>
      </w:r>
      <w:r w:rsidR="0065092D">
        <w:rPr>
          <w:rFonts w:asciiTheme="minorHAnsi" w:hAnsiTheme="minorHAnsi" w:cstheme="minorHAnsi"/>
          <w:sz w:val="22"/>
        </w:rPr>
        <w:t xml:space="preserve">but </w:t>
      </w:r>
      <w:r w:rsidR="001B457E">
        <w:rPr>
          <w:rFonts w:asciiTheme="minorHAnsi" w:hAnsiTheme="minorHAnsi" w:cstheme="minorHAnsi"/>
          <w:sz w:val="22"/>
        </w:rPr>
        <w:t>the main effects were the primary focus in this experiment</w:t>
      </w:r>
      <w:r w:rsidR="00A16CE0">
        <w:rPr>
          <w:rFonts w:asciiTheme="minorHAnsi" w:hAnsiTheme="minorHAnsi" w:cstheme="minorHAnsi"/>
          <w:sz w:val="22"/>
        </w:rPr>
        <w:t xml:space="preserve">. </w:t>
      </w:r>
      <w:r w:rsidR="00FC545A">
        <w:rPr>
          <w:rFonts w:asciiTheme="minorHAnsi" w:hAnsiTheme="minorHAnsi" w:cstheme="minorHAnsi"/>
          <w:sz w:val="22"/>
        </w:rPr>
        <w:t>The term “m</w:t>
      </w:r>
      <w:r w:rsidR="00F20DCD">
        <w:rPr>
          <w:rFonts w:asciiTheme="minorHAnsi" w:hAnsiTheme="minorHAnsi" w:cstheme="minorHAnsi"/>
          <w:sz w:val="22"/>
        </w:rPr>
        <w:t>ain effects</w:t>
      </w:r>
      <w:r w:rsidR="00FC545A">
        <w:rPr>
          <w:rFonts w:asciiTheme="minorHAnsi" w:hAnsiTheme="minorHAnsi" w:cstheme="minorHAnsi"/>
          <w:sz w:val="22"/>
        </w:rPr>
        <w:t>” refers to</w:t>
      </w:r>
      <w:r w:rsidR="00F20DCD">
        <w:rPr>
          <w:rFonts w:asciiTheme="minorHAnsi" w:hAnsiTheme="minorHAnsi" w:cstheme="minorHAnsi"/>
          <w:sz w:val="22"/>
        </w:rPr>
        <w:t xml:space="preserve"> </w:t>
      </w:r>
      <w:r w:rsidR="00CB63BB">
        <w:rPr>
          <w:rFonts w:asciiTheme="minorHAnsi" w:hAnsiTheme="minorHAnsi" w:cstheme="minorHAnsi"/>
          <w:sz w:val="22"/>
        </w:rPr>
        <w:t xml:space="preserve">the effect of </w:t>
      </w:r>
      <w:r w:rsidR="00B06343">
        <w:rPr>
          <w:rFonts w:asciiTheme="minorHAnsi" w:hAnsiTheme="minorHAnsi" w:cstheme="minorHAnsi"/>
          <w:sz w:val="22"/>
        </w:rPr>
        <w:t>the phone interview incentive</w:t>
      </w:r>
      <w:r w:rsidR="00F7100A">
        <w:rPr>
          <w:rFonts w:asciiTheme="minorHAnsi" w:hAnsiTheme="minorHAnsi" w:cstheme="minorHAnsi"/>
          <w:sz w:val="22"/>
        </w:rPr>
        <w:t>, ignoring the effects of the in-home interview incentive</w:t>
      </w:r>
      <w:r w:rsidR="00B06343">
        <w:rPr>
          <w:rFonts w:asciiTheme="minorHAnsi" w:hAnsiTheme="minorHAnsi" w:cstheme="minorHAnsi"/>
          <w:sz w:val="22"/>
        </w:rPr>
        <w:t xml:space="preserve"> </w:t>
      </w:r>
      <w:r w:rsidR="00E46DCA" w:rsidRPr="0061489F">
        <w:rPr>
          <w:rFonts w:asciiTheme="minorHAnsi" w:hAnsiTheme="minorHAnsi" w:cstheme="minorHAnsi"/>
          <w:sz w:val="22"/>
        </w:rPr>
        <w:t xml:space="preserve">(for example, the effect of the higher </w:t>
      </w:r>
      <w:r w:rsidR="00C232B4">
        <w:rPr>
          <w:rFonts w:asciiTheme="minorHAnsi" w:hAnsiTheme="minorHAnsi" w:cstheme="minorHAnsi"/>
          <w:sz w:val="22"/>
        </w:rPr>
        <w:t xml:space="preserve">phone interview </w:t>
      </w:r>
      <w:r w:rsidR="00E46DCA" w:rsidRPr="0061489F">
        <w:rPr>
          <w:rFonts w:asciiTheme="minorHAnsi" w:hAnsiTheme="minorHAnsi" w:cstheme="minorHAnsi"/>
          <w:sz w:val="22"/>
        </w:rPr>
        <w:t xml:space="preserve">incentive amount compared to the standard </w:t>
      </w:r>
      <w:r w:rsidR="00C232B4">
        <w:rPr>
          <w:rFonts w:asciiTheme="minorHAnsi" w:hAnsiTheme="minorHAnsi" w:cstheme="minorHAnsi"/>
          <w:sz w:val="22"/>
        </w:rPr>
        <w:t xml:space="preserve">phone interview </w:t>
      </w:r>
      <w:r w:rsidR="00E46DCA" w:rsidRPr="0061489F">
        <w:rPr>
          <w:rFonts w:asciiTheme="minorHAnsi" w:hAnsiTheme="minorHAnsi" w:cstheme="minorHAnsi"/>
          <w:sz w:val="22"/>
        </w:rPr>
        <w:t>incentive amount</w:t>
      </w:r>
      <w:r w:rsidR="00C232B4">
        <w:rPr>
          <w:rFonts w:asciiTheme="minorHAnsi" w:hAnsiTheme="minorHAnsi" w:cstheme="minorHAnsi"/>
          <w:sz w:val="22"/>
        </w:rPr>
        <w:t xml:space="preserve">, </w:t>
      </w:r>
      <w:r w:rsidR="00580738">
        <w:rPr>
          <w:rFonts w:asciiTheme="minorHAnsi" w:hAnsiTheme="minorHAnsi" w:cstheme="minorHAnsi"/>
          <w:sz w:val="22"/>
        </w:rPr>
        <w:t>regardless of the in-home incentive amount</w:t>
      </w:r>
      <w:r w:rsidR="00E46DCA" w:rsidRPr="0061489F">
        <w:rPr>
          <w:rFonts w:asciiTheme="minorHAnsi" w:hAnsiTheme="minorHAnsi" w:cstheme="minorHAnsi"/>
          <w:sz w:val="22"/>
        </w:rPr>
        <w:t>)</w:t>
      </w:r>
      <w:r w:rsidR="00F20DCD">
        <w:rPr>
          <w:rFonts w:asciiTheme="minorHAnsi" w:hAnsiTheme="minorHAnsi" w:cstheme="minorHAnsi"/>
          <w:sz w:val="22"/>
        </w:rPr>
        <w:t xml:space="preserve">. </w:t>
      </w:r>
      <w:r w:rsidR="00AD2235">
        <w:rPr>
          <w:rFonts w:asciiTheme="minorHAnsi" w:hAnsiTheme="minorHAnsi" w:cstheme="minorHAnsi"/>
          <w:sz w:val="22"/>
        </w:rPr>
        <w:t>The term “i</w:t>
      </w:r>
      <w:r w:rsidR="00F20DCD">
        <w:rPr>
          <w:rFonts w:asciiTheme="minorHAnsi" w:hAnsiTheme="minorHAnsi" w:cstheme="minorHAnsi"/>
          <w:sz w:val="22"/>
        </w:rPr>
        <w:t>nteraction effects</w:t>
      </w:r>
      <w:r w:rsidR="00AD2235">
        <w:rPr>
          <w:rFonts w:asciiTheme="minorHAnsi" w:hAnsiTheme="minorHAnsi" w:cstheme="minorHAnsi"/>
          <w:sz w:val="22"/>
        </w:rPr>
        <w:t>”</w:t>
      </w:r>
      <w:r w:rsidR="00F20DCD">
        <w:rPr>
          <w:rFonts w:asciiTheme="minorHAnsi" w:hAnsiTheme="minorHAnsi" w:cstheme="minorHAnsi"/>
          <w:sz w:val="22"/>
        </w:rPr>
        <w:t xml:space="preserve"> </w:t>
      </w:r>
      <w:r w:rsidR="001F057C">
        <w:rPr>
          <w:rFonts w:asciiTheme="minorHAnsi" w:hAnsiTheme="minorHAnsi" w:cstheme="minorHAnsi"/>
          <w:sz w:val="22"/>
        </w:rPr>
        <w:t xml:space="preserve">refers to </w:t>
      </w:r>
      <w:r w:rsidR="0005640B">
        <w:rPr>
          <w:rFonts w:asciiTheme="minorHAnsi" w:hAnsiTheme="minorHAnsi" w:cstheme="minorHAnsi"/>
          <w:sz w:val="22"/>
        </w:rPr>
        <w:t xml:space="preserve">the </w:t>
      </w:r>
      <w:r w:rsidR="00BC0436">
        <w:rPr>
          <w:rFonts w:asciiTheme="minorHAnsi" w:hAnsiTheme="minorHAnsi" w:cstheme="minorHAnsi"/>
          <w:sz w:val="22"/>
        </w:rPr>
        <w:t>effect</w:t>
      </w:r>
      <w:r w:rsidR="00724E0A">
        <w:rPr>
          <w:rFonts w:asciiTheme="minorHAnsi" w:hAnsiTheme="minorHAnsi" w:cstheme="minorHAnsi"/>
          <w:sz w:val="22"/>
        </w:rPr>
        <w:t xml:space="preserve"> of the phone interview incentive </w:t>
      </w:r>
      <w:r w:rsidR="007C4858">
        <w:rPr>
          <w:rFonts w:asciiTheme="minorHAnsi" w:hAnsiTheme="minorHAnsi" w:cstheme="minorHAnsi"/>
          <w:sz w:val="22"/>
        </w:rPr>
        <w:t>depend</w:t>
      </w:r>
      <w:r w:rsidR="008B7909">
        <w:rPr>
          <w:rFonts w:asciiTheme="minorHAnsi" w:hAnsiTheme="minorHAnsi" w:cstheme="minorHAnsi"/>
          <w:sz w:val="22"/>
        </w:rPr>
        <w:t>ent</w:t>
      </w:r>
      <w:r w:rsidR="007C4858">
        <w:rPr>
          <w:rFonts w:asciiTheme="minorHAnsi" w:hAnsiTheme="minorHAnsi" w:cstheme="minorHAnsi"/>
          <w:sz w:val="22"/>
        </w:rPr>
        <w:t xml:space="preserve"> on the level of the in-home visit incentive</w:t>
      </w:r>
      <w:r w:rsidR="00A2681D">
        <w:rPr>
          <w:rFonts w:asciiTheme="minorHAnsi" w:hAnsiTheme="minorHAnsi" w:cstheme="minorHAnsi"/>
          <w:sz w:val="22"/>
        </w:rPr>
        <w:t xml:space="preserve"> </w:t>
      </w:r>
      <w:r w:rsidR="00E46DCA" w:rsidRPr="0061489F">
        <w:rPr>
          <w:rFonts w:asciiTheme="minorHAnsi" w:hAnsiTheme="minorHAnsi" w:cstheme="minorHAnsi"/>
          <w:sz w:val="22"/>
        </w:rPr>
        <w:t xml:space="preserve">(for example, the effect of the higher </w:t>
      </w:r>
      <w:r w:rsidR="00E46DCA">
        <w:rPr>
          <w:rFonts w:asciiTheme="minorHAnsi" w:hAnsiTheme="minorHAnsi" w:cstheme="minorHAnsi"/>
          <w:sz w:val="22"/>
        </w:rPr>
        <w:t xml:space="preserve">phone </w:t>
      </w:r>
      <w:r w:rsidR="00E46DCA" w:rsidRPr="0061489F">
        <w:rPr>
          <w:rFonts w:asciiTheme="minorHAnsi" w:hAnsiTheme="minorHAnsi" w:cstheme="minorHAnsi"/>
          <w:sz w:val="22"/>
        </w:rPr>
        <w:t>interview incentive amount when the higher in-home incentive amount was offered).</w:t>
      </w:r>
    </w:p>
    <w:p w14:paraId="53A8C7DE" w14:textId="1D5E334D" w:rsidR="00717A02" w:rsidRDefault="00717A02" w:rsidP="009E620F">
      <w:pPr>
        <w:rPr>
          <w:rFonts w:asciiTheme="minorHAnsi" w:hAnsiTheme="minorHAnsi" w:cstheme="minorHAnsi"/>
          <w:color w:val="FF0000"/>
          <w:sz w:val="22"/>
        </w:rPr>
      </w:pPr>
    </w:p>
    <w:p w14:paraId="41E2E2F2" w14:textId="061AB7AB" w:rsidR="00717D7B" w:rsidRPr="00717D7B" w:rsidRDefault="00717D7B" w:rsidP="009E620F">
      <w:pPr>
        <w:rPr>
          <w:rFonts w:asciiTheme="minorHAnsi" w:hAnsiTheme="minorHAnsi" w:cstheme="minorHAnsi"/>
          <w:b/>
          <w:sz w:val="22"/>
        </w:rPr>
      </w:pPr>
      <w:r w:rsidRPr="00717D7B">
        <w:rPr>
          <w:rFonts w:asciiTheme="minorHAnsi" w:hAnsiTheme="minorHAnsi" w:cstheme="minorHAnsi"/>
          <w:b/>
          <w:sz w:val="22"/>
        </w:rPr>
        <w:t>Main Effects</w:t>
      </w:r>
    </w:p>
    <w:p w14:paraId="4A04DA96" w14:textId="77777777" w:rsidR="00717D7B" w:rsidRPr="00717D7B" w:rsidRDefault="00717D7B" w:rsidP="009E620F">
      <w:pPr>
        <w:rPr>
          <w:rFonts w:asciiTheme="minorHAnsi" w:hAnsiTheme="minorHAnsi" w:cstheme="minorHAnsi"/>
          <w:sz w:val="22"/>
        </w:rPr>
      </w:pPr>
    </w:p>
    <w:p w14:paraId="0D086080" w14:textId="77777777" w:rsidR="00717A02" w:rsidRPr="004C1147" w:rsidRDefault="00717A02" w:rsidP="004C1147">
      <w:pPr>
        <w:jc w:val="center"/>
        <w:rPr>
          <w:rFonts w:asciiTheme="minorHAnsi" w:hAnsiTheme="minorHAnsi" w:cstheme="minorHAnsi"/>
          <w:b/>
          <w:sz w:val="22"/>
        </w:rPr>
      </w:pPr>
      <w:r w:rsidRPr="004C1147">
        <w:rPr>
          <w:rFonts w:asciiTheme="minorHAnsi" w:hAnsiTheme="minorHAnsi" w:cstheme="minorHAnsi"/>
          <w:b/>
          <w:sz w:val="22"/>
        </w:rPr>
        <w:t>Table 3</w:t>
      </w:r>
    </w:p>
    <w:p w14:paraId="156AC19B" w14:textId="1E9564AE" w:rsidR="00717A02" w:rsidRPr="004C1147" w:rsidRDefault="00717A02" w:rsidP="004C1147">
      <w:pPr>
        <w:jc w:val="center"/>
        <w:rPr>
          <w:rFonts w:asciiTheme="minorHAnsi" w:hAnsiTheme="minorHAnsi" w:cstheme="minorHAnsi"/>
          <w:b/>
          <w:sz w:val="22"/>
        </w:rPr>
      </w:pPr>
      <w:r w:rsidRPr="004C1147">
        <w:rPr>
          <w:rFonts w:asciiTheme="minorHAnsi" w:hAnsiTheme="minorHAnsi" w:cstheme="minorHAnsi"/>
          <w:b/>
          <w:sz w:val="22"/>
        </w:rPr>
        <w:t>Response Rates at the End of the Data Collection Period</w:t>
      </w:r>
      <w:r w:rsidR="009B4473">
        <w:rPr>
          <w:rFonts w:asciiTheme="minorHAnsi" w:hAnsiTheme="minorHAnsi" w:cstheme="minorHAnsi"/>
          <w:b/>
          <w:sz w:val="22"/>
        </w:rPr>
        <w:t>: Main Effects</w:t>
      </w:r>
    </w:p>
    <w:p w14:paraId="3B920624" w14:textId="77777777" w:rsidR="00717A02" w:rsidRPr="004C1147" w:rsidRDefault="00717A02" w:rsidP="009E620F">
      <w:pPr>
        <w:rPr>
          <w:rFonts w:asciiTheme="minorHAnsi" w:hAnsiTheme="minorHAnsi" w:cstheme="minorHAnsi"/>
          <w:color w:val="FF0000"/>
          <w:sz w:val="22"/>
        </w:rPr>
      </w:pPr>
    </w:p>
    <w:tbl>
      <w:tblPr>
        <w:tblW w:w="818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1645"/>
        <w:gridCol w:w="1667"/>
        <w:gridCol w:w="1176"/>
      </w:tblGrid>
      <w:tr w:rsidR="000C1E6E" w:rsidRPr="00717A02" w14:paraId="7F94B2C9" w14:textId="75758106" w:rsidTr="00492D64">
        <w:trPr>
          <w:trHeight w:val="712"/>
          <w:jc w:val="center"/>
        </w:trPr>
        <w:tc>
          <w:tcPr>
            <w:tcW w:w="3692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25AB5" w14:textId="77777777" w:rsidR="000C1E6E" w:rsidRPr="003F7E97" w:rsidRDefault="000C1E6E" w:rsidP="00717A02">
            <w:pPr>
              <w:autoSpaceDE/>
              <w:autoSpaceDN/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 </w:t>
            </w:r>
            <w:r w:rsidRPr="003F7E97"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Incentive type</w:t>
            </w:r>
          </w:p>
        </w:tc>
        <w:tc>
          <w:tcPr>
            <w:tcW w:w="1645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EC478" w14:textId="77777777" w:rsidR="000C1E6E" w:rsidRPr="00CC1B4E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B4E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Group offered incentive</w:t>
            </w:r>
          </w:p>
        </w:tc>
        <w:tc>
          <w:tcPr>
            <w:tcW w:w="1667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40D08" w14:textId="77777777" w:rsidR="000C1E6E" w:rsidRPr="00CC1B4E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B4E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Group not offered incentive</w:t>
            </w:r>
          </w:p>
        </w:tc>
        <w:tc>
          <w:tcPr>
            <w:tcW w:w="1176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3DBAC5EB" w14:textId="43B292E8" w:rsidR="003F54C9" w:rsidRDefault="003F54C9" w:rsidP="006517CB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Significan</w:t>
            </w:r>
            <w:r w:rsidR="00837345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ce</w:t>
            </w:r>
          </w:p>
          <w:p w14:paraId="37E3CCD3" w14:textId="34BAB0D0" w:rsidR="000C1E6E" w:rsidRPr="00CC1B4E" w:rsidRDefault="000C1E6E" w:rsidP="0083734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</w:p>
        </w:tc>
      </w:tr>
      <w:tr w:rsidR="00B919C1" w:rsidRPr="00717A02" w14:paraId="53E10D7C" w14:textId="77777777" w:rsidTr="00D36635">
        <w:trPr>
          <w:trHeight w:val="229"/>
          <w:jc w:val="center"/>
        </w:trPr>
        <w:tc>
          <w:tcPr>
            <w:tcW w:w="8180" w:type="dxa"/>
            <w:gridSpan w:val="4"/>
            <w:tcBorders>
              <w:top w:val="single" w:sz="8" w:space="0" w:color="A6A6A6"/>
              <w:left w:val="single" w:sz="8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091A9" w14:textId="179C845C" w:rsidR="00B919C1" w:rsidRPr="00AA7A4E" w:rsidRDefault="00B919C1" w:rsidP="00B919C1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9C1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u w:val="single"/>
              </w:rPr>
              <w:t>Phone Interview Response Rates</w:t>
            </w:r>
          </w:p>
        </w:tc>
      </w:tr>
      <w:tr w:rsidR="000C1E6E" w:rsidRPr="00717A02" w14:paraId="4A92B46F" w14:textId="36459450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B2A2C" w14:textId="45B651F2" w:rsidR="000C1E6E" w:rsidRPr="00717A02" w:rsidRDefault="000C1E6E" w:rsidP="00717A02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="00DD6B2F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amount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5D7BB4" w14:textId="2D1F9B66" w:rsidR="000C1E6E" w:rsidRPr="005C59B8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5C59B8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86%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7830" w14:textId="05709FAC" w:rsidR="000C1E6E" w:rsidRPr="005C59B8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5C59B8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81%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26579343" w14:textId="51381470" w:rsidR="000C1E6E" w:rsidRPr="007F3DB4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 w:rsidRPr="007F3DB4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*</w:t>
            </w:r>
          </w:p>
        </w:tc>
      </w:tr>
      <w:tr w:rsidR="000C1E6E" w:rsidRPr="00717A02" w14:paraId="240393FB" w14:textId="43448666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EED9" w14:textId="0C29160D" w:rsidR="000C1E6E" w:rsidRPr="00717A02" w:rsidRDefault="000C1E6E" w:rsidP="00717A02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Early bird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DD6B2F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interview </w:t>
            </w:r>
            <w:r w:rsidR="000239AB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incentive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structure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7E394" w14:textId="30996382" w:rsidR="000C1E6E" w:rsidRPr="005C59B8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5C59B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83%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A292" w14:textId="078B48B3" w:rsidR="000C1E6E" w:rsidRPr="00736BF8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36BF8">
              <w:rPr>
                <w:rFonts w:asciiTheme="minorHAnsi" w:hAnsiTheme="minorHAnsi" w:cstheme="minorHAnsi"/>
                <w:kern w:val="24"/>
                <w:sz w:val="22"/>
                <w:szCs w:val="22"/>
              </w:rPr>
              <w:t>81%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36E4C56E" w14:textId="77777777" w:rsidR="000C1E6E" w:rsidRPr="007F3DB4" w:rsidRDefault="000C1E6E" w:rsidP="00717A02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0C1E6E" w:rsidRPr="004C1147" w14:paraId="4D3D48F6" w14:textId="497B5867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0CEF6" w14:textId="4B6F3F6A" w:rsidR="000C1E6E" w:rsidRPr="00717A02" w:rsidRDefault="000C1E6E" w:rsidP="00F87F36">
            <w:pPr>
              <w:autoSpaceDE/>
              <w:autoSpaceDN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in-home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DD6B2F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visit 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amount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97D9" w14:textId="77777777" w:rsidR="000C1E6E" w:rsidRPr="005C59B8" w:rsidRDefault="000C1E6E" w:rsidP="00F87F36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722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85%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E298F" w14:textId="77777777" w:rsidR="000C1E6E" w:rsidRPr="005C59B8" w:rsidRDefault="000C1E6E" w:rsidP="00F87F36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1722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83%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1BFB490E" w14:textId="6F74FD74" w:rsidR="000C1E6E" w:rsidRPr="007F3DB4" w:rsidRDefault="000C1E6E" w:rsidP="00F87F36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 w:rsidRPr="007F3DB4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*</w:t>
            </w:r>
          </w:p>
        </w:tc>
      </w:tr>
      <w:tr w:rsidR="007F2B96" w:rsidRPr="004C1147" w14:paraId="1A1C6F1D" w14:textId="77777777" w:rsidTr="00D36635">
        <w:trPr>
          <w:trHeight w:val="20"/>
          <w:jc w:val="center"/>
        </w:trPr>
        <w:tc>
          <w:tcPr>
            <w:tcW w:w="8180" w:type="dxa"/>
            <w:gridSpan w:val="4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8C437" w14:textId="4A59E330" w:rsidR="007F2B96" w:rsidRPr="007F2B96" w:rsidRDefault="007F2B96" w:rsidP="00F87F36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  <w:u w:val="single"/>
              </w:rPr>
            </w:pPr>
            <w:r w:rsidRPr="007F2B96">
              <w:rPr>
                <w:rFonts w:asciiTheme="minorHAnsi" w:hAnsiTheme="minorHAnsi" w:cstheme="minorHAnsi"/>
                <w:kern w:val="24"/>
                <w:sz w:val="22"/>
                <w:szCs w:val="22"/>
                <w:u w:val="single"/>
              </w:rPr>
              <w:t>In-Home Visit Response Rates</w:t>
            </w:r>
          </w:p>
        </w:tc>
      </w:tr>
      <w:tr w:rsidR="000A138B" w:rsidRPr="00F87F36" w14:paraId="3952A9A9" w14:textId="77777777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B3882" w14:textId="2CFBB8C7" w:rsidR="000A138B" w:rsidRPr="00F87F36" w:rsidRDefault="000A138B" w:rsidP="000A138B">
            <w:pPr>
              <w:autoSpaceDE/>
              <w:autoSpaceDN/>
              <w:textAlignment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="004C5E5D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 amount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38CB3" w14:textId="6EEE31F2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82%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96EB9" w14:textId="42FF03A1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77%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2B496273" w14:textId="77777777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</w:p>
        </w:tc>
      </w:tr>
      <w:tr w:rsidR="000A138B" w:rsidRPr="00F87F36" w14:paraId="3A200BB2" w14:textId="77777777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8F351" w14:textId="6E0DF7DA" w:rsidR="000A138B" w:rsidRPr="00F87F36" w:rsidRDefault="000A138B" w:rsidP="000A138B">
            <w:pPr>
              <w:autoSpaceDE/>
              <w:autoSpaceDN/>
              <w:textAlignment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Early bird </w:t>
            </w:r>
            <w:r w:rsidR="00C65D31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 structure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4E27" w14:textId="119E8EFC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77%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2254E" w14:textId="0AE00695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77%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0A1DF3D6" w14:textId="77777777" w:rsidR="000A138B" w:rsidRPr="00047F88" w:rsidRDefault="000A138B" w:rsidP="000A138B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</w:p>
        </w:tc>
      </w:tr>
      <w:tr w:rsidR="00C975FD" w:rsidRPr="00F87F36" w14:paraId="41CC8BFF" w14:textId="77777777" w:rsidTr="00492D64">
        <w:trPr>
          <w:trHeight w:val="20"/>
          <w:jc w:val="center"/>
        </w:trPr>
        <w:tc>
          <w:tcPr>
            <w:tcW w:w="3692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4E34C" w14:textId="0C02E0D7" w:rsidR="00C975FD" w:rsidRDefault="00C975FD" w:rsidP="00C975FD">
            <w:pPr>
              <w:autoSpaceDE/>
              <w:autoSpaceDN/>
              <w:textAlignment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F87F36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Pr="00B8177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in-home</w:t>
            </w:r>
            <w:r w:rsidRPr="00F87F36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visit </w:t>
            </w:r>
            <w:r w:rsidRPr="00F87F36">
              <w:rPr>
                <w:rFonts w:asciiTheme="minorHAnsi" w:hAnsiTheme="minorHAnsi" w:cstheme="minorHAnsi"/>
                <w:kern w:val="24"/>
                <w:sz w:val="22"/>
                <w:szCs w:val="22"/>
              </w:rPr>
              <w:t>amount</w:t>
            </w:r>
          </w:p>
        </w:tc>
        <w:tc>
          <w:tcPr>
            <w:tcW w:w="1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0E6CE" w14:textId="65783CBE" w:rsidR="00C975FD" w:rsidRPr="00C66FBC" w:rsidRDefault="00C975FD" w:rsidP="00C975FD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AF07EE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79%</w:t>
            </w:r>
          </w:p>
        </w:tc>
        <w:tc>
          <w:tcPr>
            <w:tcW w:w="16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31A9E" w14:textId="50BF3E68" w:rsidR="00C975FD" w:rsidRPr="00C66FBC" w:rsidRDefault="00C975FD" w:rsidP="00C975FD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AF07EE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78%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6F80F88F" w14:textId="77777777" w:rsidR="00C975FD" w:rsidRPr="00047F88" w:rsidRDefault="00C975FD" w:rsidP="00C975FD">
            <w:pPr>
              <w:autoSpaceDE/>
              <w:autoSpaceDN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</w:p>
        </w:tc>
      </w:tr>
    </w:tbl>
    <w:p w14:paraId="20971861" w14:textId="6D5A0B1B" w:rsidR="001F4948" w:rsidRPr="00FA58FE" w:rsidRDefault="00FC0D14" w:rsidP="00492D64">
      <w:pPr>
        <w:ind w:firstLine="720"/>
        <w:rPr>
          <w:rFonts w:asciiTheme="minorHAnsi" w:hAnsiTheme="minorHAnsi" w:cstheme="minorHAnsi"/>
          <w:i/>
        </w:rPr>
      </w:pPr>
      <w:r w:rsidRPr="00FA58FE">
        <w:rPr>
          <w:rFonts w:asciiTheme="minorHAnsi" w:hAnsiTheme="minorHAnsi" w:cstheme="minorHAnsi"/>
          <w:i/>
        </w:rPr>
        <w:t xml:space="preserve">Significance levels: </w:t>
      </w:r>
      <w:r w:rsidR="00146A43" w:rsidRPr="00FA58FE">
        <w:rPr>
          <w:rFonts w:asciiTheme="minorHAnsi" w:hAnsiTheme="minorHAnsi" w:cstheme="minorHAnsi"/>
          <w:i/>
        </w:rPr>
        <w:t xml:space="preserve">*** p &lt; .01, ** p &lt; .05, * p </w:t>
      </w:r>
      <w:r w:rsidR="00F32995" w:rsidRPr="00FA58FE">
        <w:rPr>
          <w:rFonts w:asciiTheme="minorHAnsi" w:hAnsiTheme="minorHAnsi" w:cstheme="minorHAnsi"/>
          <w:i/>
        </w:rPr>
        <w:t>&lt; .10</w:t>
      </w:r>
      <w:r w:rsidR="00146A43" w:rsidRPr="00FA58FE">
        <w:rPr>
          <w:rFonts w:asciiTheme="minorHAnsi" w:hAnsiTheme="minorHAnsi" w:cstheme="minorHAnsi"/>
          <w:i/>
        </w:rPr>
        <w:t xml:space="preserve"> </w:t>
      </w:r>
    </w:p>
    <w:p w14:paraId="4ACA1E2E" w14:textId="77777777" w:rsidR="00BA79B8" w:rsidRPr="004C1147" w:rsidRDefault="00BA79B8" w:rsidP="009E620F">
      <w:pPr>
        <w:rPr>
          <w:rFonts w:asciiTheme="minorHAnsi" w:hAnsiTheme="minorHAnsi" w:cstheme="minorHAnsi"/>
          <w:color w:val="FF0000"/>
          <w:sz w:val="22"/>
        </w:rPr>
      </w:pPr>
    </w:p>
    <w:p w14:paraId="7196D8EB" w14:textId="6EA6BCCC" w:rsidR="00666236" w:rsidRPr="00717D7B" w:rsidRDefault="00A74666" w:rsidP="00717D7B">
      <w:pPr>
        <w:rPr>
          <w:rFonts w:asciiTheme="minorHAnsi" w:hAnsiTheme="minorHAnsi" w:cstheme="minorHAnsi"/>
          <w:i/>
          <w:sz w:val="22"/>
        </w:rPr>
      </w:pPr>
      <w:r w:rsidRPr="00717D7B">
        <w:rPr>
          <w:rFonts w:asciiTheme="minorHAnsi" w:hAnsiTheme="minorHAnsi" w:cstheme="minorHAnsi"/>
          <w:i/>
          <w:sz w:val="22"/>
        </w:rPr>
        <w:t>Phone Interview Response Rates</w:t>
      </w:r>
    </w:p>
    <w:p w14:paraId="6A52B955" w14:textId="77777777" w:rsidR="00A74666" w:rsidRDefault="00A74666" w:rsidP="004419BF">
      <w:pPr>
        <w:rPr>
          <w:rFonts w:asciiTheme="minorHAnsi" w:hAnsiTheme="minorHAnsi" w:cstheme="minorHAnsi"/>
          <w:sz w:val="22"/>
        </w:rPr>
      </w:pPr>
    </w:p>
    <w:p w14:paraId="0D38A895" w14:textId="2B9FAB5D" w:rsidR="00C41DE9" w:rsidRDefault="003A4143" w:rsidP="00D707D3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9F71F3">
        <w:rPr>
          <w:rFonts w:asciiTheme="minorHAnsi" w:hAnsiTheme="minorHAnsi" w:cstheme="minorHAnsi"/>
          <w:sz w:val="22"/>
        </w:rPr>
        <w:t>he effects</w:t>
      </w:r>
      <w:r w:rsidR="000A08F1">
        <w:rPr>
          <w:rFonts w:asciiTheme="minorHAnsi" w:hAnsiTheme="minorHAnsi" w:cstheme="minorHAnsi"/>
          <w:sz w:val="22"/>
        </w:rPr>
        <w:t xml:space="preserve"> </w:t>
      </w:r>
      <w:r w:rsidR="004529F0">
        <w:rPr>
          <w:rFonts w:asciiTheme="minorHAnsi" w:hAnsiTheme="minorHAnsi" w:cstheme="minorHAnsi"/>
          <w:sz w:val="22"/>
        </w:rPr>
        <w:t xml:space="preserve">of the various incentives on </w:t>
      </w:r>
      <w:r w:rsidR="000A08F1">
        <w:rPr>
          <w:rFonts w:asciiTheme="minorHAnsi" w:hAnsiTheme="minorHAnsi" w:cstheme="minorHAnsi"/>
          <w:sz w:val="22"/>
        </w:rPr>
        <w:t>phone interview response rates are</w:t>
      </w:r>
      <w:r w:rsidR="009F71F3">
        <w:rPr>
          <w:rFonts w:asciiTheme="minorHAnsi" w:hAnsiTheme="minorHAnsi" w:cstheme="minorHAnsi"/>
          <w:sz w:val="22"/>
        </w:rPr>
        <w:t xml:space="preserve"> shown in Table 3</w:t>
      </w:r>
      <w:r w:rsidR="007C0A4B">
        <w:rPr>
          <w:rFonts w:asciiTheme="minorHAnsi" w:hAnsiTheme="minorHAnsi" w:cstheme="minorHAnsi"/>
          <w:sz w:val="22"/>
        </w:rPr>
        <w:t>.</w:t>
      </w:r>
      <w:r w:rsidR="00D707D3">
        <w:rPr>
          <w:rFonts w:asciiTheme="minorHAnsi" w:hAnsiTheme="minorHAnsi" w:cstheme="minorHAnsi"/>
          <w:sz w:val="22"/>
        </w:rPr>
        <w:t xml:space="preserve"> </w:t>
      </w:r>
      <w:r w:rsidR="004529F0">
        <w:rPr>
          <w:rFonts w:asciiTheme="minorHAnsi" w:hAnsiTheme="minorHAnsi" w:cstheme="minorHAnsi"/>
          <w:sz w:val="22"/>
        </w:rPr>
        <w:t xml:space="preserve">The </w:t>
      </w:r>
      <w:r w:rsidR="004419BF" w:rsidRPr="00E46DCA">
        <w:rPr>
          <w:rFonts w:asciiTheme="minorHAnsi" w:hAnsiTheme="minorHAnsi" w:cstheme="minorHAnsi"/>
          <w:sz w:val="22"/>
        </w:rPr>
        <w:t xml:space="preserve">higher </w:t>
      </w:r>
      <w:r w:rsidR="00B87B8E" w:rsidRPr="00E46DCA">
        <w:rPr>
          <w:rFonts w:asciiTheme="minorHAnsi" w:hAnsiTheme="minorHAnsi" w:cstheme="minorHAnsi"/>
          <w:sz w:val="22"/>
        </w:rPr>
        <w:t xml:space="preserve">phone </w:t>
      </w:r>
      <w:r w:rsidR="00F97538" w:rsidRPr="00E46DCA">
        <w:rPr>
          <w:rFonts w:asciiTheme="minorHAnsi" w:hAnsiTheme="minorHAnsi" w:cstheme="minorHAnsi"/>
          <w:sz w:val="22"/>
        </w:rPr>
        <w:t>interview</w:t>
      </w:r>
      <w:r w:rsidR="004419BF" w:rsidRPr="00E46DCA">
        <w:rPr>
          <w:rFonts w:asciiTheme="minorHAnsi" w:hAnsiTheme="minorHAnsi" w:cstheme="minorHAnsi"/>
          <w:sz w:val="22"/>
        </w:rPr>
        <w:t xml:space="preserve"> incentive amount </w:t>
      </w:r>
      <w:r w:rsidR="004529F0">
        <w:rPr>
          <w:rFonts w:asciiTheme="minorHAnsi" w:hAnsiTheme="minorHAnsi" w:cstheme="minorHAnsi"/>
          <w:sz w:val="22"/>
        </w:rPr>
        <w:t xml:space="preserve">increased the </w:t>
      </w:r>
      <w:r w:rsidR="000A08F1" w:rsidRPr="00E46DCA">
        <w:rPr>
          <w:rFonts w:asciiTheme="minorHAnsi" w:hAnsiTheme="minorHAnsi" w:cstheme="minorHAnsi"/>
          <w:sz w:val="22"/>
        </w:rPr>
        <w:t>phone interview response rate</w:t>
      </w:r>
      <w:r w:rsidR="004529F0">
        <w:rPr>
          <w:rFonts w:asciiTheme="minorHAnsi" w:hAnsiTheme="minorHAnsi" w:cstheme="minorHAnsi"/>
          <w:sz w:val="22"/>
        </w:rPr>
        <w:t xml:space="preserve"> by about 5 percentage points</w:t>
      </w:r>
      <w:r w:rsidR="00F97538" w:rsidRPr="00E46DCA">
        <w:rPr>
          <w:rFonts w:asciiTheme="minorHAnsi" w:hAnsiTheme="minorHAnsi" w:cstheme="minorHAnsi"/>
          <w:sz w:val="22"/>
        </w:rPr>
        <w:t>.</w:t>
      </w:r>
      <w:r w:rsidR="009F71F3" w:rsidRPr="00E46DCA">
        <w:rPr>
          <w:rFonts w:asciiTheme="minorHAnsi" w:hAnsiTheme="minorHAnsi" w:cstheme="minorHAnsi"/>
          <w:sz w:val="22"/>
        </w:rPr>
        <w:t xml:space="preserve"> </w:t>
      </w:r>
      <w:r w:rsidR="004529F0">
        <w:rPr>
          <w:rFonts w:asciiTheme="minorHAnsi" w:hAnsiTheme="minorHAnsi" w:cstheme="minorHAnsi"/>
          <w:sz w:val="22"/>
        </w:rPr>
        <w:t>Howeve</w:t>
      </w:r>
      <w:r w:rsidR="00FD0F6D">
        <w:rPr>
          <w:rFonts w:asciiTheme="minorHAnsi" w:hAnsiTheme="minorHAnsi" w:cstheme="minorHAnsi"/>
          <w:sz w:val="22"/>
        </w:rPr>
        <w:t>r</w:t>
      </w:r>
      <w:r w:rsidR="004529F0">
        <w:rPr>
          <w:rFonts w:asciiTheme="minorHAnsi" w:hAnsiTheme="minorHAnsi" w:cstheme="minorHAnsi"/>
          <w:sz w:val="22"/>
        </w:rPr>
        <w:t xml:space="preserve">, </w:t>
      </w:r>
      <w:r w:rsidR="00CA3A27" w:rsidRPr="004E1E48">
        <w:rPr>
          <w:rFonts w:asciiTheme="minorHAnsi" w:hAnsiTheme="minorHAnsi" w:cstheme="minorHAnsi"/>
          <w:sz w:val="22"/>
        </w:rPr>
        <w:t xml:space="preserve">the early bird </w:t>
      </w:r>
      <w:r w:rsidR="000A08F1">
        <w:rPr>
          <w:rFonts w:asciiTheme="minorHAnsi" w:hAnsiTheme="minorHAnsi" w:cstheme="minorHAnsi"/>
          <w:sz w:val="22"/>
        </w:rPr>
        <w:t xml:space="preserve">phone interview </w:t>
      </w:r>
      <w:r w:rsidR="00CA3A27" w:rsidRPr="00914A0F">
        <w:rPr>
          <w:rFonts w:asciiTheme="minorHAnsi" w:hAnsiTheme="minorHAnsi" w:cstheme="minorHAnsi"/>
          <w:sz w:val="22"/>
        </w:rPr>
        <w:t xml:space="preserve">incentive </w:t>
      </w:r>
      <w:r w:rsidR="004529F0">
        <w:rPr>
          <w:rFonts w:asciiTheme="minorHAnsi" w:hAnsiTheme="minorHAnsi" w:cstheme="minorHAnsi"/>
          <w:sz w:val="22"/>
        </w:rPr>
        <w:t xml:space="preserve">did not </w:t>
      </w:r>
      <w:r w:rsidR="00D21DF6">
        <w:rPr>
          <w:rFonts w:asciiTheme="minorHAnsi" w:hAnsiTheme="minorHAnsi" w:cstheme="minorHAnsi"/>
          <w:sz w:val="22"/>
        </w:rPr>
        <w:t xml:space="preserve">have a statistically significant impact on </w:t>
      </w:r>
      <w:r w:rsidR="00CA3A27" w:rsidRPr="00914A0F">
        <w:rPr>
          <w:rFonts w:asciiTheme="minorHAnsi" w:hAnsiTheme="minorHAnsi" w:cstheme="minorHAnsi"/>
          <w:sz w:val="22"/>
        </w:rPr>
        <w:t>response rate</w:t>
      </w:r>
      <w:r w:rsidR="004529F0">
        <w:rPr>
          <w:rFonts w:asciiTheme="minorHAnsi" w:hAnsiTheme="minorHAnsi" w:cstheme="minorHAnsi"/>
          <w:sz w:val="22"/>
        </w:rPr>
        <w:t>s</w:t>
      </w:r>
      <w:r w:rsidR="00BE0A2C" w:rsidRPr="00914A0F">
        <w:rPr>
          <w:rFonts w:asciiTheme="minorHAnsi" w:hAnsiTheme="minorHAnsi" w:cstheme="minorHAnsi"/>
          <w:sz w:val="22"/>
        </w:rPr>
        <w:t>.</w:t>
      </w:r>
      <w:r w:rsidR="0061489F" w:rsidRPr="00914A0F">
        <w:rPr>
          <w:rFonts w:asciiTheme="minorHAnsi" w:hAnsiTheme="minorHAnsi" w:cstheme="minorHAnsi"/>
          <w:sz w:val="22"/>
        </w:rPr>
        <w:t xml:space="preserve"> </w:t>
      </w:r>
      <w:r w:rsidR="000A08F1" w:rsidRPr="00EC3191">
        <w:rPr>
          <w:rFonts w:asciiTheme="minorHAnsi" w:hAnsiTheme="minorHAnsi" w:cstheme="minorHAnsi"/>
          <w:sz w:val="22"/>
        </w:rPr>
        <w:t>Finally, the higher in-home incentive</w:t>
      </w:r>
      <w:r w:rsidR="00E56A14">
        <w:rPr>
          <w:rFonts w:asciiTheme="minorHAnsi" w:hAnsiTheme="minorHAnsi" w:cstheme="minorHAnsi"/>
          <w:sz w:val="22"/>
        </w:rPr>
        <w:t xml:space="preserve"> </w:t>
      </w:r>
      <w:r w:rsidR="00D21DF6">
        <w:rPr>
          <w:rFonts w:asciiTheme="minorHAnsi" w:hAnsiTheme="minorHAnsi" w:cstheme="minorHAnsi"/>
          <w:sz w:val="22"/>
        </w:rPr>
        <w:t>did have</w:t>
      </w:r>
      <w:r w:rsidR="000A08F1" w:rsidRPr="00EC3191">
        <w:rPr>
          <w:rFonts w:asciiTheme="minorHAnsi" w:hAnsiTheme="minorHAnsi" w:cstheme="minorHAnsi"/>
          <w:sz w:val="22"/>
        </w:rPr>
        <w:t xml:space="preserve"> a statistically significant impact on phone interview response rates. </w:t>
      </w:r>
    </w:p>
    <w:p w14:paraId="38BBCFDA" w14:textId="7FE4DF39" w:rsidR="00C41DE9" w:rsidRDefault="00C41DE9" w:rsidP="00D707D3">
      <w:pPr>
        <w:rPr>
          <w:rFonts w:asciiTheme="minorHAnsi" w:hAnsiTheme="minorHAnsi" w:cstheme="minorHAnsi"/>
          <w:sz w:val="22"/>
        </w:rPr>
      </w:pPr>
    </w:p>
    <w:p w14:paraId="31719004" w14:textId="096C7E52" w:rsidR="003B7A60" w:rsidRPr="00717D7B" w:rsidRDefault="00A74666" w:rsidP="003B7A60">
      <w:pPr>
        <w:rPr>
          <w:rFonts w:asciiTheme="minorHAnsi" w:hAnsiTheme="minorHAnsi" w:cstheme="minorHAnsi"/>
          <w:i/>
          <w:sz w:val="22"/>
          <w:szCs w:val="22"/>
        </w:rPr>
      </w:pPr>
      <w:r w:rsidRPr="00717D7B">
        <w:rPr>
          <w:rFonts w:asciiTheme="minorHAnsi" w:hAnsiTheme="minorHAnsi" w:cstheme="minorHAnsi"/>
          <w:i/>
          <w:sz w:val="22"/>
          <w:szCs w:val="22"/>
        </w:rPr>
        <w:t>In-home Response Rates</w:t>
      </w:r>
    </w:p>
    <w:p w14:paraId="32584AB1" w14:textId="77777777" w:rsidR="00B54B88" w:rsidRDefault="00B54B88" w:rsidP="003B7A60">
      <w:pPr>
        <w:rPr>
          <w:rFonts w:asciiTheme="minorHAnsi" w:hAnsiTheme="minorHAnsi" w:cstheme="minorHAnsi"/>
          <w:sz w:val="22"/>
          <w:szCs w:val="22"/>
        </w:rPr>
      </w:pPr>
    </w:p>
    <w:p w14:paraId="2AA81D42" w14:textId="0C6BC25C" w:rsidR="003B7A60" w:rsidRDefault="003B7A60" w:rsidP="003B7A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shown in Table </w:t>
      </w:r>
      <w:r w:rsidR="00A20250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529F0">
        <w:rPr>
          <w:rFonts w:asciiTheme="minorHAnsi" w:hAnsiTheme="minorHAnsi" w:cstheme="minorHAnsi"/>
          <w:sz w:val="22"/>
          <w:szCs w:val="22"/>
        </w:rPr>
        <w:t xml:space="preserve">neither </w:t>
      </w:r>
      <w:r w:rsidRPr="00BC64F2">
        <w:rPr>
          <w:rFonts w:asciiTheme="minorHAnsi" w:hAnsiTheme="minorHAnsi" w:cstheme="minorHAnsi"/>
          <w:sz w:val="22"/>
          <w:szCs w:val="22"/>
        </w:rPr>
        <w:t xml:space="preserve">the in-home incentive amount </w:t>
      </w:r>
      <w:r w:rsidR="004529F0">
        <w:rPr>
          <w:rFonts w:asciiTheme="minorHAnsi" w:hAnsiTheme="minorHAnsi" w:cstheme="minorHAnsi"/>
          <w:sz w:val="22"/>
          <w:szCs w:val="22"/>
        </w:rPr>
        <w:t>nor the phone interview incentive amounts had much effect on in-home response rates</w:t>
      </w:r>
      <w:r w:rsidR="001656F1">
        <w:rPr>
          <w:rFonts w:asciiTheme="minorHAnsi" w:hAnsiTheme="minorHAnsi" w:cstheme="minorHAnsi"/>
          <w:sz w:val="22"/>
          <w:szCs w:val="22"/>
        </w:rPr>
        <w:t>.</w:t>
      </w:r>
      <w:r w:rsidR="00AC60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0403C8" w14:textId="77777777" w:rsidR="007010A0" w:rsidRPr="00914A0F" w:rsidRDefault="007010A0" w:rsidP="00D707D3">
      <w:pPr>
        <w:rPr>
          <w:rFonts w:asciiTheme="minorHAnsi" w:hAnsiTheme="minorHAnsi" w:cstheme="minorHAnsi"/>
          <w:sz w:val="22"/>
        </w:rPr>
      </w:pPr>
    </w:p>
    <w:p w14:paraId="13315CDA" w14:textId="5EBB2189" w:rsidR="00CA3A27" w:rsidRPr="00717D7B" w:rsidRDefault="00666236" w:rsidP="005418AD">
      <w:pPr>
        <w:rPr>
          <w:rFonts w:asciiTheme="minorHAnsi" w:hAnsiTheme="minorHAnsi" w:cstheme="minorHAnsi"/>
          <w:b/>
          <w:sz w:val="22"/>
        </w:rPr>
      </w:pPr>
      <w:r w:rsidRPr="00717D7B">
        <w:rPr>
          <w:rFonts w:asciiTheme="minorHAnsi" w:hAnsiTheme="minorHAnsi" w:cstheme="minorHAnsi"/>
          <w:b/>
          <w:sz w:val="22"/>
        </w:rPr>
        <w:t>Interaction Effects</w:t>
      </w:r>
    </w:p>
    <w:p w14:paraId="4C02772F" w14:textId="651FAE90" w:rsidR="000579B8" w:rsidRDefault="000579B8" w:rsidP="005418AD">
      <w:pPr>
        <w:rPr>
          <w:rFonts w:asciiTheme="minorHAnsi" w:hAnsiTheme="minorHAnsi" w:cstheme="minorHAnsi"/>
          <w:sz w:val="22"/>
        </w:rPr>
      </w:pPr>
    </w:p>
    <w:p w14:paraId="5B1BBB79" w14:textId="4E1F8389" w:rsidR="00AB01A7" w:rsidRPr="004C1147" w:rsidRDefault="00AB01A7" w:rsidP="00AB01A7">
      <w:pPr>
        <w:jc w:val="center"/>
        <w:rPr>
          <w:rFonts w:asciiTheme="minorHAnsi" w:hAnsiTheme="minorHAnsi" w:cstheme="minorHAnsi"/>
          <w:b/>
          <w:sz w:val="22"/>
        </w:rPr>
      </w:pPr>
      <w:r w:rsidRPr="004C1147">
        <w:rPr>
          <w:rFonts w:asciiTheme="minorHAnsi" w:hAnsiTheme="minorHAnsi" w:cstheme="minorHAnsi"/>
          <w:b/>
          <w:sz w:val="22"/>
        </w:rPr>
        <w:t xml:space="preserve">Table </w:t>
      </w:r>
      <w:r>
        <w:rPr>
          <w:rFonts w:asciiTheme="minorHAnsi" w:hAnsiTheme="minorHAnsi" w:cstheme="minorHAnsi"/>
          <w:b/>
          <w:sz w:val="22"/>
        </w:rPr>
        <w:t>4</w:t>
      </w:r>
    </w:p>
    <w:p w14:paraId="6548254D" w14:textId="77777777" w:rsidR="00882D8E" w:rsidRDefault="00AB01A7" w:rsidP="00AB01A7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Interaction </w:t>
      </w:r>
      <w:r w:rsidR="007B387F">
        <w:rPr>
          <w:rFonts w:asciiTheme="minorHAnsi" w:hAnsiTheme="minorHAnsi" w:cstheme="minorHAnsi"/>
          <w:b/>
          <w:sz w:val="22"/>
        </w:rPr>
        <w:t>E</w:t>
      </w:r>
      <w:r>
        <w:rPr>
          <w:rFonts w:asciiTheme="minorHAnsi" w:hAnsiTheme="minorHAnsi" w:cstheme="minorHAnsi"/>
          <w:b/>
          <w:sz w:val="22"/>
        </w:rPr>
        <w:t xml:space="preserve">ffects between </w:t>
      </w:r>
      <w:r w:rsidR="007B387F">
        <w:rPr>
          <w:rFonts w:asciiTheme="minorHAnsi" w:hAnsiTheme="minorHAnsi" w:cstheme="minorHAnsi"/>
          <w:b/>
          <w:sz w:val="22"/>
        </w:rPr>
        <w:t>the Phone I</w:t>
      </w:r>
      <w:r>
        <w:rPr>
          <w:rFonts w:asciiTheme="minorHAnsi" w:hAnsiTheme="minorHAnsi" w:cstheme="minorHAnsi"/>
          <w:b/>
          <w:sz w:val="22"/>
        </w:rPr>
        <w:t xml:space="preserve">nterview </w:t>
      </w:r>
      <w:r w:rsidR="007B387F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 xml:space="preserve">ncentive and </w:t>
      </w:r>
      <w:r w:rsidR="007B387F">
        <w:rPr>
          <w:rFonts w:asciiTheme="minorHAnsi" w:hAnsiTheme="minorHAnsi" w:cstheme="minorHAnsi"/>
          <w:b/>
          <w:sz w:val="22"/>
        </w:rPr>
        <w:t>the I</w:t>
      </w:r>
      <w:r>
        <w:rPr>
          <w:rFonts w:asciiTheme="minorHAnsi" w:hAnsiTheme="minorHAnsi" w:cstheme="minorHAnsi"/>
          <w:b/>
          <w:sz w:val="22"/>
        </w:rPr>
        <w:t>n-</w:t>
      </w:r>
      <w:r w:rsidR="007B387F">
        <w:rPr>
          <w:rFonts w:asciiTheme="minorHAnsi" w:hAnsiTheme="minorHAnsi" w:cstheme="minorHAnsi"/>
          <w:b/>
          <w:sz w:val="22"/>
        </w:rPr>
        <w:t>H</w:t>
      </w:r>
      <w:r>
        <w:rPr>
          <w:rFonts w:asciiTheme="minorHAnsi" w:hAnsiTheme="minorHAnsi" w:cstheme="minorHAnsi"/>
          <w:b/>
          <w:sz w:val="22"/>
        </w:rPr>
        <w:t xml:space="preserve">ome </w:t>
      </w:r>
      <w:r w:rsidR="007B387F">
        <w:rPr>
          <w:rFonts w:asciiTheme="minorHAnsi" w:hAnsiTheme="minorHAnsi" w:cstheme="minorHAnsi"/>
          <w:b/>
          <w:sz w:val="22"/>
        </w:rPr>
        <w:t>I</w:t>
      </w:r>
      <w:r>
        <w:rPr>
          <w:rFonts w:asciiTheme="minorHAnsi" w:hAnsiTheme="minorHAnsi" w:cstheme="minorHAnsi"/>
          <w:b/>
          <w:sz w:val="22"/>
        </w:rPr>
        <w:t>ncentive</w:t>
      </w:r>
      <w:r w:rsidR="00882D8E">
        <w:rPr>
          <w:rFonts w:asciiTheme="minorHAnsi" w:hAnsiTheme="minorHAnsi" w:cstheme="minorHAnsi"/>
          <w:b/>
          <w:sz w:val="22"/>
        </w:rPr>
        <w:t xml:space="preserve"> </w:t>
      </w:r>
    </w:p>
    <w:p w14:paraId="51F3FB94" w14:textId="77D29918" w:rsidR="00AB01A7" w:rsidRPr="004C1147" w:rsidRDefault="00882D8E" w:rsidP="00AB01A7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on Phone Interview Response Rates</w:t>
      </w:r>
    </w:p>
    <w:p w14:paraId="180748D1" w14:textId="77777777" w:rsidR="00AB01A7" w:rsidRPr="004C1147" w:rsidRDefault="00AB01A7" w:rsidP="00AB01A7">
      <w:pPr>
        <w:rPr>
          <w:rFonts w:asciiTheme="minorHAnsi" w:hAnsiTheme="minorHAnsi" w:cstheme="minorHAnsi"/>
          <w:color w:val="FF0000"/>
          <w:sz w:val="22"/>
        </w:rPr>
      </w:pPr>
    </w:p>
    <w:tbl>
      <w:tblPr>
        <w:tblW w:w="88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10"/>
        <w:gridCol w:w="2160"/>
        <w:gridCol w:w="2070"/>
        <w:gridCol w:w="1170"/>
      </w:tblGrid>
      <w:tr w:rsidR="00F10524" w:rsidRPr="00717A02" w14:paraId="06651CCF" w14:textId="77777777" w:rsidTr="00B67289">
        <w:trPr>
          <w:trHeight w:val="712"/>
        </w:trPr>
        <w:tc>
          <w:tcPr>
            <w:tcW w:w="34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12A8D" w14:textId="77777777" w:rsidR="00AB01A7" w:rsidRPr="00717A02" w:rsidRDefault="00AB01A7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 Incentive type</w:t>
            </w:r>
          </w:p>
        </w:tc>
        <w:tc>
          <w:tcPr>
            <w:tcW w:w="2160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5F00" w14:textId="77777777" w:rsidR="00AB01A7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 xml:space="preserve">Impact when higher </w:t>
            </w:r>
          </w:p>
          <w:p w14:paraId="582B85E6" w14:textId="77777777" w:rsidR="00AB01A7" w:rsidRPr="00CC1B4E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in-home incentive offered</w:t>
            </w:r>
          </w:p>
        </w:tc>
        <w:tc>
          <w:tcPr>
            <w:tcW w:w="2070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AEFC" w14:textId="77777777" w:rsidR="00AB01A7" w:rsidRPr="00CC1B4E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2"/>
                <w:szCs w:val="22"/>
              </w:rPr>
              <w:t>Impact when standard in-home incentive offered</w:t>
            </w:r>
          </w:p>
        </w:tc>
        <w:tc>
          <w:tcPr>
            <w:tcW w:w="1170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1991B8A4" w14:textId="1AD9563A" w:rsidR="00AB01A7" w:rsidRPr="00AA7A4E" w:rsidRDefault="000E3670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Significance</w:t>
            </w:r>
          </w:p>
        </w:tc>
      </w:tr>
      <w:tr w:rsidR="00AB01A7" w:rsidRPr="00717A02" w14:paraId="7A4AEDED" w14:textId="77777777" w:rsidTr="00B67289">
        <w:trPr>
          <w:trHeight w:val="229"/>
        </w:trPr>
        <w:tc>
          <w:tcPr>
            <w:tcW w:w="3410" w:type="dxa"/>
            <w:tcBorders>
              <w:top w:val="single" w:sz="8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EF1A3" w14:textId="77777777" w:rsidR="00AB01A7" w:rsidRPr="00717A02" w:rsidRDefault="00AB01A7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color w:val="BFBFBF"/>
                <w:kern w:val="24"/>
                <w:sz w:val="22"/>
                <w:szCs w:val="22"/>
              </w:rPr>
              <w:t> </w:t>
            </w:r>
          </w:p>
        </w:tc>
        <w:tc>
          <w:tcPr>
            <w:tcW w:w="4230" w:type="dxa"/>
            <w:gridSpan w:val="2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DC26" w14:textId="77777777" w:rsidR="00AB01A7" w:rsidRPr="00717A02" w:rsidRDefault="00AB01A7" w:rsidP="00D36635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540260DD" w14:textId="77777777" w:rsidR="00AB01A7" w:rsidRPr="00AA7A4E" w:rsidRDefault="00AB01A7" w:rsidP="00D36635">
            <w:pPr>
              <w:autoSpaceDE/>
              <w:autoSpaceDN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524" w:rsidRPr="00717A02" w14:paraId="60A7E89B" w14:textId="77777777" w:rsidTr="00B67289">
        <w:trPr>
          <w:trHeight w:val="20"/>
        </w:trPr>
        <w:tc>
          <w:tcPr>
            <w:tcW w:w="341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68FAA" w14:textId="31D45D90" w:rsidR="00AB01A7" w:rsidRPr="00717A02" w:rsidRDefault="00AB01A7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="000E3670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amount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23C41" w14:textId="77777777" w:rsidR="00AB01A7" w:rsidRPr="00717A02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+5 percentage points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7F1B" w14:textId="03EFFC66" w:rsidR="00AB01A7" w:rsidRPr="003C6761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F05DEC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+</w:t>
            </w:r>
            <w:r w:rsidR="00124EA7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 xml:space="preserve">5 </w:t>
            </w:r>
            <w:r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percentage points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1F7EDB18" w14:textId="77777777" w:rsidR="00AB01A7" w:rsidRPr="007F3DB4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</w:p>
        </w:tc>
      </w:tr>
      <w:tr w:rsidR="00F10524" w:rsidRPr="00717A02" w14:paraId="6B37628B" w14:textId="77777777" w:rsidTr="00B67289">
        <w:trPr>
          <w:trHeight w:val="20"/>
        </w:trPr>
        <w:tc>
          <w:tcPr>
            <w:tcW w:w="341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367B0" w14:textId="6FFFABE6" w:rsidR="00AB01A7" w:rsidRPr="00717A02" w:rsidRDefault="00AB01A7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Early bird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F10524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 w:rsidRPr="00AA7A4E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 structure</w:t>
            </w:r>
          </w:p>
        </w:tc>
        <w:tc>
          <w:tcPr>
            <w:tcW w:w="21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D9B8F" w14:textId="28E73D66" w:rsidR="00AB01A7" w:rsidRPr="00717A02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+</w:t>
            </w:r>
            <w:r w:rsidR="007D522B">
              <w:rPr>
                <w:rFonts w:asciiTheme="minorHAnsi" w:hAnsiTheme="minorHAnsi" w:cstheme="minorHAnsi"/>
                <w:kern w:val="24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percentage points</w:t>
            </w:r>
          </w:p>
        </w:tc>
        <w:tc>
          <w:tcPr>
            <w:tcW w:w="20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5A7E0" w14:textId="44705084" w:rsidR="00AB01A7" w:rsidRPr="00717A02" w:rsidRDefault="005F4C1F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+</w:t>
            </w:r>
            <w:r w:rsidR="00AB01A7">
              <w:rPr>
                <w:rFonts w:asciiTheme="minorHAnsi" w:hAnsiTheme="minorHAnsi" w:cstheme="minorHAnsi"/>
                <w:kern w:val="24"/>
                <w:sz w:val="22"/>
                <w:szCs w:val="22"/>
              </w:rPr>
              <w:t>1 percentage points</w:t>
            </w: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6445F791" w14:textId="77777777" w:rsidR="00AB01A7" w:rsidRPr="007F3DB4" w:rsidRDefault="00AB01A7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</w:tbl>
    <w:p w14:paraId="46CC6BC7" w14:textId="77777777" w:rsidR="00AB01A7" w:rsidRDefault="00AB01A7" w:rsidP="00AB01A7">
      <w:pPr>
        <w:rPr>
          <w:rFonts w:asciiTheme="minorHAnsi" w:hAnsiTheme="minorHAnsi" w:cstheme="minorHAnsi"/>
          <w:i/>
        </w:rPr>
      </w:pPr>
      <w:r w:rsidRPr="00FA58FE">
        <w:rPr>
          <w:rFonts w:asciiTheme="minorHAnsi" w:hAnsiTheme="minorHAnsi" w:cstheme="minorHAnsi"/>
          <w:i/>
        </w:rPr>
        <w:t xml:space="preserve">Significance levels: *** p &lt; .01, ** p &lt; .05, * p &lt; .10 </w:t>
      </w:r>
    </w:p>
    <w:p w14:paraId="3025AD7F" w14:textId="77777777" w:rsidR="000579B8" w:rsidRDefault="000579B8" w:rsidP="005418AD">
      <w:pPr>
        <w:rPr>
          <w:rFonts w:asciiTheme="minorHAnsi" w:hAnsiTheme="minorHAnsi" w:cstheme="minorHAnsi"/>
          <w:sz w:val="22"/>
        </w:rPr>
      </w:pPr>
    </w:p>
    <w:p w14:paraId="7518EC8A" w14:textId="593339B2" w:rsidR="00084A94" w:rsidRDefault="000579B8" w:rsidP="005418A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="009322E6">
        <w:rPr>
          <w:rFonts w:asciiTheme="minorHAnsi" w:hAnsiTheme="minorHAnsi" w:cstheme="minorHAnsi"/>
          <w:sz w:val="22"/>
        </w:rPr>
        <w:t>nlike the main effects</w:t>
      </w:r>
      <w:r w:rsidR="0061489F">
        <w:rPr>
          <w:rFonts w:asciiTheme="minorHAnsi" w:hAnsiTheme="minorHAnsi" w:cstheme="minorHAnsi"/>
          <w:sz w:val="22"/>
        </w:rPr>
        <w:t xml:space="preserve">, </w:t>
      </w:r>
      <w:r w:rsidR="00433561">
        <w:rPr>
          <w:rFonts w:asciiTheme="minorHAnsi" w:hAnsiTheme="minorHAnsi" w:cstheme="minorHAnsi"/>
          <w:sz w:val="22"/>
        </w:rPr>
        <w:t>no</w:t>
      </w:r>
      <w:r w:rsidR="0061489F">
        <w:rPr>
          <w:rFonts w:asciiTheme="minorHAnsi" w:hAnsiTheme="minorHAnsi" w:cstheme="minorHAnsi"/>
          <w:sz w:val="22"/>
        </w:rPr>
        <w:t xml:space="preserve"> interactions</w:t>
      </w:r>
      <w:r w:rsidR="00857F4E" w:rsidRPr="004C1147">
        <w:rPr>
          <w:rFonts w:asciiTheme="minorHAnsi" w:hAnsiTheme="minorHAnsi" w:cstheme="minorHAnsi"/>
          <w:sz w:val="22"/>
        </w:rPr>
        <w:t xml:space="preserve"> between the</w:t>
      </w:r>
      <w:r w:rsidR="00AB5C94">
        <w:rPr>
          <w:rFonts w:asciiTheme="minorHAnsi" w:hAnsiTheme="minorHAnsi" w:cstheme="minorHAnsi"/>
          <w:sz w:val="22"/>
        </w:rPr>
        <w:t xml:space="preserve"> phone</w:t>
      </w:r>
      <w:r w:rsidR="00857F4E" w:rsidRPr="004C1147">
        <w:rPr>
          <w:rFonts w:asciiTheme="minorHAnsi" w:hAnsiTheme="minorHAnsi" w:cstheme="minorHAnsi"/>
          <w:sz w:val="22"/>
        </w:rPr>
        <w:t xml:space="preserve"> </w:t>
      </w:r>
      <w:r w:rsidR="00084A94">
        <w:rPr>
          <w:rFonts w:asciiTheme="minorHAnsi" w:hAnsiTheme="minorHAnsi" w:cstheme="minorHAnsi"/>
          <w:sz w:val="22"/>
        </w:rPr>
        <w:t>interview</w:t>
      </w:r>
      <w:r w:rsidR="00857F4E" w:rsidRPr="004C1147">
        <w:rPr>
          <w:rFonts w:asciiTheme="minorHAnsi" w:hAnsiTheme="minorHAnsi" w:cstheme="minorHAnsi"/>
          <w:sz w:val="22"/>
        </w:rPr>
        <w:t xml:space="preserve"> incentive and </w:t>
      </w:r>
      <w:r w:rsidR="00CC39CF">
        <w:rPr>
          <w:rFonts w:asciiTheme="minorHAnsi" w:hAnsiTheme="minorHAnsi" w:cstheme="minorHAnsi"/>
          <w:sz w:val="22"/>
        </w:rPr>
        <w:t>in-home</w:t>
      </w:r>
      <w:r w:rsidR="00857F4E" w:rsidRPr="004C1147">
        <w:rPr>
          <w:rFonts w:asciiTheme="minorHAnsi" w:hAnsiTheme="minorHAnsi" w:cstheme="minorHAnsi"/>
          <w:sz w:val="22"/>
        </w:rPr>
        <w:t xml:space="preserve"> incentive were </w:t>
      </w:r>
      <w:r w:rsidR="00084A94">
        <w:rPr>
          <w:rFonts w:asciiTheme="minorHAnsi" w:hAnsiTheme="minorHAnsi" w:cstheme="minorHAnsi"/>
          <w:sz w:val="22"/>
        </w:rPr>
        <w:t xml:space="preserve">statistically </w:t>
      </w:r>
      <w:r w:rsidR="00857F4E" w:rsidRPr="004C1147">
        <w:rPr>
          <w:rFonts w:asciiTheme="minorHAnsi" w:hAnsiTheme="minorHAnsi" w:cstheme="minorHAnsi"/>
          <w:sz w:val="22"/>
        </w:rPr>
        <w:t>significant</w:t>
      </w:r>
      <w:r w:rsidR="00084A94">
        <w:rPr>
          <w:rFonts w:asciiTheme="minorHAnsi" w:hAnsiTheme="minorHAnsi" w:cstheme="minorHAnsi"/>
          <w:sz w:val="22"/>
        </w:rPr>
        <w:t xml:space="preserve">. </w:t>
      </w:r>
      <w:r w:rsidR="00914A0F">
        <w:rPr>
          <w:rFonts w:asciiTheme="minorHAnsi" w:hAnsiTheme="minorHAnsi" w:cstheme="minorHAnsi"/>
          <w:sz w:val="22"/>
        </w:rPr>
        <w:t xml:space="preserve">These effects are shown in Table </w:t>
      </w:r>
      <w:r w:rsidR="00473C8D">
        <w:rPr>
          <w:rFonts w:asciiTheme="minorHAnsi" w:hAnsiTheme="minorHAnsi" w:cstheme="minorHAnsi"/>
          <w:sz w:val="22"/>
        </w:rPr>
        <w:t>4</w:t>
      </w:r>
      <w:r w:rsidR="00914A0F">
        <w:rPr>
          <w:rFonts w:asciiTheme="minorHAnsi" w:hAnsiTheme="minorHAnsi" w:cstheme="minorHAnsi"/>
          <w:sz w:val="22"/>
        </w:rPr>
        <w:t xml:space="preserve">. </w:t>
      </w:r>
      <w:r w:rsidR="00433561">
        <w:rPr>
          <w:rFonts w:asciiTheme="minorHAnsi" w:hAnsiTheme="minorHAnsi" w:cstheme="minorHAnsi"/>
          <w:sz w:val="22"/>
        </w:rPr>
        <w:t xml:space="preserve">Notably, the </w:t>
      </w:r>
      <w:r w:rsidR="0061489F">
        <w:rPr>
          <w:rFonts w:asciiTheme="minorHAnsi" w:hAnsiTheme="minorHAnsi" w:cstheme="minorHAnsi"/>
          <w:sz w:val="22"/>
        </w:rPr>
        <w:t>higher</w:t>
      </w:r>
      <w:r w:rsidR="00AB5C94">
        <w:rPr>
          <w:rFonts w:asciiTheme="minorHAnsi" w:hAnsiTheme="minorHAnsi" w:cstheme="minorHAnsi"/>
          <w:sz w:val="22"/>
        </w:rPr>
        <w:t xml:space="preserve"> phone</w:t>
      </w:r>
      <w:r w:rsidR="0061489F">
        <w:rPr>
          <w:rFonts w:asciiTheme="minorHAnsi" w:hAnsiTheme="minorHAnsi" w:cstheme="minorHAnsi"/>
          <w:sz w:val="22"/>
        </w:rPr>
        <w:t xml:space="preserve"> interview incentive appears to have been effective regardless of the in-home incentive offered</w:t>
      </w:r>
      <w:r w:rsidR="00433561">
        <w:rPr>
          <w:rFonts w:asciiTheme="minorHAnsi" w:hAnsiTheme="minorHAnsi" w:cstheme="minorHAnsi"/>
          <w:sz w:val="22"/>
        </w:rPr>
        <w:t>,</w:t>
      </w:r>
      <w:r w:rsidR="00E85BFC">
        <w:rPr>
          <w:rFonts w:asciiTheme="minorHAnsi" w:hAnsiTheme="minorHAnsi" w:cstheme="minorHAnsi"/>
          <w:sz w:val="22"/>
        </w:rPr>
        <w:t xml:space="preserve"> </w:t>
      </w:r>
      <w:r w:rsidR="00433561">
        <w:rPr>
          <w:rFonts w:asciiTheme="minorHAnsi" w:hAnsiTheme="minorHAnsi" w:cstheme="minorHAnsi"/>
          <w:sz w:val="22"/>
        </w:rPr>
        <w:t xml:space="preserve">producing </w:t>
      </w:r>
      <w:r w:rsidR="00E85BFC">
        <w:rPr>
          <w:rFonts w:asciiTheme="minorHAnsi" w:hAnsiTheme="minorHAnsi" w:cstheme="minorHAnsi"/>
          <w:sz w:val="22"/>
        </w:rPr>
        <w:t xml:space="preserve">response </w:t>
      </w:r>
      <w:r w:rsidR="00E85BFC" w:rsidRPr="008C7F3C">
        <w:rPr>
          <w:rFonts w:asciiTheme="minorHAnsi" w:hAnsiTheme="minorHAnsi" w:cstheme="minorHAnsi"/>
          <w:sz w:val="22"/>
        </w:rPr>
        <w:t xml:space="preserve">rates </w:t>
      </w:r>
      <w:r w:rsidR="002E2D6B">
        <w:rPr>
          <w:rFonts w:asciiTheme="minorHAnsi" w:hAnsiTheme="minorHAnsi" w:cstheme="minorHAnsi"/>
          <w:sz w:val="22"/>
        </w:rPr>
        <w:t>approximately</w:t>
      </w:r>
      <w:r w:rsidR="002E2D6B" w:rsidRPr="008C7F3C">
        <w:rPr>
          <w:rFonts w:asciiTheme="minorHAnsi" w:hAnsiTheme="minorHAnsi" w:cstheme="minorHAnsi"/>
          <w:sz w:val="22"/>
        </w:rPr>
        <w:t xml:space="preserve"> </w:t>
      </w:r>
      <w:r w:rsidR="00E85BFC" w:rsidRPr="008C7F3C">
        <w:rPr>
          <w:rFonts w:asciiTheme="minorHAnsi" w:hAnsiTheme="minorHAnsi" w:cstheme="minorHAnsi"/>
          <w:sz w:val="22"/>
        </w:rPr>
        <w:t>five percentage points higher</w:t>
      </w:r>
      <w:r w:rsidR="00B00556" w:rsidRPr="008C7F3C">
        <w:rPr>
          <w:rFonts w:asciiTheme="minorHAnsi" w:hAnsiTheme="minorHAnsi" w:cstheme="minorHAnsi"/>
          <w:sz w:val="22"/>
        </w:rPr>
        <w:t xml:space="preserve"> than the standard interview incentive</w:t>
      </w:r>
      <w:r w:rsidR="00433561">
        <w:rPr>
          <w:rFonts w:asciiTheme="minorHAnsi" w:hAnsiTheme="minorHAnsi" w:cstheme="minorHAnsi"/>
          <w:sz w:val="22"/>
        </w:rPr>
        <w:t xml:space="preserve"> across in-home incentive conditions</w:t>
      </w:r>
      <w:r w:rsidR="004E4A2F">
        <w:rPr>
          <w:rFonts w:asciiTheme="minorHAnsi" w:hAnsiTheme="minorHAnsi" w:cstheme="minorHAnsi"/>
          <w:sz w:val="22"/>
        </w:rPr>
        <w:t>.</w:t>
      </w:r>
    </w:p>
    <w:p w14:paraId="14FB538A" w14:textId="08C093DA" w:rsidR="00076D56" w:rsidRDefault="00076D56" w:rsidP="005418AD">
      <w:pPr>
        <w:rPr>
          <w:rFonts w:asciiTheme="minorHAnsi" w:hAnsiTheme="minorHAnsi" w:cstheme="minorHAnsi"/>
          <w:sz w:val="22"/>
        </w:rPr>
      </w:pPr>
    </w:p>
    <w:p w14:paraId="3E00F6C8" w14:textId="1A48524E" w:rsidR="00D84618" w:rsidRPr="00BF28C4" w:rsidRDefault="004E4A2F" w:rsidP="005418AD">
      <w:pPr>
        <w:rPr>
          <w:rFonts w:asciiTheme="minorHAnsi" w:hAnsiTheme="minorHAnsi" w:cstheme="minorHAnsi"/>
          <w:b/>
          <w:sz w:val="32"/>
          <w:szCs w:val="32"/>
        </w:rPr>
      </w:pPr>
      <w:r w:rsidRPr="00BF28C4">
        <w:rPr>
          <w:rFonts w:asciiTheme="minorHAnsi" w:hAnsiTheme="minorHAnsi" w:cstheme="minorHAnsi"/>
          <w:b/>
          <w:sz w:val="32"/>
          <w:szCs w:val="32"/>
        </w:rPr>
        <w:t xml:space="preserve">Effects on </w:t>
      </w:r>
      <w:r w:rsidR="00CF5A5C" w:rsidRPr="00BF28C4">
        <w:rPr>
          <w:rFonts w:asciiTheme="minorHAnsi" w:hAnsiTheme="minorHAnsi" w:cstheme="minorHAnsi"/>
          <w:b/>
          <w:sz w:val="32"/>
          <w:szCs w:val="32"/>
        </w:rPr>
        <w:t xml:space="preserve">Differential </w:t>
      </w:r>
      <w:r w:rsidR="0067102C" w:rsidRPr="00BF28C4">
        <w:rPr>
          <w:rFonts w:asciiTheme="minorHAnsi" w:hAnsiTheme="minorHAnsi" w:cstheme="minorHAnsi"/>
          <w:b/>
          <w:sz w:val="32"/>
          <w:szCs w:val="32"/>
        </w:rPr>
        <w:t>Response Rates at the End of the Data Collection Period</w:t>
      </w:r>
      <w:r w:rsidR="00CF5A5C" w:rsidRPr="00BF28C4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9A3C1F6" w14:textId="77777777" w:rsidR="0067102C" w:rsidRDefault="0067102C" w:rsidP="005418AD">
      <w:pPr>
        <w:rPr>
          <w:rFonts w:asciiTheme="minorHAnsi" w:hAnsiTheme="minorHAnsi" w:cstheme="minorHAnsi"/>
          <w:b/>
          <w:sz w:val="24"/>
          <w:szCs w:val="24"/>
        </w:rPr>
      </w:pPr>
    </w:p>
    <w:p w14:paraId="354CC83A" w14:textId="3B3F621D" w:rsidR="004E4A2F" w:rsidRDefault="0067102C" w:rsidP="005418A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Effects on Response Rates for </w:t>
      </w:r>
      <w:r w:rsidR="00CF5A5C">
        <w:rPr>
          <w:rFonts w:asciiTheme="minorHAnsi" w:hAnsiTheme="minorHAnsi" w:cstheme="minorHAnsi"/>
          <w:b/>
          <w:sz w:val="24"/>
          <w:szCs w:val="24"/>
        </w:rPr>
        <w:t>Subgroups</w:t>
      </w:r>
    </w:p>
    <w:p w14:paraId="070381DA" w14:textId="2C994B1C" w:rsidR="004E4A2F" w:rsidRDefault="004E4A2F" w:rsidP="005418AD">
      <w:pPr>
        <w:rPr>
          <w:rFonts w:asciiTheme="minorHAnsi" w:hAnsiTheme="minorHAnsi" w:cstheme="minorHAnsi"/>
          <w:sz w:val="22"/>
          <w:szCs w:val="22"/>
        </w:rPr>
      </w:pPr>
    </w:p>
    <w:p w14:paraId="58A5872E" w14:textId="170A944E" w:rsidR="007D68A4" w:rsidRDefault="007642A8" w:rsidP="005418A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433561">
        <w:rPr>
          <w:rFonts w:asciiTheme="minorHAnsi" w:hAnsiTheme="minorHAnsi" w:cstheme="minorHAnsi"/>
          <w:sz w:val="22"/>
          <w:szCs w:val="22"/>
        </w:rPr>
        <w:t xml:space="preserve">he MIHOPE </w:t>
      </w:r>
      <w:r>
        <w:rPr>
          <w:rFonts w:asciiTheme="minorHAnsi" w:hAnsiTheme="minorHAnsi" w:cstheme="minorHAnsi"/>
          <w:sz w:val="22"/>
          <w:szCs w:val="22"/>
        </w:rPr>
        <w:t xml:space="preserve">incentive </w:t>
      </w:r>
      <w:r w:rsidR="00433561">
        <w:rPr>
          <w:rFonts w:asciiTheme="minorHAnsi" w:hAnsiTheme="minorHAnsi" w:cstheme="minorHAnsi"/>
          <w:sz w:val="22"/>
          <w:szCs w:val="22"/>
        </w:rPr>
        <w:t>experiment w</w:t>
      </w:r>
      <w:r>
        <w:rPr>
          <w:rFonts w:asciiTheme="minorHAnsi" w:hAnsiTheme="minorHAnsi" w:cstheme="minorHAnsi"/>
          <w:sz w:val="22"/>
          <w:szCs w:val="22"/>
        </w:rPr>
        <w:t>as</w:t>
      </w:r>
      <w:r w:rsidR="0043356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designed to</w:t>
      </w:r>
      <w:r w:rsidR="00433561">
        <w:rPr>
          <w:rFonts w:asciiTheme="minorHAnsi" w:hAnsiTheme="minorHAnsi" w:cstheme="minorHAnsi"/>
          <w:sz w:val="22"/>
          <w:szCs w:val="22"/>
        </w:rPr>
        <w:t xml:space="preserve"> increas</w:t>
      </w:r>
      <w:r>
        <w:rPr>
          <w:rFonts w:asciiTheme="minorHAnsi" w:hAnsiTheme="minorHAnsi" w:cstheme="minorHAnsi"/>
          <w:sz w:val="22"/>
          <w:szCs w:val="22"/>
        </w:rPr>
        <w:t>e</w:t>
      </w:r>
      <w:r w:rsidR="00433561">
        <w:rPr>
          <w:rFonts w:asciiTheme="minorHAnsi" w:hAnsiTheme="minorHAnsi" w:cstheme="minorHAnsi"/>
          <w:sz w:val="22"/>
          <w:szCs w:val="22"/>
        </w:rPr>
        <w:t xml:space="preserve"> </w:t>
      </w:r>
      <w:r w:rsidR="00DD648C">
        <w:rPr>
          <w:rFonts w:asciiTheme="minorHAnsi" w:hAnsiTheme="minorHAnsi" w:cstheme="minorHAnsi"/>
          <w:sz w:val="22"/>
          <w:szCs w:val="22"/>
        </w:rPr>
        <w:t>the study’s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33561">
        <w:rPr>
          <w:rFonts w:asciiTheme="minorHAnsi" w:hAnsiTheme="minorHAnsi" w:cstheme="minorHAnsi"/>
          <w:sz w:val="22"/>
          <w:szCs w:val="22"/>
        </w:rPr>
        <w:t>overall response rate</w:t>
      </w:r>
      <w:r>
        <w:rPr>
          <w:rFonts w:asciiTheme="minorHAnsi" w:hAnsiTheme="minorHAnsi" w:cstheme="minorHAnsi"/>
          <w:sz w:val="22"/>
          <w:szCs w:val="22"/>
        </w:rPr>
        <w:t xml:space="preserve">, maintaining the </w:t>
      </w:r>
      <w:r w:rsidR="00DD648C">
        <w:rPr>
          <w:rFonts w:asciiTheme="minorHAnsi" w:hAnsiTheme="minorHAnsi" w:cstheme="minorHAnsi"/>
          <w:sz w:val="22"/>
          <w:szCs w:val="22"/>
        </w:rPr>
        <w:t>statistical power of the baseline study</w:t>
      </w:r>
      <w:r>
        <w:rPr>
          <w:rFonts w:asciiTheme="minorHAnsi" w:hAnsiTheme="minorHAnsi" w:cstheme="minorHAnsi"/>
          <w:sz w:val="22"/>
          <w:szCs w:val="22"/>
        </w:rPr>
        <w:t>. Incentives were not targeted to particular demographic groups in this experiment.  However, as part of OPRE</w:t>
      </w:r>
      <w:r w:rsidR="00DD648C">
        <w:rPr>
          <w:rFonts w:asciiTheme="minorHAnsi" w:hAnsiTheme="minorHAnsi" w:cstheme="minorHAnsi"/>
          <w:sz w:val="22"/>
          <w:szCs w:val="22"/>
        </w:rPr>
        <w:t xml:space="preserve"> and OMB’s</w:t>
      </w:r>
      <w:r>
        <w:rPr>
          <w:rFonts w:asciiTheme="minorHAnsi" w:hAnsiTheme="minorHAnsi" w:cstheme="minorHAnsi"/>
          <w:sz w:val="22"/>
          <w:szCs w:val="22"/>
        </w:rPr>
        <w:t xml:space="preserve"> effort to understand </w:t>
      </w:r>
      <w:r w:rsidR="00DD648C">
        <w:rPr>
          <w:rFonts w:asciiTheme="minorHAnsi" w:hAnsiTheme="minorHAnsi" w:cstheme="minorHAnsi"/>
          <w:sz w:val="22"/>
          <w:szCs w:val="22"/>
        </w:rPr>
        <w:t xml:space="preserve">how incentives affect the representativeness of </w:t>
      </w:r>
      <w:r w:rsidR="002E7B9D">
        <w:rPr>
          <w:rFonts w:asciiTheme="minorHAnsi" w:hAnsiTheme="minorHAnsi" w:cstheme="minorHAnsi"/>
          <w:sz w:val="22"/>
          <w:szCs w:val="22"/>
        </w:rPr>
        <w:t xml:space="preserve">phone interview </w:t>
      </w:r>
      <w:r w:rsidR="00DD648C">
        <w:rPr>
          <w:rFonts w:asciiTheme="minorHAnsi" w:hAnsiTheme="minorHAnsi" w:cstheme="minorHAnsi"/>
          <w:sz w:val="22"/>
          <w:szCs w:val="22"/>
        </w:rPr>
        <w:t>responses</w:t>
      </w:r>
      <w:r>
        <w:rPr>
          <w:rFonts w:asciiTheme="minorHAnsi" w:hAnsiTheme="minorHAnsi" w:cstheme="minorHAnsi"/>
          <w:sz w:val="22"/>
          <w:szCs w:val="22"/>
        </w:rPr>
        <w:t>,</w:t>
      </w:r>
      <w:r w:rsidR="00433561">
        <w:rPr>
          <w:rFonts w:asciiTheme="minorHAnsi" w:hAnsiTheme="minorHAnsi" w:cstheme="minorHAnsi"/>
          <w:sz w:val="22"/>
          <w:szCs w:val="22"/>
        </w:rPr>
        <w:t xml:space="preserve"> we </w:t>
      </w:r>
      <w:r>
        <w:rPr>
          <w:rFonts w:asciiTheme="minorHAnsi" w:hAnsiTheme="minorHAnsi" w:cstheme="minorHAnsi"/>
          <w:sz w:val="22"/>
          <w:szCs w:val="22"/>
        </w:rPr>
        <w:t>analyzed the experimental data by key demographics of interest</w:t>
      </w:r>
      <w:r w:rsidR="00DD648C">
        <w:rPr>
          <w:rFonts w:asciiTheme="minorHAnsi" w:hAnsiTheme="minorHAnsi" w:cstheme="minorHAnsi"/>
          <w:sz w:val="22"/>
          <w:szCs w:val="22"/>
        </w:rPr>
        <w:t xml:space="preserve"> in the MIHOPE population</w:t>
      </w:r>
      <w:r>
        <w:rPr>
          <w:rFonts w:asciiTheme="minorHAnsi" w:hAnsiTheme="minorHAnsi" w:cstheme="minorHAnsi"/>
          <w:sz w:val="22"/>
          <w:szCs w:val="22"/>
        </w:rPr>
        <w:t>.</w:t>
      </w:r>
      <w:r w:rsidR="00433561">
        <w:rPr>
          <w:rFonts w:asciiTheme="minorHAnsi" w:hAnsiTheme="minorHAnsi" w:cstheme="minorHAnsi"/>
          <w:sz w:val="22"/>
          <w:szCs w:val="22"/>
        </w:rPr>
        <w:t xml:space="preserve"> </w:t>
      </w:r>
      <w:r w:rsidR="004529F0">
        <w:rPr>
          <w:rFonts w:asciiTheme="minorHAnsi" w:hAnsiTheme="minorHAnsi" w:cstheme="minorHAnsi"/>
          <w:sz w:val="22"/>
          <w:szCs w:val="22"/>
        </w:rPr>
        <w:t>Neither t</w:t>
      </w:r>
      <w:r w:rsidR="00660C56">
        <w:rPr>
          <w:rFonts w:asciiTheme="minorHAnsi" w:hAnsiTheme="minorHAnsi" w:cstheme="minorHAnsi"/>
          <w:sz w:val="22"/>
          <w:szCs w:val="22"/>
        </w:rPr>
        <w:t xml:space="preserve">he higher </w:t>
      </w:r>
      <w:r w:rsidR="00890CC8">
        <w:rPr>
          <w:rFonts w:asciiTheme="minorHAnsi" w:hAnsiTheme="minorHAnsi" w:cstheme="minorHAnsi"/>
          <w:sz w:val="22"/>
          <w:szCs w:val="22"/>
        </w:rPr>
        <w:t xml:space="preserve">phone </w:t>
      </w:r>
      <w:r w:rsidR="00660C56">
        <w:rPr>
          <w:rFonts w:asciiTheme="minorHAnsi" w:hAnsiTheme="minorHAnsi" w:cstheme="minorHAnsi"/>
          <w:sz w:val="22"/>
          <w:szCs w:val="22"/>
        </w:rPr>
        <w:t xml:space="preserve">interview incentive </w:t>
      </w:r>
      <w:r w:rsidR="004529F0">
        <w:rPr>
          <w:rFonts w:asciiTheme="minorHAnsi" w:hAnsiTheme="minorHAnsi" w:cstheme="minorHAnsi"/>
          <w:sz w:val="22"/>
          <w:szCs w:val="22"/>
        </w:rPr>
        <w:t xml:space="preserve">nor </w:t>
      </w:r>
      <w:r w:rsidR="00660C56">
        <w:rPr>
          <w:rFonts w:asciiTheme="minorHAnsi" w:hAnsiTheme="minorHAnsi" w:cstheme="minorHAnsi"/>
          <w:sz w:val="22"/>
          <w:szCs w:val="22"/>
        </w:rPr>
        <w:t xml:space="preserve">the early bird incentive </w:t>
      </w:r>
      <w:r w:rsidR="00877D7C">
        <w:rPr>
          <w:rFonts w:asciiTheme="minorHAnsi" w:hAnsiTheme="minorHAnsi" w:cstheme="minorHAnsi"/>
          <w:sz w:val="22"/>
          <w:szCs w:val="22"/>
        </w:rPr>
        <w:t xml:space="preserve">significantly </w:t>
      </w:r>
      <w:r w:rsidR="009F71F3">
        <w:rPr>
          <w:rFonts w:asciiTheme="minorHAnsi" w:hAnsiTheme="minorHAnsi" w:cstheme="minorHAnsi"/>
          <w:sz w:val="22"/>
          <w:szCs w:val="22"/>
        </w:rPr>
        <w:t>increas</w:t>
      </w:r>
      <w:r w:rsidR="004529F0">
        <w:rPr>
          <w:rFonts w:asciiTheme="minorHAnsi" w:hAnsiTheme="minorHAnsi" w:cstheme="minorHAnsi"/>
          <w:sz w:val="22"/>
          <w:szCs w:val="22"/>
        </w:rPr>
        <w:t>ed</w:t>
      </w:r>
      <w:r w:rsidR="009F71F3">
        <w:rPr>
          <w:rFonts w:asciiTheme="minorHAnsi" w:hAnsiTheme="minorHAnsi" w:cstheme="minorHAnsi"/>
          <w:sz w:val="22"/>
          <w:szCs w:val="22"/>
        </w:rPr>
        <w:t xml:space="preserve"> response rates for </w:t>
      </w:r>
      <w:r>
        <w:rPr>
          <w:rFonts w:asciiTheme="minorHAnsi" w:hAnsiTheme="minorHAnsi" w:cstheme="minorHAnsi"/>
          <w:sz w:val="22"/>
          <w:szCs w:val="22"/>
        </w:rPr>
        <w:t xml:space="preserve">demographic </w:t>
      </w:r>
      <w:r w:rsidR="005A2B51">
        <w:rPr>
          <w:rFonts w:asciiTheme="minorHAnsi" w:hAnsiTheme="minorHAnsi" w:cstheme="minorHAnsi"/>
          <w:sz w:val="22"/>
          <w:szCs w:val="22"/>
        </w:rPr>
        <w:t>sub</w:t>
      </w:r>
      <w:r w:rsidR="009F71F3">
        <w:rPr>
          <w:rFonts w:asciiTheme="minorHAnsi" w:hAnsiTheme="minorHAnsi" w:cstheme="minorHAnsi"/>
          <w:sz w:val="22"/>
          <w:szCs w:val="22"/>
        </w:rPr>
        <w:t>groups</w:t>
      </w:r>
      <w:r w:rsidR="005F2A4C">
        <w:rPr>
          <w:rFonts w:asciiTheme="minorHAnsi" w:hAnsiTheme="minorHAnsi" w:cstheme="minorHAnsi"/>
          <w:sz w:val="22"/>
          <w:szCs w:val="22"/>
        </w:rPr>
        <w:t xml:space="preserve"> (as measured </w:t>
      </w:r>
      <w:r w:rsidR="00B9659E">
        <w:rPr>
          <w:rFonts w:asciiTheme="minorHAnsi" w:hAnsiTheme="minorHAnsi" w:cstheme="minorHAnsi"/>
          <w:sz w:val="22"/>
          <w:szCs w:val="22"/>
        </w:rPr>
        <w:t>at study entry</w:t>
      </w:r>
      <w:r w:rsidR="005F2A4C">
        <w:rPr>
          <w:rFonts w:asciiTheme="minorHAnsi" w:hAnsiTheme="minorHAnsi" w:cstheme="minorHAnsi"/>
          <w:sz w:val="22"/>
          <w:szCs w:val="22"/>
        </w:rPr>
        <w:t>)</w:t>
      </w:r>
      <w:r w:rsidR="009F71F3">
        <w:rPr>
          <w:rFonts w:asciiTheme="minorHAnsi" w:hAnsiTheme="minorHAnsi" w:cstheme="minorHAnsi"/>
          <w:sz w:val="22"/>
          <w:szCs w:val="22"/>
        </w:rPr>
        <w:t xml:space="preserve"> </w:t>
      </w:r>
      <w:r w:rsidR="00B9659E">
        <w:rPr>
          <w:rFonts w:asciiTheme="minorHAnsi" w:hAnsiTheme="minorHAnsi" w:cstheme="minorHAnsi"/>
          <w:sz w:val="22"/>
          <w:szCs w:val="22"/>
        </w:rPr>
        <w:t xml:space="preserve">that were </w:t>
      </w:r>
      <w:r w:rsidR="009F71F3">
        <w:rPr>
          <w:rFonts w:asciiTheme="minorHAnsi" w:hAnsiTheme="minorHAnsi" w:cstheme="minorHAnsi"/>
          <w:sz w:val="22"/>
          <w:szCs w:val="22"/>
        </w:rPr>
        <w:t xml:space="preserve">less likely to respond to the </w:t>
      </w:r>
      <w:r w:rsidR="00542972">
        <w:rPr>
          <w:rFonts w:asciiTheme="minorHAnsi" w:hAnsiTheme="minorHAnsi" w:cstheme="minorHAnsi"/>
          <w:sz w:val="22"/>
          <w:szCs w:val="22"/>
        </w:rPr>
        <w:t xml:space="preserve">15-month </w:t>
      </w:r>
      <w:r w:rsidR="000B1536">
        <w:rPr>
          <w:rFonts w:asciiTheme="minorHAnsi" w:hAnsiTheme="minorHAnsi" w:cstheme="minorHAnsi"/>
          <w:sz w:val="22"/>
          <w:szCs w:val="22"/>
        </w:rPr>
        <w:t>data collection efforts</w:t>
      </w:r>
      <w:r w:rsidR="000C313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="004E7B8F">
        <w:rPr>
          <w:rFonts w:asciiTheme="minorHAnsi" w:hAnsiTheme="minorHAnsi" w:cstheme="minorHAnsi"/>
          <w:sz w:val="22"/>
          <w:szCs w:val="22"/>
        </w:rPr>
        <w:t xml:space="preserve">Though only </w:t>
      </w:r>
      <w:r w:rsidR="00D96886">
        <w:rPr>
          <w:rFonts w:asciiTheme="minorHAnsi" w:hAnsiTheme="minorHAnsi" w:cstheme="minorHAnsi"/>
          <w:sz w:val="22"/>
          <w:szCs w:val="22"/>
        </w:rPr>
        <w:t>two</w:t>
      </w:r>
      <w:r w:rsidR="000C313F">
        <w:rPr>
          <w:rFonts w:asciiTheme="minorHAnsi" w:hAnsiTheme="minorHAnsi" w:cstheme="minorHAnsi"/>
          <w:sz w:val="22"/>
          <w:szCs w:val="22"/>
        </w:rPr>
        <w:t xml:space="preserve"> of the effects by subgroup reached the threshold of statistical significance,</w:t>
      </w:r>
      <w:r w:rsidR="00890CC8">
        <w:rPr>
          <w:rFonts w:asciiTheme="minorHAnsi" w:hAnsiTheme="minorHAnsi" w:cstheme="minorHAnsi"/>
          <w:sz w:val="22"/>
          <w:szCs w:val="22"/>
        </w:rPr>
        <w:t xml:space="preserve"> </w:t>
      </w:r>
      <w:r w:rsidR="00331FD6">
        <w:rPr>
          <w:rFonts w:asciiTheme="minorHAnsi" w:hAnsiTheme="minorHAnsi" w:cstheme="minorHAnsi"/>
          <w:sz w:val="22"/>
          <w:szCs w:val="22"/>
        </w:rPr>
        <w:t xml:space="preserve">Table 5 </w:t>
      </w:r>
      <w:r w:rsidR="000C313F">
        <w:rPr>
          <w:rFonts w:asciiTheme="minorHAnsi" w:hAnsiTheme="minorHAnsi" w:cstheme="minorHAnsi"/>
          <w:sz w:val="22"/>
          <w:szCs w:val="22"/>
        </w:rPr>
        <w:t xml:space="preserve">indicates that </w:t>
      </w:r>
      <w:r w:rsidR="00890CC8">
        <w:rPr>
          <w:rFonts w:asciiTheme="minorHAnsi" w:hAnsiTheme="minorHAnsi" w:cstheme="minorHAnsi"/>
          <w:sz w:val="22"/>
          <w:szCs w:val="22"/>
        </w:rPr>
        <w:t>t</w:t>
      </w:r>
      <w:r w:rsidR="000B1536">
        <w:rPr>
          <w:rFonts w:asciiTheme="minorHAnsi" w:hAnsiTheme="minorHAnsi" w:cstheme="minorHAnsi"/>
          <w:sz w:val="22"/>
          <w:szCs w:val="22"/>
        </w:rPr>
        <w:t xml:space="preserve">he </w:t>
      </w:r>
      <w:r w:rsidR="007D68A4">
        <w:rPr>
          <w:rFonts w:asciiTheme="minorHAnsi" w:hAnsiTheme="minorHAnsi" w:cstheme="minorHAnsi"/>
          <w:sz w:val="22"/>
          <w:szCs w:val="22"/>
        </w:rPr>
        <w:t xml:space="preserve">higher </w:t>
      </w:r>
      <w:r w:rsidR="00890CC8">
        <w:rPr>
          <w:rFonts w:asciiTheme="minorHAnsi" w:hAnsiTheme="minorHAnsi" w:cstheme="minorHAnsi"/>
          <w:sz w:val="22"/>
          <w:szCs w:val="22"/>
        </w:rPr>
        <w:t xml:space="preserve">phone interview </w:t>
      </w:r>
      <w:r w:rsidR="000B1536">
        <w:rPr>
          <w:rFonts w:asciiTheme="minorHAnsi" w:hAnsiTheme="minorHAnsi" w:cstheme="minorHAnsi"/>
          <w:sz w:val="22"/>
          <w:szCs w:val="22"/>
        </w:rPr>
        <w:t xml:space="preserve">incentive </w:t>
      </w:r>
      <w:r w:rsidR="007D68A4">
        <w:rPr>
          <w:rFonts w:asciiTheme="minorHAnsi" w:hAnsiTheme="minorHAnsi" w:cstheme="minorHAnsi"/>
          <w:sz w:val="22"/>
          <w:szCs w:val="22"/>
        </w:rPr>
        <w:t xml:space="preserve">and </w:t>
      </w:r>
      <w:r w:rsidR="00292489">
        <w:rPr>
          <w:rFonts w:asciiTheme="minorHAnsi" w:hAnsiTheme="minorHAnsi" w:cstheme="minorHAnsi"/>
          <w:sz w:val="22"/>
          <w:szCs w:val="22"/>
        </w:rPr>
        <w:t xml:space="preserve">early bird </w:t>
      </w:r>
      <w:r w:rsidR="009D10A0">
        <w:rPr>
          <w:rFonts w:asciiTheme="minorHAnsi" w:hAnsiTheme="minorHAnsi" w:cstheme="minorHAnsi"/>
          <w:sz w:val="22"/>
          <w:szCs w:val="22"/>
        </w:rPr>
        <w:t xml:space="preserve">incentive </w:t>
      </w:r>
      <w:r w:rsidR="00DD648C">
        <w:rPr>
          <w:rFonts w:asciiTheme="minorHAnsi" w:hAnsiTheme="minorHAnsi" w:cstheme="minorHAnsi"/>
          <w:sz w:val="22"/>
          <w:szCs w:val="22"/>
        </w:rPr>
        <w:t xml:space="preserve">consistently </w:t>
      </w:r>
      <w:r w:rsidR="000C313F">
        <w:rPr>
          <w:rFonts w:asciiTheme="minorHAnsi" w:hAnsiTheme="minorHAnsi" w:cstheme="minorHAnsi"/>
          <w:sz w:val="22"/>
          <w:szCs w:val="22"/>
        </w:rPr>
        <w:t xml:space="preserve">induced </w:t>
      </w:r>
      <w:r w:rsidR="00482CFA">
        <w:rPr>
          <w:rFonts w:asciiTheme="minorHAnsi" w:hAnsiTheme="minorHAnsi" w:cstheme="minorHAnsi"/>
          <w:sz w:val="22"/>
          <w:szCs w:val="22"/>
        </w:rPr>
        <w:t xml:space="preserve">greater changes in </w:t>
      </w:r>
      <w:r w:rsidR="009D10A0">
        <w:rPr>
          <w:rFonts w:asciiTheme="minorHAnsi" w:hAnsiTheme="minorHAnsi" w:cstheme="minorHAnsi"/>
          <w:sz w:val="22"/>
          <w:szCs w:val="22"/>
        </w:rPr>
        <w:t xml:space="preserve">response rates </w:t>
      </w:r>
      <w:r w:rsidR="007D68A4">
        <w:rPr>
          <w:rFonts w:asciiTheme="minorHAnsi" w:hAnsiTheme="minorHAnsi" w:cstheme="minorHAnsi"/>
          <w:sz w:val="22"/>
          <w:szCs w:val="22"/>
        </w:rPr>
        <w:t xml:space="preserve">for the </w:t>
      </w:r>
      <w:r w:rsidR="00CF5A5C">
        <w:rPr>
          <w:rFonts w:asciiTheme="minorHAnsi" w:hAnsiTheme="minorHAnsi" w:cstheme="minorHAnsi"/>
          <w:sz w:val="22"/>
          <w:szCs w:val="22"/>
        </w:rPr>
        <w:t xml:space="preserve">groups </w:t>
      </w:r>
      <w:r w:rsidR="00292489">
        <w:rPr>
          <w:rFonts w:asciiTheme="minorHAnsi" w:hAnsiTheme="minorHAnsi" w:cstheme="minorHAnsi"/>
          <w:sz w:val="22"/>
          <w:szCs w:val="22"/>
        </w:rPr>
        <w:t xml:space="preserve">that were </w:t>
      </w:r>
      <w:r w:rsidR="00292489" w:rsidRPr="00A71AC6">
        <w:rPr>
          <w:rFonts w:asciiTheme="minorHAnsi" w:hAnsiTheme="minorHAnsi" w:cstheme="minorHAnsi"/>
          <w:i/>
          <w:sz w:val="22"/>
          <w:szCs w:val="22"/>
        </w:rPr>
        <w:t>more</w:t>
      </w:r>
      <w:r w:rsidR="00292489">
        <w:rPr>
          <w:rFonts w:asciiTheme="minorHAnsi" w:hAnsiTheme="minorHAnsi" w:cstheme="minorHAnsi"/>
          <w:sz w:val="22"/>
          <w:szCs w:val="22"/>
        </w:rPr>
        <w:t xml:space="preserve"> likely to respond to data collection efforts</w:t>
      </w:r>
      <w:r w:rsidR="000C313F">
        <w:rPr>
          <w:rFonts w:asciiTheme="minorHAnsi" w:hAnsiTheme="minorHAnsi" w:cstheme="minorHAnsi"/>
          <w:sz w:val="22"/>
          <w:szCs w:val="22"/>
        </w:rPr>
        <w:t>.</w:t>
      </w:r>
    </w:p>
    <w:p w14:paraId="58941382" w14:textId="77777777" w:rsidR="00CD611E" w:rsidRDefault="00CD611E" w:rsidP="005418AD">
      <w:pPr>
        <w:rPr>
          <w:rFonts w:asciiTheme="minorHAnsi" w:hAnsiTheme="minorHAnsi" w:cstheme="minorHAnsi"/>
          <w:sz w:val="22"/>
          <w:szCs w:val="22"/>
        </w:rPr>
        <w:sectPr w:rsidR="00CD611E" w:rsidSect="00531552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9CDF0D" w14:textId="6B0FCF64" w:rsidR="007205FC" w:rsidRDefault="007205FC" w:rsidP="005418AD">
      <w:pPr>
        <w:rPr>
          <w:rFonts w:asciiTheme="minorHAnsi" w:hAnsiTheme="minorHAnsi" w:cstheme="minorHAnsi"/>
          <w:sz w:val="22"/>
          <w:szCs w:val="22"/>
        </w:rPr>
        <w:sectPr w:rsidR="007205FC" w:rsidSect="0053155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556BA6" w14:textId="50F87B3E" w:rsidR="006A4F55" w:rsidRDefault="006A4F55" w:rsidP="005418AD">
      <w:pPr>
        <w:rPr>
          <w:rFonts w:asciiTheme="minorHAnsi" w:hAnsiTheme="minorHAnsi" w:cstheme="minorHAnsi"/>
          <w:sz w:val="22"/>
          <w:szCs w:val="22"/>
        </w:rPr>
      </w:pPr>
    </w:p>
    <w:p w14:paraId="72EB3C22" w14:textId="76FAFAF6" w:rsidR="008C7F3C" w:rsidRPr="009F71F3" w:rsidRDefault="008C7F3C" w:rsidP="00531552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71F3">
        <w:rPr>
          <w:rFonts w:asciiTheme="minorHAnsi" w:hAnsiTheme="minorHAnsi" w:cstheme="minorHAnsi"/>
          <w:b/>
          <w:sz w:val="22"/>
          <w:szCs w:val="22"/>
        </w:rPr>
        <w:t>Table 5</w:t>
      </w:r>
    </w:p>
    <w:p w14:paraId="2AEF6EEF" w14:textId="7DE65335" w:rsidR="0067102C" w:rsidRDefault="0067102C" w:rsidP="00531552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71F3">
        <w:rPr>
          <w:rFonts w:asciiTheme="minorHAnsi" w:hAnsiTheme="minorHAnsi" w:cstheme="minorHAnsi"/>
          <w:b/>
          <w:sz w:val="22"/>
          <w:szCs w:val="22"/>
        </w:rPr>
        <w:t xml:space="preserve">Phone Interview Response Rates for </w:t>
      </w:r>
      <w:r w:rsidR="003F4E2B">
        <w:rPr>
          <w:rFonts w:asciiTheme="minorHAnsi" w:hAnsiTheme="minorHAnsi" w:cstheme="minorHAnsi"/>
          <w:b/>
          <w:sz w:val="22"/>
          <w:szCs w:val="22"/>
        </w:rPr>
        <w:t>Family Baseline Characteristics</w:t>
      </w:r>
      <w:r w:rsidR="00E61AD8" w:rsidRPr="009F71F3">
        <w:rPr>
          <w:rFonts w:asciiTheme="minorHAnsi" w:hAnsiTheme="minorHAnsi" w:cstheme="minorHAnsi"/>
          <w:b/>
          <w:sz w:val="22"/>
          <w:szCs w:val="22"/>
        </w:rPr>
        <w:t xml:space="preserve"> Subgroup</w:t>
      </w:r>
      <w:r w:rsidR="003F4E2B">
        <w:rPr>
          <w:rFonts w:asciiTheme="minorHAnsi" w:hAnsiTheme="minorHAnsi" w:cstheme="minorHAnsi"/>
          <w:b/>
          <w:sz w:val="22"/>
          <w:szCs w:val="22"/>
        </w:rPr>
        <w:t>s</w:t>
      </w:r>
    </w:p>
    <w:tbl>
      <w:tblPr>
        <w:tblW w:w="1321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1260"/>
        <w:gridCol w:w="1620"/>
        <w:gridCol w:w="1260"/>
        <w:gridCol w:w="2169"/>
        <w:gridCol w:w="2624"/>
        <w:gridCol w:w="1186"/>
      </w:tblGrid>
      <w:tr w:rsidR="007205FC" w14:paraId="1D1A47A8" w14:textId="77777777" w:rsidTr="00AB2BA5">
        <w:trPr>
          <w:cantSplit/>
          <w:tblHeader/>
          <w:jc w:val="center"/>
        </w:trPr>
        <w:tc>
          <w:tcPr>
            <w:tcW w:w="3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AC9FFF" w14:textId="77777777" w:rsidR="007205FC" w:rsidRDefault="007205FC" w:rsidP="00AB2BA5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br w:type="page"/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82BFC5" w14:textId="1A5FBC7A" w:rsidR="007205FC" w:rsidRPr="004E74B8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Percent of Baseline Study Population</w:t>
            </w:r>
            <w:r w:rsidR="004E74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7673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803C301" w14:textId="77777777" w:rsidR="007205FC" w:rsidRPr="007D2B35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D2B3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Response Rates</w:t>
            </w:r>
          </w:p>
        </w:tc>
        <w:tc>
          <w:tcPr>
            <w:tcW w:w="118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35CE06C" w14:textId="77777777" w:rsidR="007205FC" w:rsidRDefault="007205FC" w:rsidP="00AB2BA5">
            <w:pPr>
              <w:keepNext/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Significance</w:t>
            </w:r>
          </w:p>
        </w:tc>
      </w:tr>
      <w:tr w:rsidR="007205FC" w14:paraId="6711878A" w14:textId="77777777" w:rsidTr="00AB2BA5">
        <w:trPr>
          <w:cantSplit/>
          <w:tblHeader/>
          <w:jc w:val="center"/>
        </w:trPr>
        <w:tc>
          <w:tcPr>
            <w:tcW w:w="3099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43BC942" w14:textId="77777777" w:rsidR="007205FC" w:rsidRDefault="007205FC" w:rsidP="00AB2BA5">
            <w:pPr>
              <w:keepNext/>
              <w:adjustRightInd w:val="0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4988E" w14:textId="77777777" w:rsidR="007205FC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D668A" w14:textId="77777777" w:rsidR="007205FC" w:rsidRPr="00D84618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6AD385A3" w14:textId="77777777" w:rsidR="007205FC" w:rsidRPr="00D84618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Standard Incentive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FBA9F52" w14:textId="77777777" w:rsidR="007205FC" w:rsidRPr="00D84618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Higher Incentive</w:t>
            </w:r>
          </w:p>
        </w:tc>
        <w:tc>
          <w:tcPr>
            <w:tcW w:w="26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57EF637" w14:textId="77777777" w:rsidR="007205FC" w:rsidRPr="00D84618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Early Bird Incentive</w:t>
            </w:r>
          </w:p>
        </w:tc>
        <w:tc>
          <w:tcPr>
            <w:tcW w:w="11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6543" w14:textId="77777777" w:rsidR="007205FC" w:rsidRDefault="007205FC" w:rsidP="00AB2BA5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205FC" w14:paraId="32EB0726" w14:textId="77777777" w:rsidTr="00AB2BA5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689AEEC" w14:textId="77777777" w:rsidR="007205FC" w:rsidRPr="00D84618" w:rsidRDefault="007205FC" w:rsidP="00AB2BA5">
            <w:pPr>
              <w:keepNext/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</w:t>
            </w: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pregnant at study entry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B085BE5" w14:textId="6ABF561C" w:rsidR="007205FC" w:rsidRPr="00D84618" w:rsidRDefault="00C5038B" w:rsidP="00B43F6B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  <w:r w:rsidR="004B4ADE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ABA1098" w14:textId="33F56CDE" w:rsidR="007205FC" w:rsidRPr="00D84618" w:rsidRDefault="004B4ADE" w:rsidP="00B43F6B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89%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2F1B7E19" w14:textId="77777777" w:rsidR="007205FC" w:rsidRPr="00D84618" w:rsidRDefault="007205FC" w:rsidP="00AB2BA5">
            <w:pPr>
              <w:keepNext/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3%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CC1479E" w14:textId="27FCD497" w:rsidR="007205FC" w:rsidRPr="00D84618" w:rsidRDefault="0016760B" w:rsidP="00AB2BA5">
            <w:pPr>
              <w:keepNext/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93%</w:t>
            </w:r>
          </w:p>
        </w:tc>
        <w:tc>
          <w:tcPr>
            <w:tcW w:w="2624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DE55DA1" w14:textId="48E2ED58" w:rsidR="007205FC" w:rsidRPr="00D84618" w:rsidRDefault="00220543" w:rsidP="00AB2BA5">
            <w:pPr>
              <w:keepNext/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91%</w:t>
            </w:r>
          </w:p>
        </w:tc>
        <w:tc>
          <w:tcPr>
            <w:tcW w:w="118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</w:tcPr>
          <w:p w14:paraId="5345AC2C" w14:textId="734FAAA8" w:rsidR="007205FC" w:rsidRDefault="00680F3B" w:rsidP="004E74B8">
            <w:pPr>
              <w:keepNext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**</w:t>
            </w:r>
          </w:p>
        </w:tc>
      </w:tr>
      <w:tr w:rsidR="007205FC" w14:paraId="5ADD08B2" w14:textId="77777777" w:rsidTr="00AB2BA5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D7E1D9C" w14:textId="77777777" w:rsidR="007205FC" w:rsidRPr="00D84618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regnant at study entry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42DD95" w14:textId="3F1D9356" w:rsidR="007205FC" w:rsidRPr="00D84618" w:rsidRDefault="004B4ADE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76%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3B9D55" w14:textId="6771E0E6" w:rsidR="007205FC" w:rsidRPr="00D84618" w:rsidRDefault="004B4ADE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82%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640F978D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81</w:t>
            </w: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21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535D59D" w14:textId="632D4CF1" w:rsidR="007205FC" w:rsidRPr="00D84618" w:rsidRDefault="00220543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84%</w:t>
            </w:r>
          </w:p>
        </w:tc>
        <w:tc>
          <w:tcPr>
            <w:tcW w:w="2624" w:type="dxa"/>
            <w:tcBorders>
              <w:top w:val="nil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D50B643" w14:textId="50103623" w:rsidR="007205FC" w:rsidRPr="00D84618" w:rsidRDefault="00220543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81%</w:t>
            </w:r>
          </w:p>
        </w:tc>
        <w:tc>
          <w:tcPr>
            <w:tcW w:w="11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5C6CF417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05FC" w:rsidRPr="00D84618" w14:paraId="19F9F5A7" w14:textId="77777777" w:rsidTr="00AB2BA5">
        <w:trPr>
          <w:cantSplit/>
          <w:trHeight w:val="20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CA3758B" w14:textId="77777777" w:rsidR="007205FC" w:rsidRPr="00A159D5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061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6EE2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7A0B9F2D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AE681B4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80A8FB5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8113B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</w:tr>
      <w:tr w:rsidR="007205FC" w:rsidRPr="00D84618" w14:paraId="429EC62F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51CCD4" w14:textId="77777777" w:rsidR="007205FC" w:rsidRPr="00D84618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Did not move in the prior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D98" w14:textId="7C86D34E" w:rsidR="007205FC" w:rsidRPr="00D84618" w:rsidRDefault="008B083C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47</w:t>
            </w:r>
            <w:r w:rsidR="00214061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6C1E" w14:textId="156C6BEF" w:rsidR="007205FC" w:rsidRPr="00D84618" w:rsidRDefault="00214061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70D3BB2C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2%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5C085FE" w14:textId="6285D57B" w:rsidR="007205FC" w:rsidRPr="00D84618" w:rsidRDefault="00A82F0D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45E11041" w14:textId="557FA03E" w:rsidR="007205FC" w:rsidRPr="00D84618" w:rsidRDefault="00A82F0D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9632E" w14:textId="1BFECFA7" w:rsidR="007205FC" w:rsidRDefault="000503F2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7205FC" w:rsidRPr="00D84618" w14:paraId="0E9E3139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025D72F" w14:textId="77777777" w:rsidR="007205FC" w:rsidRPr="00D84618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Moved in the prior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054F" w14:textId="5E115C3E" w:rsidR="007205FC" w:rsidRPr="00D84618" w:rsidRDefault="00214061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53%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7C5E" w14:textId="021AC989" w:rsidR="007205FC" w:rsidRPr="00D84618" w:rsidRDefault="00214061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E8D05BA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81</w:t>
            </w:r>
            <w:r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32199C6" w14:textId="6A49E8C6" w:rsidR="007205FC" w:rsidRPr="00D84618" w:rsidRDefault="006D3E6D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0B14F54F" w14:textId="0013D5BC" w:rsidR="007205FC" w:rsidRPr="00D84618" w:rsidRDefault="006D3E6D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89E7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05FC" w14:paraId="28F06C82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5D30410" w14:textId="77777777" w:rsidR="007205FC" w:rsidRPr="00A159D5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808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C29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66746867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AD62CD5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582B30F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C0B76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</w:tr>
      <w:tr w:rsidR="007205FC" w14:paraId="33A7B3E3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A7F8B5F" w14:textId="77777777" w:rsidR="007205FC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Father figure in household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94AC" w14:textId="3D95EFAA" w:rsidR="007205FC" w:rsidRPr="00D84618" w:rsidRDefault="00214061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9088" w14:textId="7AE599F5" w:rsidR="007205FC" w:rsidRPr="00D84618" w:rsidRDefault="00C709E8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65B8999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3%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70BA8467" w14:textId="0015ABA8" w:rsidR="007205FC" w:rsidRDefault="006D3E6D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E764ABF" w14:textId="658386BC" w:rsidR="007205FC" w:rsidRDefault="00716D63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4771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05FC" w14:paraId="786E727C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3ACCC47" w14:textId="77777777" w:rsidR="007205FC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Father figure not in household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E34" w14:textId="5A00EAD2" w:rsidR="007205FC" w:rsidRPr="00D84618" w:rsidRDefault="00214061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5A2" w14:textId="3CDED140" w:rsidR="007205FC" w:rsidRPr="00D84618" w:rsidRDefault="007E2F37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56C0267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0%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BA4E821" w14:textId="209139D4" w:rsidR="007205FC" w:rsidRDefault="00AB2CE9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306A3B77" w14:textId="24D7D7F2" w:rsidR="007205FC" w:rsidRDefault="00AB2CE9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81945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05FC" w14:paraId="4D26AF0A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02AFA28" w14:textId="77777777" w:rsidR="007205FC" w:rsidRPr="00A159D5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4CA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56E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E2F53F4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18B48D10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19454FC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2DE7" w14:textId="77777777" w:rsidR="007205FC" w:rsidRPr="00D73456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2"/>
                <w:szCs w:val="2"/>
              </w:rPr>
            </w:pPr>
          </w:p>
        </w:tc>
      </w:tr>
      <w:tr w:rsidR="007205FC" w14:paraId="71BDCD8E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015EE58" w14:textId="77777777" w:rsidR="007205FC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Married to biological father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C65" w14:textId="7BBD7F2F" w:rsidR="007205FC" w:rsidRDefault="007E2F37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E426" w14:textId="52BF3EE7" w:rsidR="007205FC" w:rsidRDefault="00257CE8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D883708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DB414B6" w14:textId="055B8372" w:rsidR="007205FC" w:rsidRDefault="00563737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708B45AF" w14:textId="2D7312D1" w:rsidR="007205FC" w:rsidRDefault="004F4A69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33ED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205FC" w14:paraId="29483D5C" w14:textId="77777777" w:rsidTr="00AB2BA5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983C536" w14:textId="77777777" w:rsidR="007205FC" w:rsidRDefault="007205FC" w:rsidP="00AB2BA5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Not married to biological father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6F92" w14:textId="54CE34FB" w:rsidR="007205FC" w:rsidRPr="00D84618" w:rsidRDefault="007E2F37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34C4" w14:textId="5B65479C" w:rsidR="007205FC" w:rsidRPr="00D84618" w:rsidRDefault="00257CE8" w:rsidP="00B43F6B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1FF1F71" w14:textId="77777777" w:rsidR="007205FC" w:rsidRPr="00D84618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0%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7365FC87" w14:textId="128569CD" w:rsidR="007205FC" w:rsidRDefault="004F4A69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85%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A95B603" w14:textId="6CB752E3" w:rsidR="007205FC" w:rsidRDefault="00ED76A0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6B61" w14:textId="77777777" w:rsidR="007205FC" w:rsidRDefault="007205FC" w:rsidP="00AB2BA5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8131829" w14:textId="35EAE495" w:rsidR="007205FC" w:rsidRPr="004E74B8" w:rsidRDefault="004E74B8" w:rsidP="004E74B8">
      <w:pPr>
        <w:keepNext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>
        <w:rPr>
          <w:rFonts w:asciiTheme="minorHAnsi" w:hAnsiTheme="minorHAnsi" w:cstheme="minorHAnsi"/>
          <w:sz w:val="22"/>
          <w:szCs w:val="22"/>
        </w:rPr>
        <w:t>Reflects the proportion of these groups within the incentive experiment sample.</w:t>
      </w:r>
    </w:p>
    <w:p w14:paraId="54D680E9" w14:textId="08412506" w:rsidR="00CF5A5C" w:rsidRDefault="00CF5A5C" w:rsidP="005418AD">
      <w:pPr>
        <w:rPr>
          <w:rFonts w:asciiTheme="minorHAnsi" w:hAnsiTheme="minorHAnsi" w:cstheme="minorHAnsi"/>
          <w:sz w:val="22"/>
          <w:szCs w:val="22"/>
        </w:rPr>
      </w:pPr>
      <w:bookmarkStart w:id="3" w:name="IDX7"/>
      <w:bookmarkEnd w:id="3"/>
    </w:p>
    <w:p w14:paraId="054EDD72" w14:textId="02BAF451" w:rsidR="00CF5A5C" w:rsidRPr="000042FD" w:rsidRDefault="0067102C" w:rsidP="005418A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Effects on Response Rates </w:t>
      </w:r>
      <w:r w:rsidR="00E61AD8">
        <w:rPr>
          <w:rFonts w:asciiTheme="minorHAnsi" w:hAnsiTheme="minorHAnsi" w:cstheme="minorHAnsi"/>
          <w:b/>
          <w:sz w:val="24"/>
          <w:szCs w:val="24"/>
        </w:rPr>
        <w:t xml:space="preserve">for the </w:t>
      </w:r>
      <w:r w:rsidR="00CF5A5C" w:rsidRPr="000042FD">
        <w:rPr>
          <w:rFonts w:asciiTheme="minorHAnsi" w:hAnsiTheme="minorHAnsi" w:cstheme="minorHAnsi"/>
          <w:b/>
          <w:sz w:val="24"/>
          <w:szCs w:val="24"/>
        </w:rPr>
        <w:t>Program and Control Groups</w:t>
      </w:r>
    </w:p>
    <w:p w14:paraId="1552F581" w14:textId="4C99AEE7" w:rsidR="007D68A4" w:rsidRDefault="007D68A4" w:rsidP="005418AD">
      <w:pPr>
        <w:rPr>
          <w:rFonts w:asciiTheme="minorHAnsi" w:hAnsiTheme="minorHAnsi" w:cstheme="minorHAnsi"/>
          <w:sz w:val="22"/>
          <w:szCs w:val="22"/>
        </w:rPr>
      </w:pPr>
    </w:p>
    <w:p w14:paraId="70F5B6E2" w14:textId="776B13DE" w:rsidR="000B5CBA" w:rsidRDefault="00226471" w:rsidP="000B5C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Because MIHOPE is a randomized controlled trial, we were interested in whether </w:t>
      </w:r>
      <w:r w:rsidR="008A3905">
        <w:rPr>
          <w:rFonts w:asciiTheme="minorHAnsi" w:hAnsiTheme="minorHAnsi" w:cstheme="minorHAnsi"/>
          <w:sz w:val="22"/>
          <w:szCs w:val="22"/>
        </w:rPr>
        <w:t xml:space="preserve">the </w:t>
      </w:r>
      <w:r w:rsidR="007352CB">
        <w:rPr>
          <w:rFonts w:asciiTheme="minorHAnsi" w:hAnsiTheme="minorHAnsi" w:cstheme="minorHAnsi"/>
          <w:sz w:val="22"/>
          <w:szCs w:val="22"/>
        </w:rPr>
        <w:t xml:space="preserve">alternative </w:t>
      </w:r>
      <w:r w:rsidR="008A3905">
        <w:rPr>
          <w:rFonts w:asciiTheme="minorHAnsi" w:hAnsiTheme="minorHAnsi" w:cstheme="minorHAnsi"/>
          <w:sz w:val="22"/>
          <w:szCs w:val="22"/>
        </w:rPr>
        <w:t>incentive</w:t>
      </w:r>
      <w:r w:rsidR="007352CB">
        <w:rPr>
          <w:rFonts w:asciiTheme="minorHAnsi" w:hAnsiTheme="minorHAnsi" w:cstheme="minorHAnsi"/>
          <w:sz w:val="22"/>
          <w:szCs w:val="22"/>
        </w:rPr>
        <w:t>s</w:t>
      </w:r>
      <w:r w:rsidR="008A3905">
        <w:rPr>
          <w:rFonts w:asciiTheme="minorHAnsi" w:hAnsiTheme="minorHAnsi" w:cstheme="minorHAnsi"/>
          <w:sz w:val="22"/>
          <w:szCs w:val="22"/>
        </w:rPr>
        <w:t xml:space="preserve"> </w:t>
      </w:r>
      <w:r w:rsidR="007F2A43">
        <w:rPr>
          <w:rFonts w:asciiTheme="minorHAnsi" w:hAnsiTheme="minorHAnsi" w:cstheme="minorHAnsi"/>
          <w:sz w:val="22"/>
          <w:szCs w:val="22"/>
        </w:rPr>
        <w:t xml:space="preserve">had bigger effects </w:t>
      </w:r>
      <w:r w:rsidR="006150C4">
        <w:rPr>
          <w:rFonts w:asciiTheme="minorHAnsi" w:hAnsiTheme="minorHAnsi" w:cstheme="minorHAnsi"/>
          <w:sz w:val="22"/>
          <w:szCs w:val="22"/>
        </w:rPr>
        <w:t xml:space="preserve">for </w:t>
      </w:r>
      <w:r w:rsidR="00B70804">
        <w:rPr>
          <w:rFonts w:asciiTheme="minorHAnsi" w:hAnsiTheme="minorHAnsi" w:cstheme="minorHAnsi"/>
          <w:sz w:val="22"/>
          <w:szCs w:val="22"/>
        </w:rPr>
        <w:t>the study’s program group or control group</w:t>
      </w:r>
      <w:r w:rsidR="00445541">
        <w:rPr>
          <w:rFonts w:asciiTheme="minorHAnsi" w:hAnsiTheme="minorHAnsi" w:cstheme="minorHAnsi"/>
          <w:sz w:val="22"/>
          <w:szCs w:val="22"/>
        </w:rPr>
        <w:t>.</w:t>
      </w:r>
      <w:r w:rsidR="008E2D0E">
        <w:rPr>
          <w:rFonts w:asciiTheme="minorHAnsi" w:hAnsiTheme="minorHAnsi" w:cstheme="minorHAnsi"/>
          <w:sz w:val="22"/>
          <w:szCs w:val="22"/>
        </w:rPr>
        <w:t xml:space="preserve"> </w:t>
      </w:r>
      <w:r w:rsidR="004529F0">
        <w:rPr>
          <w:rFonts w:asciiTheme="minorHAnsi" w:hAnsiTheme="minorHAnsi" w:cstheme="minorHAnsi"/>
          <w:sz w:val="22"/>
          <w:szCs w:val="22"/>
        </w:rPr>
        <w:t xml:space="preserve">Although </w:t>
      </w:r>
      <w:r w:rsidR="000B5CBA">
        <w:rPr>
          <w:rFonts w:asciiTheme="minorHAnsi" w:hAnsiTheme="minorHAnsi" w:cstheme="minorHAnsi"/>
          <w:sz w:val="22"/>
          <w:szCs w:val="22"/>
        </w:rPr>
        <w:t>the higher</w:t>
      </w:r>
      <w:r w:rsidR="000D73CB">
        <w:rPr>
          <w:rFonts w:asciiTheme="minorHAnsi" w:hAnsiTheme="minorHAnsi" w:cstheme="minorHAnsi"/>
          <w:sz w:val="22"/>
          <w:szCs w:val="22"/>
        </w:rPr>
        <w:t xml:space="preserve"> phone</w:t>
      </w:r>
      <w:r w:rsidR="000B5CBA">
        <w:rPr>
          <w:rFonts w:asciiTheme="minorHAnsi" w:hAnsiTheme="minorHAnsi" w:cstheme="minorHAnsi"/>
          <w:sz w:val="22"/>
          <w:szCs w:val="22"/>
        </w:rPr>
        <w:t xml:space="preserve"> interview incentive and the early bird</w:t>
      </w:r>
      <w:r w:rsidR="000D73CB">
        <w:rPr>
          <w:rFonts w:asciiTheme="minorHAnsi" w:hAnsiTheme="minorHAnsi" w:cstheme="minorHAnsi"/>
          <w:sz w:val="22"/>
          <w:szCs w:val="22"/>
        </w:rPr>
        <w:t xml:space="preserve"> phone interview</w:t>
      </w:r>
      <w:r w:rsidR="000B5CBA">
        <w:rPr>
          <w:rFonts w:asciiTheme="minorHAnsi" w:hAnsiTheme="minorHAnsi" w:cstheme="minorHAnsi"/>
          <w:sz w:val="22"/>
          <w:szCs w:val="22"/>
        </w:rPr>
        <w:t xml:space="preserve"> incentive </w:t>
      </w:r>
      <w:r w:rsidR="004529F0">
        <w:rPr>
          <w:rFonts w:asciiTheme="minorHAnsi" w:hAnsiTheme="minorHAnsi" w:cstheme="minorHAnsi"/>
          <w:sz w:val="22"/>
          <w:szCs w:val="22"/>
        </w:rPr>
        <w:t xml:space="preserve">increased </w:t>
      </w:r>
      <w:r w:rsidR="000D73CB">
        <w:rPr>
          <w:rFonts w:asciiTheme="minorHAnsi" w:hAnsiTheme="minorHAnsi" w:cstheme="minorHAnsi"/>
          <w:sz w:val="22"/>
          <w:szCs w:val="22"/>
        </w:rPr>
        <w:t>phone</w:t>
      </w:r>
      <w:r w:rsidR="00E12D09">
        <w:rPr>
          <w:rFonts w:asciiTheme="minorHAnsi" w:hAnsiTheme="minorHAnsi" w:cstheme="minorHAnsi"/>
          <w:sz w:val="22"/>
          <w:szCs w:val="22"/>
        </w:rPr>
        <w:t xml:space="preserve"> interview response rates </w:t>
      </w:r>
      <w:r w:rsidR="0086562E">
        <w:rPr>
          <w:rFonts w:asciiTheme="minorHAnsi" w:hAnsiTheme="minorHAnsi" w:cstheme="minorHAnsi"/>
          <w:sz w:val="22"/>
          <w:szCs w:val="22"/>
        </w:rPr>
        <w:t xml:space="preserve">slightly </w:t>
      </w:r>
      <w:r w:rsidR="004529F0">
        <w:rPr>
          <w:rFonts w:asciiTheme="minorHAnsi" w:hAnsiTheme="minorHAnsi" w:cstheme="minorHAnsi"/>
          <w:sz w:val="22"/>
          <w:szCs w:val="22"/>
        </w:rPr>
        <w:t xml:space="preserve">more for the program group </w:t>
      </w:r>
      <w:r w:rsidR="00DD1B38">
        <w:rPr>
          <w:rFonts w:asciiTheme="minorHAnsi" w:hAnsiTheme="minorHAnsi" w:cstheme="minorHAnsi"/>
          <w:sz w:val="22"/>
          <w:szCs w:val="22"/>
        </w:rPr>
        <w:t>(shown in Table 6)</w:t>
      </w:r>
      <w:r w:rsidR="00854494">
        <w:rPr>
          <w:rFonts w:asciiTheme="minorHAnsi" w:hAnsiTheme="minorHAnsi" w:cstheme="minorHAnsi"/>
          <w:sz w:val="22"/>
          <w:szCs w:val="22"/>
        </w:rPr>
        <w:t>,</w:t>
      </w:r>
      <w:r w:rsidR="003B157D">
        <w:rPr>
          <w:rFonts w:asciiTheme="minorHAnsi" w:hAnsiTheme="minorHAnsi" w:cstheme="minorHAnsi"/>
          <w:sz w:val="22"/>
          <w:szCs w:val="22"/>
        </w:rPr>
        <w:t xml:space="preserve"> </w:t>
      </w:r>
      <w:r w:rsidR="000B5CBA">
        <w:rPr>
          <w:rFonts w:asciiTheme="minorHAnsi" w:hAnsiTheme="minorHAnsi" w:cstheme="minorHAnsi"/>
          <w:sz w:val="22"/>
          <w:szCs w:val="22"/>
        </w:rPr>
        <w:t xml:space="preserve">the difference </w:t>
      </w:r>
      <w:r w:rsidR="003B157D">
        <w:rPr>
          <w:rFonts w:asciiTheme="minorHAnsi" w:hAnsiTheme="minorHAnsi" w:cstheme="minorHAnsi"/>
          <w:sz w:val="22"/>
          <w:szCs w:val="22"/>
        </w:rPr>
        <w:t xml:space="preserve">in effects </w:t>
      </w:r>
      <w:r w:rsidR="004529F0">
        <w:rPr>
          <w:rFonts w:asciiTheme="minorHAnsi" w:hAnsiTheme="minorHAnsi" w:cstheme="minorHAnsi"/>
          <w:sz w:val="22"/>
          <w:szCs w:val="22"/>
        </w:rPr>
        <w:t>b</w:t>
      </w:r>
      <w:r w:rsidR="0062764B">
        <w:rPr>
          <w:rFonts w:asciiTheme="minorHAnsi" w:hAnsiTheme="minorHAnsi" w:cstheme="minorHAnsi"/>
          <w:sz w:val="22"/>
          <w:szCs w:val="22"/>
        </w:rPr>
        <w:t>et</w:t>
      </w:r>
      <w:r w:rsidR="004529F0">
        <w:rPr>
          <w:rFonts w:asciiTheme="minorHAnsi" w:hAnsiTheme="minorHAnsi" w:cstheme="minorHAnsi"/>
          <w:sz w:val="22"/>
          <w:szCs w:val="22"/>
        </w:rPr>
        <w:t>w</w:t>
      </w:r>
      <w:r w:rsidR="0062764B">
        <w:rPr>
          <w:rFonts w:asciiTheme="minorHAnsi" w:hAnsiTheme="minorHAnsi" w:cstheme="minorHAnsi"/>
          <w:sz w:val="22"/>
          <w:szCs w:val="22"/>
        </w:rPr>
        <w:t>een</w:t>
      </w:r>
      <w:r w:rsidR="004529F0">
        <w:rPr>
          <w:rFonts w:asciiTheme="minorHAnsi" w:hAnsiTheme="minorHAnsi" w:cstheme="minorHAnsi"/>
          <w:sz w:val="22"/>
          <w:szCs w:val="22"/>
        </w:rPr>
        <w:t xml:space="preserve"> the program and control groups </w:t>
      </w:r>
      <w:r w:rsidR="000B5CBA">
        <w:rPr>
          <w:rFonts w:asciiTheme="minorHAnsi" w:hAnsiTheme="minorHAnsi" w:cstheme="minorHAnsi"/>
          <w:sz w:val="22"/>
          <w:szCs w:val="22"/>
        </w:rPr>
        <w:t>are not statistically significant</w:t>
      </w:r>
      <w:r w:rsidR="00132F7D">
        <w:rPr>
          <w:rFonts w:asciiTheme="minorHAnsi" w:hAnsiTheme="minorHAnsi" w:cstheme="minorHAnsi"/>
          <w:sz w:val="22"/>
          <w:szCs w:val="22"/>
        </w:rPr>
        <w:t xml:space="preserve">. In addition, </w:t>
      </w:r>
      <w:r w:rsidR="005E024B">
        <w:rPr>
          <w:rFonts w:asciiTheme="minorHAnsi" w:hAnsiTheme="minorHAnsi" w:cstheme="minorHAnsi"/>
          <w:sz w:val="22"/>
          <w:szCs w:val="22"/>
        </w:rPr>
        <w:t xml:space="preserve">response rates for the program group </w:t>
      </w:r>
      <w:r w:rsidR="003D36A0">
        <w:rPr>
          <w:rFonts w:asciiTheme="minorHAnsi" w:hAnsiTheme="minorHAnsi" w:cstheme="minorHAnsi"/>
          <w:sz w:val="22"/>
          <w:szCs w:val="22"/>
        </w:rPr>
        <w:t xml:space="preserve">and control group within each incentive experiment </w:t>
      </w:r>
      <w:r w:rsidR="00132F7D">
        <w:rPr>
          <w:rFonts w:asciiTheme="minorHAnsi" w:hAnsiTheme="minorHAnsi" w:cstheme="minorHAnsi"/>
          <w:sz w:val="22"/>
          <w:szCs w:val="22"/>
        </w:rPr>
        <w:t xml:space="preserve">group </w:t>
      </w:r>
      <w:r w:rsidR="003D36A0">
        <w:rPr>
          <w:rFonts w:asciiTheme="minorHAnsi" w:hAnsiTheme="minorHAnsi" w:cstheme="minorHAnsi"/>
          <w:sz w:val="22"/>
          <w:szCs w:val="22"/>
        </w:rPr>
        <w:t xml:space="preserve">are </w:t>
      </w:r>
      <w:r w:rsidR="001226B9">
        <w:rPr>
          <w:rFonts w:asciiTheme="minorHAnsi" w:hAnsiTheme="minorHAnsi" w:cstheme="minorHAnsi"/>
          <w:sz w:val="22"/>
          <w:szCs w:val="22"/>
        </w:rPr>
        <w:t>not statistically significantly different</w:t>
      </w:r>
      <w:r w:rsidR="007D6B95">
        <w:rPr>
          <w:rFonts w:asciiTheme="minorHAnsi" w:hAnsiTheme="minorHAnsi" w:cstheme="minorHAnsi"/>
          <w:sz w:val="22"/>
          <w:szCs w:val="22"/>
        </w:rPr>
        <w:t xml:space="preserve"> from each other</w:t>
      </w:r>
      <w:r w:rsidR="003D36A0">
        <w:rPr>
          <w:rFonts w:asciiTheme="minorHAnsi" w:hAnsiTheme="minorHAnsi" w:cstheme="minorHAnsi"/>
          <w:sz w:val="22"/>
          <w:szCs w:val="22"/>
        </w:rPr>
        <w:t>.</w:t>
      </w:r>
      <w:r w:rsidR="00CA5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F187EC" w14:textId="77777777" w:rsidR="00CD611E" w:rsidRDefault="00CD611E" w:rsidP="000B5CBA">
      <w:pPr>
        <w:rPr>
          <w:rFonts w:asciiTheme="minorHAnsi" w:hAnsiTheme="minorHAnsi" w:cstheme="minorHAnsi"/>
          <w:sz w:val="22"/>
          <w:szCs w:val="22"/>
        </w:rPr>
        <w:sectPr w:rsidR="00CD611E" w:rsidSect="00CD611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1E626E7" w14:textId="26009F71" w:rsidR="00CD611E" w:rsidRDefault="00CD611E" w:rsidP="000B5CBA">
      <w:pPr>
        <w:rPr>
          <w:rFonts w:asciiTheme="minorHAnsi" w:hAnsiTheme="minorHAnsi" w:cstheme="minorHAnsi"/>
          <w:sz w:val="22"/>
          <w:szCs w:val="22"/>
        </w:rPr>
      </w:pPr>
    </w:p>
    <w:p w14:paraId="6DAF5FE4" w14:textId="78C132F0" w:rsidR="00896BFF" w:rsidRPr="009F71F3" w:rsidRDefault="00896BFF" w:rsidP="00896B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Toc478986098"/>
      <w:r w:rsidRPr="009F71F3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764D58">
        <w:rPr>
          <w:rFonts w:asciiTheme="minorHAnsi" w:hAnsiTheme="minorHAnsi" w:cstheme="minorHAnsi"/>
          <w:b/>
          <w:sz w:val="22"/>
          <w:szCs w:val="22"/>
        </w:rPr>
        <w:t>6</w:t>
      </w:r>
    </w:p>
    <w:p w14:paraId="7BFE9E84" w14:textId="77777777" w:rsidR="00896BFF" w:rsidRPr="009F71F3" w:rsidRDefault="00896BFF" w:rsidP="00896BF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71F3">
        <w:rPr>
          <w:rFonts w:asciiTheme="minorHAnsi" w:hAnsiTheme="minorHAnsi" w:cstheme="minorHAnsi"/>
          <w:b/>
          <w:sz w:val="22"/>
          <w:szCs w:val="22"/>
        </w:rPr>
        <w:t xml:space="preserve">Phone Interview Response Rates for </w:t>
      </w:r>
      <w:r>
        <w:rPr>
          <w:rFonts w:asciiTheme="minorHAnsi" w:hAnsiTheme="minorHAnsi" w:cstheme="minorHAnsi"/>
          <w:b/>
          <w:sz w:val="22"/>
          <w:szCs w:val="22"/>
        </w:rPr>
        <w:t>Program and Control G</w:t>
      </w:r>
      <w:r w:rsidRPr="009F71F3">
        <w:rPr>
          <w:rFonts w:asciiTheme="minorHAnsi" w:hAnsiTheme="minorHAnsi" w:cstheme="minorHAnsi"/>
          <w:b/>
          <w:sz w:val="22"/>
          <w:szCs w:val="22"/>
        </w:rPr>
        <w:t>roup</w:t>
      </w:r>
      <w:r>
        <w:rPr>
          <w:rFonts w:asciiTheme="minorHAnsi" w:hAnsiTheme="minorHAnsi" w:cstheme="minorHAnsi"/>
          <w:b/>
          <w:sz w:val="22"/>
          <w:szCs w:val="22"/>
        </w:rPr>
        <w:t>s</w:t>
      </w:r>
    </w:p>
    <w:p w14:paraId="72143559" w14:textId="77777777" w:rsidR="00896BFF" w:rsidRDefault="00896BFF" w:rsidP="00896B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178"/>
        <w:gridCol w:w="2242"/>
        <w:gridCol w:w="2070"/>
        <w:gridCol w:w="1170"/>
      </w:tblGrid>
      <w:tr w:rsidR="00EF222D" w14:paraId="6A80BF9B" w14:textId="6C1367C5" w:rsidTr="00B37726">
        <w:trPr>
          <w:cantSplit/>
          <w:tblHeader/>
          <w:jc w:val="center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C4F79DE" w14:textId="77777777" w:rsidR="00EF222D" w:rsidRDefault="00EF222D" w:rsidP="00370801">
            <w:pPr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br w:type="page"/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6002E7BA" w14:textId="77777777" w:rsidR="00EF222D" w:rsidRDefault="00EF222D" w:rsidP="00370801">
            <w:pPr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F80ED9F" w14:textId="77777777" w:rsidR="00EF222D" w:rsidRDefault="00EF222D" w:rsidP="00370801">
            <w:pPr>
              <w:adjustRightInd w:val="0"/>
              <w:spacing w:before="60" w:after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F222D" w14:paraId="00902541" w14:textId="61EC18D2" w:rsidTr="00B37726">
        <w:trPr>
          <w:cantSplit/>
          <w:tblHeader/>
          <w:jc w:val="center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4392DE" w14:textId="77777777" w:rsidR="00EF222D" w:rsidRDefault="00EF222D" w:rsidP="0037080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03664EA1" w14:textId="77777777" w:rsidR="00EF222D" w:rsidRPr="00D84618" w:rsidRDefault="00EF222D" w:rsidP="00370801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Standard Incentive</w:t>
            </w:r>
          </w:p>
        </w:tc>
        <w:tc>
          <w:tcPr>
            <w:tcW w:w="22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06E33342" w14:textId="77777777" w:rsidR="00EF222D" w:rsidRPr="00D84618" w:rsidRDefault="00EF222D" w:rsidP="00370801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Impact of </w:t>
            </w: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Higher Incentive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14C6C3F4" w14:textId="77777777" w:rsidR="00B37726" w:rsidRDefault="00EF222D" w:rsidP="00370801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Impact of </w:t>
            </w: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Early </w:t>
            </w:r>
          </w:p>
          <w:p w14:paraId="55322A5D" w14:textId="001DDD7D" w:rsidR="00EF222D" w:rsidRPr="00D84618" w:rsidRDefault="00EF222D" w:rsidP="00370801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84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Bird Incentive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811D3C" w14:textId="0B585C94" w:rsidR="00EF222D" w:rsidRDefault="00EF222D" w:rsidP="00370801">
            <w:pPr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Significance</w:t>
            </w:r>
          </w:p>
        </w:tc>
      </w:tr>
      <w:tr w:rsidR="00EF222D" w14:paraId="09D4A86B" w14:textId="73D319F3" w:rsidTr="00B37726">
        <w:trPr>
          <w:cantSplit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4F1DE92" w14:textId="77777777" w:rsidR="00EF222D" w:rsidRPr="00D84618" w:rsidRDefault="00EF222D" w:rsidP="00370801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Program Group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3DF4441B" w14:textId="77777777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0%</w:t>
            </w:r>
          </w:p>
        </w:tc>
        <w:tc>
          <w:tcPr>
            <w:tcW w:w="22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5EE5A692" w14:textId="4DAC02D1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+7 percentage points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B3420A2" w14:textId="02AEC465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+4 percentage points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9761BD" w14:textId="77777777" w:rsidR="00EF222D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F222D" w14:paraId="7CB5A72E" w14:textId="5E504449" w:rsidTr="00B37726">
        <w:trPr>
          <w:cantSplit/>
          <w:jc w:val="center"/>
        </w:trPr>
        <w:tc>
          <w:tcPr>
            <w:tcW w:w="2700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E4DC1E0" w14:textId="77777777" w:rsidR="00EF222D" w:rsidRPr="00D84618" w:rsidRDefault="00EF222D" w:rsidP="00370801">
            <w:pPr>
              <w:adjustRightInd w:val="0"/>
              <w:spacing w:before="60" w:after="6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Control Group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bottom"/>
          </w:tcPr>
          <w:p w14:paraId="48138045" w14:textId="77777777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D84618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3%</w:t>
            </w:r>
          </w:p>
        </w:tc>
        <w:tc>
          <w:tcPr>
            <w:tcW w:w="224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2F2CC55D" w14:textId="56FF0674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+3 percentage point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  <w:vAlign w:val="bottom"/>
          </w:tcPr>
          <w:p w14:paraId="639C42A5" w14:textId="324F16F6" w:rsidR="00EF222D" w:rsidRPr="00D84618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+0 percentage points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88208" w14:textId="77777777" w:rsidR="00EF222D" w:rsidRDefault="00EF222D" w:rsidP="00370801">
            <w:pPr>
              <w:adjustRightInd w:val="0"/>
              <w:spacing w:before="60" w:after="6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5257E01" w14:textId="18D6B4D8" w:rsidR="00BF28C4" w:rsidRDefault="00BF28C4">
      <w:pPr>
        <w:autoSpaceDE/>
        <w:autoSpaceDN/>
        <w:spacing w:after="200" w:line="276" w:lineRule="auto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14:paraId="16B60086" w14:textId="25DAC788" w:rsidR="005418AD" w:rsidRPr="00BF28C4" w:rsidRDefault="00E61AD8" w:rsidP="007A605A">
      <w:pPr>
        <w:pStyle w:val="Heading2"/>
        <w:rPr>
          <w:rFonts w:asciiTheme="minorHAnsi" w:hAnsiTheme="minorHAnsi" w:cstheme="minorHAnsi"/>
          <w:i w:val="0"/>
          <w:sz w:val="32"/>
          <w:szCs w:val="32"/>
        </w:rPr>
      </w:pPr>
      <w:r w:rsidRPr="00BF28C4">
        <w:rPr>
          <w:rFonts w:asciiTheme="minorHAnsi" w:hAnsiTheme="minorHAnsi" w:cstheme="minorHAnsi"/>
          <w:i w:val="0"/>
          <w:sz w:val="32"/>
          <w:szCs w:val="32"/>
        </w:rPr>
        <w:t xml:space="preserve">Effects on </w:t>
      </w:r>
      <w:r w:rsidR="00CC39CF" w:rsidRPr="00BF28C4">
        <w:rPr>
          <w:rFonts w:asciiTheme="minorHAnsi" w:hAnsiTheme="minorHAnsi" w:cstheme="minorHAnsi"/>
          <w:i w:val="0"/>
          <w:sz w:val="32"/>
          <w:szCs w:val="32"/>
        </w:rPr>
        <w:t xml:space="preserve">Overall </w:t>
      </w:r>
      <w:r w:rsidR="001503B1" w:rsidRPr="00BF28C4">
        <w:rPr>
          <w:rFonts w:asciiTheme="minorHAnsi" w:hAnsiTheme="minorHAnsi" w:cstheme="minorHAnsi"/>
          <w:i w:val="0"/>
          <w:sz w:val="32"/>
          <w:szCs w:val="32"/>
        </w:rPr>
        <w:t>Response Rates</w:t>
      </w:r>
      <w:r w:rsidR="007A605A" w:rsidRPr="00BF28C4">
        <w:rPr>
          <w:rFonts w:asciiTheme="minorHAnsi" w:hAnsiTheme="minorHAnsi" w:cstheme="minorHAnsi"/>
          <w:i w:val="0"/>
          <w:sz w:val="32"/>
          <w:szCs w:val="32"/>
        </w:rPr>
        <w:t xml:space="preserve"> </w:t>
      </w:r>
      <w:bookmarkEnd w:id="4"/>
      <w:r w:rsidR="004C1147" w:rsidRPr="00BF28C4">
        <w:rPr>
          <w:rFonts w:asciiTheme="minorHAnsi" w:hAnsiTheme="minorHAnsi" w:cstheme="minorHAnsi"/>
          <w:i w:val="0"/>
          <w:sz w:val="32"/>
          <w:szCs w:val="32"/>
        </w:rPr>
        <w:t>at the End of the Early Bird Period</w:t>
      </w:r>
    </w:p>
    <w:p w14:paraId="5F3EC96D" w14:textId="19E380E9" w:rsidR="00F71ABD" w:rsidRPr="004C1147" w:rsidRDefault="00015E14" w:rsidP="005418A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</w:t>
      </w:r>
      <w:r w:rsidR="00017757">
        <w:rPr>
          <w:rFonts w:asciiTheme="minorHAnsi" w:hAnsiTheme="minorHAnsi" w:cstheme="minorHAnsi"/>
          <w:sz w:val="22"/>
        </w:rPr>
        <w:t>espondents received the early bird</w:t>
      </w:r>
      <w:r w:rsidR="00744C8B">
        <w:rPr>
          <w:rFonts w:asciiTheme="minorHAnsi" w:hAnsiTheme="minorHAnsi" w:cstheme="minorHAnsi"/>
          <w:sz w:val="22"/>
        </w:rPr>
        <w:t xml:space="preserve"> phone interview</w:t>
      </w:r>
      <w:r w:rsidR="00017757">
        <w:rPr>
          <w:rFonts w:asciiTheme="minorHAnsi" w:hAnsiTheme="minorHAnsi" w:cstheme="minorHAnsi"/>
          <w:sz w:val="22"/>
        </w:rPr>
        <w:t xml:space="preserve"> incentive only if they completed the </w:t>
      </w:r>
      <w:r w:rsidR="00132F7D">
        <w:rPr>
          <w:rFonts w:asciiTheme="minorHAnsi" w:hAnsiTheme="minorHAnsi" w:cstheme="minorHAnsi"/>
          <w:sz w:val="22"/>
        </w:rPr>
        <w:t xml:space="preserve">phone </w:t>
      </w:r>
      <w:r w:rsidR="00017757">
        <w:rPr>
          <w:rFonts w:asciiTheme="minorHAnsi" w:hAnsiTheme="minorHAnsi" w:cstheme="minorHAnsi"/>
          <w:sz w:val="22"/>
        </w:rPr>
        <w:t>interview in the first four weeks</w:t>
      </w:r>
      <w:r>
        <w:rPr>
          <w:rFonts w:asciiTheme="minorHAnsi" w:hAnsiTheme="minorHAnsi" w:cstheme="minorHAnsi"/>
          <w:sz w:val="22"/>
        </w:rPr>
        <w:t>. I</w:t>
      </w:r>
      <w:r w:rsidR="00233B5A">
        <w:rPr>
          <w:rFonts w:asciiTheme="minorHAnsi" w:hAnsiTheme="minorHAnsi" w:cstheme="minorHAnsi"/>
          <w:sz w:val="22"/>
        </w:rPr>
        <w:t xml:space="preserve">f the early bird incentive was effective, it would reduce </w:t>
      </w:r>
      <w:r w:rsidR="00BF5B35">
        <w:rPr>
          <w:rFonts w:asciiTheme="minorHAnsi" w:hAnsiTheme="minorHAnsi" w:cstheme="minorHAnsi"/>
          <w:sz w:val="22"/>
        </w:rPr>
        <w:t xml:space="preserve">the cost of conducting the </w:t>
      </w:r>
      <w:r w:rsidR="00132F7D">
        <w:rPr>
          <w:rFonts w:asciiTheme="minorHAnsi" w:hAnsiTheme="minorHAnsi" w:cstheme="minorHAnsi"/>
          <w:sz w:val="22"/>
        </w:rPr>
        <w:t xml:space="preserve">phone </w:t>
      </w:r>
      <w:r w:rsidR="00DB5751">
        <w:rPr>
          <w:rFonts w:asciiTheme="minorHAnsi" w:hAnsiTheme="minorHAnsi" w:cstheme="minorHAnsi"/>
          <w:sz w:val="22"/>
        </w:rPr>
        <w:t>interviews</w:t>
      </w:r>
      <w:r w:rsidR="00BF5B35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by </w:t>
      </w:r>
      <w:r w:rsidR="00BF5B35">
        <w:rPr>
          <w:rFonts w:asciiTheme="minorHAnsi" w:hAnsiTheme="minorHAnsi" w:cstheme="minorHAnsi"/>
          <w:sz w:val="22"/>
        </w:rPr>
        <w:t xml:space="preserve">reducing the effort the study team had to put into </w:t>
      </w:r>
      <w:r>
        <w:rPr>
          <w:rFonts w:asciiTheme="minorHAnsi" w:hAnsiTheme="minorHAnsi" w:cstheme="minorHAnsi"/>
          <w:sz w:val="22"/>
        </w:rPr>
        <w:t xml:space="preserve">getting </w:t>
      </w:r>
      <w:r w:rsidR="00BF5B35">
        <w:rPr>
          <w:rFonts w:asciiTheme="minorHAnsi" w:hAnsiTheme="minorHAnsi" w:cstheme="minorHAnsi"/>
          <w:sz w:val="22"/>
        </w:rPr>
        <w:t>families</w:t>
      </w:r>
      <w:r>
        <w:rPr>
          <w:rFonts w:asciiTheme="minorHAnsi" w:hAnsiTheme="minorHAnsi" w:cstheme="minorHAnsi"/>
          <w:sz w:val="22"/>
        </w:rPr>
        <w:t xml:space="preserve"> to respond</w:t>
      </w:r>
      <w:r w:rsidR="00BF5B35">
        <w:rPr>
          <w:rFonts w:asciiTheme="minorHAnsi" w:hAnsiTheme="minorHAnsi" w:cstheme="minorHAnsi"/>
          <w:sz w:val="22"/>
        </w:rPr>
        <w:t xml:space="preserve">. </w:t>
      </w:r>
      <w:r w:rsidR="0079551A">
        <w:rPr>
          <w:rFonts w:asciiTheme="minorHAnsi" w:hAnsiTheme="minorHAnsi" w:cstheme="minorHAnsi"/>
          <w:sz w:val="22"/>
        </w:rPr>
        <w:t>W</w:t>
      </w:r>
      <w:r w:rsidR="00E45205">
        <w:rPr>
          <w:rFonts w:asciiTheme="minorHAnsi" w:hAnsiTheme="minorHAnsi" w:cstheme="minorHAnsi"/>
          <w:sz w:val="22"/>
        </w:rPr>
        <w:t xml:space="preserve">e examined response rates </w:t>
      </w:r>
      <w:r w:rsidR="00467751">
        <w:rPr>
          <w:rFonts w:asciiTheme="minorHAnsi" w:hAnsiTheme="minorHAnsi" w:cstheme="minorHAnsi"/>
          <w:sz w:val="22"/>
        </w:rPr>
        <w:t xml:space="preserve">at the </w:t>
      </w:r>
      <w:r w:rsidR="0041022B">
        <w:rPr>
          <w:rFonts w:asciiTheme="minorHAnsi" w:hAnsiTheme="minorHAnsi" w:cstheme="minorHAnsi"/>
          <w:sz w:val="22"/>
        </w:rPr>
        <w:t>end of</w:t>
      </w:r>
      <w:r w:rsidR="00E45205">
        <w:rPr>
          <w:rFonts w:asciiTheme="minorHAnsi" w:hAnsiTheme="minorHAnsi" w:cstheme="minorHAnsi"/>
          <w:sz w:val="22"/>
        </w:rPr>
        <w:t xml:space="preserve"> the first four weeks of data collection to determine whether the early bird incentive </w:t>
      </w:r>
      <w:r w:rsidR="00233B5A">
        <w:rPr>
          <w:rFonts w:asciiTheme="minorHAnsi" w:hAnsiTheme="minorHAnsi" w:cstheme="minorHAnsi"/>
          <w:sz w:val="22"/>
        </w:rPr>
        <w:t>increased</w:t>
      </w:r>
      <w:r w:rsidR="00E45205">
        <w:rPr>
          <w:rFonts w:asciiTheme="minorHAnsi" w:hAnsiTheme="minorHAnsi" w:cstheme="minorHAnsi"/>
          <w:sz w:val="22"/>
        </w:rPr>
        <w:t xml:space="preserve"> early responses. </w:t>
      </w:r>
    </w:p>
    <w:p w14:paraId="06C25602" w14:textId="77777777" w:rsidR="00F71ABD" w:rsidRPr="004C1147" w:rsidRDefault="00F71ABD" w:rsidP="005418AD">
      <w:pPr>
        <w:rPr>
          <w:rFonts w:asciiTheme="minorHAnsi" w:hAnsiTheme="minorHAnsi" w:cstheme="minorHAnsi"/>
          <w:sz w:val="22"/>
        </w:rPr>
      </w:pPr>
    </w:p>
    <w:p w14:paraId="13CDD0D0" w14:textId="2C7A9CE1" w:rsidR="00312F7C" w:rsidRDefault="00E61AD8" w:rsidP="005418A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As shown in Table </w:t>
      </w:r>
      <w:r w:rsidR="00751E4B"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 xml:space="preserve">, </w:t>
      </w:r>
      <w:r w:rsidR="00132F7D">
        <w:rPr>
          <w:rFonts w:asciiTheme="minorHAnsi" w:hAnsiTheme="minorHAnsi" w:cstheme="minorHAnsi"/>
          <w:sz w:val="22"/>
        </w:rPr>
        <w:t xml:space="preserve">at the end of the </w:t>
      </w:r>
      <w:r w:rsidR="00C67426">
        <w:rPr>
          <w:rFonts w:asciiTheme="minorHAnsi" w:hAnsiTheme="minorHAnsi" w:cstheme="minorHAnsi"/>
          <w:sz w:val="22"/>
        </w:rPr>
        <w:t xml:space="preserve">four-week </w:t>
      </w:r>
      <w:r w:rsidR="00132F7D">
        <w:rPr>
          <w:rFonts w:asciiTheme="minorHAnsi" w:hAnsiTheme="minorHAnsi" w:cstheme="minorHAnsi"/>
          <w:sz w:val="22"/>
        </w:rPr>
        <w:t xml:space="preserve">early bird period, </w:t>
      </w:r>
      <w:r w:rsidR="005418AD" w:rsidRPr="004C1147">
        <w:rPr>
          <w:rFonts w:asciiTheme="minorHAnsi" w:hAnsiTheme="minorHAnsi" w:cstheme="minorHAnsi"/>
          <w:sz w:val="22"/>
        </w:rPr>
        <w:t xml:space="preserve">respondents in </w:t>
      </w:r>
      <w:r w:rsidR="005D5E88">
        <w:rPr>
          <w:rFonts w:asciiTheme="minorHAnsi" w:hAnsiTheme="minorHAnsi" w:cstheme="minorHAnsi"/>
          <w:sz w:val="22"/>
        </w:rPr>
        <w:t xml:space="preserve">the early bird incentive group had a </w:t>
      </w:r>
      <w:r w:rsidR="00BB52BA">
        <w:rPr>
          <w:rFonts w:asciiTheme="minorHAnsi" w:hAnsiTheme="minorHAnsi" w:cstheme="minorHAnsi"/>
          <w:sz w:val="22"/>
        </w:rPr>
        <w:t xml:space="preserve">slightly </w:t>
      </w:r>
      <w:r w:rsidR="005D5E88">
        <w:rPr>
          <w:rFonts w:asciiTheme="minorHAnsi" w:hAnsiTheme="minorHAnsi" w:cstheme="minorHAnsi"/>
          <w:sz w:val="22"/>
        </w:rPr>
        <w:t xml:space="preserve">higher </w:t>
      </w:r>
      <w:r w:rsidR="00132F7D">
        <w:rPr>
          <w:rFonts w:asciiTheme="minorHAnsi" w:hAnsiTheme="minorHAnsi" w:cstheme="minorHAnsi"/>
          <w:sz w:val="22"/>
        </w:rPr>
        <w:t xml:space="preserve">phone interview </w:t>
      </w:r>
      <w:r w:rsidR="005D5E88">
        <w:rPr>
          <w:rFonts w:asciiTheme="minorHAnsi" w:hAnsiTheme="minorHAnsi" w:cstheme="minorHAnsi"/>
          <w:sz w:val="22"/>
        </w:rPr>
        <w:t xml:space="preserve">response rate than </w:t>
      </w:r>
      <w:r w:rsidR="00F50218">
        <w:rPr>
          <w:rFonts w:asciiTheme="minorHAnsi" w:hAnsiTheme="minorHAnsi" w:cstheme="minorHAnsi"/>
          <w:sz w:val="22"/>
        </w:rPr>
        <w:t xml:space="preserve">those who were offered the standard </w:t>
      </w:r>
      <w:r w:rsidR="00132F7D">
        <w:rPr>
          <w:rFonts w:asciiTheme="minorHAnsi" w:hAnsiTheme="minorHAnsi" w:cstheme="minorHAnsi"/>
          <w:sz w:val="22"/>
        </w:rPr>
        <w:t xml:space="preserve">phone interview </w:t>
      </w:r>
      <w:r w:rsidR="00F50218">
        <w:rPr>
          <w:rFonts w:asciiTheme="minorHAnsi" w:hAnsiTheme="minorHAnsi" w:cstheme="minorHAnsi"/>
          <w:sz w:val="22"/>
        </w:rPr>
        <w:t>incentive</w:t>
      </w:r>
      <w:r w:rsidR="00BB52BA">
        <w:rPr>
          <w:rFonts w:asciiTheme="minorHAnsi" w:hAnsiTheme="minorHAnsi" w:cstheme="minorHAnsi"/>
          <w:sz w:val="22"/>
        </w:rPr>
        <w:t>, but this difference was not statistically significant</w:t>
      </w:r>
      <w:r w:rsidR="00F50218">
        <w:rPr>
          <w:rFonts w:asciiTheme="minorHAnsi" w:hAnsiTheme="minorHAnsi" w:cstheme="minorHAnsi"/>
          <w:sz w:val="22"/>
        </w:rPr>
        <w:t xml:space="preserve">. </w:t>
      </w:r>
      <w:r w:rsidR="009560A0">
        <w:rPr>
          <w:rFonts w:asciiTheme="minorHAnsi" w:hAnsiTheme="minorHAnsi" w:cstheme="minorHAnsi"/>
          <w:sz w:val="22"/>
        </w:rPr>
        <w:t>Th</w:t>
      </w:r>
      <w:r w:rsidR="00A72071">
        <w:rPr>
          <w:rFonts w:asciiTheme="minorHAnsi" w:hAnsiTheme="minorHAnsi" w:cstheme="minorHAnsi"/>
          <w:sz w:val="22"/>
        </w:rPr>
        <w:t xml:space="preserve">e early bird </w:t>
      </w:r>
      <w:r w:rsidR="00744C8B">
        <w:rPr>
          <w:rFonts w:asciiTheme="minorHAnsi" w:hAnsiTheme="minorHAnsi" w:cstheme="minorHAnsi"/>
          <w:sz w:val="22"/>
        </w:rPr>
        <w:t xml:space="preserve">phone interview </w:t>
      </w:r>
      <w:r w:rsidR="00A72071">
        <w:rPr>
          <w:rFonts w:asciiTheme="minorHAnsi" w:hAnsiTheme="minorHAnsi" w:cstheme="minorHAnsi"/>
          <w:sz w:val="22"/>
        </w:rPr>
        <w:t>incentive</w:t>
      </w:r>
      <w:r w:rsidR="00E53734">
        <w:rPr>
          <w:rFonts w:asciiTheme="minorHAnsi" w:hAnsiTheme="minorHAnsi" w:cstheme="minorHAnsi"/>
          <w:sz w:val="22"/>
        </w:rPr>
        <w:t xml:space="preserve"> </w:t>
      </w:r>
      <w:r w:rsidR="00233B5A">
        <w:rPr>
          <w:rFonts w:asciiTheme="minorHAnsi" w:hAnsiTheme="minorHAnsi" w:cstheme="minorHAnsi"/>
          <w:sz w:val="22"/>
        </w:rPr>
        <w:t>did not</w:t>
      </w:r>
      <w:r w:rsidR="00A72071">
        <w:rPr>
          <w:rFonts w:asciiTheme="minorHAnsi" w:hAnsiTheme="minorHAnsi" w:cstheme="minorHAnsi"/>
          <w:sz w:val="22"/>
        </w:rPr>
        <w:t xml:space="preserve"> effective</w:t>
      </w:r>
      <w:r w:rsidR="00233B5A">
        <w:rPr>
          <w:rFonts w:asciiTheme="minorHAnsi" w:hAnsiTheme="minorHAnsi" w:cstheme="minorHAnsi"/>
          <w:sz w:val="22"/>
        </w:rPr>
        <w:t>ly</w:t>
      </w:r>
      <w:r w:rsidR="00A72071">
        <w:rPr>
          <w:rFonts w:asciiTheme="minorHAnsi" w:hAnsiTheme="minorHAnsi" w:cstheme="minorHAnsi"/>
          <w:sz w:val="22"/>
        </w:rPr>
        <w:t xml:space="preserve"> encourag</w:t>
      </w:r>
      <w:r w:rsidR="00233B5A">
        <w:rPr>
          <w:rFonts w:asciiTheme="minorHAnsi" w:hAnsiTheme="minorHAnsi" w:cstheme="minorHAnsi"/>
          <w:sz w:val="22"/>
        </w:rPr>
        <w:t>e</w:t>
      </w:r>
      <w:r w:rsidR="00A72071">
        <w:rPr>
          <w:rFonts w:asciiTheme="minorHAnsi" w:hAnsiTheme="minorHAnsi" w:cstheme="minorHAnsi"/>
          <w:sz w:val="22"/>
        </w:rPr>
        <w:t xml:space="preserve"> early responses</w:t>
      </w:r>
      <w:r w:rsidR="009560A0">
        <w:rPr>
          <w:rFonts w:asciiTheme="minorHAnsi" w:hAnsiTheme="minorHAnsi" w:cstheme="minorHAnsi"/>
          <w:sz w:val="22"/>
        </w:rPr>
        <w:t xml:space="preserve">. </w:t>
      </w:r>
    </w:p>
    <w:p w14:paraId="2EFE04C0" w14:textId="77777777" w:rsidR="00312F7C" w:rsidRDefault="00312F7C" w:rsidP="005418AD">
      <w:pPr>
        <w:rPr>
          <w:rFonts w:asciiTheme="minorHAnsi" w:hAnsiTheme="minorHAnsi" w:cstheme="minorHAnsi"/>
          <w:sz w:val="22"/>
        </w:rPr>
      </w:pPr>
    </w:p>
    <w:p w14:paraId="686A446B" w14:textId="2C60CD85" w:rsidR="00CA3342" w:rsidRDefault="00233B5A" w:rsidP="005418A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Our </w:t>
      </w:r>
      <w:r w:rsidR="00DC2E00">
        <w:rPr>
          <w:rFonts w:asciiTheme="minorHAnsi" w:hAnsiTheme="minorHAnsi" w:cstheme="minorHAnsi"/>
          <w:sz w:val="22"/>
        </w:rPr>
        <w:t xml:space="preserve">design of the incentive experiment </w:t>
      </w:r>
      <w:r>
        <w:rPr>
          <w:rFonts w:asciiTheme="minorHAnsi" w:hAnsiTheme="minorHAnsi" w:cstheme="minorHAnsi"/>
          <w:sz w:val="22"/>
        </w:rPr>
        <w:t>allowed us to examine</w:t>
      </w:r>
      <w:r w:rsidR="009601F9">
        <w:rPr>
          <w:rFonts w:asciiTheme="minorHAnsi" w:hAnsiTheme="minorHAnsi" w:cstheme="minorHAnsi"/>
          <w:sz w:val="22"/>
        </w:rPr>
        <w:t xml:space="preserve"> </w:t>
      </w:r>
      <w:r w:rsidR="003E6CC1">
        <w:rPr>
          <w:rFonts w:asciiTheme="minorHAnsi" w:hAnsiTheme="minorHAnsi" w:cstheme="minorHAnsi"/>
          <w:sz w:val="22"/>
        </w:rPr>
        <w:t xml:space="preserve">whether </w:t>
      </w:r>
      <w:r w:rsidR="00F46B5E">
        <w:rPr>
          <w:rFonts w:asciiTheme="minorHAnsi" w:hAnsiTheme="minorHAnsi" w:cstheme="minorHAnsi"/>
          <w:sz w:val="22"/>
        </w:rPr>
        <w:t xml:space="preserve">the </w:t>
      </w:r>
      <w:r>
        <w:rPr>
          <w:rFonts w:asciiTheme="minorHAnsi" w:hAnsiTheme="minorHAnsi" w:cstheme="minorHAnsi"/>
          <w:sz w:val="22"/>
        </w:rPr>
        <w:t>null effect</w:t>
      </w:r>
      <w:r w:rsidR="003E6CC1">
        <w:rPr>
          <w:rFonts w:asciiTheme="minorHAnsi" w:hAnsiTheme="minorHAnsi" w:cstheme="minorHAnsi"/>
          <w:sz w:val="22"/>
        </w:rPr>
        <w:t xml:space="preserve"> </w:t>
      </w:r>
      <w:r w:rsidR="006006F0">
        <w:rPr>
          <w:rFonts w:asciiTheme="minorHAnsi" w:hAnsiTheme="minorHAnsi" w:cstheme="minorHAnsi"/>
          <w:sz w:val="22"/>
        </w:rPr>
        <w:t>might</w:t>
      </w:r>
      <w:r w:rsidR="003E6CC1">
        <w:rPr>
          <w:rFonts w:asciiTheme="minorHAnsi" w:hAnsiTheme="minorHAnsi" w:cstheme="minorHAnsi"/>
          <w:sz w:val="22"/>
        </w:rPr>
        <w:t xml:space="preserve"> be attributed to </w:t>
      </w:r>
      <w:r w:rsidR="00DB1A2F">
        <w:rPr>
          <w:rFonts w:asciiTheme="minorHAnsi" w:hAnsiTheme="minorHAnsi" w:cstheme="minorHAnsi"/>
          <w:sz w:val="22"/>
        </w:rPr>
        <w:t xml:space="preserve">the early bird incentive </w:t>
      </w:r>
      <w:r w:rsidR="00DB1A2F" w:rsidRPr="00CD611E">
        <w:rPr>
          <w:rFonts w:asciiTheme="minorHAnsi" w:hAnsiTheme="minorHAnsi" w:cstheme="minorHAnsi"/>
          <w:i/>
          <w:sz w:val="22"/>
        </w:rPr>
        <w:t>structure</w:t>
      </w:r>
      <w:r w:rsidR="00DB1A2F">
        <w:rPr>
          <w:rFonts w:asciiTheme="minorHAnsi" w:hAnsiTheme="minorHAnsi" w:cstheme="minorHAnsi"/>
          <w:sz w:val="22"/>
        </w:rPr>
        <w:t xml:space="preserve"> or the early bird inc</w:t>
      </w:r>
      <w:r w:rsidR="001B63F4">
        <w:rPr>
          <w:rFonts w:asciiTheme="minorHAnsi" w:hAnsiTheme="minorHAnsi" w:cstheme="minorHAnsi"/>
          <w:sz w:val="22"/>
        </w:rPr>
        <w:t xml:space="preserve">entive </w:t>
      </w:r>
      <w:r w:rsidR="001B63F4" w:rsidRPr="00CD611E">
        <w:rPr>
          <w:rFonts w:asciiTheme="minorHAnsi" w:hAnsiTheme="minorHAnsi" w:cstheme="minorHAnsi"/>
          <w:i/>
          <w:sz w:val="22"/>
        </w:rPr>
        <w:t>amount</w:t>
      </w:r>
      <w:r>
        <w:rPr>
          <w:rFonts w:asciiTheme="minorHAnsi" w:hAnsiTheme="minorHAnsi" w:cstheme="minorHAnsi"/>
          <w:i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="00637913">
        <w:rPr>
          <w:rFonts w:asciiTheme="minorHAnsi" w:hAnsiTheme="minorHAnsi" w:cstheme="minorHAnsi"/>
          <w:sz w:val="22"/>
        </w:rPr>
        <w:t xml:space="preserve">The offer of $35 was time limited for the early bird </w:t>
      </w:r>
      <w:r w:rsidR="000239AB">
        <w:rPr>
          <w:rFonts w:asciiTheme="minorHAnsi" w:hAnsiTheme="minorHAnsi" w:cstheme="minorHAnsi"/>
          <w:sz w:val="22"/>
        </w:rPr>
        <w:t xml:space="preserve">phone interview </w:t>
      </w:r>
      <w:r w:rsidR="00F9362C">
        <w:rPr>
          <w:rFonts w:asciiTheme="minorHAnsi" w:hAnsiTheme="minorHAnsi" w:cstheme="minorHAnsi"/>
          <w:sz w:val="22"/>
        </w:rPr>
        <w:t xml:space="preserve">group, but was </w:t>
      </w:r>
      <w:r w:rsidR="00132F7D">
        <w:rPr>
          <w:rFonts w:asciiTheme="minorHAnsi" w:hAnsiTheme="minorHAnsi" w:cstheme="minorHAnsi"/>
          <w:sz w:val="22"/>
        </w:rPr>
        <w:t xml:space="preserve">available </w:t>
      </w:r>
      <w:r w:rsidR="00F9362C">
        <w:rPr>
          <w:rFonts w:asciiTheme="minorHAnsi" w:hAnsiTheme="minorHAnsi" w:cstheme="minorHAnsi"/>
          <w:sz w:val="22"/>
        </w:rPr>
        <w:t xml:space="preserve">for the full data collection period for the higher </w:t>
      </w:r>
      <w:r w:rsidR="000239AB">
        <w:rPr>
          <w:rFonts w:asciiTheme="minorHAnsi" w:hAnsiTheme="minorHAnsi" w:cstheme="minorHAnsi"/>
          <w:sz w:val="22"/>
        </w:rPr>
        <w:t xml:space="preserve">phone </w:t>
      </w:r>
      <w:r w:rsidR="00F9362C">
        <w:rPr>
          <w:rFonts w:asciiTheme="minorHAnsi" w:hAnsiTheme="minorHAnsi" w:cstheme="minorHAnsi"/>
          <w:sz w:val="22"/>
        </w:rPr>
        <w:t xml:space="preserve">interview incentive amount group. </w:t>
      </w:r>
      <w:r w:rsidR="008E2A8C">
        <w:rPr>
          <w:rFonts w:asciiTheme="minorHAnsi" w:hAnsiTheme="minorHAnsi" w:cstheme="minorHAnsi"/>
          <w:sz w:val="22"/>
        </w:rPr>
        <w:t xml:space="preserve">Table </w:t>
      </w:r>
      <w:r w:rsidR="004B6DC2">
        <w:rPr>
          <w:rFonts w:asciiTheme="minorHAnsi" w:hAnsiTheme="minorHAnsi" w:cstheme="minorHAnsi"/>
          <w:sz w:val="22"/>
        </w:rPr>
        <w:t>7</w:t>
      </w:r>
      <w:r w:rsidR="008E2A8C">
        <w:rPr>
          <w:rFonts w:asciiTheme="minorHAnsi" w:hAnsiTheme="minorHAnsi" w:cstheme="minorHAnsi"/>
          <w:sz w:val="22"/>
        </w:rPr>
        <w:t xml:space="preserve"> shows that </w:t>
      </w:r>
      <w:r w:rsidR="006673F0" w:rsidRPr="00E85BFC">
        <w:rPr>
          <w:rFonts w:asciiTheme="minorHAnsi" w:hAnsiTheme="minorHAnsi" w:cstheme="minorHAnsi"/>
          <w:sz w:val="22"/>
        </w:rPr>
        <w:t xml:space="preserve">the offer of the </w:t>
      </w:r>
      <w:r w:rsidR="00E53734">
        <w:rPr>
          <w:rFonts w:asciiTheme="minorHAnsi" w:hAnsiTheme="minorHAnsi" w:cstheme="minorHAnsi"/>
          <w:sz w:val="22"/>
        </w:rPr>
        <w:t xml:space="preserve">time-unlimited </w:t>
      </w:r>
      <w:r w:rsidR="006673F0" w:rsidRPr="00E85BFC">
        <w:rPr>
          <w:rFonts w:asciiTheme="minorHAnsi" w:hAnsiTheme="minorHAnsi" w:cstheme="minorHAnsi"/>
          <w:sz w:val="22"/>
        </w:rPr>
        <w:t xml:space="preserve">higher </w:t>
      </w:r>
      <w:r w:rsidR="00132F7D">
        <w:rPr>
          <w:rFonts w:asciiTheme="minorHAnsi" w:hAnsiTheme="minorHAnsi" w:cstheme="minorHAnsi"/>
          <w:sz w:val="22"/>
        </w:rPr>
        <w:t xml:space="preserve">phone </w:t>
      </w:r>
      <w:r w:rsidR="006673F0" w:rsidRPr="00E85BFC">
        <w:rPr>
          <w:rFonts w:asciiTheme="minorHAnsi" w:hAnsiTheme="minorHAnsi" w:cstheme="minorHAnsi"/>
          <w:sz w:val="22"/>
        </w:rPr>
        <w:t>interview incentive</w:t>
      </w:r>
      <w:r w:rsidR="00E53734">
        <w:rPr>
          <w:rFonts w:asciiTheme="minorHAnsi" w:hAnsiTheme="minorHAnsi" w:cstheme="minorHAnsi"/>
          <w:sz w:val="22"/>
        </w:rPr>
        <w:t xml:space="preserve"> </w:t>
      </w:r>
      <w:r w:rsidR="009720DE">
        <w:rPr>
          <w:rFonts w:asciiTheme="minorHAnsi" w:hAnsiTheme="minorHAnsi" w:cstheme="minorHAnsi"/>
          <w:sz w:val="22"/>
        </w:rPr>
        <w:t xml:space="preserve">appears to have been more </w:t>
      </w:r>
      <w:r w:rsidR="00111C34">
        <w:rPr>
          <w:rFonts w:asciiTheme="minorHAnsi" w:hAnsiTheme="minorHAnsi" w:cstheme="minorHAnsi"/>
          <w:sz w:val="22"/>
        </w:rPr>
        <w:t xml:space="preserve">effective than the </w:t>
      </w:r>
      <w:r w:rsidR="00A63B2A">
        <w:rPr>
          <w:rFonts w:asciiTheme="minorHAnsi" w:hAnsiTheme="minorHAnsi" w:cstheme="minorHAnsi"/>
          <w:sz w:val="22"/>
        </w:rPr>
        <w:t>early bird incentive</w:t>
      </w:r>
      <w:r w:rsidR="00894932">
        <w:rPr>
          <w:rFonts w:asciiTheme="minorHAnsi" w:hAnsiTheme="minorHAnsi" w:cstheme="minorHAnsi"/>
          <w:sz w:val="22"/>
        </w:rPr>
        <w:t xml:space="preserve"> (the offer of $35 that was time-</w:t>
      </w:r>
      <w:r w:rsidR="001E75BA">
        <w:rPr>
          <w:rFonts w:asciiTheme="minorHAnsi" w:hAnsiTheme="minorHAnsi" w:cstheme="minorHAnsi"/>
          <w:sz w:val="22"/>
        </w:rPr>
        <w:t>limited)</w:t>
      </w:r>
      <w:r w:rsidR="002047C3">
        <w:rPr>
          <w:rFonts w:asciiTheme="minorHAnsi" w:hAnsiTheme="minorHAnsi" w:cstheme="minorHAnsi"/>
          <w:sz w:val="22"/>
        </w:rPr>
        <w:t xml:space="preserve"> </w:t>
      </w:r>
      <w:r w:rsidR="006673F0" w:rsidRPr="00E85BFC">
        <w:rPr>
          <w:rFonts w:asciiTheme="minorHAnsi" w:hAnsiTheme="minorHAnsi" w:cstheme="minorHAnsi"/>
          <w:sz w:val="22"/>
        </w:rPr>
        <w:t xml:space="preserve">– the response rate for the group offered the higher amount is about </w:t>
      </w:r>
      <w:r w:rsidR="00640FE5">
        <w:rPr>
          <w:rFonts w:asciiTheme="minorHAnsi" w:hAnsiTheme="minorHAnsi" w:cstheme="minorHAnsi"/>
          <w:sz w:val="22"/>
        </w:rPr>
        <w:t>7</w:t>
      </w:r>
      <w:r w:rsidR="006673F0" w:rsidRPr="00E85BFC">
        <w:rPr>
          <w:rFonts w:asciiTheme="minorHAnsi" w:hAnsiTheme="minorHAnsi" w:cstheme="minorHAnsi"/>
          <w:sz w:val="22"/>
        </w:rPr>
        <w:t xml:space="preserve"> percentage points higher than </w:t>
      </w:r>
      <w:r w:rsidR="003111AD">
        <w:rPr>
          <w:rFonts w:asciiTheme="minorHAnsi" w:hAnsiTheme="minorHAnsi" w:cstheme="minorHAnsi"/>
          <w:sz w:val="22"/>
        </w:rPr>
        <w:t xml:space="preserve">for </w:t>
      </w:r>
      <w:r w:rsidR="006673F0" w:rsidRPr="00E85BFC">
        <w:rPr>
          <w:rFonts w:asciiTheme="minorHAnsi" w:hAnsiTheme="minorHAnsi" w:cstheme="minorHAnsi"/>
          <w:sz w:val="22"/>
        </w:rPr>
        <w:t>the group offered the standard incentive</w:t>
      </w:r>
      <w:r w:rsidR="003111AD">
        <w:rPr>
          <w:rFonts w:asciiTheme="minorHAnsi" w:hAnsiTheme="minorHAnsi" w:cstheme="minorHAnsi"/>
          <w:sz w:val="22"/>
        </w:rPr>
        <w:t xml:space="preserve"> and the effect is statistically significant</w:t>
      </w:r>
      <w:r w:rsidR="006673F0" w:rsidRPr="00E85BFC">
        <w:rPr>
          <w:rFonts w:asciiTheme="minorHAnsi" w:hAnsiTheme="minorHAnsi" w:cstheme="minorHAnsi"/>
          <w:sz w:val="22"/>
        </w:rPr>
        <w:t>.</w:t>
      </w:r>
      <w:r w:rsidR="006673F0">
        <w:rPr>
          <w:rFonts w:asciiTheme="minorHAnsi" w:hAnsiTheme="minorHAnsi" w:cstheme="minorHAnsi"/>
          <w:sz w:val="22"/>
        </w:rPr>
        <w:t xml:space="preserve"> </w:t>
      </w:r>
      <w:r w:rsidR="00773886">
        <w:rPr>
          <w:rFonts w:asciiTheme="minorHAnsi" w:hAnsiTheme="minorHAnsi" w:cstheme="minorHAnsi"/>
          <w:sz w:val="22"/>
        </w:rPr>
        <w:t xml:space="preserve">Because the early bird incentive was offered only for the phone interview, effects on in-home response rates are not presented in Table </w:t>
      </w:r>
      <w:r w:rsidR="004B6DC2">
        <w:rPr>
          <w:rFonts w:asciiTheme="minorHAnsi" w:hAnsiTheme="minorHAnsi" w:cstheme="minorHAnsi"/>
          <w:sz w:val="22"/>
        </w:rPr>
        <w:t>7</w:t>
      </w:r>
      <w:r w:rsidR="00773886">
        <w:rPr>
          <w:rFonts w:asciiTheme="minorHAnsi" w:hAnsiTheme="minorHAnsi" w:cstheme="minorHAnsi"/>
          <w:sz w:val="22"/>
        </w:rPr>
        <w:t>.</w:t>
      </w:r>
    </w:p>
    <w:p w14:paraId="04BDD6DB" w14:textId="260A102F" w:rsidR="00F92BCB" w:rsidRDefault="00F92BCB" w:rsidP="005418AD">
      <w:pPr>
        <w:rPr>
          <w:rFonts w:asciiTheme="minorHAnsi" w:hAnsiTheme="minorHAnsi" w:cstheme="minorHAnsi"/>
          <w:sz w:val="22"/>
        </w:rPr>
      </w:pPr>
    </w:p>
    <w:p w14:paraId="01E84C41" w14:textId="7B78809F" w:rsidR="00F92BCB" w:rsidRPr="00432CD6" w:rsidRDefault="00F92BCB" w:rsidP="00432CD6">
      <w:pPr>
        <w:jc w:val="center"/>
        <w:rPr>
          <w:rFonts w:asciiTheme="minorHAnsi" w:hAnsiTheme="minorHAnsi" w:cstheme="minorHAnsi"/>
          <w:b/>
          <w:sz w:val="22"/>
        </w:rPr>
      </w:pPr>
      <w:r w:rsidRPr="00432CD6">
        <w:rPr>
          <w:rFonts w:asciiTheme="minorHAnsi" w:hAnsiTheme="minorHAnsi" w:cstheme="minorHAnsi"/>
          <w:b/>
          <w:sz w:val="22"/>
        </w:rPr>
        <w:t xml:space="preserve">Table </w:t>
      </w:r>
      <w:r w:rsidR="00345B0E">
        <w:rPr>
          <w:rFonts w:asciiTheme="minorHAnsi" w:hAnsiTheme="minorHAnsi" w:cstheme="minorHAnsi"/>
          <w:b/>
          <w:sz w:val="22"/>
        </w:rPr>
        <w:t>7</w:t>
      </w:r>
    </w:p>
    <w:p w14:paraId="47C21209" w14:textId="3E2563A6" w:rsidR="00F92BCB" w:rsidRPr="00432CD6" w:rsidRDefault="004252FD" w:rsidP="00432CD6">
      <w:pPr>
        <w:jc w:val="center"/>
        <w:rPr>
          <w:rFonts w:asciiTheme="minorHAnsi" w:hAnsiTheme="minorHAnsi" w:cstheme="minorHAnsi"/>
          <w:b/>
          <w:sz w:val="22"/>
        </w:rPr>
      </w:pPr>
      <w:r w:rsidRPr="00432CD6">
        <w:rPr>
          <w:rFonts w:asciiTheme="minorHAnsi" w:hAnsiTheme="minorHAnsi" w:cstheme="minorHAnsi"/>
          <w:b/>
          <w:sz w:val="22"/>
        </w:rPr>
        <w:t>Phone Interview</w:t>
      </w:r>
      <w:r w:rsidR="00F92BCB" w:rsidRPr="00432CD6">
        <w:rPr>
          <w:rFonts w:asciiTheme="minorHAnsi" w:hAnsiTheme="minorHAnsi" w:cstheme="minorHAnsi"/>
          <w:b/>
          <w:sz w:val="22"/>
        </w:rPr>
        <w:t xml:space="preserve"> Response Rates at the </w:t>
      </w:r>
      <w:r w:rsidR="00BC64F2">
        <w:rPr>
          <w:rFonts w:asciiTheme="minorHAnsi" w:hAnsiTheme="minorHAnsi" w:cstheme="minorHAnsi"/>
          <w:b/>
          <w:sz w:val="22"/>
        </w:rPr>
        <w:t>End</w:t>
      </w:r>
      <w:r w:rsidR="00F92BCB" w:rsidRPr="00432CD6">
        <w:rPr>
          <w:rFonts w:asciiTheme="minorHAnsi" w:hAnsiTheme="minorHAnsi" w:cstheme="minorHAnsi"/>
          <w:b/>
          <w:sz w:val="22"/>
        </w:rPr>
        <w:t xml:space="preserve"> of the Early Bird Period</w:t>
      </w:r>
    </w:p>
    <w:p w14:paraId="7B3AB47E" w14:textId="77777777" w:rsidR="00F92BCB" w:rsidRPr="004C1147" w:rsidRDefault="00F92BCB" w:rsidP="00F92BCB">
      <w:pPr>
        <w:rPr>
          <w:rFonts w:asciiTheme="minorHAnsi" w:hAnsiTheme="minorHAnsi" w:cstheme="minorHAnsi"/>
          <w:color w:val="FF0000"/>
          <w:sz w:val="22"/>
        </w:rPr>
      </w:pPr>
    </w:p>
    <w:tbl>
      <w:tblPr>
        <w:tblW w:w="784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32"/>
        <w:gridCol w:w="1554"/>
        <w:gridCol w:w="1759"/>
        <w:gridCol w:w="1100"/>
      </w:tblGrid>
      <w:tr w:rsidR="00E61AD8" w:rsidRPr="00717A02" w14:paraId="05AF3928" w14:textId="07C478E3" w:rsidTr="00512D1D">
        <w:trPr>
          <w:trHeight w:val="20"/>
          <w:jc w:val="center"/>
        </w:trPr>
        <w:tc>
          <w:tcPr>
            <w:tcW w:w="351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B32B9" w14:textId="77777777" w:rsidR="00E61AD8" w:rsidRPr="00717A02" w:rsidRDefault="00E61AD8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 Incentive type</w:t>
            </w:r>
          </w:p>
        </w:tc>
        <w:tc>
          <w:tcPr>
            <w:tcW w:w="1575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59AE2" w14:textId="77777777" w:rsidR="00E61AD8" w:rsidRPr="00717A02" w:rsidRDefault="00E61AD8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Group offered incentive</w:t>
            </w:r>
          </w:p>
        </w:tc>
        <w:tc>
          <w:tcPr>
            <w:tcW w:w="1787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38202" w14:textId="77777777" w:rsidR="00E61AD8" w:rsidRPr="00717A02" w:rsidRDefault="00E61AD8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Group not offered incentive</w:t>
            </w:r>
          </w:p>
        </w:tc>
        <w:tc>
          <w:tcPr>
            <w:tcW w:w="973" w:type="dxa"/>
            <w:tcBorders>
              <w:top w:val="single" w:sz="8" w:space="0" w:color="A6A6A6"/>
              <w:left w:val="single" w:sz="4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175E5ABC" w14:textId="53C6CD50" w:rsidR="00E61AD8" w:rsidRPr="009F71F3" w:rsidRDefault="00151E61" w:rsidP="00CD40EE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  <w:sz w:val="22"/>
                <w:szCs w:val="22"/>
              </w:rPr>
              <w:t>Significance</w:t>
            </w:r>
          </w:p>
        </w:tc>
      </w:tr>
      <w:tr w:rsidR="00E61AD8" w:rsidRPr="00717A02" w14:paraId="3BC6235F" w14:textId="5890A5EE" w:rsidTr="00512D1D">
        <w:trPr>
          <w:trHeight w:val="20"/>
          <w:jc w:val="center"/>
        </w:trPr>
        <w:tc>
          <w:tcPr>
            <w:tcW w:w="351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2B14D" w14:textId="7CDB32DE" w:rsidR="00E61AD8" w:rsidRPr="00717A02" w:rsidRDefault="00E61AD8" w:rsidP="00D36635">
            <w:pPr>
              <w:autoSpaceDE/>
              <w:autoSpaceDN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Early bird</w:t>
            </w:r>
            <w:r w:rsidRPr="009F71F3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0239AB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interview </w:t>
            </w:r>
            <w:r w:rsidRPr="009F71F3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incentive structure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9862" w14:textId="7C25C56E" w:rsidR="00E61AD8" w:rsidRPr="00717A02" w:rsidRDefault="00E61AD8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49%</w:t>
            </w:r>
          </w:p>
        </w:tc>
        <w:tc>
          <w:tcPr>
            <w:tcW w:w="1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AD765" w14:textId="55061B78" w:rsidR="00E61AD8" w:rsidRPr="00717A02" w:rsidRDefault="00E61AD8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4</w:t>
            </w:r>
            <w:r w:rsidRPr="009F71F3">
              <w:rPr>
                <w:rFonts w:asciiTheme="minorHAnsi" w:hAnsiTheme="minorHAnsi" w:cstheme="minorHAnsi"/>
                <w:kern w:val="24"/>
                <w:sz w:val="22"/>
                <w:szCs w:val="22"/>
              </w:rPr>
              <w:t>5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>%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403A875C" w14:textId="77777777" w:rsidR="00E61AD8" w:rsidRPr="009F71F3" w:rsidRDefault="00E61AD8" w:rsidP="00D36635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7D4E47" w:rsidRPr="00717A02" w14:paraId="12832D73" w14:textId="77777777" w:rsidTr="00512D1D">
        <w:trPr>
          <w:trHeight w:val="20"/>
          <w:jc w:val="center"/>
        </w:trPr>
        <w:tc>
          <w:tcPr>
            <w:tcW w:w="3510" w:type="dxa"/>
            <w:tcBorders>
              <w:top w:val="single" w:sz="4" w:space="0" w:color="A6A6A6"/>
              <w:left w:val="single" w:sz="8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F9C03" w14:textId="00FD707A" w:rsidR="007D4E47" w:rsidRPr="00717A02" w:rsidRDefault="007D4E47" w:rsidP="007D4E47">
            <w:pPr>
              <w:autoSpaceDE/>
              <w:autoSpaceDN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Higher </w:t>
            </w:r>
            <w:r w:rsidR="008D534C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phone </w:t>
            </w:r>
            <w:r w:rsidRPr="009F71F3">
              <w:rPr>
                <w:rFonts w:asciiTheme="minorHAnsi" w:hAnsiTheme="minorHAnsi" w:cstheme="minorHAnsi"/>
                <w:kern w:val="24"/>
                <w:sz w:val="22"/>
                <w:szCs w:val="22"/>
              </w:rPr>
              <w:t>interview</w:t>
            </w:r>
            <w:r w:rsidRPr="00717A02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amount</w:t>
            </w:r>
          </w:p>
        </w:tc>
        <w:tc>
          <w:tcPr>
            <w:tcW w:w="15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A0E334" w14:textId="5B1896E0" w:rsidR="007D4E47" w:rsidRPr="006006F0" w:rsidRDefault="007D4E47" w:rsidP="007D4E47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6006F0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52%</w:t>
            </w:r>
          </w:p>
        </w:tc>
        <w:tc>
          <w:tcPr>
            <w:tcW w:w="17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38F9A4" w14:textId="5960FB1F" w:rsidR="007D4E47" w:rsidRPr="006006F0" w:rsidRDefault="007D4E47" w:rsidP="007D4E47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6006F0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45%</w:t>
            </w:r>
          </w:p>
        </w:tc>
        <w:tc>
          <w:tcPr>
            <w:tcW w:w="97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8" w:space="0" w:color="A6A6A6"/>
            </w:tcBorders>
          </w:tcPr>
          <w:p w14:paraId="0ACDC174" w14:textId="788EB5BE" w:rsidR="007D4E47" w:rsidRPr="006006F0" w:rsidRDefault="007D4E47" w:rsidP="007D4E47">
            <w:pPr>
              <w:autoSpaceDE/>
              <w:autoSpaceDN/>
              <w:jc w:val="center"/>
              <w:textAlignment w:val="bottom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 w:rsidRPr="006006F0">
              <w:rPr>
                <w:rFonts w:asciiTheme="minorHAnsi" w:hAnsiTheme="minorHAnsi" w:cstheme="minorHAnsi"/>
                <w:bCs/>
                <w:kern w:val="24"/>
                <w:sz w:val="22"/>
                <w:szCs w:val="22"/>
              </w:rPr>
              <w:t>**</w:t>
            </w:r>
          </w:p>
        </w:tc>
      </w:tr>
    </w:tbl>
    <w:p w14:paraId="0C919897" w14:textId="367689F1" w:rsidR="00512D1D" w:rsidRPr="00FA58FE" w:rsidRDefault="009D3314" w:rsidP="00512D1D">
      <w:pPr>
        <w:ind w:left="72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</w:t>
      </w:r>
      <w:r w:rsidR="00512D1D" w:rsidRPr="00FA58FE">
        <w:rPr>
          <w:rFonts w:asciiTheme="minorHAnsi" w:hAnsiTheme="minorHAnsi" w:cstheme="minorHAnsi"/>
          <w:i/>
        </w:rPr>
        <w:t xml:space="preserve">Significance levels: *** p &lt; .01, ** p &lt; .05, * p &lt; .10 </w:t>
      </w:r>
    </w:p>
    <w:p w14:paraId="31F7E3C2" w14:textId="77777777" w:rsidR="00DD333C" w:rsidRDefault="00DD333C" w:rsidP="007D6AF8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6607EB71" w14:textId="77777777" w:rsidR="00DD333C" w:rsidRDefault="00DD333C" w:rsidP="007D6AF8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05C06CEF" w14:textId="6DE0D994" w:rsidR="00EF64CB" w:rsidRPr="00650CB3" w:rsidRDefault="00587F36" w:rsidP="007D6AF8">
      <w:pPr>
        <w:autoSpaceDE/>
        <w:autoSpaceDN/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650CB3">
        <w:rPr>
          <w:rFonts w:asciiTheme="minorHAnsi" w:hAnsiTheme="minorHAnsi" w:cstheme="minorHAnsi"/>
          <w:b/>
          <w:sz w:val="22"/>
        </w:rPr>
        <w:t>Conclusion</w:t>
      </w:r>
    </w:p>
    <w:p w14:paraId="5CD61C15" w14:textId="0B83B9E5" w:rsidR="00587F36" w:rsidRDefault="00587F36" w:rsidP="00884CC6">
      <w:pPr>
        <w:autoSpaceDE/>
        <w:autoSpaceDN/>
        <w:spacing w:after="20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This memo provides information on the results </w:t>
      </w:r>
      <w:r w:rsidR="00985BBD">
        <w:rPr>
          <w:rFonts w:asciiTheme="minorHAnsi" w:hAnsiTheme="minorHAnsi" w:cstheme="minorHAnsi"/>
          <w:sz w:val="22"/>
        </w:rPr>
        <w:t xml:space="preserve">of </w:t>
      </w:r>
      <w:r w:rsidR="00F46605">
        <w:rPr>
          <w:rFonts w:asciiTheme="minorHAnsi" w:hAnsiTheme="minorHAnsi" w:cstheme="minorHAnsi"/>
          <w:sz w:val="22"/>
        </w:rPr>
        <w:t>an incentive experiment conducted at the MIHOPE follow-up that occurred around the time children were 15 months old.</w:t>
      </w:r>
      <w:r w:rsidR="00AB4DD3">
        <w:rPr>
          <w:rFonts w:asciiTheme="minorHAnsi" w:hAnsiTheme="minorHAnsi" w:cstheme="minorHAnsi"/>
          <w:sz w:val="22"/>
        </w:rPr>
        <w:t xml:space="preserve"> The experiment used a factorial design to test three incentive conditions for the phone interview </w:t>
      </w:r>
      <w:r w:rsidR="00C9415C">
        <w:rPr>
          <w:rFonts w:asciiTheme="minorHAnsi" w:hAnsiTheme="minorHAnsi" w:cstheme="minorHAnsi"/>
          <w:sz w:val="22"/>
        </w:rPr>
        <w:t>and two incentive conditions for the in-home visit.</w:t>
      </w:r>
      <w:r w:rsidR="009439AD">
        <w:rPr>
          <w:rFonts w:asciiTheme="minorHAnsi" w:hAnsiTheme="minorHAnsi" w:cstheme="minorHAnsi"/>
          <w:sz w:val="22"/>
        </w:rPr>
        <w:t xml:space="preserve"> </w:t>
      </w:r>
      <w:r w:rsidR="00E53734">
        <w:rPr>
          <w:rFonts w:asciiTheme="minorHAnsi" w:hAnsiTheme="minorHAnsi" w:cstheme="minorHAnsi"/>
          <w:sz w:val="22"/>
        </w:rPr>
        <w:br/>
      </w:r>
      <w:r w:rsidR="00E53734">
        <w:rPr>
          <w:rFonts w:asciiTheme="minorHAnsi" w:hAnsiTheme="minorHAnsi" w:cstheme="minorHAnsi"/>
          <w:sz w:val="22"/>
        </w:rPr>
        <w:br/>
      </w:r>
      <w:r w:rsidR="00F820A5">
        <w:rPr>
          <w:rFonts w:asciiTheme="minorHAnsi" w:hAnsiTheme="minorHAnsi" w:cstheme="minorHAnsi"/>
          <w:sz w:val="22"/>
        </w:rPr>
        <w:t xml:space="preserve">At the conclusion of the </w:t>
      </w:r>
      <w:r w:rsidR="006750BE">
        <w:rPr>
          <w:rFonts w:asciiTheme="minorHAnsi" w:hAnsiTheme="minorHAnsi" w:cstheme="minorHAnsi"/>
          <w:sz w:val="22"/>
        </w:rPr>
        <w:t>experiment</w:t>
      </w:r>
      <w:r w:rsidR="00F820A5">
        <w:rPr>
          <w:rFonts w:asciiTheme="minorHAnsi" w:hAnsiTheme="minorHAnsi" w:cstheme="minorHAnsi"/>
          <w:sz w:val="22"/>
        </w:rPr>
        <w:t xml:space="preserve">, we found that </w:t>
      </w:r>
      <w:r w:rsidR="004751AD">
        <w:rPr>
          <w:rFonts w:asciiTheme="minorHAnsi" w:hAnsiTheme="minorHAnsi" w:cstheme="minorHAnsi"/>
          <w:sz w:val="22"/>
        </w:rPr>
        <w:t>participation in the</w:t>
      </w:r>
      <w:r w:rsidR="00F820A5">
        <w:rPr>
          <w:rFonts w:asciiTheme="minorHAnsi" w:hAnsiTheme="minorHAnsi" w:cstheme="minorHAnsi"/>
          <w:sz w:val="22"/>
        </w:rPr>
        <w:t xml:space="preserve"> phone interview was responsive to variation in incentives.  </w:t>
      </w:r>
      <w:r w:rsidR="008E51C8">
        <w:rPr>
          <w:rFonts w:asciiTheme="minorHAnsi" w:hAnsiTheme="minorHAnsi" w:cstheme="minorHAnsi"/>
          <w:sz w:val="22"/>
        </w:rPr>
        <w:t>The interview response rate</w:t>
      </w:r>
      <w:r w:rsidR="00F820A5">
        <w:rPr>
          <w:rFonts w:asciiTheme="minorHAnsi" w:hAnsiTheme="minorHAnsi" w:cstheme="minorHAnsi"/>
          <w:sz w:val="22"/>
        </w:rPr>
        <w:t xml:space="preserve"> was increased by both </w:t>
      </w:r>
      <w:r w:rsidR="008E51C8">
        <w:rPr>
          <w:rFonts w:asciiTheme="minorHAnsi" w:hAnsiTheme="minorHAnsi" w:cstheme="minorHAnsi"/>
          <w:sz w:val="22"/>
        </w:rPr>
        <w:t>a</w:t>
      </w:r>
      <w:r w:rsidR="00236879">
        <w:rPr>
          <w:rFonts w:asciiTheme="minorHAnsi" w:hAnsiTheme="minorHAnsi" w:cstheme="minorHAnsi"/>
          <w:sz w:val="22"/>
        </w:rPr>
        <w:t xml:space="preserve"> higher phone </w:t>
      </w:r>
      <w:r w:rsidR="00E735AD">
        <w:rPr>
          <w:rFonts w:asciiTheme="minorHAnsi" w:hAnsiTheme="minorHAnsi" w:cstheme="minorHAnsi"/>
          <w:sz w:val="22"/>
        </w:rPr>
        <w:t xml:space="preserve">interview incentive </w:t>
      </w:r>
      <w:r w:rsidR="00E735AD" w:rsidRPr="006750BE">
        <w:rPr>
          <w:rFonts w:asciiTheme="minorHAnsi" w:hAnsiTheme="minorHAnsi" w:cstheme="minorHAnsi"/>
          <w:i/>
          <w:sz w:val="22"/>
        </w:rPr>
        <w:t>and</w:t>
      </w:r>
      <w:r w:rsidR="00E735AD">
        <w:rPr>
          <w:rFonts w:asciiTheme="minorHAnsi" w:hAnsiTheme="minorHAnsi" w:cstheme="minorHAnsi"/>
          <w:sz w:val="22"/>
        </w:rPr>
        <w:t xml:space="preserve"> </w:t>
      </w:r>
      <w:r w:rsidR="008E51C8">
        <w:rPr>
          <w:rFonts w:asciiTheme="minorHAnsi" w:hAnsiTheme="minorHAnsi" w:cstheme="minorHAnsi"/>
          <w:sz w:val="22"/>
        </w:rPr>
        <w:t xml:space="preserve">a </w:t>
      </w:r>
      <w:r w:rsidR="00E735AD">
        <w:rPr>
          <w:rFonts w:asciiTheme="minorHAnsi" w:hAnsiTheme="minorHAnsi" w:cstheme="minorHAnsi"/>
          <w:sz w:val="22"/>
        </w:rPr>
        <w:t>higher in-home visit incentive</w:t>
      </w:r>
      <w:r w:rsidR="006817A5">
        <w:rPr>
          <w:rFonts w:asciiTheme="minorHAnsi" w:hAnsiTheme="minorHAnsi" w:cstheme="minorHAnsi"/>
          <w:sz w:val="22"/>
        </w:rPr>
        <w:t>.</w:t>
      </w:r>
      <w:r w:rsidR="00CC4C5C">
        <w:rPr>
          <w:rFonts w:asciiTheme="minorHAnsi" w:hAnsiTheme="minorHAnsi" w:cstheme="minorHAnsi"/>
          <w:sz w:val="22"/>
        </w:rPr>
        <w:t xml:space="preserve"> </w:t>
      </w:r>
      <w:r w:rsidR="00F820A5">
        <w:rPr>
          <w:rFonts w:asciiTheme="minorHAnsi" w:hAnsiTheme="minorHAnsi" w:cstheme="minorHAnsi"/>
          <w:sz w:val="22"/>
        </w:rPr>
        <w:t xml:space="preserve">Contrary to expectation, the </w:t>
      </w:r>
      <w:r w:rsidR="00577C57">
        <w:rPr>
          <w:rFonts w:asciiTheme="minorHAnsi" w:hAnsiTheme="minorHAnsi" w:cstheme="minorHAnsi"/>
          <w:sz w:val="22"/>
        </w:rPr>
        <w:t xml:space="preserve">early bird incentive structure </w:t>
      </w:r>
      <w:r w:rsidR="00E53734">
        <w:rPr>
          <w:rFonts w:asciiTheme="minorHAnsi" w:hAnsiTheme="minorHAnsi" w:cstheme="minorHAnsi"/>
          <w:sz w:val="22"/>
        </w:rPr>
        <w:t xml:space="preserve">did not effectively </w:t>
      </w:r>
      <w:r w:rsidR="00577C57">
        <w:rPr>
          <w:rFonts w:asciiTheme="minorHAnsi" w:hAnsiTheme="minorHAnsi" w:cstheme="minorHAnsi"/>
          <w:sz w:val="22"/>
        </w:rPr>
        <w:t>increas</w:t>
      </w:r>
      <w:r w:rsidR="00E53734">
        <w:rPr>
          <w:rFonts w:asciiTheme="minorHAnsi" w:hAnsiTheme="minorHAnsi" w:cstheme="minorHAnsi"/>
          <w:sz w:val="22"/>
        </w:rPr>
        <w:t>e</w:t>
      </w:r>
      <w:r w:rsidR="00577C57">
        <w:rPr>
          <w:rFonts w:asciiTheme="minorHAnsi" w:hAnsiTheme="minorHAnsi" w:cstheme="minorHAnsi"/>
          <w:sz w:val="22"/>
        </w:rPr>
        <w:t xml:space="preserve"> </w:t>
      </w:r>
      <w:r w:rsidR="00F01CF7">
        <w:rPr>
          <w:rFonts w:asciiTheme="minorHAnsi" w:hAnsiTheme="minorHAnsi" w:cstheme="minorHAnsi"/>
          <w:sz w:val="22"/>
        </w:rPr>
        <w:t xml:space="preserve">phone interview </w:t>
      </w:r>
      <w:r w:rsidR="000906A4">
        <w:rPr>
          <w:rFonts w:asciiTheme="minorHAnsi" w:hAnsiTheme="minorHAnsi" w:cstheme="minorHAnsi"/>
          <w:sz w:val="22"/>
        </w:rPr>
        <w:t xml:space="preserve">responses during </w:t>
      </w:r>
      <w:r w:rsidR="00F820A5">
        <w:rPr>
          <w:rFonts w:asciiTheme="minorHAnsi" w:hAnsiTheme="minorHAnsi" w:cstheme="minorHAnsi"/>
          <w:sz w:val="22"/>
        </w:rPr>
        <w:t>initial</w:t>
      </w:r>
      <w:r w:rsidR="000906A4">
        <w:rPr>
          <w:rFonts w:asciiTheme="minorHAnsi" w:hAnsiTheme="minorHAnsi" w:cstheme="minorHAnsi"/>
          <w:sz w:val="22"/>
        </w:rPr>
        <w:t xml:space="preserve"> weeks of data collection. </w:t>
      </w:r>
      <w:r w:rsidR="00F820A5">
        <w:rPr>
          <w:rFonts w:asciiTheme="minorHAnsi" w:hAnsiTheme="minorHAnsi" w:cstheme="minorHAnsi"/>
          <w:sz w:val="22"/>
        </w:rPr>
        <w:t xml:space="preserve">The </w:t>
      </w:r>
      <w:r w:rsidR="00723149">
        <w:rPr>
          <w:rFonts w:asciiTheme="minorHAnsi" w:hAnsiTheme="minorHAnsi" w:cstheme="minorHAnsi"/>
          <w:sz w:val="22"/>
        </w:rPr>
        <w:t>i</w:t>
      </w:r>
      <w:r w:rsidR="00096509">
        <w:rPr>
          <w:rFonts w:asciiTheme="minorHAnsi" w:hAnsiTheme="minorHAnsi" w:cstheme="minorHAnsi"/>
          <w:sz w:val="22"/>
        </w:rPr>
        <w:t>n-home study response rate w</w:t>
      </w:r>
      <w:r w:rsidR="00F820A5">
        <w:rPr>
          <w:rFonts w:asciiTheme="minorHAnsi" w:hAnsiTheme="minorHAnsi" w:cstheme="minorHAnsi"/>
          <w:sz w:val="22"/>
        </w:rPr>
        <w:t>as</w:t>
      </w:r>
      <w:r w:rsidR="00096509">
        <w:rPr>
          <w:rFonts w:asciiTheme="minorHAnsi" w:hAnsiTheme="minorHAnsi" w:cstheme="minorHAnsi"/>
          <w:sz w:val="22"/>
        </w:rPr>
        <w:t xml:space="preserve"> not me</w:t>
      </w:r>
      <w:r w:rsidR="00F820A5">
        <w:rPr>
          <w:rFonts w:asciiTheme="minorHAnsi" w:hAnsiTheme="minorHAnsi" w:cstheme="minorHAnsi"/>
          <w:sz w:val="22"/>
        </w:rPr>
        <w:t>aningfully affected by</w:t>
      </w:r>
      <w:r w:rsidR="00096509">
        <w:rPr>
          <w:rFonts w:asciiTheme="minorHAnsi" w:hAnsiTheme="minorHAnsi" w:cstheme="minorHAnsi"/>
          <w:sz w:val="22"/>
        </w:rPr>
        <w:t xml:space="preserve"> </w:t>
      </w:r>
      <w:r w:rsidR="001656F1">
        <w:rPr>
          <w:rFonts w:asciiTheme="minorHAnsi" w:hAnsiTheme="minorHAnsi" w:cstheme="minorHAnsi"/>
          <w:sz w:val="22"/>
          <w:szCs w:val="22"/>
        </w:rPr>
        <w:t xml:space="preserve">either </w:t>
      </w:r>
      <w:r w:rsidR="001656F1" w:rsidRPr="00BC64F2">
        <w:rPr>
          <w:rFonts w:asciiTheme="minorHAnsi" w:hAnsiTheme="minorHAnsi" w:cstheme="minorHAnsi"/>
          <w:sz w:val="22"/>
          <w:szCs w:val="22"/>
        </w:rPr>
        <w:t xml:space="preserve">the in-home incentive amount </w:t>
      </w:r>
      <w:r w:rsidR="001656F1">
        <w:rPr>
          <w:rFonts w:asciiTheme="minorHAnsi" w:hAnsiTheme="minorHAnsi" w:cstheme="minorHAnsi"/>
          <w:sz w:val="22"/>
          <w:szCs w:val="22"/>
        </w:rPr>
        <w:t xml:space="preserve">nor the phone interview incentive amount. </w:t>
      </w:r>
      <w:r w:rsidR="00E53734">
        <w:rPr>
          <w:rFonts w:asciiTheme="minorHAnsi" w:hAnsiTheme="minorHAnsi" w:cstheme="minorHAnsi"/>
          <w:sz w:val="22"/>
          <w:szCs w:val="22"/>
        </w:rPr>
        <w:br/>
      </w:r>
      <w:r w:rsidR="00F820A5">
        <w:rPr>
          <w:rFonts w:asciiTheme="minorHAnsi" w:hAnsiTheme="minorHAnsi" w:cstheme="minorHAnsi"/>
          <w:sz w:val="22"/>
          <w:szCs w:val="22"/>
        </w:rPr>
        <w:br/>
      </w:r>
      <w:r w:rsidR="004751AD">
        <w:rPr>
          <w:rFonts w:asciiTheme="minorHAnsi" w:hAnsiTheme="minorHAnsi" w:cstheme="minorHAnsi"/>
          <w:sz w:val="22"/>
          <w:szCs w:val="22"/>
        </w:rPr>
        <w:t xml:space="preserve">As a randomized controlled trial of an intervention model, </w:t>
      </w:r>
      <w:r w:rsidR="00E53734">
        <w:rPr>
          <w:rFonts w:asciiTheme="minorHAnsi" w:hAnsiTheme="minorHAnsi" w:cstheme="minorHAnsi"/>
          <w:sz w:val="22"/>
          <w:szCs w:val="22"/>
        </w:rPr>
        <w:t>MIHOPE</w:t>
      </w:r>
      <w:r w:rsidR="004751AD">
        <w:rPr>
          <w:rFonts w:asciiTheme="minorHAnsi" w:hAnsiTheme="minorHAnsi" w:cstheme="minorHAnsi"/>
          <w:sz w:val="22"/>
          <w:szCs w:val="22"/>
        </w:rPr>
        <w:t xml:space="preserve"> was designed to detect meaningful effects of program participation on family and child outcomes over time. The</w:t>
      </w:r>
      <w:r w:rsidR="008E51C8">
        <w:rPr>
          <w:rFonts w:asciiTheme="minorHAnsi" w:hAnsiTheme="minorHAnsi" w:cstheme="minorHAnsi"/>
          <w:sz w:val="22"/>
          <w:szCs w:val="22"/>
        </w:rPr>
        <w:t xml:space="preserve"> goal of the</w:t>
      </w:r>
      <w:r w:rsidR="004751AD">
        <w:rPr>
          <w:rFonts w:asciiTheme="minorHAnsi" w:hAnsiTheme="minorHAnsi" w:cstheme="minorHAnsi"/>
          <w:sz w:val="22"/>
          <w:szCs w:val="22"/>
        </w:rPr>
        <w:t xml:space="preserve"> MIHOPE</w:t>
      </w:r>
      <w:r w:rsidR="00E53734">
        <w:rPr>
          <w:rFonts w:asciiTheme="minorHAnsi" w:hAnsiTheme="minorHAnsi" w:cstheme="minorHAnsi"/>
          <w:sz w:val="22"/>
          <w:szCs w:val="22"/>
        </w:rPr>
        <w:t xml:space="preserve"> incentive experiment was</w:t>
      </w:r>
      <w:r w:rsidR="00DD333C">
        <w:rPr>
          <w:rFonts w:asciiTheme="minorHAnsi" w:hAnsiTheme="minorHAnsi" w:cstheme="minorHAnsi"/>
          <w:sz w:val="22"/>
          <w:szCs w:val="22"/>
        </w:rPr>
        <w:t xml:space="preserve"> </w:t>
      </w:r>
      <w:r w:rsidR="00E53734">
        <w:rPr>
          <w:rFonts w:asciiTheme="minorHAnsi" w:hAnsiTheme="minorHAnsi" w:cstheme="minorHAnsi"/>
          <w:sz w:val="22"/>
          <w:szCs w:val="22"/>
        </w:rPr>
        <w:t xml:space="preserve">to increase the study’s overall response rate, </w:t>
      </w:r>
      <w:r w:rsidR="00DD333C">
        <w:rPr>
          <w:rFonts w:asciiTheme="minorHAnsi" w:hAnsiTheme="minorHAnsi" w:cstheme="minorHAnsi"/>
          <w:sz w:val="22"/>
          <w:szCs w:val="22"/>
        </w:rPr>
        <w:t>preserving</w:t>
      </w:r>
      <w:r w:rsidR="00E53734">
        <w:rPr>
          <w:rFonts w:asciiTheme="minorHAnsi" w:hAnsiTheme="minorHAnsi" w:cstheme="minorHAnsi"/>
          <w:sz w:val="22"/>
          <w:szCs w:val="22"/>
        </w:rPr>
        <w:t xml:space="preserve"> the statistical power</w:t>
      </w:r>
      <w:r w:rsidR="004751AD">
        <w:rPr>
          <w:rFonts w:asciiTheme="minorHAnsi" w:hAnsiTheme="minorHAnsi" w:cstheme="minorHAnsi"/>
          <w:sz w:val="22"/>
          <w:szCs w:val="22"/>
        </w:rPr>
        <w:t xml:space="preserve"> </w:t>
      </w:r>
      <w:r w:rsidR="008E51C8">
        <w:rPr>
          <w:rFonts w:asciiTheme="minorHAnsi" w:hAnsiTheme="minorHAnsi" w:cstheme="minorHAnsi"/>
          <w:sz w:val="22"/>
          <w:szCs w:val="22"/>
        </w:rPr>
        <w:t xml:space="preserve">of the 15-month </w:t>
      </w:r>
      <w:r w:rsidR="004751AD">
        <w:rPr>
          <w:rFonts w:asciiTheme="minorHAnsi" w:hAnsiTheme="minorHAnsi" w:cstheme="minorHAnsi"/>
          <w:sz w:val="22"/>
          <w:szCs w:val="22"/>
        </w:rPr>
        <w:t>data collection</w:t>
      </w:r>
      <w:r w:rsidR="00E53734">
        <w:rPr>
          <w:rFonts w:asciiTheme="minorHAnsi" w:hAnsiTheme="minorHAnsi" w:cstheme="minorHAnsi"/>
          <w:sz w:val="22"/>
          <w:szCs w:val="22"/>
        </w:rPr>
        <w:t>. However, as part of OPRE’s efforts to ex</w:t>
      </w:r>
      <w:r w:rsidR="008E51C8">
        <w:rPr>
          <w:rFonts w:asciiTheme="minorHAnsi" w:hAnsiTheme="minorHAnsi" w:cstheme="minorHAnsi"/>
          <w:sz w:val="22"/>
          <w:szCs w:val="22"/>
        </w:rPr>
        <w:t>amine whether incentives affect the representativeness of</w:t>
      </w:r>
      <w:r w:rsidR="00E53734">
        <w:rPr>
          <w:rFonts w:asciiTheme="minorHAnsi" w:hAnsiTheme="minorHAnsi" w:cstheme="minorHAnsi"/>
          <w:sz w:val="22"/>
          <w:szCs w:val="22"/>
        </w:rPr>
        <w:t xml:space="preserve"> survey responses, we also examined </w:t>
      </w:r>
      <w:r w:rsidR="004751AD">
        <w:rPr>
          <w:rFonts w:asciiTheme="minorHAnsi" w:hAnsiTheme="minorHAnsi" w:cstheme="minorHAnsi"/>
          <w:sz w:val="22"/>
          <w:szCs w:val="22"/>
        </w:rPr>
        <w:t xml:space="preserve">the effects of the experiment on </w:t>
      </w:r>
      <w:r w:rsidR="00E53734">
        <w:rPr>
          <w:rFonts w:asciiTheme="minorHAnsi" w:hAnsiTheme="minorHAnsi" w:cstheme="minorHAnsi"/>
          <w:sz w:val="22"/>
          <w:szCs w:val="22"/>
        </w:rPr>
        <w:t xml:space="preserve">response rates by </w:t>
      </w:r>
      <w:r w:rsidR="00096509">
        <w:rPr>
          <w:rFonts w:asciiTheme="minorHAnsi" w:hAnsiTheme="minorHAnsi" w:cstheme="minorHAnsi"/>
          <w:sz w:val="22"/>
          <w:szCs w:val="22"/>
        </w:rPr>
        <w:t xml:space="preserve">key </w:t>
      </w:r>
      <w:r w:rsidR="00E53734">
        <w:rPr>
          <w:rFonts w:asciiTheme="minorHAnsi" w:hAnsiTheme="minorHAnsi" w:cstheme="minorHAnsi"/>
          <w:sz w:val="22"/>
          <w:szCs w:val="22"/>
        </w:rPr>
        <w:t>demographic</w:t>
      </w:r>
      <w:r w:rsidR="00096509">
        <w:rPr>
          <w:rFonts w:asciiTheme="minorHAnsi" w:hAnsiTheme="minorHAnsi" w:cstheme="minorHAnsi"/>
          <w:sz w:val="22"/>
          <w:szCs w:val="22"/>
        </w:rPr>
        <w:t xml:space="preserve"> subgroups</w:t>
      </w:r>
      <w:r w:rsidR="00E53734">
        <w:rPr>
          <w:rFonts w:asciiTheme="minorHAnsi" w:hAnsiTheme="minorHAnsi" w:cstheme="minorHAnsi"/>
          <w:sz w:val="22"/>
          <w:szCs w:val="22"/>
        </w:rPr>
        <w:t xml:space="preserve">. </w:t>
      </w:r>
      <w:r w:rsidR="00E53734">
        <w:rPr>
          <w:rFonts w:asciiTheme="minorHAnsi" w:hAnsiTheme="minorHAnsi" w:cstheme="minorHAnsi"/>
          <w:sz w:val="22"/>
        </w:rPr>
        <w:t xml:space="preserve">The </w:t>
      </w:r>
      <w:r w:rsidR="00C24B3E">
        <w:rPr>
          <w:rFonts w:asciiTheme="minorHAnsi" w:hAnsiTheme="minorHAnsi" w:cstheme="minorHAnsi"/>
          <w:sz w:val="22"/>
        </w:rPr>
        <w:t xml:space="preserve">incentive conditions tested </w:t>
      </w:r>
      <w:r w:rsidR="00E53734">
        <w:rPr>
          <w:rFonts w:asciiTheme="minorHAnsi" w:hAnsiTheme="minorHAnsi" w:cstheme="minorHAnsi"/>
          <w:sz w:val="22"/>
        </w:rPr>
        <w:t xml:space="preserve">did not appear to </w:t>
      </w:r>
      <w:r w:rsidR="00D47ED7">
        <w:rPr>
          <w:rFonts w:asciiTheme="minorHAnsi" w:hAnsiTheme="minorHAnsi" w:cstheme="minorHAnsi"/>
          <w:sz w:val="22"/>
        </w:rPr>
        <w:t xml:space="preserve">increase </w:t>
      </w:r>
      <w:r w:rsidR="001812D0">
        <w:rPr>
          <w:rFonts w:asciiTheme="minorHAnsi" w:hAnsiTheme="minorHAnsi" w:cstheme="minorHAnsi"/>
          <w:sz w:val="22"/>
        </w:rPr>
        <w:t xml:space="preserve">phone interview </w:t>
      </w:r>
      <w:r w:rsidR="00D47ED7">
        <w:rPr>
          <w:rFonts w:asciiTheme="minorHAnsi" w:hAnsiTheme="minorHAnsi" w:cstheme="minorHAnsi"/>
          <w:sz w:val="22"/>
        </w:rPr>
        <w:t>responses from groups who were less likely to respond to data collection efforts</w:t>
      </w:r>
      <w:r w:rsidR="00E53734">
        <w:rPr>
          <w:rFonts w:asciiTheme="minorHAnsi" w:hAnsiTheme="minorHAnsi" w:cstheme="minorHAnsi"/>
          <w:sz w:val="22"/>
        </w:rPr>
        <w:t xml:space="preserve">. Incentives </w:t>
      </w:r>
      <w:r w:rsidR="00DD333C">
        <w:rPr>
          <w:rFonts w:asciiTheme="minorHAnsi" w:hAnsiTheme="minorHAnsi" w:cstheme="minorHAnsi"/>
          <w:sz w:val="22"/>
        </w:rPr>
        <w:t>did not produce statistically significant differences in</w:t>
      </w:r>
      <w:r w:rsidR="00E53734">
        <w:rPr>
          <w:rFonts w:asciiTheme="minorHAnsi" w:hAnsiTheme="minorHAnsi" w:cstheme="minorHAnsi"/>
          <w:sz w:val="22"/>
        </w:rPr>
        <w:t xml:space="preserve"> response rates by treatment/control</w:t>
      </w:r>
      <w:r w:rsidR="00DD333C">
        <w:rPr>
          <w:rFonts w:asciiTheme="minorHAnsi" w:hAnsiTheme="minorHAnsi" w:cstheme="minorHAnsi"/>
          <w:sz w:val="22"/>
        </w:rPr>
        <w:t xml:space="preserve"> grouping</w:t>
      </w:r>
      <w:r w:rsidR="00151E61">
        <w:rPr>
          <w:rFonts w:asciiTheme="minorHAnsi" w:hAnsiTheme="minorHAnsi" w:cstheme="minorHAnsi"/>
          <w:sz w:val="22"/>
        </w:rPr>
        <w:t xml:space="preserve">, or for subgroups of families defined </w:t>
      </w:r>
      <w:r w:rsidR="00096509">
        <w:rPr>
          <w:rFonts w:asciiTheme="minorHAnsi" w:hAnsiTheme="minorHAnsi" w:cstheme="minorHAnsi"/>
          <w:sz w:val="22"/>
        </w:rPr>
        <w:t xml:space="preserve">by their </w:t>
      </w:r>
      <w:r w:rsidR="00151E61">
        <w:rPr>
          <w:rFonts w:asciiTheme="minorHAnsi" w:hAnsiTheme="minorHAnsi" w:cstheme="minorHAnsi"/>
          <w:sz w:val="22"/>
        </w:rPr>
        <w:t>baseline characteristics.</w:t>
      </w:r>
    </w:p>
    <w:p w14:paraId="7FDF0F8D" w14:textId="77777777" w:rsidR="00811099" w:rsidRPr="004C1147" w:rsidRDefault="00811099" w:rsidP="007D6AF8">
      <w:pPr>
        <w:autoSpaceDE/>
        <w:autoSpaceDN/>
        <w:spacing w:after="200" w:line="276" w:lineRule="auto"/>
        <w:rPr>
          <w:rFonts w:asciiTheme="minorHAnsi" w:hAnsiTheme="minorHAnsi" w:cstheme="minorHAnsi"/>
          <w:sz w:val="22"/>
        </w:rPr>
      </w:pPr>
    </w:p>
    <w:sectPr w:rsidR="00811099" w:rsidRPr="004C1147" w:rsidSect="00CD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4350D2" w16cid:durableId="1FD72145"/>
  <w16cid:commentId w16cid:paraId="28C1ABE8" w16cid:durableId="1FD73AC7"/>
  <w16cid:commentId w16cid:paraId="5A73F162" w16cid:durableId="1FD72146"/>
  <w16cid:commentId w16cid:paraId="6DF4BC8B" w16cid:durableId="1FD72147"/>
  <w16cid:commentId w16cid:paraId="55D764AB" w16cid:durableId="1FD72148"/>
  <w16cid:commentId w16cid:paraId="36834921" w16cid:durableId="1FD724F8"/>
  <w16cid:commentId w16cid:paraId="3B391BAA" w16cid:durableId="1FD72149"/>
  <w16cid:commentId w16cid:paraId="4AF8F6DF" w16cid:durableId="1FD7214A"/>
  <w16cid:commentId w16cid:paraId="22BB575E" w16cid:durableId="1FD724E7"/>
  <w16cid:commentId w16cid:paraId="77645006" w16cid:durableId="1FD7214B"/>
  <w16cid:commentId w16cid:paraId="24D1D63E" w16cid:durableId="1FD7214C"/>
  <w16cid:commentId w16cid:paraId="24A0D0CA" w16cid:durableId="1FD723C6"/>
  <w16cid:commentId w16cid:paraId="5F854FF6" w16cid:durableId="1FD758F2"/>
  <w16cid:commentId w16cid:paraId="26DCBB69" w16cid:durableId="1FD758DC"/>
  <w16cid:commentId w16cid:paraId="78CB4FCE" w16cid:durableId="1FD8550D"/>
  <w16cid:commentId w16cid:paraId="2EEA6938" w16cid:durableId="1FD7214D"/>
  <w16cid:commentId w16cid:paraId="6559A7B3" w16cid:durableId="1FD7214E"/>
  <w16cid:commentId w16cid:paraId="4FEB494C" w16cid:durableId="1FD7214F"/>
  <w16cid:commentId w16cid:paraId="768A2BC6" w16cid:durableId="1FD72150"/>
  <w16cid:commentId w16cid:paraId="6E2436E6" w16cid:durableId="1FD7239A"/>
  <w16cid:commentId w16cid:paraId="4E8E817C" w16cid:durableId="1FD72151"/>
  <w16cid:commentId w16cid:paraId="04801B84" w16cid:durableId="1FD72152"/>
  <w16cid:commentId w16cid:paraId="48BD29A9" w16cid:durableId="1FD857F2"/>
  <w16cid:commentId w16cid:paraId="74E1050D" w16cid:durableId="1FD721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4B811" w14:textId="77777777" w:rsidR="0034314D" w:rsidRDefault="0034314D">
      <w:r>
        <w:separator/>
      </w:r>
    </w:p>
  </w:endnote>
  <w:endnote w:type="continuationSeparator" w:id="0">
    <w:p w14:paraId="644D368E" w14:textId="77777777" w:rsidR="0034314D" w:rsidRDefault="0034314D">
      <w:r>
        <w:continuationSeparator/>
      </w:r>
    </w:p>
  </w:endnote>
  <w:endnote w:type="continuationNotice" w:id="1">
    <w:p w14:paraId="15C6692A" w14:textId="77777777" w:rsidR="0034314D" w:rsidRDefault="00343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850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65E25" w14:textId="1B032254" w:rsidR="00D36635" w:rsidRDefault="00D366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1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FF3786" w14:textId="77777777" w:rsidR="00D36635" w:rsidRDefault="00D36635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CB804D" w14:textId="77777777" w:rsidR="0034314D" w:rsidRDefault="0034314D">
      <w:r>
        <w:separator/>
      </w:r>
    </w:p>
  </w:footnote>
  <w:footnote w:type="continuationSeparator" w:id="0">
    <w:p w14:paraId="416CD482" w14:textId="77777777" w:rsidR="0034314D" w:rsidRDefault="0034314D">
      <w:r>
        <w:continuationSeparator/>
      </w:r>
    </w:p>
  </w:footnote>
  <w:footnote w:type="continuationNotice" w:id="1">
    <w:p w14:paraId="278D79E4" w14:textId="77777777" w:rsidR="0034314D" w:rsidRDefault="0034314D"/>
  </w:footnote>
  <w:footnote w:id="2">
    <w:p w14:paraId="4D7358D8" w14:textId="5B11EA88" w:rsidR="00D36635" w:rsidRPr="008B7909" w:rsidRDefault="00D36635">
      <w:pPr>
        <w:pStyle w:val="FootnoteText"/>
        <w:rPr>
          <w:rFonts w:asciiTheme="minorHAnsi" w:hAnsiTheme="minorHAnsi" w:cstheme="minorHAnsi"/>
        </w:rPr>
      </w:pPr>
      <w:r w:rsidRPr="008B7909">
        <w:rPr>
          <w:rStyle w:val="FootnoteReference"/>
          <w:rFonts w:asciiTheme="minorHAnsi" w:hAnsiTheme="minorHAnsi" w:cstheme="minorHAnsi"/>
        </w:rPr>
        <w:footnoteRef/>
      </w:r>
      <w:r w:rsidRPr="008B79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factorial design allows researchers to examine how two or more factors (independent variables), each with discrete levels, affect a dependent variable, both independently and together.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FFEFC" w14:textId="77777777" w:rsidR="00D36635" w:rsidRDefault="00D36635">
    <w:pPr>
      <w:framePr w:wrap="auto" w:hAnchor="margin" w:xAlign="right" w:y="1"/>
      <w:adjustRightInd w:val="0"/>
      <w:jc w:val="right"/>
      <w:rPr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F51"/>
    <w:multiLevelType w:val="multilevel"/>
    <w:tmpl w:val="9FAE407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1">
    <w:nsid w:val="10FE12C6"/>
    <w:multiLevelType w:val="hybridMultilevel"/>
    <w:tmpl w:val="A8D45258"/>
    <w:lvl w:ilvl="0" w:tplc="07D6E85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8743C"/>
    <w:multiLevelType w:val="hybridMultilevel"/>
    <w:tmpl w:val="559A83EA"/>
    <w:lvl w:ilvl="0" w:tplc="8FA2B750">
      <w:start w:val="1"/>
      <w:numFmt w:val="upperLetter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3F808B9"/>
    <w:multiLevelType w:val="hybridMultilevel"/>
    <w:tmpl w:val="6662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C6EE9"/>
    <w:multiLevelType w:val="hybridMultilevel"/>
    <w:tmpl w:val="7E5E84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C07EA"/>
    <w:multiLevelType w:val="hybridMultilevel"/>
    <w:tmpl w:val="A62C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F4EAA"/>
    <w:multiLevelType w:val="hybridMultilevel"/>
    <w:tmpl w:val="AB3E0E56"/>
    <w:lvl w:ilvl="0" w:tplc="1C1247FA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06A4D"/>
    <w:multiLevelType w:val="hybridMultilevel"/>
    <w:tmpl w:val="0ED07F92"/>
    <w:lvl w:ilvl="0" w:tplc="05C0EC34">
      <w:start w:val="1"/>
      <w:numFmt w:val="decimal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DEA2318"/>
    <w:multiLevelType w:val="hybridMultilevel"/>
    <w:tmpl w:val="0E02A17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607247B6"/>
    <w:multiLevelType w:val="hybridMultilevel"/>
    <w:tmpl w:val="9B18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A63B8"/>
    <w:multiLevelType w:val="hybridMultilevel"/>
    <w:tmpl w:val="98A20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C4B60"/>
    <w:multiLevelType w:val="hybridMultilevel"/>
    <w:tmpl w:val="EA2C1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0F"/>
    <w:rsid w:val="000042FD"/>
    <w:rsid w:val="0000506F"/>
    <w:rsid w:val="00015E14"/>
    <w:rsid w:val="00017757"/>
    <w:rsid w:val="000239AB"/>
    <w:rsid w:val="00025F94"/>
    <w:rsid w:val="0002778C"/>
    <w:rsid w:val="000305B1"/>
    <w:rsid w:val="00030AA2"/>
    <w:rsid w:val="0003168B"/>
    <w:rsid w:val="00033E53"/>
    <w:rsid w:val="0003675A"/>
    <w:rsid w:val="00036AC0"/>
    <w:rsid w:val="000409C7"/>
    <w:rsid w:val="000429EB"/>
    <w:rsid w:val="00044E09"/>
    <w:rsid w:val="00047096"/>
    <w:rsid w:val="00047F88"/>
    <w:rsid w:val="000503F2"/>
    <w:rsid w:val="0005640B"/>
    <w:rsid w:val="000579B8"/>
    <w:rsid w:val="00063859"/>
    <w:rsid w:val="00063EFE"/>
    <w:rsid w:val="00064A8E"/>
    <w:rsid w:val="0006502F"/>
    <w:rsid w:val="00073FC8"/>
    <w:rsid w:val="00076D56"/>
    <w:rsid w:val="000802E7"/>
    <w:rsid w:val="000805DE"/>
    <w:rsid w:val="0008256E"/>
    <w:rsid w:val="00084A94"/>
    <w:rsid w:val="00085E2F"/>
    <w:rsid w:val="00086DAE"/>
    <w:rsid w:val="00087189"/>
    <w:rsid w:val="000906A4"/>
    <w:rsid w:val="000915B7"/>
    <w:rsid w:val="0009313D"/>
    <w:rsid w:val="00096402"/>
    <w:rsid w:val="00096509"/>
    <w:rsid w:val="000A0759"/>
    <w:rsid w:val="000A08F1"/>
    <w:rsid w:val="000A138B"/>
    <w:rsid w:val="000A1F5B"/>
    <w:rsid w:val="000A29C7"/>
    <w:rsid w:val="000A32B2"/>
    <w:rsid w:val="000A6CA2"/>
    <w:rsid w:val="000B1536"/>
    <w:rsid w:val="000B1F05"/>
    <w:rsid w:val="000B34A0"/>
    <w:rsid w:val="000B37DE"/>
    <w:rsid w:val="000B4683"/>
    <w:rsid w:val="000B532B"/>
    <w:rsid w:val="000B5CBA"/>
    <w:rsid w:val="000B65A2"/>
    <w:rsid w:val="000B77F3"/>
    <w:rsid w:val="000C0D9C"/>
    <w:rsid w:val="000C1E6E"/>
    <w:rsid w:val="000C30B3"/>
    <w:rsid w:val="000C313F"/>
    <w:rsid w:val="000D0CB3"/>
    <w:rsid w:val="000D0D28"/>
    <w:rsid w:val="000D2259"/>
    <w:rsid w:val="000D2D2D"/>
    <w:rsid w:val="000D4FCB"/>
    <w:rsid w:val="000D51D2"/>
    <w:rsid w:val="000D73CB"/>
    <w:rsid w:val="000E2C0F"/>
    <w:rsid w:val="000E3670"/>
    <w:rsid w:val="000E6F6F"/>
    <w:rsid w:val="000E7131"/>
    <w:rsid w:val="000F2854"/>
    <w:rsid w:val="000F5F9F"/>
    <w:rsid w:val="000F71FE"/>
    <w:rsid w:val="00100B84"/>
    <w:rsid w:val="00111C34"/>
    <w:rsid w:val="00112B03"/>
    <w:rsid w:val="00115203"/>
    <w:rsid w:val="00116D31"/>
    <w:rsid w:val="00117D9F"/>
    <w:rsid w:val="00117F3F"/>
    <w:rsid w:val="001226B9"/>
    <w:rsid w:val="00123224"/>
    <w:rsid w:val="00124EA7"/>
    <w:rsid w:val="00132303"/>
    <w:rsid w:val="00132F7D"/>
    <w:rsid w:val="00133BCA"/>
    <w:rsid w:val="00137825"/>
    <w:rsid w:val="001406AB"/>
    <w:rsid w:val="00140EC6"/>
    <w:rsid w:val="00143AB7"/>
    <w:rsid w:val="0014423C"/>
    <w:rsid w:val="00144EC6"/>
    <w:rsid w:val="00146A43"/>
    <w:rsid w:val="00146F6D"/>
    <w:rsid w:val="001503B1"/>
    <w:rsid w:val="001514EF"/>
    <w:rsid w:val="00151A07"/>
    <w:rsid w:val="00151E61"/>
    <w:rsid w:val="00154035"/>
    <w:rsid w:val="0015487B"/>
    <w:rsid w:val="001656F1"/>
    <w:rsid w:val="0016760B"/>
    <w:rsid w:val="00167F66"/>
    <w:rsid w:val="00172F1E"/>
    <w:rsid w:val="00173A34"/>
    <w:rsid w:val="00177558"/>
    <w:rsid w:val="001802BA"/>
    <w:rsid w:val="0018052B"/>
    <w:rsid w:val="001812D0"/>
    <w:rsid w:val="00183F9B"/>
    <w:rsid w:val="00186CAA"/>
    <w:rsid w:val="00186E09"/>
    <w:rsid w:val="00190DAA"/>
    <w:rsid w:val="00191002"/>
    <w:rsid w:val="00194B5C"/>
    <w:rsid w:val="00197516"/>
    <w:rsid w:val="001A1139"/>
    <w:rsid w:val="001A2253"/>
    <w:rsid w:val="001A3F42"/>
    <w:rsid w:val="001A5787"/>
    <w:rsid w:val="001A7D5D"/>
    <w:rsid w:val="001B10A9"/>
    <w:rsid w:val="001B2AD9"/>
    <w:rsid w:val="001B336C"/>
    <w:rsid w:val="001B457E"/>
    <w:rsid w:val="001B4C40"/>
    <w:rsid w:val="001B4D4D"/>
    <w:rsid w:val="001B5240"/>
    <w:rsid w:val="001B53FF"/>
    <w:rsid w:val="001B63F4"/>
    <w:rsid w:val="001C14C3"/>
    <w:rsid w:val="001C35D1"/>
    <w:rsid w:val="001C56DB"/>
    <w:rsid w:val="001D256B"/>
    <w:rsid w:val="001D2EB2"/>
    <w:rsid w:val="001E2F07"/>
    <w:rsid w:val="001E416D"/>
    <w:rsid w:val="001E75BA"/>
    <w:rsid w:val="001F057C"/>
    <w:rsid w:val="001F2090"/>
    <w:rsid w:val="001F4948"/>
    <w:rsid w:val="001F5F63"/>
    <w:rsid w:val="001F738C"/>
    <w:rsid w:val="001F7AB1"/>
    <w:rsid w:val="00201BB6"/>
    <w:rsid w:val="002047C3"/>
    <w:rsid w:val="00205D8E"/>
    <w:rsid w:val="00207F06"/>
    <w:rsid w:val="00214061"/>
    <w:rsid w:val="00220543"/>
    <w:rsid w:val="00222AFA"/>
    <w:rsid w:val="00226471"/>
    <w:rsid w:val="002300E8"/>
    <w:rsid w:val="0023156C"/>
    <w:rsid w:val="00232877"/>
    <w:rsid w:val="00232A8D"/>
    <w:rsid w:val="00233A97"/>
    <w:rsid w:val="00233B5A"/>
    <w:rsid w:val="0023584A"/>
    <w:rsid w:val="00236879"/>
    <w:rsid w:val="002404BD"/>
    <w:rsid w:val="00241043"/>
    <w:rsid w:val="00247F5C"/>
    <w:rsid w:val="00251A94"/>
    <w:rsid w:val="002520E1"/>
    <w:rsid w:val="00253B96"/>
    <w:rsid w:val="002551D6"/>
    <w:rsid w:val="00257CE8"/>
    <w:rsid w:val="00263196"/>
    <w:rsid w:val="002749B2"/>
    <w:rsid w:val="002832AA"/>
    <w:rsid w:val="00283F67"/>
    <w:rsid w:val="00284421"/>
    <w:rsid w:val="00285551"/>
    <w:rsid w:val="00287646"/>
    <w:rsid w:val="00291D34"/>
    <w:rsid w:val="00292489"/>
    <w:rsid w:val="00295B51"/>
    <w:rsid w:val="002A0C14"/>
    <w:rsid w:val="002A3246"/>
    <w:rsid w:val="002A3478"/>
    <w:rsid w:val="002A5FE5"/>
    <w:rsid w:val="002A6479"/>
    <w:rsid w:val="002B497A"/>
    <w:rsid w:val="002B6C86"/>
    <w:rsid w:val="002C1BEC"/>
    <w:rsid w:val="002C539F"/>
    <w:rsid w:val="002D01F5"/>
    <w:rsid w:val="002D21BD"/>
    <w:rsid w:val="002D391A"/>
    <w:rsid w:val="002D405A"/>
    <w:rsid w:val="002D52E0"/>
    <w:rsid w:val="002D6000"/>
    <w:rsid w:val="002D79CF"/>
    <w:rsid w:val="002E0524"/>
    <w:rsid w:val="002E2C10"/>
    <w:rsid w:val="002E2D6B"/>
    <w:rsid w:val="002E4889"/>
    <w:rsid w:val="002E4A75"/>
    <w:rsid w:val="002E7B9D"/>
    <w:rsid w:val="002E7F33"/>
    <w:rsid w:val="002F453B"/>
    <w:rsid w:val="002F5E33"/>
    <w:rsid w:val="00304904"/>
    <w:rsid w:val="003101EB"/>
    <w:rsid w:val="003111AD"/>
    <w:rsid w:val="0031282C"/>
    <w:rsid w:val="00312F7C"/>
    <w:rsid w:val="00314F1B"/>
    <w:rsid w:val="00316192"/>
    <w:rsid w:val="00320BC2"/>
    <w:rsid w:val="003233CE"/>
    <w:rsid w:val="00324DBC"/>
    <w:rsid w:val="00325DE7"/>
    <w:rsid w:val="0033063E"/>
    <w:rsid w:val="00331FD6"/>
    <w:rsid w:val="00332070"/>
    <w:rsid w:val="00335F8D"/>
    <w:rsid w:val="0034314D"/>
    <w:rsid w:val="0034582C"/>
    <w:rsid w:val="00345B0E"/>
    <w:rsid w:val="003466DF"/>
    <w:rsid w:val="00350F65"/>
    <w:rsid w:val="00352108"/>
    <w:rsid w:val="0035490E"/>
    <w:rsid w:val="00357A6B"/>
    <w:rsid w:val="00361B0C"/>
    <w:rsid w:val="00362AAD"/>
    <w:rsid w:val="00363B01"/>
    <w:rsid w:val="0036438B"/>
    <w:rsid w:val="003655D4"/>
    <w:rsid w:val="00366222"/>
    <w:rsid w:val="00370801"/>
    <w:rsid w:val="00371996"/>
    <w:rsid w:val="0037257A"/>
    <w:rsid w:val="003814F7"/>
    <w:rsid w:val="00383D93"/>
    <w:rsid w:val="0038412C"/>
    <w:rsid w:val="003847AB"/>
    <w:rsid w:val="0038583A"/>
    <w:rsid w:val="003919CA"/>
    <w:rsid w:val="00393FF3"/>
    <w:rsid w:val="003950B4"/>
    <w:rsid w:val="003A0E76"/>
    <w:rsid w:val="003A4143"/>
    <w:rsid w:val="003B157D"/>
    <w:rsid w:val="003B1722"/>
    <w:rsid w:val="003B3474"/>
    <w:rsid w:val="003B42FA"/>
    <w:rsid w:val="003B64E7"/>
    <w:rsid w:val="003B7A60"/>
    <w:rsid w:val="003B7E98"/>
    <w:rsid w:val="003C1FA8"/>
    <w:rsid w:val="003C438D"/>
    <w:rsid w:val="003C4B1A"/>
    <w:rsid w:val="003C7080"/>
    <w:rsid w:val="003C7FF8"/>
    <w:rsid w:val="003D36A0"/>
    <w:rsid w:val="003D6C5F"/>
    <w:rsid w:val="003E2955"/>
    <w:rsid w:val="003E6CC1"/>
    <w:rsid w:val="003F047B"/>
    <w:rsid w:val="003F16DB"/>
    <w:rsid w:val="003F3BC2"/>
    <w:rsid w:val="003F4E2B"/>
    <w:rsid w:val="003F54C9"/>
    <w:rsid w:val="003F7E97"/>
    <w:rsid w:val="00400E35"/>
    <w:rsid w:val="00402DC7"/>
    <w:rsid w:val="0040362F"/>
    <w:rsid w:val="00407199"/>
    <w:rsid w:val="0041022B"/>
    <w:rsid w:val="004117B1"/>
    <w:rsid w:val="0041544F"/>
    <w:rsid w:val="004177D2"/>
    <w:rsid w:val="0042049C"/>
    <w:rsid w:val="00422CF7"/>
    <w:rsid w:val="004252FD"/>
    <w:rsid w:val="00432CD6"/>
    <w:rsid w:val="00433561"/>
    <w:rsid w:val="004419BF"/>
    <w:rsid w:val="00441D6C"/>
    <w:rsid w:val="00445541"/>
    <w:rsid w:val="00445CB6"/>
    <w:rsid w:val="004529F0"/>
    <w:rsid w:val="004540EA"/>
    <w:rsid w:val="00462C01"/>
    <w:rsid w:val="00467751"/>
    <w:rsid w:val="00467BB1"/>
    <w:rsid w:val="004716DC"/>
    <w:rsid w:val="00471CFB"/>
    <w:rsid w:val="00473C8D"/>
    <w:rsid w:val="004751AD"/>
    <w:rsid w:val="00476522"/>
    <w:rsid w:val="00481265"/>
    <w:rsid w:val="00482CFA"/>
    <w:rsid w:val="00486331"/>
    <w:rsid w:val="004923A6"/>
    <w:rsid w:val="00492D64"/>
    <w:rsid w:val="00495575"/>
    <w:rsid w:val="00497929"/>
    <w:rsid w:val="004A41D2"/>
    <w:rsid w:val="004A6FBB"/>
    <w:rsid w:val="004B21C5"/>
    <w:rsid w:val="004B2C84"/>
    <w:rsid w:val="004B33C9"/>
    <w:rsid w:val="004B4ADE"/>
    <w:rsid w:val="004B6DC2"/>
    <w:rsid w:val="004C000C"/>
    <w:rsid w:val="004C1147"/>
    <w:rsid w:val="004C5E5D"/>
    <w:rsid w:val="004C6EE3"/>
    <w:rsid w:val="004C77E5"/>
    <w:rsid w:val="004D0D70"/>
    <w:rsid w:val="004D7FA5"/>
    <w:rsid w:val="004E1E48"/>
    <w:rsid w:val="004E44D7"/>
    <w:rsid w:val="004E4A2F"/>
    <w:rsid w:val="004E5DB4"/>
    <w:rsid w:val="004E74B8"/>
    <w:rsid w:val="004E7B8F"/>
    <w:rsid w:val="004F1FAD"/>
    <w:rsid w:val="004F3915"/>
    <w:rsid w:val="004F4A69"/>
    <w:rsid w:val="004F67A5"/>
    <w:rsid w:val="00501F41"/>
    <w:rsid w:val="00503EA5"/>
    <w:rsid w:val="00504D1F"/>
    <w:rsid w:val="00512D1D"/>
    <w:rsid w:val="00513E03"/>
    <w:rsid w:val="00516854"/>
    <w:rsid w:val="00516A17"/>
    <w:rsid w:val="00521F07"/>
    <w:rsid w:val="00522C1B"/>
    <w:rsid w:val="0052434D"/>
    <w:rsid w:val="005260AA"/>
    <w:rsid w:val="005270B6"/>
    <w:rsid w:val="00527C61"/>
    <w:rsid w:val="00531552"/>
    <w:rsid w:val="005326A6"/>
    <w:rsid w:val="0053653D"/>
    <w:rsid w:val="00536E59"/>
    <w:rsid w:val="0053771B"/>
    <w:rsid w:val="005416ED"/>
    <w:rsid w:val="0054173C"/>
    <w:rsid w:val="005418AD"/>
    <w:rsid w:val="005420CC"/>
    <w:rsid w:val="00542972"/>
    <w:rsid w:val="00544488"/>
    <w:rsid w:val="00544554"/>
    <w:rsid w:val="005524DF"/>
    <w:rsid w:val="005544B6"/>
    <w:rsid w:val="005574CB"/>
    <w:rsid w:val="00561F27"/>
    <w:rsid w:val="00563737"/>
    <w:rsid w:val="00575705"/>
    <w:rsid w:val="00577C57"/>
    <w:rsid w:val="00580738"/>
    <w:rsid w:val="00580989"/>
    <w:rsid w:val="005819E9"/>
    <w:rsid w:val="00582F9E"/>
    <w:rsid w:val="0058366C"/>
    <w:rsid w:val="00584AA8"/>
    <w:rsid w:val="00586589"/>
    <w:rsid w:val="00587F36"/>
    <w:rsid w:val="0059022A"/>
    <w:rsid w:val="00594017"/>
    <w:rsid w:val="00595A8A"/>
    <w:rsid w:val="005962C2"/>
    <w:rsid w:val="00597CE1"/>
    <w:rsid w:val="005A008B"/>
    <w:rsid w:val="005A2B51"/>
    <w:rsid w:val="005A398F"/>
    <w:rsid w:val="005B0006"/>
    <w:rsid w:val="005B17BE"/>
    <w:rsid w:val="005C262B"/>
    <w:rsid w:val="005C431A"/>
    <w:rsid w:val="005C4BD0"/>
    <w:rsid w:val="005C59B8"/>
    <w:rsid w:val="005D0A17"/>
    <w:rsid w:val="005D2D8F"/>
    <w:rsid w:val="005D3819"/>
    <w:rsid w:val="005D40AE"/>
    <w:rsid w:val="005D5254"/>
    <w:rsid w:val="005D5E00"/>
    <w:rsid w:val="005D5E88"/>
    <w:rsid w:val="005E024B"/>
    <w:rsid w:val="005E1772"/>
    <w:rsid w:val="005E47B0"/>
    <w:rsid w:val="005F1868"/>
    <w:rsid w:val="005F2A4C"/>
    <w:rsid w:val="005F4096"/>
    <w:rsid w:val="005F4B0B"/>
    <w:rsid w:val="005F4C1F"/>
    <w:rsid w:val="006006F0"/>
    <w:rsid w:val="00600D6E"/>
    <w:rsid w:val="00602BE6"/>
    <w:rsid w:val="00604936"/>
    <w:rsid w:val="00610647"/>
    <w:rsid w:val="0061489F"/>
    <w:rsid w:val="006150C4"/>
    <w:rsid w:val="0061550D"/>
    <w:rsid w:val="00616680"/>
    <w:rsid w:val="0062126D"/>
    <w:rsid w:val="006214CD"/>
    <w:rsid w:val="006242C8"/>
    <w:rsid w:val="0062764B"/>
    <w:rsid w:val="0063305F"/>
    <w:rsid w:val="00637913"/>
    <w:rsid w:val="00640E5F"/>
    <w:rsid w:val="00640FE5"/>
    <w:rsid w:val="00642422"/>
    <w:rsid w:val="00642BF4"/>
    <w:rsid w:val="006459DF"/>
    <w:rsid w:val="0065092D"/>
    <w:rsid w:val="00650CB3"/>
    <w:rsid w:val="006517CB"/>
    <w:rsid w:val="00652460"/>
    <w:rsid w:val="00653FFE"/>
    <w:rsid w:val="00655D9E"/>
    <w:rsid w:val="00660311"/>
    <w:rsid w:val="00660C56"/>
    <w:rsid w:val="00664484"/>
    <w:rsid w:val="006647D1"/>
    <w:rsid w:val="00664AB9"/>
    <w:rsid w:val="00666236"/>
    <w:rsid w:val="006673F0"/>
    <w:rsid w:val="00670931"/>
    <w:rsid w:val="0067102C"/>
    <w:rsid w:val="0067136E"/>
    <w:rsid w:val="00672002"/>
    <w:rsid w:val="00672080"/>
    <w:rsid w:val="00672BF4"/>
    <w:rsid w:val="006750BE"/>
    <w:rsid w:val="00675D20"/>
    <w:rsid w:val="00675D2E"/>
    <w:rsid w:val="00676BF8"/>
    <w:rsid w:val="006801F8"/>
    <w:rsid w:val="0068050B"/>
    <w:rsid w:val="006807E6"/>
    <w:rsid w:val="00680F3B"/>
    <w:rsid w:val="0068130B"/>
    <w:rsid w:val="006817A5"/>
    <w:rsid w:val="00686860"/>
    <w:rsid w:val="006A4F55"/>
    <w:rsid w:val="006A7292"/>
    <w:rsid w:val="006B2B7B"/>
    <w:rsid w:val="006B44A9"/>
    <w:rsid w:val="006B76AB"/>
    <w:rsid w:val="006C06B1"/>
    <w:rsid w:val="006C0B7E"/>
    <w:rsid w:val="006C178D"/>
    <w:rsid w:val="006C2DCC"/>
    <w:rsid w:val="006C2ECE"/>
    <w:rsid w:val="006C4E04"/>
    <w:rsid w:val="006C729E"/>
    <w:rsid w:val="006C7530"/>
    <w:rsid w:val="006D3E6D"/>
    <w:rsid w:val="006D43D3"/>
    <w:rsid w:val="006D5D7C"/>
    <w:rsid w:val="006E667A"/>
    <w:rsid w:val="006F2BB6"/>
    <w:rsid w:val="006F5660"/>
    <w:rsid w:val="006F64F9"/>
    <w:rsid w:val="006F6875"/>
    <w:rsid w:val="00700EDB"/>
    <w:rsid w:val="007010A0"/>
    <w:rsid w:val="00703B2E"/>
    <w:rsid w:val="00706824"/>
    <w:rsid w:val="00714753"/>
    <w:rsid w:val="00714811"/>
    <w:rsid w:val="00716D63"/>
    <w:rsid w:val="00717A02"/>
    <w:rsid w:val="00717D7B"/>
    <w:rsid w:val="007205FC"/>
    <w:rsid w:val="00720C4C"/>
    <w:rsid w:val="00722380"/>
    <w:rsid w:val="00723149"/>
    <w:rsid w:val="00723332"/>
    <w:rsid w:val="007247A4"/>
    <w:rsid w:val="00724E0A"/>
    <w:rsid w:val="007276AF"/>
    <w:rsid w:val="00730035"/>
    <w:rsid w:val="007319AE"/>
    <w:rsid w:val="00734422"/>
    <w:rsid w:val="007345D5"/>
    <w:rsid w:val="007352CB"/>
    <w:rsid w:val="00736BF8"/>
    <w:rsid w:val="007409E8"/>
    <w:rsid w:val="00744C8B"/>
    <w:rsid w:val="00747D03"/>
    <w:rsid w:val="00751E4B"/>
    <w:rsid w:val="00752907"/>
    <w:rsid w:val="00755476"/>
    <w:rsid w:val="00757A71"/>
    <w:rsid w:val="00760D3D"/>
    <w:rsid w:val="00761DE1"/>
    <w:rsid w:val="007642A8"/>
    <w:rsid w:val="00764D58"/>
    <w:rsid w:val="00773886"/>
    <w:rsid w:val="007741F2"/>
    <w:rsid w:val="007752E4"/>
    <w:rsid w:val="00782674"/>
    <w:rsid w:val="007851AA"/>
    <w:rsid w:val="00786CD5"/>
    <w:rsid w:val="00790525"/>
    <w:rsid w:val="00790983"/>
    <w:rsid w:val="0079439B"/>
    <w:rsid w:val="0079551A"/>
    <w:rsid w:val="0079715E"/>
    <w:rsid w:val="007973DC"/>
    <w:rsid w:val="007A1FB6"/>
    <w:rsid w:val="007A214F"/>
    <w:rsid w:val="007A55F2"/>
    <w:rsid w:val="007A605A"/>
    <w:rsid w:val="007B1D0D"/>
    <w:rsid w:val="007B2C90"/>
    <w:rsid w:val="007B387F"/>
    <w:rsid w:val="007B447E"/>
    <w:rsid w:val="007B684E"/>
    <w:rsid w:val="007C0168"/>
    <w:rsid w:val="007C0A4B"/>
    <w:rsid w:val="007C17BB"/>
    <w:rsid w:val="007C2710"/>
    <w:rsid w:val="007C3C76"/>
    <w:rsid w:val="007C4858"/>
    <w:rsid w:val="007C71F5"/>
    <w:rsid w:val="007D0D49"/>
    <w:rsid w:val="007D3A74"/>
    <w:rsid w:val="007D4E47"/>
    <w:rsid w:val="007D522B"/>
    <w:rsid w:val="007D68A4"/>
    <w:rsid w:val="007D6AF8"/>
    <w:rsid w:val="007D6B95"/>
    <w:rsid w:val="007D71B8"/>
    <w:rsid w:val="007E0CFD"/>
    <w:rsid w:val="007E2277"/>
    <w:rsid w:val="007E2F37"/>
    <w:rsid w:val="007F2A43"/>
    <w:rsid w:val="007F2B96"/>
    <w:rsid w:val="007F3DB4"/>
    <w:rsid w:val="007F6DFF"/>
    <w:rsid w:val="00801E92"/>
    <w:rsid w:val="0080362F"/>
    <w:rsid w:val="00805E44"/>
    <w:rsid w:val="00806DA9"/>
    <w:rsid w:val="00807129"/>
    <w:rsid w:val="008102EE"/>
    <w:rsid w:val="00811099"/>
    <w:rsid w:val="008131AC"/>
    <w:rsid w:val="00822F2C"/>
    <w:rsid w:val="00826058"/>
    <w:rsid w:val="00830053"/>
    <w:rsid w:val="00831744"/>
    <w:rsid w:val="00831CB2"/>
    <w:rsid w:val="00835DFA"/>
    <w:rsid w:val="008367CB"/>
    <w:rsid w:val="00837345"/>
    <w:rsid w:val="0084017D"/>
    <w:rsid w:val="00841430"/>
    <w:rsid w:val="00841A89"/>
    <w:rsid w:val="00842261"/>
    <w:rsid w:val="008424B6"/>
    <w:rsid w:val="00842F30"/>
    <w:rsid w:val="00844EED"/>
    <w:rsid w:val="00846C29"/>
    <w:rsid w:val="008515A8"/>
    <w:rsid w:val="00853EE1"/>
    <w:rsid w:val="00854494"/>
    <w:rsid w:val="00855281"/>
    <w:rsid w:val="00857F4E"/>
    <w:rsid w:val="00860334"/>
    <w:rsid w:val="008604E0"/>
    <w:rsid w:val="0086323F"/>
    <w:rsid w:val="008632EC"/>
    <w:rsid w:val="00864673"/>
    <w:rsid w:val="0086562E"/>
    <w:rsid w:val="00867664"/>
    <w:rsid w:val="00870649"/>
    <w:rsid w:val="00870D34"/>
    <w:rsid w:val="00871A9C"/>
    <w:rsid w:val="008756BB"/>
    <w:rsid w:val="00877CE5"/>
    <w:rsid w:val="00877D7C"/>
    <w:rsid w:val="00882A6E"/>
    <w:rsid w:val="00882D8E"/>
    <w:rsid w:val="00884A92"/>
    <w:rsid w:val="00884CC6"/>
    <w:rsid w:val="00884F43"/>
    <w:rsid w:val="008865FA"/>
    <w:rsid w:val="00890CC8"/>
    <w:rsid w:val="00894932"/>
    <w:rsid w:val="008963CC"/>
    <w:rsid w:val="00896BFF"/>
    <w:rsid w:val="00897FF9"/>
    <w:rsid w:val="008A0181"/>
    <w:rsid w:val="008A3905"/>
    <w:rsid w:val="008A53EC"/>
    <w:rsid w:val="008B083C"/>
    <w:rsid w:val="008B0FE0"/>
    <w:rsid w:val="008B2475"/>
    <w:rsid w:val="008B7909"/>
    <w:rsid w:val="008C28BC"/>
    <w:rsid w:val="008C48BE"/>
    <w:rsid w:val="008C6FBA"/>
    <w:rsid w:val="008C7F3C"/>
    <w:rsid w:val="008D261C"/>
    <w:rsid w:val="008D2D36"/>
    <w:rsid w:val="008D534C"/>
    <w:rsid w:val="008E1360"/>
    <w:rsid w:val="008E2A8C"/>
    <w:rsid w:val="008E2D0E"/>
    <w:rsid w:val="008E3F59"/>
    <w:rsid w:val="008E51C8"/>
    <w:rsid w:val="008E66A6"/>
    <w:rsid w:val="008F3840"/>
    <w:rsid w:val="008F483B"/>
    <w:rsid w:val="008F743C"/>
    <w:rsid w:val="009023CE"/>
    <w:rsid w:val="009032E8"/>
    <w:rsid w:val="00905246"/>
    <w:rsid w:val="009061A3"/>
    <w:rsid w:val="00906455"/>
    <w:rsid w:val="00911EDF"/>
    <w:rsid w:val="00914A0F"/>
    <w:rsid w:val="00920398"/>
    <w:rsid w:val="009322E6"/>
    <w:rsid w:val="00932B26"/>
    <w:rsid w:val="00933325"/>
    <w:rsid w:val="009337B0"/>
    <w:rsid w:val="009354BA"/>
    <w:rsid w:val="00941213"/>
    <w:rsid w:val="00942E19"/>
    <w:rsid w:val="009439AD"/>
    <w:rsid w:val="009505AB"/>
    <w:rsid w:val="00950EBA"/>
    <w:rsid w:val="00951180"/>
    <w:rsid w:val="009560A0"/>
    <w:rsid w:val="00956FE0"/>
    <w:rsid w:val="00957312"/>
    <w:rsid w:val="009601F9"/>
    <w:rsid w:val="009622C1"/>
    <w:rsid w:val="009624D7"/>
    <w:rsid w:val="009720DE"/>
    <w:rsid w:val="00977605"/>
    <w:rsid w:val="00981E63"/>
    <w:rsid w:val="009828F2"/>
    <w:rsid w:val="0098341F"/>
    <w:rsid w:val="00983DB6"/>
    <w:rsid w:val="00984C79"/>
    <w:rsid w:val="00985AE1"/>
    <w:rsid w:val="00985BBD"/>
    <w:rsid w:val="00987419"/>
    <w:rsid w:val="0099676D"/>
    <w:rsid w:val="009A036C"/>
    <w:rsid w:val="009A0CE2"/>
    <w:rsid w:val="009A62C8"/>
    <w:rsid w:val="009A6842"/>
    <w:rsid w:val="009A6A6C"/>
    <w:rsid w:val="009A7995"/>
    <w:rsid w:val="009B1765"/>
    <w:rsid w:val="009B1AF9"/>
    <w:rsid w:val="009B1CCC"/>
    <w:rsid w:val="009B271B"/>
    <w:rsid w:val="009B4473"/>
    <w:rsid w:val="009B6833"/>
    <w:rsid w:val="009C0261"/>
    <w:rsid w:val="009C1A9B"/>
    <w:rsid w:val="009C2969"/>
    <w:rsid w:val="009C2EF5"/>
    <w:rsid w:val="009C51FA"/>
    <w:rsid w:val="009C5287"/>
    <w:rsid w:val="009D0A71"/>
    <w:rsid w:val="009D0C56"/>
    <w:rsid w:val="009D10A0"/>
    <w:rsid w:val="009D10D8"/>
    <w:rsid w:val="009D3314"/>
    <w:rsid w:val="009E3064"/>
    <w:rsid w:val="009E620F"/>
    <w:rsid w:val="009F1D0F"/>
    <w:rsid w:val="009F71F3"/>
    <w:rsid w:val="009F7375"/>
    <w:rsid w:val="00A07FCC"/>
    <w:rsid w:val="00A10CD3"/>
    <w:rsid w:val="00A12C1A"/>
    <w:rsid w:val="00A133A5"/>
    <w:rsid w:val="00A16CE0"/>
    <w:rsid w:val="00A201C7"/>
    <w:rsid w:val="00A20250"/>
    <w:rsid w:val="00A22D7E"/>
    <w:rsid w:val="00A24E33"/>
    <w:rsid w:val="00A2681D"/>
    <w:rsid w:val="00A33650"/>
    <w:rsid w:val="00A35AEB"/>
    <w:rsid w:val="00A36768"/>
    <w:rsid w:val="00A36950"/>
    <w:rsid w:val="00A47BAE"/>
    <w:rsid w:val="00A51611"/>
    <w:rsid w:val="00A61137"/>
    <w:rsid w:val="00A611B2"/>
    <w:rsid w:val="00A63872"/>
    <w:rsid w:val="00A63B2A"/>
    <w:rsid w:val="00A66B0B"/>
    <w:rsid w:val="00A71AC6"/>
    <w:rsid w:val="00A72071"/>
    <w:rsid w:val="00A73323"/>
    <w:rsid w:val="00A74666"/>
    <w:rsid w:val="00A82F0D"/>
    <w:rsid w:val="00A85B25"/>
    <w:rsid w:val="00A90E04"/>
    <w:rsid w:val="00A934AD"/>
    <w:rsid w:val="00AA0D53"/>
    <w:rsid w:val="00AA7A4E"/>
    <w:rsid w:val="00AB01A7"/>
    <w:rsid w:val="00AB12E8"/>
    <w:rsid w:val="00AB2CE9"/>
    <w:rsid w:val="00AB40A2"/>
    <w:rsid w:val="00AB4DD3"/>
    <w:rsid w:val="00AB5C94"/>
    <w:rsid w:val="00AB796D"/>
    <w:rsid w:val="00AC5B17"/>
    <w:rsid w:val="00AC6031"/>
    <w:rsid w:val="00AD0F76"/>
    <w:rsid w:val="00AD2122"/>
    <w:rsid w:val="00AD2235"/>
    <w:rsid w:val="00AD5EA7"/>
    <w:rsid w:val="00AE0FA3"/>
    <w:rsid w:val="00AE3F12"/>
    <w:rsid w:val="00AE4435"/>
    <w:rsid w:val="00AE6CE9"/>
    <w:rsid w:val="00AE6DD2"/>
    <w:rsid w:val="00AE7935"/>
    <w:rsid w:val="00AF07EE"/>
    <w:rsid w:val="00AF59E3"/>
    <w:rsid w:val="00B00556"/>
    <w:rsid w:val="00B03D22"/>
    <w:rsid w:val="00B03FFD"/>
    <w:rsid w:val="00B06343"/>
    <w:rsid w:val="00B06406"/>
    <w:rsid w:val="00B073CD"/>
    <w:rsid w:val="00B07EDB"/>
    <w:rsid w:val="00B11FB2"/>
    <w:rsid w:val="00B1266B"/>
    <w:rsid w:val="00B131CD"/>
    <w:rsid w:val="00B15EA5"/>
    <w:rsid w:val="00B16514"/>
    <w:rsid w:val="00B21C9D"/>
    <w:rsid w:val="00B246FC"/>
    <w:rsid w:val="00B26A42"/>
    <w:rsid w:val="00B3299E"/>
    <w:rsid w:val="00B33DBD"/>
    <w:rsid w:val="00B36EE9"/>
    <w:rsid w:val="00B37726"/>
    <w:rsid w:val="00B43F6B"/>
    <w:rsid w:val="00B4500E"/>
    <w:rsid w:val="00B47402"/>
    <w:rsid w:val="00B537C9"/>
    <w:rsid w:val="00B53992"/>
    <w:rsid w:val="00B54B88"/>
    <w:rsid w:val="00B608C7"/>
    <w:rsid w:val="00B61918"/>
    <w:rsid w:val="00B62E1C"/>
    <w:rsid w:val="00B631A9"/>
    <w:rsid w:val="00B64083"/>
    <w:rsid w:val="00B67289"/>
    <w:rsid w:val="00B67E06"/>
    <w:rsid w:val="00B70804"/>
    <w:rsid w:val="00B7356A"/>
    <w:rsid w:val="00B8177E"/>
    <w:rsid w:val="00B82922"/>
    <w:rsid w:val="00B830D0"/>
    <w:rsid w:val="00B87B8E"/>
    <w:rsid w:val="00B9146B"/>
    <w:rsid w:val="00B919C1"/>
    <w:rsid w:val="00B937E8"/>
    <w:rsid w:val="00B964C0"/>
    <w:rsid w:val="00B9659E"/>
    <w:rsid w:val="00B9668A"/>
    <w:rsid w:val="00B97098"/>
    <w:rsid w:val="00BA0E6B"/>
    <w:rsid w:val="00BA1209"/>
    <w:rsid w:val="00BA3208"/>
    <w:rsid w:val="00BA3846"/>
    <w:rsid w:val="00BA5706"/>
    <w:rsid w:val="00BA74AB"/>
    <w:rsid w:val="00BA79B8"/>
    <w:rsid w:val="00BB055B"/>
    <w:rsid w:val="00BB232C"/>
    <w:rsid w:val="00BB415D"/>
    <w:rsid w:val="00BB52BA"/>
    <w:rsid w:val="00BB55BE"/>
    <w:rsid w:val="00BB6378"/>
    <w:rsid w:val="00BB63A2"/>
    <w:rsid w:val="00BB64C8"/>
    <w:rsid w:val="00BC0436"/>
    <w:rsid w:val="00BC28E6"/>
    <w:rsid w:val="00BC336A"/>
    <w:rsid w:val="00BC64F2"/>
    <w:rsid w:val="00BC74C5"/>
    <w:rsid w:val="00BD1E21"/>
    <w:rsid w:val="00BD58FE"/>
    <w:rsid w:val="00BD73FC"/>
    <w:rsid w:val="00BE03D4"/>
    <w:rsid w:val="00BE0A2C"/>
    <w:rsid w:val="00BE30A4"/>
    <w:rsid w:val="00BE4AA2"/>
    <w:rsid w:val="00BF28C4"/>
    <w:rsid w:val="00BF2DC5"/>
    <w:rsid w:val="00BF3128"/>
    <w:rsid w:val="00BF342B"/>
    <w:rsid w:val="00BF511E"/>
    <w:rsid w:val="00BF5B28"/>
    <w:rsid w:val="00BF5B35"/>
    <w:rsid w:val="00BF650C"/>
    <w:rsid w:val="00BF7630"/>
    <w:rsid w:val="00C05C99"/>
    <w:rsid w:val="00C066A7"/>
    <w:rsid w:val="00C10B44"/>
    <w:rsid w:val="00C1147E"/>
    <w:rsid w:val="00C153C2"/>
    <w:rsid w:val="00C20987"/>
    <w:rsid w:val="00C21EC8"/>
    <w:rsid w:val="00C225B0"/>
    <w:rsid w:val="00C22DA3"/>
    <w:rsid w:val="00C2315A"/>
    <w:rsid w:val="00C232B4"/>
    <w:rsid w:val="00C24236"/>
    <w:rsid w:val="00C24B3E"/>
    <w:rsid w:val="00C253AC"/>
    <w:rsid w:val="00C2656C"/>
    <w:rsid w:val="00C267E5"/>
    <w:rsid w:val="00C27A97"/>
    <w:rsid w:val="00C30B80"/>
    <w:rsid w:val="00C37660"/>
    <w:rsid w:val="00C41277"/>
    <w:rsid w:val="00C41DE9"/>
    <w:rsid w:val="00C42DC6"/>
    <w:rsid w:val="00C5038B"/>
    <w:rsid w:val="00C529EE"/>
    <w:rsid w:val="00C548FE"/>
    <w:rsid w:val="00C55D02"/>
    <w:rsid w:val="00C57082"/>
    <w:rsid w:val="00C632BC"/>
    <w:rsid w:val="00C65D31"/>
    <w:rsid w:val="00C66DB5"/>
    <w:rsid w:val="00C66FBC"/>
    <w:rsid w:val="00C67426"/>
    <w:rsid w:val="00C70502"/>
    <w:rsid w:val="00C709E8"/>
    <w:rsid w:val="00C75564"/>
    <w:rsid w:val="00C75D06"/>
    <w:rsid w:val="00C83EB7"/>
    <w:rsid w:val="00C8424D"/>
    <w:rsid w:val="00C8537B"/>
    <w:rsid w:val="00C8555D"/>
    <w:rsid w:val="00C85B7D"/>
    <w:rsid w:val="00C915F6"/>
    <w:rsid w:val="00C92643"/>
    <w:rsid w:val="00C9415C"/>
    <w:rsid w:val="00C95689"/>
    <w:rsid w:val="00C96367"/>
    <w:rsid w:val="00C97357"/>
    <w:rsid w:val="00C975FD"/>
    <w:rsid w:val="00CA0648"/>
    <w:rsid w:val="00CA0796"/>
    <w:rsid w:val="00CA0DA5"/>
    <w:rsid w:val="00CA1CDB"/>
    <w:rsid w:val="00CA3342"/>
    <w:rsid w:val="00CA3755"/>
    <w:rsid w:val="00CA3A27"/>
    <w:rsid w:val="00CA535B"/>
    <w:rsid w:val="00CB3E6A"/>
    <w:rsid w:val="00CB63BB"/>
    <w:rsid w:val="00CC1B4E"/>
    <w:rsid w:val="00CC209C"/>
    <w:rsid w:val="00CC39CF"/>
    <w:rsid w:val="00CC4C5C"/>
    <w:rsid w:val="00CC51D3"/>
    <w:rsid w:val="00CD40EE"/>
    <w:rsid w:val="00CD4CCE"/>
    <w:rsid w:val="00CD611E"/>
    <w:rsid w:val="00CD7238"/>
    <w:rsid w:val="00CD774D"/>
    <w:rsid w:val="00CF1C57"/>
    <w:rsid w:val="00CF4F2C"/>
    <w:rsid w:val="00CF5A5C"/>
    <w:rsid w:val="00CF6679"/>
    <w:rsid w:val="00CF6B13"/>
    <w:rsid w:val="00CF6B50"/>
    <w:rsid w:val="00CF6C6E"/>
    <w:rsid w:val="00D02AE3"/>
    <w:rsid w:val="00D03E16"/>
    <w:rsid w:val="00D05853"/>
    <w:rsid w:val="00D05C23"/>
    <w:rsid w:val="00D21043"/>
    <w:rsid w:val="00D21DF6"/>
    <w:rsid w:val="00D30465"/>
    <w:rsid w:val="00D32515"/>
    <w:rsid w:val="00D3388D"/>
    <w:rsid w:val="00D34753"/>
    <w:rsid w:val="00D3580B"/>
    <w:rsid w:val="00D35D4D"/>
    <w:rsid w:val="00D36635"/>
    <w:rsid w:val="00D36912"/>
    <w:rsid w:val="00D4627B"/>
    <w:rsid w:val="00D47ED7"/>
    <w:rsid w:val="00D552FB"/>
    <w:rsid w:val="00D55459"/>
    <w:rsid w:val="00D56FC8"/>
    <w:rsid w:val="00D60C0C"/>
    <w:rsid w:val="00D61EDD"/>
    <w:rsid w:val="00D65B21"/>
    <w:rsid w:val="00D665E2"/>
    <w:rsid w:val="00D67D03"/>
    <w:rsid w:val="00D706FF"/>
    <w:rsid w:val="00D707D3"/>
    <w:rsid w:val="00D71C80"/>
    <w:rsid w:val="00D7469B"/>
    <w:rsid w:val="00D75E1B"/>
    <w:rsid w:val="00D76BC6"/>
    <w:rsid w:val="00D8299D"/>
    <w:rsid w:val="00D839CA"/>
    <w:rsid w:val="00D83D8B"/>
    <w:rsid w:val="00D83F8E"/>
    <w:rsid w:val="00D84618"/>
    <w:rsid w:val="00D84CD0"/>
    <w:rsid w:val="00D84DDF"/>
    <w:rsid w:val="00D87697"/>
    <w:rsid w:val="00D91142"/>
    <w:rsid w:val="00D96886"/>
    <w:rsid w:val="00DA07CA"/>
    <w:rsid w:val="00DA19AA"/>
    <w:rsid w:val="00DA4EC2"/>
    <w:rsid w:val="00DB1A2F"/>
    <w:rsid w:val="00DB50AF"/>
    <w:rsid w:val="00DB5751"/>
    <w:rsid w:val="00DC2E00"/>
    <w:rsid w:val="00DC570D"/>
    <w:rsid w:val="00DC676A"/>
    <w:rsid w:val="00DC7CB4"/>
    <w:rsid w:val="00DD1B38"/>
    <w:rsid w:val="00DD32D8"/>
    <w:rsid w:val="00DD333C"/>
    <w:rsid w:val="00DD4C8E"/>
    <w:rsid w:val="00DD5A03"/>
    <w:rsid w:val="00DD648C"/>
    <w:rsid w:val="00DD6B2F"/>
    <w:rsid w:val="00DE2A02"/>
    <w:rsid w:val="00DE33D2"/>
    <w:rsid w:val="00DE35A6"/>
    <w:rsid w:val="00DE678D"/>
    <w:rsid w:val="00DF0D2B"/>
    <w:rsid w:val="00DF1008"/>
    <w:rsid w:val="00DF2763"/>
    <w:rsid w:val="00DF4A62"/>
    <w:rsid w:val="00DF5ACA"/>
    <w:rsid w:val="00E00ADF"/>
    <w:rsid w:val="00E12D09"/>
    <w:rsid w:val="00E14D20"/>
    <w:rsid w:val="00E16CC4"/>
    <w:rsid w:val="00E26CC9"/>
    <w:rsid w:val="00E30B30"/>
    <w:rsid w:val="00E349A5"/>
    <w:rsid w:val="00E36E68"/>
    <w:rsid w:val="00E4466A"/>
    <w:rsid w:val="00E45205"/>
    <w:rsid w:val="00E455D6"/>
    <w:rsid w:val="00E46B51"/>
    <w:rsid w:val="00E46DCA"/>
    <w:rsid w:val="00E512C8"/>
    <w:rsid w:val="00E53734"/>
    <w:rsid w:val="00E555AD"/>
    <w:rsid w:val="00E56A14"/>
    <w:rsid w:val="00E61AD8"/>
    <w:rsid w:val="00E66A26"/>
    <w:rsid w:val="00E71E97"/>
    <w:rsid w:val="00E735AD"/>
    <w:rsid w:val="00E754ED"/>
    <w:rsid w:val="00E75705"/>
    <w:rsid w:val="00E770BA"/>
    <w:rsid w:val="00E804EE"/>
    <w:rsid w:val="00E831A0"/>
    <w:rsid w:val="00E85BFC"/>
    <w:rsid w:val="00EA12D9"/>
    <w:rsid w:val="00EB45A5"/>
    <w:rsid w:val="00EC0F79"/>
    <w:rsid w:val="00EC109A"/>
    <w:rsid w:val="00EC1738"/>
    <w:rsid w:val="00EC19E3"/>
    <w:rsid w:val="00EC25C3"/>
    <w:rsid w:val="00EC3191"/>
    <w:rsid w:val="00EC5084"/>
    <w:rsid w:val="00ED0663"/>
    <w:rsid w:val="00ED1EAC"/>
    <w:rsid w:val="00ED31E4"/>
    <w:rsid w:val="00ED4BB8"/>
    <w:rsid w:val="00ED76A0"/>
    <w:rsid w:val="00EE327D"/>
    <w:rsid w:val="00EE3F35"/>
    <w:rsid w:val="00EE4379"/>
    <w:rsid w:val="00EE5A41"/>
    <w:rsid w:val="00EF1C5E"/>
    <w:rsid w:val="00EF222D"/>
    <w:rsid w:val="00EF4199"/>
    <w:rsid w:val="00EF4CB4"/>
    <w:rsid w:val="00EF5E7C"/>
    <w:rsid w:val="00EF64CB"/>
    <w:rsid w:val="00EF6607"/>
    <w:rsid w:val="00F01ACD"/>
    <w:rsid w:val="00F01CF7"/>
    <w:rsid w:val="00F055D5"/>
    <w:rsid w:val="00F05BEA"/>
    <w:rsid w:val="00F06DDF"/>
    <w:rsid w:val="00F075DC"/>
    <w:rsid w:val="00F0781E"/>
    <w:rsid w:val="00F07931"/>
    <w:rsid w:val="00F10524"/>
    <w:rsid w:val="00F14613"/>
    <w:rsid w:val="00F162C1"/>
    <w:rsid w:val="00F20583"/>
    <w:rsid w:val="00F20DCD"/>
    <w:rsid w:val="00F220B9"/>
    <w:rsid w:val="00F23EFF"/>
    <w:rsid w:val="00F23F0C"/>
    <w:rsid w:val="00F2520A"/>
    <w:rsid w:val="00F263DF"/>
    <w:rsid w:val="00F321A9"/>
    <w:rsid w:val="00F32995"/>
    <w:rsid w:val="00F344C7"/>
    <w:rsid w:val="00F34CF7"/>
    <w:rsid w:val="00F40C81"/>
    <w:rsid w:val="00F41BC0"/>
    <w:rsid w:val="00F45037"/>
    <w:rsid w:val="00F45C4D"/>
    <w:rsid w:val="00F46605"/>
    <w:rsid w:val="00F46B5E"/>
    <w:rsid w:val="00F50218"/>
    <w:rsid w:val="00F517F8"/>
    <w:rsid w:val="00F52ED8"/>
    <w:rsid w:val="00F53EAC"/>
    <w:rsid w:val="00F55A84"/>
    <w:rsid w:val="00F620E5"/>
    <w:rsid w:val="00F63715"/>
    <w:rsid w:val="00F65584"/>
    <w:rsid w:val="00F7025E"/>
    <w:rsid w:val="00F7100A"/>
    <w:rsid w:val="00F71ABD"/>
    <w:rsid w:val="00F7426E"/>
    <w:rsid w:val="00F762EA"/>
    <w:rsid w:val="00F76821"/>
    <w:rsid w:val="00F820A5"/>
    <w:rsid w:val="00F87106"/>
    <w:rsid w:val="00F87B37"/>
    <w:rsid w:val="00F87F36"/>
    <w:rsid w:val="00F919E3"/>
    <w:rsid w:val="00F92BCB"/>
    <w:rsid w:val="00F9362C"/>
    <w:rsid w:val="00F97538"/>
    <w:rsid w:val="00FA0649"/>
    <w:rsid w:val="00FA5594"/>
    <w:rsid w:val="00FA58FE"/>
    <w:rsid w:val="00FA670F"/>
    <w:rsid w:val="00FA6AA4"/>
    <w:rsid w:val="00FA7C90"/>
    <w:rsid w:val="00FA7FBA"/>
    <w:rsid w:val="00FB0623"/>
    <w:rsid w:val="00FB27E5"/>
    <w:rsid w:val="00FB4BB3"/>
    <w:rsid w:val="00FB516A"/>
    <w:rsid w:val="00FC0D14"/>
    <w:rsid w:val="00FC1538"/>
    <w:rsid w:val="00FC1E68"/>
    <w:rsid w:val="00FC545A"/>
    <w:rsid w:val="00FC64BE"/>
    <w:rsid w:val="00FD026C"/>
    <w:rsid w:val="00FD08FA"/>
    <w:rsid w:val="00FD0F6D"/>
    <w:rsid w:val="00FD2583"/>
    <w:rsid w:val="00FD2FA6"/>
    <w:rsid w:val="00FD3426"/>
    <w:rsid w:val="00FD560A"/>
    <w:rsid w:val="00FD6607"/>
    <w:rsid w:val="00FD6B5C"/>
    <w:rsid w:val="00FE093B"/>
    <w:rsid w:val="00FE2098"/>
    <w:rsid w:val="00FE3E6B"/>
    <w:rsid w:val="00FE4DB6"/>
    <w:rsid w:val="00FE5460"/>
    <w:rsid w:val="00FF2CCE"/>
    <w:rsid w:val="00FF4DB9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A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2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2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2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2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2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620F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E62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6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9E620F"/>
    <w:rPr>
      <w:b/>
      <w:bCs/>
    </w:rPr>
  </w:style>
  <w:style w:type="paragraph" w:styleId="ListParagraph">
    <w:name w:val="List Paragraph"/>
    <w:basedOn w:val="Normal"/>
    <w:uiPriority w:val="34"/>
    <w:qFormat/>
    <w:rsid w:val="009E6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0B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996"/>
    <w:pPr>
      <w:keepLines/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719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199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199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371996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1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9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71996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68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6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6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6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68A"/>
  </w:style>
  <w:style w:type="character" w:customStyle="1" w:styleId="CommentTextChar">
    <w:name w:val="Comment Text Char"/>
    <w:basedOn w:val="DefaultParagraphFont"/>
    <w:link w:val="CommentText"/>
    <w:uiPriority w:val="99"/>
    <w:rsid w:val="00B966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3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1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2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68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C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2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2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2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20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E62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620F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E62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62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9E620F"/>
    <w:rPr>
      <w:b/>
      <w:bCs/>
    </w:rPr>
  </w:style>
  <w:style w:type="paragraph" w:styleId="ListParagraph">
    <w:name w:val="List Paragraph"/>
    <w:basedOn w:val="Normal"/>
    <w:uiPriority w:val="34"/>
    <w:qFormat/>
    <w:rsid w:val="009E6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50B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1996"/>
    <w:pPr>
      <w:keepLines/>
      <w:autoSpaceDE/>
      <w:autoSpaceDN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719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199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71996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371996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1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7199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71996"/>
    <w:rPr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668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668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66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96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68A"/>
  </w:style>
  <w:style w:type="character" w:customStyle="1" w:styleId="CommentTextChar">
    <w:name w:val="Comment Text Char"/>
    <w:basedOn w:val="DefaultParagraphFont"/>
    <w:link w:val="CommentText"/>
    <w:uiPriority w:val="99"/>
    <w:rsid w:val="00B9668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6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4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4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36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14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B2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6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64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3505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640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86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4241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9665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30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9310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97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56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1458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3698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50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5406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9143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5412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7348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689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57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834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68566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51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06853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866B-072F-42FC-A713-3AB962E3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Saunders</dc:creator>
  <cp:lastModifiedBy>SYSTEM</cp:lastModifiedBy>
  <cp:revision>2</cp:revision>
  <dcterms:created xsi:type="dcterms:W3CDTF">2019-04-22T19:42:00Z</dcterms:created>
  <dcterms:modified xsi:type="dcterms:W3CDTF">2019-04-22T19:42:00Z</dcterms:modified>
</cp:coreProperties>
</file>