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00693C" w:rsidR="007D6E75" w:rsidP="008111D2" w:rsidRDefault="007D6E75" w14:paraId="75EEA833" w14:textId="577DB9B7">
      <w:pPr>
        <w:spacing w:after="0" w:line="240" w:lineRule="auto"/>
        <w:jc w:val="center"/>
        <w:rPr>
          <w:rFonts w:cs="Times New Roman"/>
          <w:sz w:val="28"/>
          <w:szCs w:val="28"/>
        </w:rPr>
      </w:pPr>
      <w:bookmarkStart w:name="_GoBack" w:id="0"/>
      <w:bookmarkEnd w:id="0"/>
      <w:r w:rsidRPr="0000693C">
        <w:rPr>
          <w:rFonts w:cs="Times New Roman"/>
          <w:sz w:val="28"/>
          <w:szCs w:val="28"/>
        </w:rPr>
        <w:t>Application to Use Burden/Hours from Generic PRA Clearance:</w:t>
      </w:r>
    </w:p>
    <w:p w:rsidRPr="0000693C" w:rsidR="00706AC2" w:rsidP="008111D2" w:rsidRDefault="00706AC2" w14:paraId="5FB7AC56" w14:textId="77777777">
      <w:pPr>
        <w:spacing w:after="0" w:line="240" w:lineRule="auto"/>
        <w:jc w:val="center"/>
        <w:rPr>
          <w:rFonts w:cs="Times New Roman"/>
          <w:sz w:val="28"/>
          <w:szCs w:val="28"/>
        </w:rPr>
      </w:pPr>
      <w:r w:rsidRPr="0000693C">
        <w:rPr>
          <w:rFonts w:cs="Times New Roman"/>
          <w:sz w:val="28"/>
          <w:szCs w:val="28"/>
        </w:rPr>
        <w:t xml:space="preserve">Testing of Web Survey Design and Administration for CMS Experience of Care Surveys </w:t>
      </w:r>
    </w:p>
    <w:p w:rsidRPr="0000693C" w:rsidR="00DF098E" w:rsidP="008111D2" w:rsidRDefault="007D6E75" w14:paraId="245B3C61" w14:textId="77777777">
      <w:pPr>
        <w:spacing w:after="0" w:line="240" w:lineRule="auto"/>
        <w:jc w:val="center"/>
        <w:rPr>
          <w:rFonts w:cs="Times New Roman"/>
          <w:sz w:val="28"/>
          <w:szCs w:val="28"/>
        </w:rPr>
      </w:pPr>
      <w:r w:rsidRPr="0000693C">
        <w:rPr>
          <w:rFonts w:cs="Times New Roman"/>
          <w:sz w:val="28"/>
          <w:szCs w:val="28"/>
        </w:rPr>
        <w:t>(CMS-</w:t>
      </w:r>
      <w:r w:rsidRPr="0000693C" w:rsidR="00706AC2">
        <w:rPr>
          <w:rFonts w:cs="Times New Roman"/>
          <w:sz w:val="28"/>
          <w:szCs w:val="28"/>
        </w:rPr>
        <w:t>10694</w:t>
      </w:r>
      <w:r w:rsidRPr="0000693C">
        <w:rPr>
          <w:rFonts w:cs="Times New Roman"/>
          <w:sz w:val="28"/>
          <w:szCs w:val="28"/>
        </w:rPr>
        <w:t>, OMB 0938-1</w:t>
      </w:r>
      <w:r w:rsidRPr="0000693C" w:rsidR="00706AC2">
        <w:rPr>
          <w:rFonts w:cs="Times New Roman"/>
          <w:sz w:val="28"/>
          <w:szCs w:val="28"/>
        </w:rPr>
        <w:t>370</w:t>
      </w:r>
      <w:r w:rsidRPr="0000693C">
        <w:rPr>
          <w:rFonts w:cs="Times New Roman"/>
          <w:sz w:val="28"/>
          <w:szCs w:val="28"/>
        </w:rPr>
        <w:t>)</w:t>
      </w:r>
    </w:p>
    <w:p w:rsidRPr="0000693C" w:rsidR="007D6E75" w:rsidP="008111D2" w:rsidRDefault="007D6E75" w14:paraId="5B28269C" w14:textId="77777777">
      <w:pPr>
        <w:spacing w:after="0" w:line="240" w:lineRule="auto"/>
        <w:jc w:val="center"/>
        <w:rPr>
          <w:rFonts w:cs="Times New Roman"/>
          <w:sz w:val="28"/>
          <w:szCs w:val="28"/>
        </w:rPr>
      </w:pPr>
    </w:p>
    <w:p w:rsidRPr="0000693C" w:rsidR="009E3FAC" w:rsidP="00A91470" w:rsidRDefault="00A91470" w14:paraId="2E5E128D" w14:textId="7457F843">
      <w:pPr>
        <w:jc w:val="center"/>
        <w:rPr>
          <w:rFonts w:cs="Times New Roman"/>
          <w:sz w:val="28"/>
          <w:szCs w:val="28"/>
        </w:rPr>
      </w:pPr>
      <w:r w:rsidRPr="0000693C">
        <w:rPr>
          <w:rFonts w:cs="Times New Roman"/>
          <w:b/>
          <w:sz w:val="28"/>
          <w:szCs w:val="28"/>
        </w:rPr>
        <w:t xml:space="preserve">Generic </w:t>
      </w:r>
      <w:r w:rsidRPr="0000693C" w:rsidR="00CB646D">
        <w:rPr>
          <w:rFonts w:cs="Times New Roman"/>
          <w:b/>
          <w:sz w:val="28"/>
          <w:szCs w:val="28"/>
        </w:rPr>
        <w:t>Information Collection</w:t>
      </w:r>
      <w:r w:rsidRPr="0000693C">
        <w:rPr>
          <w:rFonts w:cs="Times New Roman"/>
          <w:b/>
          <w:sz w:val="28"/>
          <w:szCs w:val="28"/>
        </w:rPr>
        <w:t xml:space="preserve"> (GenIC</w:t>
      </w:r>
      <w:r w:rsidRPr="009F0D4B">
        <w:rPr>
          <w:rFonts w:cs="Times New Roman"/>
          <w:b/>
          <w:sz w:val="28"/>
          <w:szCs w:val="28"/>
        </w:rPr>
        <w:t>)</w:t>
      </w:r>
      <w:r w:rsidRPr="009F0D4B" w:rsidR="00CB646D">
        <w:rPr>
          <w:rFonts w:cs="Times New Roman"/>
          <w:b/>
          <w:sz w:val="28"/>
          <w:szCs w:val="28"/>
        </w:rPr>
        <w:t xml:space="preserve"> </w:t>
      </w:r>
      <w:r w:rsidRPr="009F0D4B" w:rsidR="00FE644A">
        <w:rPr>
          <w:rFonts w:cs="Times New Roman"/>
          <w:b/>
          <w:sz w:val="28"/>
          <w:szCs w:val="28"/>
        </w:rPr>
        <w:t>#</w:t>
      </w:r>
      <w:r w:rsidRPr="009F0D4B" w:rsidR="009F0D4B">
        <w:rPr>
          <w:rFonts w:cs="Times New Roman"/>
          <w:b/>
          <w:sz w:val="28"/>
          <w:szCs w:val="28"/>
        </w:rPr>
        <w:t>2</w:t>
      </w:r>
      <w:r w:rsidRPr="003A0618">
        <w:rPr>
          <w:rFonts w:cs="Times New Roman"/>
          <w:b/>
          <w:sz w:val="28"/>
          <w:szCs w:val="28"/>
        </w:rPr>
        <w:t xml:space="preserve">: </w:t>
      </w:r>
      <w:r w:rsidRPr="003A0618" w:rsidR="005E13B0">
        <w:rPr>
          <w:rFonts w:cs="Times New Roman"/>
          <w:b/>
          <w:sz w:val="28"/>
          <w:szCs w:val="28"/>
        </w:rPr>
        <w:t>HCAHPS Mode Experiment</w:t>
      </w:r>
    </w:p>
    <w:p w:rsidRPr="0000693C" w:rsidR="007D6E75" w:rsidP="008111D2" w:rsidRDefault="007D6E75" w14:paraId="69FA89EE" w14:textId="77777777">
      <w:pPr>
        <w:spacing w:after="0" w:line="240" w:lineRule="auto"/>
        <w:jc w:val="center"/>
        <w:rPr>
          <w:rFonts w:cs="Times New Roman"/>
          <w:b/>
          <w:sz w:val="28"/>
          <w:szCs w:val="28"/>
        </w:rPr>
      </w:pPr>
    </w:p>
    <w:p w:rsidRPr="0000693C" w:rsidR="007D6E75" w:rsidP="008111D2" w:rsidRDefault="007D6E75" w14:paraId="4B8A6014" w14:textId="77777777">
      <w:pPr>
        <w:spacing w:after="0" w:line="240" w:lineRule="auto"/>
        <w:jc w:val="center"/>
        <w:rPr>
          <w:rFonts w:cs="Times New Roman"/>
          <w:sz w:val="28"/>
          <w:szCs w:val="28"/>
        </w:rPr>
      </w:pPr>
    </w:p>
    <w:p w:rsidRPr="0000693C" w:rsidR="007D6E75" w:rsidP="008111D2" w:rsidRDefault="007D6E75" w14:paraId="1694B955" w14:textId="77777777">
      <w:pPr>
        <w:spacing w:after="0" w:line="240" w:lineRule="auto"/>
        <w:jc w:val="center"/>
        <w:rPr>
          <w:rFonts w:cs="Times New Roman"/>
          <w:sz w:val="28"/>
          <w:szCs w:val="28"/>
        </w:rPr>
      </w:pPr>
    </w:p>
    <w:p w:rsidRPr="0000693C" w:rsidR="007D6E75" w:rsidP="008111D2" w:rsidRDefault="007D6E75" w14:paraId="6296B217" w14:textId="77777777">
      <w:pPr>
        <w:spacing w:after="0" w:line="240" w:lineRule="auto"/>
        <w:jc w:val="center"/>
        <w:rPr>
          <w:rFonts w:cs="Times New Roman"/>
          <w:sz w:val="28"/>
          <w:szCs w:val="28"/>
        </w:rPr>
      </w:pPr>
    </w:p>
    <w:p w:rsidRPr="0000693C" w:rsidR="00711091" w:rsidP="008111D2" w:rsidRDefault="00711091" w14:paraId="27020613" w14:textId="7B8A65F4">
      <w:pPr>
        <w:spacing w:after="0" w:line="240" w:lineRule="auto"/>
        <w:jc w:val="center"/>
        <w:rPr>
          <w:rFonts w:cs="Times New Roman"/>
          <w:sz w:val="28"/>
          <w:szCs w:val="28"/>
        </w:rPr>
      </w:pPr>
      <w:r w:rsidRPr="0000693C">
        <w:rPr>
          <w:rFonts w:cs="Times New Roman"/>
          <w:sz w:val="28"/>
          <w:szCs w:val="28"/>
        </w:rPr>
        <w:t>Division of Consumer Assessment &amp; Plan Performance (DCAPP)</w:t>
      </w:r>
    </w:p>
    <w:p w:rsidRPr="0000693C" w:rsidR="007D6E75" w:rsidP="008111D2" w:rsidRDefault="00706AC2" w14:paraId="4A3B0FBF" w14:textId="13866CA1">
      <w:pPr>
        <w:spacing w:after="0" w:line="240" w:lineRule="auto"/>
        <w:jc w:val="center"/>
        <w:rPr>
          <w:rFonts w:cs="Times New Roman"/>
          <w:sz w:val="28"/>
          <w:szCs w:val="28"/>
        </w:rPr>
      </w:pPr>
      <w:r w:rsidRPr="0000693C">
        <w:rPr>
          <w:rFonts w:cs="Times New Roman"/>
          <w:sz w:val="28"/>
          <w:szCs w:val="28"/>
        </w:rPr>
        <w:t>Center for Medicare</w:t>
      </w:r>
      <w:r w:rsidRPr="0000693C" w:rsidR="00A702E7">
        <w:rPr>
          <w:rFonts w:cs="Times New Roman"/>
          <w:sz w:val="28"/>
          <w:szCs w:val="28"/>
        </w:rPr>
        <w:t xml:space="preserve"> </w:t>
      </w:r>
      <w:r w:rsidRPr="0000693C" w:rsidR="007D6E75">
        <w:rPr>
          <w:rFonts w:cs="Times New Roman"/>
          <w:sz w:val="28"/>
          <w:szCs w:val="28"/>
        </w:rPr>
        <w:t>(</w:t>
      </w:r>
      <w:r w:rsidRPr="0000693C">
        <w:rPr>
          <w:rFonts w:cs="Times New Roman"/>
          <w:sz w:val="28"/>
          <w:szCs w:val="28"/>
        </w:rPr>
        <w:t>CM</w:t>
      </w:r>
      <w:r w:rsidRPr="0000693C" w:rsidR="007D6E75">
        <w:rPr>
          <w:rFonts w:cs="Times New Roman"/>
          <w:sz w:val="28"/>
          <w:szCs w:val="28"/>
        </w:rPr>
        <w:t>)</w:t>
      </w:r>
    </w:p>
    <w:p w:rsidRPr="0000693C" w:rsidR="007D6E75" w:rsidP="008111D2" w:rsidRDefault="007D6E75" w14:paraId="56D7E1BC" w14:textId="77777777">
      <w:pPr>
        <w:spacing w:after="0" w:line="240" w:lineRule="auto"/>
        <w:jc w:val="center"/>
        <w:rPr>
          <w:rFonts w:cs="Times New Roman"/>
          <w:sz w:val="28"/>
          <w:szCs w:val="28"/>
        </w:rPr>
      </w:pPr>
      <w:r w:rsidRPr="0000693C">
        <w:rPr>
          <w:rFonts w:cs="Times New Roman"/>
          <w:sz w:val="28"/>
          <w:szCs w:val="28"/>
        </w:rPr>
        <w:t>Centers for Medicare &amp; Medicaid Services (CMS)</w:t>
      </w:r>
    </w:p>
    <w:p w:rsidRPr="00A91470" w:rsidR="007D6E75" w:rsidP="008111D2" w:rsidRDefault="007D6E75" w14:paraId="32FBD0D9" w14:textId="77777777">
      <w:pPr>
        <w:spacing w:after="0" w:line="240" w:lineRule="auto"/>
        <w:rPr>
          <w:rFonts w:cs="Times New Roman"/>
          <w:szCs w:val="24"/>
        </w:rPr>
        <w:sectPr w:rsidRPr="00A91470" w:rsidR="007D6E75" w:rsidSect="007D6E75">
          <w:footerReference w:type="default" r:id="rId7"/>
          <w:pgSz w:w="12240" w:h="15840" w:code="1"/>
          <w:pgMar w:top="1440" w:right="1440" w:bottom="1440" w:left="1440" w:header="720" w:footer="720" w:gutter="0"/>
          <w:cols w:space="720"/>
          <w:vAlign w:val="center"/>
          <w:docGrid w:linePitch="360"/>
        </w:sectPr>
      </w:pPr>
    </w:p>
    <w:p w:rsidR="007D6E75" w:rsidP="00E219C3" w:rsidRDefault="007D6E75" w14:paraId="0187EFB9" w14:textId="77777777">
      <w:pPr>
        <w:pStyle w:val="Heading1"/>
        <w:numPr>
          <w:ilvl w:val="0"/>
          <w:numId w:val="12"/>
        </w:numPr>
      </w:pPr>
      <w:r w:rsidRPr="00A91470">
        <w:lastRenderedPageBreak/>
        <w:t>Background</w:t>
      </w:r>
    </w:p>
    <w:p w:rsidR="00D06B63" w:rsidP="00D06B63" w:rsidRDefault="00D06B63" w14:paraId="7153FF7C" w14:textId="77777777">
      <w:pPr>
        <w:widowControl w:val="0"/>
        <w:autoSpaceDE w:val="0"/>
        <w:autoSpaceDN w:val="0"/>
        <w:spacing w:before="1" w:after="0" w:line="240" w:lineRule="auto"/>
        <w:ind w:right="187"/>
      </w:pPr>
    </w:p>
    <w:p w:rsidR="00D07D28" w:rsidP="00A773F8" w:rsidRDefault="00D06B63" w14:paraId="74CFF665" w14:textId="30D32AFE">
      <w:pPr>
        <w:spacing w:line="360" w:lineRule="auto"/>
        <w:rPr>
          <w:szCs w:val="24"/>
        </w:rPr>
      </w:pPr>
      <w:r w:rsidRPr="00D06B63">
        <w:rPr>
          <w:szCs w:val="24"/>
        </w:rPr>
        <w:t>The HCAHPS (Hospital Consumer Assessment of Healthcare Providers and Systems) Survey is the first national, standardized, publicly reported survey of patients’ perspectives of their hospital care. Since 2008, HCAHPS has allowed valid comparisons to be made across hospitals locally, regionally and nationally.</w:t>
      </w:r>
      <w:r w:rsidR="00007BDA">
        <w:rPr>
          <w:szCs w:val="24"/>
        </w:rPr>
        <w:t xml:space="preserve">  </w:t>
      </w:r>
    </w:p>
    <w:p w:rsidRPr="00904271" w:rsidR="008557F9" w:rsidP="00A773F8" w:rsidRDefault="008557F9" w14:paraId="5694560A" w14:textId="695B9EF0">
      <w:pPr>
        <w:spacing w:line="360" w:lineRule="auto"/>
        <w:rPr>
          <w:szCs w:val="24"/>
        </w:rPr>
      </w:pPr>
      <w:r w:rsidRPr="00F556D3">
        <w:rPr>
          <w:szCs w:val="24"/>
        </w:rPr>
        <w:t xml:space="preserve">HCAHPS currently offers four approved modes of survey administration: Mail Only, Telephone Only, Mixed Mode (mail with telephone follow-up of non-respondents), and Interactive Voice Response. The Mode experiment will allow CMS to test </w:t>
      </w:r>
      <w:r w:rsidRPr="00904271">
        <w:rPr>
          <w:szCs w:val="24"/>
        </w:rPr>
        <w:t xml:space="preserve">the effect of adding a web-based mode to the HCAHPS Survey and assess </w:t>
      </w:r>
      <w:r w:rsidRPr="00F556D3">
        <w:rPr>
          <w:szCs w:val="24"/>
        </w:rPr>
        <w:t xml:space="preserve">the impact of using a web-based mode on survey response rates and scores. The mode experiment will include some new and modified survey items.  </w:t>
      </w:r>
    </w:p>
    <w:p w:rsidR="00D06B63" w:rsidP="00A773F8" w:rsidRDefault="00007BDA" w14:paraId="3868C2D7" w14:textId="38A78166">
      <w:pPr>
        <w:spacing w:line="360" w:lineRule="auto"/>
        <w:rPr>
          <w:szCs w:val="24"/>
        </w:rPr>
      </w:pPr>
      <w:r>
        <w:rPr>
          <w:szCs w:val="24"/>
        </w:rPr>
        <w:t xml:space="preserve">In order to promote survey participation, </w:t>
      </w:r>
      <w:r w:rsidR="00A61BC8">
        <w:rPr>
          <w:szCs w:val="24"/>
        </w:rPr>
        <w:t>improve</w:t>
      </w:r>
      <w:r>
        <w:rPr>
          <w:szCs w:val="24"/>
        </w:rPr>
        <w:t xml:space="preserve"> response rates (in particular among younger patients), and keep current with common modes of survey administration CMS will test administration of the</w:t>
      </w:r>
      <w:r w:rsidR="00A61BC8">
        <w:rPr>
          <w:szCs w:val="24"/>
        </w:rPr>
        <w:t xml:space="preserve"> HCAHPS</w:t>
      </w:r>
      <w:r>
        <w:rPr>
          <w:szCs w:val="24"/>
        </w:rPr>
        <w:t xml:space="preserve"> survey via web as part of a mode experiment.</w:t>
      </w:r>
      <w:r w:rsidR="00996CA9">
        <w:rPr>
          <w:szCs w:val="24"/>
        </w:rPr>
        <w:t xml:space="preserve"> Under this mode experiment CMS will administer HCAHPS via web </w:t>
      </w:r>
      <w:r w:rsidR="002153ED">
        <w:rPr>
          <w:szCs w:val="24"/>
        </w:rPr>
        <w:t xml:space="preserve">followed by either mail, telephone, or mail and telephone mixed modes </w:t>
      </w:r>
      <w:r w:rsidR="00996CA9">
        <w:rPr>
          <w:szCs w:val="24"/>
        </w:rPr>
        <w:t xml:space="preserve">in order to assess response rate, characteristics of patients who respond via web, and performance of HCAHPS measures.  The results of the experiment will inform CMS decision making about future implementation of HCAHPS via web and </w:t>
      </w:r>
      <w:r w:rsidR="002153ED">
        <w:rPr>
          <w:szCs w:val="24"/>
        </w:rPr>
        <w:t xml:space="preserve">survey mode adjustments necessary for </w:t>
      </w:r>
      <w:r w:rsidR="00996CA9">
        <w:rPr>
          <w:szCs w:val="24"/>
        </w:rPr>
        <w:t>web administration</w:t>
      </w:r>
      <w:r w:rsidR="002153ED">
        <w:rPr>
          <w:szCs w:val="24"/>
        </w:rPr>
        <w:t>.</w:t>
      </w:r>
    </w:p>
    <w:p w:rsidR="00345424" w:rsidP="00A773F8" w:rsidRDefault="00345424" w14:paraId="459FE855" w14:textId="28C8CD94">
      <w:pPr>
        <w:spacing w:after="0" w:line="360" w:lineRule="auto"/>
      </w:pPr>
      <w:r>
        <w:t>CMS has received feedback from hospitals, hospital associations, survey vendors, and other stakeholders requesting the option to administer the survey using a web mode as an alternative to the existing approved modes. The</w:t>
      </w:r>
      <w:r w:rsidR="00A61BC8">
        <w:t xml:space="preserve"> stakeholders’ </w:t>
      </w:r>
      <w:r>
        <w:t xml:space="preserve">suggestions are </w:t>
      </w:r>
      <w:r w:rsidR="00A61BC8">
        <w:t xml:space="preserve">generally </w:t>
      </w:r>
      <w:r>
        <w:t>aimed at improving the survey’s response rate, obtaining a more representative set of survey respondents, and reducing the cost of survey administration.</w:t>
      </w:r>
    </w:p>
    <w:p w:rsidR="00345424" w:rsidP="00A773F8" w:rsidRDefault="00345424" w14:paraId="22A0DE0C" w14:textId="77777777">
      <w:pPr>
        <w:spacing w:after="0" w:line="360" w:lineRule="auto"/>
        <w:jc w:val="center"/>
      </w:pPr>
    </w:p>
    <w:p w:rsidR="00345424" w:rsidP="00A773F8" w:rsidRDefault="00A61BC8" w14:paraId="10732BAF" w14:textId="52105B4D">
      <w:pPr>
        <w:spacing w:after="0" w:line="360" w:lineRule="auto"/>
      </w:pPr>
      <w:r>
        <w:t>CMS believes that t</w:t>
      </w:r>
      <w:r w:rsidR="00345424">
        <w:t xml:space="preserve">he addition of a web-based </w:t>
      </w:r>
      <w:r>
        <w:t xml:space="preserve">survey in mixed mode formats </w:t>
      </w:r>
      <w:r w:rsidR="00345424">
        <w:t xml:space="preserve">has the potential to improve response rates, particularly among </w:t>
      </w:r>
      <w:r w:rsidR="00B360B5">
        <w:t xml:space="preserve">patients </w:t>
      </w:r>
      <w:r w:rsidR="00345424">
        <w:t xml:space="preserve">who have the lowest response rates to </w:t>
      </w:r>
      <w:r w:rsidR="00B360B5">
        <w:t>HCAHPS</w:t>
      </w:r>
      <w:r w:rsidR="004646F0">
        <w:t xml:space="preserve">, such as younger patients.  In 2019, while the overall response rate for HCAHPS was 22%, the response rate for patients ages 65 and older was above 30%, while that for patients 18-54 was below 15%.  </w:t>
      </w:r>
      <w:r>
        <w:t xml:space="preserve">There is reason to </w:t>
      </w:r>
      <w:r w:rsidR="004646F0">
        <w:t xml:space="preserve">believe that offering a web-based survey as the first </w:t>
      </w:r>
      <w:r>
        <w:t xml:space="preserve">mode </w:t>
      </w:r>
      <w:r w:rsidR="004646F0">
        <w:lastRenderedPageBreak/>
        <w:t xml:space="preserve">in a mixed mode format could increase the participation of younger patients. </w:t>
      </w:r>
      <w:r w:rsidR="00345424">
        <w:t xml:space="preserve">In the </w:t>
      </w:r>
      <w:r>
        <w:t xml:space="preserve">hospital-based </w:t>
      </w:r>
      <w:r w:rsidR="00345424">
        <w:t>emergency department setting</w:t>
      </w:r>
      <w:r>
        <w:t>,</w:t>
      </w:r>
      <w:r w:rsidR="000D4B80">
        <w:t xml:space="preserve"> using a survey similar in design and content to </w:t>
      </w:r>
      <w:r>
        <w:t>HCAHPS,</w:t>
      </w:r>
      <w:r w:rsidR="00345424">
        <w:t xml:space="preserve"> </w:t>
      </w:r>
      <w:r w:rsidR="004646F0">
        <w:t xml:space="preserve">field </w:t>
      </w:r>
      <w:r w:rsidR="00345424">
        <w:t xml:space="preserve">research </w:t>
      </w:r>
      <w:r w:rsidR="004646F0">
        <w:t xml:space="preserve">showed </w:t>
      </w:r>
      <w:r w:rsidR="00345424">
        <w:t>that</w:t>
      </w:r>
      <w:r w:rsidR="005427A3">
        <w:t xml:space="preserve">, </w:t>
      </w:r>
      <w:r w:rsidR="00F4179B">
        <w:t>(1)</w:t>
      </w:r>
      <w:r w:rsidR="00345424">
        <w:t xml:space="preserve"> a higher survey response rate could be achieved by using a web</w:t>
      </w:r>
      <w:r w:rsidR="000D4B80">
        <w:t>-based</w:t>
      </w:r>
      <w:r w:rsidR="00345424">
        <w:t xml:space="preserve"> survey as the initial </w:t>
      </w:r>
      <w:r>
        <w:t>mode</w:t>
      </w:r>
      <w:r w:rsidR="00345424">
        <w:t xml:space="preserve"> followed by mail and telephone compared to mail and telephone </w:t>
      </w:r>
      <w:r w:rsidR="000D4B80">
        <w:t xml:space="preserve">survey arms </w:t>
      </w:r>
      <w:r w:rsidR="00345424">
        <w:t>without web,</w:t>
      </w:r>
      <w:r w:rsidR="00345424">
        <w:rPr>
          <w:rStyle w:val="FootnoteReference"/>
        </w:rPr>
        <w:footnoteReference w:id="1"/>
      </w:r>
      <w:r w:rsidR="00345424">
        <w:t xml:space="preserve"> and </w:t>
      </w:r>
      <w:r w:rsidR="00F4179B">
        <w:t>(</w:t>
      </w:r>
      <w:r w:rsidR="005427A3">
        <w:t xml:space="preserve">2) </w:t>
      </w:r>
      <w:r w:rsidR="00345424">
        <w:t>characteristics (e.g., age) of telephone and web respondents were more representative of the sampled population than mail respondents.</w:t>
      </w:r>
      <w:r w:rsidR="00345424">
        <w:rPr>
          <w:rStyle w:val="FootnoteReference"/>
        </w:rPr>
        <w:footnoteReference w:id="2"/>
      </w:r>
      <w:r w:rsidR="00D07D28">
        <w:t xml:space="preserve"> </w:t>
      </w:r>
    </w:p>
    <w:p w:rsidR="009B19E8" w:rsidP="00A773F8" w:rsidRDefault="009B19E8" w14:paraId="063BB344" w14:textId="77777777">
      <w:pPr>
        <w:pStyle w:val="Heading1"/>
        <w:spacing w:line="360" w:lineRule="auto"/>
      </w:pPr>
    </w:p>
    <w:p w:rsidR="007D6E75" w:rsidP="00E219C3" w:rsidRDefault="007D6E75" w14:paraId="3B58F080" w14:textId="77777777">
      <w:pPr>
        <w:pStyle w:val="Heading1"/>
      </w:pPr>
      <w:r w:rsidRPr="00A91470">
        <w:t>B. Description of Information Collection</w:t>
      </w:r>
    </w:p>
    <w:p w:rsidR="004D4A8B" w:rsidP="00D06B63" w:rsidRDefault="004D4A8B" w14:paraId="5E0F2C33" w14:textId="77777777">
      <w:pPr>
        <w:pStyle w:val="BodyText"/>
        <w:spacing w:before="1"/>
        <w:ind w:right="187"/>
        <w:rPr>
          <w:highlight w:val="yellow"/>
        </w:rPr>
      </w:pPr>
    </w:p>
    <w:p w:rsidR="004D4A8B" w:rsidP="00A773F8" w:rsidRDefault="004D4A8B" w14:paraId="071F883B" w14:textId="76EC0943">
      <w:pPr>
        <w:pStyle w:val="BodyText"/>
        <w:spacing w:before="1" w:line="360" w:lineRule="auto"/>
        <w:ind w:right="189"/>
      </w:pPr>
      <w:r w:rsidRPr="004D4A8B">
        <w:t xml:space="preserve">Data from CMS Experience of Care Surveys are publicly reported and many survey results are linked to payment to health and drug plans and to providers and facilities in the effort to improve the quality of care. As such, these survey data come under </w:t>
      </w:r>
      <w:r w:rsidR="00F40800">
        <w:t>close</w:t>
      </w:r>
      <w:r w:rsidRPr="004D4A8B">
        <w:t xml:space="preserve"> scrutiny by the public and the regulated community. The design, testing, and implementation of these surveys is held to the strictest of statistical survey methodologies and standards. This generic clearance request is to support methodological research designed to improve the quality and reduce the burden of the suite of CMS Experience of Care Surveys. This generic clearance request encompasses an array of research activities to support decisions about whether and how to add web administration protocols to a series of surveys conducted by </w:t>
      </w:r>
      <w:r w:rsidR="005427A3">
        <w:t xml:space="preserve">CMS. </w:t>
      </w:r>
    </w:p>
    <w:p w:rsidR="005427A3" w:rsidP="00A773F8" w:rsidRDefault="005427A3" w14:paraId="3A39FD0E" w14:textId="11CB3F29">
      <w:pPr>
        <w:pStyle w:val="BodyText"/>
        <w:spacing w:before="1" w:line="360" w:lineRule="auto"/>
        <w:ind w:right="189"/>
      </w:pPr>
    </w:p>
    <w:p w:rsidRPr="00AB6203" w:rsidR="005427A3" w:rsidP="00A773F8" w:rsidRDefault="005427A3" w14:paraId="16D10F37" w14:textId="01F63953">
      <w:pPr>
        <w:pStyle w:val="BodyText"/>
        <w:spacing w:before="1" w:line="360" w:lineRule="auto"/>
        <w:ind w:right="189"/>
        <w:rPr>
          <w:highlight w:val="yellow"/>
        </w:rPr>
      </w:pPr>
      <w:r>
        <w:t xml:space="preserve">We are requesting clearance under the </w:t>
      </w:r>
      <w:r w:rsidRPr="00706AC2">
        <w:t>Testing of Web Survey Design and Administration for CMS Experience of Care Surveys</w:t>
      </w:r>
      <w:r>
        <w:t xml:space="preserve"> generic clearance package that supports an array of research activities to support the decisions about whether and how to add the web administration to CMS patient experience of care surveys. This request focuses on the HCAHPS Survey</w:t>
      </w:r>
      <w:r w:rsidR="003A0618">
        <w:t xml:space="preserve"> of hospital inpatients</w:t>
      </w:r>
      <w:r>
        <w:t>.</w:t>
      </w:r>
    </w:p>
    <w:p w:rsidR="00536F05" w:rsidP="00A773F8" w:rsidRDefault="00E322FB" w14:paraId="18FDB19C" w14:textId="0E97E596">
      <w:pPr>
        <w:spacing w:before="240" w:line="360" w:lineRule="auto"/>
      </w:pPr>
      <w:r>
        <w:t xml:space="preserve">The HCAHPS Survey is administered to </w:t>
      </w:r>
      <w:r w:rsidRPr="001074CC">
        <w:t xml:space="preserve">a random sample of </w:t>
      </w:r>
      <w:r>
        <w:t xml:space="preserve">adult inpatients between 48 hours and six weeks after discharge. Patients admitted in the medical, surgical and maternity care </w:t>
      </w:r>
      <w:r>
        <w:lastRenderedPageBreak/>
        <w:t xml:space="preserve">service lines are eligible for the survey; HCAHPS is not restricted to Medicare patients. </w:t>
      </w:r>
      <w:r w:rsidR="005F43DA">
        <w:t xml:space="preserve"> The proposed mode experiment design will apply all </w:t>
      </w:r>
      <w:r w:rsidR="00536F05">
        <w:t xml:space="preserve">HCAHPS </w:t>
      </w:r>
      <w:r w:rsidR="005F43DA">
        <w:t>eligibility criteria</w:t>
      </w:r>
      <w:r w:rsidR="00536F05">
        <w:t>, which are detailed in the HCAHPS Quality Assurance Guidelines, V15.0, pp. 57-64 (</w:t>
      </w:r>
      <w:hyperlink w:history="1" r:id="rId8">
        <w:r w:rsidRPr="008F00EC" w:rsidR="00536F05">
          <w:rPr>
            <w:rStyle w:val="Hyperlink"/>
          </w:rPr>
          <w:t>https://hcahpsonline.org/globalassets/hcahps/quality-assurance/2020_qag_v15.0.pdf</w:t>
        </w:r>
      </w:hyperlink>
      <w:r w:rsidR="00536F05">
        <w:t>).</w:t>
      </w:r>
    </w:p>
    <w:p w:rsidR="00E322FB" w:rsidP="00A773F8" w:rsidRDefault="00E322FB" w14:paraId="4D6D6E48" w14:textId="7F126785">
      <w:pPr>
        <w:spacing w:line="360" w:lineRule="auto"/>
      </w:pPr>
      <w:r>
        <w:t xml:space="preserve">CMS has recruited </w:t>
      </w:r>
      <w:r w:rsidR="00950FAC">
        <w:t xml:space="preserve">a group of </w:t>
      </w:r>
      <w:r>
        <w:t xml:space="preserve">hospitals </w:t>
      </w:r>
      <w:r w:rsidR="00536F05">
        <w:t>with</w:t>
      </w:r>
      <w:r>
        <w:t xml:space="preserve"> </w:t>
      </w:r>
      <w:r w:rsidR="00536F05">
        <w:t xml:space="preserve">enough </w:t>
      </w:r>
      <w:r w:rsidR="00950FAC">
        <w:t xml:space="preserve">HCAHPS-eligible patients </w:t>
      </w:r>
      <w:r w:rsidR="00536F05">
        <w:t>to enable them to contri</w:t>
      </w:r>
      <w:r w:rsidR="00950FAC">
        <w:t xml:space="preserve">bute a specified number </w:t>
      </w:r>
      <w:r w:rsidR="00536F05">
        <w:t xml:space="preserve">of patients </w:t>
      </w:r>
      <w:r w:rsidR="00950FAC">
        <w:t>each month for six months to the mode experiment without jeopardizing the</w:t>
      </w:r>
      <w:r w:rsidR="00FF17B1">
        <w:t xml:space="preserve"> hospitals’ </w:t>
      </w:r>
      <w:r w:rsidR="00950FAC">
        <w:t xml:space="preserve">participation in CMS programs that employ </w:t>
      </w:r>
      <w:r w:rsidR="005427A3">
        <w:t xml:space="preserve">HCAHPS, such as the Hospital Inpatient Quality Reporting and Hospital Value-Based Purchasing programs.  The </w:t>
      </w:r>
      <w:r w:rsidR="00950FAC">
        <w:t xml:space="preserve">50 hospitals included in the mode experiment are broadly representative of all participating hospitals in </w:t>
      </w:r>
      <w:r>
        <w:t xml:space="preserve">terms of </w:t>
      </w:r>
      <w:r w:rsidR="00950FAC">
        <w:t xml:space="preserve">location, </w:t>
      </w:r>
      <w:r>
        <w:t xml:space="preserve">bed size, and </w:t>
      </w:r>
      <w:r w:rsidR="00950FAC">
        <w:t xml:space="preserve">HCAHPS </w:t>
      </w:r>
      <w:r>
        <w:t xml:space="preserve">performance. </w:t>
      </w:r>
    </w:p>
    <w:p w:rsidRPr="00F556D3" w:rsidR="00E322FB" w:rsidP="00A773F8" w:rsidRDefault="00467B75" w14:paraId="1229983E" w14:textId="297D315B">
      <w:pPr>
        <w:spacing w:line="360" w:lineRule="auto"/>
        <w:rPr>
          <w:szCs w:val="24"/>
        </w:rPr>
      </w:pPr>
      <w:r>
        <w:t xml:space="preserve">The patients submitted each month </w:t>
      </w:r>
      <w:r w:rsidR="000A4BD7">
        <w:t xml:space="preserve">for this mode experiment </w:t>
      </w:r>
      <w:r>
        <w:t xml:space="preserve">by </w:t>
      </w:r>
      <w:r w:rsidR="000A4BD7">
        <w:t xml:space="preserve">each </w:t>
      </w:r>
      <w:r>
        <w:t xml:space="preserve">participating hospital will be randomly assigned </w:t>
      </w:r>
      <w:r w:rsidR="002D56A8">
        <w:t xml:space="preserve">in equal proportion </w:t>
      </w:r>
      <w:r>
        <w:t>to the six arms of the mode experiment: three existing modes (M</w:t>
      </w:r>
      <w:r w:rsidRPr="001074CC">
        <w:t>ail</w:t>
      </w:r>
      <w:r>
        <w:t xml:space="preserve"> Only</w:t>
      </w:r>
      <w:r w:rsidRPr="001074CC">
        <w:t xml:space="preserve">, </w:t>
      </w:r>
      <w:r>
        <w:t>T</w:t>
      </w:r>
      <w:r w:rsidRPr="001074CC">
        <w:t>elephone</w:t>
      </w:r>
      <w:r>
        <w:t xml:space="preserve"> Only</w:t>
      </w:r>
      <w:r w:rsidRPr="001074CC">
        <w:t xml:space="preserve">, </w:t>
      </w:r>
      <w:r>
        <w:t xml:space="preserve">Mixed </w:t>
      </w:r>
      <w:r w:rsidR="000A4BD7">
        <w:t xml:space="preserve">Mode </w:t>
      </w:r>
      <w:r>
        <w:t>(</w:t>
      </w:r>
      <w:r w:rsidRPr="001074CC">
        <w:t>mail with telephone follow-up</w:t>
      </w:r>
      <w:r w:rsidR="000A4BD7">
        <w:t>)</w:t>
      </w:r>
      <w:r>
        <w:t xml:space="preserve">), and three </w:t>
      </w:r>
      <w:r w:rsidR="00957990">
        <w:t xml:space="preserve">experimental </w:t>
      </w:r>
      <w:r>
        <w:t>modes that include an initial web-based survey (E-mail</w:t>
      </w:r>
      <w:r w:rsidR="001206A4">
        <w:t>-</w:t>
      </w:r>
      <w:r>
        <w:t>M</w:t>
      </w:r>
      <w:r w:rsidRPr="001074CC">
        <w:t xml:space="preserve">ail, </w:t>
      </w:r>
      <w:r>
        <w:t>E-mail-T</w:t>
      </w:r>
      <w:r w:rsidRPr="001074CC">
        <w:t>elephone</w:t>
      </w:r>
      <w:r w:rsidR="000A4BD7">
        <w:t xml:space="preserve">, </w:t>
      </w:r>
      <w:r w:rsidRPr="001074CC">
        <w:t xml:space="preserve"> </w:t>
      </w:r>
      <w:r w:rsidR="0045061C">
        <w:t>E-mail</w:t>
      </w:r>
      <w:r w:rsidR="00FF17B1">
        <w:t>–</w:t>
      </w:r>
      <w:r w:rsidR="000A4BD7">
        <w:t>Mail-Telephone</w:t>
      </w:r>
      <w:r w:rsidR="0045061C">
        <w:t xml:space="preserve">. </w:t>
      </w:r>
      <w:r w:rsidR="000A4BD7">
        <w:t xml:space="preserve">Across the experimental mixed modes CMS will vary the duration of the e-mail phase and the timing of </w:t>
      </w:r>
      <w:r w:rsidR="00FF17B1">
        <w:t xml:space="preserve">the </w:t>
      </w:r>
      <w:r w:rsidR="000A4BD7">
        <w:t xml:space="preserve">e-mail </w:t>
      </w:r>
      <w:r w:rsidRPr="00904271" w:rsidR="000A4BD7">
        <w:t xml:space="preserve">reminders.  </w:t>
      </w:r>
      <w:r w:rsidRPr="00904271" w:rsidR="0045061C">
        <w:t>Patients will be randomly assigned to the arms irrespective of the availability of an e-mail address.</w:t>
      </w:r>
      <w:r w:rsidRPr="00BC0016" w:rsidR="00D86F80">
        <w:t xml:space="preserve">  </w:t>
      </w:r>
      <w:r w:rsidRPr="00F556D3" w:rsidR="00D86F80">
        <w:rPr>
          <w:szCs w:val="24"/>
        </w:rPr>
        <w:t xml:space="preserve">We will not </w:t>
      </w:r>
      <w:r w:rsidRPr="00F556D3" w:rsidR="000A4BD7">
        <w:rPr>
          <w:szCs w:val="24"/>
        </w:rPr>
        <w:t xml:space="preserve">test </w:t>
      </w:r>
      <w:r w:rsidRPr="00F556D3" w:rsidR="00D86F80">
        <w:rPr>
          <w:szCs w:val="24"/>
        </w:rPr>
        <w:t xml:space="preserve">an e-mail-only mode because of evidence that </w:t>
      </w:r>
      <w:r w:rsidRPr="00F556D3" w:rsidR="000A4BD7">
        <w:rPr>
          <w:szCs w:val="24"/>
        </w:rPr>
        <w:t xml:space="preserve">it </w:t>
      </w:r>
      <w:r w:rsidRPr="00F556D3" w:rsidR="003045C1">
        <w:rPr>
          <w:szCs w:val="24"/>
        </w:rPr>
        <w:t xml:space="preserve">yields </w:t>
      </w:r>
      <w:r w:rsidRPr="00F556D3" w:rsidR="00D86F80">
        <w:rPr>
          <w:szCs w:val="24"/>
        </w:rPr>
        <w:t>both low response rate and unrepresentative respondents.</w:t>
      </w:r>
      <w:r w:rsidRPr="00F556D3" w:rsidR="00D86F80">
        <w:rPr>
          <w:rStyle w:val="FootnoteReference"/>
          <w:szCs w:val="24"/>
        </w:rPr>
        <w:footnoteReference w:id="3"/>
      </w:r>
      <w:r w:rsidRPr="00F556D3" w:rsidR="00D86F80">
        <w:rPr>
          <w:szCs w:val="24"/>
        </w:rPr>
        <w:t xml:space="preserve"> </w:t>
      </w:r>
      <w:r w:rsidRPr="00F556D3" w:rsidR="00D86F80">
        <w:rPr>
          <w:rStyle w:val="FootnoteReference"/>
          <w:szCs w:val="24"/>
        </w:rPr>
        <w:footnoteReference w:id="4"/>
      </w:r>
      <w:r w:rsidRPr="00F556D3" w:rsidR="00D86F80">
        <w:rPr>
          <w:szCs w:val="24"/>
        </w:rPr>
        <w:t xml:space="preserve">  </w:t>
      </w:r>
    </w:p>
    <w:p w:rsidRPr="00CB274D" w:rsidR="00B865F5" w:rsidP="003A0618" w:rsidRDefault="00B865F5" w14:paraId="441A4FFB" w14:textId="42DB2A47">
      <w:pPr>
        <w:spacing w:line="360" w:lineRule="auto"/>
        <w:rPr>
          <w:szCs w:val="24"/>
        </w:rPr>
      </w:pPr>
      <w:r w:rsidRPr="00CB274D">
        <w:t xml:space="preserve">In the three web-based study arms invitations to the web survey will be sent by email to patients with email addresses. The email will be personalized to the discharged patient and will include a link to the web version of the survey, which can be completed on either a computer or a mobile device such as a smartphone or tablet. A reminder invitation will be sent approximately three days after the initial invitation. If the patient does not complete the web survey approximately one week after the first email invitation or does not have a valid email address to send an email, </w:t>
      </w:r>
      <w:r w:rsidRPr="00CB274D">
        <w:lastRenderedPageBreak/>
        <w:t>the secondary mode (mail or</w:t>
      </w:r>
      <w:r w:rsidR="003A0618">
        <w:t xml:space="preserve"> tele</w:t>
      </w:r>
      <w:r w:rsidRPr="00CB274D">
        <w:t xml:space="preserve">phone) will be initiated. </w:t>
      </w:r>
      <w:r w:rsidRPr="00CB274D">
        <w:rPr>
          <w:szCs w:val="24"/>
        </w:rPr>
        <w:t>The table below summarizes the contact attempts by study arm.</w:t>
      </w:r>
    </w:p>
    <w:tbl>
      <w:tblPr>
        <w:tblW w:w="7698" w:type="dxa"/>
        <w:tblInd w:w="108" w:type="dxa"/>
        <w:tblLook w:val="04A0" w:firstRow="1" w:lastRow="0" w:firstColumn="1" w:lastColumn="0" w:noHBand="0" w:noVBand="1"/>
      </w:tblPr>
      <w:tblGrid>
        <w:gridCol w:w="2402"/>
        <w:gridCol w:w="1868"/>
        <w:gridCol w:w="1803"/>
        <w:gridCol w:w="1625"/>
      </w:tblGrid>
      <w:tr w:rsidRPr="00CB274D" w:rsidR="00B865F5" w:rsidTr="00B865F5" w14:paraId="5770BA92" w14:textId="77777777">
        <w:trPr>
          <w:cantSplit/>
        </w:trPr>
        <w:tc>
          <w:tcPr>
            <w:tcW w:w="2402"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CB274D" w:rsidR="00B865F5" w:rsidP="00B865F5" w:rsidRDefault="00B865F5" w14:paraId="407B2D78" w14:textId="77777777">
            <w:pPr>
              <w:rPr>
                <w:b/>
                <w:bCs/>
                <w:color w:val="000000"/>
              </w:rPr>
            </w:pPr>
            <w:r w:rsidRPr="00CB274D">
              <w:rPr>
                <w:b/>
                <w:bCs/>
                <w:color w:val="000000"/>
                <w:szCs w:val="20"/>
              </w:rPr>
              <w:t>Study Arm</w:t>
            </w:r>
          </w:p>
        </w:tc>
        <w:tc>
          <w:tcPr>
            <w:tcW w:w="1868" w:type="dxa"/>
            <w:tcBorders>
              <w:top w:val="single" w:color="auto" w:sz="8" w:space="0"/>
              <w:left w:val="nil"/>
              <w:bottom w:val="single" w:color="auto" w:sz="8" w:space="0"/>
              <w:right w:val="single" w:color="auto" w:sz="8" w:space="0"/>
            </w:tcBorders>
            <w:shd w:val="clear" w:color="auto" w:fill="auto"/>
            <w:vAlign w:val="center"/>
            <w:hideMark/>
          </w:tcPr>
          <w:p w:rsidRPr="00CB274D" w:rsidR="00B865F5" w:rsidP="00B865F5" w:rsidRDefault="00B865F5" w14:paraId="508C33E7" w14:textId="34E22A44">
            <w:pPr>
              <w:jc w:val="center"/>
              <w:rPr>
                <w:b/>
                <w:bCs/>
                <w:color w:val="000000"/>
              </w:rPr>
            </w:pPr>
            <w:r w:rsidRPr="00CB274D">
              <w:rPr>
                <w:b/>
                <w:bCs/>
                <w:color w:val="000000"/>
                <w:szCs w:val="20"/>
              </w:rPr>
              <w:t>Number of Email Invitation</w:t>
            </w:r>
            <w:r w:rsidR="003A0618">
              <w:rPr>
                <w:b/>
                <w:bCs/>
                <w:color w:val="000000"/>
                <w:szCs w:val="20"/>
              </w:rPr>
              <w:t>s</w:t>
            </w:r>
          </w:p>
        </w:tc>
        <w:tc>
          <w:tcPr>
            <w:tcW w:w="1803" w:type="dxa"/>
            <w:tcBorders>
              <w:top w:val="single" w:color="auto" w:sz="8" w:space="0"/>
              <w:left w:val="nil"/>
              <w:bottom w:val="single" w:color="auto" w:sz="8" w:space="0"/>
              <w:right w:val="single" w:color="auto" w:sz="8" w:space="0"/>
            </w:tcBorders>
            <w:shd w:val="clear" w:color="auto" w:fill="auto"/>
            <w:vAlign w:val="center"/>
            <w:hideMark/>
          </w:tcPr>
          <w:p w:rsidRPr="00CB274D" w:rsidR="00B865F5" w:rsidP="00B865F5" w:rsidRDefault="00B865F5" w14:paraId="2DB0008F" w14:textId="77777777">
            <w:pPr>
              <w:jc w:val="center"/>
              <w:rPr>
                <w:b/>
                <w:bCs/>
                <w:color w:val="000000"/>
              </w:rPr>
            </w:pPr>
            <w:r w:rsidRPr="00CB274D">
              <w:rPr>
                <w:b/>
                <w:bCs/>
                <w:color w:val="000000"/>
                <w:szCs w:val="20"/>
              </w:rPr>
              <w:t>Number of Survey Mailings</w:t>
            </w:r>
          </w:p>
        </w:tc>
        <w:tc>
          <w:tcPr>
            <w:tcW w:w="1625" w:type="dxa"/>
            <w:tcBorders>
              <w:top w:val="single" w:color="auto" w:sz="8" w:space="0"/>
              <w:left w:val="nil"/>
              <w:bottom w:val="single" w:color="auto" w:sz="8" w:space="0"/>
              <w:right w:val="single" w:color="auto" w:sz="8" w:space="0"/>
            </w:tcBorders>
            <w:shd w:val="clear" w:color="auto" w:fill="auto"/>
            <w:vAlign w:val="center"/>
            <w:hideMark/>
          </w:tcPr>
          <w:p w:rsidRPr="00CB274D" w:rsidR="00B865F5" w:rsidP="003A0618" w:rsidRDefault="00B865F5" w14:paraId="5412270B" w14:textId="6CF1C4CD">
            <w:pPr>
              <w:jc w:val="center"/>
              <w:rPr>
                <w:b/>
                <w:bCs/>
                <w:color w:val="000000"/>
              </w:rPr>
            </w:pPr>
            <w:r w:rsidRPr="00CB274D">
              <w:rPr>
                <w:b/>
                <w:bCs/>
                <w:color w:val="000000"/>
                <w:szCs w:val="20"/>
              </w:rPr>
              <w:t xml:space="preserve">Number of </w:t>
            </w:r>
            <w:r w:rsidR="003A0618">
              <w:rPr>
                <w:b/>
                <w:bCs/>
                <w:color w:val="000000"/>
                <w:szCs w:val="20"/>
              </w:rPr>
              <w:t>Telep</w:t>
            </w:r>
            <w:r w:rsidRPr="00CB274D">
              <w:rPr>
                <w:b/>
                <w:bCs/>
                <w:color w:val="000000"/>
                <w:szCs w:val="20"/>
              </w:rPr>
              <w:t>hone Attempts</w:t>
            </w:r>
          </w:p>
        </w:tc>
      </w:tr>
      <w:tr w:rsidRPr="00CB274D" w:rsidR="00B865F5" w:rsidTr="00B865F5" w14:paraId="65762779" w14:textId="77777777">
        <w:trPr>
          <w:cantSplit/>
        </w:trPr>
        <w:tc>
          <w:tcPr>
            <w:tcW w:w="2402" w:type="dxa"/>
            <w:tcBorders>
              <w:top w:val="single" w:color="auto" w:sz="8" w:space="0"/>
              <w:left w:val="single" w:color="auto" w:sz="8" w:space="0"/>
              <w:bottom w:val="single" w:color="auto" w:sz="6" w:space="0"/>
              <w:right w:val="single" w:color="auto" w:sz="6" w:space="0"/>
            </w:tcBorders>
            <w:shd w:val="clear" w:color="auto" w:fill="auto"/>
            <w:vAlign w:val="center"/>
            <w:hideMark/>
          </w:tcPr>
          <w:p w:rsidRPr="00CB274D" w:rsidR="00B865F5" w:rsidP="00B865F5" w:rsidRDefault="00B865F5" w14:paraId="1AB24A42" w14:textId="77777777">
            <w:pPr>
              <w:rPr>
                <w:color w:val="000000"/>
              </w:rPr>
            </w:pPr>
            <w:r w:rsidRPr="00CB274D">
              <w:rPr>
                <w:color w:val="000000"/>
              </w:rPr>
              <w:t>Web+mail</w:t>
            </w:r>
          </w:p>
        </w:tc>
        <w:tc>
          <w:tcPr>
            <w:tcW w:w="1868" w:type="dxa"/>
            <w:tcBorders>
              <w:top w:val="single" w:color="auto" w:sz="8" w:space="0"/>
              <w:left w:val="single" w:color="auto" w:sz="6" w:space="0"/>
              <w:bottom w:val="single" w:color="auto" w:sz="6" w:space="0"/>
              <w:right w:val="single" w:color="auto" w:sz="6" w:space="0"/>
            </w:tcBorders>
            <w:shd w:val="clear" w:color="auto" w:fill="auto"/>
            <w:vAlign w:val="center"/>
            <w:hideMark/>
          </w:tcPr>
          <w:p w:rsidRPr="00CB274D" w:rsidR="00B865F5" w:rsidP="00B865F5" w:rsidRDefault="00B865F5" w14:paraId="44D789F0" w14:textId="77777777">
            <w:pPr>
              <w:jc w:val="center"/>
              <w:rPr>
                <w:color w:val="000000"/>
              </w:rPr>
            </w:pPr>
            <w:r w:rsidRPr="00CB274D">
              <w:rPr>
                <w:color w:val="000000"/>
              </w:rPr>
              <w:t>Up to 3</w:t>
            </w:r>
          </w:p>
        </w:tc>
        <w:tc>
          <w:tcPr>
            <w:tcW w:w="1803" w:type="dxa"/>
            <w:tcBorders>
              <w:top w:val="single" w:color="auto" w:sz="8" w:space="0"/>
              <w:left w:val="single" w:color="auto" w:sz="6" w:space="0"/>
              <w:bottom w:val="single" w:color="auto" w:sz="6" w:space="0"/>
              <w:right w:val="single" w:color="auto" w:sz="6" w:space="0"/>
            </w:tcBorders>
            <w:shd w:val="clear" w:color="auto" w:fill="auto"/>
            <w:vAlign w:val="center"/>
            <w:hideMark/>
          </w:tcPr>
          <w:p w:rsidRPr="00CB274D" w:rsidR="00B865F5" w:rsidP="00B865F5" w:rsidRDefault="00B865F5" w14:paraId="1BD38C5D" w14:textId="77777777">
            <w:pPr>
              <w:jc w:val="center"/>
              <w:rPr>
                <w:color w:val="000000"/>
              </w:rPr>
            </w:pPr>
            <w:r w:rsidRPr="00CB274D">
              <w:rPr>
                <w:color w:val="000000"/>
              </w:rPr>
              <w:t>Up to 2</w:t>
            </w:r>
          </w:p>
        </w:tc>
        <w:tc>
          <w:tcPr>
            <w:tcW w:w="1625" w:type="dxa"/>
            <w:tcBorders>
              <w:top w:val="single" w:color="auto" w:sz="8" w:space="0"/>
              <w:left w:val="single" w:color="auto" w:sz="6" w:space="0"/>
              <w:bottom w:val="single" w:color="auto" w:sz="6" w:space="0"/>
              <w:right w:val="single" w:color="auto" w:sz="6" w:space="0"/>
            </w:tcBorders>
            <w:shd w:val="clear" w:color="auto" w:fill="auto"/>
            <w:vAlign w:val="center"/>
          </w:tcPr>
          <w:p w:rsidRPr="00CB274D" w:rsidR="00B865F5" w:rsidP="00B865F5" w:rsidRDefault="00B865F5" w14:paraId="1DBC8CE6" w14:textId="77777777">
            <w:pPr>
              <w:jc w:val="center"/>
              <w:rPr>
                <w:color w:val="000000"/>
              </w:rPr>
            </w:pPr>
            <w:r w:rsidRPr="00CB274D">
              <w:rPr>
                <w:color w:val="000000"/>
              </w:rPr>
              <w:t>None</w:t>
            </w:r>
          </w:p>
        </w:tc>
      </w:tr>
      <w:tr w:rsidRPr="00CB274D" w:rsidR="00B865F5" w:rsidTr="00B865F5" w14:paraId="3EEABE03" w14:textId="77777777">
        <w:trPr>
          <w:cantSplit/>
        </w:trPr>
        <w:tc>
          <w:tcPr>
            <w:tcW w:w="2402" w:type="dxa"/>
            <w:tcBorders>
              <w:top w:val="single" w:color="auto" w:sz="6" w:space="0"/>
              <w:left w:val="single" w:color="auto" w:sz="8" w:space="0"/>
              <w:bottom w:val="single" w:color="auto" w:sz="6" w:space="0"/>
              <w:right w:val="single" w:color="auto" w:sz="6" w:space="0"/>
            </w:tcBorders>
            <w:shd w:val="clear" w:color="auto" w:fill="auto"/>
            <w:vAlign w:val="center"/>
          </w:tcPr>
          <w:p w:rsidRPr="00CB274D" w:rsidR="00B865F5" w:rsidP="00B865F5" w:rsidRDefault="00B865F5" w14:paraId="00D53796" w14:textId="7F0DDC6B">
            <w:pPr>
              <w:rPr>
                <w:color w:val="000000"/>
              </w:rPr>
            </w:pPr>
            <w:r w:rsidRPr="00CB274D">
              <w:rPr>
                <w:color w:val="000000"/>
              </w:rPr>
              <w:t>Web+</w:t>
            </w:r>
            <w:r w:rsidR="003A0618">
              <w:rPr>
                <w:color w:val="000000"/>
              </w:rPr>
              <w:t>tele</w:t>
            </w:r>
            <w:r w:rsidRPr="00CB274D">
              <w:rPr>
                <w:color w:val="000000"/>
              </w:rPr>
              <w:t>phone</w:t>
            </w:r>
          </w:p>
        </w:tc>
        <w:tc>
          <w:tcPr>
            <w:tcW w:w="1868" w:type="dxa"/>
            <w:tcBorders>
              <w:top w:val="single" w:color="auto" w:sz="6" w:space="0"/>
              <w:left w:val="single" w:color="auto" w:sz="6" w:space="0"/>
              <w:bottom w:val="single" w:color="auto" w:sz="6" w:space="0"/>
              <w:right w:val="single" w:color="auto" w:sz="6" w:space="0"/>
            </w:tcBorders>
            <w:shd w:val="clear" w:color="auto" w:fill="auto"/>
            <w:vAlign w:val="center"/>
          </w:tcPr>
          <w:p w:rsidRPr="00CB274D" w:rsidR="00B865F5" w:rsidP="00B865F5" w:rsidRDefault="00B865F5" w14:paraId="0EC214D1" w14:textId="77777777">
            <w:pPr>
              <w:jc w:val="center"/>
              <w:rPr>
                <w:color w:val="000000"/>
              </w:rPr>
            </w:pPr>
            <w:r w:rsidRPr="00CB274D">
              <w:rPr>
                <w:color w:val="000000"/>
              </w:rPr>
              <w:t>Up to 3</w:t>
            </w:r>
          </w:p>
        </w:tc>
        <w:tc>
          <w:tcPr>
            <w:tcW w:w="1803" w:type="dxa"/>
            <w:tcBorders>
              <w:top w:val="single" w:color="auto" w:sz="6" w:space="0"/>
              <w:left w:val="single" w:color="auto" w:sz="6" w:space="0"/>
              <w:bottom w:val="single" w:color="auto" w:sz="6" w:space="0"/>
              <w:right w:val="single" w:color="auto" w:sz="6" w:space="0"/>
            </w:tcBorders>
            <w:shd w:val="clear" w:color="auto" w:fill="auto"/>
            <w:vAlign w:val="center"/>
          </w:tcPr>
          <w:p w:rsidRPr="00CB274D" w:rsidR="00B865F5" w:rsidP="00B865F5" w:rsidRDefault="00B865F5" w14:paraId="46A5468E" w14:textId="77777777">
            <w:pPr>
              <w:jc w:val="center"/>
              <w:rPr>
                <w:color w:val="000000"/>
              </w:rPr>
            </w:pPr>
            <w:r w:rsidRPr="00CB274D">
              <w:rPr>
                <w:color w:val="000000"/>
              </w:rPr>
              <w:t>None</w:t>
            </w:r>
          </w:p>
        </w:tc>
        <w:tc>
          <w:tcPr>
            <w:tcW w:w="1625" w:type="dxa"/>
            <w:tcBorders>
              <w:top w:val="single" w:color="auto" w:sz="6" w:space="0"/>
              <w:left w:val="single" w:color="auto" w:sz="6" w:space="0"/>
              <w:bottom w:val="single" w:color="auto" w:sz="6" w:space="0"/>
              <w:right w:val="single" w:color="auto" w:sz="6" w:space="0"/>
            </w:tcBorders>
            <w:shd w:val="clear" w:color="auto" w:fill="auto"/>
            <w:vAlign w:val="center"/>
          </w:tcPr>
          <w:p w:rsidRPr="00CB274D" w:rsidR="00B865F5" w:rsidP="00B865F5" w:rsidRDefault="00B865F5" w14:paraId="4D909681" w14:textId="77777777">
            <w:pPr>
              <w:jc w:val="center"/>
              <w:rPr>
                <w:color w:val="000000"/>
              </w:rPr>
            </w:pPr>
            <w:r w:rsidRPr="00CB274D">
              <w:rPr>
                <w:color w:val="000000"/>
              </w:rPr>
              <w:t>Up to 5</w:t>
            </w:r>
          </w:p>
        </w:tc>
      </w:tr>
      <w:tr w:rsidRPr="00CB274D" w:rsidR="00B865F5" w:rsidTr="00B865F5" w14:paraId="5E106708" w14:textId="77777777">
        <w:trPr>
          <w:cantSplit/>
        </w:trPr>
        <w:tc>
          <w:tcPr>
            <w:tcW w:w="2402" w:type="dxa"/>
            <w:tcBorders>
              <w:top w:val="single" w:color="auto" w:sz="6" w:space="0"/>
              <w:left w:val="single" w:color="auto" w:sz="8" w:space="0"/>
              <w:bottom w:val="single" w:color="auto" w:sz="6" w:space="0"/>
              <w:right w:val="single" w:color="auto" w:sz="6" w:space="0"/>
            </w:tcBorders>
            <w:shd w:val="clear" w:color="auto" w:fill="auto"/>
            <w:vAlign w:val="center"/>
          </w:tcPr>
          <w:p w:rsidRPr="00CB274D" w:rsidR="00B865F5" w:rsidP="00B865F5" w:rsidRDefault="00B865F5" w14:paraId="4E884930" w14:textId="56540976">
            <w:pPr>
              <w:rPr>
                <w:color w:val="000000"/>
              </w:rPr>
            </w:pPr>
            <w:r w:rsidRPr="00CB274D">
              <w:rPr>
                <w:color w:val="000000"/>
              </w:rPr>
              <w:t>Web+mail+</w:t>
            </w:r>
            <w:r w:rsidR="003A0618">
              <w:rPr>
                <w:color w:val="000000"/>
              </w:rPr>
              <w:t>tele</w:t>
            </w:r>
            <w:r w:rsidRPr="00CB274D">
              <w:rPr>
                <w:color w:val="000000"/>
              </w:rPr>
              <w:t>phone</w:t>
            </w:r>
          </w:p>
        </w:tc>
        <w:tc>
          <w:tcPr>
            <w:tcW w:w="1868" w:type="dxa"/>
            <w:tcBorders>
              <w:top w:val="single" w:color="auto" w:sz="6" w:space="0"/>
              <w:left w:val="single" w:color="auto" w:sz="6" w:space="0"/>
              <w:bottom w:val="single" w:color="auto" w:sz="6" w:space="0"/>
              <w:right w:val="single" w:color="auto" w:sz="6" w:space="0"/>
            </w:tcBorders>
            <w:shd w:val="clear" w:color="auto" w:fill="auto"/>
            <w:vAlign w:val="center"/>
          </w:tcPr>
          <w:p w:rsidRPr="00CB274D" w:rsidR="00B865F5" w:rsidP="00B865F5" w:rsidRDefault="00B865F5" w14:paraId="5D6C96F2" w14:textId="77777777">
            <w:pPr>
              <w:jc w:val="center"/>
              <w:rPr>
                <w:color w:val="000000"/>
              </w:rPr>
            </w:pPr>
            <w:r w:rsidRPr="00CB274D">
              <w:rPr>
                <w:color w:val="000000"/>
              </w:rPr>
              <w:t>Up to 2</w:t>
            </w:r>
          </w:p>
        </w:tc>
        <w:tc>
          <w:tcPr>
            <w:tcW w:w="1803" w:type="dxa"/>
            <w:tcBorders>
              <w:top w:val="single" w:color="auto" w:sz="6" w:space="0"/>
              <w:left w:val="single" w:color="auto" w:sz="6" w:space="0"/>
              <w:bottom w:val="single" w:color="auto" w:sz="6" w:space="0"/>
              <w:right w:val="single" w:color="auto" w:sz="6" w:space="0"/>
            </w:tcBorders>
            <w:shd w:val="clear" w:color="auto" w:fill="auto"/>
            <w:vAlign w:val="center"/>
          </w:tcPr>
          <w:p w:rsidRPr="00CB274D" w:rsidR="00B865F5" w:rsidP="00B865F5" w:rsidRDefault="00B865F5" w14:paraId="29E799F5" w14:textId="77777777">
            <w:pPr>
              <w:jc w:val="center"/>
              <w:rPr>
                <w:color w:val="000000"/>
              </w:rPr>
            </w:pPr>
            <w:r w:rsidRPr="00CB274D">
              <w:rPr>
                <w:color w:val="000000"/>
              </w:rPr>
              <w:t>1</w:t>
            </w:r>
          </w:p>
        </w:tc>
        <w:tc>
          <w:tcPr>
            <w:tcW w:w="1625" w:type="dxa"/>
            <w:tcBorders>
              <w:top w:val="single" w:color="auto" w:sz="6" w:space="0"/>
              <w:left w:val="single" w:color="auto" w:sz="6" w:space="0"/>
              <w:bottom w:val="single" w:color="auto" w:sz="6" w:space="0"/>
              <w:right w:val="single" w:color="auto" w:sz="6" w:space="0"/>
            </w:tcBorders>
            <w:shd w:val="clear" w:color="auto" w:fill="auto"/>
            <w:vAlign w:val="center"/>
          </w:tcPr>
          <w:p w:rsidRPr="00CB274D" w:rsidR="00B865F5" w:rsidP="00B865F5" w:rsidRDefault="00B865F5" w14:paraId="350A0FE4" w14:textId="77777777">
            <w:pPr>
              <w:jc w:val="center"/>
              <w:rPr>
                <w:color w:val="000000"/>
              </w:rPr>
            </w:pPr>
            <w:r w:rsidRPr="00CB274D">
              <w:rPr>
                <w:color w:val="000000"/>
              </w:rPr>
              <w:t>Up to 5</w:t>
            </w:r>
          </w:p>
        </w:tc>
      </w:tr>
      <w:tr w:rsidRPr="00CB274D" w:rsidR="00B865F5" w:rsidTr="00B865F5" w14:paraId="03084D16" w14:textId="77777777">
        <w:trPr>
          <w:cantSplit/>
        </w:trPr>
        <w:tc>
          <w:tcPr>
            <w:tcW w:w="2402" w:type="dxa"/>
            <w:tcBorders>
              <w:top w:val="single" w:color="auto" w:sz="6" w:space="0"/>
              <w:left w:val="single" w:color="auto" w:sz="8" w:space="0"/>
              <w:bottom w:val="single" w:color="auto" w:sz="6" w:space="0"/>
              <w:right w:val="single" w:color="auto" w:sz="6" w:space="0"/>
            </w:tcBorders>
            <w:shd w:val="clear" w:color="auto" w:fill="auto"/>
            <w:vAlign w:val="center"/>
          </w:tcPr>
          <w:p w:rsidRPr="00CB274D" w:rsidR="00B865F5" w:rsidP="00B865F5" w:rsidRDefault="00B865F5" w14:paraId="364D8981" w14:textId="77777777">
            <w:pPr>
              <w:rPr>
                <w:color w:val="000000"/>
              </w:rPr>
            </w:pPr>
            <w:r w:rsidRPr="00CB274D">
              <w:rPr>
                <w:color w:val="000000"/>
              </w:rPr>
              <w:t>Mail only</w:t>
            </w:r>
          </w:p>
        </w:tc>
        <w:tc>
          <w:tcPr>
            <w:tcW w:w="1868" w:type="dxa"/>
            <w:tcBorders>
              <w:top w:val="single" w:color="auto" w:sz="6" w:space="0"/>
              <w:left w:val="single" w:color="auto" w:sz="6" w:space="0"/>
              <w:bottom w:val="single" w:color="auto" w:sz="6" w:space="0"/>
              <w:right w:val="single" w:color="auto" w:sz="6" w:space="0"/>
            </w:tcBorders>
            <w:shd w:val="clear" w:color="auto" w:fill="auto"/>
            <w:vAlign w:val="center"/>
          </w:tcPr>
          <w:p w:rsidRPr="00CB274D" w:rsidR="00B865F5" w:rsidP="00B865F5" w:rsidRDefault="00B865F5" w14:paraId="57A0ED68" w14:textId="77777777">
            <w:pPr>
              <w:jc w:val="center"/>
              <w:rPr>
                <w:color w:val="000000"/>
              </w:rPr>
            </w:pPr>
            <w:r w:rsidRPr="00CB274D">
              <w:rPr>
                <w:color w:val="000000"/>
              </w:rPr>
              <w:t>None</w:t>
            </w:r>
          </w:p>
        </w:tc>
        <w:tc>
          <w:tcPr>
            <w:tcW w:w="1803" w:type="dxa"/>
            <w:tcBorders>
              <w:top w:val="single" w:color="auto" w:sz="6" w:space="0"/>
              <w:left w:val="single" w:color="auto" w:sz="6" w:space="0"/>
              <w:bottom w:val="single" w:color="auto" w:sz="6" w:space="0"/>
              <w:right w:val="single" w:color="auto" w:sz="6" w:space="0"/>
            </w:tcBorders>
            <w:shd w:val="clear" w:color="auto" w:fill="auto"/>
            <w:vAlign w:val="center"/>
          </w:tcPr>
          <w:p w:rsidRPr="00CB274D" w:rsidR="00B865F5" w:rsidP="00B865F5" w:rsidRDefault="00B865F5" w14:paraId="53C09CED" w14:textId="77777777">
            <w:pPr>
              <w:jc w:val="center"/>
              <w:rPr>
                <w:color w:val="000000"/>
              </w:rPr>
            </w:pPr>
            <w:r w:rsidRPr="00CB274D">
              <w:rPr>
                <w:color w:val="000000"/>
              </w:rPr>
              <w:t>Up to 2</w:t>
            </w:r>
          </w:p>
        </w:tc>
        <w:tc>
          <w:tcPr>
            <w:tcW w:w="1625" w:type="dxa"/>
            <w:tcBorders>
              <w:top w:val="single" w:color="auto" w:sz="6" w:space="0"/>
              <w:left w:val="single" w:color="auto" w:sz="6" w:space="0"/>
              <w:bottom w:val="single" w:color="auto" w:sz="6" w:space="0"/>
              <w:right w:val="single" w:color="auto" w:sz="6" w:space="0"/>
            </w:tcBorders>
            <w:shd w:val="clear" w:color="auto" w:fill="auto"/>
            <w:vAlign w:val="center"/>
          </w:tcPr>
          <w:p w:rsidRPr="00CB274D" w:rsidR="00B865F5" w:rsidP="00B865F5" w:rsidRDefault="00B865F5" w14:paraId="1F510A63" w14:textId="77777777">
            <w:pPr>
              <w:jc w:val="center"/>
              <w:rPr>
                <w:color w:val="000000"/>
              </w:rPr>
            </w:pPr>
            <w:r w:rsidRPr="00CB274D">
              <w:rPr>
                <w:color w:val="000000"/>
              </w:rPr>
              <w:t>None</w:t>
            </w:r>
          </w:p>
        </w:tc>
      </w:tr>
      <w:tr w:rsidRPr="00CB274D" w:rsidR="00B865F5" w:rsidTr="00B865F5" w14:paraId="0BB3E7F0" w14:textId="77777777">
        <w:trPr>
          <w:cantSplit/>
        </w:trPr>
        <w:tc>
          <w:tcPr>
            <w:tcW w:w="2402" w:type="dxa"/>
            <w:tcBorders>
              <w:top w:val="single" w:color="auto" w:sz="6" w:space="0"/>
              <w:left w:val="single" w:color="auto" w:sz="8" w:space="0"/>
              <w:bottom w:val="single" w:color="auto" w:sz="6" w:space="0"/>
              <w:right w:val="single" w:color="auto" w:sz="6" w:space="0"/>
            </w:tcBorders>
            <w:shd w:val="clear" w:color="auto" w:fill="auto"/>
            <w:vAlign w:val="center"/>
          </w:tcPr>
          <w:p w:rsidRPr="00CB274D" w:rsidR="00B865F5" w:rsidP="003A0618" w:rsidRDefault="003A0618" w14:paraId="708205A7" w14:textId="1217D29A">
            <w:pPr>
              <w:rPr>
                <w:color w:val="000000"/>
              </w:rPr>
            </w:pPr>
            <w:r>
              <w:rPr>
                <w:color w:val="000000"/>
              </w:rPr>
              <w:t>Telep</w:t>
            </w:r>
            <w:r w:rsidRPr="00CB274D" w:rsidR="00B865F5">
              <w:rPr>
                <w:color w:val="000000"/>
              </w:rPr>
              <w:t>hone only</w:t>
            </w:r>
          </w:p>
        </w:tc>
        <w:tc>
          <w:tcPr>
            <w:tcW w:w="1868" w:type="dxa"/>
            <w:tcBorders>
              <w:top w:val="single" w:color="auto" w:sz="6" w:space="0"/>
              <w:left w:val="single" w:color="auto" w:sz="6" w:space="0"/>
              <w:bottom w:val="single" w:color="auto" w:sz="6" w:space="0"/>
              <w:right w:val="single" w:color="auto" w:sz="6" w:space="0"/>
            </w:tcBorders>
            <w:shd w:val="clear" w:color="auto" w:fill="auto"/>
            <w:vAlign w:val="center"/>
          </w:tcPr>
          <w:p w:rsidRPr="00CB274D" w:rsidR="00B865F5" w:rsidP="00B865F5" w:rsidRDefault="00B865F5" w14:paraId="471FCE82" w14:textId="77777777">
            <w:pPr>
              <w:jc w:val="center"/>
              <w:rPr>
                <w:color w:val="000000"/>
              </w:rPr>
            </w:pPr>
            <w:r w:rsidRPr="00CB274D">
              <w:rPr>
                <w:color w:val="000000"/>
              </w:rPr>
              <w:t>None</w:t>
            </w:r>
          </w:p>
        </w:tc>
        <w:tc>
          <w:tcPr>
            <w:tcW w:w="1803" w:type="dxa"/>
            <w:tcBorders>
              <w:top w:val="single" w:color="auto" w:sz="6" w:space="0"/>
              <w:left w:val="single" w:color="auto" w:sz="6" w:space="0"/>
              <w:bottom w:val="single" w:color="auto" w:sz="6" w:space="0"/>
              <w:right w:val="single" w:color="auto" w:sz="6" w:space="0"/>
            </w:tcBorders>
            <w:shd w:val="clear" w:color="auto" w:fill="auto"/>
            <w:vAlign w:val="center"/>
          </w:tcPr>
          <w:p w:rsidRPr="00CB274D" w:rsidR="00B865F5" w:rsidP="00B865F5" w:rsidRDefault="00B865F5" w14:paraId="2A421EEE" w14:textId="77777777">
            <w:pPr>
              <w:jc w:val="center"/>
              <w:rPr>
                <w:color w:val="000000"/>
              </w:rPr>
            </w:pPr>
            <w:r w:rsidRPr="00CB274D">
              <w:rPr>
                <w:color w:val="000000"/>
              </w:rPr>
              <w:t>None</w:t>
            </w:r>
          </w:p>
        </w:tc>
        <w:tc>
          <w:tcPr>
            <w:tcW w:w="1625" w:type="dxa"/>
            <w:tcBorders>
              <w:top w:val="single" w:color="auto" w:sz="6" w:space="0"/>
              <w:left w:val="single" w:color="auto" w:sz="6" w:space="0"/>
              <w:bottom w:val="single" w:color="auto" w:sz="6" w:space="0"/>
              <w:right w:val="single" w:color="auto" w:sz="6" w:space="0"/>
            </w:tcBorders>
            <w:shd w:val="clear" w:color="auto" w:fill="auto"/>
            <w:vAlign w:val="center"/>
          </w:tcPr>
          <w:p w:rsidRPr="00CB274D" w:rsidR="00B865F5" w:rsidP="00B865F5" w:rsidRDefault="00B865F5" w14:paraId="45A951CC" w14:textId="77777777">
            <w:pPr>
              <w:jc w:val="center"/>
              <w:rPr>
                <w:color w:val="000000"/>
              </w:rPr>
            </w:pPr>
            <w:r w:rsidRPr="00CB274D">
              <w:rPr>
                <w:color w:val="000000"/>
              </w:rPr>
              <w:t>Up to 5</w:t>
            </w:r>
          </w:p>
        </w:tc>
      </w:tr>
      <w:tr w:rsidRPr="00CB274D" w:rsidR="00B865F5" w:rsidTr="00B865F5" w14:paraId="7E3C8741" w14:textId="77777777">
        <w:trPr>
          <w:cantSplit/>
        </w:trPr>
        <w:tc>
          <w:tcPr>
            <w:tcW w:w="2402" w:type="dxa"/>
            <w:tcBorders>
              <w:top w:val="single" w:color="auto" w:sz="6" w:space="0"/>
              <w:left w:val="single" w:color="auto" w:sz="8" w:space="0"/>
              <w:bottom w:val="single" w:color="auto" w:sz="6" w:space="0"/>
              <w:right w:val="single" w:color="auto" w:sz="6" w:space="0"/>
            </w:tcBorders>
            <w:shd w:val="clear" w:color="auto" w:fill="auto"/>
            <w:vAlign w:val="center"/>
          </w:tcPr>
          <w:p w:rsidRPr="00CB274D" w:rsidR="00B865F5" w:rsidP="00B865F5" w:rsidRDefault="00B865F5" w14:paraId="0FD59A16" w14:textId="7CF89E31">
            <w:pPr>
              <w:rPr>
                <w:color w:val="000000"/>
              </w:rPr>
            </w:pPr>
            <w:r w:rsidRPr="00CB274D">
              <w:rPr>
                <w:color w:val="000000"/>
              </w:rPr>
              <w:t>Mail+</w:t>
            </w:r>
            <w:r w:rsidR="003A0618">
              <w:rPr>
                <w:color w:val="000000"/>
              </w:rPr>
              <w:t>tele</w:t>
            </w:r>
            <w:r w:rsidRPr="00CB274D">
              <w:rPr>
                <w:color w:val="000000"/>
              </w:rPr>
              <w:t>phone</w:t>
            </w:r>
          </w:p>
        </w:tc>
        <w:tc>
          <w:tcPr>
            <w:tcW w:w="1868" w:type="dxa"/>
            <w:tcBorders>
              <w:top w:val="single" w:color="auto" w:sz="6" w:space="0"/>
              <w:left w:val="single" w:color="auto" w:sz="6" w:space="0"/>
              <w:bottom w:val="single" w:color="auto" w:sz="6" w:space="0"/>
              <w:right w:val="single" w:color="auto" w:sz="6" w:space="0"/>
            </w:tcBorders>
            <w:shd w:val="clear" w:color="auto" w:fill="auto"/>
            <w:vAlign w:val="center"/>
          </w:tcPr>
          <w:p w:rsidRPr="00CB274D" w:rsidR="00B865F5" w:rsidP="00B865F5" w:rsidRDefault="00B865F5" w14:paraId="108504CD" w14:textId="77777777">
            <w:pPr>
              <w:jc w:val="center"/>
              <w:rPr>
                <w:color w:val="000000"/>
              </w:rPr>
            </w:pPr>
            <w:r w:rsidRPr="00CB274D">
              <w:rPr>
                <w:color w:val="000000"/>
              </w:rPr>
              <w:t>None</w:t>
            </w:r>
          </w:p>
        </w:tc>
        <w:tc>
          <w:tcPr>
            <w:tcW w:w="1803" w:type="dxa"/>
            <w:tcBorders>
              <w:top w:val="single" w:color="auto" w:sz="6" w:space="0"/>
              <w:left w:val="single" w:color="auto" w:sz="6" w:space="0"/>
              <w:bottom w:val="single" w:color="auto" w:sz="6" w:space="0"/>
              <w:right w:val="single" w:color="auto" w:sz="6" w:space="0"/>
            </w:tcBorders>
            <w:shd w:val="clear" w:color="auto" w:fill="auto"/>
            <w:vAlign w:val="center"/>
          </w:tcPr>
          <w:p w:rsidRPr="00CB274D" w:rsidR="00B865F5" w:rsidP="00B865F5" w:rsidRDefault="00B865F5" w14:paraId="5A15F8E6" w14:textId="77777777">
            <w:pPr>
              <w:jc w:val="center"/>
              <w:rPr>
                <w:color w:val="000000"/>
              </w:rPr>
            </w:pPr>
            <w:r w:rsidRPr="00CB274D">
              <w:rPr>
                <w:color w:val="000000"/>
              </w:rPr>
              <w:t>1</w:t>
            </w:r>
          </w:p>
        </w:tc>
        <w:tc>
          <w:tcPr>
            <w:tcW w:w="1625" w:type="dxa"/>
            <w:tcBorders>
              <w:top w:val="single" w:color="auto" w:sz="6" w:space="0"/>
              <w:left w:val="single" w:color="auto" w:sz="6" w:space="0"/>
              <w:bottom w:val="single" w:color="auto" w:sz="6" w:space="0"/>
              <w:right w:val="single" w:color="auto" w:sz="6" w:space="0"/>
            </w:tcBorders>
            <w:shd w:val="clear" w:color="auto" w:fill="auto"/>
            <w:vAlign w:val="center"/>
          </w:tcPr>
          <w:p w:rsidRPr="00CB274D" w:rsidR="00B865F5" w:rsidP="00B865F5" w:rsidRDefault="00B865F5" w14:paraId="17FA73E3" w14:textId="77777777">
            <w:pPr>
              <w:jc w:val="center"/>
              <w:rPr>
                <w:color w:val="000000"/>
              </w:rPr>
            </w:pPr>
            <w:r w:rsidRPr="00CB274D">
              <w:rPr>
                <w:color w:val="000000"/>
              </w:rPr>
              <w:t>Up to 5</w:t>
            </w:r>
          </w:p>
        </w:tc>
      </w:tr>
    </w:tbl>
    <w:p w:rsidRPr="00CB274D" w:rsidR="00B865F5" w:rsidP="00B865F5" w:rsidRDefault="00B865F5" w14:paraId="731DC6DD" w14:textId="77777777"/>
    <w:p w:rsidRPr="00CB274D" w:rsidR="00B865F5" w:rsidP="003A0618" w:rsidRDefault="00B865F5" w14:paraId="58630F09" w14:textId="34F77133">
      <w:pPr>
        <w:spacing w:line="360" w:lineRule="auto"/>
      </w:pPr>
      <w:r w:rsidRPr="00CB274D">
        <w:t xml:space="preserve">Across the six study arms, CMS plans collect information from 7,801 eligible patients discharged during </w:t>
      </w:r>
      <w:r w:rsidR="007E6CFD">
        <w:t xml:space="preserve">approximately </w:t>
      </w:r>
      <w:r w:rsidRPr="00CB274D">
        <w:t>April through September 2021 from over 60 hospitals. Discharged patients will be randomized by discharge month within each hospital to one of the six study arms.</w:t>
      </w:r>
    </w:p>
    <w:p w:rsidRPr="00CB274D" w:rsidR="00B865F5" w:rsidP="003A0618" w:rsidRDefault="00B865F5" w14:paraId="6B44A4C2" w14:textId="77777777">
      <w:pPr>
        <w:spacing w:line="360" w:lineRule="auto"/>
        <w:rPr>
          <w:rFonts w:eastAsia="Times New Roman" w:cs="Times New Roman"/>
          <w:color w:val="000000" w:themeColor="text1"/>
          <w:szCs w:val="24"/>
        </w:rPr>
      </w:pPr>
      <w:r w:rsidRPr="00CB274D">
        <w:rPr>
          <w:rFonts w:eastAsia="Times New Roman" w:cs="Times New Roman"/>
          <w:color w:val="000000" w:themeColor="text1"/>
          <w:szCs w:val="24"/>
        </w:rPr>
        <w:t>The proposed design is of sufficient scale to examine response rates and the effect of the mode on survey scores, and to provide precise adjustment estimates for survey items and composites on survey. Specifically, this design provides 80% power to detect (1) differences in response rate of 1.7-2.5% between any pair of the six mode protocols, (2) very small to small differences (Cohen’s d =0.11) in response patterns between and two pairs of the six mode protocols, and (3) very-small-to-small differences (Cohen’s d = 0.15-0.17) in response patterns by study arm (mode protocol within email address availability stratum).</w:t>
      </w:r>
    </w:p>
    <w:p w:rsidRPr="00CB274D" w:rsidR="00B865F5" w:rsidP="003A0618" w:rsidRDefault="00B865F5" w14:paraId="4371942C" w14:textId="77777777">
      <w:pPr>
        <w:spacing w:line="360" w:lineRule="auto"/>
        <w:rPr>
          <w:szCs w:val="24"/>
        </w:rPr>
      </w:pPr>
      <w:r w:rsidRPr="00CB274D">
        <w:rPr>
          <w:szCs w:val="24"/>
        </w:rPr>
        <w:t xml:space="preserve">The mode test survey will contain 43 questions: 25 existing HCAHPS items, plus 18 new survey items that assess content not currently included in the survey (e.g., care coordination within the hospital, communication with family or caregivers) or to update existing survey items (e.g., care transition, discharge experience). </w:t>
      </w:r>
    </w:p>
    <w:p w:rsidRPr="00AE7A9A" w:rsidR="00CB274D" w:rsidP="00A773F8" w:rsidRDefault="00CB274D" w14:paraId="7A8253AD" w14:textId="77777777">
      <w:pPr>
        <w:spacing w:after="0" w:line="360" w:lineRule="auto"/>
      </w:pPr>
    </w:p>
    <w:p w:rsidRPr="00A91470" w:rsidR="007D6E75" w:rsidP="00E219C3" w:rsidRDefault="007D6E75" w14:paraId="303EAAC8" w14:textId="77777777">
      <w:pPr>
        <w:pStyle w:val="Heading1"/>
      </w:pPr>
      <w:r w:rsidRPr="00A91470">
        <w:t>C. Deviations from Generic Request</w:t>
      </w:r>
    </w:p>
    <w:p w:rsidR="00AE7A9A" w:rsidP="008111D2" w:rsidRDefault="00AE7A9A" w14:paraId="72851F90" w14:textId="77777777">
      <w:pPr>
        <w:spacing w:after="0" w:line="240" w:lineRule="auto"/>
        <w:rPr>
          <w:rFonts w:cs="Times New Roman"/>
          <w:szCs w:val="24"/>
        </w:rPr>
      </w:pPr>
    </w:p>
    <w:p w:rsidRPr="00A91470" w:rsidR="007D6E75" w:rsidP="008111D2" w:rsidRDefault="009B19E8" w14:paraId="6F2A7F96" w14:textId="4C6FA7CC">
      <w:pPr>
        <w:spacing w:after="0" w:line="240" w:lineRule="auto"/>
        <w:rPr>
          <w:rFonts w:cs="Times New Roman"/>
          <w:szCs w:val="24"/>
        </w:rPr>
      </w:pPr>
      <w:r w:rsidRPr="00A91470">
        <w:rPr>
          <w:rFonts w:cs="Times New Roman"/>
          <w:szCs w:val="24"/>
        </w:rPr>
        <w:t>No deviations are requested.</w:t>
      </w:r>
    </w:p>
    <w:p w:rsidRPr="00AE7A9A" w:rsidR="00AE7A9A" w:rsidP="00A773F8" w:rsidRDefault="00AE7A9A" w14:paraId="28B808E8" w14:textId="77777777"/>
    <w:p w:rsidRPr="00A91470" w:rsidR="007D6E75" w:rsidP="00E219C3" w:rsidRDefault="007D6E75" w14:paraId="24E8802C" w14:textId="0431DAD9">
      <w:pPr>
        <w:pStyle w:val="Heading1"/>
      </w:pPr>
      <w:r w:rsidRPr="00A91470">
        <w:t>D. Burden Hour Deduction</w:t>
      </w:r>
      <w:r w:rsidR="00AE7A9A">
        <w:t xml:space="preserve"> (HCAHPS) </w:t>
      </w:r>
    </w:p>
    <w:p w:rsidR="004D4A8B" w:rsidP="00A773F8" w:rsidRDefault="004D4A8B" w14:paraId="0689D162" w14:textId="77777777">
      <w:pPr>
        <w:spacing w:after="0" w:line="360" w:lineRule="auto"/>
        <w:rPr>
          <w:rFonts w:cs="Times New Roman"/>
          <w:szCs w:val="24"/>
        </w:rPr>
      </w:pPr>
    </w:p>
    <w:p w:rsidR="00483058" w:rsidP="00A773F8" w:rsidRDefault="00483058" w14:paraId="5CA124EC" w14:textId="689E7D04">
      <w:pPr>
        <w:spacing w:after="0" w:line="360" w:lineRule="auto"/>
        <w:rPr>
          <w:rFonts w:cs="Times New Roman"/>
          <w:szCs w:val="24"/>
        </w:rPr>
      </w:pPr>
      <w:r w:rsidRPr="00A91470">
        <w:rPr>
          <w:rFonts w:cs="Times New Roman"/>
          <w:szCs w:val="24"/>
        </w:rPr>
        <w:t xml:space="preserve">The total approved burden ceiling of the </w:t>
      </w:r>
      <w:r w:rsidR="0018794D">
        <w:rPr>
          <w:rFonts w:cs="Times New Roman"/>
          <w:szCs w:val="24"/>
        </w:rPr>
        <w:t>“</w:t>
      </w:r>
      <w:r w:rsidRPr="00A91470" w:rsidR="00441C3B">
        <w:rPr>
          <w:rFonts w:cs="Times New Roman"/>
          <w:szCs w:val="24"/>
        </w:rPr>
        <w:t>Generic PRA Clearance:</w:t>
      </w:r>
      <w:r w:rsidR="00441C3B">
        <w:rPr>
          <w:rFonts w:cs="Times New Roman"/>
          <w:szCs w:val="24"/>
        </w:rPr>
        <w:t xml:space="preserve"> </w:t>
      </w:r>
      <w:r w:rsidRPr="00706AC2" w:rsidR="00441C3B">
        <w:rPr>
          <w:rFonts w:cs="Times New Roman"/>
          <w:szCs w:val="24"/>
        </w:rPr>
        <w:t xml:space="preserve">Testing of Web Survey Design and Administration for CMS Experience of Care Surveys </w:t>
      </w:r>
      <w:r w:rsidRPr="00A91470" w:rsidR="00441C3B">
        <w:rPr>
          <w:rFonts w:cs="Times New Roman"/>
          <w:szCs w:val="24"/>
        </w:rPr>
        <w:t>(CMS-</w:t>
      </w:r>
      <w:r w:rsidRPr="00706AC2" w:rsidR="00441C3B">
        <w:rPr>
          <w:rFonts w:cs="Times New Roman"/>
          <w:szCs w:val="24"/>
        </w:rPr>
        <w:t>10694</w:t>
      </w:r>
      <w:r w:rsidRPr="00A91470" w:rsidR="00441C3B">
        <w:rPr>
          <w:rFonts w:cs="Times New Roman"/>
          <w:szCs w:val="24"/>
        </w:rPr>
        <w:t>, OMB 0938-1</w:t>
      </w:r>
      <w:r w:rsidR="00441C3B">
        <w:rPr>
          <w:rFonts w:cs="Times New Roman"/>
          <w:szCs w:val="24"/>
        </w:rPr>
        <w:t>370</w:t>
      </w:r>
      <w:r w:rsidRPr="00A91470" w:rsidR="00441C3B">
        <w:rPr>
          <w:rFonts w:cs="Times New Roman"/>
          <w:szCs w:val="24"/>
        </w:rPr>
        <w:t>)</w:t>
      </w:r>
      <w:r w:rsidR="0018794D">
        <w:rPr>
          <w:rFonts w:cs="Times New Roman"/>
          <w:szCs w:val="24"/>
        </w:rPr>
        <w:t>”</w:t>
      </w:r>
      <w:r w:rsidR="00441C3B">
        <w:rPr>
          <w:rFonts w:cs="Times New Roman"/>
          <w:szCs w:val="24"/>
        </w:rPr>
        <w:t xml:space="preserve"> </w:t>
      </w:r>
      <w:r w:rsidRPr="00A91470">
        <w:rPr>
          <w:rFonts w:cs="Times New Roman"/>
          <w:szCs w:val="24"/>
        </w:rPr>
        <w:t xml:space="preserve">is </w:t>
      </w:r>
      <w:r w:rsidR="004D4A8B">
        <w:rPr>
          <w:rFonts w:cs="Times New Roman"/>
          <w:szCs w:val="24"/>
        </w:rPr>
        <w:t>17,000</w:t>
      </w:r>
      <w:r w:rsidRPr="00A91470">
        <w:rPr>
          <w:rFonts w:cs="Times New Roman"/>
          <w:szCs w:val="24"/>
        </w:rPr>
        <w:t xml:space="preserve"> hours</w:t>
      </w:r>
      <w:r w:rsidRPr="00A91470" w:rsidR="00A91470">
        <w:rPr>
          <w:rFonts w:cs="Times New Roman"/>
          <w:szCs w:val="24"/>
        </w:rPr>
        <w:t xml:space="preserve">. </w:t>
      </w:r>
      <w:r w:rsidR="00AE7A9A">
        <w:rPr>
          <w:rFonts w:cs="Times New Roman"/>
          <w:szCs w:val="24"/>
        </w:rPr>
        <w:t xml:space="preserve"> For the HCAHPS mode experiment w</w:t>
      </w:r>
      <w:r w:rsidRPr="00A91470" w:rsidR="00A91470">
        <w:rPr>
          <w:rFonts w:cs="Times New Roman"/>
          <w:szCs w:val="24"/>
        </w:rPr>
        <w:t xml:space="preserve">e are requesting a total deduction of </w:t>
      </w:r>
      <w:r w:rsidR="00EA4571">
        <w:rPr>
          <w:rFonts w:cs="Times New Roman"/>
          <w:szCs w:val="24"/>
        </w:rPr>
        <w:t>1,398</w:t>
      </w:r>
      <w:r w:rsidRPr="00A91470" w:rsidR="00A91470">
        <w:rPr>
          <w:rFonts w:cs="Times New Roman"/>
          <w:szCs w:val="24"/>
        </w:rPr>
        <w:t xml:space="preserve"> hours from the approved burden ceiling</w:t>
      </w:r>
      <w:r w:rsidR="004D4A8B">
        <w:rPr>
          <w:rFonts w:cs="Times New Roman"/>
          <w:szCs w:val="24"/>
        </w:rPr>
        <w:t>.</w:t>
      </w:r>
      <w:r w:rsidRPr="00A91470">
        <w:rPr>
          <w:rFonts w:cs="Times New Roman"/>
          <w:szCs w:val="24"/>
        </w:rPr>
        <w:t xml:space="preserve"> </w:t>
      </w:r>
    </w:p>
    <w:p w:rsidR="00DB7F18" w:rsidP="00A773F8" w:rsidRDefault="00DB7F18" w14:paraId="767C9B9C" w14:textId="32F9EA18">
      <w:pPr>
        <w:spacing w:after="0" w:line="360" w:lineRule="auto"/>
        <w:rPr>
          <w:rFonts w:cs="Times New Roman"/>
          <w:szCs w:val="24"/>
        </w:rPr>
      </w:pPr>
    </w:p>
    <w:p w:rsidRPr="00DB7F18" w:rsidR="00441C3B" w:rsidP="00A773F8" w:rsidRDefault="00441C3B" w14:paraId="44D46277" w14:textId="36F7279A">
      <w:pPr>
        <w:keepLines/>
        <w:spacing w:line="360" w:lineRule="auto"/>
        <w:rPr>
          <w:bCs/>
        </w:rPr>
      </w:pPr>
      <w:r w:rsidRPr="00DB7F18">
        <w:t xml:space="preserve">The </w:t>
      </w:r>
      <w:r>
        <w:t xml:space="preserve">HCAHPS </w:t>
      </w:r>
      <w:r w:rsidRPr="00DB7F18">
        <w:t xml:space="preserve">mode experiment will be conducted among a maximum of </w:t>
      </w:r>
      <w:r w:rsidR="00EA4571">
        <w:t>7,801</w:t>
      </w:r>
      <w:r w:rsidRPr="00AE7A9A">
        <w:rPr>
          <w:b/>
        </w:rPr>
        <w:t xml:space="preserve"> </w:t>
      </w:r>
      <w:r>
        <w:t>patients</w:t>
      </w:r>
      <w:r w:rsidRPr="00DB7F18">
        <w:t xml:space="preserve">. </w:t>
      </w:r>
      <w:r>
        <w:t xml:space="preserve">All patients in the mode experiment will receive the mode experiment </w:t>
      </w:r>
      <w:r w:rsidR="00C17433">
        <w:t xml:space="preserve">survey instrument, which contains 43 items.  </w:t>
      </w:r>
      <w:r w:rsidR="00EE134F">
        <w:t>It is estimated that the survey will require an average administration time of 10.75 minutes</w:t>
      </w:r>
      <w:r w:rsidR="003D1B93">
        <w:t>, or 0.179 hours</w:t>
      </w:r>
      <w:r w:rsidR="00EE134F">
        <w:t xml:space="preserve"> (0.25 minutes per item, or </w:t>
      </w:r>
      <w:r w:rsidR="003D1B93">
        <w:t>4 items per minute</w:t>
      </w:r>
      <w:r w:rsidR="00EE134F">
        <w:t xml:space="preserve">). </w:t>
      </w:r>
      <w:r w:rsidR="00C17433">
        <w:t xml:space="preserve"> </w:t>
      </w:r>
      <w:r w:rsidRPr="00DB7F18">
        <w:rPr>
          <w:color w:val="000000"/>
        </w:rPr>
        <w:t>These burden estimates are bas</w:t>
      </w:r>
      <w:r w:rsidR="003D1B93">
        <w:rPr>
          <w:color w:val="000000"/>
        </w:rPr>
        <w:t>ed on CMS’</w:t>
      </w:r>
      <w:r w:rsidR="00C747C8">
        <w:rPr>
          <w:color w:val="000000"/>
        </w:rPr>
        <w:t>s</w:t>
      </w:r>
      <w:r w:rsidR="003D1B93">
        <w:rPr>
          <w:color w:val="000000"/>
        </w:rPr>
        <w:t xml:space="preserve"> experience with the HCAHPS Survey. </w:t>
      </w:r>
      <w:r w:rsidRPr="00DB7F18">
        <w:rPr>
          <w:bCs/>
        </w:rPr>
        <w:t xml:space="preserve"> As shown in Table 1, based on these assumptions, the one-time total burden hours for survey participants are estimated to be</w:t>
      </w:r>
      <w:r w:rsidRPr="00DB7F18">
        <w:rPr>
          <w:color w:val="000000"/>
        </w:rPr>
        <w:t xml:space="preserve"> </w:t>
      </w:r>
      <w:r w:rsidR="00EA4571">
        <w:rPr>
          <w:color w:val="000000"/>
        </w:rPr>
        <w:t>1,398</w:t>
      </w:r>
      <w:r w:rsidRPr="00DB7F18">
        <w:rPr>
          <w:color w:val="000000"/>
        </w:rPr>
        <w:t xml:space="preserve"> </w:t>
      </w:r>
      <w:r w:rsidRPr="00DB7F18">
        <w:rPr>
          <w:bCs/>
        </w:rPr>
        <w:t>for participation in the mode experiment.</w:t>
      </w:r>
    </w:p>
    <w:p w:rsidR="00764369" w:rsidP="00441C3B" w:rsidRDefault="00764369" w14:paraId="2C084C44" w14:textId="77777777">
      <w:pPr>
        <w:keepNext/>
        <w:rPr>
          <w:b/>
          <w:bCs/>
          <w:color w:val="000000"/>
        </w:rPr>
      </w:pPr>
    </w:p>
    <w:p w:rsidRPr="00DB7F18" w:rsidR="00441C3B" w:rsidP="00441C3B" w:rsidRDefault="00441C3B" w14:paraId="22D24DB8" w14:textId="3F79503F">
      <w:pPr>
        <w:keepNext/>
        <w:rPr>
          <w:color w:val="000000"/>
        </w:rPr>
      </w:pPr>
      <w:r w:rsidRPr="00DB7F18">
        <w:rPr>
          <w:b/>
          <w:bCs/>
          <w:color w:val="000000"/>
        </w:rPr>
        <w:t xml:space="preserve">Table 1. Estimated Burden Hours for Respondents: </w:t>
      </w:r>
      <w:r w:rsidR="003D1B93">
        <w:rPr>
          <w:b/>
          <w:bCs/>
          <w:color w:val="000000"/>
        </w:rPr>
        <w:t xml:space="preserve">HCAHPS Survey Mode Experiment </w:t>
      </w:r>
    </w:p>
    <w:tbl>
      <w:tblPr>
        <w:tblW w:w="9407" w:type="dxa"/>
        <w:tblInd w:w="108" w:type="dxa"/>
        <w:tblLook w:val="04A0" w:firstRow="1" w:lastRow="0" w:firstColumn="1" w:lastColumn="0" w:noHBand="0" w:noVBand="1"/>
      </w:tblPr>
      <w:tblGrid>
        <w:gridCol w:w="2402"/>
        <w:gridCol w:w="1868"/>
        <w:gridCol w:w="1803"/>
        <w:gridCol w:w="1625"/>
        <w:gridCol w:w="1709"/>
      </w:tblGrid>
      <w:tr w:rsidRPr="00DB7F18" w:rsidR="00441C3B" w:rsidTr="00B865F5" w14:paraId="108F8BF5" w14:textId="77777777">
        <w:trPr>
          <w:cantSplit/>
        </w:trPr>
        <w:tc>
          <w:tcPr>
            <w:tcW w:w="2402"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DB7F18" w:rsidR="00441C3B" w:rsidP="00B865F5" w:rsidRDefault="00441C3B" w14:paraId="78FC4131" w14:textId="77777777">
            <w:pPr>
              <w:rPr>
                <w:b/>
                <w:bCs/>
                <w:color w:val="000000"/>
              </w:rPr>
            </w:pPr>
            <w:r w:rsidRPr="00DB7F18">
              <w:rPr>
                <w:b/>
                <w:bCs/>
                <w:color w:val="000000"/>
                <w:szCs w:val="20"/>
              </w:rPr>
              <w:t>Survey Version</w:t>
            </w:r>
          </w:p>
        </w:tc>
        <w:tc>
          <w:tcPr>
            <w:tcW w:w="1868" w:type="dxa"/>
            <w:tcBorders>
              <w:top w:val="single" w:color="auto" w:sz="8" w:space="0"/>
              <w:left w:val="nil"/>
              <w:bottom w:val="single" w:color="auto" w:sz="8" w:space="0"/>
              <w:right w:val="single" w:color="auto" w:sz="8" w:space="0"/>
            </w:tcBorders>
            <w:shd w:val="clear" w:color="auto" w:fill="auto"/>
            <w:vAlign w:val="center"/>
            <w:hideMark/>
          </w:tcPr>
          <w:p w:rsidRPr="00DB7F18" w:rsidR="00441C3B" w:rsidP="00B865F5" w:rsidRDefault="00441C3B" w14:paraId="005DDB3B" w14:textId="77777777">
            <w:pPr>
              <w:jc w:val="center"/>
              <w:rPr>
                <w:b/>
                <w:bCs/>
                <w:color w:val="000000"/>
              </w:rPr>
            </w:pPr>
            <w:r w:rsidRPr="00DB7F18">
              <w:rPr>
                <w:b/>
                <w:bCs/>
                <w:color w:val="000000"/>
                <w:szCs w:val="20"/>
              </w:rPr>
              <w:t>Number of Respondents</w:t>
            </w:r>
          </w:p>
        </w:tc>
        <w:tc>
          <w:tcPr>
            <w:tcW w:w="1803" w:type="dxa"/>
            <w:tcBorders>
              <w:top w:val="single" w:color="auto" w:sz="8" w:space="0"/>
              <w:left w:val="nil"/>
              <w:bottom w:val="single" w:color="auto" w:sz="8" w:space="0"/>
              <w:right w:val="single" w:color="auto" w:sz="8" w:space="0"/>
            </w:tcBorders>
            <w:shd w:val="clear" w:color="auto" w:fill="auto"/>
            <w:vAlign w:val="center"/>
            <w:hideMark/>
          </w:tcPr>
          <w:p w:rsidRPr="00DB7F18" w:rsidR="00441C3B" w:rsidP="00B865F5" w:rsidRDefault="00441C3B" w14:paraId="2BB0259A" w14:textId="77777777">
            <w:pPr>
              <w:jc w:val="center"/>
              <w:rPr>
                <w:b/>
                <w:bCs/>
                <w:color w:val="000000"/>
              </w:rPr>
            </w:pPr>
            <w:r w:rsidRPr="00DB7F18">
              <w:rPr>
                <w:b/>
                <w:bCs/>
                <w:color w:val="000000"/>
                <w:szCs w:val="20"/>
              </w:rPr>
              <w:t>Number of Responses per Respondent</w:t>
            </w:r>
          </w:p>
        </w:tc>
        <w:tc>
          <w:tcPr>
            <w:tcW w:w="1625" w:type="dxa"/>
            <w:tcBorders>
              <w:top w:val="single" w:color="auto" w:sz="8" w:space="0"/>
              <w:left w:val="nil"/>
              <w:bottom w:val="single" w:color="auto" w:sz="8" w:space="0"/>
              <w:right w:val="single" w:color="auto" w:sz="8" w:space="0"/>
            </w:tcBorders>
            <w:shd w:val="clear" w:color="auto" w:fill="auto"/>
            <w:vAlign w:val="center"/>
            <w:hideMark/>
          </w:tcPr>
          <w:p w:rsidRPr="00DB7F18" w:rsidR="00441C3B" w:rsidP="00B865F5" w:rsidRDefault="00441C3B" w14:paraId="1F9F3D25" w14:textId="77777777">
            <w:pPr>
              <w:jc w:val="center"/>
              <w:rPr>
                <w:b/>
                <w:bCs/>
                <w:color w:val="000000"/>
              </w:rPr>
            </w:pPr>
            <w:r w:rsidRPr="00DB7F18">
              <w:rPr>
                <w:b/>
                <w:bCs/>
                <w:color w:val="000000"/>
                <w:szCs w:val="20"/>
              </w:rPr>
              <w:t>Hours per Response</w:t>
            </w:r>
          </w:p>
        </w:tc>
        <w:tc>
          <w:tcPr>
            <w:tcW w:w="1709" w:type="dxa"/>
            <w:tcBorders>
              <w:top w:val="single" w:color="auto" w:sz="8" w:space="0"/>
              <w:left w:val="nil"/>
              <w:bottom w:val="single" w:color="auto" w:sz="8" w:space="0"/>
              <w:right w:val="single" w:color="auto" w:sz="8" w:space="0"/>
            </w:tcBorders>
            <w:shd w:val="clear" w:color="auto" w:fill="auto"/>
            <w:vAlign w:val="center"/>
            <w:hideMark/>
          </w:tcPr>
          <w:p w:rsidRPr="00DB7F18" w:rsidR="00441C3B" w:rsidP="00B865F5" w:rsidRDefault="00441C3B" w14:paraId="3AF97F25" w14:textId="77777777">
            <w:pPr>
              <w:jc w:val="center"/>
              <w:rPr>
                <w:b/>
                <w:bCs/>
                <w:color w:val="000000"/>
              </w:rPr>
            </w:pPr>
            <w:r w:rsidRPr="00DB7F18">
              <w:rPr>
                <w:b/>
                <w:bCs/>
                <w:color w:val="000000"/>
                <w:szCs w:val="20"/>
              </w:rPr>
              <w:t>Total Burden Hours</w:t>
            </w:r>
          </w:p>
        </w:tc>
      </w:tr>
      <w:tr w:rsidRPr="00DB7F18" w:rsidR="00441C3B" w:rsidTr="00B865F5" w14:paraId="19D1A925" w14:textId="77777777">
        <w:trPr>
          <w:cantSplit/>
        </w:trPr>
        <w:tc>
          <w:tcPr>
            <w:tcW w:w="2402" w:type="dxa"/>
            <w:tcBorders>
              <w:top w:val="nil"/>
              <w:left w:val="single" w:color="auto" w:sz="8" w:space="0"/>
              <w:bottom w:val="single" w:color="auto" w:sz="8" w:space="0"/>
              <w:right w:val="single" w:color="auto" w:sz="8" w:space="0"/>
            </w:tcBorders>
            <w:shd w:val="clear" w:color="auto" w:fill="auto"/>
            <w:vAlign w:val="center"/>
            <w:hideMark/>
          </w:tcPr>
          <w:p w:rsidRPr="00DB7F18" w:rsidR="00441C3B" w:rsidP="003D1B93" w:rsidRDefault="003D1B93" w14:paraId="6DF8DD7D" w14:textId="7CB93530">
            <w:pPr>
              <w:rPr>
                <w:color w:val="000000"/>
              </w:rPr>
            </w:pPr>
            <w:r>
              <w:rPr>
                <w:color w:val="000000"/>
              </w:rPr>
              <w:t xml:space="preserve">HCAHPS mode experiment survey instrument </w:t>
            </w:r>
          </w:p>
        </w:tc>
        <w:tc>
          <w:tcPr>
            <w:tcW w:w="1868" w:type="dxa"/>
            <w:tcBorders>
              <w:top w:val="nil"/>
              <w:left w:val="nil"/>
              <w:bottom w:val="single" w:color="auto" w:sz="8" w:space="0"/>
              <w:right w:val="single" w:color="auto" w:sz="8" w:space="0"/>
            </w:tcBorders>
            <w:shd w:val="clear" w:color="auto" w:fill="auto"/>
            <w:vAlign w:val="center"/>
            <w:hideMark/>
          </w:tcPr>
          <w:p w:rsidRPr="00904271" w:rsidR="00441C3B" w:rsidP="00EA4571" w:rsidRDefault="00EA4571" w14:paraId="7F55FA0B" w14:textId="72D25BC3">
            <w:pPr>
              <w:jc w:val="center"/>
              <w:rPr>
                <w:color w:val="000000"/>
              </w:rPr>
            </w:pPr>
            <w:r w:rsidRPr="00904271">
              <w:rPr>
                <w:color w:val="000000"/>
              </w:rPr>
              <w:t>7,801</w:t>
            </w:r>
          </w:p>
        </w:tc>
        <w:tc>
          <w:tcPr>
            <w:tcW w:w="1803" w:type="dxa"/>
            <w:tcBorders>
              <w:top w:val="nil"/>
              <w:left w:val="nil"/>
              <w:bottom w:val="single" w:color="auto" w:sz="8" w:space="0"/>
              <w:right w:val="single" w:color="auto" w:sz="8" w:space="0"/>
            </w:tcBorders>
            <w:shd w:val="clear" w:color="auto" w:fill="auto"/>
            <w:vAlign w:val="center"/>
            <w:hideMark/>
          </w:tcPr>
          <w:p w:rsidRPr="00DB7F18" w:rsidR="00441C3B" w:rsidP="00B865F5" w:rsidRDefault="00441C3B" w14:paraId="20667F18" w14:textId="77777777">
            <w:pPr>
              <w:jc w:val="center"/>
              <w:rPr>
                <w:color w:val="000000"/>
              </w:rPr>
            </w:pPr>
            <w:r w:rsidRPr="00DB7F18">
              <w:rPr>
                <w:color w:val="000000"/>
              </w:rPr>
              <w:t>1</w:t>
            </w:r>
          </w:p>
        </w:tc>
        <w:tc>
          <w:tcPr>
            <w:tcW w:w="1625" w:type="dxa"/>
            <w:tcBorders>
              <w:top w:val="nil"/>
              <w:left w:val="nil"/>
              <w:bottom w:val="single" w:color="auto" w:sz="8" w:space="0"/>
              <w:right w:val="single" w:color="auto" w:sz="8" w:space="0"/>
            </w:tcBorders>
            <w:shd w:val="clear" w:color="auto" w:fill="auto"/>
            <w:vAlign w:val="center"/>
          </w:tcPr>
          <w:p w:rsidRPr="00DB7F18" w:rsidR="00441C3B" w:rsidP="003D1B93" w:rsidRDefault="003D1B93" w14:paraId="17268261" w14:textId="6346C7E3">
            <w:pPr>
              <w:jc w:val="center"/>
              <w:rPr>
                <w:color w:val="000000"/>
              </w:rPr>
            </w:pPr>
            <w:r>
              <w:rPr>
                <w:color w:val="000000"/>
              </w:rPr>
              <w:t>0.179</w:t>
            </w:r>
          </w:p>
        </w:tc>
        <w:tc>
          <w:tcPr>
            <w:tcW w:w="1709" w:type="dxa"/>
            <w:tcBorders>
              <w:top w:val="nil"/>
              <w:left w:val="nil"/>
              <w:bottom w:val="single" w:color="auto" w:sz="8" w:space="0"/>
              <w:right w:val="single" w:color="auto" w:sz="8" w:space="0"/>
            </w:tcBorders>
            <w:shd w:val="clear" w:color="auto" w:fill="auto"/>
            <w:vAlign w:val="center"/>
          </w:tcPr>
          <w:p w:rsidRPr="00904271" w:rsidR="00441C3B" w:rsidP="00EA4571" w:rsidRDefault="00EA4571" w14:paraId="3B6481BB" w14:textId="0B172E0C">
            <w:pPr>
              <w:jc w:val="center"/>
              <w:rPr>
                <w:color w:val="000000"/>
              </w:rPr>
            </w:pPr>
            <w:r w:rsidRPr="00904271">
              <w:rPr>
                <w:color w:val="000000"/>
              </w:rPr>
              <w:t>1,398.0</w:t>
            </w:r>
          </w:p>
        </w:tc>
      </w:tr>
    </w:tbl>
    <w:p w:rsidRPr="00DB7F18" w:rsidR="00441C3B" w:rsidP="00441C3B" w:rsidRDefault="00441C3B" w14:paraId="785AC9CB" w14:textId="77777777">
      <w:pPr>
        <w:keepLines/>
      </w:pPr>
    </w:p>
    <w:p w:rsidRPr="00DB7F18" w:rsidR="00441C3B" w:rsidP="00A773F8" w:rsidRDefault="00FF17B1" w14:paraId="4DFC5E11" w14:textId="63719B17">
      <w:pPr>
        <w:widowControl w:val="0"/>
        <w:autoSpaceDE w:val="0"/>
        <w:autoSpaceDN w:val="0"/>
        <w:spacing w:after="0" w:line="360" w:lineRule="auto"/>
        <w:rPr>
          <w:rFonts w:eastAsia="Times New Roman" w:cs="Times New Roman"/>
          <w:szCs w:val="24"/>
        </w:rPr>
      </w:pPr>
      <w:r>
        <w:rPr>
          <w:rFonts w:eastAsia="Times New Roman" w:cs="Times New Roman"/>
          <w:szCs w:val="24"/>
        </w:rPr>
        <w:t>Because</w:t>
      </w:r>
      <w:r w:rsidRPr="00DB7F18" w:rsidR="00441C3B">
        <w:rPr>
          <w:rFonts w:eastAsia="Times New Roman" w:cs="Times New Roman"/>
          <w:szCs w:val="24"/>
        </w:rPr>
        <w:t xml:space="preserve"> not all sampled </w:t>
      </w:r>
      <w:r w:rsidR="003D1B93">
        <w:rPr>
          <w:rFonts w:eastAsia="Times New Roman" w:cs="Times New Roman"/>
          <w:szCs w:val="24"/>
        </w:rPr>
        <w:t xml:space="preserve">patients </w:t>
      </w:r>
      <w:r w:rsidRPr="00DB7F18" w:rsidR="00441C3B">
        <w:rPr>
          <w:rFonts w:eastAsia="Times New Roman" w:cs="Times New Roman"/>
          <w:szCs w:val="24"/>
        </w:rPr>
        <w:t xml:space="preserve">will complete the survey, this estimate reflects the maximum burden possible. </w:t>
      </w:r>
    </w:p>
    <w:p w:rsidRPr="00DB7F18" w:rsidR="00441C3B" w:rsidP="00A773F8" w:rsidRDefault="00441C3B" w14:paraId="65B18C9D" w14:textId="77777777">
      <w:pPr>
        <w:spacing w:after="0" w:line="360" w:lineRule="auto"/>
        <w:rPr>
          <w:rFonts w:cs="Times New Roman"/>
          <w:szCs w:val="24"/>
        </w:rPr>
      </w:pPr>
    </w:p>
    <w:p w:rsidR="00441C3B" w:rsidP="00A773F8" w:rsidRDefault="00441C3B" w14:paraId="03A35D54" w14:textId="5AAF0AA7">
      <w:pPr>
        <w:spacing w:after="0" w:line="360" w:lineRule="auto"/>
        <w:rPr>
          <w:rFonts w:cs="Times New Roman"/>
          <w:szCs w:val="24"/>
        </w:rPr>
      </w:pPr>
      <w:r w:rsidRPr="00DB7F18">
        <w:rPr>
          <w:rFonts w:cs="Times New Roman"/>
          <w:szCs w:val="24"/>
        </w:rPr>
        <w:lastRenderedPageBreak/>
        <w:t xml:space="preserve">The total approved burden ceiling of the generic ICR is 17,000 hours. We are requesting a total deduction </w:t>
      </w:r>
      <w:r w:rsidRPr="00DB7F18" w:rsidR="00EA4571">
        <w:rPr>
          <w:rFonts w:cs="Times New Roman"/>
          <w:szCs w:val="24"/>
        </w:rPr>
        <w:t>of</w:t>
      </w:r>
      <w:r w:rsidR="00EA4571">
        <w:rPr>
          <w:rFonts w:cs="Times New Roman"/>
          <w:szCs w:val="24"/>
        </w:rPr>
        <w:t xml:space="preserve"> 1,398</w:t>
      </w:r>
      <w:r w:rsidRPr="00DB7F18">
        <w:rPr>
          <w:rFonts w:cs="Times New Roman"/>
          <w:szCs w:val="24"/>
        </w:rPr>
        <w:t xml:space="preserve"> hours from the approved burden ceiling.</w:t>
      </w:r>
    </w:p>
    <w:p w:rsidR="00764369" w:rsidP="00DB7F18" w:rsidRDefault="00764369" w14:paraId="0A06FC6B" w14:textId="77777777">
      <w:pPr>
        <w:keepNext/>
        <w:keepLines/>
        <w:spacing w:after="0" w:line="240" w:lineRule="auto"/>
        <w:ind w:left="360" w:hanging="360"/>
        <w:outlineLvl w:val="0"/>
        <w:rPr>
          <w:rFonts w:eastAsiaTheme="majorEastAsia" w:cstheme="majorBidi"/>
          <w:b/>
          <w:bCs/>
          <w:color w:val="000000" w:themeColor="text1"/>
          <w:szCs w:val="28"/>
        </w:rPr>
      </w:pPr>
    </w:p>
    <w:p w:rsidRPr="00DB7F18" w:rsidR="00DB7F18" w:rsidP="00DB7F18" w:rsidRDefault="00DB7F18" w14:paraId="4E6DE0AD" w14:textId="0E2DB1B4">
      <w:pPr>
        <w:keepNext/>
        <w:keepLines/>
        <w:spacing w:after="0" w:line="240" w:lineRule="auto"/>
        <w:ind w:left="360" w:hanging="360"/>
        <w:outlineLvl w:val="0"/>
        <w:rPr>
          <w:rFonts w:eastAsiaTheme="majorEastAsia" w:cstheme="majorBidi"/>
          <w:b/>
          <w:bCs/>
          <w:color w:val="000000" w:themeColor="text1"/>
          <w:szCs w:val="28"/>
        </w:rPr>
      </w:pPr>
      <w:r w:rsidRPr="00DB7F18">
        <w:rPr>
          <w:rFonts w:eastAsiaTheme="majorEastAsia" w:cstheme="majorBidi"/>
          <w:b/>
          <w:bCs/>
          <w:color w:val="000000" w:themeColor="text1"/>
          <w:szCs w:val="28"/>
        </w:rPr>
        <w:t>E. Timeline</w:t>
      </w:r>
    </w:p>
    <w:p w:rsidRPr="00DB7F18" w:rsidR="00DB7F18" w:rsidP="00DB7F18" w:rsidRDefault="00DB7F18" w14:paraId="68511E84" w14:textId="77777777">
      <w:pPr>
        <w:spacing w:after="0" w:line="240" w:lineRule="auto"/>
        <w:rPr>
          <w:rFonts w:cs="Times New Roman"/>
          <w:szCs w:val="24"/>
        </w:rPr>
      </w:pPr>
    </w:p>
    <w:p w:rsidRPr="00DB7F18" w:rsidR="00DB7F18" w:rsidP="00A773F8" w:rsidRDefault="00DB7F18" w14:paraId="0B0CADB6" w14:textId="6E7A0770">
      <w:pPr>
        <w:spacing w:line="360" w:lineRule="auto"/>
      </w:pPr>
      <w:r w:rsidRPr="00DB7F18">
        <w:t xml:space="preserve">The following table provides an overview of the </w:t>
      </w:r>
      <w:r w:rsidR="0018794D">
        <w:t xml:space="preserve">HCAHPS mode experiment </w:t>
      </w:r>
      <w:r w:rsidRPr="00DB7F18">
        <w:t>project schedule, including data collection and analysis.</w:t>
      </w:r>
    </w:p>
    <w:tbl>
      <w:tblPr>
        <w:tblStyle w:val="TableGrid1"/>
        <w:tblW w:w="9940" w:type="dxa"/>
        <w:tblLayout w:type="fixed"/>
        <w:tblLook w:val="04A0" w:firstRow="1" w:lastRow="0" w:firstColumn="1" w:lastColumn="0" w:noHBand="0" w:noVBand="1"/>
      </w:tblPr>
      <w:tblGrid>
        <w:gridCol w:w="1817"/>
        <w:gridCol w:w="495"/>
        <w:gridCol w:w="643"/>
        <w:gridCol w:w="469"/>
        <w:gridCol w:w="497"/>
        <w:gridCol w:w="457"/>
        <w:gridCol w:w="457"/>
        <w:gridCol w:w="471"/>
        <w:gridCol w:w="417"/>
        <w:gridCol w:w="482"/>
        <w:gridCol w:w="444"/>
        <w:gridCol w:w="456"/>
        <w:gridCol w:w="540"/>
        <w:gridCol w:w="471"/>
        <w:gridCol w:w="456"/>
        <w:gridCol w:w="456"/>
        <w:gridCol w:w="456"/>
        <w:gridCol w:w="456"/>
      </w:tblGrid>
      <w:tr w:rsidRPr="00DB7F18" w:rsidR="00DB7F18" w:rsidTr="003400C2" w14:paraId="30FB94A4" w14:textId="77777777">
        <w:trPr>
          <w:gridAfter w:val="5"/>
          <w:wAfter w:w="2295" w:type="dxa"/>
        </w:trPr>
        <w:tc>
          <w:tcPr>
            <w:tcW w:w="1817" w:type="dxa"/>
          </w:tcPr>
          <w:p w:rsidRPr="00DB7F18" w:rsidR="00DB7F18" w:rsidP="00DB7F18" w:rsidRDefault="00DB7F18" w14:paraId="0070C6FC" w14:textId="77777777">
            <w:pPr>
              <w:autoSpaceDE w:val="0"/>
              <w:autoSpaceDN w:val="0"/>
              <w:adjustRightInd w:val="0"/>
              <w:rPr>
                <w:b/>
              </w:rPr>
            </w:pPr>
          </w:p>
        </w:tc>
        <w:tc>
          <w:tcPr>
            <w:tcW w:w="495" w:type="dxa"/>
          </w:tcPr>
          <w:p w:rsidRPr="00DB7F18" w:rsidR="00DB7F18" w:rsidP="00DB7F18" w:rsidRDefault="00DB7F18" w14:paraId="018E56F1" w14:textId="77777777">
            <w:pPr>
              <w:autoSpaceDE w:val="0"/>
              <w:autoSpaceDN w:val="0"/>
              <w:adjustRightInd w:val="0"/>
              <w:rPr>
                <w:b/>
              </w:rPr>
            </w:pPr>
          </w:p>
        </w:tc>
        <w:tc>
          <w:tcPr>
            <w:tcW w:w="5333" w:type="dxa"/>
            <w:gridSpan w:val="11"/>
          </w:tcPr>
          <w:p w:rsidRPr="00DB7F18" w:rsidR="00DB7F18" w:rsidP="00DB7F18" w:rsidRDefault="00DB7F18" w14:paraId="4CAA012A" w14:textId="77777777">
            <w:pPr>
              <w:autoSpaceDE w:val="0"/>
              <w:autoSpaceDN w:val="0"/>
              <w:adjustRightInd w:val="0"/>
              <w:jc w:val="center"/>
              <w:rPr>
                <w:b/>
              </w:rPr>
            </w:pPr>
            <w:r w:rsidRPr="00DB7F18">
              <w:rPr>
                <w:b/>
              </w:rPr>
              <w:t>Project Month</w:t>
            </w:r>
          </w:p>
        </w:tc>
      </w:tr>
      <w:tr w:rsidRPr="00DB7F18" w:rsidR="00E219C3" w:rsidTr="003400C2" w14:paraId="2C4CC5A2" w14:textId="4DC8504B">
        <w:tc>
          <w:tcPr>
            <w:tcW w:w="1817" w:type="dxa"/>
          </w:tcPr>
          <w:p w:rsidRPr="00DB7F18" w:rsidR="00F5622B" w:rsidP="00F5622B" w:rsidRDefault="00F5622B" w14:paraId="3E8223C8" w14:textId="77777777">
            <w:pPr>
              <w:autoSpaceDE w:val="0"/>
              <w:autoSpaceDN w:val="0"/>
              <w:adjustRightInd w:val="0"/>
              <w:rPr>
                <w:b/>
              </w:rPr>
            </w:pPr>
            <w:r w:rsidRPr="00DB7F18">
              <w:rPr>
                <w:b/>
              </w:rPr>
              <w:t xml:space="preserve">Tasks </w:t>
            </w:r>
          </w:p>
        </w:tc>
        <w:tc>
          <w:tcPr>
            <w:tcW w:w="495" w:type="dxa"/>
          </w:tcPr>
          <w:p w:rsidRPr="00DB7F18" w:rsidR="00F5622B" w:rsidP="00F5622B" w:rsidRDefault="00F5622B" w14:paraId="21A37F15" w14:textId="77777777">
            <w:pPr>
              <w:autoSpaceDE w:val="0"/>
              <w:autoSpaceDN w:val="0"/>
              <w:adjustRightInd w:val="0"/>
              <w:rPr>
                <w:b/>
              </w:rPr>
            </w:pPr>
          </w:p>
        </w:tc>
        <w:tc>
          <w:tcPr>
            <w:tcW w:w="643" w:type="dxa"/>
          </w:tcPr>
          <w:p w:rsidRPr="00DB7F18" w:rsidR="00F5622B" w:rsidP="00F5622B" w:rsidRDefault="00F5622B" w14:paraId="184F10CA" w14:textId="77777777">
            <w:pPr>
              <w:autoSpaceDE w:val="0"/>
              <w:autoSpaceDN w:val="0"/>
              <w:adjustRightInd w:val="0"/>
              <w:jc w:val="center"/>
              <w:rPr>
                <w:bCs/>
              </w:rPr>
            </w:pPr>
            <w:r w:rsidRPr="00DB7F18">
              <w:rPr>
                <w:bCs/>
              </w:rPr>
              <w:t>1</w:t>
            </w:r>
          </w:p>
        </w:tc>
        <w:tc>
          <w:tcPr>
            <w:tcW w:w="469" w:type="dxa"/>
          </w:tcPr>
          <w:p w:rsidRPr="00DB7F18" w:rsidR="00F5622B" w:rsidP="00F5622B" w:rsidRDefault="00F5622B" w14:paraId="2C43C5CA" w14:textId="77777777">
            <w:pPr>
              <w:autoSpaceDE w:val="0"/>
              <w:autoSpaceDN w:val="0"/>
              <w:adjustRightInd w:val="0"/>
              <w:jc w:val="center"/>
              <w:rPr>
                <w:bCs/>
              </w:rPr>
            </w:pPr>
            <w:r w:rsidRPr="00DB7F18">
              <w:rPr>
                <w:bCs/>
              </w:rPr>
              <w:t>2</w:t>
            </w:r>
          </w:p>
        </w:tc>
        <w:tc>
          <w:tcPr>
            <w:tcW w:w="497" w:type="dxa"/>
          </w:tcPr>
          <w:p w:rsidRPr="00DB7F18" w:rsidR="00F5622B" w:rsidP="00F5622B" w:rsidRDefault="00F5622B" w14:paraId="3F0796E5" w14:textId="77777777">
            <w:pPr>
              <w:autoSpaceDE w:val="0"/>
              <w:autoSpaceDN w:val="0"/>
              <w:adjustRightInd w:val="0"/>
              <w:jc w:val="center"/>
              <w:rPr>
                <w:bCs/>
              </w:rPr>
            </w:pPr>
            <w:r w:rsidRPr="00DB7F18">
              <w:rPr>
                <w:bCs/>
              </w:rPr>
              <w:t>3</w:t>
            </w:r>
          </w:p>
        </w:tc>
        <w:tc>
          <w:tcPr>
            <w:tcW w:w="457" w:type="dxa"/>
          </w:tcPr>
          <w:p w:rsidRPr="00DB7F18" w:rsidR="00F5622B" w:rsidP="00F5622B" w:rsidRDefault="00F5622B" w14:paraId="2134B818" w14:textId="77777777">
            <w:pPr>
              <w:autoSpaceDE w:val="0"/>
              <w:autoSpaceDN w:val="0"/>
              <w:adjustRightInd w:val="0"/>
              <w:jc w:val="center"/>
              <w:rPr>
                <w:bCs/>
              </w:rPr>
            </w:pPr>
            <w:r w:rsidRPr="00DB7F18">
              <w:rPr>
                <w:bCs/>
              </w:rPr>
              <w:t>4</w:t>
            </w:r>
          </w:p>
        </w:tc>
        <w:tc>
          <w:tcPr>
            <w:tcW w:w="457" w:type="dxa"/>
          </w:tcPr>
          <w:p w:rsidRPr="00DB7F18" w:rsidR="00F5622B" w:rsidP="00F5622B" w:rsidRDefault="00F5622B" w14:paraId="7E872F95" w14:textId="77777777">
            <w:pPr>
              <w:autoSpaceDE w:val="0"/>
              <w:autoSpaceDN w:val="0"/>
              <w:adjustRightInd w:val="0"/>
              <w:jc w:val="center"/>
              <w:rPr>
                <w:bCs/>
              </w:rPr>
            </w:pPr>
            <w:r w:rsidRPr="00DB7F18">
              <w:rPr>
                <w:bCs/>
              </w:rPr>
              <w:t>5</w:t>
            </w:r>
          </w:p>
        </w:tc>
        <w:tc>
          <w:tcPr>
            <w:tcW w:w="471" w:type="dxa"/>
          </w:tcPr>
          <w:p w:rsidRPr="00DB7F18" w:rsidR="00F5622B" w:rsidP="00F5622B" w:rsidRDefault="00F5622B" w14:paraId="2339502E" w14:textId="77777777">
            <w:pPr>
              <w:autoSpaceDE w:val="0"/>
              <w:autoSpaceDN w:val="0"/>
              <w:adjustRightInd w:val="0"/>
              <w:jc w:val="center"/>
              <w:rPr>
                <w:bCs/>
              </w:rPr>
            </w:pPr>
            <w:r w:rsidRPr="00DB7F18">
              <w:rPr>
                <w:bCs/>
              </w:rPr>
              <w:t>6</w:t>
            </w:r>
          </w:p>
        </w:tc>
        <w:tc>
          <w:tcPr>
            <w:tcW w:w="417" w:type="dxa"/>
          </w:tcPr>
          <w:p w:rsidRPr="00DB7F18" w:rsidR="00F5622B" w:rsidP="00F5622B" w:rsidRDefault="00F5622B" w14:paraId="68C5C1A9" w14:textId="77777777">
            <w:pPr>
              <w:autoSpaceDE w:val="0"/>
              <w:autoSpaceDN w:val="0"/>
              <w:adjustRightInd w:val="0"/>
              <w:jc w:val="center"/>
              <w:rPr>
                <w:bCs/>
              </w:rPr>
            </w:pPr>
            <w:r w:rsidRPr="00DB7F18">
              <w:rPr>
                <w:bCs/>
              </w:rPr>
              <w:t>7</w:t>
            </w:r>
          </w:p>
        </w:tc>
        <w:tc>
          <w:tcPr>
            <w:tcW w:w="482" w:type="dxa"/>
          </w:tcPr>
          <w:p w:rsidRPr="00DB7F18" w:rsidR="00F5622B" w:rsidP="00F5622B" w:rsidRDefault="00F5622B" w14:paraId="05A35F24" w14:textId="77777777">
            <w:pPr>
              <w:autoSpaceDE w:val="0"/>
              <w:autoSpaceDN w:val="0"/>
              <w:adjustRightInd w:val="0"/>
              <w:jc w:val="center"/>
              <w:rPr>
                <w:bCs/>
              </w:rPr>
            </w:pPr>
            <w:r w:rsidRPr="00DB7F18">
              <w:rPr>
                <w:bCs/>
              </w:rPr>
              <w:t>8</w:t>
            </w:r>
          </w:p>
        </w:tc>
        <w:tc>
          <w:tcPr>
            <w:tcW w:w="444" w:type="dxa"/>
          </w:tcPr>
          <w:p w:rsidRPr="00DB7F18" w:rsidR="00F5622B" w:rsidP="00F5622B" w:rsidRDefault="00F5622B" w14:paraId="6785AD62" w14:textId="77777777">
            <w:pPr>
              <w:autoSpaceDE w:val="0"/>
              <w:autoSpaceDN w:val="0"/>
              <w:adjustRightInd w:val="0"/>
              <w:jc w:val="center"/>
              <w:rPr>
                <w:bCs/>
              </w:rPr>
            </w:pPr>
            <w:r w:rsidRPr="00DB7F18">
              <w:rPr>
                <w:bCs/>
              </w:rPr>
              <w:t>9</w:t>
            </w:r>
          </w:p>
        </w:tc>
        <w:tc>
          <w:tcPr>
            <w:tcW w:w="456" w:type="dxa"/>
          </w:tcPr>
          <w:p w:rsidRPr="00DB7F18" w:rsidR="00F5622B" w:rsidP="00F5622B" w:rsidRDefault="00F5622B" w14:paraId="0E59897B" w14:textId="77777777">
            <w:pPr>
              <w:autoSpaceDE w:val="0"/>
              <w:autoSpaceDN w:val="0"/>
              <w:adjustRightInd w:val="0"/>
              <w:jc w:val="center"/>
              <w:rPr>
                <w:bCs/>
              </w:rPr>
            </w:pPr>
            <w:r w:rsidRPr="00DB7F18">
              <w:rPr>
                <w:bCs/>
              </w:rPr>
              <w:t>10</w:t>
            </w:r>
          </w:p>
        </w:tc>
        <w:tc>
          <w:tcPr>
            <w:tcW w:w="540" w:type="dxa"/>
          </w:tcPr>
          <w:p w:rsidRPr="00DB7F18" w:rsidR="00F5622B" w:rsidP="00F5622B" w:rsidRDefault="00F5622B" w14:paraId="1BFBF759" w14:textId="77777777">
            <w:pPr>
              <w:autoSpaceDE w:val="0"/>
              <w:autoSpaceDN w:val="0"/>
              <w:adjustRightInd w:val="0"/>
              <w:jc w:val="center"/>
              <w:rPr>
                <w:bCs/>
              </w:rPr>
            </w:pPr>
            <w:r w:rsidRPr="00DB7F18">
              <w:rPr>
                <w:bCs/>
              </w:rPr>
              <w:t>11</w:t>
            </w:r>
          </w:p>
        </w:tc>
        <w:tc>
          <w:tcPr>
            <w:tcW w:w="471" w:type="dxa"/>
          </w:tcPr>
          <w:p w:rsidRPr="00DB7F18" w:rsidR="00F5622B" w:rsidP="00F5622B" w:rsidRDefault="00F5622B" w14:paraId="7AF4D1C3" w14:textId="7ECBC1A1">
            <w:r>
              <w:rPr>
                <w:bCs/>
              </w:rPr>
              <w:t>12</w:t>
            </w:r>
          </w:p>
        </w:tc>
        <w:tc>
          <w:tcPr>
            <w:tcW w:w="456" w:type="dxa"/>
          </w:tcPr>
          <w:p w:rsidRPr="00DB7F18" w:rsidR="00F5622B" w:rsidP="00F5622B" w:rsidRDefault="00F5622B" w14:paraId="28398213" w14:textId="741BA327">
            <w:r>
              <w:rPr>
                <w:bCs/>
              </w:rPr>
              <w:t>13</w:t>
            </w:r>
          </w:p>
        </w:tc>
        <w:tc>
          <w:tcPr>
            <w:tcW w:w="456" w:type="dxa"/>
          </w:tcPr>
          <w:p w:rsidRPr="00DB7F18" w:rsidR="00F5622B" w:rsidP="00F5622B" w:rsidRDefault="00F5622B" w14:paraId="41D47C76" w14:textId="6EB262DE">
            <w:r>
              <w:rPr>
                <w:bCs/>
              </w:rPr>
              <w:t>14</w:t>
            </w:r>
          </w:p>
        </w:tc>
        <w:tc>
          <w:tcPr>
            <w:tcW w:w="456" w:type="dxa"/>
          </w:tcPr>
          <w:p w:rsidRPr="00DB7F18" w:rsidR="00F5622B" w:rsidP="00F5622B" w:rsidRDefault="00F5622B" w14:paraId="6652BDDB" w14:textId="2902AE2B">
            <w:r>
              <w:rPr>
                <w:bCs/>
              </w:rPr>
              <w:t>15</w:t>
            </w:r>
          </w:p>
        </w:tc>
        <w:tc>
          <w:tcPr>
            <w:tcW w:w="456" w:type="dxa"/>
          </w:tcPr>
          <w:p w:rsidRPr="00DB7F18" w:rsidR="00F5622B" w:rsidP="00F5622B" w:rsidRDefault="00F5622B" w14:paraId="18BD3BD8" w14:textId="534A66B5">
            <w:r>
              <w:rPr>
                <w:bCs/>
              </w:rPr>
              <w:t>16</w:t>
            </w:r>
          </w:p>
        </w:tc>
      </w:tr>
      <w:tr w:rsidRPr="00F556D3" w:rsidR="00E219C3" w:rsidTr="003400C2" w14:paraId="2AEFB606" w14:textId="51CE0EDC">
        <w:tc>
          <w:tcPr>
            <w:tcW w:w="1817" w:type="dxa"/>
          </w:tcPr>
          <w:p w:rsidRPr="00904271" w:rsidR="00F5622B" w:rsidP="00F5622B" w:rsidRDefault="00F5622B" w14:paraId="1846A974" w14:textId="77777777">
            <w:pPr>
              <w:autoSpaceDE w:val="0"/>
              <w:autoSpaceDN w:val="0"/>
              <w:adjustRightInd w:val="0"/>
            </w:pPr>
            <w:r w:rsidRPr="00904271">
              <w:t>OMB Approval</w:t>
            </w:r>
          </w:p>
        </w:tc>
        <w:tc>
          <w:tcPr>
            <w:tcW w:w="495" w:type="dxa"/>
            <w:shd w:val="clear" w:color="auto" w:fill="BFBFBF" w:themeFill="background1" w:themeFillShade="BF"/>
          </w:tcPr>
          <w:p w:rsidRPr="00904271" w:rsidR="00F5622B" w:rsidP="00F5622B" w:rsidRDefault="00F5622B" w14:paraId="69DF7332" w14:textId="77777777">
            <w:pPr>
              <w:autoSpaceDE w:val="0"/>
              <w:autoSpaceDN w:val="0"/>
              <w:adjustRightInd w:val="0"/>
              <w:jc w:val="center"/>
            </w:pPr>
            <w:r w:rsidRPr="00904271">
              <w:t>X</w:t>
            </w:r>
          </w:p>
        </w:tc>
        <w:tc>
          <w:tcPr>
            <w:tcW w:w="643" w:type="dxa"/>
          </w:tcPr>
          <w:p w:rsidRPr="00904271" w:rsidR="00F5622B" w:rsidP="00F5622B" w:rsidRDefault="00F5622B" w14:paraId="3C533DE0" w14:textId="77777777">
            <w:pPr>
              <w:autoSpaceDE w:val="0"/>
              <w:autoSpaceDN w:val="0"/>
              <w:adjustRightInd w:val="0"/>
              <w:jc w:val="center"/>
            </w:pPr>
          </w:p>
        </w:tc>
        <w:tc>
          <w:tcPr>
            <w:tcW w:w="469" w:type="dxa"/>
          </w:tcPr>
          <w:p w:rsidRPr="00F556D3" w:rsidR="00F5622B" w:rsidP="00F5622B" w:rsidRDefault="00F5622B" w14:paraId="607985C0" w14:textId="77777777">
            <w:pPr>
              <w:autoSpaceDE w:val="0"/>
              <w:autoSpaceDN w:val="0"/>
              <w:adjustRightInd w:val="0"/>
              <w:jc w:val="center"/>
            </w:pPr>
          </w:p>
        </w:tc>
        <w:tc>
          <w:tcPr>
            <w:tcW w:w="497" w:type="dxa"/>
          </w:tcPr>
          <w:p w:rsidRPr="00F556D3" w:rsidR="00F5622B" w:rsidP="00F5622B" w:rsidRDefault="00F5622B" w14:paraId="310D0C9D" w14:textId="77777777">
            <w:pPr>
              <w:autoSpaceDE w:val="0"/>
              <w:autoSpaceDN w:val="0"/>
              <w:adjustRightInd w:val="0"/>
              <w:jc w:val="center"/>
            </w:pPr>
          </w:p>
        </w:tc>
        <w:tc>
          <w:tcPr>
            <w:tcW w:w="457" w:type="dxa"/>
          </w:tcPr>
          <w:p w:rsidRPr="00F556D3" w:rsidR="00F5622B" w:rsidP="00F5622B" w:rsidRDefault="00F5622B" w14:paraId="5CA9B228" w14:textId="77777777">
            <w:pPr>
              <w:autoSpaceDE w:val="0"/>
              <w:autoSpaceDN w:val="0"/>
              <w:adjustRightInd w:val="0"/>
              <w:jc w:val="center"/>
            </w:pPr>
          </w:p>
        </w:tc>
        <w:tc>
          <w:tcPr>
            <w:tcW w:w="457" w:type="dxa"/>
          </w:tcPr>
          <w:p w:rsidRPr="00F556D3" w:rsidR="00F5622B" w:rsidP="00F5622B" w:rsidRDefault="00F5622B" w14:paraId="7524A18A" w14:textId="77777777">
            <w:pPr>
              <w:autoSpaceDE w:val="0"/>
              <w:autoSpaceDN w:val="0"/>
              <w:adjustRightInd w:val="0"/>
              <w:jc w:val="center"/>
            </w:pPr>
          </w:p>
        </w:tc>
        <w:tc>
          <w:tcPr>
            <w:tcW w:w="471" w:type="dxa"/>
          </w:tcPr>
          <w:p w:rsidRPr="00F556D3" w:rsidR="00F5622B" w:rsidP="00F5622B" w:rsidRDefault="00F5622B" w14:paraId="19561263" w14:textId="77777777">
            <w:pPr>
              <w:autoSpaceDE w:val="0"/>
              <w:autoSpaceDN w:val="0"/>
              <w:adjustRightInd w:val="0"/>
              <w:jc w:val="center"/>
            </w:pPr>
          </w:p>
        </w:tc>
        <w:tc>
          <w:tcPr>
            <w:tcW w:w="417" w:type="dxa"/>
          </w:tcPr>
          <w:p w:rsidRPr="00F556D3" w:rsidR="00F5622B" w:rsidP="00F5622B" w:rsidRDefault="00F5622B" w14:paraId="160C1F22" w14:textId="77777777">
            <w:pPr>
              <w:autoSpaceDE w:val="0"/>
              <w:autoSpaceDN w:val="0"/>
              <w:adjustRightInd w:val="0"/>
              <w:jc w:val="center"/>
            </w:pPr>
          </w:p>
        </w:tc>
        <w:tc>
          <w:tcPr>
            <w:tcW w:w="482" w:type="dxa"/>
          </w:tcPr>
          <w:p w:rsidRPr="00F556D3" w:rsidR="00F5622B" w:rsidP="00F5622B" w:rsidRDefault="00F5622B" w14:paraId="6A13138C" w14:textId="77777777">
            <w:pPr>
              <w:autoSpaceDE w:val="0"/>
              <w:autoSpaceDN w:val="0"/>
              <w:adjustRightInd w:val="0"/>
              <w:jc w:val="center"/>
            </w:pPr>
          </w:p>
        </w:tc>
        <w:tc>
          <w:tcPr>
            <w:tcW w:w="444" w:type="dxa"/>
          </w:tcPr>
          <w:p w:rsidRPr="00F556D3" w:rsidR="00F5622B" w:rsidP="00F5622B" w:rsidRDefault="00F5622B" w14:paraId="78E1C489" w14:textId="77777777">
            <w:pPr>
              <w:autoSpaceDE w:val="0"/>
              <w:autoSpaceDN w:val="0"/>
              <w:adjustRightInd w:val="0"/>
              <w:jc w:val="center"/>
            </w:pPr>
          </w:p>
        </w:tc>
        <w:tc>
          <w:tcPr>
            <w:tcW w:w="456" w:type="dxa"/>
          </w:tcPr>
          <w:p w:rsidRPr="00F556D3" w:rsidR="00F5622B" w:rsidP="00F5622B" w:rsidRDefault="00F5622B" w14:paraId="083DC471" w14:textId="77777777">
            <w:pPr>
              <w:autoSpaceDE w:val="0"/>
              <w:autoSpaceDN w:val="0"/>
              <w:adjustRightInd w:val="0"/>
              <w:jc w:val="center"/>
            </w:pPr>
          </w:p>
        </w:tc>
        <w:tc>
          <w:tcPr>
            <w:tcW w:w="540" w:type="dxa"/>
          </w:tcPr>
          <w:p w:rsidRPr="00F556D3" w:rsidR="00F5622B" w:rsidP="00F5622B" w:rsidRDefault="00F5622B" w14:paraId="44A5E284" w14:textId="77777777">
            <w:pPr>
              <w:autoSpaceDE w:val="0"/>
              <w:autoSpaceDN w:val="0"/>
              <w:adjustRightInd w:val="0"/>
              <w:jc w:val="center"/>
            </w:pPr>
          </w:p>
        </w:tc>
        <w:tc>
          <w:tcPr>
            <w:tcW w:w="471" w:type="dxa"/>
          </w:tcPr>
          <w:p w:rsidRPr="00F556D3" w:rsidR="00F5622B" w:rsidP="00F5622B" w:rsidRDefault="00F5622B" w14:paraId="174F183C" w14:textId="77777777"/>
        </w:tc>
        <w:tc>
          <w:tcPr>
            <w:tcW w:w="456" w:type="dxa"/>
          </w:tcPr>
          <w:p w:rsidRPr="00F556D3" w:rsidR="00F5622B" w:rsidP="00F5622B" w:rsidRDefault="00F5622B" w14:paraId="2F09F9FA" w14:textId="77777777"/>
        </w:tc>
        <w:tc>
          <w:tcPr>
            <w:tcW w:w="456" w:type="dxa"/>
          </w:tcPr>
          <w:p w:rsidRPr="00F556D3" w:rsidR="00F5622B" w:rsidP="00F5622B" w:rsidRDefault="00F5622B" w14:paraId="10BD1C43" w14:textId="77777777"/>
        </w:tc>
        <w:tc>
          <w:tcPr>
            <w:tcW w:w="456" w:type="dxa"/>
          </w:tcPr>
          <w:p w:rsidRPr="00F556D3" w:rsidR="00F5622B" w:rsidP="00F5622B" w:rsidRDefault="00F5622B" w14:paraId="544EA422" w14:textId="77777777"/>
        </w:tc>
        <w:tc>
          <w:tcPr>
            <w:tcW w:w="456" w:type="dxa"/>
          </w:tcPr>
          <w:p w:rsidRPr="00F556D3" w:rsidR="00F5622B" w:rsidP="00F5622B" w:rsidRDefault="00F5622B" w14:paraId="691CF732" w14:textId="77777777"/>
        </w:tc>
      </w:tr>
      <w:tr w:rsidRPr="00F556D3" w:rsidR="00F5622B" w:rsidTr="003400C2" w14:paraId="4505C514" w14:textId="17441AE0">
        <w:tc>
          <w:tcPr>
            <w:tcW w:w="1817" w:type="dxa"/>
          </w:tcPr>
          <w:p w:rsidRPr="00BC0016" w:rsidR="00F5622B" w:rsidP="00F5622B" w:rsidRDefault="00F5622B" w14:paraId="4926D660" w14:textId="030A3C6F">
            <w:pPr>
              <w:autoSpaceDE w:val="0"/>
              <w:autoSpaceDN w:val="0"/>
              <w:adjustRightInd w:val="0"/>
            </w:pPr>
            <w:r w:rsidRPr="00BC0016">
              <w:t>Conduct survey</w:t>
            </w:r>
          </w:p>
        </w:tc>
        <w:tc>
          <w:tcPr>
            <w:tcW w:w="495" w:type="dxa"/>
            <w:shd w:val="clear" w:color="auto" w:fill="FFFFFF" w:themeFill="background1"/>
          </w:tcPr>
          <w:p w:rsidRPr="00F556D3" w:rsidR="00F5622B" w:rsidP="00F5622B" w:rsidRDefault="00F5622B" w14:paraId="71FB04AD" w14:textId="77777777">
            <w:pPr>
              <w:autoSpaceDE w:val="0"/>
              <w:autoSpaceDN w:val="0"/>
              <w:adjustRightInd w:val="0"/>
              <w:jc w:val="center"/>
            </w:pPr>
          </w:p>
        </w:tc>
        <w:tc>
          <w:tcPr>
            <w:tcW w:w="643" w:type="dxa"/>
            <w:shd w:val="clear" w:color="auto" w:fill="BFBFBF" w:themeFill="background1" w:themeFillShade="BF"/>
          </w:tcPr>
          <w:p w:rsidRPr="00F556D3" w:rsidR="00F5622B" w:rsidP="00F5622B" w:rsidRDefault="00F5622B" w14:paraId="45EF5EF4" w14:textId="77777777">
            <w:pPr>
              <w:autoSpaceDE w:val="0"/>
              <w:autoSpaceDN w:val="0"/>
              <w:adjustRightInd w:val="0"/>
              <w:jc w:val="center"/>
            </w:pPr>
            <w:r w:rsidRPr="00F556D3">
              <w:t>X</w:t>
            </w:r>
          </w:p>
        </w:tc>
        <w:tc>
          <w:tcPr>
            <w:tcW w:w="469" w:type="dxa"/>
            <w:shd w:val="clear" w:color="auto" w:fill="BFBFBF" w:themeFill="background1" w:themeFillShade="BF"/>
          </w:tcPr>
          <w:p w:rsidRPr="00F556D3" w:rsidR="00F5622B" w:rsidP="00F5622B" w:rsidRDefault="00F5622B" w14:paraId="0B1A8518" w14:textId="77777777">
            <w:pPr>
              <w:autoSpaceDE w:val="0"/>
              <w:autoSpaceDN w:val="0"/>
              <w:adjustRightInd w:val="0"/>
              <w:jc w:val="center"/>
            </w:pPr>
            <w:r w:rsidRPr="00F556D3">
              <w:t>X</w:t>
            </w:r>
          </w:p>
        </w:tc>
        <w:tc>
          <w:tcPr>
            <w:tcW w:w="497" w:type="dxa"/>
            <w:shd w:val="clear" w:color="auto" w:fill="BFBFBF" w:themeFill="background1" w:themeFillShade="BF"/>
          </w:tcPr>
          <w:p w:rsidRPr="00F556D3" w:rsidR="00F5622B" w:rsidP="00F5622B" w:rsidRDefault="00F5622B" w14:paraId="1370A404" w14:textId="77777777">
            <w:pPr>
              <w:autoSpaceDE w:val="0"/>
              <w:autoSpaceDN w:val="0"/>
              <w:adjustRightInd w:val="0"/>
              <w:jc w:val="center"/>
            </w:pPr>
            <w:r w:rsidRPr="00F556D3">
              <w:t>X</w:t>
            </w:r>
          </w:p>
        </w:tc>
        <w:tc>
          <w:tcPr>
            <w:tcW w:w="457" w:type="dxa"/>
            <w:shd w:val="clear" w:color="auto" w:fill="BFBFBF" w:themeFill="background1" w:themeFillShade="BF"/>
          </w:tcPr>
          <w:p w:rsidRPr="00F556D3" w:rsidR="00F5622B" w:rsidP="00F5622B" w:rsidRDefault="00F5622B" w14:paraId="6350ED11" w14:textId="77777777">
            <w:pPr>
              <w:autoSpaceDE w:val="0"/>
              <w:autoSpaceDN w:val="0"/>
              <w:adjustRightInd w:val="0"/>
              <w:jc w:val="center"/>
            </w:pPr>
            <w:r w:rsidRPr="00F556D3">
              <w:t>X</w:t>
            </w:r>
          </w:p>
        </w:tc>
        <w:tc>
          <w:tcPr>
            <w:tcW w:w="457" w:type="dxa"/>
            <w:shd w:val="clear" w:color="auto" w:fill="BFBFBF" w:themeFill="background1" w:themeFillShade="BF"/>
          </w:tcPr>
          <w:p w:rsidRPr="00F556D3" w:rsidR="00F5622B" w:rsidP="00F5622B" w:rsidRDefault="00F5622B" w14:paraId="32A3872F" w14:textId="77777777">
            <w:pPr>
              <w:autoSpaceDE w:val="0"/>
              <w:autoSpaceDN w:val="0"/>
              <w:adjustRightInd w:val="0"/>
              <w:jc w:val="center"/>
            </w:pPr>
            <w:r w:rsidRPr="00F556D3">
              <w:t>X</w:t>
            </w:r>
          </w:p>
        </w:tc>
        <w:tc>
          <w:tcPr>
            <w:tcW w:w="471" w:type="dxa"/>
            <w:shd w:val="clear" w:color="auto" w:fill="BFBFBF" w:themeFill="background1" w:themeFillShade="BF"/>
          </w:tcPr>
          <w:p w:rsidRPr="00F556D3" w:rsidR="00F5622B" w:rsidP="00F5622B" w:rsidRDefault="00F5622B" w14:paraId="4685E007" w14:textId="77777777">
            <w:pPr>
              <w:autoSpaceDE w:val="0"/>
              <w:autoSpaceDN w:val="0"/>
              <w:adjustRightInd w:val="0"/>
              <w:jc w:val="center"/>
            </w:pPr>
            <w:r w:rsidRPr="00F556D3">
              <w:t>X</w:t>
            </w:r>
          </w:p>
        </w:tc>
        <w:tc>
          <w:tcPr>
            <w:tcW w:w="417" w:type="dxa"/>
            <w:shd w:val="clear" w:color="auto" w:fill="BFBFBF" w:themeFill="background1" w:themeFillShade="BF"/>
          </w:tcPr>
          <w:p w:rsidRPr="00F556D3" w:rsidR="00F5622B" w:rsidP="00F5622B" w:rsidRDefault="00F5622B" w14:paraId="18F05119" w14:textId="7922C8CD">
            <w:pPr>
              <w:autoSpaceDE w:val="0"/>
              <w:autoSpaceDN w:val="0"/>
              <w:adjustRightInd w:val="0"/>
              <w:jc w:val="center"/>
              <w:rPr>
                <w:color w:val="FFFFFF" w:themeColor="background1"/>
              </w:rPr>
            </w:pPr>
          </w:p>
        </w:tc>
        <w:tc>
          <w:tcPr>
            <w:tcW w:w="482" w:type="dxa"/>
            <w:shd w:val="clear" w:color="auto" w:fill="BFBFBF" w:themeFill="background1" w:themeFillShade="BF"/>
          </w:tcPr>
          <w:p w:rsidRPr="00F556D3" w:rsidR="00F5622B" w:rsidP="00F5622B" w:rsidRDefault="00F5622B" w14:paraId="5663FCC7" w14:textId="2CBCC20D">
            <w:pPr>
              <w:autoSpaceDE w:val="0"/>
              <w:autoSpaceDN w:val="0"/>
              <w:adjustRightInd w:val="0"/>
              <w:jc w:val="center"/>
              <w:rPr>
                <w:color w:val="FFFFFF" w:themeColor="background1"/>
              </w:rPr>
            </w:pPr>
          </w:p>
        </w:tc>
        <w:tc>
          <w:tcPr>
            <w:tcW w:w="444" w:type="dxa"/>
          </w:tcPr>
          <w:p w:rsidRPr="00F556D3" w:rsidR="00F5622B" w:rsidP="00F5622B" w:rsidRDefault="00F5622B" w14:paraId="54E5502F" w14:textId="77777777">
            <w:pPr>
              <w:autoSpaceDE w:val="0"/>
              <w:autoSpaceDN w:val="0"/>
              <w:adjustRightInd w:val="0"/>
              <w:jc w:val="center"/>
            </w:pPr>
          </w:p>
        </w:tc>
        <w:tc>
          <w:tcPr>
            <w:tcW w:w="456" w:type="dxa"/>
          </w:tcPr>
          <w:p w:rsidRPr="00F556D3" w:rsidR="00F5622B" w:rsidP="00F5622B" w:rsidRDefault="00F5622B" w14:paraId="7C41F882" w14:textId="77777777">
            <w:pPr>
              <w:autoSpaceDE w:val="0"/>
              <w:autoSpaceDN w:val="0"/>
              <w:adjustRightInd w:val="0"/>
              <w:jc w:val="center"/>
            </w:pPr>
          </w:p>
        </w:tc>
        <w:tc>
          <w:tcPr>
            <w:tcW w:w="540" w:type="dxa"/>
          </w:tcPr>
          <w:p w:rsidRPr="00F556D3" w:rsidR="00F5622B" w:rsidP="00F5622B" w:rsidRDefault="00F5622B" w14:paraId="09E7807A" w14:textId="77777777">
            <w:pPr>
              <w:autoSpaceDE w:val="0"/>
              <w:autoSpaceDN w:val="0"/>
              <w:adjustRightInd w:val="0"/>
              <w:jc w:val="center"/>
            </w:pPr>
          </w:p>
        </w:tc>
        <w:tc>
          <w:tcPr>
            <w:tcW w:w="471" w:type="dxa"/>
          </w:tcPr>
          <w:p w:rsidRPr="00F556D3" w:rsidR="00F5622B" w:rsidP="00F5622B" w:rsidRDefault="00F5622B" w14:paraId="4882C0E3" w14:textId="77777777"/>
        </w:tc>
        <w:tc>
          <w:tcPr>
            <w:tcW w:w="456" w:type="dxa"/>
          </w:tcPr>
          <w:p w:rsidRPr="00F556D3" w:rsidR="00F5622B" w:rsidP="00F5622B" w:rsidRDefault="00F5622B" w14:paraId="04A3B0D7" w14:textId="77777777"/>
        </w:tc>
        <w:tc>
          <w:tcPr>
            <w:tcW w:w="456" w:type="dxa"/>
          </w:tcPr>
          <w:p w:rsidRPr="00F556D3" w:rsidR="00F5622B" w:rsidP="00F5622B" w:rsidRDefault="00F5622B" w14:paraId="7BAEC58C" w14:textId="77777777"/>
        </w:tc>
        <w:tc>
          <w:tcPr>
            <w:tcW w:w="456" w:type="dxa"/>
          </w:tcPr>
          <w:p w:rsidRPr="00F556D3" w:rsidR="00F5622B" w:rsidP="00F5622B" w:rsidRDefault="00F5622B" w14:paraId="3A34D67F" w14:textId="77777777"/>
        </w:tc>
        <w:tc>
          <w:tcPr>
            <w:tcW w:w="456" w:type="dxa"/>
          </w:tcPr>
          <w:p w:rsidRPr="00F556D3" w:rsidR="00F5622B" w:rsidP="00F5622B" w:rsidRDefault="00F5622B" w14:paraId="2AC7B175" w14:textId="77777777"/>
        </w:tc>
      </w:tr>
      <w:tr w:rsidRPr="00F556D3" w:rsidR="00E219C3" w:rsidTr="00E219C3" w14:paraId="109611F0" w14:textId="77777777">
        <w:tc>
          <w:tcPr>
            <w:tcW w:w="1817" w:type="dxa"/>
          </w:tcPr>
          <w:p w:rsidRPr="00F556D3" w:rsidR="00F5622B" w:rsidP="00F5622B" w:rsidRDefault="00F5622B" w14:paraId="0EB5F9FD" w14:textId="56C7B1D2">
            <w:pPr>
              <w:autoSpaceDE w:val="0"/>
              <w:autoSpaceDN w:val="0"/>
              <w:adjustRightInd w:val="0"/>
            </w:pPr>
            <w:r w:rsidRPr="00F556D3">
              <w:t>Collect data</w:t>
            </w:r>
          </w:p>
        </w:tc>
        <w:tc>
          <w:tcPr>
            <w:tcW w:w="495" w:type="dxa"/>
            <w:shd w:val="clear" w:color="auto" w:fill="FFFFFF" w:themeFill="background1"/>
          </w:tcPr>
          <w:p w:rsidRPr="00F556D3" w:rsidR="00F5622B" w:rsidP="00F5622B" w:rsidRDefault="00F5622B" w14:paraId="764406D8" w14:textId="77777777">
            <w:pPr>
              <w:autoSpaceDE w:val="0"/>
              <w:autoSpaceDN w:val="0"/>
              <w:adjustRightInd w:val="0"/>
              <w:jc w:val="center"/>
            </w:pPr>
          </w:p>
        </w:tc>
        <w:tc>
          <w:tcPr>
            <w:tcW w:w="643" w:type="dxa"/>
            <w:shd w:val="clear" w:color="auto" w:fill="BFBFBF" w:themeFill="background1" w:themeFillShade="BF"/>
          </w:tcPr>
          <w:p w:rsidRPr="00F556D3" w:rsidR="00F5622B" w:rsidP="00F5622B" w:rsidRDefault="00F5622B" w14:paraId="2AC7858E" w14:textId="24C096FF">
            <w:pPr>
              <w:autoSpaceDE w:val="0"/>
              <w:autoSpaceDN w:val="0"/>
              <w:adjustRightInd w:val="0"/>
              <w:jc w:val="center"/>
            </w:pPr>
            <w:r w:rsidRPr="00F556D3">
              <w:t>X</w:t>
            </w:r>
          </w:p>
        </w:tc>
        <w:tc>
          <w:tcPr>
            <w:tcW w:w="469" w:type="dxa"/>
            <w:shd w:val="clear" w:color="auto" w:fill="BFBFBF" w:themeFill="background1" w:themeFillShade="BF"/>
          </w:tcPr>
          <w:p w:rsidRPr="00F556D3" w:rsidR="00F5622B" w:rsidP="00F5622B" w:rsidRDefault="00F5622B" w14:paraId="435B6071" w14:textId="0DD058A4">
            <w:pPr>
              <w:autoSpaceDE w:val="0"/>
              <w:autoSpaceDN w:val="0"/>
              <w:adjustRightInd w:val="0"/>
              <w:jc w:val="center"/>
            </w:pPr>
            <w:r w:rsidRPr="00F556D3">
              <w:t>X</w:t>
            </w:r>
          </w:p>
        </w:tc>
        <w:tc>
          <w:tcPr>
            <w:tcW w:w="497" w:type="dxa"/>
            <w:shd w:val="clear" w:color="auto" w:fill="BFBFBF" w:themeFill="background1" w:themeFillShade="BF"/>
          </w:tcPr>
          <w:p w:rsidRPr="00F556D3" w:rsidR="00F5622B" w:rsidP="00F5622B" w:rsidRDefault="00F5622B" w14:paraId="238FB04F" w14:textId="0E95604D">
            <w:pPr>
              <w:autoSpaceDE w:val="0"/>
              <w:autoSpaceDN w:val="0"/>
              <w:adjustRightInd w:val="0"/>
              <w:jc w:val="center"/>
            </w:pPr>
            <w:r w:rsidRPr="00F556D3">
              <w:t>X</w:t>
            </w:r>
          </w:p>
        </w:tc>
        <w:tc>
          <w:tcPr>
            <w:tcW w:w="457" w:type="dxa"/>
            <w:shd w:val="clear" w:color="auto" w:fill="BFBFBF" w:themeFill="background1" w:themeFillShade="BF"/>
          </w:tcPr>
          <w:p w:rsidRPr="00F556D3" w:rsidR="00F5622B" w:rsidP="00F5622B" w:rsidRDefault="00F5622B" w14:paraId="5A6B97B2" w14:textId="2E4FA489">
            <w:pPr>
              <w:autoSpaceDE w:val="0"/>
              <w:autoSpaceDN w:val="0"/>
              <w:adjustRightInd w:val="0"/>
              <w:jc w:val="center"/>
            </w:pPr>
            <w:r w:rsidRPr="00F556D3">
              <w:t>X</w:t>
            </w:r>
          </w:p>
        </w:tc>
        <w:tc>
          <w:tcPr>
            <w:tcW w:w="457" w:type="dxa"/>
            <w:shd w:val="clear" w:color="auto" w:fill="BFBFBF" w:themeFill="background1" w:themeFillShade="BF"/>
          </w:tcPr>
          <w:p w:rsidRPr="00F556D3" w:rsidR="00F5622B" w:rsidP="00F5622B" w:rsidRDefault="00F5622B" w14:paraId="6CA76F10" w14:textId="09F028A0">
            <w:pPr>
              <w:autoSpaceDE w:val="0"/>
              <w:autoSpaceDN w:val="0"/>
              <w:adjustRightInd w:val="0"/>
              <w:jc w:val="center"/>
            </w:pPr>
            <w:r w:rsidRPr="00F556D3">
              <w:t>X</w:t>
            </w:r>
          </w:p>
        </w:tc>
        <w:tc>
          <w:tcPr>
            <w:tcW w:w="471" w:type="dxa"/>
            <w:shd w:val="clear" w:color="auto" w:fill="BFBFBF" w:themeFill="background1" w:themeFillShade="BF"/>
          </w:tcPr>
          <w:p w:rsidRPr="00F556D3" w:rsidR="00F5622B" w:rsidP="00F5622B" w:rsidRDefault="00F5622B" w14:paraId="6E5CAC20" w14:textId="4D694236">
            <w:pPr>
              <w:autoSpaceDE w:val="0"/>
              <w:autoSpaceDN w:val="0"/>
              <w:adjustRightInd w:val="0"/>
              <w:jc w:val="center"/>
            </w:pPr>
            <w:r w:rsidRPr="00F556D3">
              <w:t>X</w:t>
            </w:r>
          </w:p>
        </w:tc>
        <w:tc>
          <w:tcPr>
            <w:tcW w:w="417" w:type="dxa"/>
            <w:shd w:val="clear" w:color="auto" w:fill="BFBFBF" w:themeFill="background1" w:themeFillShade="BF"/>
          </w:tcPr>
          <w:p w:rsidRPr="00F556D3" w:rsidR="00F5622B" w:rsidP="00F5622B" w:rsidRDefault="00F5622B" w14:paraId="74443671" w14:textId="6D7BE6C0">
            <w:pPr>
              <w:autoSpaceDE w:val="0"/>
              <w:autoSpaceDN w:val="0"/>
              <w:adjustRightInd w:val="0"/>
              <w:jc w:val="center"/>
            </w:pPr>
            <w:r w:rsidRPr="00F556D3">
              <w:t>X</w:t>
            </w:r>
          </w:p>
        </w:tc>
        <w:tc>
          <w:tcPr>
            <w:tcW w:w="482" w:type="dxa"/>
            <w:shd w:val="clear" w:color="auto" w:fill="BFBFBF" w:themeFill="background1" w:themeFillShade="BF"/>
          </w:tcPr>
          <w:p w:rsidRPr="00F556D3" w:rsidR="00F5622B" w:rsidP="00F5622B" w:rsidRDefault="00F5622B" w14:paraId="77E97FC3" w14:textId="36146E52">
            <w:pPr>
              <w:autoSpaceDE w:val="0"/>
              <w:autoSpaceDN w:val="0"/>
              <w:adjustRightInd w:val="0"/>
              <w:jc w:val="center"/>
            </w:pPr>
            <w:r w:rsidRPr="00F556D3">
              <w:t>X</w:t>
            </w:r>
          </w:p>
        </w:tc>
        <w:tc>
          <w:tcPr>
            <w:tcW w:w="444" w:type="dxa"/>
          </w:tcPr>
          <w:p w:rsidRPr="00F556D3" w:rsidR="00F5622B" w:rsidP="00F5622B" w:rsidRDefault="00F5622B" w14:paraId="53D75FA3" w14:textId="684F19C1">
            <w:pPr>
              <w:autoSpaceDE w:val="0"/>
              <w:autoSpaceDN w:val="0"/>
              <w:adjustRightInd w:val="0"/>
              <w:jc w:val="center"/>
            </w:pPr>
            <w:r w:rsidRPr="00F556D3">
              <w:t>X</w:t>
            </w:r>
          </w:p>
        </w:tc>
        <w:tc>
          <w:tcPr>
            <w:tcW w:w="456" w:type="dxa"/>
          </w:tcPr>
          <w:p w:rsidRPr="00F556D3" w:rsidR="00F5622B" w:rsidP="00F5622B" w:rsidRDefault="00F5622B" w14:paraId="087CDD8A" w14:textId="0D6A8C4F">
            <w:pPr>
              <w:autoSpaceDE w:val="0"/>
              <w:autoSpaceDN w:val="0"/>
              <w:adjustRightInd w:val="0"/>
              <w:jc w:val="center"/>
            </w:pPr>
          </w:p>
        </w:tc>
        <w:tc>
          <w:tcPr>
            <w:tcW w:w="540" w:type="dxa"/>
          </w:tcPr>
          <w:p w:rsidRPr="00F556D3" w:rsidR="00F5622B" w:rsidP="00F5622B" w:rsidRDefault="00F5622B" w14:paraId="394BAB22" w14:textId="01325C66">
            <w:pPr>
              <w:autoSpaceDE w:val="0"/>
              <w:autoSpaceDN w:val="0"/>
              <w:adjustRightInd w:val="0"/>
              <w:jc w:val="center"/>
            </w:pPr>
          </w:p>
        </w:tc>
        <w:tc>
          <w:tcPr>
            <w:tcW w:w="471" w:type="dxa"/>
          </w:tcPr>
          <w:p w:rsidRPr="00F556D3" w:rsidR="00F5622B" w:rsidP="00F5622B" w:rsidRDefault="00F5622B" w14:paraId="29110A44" w14:textId="5EBDA028"/>
        </w:tc>
        <w:tc>
          <w:tcPr>
            <w:tcW w:w="456" w:type="dxa"/>
          </w:tcPr>
          <w:p w:rsidRPr="00F556D3" w:rsidR="00F5622B" w:rsidP="00F5622B" w:rsidRDefault="00F5622B" w14:paraId="741645ED" w14:textId="77777777"/>
        </w:tc>
        <w:tc>
          <w:tcPr>
            <w:tcW w:w="456" w:type="dxa"/>
          </w:tcPr>
          <w:p w:rsidRPr="00F556D3" w:rsidR="00F5622B" w:rsidP="00F5622B" w:rsidRDefault="00F5622B" w14:paraId="1F9DFBA2" w14:textId="77777777"/>
        </w:tc>
        <w:tc>
          <w:tcPr>
            <w:tcW w:w="456" w:type="dxa"/>
          </w:tcPr>
          <w:p w:rsidRPr="00F556D3" w:rsidR="00F5622B" w:rsidP="00F5622B" w:rsidRDefault="00F5622B" w14:paraId="0E540644" w14:textId="77777777"/>
        </w:tc>
        <w:tc>
          <w:tcPr>
            <w:tcW w:w="456" w:type="dxa"/>
          </w:tcPr>
          <w:p w:rsidRPr="00F556D3" w:rsidR="00F5622B" w:rsidP="00F5622B" w:rsidRDefault="00F5622B" w14:paraId="097A47EA" w14:textId="77777777"/>
        </w:tc>
      </w:tr>
      <w:tr w:rsidRPr="00F556D3" w:rsidR="00F5622B" w:rsidTr="003400C2" w14:paraId="6E1C271F" w14:textId="77777777">
        <w:tc>
          <w:tcPr>
            <w:tcW w:w="1817" w:type="dxa"/>
          </w:tcPr>
          <w:p w:rsidRPr="00F556D3" w:rsidR="00F5622B" w:rsidP="00F5622B" w:rsidRDefault="00F5622B" w14:paraId="3E009DA5" w14:textId="77777777">
            <w:pPr>
              <w:autoSpaceDE w:val="0"/>
              <w:autoSpaceDN w:val="0"/>
              <w:adjustRightInd w:val="0"/>
            </w:pPr>
            <w:r w:rsidRPr="00F556D3">
              <w:t>Data Analysis</w:t>
            </w:r>
          </w:p>
        </w:tc>
        <w:tc>
          <w:tcPr>
            <w:tcW w:w="495" w:type="dxa"/>
            <w:shd w:val="clear" w:color="auto" w:fill="FFFFFF" w:themeFill="background1"/>
          </w:tcPr>
          <w:p w:rsidRPr="00F556D3" w:rsidR="00F5622B" w:rsidP="00F5622B" w:rsidRDefault="00F5622B" w14:paraId="38AC9D3B" w14:textId="77777777">
            <w:pPr>
              <w:autoSpaceDE w:val="0"/>
              <w:autoSpaceDN w:val="0"/>
              <w:adjustRightInd w:val="0"/>
              <w:jc w:val="center"/>
            </w:pPr>
          </w:p>
        </w:tc>
        <w:tc>
          <w:tcPr>
            <w:tcW w:w="643" w:type="dxa"/>
            <w:shd w:val="clear" w:color="auto" w:fill="FFFFFF" w:themeFill="background1"/>
          </w:tcPr>
          <w:p w:rsidRPr="00F556D3" w:rsidR="00F5622B" w:rsidP="00F5622B" w:rsidRDefault="00F5622B" w14:paraId="5118B58D" w14:textId="77777777">
            <w:pPr>
              <w:autoSpaceDE w:val="0"/>
              <w:autoSpaceDN w:val="0"/>
              <w:adjustRightInd w:val="0"/>
              <w:jc w:val="center"/>
            </w:pPr>
          </w:p>
        </w:tc>
        <w:tc>
          <w:tcPr>
            <w:tcW w:w="469" w:type="dxa"/>
          </w:tcPr>
          <w:p w:rsidRPr="00F556D3" w:rsidR="00F5622B" w:rsidP="00F5622B" w:rsidRDefault="00F5622B" w14:paraId="3BF9C940" w14:textId="77777777">
            <w:pPr>
              <w:autoSpaceDE w:val="0"/>
              <w:autoSpaceDN w:val="0"/>
              <w:adjustRightInd w:val="0"/>
              <w:jc w:val="center"/>
            </w:pPr>
          </w:p>
        </w:tc>
        <w:tc>
          <w:tcPr>
            <w:tcW w:w="497" w:type="dxa"/>
            <w:shd w:val="clear" w:color="auto" w:fill="auto"/>
          </w:tcPr>
          <w:p w:rsidRPr="00F556D3" w:rsidR="00F5622B" w:rsidP="00F5622B" w:rsidRDefault="00F5622B" w14:paraId="78AA6CB8" w14:textId="77777777">
            <w:pPr>
              <w:autoSpaceDE w:val="0"/>
              <w:autoSpaceDN w:val="0"/>
              <w:adjustRightInd w:val="0"/>
              <w:jc w:val="center"/>
            </w:pPr>
          </w:p>
        </w:tc>
        <w:tc>
          <w:tcPr>
            <w:tcW w:w="457" w:type="dxa"/>
            <w:shd w:val="clear" w:color="auto" w:fill="auto"/>
          </w:tcPr>
          <w:p w:rsidRPr="00F556D3" w:rsidR="00F5622B" w:rsidP="00F5622B" w:rsidRDefault="00F5622B" w14:paraId="3D19D232" w14:textId="77777777">
            <w:pPr>
              <w:autoSpaceDE w:val="0"/>
              <w:autoSpaceDN w:val="0"/>
              <w:adjustRightInd w:val="0"/>
              <w:jc w:val="center"/>
            </w:pPr>
          </w:p>
        </w:tc>
        <w:tc>
          <w:tcPr>
            <w:tcW w:w="457" w:type="dxa"/>
            <w:shd w:val="clear" w:color="auto" w:fill="auto"/>
          </w:tcPr>
          <w:p w:rsidRPr="00F556D3" w:rsidR="00F5622B" w:rsidP="00F5622B" w:rsidRDefault="00F5622B" w14:paraId="22A18BAD" w14:textId="77777777">
            <w:pPr>
              <w:autoSpaceDE w:val="0"/>
              <w:autoSpaceDN w:val="0"/>
              <w:adjustRightInd w:val="0"/>
              <w:jc w:val="center"/>
            </w:pPr>
          </w:p>
        </w:tc>
        <w:tc>
          <w:tcPr>
            <w:tcW w:w="471" w:type="dxa"/>
            <w:shd w:val="clear" w:color="auto" w:fill="auto"/>
          </w:tcPr>
          <w:p w:rsidRPr="00F556D3" w:rsidR="00F5622B" w:rsidP="00F5622B" w:rsidRDefault="00F5622B" w14:paraId="2A783893" w14:textId="6108DEAE">
            <w:pPr>
              <w:autoSpaceDE w:val="0"/>
              <w:autoSpaceDN w:val="0"/>
              <w:adjustRightInd w:val="0"/>
              <w:jc w:val="center"/>
            </w:pPr>
            <w:r w:rsidRPr="00F556D3">
              <w:t>X</w:t>
            </w:r>
          </w:p>
        </w:tc>
        <w:tc>
          <w:tcPr>
            <w:tcW w:w="417" w:type="dxa"/>
            <w:shd w:val="clear" w:color="auto" w:fill="BFBFBF" w:themeFill="background1" w:themeFillShade="BF"/>
          </w:tcPr>
          <w:p w:rsidRPr="00F556D3" w:rsidR="00F5622B" w:rsidP="00F5622B" w:rsidRDefault="00F5622B" w14:paraId="611F393D" w14:textId="77777777">
            <w:pPr>
              <w:autoSpaceDE w:val="0"/>
              <w:autoSpaceDN w:val="0"/>
              <w:adjustRightInd w:val="0"/>
              <w:jc w:val="center"/>
            </w:pPr>
            <w:r w:rsidRPr="00F556D3">
              <w:t>X</w:t>
            </w:r>
          </w:p>
        </w:tc>
        <w:tc>
          <w:tcPr>
            <w:tcW w:w="482" w:type="dxa"/>
            <w:shd w:val="clear" w:color="auto" w:fill="BFBFBF" w:themeFill="background1" w:themeFillShade="BF"/>
          </w:tcPr>
          <w:p w:rsidRPr="00F556D3" w:rsidR="00F5622B" w:rsidP="00F5622B" w:rsidRDefault="00F5622B" w14:paraId="05E3D133" w14:textId="77777777">
            <w:pPr>
              <w:autoSpaceDE w:val="0"/>
              <w:autoSpaceDN w:val="0"/>
              <w:adjustRightInd w:val="0"/>
              <w:jc w:val="center"/>
            </w:pPr>
            <w:r w:rsidRPr="00F556D3">
              <w:t>X</w:t>
            </w:r>
          </w:p>
        </w:tc>
        <w:tc>
          <w:tcPr>
            <w:tcW w:w="444" w:type="dxa"/>
            <w:shd w:val="clear" w:color="auto" w:fill="BFBFBF" w:themeFill="background1" w:themeFillShade="BF"/>
          </w:tcPr>
          <w:p w:rsidRPr="00F556D3" w:rsidR="00F5622B" w:rsidP="00F5622B" w:rsidRDefault="00F5622B" w14:paraId="0FDD448F" w14:textId="77777777">
            <w:pPr>
              <w:autoSpaceDE w:val="0"/>
              <w:autoSpaceDN w:val="0"/>
              <w:adjustRightInd w:val="0"/>
              <w:jc w:val="center"/>
            </w:pPr>
            <w:r w:rsidRPr="00F556D3">
              <w:t>X</w:t>
            </w:r>
          </w:p>
        </w:tc>
        <w:tc>
          <w:tcPr>
            <w:tcW w:w="456" w:type="dxa"/>
            <w:shd w:val="clear" w:color="auto" w:fill="BFBFBF" w:themeFill="background1" w:themeFillShade="BF"/>
          </w:tcPr>
          <w:p w:rsidRPr="00F556D3" w:rsidR="00F5622B" w:rsidP="00F5622B" w:rsidRDefault="00F5622B" w14:paraId="369BC9D0" w14:textId="77777777">
            <w:pPr>
              <w:autoSpaceDE w:val="0"/>
              <w:autoSpaceDN w:val="0"/>
              <w:adjustRightInd w:val="0"/>
              <w:jc w:val="center"/>
            </w:pPr>
            <w:r w:rsidRPr="00F556D3">
              <w:t>X</w:t>
            </w:r>
          </w:p>
        </w:tc>
        <w:tc>
          <w:tcPr>
            <w:tcW w:w="540" w:type="dxa"/>
            <w:shd w:val="clear" w:color="auto" w:fill="BFBFBF" w:themeFill="background1" w:themeFillShade="BF"/>
          </w:tcPr>
          <w:p w:rsidRPr="00F556D3" w:rsidR="00F5622B" w:rsidP="00F5622B" w:rsidRDefault="00F5622B" w14:paraId="1199FC51" w14:textId="77777777">
            <w:pPr>
              <w:autoSpaceDE w:val="0"/>
              <w:autoSpaceDN w:val="0"/>
              <w:adjustRightInd w:val="0"/>
              <w:jc w:val="center"/>
            </w:pPr>
            <w:r w:rsidRPr="00F556D3">
              <w:t>X</w:t>
            </w:r>
          </w:p>
        </w:tc>
        <w:tc>
          <w:tcPr>
            <w:tcW w:w="471" w:type="dxa"/>
          </w:tcPr>
          <w:p w:rsidRPr="00F556D3" w:rsidR="00F5622B" w:rsidP="00F5622B" w:rsidRDefault="00F5622B" w14:paraId="229D51C3" w14:textId="08566D40">
            <w:r w:rsidRPr="00F556D3">
              <w:t>X</w:t>
            </w:r>
          </w:p>
        </w:tc>
        <w:tc>
          <w:tcPr>
            <w:tcW w:w="456" w:type="dxa"/>
          </w:tcPr>
          <w:p w:rsidRPr="00F556D3" w:rsidR="00F5622B" w:rsidP="00F5622B" w:rsidRDefault="00F5622B" w14:paraId="3EA3F4D4" w14:textId="32F445C7">
            <w:r w:rsidRPr="00F556D3">
              <w:t>X</w:t>
            </w:r>
          </w:p>
        </w:tc>
        <w:tc>
          <w:tcPr>
            <w:tcW w:w="456" w:type="dxa"/>
          </w:tcPr>
          <w:p w:rsidRPr="00F556D3" w:rsidR="00F5622B" w:rsidP="00F5622B" w:rsidRDefault="00F5622B" w14:paraId="33589B03" w14:textId="693F8167">
            <w:r w:rsidRPr="00F556D3">
              <w:t>X</w:t>
            </w:r>
          </w:p>
        </w:tc>
        <w:tc>
          <w:tcPr>
            <w:tcW w:w="456" w:type="dxa"/>
          </w:tcPr>
          <w:p w:rsidRPr="00F556D3" w:rsidR="00F5622B" w:rsidP="00F5622B" w:rsidRDefault="00F5622B" w14:paraId="1BEDD183" w14:textId="0D8B5A6C">
            <w:r w:rsidRPr="00F556D3">
              <w:t>X</w:t>
            </w:r>
          </w:p>
        </w:tc>
        <w:tc>
          <w:tcPr>
            <w:tcW w:w="456" w:type="dxa"/>
          </w:tcPr>
          <w:p w:rsidRPr="00F556D3" w:rsidR="00F5622B" w:rsidP="00F5622B" w:rsidRDefault="00F5622B" w14:paraId="42F5BA1B" w14:textId="57A25FD7"/>
        </w:tc>
      </w:tr>
      <w:tr w:rsidRPr="00DB7F18" w:rsidR="00E219C3" w:rsidTr="003400C2" w14:paraId="237FA42A" w14:textId="3750F86A">
        <w:tc>
          <w:tcPr>
            <w:tcW w:w="1817" w:type="dxa"/>
          </w:tcPr>
          <w:p w:rsidRPr="00F556D3" w:rsidR="00F5622B" w:rsidP="00F5622B" w:rsidRDefault="00F5622B" w14:paraId="2B97FF4D" w14:textId="77777777">
            <w:pPr>
              <w:autoSpaceDE w:val="0"/>
              <w:autoSpaceDN w:val="0"/>
              <w:adjustRightInd w:val="0"/>
            </w:pPr>
            <w:r w:rsidRPr="00F556D3">
              <w:t xml:space="preserve">Final Report </w:t>
            </w:r>
          </w:p>
        </w:tc>
        <w:tc>
          <w:tcPr>
            <w:tcW w:w="495" w:type="dxa"/>
            <w:shd w:val="clear" w:color="auto" w:fill="FFFFFF" w:themeFill="background1"/>
          </w:tcPr>
          <w:p w:rsidRPr="00F556D3" w:rsidR="00F5622B" w:rsidP="00F5622B" w:rsidRDefault="00F5622B" w14:paraId="012A017F" w14:textId="77777777">
            <w:pPr>
              <w:autoSpaceDE w:val="0"/>
              <w:autoSpaceDN w:val="0"/>
              <w:adjustRightInd w:val="0"/>
              <w:jc w:val="center"/>
            </w:pPr>
          </w:p>
        </w:tc>
        <w:tc>
          <w:tcPr>
            <w:tcW w:w="643" w:type="dxa"/>
            <w:shd w:val="clear" w:color="auto" w:fill="FFFFFF" w:themeFill="background1"/>
          </w:tcPr>
          <w:p w:rsidRPr="00F556D3" w:rsidR="00F5622B" w:rsidP="00F5622B" w:rsidRDefault="00F5622B" w14:paraId="4388146B" w14:textId="77777777">
            <w:pPr>
              <w:autoSpaceDE w:val="0"/>
              <w:autoSpaceDN w:val="0"/>
              <w:adjustRightInd w:val="0"/>
              <w:jc w:val="center"/>
            </w:pPr>
          </w:p>
        </w:tc>
        <w:tc>
          <w:tcPr>
            <w:tcW w:w="469" w:type="dxa"/>
          </w:tcPr>
          <w:p w:rsidRPr="00F556D3" w:rsidR="00F5622B" w:rsidP="00F5622B" w:rsidRDefault="00F5622B" w14:paraId="568417F3" w14:textId="77777777">
            <w:pPr>
              <w:autoSpaceDE w:val="0"/>
              <w:autoSpaceDN w:val="0"/>
              <w:adjustRightInd w:val="0"/>
              <w:jc w:val="center"/>
            </w:pPr>
          </w:p>
        </w:tc>
        <w:tc>
          <w:tcPr>
            <w:tcW w:w="497" w:type="dxa"/>
          </w:tcPr>
          <w:p w:rsidRPr="00F556D3" w:rsidR="00F5622B" w:rsidP="00F5622B" w:rsidRDefault="00F5622B" w14:paraId="2497AABB" w14:textId="77777777">
            <w:pPr>
              <w:autoSpaceDE w:val="0"/>
              <w:autoSpaceDN w:val="0"/>
              <w:adjustRightInd w:val="0"/>
              <w:jc w:val="center"/>
            </w:pPr>
          </w:p>
        </w:tc>
        <w:tc>
          <w:tcPr>
            <w:tcW w:w="457" w:type="dxa"/>
          </w:tcPr>
          <w:p w:rsidRPr="00F556D3" w:rsidR="00F5622B" w:rsidP="00F5622B" w:rsidRDefault="00F5622B" w14:paraId="697D9F86" w14:textId="77777777">
            <w:pPr>
              <w:autoSpaceDE w:val="0"/>
              <w:autoSpaceDN w:val="0"/>
              <w:adjustRightInd w:val="0"/>
              <w:jc w:val="center"/>
            </w:pPr>
          </w:p>
        </w:tc>
        <w:tc>
          <w:tcPr>
            <w:tcW w:w="457" w:type="dxa"/>
          </w:tcPr>
          <w:p w:rsidRPr="00F556D3" w:rsidR="00F5622B" w:rsidP="00F5622B" w:rsidRDefault="00F5622B" w14:paraId="135DBE7C" w14:textId="77777777">
            <w:pPr>
              <w:autoSpaceDE w:val="0"/>
              <w:autoSpaceDN w:val="0"/>
              <w:adjustRightInd w:val="0"/>
              <w:jc w:val="center"/>
            </w:pPr>
          </w:p>
        </w:tc>
        <w:tc>
          <w:tcPr>
            <w:tcW w:w="471" w:type="dxa"/>
            <w:shd w:val="clear" w:color="auto" w:fill="auto"/>
          </w:tcPr>
          <w:p w:rsidRPr="00F556D3" w:rsidR="00F5622B" w:rsidP="00F5622B" w:rsidRDefault="00F5622B" w14:paraId="0E61569E" w14:textId="77777777">
            <w:pPr>
              <w:autoSpaceDE w:val="0"/>
              <w:autoSpaceDN w:val="0"/>
              <w:adjustRightInd w:val="0"/>
              <w:jc w:val="center"/>
            </w:pPr>
          </w:p>
        </w:tc>
        <w:tc>
          <w:tcPr>
            <w:tcW w:w="417" w:type="dxa"/>
            <w:shd w:val="clear" w:color="auto" w:fill="auto"/>
          </w:tcPr>
          <w:p w:rsidRPr="00F556D3" w:rsidR="00F5622B" w:rsidP="00F5622B" w:rsidRDefault="00F5622B" w14:paraId="4744AE62" w14:textId="77777777">
            <w:pPr>
              <w:autoSpaceDE w:val="0"/>
              <w:autoSpaceDN w:val="0"/>
              <w:adjustRightInd w:val="0"/>
              <w:jc w:val="center"/>
            </w:pPr>
          </w:p>
        </w:tc>
        <w:tc>
          <w:tcPr>
            <w:tcW w:w="482" w:type="dxa"/>
            <w:shd w:val="clear" w:color="auto" w:fill="auto"/>
          </w:tcPr>
          <w:p w:rsidRPr="00F556D3" w:rsidR="00F5622B" w:rsidP="00F5622B" w:rsidRDefault="00F5622B" w14:paraId="30E2CE47" w14:textId="77777777">
            <w:pPr>
              <w:autoSpaceDE w:val="0"/>
              <w:autoSpaceDN w:val="0"/>
              <w:adjustRightInd w:val="0"/>
              <w:jc w:val="center"/>
            </w:pPr>
          </w:p>
        </w:tc>
        <w:tc>
          <w:tcPr>
            <w:tcW w:w="444" w:type="dxa"/>
            <w:shd w:val="clear" w:color="auto" w:fill="FFFFFF" w:themeFill="background1"/>
          </w:tcPr>
          <w:p w:rsidRPr="00F556D3" w:rsidR="00F5622B" w:rsidP="00F5622B" w:rsidRDefault="00F5622B" w14:paraId="08104A1F" w14:textId="77777777">
            <w:pPr>
              <w:autoSpaceDE w:val="0"/>
              <w:autoSpaceDN w:val="0"/>
              <w:adjustRightInd w:val="0"/>
              <w:jc w:val="center"/>
            </w:pPr>
          </w:p>
        </w:tc>
        <w:tc>
          <w:tcPr>
            <w:tcW w:w="456" w:type="dxa"/>
            <w:shd w:val="clear" w:color="auto" w:fill="BFBFBF" w:themeFill="background1" w:themeFillShade="BF"/>
          </w:tcPr>
          <w:p w:rsidRPr="00F556D3" w:rsidR="00F5622B" w:rsidP="00F5622B" w:rsidRDefault="00F5622B" w14:paraId="73F82FF2" w14:textId="3A72FA06">
            <w:pPr>
              <w:autoSpaceDE w:val="0"/>
              <w:autoSpaceDN w:val="0"/>
              <w:adjustRightInd w:val="0"/>
              <w:jc w:val="center"/>
            </w:pPr>
          </w:p>
        </w:tc>
        <w:tc>
          <w:tcPr>
            <w:tcW w:w="540" w:type="dxa"/>
            <w:shd w:val="clear" w:color="auto" w:fill="BFBFBF" w:themeFill="background1" w:themeFillShade="BF"/>
          </w:tcPr>
          <w:p w:rsidRPr="00F556D3" w:rsidR="00F5622B" w:rsidP="00F5622B" w:rsidRDefault="00F5622B" w14:paraId="135448F5" w14:textId="4367CD05">
            <w:pPr>
              <w:autoSpaceDE w:val="0"/>
              <w:autoSpaceDN w:val="0"/>
              <w:adjustRightInd w:val="0"/>
              <w:jc w:val="center"/>
            </w:pPr>
          </w:p>
        </w:tc>
        <w:tc>
          <w:tcPr>
            <w:tcW w:w="471" w:type="dxa"/>
          </w:tcPr>
          <w:p w:rsidRPr="00F556D3" w:rsidR="00F5622B" w:rsidP="00F5622B" w:rsidRDefault="00F5622B" w14:paraId="6F2A8163" w14:textId="57F5D502"/>
        </w:tc>
        <w:tc>
          <w:tcPr>
            <w:tcW w:w="456" w:type="dxa"/>
          </w:tcPr>
          <w:p w:rsidRPr="00F556D3" w:rsidR="00F5622B" w:rsidP="00F5622B" w:rsidRDefault="00F5622B" w14:paraId="2217DB90" w14:textId="06F1A8C2"/>
        </w:tc>
        <w:tc>
          <w:tcPr>
            <w:tcW w:w="456" w:type="dxa"/>
          </w:tcPr>
          <w:p w:rsidRPr="00F556D3" w:rsidR="00F5622B" w:rsidP="00F5622B" w:rsidRDefault="00F5622B" w14:paraId="6E184372" w14:textId="530EF127"/>
        </w:tc>
        <w:tc>
          <w:tcPr>
            <w:tcW w:w="456" w:type="dxa"/>
          </w:tcPr>
          <w:p w:rsidRPr="00F556D3" w:rsidR="00F5622B" w:rsidP="00F5622B" w:rsidRDefault="00F5622B" w14:paraId="670567AF" w14:textId="5A95FFB7"/>
        </w:tc>
        <w:tc>
          <w:tcPr>
            <w:tcW w:w="456" w:type="dxa"/>
          </w:tcPr>
          <w:p w:rsidRPr="00DB7F18" w:rsidR="00F5622B" w:rsidP="00F5622B" w:rsidRDefault="00F5622B" w14:paraId="3856D0D3" w14:textId="75961214">
            <w:r w:rsidRPr="00F556D3">
              <w:t>X</w:t>
            </w:r>
          </w:p>
        </w:tc>
      </w:tr>
    </w:tbl>
    <w:p w:rsidRPr="00DB7F18" w:rsidR="00DB7F18" w:rsidP="00DB7F18" w:rsidRDefault="00DB7F18" w14:paraId="72C9ABD5" w14:textId="77777777">
      <w:pPr>
        <w:spacing w:after="0" w:line="240" w:lineRule="auto"/>
        <w:rPr>
          <w:rFonts w:cs="Times New Roman"/>
          <w:szCs w:val="24"/>
        </w:rPr>
      </w:pPr>
    </w:p>
    <w:p w:rsidR="00DB7F18" w:rsidP="00DB7F18" w:rsidRDefault="00DB7F18" w14:paraId="3DD1FCA5" w14:textId="59D97DB9">
      <w:pPr>
        <w:spacing w:after="0" w:line="240" w:lineRule="auto"/>
        <w:rPr>
          <w:rFonts w:cs="Times New Roman"/>
          <w:szCs w:val="24"/>
        </w:rPr>
      </w:pPr>
    </w:p>
    <w:p w:rsidRPr="0016663B" w:rsidR="0016663B" w:rsidP="0016663B" w:rsidRDefault="0016663B" w14:paraId="67FCCD86" w14:textId="4AD82E41">
      <w:pPr>
        <w:rPr>
          <w:rFonts w:cs="Times New Roman"/>
          <w:szCs w:val="24"/>
        </w:rPr>
      </w:pPr>
      <w:r w:rsidRPr="0016663B">
        <w:rPr>
          <w:rFonts w:cs="Times New Roman"/>
          <w:szCs w:val="24"/>
        </w:rPr>
        <w:t>The following attachment is provided for this information collection: HCAHPS Survey</w:t>
      </w:r>
      <w:r w:rsidR="00764369">
        <w:rPr>
          <w:rFonts w:cs="Times New Roman"/>
          <w:szCs w:val="24"/>
        </w:rPr>
        <w:t>.</w:t>
      </w:r>
    </w:p>
    <w:p w:rsidR="0016663B" w:rsidP="00DB7F18" w:rsidRDefault="0016663B" w14:paraId="2F8FCBD7" w14:textId="452304C2">
      <w:pPr>
        <w:spacing w:after="0" w:line="240" w:lineRule="auto"/>
        <w:rPr>
          <w:rFonts w:cs="Times New Roman"/>
          <w:szCs w:val="24"/>
        </w:rPr>
      </w:pPr>
    </w:p>
    <w:p w:rsidRPr="00DB7F18" w:rsidR="0016663B" w:rsidP="00DB7F18" w:rsidRDefault="0016663B" w14:paraId="6B7A5CCB" w14:textId="77777777">
      <w:pPr>
        <w:spacing w:after="0" w:line="240" w:lineRule="auto"/>
        <w:rPr>
          <w:rFonts w:cs="Times New Roman"/>
          <w:szCs w:val="24"/>
        </w:rPr>
      </w:pPr>
    </w:p>
    <w:p w:rsidRPr="00A91470" w:rsidR="004D4A8B" w:rsidP="00A773F8" w:rsidRDefault="004D4A8B" w14:paraId="367FC5AC" w14:textId="6A20D3FB">
      <w:pPr>
        <w:spacing w:after="0" w:line="360" w:lineRule="auto"/>
        <w:rPr>
          <w:rFonts w:cs="Times New Roman"/>
          <w:szCs w:val="24"/>
        </w:rPr>
      </w:pPr>
    </w:p>
    <w:sectPr w:rsidRPr="00A91470" w:rsidR="004D4A8B" w:rsidSect="007D6E75">
      <w:pgSz w:w="12240" w:h="15840" w:code="1"/>
      <w:pgMar w:top="1440" w:right="1440" w:bottom="1440" w:left="1440" w:header="720" w:footer="720" w:gutter="0"/>
      <w:cols w:space="720"/>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A9312B" w16cex:dateUtc="2021-01-13T16:43:00Z"/>
  <w16cex:commentExtensible w16cex:durableId="23A932A4" w16cex:dateUtc="2021-01-13T16:49:00Z"/>
  <w16cex:commentExtensible w16cex:durableId="23A93321" w16cex:dateUtc="2021-01-13T16:51:00Z"/>
  <w16cex:commentExtensible w16cex:durableId="23A9187D" w16cex:dateUtc="2021-01-13T14:58:00Z"/>
  <w16cex:commentExtensible w16cex:durableId="23A9189D" w16cex:dateUtc="2021-01-13T14: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C70F63F" w16cid:durableId="23A9312B"/>
  <w16cid:commentId w16cid:paraId="04298F0B" w16cid:durableId="23A932A4"/>
  <w16cid:commentId w16cid:paraId="7EB2FB7E" w16cid:durableId="23A93321"/>
  <w16cid:commentId w16cid:paraId="01C37F33" w16cid:durableId="23A9187D"/>
  <w16cid:commentId w16cid:paraId="2ABB0060" w16cid:durableId="23A9189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755D79" w14:textId="77777777" w:rsidR="00B865F5" w:rsidRDefault="00B865F5" w:rsidP="008111D2">
      <w:pPr>
        <w:spacing w:after="0" w:line="240" w:lineRule="auto"/>
      </w:pPr>
      <w:r>
        <w:separator/>
      </w:r>
    </w:p>
  </w:endnote>
  <w:endnote w:type="continuationSeparator" w:id="0">
    <w:p w14:paraId="0CAEA119" w14:textId="77777777" w:rsidR="00B865F5" w:rsidRDefault="00B865F5" w:rsidP="008111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39262982"/>
      <w:docPartObj>
        <w:docPartGallery w:val="Page Numbers (Bottom of Page)"/>
        <w:docPartUnique/>
      </w:docPartObj>
    </w:sdtPr>
    <w:sdtEndPr>
      <w:rPr>
        <w:noProof/>
      </w:rPr>
    </w:sdtEndPr>
    <w:sdtContent>
      <w:p w14:paraId="7EEDB8FF" w14:textId="0441A768" w:rsidR="00B865F5" w:rsidRDefault="00B865F5">
        <w:pPr>
          <w:pStyle w:val="Footer"/>
          <w:jc w:val="right"/>
        </w:pPr>
        <w:r>
          <w:fldChar w:fldCharType="begin"/>
        </w:r>
        <w:r>
          <w:instrText xml:space="preserve"> PAGE   \* MERGEFORMAT </w:instrText>
        </w:r>
        <w:r>
          <w:fldChar w:fldCharType="separate"/>
        </w:r>
        <w:r w:rsidR="0052518E">
          <w:rPr>
            <w:noProof/>
          </w:rPr>
          <w:t>7</w:t>
        </w:r>
        <w:r>
          <w:rPr>
            <w:noProof/>
          </w:rPr>
          <w:fldChar w:fldCharType="end"/>
        </w:r>
      </w:p>
    </w:sdtContent>
  </w:sdt>
  <w:p w14:paraId="72CA0101" w14:textId="77777777" w:rsidR="00B865F5" w:rsidRDefault="00B865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0BB551" w14:textId="77777777" w:rsidR="00B865F5" w:rsidRDefault="00B865F5" w:rsidP="008111D2">
      <w:pPr>
        <w:spacing w:after="0" w:line="240" w:lineRule="auto"/>
      </w:pPr>
      <w:r>
        <w:separator/>
      </w:r>
    </w:p>
  </w:footnote>
  <w:footnote w:type="continuationSeparator" w:id="0">
    <w:p w14:paraId="672081A6" w14:textId="77777777" w:rsidR="00B865F5" w:rsidRDefault="00B865F5" w:rsidP="008111D2">
      <w:pPr>
        <w:spacing w:after="0" w:line="240" w:lineRule="auto"/>
      </w:pPr>
      <w:r>
        <w:continuationSeparator/>
      </w:r>
    </w:p>
  </w:footnote>
  <w:footnote w:id="1">
    <w:p w14:paraId="445B86D3" w14:textId="4314C734" w:rsidR="00B865F5" w:rsidRPr="003400C2" w:rsidRDefault="00B865F5" w:rsidP="00345424">
      <w:pPr>
        <w:pStyle w:val="FootnoteText"/>
        <w:rPr>
          <w:sz w:val="16"/>
          <w:szCs w:val="16"/>
        </w:rPr>
      </w:pPr>
      <w:r w:rsidRPr="003400C2">
        <w:rPr>
          <w:rStyle w:val="FootnoteReference"/>
          <w:sz w:val="16"/>
          <w:szCs w:val="16"/>
        </w:rPr>
        <w:footnoteRef/>
      </w:r>
      <w:r w:rsidRPr="003400C2">
        <w:rPr>
          <w:sz w:val="16"/>
          <w:szCs w:val="16"/>
        </w:rPr>
        <w:t xml:space="preserve"> Mathews M., Parast L., Tolpadi A., Elliott M.N., Flow-Delwiche E., Becker K. (2019). Methods for Improving Response Rates in an Emergency Department Setting - A Randomized Feasibility Study. </w:t>
      </w:r>
      <w:r w:rsidRPr="003400C2">
        <w:rPr>
          <w:i/>
          <w:iCs/>
          <w:sz w:val="16"/>
          <w:szCs w:val="16"/>
        </w:rPr>
        <w:t>Survey Practice</w:t>
      </w:r>
      <w:r w:rsidRPr="003400C2">
        <w:rPr>
          <w:sz w:val="16"/>
          <w:szCs w:val="16"/>
        </w:rPr>
        <w:t>, 12(1): 10.29115/SP-2019-0007.</w:t>
      </w:r>
    </w:p>
    <w:p w14:paraId="0F2AE83D" w14:textId="77777777" w:rsidR="00B865F5" w:rsidRPr="003400C2" w:rsidRDefault="00B865F5" w:rsidP="00345424">
      <w:pPr>
        <w:pStyle w:val="FootnoteText"/>
        <w:rPr>
          <w:sz w:val="16"/>
          <w:szCs w:val="16"/>
        </w:rPr>
      </w:pPr>
    </w:p>
  </w:footnote>
  <w:footnote w:id="2">
    <w:p w14:paraId="2716AD2F" w14:textId="04B2C017" w:rsidR="00B865F5" w:rsidRPr="003400C2" w:rsidRDefault="00B865F5" w:rsidP="003400C2">
      <w:pPr>
        <w:autoSpaceDE w:val="0"/>
        <w:autoSpaceDN w:val="0"/>
        <w:adjustRightInd w:val="0"/>
        <w:rPr>
          <w:rFonts w:asciiTheme="minorHAnsi" w:hAnsiTheme="minorHAnsi" w:cstheme="minorHAnsi"/>
          <w:color w:val="231F20"/>
          <w:sz w:val="16"/>
          <w:szCs w:val="16"/>
        </w:rPr>
      </w:pPr>
      <w:r w:rsidRPr="003400C2">
        <w:rPr>
          <w:rStyle w:val="FootnoteReference"/>
          <w:rFonts w:asciiTheme="minorHAnsi" w:hAnsiTheme="minorHAnsi" w:cstheme="minorHAnsi"/>
          <w:sz w:val="16"/>
          <w:szCs w:val="16"/>
        </w:rPr>
        <w:footnoteRef/>
      </w:r>
      <w:r w:rsidRPr="003400C2">
        <w:rPr>
          <w:rFonts w:asciiTheme="minorHAnsi" w:hAnsiTheme="minorHAnsi" w:cstheme="minorHAnsi"/>
          <w:sz w:val="16"/>
          <w:szCs w:val="16"/>
        </w:rPr>
        <w:t xml:space="preserve"> Parast L., M. Mathews, M. Elliott, A. Tolpadi, E. Flow-Delwiche, W.G. Lehrman, D. Stark, K. Becker. (2019). Effects of Push-to-Web Mixed Mode Approaches on Survey Response Rates: Evidence from a Randomized Experiment in Emergency Departments. </w:t>
      </w:r>
      <w:r w:rsidRPr="003400C2">
        <w:rPr>
          <w:rFonts w:asciiTheme="minorHAnsi" w:hAnsiTheme="minorHAnsi" w:cstheme="minorHAnsi"/>
          <w:i/>
          <w:iCs/>
          <w:sz w:val="16"/>
          <w:szCs w:val="16"/>
        </w:rPr>
        <w:t>Survey Practice,</w:t>
      </w:r>
      <w:r w:rsidRPr="003400C2">
        <w:rPr>
          <w:rFonts w:asciiTheme="minorHAnsi" w:hAnsiTheme="minorHAnsi" w:cstheme="minorHAnsi"/>
          <w:sz w:val="16"/>
          <w:szCs w:val="16"/>
        </w:rPr>
        <w:t xml:space="preserve"> 12(2).  </w:t>
      </w:r>
      <w:hyperlink r:id="rId1" w:tgtFrame="_blank" w:history="1">
        <w:r w:rsidRPr="003400C2">
          <w:rPr>
            <w:rStyle w:val="Hyperlink"/>
            <w:rFonts w:asciiTheme="minorHAnsi" w:hAnsiTheme="minorHAnsi" w:cstheme="minorHAnsi"/>
            <w:sz w:val="16"/>
            <w:szCs w:val="16"/>
            <w:shd w:val="clear" w:color="auto" w:fill="FFFFFF"/>
          </w:rPr>
          <w:t>https://doi.org/10.29115/SP-2019-0008</w:t>
        </w:r>
      </w:hyperlink>
      <w:r w:rsidRPr="003400C2">
        <w:rPr>
          <w:rFonts w:asciiTheme="minorHAnsi" w:hAnsiTheme="minorHAnsi" w:cstheme="minorHAnsi"/>
          <w:sz w:val="16"/>
          <w:szCs w:val="16"/>
        </w:rPr>
        <w:t xml:space="preserve">.  Published online, 7-29-19: </w:t>
      </w:r>
      <w:hyperlink r:id="rId2" w:history="1">
        <w:r w:rsidRPr="003400C2">
          <w:rPr>
            <w:rStyle w:val="Hyperlink"/>
            <w:rFonts w:asciiTheme="minorHAnsi" w:hAnsiTheme="minorHAnsi" w:cstheme="minorHAnsi"/>
            <w:sz w:val="16"/>
            <w:szCs w:val="16"/>
          </w:rPr>
          <w:t>https://www.surveypractice.org/article/9772-effects-of-push-to-web-mixed-mode-approaches-on-survey-response-rates-evidence-from-a-randomized-experiment-in-emergency-departments</w:t>
        </w:r>
      </w:hyperlink>
      <w:r w:rsidRPr="003400C2">
        <w:rPr>
          <w:rFonts w:asciiTheme="minorHAnsi" w:hAnsiTheme="minorHAnsi" w:cstheme="minorHAnsi"/>
          <w:color w:val="0000FF"/>
          <w:sz w:val="16"/>
          <w:szCs w:val="16"/>
          <w:u w:val="single"/>
        </w:rPr>
        <w:t xml:space="preserve">. </w:t>
      </w:r>
      <w:r w:rsidRPr="003400C2">
        <w:rPr>
          <w:rFonts w:asciiTheme="minorHAnsi" w:hAnsiTheme="minorHAnsi" w:cstheme="minorHAnsi"/>
          <w:sz w:val="16"/>
          <w:szCs w:val="16"/>
        </w:rPr>
        <w:t xml:space="preserve"> </w:t>
      </w:r>
    </w:p>
    <w:p w14:paraId="368129EE" w14:textId="77777777" w:rsidR="00B865F5" w:rsidRPr="000021D2" w:rsidRDefault="00B865F5" w:rsidP="00345424">
      <w:pPr>
        <w:pStyle w:val="FootnoteText"/>
        <w:rPr>
          <w:rFonts w:cstheme="minorHAnsi"/>
        </w:rPr>
      </w:pPr>
    </w:p>
  </w:footnote>
  <w:footnote w:id="3">
    <w:p w14:paraId="63A0E6B3" w14:textId="77777777" w:rsidR="00B865F5" w:rsidRPr="009865C6" w:rsidRDefault="00B865F5" w:rsidP="00D86F80">
      <w:pPr>
        <w:autoSpaceDE w:val="0"/>
        <w:autoSpaceDN w:val="0"/>
        <w:adjustRightInd w:val="0"/>
        <w:rPr>
          <w:rFonts w:cstheme="minorHAnsi"/>
          <w:color w:val="231F20"/>
          <w:sz w:val="16"/>
          <w:szCs w:val="16"/>
        </w:rPr>
      </w:pPr>
      <w:r w:rsidRPr="009865C6">
        <w:rPr>
          <w:rStyle w:val="FootnoteReference"/>
          <w:rFonts w:asciiTheme="minorHAnsi" w:hAnsiTheme="minorHAnsi" w:cstheme="minorHAnsi"/>
          <w:sz w:val="16"/>
          <w:szCs w:val="16"/>
        </w:rPr>
        <w:footnoteRef/>
      </w:r>
      <w:r w:rsidRPr="009865C6">
        <w:rPr>
          <w:rFonts w:asciiTheme="minorHAnsi" w:hAnsiTheme="minorHAnsi" w:cstheme="minorHAnsi"/>
          <w:sz w:val="16"/>
          <w:szCs w:val="16"/>
        </w:rPr>
        <w:t xml:space="preserve"> Parast L., M. Mathews, M. Elliott, et al., 2019.</w:t>
      </w:r>
      <w:r w:rsidRPr="009865C6">
        <w:rPr>
          <w:rFonts w:asciiTheme="minorHAnsi" w:hAnsiTheme="minorHAnsi" w:cstheme="minorHAnsi"/>
          <w:color w:val="0000FF"/>
          <w:sz w:val="16"/>
          <w:szCs w:val="16"/>
          <w:u w:val="single"/>
        </w:rPr>
        <w:t xml:space="preserve"> </w:t>
      </w:r>
      <w:r w:rsidRPr="009865C6">
        <w:rPr>
          <w:rFonts w:asciiTheme="minorHAnsi" w:hAnsiTheme="minorHAnsi" w:cstheme="minorHAnsi"/>
          <w:sz w:val="16"/>
          <w:szCs w:val="16"/>
        </w:rPr>
        <w:t xml:space="preserve"> </w:t>
      </w:r>
    </w:p>
  </w:footnote>
  <w:footnote w:id="4">
    <w:p w14:paraId="2EBF4163" w14:textId="77777777" w:rsidR="00B865F5" w:rsidRPr="009865C6" w:rsidRDefault="00B865F5" w:rsidP="00D86F80">
      <w:pPr>
        <w:pStyle w:val="BodyText"/>
        <w:rPr>
          <w:rFonts w:asciiTheme="minorHAnsi" w:hAnsiTheme="minorHAnsi" w:cstheme="minorHAnsi"/>
          <w:bCs/>
          <w:sz w:val="16"/>
          <w:szCs w:val="16"/>
          <w:lang w:val="de-DE"/>
        </w:rPr>
      </w:pPr>
      <w:r w:rsidRPr="009865C6">
        <w:rPr>
          <w:rStyle w:val="FootnoteReference"/>
          <w:rFonts w:asciiTheme="minorHAnsi" w:hAnsiTheme="minorHAnsi" w:cstheme="minorHAnsi"/>
          <w:sz w:val="16"/>
          <w:szCs w:val="16"/>
        </w:rPr>
        <w:footnoteRef/>
      </w:r>
      <w:r w:rsidRPr="009865C6">
        <w:rPr>
          <w:rFonts w:asciiTheme="minorHAnsi" w:hAnsiTheme="minorHAnsi" w:cstheme="minorHAnsi"/>
          <w:bCs/>
          <w:sz w:val="16"/>
          <w:szCs w:val="16"/>
          <w:lang w:val="de-DE"/>
        </w:rPr>
        <w:t xml:space="preserve"> M.N. Elliott, J.A. Brown, W.G. Lehrman, M.K. Beckett, </w:t>
      </w:r>
      <w:r w:rsidRPr="009865C6">
        <w:rPr>
          <w:rFonts w:asciiTheme="minorHAnsi" w:hAnsiTheme="minorHAnsi" w:cstheme="minorHAnsi"/>
          <w:bCs/>
          <w:sz w:val="16"/>
          <w:szCs w:val="16"/>
        </w:rPr>
        <w:t xml:space="preserve">K. Hambarsoomian, </w:t>
      </w:r>
      <w:r w:rsidRPr="009865C6">
        <w:rPr>
          <w:rFonts w:asciiTheme="minorHAnsi" w:hAnsiTheme="minorHAnsi" w:cstheme="minorHAnsi"/>
          <w:bCs/>
          <w:sz w:val="16"/>
          <w:szCs w:val="16"/>
          <w:lang w:val="de-DE"/>
        </w:rPr>
        <w:t xml:space="preserve">L.A. Giordano and E. Goldstein.  </w:t>
      </w:r>
      <w:r w:rsidRPr="009865C6">
        <w:rPr>
          <w:rFonts w:asciiTheme="minorHAnsi" w:hAnsiTheme="minorHAnsi" w:cstheme="minorHAnsi"/>
          <w:sz w:val="16"/>
          <w:szCs w:val="16"/>
        </w:rPr>
        <w:t xml:space="preserve">“A Randomized Experiment Investigating the Suitability of Speech-Enabled IVR and Web Modes for Publicly Reported Surveys of Patients’ Experience of Hospital Care.”  </w:t>
      </w:r>
      <w:r w:rsidRPr="009865C6">
        <w:rPr>
          <w:rFonts w:asciiTheme="minorHAnsi" w:hAnsiTheme="minorHAnsi" w:cstheme="minorHAnsi"/>
          <w:bCs/>
          <w:sz w:val="16"/>
          <w:szCs w:val="16"/>
          <w:u w:val="single"/>
          <w:lang w:val="de-DE"/>
        </w:rPr>
        <w:t>Medical Care Research and Review</w:t>
      </w:r>
      <w:r w:rsidRPr="009865C6">
        <w:rPr>
          <w:rFonts w:asciiTheme="minorHAnsi" w:hAnsiTheme="minorHAnsi" w:cstheme="minorHAnsi"/>
          <w:bCs/>
          <w:sz w:val="16"/>
          <w:szCs w:val="16"/>
          <w:lang w:val="de-DE"/>
        </w:rPr>
        <w:t xml:space="preserve">, 70 (2): 165-184.  2013. </w:t>
      </w:r>
    </w:p>
    <w:p w14:paraId="7A3C3D11" w14:textId="77777777" w:rsidR="00B865F5" w:rsidRDefault="00B865F5" w:rsidP="00D86F80">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C43614"/>
    <w:multiLevelType w:val="hybridMultilevel"/>
    <w:tmpl w:val="C54447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2E0DBF"/>
    <w:multiLevelType w:val="hybridMultilevel"/>
    <w:tmpl w:val="3224EB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19B0C77"/>
    <w:multiLevelType w:val="hybridMultilevel"/>
    <w:tmpl w:val="AD40F2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206F01"/>
    <w:multiLevelType w:val="hybridMultilevel"/>
    <w:tmpl w:val="7FFC83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AC5DD0"/>
    <w:multiLevelType w:val="hybridMultilevel"/>
    <w:tmpl w:val="68D08546"/>
    <w:lvl w:ilvl="0" w:tplc="8348CE78">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10039A"/>
    <w:multiLevelType w:val="hybridMultilevel"/>
    <w:tmpl w:val="B8648D8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2CA61594"/>
    <w:multiLevelType w:val="hybridMultilevel"/>
    <w:tmpl w:val="02C824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DB24218"/>
    <w:multiLevelType w:val="hybridMultilevel"/>
    <w:tmpl w:val="A358D60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41DB4019"/>
    <w:multiLevelType w:val="hybridMultilevel"/>
    <w:tmpl w:val="6DE452C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5AB6408E"/>
    <w:multiLevelType w:val="hybridMultilevel"/>
    <w:tmpl w:val="7B0CE1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ED30D56"/>
    <w:multiLevelType w:val="hybridMultilevel"/>
    <w:tmpl w:val="895CEF5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3B14A6"/>
    <w:multiLevelType w:val="hybridMultilevel"/>
    <w:tmpl w:val="C1D0F934"/>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15:restartNumberingAfterBreak="0">
    <w:nsid w:val="677F43C2"/>
    <w:multiLevelType w:val="hybridMultilevel"/>
    <w:tmpl w:val="58EA96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8975F4"/>
    <w:multiLevelType w:val="hybridMultilevel"/>
    <w:tmpl w:val="78A6FB5E"/>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7AED3229"/>
    <w:multiLevelType w:val="hybridMultilevel"/>
    <w:tmpl w:val="05F271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8"/>
  </w:num>
  <w:num w:numId="4">
    <w:abstractNumId w:val="11"/>
  </w:num>
  <w:num w:numId="5">
    <w:abstractNumId w:val="3"/>
  </w:num>
  <w:num w:numId="6">
    <w:abstractNumId w:val="5"/>
  </w:num>
  <w:num w:numId="7">
    <w:abstractNumId w:val="6"/>
  </w:num>
  <w:num w:numId="8">
    <w:abstractNumId w:val="9"/>
  </w:num>
  <w:num w:numId="9">
    <w:abstractNumId w:val="0"/>
  </w:num>
  <w:num w:numId="10">
    <w:abstractNumId w:val="12"/>
  </w:num>
  <w:num w:numId="11">
    <w:abstractNumId w:val="2"/>
  </w:num>
  <w:num w:numId="12">
    <w:abstractNumId w:val="13"/>
  </w:num>
  <w:num w:numId="13">
    <w:abstractNumId w:val="1"/>
  </w:num>
  <w:num w:numId="14">
    <w:abstractNumId w:val="4"/>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E75"/>
    <w:rsid w:val="000021D2"/>
    <w:rsid w:val="0000693C"/>
    <w:rsid w:val="00007BDA"/>
    <w:rsid w:val="00011FEE"/>
    <w:rsid w:val="00043D0E"/>
    <w:rsid w:val="000712B4"/>
    <w:rsid w:val="000A4BD7"/>
    <w:rsid w:val="000D1CFD"/>
    <w:rsid w:val="000D4B80"/>
    <w:rsid w:val="000E55DA"/>
    <w:rsid w:val="000F58B8"/>
    <w:rsid w:val="000F776D"/>
    <w:rsid w:val="00111672"/>
    <w:rsid w:val="001206A4"/>
    <w:rsid w:val="00122C0E"/>
    <w:rsid w:val="00125978"/>
    <w:rsid w:val="0016468E"/>
    <w:rsid w:val="0016663B"/>
    <w:rsid w:val="00172F05"/>
    <w:rsid w:val="00175A39"/>
    <w:rsid w:val="00185CB4"/>
    <w:rsid w:val="0018794D"/>
    <w:rsid w:val="001A1FC6"/>
    <w:rsid w:val="001A31BB"/>
    <w:rsid w:val="001D197A"/>
    <w:rsid w:val="001E1FA0"/>
    <w:rsid w:val="001E66B6"/>
    <w:rsid w:val="001F2628"/>
    <w:rsid w:val="001F603E"/>
    <w:rsid w:val="0020026D"/>
    <w:rsid w:val="002153ED"/>
    <w:rsid w:val="00222B4F"/>
    <w:rsid w:val="00252D20"/>
    <w:rsid w:val="00262B47"/>
    <w:rsid w:val="00270765"/>
    <w:rsid w:val="0027114C"/>
    <w:rsid w:val="002A1F1F"/>
    <w:rsid w:val="002D56A8"/>
    <w:rsid w:val="003045C1"/>
    <w:rsid w:val="00323717"/>
    <w:rsid w:val="003248D0"/>
    <w:rsid w:val="00325F87"/>
    <w:rsid w:val="00335313"/>
    <w:rsid w:val="003400C2"/>
    <w:rsid w:val="00345424"/>
    <w:rsid w:val="00354095"/>
    <w:rsid w:val="003627C8"/>
    <w:rsid w:val="003832AF"/>
    <w:rsid w:val="00386C9D"/>
    <w:rsid w:val="003918B4"/>
    <w:rsid w:val="003A0618"/>
    <w:rsid w:val="003C0D8B"/>
    <w:rsid w:val="003D1B93"/>
    <w:rsid w:val="003E1CF5"/>
    <w:rsid w:val="003F4D04"/>
    <w:rsid w:val="00405CF9"/>
    <w:rsid w:val="00405EB1"/>
    <w:rsid w:val="00417DC7"/>
    <w:rsid w:val="00430486"/>
    <w:rsid w:val="00432C17"/>
    <w:rsid w:val="00441C3B"/>
    <w:rsid w:val="0045061C"/>
    <w:rsid w:val="00450D8B"/>
    <w:rsid w:val="004646F0"/>
    <w:rsid w:val="00465B2D"/>
    <w:rsid w:val="00467B75"/>
    <w:rsid w:val="00467E98"/>
    <w:rsid w:val="00474257"/>
    <w:rsid w:val="00475EF8"/>
    <w:rsid w:val="00483058"/>
    <w:rsid w:val="004A0A30"/>
    <w:rsid w:val="004B13E8"/>
    <w:rsid w:val="004C00FB"/>
    <w:rsid w:val="004D4A8B"/>
    <w:rsid w:val="004E18D5"/>
    <w:rsid w:val="0052333E"/>
    <w:rsid w:val="0052518E"/>
    <w:rsid w:val="00536F05"/>
    <w:rsid w:val="005427A3"/>
    <w:rsid w:val="00576AD6"/>
    <w:rsid w:val="00595BDF"/>
    <w:rsid w:val="00597229"/>
    <w:rsid w:val="005B6A37"/>
    <w:rsid w:val="005C580D"/>
    <w:rsid w:val="005C7EB4"/>
    <w:rsid w:val="005D001F"/>
    <w:rsid w:val="005E13B0"/>
    <w:rsid w:val="005E3B79"/>
    <w:rsid w:val="005E52BE"/>
    <w:rsid w:val="005F43DA"/>
    <w:rsid w:val="006026DA"/>
    <w:rsid w:val="00622C1B"/>
    <w:rsid w:val="00647812"/>
    <w:rsid w:val="00656DFC"/>
    <w:rsid w:val="00685368"/>
    <w:rsid w:val="00696F86"/>
    <w:rsid w:val="006C0B96"/>
    <w:rsid w:val="006C4626"/>
    <w:rsid w:val="006F4FF9"/>
    <w:rsid w:val="00706AC2"/>
    <w:rsid w:val="00707666"/>
    <w:rsid w:val="00711091"/>
    <w:rsid w:val="0071650B"/>
    <w:rsid w:val="00716824"/>
    <w:rsid w:val="00723A9E"/>
    <w:rsid w:val="00764369"/>
    <w:rsid w:val="007A7B05"/>
    <w:rsid w:val="007B736E"/>
    <w:rsid w:val="007D6E75"/>
    <w:rsid w:val="007E6CFD"/>
    <w:rsid w:val="007F1711"/>
    <w:rsid w:val="00802598"/>
    <w:rsid w:val="008111D2"/>
    <w:rsid w:val="00836E8F"/>
    <w:rsid w:val="00853F58"/>
    <w:rsid w:val="008557F9"/>
    <w:rsid w:val="00873459"/>
    <w:rsid w:val="0088756F"/>
    <w:rsid w:val="00892896"/>
    <w:rsid w:val="008C11BC"/>
    <w:rsid w:val="008C65C3"/>
    <w:rsid w:val="008C77A6"/>
    <w:rsid w:val="008D52D1"/>
    <w:rsid w:val="008E2059"/>
    <w:rsid w:val="008E6143"/>
    <w:rsid w:val="008F2AED"/>
    <w:rsid w:val="009004E1"/>
    <w:rsid w:val="00904271"/>
    <w:rsid w:val="00950FAC"/>
    <w:rsid w:val="0095297C"/>
    <w:rsid w:val="00957990"/>
    <w:rsid w:val="00975BC5"/>
    <w:rsid w:val="009903AB"/>
    <w:rsid w:val="00996CA9"/>
    <w:rsid w:val="009B19E8"/>
    <w:rsid w:val="009C2F36"/>
    <w:rsid w:val="009C68A4"/>
    <w:rsid w:val="009E3FAC"/>
    <w:rsid w:val="009F0D4B"/>
    <w:rsid w:val="00A138F7"/>
    <w:rsid w:val="00A61BC8"/>
    <w:rsid w:val="00A63270"/>
    <w:rsid w:val="00A702E7"/>
    <w:rsid w:val="00A718B4"/>
    <w:rsid w:val="00A773F8"/>
    <w:rsid w:val="00A91470"/>
    <w:rsid w:val="00AA37EC"/>
    <w:rsid w:val="00AB01BC"/>
    <w:rsid w:val="00AE1BD8"/>
    <w:rsid w:val="00AE7A9A"/>
    <w:rsid w:val="00B123F4"/>
    <w:rsid w:val="00B151B4"/>
    <w:rsid w:val="00B26D9A"/>
    <w:rsid w:val="00B360B5"/>
    <w:rsid w:val="00B43BBD"/>
    <w:rsid w:val="00B532F3"/>
    <w:rsid w:val="00B865F5"/>
    <w:rsid w:val="00B87957"/>
    <w:rsid w:val="00BA1483"/>
    <w:rsid w:val="00BB0E76"/>
    <w:rsid w:val="00BC0016"/>
    <w:rsid w:val="00BD32FA"/>
    <w:rsid w:val="00C0603D"/>
    <w:rsid w:val="00C07D22"/>
    <w:rsid w:val="00C17433"/>
    <w:rsid w:val="00C2142E"/>
    <w:rsid w:val="00C62070"/>
    <w:rsid w:val="00C747C8"/>
    <w:rsid w:val="00C75DFB"/>
    <w:rsid w:val="00C94C5E"/>
    <w:rsid w:val="00C95C96"/>
    <w:rsid w:val="00CB241F"/>
    <w:rsid w:val="00CB274D"/>
    <w:rsid w:val="00CB646D"/>
    <w:rsid w:val="00CF6C1D"/>
    <w:rsid w:val="00D06B63"/>
    <w:rsid w:val="00D07D28"/>
    <w:rsid w:val="00D12ABB"/>
    <w:rsid w:val="00D14E2F"/>
    <w:rsid w:val="00D215B4"/>
    <w:rsid w:val="00D42E31"/>
    <w:rsid w:val="00D46C38"/>
    <w:rsid w:val="00D4736A"/>
    <w:rsid w:val="00D85E09"/>
    <w:rsid w:val="00D86F80"/>
    <w:rsid w:val="00D87858"/>
    <w:rsid w:val="00DB7F18"/>
    <w:rsid w:val="00DD794C"/>
    <w:rsid w:val="00DF098E"/>
    <w:rsid w:val="00E075D7"/>
    <w:rsid w:val="00E10B90"/>
    <w:rsid w:val="00E219C3"/>
    <w:rsid w:val="00E322FB"/>
    <w:rsid w:val="00E83C3E"/>
    <w:rsid w:val="00E93F3F"/>
    <w:rsid w:val="00E94940"/>
    <w:rsid w:val="00EA0E38"/>
    <w:rsid w:val="00EA4571"/>
    <w:rsid w:val="00EA4AB1"/>
    <w:rsid w:val="00EB1115"/>
    <w:rsid w:val="00EB4B82"/>
    <w:rsid w:val="00ED31E3"/>
    <w:rsid w:val="00EE134F"/>
    <w:rsid w:val="00EE1AD1"/>
    <w:rsid w:val="00EF3A74"/>
    <w:rsid w:val="00F01D40"/>
    <w:rsid w:val="00F04F6D"/>
    <w:rsid w:val="00F124DF"/>
    <w:rsid w:val="00F26DE4"/>
    <w:rsid w:val="00F303E4"/>
    <w:rsid w:val="00F40800"/>
    <w:rsid w:val="00F4179B"/>
    <w:rsid w:val="00F44F91"/>
    <w:rsid w:val="00F54374"/>
    <w:rsid w:val="00F556D3"/>
    <w:rsid w:val="00F5622B"/>
    <w:rsid w:val="00F7411E"/>
    <w:rsid w:val="00F77D9C"/>
    <w:rsid w:val="00FB3D21"/>
    <w:rsid w:val="00FE644A"/>
    <w:rsid w:val="00FF1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636787"/>
  <w15:docId w15:val="{229A05E6-819D-408E-AD91-9B0460C28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E75"/>
    <w:rPr>
      <w:rFonts w:ascii="Times New Roman" w:hAnsi="Times New Roman"/>
      <w:sz w:val="24"/>
    </w:rPr>
  </w:style>
  <w:style w:type="paragraph" w:styleId="Heading1">
    <w:name w:val="heading 1"/>
    <w:basedOn w:val="Normal"/>
    <w:next w:val="Normal"/>
    <w:link w:val="Heading1Char"/>
    <w:autoRedefine/>
    <w:uiPriority w:val="9"/>
    <w:qFormat/>
    <w:rsid w:val="00E219C3"/>
    <w:pPr>
      <w:keepNext/>
      <w:keepLines/>
      <w:spacing w:after="0" w:line="240" w:lineRule="auto"/>
      <w:outlineLvl w:val="0"/>
    </w:pPr>
    <w:rPr>
      <w:rFonts w:eastAsiaTheme="majorEastAsia" w:cstheme="majorBidi"/>
      <w:b/>
      <w:bCs/>
      <w:color w:val="000000" w:themeColor="text1"/>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9C3"/>
    <w:rPr>
      <w:rFonts w:ascii="Times New Roman" w:eastAsiaTheme="majorEastAsia" w:hAnsi="Times New Roman" w:cstheme="majorBidi"/>
      <w:b/>
      <w:bCs/>
      <w:color w:val="000000" w:themeColor="text1"/>
      <w:sz w:val="24"/>
      <w:szCs w:val="28"/>
    </w:rPr>
  </w:style>
  <w:style w:type="paragraph" w:styleId="ListParagraph">
    <w:name w:val="List Paragraph"/>
    <w:basedOn w:val="Normal"/>
    <w:uiPriority w:val="34"/>
    <w:qFormat/>
    <w:rsid w:val="006026DA"/>
    <w:pPr>
      <w:ind w:left="720"/>
      <w:contextualSpacing/>
    </w:pPr>
    <w:rPr>
      <w:rFonts w:ascii="Calibri" w:eastAsia="Calibri" w:hAnsi="Calibri" w:cs="Times New Roman"/>
      <w:sz w:val="22"/>
    </w:rPr>
  </w:style>
  <w:style w:type="table" w:styleId="TableGrid">
    <w:name w:val="Table Grid"/>
    <w:basedOn w:val="TableNormal"/>
    <w:uiPriority w:val="59"/>
    <w:rsid w:val="006026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111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11D2"/>
    <w:rPr>
      <w:rFonts w:ascii="Times New Roman" w:hAnsi="Times New Roman"/>
      <w:sz w:val="24"/>
    </w:rPr>
  </w:style>
  <w:style w:type="paragraph" w:styleId="Footer">
    <w:name w:val="footer"/>
    <w:basedOn w:val="Normal"/>
    <w:link w:val="FooterChar"/>
    <w:uiPriority w:val="99"/>
    <w:unhideWhenUsed/>
    <w:rsid w:val="008111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11D2"/>
    <w:rPr>
      <w:rFonts w:ascii="Times New Roman" w:hAnsi="Times New Roman"/>
      <w:sz w:val="24"/>
    </w:rPr>
  </w:style>
  <w:style w:type="paragraph" w:styleId="TOCHeading">
    <w:name w:val="TOC Heading"/>
    <w:basedOn w:val="Heading1"/>
    <w:next w:val="Normal"/>
    <w:uiPriority w:val="39"/>
    <w:semiHidden/>
    <w:unhideWhenUsed/>
    <w:qFormat/>
    <w:rsid w:val="00270765"/>
    <w:pPr>
      <w:spacing w:before="480" w:line="276" w:lineRule="auto"/>
      <w:outlineLvl w:val="9"/>
    </w:pPr>
    <w:rPr>
      <w:rFonts w:asciiTheme="majorHAnsi" w:hAnsiTheme="majorHAnsi"/>
      <w:color w:val="365F91" w:themeColor="accent1" w:themeShade="BF"/>
      <w:sz w:val="28"/>
    </w:rPr>
  </w:style>
  <w:style w:type="character" w:styleId="Hyperlink">
    <w:name w:val="Hyperlink"/>
    <w:basedOn w:val="DefaultParagraphFont"/>
    <w:uiPriority w:val="99"/>
    <w:unhideWhenUsed/>
    <w:rsid w:val="00CB241F"/>
    <w:rPr>
      <w:color w:val="0000FF" w:themeColor="hyperlink"/>
      <w:u w:val="single"/>
    </w:rPr>
  </w:style>
  <w:style w:type="paragraph" w:customStyle="1" w:styleId="Default">
    <w:name w:val="Default"/>
    <w:rsid w:val="00F54374"/>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FootnoteReference">
    <w:name w:val="footnote reference"/>
    <w:uiPriority w:val="99"/>
    <w:semiHidden/>
    <w:unhideWhenUsed/>
    <w:rsid w:val="00F54374"/>
    <w:rPr>
      <w:vertAlign w:val="superscript"/>
    </w:rPr>
  </w:style>
  <w:style w:type="paragraph" w:styleId="FootnoteText">
    <w:name w:val="footnote text"/>
    <w:basedOn w:val="Normal"/>
    <w:link w:val="FootnoteTextChar"/>
    <w:uiPriority w:val="99"/>
    <w:semiHidden/>
    <w:unhideWhenUsed/>
    <w:rsid w:val="00F54374"/>
    <w:pPr>
      <w:spacing w:after="0" w:line="240" w:lineRule="auto"/>
    </w:pPr>
    <w:rPr>
      <w:rFonts w:asciiTheme="minorHAnsi" w:hAnsiTheme="minorHAnsi"/>
      <w:sz w:val="20"/>
      <w:szCs w:val="20"/>
    </w:rPr>
  </w:style>
  <w:style w:type="character" w:customStyle="1" w:styleId="FootnoteTextChar">
    <w:name w:val="Footnote Text Char"/>
    <w:basedOn w:val="DefaultParagraphFont"/>
    <w:link w:val="FootnoteText"/>
    <w:uiPriority w:val="99"/>
    <w:semiHidden/>
    <w:rsid w:val="00F54374"/>
    <w:rPr>
      <w:sz w:val="20"/>
      <w:szCs w:val="20"/>
    </w:rPr>
  </w:style>
  <w:style w:type="character" w:styleId="FollowedHyperlink">
    <w:name w:val="FollowedHyperlink"/>
    <w:basedOn w:val="DefaultParagraphFont"/>
    <w:uiPriority w:val="99"/>
    <w:semiHidden/>
    <w:unhideWhenUsed/>
    <w:rsid w:val="00F54374"/>
    <w:rPr>
      <w:color w:val="800080" w:themeColor="followedHyperlink"/>
      <w:u w:val="single"/>
    </w:rPr>
  </w:style>
  <w:style w:type="paragraph" w:styleId="BalloonText">
    <w:name w:val="Balloon Text"/>
    <w:basedOn w:val="Normal"/>
    <w:link w:val="BalloonTextChar"/>
    <w:uiPriority w:val="99"/>
    <w:semiHidden/>
    <w:unhideWhenUsed/>
    <w:rsid w:val="00EB111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1115"/>
    <w:rPr>
      <w:rFonts w:ascii="Tahoma" w:hAnsi="Tahoma" w:cs="Tahoma"/>
      <w:sz w:val="16"/>
      <w:szCs w:val="16"/>
    </w:rPr>
  </w:style>
  <w:style w:type="character" w:styleId="CommentReference">
    <w:name w:val="annotation reference"/>
    <w:basedOn w:val="DefaultParagraphFont"/>
    <w:uiPriority w:val="99"/>
    <w:semiHidden/>
    <w:unhideWhenUsed/>
    <w:rsid w:val="00C0603D"/>
    <w:rPr>
      <w:sz w:val="16"/>
      <w:szCs w:val="16"/>
    </w:rPr>
  </w:style>
  <w:style w:type="paragraph" w:styleId="CommentText">
    <w:name w:val="annotation text"/>
    <w:basedOn w:val="Normal"/>
    <w:link w:val="CommentTextChar"/>
    <w:uiPriority w:val="99"/>
    <w:semiHidden/>
    <w:unhideWhenUsed/>
    <w:rsid w:val="00C0603D"/>
    <w:pPr>
      <w:spacing w:line="240" w:lineRule="auto"/>
    </w:pPr>
    <w:rPr>
      <w:sz w:val="20"/>
      <w:szCs w:val="20"/>
    </w:rPr>
  </w:style>
  <w:style w:type="character" w:customStyle="1" w:styleId="CommentTextChar">
    <w:name w:val="Comment Text Char"/>
    <w:basedOn w:val="DefaultParagraphFont"/>
    <w:link w:val="CommentText"/>
    <w:uiPriority w:val="99"/>
    <w:semiHidden/>
    <w:rsid w:val="00C0603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0603D"/>
    <w:rPr>
      <w:b/>
      <w:bCs/>
    </w:rPr>
  </w:style>
  <w:style w:type="character" w:customStyle="1" w:styleId="CommentSubjectChar">
    <w:name w:val="Comment Subject Char"/>
    <w:basedOn w:val="CommentTextChar"/>
    <w:link w:val="CommentSubject"/>
    <w:uiPriority w:val="99"/>
    <w:semiHidden/>
    <w:rsid w:val="00C0603D"/>
    <w:rPr>
      <w:rFonts w:ascii="Times New Roman" w:hAnsi="Times New Roman"/>
      <w:b/>
      <w:bCs/>
      <w:sz w:val="20"/>
      <w:szCs w:val="20"/>
    </w:rPr>
  </w:style>
  <w:style w:type="paragraph" w:styleId="BodyText">
    <w:name w:val="Body Text"/>
    <w:basedOn w:val="Normal"/>
    <w:link w:val="BodyTextChar"/>
    <w:uiPriority w:val="1"/>
    <w:qFormat/>
    <w:rsid w:val="004D4A8B"/>
    <w:pPr>
      <w:widowControl w:val="0"/>
      <w:autoSpaceDE w:val="0"/>
      <w:autoSpaceDN w:val="0"/>
      <w:spacing w:after="0" w:line="240" w:lineRule="auto"/>
    </w:pPr>
    <w:rPr>
      <w:rFonts w:eastAsia="Times New Roman" w:cs="Times New Roman"/>
      <w:szCs w:val="24"/>
    </w:rPr>
  </w:style>
  <w:style w:type="character" w:customStyle="1" w:styleId="BodyTextChar">
    <w:name w:val="Body Text Char"/>
    <w:basedOn w:val="DefaultParagraphFont"/>
    <w:link w:val="BodyText"/>
    <w:uiPriority w:val="1"/>
    <w:rsid w:val="004D4A8B"/>
    <w:rPr>
      <w:rFonts w:ascii="Times New Roman" w:eastAsia="Times New Roman" w:hAnsi="Times New Roman" w:cs="Times New Roman"/>
      <w:sz w:val="24"/>
      <w:szCs w:val="24"/>
    </w:rPr>
  </w:style>
  <w:style w:type="paragraph" w:styleId="Revision">
    <w:name w:val="Revision"/>
    <w:hidden/>
    <w:uiPriority w:val="99"/>
    <w:semiHidden/>
    <w:rsid w:val="004646F0"/>
    <w:pPr>
      <w:spacing w:after="0" w:line="240" w:lineRule="auto"/>
    </w:pPr>
    <w:rPr>
      <w:rFonts w:ascii="Times New Roman" w:hAnsi="Times New Roman"/>
      <w:sz w:val="24"/>
    </w:rPr>
  </w:style>
  <w:style w:type="table" w:customStyle="1" w:styleId="TableGrid1">
    <w:name w:val="Table Grid1"/>
    <w:basedOn w:val="TableNormal"/>
    <w:next w:val="TableGrid"/>
    <w:uiPriority w:val="59"/>
    <w:rsid w:val="00DB7F18"/>
    <w:pPr>
      <w:spacing w:after="0" w:line="240" w:lineRule="auto"/>
    </w:pPr>
    <w:rPr>
      <w:rFonts w:ascii="Calibri" w:eastAsiaTheme="minorEastAsia"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556553">
      <w:bodyDiv w:val="1"/>
      <w:marLeft w:val="0"/>
      <w:marRight w:val="0"/>
      <w:marTop w:val="0"/>
      <w:marBottom w:val="0"/>
      <w:divBdr>
        <w:top w:val="none" w:sz="0" w:space="0" w:color="auto"/>
        <w:left w:val="none" w:sz="0" w:space="0" w:color="auto"/>
        <w:bottom w:val="none" w:sz="0" w:space="0" w:color="auto"/>
        <w:right w:val="none" w:sz="0" w:space="0" w:color="auto"/>
      </w:divBdr>
    </w:div>
    <w:div w:id="413943071">
      <w:bodyDiv w:val="1"/>
      <w:marLeft w:val="0"/>
      <w:marRight w:val="0"/>
      <w:marTop w:val="0"/>
      <w:marBottom w:val="0"/>
      <w:divBdr>
        <w:top w:val="none" w:sz="0" w:space="0" w:color="auto"/>
        <w:left w:val="none" w:sz="0" w:space="0" w:color="auto"/>
        <w:bottom w:val="none" w:sz="0" w:space="0" w:color="auto"/>
        <w:right w:val="none" w:sz="0" w:space="0" w:color="auto"/>
      </w:divBdr>
    </w:div>
    <w:div w:id="808746525">
      <w:bodyDiv w:val="1"/>
      <w:marLeft w:val="0"/>
      <w:marRight w:val="0"/>
      <w:marTop w:val="0"/>
      <w:marBottom w:val="0"/>
      <w:divBdr>
        <w:top w:val="none" w:sz="0" w:space="0" w:color="auto"/>
        <w:left w:val="none" w:sz="0" w:space="0" w:color="auto"/>
        <w:bottom w:val="none" w:sz="0" w:space="0" w:color="auto"/>
        <w:right w:val="none" w:sz="0" w:space="0" w:color="auto"/>
      </w:divBdr>
    </w:div>
    <w:div w:id="1569338372">
      <w:bodyDiv w:val="1"/>
      <w:marLeft w:val="0"/>
      <w:marRight w:val="0"/>
      <w:marTop w:val="0"/>
      <w:marBottom w:val="0"/>
      <w:divBdr>
        <w:top w:val="none" w:sz="0" w:space="0" w:color="auto"/>
        <w:left w:val="none" w:sz="0" w:space="0" w:color="auto"/>
        <w:bottom w:val="none" w:sz="0" w:space="0" w:color="auto"/>
        <w:right w:val="none" w:sz="0" w:space="0" w:color="auto"/>
      </w:divBdr>
    </w:div>
    <w:div w:id="1819347521">
      <w:bodyDiv w:val="1"/>
      <w:marLeft w:val="0"/>
      <w:marRight w:val="0"/>
      <w:marTop w:val="0"/>
      <w:marBottom w:val="0"/>
      <w:divBdr>
        <w:top w:val="none" w:sz="0" w:space="0" w:color="auto"/>
        <w:left w:val="none" w:sz="0" w:space="0" w:color="auto"/>
        <w:bottom w:val="none" w:sz="0" w:space="0" w:color="auto"/>
        <w:right w:val="none" w:sz="0" w:space="0" w:color="auto"/>
      </w:divBdr>
    </w:div>
    <w:div w:id="1904173194">
      <w:bodyDiv w:val="1"/>
      <w:marLeft w:val="0"/>
      <w:marRight w:val="0"/>
      <w:marTop w:val="0"/>
      <w:marBottom w:val="0"/>
      <w:divBdr>
        <w:top w:val="none" w:sz="0" w:space="0" w:color="auto"/>
        <w:left w:val="none" w:sz="0" w:space="0" w:color="auto"/>
        <w:bottom w:val="none" w:sz="0" w:space="0" w:color="auto"/>
        <w:right w:val="none" w:sz="0" w:space="0" w:color="auto"/>
      </w:divBdr>
    </w:div>
    <w:div w:id="2016418949">
      <w:bodyDiv w:val="1"/>
      <w:marLeft w:val="0"/>
      <w:marRight w:val="0"/>
      <w:marTop w:val="0"/>
      <w:marBottom w:val="0"/>
      <w:divBdr>
        <w:top w:val="none" w:sz="0" w:space="0" w:color="auto"/>
        <w:left w:val="none" w:sz="0" w:space="0" w:color="auto"/>
        <w:bottom w:val="none" w:sz="0" w:space="0" w:color="auto"/>
        <w:right w:val="none" w:sz="0" w:space="0" w:color="auto"/>
      </w:divBdr>
    </w:div>
    <w:div w:id="2021272643">
      <w:bodyDiv w:val="1"/>
      <w:marLeft w:val="0"/>
      <w:marRight w:val="0"/>
      <w:marTop w:val="0"/>
      <w:marBottom w:val="0"/>
      <w:divBdr>
        <w:top w:val="none" w:sz="0" w:space="0" w:color="auto"/>
        <w:left w:val="none" w:sz="0" w:space="0" w:color="auto"/>
        <w:bottom w:val="none" w:sz="0" w:space="0" w:color="auto"/>
        <w:right w:val="none" w:sz="0" w:space="0" w:color="auto"/>
      </w:divBdr>
    </w:div>
    <w:div w:id="2079085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hcahpsonline.org/globalassets/hcahps/quality-assurance/2020_qag_v15.0.pdf" TargetMode="Externa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5" Type="http://schemas.microsoft.com/office/2018/08/relationships/commentsExtensible" Target="commentsExtensible.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microsoft.com/office/2016/09/relationships/commentsIds" Target="commentsIds.xml"/></Relationships>
</file>

<file path=word/_rels/footnotes.xml.rels><?xml version="1.0" encoding="UTF-8" standalone="yes"?>
<Relationships xmlns="http://schemas.openxmlformats.org/package/2006/relationships"><Relationship Id="rId2" Type="http://schemas.openxmlformats.org/officeDocument/2006/relationships/hyperlink" Target="https://www.surveypractice.org/article/9772-effects-of-push-to-web-mixed-mode-approaches-on-survey-response-rates-evidence-from-a-randomized-experiment-in-emergency-departments" TargetMode="External"/><Relationship Id="rId1" Type="http://schemas.openxmlformats.org/officeDocument/2006/relationships/hyperlink" Target="https://doi.org/10.29115/SP-2019-000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1589</Words>
  <Characters>9058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CMS</Company>
  <LinksUpToDate>false</LinksUpToDate>
  <CharactersWithSpaces>10626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CMS</dc:creator>
  <cp:lastModifiedBy>Bill Lehrman</cp:lastModifiedBy>
  <cp:revision>2</cp:revision>
  <cp:lastPrinted>2021-02-24T14:23:00Z</cp:lastPrinted>
  <dcterms:created xsi:type="dcterms:W3CDTF">2021-02-24T15:42:00Z</dcterms:created>
  <dcterms:modified xsi:type="dcterms:W3CDTF">2021-02-24T15:42:00Z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