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1470" w:rsidR="007D6E75" w:rsidP="008111D2" w:rsidRDefault="007D6E75" w14:paraId="2202353B" w14:textId="77777777">
      <w:pPr>
        <w:spacing w:after="0" w:line="240" w:lineRule="auto"/>
        <w:jc w:val="center"/>
        <w:rPr>
          <w:rFonts w:cs="Times New Roman"/>
          <w:szCs w:val="24"/>
        </w:rPr>
      </w:pPr>
      <w:r w:rsidRPr="00A91470">
        <w:rPr>
          <w:rFonts w:cs="Times New Roman"/>
          <w:szCs w:val="24"/>
        </w:rPr>
        <w:t>Application to Use Burden/Hours from Generic PRA Clearance:</w:t>
      </w:r>
    </w:p>
    <w:p w:rsidR="00706AC2" w:rsidP="008111D2" w:rsidRDefault="00706AC2" w14:paraId="49C0D979" w14:textId="77777777">
      <w:pPr>
        <w:spacing w:after="0" w:line="240" w:lineRule="auto"/>
        <w:jc w:val="center"/>
        <w:rPr>
          <w:rFonts w:cs="Times New Roman"/>
          <w:szCs w:val="24"/>
        </w:rPr>
      </w:pPr>
      <w:r w:rsidRPr="00706AC2">
        <w:rPr>
          <w:rFonts w:cs="Times New Roman"/>
          <w:szCs w:val="24"/>
        </w:rPr>
        <w:t xml:space="preserve">Testing of Web Survey Design and Administration for CMS Experience of Care Surveys </w:t>
      </w:r>
    </w:p>
    <w:p w:rsidRPr="00A91470" w:rsidR="00DF098E" w:rsidP="008111D2" w:rsidRDefault="007D6E75" w14:paraId="0663C3EA" w14:textId="77777777">
      <w:pPr>
        <w:spacing w:after="0" w:line="240" w:lineRule="auto"/>
        <w:jc w:val="center"/>
        <w:rPr>
          <w:rFonts w:cs="Times New Roman"/>
          <w:szCs w:val="24"/>
        </w:rPr>
      </w:pPr>
      <w:r w:rsidRPr="00A91470">
        <w:rPr>
          <w:rFonts w:cs="Times New Roman"/>
          <w:szCs w:val="24"/>
        </w:rPr>
        <w:t>(CMS-</w:t>
      </w:r>
      <w:r w:rsidRPr="00706AC2" w:rsidR="00706AC2">
        <w:rPr>
          <w:rFonts w:cs="Times New Roman"/>
          <w:szCs w:val="24"/>
        </w:rPr>
        <w:t>10694</w:t>
      </w:r>
      <w:r w:rsidRPr="00A91470">
        <w:rPr>
          <w:rFonts w:cs="Times New Roman"/>
          <w:szCs w:val="24"/>
        </w:rPr>
        <w:t>, OMB 0938-1</w:t>
      </w:r>
      <w:r w:rsidR="00706AC2">
        <w:rPr>
          <w:rFonts w:cs="Times New Roman"/>
          <w:szCs w:val="24"/>
        </w:rPr>
        <w:t>370</w:t>
      </w:r>
      <w:r w:rsidRPr="00A91470">
        <w:rPr>
          <w:rFonts w:cs="Times New Roman"/>
          <w:szCs w:val="24"/>
        </w:rPr>
        <w:t>)</w:t>
      </w:r>
    </w:p>
    <w:p w:rsidRPr="00A91470" w:rsidR="007D6E75" w:rsidP="008111D2" w:rsidRDefault="007D6E75" w14:paraId="3C5F8A07" w14:textId="77777777">
      <w:pPr>
        <w:spacing w:after="0" w:line="240" w:lineRule="auto"/>
        <w:jc w:val="center"/>
        <w:rPr>
          <w:rFonts w:cs="Times New Roman"/>
          <w:szCs w:val="24"/>
        </w:rPr>
      </w:pPr>
    </w:p>
    <w:p w:rsidRPr="00A91470" w:rsidR="007D6E75" w:rsidP="00AF6635" w:rsidRDefault="00A91470" w14:paraId="621DCCB5" w14:textId="5FDB0674">
      <w:pPr>
        <w:jc w:val="center"/>
        <w:rPr>
          <w:rFonts w:cs="Times New Roman"/>
          <w:b/>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E90E12">
        <w:rPr>
          <w:rFonts w:cs="Times New Roman"/>
          <w:b/>
          <w:szCs w:val="24"/>
        </w:rPr>
        <w:t>)</w:t>
      </w:r>
      <w:r w:rsidRPr="00E90E12" w:rsidR="00CB646D">
        <w:rPr>
          <w:rFonts w:cs="Times New Roman"/>
          <w:b/>
          <w:szCs w:val="24"/>
        </w:rPr>
        <w:t xml:space="preserve"> </w:t>
      </w:r>
      <w:r w:rsidRPr="00E90E12" w:rsidR="00FE644A">
        <w:rPr>
          <w:rFonts w:cs="Times New Roman"/>
          <w:b/>
          <w:szCs w:val="24"/>
        </w:rPr>
        <w:t>#</w:t>
      </w:r>
      <w:r w:rsidRPr="00E90E12" w:rsidR="0061207C">
        <w:rPr>
          <w:rFonts w:cs="Times New Roman"/>
          <w:b/>
          <w:szCs w:val="24"/>
        </w:rPr>
        <w:t>3</w:t>
      </w:r>
      <w:r w:rsidRPr="00E90E12">
        <w:rPr>
          <w:rFonts w:cs="Times New Roman"/>
          <w:b/>
          <w:szCs w:val="24"/>
        </w:rPr>
        <w:t xml:space="preserve">: </w:t>
      </w:r>
      <w:r w:rsidRPr="00E90E12" w:rsidR="00AF6635">
        <w:rPr>
          <w:rFonts w:cs="Times New Roman"/>
          <w:b/>
          <w:szCs w:val="24"/>
        </w:rPr>
        <w:t xml:space="preserve"> Medicare</w:t>
      </w:r>
      <w:r w:rsidR="00AF6635">
        <w:rPr>
          <w:rFonts w:cs="Times New Roman"/>
          <w:b/>
          <w:szCs w:val="24"/>
        </w:rPr>
        <w:t xml:space="preserve"> Advantage (MA) and Prescription Drug Plan (PDP) Consumer Assessment of Healthcare Providers and Systems (CAHPS®) Web Survey </w:t>
      </w:r>
      <w:r w:rsidR="0048633B">
        <w:rPr>
          <w:rFonts w:cs="Times New Roman"/>
          <w:b/>
          <w:szCs w:val="24"/>
        </w:rPr>
        <w:t xml:space="preserve">of Health </w:t>
      </w:r>
      <w:r w:rsidR="00CC4863">
        <w:rPr>
          <w:rFonts w:cs="Times New Roman"/>
          <w:b/>
          <w:szCs w:val="24"/>
        </w:rPr>
        <w:t xml:space="preserve">and Drug </w:t>
      </w:r>
      <w:r w:rsidR="0048633B">
        <w:rPr>
          <w:rFonts w:cs="Times New Roman"/>
          <w:b/>
          <w:szCs w:val="24"/>
        </w:rPr>
        <w:t>Plans</w:t>
      </w:r>
    </w:p>
    <w:p w:rsidRPr="00A91470" w:rsidR="007D6E75" w:rsidP="008111D2" w:rsidRDefault="007D6E75" w14:paraId="2C4325C7" w14:textId="77777777">
      <w:pPr>
        <w:spacing w:after="0" w:line="240" w:lineRule="auto"/>
        <w:jc w:val="center"/>
        <w:rPr>
          <w:rFonts w:cs="Times New Roman"/>
          <w:szCs w:val="24"/>
        </w:rPr>
      </w:pPr>
    </w:p>
    <w:p w:rsidRPr="00A91470" w:rsidR="007D6E75" w:rsidP="008111D2" w:rsidRDefault="007D6E75" w14:paraId="270D1DF5" w14:textId="77777777">
      <w:pPr>
        <w:spacing w:after="0" w:line="240" w:lineRule="auto"/>
        <w:jc w:val="center"/>
        <w:rPr>
          <w:rFonts w:cs="Times New Roman"/>
          <w:szCs w:val="24"/>
        </w:rPr>
      </w:pPr>
    </w:p>
    <w:p w:rsidRPr="00A91470" w:rsidR="007D6E75" w:rsidP="008111D2" w:rsidRDefault="007D6E75" w14:paraId="3D43119A" w14:textId="77777777">
      <w:pPr>
        <w:spacing w:after="0" w:line="240" w:lineRule="auto"/>
        <w:jc w:val="center"/>
        <w:rPr>
          <w:rFonts w:cs="Times New Roman"/>
          <w:szCs w:val="24"/>
        </w:rPr>
      </w:pPr>
    </w:p>
    <w:p w:rsidRPr="00A91470" w:rsidR="007D6E75" w:rsidP="008111D2" w:rsidRDefault="00706AC2" w14:paraId="5107135E" w14:textId="77777777">
      <w:pPr>
        <w:spacing w:after="0" w:line="240" w:lineRule="auto"/>
        <w:jc w:val="center"/>
        <w:rPr>
          <w:rFonts w:cs="Times New Roman"/>
          <w:szCs w:val="24"/>
        </w:rPr>
      </w:pPr>
      <w:r>
        <w:rPr>
          <w:rFonts w:cs="Times New Roman"/>
          <w:szCs w:val="24"/>
        </w:rPr>
        <w:t>Center for Medicare</w:t>
      </w:r>
      <w:r w:rsidR="00A702E7">
        <w:rPr>
          <w:rFonts w:cs="Times New Roman"/>
          <w:szCs w:val="24"/>
        </w:rPr>
        <w:t xml:space="preserve"> </w:t>
      </w:r>
      <w:r w:rsidRPr="00A91470" w:rsidR="007D6E75">
        <w:rPr>
          <w:rFonts w:cs="Times New Roman"/>
          <w:szCs w:val="24"/>
        </w:rPr>
        <w:t>(</w:t>
      </w:r>
      <w:r>
        <w:rPr>
          <w:rFonts w:cs="Times New Roman"/>
          <w:szCs w:val="24"/>
        </w:rPr>
        <w:t>CM</w:t>
      </w:r>
      <w:r w:rsidRPr="00A91470" w:rsidR="007D6E75">
        <w:rPr>
          <w:rFonts w:cs="Times New Roman"/>
          <w:szCs w:val="24"/>
        </w:rPr>
        <w:t>)</w:t>
      </w:r>
    </w:p>
    <w:p w:rsidRPr="00A91470" w:rsidR="007D6E75" w:rsidP="008111D2" w:rsidRDefault="007D6E75" w14:paraId="177ECF7F" w14:textId="77777777">
      <w:pPr>
        <w:spacing w:after="0" w:line="240" w:lineRule="auto"/>
        <w:jc w:val="center"/>
        <w:rPr>
          <w:rFonts w:cs="Times New Roman"/>
          <w:szCs w:val="24"/>
        </w:rPr>
      </w:pPr>
      <w:r w:rsidRPr="00A91470">
        <w:rPr>
          <w:rFonts w:cs="Times New Roman"/>
          <w:szCs w:val="24"/>
        </w:rPr>
        <w:t>Centers for Medicare &amp; Medicaid Services (CMS)</w:t>
      </w:r>
    </w:p>
    <w:p w:rsidRPr="00A91470" w:rsidR="007D6E75" w:rsidP="008111D2" w:rsidRDefault="007D6E75" w14:paraId="76EB0683" w14:textId="77777777">
      <w:pPr>
        <w:spacing w:after="0" w:line="240" w:lineRule="auto"/>
        <w:rPr>
          <w:rFonts w:cs="Times New Roman"/>
          <w:szCs w:val="24"/>
        </w:rPr>
        <w:sectPr w:rsidRPr="00A91470" w:rsidR="007D6E75" w:rsidSect="007D6E75">
          <w:footerReference w:type="default" r:id="rId7"/>
          <w:pgSz w:w="12240" w:h="15840" w:code="1"/>
          <w:pgMar w:top="1440" w:right="1440" w:bottom="1440" w:left="1440" w:header="720" w:footer="720" w:gutter="0"/>
          <w:cols w:space="720"/>
          <w:vAlign w:val="center"/>
          <w:docGrid w:linePitch="360"/>
        </w:sectPr>
      </w:pPr>
    </w:p>
    <w:p w:rsidR="007D6E75" w:rsidRDefault="007D6E75" w14:paraId="3165C574" w14:textId="77777777">
      <w:pPr>
        <w:pStyle w:val="Heading1"/>
      </w:pPr>
      <w:r w:rsidRPr="00A91470">
        <w:lastRenderedPageBreak/>
        <w:t>Background</w:t>
      </w:r>
    </w:p>
    <w:p w:rsidR="00C3049E" w:rsidP="0048633B" w:rsidRDefault="00C3049E" w14:paraId="23F10D9C" w14:textId="77777777">
      <w:pPr>
        <w:spacing w:after="0"/>
      </w:pPr>
    </w:p>
    <w:p w:rsidR="0048633B" w:rsidP="0048633B" w:rsidRDefault="0048633B" w14:paraId="47931E0E" w14:textId="504A369B">
      <w:pPr>
        <w:spacing w:after="0"/>
      </w:pPr>
      <w:r>
        <w:t xml:space="preserve">The </w:t>
      </w:r>
      <w:r w:rsidRPr="0048633B">
        <w:t xml:space="preserve">Medicare Advantage </w:t>
      </w:r>
      <w:r w:rsidR="00572D43">
        <w:t xml:space="preserve">(MA) </w:t>
      </w:r>
      <w:r w:rsidRPr="0048633B">
        <w:t xml:space="preserve">and Prescription Drug Plan </w:t>
      </w:r>
      <w:r>
        <w:t xml:space="preserve">(PDP) </w:t>
      </w:r>
      <w:r w:rsidRPr="00E90E12" w:rsidR="00572D43">
        <w:t>Consumer Assessment of Healthcare Providers and Systems (</w:t>
      </w:r>
      <w:r w:rsidRPr="0048633B">
        <w:t>CAHPS</w:t>
      </w:r>
      <w:r w:rsidR="00572D43">
        <w:t>)</w:t>
      </w:r>
      <w:r w:rsidRPr="0048633B">
        <w:t xml:space="preserve"> Survey</w:t>
      </w:r>
      <w:r w:rsidR="00B54241">
        <w:t>s</w:t>
      </w:r>
      <w:r>
        <w:t xml:space="preserve"> provide information on the quality of health services </w:t>
      </w:r>
      <w:r w:rsidR="00BA5D33">
        <w:t xml:space="preserve">delivered </w:t>
      </w:r>
      <w:r>
        <w:t xml:space="preserve">through </w:t>
      </w:r>
      <w:r w:rsidR="00BA5D33">
        <w:t xml:space="preserve">MA </w:t>
      </w:r>
      <w:r>
        <w:t xml:space="preserve">and </w:t>
      </w:r>
      <w:r w:rsidR="00BA5D33">
        <w:t xml:space="preserve">PDP plans </w:t>
      </w:r>
      <w:r>
        <w:t xml:space="preserve">and in comparison to </w:t>
      </w:r>
      <w:r w:rsidRPr="0048633B">
        <w:t>Medicare Fee-for-Service (FFS)</w:t>
      </w:r>
      <w:r>
        <w:t>. Consumer evaluations of health</w:t>
      </w:r>
      <w:r w:rsidR="00BA5D33">
        <w:t xml:space="preserve"> </w:t>
      </w:r>
      <w:r>
        <w:t>care and prescription drug services, such as those collected through the Medicare CAHPS</w:t>
      </w:r>
      <w:r w:rsidR="00BA5D33">
        <w:t xml:space="preserve"> </w:t>
      </w:r>
      <w:r w:rsidR="00B54241">
        <w:t>S</w:t>
      </w:r>
      <w:r>
        <w:t>urveys, measure important aspects of a patient’s experience that cannot be assessed by</w:t>
      </w:r>
      <w:r w:rsidR="00BA5D33">
        <w:t xml:space="preserve"> </w:t>
      </w:r>
      <w:r>
        <w:t>other means.</w:t>
      </w:r>
    </w:p>
    <w:p w:rsidR="0048633B" w:rsidP="0048633B" w:rsidRDefault="0048633B" w14:paraId="1DECDEE2" w14:textId="77777777">
      <w:pPr>
        <w:spacing w:after="0"/>
      </w:pPr>
    </w:p>
    <w:p w:rsidR="0048633B" w:rsidP="0048633B" w:rsidRDefault="0048633B" w14:paraId="3A4CDE14" w14:textId="7381285B">
      <w:pPr>
        <w:spacing w:after="0"/>
      </w:pPr>
      <w:r>
        <w:t xml:space="preserve">Currently, the MA &amp; PDP CAHPS </w:t>
      </w:r>
      <w:r w:rsidR="00B54241">
        <w:t>S</w:t>
      </w:r>
      <w:r>
        <w:t>urveys are administered using a mixed mode data collection</w:t>
      </w:r>
      <w:r w:rsidR="006156D8">
        <w:t xml:space="preserve"> </w:t>
      </w:r>
      <w:r>
        <w:t xml:space="preserve">protocol </w:t>
      </w:r>
      <w:r w:rsidR="00BA5D33">
        <w:t xml:space="preserve">(mail+phone) </w:t>
      </w:r>
      <w:r>
        <w:t>that includes two survey mailings and phone follow-up with non-respondents. In response to stakeholder feedback, CMS plans to test a web-based mode of survey administration in the upcoming months</w:t>
      </w:r>
      <w:r w:rsidR="007265F3">
        <w:t xml:space="preserve">, which </w:t>
      </w:r>
      <w:r w:rsidR="00BA5D33">
        <w:t xml:space="preserve">may </w:t>
      </w:r>
      <w:r w:rsidR="007265F3">
        <w:t>be added in concert with one or both of the existing survey modes</w:t>
      </w:r>
      <w:r w:rsidR="003C46C8">
        <w:t xml:space="preserve"> in the future</w:t>
      </w:r>
      <w:r w:rsidR="007265F3">
        <w:t>.</w:t>
      </w:r>
      <w:r w:rsidR="00B40827">
        <w:t xml:space="preserve"> Recent research demonstrates the potential to improve response rates with the use of a web-based mode. In particular, in the emergency department setting, a CMS-funded test demonstrated that a higher survey response rate could be achieved by using a web survey as the initial invitation to the survey, followed by mail, phone</w:t>
      </w:r>
      <w:r w:rsidR="003C46C8">
        <w:t>,</w:t>
      </w:r>
      <w:r w:rsidR="00B40827">
        <w:t xml:space="preserve"> or both.</w:t>
      </w:r>
      <w:r w:rsidR="00B40827">
        <w:rPr>
          <w:rStyle w:val="FootnoteReference"/>
        </w:rPr>
        <w:footnoteReference w:id="1"/>
      </w:r>
    </w:p>
    <w:p w:rsidR="007265F3" w:rsidP="0048633B" w:rsidRDefault="007265F3" w14:paraId="23F3EE80" w14:textId="60116E74">
      <w:pPr>
        <w:spacing w:after="0"/>
      </w:pPr>
    </w:p>
    <w:p w:rsidR="007265F3" w:rsidP="0048633B" w:rsidRDefault="007265F3" w14:paraId="17C73CB2" w14:textId="1F54FB63">
      <w:pPr>
        <w:spacing w:after="0"/>
      </w:pPr>
      <w:r>
        <w:t xml:space="preserve">A key issue for determining the web-based survey administration protocol is the availability of </w:t>
      </w:r>
      <w:r w:rsidR="00BA5D33">
        <w:t xml:space="preserve">MA and PDP </w:t>
      </w:r>
      <w:r w:rsidR="00DE69F6">
        <w:t>plan member</w:t>
      </w:r>
      <w:r w:rsidR="00BA5D33">
        <w:t xml:space="preserve"> </w:t>
      </w:r>
      <w:r>
        <w:t xml:space="preserve">email addresses. If </w:t>
      </w:r>
      <w:r w:rsidR="00DE69F6">
        <w:t>plan member</w:t>
      </w:r>
      <w:r w:rsidR="00BA5D33">
        <w:t xml:space="preserve"> </w:t>
      </w:r>
      <w:r>
        <w:t xml:space="preserve">email addresses are not widely available, the web mode field test would send paper invitations with a </w:t>
      </w:r>
      <w:r w:rsidR="00D87C80">
        <w:t xml:space="preserve">link </w:t>
      </w:r>
      <w:r>
        <w:t xml:space="preserve">to complete the survey online. If </w:t>
      </w:r>
      <w:r w:rsidR="00DE69F6">
        <w:t>plan member</w:t>
      </w:r>
      <w:r>
        <w:t xml:space="preserve"> email addresses are widely available from participating health</w:t>
      </w:r>
      <w:r w:rsidR="00CC4863">
        <w:t xml:space="preserve"> and drug</w:t>
      </w:r>
      <w:r>
        <w:t xml:space="preserve"> plans, the web mode field test would instead send email invitations with a link to the online version of the survey.</w:t>
      </w:r>
    </w:p>
    <w:p w:rsidR="00B40827" w:rsidP="008510BE" w:rsidRDefault="00B40827" w14:paraId="0890CEAF" w14:textId="5D5BA63D">
      <w:pPr>
        <w:spacing w:after="0"/>
      </w:pPr>
    </w:p>
    <w:p w:rsidR="008510BE" w:rsidP="00B40827" w:rsidRDefault="00B40827" w14:paraId="57C2C993" w14:textId="71F0BB68">
      <w:pPr>
        <w:spacing w:after="0"/>
      </w:pPr>
      <w:r>
        <w:t xml:space="preserve">In order to learn about the availability of </w:t>
      </w:r>
      <w:r w:rsidR="00DE69F6">
        <w:t>plan member</w:t>
      </w:r>
      <w:r>
        <w:t xml:space="preserve"> email addresses, we plan to administer a short web-based survey to the Medicare Compliance Officer (MCO) from all of the health</w:t>
      </w:r>
      <w:r w:rsidR="00CC4863">
        <w:t xml:space="preserve"> and drug</w:t>
      </w:r>
      <w:r>
        <w:t xml:space="preserve"> plans that are participating in the 2021 MA &amp; PDP CAHPS Survey. </w:t>
      </w:r>
    </w:p>
    <w:p w:rsidRPr="0050264D" w:rsidR="0050264D" w:rsidP="00E90E12" w:rsidRDefault="0050264D" w14:paraId="4D8DA83B" w14:textId="77777777"/>
    <w:p w:rsidR="007D6E75" w:rsidP="00E90E12" w:rsidRDefault="007D6E75" w14:paraId="53FACD7C" w14:textId="77777777">
      <w:pPr>
        <w:pStyle w:val="Heading1"/>
        <w:numPr>
          <w:ilvl w:val="0"/>
          <w:numId w:val="0"/>
        </w:numPr>
        <w:ind w:left="360" w:hanging="360"/>
      </w:pPr>
      <w:r w:rsidRPr="00A91470">
        <w:t>B. Description of Information Collection</w:t>
      </w:r>
    </w:p>
    <w:p w:rsidR="004D4A8B" w:rsidP="004D4A8B" w:rsidRDefault="004D4A8B" w14:paraId="57A9ED48" w14:textId="77777777">
      <w:pPr>
        <w:pStyle w:val="BodyText"/>
        <w:spacing w:before="1"/>
        <w:ind w:right="189"/>
        <w:rPr>
          <w:highlight w:val="yellow"/>
        </w:rPr>
      </w:pPr>
    </w:p>
    <w:p w:rsidR="004177CB" w:rsidP="004177CB" w:rsidRDefault="004177CB" w14:paraId="6350F9EC" w14:textId="643C8D80">
      <w:pPr>
        <w:pStyle w:val="BodyText"/>
        <w:widowControl/>
        <w:autoSpaceDE/>
        <w:autoSpaceDN/>
        <w:spacing w:line="276" w:lineRule="auto"/>
      </w:pPr>
      <w:r>
        <w:t xml:space="preserve">CMS’s </w:t>
      </w:r>
      <w:r w:rsidRPr="00B40827">
        <w:t>generic clearance request is to support methodological research designed to improve the quality and reduce the burden of the suite of CMS Experience of Care Surveys</w:t>
      </w:r>
      <w:r>
        <w:t xml:space="preserve">; it </w:t>
      </w:r>
      <w:r w:rsidRPr="00B40827">
        <w:t>encompasses an array of research activities to support decisions about whether and how to add web administration protocols to a series of surveys conducted by CMS.</w:t>
      </w:r>
      <w:r>
        <w:t xml:space="preserve"> </w:t>
      </w:r>
    </w:p>
    <w:p w:rsidR="0050264D" w:rsidP="004177CB" w:rsidRDefault="0050264D" w14:paraId="020D4DC8" w14:textId="77777777">
      <w:pPr>
        <w:pStyle w:val="BodyText"/>
        <w:widowControl/>
        <w:autoSpaceDE/>
        <w:autoSpaceDN/>
        <w:spacing w:line="276" w:lineRule="auto"/>
      </w:pPr>
    </w:p>
    <w:p w:rsidR="00F904BF" w:rsidP="00E90E12" w:rsidRDefault="004D4A8B" w14:paraId="3A46281B" w14:textId="0B7CDBD9">
      <w:pPr>
        <w:pStyle w:val="BodyText"/>
        <w:widowControl/>
        <w:autoSpaceDE/>
        <w:autoSpaceDN/>
        <w:spacing w:line="276" w:lineRule="auto"/>
      </w:pPr>
      <w:r w:rsidRPr="00B40827">
        <w:lastRenderedPageBreak/>
        <w:t xml:space="preserve">Data from </w:t>
      </w:r>
      <w:r w:rsidR="00AB0FAE">
        <w:t>MA &amp; PDP</w:t>
      </w:r>
      <w:r w:rsidRPr="00B40827" w:rsidR="00AB0FAE">
        <w:t xml:space="preserve"> </w:t>
      </w:r>
      <w:r w:rsidR="00AB0FAE">
        <w:t>CAHPS</w:t>
      </w:r>
      <w:r w:rsidRPr="00B40827">
        <w:t xml:space="preserve"> are publicly reported and many survey results are </w:t>
      </w:r>
      <w:r w:rsidR="00AB0FAE">
        <w:t>included in the Part C and D Star Ratings</w:t>
      </w:r>
      <w:r w:rsidR="00572D43">
        <w:t xml:space="preserve"> and used for payment for MA contracts</w:t>
      </w:r>
      <w:r w:rsidRPr="00B40827">
        <w:t xml:space="preserve">. As such, these survey data come under great scrutiny by </w:t>
      </w:r>
      <w:r w:rsidR="00572D43">
        <w:t>plans and stakeholders</w:t>
      </w:r>
      <w:r w:rsidRPr="00B40827">
        <w:t xml:space="preserve">. The design, testing, and implementation of these surveys is held to the strictest of statistical survey methodologies and standards. </w:t>
      </w:r>
    </w:p>
    <w:p w:rsidR="005724D3" w:rsidP="00A57E7A" w:rsidRDefault="005724D3" w14:paraId="7EE6C70F" w14:textId="77777777">
      <w:pPr>
        <w:pStyle w:val="BodyText"/>
        <w:widowControl/>
        <w:autoSpaceDE/>
        <w:autoSpaceDN/>
        <w:spacing w:line="276" w:lineRule="auto"/>
      </w:pPr>
    </w:p>
    <w:p w:rsidR="00AF3937" w:rsidP="008510BE" w:rsidRDefault="00BA5D33" w14:paraId="02550712" w14:textId="405F3D25">
      <w:pPr>
        <w:spacing w:after="0"/>
      </w:pPr>
      <w:r>
        <w:t xml:space="preserve">This request </w:t>
      </w:r>
      <w:r w:rsidR="005724D3">
        <w:t>is to conduct</w:t>
      </w:r>
      <w:r>
        <w:t xml:space="preserve"> a survey of health </w:t>
      </w:r>
      <w:r w:rsidR="00CC4863">
        <w:t xml:space="preserve">and drug </w:t>
      </w:r>
      <w:r>
        <w:t xml:space="preserve">plan Medicare Compliance Officers </w:t>
      </w:r>
      <w:r w:rsidR="00DE69F6">
        <w:t>(MCOs)</w:t>
      </w:r>
      <w:r w:rsidR="00A57E7A">
        <w:t xml:space="preserve"> </w:t>
      </w:r>
      <w:r>
        <w:t xml:space="preserve">in support of the MA &amp; PDP CAHPS </w:t>
      </w:r>
      <w:r w:rsidR="00A57E7A">
        <w:t>S</w:t>
      </w:r>
      <w:r>
        <w:t>urvey.</w:t>
      </w:r>
      <w:r w:rsidR="005724D3">
        <w:t xml:space="preserve">  </w:t>
      </w:r>
      <w:r w:rsidR="008510BE">
        <w:t xml:space="preserve">The proposed </w:t>
      </w:r>
      <w:r w:rsidR="00B40827">
        <w:t>survey would inform CMS’</w:t>
      </w:r>
      <w:r w:rsidR="00CC4863">
        <w:t>s</w:t>
      </w:r>
      <w:r w:rsidR="00B40827">
        <w:t xml:space="preserve"> planning for an upcoming </w:t>
      </w:r>
      <w:r>
        <w:t xml:space="preserve">MA &amp; PDP CAHPS </w:t>
      </w:r>
      <w:r w:rsidR="00B40827">
        <w:t>field test of a web-based mode of survey administration</w:t>
      </w:r>
      <w:r w:rsidR="005724D3">
        <w:t xml:space="preserve"> </w:t>
      </w:r>
      <w:r w:rsidRPr="00E90E12" w:rsidR="005724D3">
        <w:t xml:space="preserve">to supplement mail and phone survey </w:t>
      </w:r>
      <w:r w:rsidR="0050264D">
        <w:t>administration</w:t>
      </w:r>
      <w:r w:rsidRPr="00E90E12" w:rsidR="005724D3">
        <w:t xml:space="preserve"> modes</w:t>
      </w:r>
      <w:r w:rsidR="00B40827">
        <w:t xml:space="preserve">. We </w:t>
      </w:r>
      <w:r w:rsidR="00F904BF">
        <w:t xml:space="preserve">propose </w:t>
      </w:r>
      <w:r w:rsidR="00B40827">
        <w:t>to administer a survey to the</w:t>
      </w:r>
      <w:r w:rsidR="00AF3937">
        <w:t xml:space="preserve"> </w:t>
      </w:r>
      <w:r w:rsidR="00CB7D33">
        <w:t>183</w:t>
      </w:r>
      <w:r w:rsidR="00DE69F6">
        <w:t xml:space="preserve"> </w:t>
      </w:r>
      <w:r w:rsidR="00AF3937">
        <w:t>MCO</w:t>
      </w:r>
      <w:r w:rsidR="00DE69F6">
        <w:t>s</w:t>
      </w:r>
      <w:r w:rsidR="00AF3937">
        <w:t xml:space="preserve"> </w:t>
      </w:r>
      <w:r w:rsidR="00DE69F6">
        <w:t>associated with the MA and PDP contracts</w:t>
      </w:r>
      <w:r w:rsidR="00B40827">
        <w:t xml:space="preserve"> </w:t>
      </w:r>
      <w:r w:rsidR="00DE69F6">
        <w:t>administering</w:t>
      </w:r>
      <w:r w:rsidR="00B40827">
        <w:t xml:space="preserve"> the 2021 MA &amp; PDP CAHPS Survey. </w:t>
      </w:r>
    </w:p>
    <w:p w:rsidR="00AF3937" w:rsidP="008510BE" w:rsidRDefault="00AF3937" w14:paraId="34E27D50" w14:textId="6FEE2CDE">
      <w:pPr>
        <w:spacing w:after="0"/>
      </w:pPr>
    </w:p>
    <w:p w:rsidR="00AF3937" w:rsidP="00AF3937" w:rsidRDefault="00CB7D33" w14:paraId="274254EE" w14:textId="20B99B05">
      <w:pPr>
        <w:spacing w:after="0"/>
      </w:pPr>
      <w:r>
        <w:t xml:space="preserve">An </w:t>
      </w:r>
      <w:r w:rsidR="00E8511D">
        <w:t>initial</w:t>
      </w:r>
      <w:r>
        <w:t xml:space="preserve"> survey</w:t>
      </w:r>
      <w:r w:rsidR="00AF3937">
        <w:t xml:space="preserve"> invitation </w:t>
      </w:r>
      <w:r>
        <w:t xml:space="preserve">will be emailed </w:t>
      </w:r>
      <w:r w:rsidR="00AF3937">
        <w:t xml:space="preserve">to </w:t>
      </w:r>
      <w:r>
        <w:t xml:space="preserve">each </w:t>
      </w:r>
      <w:r w:rsidR="00AF3937">
        <w:t xml:space="preserve">MCO. The email will be personalized </w:t>
      </w:r>
      <w:r>
        <w:t>with the</w:t>
      </w:r>
      <w:r w:rsidR="00AF3937">
        <w:t xml:space="preserve"> MCO </w:t>
      </w:r>
      <w:r>
        <w:t xml:space="preserve">name </w:t>
      </w:r>
      <w:r w:rsidR="00AF3937">
        <w:t>and will include a link to the web</w:t>
      </w:r>
      <w:r>
        <w:t>-based</w:t>
      </w:r>
      <w:r w:rsidR="00AF3937">
        <w:t xml:space="preserve"> survey, which can be completed on either a computer or a mobile device such as a smartphone or tablet. </w:t>
      </w:r>
      <w:r>
        <w:t xml:space="preserve">In the email invitation, the MCO will be invited to complete the survey, or send the survey invitation email to the person in the organization who is most knowledgeable about the availability of plan member email addresses. </w:t>
      </w:r>
      <w:r w:rsidR="00AF3937">
        <w:t xml:space="preserve">If the MCO or another individual from the health </w:t>
      </w:r>
      <w:r w:rsidR="00CC4863">
        <w:t xml:space="preserve">or drug </w:t>
      </w:r>
      <w:r w:rsidR="00AF3937">
        <w:t xml:space="preserve">plan does not complete the web survey after </w:t>
      </w:r>
      <w:r w:rsidRPr="00A57E7A">
        <w:t xml:space="preserve">two </w:t>
      </w:r>
      <w:r w:rsidRPr="00A57E7A" w:rsidR="00AF3937">
        <w:t>business days</w:t>
      </w:r>
      <w:r w:rsidRPr="00CB7D33" w:rsidR="00AF3937">
        <w:t>,</w:t>
      </w:r>
      <w:r w:rsidR="00AF3937">
        <w:t xml:space="preserve"> we will then send a reminder email to the MCO.</w:t>
      </w:r>
      <w:r w:rsidR="00021529">
        <w:t xml:space="preserve"> Depending on response, we may send a second reminder </w:t>
      </w:r>
      <w:r w:rsidR="00CC4863">
        <w:t xml:space="preserve">five </w:t>
      </w:r>
      <w:r w:rsidR="00021529">
        <w:t>days later.</w:t>
      </w:r>
    </w:p>
    <w:p w:rsidR="00AF3937" w:rsidP="008510BE" w:rsidRDefault="00AF3937" w14:paraId="09A63B70" w14:textId="77777777">
      <w:pPr>
        <w:spacing w:after="0"/>
      </w:pPr>
    </w:p>
    <w:p w:rsidR="00C0603D" w:rsidP="00AF3937" w:rsidRDefault="00AF3937" w14:paraId="6EC0B600" w14:textId="0CCF6866">
      <w:pPr>
        <w:spacing w:after="0"/>
      </w:pPr>
      <w:r>
        <w:t>The</w:t>
      </w:r>
      <w:r w:rsidR="00B40827">
        <w:t xml:space="preserve"> brief</w:t>
      </w:r>
      <w:r>
        <w:t>, nine item</w:t>
      </w:r>
      <w:r w:rsidR="00B40827">
        <w:t xml:space="preserve"> survey </w:t>
      </w:r>
      <w:r w:rsidR="002E19D2">
        <w:t xml:space="preserve">collects information related to the availability of plan member email addresses, the quality of email addresses, and feasibility of sharing email addresses with survey vendors. </w:t>
      </w:r>
      <w:r w:rsidR="00B40827">
        <w:t>The survey also gauge</w:t>
      </w:r>
      <w:r w:rsidR="002E19D2">
        <w:t>s</w:t>
      </w:r>
      <w:r w:rsidR="00B40827">
        <w:t xml:space="preserve"> interest in sharing email address information with CMS as part of </w:t>
      </w:r>
      <w:r>
        <w:t xml:space="preserve">the upcoming </w:t>
      </w:r>
      <w:r w:rsidR="00B40827">
        <w:t>field test of web-based survey administration</w:t>
      </w:r>
      <w:r>
        <w:t>.</w:t>
      </w:r>
      <w:r w:rsidR="0061207C">
        <w:t xml:space="preserve"> A separate OMB PRA package will be submitted for a field test of a web-based mode for the MA &amp; PDP CAHPS Survey.</w:t>
      </w:r>
    </w:p>
    <w:p w:rsidR="002E19D2" w:rsidP="00AF3937" w:rsidRDefault="002E19D2" w14:paraId="1947951C" w14:textId="07263E3D">
      <w:pPr>
        <w:spacing w:after="0"/>
      </w:pPr>
    </w:p>
    <w:p w:rsidRPr="00AF3937" w:rsidR="002E19D2" w:rsidP="00AF3937" w:rsidRDefault="002E19D2" w14:paraId="612E5BFC" w14:textId="7FDD52AB">
      <w:pPr>
        <w:spacing w:after="0"/>
      </w:pPr>
      <w:r>
        <w:t>The information collected</w:t>
      </w:r>
      <w:r w:rsidR="00021529">
        <w:t xml:space="preserve"> in the survey</w:t>
      </w:r>
      <w:r>
        <w:t xml:space="preserve"> is factual and will not be analyzed using statistical methods but </w:t>
      </w:r>
      <w:r w:rsidR="00021529">
        <w:t>will</w:t>
      </w:r>
      <w:r>
        <w:t xml:space="preserve"> be summarized in descriptive tables.</w:t>
      </w:r>
    </w:p>
    <w:p w:rsidRPr="00AF3937" w:rsidR="00AF3937" w:rsidP="00E90E12" w:rsidRDefault="00AF3937" w14:paraId="28FC01FC" w14:textId="44978151">
      <w:pPr>
        <w:spacing w:after="0"/>
      </w:pPr>
    </w:p>
    <w:p w:rsidRPr="00A91470" w:rsidR="007D6E75" w:rsidP="00E90E12" w:rsidRDefault="007D6E75" w14:paraId="72130121" w14:textId="77777777">
      <w:pPr>
        <w:pStyle w:val="Heading1"/>
        <w:numPr>
          <w:ilvl w:val="0"/>
          <w:numId w:val="0"/>
        </w:numPr>
        <w:ind w:left="360" w:hanging="360"/>
      </w:pPr>
      <w:r w:rsidRPr="00A91470">
        <w:t>C. Deviations from Generic Request</w:t>
      </w:r>
    </w:p>
    <w:p w:rsidR="00C3049E" w:rsidP="00AF3937" w:rsidRDefault="00C3049E" w14:paraId="363E02BE" w14:textId="77777777">
      <w:pPr>
        <w:spacing w:after="0" w:line="240" w:lineRule="auto"/>
        <w:rPr>
          <w:rFonts w:cs="Times New Roman"/>
          <w:szCs w:val="24"/>
        </w:rPr>
      </w:pPr>
    </w:p>
    <w:p w:rsidR="008111D2" w:rsidP="00AF3937" w:rsidRDefault="009B19E8" w14:paraId="6E3A0A11" w14:textId="71A3DC0E">
      <w:pPr>
        <w:spacing w:after="0" w:line="240" w:lineRule="auto"/>
        <w:rPr>
          <w:rFonts w:cs="Times New Roman"/>
          <w:szCs w:val="24"/>
        </w:rPr>
      </w:pPr>
      <w:r w:rsidRPr="00A91470">
        <w:rPr>
          <w:rFonts w:cs="Times New Roman"/>
          <w:szCs w:val="24"/>
        </w:rPr>
        <w:t>No deviations are requested.</w:t>
      </w:r>
    </w:p>
    <w:p w:rsidRPr="00AF3937" w:rsidR="00AF3937" w:rsidP="00E90E12" w:rsidRDefault="00AF3937" w14:paraId="78698504" w14:textId="77777777">
      <w:pPr>
        <w:spacing w:after="0"/>
      </w:pPr>
    </w:p>
    <w:p w:rsidRPr="00A91470" w:rsidR="007D6E75" w:rsidP="00E90E12" w:rsidRDefault="007D6E75" w14:paraId="43A12DB4" w14:textId="77777777">
      <w:pPr>
        <w:pStyle w:val="Heading1"/>
        <w:numPr>
          <w:ilvl w:val="0"/>
          <w:numId w:val="0"/>
        </w:numPr>
        <w:ind w:left="360" w:hanging="360"/>
      </w:pPr>
      <w:r w:rsidRPr="00A91470">
        <w:t>D. Burden Hour Deduction</w:t>
      </w:r>
    </w:p>
    <w:p w:rsidR="008510BE" w:rsidP="008510BE" w:rsidRDefault="008510BE" w14:paraId="195FED74" w14:textId="77777777">
      <w:pPr>
        <w:pStyle w:val="BodyText"/>
      </w:pPr>
    </w:p>
    <w:p w:rsidR="00ED5F04" w:rsidP="008510BE" w:rsidRDefault="00ED5F04" w14:paraId="0AF5698E" w14:textId="500ABCD1">
      <w:pPr>
        <w:keepLines/>
      </w:pPr>
      <w:r>
        <w:t xml:space="preserve">The </w:t>
      </w:r>
      <w:r w:rsidR="00AF3937">
        <w:t>web survey</w:t>
      </w:r>
      <w:r w:rsidR="008510BE">
        <w:t xml:space="preserve"> </w:t>
      </w:r>
      <w:r>
        <w:t>will be conducted among</w:t>
      </w:r>
      <w:r w:rsidR="008510BE">
        <w:t xml:space="preserve"> a maximum of </w:t>
      </w:r>
      <w:r w:rsidR="002E19D2">
        <w:t xml:space="preserve">183 MA </w:t>
      </w:r>
      <w:r w:rsidR="00395D13">
        <w:t xml:space="preserve">and </w:t>
      </w:r>
      <w:r w:rsidR="002E19D2">
        <w:t>PDP</w:t>
      </w:r>
      <w:r w:rsidR="00AF3937">
        <w:t xml:space="preserve"> MCOs</w:t>
      </w:r>
      <w:r w:rsidR="002E19D2">
        <w:t xml:space="preserve"> linked to the contracts</w:t>
      </w:r>
      <w:r w:rsidR="00AF3937">
        <w:t xml:space="preserve"> participating in the 2021 MA &amp; PDP CAHPS Survey. </w:t>
      </w:r>
      <w:r w:rsidR="008510BE">
        <w:t xml:space="preserve">The </w:t>
      </w:r>
      <w:r w:rsidR="00AF3937">
        <w:t>proposed</w:t>
      </w:r>
      <w:r>
        <w:t xml:space="preserve"> </w:t>
      </w:r>
      <w:r w:rsidR="008510BE">
        <w:t xml:space="preserve">survey instrument </w:t>
      </w:r>
      <w:r w:rsidR="00AF3937">
        <w:t>is 9</w:t>
      </w:r>
      <w:r w:rsidR="008510BE">
        <w:t xml:space="preserve"> items</w:t>
      </w:r>
      <w:r>
        <w:t xml:space="preserve"> long</w:t>
      </w:r>
      <w:r w:rsidR="008D0968">
        <w:t xml:space="preserve"> </w:t>
      </w:r>
      <w:r w:rsidR="008510BE">
        <w:t xml:space="preserve">and </w:t>
      </w:r>
      <w:r w:rsidRPr="00440B8F" w:rsidR="008510BE">
        <w:t xml:space="preserve">is estimated to require an average administration time of </w:t>
      </w:r>
      <w:r w:rsidR="00AF3937">
        <w:t>2</w:t>
      </w:r>
      <w:r w:rsidRPr="00440B8F" w:rsidR="008510BE">
        <w:t xml:space="preserve"> minutes (at a pace of 4.5 items per minute). </w:t>
      </w:r>
    </w:p>
    <w:p w:rsidR="008510BE" w:rsidP="008510BE" w:rsidRDefault="0009620E" w14:paraId="102540FA" w14:textId="13DF7436">
      <w:pPr>
        <w:keepLines/>
        <w:rPr>
          <w:bCs/>
        </w:rPr>
      </w:pPr>
      <w:r>
        <w:rPr>
          <w:bCs/>
        </w:rPr>
        <w:lastRenderedPageBreak/>
        <w:t>As shown in Table 1, b</w:t>
      </w:r>
      <w:r w:rsidR="008510BE">
        <w:rPr>
          <w:bCs/>
        </w:rPr>
        <w:t xml:space="preserve">ased on </w:t>
      </w:r>
      <w:r w:rsidR="00AF3937">
        <w:rPr>
          <w:bCs/>
        </w:rPr>
        <w:t>this</w:t>
      </w:r>
      <w:r w:rsidR="008510BE">
        <w:rPr>
          <w:bCs/>
        </w:rPr>
        <w:t xml:space="preserve"> assumption</w:t>
      </w:r>
      <w:r w:rsidRPr="00440B8F" w:rsidR="008510BE">
        <w:rPr>
          <w:bCs/>
        </w:rPr>
        <w:t xml:space="preserve">, the </w:t>
      </w:r>
      <w:r w:rsidR="008510BE">
        <w:rPr>
          <w:bCs/>
        </w:rPr>
        <w:t>one-time</w:t>
      </w:r>
      <w:r w:rsidRPr="00440B8F" w:rsidR="008510BE">
        <w:rPr>
          <w:bCs/>
        </w:rPr>
        <w:t xml:space="preserve"> total b</w:t>
      </w:r>
      <w:r w:rsidR="008510BE">
        <w:rPr>
          <w:bCs/>
        </w:rPr>
        <w:t>urden hours for survey participants are estimated to be</w:t>
      </w:r>
      <w:r w:rsidR="008D0968">
        <w:rPr>
          <w:color w:val="000000"/>
        </w:rPr>
        <w:t xml:space="preserve"> </w:t>
      </w:r>
      <w:r w:rsidR="002E19D2">
        <w:rPr>
          <w:color w:val="000000"/>
        </w:rPr>
        <w:t xml:space="preserve">6 </w:t>
      </w:r>
      <w:r w:rsidR="008510BE">
        <w:rPr>
          <w:bCs/>
        </w:rPr>
        <w:t xml:space="preserve">for participation in the </w:t>
      </w:r>
      <w:r w:rsidR="00AF3937">
        <w:rPr>
          <w:bCs/>
        </w:rPr>
        <w:t>web survey.</w:t>
      </w:r>
    </w:p>
    <w:p w:rsidRPr="007E49C6" w:rsidR="00ED5F04" w:rsidP="00AF3937" w:rsidRDefault="00ED5F04" w14:paraId="3036E8C8" w14:textId="7E79FBC1">
      <w:pPr>
        <w:keepNext/>
        <w:jc w:val="center"/>
        <w:rPr>
          <w:color w:val="000000"/>
        </w:rPr>
      </w:pPr>
      <w:r>
        <w:rPr>
          <w:b/>
          <w:bCs/>
          <w:color w:val="000000"/>
        </w:rPr>
        <w:t>Table 1. Estimated B</w:t>
      </w:r>
      <w:r w:rsidRPr="007E49C6">
        <w:rPr>
          <w:b/>
          <w:bCs/>
          <w:color w:val="000000"/>
        </w:rPr>
        <w:t xml:space="preserve">urden </w:t>
      </w:r>
      <w:r>
        <w:rPr>
          <w:b/>
          <w:bCs/>
          <w:color w:val="000000"/>
        </w:rPr>
        <w:t>H</w:t>
      </w:r>
      <w:r w:rsidRPr="007E49C6">
        <w:rPr>
          <w:b/>
          <w:bCs/>
          <w:color w:val="000000"/>
        </w:rPr>
        <w:t>ours</w:t>
      </w:r>
      <w:r>
        <w:rPr>
          <w:b/>
          <w:bCs/>
          <w:color w:val="000000"/>
        </w:rPr>
        <w:t xml:space="preserve"> for Respondents: </w:t>
      </w:r>
      <w:r w:rsidR="00E90E12">
        <w:rPr>
          <w:b/>
          <w:bCs/>
          <w:color w:val="000000"/>
        </w:rPr>
        <w:br/>
      </w:r>
      <w:r w:rsidR="00AF3937">
        <w:rPr>
          <w:b/>
          <w:bCs/>
          <w:color w:val="000000"/>
        </w:rPr>
        <w:t xml:space="preserve">Survey of Health </w:t>
      </w:r>
      <w:r w:rsidR="00CC4863">
        <w:rPr>
          <w:b/>
          <w:bCs/>
          <w:color w:val="000000"/>
        </w:rPr>
        <w:t xml:space="preserve">and Drug </w:t>
      </w:r>
      <w:r w:rsidR="00AF3937">
        <w:rPr>
          <w:b/>
          <w:bCs/>
          <w:color w:val="000000"/>
        </w:rPr>
        <w:t>Plan MCOs</w:t>
      </w:r>
    </w:p>
    <w:tbl>
      <w:tblPr>
        <w:tblW w:w="7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8"/>
        <w:gridCol w:w="1803"/>
        <w:gridCol w:w="1625"/>
        <w:gridCol w:w="1709"/>
      </w:tblGrid>
      <w:tr w:rsidR="00AF3937" w:rsidTr="00E90E12" w14:paraId="52414C87" w14:textId="77777777">
        <w:trPr>
          <w:cantSplit/>
          <w:jc w:val="center"/>
        </w:trPr>
        <w:tc>
          <w:tcPr>
            <w:tcW w:w="1868" w:type="dxa"/>
            <w:shd w:val="clear" w:color="auto" w:fill="auto"/>
            <w:vAlign w:val="center"/>
            <w:hideMark/>
          </w:tcPr>
          <w:p w:rsidR="00AF3937" w:rsidP="00E90E12" w:rsidRDefault="00AF3937" w14:paraId="4FAEBDC9" w14:textId="77777777">
            <w:pPr>
              <w:jc w:val="center"/>
              <w:rPr>
                <w:b/>
                <w:bCs/>
                <w:color w:val="000000"/>
              </w:rPr>
            </w:pPr>
            <w:r>
              <w:rPr>
                <w:b/>
                <w:bCs/>
                <w:color w:val="000000"/>
                <w:szCs w:val="20"/>
              </w:rPr>
              <w:t>Number of Respondents</w:t>
            </w:r>
          </w:p>
        </w:tc>
        <w:tc>
          <w:tcPr>
            <w:tcW w:w="1803" w:type="dxa"/>
            <w:shd w:val="clear" w:color="auto" w:fill="auto"/>
            <w:vAlign w:val="center"/>
            <w:hideMark/>
          </w:tcPr>
          <w:p w:rsidR="00AF3937" w:rsidP="00E90E12" w:rsidRDefault="00AF3937" w14:paraId="7DB39EC8" w14:textId="77777777">
            <w:pPr>
              <w:jc w:val="center"/>
              <w:rPr>
                <w:b/>
                <w:bCs/>
                <w:color w:val="000000"/>
              </w:rPr>
            </w:pPr>
            <w:r>
              <w:rPr>
                <w:b/>
                <w:bCs/>
                <w:color w:val="000000"/>
                <w:szCs w:val="20"/>
              </w:rPr>
              <w:t>Number of Responses per Respondent</w:t>
            </w:r>
          </w:p>
        </w:tc>
        <w:tc>
          <w:tcPr>
            <w:tcW w:w="1625" w:type="dxa"/>
            <w:shd w:val="clear" w:color="auto" w:fill="auto"/>
            <w:vAlign w:val="center"/>
            <w:hideMark/>
          </w:tcPr>
          <w:p w:rsidR="00AF3937" w:rsidP="00E90E12" w:rsidRDefault="00AF3937" w14:paraId="6EDF6BE5" w14:textId="77777777">
            <w:pPr>
              <w:jc w:val="center"/>
              <w:rPr>
                <w:b/>
                <w:bCs/>
                <w:color w:val="000000"/>
              </w:rPr>
            </w:pPr>
            <w:r>
              <w:rPr>
                <w:b/>
                <w:bCs/>
                <w:color w:val="000000"/>
                <w:szCs w:val="20"/>
              </w:rPr>
              <w:t>Hours per Response</w:t>
            </w:r>
          </w:p>
        </w:tc>
        <w:tc>
          <w:tcPr>
            <w:tcW w:w="1709" w:type="dxa"/>
            <w:shd w:val="clear" w:color="auto" w:fill="auto"/>
            <w:vAlign w:val="center"/>
            <w:hideMark/>
          </w:tcPr>
          <w:p w:rsidR="00AF3937" w:rsidP="00E90E12" w:rsidRDefault="00AF3937" w14:paraId="0C3B192B" w14:textId="77777777">
            <w:pPr>
              <w:jc w:val="center"/>
              <w:rPr>
                <w:b/>
                <w:bCs/>
                <w:color w:val="000000"/>
              </w:rPr>
            </w:pPr>
            <w:r>
              <w:rPr>
                <w:b/>
                <w:bCs/>
                <w:color w:val="000000"/>
                <w:szCs w:val="20"/>
              </w:rPr>
              <w:t>Total Burden Hours</w:t>
            </w:r>
          </w:p>
        </w:tc>
      </w:tr>
      <w:tr w:rsidR="00AF3937" w:rsidTr="00E90E12" w14:paraId="1453AAB0" w14:textId="77777777">
        <w:trPr>
          <w:cantSplit/>
          <w:jc w:val="center"/>
        </w:trPr>
        <w:tc>
          <w:tcPr>
            <w:tcW w:w="1868" w:type="dxa"/>
            <w:shd w:val="clear" w:color="auto" w:fill="auto"/>
            <w:vAlign w:val="bottom"/>
            <w:hideMark/>
          </w:tcPr>
          <w:p w:rsidRPr="00A77903" w:rsidR="00AF3937" w:rsidP="00E90E12" w:rsidRDefault="002E19D2" w14:paraId="6040609B" w14:textId="514DA1FC">
            <w:pPr>
              <w:jc w:val="center"/>
              <w:rPr>
                <w:color w:val="000000"/>
              </w:rPr>
            </w:pPr>
            <w:r>
              <w:rPr>
                <w:color w:val="000000"/>
              </w:rPr>
              <w:t>18</w:t>
            </w:r>
            <w:r w:rsidR="00C3049E">
              <w:rPr>
                <w:color w:val="000000"/>
              </w:rPr>
              <w:t>3</w:t>
            </w:r>
          </w:p>
        </w:tc>
        <w:tc>
          <w:tcPr>
            <w:tcW w:w="1803" w:type="dxa"/>
            <w:shd w:val="clear" w:color="auto" w:fill="auto"/>
            <w:vAlign w:val="bottom"/>
            <w:hideMark/>
          </w:tcPr>
          <w:p w:rsidRPr="00A77903" w:rsidR="00AF3937" w:rsidP="00E90E12" w:rsidRDefault="00AF3937" w14:paraId="20C6F7F9" w14:textId="77777777">
            <w:pPr>
              <w:jc w:val="center"/>
              <w:rPr>
                <w:color w:val="000000"/>
              </w:rPr>
            </w:pPr>
            <w:r w:rsidRPr="00A77903">
              <w:rPr>
                <w:color w:val="000000"/>
              </w:rPr>
              <w:t>1</w:t>
            </w:r>
          </w:p>
        </w:tc>
        <w:tc>
          <w:tcPr>
            <w:tcW w:w="1625" w:type="dxa"/>
            <w:shd w:val="clear" w:color="auto" w:fill="auto"/>
            <w:vAlign w:val="bottom"/>
          </w:tcPr>
          <w:p w:rsidRPr="00A77903" w:rsidR="00AF3937" w:rsidP="00E90E12" w:rsidRDefault="00AF3937" w14:paraId="0C23C0E2" w14:textId="03C87869">
            <w:pPr>
              <w:jc w:val="center"/>
              <w:rPr>
                <w:color w:val="000000"/>
              </w:rPr>
            </w:pPr>
            <w:r>
              <w:rPr>
                <w:color w:val="000000"/>
              </w:rPr>
              <w:t>0.033</w:t>
            </w:r>
          </w:p>
        </w:tc>
        <w:tc>
          <w:tcPr>
            <w:tcW w:w="1709" w:type="dxa"/>
            <w:shd w:val="clear" w:color="auto" w:fill="auto"/>
            <w:vAlign w:val="bottom"/>
          </w:tcPr>
          <w:p w:rsidRPr="00A77903" w:rsidR="00AF3937" w:rsidP="00E90E12" w:rsidRDefault="002E19D2" w14:paraId="52AB6522" w14:textId="520BA2B6">
            <w:pPr>
              <w:jc w:val="center"/>
              <w:rPr>
                <w:color w:val="000000"/>
              </w:rPr>
            </w:pPr>
            <w:r>
              <w:rPr>
                <w:color w:val="000000"/>
              </w:rPr>
              <w:t>6.0</w:t>
            </w:r>
          </w:p>
        </w:tc>
      </w:tr>
    </w:tbl>
    <w:p w:rsidR="00AF3937" w:rsidP="008510BE" w:rsidRDefault="00AF3937" w14:paraId="16262230" w14:textId="77777777">
      <w:pPr>
        <w:pStyle w:val="BodyText"/>
      </w:pPr>
    </w:p>
    <w:p w:rsidR="008510BE" w:rsidP="008510BE" w:rsidRDefault="00177350" w14:paraId="003A7564" w14:textId="46FA857A">
      <w:pPr>
        <w:pStyle w:val="BodyText"/>
      </w:pPr>
      <w:r>
        <w:t xml:space="preserve">Although </w:t>
      </w:r>
      <w:r w:rsidR="008510BE">
        <w:t>not all</w:t>
      </w:r>
      <w:r w:rsidR="00AF3937">
        <w:t xml:space="preserve"> health </w:t>
      </w:r>
      <w:r w:rsidR="00CC4863">
        <w:t xml:space="preserve">and drug </w:t>
      </w:r>
      <w:r w:rsidR="00AF3937">
        <w:t>plans</w:t>
      </w:r>
      <w:r w:rsidR="008510BE">
        <w:t xml:space="preserve"> will complete the survey, this estimate reflects the maximum burden possible. </w:t>
      </w:r>
    </w:p>
    <w:p w:rsidR="008510BE" w:rsidP="008111D2" w:rsidRDefault="008510BE" w14:paraId="5DB62424" w14:textId="77777777">
      <w:pPr>
        <w:spacing w:after="0" w:line="240" w:lineRule="auto"/>
        <w:rPr>
          <w:rFonts w:cs="Times New Roman"/>
          <w:szCs w:val="24"/>
        </w:rPr>
      </w:pPr>
    </w:p>
    <w:p w:rsidRPr="00A91470" w:rsidR="00483058" w:rsidP="008111D2" w:rsidRDefault="00483058" w14:paraId="2F95565E" w14:textId="4E966C9B">
      <w:pPr>
        <w:spacing w:after="0" w:line="240" w:lineRule="auto"/>
        <w:rPr>
          <w:rFonts w:cs="Times New Roman"/>
          <w:szCs w:val="24"/>
        </w:rPr>
      </w:pPr>
      <w:r w:rsidRPr="00A91470">
        <w:rPr>
          <w:rFonts w:cs="Times New Roman"/>
          <w:szCs w:val="24"/>
        </w:rPr>
        <w:t xml:space="preserve">The total approved burden ceiling of the generic ICR is </w:t>
      </w:r>
      <w:r w:rsidR="004D4A8B">
        <w:rPr>
          <w:rFonts w:cs="Times New Roman"/>
          <w:szCs w:val="24"/>
        </w:rPr>
        <w:t>17,000</w:t>
      </w:r>
      <w:r w:rsidRPr="00A91470">
        <w:rPr>
          <w:rFonts w:cs="Times New Roman"/>
          <w:szCs w:val="24"/>
        </w:rPr>
        <w:t xml:space="preserve"> hours</w:t>
      </w:r>
      <w:r w:rsidRPr="00A91470" w:rsidR="00A91470">
        <w:rPr>
          <w:rFonts w:cs="Times New Roman"/>
          <w:szCs w:val="24"/>
        </w:rPr>
        <w:t xml:space="preserve">. We are requesting a total deduction of </w:t>
      </w:r>
      <w:r w:rsidR="002E19D2">
        <w:rPr>
          <w:color w:val="000000"/>
        </w:rPr>
        <w:t>6</w:t>
      </w:r>
      <w:r w:rsidRPr="00A91470" w:rsidR="002E19D2">
        <w:rPr>
          <w:rFonts w:cs="Times New Roman"/>
          <w:szCs w:val="24"/>
        </w:rPr>
        <w:t xml:space="preserve"> </w:t>
      </w:r>
      <w:r w:rsidRPr="00A91470" w:rsidR="00A91470">
        <w:rPr>
          <w:rFonts w:cs="Times New Roman"/>
          <w:szCs w:val="24"/>
        </w:rPr>
        <w:t>hours from the approved burden ceiling</w:t>
      </w:r>
      <w:r w:rsidR="004D4A8B">
        <w:rPr>
          <w:rFonts w:cs="Times New Roman"/>
          <w:szCs w:val="24"/>
        </w:rPr>
        <w:t>.</w:t>
      </w:r>
      <w:r w:rsidRPr="00A91470">
        <w:rPr>
          <w:rFonts w:cs="Times New Roman"/>
          <w:szCs w:val="24"/>
        </w:rPr>
        <w:t xml:space="preserve"> </w:t>
      </w:r>
    </w:p>
    <w:p w:rsidRPr="00C3049E" w:rsidR="00C3049E" w:rsidP="00E90E12" w:rsidRDefault="00C3049E" w14:paraId="5BCCD9E2" w14:textId="38D0A4D6">
      <w:pPr>
        <w:spacing w:after="0"/>
      </w:pPr>
    </w:p>
    <w:p w:rsidRPr="00A91470" w:rsidR="007D6E75" w:rsidP="00E90E12" w:rsidRDefault="007D6E75" w14:paraId="376E1487" w14:textId="77777777">
      <w:pPr>
        <w:pStyle w:val="Heading1"/>
        <w:numPr>
          <w:ilvl w:val="0"/>
          <w:numId w:val="0"/>
        </w:numPr>
        <w:ind w:left="360" w:hanging="360"/>
      </w:pPr>
      <w:r w:rsidRPr="00A91470">
        <w:t>E. Timeline</w:t>
      </w:r>
    </w:p>
    <w:p w:rsidR="003248D0" w:rsidP="008111D2" w:rsidRDefault="003248D0" w14:paraId="15164687" w14:textId="77777777">
      <w:pPr>
        <w:spacing w:after="0" w:line="240" w:lineRule="auto"/>
        <w:rPr>
          <w:rFonts w:cs="Times New Roman"/>
          <w:szCs w:val="24"/>
        </w:rPr>
      </w:pPr>
    </w:p>
    <w:p w:rsidR="00AF3937" w:rsidP="00AF3937" w:rsidRDefault="00AF3937" w14:paraId="0D673306" w14:textId="0FFFF4DE">
      <w:r w:rsidRPr="00A57998">
        <w:t xml:space="preserve">The following table </w:t>
      </w:r>
      <w:r>
        <w:t xml:space="preserve">provides an </w:t>
      </w:r>
      <w:r w:rsidRPr="00A57998">
        <w:t>overview</w:t>
      </w:r>
      <w:r>
        <w:t xml:space="preserve"> of</w:t>
      </w:r>
      <w:r w:rsidRPr="00A57998">
        <w:t xml:space="preserve"> the project schedule</w:t>
      </w:r>
      <w:r>
        <w:t>, including data collection and analysis.</w:t>
      </w:r>
    </w:p>
    <w:p w:rsidRPr="00AF3937" w:rsidR="00AF3937" w:rsidP="00AF3937" w:rsidRDefault="00AF3937" w14:paraId="6961AB1C" w14:textId="07192AD7">
      <w:pPr>
        <w:keepNext/>
        <w:jc w:val="center"/>
        <w:rPr>
          <w:color w:val="000000"/>
        </w:rPr>
      </w:pPr>
      <w:r>
        <w:rPr>
          <w:b/>
          <w:bCs/>
          <w:color w:val="000000"/>
        </w:rPr>
        <w:t>Table 2. Proposed Project Timeline</w:t>
      </w:r>
    </w:p>
    <w:tbl>
      <w:tblPr>
        <w:tblStyle w:val="TableGrid1"/>
        <w:tblW w:w="0" w:type="auto"/>
        <w:jc w:val="center"/>
        <w:tblLook w:val="04A0" w:firstRow="1" w:lastRow="0" w:firstColumn="1" w:lastColumn="0" w:noHBand="0" w:noVBand="1"/>
      </w:tblPr>
      <w:tblGrid>
        <w:gridCol w:w="1843"/>
        <w:gridCol w:w="645"/>
        <w:gridCol w:w="469"/>
        <w:gridCol w:w="497"/>
        <w:gridCol w:w="457"/>
      </w:tblGrid>
      <w:tr w:rsidRPr="00A57998" w:rsidR="00C3049E" w:rsidTr="00C3049E" w14:paraId="12373B67" w14:textId="77777777">
        <w:trPr>
          <w:jc w:val="center"/>
        </w:trPr>
        <w:tc>
          <w:tcPr>
            <w:tcW w:w="1843" w:type="dxa"/>
          </w:tcPr>
          <w:p w:rsidRPr="00B04A34" w:rsidR="00C3049E" w:rsidP="00C019DA" w:rsidRDefault="00C3049E" w14:paraId="75824093" w14:textId="77777777">
            <w:pPr>
              <w:autoSpaceDE w:val="0"/>
              <w:autoSpaceDN w:val="0"/>
              <w:adjustRightInd w:val="0"/>
              <w:rPr>
                <w:b/>
              </w:rPr>
            </w:pPr>
          </w:p>
        </w:tc>
        <w:tc>
          <w:tcPr>
            <w:tcW w:w="2068" w:type="dxa"/>
            <w:gridSpan w:val="4"/>
          </w:tcPr>
          <w:p w:rsidR="00C3049E" w:rsidP="00C019DA" w:rsidRDefault="00C3049E" w14:paraId="36925A0D" w14:textId="77777777">
            <w:pPr>
              <w:autoSpaceDE w:val="0"/>
              <w:autoSpaceDN w:val="0"/>
              <w:adjustRightInd w:val="0"/>
              <w:jc w:val="center"/>
              <w:rPr>
                <w:bCs/>
              </w:rPr>
            </w:pPr>
            <w:r w:rsidRPr="00B04A34">
              <w:rPr>
                <w:b/>
              </w:rPr>
              <w:t xml:space="preserve">Project </w:t>
            </w:r>
            <w:r>
              <w:rPr>
                <w:b/>
              </w:rPr>
              <w:t>Week</w:t>
            </w:r>
          </w:p>
        </w:tc>
      </w:tr>
      <w:tr w:rsidRPr="00A57998" w:rsidR="00C3049E" w:rsidTr="00A57E7A" w14:paraId="34FBE7A3" w14:textId="77777777">
        <w:trPr>
          <w:jc w:val="center"/>
        </w:trPr>
        <w:tc>
          <w:tcPr>
            <w:tcW w:w="1843" w:type="dxa"/>
          </w:tcPr>
          <w:p w:rsidRPr="00B04A34" w:rsidR="00C3049E" w:rsidP="00C019DA" w:rsidRDefault="00C3049E" w14:paraId="74A622EA" w14:textId="77777777">
            <w:pPr>
              <w:autoSpaceDE w:val="0"/>
              <w:autoSpaceDN w:val="0"/>
              <w:adjustRightInd w:val="0"/>
              <w:rPr>
                <w:b/>
              </w:rPr>
            </w:pPr>
            <w:r w:rsidRPr="00B04A34">
              <w:rPr>
                <w:b/>
              </w:rPr>
              <w:t xml:space="preserve">Tasks </w:t>
            </w:r>
          </w:p>
        </w:tc>
        <w:tc>
          <w:tcPr>
            <w:tcW w:w="645" w:type="dxa"/>
          </w:tcPr>
          <w:p w:rsidRPr="00B04A34" w:rsidR="00C3049E" w:rsidP="00C019DA" w:rsidRDefault="00C3049E" w14:paraId="3588573C" w14:textId="77777777">
            <w:pPr>
              <w:autoSpaceDE w:val="0"/>
              <w:autoSpaceDN w:val="0"/>
              <w:adjustRightInd w:val="0"/>
              <w:jc w:val="center"/>
              <w:rPr>
                <w:bCs/>
              </w:rPr>
            </w:pPr>
            <w:r w:rsidRPr="00B04A34">
              <w:rPr>
                <w:bCs/>
              </w:rPr>
              <w:t>1</w:t>
            </w:r>
          </w:p>
        </w:tc>
        <w:tc>
          <w:tcPr>
            <w:tcW w:w="469" w:type="dxa"/>
          </w:tcPr>
          <w:p w:rsidRPr="00B04A34" w:rsidR="00C3049E" w:rsidP="00C019DA" w:rsidRDefault="00C3049E" w14:paraId="4A8771F6" w14:textId="77777777">
            <w:pPr>
              <w:autoSpaceDE w:val="0"/>
              <w:autoSpaceDN w:val="0"/>
              <w:adjustRightInd w:val="0"/>
              <w:jc w:val="center"/>
              <w:rPr>
                <w:bCs/>
              </w:rPr>
            </w:pPr>
            <w:r w:rsidRPr="00B04A34">
              <w:rPr>
                <w:bCs/>
              </w:rPr>
              <w:t>2</w:t>
            </w:r>
          </w:p>
        </w:tc>
        <w:tc>
          <w:tcPr>
            <w:tcW w:w="497" w:type="dxa"/>
          </w:tcPr>
          <w:p w:rsidRPr="00B04A34" w:rsidR="00C3049E" w:rsidP="00C019DA" w:rsidRDefault="00C3049E" w14:paraId="492BCA0D" w14:textId="77777777">
            <w:pPr>
              <w:autoSpaceDE w:val="0"/>
              <w:autoSpaceDN w:val="0"/>
              <w:adjustRightInd w:val="0"/>
              <w:jc w:val="center"/>
              <w:rPr>
                <w:bCs/>
              </w:rPr>
            </w:pPr>
            <w:r w:rsidRPr="00B04A34">
              <w:rPr>
                <w:bCs/>
              </w:rPr>
              <w:t>3</w:t>
            </w:r>
          </w:p>
        </w:tc>
        <w:tc>
          <w:tcPr>
            <w:tcW w:w="457" w:type="dxa"/>
          </w:tcPr>
          <w:p w:rsidRPr="00B04A34" w:rsidR="00C3049E" w:rsidP="00C019DA" w:rsidRDefault="00C3049E" w14:paraId="2FF32CD7" w14:textId="77777777">
            <w:pPr>
              <w:autoSpaceDE w:val="0"/>
              <w:autoSpaceDN w:val="0"/>
              <w:adjustRightInd w:val="0"/>
              <w:jc w:val="center"/>
              <w:rPr>
                <w:bCs/>
              </w:rPr>
            </w:pPr>
            <w:r w:rsidRPr="00B04A34">
              <w:rPr>
                <w:bCs/>
              </w:rPr>
              <w:t>4</w:t>
            </w:r>
          </w:p>
        </w:tc>
      </w:tr>
      <w:tr w:rsidRPr="00A57998" w:rsidR="00C3049E" w:rsidTr="00A57E7A" w14:paraId="307CEF70" w14:textId="77777777">
        <w:trPr>
          <w:jc w:val="center"/>
        </w:trPr>
        <w:tc>
          <w:tcPr>
            <w:tcW w:w="1843" w:type="dxa"/>
          </w:tcPr>
          <w:p w:rsidRPr="00A57998" w:rsidR="00C3049E" w:rsidP="00021529" w:rsidRDefault="00C3049E" w14:paraId="3EF2320E" w14:textId="211D8A2F">
            <w:pPr>
              <w:autoSpaceDE w:val="0"/>
              <w:autoSpaceDN w:val="0"/>
              <w:adjustRightInd w:val="0"/>
            </w:pPr>
            <w:r w:rsidRPr="00A57998">
              <w:t xml:space="preserve">OMB </w:t>
            </w:r>
            <w:r>
              <w:t>a</w:t>
            </w:r>
            <w:r w:rsidRPr="00A57998">
              <w:t>pproval</w:t>
            </w:r>
          </w:p>
        </w:tc>
        <w:tc>
          <w:tcPr>
            <w:tcW w:w="645" w:type="dxa"/>
            <w:shd w:val="clear" w:color="auto" w:fill="BFBFBF" w:themeFill="background1" w:themeFillShade="BF"/>
          </w:tcPr>
          <w:p w:rsidRPr="00A57998" w:rsidR="00C3049E" w:rsidP="00021529" w:rsidRDefault="00C3049E" w14:paraId="2F642FDE" w14:textId="744D113E">
            <w:pPr>
              <w:autoSpaceDE w:val="0"/>
              <w:autoSpaceDN w:val="0"/>
              <w:adjustRightInd w:val="0"/>
              <w:jc w:val="center"/>
            </w:pPr>
            <w:r w:rsidRPr="00912A87">
              <w:t>X</w:t>
            </w:r>
          </w:p>
        </w:tc>
        <w:tc>
          <w:tcPr>
            <w:tcW w:w="469" w:type="dxa"/>
          </w:tcPr>
          <w:p w:rsidRPr="00A57998" w:rsidR="00C3049E" w:rsidP="00021529" w:rsidRDefault="00C3049E" w14:paraId="318D25F3" w14:textId="77777777">
            <w:pPr>
              <w:autoSpaceDE w:val="0"/>
              <w:autoSpaceDN w:val="0"/>
              <w:adjustRightInd w:val="0"/>
              <w:jc w:val="center"/>
            </w:pPr>
          </w:p>
        </w:tc>
        <w:tc>
          <w:tcPr>
            <w:tcW w:w="497" w:type="dxa"/>
          </w:tcPr>
          <w:p w:rsidRPr="00A57998" w:rsidR="00C3049E" w:rsidP="00021529" w:rsidRDefault="00C3049E" w14:paraId="0EF5AE00" w14:textId="77777777">
            <w:pPr>
              <w:autoSpaceDE w:val="0"/>
              <w:autoSpaceDN w:val="0"/>
              <w:adjustRightInd w:val="0"/>
              <w:jc w:val="center"/>
            </w:pPr>
          </w:p>
        </w:tc>
        <w:tc>
          <w:tcPr>
            <w:tcW w:w="457" w:type="dxa"/>
            <w:tcBorders>
              <w:bottom w:val="single" w:color="auto" w:sz="4" w:space="0"/>
            </w:tcBorders>
          </w:tcPr>
          <w:p w:rsidRPr="00A57998" w:rsidR="00C3049E" w:rsidP="00021529" w:rsidRDefault="00C3049E" w14:paraId="0220FDDC" w14:textId="77777777">
            <w:pPr>
              <w:autoSpaceDE w:val="0"/>
              <w:autoSpaceDN w:val="0"/>
              <w:adjustRightInd w:val="0"/>
              <w:jc w:val="center"/>
            </w:pPr>
          </w:p>
        </w:tc>
      </w:tr>
      <w:tr w:rsidRPr="00A57998" w:rsidR="00C3049E" w:rsidTr="00A57E7A" w14:paraId="69A24B14" w14:textId="77777777">
        <w:trPr>
          <w:jc w:val="center"/>
        </w:trPr>
        <w:tc>
          <w:tcPr>
            <w:tcW w:w="1843" w:type="dxa"/>
          </w:tcPr>
          <w:p w:rsidRPr="00A57998" w:rsidR="00C3049E" w:rsidP="00021529" w:rsidRDefault="00C3049E" w14:paraId="43FA75FA" w14:textId="77777777">
            <w:pPr>
              <w:autoSpaceDE w:val="0"/>
              <w:autoSpaceDN w:val="0"/>
              <w:adjustRightInd w:val="0"/>
            </w:pPr>
            <w:r>
              <w:t>Conduct</w:t>
            </w:r>
            <w:r w:rsidRPr="00A57998">
              <w:t xml:space="preserve"> </w:t>
            </w:r>
            <w:r>
              <w:t>s</w:t>
            </w:r>
            <w:r w:rsidRPr="00A57998">
              <w:t>urvey</w:t>
            </w:r>
          </w:p>
        </w:tc>
        <w:tc>
          <w:tcPr>
            <w:tcW w:w="645" w:type="dxa"/>
            <w:shd w:val="clear" w:color="auto" w:fill="auto"/>
          </w:tcPr>
          <w:p w:rsidRPr="00912A87" w:rsidR="00C3049E" w:rsidP="00021529" w:rsidRDefault="00C3049E" w14:paraId="069EFA38" w14:textId="4B9B6990">
            <w:pPr>
              <w:autoSpaceDE w:val="0"/>
              <w:autoSpaceDN w:val="0"/>
              <w:adjustRightInd w:val="0"/>
              <w:jc w:val="center"/>
            </w:pPr>
          </w:p>
        </w:tc>
        <w:tc>
          <w:tcPr>
            <w:tcW w:w="469" w:type="dxa"/>
            <w:shd w:val="clear" w:color="auto" w:fill="BFBFBF" w:themeFill="background1" w:themeFillShade="BF"/>
          </w:tcPr>
          <w:p w:rsidRPr="00912A87" w:rsidR="00C3049E" w:rsidP="00021529" w:rsidRDefault="00C3049E" w14:paraId="1BF1E088" w14:textId="77777777">
            <w:pPr>
              <w:autoSpaceDE w:val="0"/>
              <w:autoSpaceDN w:val="0"/>
              <w:adjustRightInd w:val="0"/>
              <w:jc w:val="center"/>
            </w:pPr>
            <w:r w:rsidRPr="00912A87">
              <w:t>X</w:t>
            </w:r>
          </w:p>
        </w:tc>
        <w:tc>
          <w:tcPr>
            <w:tcW w:w="497" w:type="dxa"/>
            <w:shd w:val="clear" w:color="auto" w:fill="BFBFBF" w:themeFill="background1" w:themeFillShade="BF"/>
          </w:tcPr>
          <w:p w:rsidRPr="00912A87" w:rsidR="00C3049E" w:rsidP="00021529" w:rsidRDefault="00C3049E" w14:paraId="293F7F00" w14:textId="77777777">
            <w:pPr>
              <w:autoSpaceDE w:val="0"/>
              <w:autoSpaceDN w:val="0"/>
              <w:adjustRightInd w:val="0"/>
              <w:jc w:val="center"/>
            </w:pPr>
            <w:r w:rsidRPr="00912A87">
              <w:t>X</w:t>
            </w:r>
          </w:p>
        </w:tc>
        <w:tc>
          <w:tcPr>
            <w:tcW w:w="457" w:type="dxa"/>
            <w:tcBorders>
              <w:bottom w:val="single" w:color="auto" w:sz="4" w:space="0"/>
            </w:tcBorders>
            <w:shd w:val="clear" w:color="auto" w:fill="auto"/>
          </w:tcPr>
          <w:p w:rsidRPr="00912A87" w:rsidR="00C3049E" w:rsidP="00021529" w:rsidRDefault="00C3049E" w14:paraId="03F7E252" w14:textId="7BD148CD">
            <w:pPr>
              <w:autoSpaceDE w:val="0"/>
              <w:autoSpaceDN w:val="0"/>
              <w:adjustRightInd w:val="0"/>
              <w:jc w:val="center"/>
            </w:pPr>
          </w:p>
        </w:tc>
      </w:tr>
      <w:tr w:rsidRPr="00A57998" w:rsidR="00C3049E" w:rsidTr="00A57E7A" w14:paraId="0D14C70D" w14:textId="77777777">
        <w:trPr>
          <w:jc w:val="center"/>
        </w:trPr>
        <w:tc>
          <w:tcPr>
            <w:tcW w:w="1843" w:type="dxa"/>
          </w:tcPr>
          <w:p w:rsidRPr="00A57998" w:rsidR="00C3049E" w:rsidP="00021529" w:rsidRDefault="00C3049E" w14:paraId="12271B41" w14:textId="5BFCC878">
            <w:pPr>
              <w:autoSpaceDE w:val="0"/>
              <w:autoSpaceDN w:val="0"/>
              <w:adjustRightInd w:val="0"/>
            </w:pPr>
            <w:r>
              <w:t>Describe Results</w:t>
            </w:r>
          </w:p>
        </w:tc>
        <w:tc>
          <w:tcPr>
            <w:tcW w:w="645" w:type="dxa"/>
            <w:shd w:val="clear" w:color="auto" w:fill="FFFFFF" w:themeFill="background1"/>
          </w:tcPr>
          <w:p w:rsidRPr="00A57998" w:rsidR="00C3049E" w:rsidP="00021529" w:rsidRDefault="00C3049E" w14:paraId="0E04C87C" w14:textId="77777777">
            <w:pPr>
              <w:autoSpaceDE w:val="0"/>
              <w:autoSpaceDN w:val="0"/>
              <w:adjustRightInd w:val="0"/>
              <w:jc w:val="center"/>
            </w:pPr>
          </w:p>
        </w:tc>
        <w:tc>
          <w:tcPr>
            <w:tcW w:w="469" w:type="dxa"/>
          </w:tcPr>
          <w:p w:rsidRPr="00A57998" w:rsidR="00C3049E" w:rsidP="00021529" w:rsidRDefault="00C3049E" w14:paraId="688BF4A5" w14:textId="77777777">
            <w:pPr>
              <w:autoSpaceDE w:val="0"/>
              <w:autoSpaceDN w:val="0"/>
              <w:adjustRightInd w:val="0"/>
              <w:jc w:val="center"/>
            </w:pPr>
          </w:p>
        </w:tc>
        <w:tc>
          <w:tcPr>
            <w:tcW w:w="497" w:type="dxa"/>
            <w:shd w:val="clear" w:color="auto" w:fill="auto"/>
          </w:tcPr>
          <w:p w:rsidRPr="00A57998" w:rsidR="00C3049E" w:rsidP="00021529" w:rsidRDefault="00C3049E" w14:paraId="5C353ABD" w14:textId="77777777">
            <w:pPr>
              <w:autoSpaceDE w:val="0"/>
              <w:autoSpaceDN w:val="0"/>
              <w:adjustRightInd w:val="0"/>
              <w:jc w:val="center"/>
            </w:pPr>
          </w:p>
        </w:tc>
        <w:tc>
          <w:tcPr>
            <w:tcW w:w="457" w:type="dxa"/>
            <w:shd w:val="clear" w:color="auto" w:fill="BFBFBF" w:themeFill="background1" w:themeFillShade="BF"/>
          </w:tcPr>
          <w:p w:rsidRPr="00A57998" w:rsidR="00C3049E" w:rsidP="00021529" w:rsidRDefault="00C3049E" w14:paraId="011B5043" w14:textId="0E3A2D33">
            <w:pPr>
              <w:autoSpaceDE w:val="0"/>
              <w:autoSpaceDN w:val="0"/>
              <w:adjustRightInd w:val="0"/>
              <w:jc w:val="center"/>
            </w:pPr>
            <w:r w:rsidRPr="00A57998">
              <w:t>X</w:t>
            </w:r>
          </w:p>
        </w:tc>
      </w:tr>
    </w:tbl>
    <w:p w:rsidR="00AF3937" w:rsidP="00AF3937" w:rsidRDefault="00AF3937" w14:paraId="3AFAB4B2" w14:textId="77777777">
      <w:pPr>
        <w:spacing w:after="0" w:line="240" w:lineRule="auto"/>
        <w:rPr>
          <w:rFonts w:cs="Times New Roman"/>
          <w:szCs w:val="24"/>
        </w:rPr>
      </w:pPr>
    </w:p>
    <w:p w:rsidRPr="00A91470" w:rsidR="008111D2" w:rsidP="008111D2" w:rsidRDefault="008111D2" w14:paraId="1539D91C" w14:textId="77777777">
      <w:pPr>
        <w:spacing w:after="0" w:line="240" w:lineRule="auto"/>
        <w:rPr>
          <w:rFonts w:cs="Times New Roman"/>
          <w:szCs w:val="24"/>
        </w:rPr>
      </w:pPr>
    </w:p>
    <w:p w:rsidR="004D4A8B" w:rsidP="00335313" w:rsidRDefault="004D4A8B" w14:paraId="674AC656" w14:textId="77777777">
      <w:pPr>
        <w:spacing w:after="0" w:line="240" w:lineRule="auto"/>
        <w:rPr>
          <w:rFonts w:cs="Times New Roman"/>
          <w:szCs w:val="24"/>
        </w:rPr>
      </w:pPr>
    </w:p>
    <w:p w:rsidR="00467E98" w:rsidP="00335313" w:rsidRDefault="00467E98" w14:paraId="3AA7AFCD" w14:textId="1DBDFA0E">
      <w:pPr>
        <w:spacing w:after="0" w:line="240" w:lineRule="auto"/>
        <w:rPr>
          <w:rFonts w:cs="Times New Roman"/>
          <w:szCs w:val="24"/>
        </w:rPr>
      </w:pPr>
      <w:r w:rsidRPr="00A91470">
        <w:rPr>
          <w:rFonts w:cs="Times New Roman"/>
          <w:szCs w:val="24"/>
        </w:rPr>
        <w:t>The following attachment</w:t>
      </w:r>
      <w:r w:rsidR="00262FAA">
        <w:rPr>
          <w:rFonts w:cs="Times New Roman"/>
          <w:szCs w:val="24"/>
        </w:rPr>
        <w:t xml:space="preserve">s are </w:t>
      </w:r>
      <w:r w:rsidRPr="00A91470">
        <w:rPr>
          <w:rFonts w:cs="Times New Roman"/>
          <w:szCs w:val="24"/>
        </w:rPr>
        <w:t>provided for this information collection:</w:t>
      </w:r>
    </w:p>
    <w:p w:rsidR="004D4A8B" w:rsidP="00262FAA" w:rsidRDefault="00262FAA" w14:paraId="4E102E27" w14:textId="7EC5C782">
      <w:pPr>
        <w:spacing w:after="0" w:line="240" w:lineRule="auto"/>
        <w:rPr>
          <w:rFonts w:cs="Times New Roman"/>
          <w:szCs w:val="24"/>
        </w:rPr>
      </w:pPr>
      <w:r>
        <w:rPr>
          <w:rFonts w:cs="Times New Roman"/>
          <w:szCs w:val="24"/>
        </w:rPr>
        <w:t xml:space="preserve">a. </w:t>
      </w:r>
      <w:r w:rsidRPr="00262FAA">
        <w:rPr>
          <w:rFonts w:cs="Times New Roman"/>
          <w:szCs w:val="24"/>
        </w:rPr>
        <w:t>Survey of Plan Staff</w:t>
      </w:r>
    </w:p>
    <w:p w:rsidRPr="00A91470" w:rsidR="00262FAA" w:rsidP="00262FAA" w:rsidRDefault="00262FAA" w14:paraId="0483B340" w14:textId="667E626C">
      <w:pPr>
        <w:spacing w:after="0" w:line="240" w:lineRule="auto"/>
        <w:rPr>
          <w:rFonts w:cs="Times New Roman"/>
          <w:szCs w:val="24"/>
        </w:rPr>
      </w:pPr>
      <w:r>
        <w:rPr>
          <w:rFonts w:cs="Times New Roman"/>
          <w:szCs w:val="24"/>
        </w:rPr>
        <w:t>b. Email invitations for Survey of Plan Staff</w:t>
      </w:r>
    </w:p>
    <w:sectPr w:rsidRPr="00A91470" w:rsidR="00262FAA"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EC9A2" w14:textId="77777777" w:rsidR="00BB2D59" w:rsidRDefault="00BB2D59" w:rsidP="008111D2">
      <w:pPr>
        <w:spacing w:after="0" w:line="240" w:lineRule="auto"/>
      </w:pPr>
      <w:r>
        <w:separator/>
      </w:r>
    </w:p>
  </w:endnote>
  <w:endnote w:type="continuationSeparator" w:id="0">
    <w:p w14:paraId="52242DAF" w14:textId="77777777" w:rsidR="00BB2D59" w:rsidRDefault="00BB2D59"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0986313"/>
      <w:docPartObj>
        <w:docPartGallery w:val="Page Numbers (Bottom of Page)"/>
        <w:docPartUnique/>
      </w:docPartObj>
    </w:sdtPr>
    <w:sdtEndPr/>
    <w:sdtContent>
      <w:sdt>
        <w:sdtPr>
          <w:id w:val="1728636285"/>
          <w:docPartObj>
            <w:docPartGallery w:val="Page Numbers (Top of Page)"/>
            <w:docPartUnique/>
          </w:docPartObj>
        </w:sdtPr>
        <w:sdtEndPr/>
        <w:sdtContent>
          <w:p w14:paraId="7D952C0C" w14:textId="7BB66597" w:rsidR="005724D3" w:rsidRDefault="005724D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0264D">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0264D">
              <w:rPr>
                <w:b/>
                <w:bCs/>
                <w:noProof/>
              </w:rPr>
              <w:t>5</w:t>
            </w:r>
            <w:r>
              <w:rPr>
                <w:b/>
                <w:bCs/>
                <w:szCs w:val="24"/>
              </w:rPr>
              <w:fldChar w:fldCharType="end"/>
            </w:r>
          </w:p>
        </w:sdtContent>
      </w:sdt>
    </w:sdtContent>
  </w:sdt>
  <w:p w14:paraId="1CB75C1A" w14:textId="77777777" w:rsidR="008510BE" w:rsidRDefault="0085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EAB60" w14:textId="77777777" w:rsidR="00BB2D59" w:rsidRDefault="00BB2D59" w:rsidP="008111D2">
      <w:pPr>
        <w:spacing w:after="0" w:line="240" w:lineRule="auto"/>
      </w:pPr>
      <w:r>
        <w:separator/>
      </w:r>
    </w:p>
  </w:footnote>
  <w:footnote w:type="continuationSeparator" w:id="0">
    <w:p w14:paraId="633BA353" w14:textId="77777777" w:rsidR="00BB2D59" w:rsidRDefault="00BB2D59" w:rsidP="008111D2">
      <w:pPr>
        <w:spacing w:after="0" w:line="240" w:lineRule="auto"/>
      </w:pPr>
      <w:r>
        <w:continuationSeparator/>
      </w:r>
    </w:p>
  </w:footnote>
  <w:footnote w:id="1">
    <w:p w14:paraId="1565FC99" w14:textId="77777777" w:rsidR="00B40827" w:rsidRPr="00FC57F9" w:rsidRDefault="00B40827" w:rsidP="00B40827">
      <w:pPr>
        <w:pStyle w:val="FootnoteText"/>
      </w:pPr>
      <w:r w:rsidRPr="00FC57F9">
        <w:rPr>
          <w:rStyle w:val="FootnoteReference"/>
        </w:rPr>
        <w:footnoteRef/>
      </w:r>
      <w:r w:rsidRPr="00AF6635">
        <w:rPr>
          <w:lang w:val="da-DK"/>
        </w:rPr>
        <w:t xml:space="preserve">  Parast L., M. Mathews, et al. </w:t>
      </w:r>
      <w:r w:rsidRPr="00FC57F9">
        <w:t xml:space="preserve">(2019). Effects of Push-to-Web Mixed Mode Approaches on Survey Response Rates: Evidence from a Randomized Experiment in Emergency Departments. </w:t>
      </w:r>
      <w:r w:rsidRPr="003170A4">
        <w:rPr>
          <w:i/>
          <w:iCs/>
        </w:rPr>
        <w:t>Survey Practice</w:t>
      </w:r>
      <w:r>
        <w:rPr>
          <w:i/>
          <w:iCs/>
        </w:rPr>
        <w:t>,</w:t>
      </w:r>
      <w:r w:rsidRPr="00FC57F9">
        <w:t xml:space="preserve"> 12(2). </w:t>
      </w:r>
      <w:hyperlink r:id="rId1" w:tgtFrame="_blank" w:history="1">
        <w:r w:rsidRPr="00FC57F9">
          <w:rPr>
            <w:rStyle w:val="Hyperlink"/>
            <w:shd w:val="clear" w:color="auto" w:fill="FFFFFF"/>
          </w:rPr>
          <w:t>https://doi.org/10.29115/SP-2019-0008</w:t>
        </w:r>
      </w:hyperlink>
      <w:r w:rsidRPr="00FC57F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E0DBF"/>
    <w:multiLevelType w:val="hybridMultilevel"/>
    <w:tmpl w:val="3224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41F4A"/>
    <w:multiLevelType w:val="hybridMultilevel"/>
    <w:tmpl w:val="B58E9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87B96"/>
    <w:multiLevelType w:val="hybridMultilevel"/>
    <w:tmpl w:val="F300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975F4"/>
    <w:multiLevelType w:val="hybridMultilevel"/>
    <w:tmpl w:val="922E6448"/>
    <w:lvl w:ilvl="0" w:tplc="A6907A40">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8"/>
  </w:num>
  <w:num w:numId="3">
    <w:abstractNumId w:val="9"/>
  </w:num>
  <w:num w:numId="4">
    <w:abstractNumId w:val="12"/>
  </w:num>
  <w:num w:numId="5">
    <w:abstractNumId w:val="4"/>
  </w:num>
  <w:num w:numId="6">
    <w:abstractNumId w:val="6"/>
  </w:num>
  <w:num w:numId="7">
    <w:abstractNumId w:val="7"/>
  </w:num>
  <w:num w:numId="8">
    <w:abstractNumId w:val="10"/>
  </w:num>
  <w:num w:numId="9">
    <w:abstractNumId w:val="0"/>
  </w:num>
  <w:num w:numId="10">
    <w:abstractNumId w:val="13"/>
  </w:num>
  <w:num w:numId="11">
    <w:abstractNumId w:val="3"/>
  </w:num>
  <w:num w:numId="12">
    <w:abstractNumId w:val="14"/>
  </w:num>
  <w:num w:numId="13">
    <w:abstractNumId w:val="5"/>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11FEE"/>
    <w:rsid w:val="00017159"/>
    <w:rsid w:val="00021529"/>
    <w:rsid w:val="00037189"/>
    <w:rsid w:val="00043D0E"/>
    <w:rsid w:val="000712B4"/>
    <w:rsid w:val="0009620E"/>
    <w:rsid w:val="000D1CFD"/>
    <w:rsid w:val="000E55DA"/>
    <w:rsid w:val="00111672"/>
    <w:rsid w:val="0012137A"/>
    <w:rsid w:val="00122C0E"/>
    <w:rsid w:val="0016468E"/>
    <w:rsid w:val="001727D0"/>
    <w:rsid w:val="00175A39"/>
    <w:rsid w:val="00177350"/>
    <w:rsid w:val="00185CB4"/>
    <w:rsid w:val="001A1FC6"/>
    <w:rsid w:val="001D197A"/>
    <w:rsid w:val="001E1FA0"/>
    <w:rsid w:val="001E66B6"/>
    <w:rsid w:val="001F017A"/>
    <w:rsid w:val="001F2628"/>
    <w:rsid w:val="0020026D"/>
    <w:rsid w:val="00222B4F"/>
    <w:rsid w:val="00252D20"/>
    <w:rsid w:val="00262B47"/>
    <w:rsid w:val="00262FAA"/>
    <w:rsid w:val="00270765"/>
    <w:rsid w:val="0027114C"/>
    <w:rsid w:val="002E19D2"/>
    <w:rsid w:val="003248D0"/>
    <w:rsid w:val="00325F87"/>
    <w:rsid w:val="00335313"/>
    <w:rsid w:val="003627C8"/>
    <w:rsid w:val="00383E66"/>
    <w:rsid w:val="003918B4"/>
    <w:rsid w:val="00395D13"/>
    <w:rsid w:val="003C46C8"/>
    <w:rsid w:val="003F4D04"/>
    <w:rsid w:val="00405CF9"/>
    <w:rsid w:val="004177CB"/>
    <w:rsid w:val="00432C17"/>
    <w:rsid w:val="00465B2D"/>
    <w:rsid w:val="00467E98"/>
    <w:rsid w:val="00474257"/>
    <w:rsid w:val="00475EF8"/>
    <w:rsid w:val="00483058"/>
    <w:rsid w:val="0048633B"/>
    <w:rsid w:val="004A0A30"/>
    <w:rsid w:val="004B13E8"/>
    <w:rsid w:val="004C3B35"/>
    <w:rsid w:val="004D08CA"/>
    <w:rsid w:val="004D4A8B"/>
    <w:rsid w:val="0050264D"/>
    <w:rsid w:val="0052333E"/>
    <w:rsid w:val="005724D3"/>
    <w:rsid w:val="00572D43"/>
    <w:rsid w:val="00595BDF"/>
    <w:rsid w:val="00597229"/>
    <w:rsid w:val="005B6A37"/>
    <w:rsid w:val="005C580D"/>
    <w:rsid w:val="005D001F"/>
    <w:rsid w:val="005E3B79"/>
    <w:rsid w:val="005E52BE"/>
    <w:rsid w:val="006026DA"/>
    <w:rsid w:val="0061207C"/>
    <w:rsid w:val="006156D8"/>
    <w:rsid w:val="00622C1B"/>
    <w:rsid w:val="00647812"/>
    <w:rsid w:val="00685368"/>
    <w:rsid w:val="00696F86"/>
    <w:rsid w:val="006A0288"/>
    <w:rsid w:val="006C0B96"/>
    <w:rsid w:val="006C4626"/>
    <w:rsid w:val="006D0C5C"/>
    <w:rsid w:val="006F4FF9"/>
    <w:rsid w:val="00706AC2"/>
    <w:rsid w:val="00707666"/>
    <w:rsid w:val="0071650B"/>
    <w:rsid w:val="00716824"/>
    <w:rsid w:val="00723A9E"/>
    <w:rsid w:val="007265F3"/>
    <w:rsid w:val="007A7B05"/>
    <w:rsid w:val="007D0F6C"/>
    <w:rsid w:val="007D6E75"/>
    <w:rsid w:val="007E271D"/>
    <w:rsid w:val="007F1711"/>
    <w:rsid w:val="00802598"/>
    <w:rsid w:val="008111D2"/>
    <w:rsid w:val="00836E8F"/>
    <w:rsid w:val="008510BE"/>
    <w:rsid w:val="00873459"/>
    <w:rsid w:val="0088756F"/>
    <w:rsid w:val="008C11BC"/>
    <w:rsid w:val="008C65C3"/>
    <w:rsid w:val="008D0968"/>
    <w:rsid w:val="008D52D1"/>
    <w:rsid w:val="008E6143"/>
    <w:rsid w:val="008F2AED"/>
    <w:rsid w:val="009004E1"/>
    <w:rsid w:val="009167D6"/>
    <w:rsid w:val="0095297C"/>
    <w:rsid w:val="0095638B"/>
    <w:rsid w:val="00975BC5"/>
    <w:rsid w:val="009903AB"/>
    <w:rsid w:val="009B19E8"/>
    <w:rsid w:val="009C2F36"/>
    <w:rsid w:val="009C68A4"/>
    <w:rsid w:val="009E3FAC"/>
    <w:rsid w:val="00A138F7"/>
    <w:rsid w:val="00A2478B"/>
    <w:rsid w:val="00A57E7A"/>
    <w:rsid w:val="00A702E7"/>
    <w:rsid w:val="00A718B4"/>
    <w:rsid w:val="00A91470"/>
    <w:rsid w:val="00AA37EC"/>
    <w:rsid w:val="00AB01BC"/>
    <w:rsid w:val="00AB0FAE"/>
    <w:rsid w:val="00AB6203"/>
    <w:rsid w:val="00AE1BD8"/>
    <w:rsid w:val="00AF3937"/>
    <w:rsid w:val="00AF6635"/>
    <w:rsid w:val="00B151B4"/>
    <w:rsid w:val="00B26D9A"/>
    <w:rsid w:val="00B40827"/>
    <w:rsid w:val="00B43BBD"/>
    <w:rsid w:val="00B532F3"/>
    <w:rsid w:val="00B54241"/>
    <w:rsid w:val="00B87957"/>
    <w:rsid w:val="00BA5D33"/>
    <w:rsid w:val="00BA6353"/>
    <w:rsid w:val="00BB2D59"/>
    <w:rsid w:val="00BB4FCA"/>
    <w:rsid w:val="00BD32FA"/>
    <w:rsid w:val="00C0603D"/>
    <w:rsid w:val="00C2142E"/>
    <w:rsid w:val="00C3049E"/>
    <w:rsid w:val="00C65CB0"/>
    <w:rsid w:val="00C75DFB"/>
    <w:rsid w:val="00C83FE6"/>
    <w:rsid w:val="00C94C5E"/>
    <w:rsid w:val="00C94D5A"/>
    <w:rsid w:val="00C95C96"/>
    <w:rsid w:val="00CB241F"/>
    <w:rsid w:val="00CB24A3"/>
    <w:rsid w:val="00CB646D"/>
    <w:rsid w:val="00CB7D33"/>
    <w:rsid w:val="00CC4863"/>
    <w:rsid w:val="00CF6C1D"/>
    <w:rsid w:val="00D12ABB"/>
    <w:rsid w:val="00D14E2F"/>
    <w:rsid w:val="00D215B4"/>
    <w:rsid w:val="00D42E31"/>
    <w:rsid w:val="00D46C38"/>
    <w:rsid w:val="00D4736A"/>
    <w:rsid w:val="00D87858"/>
    <w:rsid w:val="00D87C80"/>
    <w:rsid w:val="00DD794C"/>
    <w:rsid w:val="00DE69F6"/>
    <w:rsid w:val="00DF098E"/>
    <w:rsid w:val="00E83C3E"/>
    <w:rsid w:val="00E8511D"/>
    <w:rsid w:val="00E90E12"/>
    <w:rsid w:val="00E93F3F"/>
    <w:rsid w:val="00EA4AB1"/>
    <w:rsid w:val="00EB1115"/>
    <w:rsid w:val="00ED5F04"/>
    <w:rsid w:val="00EE1AD1"/>
    <w:rsid w:val="00EF3A74"/>
    <w:rsid w:val="00F01D40"/>
    <w:rsid w:val="00F04F6D"/>
    <w:rsid w:val="00F124DF"/>
    <w:rsid w:val="00F303E4"/>
    <w:rsid w:val="00F54374"/>
    <w:rsid w:val="00F904BF"/>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ABDC1"/>
  <w15:docId w15:val="{42A02DA6-F2C0-4D17-81B7-D067BF47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50264D"/>
    <w:pPr>
      <w:keepNext/>
      <w:keepLines/>
      <w:numPr>
        <w:numId w:val="12"/>
      </w:numPr>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64D"/>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paragraph" w:styleId="BodyText">
    <w:name w:val="Body Text"/>
    <w:basedOn w:val="Normal"/>
    <w:link w:val="BodyTextChar"/>
    <w:uiPriority w:val="1"/>
    <w:qFormat/>
    <w:rsid w:val="004D4A8B"/>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4D4A8B"/>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F3937"/>
    <w:pPr>
      <w:spacing w:after="0" w:line="240" w:lineRule="auto"/>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5D3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73620">
      <w:bodyDiv w:val="1"/>
      <w:marLeft w:val="0"/>
      <w:marRight w:val="0"/>
      <w:marTop w:val="0"/>
      <w:marBottom w:val="0"/>
      <w:divBdr>
        <w:top w:val="none" w:sz="0" w:space="0" w:color="auto"/>
        <w:left w:val="none" w:sz="0" w:space="0" w:color="auto"/>
        <w:bottom w:val="none" w:sz="0" w:space="0" w:color="auto"/>
        <w:right w:val="none" w:sz="0" w:space="0" w:color="auto"/>
      </w:divBdr>
    </w:div>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100808594">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356805560">
      <w:bodyDiv w:val="1"/>
      <w:marLeft w:val="0"/>
      <w:marRight w:val="0"/>
      <w:marTop w:val="0"/>
      <w:marBottom w:val="0"/>
      <w:divBdr>
        <w:top w:val="none" w:sz="0" w:space="0" w:color="auto"/>
        <w:left w:val="none" w:sz="0" w:space="0" w:color="auto"/>
        <w:bottom w:val="none" w:sz="0" w:space="0" w:color="auto"/>
        <w:right w:val="none" w:sz="0" w:space="0" w:color="auto"/>
      </w:divBdr>
    </w:div>
    <w:div w:id="147980540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29115/SP-2019-0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Schlang, Danielle</cp:lastModifiedBy>
  <cp:revision>2</cp:revision>
  <cp:lastPrinted>2014-06-27T18:10:00Z</cp:lastPrinted>
  <dcterms:created xsi:type="dcterms:W3CDTF">2021-03-09T21:43:00Z</dcterms:created>
  <dcterms:modified xsi:type="dcterms:W3CDTF">2021-03-09T21:43:00Z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