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91470" w:rsidR="007D6E75" w:rsidP="008111D2" w:rsidRDefault="007D6E75" w14:paraId="2202353B" w14:textId="77777777">
      <w:pPr>
        <w:spacing w:after="0" w:line="240" w:lineRule="auto"/>
        <w:jc w:val="center"/>
        <w:rPr>
          <w:rFonts w:cs="Times New Roman"/>
          <w:szCs w:val="24"/>
        </w:rPr>
      </w:pPr>
      <w:bookmarkStart w:name="_GoBack" w:id="0"/>
      <w:bookmarkEnd w:id="0"/>
      <w:r w:rsidRPr="00A91470">
        <w:rPr>
          <w:rFonts w:cs="Times New Roman"/>
          <w:szCs w:val="24"/>
        </w:rPr>
        <w:t>Application to Use Burden/Hours from Generic PRA Clearance:</w:t>
      </w:r>
    </w:p>
    <w:p w:rsidR="00706AC2" w:rsidP="008111D2" w:rsidRDefault="00706AC2" w14:paraId="49C0D979" w14:textId="77777777">
      <w:pPr>
        <w:spacing w:after="0" w:line="240" w:lineRule="auto"/>
        <w:jc w:val="center"/>
        <w:rPr>
          <w:rFonts w:cs="Times New Roman"/>
          <w:szCs w:val="24"/>
        </w:rPr>
      </w:pPr>
      <w:r w:rsidRPr="00706AC2">
        <w:rPr>
          <w:rFonts w:cs="Times New Roman"/>
          <w:szCs w:val="24"/>
        </w:rPr>
        <w:t xml:space="preserve">Testing of Web Survey Design and Administration for CMS Experience of Care Surveys </w:t>
      </w:r>
    </w:p>
    <w:p w:rsidRPr="00A91470" w:rsidR="00DF098E" w:rsidP="008111D2" w:rsidRDefault="007D6E75" w14:paraId="0663C3EA" w14:textId="77777777">
      <w:pPr>
        <w:spacing w:after="0" w:line="240" w:lineRule="auto"/>
        <w:jc w:val="center"/>
        <w:rPr>
          <w:rFonts w:cs="Times New Roman"/>
          <w:szCs w:val="24"/>
        </w:rPr>
      </w:pPr>
      <w:r w:rsidRPr="00A91470">
        <w:rPr>
          <w:rFonts w:cs="Times New Roman"/>
          <w:szCs w:val="24"/>
        </w:rPr>
        <w:t>(CMS-</w:t>
      </w:r>
      <w:r w:rsidRPr="00706AC2" w:rsidR="00706AC2">
        <w:rPr>
          <w:rFonts w:cs="Times New Roman"/>
          <w:szCs w:val="24"/>
        </w:rPr>
        <w:t>10694</w:t>
      </w:r>
      <w:r w:rsidRPr="00A91470">
        <w:rPr>
          <w:rFonts w:cs="Times New Roman"/>
          <w:szCs w:val="24"/>
        </w:rPr>
        <w:t>, OMB 0938-1</w:t>
      </w:r>
      <w:r w:rsidR="00706AC2">
        <w:rPr>
          <w:rFonts w:cs="Times New Roman"/>
          <w:szCs w:val="24"/>
        </w:rPr>
        <w:t>370</w:t>
      </w:r>
      <w:r w:rsidRPr="00A91470">
        <w:rPr>
          <w:rFonts w:cs="Times New Roman"/>
          <w:szCs w:val="24"/>
        </w:rPr>
        <w:t>)</w:t>
      </w:r>
    </w:p>
    <w:p w:rsidRPr="00A91470" w:rsidR="007D6E75" w:rsidP="008111D2" w:rsidRDefault="007D6E75" w14:paraId="3C5F8A07" w14:textId="77777777">
      <w:pPr>
        <w:spacing w:after="0" w:line="240" w:lineRule="auto"/>
        <w:jc w:val="center"/>
        <w:rPr>
          <w:rFonts w:cs="Times New Roman"/>
          <w:szCs w:val="24"/>
        </w:rPr>
      </w:pPr>
    </w:p>
    <w:p w:rsidRPr="00A91470" w:rsidR="009E3FAC" w:rsidP="00A91470" w:rsidRDefault="00A91470" w14:paraId="383EF3DA" w14:textId="28601CC0">
      <w:pPr>
        <w:jc w:val="center"/>
        <w:rPr>
          <w:rFonts w:cs="Times New Roman"/>
          <w:szCs w:val="24"/>
        </w:rPr>
      </w:pPr>
      <w:r w:rsidRPr="00A91470">
        <w:rPr>
          <w:rFonts w:cs="Times New Roman"/>
          <w:b/>
          <w:szCs w:val="24"/>
        </w:rPr>
        <w:t xml:space="preserve">Generic </w:t>
      </w:r>
      <w:r w:rsidRPr="00A91470" w:rsidR="00CB646D">
        <w:rPr>
          <w:rFonts w:cs="Times New Roman"/>
          <w:b/>
          <w:szCs w:val="24"/>
        </w:rPr>
        <w:t>Information Collection</w:t>
      </w:r>
      <w:r w:rsidRPr="00A91470">
        <w:rPr>
          <w:rFonts w:cs="Times New Roman"/>
          <w:b/>
          <w:szCs w:val="24"/>
        </w:rPr>
        <w:t xml:space="preserve"> (</w:t>
      </w:r>
      <w:proofErr w:type="spellStart"/>
      <w:r w:rsidRPr="00A91470">
        <w:rPr>
          <w:rFonts w:cs="Times New Roman"/>
          <w:b/>
          <w:szCs w:val="24"/>
        </w:rPr>
        <w:t>GenIC</w:t>
      </w:r>
      <w:proofErr w:type="spellEnd"/>
      <w:r w:rsidRPr="00A91470">
        <w:rPr>
          <w:rFonts w:cs="Times New Roman"/>
          <w:b/>
          <w:szCs w:val="24"/>
        </w:rPr>
        <w:t>)</w:t>
      </w:r>
      <w:r w:rsidRPr="00A91470" w:rsidR="00CB646D">
        <w:rPr>
          <w:rFonts w:cs="Times New Roman"/>
          <w:b/>
          <w:szCs w:val="24"/>
        </w:rPr>
        <w:t xml:space="preserve"> </w:t>
      </w:r>
      <w:r w:rsidRPr="00264A5F" w:rsidR="00FE644A">
        <w:rPr>
          <w:rFonts w:cs="Times New Roman"/>
          <w:b/>
          <w:szCs w:val="24"/>
        </w:rPr>
        <w:t>#</w:t>
      </w:r>
      <w:r w:rsidR="00B6076F">
        <w:rPr>
          <w:rFonts w:cs="Times New Roman"/>
          <w:b/>
          <w:szCs w:val="24"/>
        </w:rPr>
        <w:t>1</w:t>
      </w:r>
      <w:r w:rsidRPr="00264A5F">
        <w:rPr>
          <w:rFonts w:cs="Times New Roman"/>
          <w:b/>
          <w:szCs w:val="24"/>
        </w:rPr>
        <w:t xml:space="preserve">: </w:t>
      </w:r>
      <w:r w:rsidR="004C3B35">
        <w:rPr>
          <w:rFonts w:cs="Times New Roman"/>
          <w:b/>
          <w:szCs w:val="24"/>
        </w:rPr>
        <w:t>Consumer Assessment of Healthcare Providers and Systems (CAHPS®) Hospice Survey Mode Experiment</w:t>
      </w:r>
    </w:p>
    <w:p w:rsidRPr="00A91470" w:rsidR="007D6E75" w:rsidP="008111D2" w:rsidRDefault="007D6E75" w14:paraId="621DCCB5" w14:textId="77777777">
      <w:pPr>
        <w:spacing w:after="0" w:line="240" w:lineRule="auto"/>
        <w:jc w:val="center"/>
        <w:rPr>
          <w:rFonts w:cs="Times New Roman"/>
          <w:b/>
          <w:szCs w:val="24"/>
        </w:rPr>
      </w:pPr>
    </w:p>
    <w:p w:rsidRPr="00A91470" w:rsidR="007D6E75" w:rsidP="008111D2" w:rsidRDefault="007D6E75" w14:paraId="2C4325C7" w14:textId="77777777">
      <w:pPr>
        <w:spacing w:after="0" w:line="240" w:lineRule="auto"/>
        <w:jc w:val="center"/>
        <w:rPr>
          <w:rFonts w:cs="Times New Roman"/>
          <w:szCs w:val="24"/>
        </w:rPr>
      </w:pPr>
    </w:p>
    <w:p w:rsidRPr="00A91470" w:rsidR="007D6E75" w:rsidP="008111D2" w:rsidRDefault="007D6E75" w14:paraId="270D1DF5" w14:textId="77777777">
      <w:pPr>
        <w:spacing w:after="0" w:line="240" w:lineRule="auto"/>
        <w:jc w:val="center"/>
        <w:rPr>
          <w:rFonts w:cs="Times New Roman"/>
          <w:szCs w:val="24"/>
        </w:rPr>
      </w:pPr>
    </w:p>
    <w:p w:rsidRPr="00A91470" w:rsidR="007D6E75" w:rsidP="008111D2" w:rsidRDefault="007D6E75" w14:paraId="3D43119A" w14:textId="77777777">
      <w:pPr>
        <w:spacing w:after="0" w:line="240" w:lineRule="auto"/>
        <w:jc w:val="center"/>
        <w:rPr>
          <w:rFonts w:cs="Times New Roman"/>
          <w:szCs w:val="24"/>
        </w:rPr>
      </w:pPr>
    </w:p>
    <w:p w:rsidRPr="00A91470" w:rsidR="007D6E75" w:rsidP="008111D2" w:rsidRDefault="00706AC2" w14:paraId="5107135E" w14:textId="77777777">
      <w:pPr>
        <w:spacing w:after="0" w:line="240" w:lineRule="auto"/>
        <w:jc w:val="center"/>
        <w:rPr>
          <w:rFonts w:cs="Times New Roman"/>
          <w:szCs w:val="24"/>
        </w:rPr>
      </w:pPr>
      <w:r>
        <w:rPr>
          <w:rFonts w:cs="Times New Roman"/>
          <w:szCs w:val="24"/>
        </w:rPr>
        <w:t>Center for Medicare</w:t>
      </w:r>
      <w:r w:rsidR="00A702E7">
        <w:rPr>
          <w:rFonts w:cs="Times New Roman"/>
          <w:szCs w:val="24"/>
        </w:rPr>
        <w:t xml:space="preserve"> </w:t>
      </w:r>
      <w:r w:rsidRPr="00A91470" w:rsidR="007D6E75">
        <w:rPr>
          <w:rFonts w:cs="Times New Roman"/>
          <w:szCs w:val="24"/>
        </w:rPr>
        <w:t>(</w:t>
      </w:r>
      <w:r>
        <w:rPr>
          <w:rFonts w:cs="Times New Roman"/>
          <w:szCs w:val="24"/>
        </w:rPr>
        <w:t>CM</w:t>
      </w:r>
      <w:r w:rsidRPr="00A91470" w:rsidR="007D6E75">
        <w:rPr>
          <w:rFonts w:cs="Times New Roman"/>
          <w:szCs w:val="24"/>
        </w:rPr>
        <w:t>)</w:t>
      </w:r>
    </w:p>
    <w:p w:rsidRPr="00A91470" w:rsidR="007D6E75" w:rsidP="008111D2" w:rsidRDefault="007D6E75" w14:paraId="177ECF7F" w14:textId="77777777">
      <w:pPr>
        <w:spacing w:after="0" w:line="240" w:lineRule="auto"/>
        <w:jc w:val="center"/>
        <w:rPr>
          <w:rFonts w:cs="Times New Roman"/>
          <w:szCs w:val="24"/>
        </w:rPr>
      </w:pPr>
      <w:r w:rsidRPr="00A91470">
        <w:rPr>
          <w:rFonts w:cs="Times New Roman"/>
          <w:szCs w:val="24"/>
        </w:rPr>
        <w:t>Centers for Medicare &amp; Medicaid Services (CMS)</w:t>
      </w:r>
    </w:p>
    <w:p w:rsidRPr="00A91470" w:rsidR="007D6E75" w:rsidP="008111D2" w:rsidRDefault="007D6E75" w14:paraId="76EB0683" w14:textId="77777777">
      <w:pPr>
        <w:spacing w:after="0" w:line="240" w:lineRule="auto"/>
        <w:rPr>
          <w:rFonts w:cs="Times New Roman"/>
          <w:szCs w:val="24"/>
        </w:rPr>
        <w:sectPr w:rsidRPr="00A91470" w:rsidR="007D6E75" w:rsidSect="007D6E75">
          <w:pgSz w:w="12240" w:h="15840" w:code="1"/>
          <w:pgMar w:top="1440" w:right="1440" w:bottom="1440" w:left="1440" w:header="720" w:footer="720" w:gutter="0"/>
          <w:cols w:space="720"/>
          <w:vAlign w:val="center"/>
          <w:docGrid w:linePitch="360"/>
        </w:sectPr>
      </w:pPr>
    </w:p>
    <w:p w:rsidR="007D6E75" w:rsidP="004D4A8B" w:rsidRDefault="007D6E75" w14:paraId="3165C574" w14:textId="77777777">
      <w:pPr>
        <w:pStyle w:val="Heading1"/>
        <w:numPr>
          <w:ilvl w:val="0"/>
          <w:numId w:val="12"/>
        </w:numPr>
        <w:rPr>
          <w:rFonts w:cs="Times New Roman"/>
          <w:szCs w:val="24"/>
        </w:rPr>
      </w:pPr>
      <w:r w:rsidRPr="00A91470">
        <w:rPr>
          <w:rFonts w:cs="Times New Roman"/>
          <w:szCs w:val="24"/>
        </w:rPr>
        <w:lastRenderedPageBreak/>
        <w:t>Background</w:t>
      </w:r>
    </w:p>
    <w:p w:rsidR="00B21C30" w:rsidP="00B21C30" w:rsidRDefault="00B21C30" w14:paraId="05C4FF10" w14:textId="77777777">
      <w:pPr>
        <w:tabs>
          <w:tab w:val="left" w:pos="360"/>
          <w:tab w:val="left" w:pos="720"/>
          <w:tab w:val="left" w:pos="1080"/>
          <w:tab w:val="left" w:pos="1440"/>
        </w:tabs>
        <w:spacing w:after="0"/>
      </w:pPr>
    </w:p>
    <w:p w:rsidR="008510BE" w:rsidP="008510BE" w:rsidRDefault="008510BE" w14:paraId="46F51079" w14:textId="7B1C3FB5">
      <w:pPr>
        <w:tabs>
          <w:tab w:val="left" w:pos="360"/>
          <w:tab w:val="left" w:pos="720"/>
          <w:tab w:val="left" w:pos="1080"/>
          <w:tab w:val="left" w:pos="1440"/>
        </w:tabs>
      </w:pPr>
      <w:r>
        <w:t>The CAHPS</w:t>
      </w:r>
      <w:r w:rsidRPr="00EA4C90">
        <w:rPr>
          <w:vertAlign w:val="superscript"/>
        </w:rPr>
        <w:t>®</w:t>
      </w:r>
      <w:r>
        <w:t xml:space="preserve"> Hospice Survey assesses experiences of hospice care. It is administered to the primary caregivers (i.e., bereaved family members or close friends) of </w:t>
      </w:r>
      <w:r w:rsidRPr="00815356">
        <w:t>patients who died while receiving hospice care</w:t>
      </w:r>
      <w:r>
        <w:t xml:space="preserve"> (“decedents”)</w:t>
      </w:r>
      <w:r w:rsidRPr="00815356">
        <w:t>.</w:t>
      </w:r>
      <w:r>
        <w:t xml:space="preserve">  The </w:t>
      </w:r>
      <w:r w:rsidRPr="004D4A8B">
        <w:t>Centers for Medicare &amp; Medicaid Services (CMS)</w:t>
      </w:r>
      <w:r w:rsidRPr="00BC3907">
        <w:t xml:space="preserve"> launched the development of the</w:t>
      </w:r>
      <w:r>
        <w:t xml:space="preserve"> survey in 2012 to:  </w:t>
      </w:r>
    </w:p>
    <w:p w:rsidR="008510BE" w:rsidP="008510BE" w:rsidRDefault="008510BE" w14:paraId="4285D7B6" w14:textId="77777777">
      <w:pPr>
        <w:numPr>
          <w:ilvl w:val="0"/>
          <w:numId w:val="13"/>
        </w:numPr>
        <w:tabs>
          <w:tab w:val="left" w:pos="360"/>
          <w:tab w:val="left" w:pos="720"/>
          <w:tab w:val="left" w:pos="1080"/>
          <w:tab w:val="left" w:pos="1440"/>
        </w:tabs>
        <w:spacing w:after="0" w:line="240" w:lineRule="auto"/>
      </w:pPr>
      <w:r>
        <w:t>Pr</w:t>
      </w:r>
      <w:r w:rsidRPr="00BC3907">
        <w:t>ovide a source of information from which selected measures could be publicly reported to beneficiaries and their family members as a decision aid for selection of a hospice program;</w:t>
      </w:r>
      <w:r>
        <w:t xml:space="preserve"> </w:t>
      </w:r>
    </w:p>
    <w:p w:rsidR="008510BE" w:rsidP="008510BE" w:rsidRDefault="008510BE" w14:paraId="23B12E38" w14:textId="77777777">
      <w:pPr>
        <w:numPr>
          <w:ilvl w:val="0"/>
          <w:numId w:val="13"/>
        </w:numPr>
        <w:tabs>
          <w:tab w:val="left" w:pos="360"/>
          <w:tab w:val="left" w:pos="720"/>
          <w:tab w:val="left" w:pos="1080"/>
          <w:tab w:val="left" w:pos="1440"/>
        </w:tabs>
        <w:spacing w:after="0" w:line="240" w:lineRule="auto"/>
      </w:pPr>
      <w:r>
        <w:t>A</w:t>
      </w:r>
      <w:r w:rsidRPr="00BC3907">
        <w:t>id hospices with their internal quality improvement efforts and external benchmarking with other facilities; and</w:t>
      </w:r>
      <w:r>
        <w:t xml:space="preserve"> </w:t>
      </w:r>
    </w:p>
    <w:p w:rsidR="008510BE" w:rsidP="008510BE" w:rsidRDefault="008510BE" w14:paraId="5F46F0A9" w14:textId="77777777">
      <w:pPr>
        <w:numPr>
          <w:ilvl w:val="0"/>
          <w:numId w:val="13"/>
        </w:numPr>
        <w:tabs>
          <w:tab w:val="left" w:pos="360"/>
          <w:tab w:val="left" w:pos="720"/>
          <w:tab w:val="left" w:pos="1080"/>
          <w:tab w:val="left" w:pos="1440"/>
        </w:tabs>
        <w:spacing w:after="0" w:line="240" w:lineRule="auto"/>
      </w:pPr>
      <w:r>
        <w:t>P</w:t>
      </w:r>
      <w:r w:rsidRPr="00BC3907">
        <w:t>rovide CMS with information for monitoring the care provided.</w:t>
      </w:r>
    </w:p>
    <w:p w:rsidR="008510BE" w:rsidP="008510BE" w:rsidRDefault="008510BE" w14:paraId="61F487EA" w14:textId="77777777">
      <w:pPr>
        <w:tabs>
          <w:tab w:val="left" w:pos="360"/>
          <w:tab w:val="left" w:pos="720"/>
          <w:tab w:val="left" w:pos="1080"/>
          <w:tab w:val="left" w:pos="1440"/>
        </w:tabs>
      </w:pPr>
      <w:r w:rsidRPr="00BC3907">
        <w:t xml:space="preserve">CMS announced </w:t>
      </w:r>
      <w:r>
        <w:t>its</w:t>
      </w:r>
      <w:r w:rsidRPr="00BC3907">
        <w:t xml:space="preserve"> intent</w:t>
      </w:r>
      <w:r>
        <w:t>ion to implement the CAHPS</w:t>
      </w:r>
      <w:r w:rsidRPr="00EA4C90">
        <w:rPr>
          <w:vertAlign w:val="superscript"/>
        </w:rPr>
        <w:t>®</w:t>
      </w:r>
      <w:r>
        <w:t xml:space="preserve"> Hospice Survey</w:t>
      </w:r>
      <w:r w:rsidRPr="00BC3907">
        <w:t xml:space="preserve"> in the FY 2014 Hospice Wage Index and Payment Rate Update; Hospice Quality Reporting Requirements</w:t>
      </w:r>
      <w:r>
        <w:t>; and Updates on Payment Reform</w:t>
      </w:r>
      <w:r w:rsidRPr="00BC3907">
        <w:t xml:space="preserve">.  </w:t>
      </w:r>
      <w:r>
        <w:t xml:space="preserve">National </w:t>
      </w:r>
      <w:r w:rsidRPr="002434A2">
        <w:t>implementation</w:t>
      </w:r>
      <w:r>
        <w:t xml:space="preserve"> of the survey launched on</w:t>
      </w:r>
      <w:r w:rsidRPr="002434A2">
        <w:t xml:space="preserve"> January 1, 2015 with </w:t>
      </w:r>
      <w:r>
        <w:t xml:space="preserve">hospices administering the survey for </w:t>
      </w:r>
      <w:r w:rsidRPr="002434A2">
        <w:t xml:space="preserve">a </w:t>
      </w:r>
      <w:r>
        <w:t>“</w:t>
      </w:r>
      <w:r w:rsidRPr="002434A2">
        <w:t>dry run</w:t>
      </w:r>
      <w:r>
        <w:t>”</w:t>
      </w:r>
      <w:r w:rsidRPr="002434A2">
        <w:t xml:space="preserve"> for at least one month in the first quarter of </w:t>
      </w:r>
      <w:r>
        <w:t>2015.  Since April 1, 2015,</w:t>
      </w:r>
      <w:r w:rsidRPr="002434A2">
        <w:t xml:space="preserve"> hospices </w:t>
      </w:r>
      <w:r>
        <w:t xml:space="preserve">have been </w:t>
      </w:r>
      <w:r w:rsidRPr="002434A2">
        <w:t xml:space="preserve">required to participate on a monthly basis in order to receive the full Annual Payment Update (APU). </w:t>
      </w:r>
      <w:r>
        <w:t xml:space="preserve">Public reporting of the results on a CMS website started in 2018.  </w:t>
      </w:r>
    </w:p>
    <w:p w:rsidR="00494897" w:rsidP="008510BE" w:rsidRDefault="008510BE" w14:paraId="5724483E" w14:textId="16189A6F">
      <w:pPr>
        <w:spacing w:after="0"/>
      </w:pPr>
      <w:r>
        <w:t>Implementation is ongoing</w:t>
      </w:r>
      <w:r w:rsidR="00494897">
        <w:t>. T</w:t>
      </w:r>
      <w:r>
        <w:t xml:space="preserve">o date, there have been no changes to the questionnaire and only minor changes to survey administration procedures. However, in recent years, CMS has received feedback from hospice stakeholders requesting </w:t>
      </w:r>
      <w:r w:rsidR="00494897">
        <w:t xml:space="preserve">(1) the option to administer the survey using a web mode as an alternative to the existing approved modes of mail only, telephone only, and mixed mode (mail with telephone follow-up); and (2) that CMS </w:t>
      </w:r>
      <w:r w:rsidR="00AB6203">
        <w:t>shorten</w:t>
      </w:r>
      <w:r>
        <w:t xml:space="preserve"> the survey instrument. </w:t>
      </w:r>
      <w:r w:rsidR="00494897">
        <w:t>Both suggestions are aimed at improving the survey’s response rate.</w:t>
      </w:r>
    </w:p>
    <w:p w:rsidR="00494897" w:rsidP="00C71F86" w:rsidRDefault="00494897" w14:paraId="28AC5740" w14:textId="77777777">
      <w:pPr>
        <w:spacing w:after="0"/>
        <w:jc w:val="center"/>
      </w:pPr>
    </w:p>
    <w:p w:rsidR="008510BE" w:rsidP="008510BE" w:rsidRDefault="00797D86" w14:paraId="7D0EFEFC" w14:textId="6D9E2F3A">
      <w:pPr>
        <w:spacing w:after="0"/>
      </w:pPr>
      <w:r>
        <w:t>The a</w:t>
      </w:r>
      <w:r w:rsidR="00C71F86">
        <w:t xml:space="preserve">ddition of a web-based mode has the potential to improve response rates, particularly among the </w:t>
      </w:r>
      <w:r w:rsidR="00264A5F">
        <w:t>caregivers</w:t>
      </w:r>
      <w:r w:rsidR="00C71F86">
        <w:t xml:space="preserve"> </w:t>
      </w:r>
      <w:r w:rsidR="00264A5F">
        <w:t>who</w:t>
      </w:r>
      <w:r w:rsidR="00C71F86">
        <w:t xml:space="preserve"> have the lowest response rates to the CAHPS Hospice Survey: t</w:t>
      </w:r>
      <w:r w:rsidR="00494897">
        <w:t xml:space="preserve">he </w:t>
      </w:r>
      <w:r w:rsidR="00264A5F">
        <w:t>response</w:t>
      </w:r>
      <w:r w:rsidR="00C71F86">
        <w:t xml:space="preserve"> rate </w:t>
      </w:r>
      <w:r w:rsidR="00E9488F">
        <w:t xml:space="preserve">among </w:t>
      </w:r>
      <w:r w:rsidR="00264A5F">
        <w:t>children</w:t>
      </w:r>
      <w:r w:rsidR="00E9488F">
        <w:t xml:space="preserve"> </w:t>
      </w:r>
      <w:r w:rsidR="003422CA">
        <w:t xml:space="preserve">of </w:t>
      </w:r>
      <w:r w:rsidR="00264A5F">
        <w:t xml:space="preserve">hospice </w:t>
      </w:r>
      <w:r w:rsidR="003422CA">
        <w:t xml:space="preserve">decedents </w:t>
      </w:r>
      <w:r w:rsidR="00264A5F">
        <w:t>is only 29 percent, compared to a response rate of 44 percent among spouses of decedents, who are likely to be older</w:t>
      </w:r>
      <w:r w:rsidR="00E9488F">
        <w:t>.</w:t>
      </w:r>
      <w:r w:rsidR="00E9488F">
        <w:rPr>
          <w:rStyle w:val="FootnoteReference"/>
        </w:rPr>
        <w:footnoteReference w:id="1"/>
      </w:r>
      <w:r w:rsidR="00E9488F">
        <w:t xml:space="preserve"> </w:t>
      </w:r>
      <w:r w:rsidR="00494897">
        <w:t xml:space="preserve"> </w:t>
      </w:r>
      <w:r w:rsidR="00C71F86">
        <w:t>I</w:t>
      </w:r>
      <w:r w:rsidR="008510BE">
        <w:t xml:space="preserve">n the emergency department setting, </w:t>
      </w:r>
      <w:r w:rsidR="00E53CFD">
        <w:t>research has shown</w:t>
      </w:r>
      <w:r w:rsidR="008510BE">
        <w:t xml:space="preserve"> that a higher survey response rate could be achieved by using a web survey as the initial invitation to the survey, followed by </w:t>
      </w:r>
      <w:r w:rsidR="00264A5F">
        <w:t>mail and telephone, as compared to mail and telephone without web invitation,</w:t>
      </w:r>
      <w:r w:rsidR="00264A5F">
        <w:rPr>
          <w:rStyle w:val="FootnoteReference"/>
        </w:rPr>
        <w:footnoteReference w:id="2"/>
      </w:r>
      <w:r w:rsidR="00264A5F">
        <w:t xml:space="preserve"> and that characteristics (e.g., age) of </w:t>
      </w:r>
      <w:proofErr w:type="gramStart"/>
      <w:r w:rsidR="00264A5F">
        <w:lastRenderedPageBreak/>
        <w:t>telephone</w:t>
      </w:r>
      <w:proofErr w:type="gramEnd"/>
      <w:r w:rsidR="00264A5F">
        <w:t xml:space="preserve"> and web respondents were more representative of the sampled population than mail respondents.</w:t>
      </w:r>
      <w:r w:rsidR="008510BE">
        <w:rPr>
          <w:rStyle w:val="FootnoteReference"/>
        </w:rPr>
        <w:footnoteReference w:id="3"/>
      </w:r>
    </w:p>
    <w:p w:rsidR="008510BE" w:rsidP="008510BE" w:rsidRDefault="008510BE" w14:paraId="435907BA" w14:textId="77777777">
      <w:pPr>
        <w:spacing w:after="0"/>
      </w:pPr>
    </w:p>
    <w:p w:rsidR="008510BE" w:rsidP="008510BE" w:rsidRDefault="008510BE" w14:paraId="498A3FEA" w14:textId="52F4E5A2">
      <w:pPr>
        <w:spacing w:after="0"/>
      </w:pPr>
      <w:r w:rsidRPr="008510BE">
        <w:t xml:space="preserve">CMS proposes to conduct a mode experiment </w:t>
      </w:r>
      <w:r w:rsidR="00C71F86">
        <w:t>with</w:t>
      </w:r>
      <w:r w:rsidRPr="008510BE">
        <w:t xml:space="preserve"> </w:t>
      </w:r>
      <w:r w:rsidR="00C71F86">
        <w:t xml:space="preserve">the goal of testing the effects </w:t>
      </w:r>
      <w:r w:rsidR="00931A4F">
        <w:t>of adding a web-based mode to the CAHPS Hospice Survey.  We will examine the impact of a web-based mode on survey response rates and scores. The survey currently has three approved modes without any web component (mail, telephone and mail with telephone follow-up.)</w:t>
      </w:r>
      <w:r w:rsidR="00C71F86">
        <w:t>. In addition, the test will allow for</w:t>
      </w:r>
      <w:r w:rsidRPr="008510BE">
        <w:t xml:space="preserve"> examin</w:t>
      </w:r>
      <w:r w:rsidR="00C71F86">
        <w:t>ation of</w:t>
      </w:r>
      <w:r w:rsidRPr="008510BE">
        <w:t xml:space="preserve"> </w:t>
      </w:r>
      <w:r w:rsidR="00511CA8">
        <w:t>the effects of a shortened survey (i.e., removing existing survey items)</w:t>
      </w:r>
      <w:r w:rsidRPr="00B21C30" w:rsidR="00B21C30">
        <w:t xml:space="preserve"> </w:t>
      </w:r>
      <w:r w:rsidR="00B21C30">
        <w:t>on response rate and scores; assessment of</w:t>
      </w:r>
      <w:r w:rsidR="00511CA8">
        <w:t xml:space="preserve"> </w:t>
      </w:r>
      <w:r w:rsidRPr="008510BE">
        <w:t xml:space="preserve">the measure properties of a limited number of </w:t>
      </w:r>
      <w:r w:rsidR="00AB6203">
        <w:t>supplemental</w:t>
      </w:r>
      <w:r w:rsidRPr="008510BE">
        <w:t xml:space="preserve"> survey items</w:t>
      </w:r>
      <w:r w:rsidR="00C71F86">
        <w:t xml:space="preserve"> suggested by stakeholders</w:t>
      </w:r>
      <w:r w:rsidR="00B21C30">
        <w:t>;</w:t>
      </w:r>
      <w:r w:rsidR="00C71F86">
        <w:t xml:space="preserve"> </w:t>
      </w:r>
      <w:r w:rsidR="00B21C30">
        <w:t xml:space="preserve">and </w:t>
      </w:r>
      <w:r w:rsidRPr="008510BE">
        <w:t xml:space="preserve">calculation of item-level mode adjustments for the </w:t>
      </w:r>
      <w:r w:rsidR="00E0024E">
        <w:t>shorten</w:t>
      </w:r>
      <w:r w:rsidRPr="008510BE" w:rsidR="00E0024E">
        <w:t xml:space="preserve">ed </w:t>
      </w:r>
      <w:r w:rsidRPr="008510BE">
        <w:t xml:space="preserve">survey in the currently-approved modes of CAHPS Hospice Survey </w:t>
      </w:r>
      <w:r w:rsidR="00B21C30">
        <w:t>administrat</w:t>
      </w:r>
      <w:r w:rsidRPr="008510BE">
        <w:t>ion</w:t>
      </w:r>
      <w:r>
        <w:t>, as well as the proposed new web-based mode</w:t>
      </w:r>
      <w:r w:rsidRPr="008510BE">
        <w:t>.</w:t>
      </w:r>
    </w:p>
    <w:p w:rsidR="009B19E8" w:rsidP="00F54374" w:rsidRDefault="009B19E8" w14:paraId="66BBF6E0" w14:textId="77777777">
      <w:pPr>
        <w:pStyle w:val="Heading1"/>
        <w:rPr>
          <w:rFonts w:cs="Times New Roman"/>
          <w:szCs w:val="24"/>
        </w:rPr>
      </w:pPr>
    </w:p>
    <w:p w:rsidR="007D6E75" w:rsidP="00F54374" w:rsidRDefault="007D6E75" w14:paraId="53FACD7C" w14:textId="77777777">
      <w:pPr>
        <w:pStyle w:val="Heading1"/>
        <w:rPr>
          <w:rFonts w:cs="Times New Roman"/>
          <w:szCs w:val="24"/>
        </w:rPr>
      </w:pPr>
      <w:r w:rsidRPr="00A91470">
        <w:rPr>
          <w:rFonts w:cs="Times New Roman"/>
          <w:szCs w:val="24"/>
        </w:rPr>
        <w:t>B. Description of Information Collection</w:t>
      </w:r>
    </w:p>
    <w:p w:rsidR="004D4A8B" w:rsidP="004D4A8B" w:rsidRDefault="004D4A8B" w14:paraId="57A9ED48" w14:textId="77777777">
      <w:pPr>
        <w:pStyle w:val="BodyText"/>
        <w:spacing w:before="1"/>
        <w:ind w:right="189"/>
        <w:rPr>
          <w:highlight w:val="yellow"/>
        </w:rPr>
      </w:pPr>
    </w:p>
    <w:p w:rsidRPr="00AB6203" w:rsidR="004D4A8B" w:rsidP="004D4A8B" w:rsidRDefault="0000717F" w14:paraId="2D00B7D4" w14:textId="4EFB2705">
      <w:pPr>
        <w:pStyle w:val="BodyText"/>
        <w:spacing w:before="1"/>
        <w:ind w:right="189"/>
        <w:rPr>
          <w:highlight w:val="yellow"/>
        </w:rPr>
      </w:pPr>
      <w:r>
        <w:t xml:space="preserve">We are requesting clearance under the </w:t>
      </w:r>
      <w:r w:rsidRPr="00706AC2">
        <w:t>Testing of Web Survey Design and Administration for CMS Experience of Care Surveys</w:t>
      </w:r>
      <w:r>
        <w:t xml:space="preserve"> generic clearance package which supports an array of research activities to support the decisions about whether and how to add the web administration to CMS patient experience of care surveys. This request focuses on the CAHPS Hospice Survey.</w:t>
      </w:r>
    </w:p>
    <w:p w:rsidRPr="00AB6203" w:rsidR="004D4A8B" w:rsidP="004D4A8B" w:rsidRDefault="004D4A8B" w14:paraId="0F98FD3C" w14:textId="77777777">
      <w:pPr>
        <w:pStyle w:val="BodyText"/>
        <w:rPr>
          <w:highlight w:val="yellow"/>
        </w:rPr>
      </w:pPr>
    </w:p>
    <w:p w:rsidR="008510BE" w:rsidP="008510BE" w:rsidRDefault="008510BE" w14:paraId="67FF277E" w14:textId="7C9CBCB2">
      <w:r>
        <w:t>T</w:t>
      </w:r>
      <w:r w:rsidRPr="00091FA3">
        <w:t xml:space="preserve">he </w:t>
      </w:r>
      <w:r>
        <w:t>CAHPS Hospice S</w:t>
      </w:r>
      <w:r w:rsidRPr="00091FA3">
        <w:t xml:space="preserve">urvey </w:t>
      </w:r>
      <w:r>
        <w:t>is</w:t>
      </w:r>
      <w:r w:rsidRPr="00091FA3">
        <w:t xml:space="preserve"> administered </w:t>
      </w:r>
      <w:r w:rsidR="000D5C5A">
        <w:t xml:space="preserve">to the primary informal caregiver of a hospice patient who died under hospice care.  Data collection begins </w:t>
      </w:r>
      <w:r w:rsidRPr="00091FA3">
        <w:t xml:space="preserve">between 2 and </w:t>
      </w:r>
      <w:r>
        <w:t>4.5</w:t>
      </w:r>
      <w:r w:rsidRPr="00091FA3">
        <w:t xml:space="preserve"> months following the</w:t>
      </w:r>
      <w:r>
        <w:t xml:space="preserve"> death of the hospice patient. Hospice patients</w:t>
      </w:r>
      <w:r w:rsidRPr="00091FA3">
        <w:t xml:space="preserve"> and the primary </w:t>
      </w:r>
      <w:r w:rsidR="00212451">
        <w:t xml:space="preserve">informal </w:t>
      </w:r>
      <w:r w:rsidRPr="00091FA3">
        <w:t>caregivers noted in their hospice’s administrative records are eligible for inclusion in the sampling universe</w:t>
      </w:r>
      <w:r>
        <w:t xml:space="preserve"> if:</w:t>
      </w:r>
      <w:r w:rsidRPr="00091FA3">
        <w:t xml:space="preserve"> </w:t>
      </w:r>
    </w:p>
    <w:p w:rsidRPr="00091FA3" w:rsidR="008510BE" w:rsidP="008510BE" w:rsidRDefault="008510BE" w14:paraId="429B0868" w14:textId="77777777">
      <w:pPr>
        <w:numPr>
          <w:ilvl w:val="0"/>
          <w:numId w:val="15"/>
        </w:numPr>
        <w:spacing w:after="0" w:line="240" w:lineRule="auto"/>
      </w:pPr>
      <w:r w:rsidRPr="00091FA3">
        <w:t xml:space="preserve">Patients </w:t>
      </w:r>
      <w:r>
        <w:t>were ove</w:t>
      </w:r>
      <w:r w:rsidRPr="00091FA3">
        <w:t xml:space="preserve">r the age of 18 </w:t>
      </w:r>
    </w:p>
    <w:p w:rsidRPr="00091FA3" w:rsidR="008510BE" w:rsidP="008510BE" w:rsidRDefault="008510BE" w14:paraId="509E4C61" w14:textId="77777777">
      <w:pPr>
        <w:numPr>
          <w:ilvl w:val="0"/>
          <w:numId w:val="15"/>
        </w:numPr>
        <w:spacing w:after="0" w:line="240" w:lineRule="auto"/>
      </w:pPr>
      <w:r w:rsidRPr="00091FA3">
        <w:t xml:space="preserve">Patients </w:t>
      </w:r>
      <w:r>
        <w:t>died</w:t>
      </w:r>
      <w:r w:rsidRPr="00091FA3">
        <w:t xml:space="preserve"> </w:t>
      </w:r>
      <w:r>
        <w:t>at least 48 hours following</w:t>
      </w:r>
      <w:r w:rsidRPr="00091FA3">
        <w:t xml:space="preserve"> </w:t>
      </w:r>
      <w:r>
        <w:t xml:space="preserve">last </w:t>
      </w:r>
      <w:r w:rsidRPr="00091FA3">
        <w:t>admission to hospice care</w:t>
      </w:r>
    </w:p>
    <w:p w:rsidRPr="00091FA3" w:rsidR="008510BE" w:rsidP="008510BE" w:rsidRDefault="008510BE" w14:paraId="63E513D5" w14:textId="77777777">
      <w:pPr>
        <w:numPr>
          <w:ilvl w:val="0"/>
          <w:numId w:val="15"/>
        </w:numPr>
        <w:spacing w:after="0" w:line="240" w:lineRule="auto"/>
      </w:pPr>
      <w:r w:rsidRPr="00091FA3">
        <w:t xml:space="preserve">Patients </w:t>
      </w:r>
      <w:r>
        <w:t>had a</w:t>
      </w:r>
      <w:r w:rsidRPr="00091FA3">
        <w:t xml:space="preserve"> caregiver listed or available</w:t>
      </w:r>
      <w:r>
        <w:t xml:space="preserve"> and</w:t>
      </w:r>
      <w:r w:rsidRPr="00091FA3">
        <w:t xml:space="preserve"> careg</w:t>
      </w:r>
      <w:r>
        <w:t xml:space="preserve">iver contact information is </w:t>
      </w:r>
      <w:r w:rsidRPr="00091FA3">
        <w:t>known</w:t>
      </w:r>
    </w:p>
    <w:p w:rsidR="008510BE" w:rsidP="008510BE" w:rsidRDefault="008510BE" w14:paraId="6636B01D" w14:textId="77777777">
      <w:pPr>
        <w:numPr>
          <w:ilvl w:val="0"/>
          <w:numId w:val="15"/>
        </w:numPr>
        <w:spacing w:after="0" w:line="240" w:lineRule="auto"/>
      </w:pPr>
      <w:r w:rsidRPr="00091FA3">
        <w:t xml:space="preserve">Patients </w:t>
      </w:r>
      <w:r>
        <w:t>had</w:t>
      </w:r>
      <w:r w:rsidRPr="00091FA3">
        <w:t xml:space="preserve"> </w:t>
      </w:r>
      <w:r>
        <w:t xml:space="preserve">a </w:t>
      </w:r>
      <w:r w:rsidRPr="00091FA3">
        <w:t xml:space="preserve">primary caregiver </w:t>
      </w:r>
      <w:r>
        <w:t xml:space="preserve">who is someone other than </w:t>
      </w:r>
      <w:r w:rsidRPr="00091FA3">
        <w:t xml:space="preserve">a </w:t>
      </w:r>
      <w:r>
        <w:t xml:space="preserve">non-familial </w:t>
      </w:r>
      <w:r w:rsidRPr="00091FA3">
        <w:t>legal guardian</w:t>
      </w:r>
    </w:p>
    <w:p w:rsidRPr="00091FA3" w:rsidR="008510BE" w:rsidP="008510BE" w:rsidRDefault="008510BE" w14:paraId="5B0F2B4A" w14:textId="77777777">
      <w:pPr>
        <w:numPr>
          <w:ilvl w:val="0"/>
          <w:numId w:val="15"/>
        </w:numPr>
        <w:spacing w:after="0" w:line="240" w:lineRule="auto"/>
      </w:pPr>
      <w:r w:rsidRPr="00091FA3">
        <w:t xml:space="preserve">Patients </w:t>
      </w:r>
      <w:r>
        <w:t>had a</w:t>
      </w:r>
      <w:r w:rsidRPr="00091FA3">
        <w:t xml:space="preserve"> primary caregiver </w:t>
      </w:r>
      <w:r>
        <w:t xml:space="preserve">who </w:t>
      </w:r>
      <w:r w:rsidRPr="00091FA3">
        <w:t xml:space="preserve">has </w:t>
      </w:r>
      <w:r>
        <w:t xml:space="preserve">a U.S. or U.S. Territory </w:t>
      </w:r>
      <w:r w:rsidRPr="00091FA3">
        <w:t>home address</w:t>
      </w:r>
    </w:p>
    <w:p w:rsidR="008510BE" w:rsidP="008510BE" w:rsidRDefault="008510BE" w14:paraId="6FFC9F28" w14:textId="77777777">
      <w:pPr>
        <w:spacing w:after="0"/>
      </w:pPr>
    </w:p>
    <w:p w:rsidR="008510BE" w:rsidP="008510BE" w:rsidRDefault="008510BE" w14:paraId="4972A33D" w14:textId="77777777">
      <w:pPr>
        <w:spacing w:after="0"/>
      </w:pPr>
      <w:r w:rsidRPr="00091FA3">
        <w:t xml:space="preserve">Patients or caregivers of patients who </w:t>
      </w:r>
      <w:r>
        <w:t xml:space="preserve">voluntarily </w:t>
      </w:r>
      <w:r w:rsidRPr="00091FA3">
        <w:t>request that they not be contacted (those who sign “no publicity” requests while under the care of hospice or otherwise directly request not to be contacted)</w:t>
      </w:r>
      <w:r>
        <w:t xml:space="preserve"> are excluded.</w:t>
      </w:r>
      <w:r>
        <w:br/>
      </w:r>
    </w:p>
    <w:p w:rsidR="00631C51" w:rsidP="008510BE" w:rsidRDefault="008510BE" w14:paraId="1E42A22F" w14:textId="6403A6A0">
      <w:pPr>
        <w:spacing w:after="0"/>
      </w:pPr>
      <w:r>
        <w:t xml:space="preserve">The proposed mode experiment design will apply all of these eligibility criteria, and will sample patients/caregivers across five arms. </w:t>
      </w:r>
      <w:r w:rsidR="00631C51">
        <w:t>The first proposed arm will test a new web-mail mode, in which invitations to the web survey will be sent by email to those with email addresses</w:t>
      </w:r>
      <w:r w:rsidR="00797D86">
        <w:t xml:space="preserve">. The </w:t>
      </w:r>
      <w:r w:rsidR="00797D86">
        <w:lastRenderedPageBreak/>
        <w:t xml:space="preserve">email will be personalized to the respondent and will include a link to the web version of the survey, which can be completed on either a computer or a mobile device such as a smartphone or tablet. If the respondent does not complete the web survey after one week, </w:t>
      </w:r>
      <w:r w:rsidR="005858AD">
        <w:t xml:space="preserve">or does not have a valid email address in which to send an email, </w:t>
      </w:r>
      <w:r w:rsidR="00797D86">
        <w:t xml:space="preserve">up to two surveys </w:t>
      </w:r>
      <w:r w:rsidR="00737FF8">
        <w:t>will be</w:t>
      </w:r>
      <w:r w:rsidR="00797D86">
        <w:t xml:space="preserve"> sent by mail.</w:t>
      </w:r>
      <w:r w:rsidR="00631C51">
        <w:t xml:space="preserve"> </w:t>
      </w:r>
      <w:r w:rsidR="00797D86">
        <w:t>T</w:t>
      </w:r>
      <w:r w:rsidR="00631C51">
        <w:t xml:space="preserve">his arm will use a shortened version of the CAHPS Hospice Survey. </w:t>
      </w:r>
    </w:p>
    <w:p w:rsidR="00631C51" w:rsidP="00F10096" w:rsidRDefault="00F10096" w14:paraId="35ABBA03" w14:textId="6F7BB589">
      <w:pPr>
        <w:tabs>
          <w:tab w:val="left" w:pos="5745"/>
        </w:tabs>
        <w:spacing w:after="0"/>
      </w:pPr>
      <w:r>
        <w:tab/>
      </w:r>
    </w:p>
    <w:p w:rsidR="00631C51" w:rsidP="008510BE" w:rsidRDefault="008510BE" w14:paraId="3625FCD5" w14:textId="33337CB3">
      <w:pPr>
        <w:spacing w:after="0"/>
        <w:rPr>
          <w:szCs w:val="26"/>
        </w:rPr>
      </w:pPr>
      <w:r>
        <w:t xml:space="preserve">In the </w:t>
      </w:r>
      <w:r w:rsidR="00631C51">
        <w:t>next</w:t>
      </w:r>
      <w:r>
        <w:t xml:space="preserve"> three arms, </w:t>
      </w:r>
      <w:r w:rsidR="00631C51">
        <w:t>the</w:t>
      </w:r>
      <w:r>
        <w:t xml:space="preserve"> </w:t>
      </w:r>
      <w:r w:rsidR="00AB6203">
        <w:t>shortened</w:t>
      </w:r>
      <w:r>
        <w:t xml:space="preserve"> version of the CAHPS Hospice Survey instrument will be administered in the three currently-approved modes: mail only</w:t>
      </w:r>
      <w:r>
        <w:rPr>
          <w:szCs w:val="26"/>
        </w:rPr>
        <w:t>; telephone-</w:t>
      </w:r>
      <w:r w:rsidRPr="009A273D">
        <w:rPr>
          <w:szCs w:val="26"/>
        </w:rPr>
        <w:t>only</w:t>
      </w:r>
      <w:r>
        <w:rPr>
          <w:szCs w:val="26"/>
        </w:rPr>
        <w:t>; and mixed mode</w:t>
      </w:r>
      <w:r w:rsidR="00AB6203">
        <w:rPr>
          <w:szCs w:val="26"/>
        </w:rPr>
        <w:t xml:space="preserve"> (</w:t>
      </w:r>
      <w:r w:rsidRPr="009A273D">
        <w:rPr>
          <w:szCs w:val="26"/>
        </w:rPr>
        <w:t>mail</w:t>
      </w:r>
      <w:r w:rsidR="00AB6203">
        <w:rPr>
          <w:szCs w:val="26"/>
        </w:rPr>
        <w:t xml:space="preserve"> with telephone follow up)</w:t>
      </w:r>
      <w:r>
        <w:rPr>
          <w:szCs w:val="26"/>
        </w:rPr>
        <w:t xml:space="preserve">. </w:t>
      </w:r>
    </w:p>
    <w:p w:rsidR="00631C51" w:rsidP="008510BE" w:rsidRDefault="00631C51" w14:paraId="2E3CD3A5" w14:textId="77777777">
      <w:pPr>
        <w:spacing w:after="0"/>
        <w:rPr>
          <w:szCs w:val="26"/>
        </w:rPr>
      </w:pPr>
    </w:p>
    <w:p w:rsidR="00F10096" w:rsidP="008510BE" w:rsidRDefault="00631C51" w14:paraId="6BE409F4" w14:textId="77777777">
      <w:pPr>
        <w:spacing w:after="0"/>
      </w:pPr>
      <w:r>
        <w:rPr>
          <w:szCs w:val="26"/>
        </w:rPr>
        <w:t xml:space="preserve">The </w:t>
      </w:r>
      <w:r w:rsidR="008510BE">
        <w:t>fifth arm, in which the current survey instrument will be administered via mail only survey administration, will serve as a comparison for all other arms.</w:t>
      </w:r>
      <w:r w:rsidR="00AB6203">
        <w:t xml:space="preserve"> </w:t>
      </w:r>
    </w:p>
    <w:p w:rsidR="00F10096" w:rsidP="008510BE" w:rsidRDefault="00F10096" w14:paraId="1C22551E" w14:textId="77777777">
      <w:pPr>
        <w:spacing w:after="0"/>
      </w:pPr>
    </w:p>
    <w:p w:rsidR="008510BE" w:rsidP="008510BE" w:rsidRDefault="00AB6203" w14:paraId="4DED2F9B" w14:textId="304AB291">
      <w:pPr>
        <w:spacing w:after="0"/>
      </w:pPr>
      <w:r>
        <w:t xml:space="preserve">Across </w:t>
      </w:r>
      <w:r w:rsidR="00B04A34">
        <w:t xml:space="preserve">all </w:t>
      </w:r>
      <w:r>
        <w:t xml:space="preserve">arms, half of sampled </w:t>
      </w:r>
      <w:r w:rsidR="008D0968">
        <w:t>caregivers</w:t>
      </w:r>
      <w:r>
        <w:t xml:space="preserve"> will receive a </w:t>
      </w:r>
      <w:proofErr w:type="spellStart"/>
      <w:r>
        <w:t>prenotification</w:t>
      </w:r>
      <w:proofErr w:type="spellEnd"/>
      <w:r>
        <w:t xml:space="preserve"> letter to examine the effects of such a letter on response rates.</w:t>
      </w:r>
    </w:p>
    <w:p w:rsidR="008510BE" w:rsidP="008510BE" w:rsidRDefault="008510BE" w14:paraId="1F481BFC" w14:textId="77777777">
      <w:pPr>
        <w:spacing w:after="0"/>
      </w:pPr>
    </w:p>
    <w:p w:rsidR="008510BE" w:rsidP="008510BE" w:rsidRDefault="008510BE" w14:paraId="2C6661BF" w14:textId="622D36B4">
      <w:pPr>
        <w:spacing w:after="0"/>
      </w:pPr>
      <w:r>
        <w:t>Overall (across the five arms), CMS plans to sample 15,000 eligible caregivers</w:t>
      </w:r>
      <w:r w:rsidRPr="00486575">
        <w:t xml:space="preserve"> </w:t>
      </w:r>
      <w:r>
        <w:t xml:space="preserve">from up to 50 hospices </w:t>
      </w:r>
      <w:r w:rsidRPr="00486575">
        <w:t>over a six</w:t>
      </w:r>
      <w:r>
        <w:t>- to seven-</w:t>
      </w:r>
      <w:r w:rsidRPr="00486575">
        <w:t xml:space="preserve">month period. </w:t>
      </w:r>
      <w:r w:rsidR="008D0968">
        <w:t>C</w:t>
      </w:r>
      <w:r>
        <w:t xml:space="preserve">aregivers will be randomized within each hospice to one of the five arms in equal proportion. </w:t>
      </w:r>
    </w:p>
    <w:p w:rsidR="00F10096" w:rsidP="008510BE" w:rsidRDefault="00F10096" w14:paraId="7B988CBA" w14:textId="265BA6A5">
      <w:pPr>
        <w:spacing w:after="0"/>
      </w:pPr>
    </w:p>
    <w:p w:rsidR="00F10096" w:rsidP="00F10096" w:rsidRDefault="00F10096" w14:paraId="2AA8640A" w14:textId="20574B0A">
      <w:pPr>
        <w:spacing w:after="0"/>
      </w:pPr>
      <w:r>
        <w:t xml:space="preserve">The proposed design is of sufficient scale to examine response rates and the effect of the </w:t>
      </w:r>
      <w:r w:rsidR="00E0024E">
        <w:t>shorten</w:t>
      </w:r>
      <w:r>
        <w:t xml:space="preserve">ed survey on scores, and to provide precise adjustment estimates for survey items and composites on the </w:t>
      </w:r>
      <w:r w:rsidR="00264A5F">
        <w:t>shorten</w:t>
      </w:r>
      <w:r>
        <w:t>ed survey instrument. Specifically, this design provides 80% power to detect (1) differences in response rates as small as 3.6%, (2)</w:t>
      </w:r>
      <w:r w:rsidRPr="00F10096">
        <w:t xml:space="preserve"> </w:t>
      </w:r>
      <w:r>
        <w:t>small differences (Cohen’s d = 0.12-0.13) in response patterns by mode protocol, and (3) small differences (Cohen’s d = 0.13) in response patterns by instrument type (within mail only mode).</w:t>
      </w:r>
    </w:p>
    <w:p w:rsidR="00C0603D" w:rsidP="00F54374" w:rsidRDefault="00C0603D" w14:paraId="6EC0B600" w14:textId="77777777">
      <w:pPr>
        <w:pStyle w:val="Heading1"/>
        <w:rPr>
          <w:rFonts w:cs="Times New Roman"/>
          <w:szCs w:val="24"/>
        </w:rPr>
      </w:pPr>
    </w:p>
    <w:p w:rsidRPr="00830B53" w:rsidR="00830B53" w:rsidP="00830B53" w:rsidRDefault="007D6E75" w14:paraId="0057173A" w14:textId="2822BC1A">
      <w:pPr>
        <w:pStyle w:val="Heading1"/>
        <w:rPr>
          <w:rFonts w:cs="Times New Roman"/>
          <w:szCs w:val="24"/>
        </w:rPr>
      </w:pPr>
      <w:r w:rsidRPr="00A91470">
        <w:rPr>
          <w:rFonts w:cs="Times New Roman"/>
          <w:szCs w:val="24"/>
        </w:rPr>
        <w:t>C. Deviations from Generic Request</w:t>
      </w:r>
    </w:p>
    <w:p w:rsidRPr="00A91470" w:rsidR="007D6E75" w:rsidP="008111D2" w:rsidRDefault="00830B53" w14:paraId="5E1F34D0" w14:textId="5796F57B">
      <w:pPr>
        <w:spacing w:after="0" w:line="240" w:lineRule="auto"/>
        <w:rPr>
          <w:rFonts w:cs="Times New Roman"/>
          <w:szCs w:val="24"/>
        </w:rPr>
      </w:pPr>
      <w:r>
        <w:rPr>
          <w:rFonts w:cs="Times New Roman"/>
          <w:szCs w:val="24"/>
        </w:rPr>
        <w:br/>
      </w:r>
      <w:r w:rsidRPr="00A91470" w:rsidR="009B19E8">
        <w:rPr>
          <w:rFonts w:cs="Times New Roman"/>
          <w:szCs w:val="24"/>
        </w:rPr>
        <w:t>No deviations are requested.</w:t>
      </w:r>
    </w:p>
    <w:p w:rsidRPr="00A91470" w:rsidR="008111D2" w:rsidP="00F54374" w:rsidRDefault="008111D2" w14:paraId="6E3A0A11" w14:textId="77777777">
      <w:pPr>
        <w:pStyle w:val="Heading1"/>
        <w:rPr>
          <w:rFonts w:cs="Times New Roman"/>
          <w:szCs w:val="24"/>
        </w:rPr>
      </w:pPr>
    </w:p>
    <w:p w:rsidR="00B21C30" w:rsidRDefault="00B21C30" w14:paraId="64452253" w14:textId="77777777">
      <w:pPr>
        <w:rPr>
          <w:rFonts w:cs="Times New Roman" w:eastAsiaTheme="majorEastAsia"/>
          <w:b/>
          <w:bCs/>
          <w:color w:val="000000" w:themeColor="text1"/>
          <w:szCs w:val="24"/>
        </w:rPr>
      </w:pPr>
      <w:r>
        <w:rPr>
          <w:rFonts w:cs="Times New Roman"/>
          <w:szCs w:val="24"/>
        </w:rPr>
        <w:br w:type="page"/>
      </w:r>
    </w:p>
    <w:p w:rsidRPr="00A91470" w:rsidR="007D6E75" w:rsidP="00F54374" w:rsidRDefault="007D6E75" w14:paraId="43A12DB4" w14:textId="243A1BB1">
      <w:pPr>
        <w:pStyle w:val="Heading1"/>
        <w:rPr>
          <w:rFonts w:cs="Times New Roman"/>
          <w:szCs w:val="24"/>
        </w:rPr>
      </w:pPr>
      <w:r w:rsidRPr="00A91470">
        <w:rPr>
          <w:rFonts w:cs="Times New Roman"/>
          <w:szCs w:val="24"/>
        </w:rPr>
        <w:lastRenderedPageBreak/>
        <w:t>D. Burden Hour Deduction</w:t>
      </w:r>
    </w:p>
    <w:p w:rsidR="004D4A8B" w:rsidP="008111D2" w:rsidRDefault="004D4A8B" w14:paraId="1963323A" w14:textId="77777777">
      <w:pPr>
        <w:spacing w:after="0" w:line="240" w:lineRule="auto"/>
        <w:rPr>
          <w:rFonts w:cs="Times New Roman"/>
          <w:szCs w:val="24"/>
        </w:rPr>
      </w:pPr>
    </w:p>
    <w:p w:rsidR="00ED5F04" w:rsidP="008510BE" w:rsidRDefault="00ED5F04" w14:paraId="0AF5698E" w14:textId="2AEEAB4F">
      <w:pPr>
        <w:keepLines/>
      </w:pPr>
      <w:r>
        <w:t>The m</w:t>
      </w:r>
      <w:r w:rsidR="008510BE">
        <w:t xml:space="preserve">ode experiment </w:t>
      </w:r>
      <w:r>
        <w:t>will be conducted among</w:t>
      </w:r>
      <w:r w:rsidR="008510BE">
        <w:t xml:space="preserve"> a maximum of 15,000 caregivers</w:t>
      </w:r>
      <w:r w:rsidR="00F10096">
        <w:t xml:space="preserve">. </w:t>
      </w:r>
      <w:r w:rsidR="000053D4">
        <w:t>T</w:t>
      </w:r>
      <w:r w:rsidR="00F10096">
        <w:t>he 3,000 caregivers in the comparison arm will be administered the current CAHPS Hospice Survey as part of its national implementation (OMB control number: 0938-1257)</w:t>
      </w:r>
      <w:r w:rsidR="000053D4">
        <w:t>; therefore,</w:t>
      </w:r>
      <w:r w:rsidR="00F10096">
        <w:t xml:space="preserve"> we calculate the burden hours solely among the 12</w:t>
      </w:r>
      <w:r w:rsidR="008510BE">
        <w:t>,000 caregivers</w:t>
      </w:r>
      <w:r w:rsidR="00F10096">
        <w:t xml:space="preserve"> in the other four study arms. The</w:t>
      </w:r>
      <w:r w:rsidR="00B21C30">
        <w:t xml:space="preserve"> </w:t>
      </w:r>
      <w:r w:rsidR="00F10096">
        <w:t xml:space="preserve">caregivers </w:t>
      </w:r>
      <w:r w:rsidR="00B21C30">
        <w:t xml:space="preserve">in these four arms </w:t>
      </w:r>
      <w:r w:rsidR="00F10096">
        <w:t>will be administered the shortened survey, which</w:t>
      </w:r>
      <w:r>
        <w:t xml:space="preserve"> i</w:t>
      </w:r>
      <w:r w:rsidR="008510BE">
        <w:t xml:space="preserve">s </w:t>
      </w:r>
      <w:r w:rsidR="0012137A">
        <w:t>44</w:t>
      </w:r>
      <w:r w:rsidR="008510BE">
        <w:t xml:space="preserve"> items</w:t>
      </w:r>
      <w:r>
        <w:t xml:space="preserve"> long</w:t>
      </w:r>
      <w:r w:rsidR="008D0968">
        <w:t xml:space="preserve"> </w:t>
      </w:r>
      <w:r w:rsidR="008510BE">
        <w:t xml:space="preserve">and </w:t>
      </w:r>
      <w:r w:rsidRPr="00440B8F" w:rsidR="008510BE">
        <w:t xml:space="preserve">is estimated to require an average administration time of </w:t>
      </w:r>
      <w:r w:rsidR="0012137A">
        <w:t>9.8</w:t>
      </w:r>
      <w:r w:rsidRPr="00440B8F" w:rsidR="008510BE">
        <w:t xml:space="preserve"> minutes (at a pace of 4.5 items per minute). </w:t>
      </w:r>
    </w:p>
    <w:p w:rsidR="008510BE" w:rsidP="008510BE" w:rsidRDefault="008510BE" w14:paraId="102540FA" w14:textId="20F71C49">
      <w:pPr>
        <w:keepLines/>
        <w:rPr>
          <w:bCs/>
        </w:rPr>
      </w:pPr>
      <w:r w:rsidRPr="00440B8F">
        <w:rPr>
          <w:color w:val="000000"/>
        </w:rPr>
        <w:t xml:space="preserve">These burden estimates are based on CMS’ experience with </w:t>
      </w:r>
      <w:r>
        <w:rPr>
          <w:color w:val="000000"/>
        </w:rPr>
        <w:t xml:space="preserve">the CAHPS Hospice Survey and </w:t>
      </w:r>
      <w:r w:rsidRPr="00440B8F">
        <w:rPr>
          <w:color w:val="000000"/>
        </w:rPr>
        <w:t>surveys of similar length that were fielded with Medicare beneficiaries.</w:t>
      </w:r>
      <w:r w:rsidRPr="00440B8F">
        <w:rPr>
          <w:bCs/>
        </w:rPr>
        <w:t xml:space="preserve"> </w:t>
      </w:r>
      <w:r w:rsidR="0009620E">
        <w:rPr>
          <w:bCs/>
        </w:rPr>
        <w:t>As shown in Table 1, b</w:t>
      </w:r>
      <w:r>
        <w:rPr>
          <w:bCs/>
        </w:rPr>
        <w:t>ased on these assumptions</w:t>
      </w:r>
      <w:r w:rsidRPr="00440B8F">
        <w:rPr>
          <w:bCs/>
        </w:rPr>
        <w:t xml:space="preserve">, the </w:t>
      </w:r>
      <w:r>
        <w:rPr>
          <w:bCs/>
        </w:rPr>
        <w:t>one-time</w:t>
      </w:r>
      <w:r w:rsidRPr="00440B8F">
        <w:rPr>
          <w:bCs/>
        </w:rPr>
        <w:t xml:space="preserve"> total b</w:t>
      </w:r>
      <w:r>
        <w:rPr>
          <w:bCs/>
        </w:rPr>
        <w:t>urden hours for survey participants are estimated to be</w:t>
      </w:r>
      <w:r w:rsidR="008D0968">
        <w:rPr>
          <w:color w:val="000000"/>
        </w:rPr>
        <w:t xml:space="preserve"> </w:t>
      </w:r>
      <w:r w:rsidR="000053D4">
        <w:rPr>
          <w:color w:val="000000"/>
        </w:rPr>
        <w:t>1,956</w:t>
      </w:r>
      <w:r>
        <w:rPr>
          <w:color w:val="000000"/>
        </w:rPr>
        <w:t xml:space="preserve"> </w:t>
      </w:r>
      <w:r>
        <w:rPr>
          <w:bCs/>
        </w:rPr>
        <w:t>for participation in the mode experiment.</w:t>
      </w:r>
    </w:p>
    <w:p w:rsidRPr="007E49C6" w:rsidR="00ED5F04" w:rsidP="00ED5F04" w:rsidRDefault="00ED5F04" w14:paraId="3036E8C8" w14:textId="232646D2">
      <w:pPr>
        <w:keepNext/>
        <w:rPr>
          <w:color w:val="000000"/>
        </w:rPr>
      </w:pPr>
      <w:r>
        <w:rPr>
          <w:b/>
          <w:bCs/>
          <w:color w:val="000000"/>
        </w:rPr>
        <w:t>Table 1. Estimated B</w:t>
      </w:r>
      <w:r w:rsidRPr="007E49C6">
        <w:rPr>
          <w:b/>
          <w:bCs/>
          <w:color w:val="000000"/>
        </w:rPr>
        <w:t xml:space="preserve">urden </w:t>
      </w:r>
      <w:r>
        <w:rPr>
          <w:b/>
          <w:bCs/>
          <w:color w:val="000000"/>
        </w:rPr>
        <w:t>H</w:t>
      </w:r>
      <w:r w:rsidRPr="007E49C6">
        <w:rPr>
          <w:b/>
          <w:bCs/>
          <w:color w:val="000000"/>
        </w:rPr>
        <w:t>ours</w:t>
      </w:r>
      <w:r>
        <w:rPr>
          <w:b/>
          <w:bCs/>
          <w:color w:val="000000"/>
        </w:rPr>
        <w:t xml:space="preserve"> for Respondents: CAHPS</w:t>
      </w:r>
      <w:r w:rsidRPr="00E203E4">
        <w:rPr>
          <w:b/>
          <w:vertAlign w:val="superscript"/>
        </w:rPr>
        <w:t>®</w:t>
      </w:r>
      <w:r>
        <w:rPr>
          <w:b/>
          <w:bCs/>
          <w:color w:val="000000"/>
        </w:rPr>
        <w:t xml:space="preserve"> Hospice Survey</w:t>
      </w:r>
      <w:r w:rsidR="0009620E">
        <w:rPr>
          <w:b/>
          <w:bCs/>
          <w:color w:val="000000"/>
        </w:rPr>
        <w:t xml:space="preserve"> Mode Experiment</w:t>
      </w:r>
    </w:p>
    <w:tbl>
      <w:tblPr>
        <w:tblW w:w="9407" w:type="dxa"/>
        <w:tblInd w:w="108" w:type="dxa"/>
        <w:tblLook w:val="04A0" w:firstRow="1" w:lastRow="0" w:firstColumn="1" w:lastColumn="0" w:noHBand="0" w:noVBand="1"/>
      </w:tblPr>
      <w:tblGrid>
        <w:gridCol w:w="2402"/>
        <w:gridCol w:w="1868"/>
        <w:gridCol w:w="1803"/>
        <w:gridCol w:w="1625"/>
        <w:gridCol w:w="1709"/>
      </w:tblGrid>
      <w:tr w:rsidR="00ED5F04" w:rsidTr="00ED5F04" w14:paraId="52414C87" w14:textId="77777777">
        <w:trPr>
          <w:cantSplit/>
        </w:trPr>
        <w:tc>
          <w:tcPr>
            <w:tcW w:w="2402" w:type="dxa"/>
            <w:tcBorders>
              <w:top w:val="single" w:color="auto" w:sz="8" w:space="0"/>
              <w:left w:val="single" w:color="auto" w:sz="8" w:space="0"/>
              <w:bottom w:val="single" w:color="auto" w:sz="8" w:space="0"/>
              <w:right w:val="single" w:color="auto" w:sz="8" w:space="0"/>
            </w:tcBorders>
            <w:shd w:val="clear" w:color="auto" w:fill="auto"/>
            <w:vAlign w:val="center"/>
            <w:hideMark/>
          </w:tcPr>
          <w:p w:rsidR="00ED5F04" w:rsidP="007E4D6A" w:rsidRDefault="00ED5F04" w14:paraId="458D1015" w14:textId="77777777">
            <w:pPr>
              <w:rPr>
                <w:b/>
                <w:bCs/>
                <w:color w:val="000000"/>
              </w:rPr>
            </w:pPr>
            <w:r>
              <w:rPr>
                <w:b/>
                <w:bCs/>
                <w:color w:val="000000"/>
                <w:szCs w:val="20"/>
              </w:rPr>
              <w:t>Survey Version</w:t>
            </w:r>
          </w:p>
        </w:tc>
        <w:tc>
          <w:tcPr>
            <w:tcW w:w="1868" w:type="dxa"/>
            <w:tcBorders>
              <w:top w:val="single" w:color="auto" w:sz="8" w:space="0"/>
              <w:left w:val="nil"/>
              <w:bottom w:val="single" w:color="auto" w:sz="8" w:space="0"/>
              <w:right w:val="single" w:color="auto" w:sz="8" w:space="0"/>
            </w:tcBorders>
            <w:shd w:val="clear" w:color="auto" w:fill="auto"/>
            <w:vAlign w:val="center"/>
            <w:hideMark/>
          </w:tcPr>
          <w:p w:rsidR="00ED5F04" w:rsidP="007E4D6A" w:rsidRDefault="00ED5F04" w14:paraId="4FAEBDC9" w14:textId="77777777">
            <w:pPr>
              <w:jc w:val="center"/>
              <w:rPr>
                <w:b/>
                <w:bCs/>
                <w:color w:val="000000"/>
              </w:rPr>
            </w:pPr>
            <w:r>
              <w:rPr>
                <w:b/>
                <w:bCs/>
                <w:color w:val="000000"/>
                <w:szCs w:val="20"/>
              </w:rPr>
              <w:t>Number of Respondents</w:t>
            </w:r>
          </w:p>
        </w:tc>
        <w:tc>
          <w:tcPr>
            <w:tcW w:w="1803" w:type="dxa"/>
            <w:tcBorders>
              <w:top w:val="single" w:color="auto" w:sz="8" w:space="0"/>
              <w:left w:val="nil"/>
              <w:bottom w:val="single" w:color="auto" w:sz="8" w:space="0"/>
              <w:right w:val="single" w:color="auto" w:sz="8" w:space="0"/>
            </w:tcBorders>
            <w:shd w:val="clear" w:color="auto" w:fill="auto"/>
            <w:vAlign w:val="center"/>
            <w:hideMark/>
          </w:tcPr>
          <w:p w:rsidR="00ED5F04" w:rsidP="007E4D6A" w:rsidRDefault="00ED5F04" w14:paraId="7DB39EC8" w14:textId="77777777">
            <w:pPr>
              <w:jc w:val="center"/>
              <w:rPr>
                <w:b/>
                <w:bCs/>
                <w:color w:val="000000"/>
              </w:rPr>
            </w:pPr>
            <w:r>
              <w:rPr>
                <w:b/>
                <w:bCs/>
                <w:color w:val="000000"/>
                <w:szCs w:val="20"/>
              </w:rPr>
              <w:t>Number of Responses per Respondent</w:t>
            </w:r>
          </w:p>
        </w:tc>
        <w:tc>
          <w:tcPr>
            <w:tcW w:w="1625" w:type="dxa"/>
            <w:tcBorders>
              <w:top w:val="single" w:color="auto" w:sz="8" w:space="0"/>
              <w:left w:val="nil"/>
              <w:bottom w:val="single" w:color="auto" w:sz="8" w:space="0"/>
              <w:right w:val="single" w:color="auto" w:sz="8" w:space="0"/>
            </w:tcBorders>
            <w:shd w:val="clear" w:color="auto" w:fill="auto"/>
            <w:vAlign w:val="center"/>
            <w:hideMark/>
          </w:tcPr>
          <w:p w:rsidR="00ED5F04" w:rsidP="007E4D6A" w:rsidRDefault="00ED5F04" w14:paraId="6EDF6BE5" w14:textId="77777777">
            <w:pPr>
              <w:jc w:val="center"/>
              <w:rPr>
                <w:b/>
                <w:bCs/>
                <w:color w:val="000000"/>
              </w:rPr>
            </w:pPr>
            <w:r>
              <w:rPr>
                <w:b/>
                <w:bCs/>
                <w:color w:val="000000"/>
                <w:szCs w:val="20"/>
              </w:rPr>
              <w:t>Hours per Response</w:t>
            </w:r>
          </w:p>
        </w:tc>
        <w:tc>
          <w:tcPr>
            <w:tcW w:w="1709" w:type="dxa"/>
            <w:tcBorders>
              <w:top w:val="single" w:color="auto" w:sz="8" w:space="0"/>
              <w:left w:val="nil"/>
              <w:bottom w:val="single" w:color="auto" w:sz="8" w:space="0"/>
              <w:right w:val="single" w:color="auto" w:sz="8" w:space="0"/>
            </w:tcBorders>
            <w:shd w:val="clear" w:color="auto" w:fill="auto"/>
            <w:vAlign w:val="center"/>
            <w:hideMark/>
          </w:tcPr>
          <w:p w:rsidR="00ED5F04" w:rsidP="007E4D6A" w:rsidRDefault="00ED5F04" w14:paraId="0C3B192B" w14:textId="77777777">
            <w:pPr>
              <w:jc w:val="center"/>
              <w:rPr>
                <w:b/>
                <w:bCs/>
                <w:color w:val="000000"/>
              </w:rPr>
            </w:pPr>
            <w:r>
              <w:rPr>
                <w:b/>
                <w:bCs/>
                <w:color w:val="000000"/>
                <w:szCs w:val="20"/>
              </w:rPr>
              <w:t>Total Burden Hours</w:t>
            </w:r>
          </w:p>
        </w:tc>
      </w:tr>
      <w:tr w:rsidR="00ED5F04" w:rsidTr="00ED5F04" w14:paraId="1453AAB0" w14:textId="77777777">
        <w:trPr>
          <w:cantSplit/>
        </w:trPr>
        <w:tc>
          <w:tcPr>
            <w:tcW w:w="2402" w:type="dxa"/>
            <w:tcBorders>
              <w:top w:val="nil"/>
              <w:left w:val="single" w:color="auto" w:sz="8" w:space="0"/>
              <w:bottom w:val="single" w:color="auto" w:sz="8" w:space="0"/>
              <w:right w:val="single" w:color="auto" w:sz="8" w:space="0"/>
            </w:tcBorders>
            <w:shd w:val="clear" w:color="auto" w:fill="auto"/>
            <w:vAlign w:val="center"/>
            <w:hideMark/>
          </w:tcPr>
          <w:p w:rsidR="00ED5F04" w:rsidP="007E4D6A" w:rsidRDefault="00ED5F04" w14:paraId="2E21C2F1" w14:textId="48D8957E">
            <w:pPr>
              <w:rPr>
                <w:color w:val="000000"/>
              </w:rPr>
            </w:pPr>
            <w:r>
              <w:rPr>
                <w:color w:val="000000"/>
              </w:rPr>
              <w:t>Shortened CAHPS</w:t>
            </w:r>
            <w:r>
              <w:rPr>
                <w:color w:val="000000"/>
                <w:vertAlign w:val="superscript"/>
              </w:rPr>
              <w:t>®</w:t>
            </w:r>
            <w:r>
              <w:rPr>
                <w:color w:val="000000"/>
              </w:rPr>
              <w:t xml:space="preserve"> Hospice Survey</w:t>
            </w:r>
          </w:p>
        </w:tc>
        <w:tc>
          <w:tcPr>
            <w:tcW w:w="1868" w:type="dxa"/>
            <w:tcBorders>
              <w:top w:val="nil"/>
              <w:left w:val="nil"/>
              <w:bottom w:val="single" w:color="auto" w:sz="8" w:space="0"/>
              <w:right w:val="single" w:color="auto" w:sz="8" w:space="0"/>
            </w:tcBorders>
            <w:shd w:val="clear" w:color="auto" w:fill="auto"/>
            <w:vAlign w:val="center"/>
            <w:hideMark/>
          </w:tcPr>
          <w:p w:rsidRPr="00A77903" w:rsidR="00ED5F04" w:rsidP="007E4D6A" w:rsidRDefault="00ED5F04" w14:paraId="6040609B" w14:textId="7C7A0A61">
            <w:pPr>
              <w:jc w:val="center"/>
              <w:rPr>
                <w:color w:val="000000"/>
              </w:rPr>
            </w:pPr>
            <w:r>
              <w:rPr>
                <w:color w:val="000000"/>
              </w:rPr>
              <w:t>12,000</w:t>
            </w:r>
          </w:p>
        </w:tc>
        <w:tc>
          <w:tcPr>
            <w:tcW w:w="1803" w:type="dxa"/>
            <w:tcBorders>
              <w:top w:val="nil"/>
              <w:left w:val="nil"/>
              <w:bottom w:val="single" w:color="auto" w:sz="8" w:space="0"/>
              <w:right w:val="single" w:color="auto" w:sz="8" w:space="0"/>
            </w:tcBorders>
            <w:shd w:val="clear" w:color="auto" w:fill="auto"/>
            <w:vAlign w:val="center"/>
            <w:hideMark/>
          </w:tcPr>
          <w:p w:rsidRPr="00A77903" w:rsidR="00ED5F04" w:rsidP="007E4D6A" w:rsidRDefault="00ED5F04" w14:paraId="20C6F7F9" w14:textId="77777777">
            <w:pPr>
              <w:jc w:val="center"/>
              <w:rPr>
                <w:color w:val="000000"/>
              </w:rPr>
            </w:pPr>
            <w:r w:rsidRPr="00A77903">
              <w:rPr>
                <w:color w:val="000000"/>
              </w:rPr>
              <w:t>1</w:t>
            </w:r>
          </w:p>
        </w:tc>
        <w:tc>
          <w:tcPr>
            <w:tcW w:w="1625" w:type="dxa"/>
            <w:tcBorders>
              <w:top w:val="nil"/>
              <w:left w:val="nil"/>
              <w:bottom w:val="single" w:color="auto" w:sz="8" w:space="0"/>
              <w:right w:val="single" w:color="auto" w:sz="8" w:space="0"/>
            </w:tcBorders>
            <w:shd w:val="clear" w:color="auto" w:fill="auto"/>
            <w:vAlign w:val="center"/>
          </w:tcPr>
          <w:p w:rsidRPr="00A77903" w:rsidR="00ED5F04" w:rsidP="007E4D6A" w:rsidRDefault="0009620E" w14:paraId="0C23C0E2" w14:textId="0E050925">
            <w:pPr>
              <w:jc w:val="center"/>
              <w:rPr>
                <w:color w:val="000000"/>
              </w:rPr>
            </w:pPr>
            <w:r>
              <w:rPr>
                <w:color w:val="000000"/>
              </w:rPr>
              <w:t>0.163</w:t>
            </w:r>
          </w:p>
        </w:tc>
        <w:tc>
          <w:tcPr>
            <w:tcW w:w="1709" w:type="dxa"/>
            <w:tcBorders>
              <w:top w:val="nil"/>
              <w:left w:val="nil"/>
              <w:bottom w:val="single" w:color="auto" w:sz="8" w:space="0"/>
              <w:right w:val="single" w:color="auto" w:sz="8" w:space="0"/>
            </w:tcBorders>
            <w:shd w:val="clear" w:color="auto" w:fill="auto"/>
            <w:vAlign w:val="center"/>
          </w:tcPr>
          <w:p w:rsidRPr="00A77903" w:rsidR="00ED5F04" w:rsidP="007E4D6A" w:rsidRDefault="0009620E" w14:paraId="52AB6522" w14:textId="1A4827E2">
            <w:pPr>
              <w:jc w:val="center"/>
              <w:rPr>
                <w:color w:val="000000"/>
              </w:rPr>
            </w:pPr>
            <w:r>
              <w:rPr>
                <w:color w:val="000000"/>
              </w:rPr>
              <w:t>1,95</w:t>
            </w:r>
            <w:r w:rsidR="000053D4">
              <w:rPr>
                <w:color w:val="000000"/>
              </w:rPr>
              <w:t>6.0</w:t>
            </w:r>
          </w:p>
        </w:tc>
      </w:tr>
      <w:tr w:rsidR="00ED5F04" w:rsidTr="00ED5F04" w14:paraId="0525D77B" w14:textId="77777777">
        <w:trPr>
          <w:cantSplit/>
        </w:trPr>
        <w:tc>
          <w:tcPr>
            <w:tcW w:w="2402" w:type="dxa"/>
            <w:tcBorders>
              <w:top w:val="nil"/>
              <w:left w:val="single" w:color="auto" w:sz="8" w:space="0"/>
              <w:bottom w:val="single" w:color="auto" w:sz="8" w:space="0"/>
              <w:right w:val="single" w:color="auto" w:sz="8" w:space="0"/>
            </w:tcBorders>
            <w:shd w:val="clear" w:color="auto" w:fill="auto"/>
            <w:vAlign w:val="center"/>
            <w:hideMark/>
          </w:tcPr>
          <w:p w:rsidR="00ED5F04" w:rsidP="007E4D6A" w:rsidRDefault="00ED5F04" w14:paraId="68C7D38A" w14:textId="77777777">
            <w:pPr>
              <w:jc w:val="right"/>
              <w:rPr>
                <w:b/>
                <w:bCs/>
                <w:color w:val="000000"/>
              </w:rPr>
            </w:pPr>
            <w:r>
              <w:rPr>
                <w:b/>
                <w:bCs/>
                <w:color w:val="000000"/>
                <w:szCs w:val="20"/>
              </w:rPr>
              <w:t>Total</w:t>
            </w:r>
          </w:p>
        </w:tc>
        <w:tc>
          <w:tcPr>
            <w:tcW w:w="1868" w:type="dxa"/>
            <w:tcBorders>
              <w:top w:val="nil"/>
              <w:left w:val="nil"/>
              <w:bottom w:val="single" w:color="auto" w:sz="8" w:space="0"/>
              <w:right w:val="single" w:color="auto" w:sz="8" w:space="0"/>
            </w:tcBorders>
            <w:shd w:val="clear" w:color="auto" w:fill="auto"/>
            <w:vAlign w:val="center"/>
            <w:hideMark/>
          </w:tcPr>
          <w:p w:rsidRPr="00A77903" w:rsidR="00ED5F04" w:rsidP="007E4D6A" w:rsidRDefault="00ED5F04" w14:paraId="550B3869" w14:textId="30D42E67">
            <w:pPr>
              <w:jc w:val="center"/>
              <w:rPr>
                <w:color w:val="000000"/>
              </w:rPr>
            </w:pPr>
            <w:r>
              <w:rPr>
                <w:color w:val="000000"/>
              </w:rPr>
              <w:t>1</w:t>
            </w:r>
            <w:r w:rsidR="000053D4">
              <w:rPr>
                <w:color w:val="000000"/>
              </w:rPr>
              <w:t>2</w:t>
            </w:r>
            <w:r>
              <w:rPr>
                <w:color w:val="000000"/>
              </w:rPr>
              <w:t>,000</w:t>
            </w:r>
          </w:p>
        </w:tc>
        <w:tc>
          <w:tcPr>
            <w:tcW w:w="1803" w:type="dxa"/>
            <w:tcBorders>
              <w:top w:val="nil"/>
              <w:left w:val="nil"/>
              <w:bottom w:val="single" w:color="auto" w:sz="8" w:space="0"/>
              <w:right w:val="single" w:color="auto" w:sz="8" w:space="0"/>
            </w:tcBorders>
            <w:shd w:val="clear" w:color="auto" w:fill="auto"/>
            <w:vAlign w:val="center"/>
            <w:hideMark/>
          </w:tcPr>
          <w:p w:rsidRPr="00A77903" w:rsidR="00ED5F04" w:rsidP="007E4D6A" w:rsidRDefault="0009620E" w14:paraId="2A8007D6" w14:textId="057925C8">
            <w:pPr>
              <w:jc w:val="center"/>
              <w:rPr>
                <w:color w:val="000000"/>
              </w:rPr>
            </w:pPr>
            <w:r>
              <w:rPr>
                <w:color w:val="000000"/>
              </w:rPr>
              <w:t>1</w:t>
            </w:r>
          </w:p>
        </w:tc>
        <w:tc>
          <w:tcPr>
            <w:tcW w:w="1625" w:type="dxa"/>
            <w:tcBorders>
              <w:top w:val="nil"/>
              <w:left w:val="nil"/>
              <w:bottom w:val="single" w:color="auto" w:sz="8" w:space="0"/>
              <w:right w:val="single" w:color="auto" w:sz="8" w:space="0"/>
            </w:tcBorders>
            <w:shd w:val="clear" w:color="auto" w:fill="auto"/>
            <w:vAlign w:val="center"/>
          </w:tcPr>
          <w:p w:rsidRPr="00A77903" w:rsidR="00ED5F04" w:rsidP="007E4D6A" w:rsidRDefault="0009620E" w14:paraId="0CB9619B" w14:textId="513FA95B">
            <w:pPr>
              <w:jc w:val="center"/>
              <w:rPr>
                <w:color w:val="000000"/>
              </w:rPr>
            </w:pPr>
            <w:r>
              <w:rPr>
                <w:color w:val="000000"/>
              </w:rPr>
              <w:t>0.</w:t>
            </w:r>
            <w:r w:rsidR="000053D4">
              <w:rPr>
                <w:color w:val="000000"/>
              </w:rPr>
              <w:t>163</w:t>
            </w:r>
          </w:p>
        </w:tc>
        <w:tc>
          <w:tcPr>
            <w:tcW w:w="1709" w:type="dxa"/>
            <w:tcBorders>
              <w:top w:val="nil"/>
              <w:left w:val="nil"/>
              <w:bottom w:val="single" w:color="auto" w:sz="8" w:space="0"/>
              <w:right w:val="single" w:color="auto" w:sz="8" w:space="0"/>
            </w:tcBorders>
            <w:shd w:val="clear" w:color="auto" w:fill="auto"/>
            <w:vAlign w:val="center"/>
          </w:tcPr>
          <w:p w:rsidRPr="00A77903" w:rsidR="00ED5F04" w:rsidP="007E4D6A" w:rsidRDefault="000053D4" w14:paraId="3EE22803" w14:textId="30312E93">
            <w:pPr>
              <w:jc w:val="center"/>
              <w:rPr>
                <w:color w:val="000000"/>
              </w:rPr>
            </w:pPr>
            <w:r>
              <w:rPr>
                <w:color w:val="000000"/>
              </w:rPr>
              <w:t>1,956.0</w:t>
            </w:r>
          </w:p>
        </w:tc>
      </w:tr>
    </w:tbl>
    <w:p w:rsidRPr="00440B8F" w:rsidR="00ED5F04" w:rsidP="008510BE" w:rsidRDefault="00ED5F04" w14:paraId="360D1DA4" w14:textId="77777777">
      <w:pPr>
        <w:keepLines/>
      </w:pPr>
    </w:p>
    <w:p w:rsidR="008510BE" w:rsidP="008510BE" w:rsidRDefault="008510BE" w14:paraId="003A7564" w14:textId="4215F791">
      <w:pPr>
        <w:pStyle w:val="BodyText"/>
      </w:pPr>
      <w:r>
        <w:t>As not all sampled c</w:t>
      </w:r>
      <w:r w:rsidR="0009620E">
        <w:t>aregiver</w:t>
      </w:r>
      <w:r>
        <w:t xml:space="preserve">s will complete the survey, this estimate reflects the maximum burden possible. </w:t>
      </w:r>
    </w:p>
    <w:p w:rsidR="008510BE" w:rsidP="008111D2" w:rsidRDefault="008510BE" w14:paraId="5DB62424" w14:textId="77777777">
      <w:pPr>
        <w:spacing w:after="0" w:line="240" w:lineRule="auto"/>
        <w:rPr>
          <w:rFonts w:cs="Times New Roman"/>
          <w:szCs w:val="24"/>
        </w:rPr>
      </w:pPr>
    </w:p>
    <w:p w:rsidRPr="00A91470" w:rsidR="00483058" w:rsidP="008111D2" w:rsidRDefault="00483058" w14:paraId="2F95565E" w14:textId="490203AA">
      <w:pPr>
        <w:spacing w:after="0" w:line="240" w:lineRule="auto"/>
        <w:rPr>
          <w:rFonts w:cs="Times New Roman"/>
          <w:szCs w:val="24"/>
        </w:rPr>
      </w:pPr>
      <w:r w:rsidRPr="00A91470">
        <w:rPr>
          <w:rFonts w:cs="Times New Roman"/>
          <w:szCs w:val="24"/>
        </w:rPr>
        <w:t xml:space="preserve">The total approved burden ceiling of the generic ICR is </w:t>
      </w:r>
      <w:r w:rsidR="004D4A8B">
        <w:rPr>
          <w:rFonts w:cs="Times New Roman"/>
          <w:szCs w:val="24"/>
        </w:rPr>
        <w:t>17,000</w:t>
      </w:r>
      <w:r w:rsidRPr="00A91470">
        <w:rPr>
          <w:rFonts w:cs="Times New Roman"/>
          <w:szCs w:val="24"/>
        </w:rPr>
        <w:t xml:space="preserve"> hours</w:t>
      </w:r>
      <w:r w:rsidRPr="00A91470" w:rsidR="00A91470">
        <w:rPr>
          <w:rFonts w:cs="Times New Roman"/>
          <w:szCs w:val="24"/>
        </w:rPr>
        <w:t xml:space="preserve">. We are requesting a total deduction of </w:t>
      </w:r>
      <w:r w:rsidR="000053D4">
        <w:rPr>
          <w:rFonts w:cs="Times New Roman"/>
          <w:szCs w:val="24"/>
        </w:rPr>
        <w:t>1,956</w:t>
      </w:r>
      <w:r w:rsidRPr="00A91470" w:rsidR="00A91470">
        <w:rPr>
          <w:rFonts w:cs="Times New Roman"/>
          <w:szCs w:val="24"/>
        </w:rPr>
        <w:t xml:space="preserve"> hours from the approved burden ceiling</w:t>
      </w:r>
      <w:r w:rsidR="004D4A8B">
        <w:rPr>
          <w:rFonts w:cs="Times New Roman"/>
          <w:szCs w:val="24"/>
        </w:rPr>
        <w:t>.</w:t>
      </w:r>
      <w:r w:rsidRPr="00A91470">
        <w:rPr>
          <w:rFonts w:cs="Times New Roman"/>
          <w:szCs w:val="24"/>
        </w:rPr>
        <w:t xml:space="preserve"> </w:t>
      </w:r>
    </w:p>
    <w:p w:rsidRPr="00A91470" w:rsidR="008111D2" w:rsidP="00F54374" w:rsidRDefault="008111D2" w14:paraId="0F1F1B7C" w14:textId="77777777">
      <w:pPr>
        <w:pStyle w:val="Heading1"/>
        <w:rPr>
          <w:rFonts w:cs="Times New Roman"/>
          <w:szCs w:val="24"/>
        </w:rPr>
      </w:pPr>
    </w:p>
    <w:p w:rsidR="006B57D5" w:rsidRDefault="006B57D5" w14:paraId="53008E43" w14:textId="77777777">
      <w:pPr>
        <w:rPr>
          <w:rFonts w:cs="Times New Roman" w:eastAsiaTheme="majorEastAsia"/>
          <w:b/>
          <w:bCs/>
          <w:color w:val="000000" w:themeColor="text1"/>
          <w:szCs w:val="24"/>
        </w:rPr>
      </w:pPr>
      <w:r>
        <w:rPr>
          <w:rFonts w:cs="Times New Roman"/>
          <w:szCs w:val="24"/>
        </w:rPr>
        <w:br w:type="page"/>
      </w:r>
    </w:p>
    <w:p w:rsidRPr="00A91470" w:rsidR="007D6E75" w:rsidP="00F54374" w:rsidRDefault="007D6E75" w14:paraId="376E1487" w14:textId="17FCA988">
      <w:pPr>
        <w:pStyle w:val="Heading1"/>
        <w:rPr>
          <w:rFonts w:cs="Times New Roman"/>
          <w:szCs w:val="24"/>
        </w:rPr>
      </w:pPr>
      <w:r w:rsidRPr="00A91470">
        <w:rPr>
          <w:rFonts w:cs="Times New Roman"/>
          <w:szCs w:val="24"/>
        </w:rPr>
        <w:lastRenderedPageBreak/>
        <w:t>E. Timeline</w:t>
      </w:r>
    </w:p>
    <w:p w:rsidR="003248D0" w:rsidP="008111D2" w:rsidRDefault="003248D0" w14:paraId="15164687" w14:textId="77777777">
      <w:pPr>
        <w:spacing w:after="0" w:line="240" w:lineRule="auto"/>
        <w:rPr>
          <w:rFonts w:cs="Times New Roman"/>
          <w:szCs w:val="24"/>
        </w:rPr>
      </w:pPr>
    </w:p>
    <w:p w:rsidRPr="00A57998" w:rsidR="00B04A34" w:rsidP="00B04A34" w:rsidRDefault="00B04A34" w14:paraId="35AA1621" w14:textId="06E8471C">
      <w:r w:rsidRPr="00A57998">
        <w:t xml:space="preserve">The following table </w:t>
      </w:r>
      <w:r w:rsidR="006B57D5">
        <w:t xml:space="preserve">provides an </w:t>
      </w:r>
      <w:r w:rsidRPr="00A57998">
        <w:t>overview</w:t>
      </w:r>
      <w:r w:rsidR="006B57D5">
        <w:t xml:space="preserve"> of</w:t>
      </w:r>
      <w:r w:rsidRPr="00A57998">
        <w:t xml:space="preserve"> the project schedule</w:t>
      </w:r>
      <w:r>
        <w:t>, including data collection and analysis.</w:t>
      </w:r>
    </w:p>
    <w:tbl>
      <w:tblPr>
        <w:tblStyle w:val="TableGrid1"/>
        <w:tblW w:w="0" w:type="auto"/>
        <w:tblLook w:val="04A0" w:firstRow="1" w:lastRow="0" w:firstColumn="1" w:lastColumn="0" w:noHBand="0" w:noVBand="1"/>
      </w:tblPr>
      <w:tblGrid>
        <w:gridCol w:w="1820"/>
        <w:gridCol w:w="496"/>
        <w:gridCol w:w="645"/>
        <w:gridCol w:w="469"/>
        <w:gridCol w:w="497"/>
        <w:gridCol w:w="457"/>
        <w:gridCol w:w="457"/>
        <w:gridCol w:w="471"/>
        <w:gridCol w:w="417"/>
        <w:gridCol w:w="482"/>
        <w:gridCol w:w="537"/>
        <w:gridCol w:w="456"/>
        <w:gridCol w:w="456"/>
      </w:tblGrid>
      <w:tr w:rsidRPr="00A57998" w:rsidR="006B57D5" w:rsidTr="00F51E08" w14:paraId="22085378" w14:textId="4091B341">
        <w:tc>
          <w:tcPr>
            <w:tcW w:w="1820" w:type="dxa"/>
          </w:tcPr>
          <w:p w:rsidRPr="00B04A34" w:rsidR="006B57D5" w:rsidP="00912A87" w:rsidRDefault="006B57D5" w14:paraId="67BD1DF8" w14:textId="6E8A9F08">
            <w:pPr>
              <w:autoSpaceDE w:val="0"/>
              <w:autoSpaceDN w:val="0"/>
              <w:adjustRightInd w:val="0"/>
              <w:rPr>
                <w:b/>
              </w:rPr>
            </w:pPr>
          </w:p>
        </w:tc>
        <w:tc>
          <w:tcPr>
            <w:tcW w:w="496" w:type="dxa"/>
          </w:tcPr>
          <w:p w:rsidRPr="00B04A34" w:rsidR="006B57D5" w:rsidP="00912A87" w:rsidRDefault="006B57D5" w14:paraId="5D339BFE" w14:textId="77777777">
            <w:pPr>
              <w:autoSpaceDE w:val="0"/>
              <w:autoSpaceDN w:val="0"/>
              <w:adjustRightInd w:val="0"/>
              <w:rPr>
                <w:b/>
              </w:rPr>
            </w:pPr>
          </w:p>
        </w:tc>
        <w:tc>
          <w:tcPr>
            <w:tcW w:w="5344" w:type="dxa"/>
            <w:gridSpan w:val="11"/>
          </w:tcPr>
          <w:p w:rsidRPr="00B04A34" w:rsidR="006B57D5" w:rsidP="00912A87" w:rsidRDefault="006B57D5" w14:paraId="5B91AE8A" w14:textId="227553A8">
            <w:pPr>
              <w:autoSpaceDE w:val="0"/>
              <w:autoSpaceDN w:val="0"/>
              <w:adjustRightInd w:val="0"/>
              <w:jc w:val="center"/>
              <w:rPr>
                <w:b/>
              </w:rPr>
            </w:pPr>
            <w:r w:rsidRPr="00B04A34">
              <w:rPr>
                <w:b/>
              </w:rPr>
              <w:t>Project Month</w:t>
            </w:r>
          </w:p>
        </w:tc>
      </w:tr>
      <w:tr w:rsidRPr="00A57998" w:rsidR="006B57D5" w:rsidTr="006B57D5" w14:paraId="612C4E6F" w14:textId="1B16332A">
        <w:tc>
          <w:tcPr>
            <w:tcW w:w="1820" w:type="dxa"/>
          </w:tcPr>
          <w:p w:rsidRPr="00B04A34" w:rsidR="006B57D5" w:rsidP="00912A87" w:rsidRDefault="006B57D5" w14:paraId="591FAF5F" w14:textId="77777777">
            <w:pPr>
              <w:autoSpaceDE w:val="0"/>
              <w:autoSpaceDN w:val="0"/>
              <w:adjustRightInd w:val="0"/>
              <w:rPr>
                <w:b/>
              </w:rPr>
            </w:pPr>
            <w:r w:rsidRPr="00B04A34">
              <w:rPr>
                <w:b/>
              </w:rPr>
              <w:t xml:space="preserve">Tasks </w:t>
            </w:r>
          </w:p>
        </w:tc>
        <w:tc>
          <w:tcPr>
            <w:tcW w:w="496" w:type="dxa"/>
          </w:tcPr>
          <w:p w:rsidRPr="00B04A34" w:rsidR="006B57D5" w:rsidP="00912A87" w:rsidRDefault="006B57D5" w14:paraId="2F97AFDF" w14:textId="77777777">
            <w:pPr>
              <w:autoSpaceDE w:val="0"/>
              <w:autoSpaceDN w:val="0"/>
              <w:adjustRightInd w:val="0"/>
              <w:rPr>
                <w:b/>
              </w:rPr>
            </w:pPr>
          </w:p>
        </w:tc>
        <w:tc>
          <w:tcPr>
            <w:tcW w:w="645" w:type="dxa"/>
          </w:tcPr>
          <w:p w:rsidRPr="00B04A34" w:rsidR="006B57D5" w:rsidP="00912A87" w:rsidRDefault="006B57D5" w14:paraId="6942C81D" w14:textId="09DFAE2C">
            <w:pPr>
              <w:autoSpaceDE w:val="0"/>
              <w:autoSpaceDN w:val="0"/>
              <w:adjustRightInd w:val="0"/>
              <w:jc w:val="center"/>
              <w:rPr>
                <w:bCs/>
              </w:rPr>
            </w:pPr>
            <w:r w:rsidRPr="00B04A34">
              <w:rPr>
                <w:bCs/>
              </w:rPr>
              <w:t>1</w:t>
            </w:r>
          </w:p>
        </w:tc>
        <w:tc>
          <w:tcPr>
            <w:tcW w:w="469" w:type="dxa"/>
          </w:tcPr>
          <w:p w:rsidRPr="00B04A34" w:rsidR="006B57D5" w:rsidP="00912A87" w:rsidRDefault="006B57D5" w14:paraId="4203F307" w14:textId="55407250">
            <w:pPr>
              <w:autoSpaceDE w:val="0"/>
              <w:autoSpaceDN w:val="0"/>
              <w:adjustRightInd w:val="0"/>
              <w:jc w:val="center"/>
              <w:rPr>
                <w:bCs/>
              </w:rPr>
            </w:pPr>
            <w:r w:rsidRPr="00B04A34">
              <w:rPr>
                <w:bCs/>
              </w:rPr>
              <w:t>2</w:t>
            </w:r>
          </w:p>
        </w:tc>
        <w:tc>
          <w:tcPr>
            <w:tcW w:w="497" w:type="dxa"/>
          </w:tcPr>
          <w:p w:rsidRPr="00B04A34" w:rsidR="006B57D5" w:rsidP="00912A87" w:rsidRDefault="006B57D5" w14:paraId="2C8F1C00" w14:textId="78BA2140">
            <w:pPr>
              <w:autoSpaceDE w:val="0"/>
              <w:autoSpaceDN w:val="0"/>
              <w:adjustRightInd w:val="0"/>
              <w:jc w:val="center"/>
              <w:rPr>
                <w:bCs/>
              </w:rPr>
            </w:pPr>
            <w:r w:rsidRPr="00B04A34">
              <w:rPr>
                <w:bCs/>
              </w:rPr>
              <w:t>3</w:t>
            </w:r>
          </w:p>
        </w:tc>
        <w:tc>
          <w:tcPr>
            <w:tcW w:w="457" w:type="dxa"/>
          </w:tcPr>
          <w:p w:rsidRPr="00B04A34" w:rsidR="006B57D5" w:rsidP="00912A87" w:rsidRDefault="006B57D5" w14:paraId="0931F848" w14:textId="5B33C769">
            <w:pPr>
              <w:autoSpaceDE w:val="0"/>
              <w:autoSpaceDN w:val="0"/>
              <w:adjustRightInd w:val="0"/>
              <w:jc w:val="center"/>
              <w:rPr>
                <w:bCs/>
              </w:rPr>
            </w:pPr>
            <w:r w:rsidRPr="00B04A34">
              <w:rPr>
                <w:bCs/>
              </w:rPr>
              <w:t>4</w:t>
            </w:r>
          </w:p>
        </w:tc>
        <w:tc>
          <w:tcPr>
            <w:tcW w:w="457" w:type="dxa"/>
          </w:tcPr>
          <w:p w:rsidRPr="00B04A34" w:rsidR="006B57D5" w:rsidP="00912A87" w:rsidRDefault="006B57D5" w14:paraId="5D0E922F" w14:textId="239DB7D5">
            <w:pPr>
              <w:autoSpaceDE w:val="0"/>
              <w:autoSpaceDN w:val="0"/>
              <w:adjustRightInd w:val="0"/>
              <w:jc w:val="center"/>
              <w:rPr>
                <w:bCs/>
              </w:rPr>
            </w:pPr>
            <w:r w:rsidRPr="00B04A34">
              <w:rPr>
                <w:bCs/>
              </w:rPr>
              <w:t>5</w:t>
            </w:r>
          </w:p>
        </w:tc>
        <w:tc>
          <w:tcPr>
            <w:tcW w:w="471" w:type="dxa"/>
          </w:tcPr>
          <w:p w:rsidRPr="00B04A34" w:rsidR="006B57D5" w:rsidP="00912A87" w:rsidRDefault="006B57D5" w14:paraId="130AFF7A" w14:textId="17092837">
            <w:pPr>
              <w:autoSpaceDE w:val="0"/>
              <w:autoSpaceDN w:val="0"/>
              <w:adjustRightInd w:val="0"/>
              <w:jc w:val="center"/>
              <w:rPr>
                <w:bCs/>
              </w:rPr>
            </w:pPr>
            <w:r w:rsidRPr="00B04A34">
              <w:rPr>
                <w:bCs/>
              </w:rPr>
              <w:t>6</w:t>
            </w:r>
          </w:p>
        </w:tc>
        <w:tc>
          <w:tcPr>
            <w:tcW w:w="417" w:type="dxa"/>
          </w:tcPr>
          <w:p w:rsidRPr="00B04A34" w:rsidR="006B57D5" w:rsidP="00912A87" w:rsidRDefault="006B57D5" w14:paraId="32078C2B" w14:textId="10E50A45">
            <w:pPr>
              <w:autoSpaceDE w:val="0"/>
              <w:autoSpaceDN w:val="0"/>
              <w:adjustRightInd w:val="0"/>
              <w:jc w:val="center"/>
              <w:rPr>
                <w:bCs/>
              </w:rPr>
            </w:pPr>
            <w:r>
              <w:rPr>
                <w:bCs/>
              </w:rPr>
              <w:t>7</w:t>
            </w:r>
          </w:p>
        </w:tc>
        <w:tc>
          <w:tcPr>
            <w:tcW w:w="482" w:type="dxa"/>
          </w:tcPr>
          <w:p w:rsidRPr="00B04A34" w:rsidR="006B57D5" w:rsidP="00912A87" w:rsidRDefault="006B57D5" w14:paraId="6215ACCF" w14:textId="4135BAC0">
            <w:pPr>
              <w:autoSpaceDE w:val="0"/>
              <w:autoSpaceDN w:val="0"/>
              <w:adjustRightInd w:val="0"/>
              <w:jc w:val="center"/>
              <w:rPr>
                <w:bCs/>
              </w:rPr>
            </w:pPr>
            <w:r>
              <w:rPr>
                <w:bCs/>
              </w:rPr>
              <w:t>8</w:t>
            </w:r>
          </w:p>
        </w:tc>
        <w:tc>
          <w:tcPr>
            <w:tcW w:w="537" w:type="dxa"/>
          </w:tcPr>
          <w:p w:rsidRPr="00B04A34" w:rsidR="006B57D5" w:rsidP="00912A87" w:rsidRDefault="006B57D5" w14:paraId="27F79C1A" w14:textId="55EA3AD9">
            <w:pPr>
              <w:autoSpaceDE w:val="0"/>
              <w:autoSpaceDN w:val="0"/>
              <w:adjustRightInd w:val="0"/>
              <w:jc w:val="center"/>
              <w:rPr>
                <w:bCs/>
              </w:rPr>
            </w:pPr>
            <w:r>
              <w:rPr>
                <w:bCs/>
              </w:rPr>
              <w:t>9</w:t>
            </w:r>
          </w:p>
        </w:tc>
        <w:tc>
          <w:tcPr>
            <w:tcW w:w="456" w:type="dxa"/>
          </w:tcPr>
          <w:p w:rsidR="006B57D5" w:rsidP="00912A87" w:rsidRDefault="006B57D5" w14:paraId="4868DA05" w14:textId="6F21EC00">
            <w:pPr>
              <w:autoSpaceDE w:val="0"/>
              <w:autoSpaceDN w:val="0"/>
              <w:adjustRightInd w:val="0"/>
              <w:jc w:val="center"/>
              <w:rPr>
                <w:bCs/>
              </w:rPr>
            </w:pPr>
            <w:r>
              <w:rPr>
                <w:bCs/>
              </w:rPr>
              <w:t>10</w:t>
            </w:r>
          </w:p>
        </w:tc>
        <w:tc>
          <w:tcPr>
            <w:tcW w:w="456" w:type="dxa"/>
          </w:tcPr>
          <w:p w:rsidR="006B57D5" w:rsidP="00912A87" w:rsidRDefault="006B57D5" w14:paraId="3558CA18" w14:textId="3DFC6504">
            <w:pPr>
              <w:autoSpaceDE w:val="0"/>
              <w:autoSpaceDN w:val="0"/>
              <w:adjustRightInd w:val="0"/>
              <w:jc w:val="center"/>
              <w:rPr>
                <w:bCs/>
              </w:rPr>
            </w:pPr>
            <w:r>
              <w:rPr>
                <w:bCs/>
              </w:rPr>
              <w:t>11</w:t>
            </w:r>
          </w:p>
        </w:tc>
      </w:tr>
      <w:tr w:rsidRPr="00A57998" w:rsidR="006B57D5" w:rsidTr="006B57D5" w14:paraId="4FD67B27" w14:textId="78178C1F">
        <w:tc>
          <w:tcPr>
            <w:tcW w:w="1820" w:type="dxa"/>
          </w:tcPr>
          <w:p w:rsidRPr="00A57998" w:rsidR="006B57D5" w:rsidP="00912A87" w:rsidRDefault="006B57D5" w14:paraId="7BC9F2FA" w14:textId="77777777">
            <w:pPr>
              <w:autoSpaceDE w:val="0"/>
              <w:autoSpaceDN w:val="0"/>
              <w:adjustRightInd w:val="0"/>
            </w:pPr>
            <w:r w:rsidRPr="00A57998">
              <w:t>OMB Approval</w:t>
            </w:r>
          </w:p>
        </w:tc>
        <w:tc>
          <w:tcPr>
            <w:tcW w:w="496" w:type="dxa"/>
            <w:shd w:val="clear" w:color="auto" w:fill="BFBFBF" w:themeFill="background1" w:themeFillShade="BF"/>
          </w:tcPr>
          <w:p w:rsidRPr="00A57998" w:rsidR="006B57D5" w:rsidP="00912A87" w:rsidRDefault="006B57D5" w14:paraId="0D7B6E4A" w14:textId="77777777">
            <w:pPr>
              <w:autoSpaceDE w:val="0"/>
              <w:autoSpaceDN w:val="0"/>
              <w:adjustRightInd w:val="0"/>
              <w:jc w:val="center"/>
            </w:pPr>
            <w:r w:rsidRPr="00A57998">
              <w:t>X</w:t>
            </w:r>
          </w:p>
        </w:tc>
        <w:tc>
          <w:tcPr>
            <w:tcW w:w="645" w:type="dxa"/>
          </w:tcPr>
          <w:p w:rsidRPr="00A57998" w:rsidR="006B57D5" w:rsidP="00912A87" w:rsidRDefault="006B57D5" w14:paraId="5342BDF6" w14:textId="77777777">
            <w:pPr>
              <w:autoSpaceDE w:val="0"/>
              <w:autoSpaceDN w:val="0"/>
              <w:adjustRightInd w:val="0"/>
              <w:jc w:val="center"/>
            </w:pPr>
          </w:p>
        </w:tc>
        <w:tc>
          <w:tcPr>
            <w:tcW w:w="469" w:type="dxa"/>
          </w:tcPr>
          <w:p w:rsidRPr="00A57998" w:rsidR="006B57D5" w:rsidP="00912A87" w:rsidRDefault="006B57D5" w14:paraId="427E5F3B" w14:textId="77777777">
            <w:pPr>
              <w:autoSpaceDE w:val="0"/>
              <w:autoSpaceDN w:val="0"/>
              <w:adjustRightInd w:val="0"/>
              <w:jc w:val="center"/>
            </w:pPr>
          </w:p>
        </w:tc>
        <w:tc>
          <w:tcPr>
            <w:tcW w:w="497" w:type="dxa"/>
          </w:tcPr>
          <w:p w:rsidRPr="00A57998" w:rsidR="006B57D5" w:rsidP="00912A87" w:rsidRDefault="006B57D5" w14:paraId="0518449C" w14:textId="77777777">
            <w:pPr>
              <w:autoSpaceDE w:val="0"/>
              <w:autoSpaceDN w:val="0"/>
              <w:adjustRightInd w:val="0"/>
              <w:jc w:val="center"/>
            </w:pPr>
          </w:p>
        </w:tc>
        <w:tc>
          <w:tcPr>
            <w:tcW w:w="457" w:type="dxa"/>
          </w:tcPr>
          <w:p w:rsidRPr="00A57998" w:rsidR="006B57D5" w:rsidP="00912A87" w:rsidRDefault="006B57D5" w14:paraId="0F0CD6E9" w14:textId="77777777">
            <w:pPr>
              <w:autoSpaceDE w:val="0"/>
              <w:autoSpaceDN w:val="0"/>
              <w:adjustRightInd w:val="0"/>
              <w:jc w:val="center"/>
            </w:pPr>
          </w:p>
        </w:tc>
        <w:tc>
          <w:tcPr>
            <w:tcW w:w="457" w:type="dxa"/>
          </w:tcPr>
          <w:p w:rsidRPr="00A57998" w:rsidR="006B57D5" w:rsidP="00912A87" w:rsidRDefault="006B57D5" w14:paraId="7A9D71FF" w14:textId="77777777">
            <w:pPr>
              <w:autoSpaceDE w:val="0"/>
              <w:autoSpaceDN w:val="0"/>
              <w:adjustRightInd w:val="0"/>
              <w:jc w:val="center"/>
            </w:pPr>
          </w:p>
        </w:tc>
        <w:tc>
          <w:tcPr>
            <w:tcW w:w="471" w:type="dxa"/>
          </w:tcPr>
          <w:p w:rsidRPr="00A57998" w:rsidR="006B57D5" w:rsidP="00912A87" w:rsidRDefault="006B57D5" w14:paraId="052B3D2D" w14:textId="77777777">
            <w:pPr>
              <w:autoSpaceDE w:val="0"/>
              <w:autoSpaceDN w:val="0"/>
              <w:adjustRightInd w:val="0"/>
              <w:jc w:val="center"/>
            </w:pPr>
          </w:p>
        </w:tc>
        <w:tc>
          <w:tcPr>
            <w:tcW w:w="417" w:type="dxa"/>
          </w:tcPr>
          <w:p w:rsidR="006B57D5" w:rsidP="00912A87" w:rsidRDefault="006B57D5" w14:paraId="1D71A132" w14:textId="3F92BE5F">
            <w:pPr>
              <w:autoSpaceDE w:val="0"/>
              <w:autoSpaceDN w:val="0"/>
              <w:adjustRightInd w:val="0"/>
              <w:jc w:val="center"/>
            </w:pPr>
          </w:p>
        </w:tc>
        <w:tc>
          <w:tcPr>
            <w:tcW w:w="482" w:type="dxa"/>
          </w:tcPr>
          <w:p w:rsidRPr="00A57998" w:rsidR="006B57D5" w:rsidP="00912A87" w:rsidRDefault="006B57D5" w14:paraId="58FDA7EB" w14:textId="59C3AF94">
            <w:pPr>
              <w:autoSpaceDE w:val="0"/>
              <w:autoSpaceDN w:val="0"/>
              <w:adjustRightInd w:val="0"/>
              <w:jc w:val="center"/>
            </w:pPr>
          </w:p>
        </w:tc>
        <w:tc>
          <w:tcPr>
            <w:tcW w:w="537" w:type="dxa"/>
          </w:tcPr>
          <w:p w:rsidRPr="00A57998" w:rsidR="006B57D5" w:rsidP="00912A87" w:rsidRDefault="006B57D5" w14:paraId="66D68C6F" w14:textId="74937BB4">
            <w:pPr>
              <w:autoSpaceDE w:val="0"/>
              <w:autoSpaceDN w:val="0"/>
              <w:adjustRightInd w:val="0"/>
              <w:jc w:val="center"/>
            </w:pPr>
          </w:p>
        </w:tc>
        <w:tc>
          <w:tcPr>
            <w:tcW w:w="456" w:type="dxa"/>
          </w:tcPr>
          <w:p w:rsidRPr="00A57998" w:rsidR="006B57D5" w:rsidP="00912A87" w:rsidRDefault="006B57D5" w14:paraId="5B48B244" w14:textId="77777777">
            <w:pPr>
              <w:autoSpaceDE w:val="0"/>
              <w:autoSpaceDN w:val="0"/>
              <w:adjustRightInd w:val="0"/>
              <w:jc w:val="center"/>
            </w:pPr>
          </w:p>
        </w:tc>
        <w:tc>
          <w:tcPr>
            <w:tcW w:w="456" w:type="dxa"/>
          </w:tcPr>
          <w:p w:rsidRPr="00A57998" w:rsidR="006B57D5" w:rsidP="00912A87" w:rsidRDefault="006B57D5" w14:paraId="07A3BAD5" w14:textId="77777777">
            <w:pPr>
              <w:autoSpaceDE w:val="0"/>
              <w:autoSpaceDN w:val="0"/>
              <w:adjustRightInd w:val="0"/>
              <w:jc w:val="center"/>
            </w:pPr>
          </w:p>
        </w:tc>
      </w:tr>
      <w:tr w:rsidRPr="00A57998" w:rsidR="006B57D5" w:rsidTr="008B2AF0" w14:paraId="055A844D" w14:textId="2DB69CCF">
        <w:tc>
          <w:tcPr>
            <w:tcW w:w="1820" w:type="dxa"/>
          </w:tcPr>
          <w:p w:rsidRPr="00A57998" w:rsidR="006B57D5" w:rsidP="00912A87" w:rsidRDefault="006B57D5" w14:paraId="6A7B7971" w14:textId="62E94AE9">
            <w:pPr>
              <w:autoSpaceDE w:val="0"/>
              <w:autoSpaceDN w:val="0"/>
              <w:adjustRightInd w:val="0"/>
            </w:pPr>
            <w:r>
              <w:t>Conduct</w:t>
            </w:r>
            <w:r w:rsidRPr="00A57998">
              <w:t xml:space="preserve"> </w:t>
            </w:r>
            <w:r>
              <w:t>s</w:t>
            </w:r>
            <w:r w:rsidRPr="00A57998">
              <w:t>urvey</w:t>
            </w:r>
          </w:p>
        </w:tc>
        <w:tc>
          <w:tcPr>
            <w:tcW w:w="496" w:type="dxa"/>
            <w:shd w:val="clear" w:color="auto" w:fill="FFFFFF" w:themeFill="background1"/>
          </w:tcPr>
          <w:p w:rsidRPr="00A57998" w:rsidR="006B57D5" w:rsidP="00912A87" w:rsidRDefault="006B57D5" w14:paraId="1DEEE142" w14:textId="77777777">
            <w:pPr>
              <w:autoSpaceDE w:val="0"/>
              <w:autoSpaceDN w:val="0"/>
              <w:adjustRightInd w:val="0"/>
              <w:jc w:val="center"/>
            </w:pPr>
          </w:p>
        </w:tc>
        <w:tc>
          <w:tcPr>
            <w:tcW w:w="645" w:type="dxa"/>
            <w:shd w:val="clear" w:color="auto" w:fill="BFBFBF" w:themeFill="background1" w:themeFillShade="BF"/>
          </w:tcPr>
          <w:p w:rsidRPr="00912A87" w:rsidR="006B57D5" w:rsidP="00912A87" w:rsidRDefault="006B57D5" w14:paraId="70446875" w14:textId="3B0B1EE7">
            <w:pPr>
              <w:autoSpaceDE w:val="0"/>
              <w:autoSpaceDN w:val="0"/>
              <w:adjustRightInd w:val="0"/>
              <w:jc w:val="center"/>
            </w:pPr>
            <w:r w:rsidRPr="00912A87">
              <w:t>X</w:t>
            </w:r>
          </w:p>
        </w:tc>
        <w:tc>
          <w:tcPr>
            <w:tcW w:w="469" w:type="dxa"/>
            <w:shd w:val="clear" w:color="auto" w:fill="BFBFBF" w:themeFill="background1" w:themeFillShade="BF"/>
          </w:tcPr>
          <w:p w:rsidRPr="00912A87" w:rsidR="006B57D5" w:rsidP="00912A87" w:rsidRDefault="006B57D5" w14:paraId="0B683549" w14:textId="77777777">
            <w:pPr>
              <w:autoSpaceDE w:val="0"/>
              <w:autoSpaceDN w:val="0"/>
              <w:adjustRightInd w:val="0"/>
              <w:jc w:val="center"/>
            </w:pPr>
            <w:r w:rsidRPr="00912A87">
              <w:t>X</w:t>
            </w:r>
          </w:p>
        </w:tc>
        <w:tc>
          <w:tcPr>
            <w:tcW w:w="497" w:type="dxa"/>
            <w:shd w:val="clear" w:color="auto" w:fill="BFBFBF" w:themeFill="background1" w:themeFillShade="BF"/>
          </w:tcPr>
          <w:p w:rsidRPr="00912A87" w:rsidR="006B57D5" w:rsidP="00912A87" w:rsidRDefault="006B57D5" w14:paraId="37D0F0D6" w14:textId="77777777">
            <w:pPr>
              <w:autoSpaceDE w:val="0"/>
              <w:autoSpaceDN w:val="0"/>
              <w:adjustRightInd w:val="0"/>
              <w:jc w:val="center"/>
            </w:pPr>
            <w:r w:rsidRPr="00912A87">
              <w:t>X</w:t>
            </w:r>
          </w:p>
        </w:tc>
        <w:tc>
          <w:tcPr>
            <w:tcW w:w="457" w:type="dxa"/>
            <w:shd w:val="clear" w:color="auto" w:fill="BFBFBF" w:themeFill="background1" w:themeFillShade="BF"/>
          </w:tcPr>
          <w:p w:rsidRPr="00912A87" w:rsidR="006B57D5" w:rsidP="00912A87" w:rsidRDefault="006B57D5" w14:paraId="65B407E0" w14:textId="77777777">
            <w:pPr>
              <w:autoSpaceDE w:val="0"/>
              <w:autoSpaceDN w:val="0"/>
              <w:adjustRightInd w:val="0"/>
              <w:jc w:val="center"/>
            </w:pPr>
            <w:r w:rsidRPr="00912A87">
              <w:t>X</w:t>
            </w:r>
          </w:p>
        </w:tc>
        <w:tc>
          <w:tcPr>
            <w:tcW w:w="457" w:type="dxa"/>
            <w:shd w:val="clear" w:color="auto" w:fill="BFBFBF" w:themeFill="background1" w:themeFillShade="BF"/>
          </w:tcPr>
          <w:p w:rsidRPr="00912A87" w:rsidR="006B57D5" w:rsidP="00912A87" w:rsidRDefault="006B57D5" w14:paraId="469EF6D0" w14:textId="77777777">
            <w:pPr>
              <w:autoSpaceDE w:val="0"/>
              <w:autoSpaceDN w:val="0"/>
              <w:adjustRightInd w:val="0"/>
              <w:jc w:val="center"/>
            </w:pPr>
            <w:r w:rsidRPr="00912A87">
              <w:t>X</w:t>
            </w:r>
          </w:p>
        </w:tc>
        <w:tc>
          <w:tcPr>
            <w:tcW w:w="471" w:type="dxa"/>
            <w:shd w:val="clear" w:color="auto" w:fill="BFBFBF" w:themeFill="background1" w:themeFillShade="BF"/>
          </w:tcPr>
          <w:p w:rsidRPr="00912A87" w:rsidR="006B57D5" w:rsidP="00912A87" w:rsidRDefault="006B57D5" w14:paraId="5B6F6C9E" w14:textId="15E07877">
            <w:pPr>
              <w:autoSpaceDE w:val="0"/>
              <w:autoSpaceDN w:val="0"/>
              <w:adjustRightInd w:val="0"/>
              <w:jc w:val="center"/>
            </w:pPr>
            <w:r w:rsidRPr="00912A87">
              <w:t>X</w:t>
            </w:r>
          </w:p>
        </w:tc>
        <w:tc>
          <w:tcPr>
            <w:tcW w:w="417" w:type="dxa"/>
            <w:shd w:val="clear" w:color="auto" w:fill="BFBFBF" w:themeFill="background1" w:themeFillShade="BF"/>
          </w:tcPr>
          <w:p w:rsidRPr="00912A87" w:rsidR="006B57D5" w:rsidP="00912A87" w:rsidRDefault="006B57D5" w14:paraId="141A4121" w14:textId="5DB7BF23">
            <w:pPr>
              <w:autoSpaceDE w:val="0"/>
              <w:autoSpaceDN w:val="0"/>
              <w:adjustRightInd w:val="0"/>
              <w:jc w:val="center"/>
            </w:pPr>
            <w:r w:rsidRPr="00912A87">
              <w:t>X</w:t>
            </w:r>
          </w:p>
        </w:tc>
        <w:tc>
          <w:tcPr>
            <w:tcW w:w="482" w:type="dxa"/>
            <w:shd w:val="clear" w:color="auto" w:fill="BFBFBF" w:themeFill="background1" w:themeFillShade="BF"/>
          </w:tcPr>
          <w:p w:rsidR="006B57D5" w:rsidP="00912A87" w:rsidRDefault="008B2AF0" w14:paraId="5B6A2AF1" w14:textId="002D9FCF">
            <w:pPr>
              <w:autoSpaceDE w:val="0"/>
              <w:autoSpaceDN w:val="0"/>
              <w:adjustRightInd w:val="0"/>
              <w:jc w:val="center"/>
            </w:pPr>
            <w:r w:rsidRPr="00912A87">
              <w:t>X</w:t>
            </w:r>
          </w:p>
        </w:tc>
        <w:tc>
          <w:tcPr>
            <w:tcW w:w="537" w:type="dxa"/>
          </w:tcPr>
          <w:p w:rsidRPr="00A57998" w:rsidR="006B57D5" w:rsidP="00912A87" w:rsidRDefault="006B57D5" w14:paraId="5CA6C82E" w14:textId="5F7A3AB4">
            <w:pPr>
              <w:autoSpaceDE w:val="0"/>
              <w:autoSpaceDN w:val="0"/>
              <w:adjustRightInd w:val="0"/>
              <w:jc w:val="center"/>
            </w:pPr>
          </w:p>
        </w:tc>
        <w:tc>
          <w:tcPr>
            <w:tcW w:w="456" w:type="dxa"/>
          </w:tcPr>
          <w:p w:rsidRPr="00A57998" w:rsidR="006B57D5" w:rsidP="00912A87" w:rsidRDefault="006B57D5" w14:paraId="03E18584" w14:textId="77777777">
            <w:pPr>
              <w:autoSpaceDE w:val="0"/>
              <w:autoSpaceDN w:val="0"/>
              <w:adjustRightInd w:val="0"/>
              <w:jc w:val="center"/>
            </w:pPr>
          </w:p>
        </w:tc>
        <w:tc>
          <w:tcPr>
            <w:tcW w:w="456" w:type="dxa"/>
          </w:tcPr>
          <w:p w:rsidRPr="00A57998" w:rsidR="006B57D5" w:rsidP="00912A87" w:rsidRDefault="006B57D5" w14:paraId="3DE4682F" w14:textId="77777777">
            <w:pPr>
              <w:autoSpaceDE w:val="0"/>
              <w:autoSpaceDN w:val="0"/>
              <w:adjustRightInd w:val="0"/>
              <w:jc w:val="center"/>
            </w:pPr>
          </w:p>
        </w:tc>
      </w:tr>
      <w:tr w:rsidRPr="00A57998" w:rsidR="006B57D5" w:rsidTr="006B57D5" w14:paraId="742877FA" w14:textId="1576FDE3">
        <w:tc>
          <w:tcPr>
            <w:tcW w:w="1820" w:type="dxa"/>
          </w:tcPr>
          <w:p w:rsidRPr="00A57998" w:rsidR="006B57D5" w:rsidP="00912A87" w:rsidRDefault="006B57D5" w14:paraId="7C922D8C" w14:textId="77777777">
            <w:pPr>
              <w:autoSpaceDE w:val="0"/>
              <w:autoSpaceDN w:val="0"/>
              <w:adjustRightInd w:val="0"/>
            </w:pPr>
            <w:r w:rsidRPr="00A57998">
              <w:t>Data Analysis</w:t>
            </w:r>
          </w:p>
        </w:tc>
        <w:tc>
          <w:tcPr>
            <w:tcW w:w="496" w:type="dxa"/>
            <w:shd w:val="clear" w:color="auto" w:fill="FFFFFF" w:themeFill="background1"/>
          </w:tcPr>
          <w:p w:rsidRPr="00A57998" w:rsidR="006B57D5" w:rsidP="00912A87" w:rsidRDefault="006B57D5" w14:paraId="0EEA612D" w14:textId="77777777">
            <w:pPr>
              <w:autoSpaceDE w:val="0"/>
              <w:autoSpaceDN w:val="0"/>
              <w:adjustRightInd w:val="0"/>
              <w:jc w:val="center"/>
            </w:pPr>
          </w:p>
        </w:tc>
        <w:tc>
          <w:tcPr>
            <w:tcW w:w="645" w:type="dxa"/>
            <w:shd w:val="clear" w:color="auto" w:fill="FFFFFF" w:themeFill="background1"/>
          </w:tcPr>
          <w:p w:rsidRPr="00A57998" w:rsidR="006B57D5" w:rsidP="00912A87" w:rsidRDefault="006B57D5" w14:paraId="509EC500" w14:textId="77777777">
            <w:pPr>
              <w:autoSpaceDE w:val="0"/>
              <w:autoSpaceDN w:val="0"/>
              <w:adjustRightInd w:val="0"/>
              <w:jc w:val="center"/>
            </w:pPr>
          </w:p>
        </w:tc>
        <w:tc>
          <w:tcPr>
            <w:tcW w:w="469" w:type="dxa"/>
          </w:tcPr>
          <w:p w:rsidRPr="00A57998" w:rsidR="006B57D5" w:rsidP="00912A87" w:rsidRDefault="006B57D5" w14:paraId="75F8800A" w14:textId="77777777">
            <w:pPr>
              <w:autoSpaceDE w:val="0"/>
              <w:autoSpaceDN w:val="0"/>
              <w:adjustRightInd w:val="0"/>
              <w:jc w:val="center"/>
            </w:pPr>
          </w:p>
        </w:tc>
        <w:tc>
          <w:tcPr>
            <w:tcW w:w="497" w:type="dxa"/>
            <w:shd w:val="clear" w:color="auto" w:fill="auto"/>
          </w:tcPr>
          <w:p w:rsidRPr="00A57998" w:rsidR="006B57D5" w:rsidP="00912A87" w:rsidRDefault="006B57D5" w14:paraId="5955072D" w14:textId="6F2B048C">
            <w:pPr>
              <w:autoSpaceDE w:val="0"/>
              <w:autoSpaceDN w:val="0"/>
              <w:adjustRightInd w:val="0"/>
              <w:jc w:val="center"/>
            </w:pPr>
          </w:p>
        </w:tc>
        <w:tc>
          <w:tcPr>
            <w:tcW w:w="457" w:type="dxa"/>
            <w:shd w:val="clear" w:color="auto" w:fill="auto"/>
          </w:tcPr>
          <w:p w:rsidRPr="00A57998" w:rsidR="006B57D5" w:rsidP="00912A87" w:rsidRDefault="006B57D5" w14:paraId="2E0139D1" w14:textId="605A640C">
            <w:pPr>
              <w:autoSpaceDE w:val="0"/>
              <w:autoSpaceDN w:val="0"/>
              <w:adjustRightInd w:val="0"/>
              <w:jc w:val="center"/>
            </w:pPr>
          </w:p>
        </w:tc>
        <w:tc>
          <w:tcPr>
            <w:tcW w:w="457" w:type="dxa"/>
            <w:shd w:val="clear" w:color="auto" w:fill="auto"/>
          </w:tcPr>
          <w:p w:rsidRPr="00A57998" w:rsidR="006B57D5" w:rsidP="00912A87" w:rsidRDefault="006B57D5" w14:paraId="0013D30F" w14:textId="06BCFD80">
            <w:pPr>
              <w:autoSpaceDE w:val="0"/>
              <w:autoSpaceDN w:val="0"/>
              <w:adjustRightInd w:val="0"/>
              <w:jc w:val="center"/>
            </w:pPr>
          </w:p>
        </w:tc>
        <w:tc>
          <w:tcPr>
            <w:tcW w:w="471" w:type="dxa"/>
            <w:shd w:val="clear" w:color="auto" w:fill="auto"/>
          </w:tcPr>
          <w:p w:rsidRPr="00A57998" w:rsidR="006B57D5" w:rsidP="00912A87" w:rsidRDefault="006B57D5" w14:paraId="1394888B" w14:textId="1B55C283">
            <w:pPr>
              <w:autoSpaceDE w:val="0"/>
              <w:autoSpaceDN w:val="0"/>
              <w:adjustRightInd w:val="0"/>
              <w:jc w:val="center"/>
            </w:pPr>
          </w:p>
        </w:tc>
        <w:tc>
          <w:tcPr>
            <w:tcW w:w="417" w:type="dxa"/>
            <w:shd w:val="clear" w:color="auto" w:fill="BFBFBF" w:themeFill="background1" w:themeFillShade="BF"/>
          </w:tcPr>
          <w:p w:rsidRPr="00A57998" w:rsidR="006B57D5" w:rsidP="00912A87" w:rsidRDefault="006B57D5" w14:paraId="3A490DC3" w14:textId="6A27ADE0">
            <w:pPr>
              <w:autoSpaceDE w:val="0"/>
              <w:autoSpaceDN w:val="0"/>
              <w:adjustRightInd w:val="0"/>
              <w:jc w:val="center"/>
            </w:pPr>
            <w:r w:rsidRPr="00A57998">
              <w:t>X</w:t>
            </w:r>
          </w:p>
        </w:tc>
        <w:tc>
          <w:tcPr>
            <w:tcW w:w="482" w:type="dxa"/>
            <w:shd w:val="clear" w:color="auto" w:fill="BFBFBF" w:themeFill="background1" w:themeFillShade="BF"/>
          </w:tcPr>
          <w:p w:rsidRPr="00A57998" w:rsidR="006B57D5" w:rsidP="00912A87" w:rsidRDefault="006B57D5" w14:paraId="403128E0" w14:textId="4E414D8E">
            <w:pPr>
              <w:autoSpaceDE w:val="0"/>
              <w:autoSpaceDN w:val="0"/>
              <w:adjustRightInd w:val="0"/>
              <w:jc w:val="center"/>
            </w:pPr>
            <w:r w:rsidRPr="00A57998">
              <w:t>X</w:t>
            </w:r>
          </w:p>
        </w:tc>
        <w:tc>
          <w:tcPr>
            <w:tcW w:w="537" w:type="dxa"/>
            <w:shd w:val="clear" w:color="auto" w:fill="BFBFBF" w:themeFill="background1" w:themeFillShade="BF"/>
          </w:tcPr>
          <w:p w:rsidRPr="00A57998" w:rsidR="006B57D5" w:rsidP="00912A87" w:rsidRDefault="006B57D5" w14:paraId="444708C6" w14:textId="3C39B346">
            <w:pPr>
              <w:autoSpaceDE w:val="0"/>
              <w:autoSpaceDN w:val="0"/>
              <w:adjustRightInd w:val="0"/>
              <w:jc w:val="center"/>
            </w:pPr>
            <w:r>
              <w:t>X</w:t>
            </w:r>
          </w:p>
        </w:tc>
        <w:tc>
          <w:tcPr>
            <w:tcW w:w="456" w:type="dxa"/>
            <w:shd w:val="clear" w:color="auto" w:fill="BFBFBF" w:themeFill="background1" w:themeFillShade="BF"/>
          </w:tcPr>
          <w:p w:rsidR="006B57D5" w:rsidP="00912A87" w:rsidRDefault="006B57D5" w14:paraId="0F20A19E" w14:textId="59045C76">
            <w:pPr>
              <w:autoSpaceDE w:val="0"/>
              <w:autoSpaceDN w:val="0"/>
              <w:adjustRightInd w:val="0"/>
              <w:jc w:val="center"/>
            </w:pPr>
            <w:r>
              <w:t>X</w:t>
            </w:r>
          </w:p>
        </w:tc>
        <w:tc>
          <w:tcPr>
            <w:tcW w:w="456" w:type="dxa"/>
            <w:shd w:val="clear" w:color="auto" w:fill="BFBFBF" w:themeFill="background1" w:themeFillShade="BF"/>
          </w:tcPr>
          <w:p w:rsidR="006B57D5" w:rsidP="00912A87" w:rsidRDefault="006B57D5" w14:paraId="32DE8708" w14:textId="175BF083">
            <w:pPr>
              <w:autoSpaceDE w:val="0"/>
              <w:autoSpaceDN w:val="0"/>
              <w:adjustRightInd w:val="0"/>
              <w:jc w:val="center"/>
            </w:pPr>
            <w:r>
              <w:t>X</w:t>
            </w:r>
          </w:p>
        </w:tc>
      </w:tr>
      <w:tr w:rsidRPr="00A57998" w:rsidR="006B57D5" w:rsidTr="006B57D5" w14:paraId="2DDC6168" w14:textId="6212DD81">
        <w:tc>
          <w:tcPr>
            <w:tcW w:w="1820" w:type="dxa"/>
          </w:tcPr>
          <w:p w:rsidRPr="00A57998" w:rsidR="006B57D5" w:rsidP="00912A87" w:rsidRDefault="006B57D5" w14:paraId="4F8F9699" w14:textId="77777777">
            <w:pPr>
              <w:autoSpaceDE w:val="0"/>
              <w:autoSpaceDN w:val="0"/>
              <w:adjustRightInd w:val="0"/>
            </w:pPr>
            <w:r w:rsidRPr="008838BA">
              <w:t xml:space="preserve">Final Report </w:t>
            </w:r>
          </w:p>
        </w:tc>
        <w:tc>
          <w:tcPr>
            <w:tcW w:w="496" w:type="dxa"/>
            <w:shd w:val="clear" w:color="auto" w:fill="FFFFFF" w:themeFill="background1"/>
          </w:tcPr>
          <w:p w:rsidRPr="00A57998" w:rsidR="006B57D5" w:rsidP="00912A87" w:rsidRDefault="006B57D5" w14:paraId="52915142" w14:textId="77777777">
            <w:pPr>
              <w:autoSpaceDE w:val="0"/>
              <w:autoSpaceDN w:val="0"/>
              <w:adjustRightInd w:val="0"/>
              <w:jc w:val="center"/>
            </w:pPr>
          </w:p>
        </w:tc>
        <w:tc>
          <w:tcPr>
            <w:tcW w:w="645" w:type="dxa"/>
            <w:shd w:val="clear" w:color="auto" w:fill="FFFFFF" w:themeFill="background1"/>
          </w:tcPr>
          <w:p w:rsidRPr="00A57998" w:rsidR="006B57D5" w:rsidP="00912A87" w:rsidRDefault="006B57D5" w14:paraId="2BE73D79" w14:textId="77777777">
            <w:pPr>
              <w:autoSpaceDE w:val="0"/>
              <w:autoSpaceDN w:val="0"/>
              <w:adjustRightInd w:val="0"/>
              <w:jc w:val="center"/>
            </w:pPr>
          </w:p>
        </w:tc>
        <w:tc>
          <w:tcPr>
            <w:tcW w:w="469" w:type="dxa"/>
          </w:tcPr>
          <w:p w:rsidRPr="00A57998" w:rsidR="006B57D5" w:rsidP="00912A87" w:rsidRDefault="006B57D5" w14:paraId="612E2565" w14:textId="77777777">
            <w:pPr>
              <w:autoSpaceDE w:val="0"/>
              <w:autoSpaceDN w:val="0"/>
              <w:adjustRightInd w:val="0"/>
              <w:jc w:val="center"/>
            </w:pPr>
          </w:p>
        </w:tc>
        <w:tc>
          <w:tcPr>
            <w:tcW w:w="497" w:type="dxa"/>
          </w:tcPr>
          <w:p w:rsidRPr="00A57998" w:rsidR="006B57D5" w:rsidP="00912A87" w:rsidRDefault="006B57D5" w14:paraId="425D76BF" w14:textId="77777777">
            <w:pPr>
              <w:autoSpaceDE w:val="0"/>
              <w:autoSpaceDN w:val="0"/>
              <w:adjustRightInd w:val="0"/>
              <w:jc w:val="center"/>
            </w:pPr>
          </w:p>
        </w:tc>
        <w:tc>
          <w:tcPr>
            <w:tcW w:w="457" w:type="dxa"/>
          </w:tcPr>
          <w:p w:rsidRPr="00A57998" w:rsidR="006B57D5" w:rsidP="00912A87" w:rsidRDefault="006B57D5" w14:paraId="16A15C2D" w14:textId="77777777">
            <w:pPr>
              <w:autoSpaceDE w:val="0"/>
              <w:autoSpaceDN w:val="0"/>
              <w:adjustRightInd w:val="0"/>
              <w:jc w:val="center"/>
            </w:pPr>
          </w:p>
        </w:tc>
        <w:tc>
          <w:tcPr>
            <w:tcW w:w="457" w:type="dxa"/>
          </w:tcPr>
          <w:p w:rsidRPr="00A57998" w:rsidR="006B57D5" w:rsidP="00912A87" w:rsidRDefault="006B57D5" w14:paraId="4759D535" w14:textId="77777777">
            <w:pPr>
              <w:autoSpaceDE w:val="0"/>
              <w:autoSpaceDN w:val="0"/>
              <w:adjustRightInd w:val="0"/>
              <w:jc w:val="center"/>
            </w:pPr>
          </w:p>
        </w:tc>
        <w:tc>
          <w:tcPr>
            <w:tcW w:w="471" w:type="dxa"/>
            <w:shd w:val="clear" w:color="auto" w:fill="auto"/>
          </w:tcPr>
          <w:p w:rsidRPr="00A57998" w:rsidR="006B57D5" w:rsidP="00912A87" w:rsidRDefault="006B57D5" w14:paraId="5C552832" w14:textId="4413D91B">
            <w:pPr>
              <w:autoSpaceDE w:val="0"/>
              <w:autoSpaceDN w:val="0"/>
              <w:adjustRightInd w:val="0"/>
              <w:jc w:val="center"/>
            </w:pPr>
          </w:p>
        </w:tc>
        <w:tc>
          <w:tcPr>
            <w:tcW w:w="417" w:type="dxa"/>
            <w:shd w:val="clear" w:color="auto" w:fill="auto"/>
          </w:tcPr>
          <w:p w:rsidRPr="00A57998" w:rsidR="006B57D5" w:rsidP="00912A87" w:rsidRDefault="006B57D5" w14:paraId="1D93DDF0" w14:textId="77777777">
            <w:pPr>
              <w:autoSpaceDE w:val="0"/>
              <w:autoSpaceDN w:val="0"/>
              <w:adjustRightInd w:val="0"/>
              <w:jc w:val="center"/>
            </w:pPr>
          </w:p>
        </w:tc>
        <w:tc>
          <w:tcPr>
            <w:tcW w:w="482" w:type="dxa"/>
            <w:shd w:val="clear" w:color="auto" w:fill="auto"/>
          </w:tcPr>
          <w:p w:rsidRPr="00A57998" w:rsidR="006B57D5" w:rsidP="00912A87" w:rsidRDefault="006B57D5" w14:paraId="699DC383" w14:textId="1FA1CF21">
            <w:pPr>
              <w:autoSpaceDE w:val="0"/>
              <w:autoSpaceDN w:val="0"/>
              <w:adjustRightInd w:val="0"/>
              <w:jc w:val="center"/>
            </w:pPr>
          </w:p>
        </w:tc>
        <w:tc>
          <w:tcPr>
            <w:tcW w:w="537" w:type="dxa"/>
            <w:shd w:val="clear" w:color="auto" w:fill="FFFFFF" w:themeFill="background1"/>
          </w:tcPr>
          <w:p w:rsidRPr="00A57998" w:rsidR="006B57D5" w:rsidP="00912A87" w:rsidRDefault="006B57D5" w14:paraId="49F3ED1E" w14:textId="16A3DFC9">
            <w:pPr>
              <w:autoSpaceDE w:val="0"/>
              <w:autoSpaceDN w:val="0"/>
              <w:adjustRightInd w:val="0"/>
              <w:jc w:val="center"/>
            </w:pPr>
          </w:p>
        </w:tc>
        <w:tc>
          <w:tcPr>
            <w:tcW w:w="456" w:type="dxa"/>
            <w:shd w:val="clear" w:color="auto" w:fill="BFBFBF" w:themeFill="background1" w:themeFillShade="BF"/>
          </w:tcPr>
          <w:p w:rsidRPr="00A57998" w:rsidR="006B57D5" w:rsidP="00912A87" w:rsidRDefault="006B57D5" w14:paraId="76039651" w14:textId="3D269CAB">
            <w:pPr>
              <w:autoSpaceDE w:val="0"/>
              <w:autoSpaceDN w:val="0"/>
              <w:adjustRightInd w:val="0"/>
              <w:jc w:val="center"/>
            </w:pPr>
            <w:r>
              <w:t>X</w:t>
            </w:r>
          </w:p>
        </w:tc>
        <w:tc>
          <w:tcPr>
            <w:tcW w:w="456" w:type="dxa"/>
            <w:shd w:val="clear" w:color="auto" w:fill="BFBFBF" w:themeFill="background1" w:themeFillShade="BF"/>
          </w:tcPr>
          <w:p w:rsidRPr="00A57998" w:rsidR="006B57D5" w:rsidP="00912A87" w:rsidRDefault="006B57D5" w14:paraId="759A6CA5" w14:textId="0D55261D">
            <w:pPr>
              <w:autoSpaceDE w:val="0"/>
              <w:autoSpaceDN w:val="0"/>
              <w:adjustRightInd w:val="0"/>
              <w:jc w:val="center"/>
            </w:pPr>
            <w:r>
              <w:t>X</w:t>
            </w:r>
          </w:p>
        </w:tc>
      </w:tr>
    </w:tbl>
    <w:p w:rsidR="006B57D5" w:rsidP="00335313" w:rsidRDefault="006B57D5" w14:paraId="5F9E9B94" w14:textId="77777777">
      <w:pPr>
        <w:spacing w:after="0" w:line="240" w:lineRule="auto"/>
        <w:rPr>
          <w:rFonts w:cs="Times New Roman"/>
          <w:szCs w:val="24"/>
        </w:rPr>
      </w:pPr>
    </w:p>
    <w:p w:rsidR="006B57D5" w:rsidP="00335313" w:rsidRDefault="006B57D5" w14:paraId="7CE69292" w14:textId="77777777">
      <w:pPr>
        <w:spacing w:after="0" w:line="240" w:lineRule="auto"/>
        <w:rPr>
          <w:rFonts w:cs="Times New Roman"/>
          <w:szCs w:val="24"/>
        </w:rPr>
      </w:pPr>
    </w:p>
    <w:p w:rsidR="00467E98" w:rsidP="00335313" w:rsidRDefault="00467E98" w14:paraId="3AA7AFCD" w14:textId="62C3642A">
      <w:pPr>
        <w:spacing w:after="0" w:line="240" w:lineRule="auto"/>
        <w:rPr>
          <w:rFonts w:cs="Times New Roman"/>
          <w:szCs w:val="24"/>
        </w:rPr>
      </w:pPr>
      <w:r w:rsidRPr="00A91470">
        <w:rPr>
          <w:rFonts w:cs="Times New Roman"/>
          <w:szCs w:val="24"/>
        </w:rPr>
        <w:t xml:space="preserve">The following attachment </w:t>
      </w:r>
      <w:r w:rsidRPr="00A91470" w:rsidR="00270765">
        <w:rPr>
          <w:rFonts w:cs="Times New Roman"/>
          <w:szCs w:val="24"/>
        </w:rPr>
        <w:t>is</w:t>
      </w:r>
      <w:r w:rsidRPr="00A91470">
        <w:rPr>
          <w:rFonts w:cs="Times New Roman"/>
          <w:szCs w:val="24"/>
        </w:rPr>
        <w:t xml:space="preserve"> provided for this information collection:</w:t>
      </w:r>
    </w:p>
    <w:p w:rsidRPr="00A91470" w:rsidR="004D4A8B" w:rsidP="00335313" w:rsidRDefault="006B57D5" w14:paraId="4E102E27" w14:textId="50435176">
      <w:pPr>
        <w:spacing w:after="0" w:line="240" w:lineRule="auto"/>
        <w:rPr>
          <w:rFonts w:cs="Times New Roman"/>
          <w:szCs w:val="24"/>
        </w:rPr>
      </w:pPr>
      <w:r w:rsidRPr="001A4512">
        <w:rPr>
          <w:rFonts w:cs="Times New Roman"/>
          <w:szCs w:val="24"/>
        </w:rPr>
        <w:t>Shortened CAHPS Hospice Survey</w:t>
      </w:r>
      <w:r>
        <w:rPr>
          <w:rFonts w:cs="Times New Roman"/>
          <w:szCs w:val="24"/>
          <w:highlight w:val="yellow"/>
        </w:rPr>
        <w:t xml:space="preserve"> </w:t>
      </w:r>
    </w:p>
    <w:sectPr w:rsidRPr="00A91470" w:rsidR="004D4A8B" w:rsidSect="007D6E75">
      <w:pgSz w:w="12240" w:h="15840" w:code="1"/>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EE239B" w16cid:durableId="2384761C"/>
  <w16cid:commentId w16cid:paraId="031C7A59" w16cid:durableId="238484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71C633" w14:textId="77777777" w:rsidR="00181A96" w:rsidRDefault="00181A96" w:rsidP="008111D2">
      <w:pPr>
        <w:spacing w:after="0" w:line="240" w:lineRule="auto"/>
      </w:pPr>
      <w:r>
        <w:separator/>
      </w:r>
    </w:p>
  </w:endnote>
  <w:endnote w:type="continuationSeparator" w:id="0">
    <w:p w14:paraId="170D070F" w14:textId="77777777" w:rsidR="00181A96" w:rsidRDefault="00181A96"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F9F87" w14:textId="77777777" w:rsidR="00181A96" w:rsidRDefault="00181A96" w:rsidP="008111D2">
      <w:pPr>
        <w:spacing w:after="0" w:line="240" w:lineRule="auto"/>
      </w:pPr>
      <w:r>
        <w:separator/>
      </w:r>
    </w:p>
  </w:footnote>
  <w:footnote w:type="continuationSeparator" w:id="0">
    <w:p w14:paraId="2306875B" w14:textId="77777777" w:rsidR="00181A96" w:rsidRDefault="00181A96" w:rsidP="008111D2">
      <w:pPr>
        <w:spacing w:after="0" w:line="240" w:lineRule="auto"/>
      </w:pPr>
      <w:r>
        <w:continuationSeparator/>
      </w:r>
    </w:p>
  </w:footnote>
  <w:footnote w:id="1">
    <w:p w14:paraId="588365C5" w14:textId="7F9ACFF2" w:rsidR="00E9488F" w:rsidRPr="00830B53" w:rsidRDefault="00E9488F" w:rsidP="00E9488F">
      <w:pPr>
        <w:spacing w:after="100"/>
        <w:rPr>
          <w:rFonts w:asciiTheme="minorHAnsi" w:hAnsiTheme="minorHAnsi" w:cstheme="minorHAnsi"/>
          <w:sz w:val="20"/>
          <w:szCs w:val="20"/>
        </w:rPr>
      </w:pPr>
      <w:r w:rsidRPr="00E9488F">
        <w:rPr>
          <w:rStyle w:val="FootnoteReference"/>
          <w:rFonts w:asciiTheme="minorHAnsi" w:hAnsiTheme="minorHAnsi" w:cstheme="minorHAnsi"/>
          <w:sz w:val="20"/>
          <w:szCs w:val="20"/>
        </w:rPr>
        <w:footnoteRef/>
      </w:r>
      <w:r w:rsidRPr="00E9488F">
        <w:rPr>
          <w:rFonts w:asciiTheme="minorHAnsi" w:hAnsiTheme="minorHAnsi" w:cstheme="minorHAnsi"/>
          <w:sz w:val="20"/>
          <w:szCs w:val="20"/>
        </w:rPr>
        <w:t xml:space="preserve"> </w:t>
      </w:r>
      <w:proofErr w:type="spellStart"/>
      <w:r w:rsidRPr="00E9488F">
        <w:rPr>
          <w:rFonts w:asciiTheme="minorHAnsi" w:hAnsiTheme="minorHAnsi" w:cstheme="minorHAnsi"/>
          <w:sz w:val="20"/>
          <w:szCs w:val="20"/>
        </w:rPr>
        <w:t>Parast</w:t>
      </w:r>
      <w:proofErr w:type="spellEnd"/>
      <w:r w:rsidRPr="00E9488F">
        <w:rPr>
          <w:rFonts w:asciiTheme="minorHAnsi" w:hAnsiTheme="minorHAnsi" w:cstheme="minorHAnsi"/>
          <w:sz w:val="20"/>
          <w:szCs w:val="20"/>
        </w:rPr>
        <w:t xml:space="preserve">, L., Haas A., et al. (2018) Effects of Caregiver and Decedent Characteristics on CAHPS Hospice Survey Scores. </w:t>
      </w:r>
      <w:r w:rsidRPr="00830B53">
        <w:rPr>
          <w:rFonts w:asciiTheme="minorHAnsi" w:hAnsiTheme="minorHAnsi" w:cstheme="minorHAnsi"/>
          <w:i/>
          <w:iCs/>
          <w:sz w:val="20"/>
          <w:szCs w:val="20"/>
        </w:rPr>
        <w:t>J Pain Symptom Manage</w:t>
      </w:r>
      <w:r w:rsidRPr="00830B53">
        <w:rPr>
          <w:rFonts w:asciiTheme="minorHAnsi" w:hAnsiTheme="minorHAnsi" w:cstheme="minorHAnsi"/>
          <w:sz w:val="20"/>
          <w:szCs w:val="20"/>
        </w:rPr>
        <w:t>. 56(4):519-529.</w:t>
      </w:r>
    </w:p>
    <w:p w14:paraId="78A6F293" w14:textId="2FE86432" w:rsidR="00E9488F" w:rsidRPr="00830B53" w:rsidRDefault="00E9488F">
      <w:pPr>
        <w:pStyle w:val="FootnoteText"/>
      </w:pPr>
    </w:p>
  </w:footnote>
  <w:footnote w:id="2">
    <w:p w14:paraId="7F74F5D2" w14:textId="77777777" w:rsidR="00264A5F" w:rsidRDefault="00264A5F" w:rsidP="00264A5F">
      <w:pPr>
        <w:pStyle w:val="FootnoteText"/>
      </w:pPr>
      <w:r>
        <w:rPr>
          <w:rStyle w:val="FootnoteReference"/>
        </w:rPr>
        <w:footnoteRef/>
      </w:r>
      <w:r>
        <w:t xml:space="preserve"> </w:t>
      </w:r>
      <w:r w:rsidRPr="00793B65">
        <w:t xml:space="preserve">Mathews M, </w:t>
      </w:r>
      <w:proofErr w:type="spellStart"/>
      <w:r w:rsidRPr="00793B65">
        <w:t>Parast</w:t>
      </w:r>
      <w:proofErr w:type="spellEnd"/>
      <w:r w:rsidRPr="00793B65">
        <w:t xml:space="preserve"> L, </w:t>
      </w:r>
      <w:proofErr w:type="spellStart"/>
      <w:r w:rsidRPr="00793B65">
        <w:t>Tolpadi</w:t>
      </w:r>
      <w:proofErr w:type="spellEnd"/>
      <w:r w:rsidRPr="00793B65">
        <w:t xml:space="preserve"> A, Marc MN, Flow-</w:t>
      </w:r>
      <w:proofErr w:type="spellStart"/>
      <w:r w:rsidRPr="00793B65">
        <w:t>Delwiche</w:t>
      </w:r>
      <w:proofErr w:type="spellEnd"/>
      <w:r w:rsidRPr="00793B65">
        <w:t xml:space="preserve"> E, Becker K (2019). Methods for Improving Response Rates in an Emergency Department Setting - A Randomized Feasibility Study. </w:t>
      </w:r>
      <w:r w:rsidRPr="00264A5F">
        <w:rPr>
          <w:i/>
          <w:iCs/>
        </w:rPr>
        <w:t>Survey Practice</w:t>
      </w:r>
      <w:r w:rsidRPr="00793B65">
        <w:t>, 12(1): 10.29115/SP-2019-0007.</w:t>
      </w:r>
    </w:p>
  </w:footnote>
  <w:footnote w:id="3">
    <w:p w14:paraId="0295321A" w14:textId="77777777" w:rsidR="008510BE" w:rsidRPr="00FC57F9" w:rsidRDefault="008510BE" w:rsidP="008510BE">
      <w:pPr>
        <w:pStyle w:val="FootnoteText"/>
      </w:pPr>
      <w:r w:rsidRPr="00FC57F9">
        <w:rPr>
          <w:rStyle w:val="FootnoteReference"/>
        </w:rPr>
        <w:footnoteRef/>
      </w:r>
      <w:r w:rsidRPr="00830B53">
        <w:t xml:space="preserve">  </w:t>
      </w:r>
      <w:proofErr w:type="spellStart"/>
      <w:r w:rsidRPr="00830B53">
        <w:t>Parast</w:t>
      </w:r>
      <w:proofErr w:type="spellEnd"/>
      <w:r w:rsidRPr="00830B53">
        <w:t xml:space="preserve"> L., M. Mathews, et al. </w:t>
      </w:r>
      <w:r w:rsidRPr="00FC57F9">
        <w:t xml:space="preserve">(2019). Effects of Push-to-Web Mixed Mode Approaches on Survey Response Rates: Evidence from a Randomized Experiment in Emergency Departments. </w:t>
      </w:r>
      <w:r w:rsidRPr="003170A4">
        <w:rPr>
          <w:i/>
          <w:iCs/>
        </w:rPr>
        <w:t>Survey Practice</w:t>
      </w:r>
      <w:r>
        <w:rPr>
          <w:i/>
          <w:iCs/>
        </w:rPr>
        <w:t>,</w:t>
      </w:r>
      <w:r w:rsidRPr="00FC57F9">
        <w:t xml:space="preserve"> 12(2). </w:t>
      </w:r>
      <w:hyperlink r:id="rId1" w:tgtFrame="_blank" w:history="1">
        <w:r w:rsidRPr="00FC57F9">
          <w:rPr>
            <w:rStyle w:val="Hyperlink"/>
            <w:shd w:val="clear" w:color="auto" w:fill="FFFFFF"/>
          </w:rPr>
          <w:t>https://doi.org/10.29115/SP-2019-0008</w:t>
        </w:r>
      </w:hyperlink>
      <w:r w:rsidRPr="00FC57F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DBF"/>
    <w:multiLevelType w:val="hybridMultilevel"/>
    <w:tmpl w:val="3224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1F4A"/>
    <w:multiLevelType w:val="hybridMultilevel"/>
    <w:tmpl w:val="B58E99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D87B96"/>
    <w:multiLevelType w:val="hybridMultilevel"/>
    <w:tmpl w:val="F300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8975F4"/>
    <w:multiLevelType w:val="hybridMultilevel"/>
    <w:tmpl w:val="78A6FB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8"/>
  </w:num>
  <w:num w:numId="3">
    <w:abstractNumId w:val="9"/>
  </w:num>
  <w:num w:numId="4">
    <w:abstractNumId w:val="12"/>
  </w:num>
  <w:num w:numId="5">
    <w:abstractNumId w:val="4"/>
  </w:num>
  <w:num w:numId="6">
    <w:abstractNumId w:val="6"/>
  </w:num>
  <w:num w:numId="7">
    <w:abstractNumId w:val="7"/>
  </w:num>
  <w:num w:numId="8">
    <w:abstractNumId w:val="10"/>
  </w:num>
  <w:num w:numId="9">
    <w:abstractNumId w:val="0"/>
  </w:num>
  <w:num w:numId="10">
    <w:abstractNumId w:val="13"/>
  </w:num>
  <w:num w:numId="11">
    <w:abstractNumId w:val="3"/>
  </w:num>
  <w:num w:numId="12">
    <w:abstractNumId w:val="14"/>
  </w:num>
  <w:num w:numId="13">
    <w:abstractNumId w:val="5"/>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53D4"/>
    <w:rsid w:val="0000717F"/>
    <w:rsid w:val="00011FEE"/>
    <w:rsid w:val="00043D0E"/>
    <w:rsid w:val="000712B4"/>
    <w:rsid w:val="000846D5"/>
    <w:rsid w:val="0009620E"/>
    <w:rsid w:val="000D1CFD"/>
    <w:rsid w:val="000D5C5A"/>
    <w:rsid w:val="000E55DA"/>
    <w:rsid w:val="00111672"/>
    <w:rsid w:val="0012137A"/>
    <w:rsid w:val="00122C0E"/>
    <w:rsid w:val="0016468E"/>
    <w:rsid w:val="001727D0"/>
    <w:rsid w:val="00175A39"/>
    <w:rsid w:val="00181A96"/>
    <w:rsid w:val="00185CB4"/>
    <w:rsid w:val="001A1FC6"/>
    <w:rsid w:val="001A4512"/>
    <w:rsid w:val="001D197A"/>
    <w:rsid w:val="001E1FA0"/>
    <w:rsid w:val="001E66B6"/>
    <w:rsid w:val="001F2628"/>
    <w:rsid w:val="0020026D"/>
    <w:rsid w:val="00212451"/>
    <w:rsid w:val="00222B4F"/>
    <w:rsid w:val="00252D20"/>
    <w:rsid w:val="00262B47"/>
    <w:rsid w:val="00264A5F"/>
    <w:rsid w:val="00270765"/>
    <w:rsid w:val="0027114C"/>
    <w:rsid w:val="00277500"/>
    <w:rsid w:val="0029772E"/>
    <w:rsid w:val="003248D0"/>
    <w:rsid w:val="00325F87"/>
    <w:rsid w:val="00335313"/>
    <w:rsid w:val="003422CA"/>
    <w:rsid w:val="003627C8"/>
    <w:rsid w:val="003918B4"/>
    <w:rsid w:val="003F4D04"/>
    <w:rsid w:val="00405CF9"/>
    <w:rsid w:val="00432C17"/>
    <w:rsid w:val="00465B2D"/>
    <w:rsid w:val="00467E98"/>
    <w:rsid w:val="00474257"/>
    <w:rsid w:val="00475EF8"/>
    <w:rsid w:val="00483058"/>
    <w:rsid w:val="00494897"/>
    <w:rsid w:val="004A0A30"/>
    <w:rsid w:val="004B13E8"/>
    <w:rsid w:val="004C3B35"/>
    <w:rsid w:val="004D4A8B"/>
    <w:rsid w:val="00511CA8"/>
    <w:rsid w:val="0052333E"/>
    <w:rsid w:val="005858AD"/>
    <w:rsid w:val="00595BDF"/>
    <w:rsid w:val="00597229"/>
    <w:rsid w:val="005B6A37"/>
    <w:rsid w:val="005C580D"/>
    <w:rsid w:val="005D001F"/>
    <w:rsid w:val="005E3B79"/>
    <w:rsid w:val="005E52BE"/>
    <w:rsid w:val="006026DA"/>
    <w:rsid w:val="00622C1B"/>
    <w:rsid w:val="00631C51"/>
    <w:rsid w:val="00647812"/>
    <w:rsid w:val="00685368"/>
    <w:rsid w:val="00696F86"/>
    <w:rsid w:val="006B57D5"/>
    <w:rsid w:val="006C0B96"/>
    <w:rsid w:val="006C4626"/>
    <w:rsid w:val="006F4FF9"/>
    <w:rsid w:val="00706AC2"/>
    <w:rsid w:val="00707666"/>
    <w:rsid w:val="0071650B"/>
    <w:rsid w:val="00716824"/>
    <w:rsid w:val="00723A9E"/>
    <w:rsid w:val="00737FF8"/>
    <w:rsid w:val="00767966"/>
    <w:rsid w:val="00797D86"/>
    <w:rsid w:val="007A7B05"/>
    <w:rsid w:val="007B5FC6"/>
    <w:rsid w:val="007D6E75"/>
    <w:rsid w:val="007F1711"/>
    <w:rsid w:val="00802598"/>
    <w:rsid w:val="008111D2"/>
    <w:rsid w:val="00830B53"/>
    <w:rsid w:val="00836E8F"/>
    <w:rsid w:val="008510BE"/>
    <w:rsid w:val="00873459"/>
    <w:rsid w:val="0088756F"/>
    <w:rsid w:val="008B2AF0"/>
    <w:rsid w:val="008C11BC"/>
    <w:rsid w:val="008C65C3"/>
    <w:rsid w:val="008D0968"/>
    <w:rsid w:val="008D52D1"/>
    <w:rsid w:val="008E6143"/>
    <w:rsid w:val="008F2AED"/>
    <w:rsid w:val="009004E1"/>
    <w:rsid w:val="00912A87"/>
    <w:rsid w:val="00931A4F"/>
    <w:rsid w:val="0095297C"/>
    <w:rsid w:val="00975BC5"/>
    <w:rsid w:val="009903AB"/>
    <w:rsid w:val="009B19E8"/>
    <w:rsid w:val="009C2F36"/>
    <w:rsid w:val="009C68A4"/>
    <w:rsid w:val="009E3FAC"/>
    <w:rsid w:val="00A138F7"/>
    <w:rsid w:val="00A55995"/>
    <w:rsid w:val="00A702E7"/>
    <w:rsid w:val="00A718B4"/>
    <w:rsid w:val="00A91470"/>
    <w:rsid w:val="00AA37EC"/>
    <w:rsid w:val="00AB01BC"/>
    <w:rsid w:val="00AB6203"/>
    <w:rsid w:val="00AD094C"/>
    <w:rsid w:val="00AE1BD8"/>
    <w:rsid w:val="00B03572"/>
    <w:rsid w:val="00B04A34"/>
    <w:rsid w:val="00B151B4"/>
    <w:rsid w:val="00B21C30"/>
    <w:rsid w:val="00B26D9A"/>
    <w:rsid w:val="00B334F4"/>
    <w:rsid w:val="00B43BBD"/>
    <w:rsid w:val="00B532F3"/>
    <w:rsid w:val="00B6076F"/>
    <w:rsid w:val="00B87957"/>
    <w:rsid w:val="00BD32FA"/>
    <w:rsid w:val="00C0603D"/>
    <w:rsid w:val="00C2142E"/>
    <w:rsid w:val="00C71F86"/>
    <w:rsid w:val="00C75DFB"/>
    <w:rsid w:val="00C94C5E"/>
    <w:rsid w:val="00C95C96"/>
    <w:rsid w:val="00CB241F"/>
    <w:rsid w:val="00CB646D"/>
    <w:rsid w:val="00CF6C1D"/>
    <w:rsid w:val="00D12ABB"/>
    <w:rsid w:val="00D14E2F"/>
    <w:rsid w:val="00D215B4"/>
    <w:rsid w:val="00D42E31"/>
    <w:rsid w:val="00D46C38"/>
    <w:rsid w:val="00D4736A"/>
    <w:rsid w:val="00D87858"/>
    <w:rsid w:val="00DD794C"/>
    <w:rsid w:val="00DF098E"/>
    <w:rsid w:val="00E0024E"/>
    <w:rsid w:val="00E23052"/>
    <w:rsid w:val="00E53CFD"/>
    <w:rsid w:val="00E83C3E"/>
    <w:rsid w:val="00E93F3F"/>
    <w:rsid w:val="00E9488F"/>
    <w:rsid w:val="00EA4AB1"/>
    <w:rsid w:val="00EB1115"/>
    <w:rsid w:val="00ED5F04"/>
    <w:rsid w:val="00EE1AD1"/>
    <w:rsid w:val="00EF3A74"/>
    <w:rsid w:val="00F01D40"/>
    <w:rsid w:val="00F04F6D"/>
    <w:rsid w:val="00F10096"/>
    <w:rsid w:val="00F124DF"/>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0ABDC1"/>
  <w15:docId w15:val="{42A02DA6-F2C0-4D17-81B7-D067BF47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BodyText">
    <w:name w:val="Body Text"/>
    <w:basedOn w:val="Normal"/>
    <w:link w:val="BodyTextChar"/>
    <w:uiPriority w:val="1"/>
    <w:qFormat/>
    <w:rsid w:val="004D4A8B"/>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D4A8B"/>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B04A34"/>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4A3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29115/SP-2019-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C8E6-9618-44E7-B377-464CF74A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1358</Words>
  <Characters>7741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DEBRA DEAN-WHITTAKER</cp:lastModifiedBy>
  <cp:revision>2</cp:revision>
  <cp:lastPrinted>2014-06-27T18:10:00Z</cp:lastPrinted>
  <dcterms:created xsi:type="dcterms:W3CDTF">2021-01-11T16:42:00Z</dcterms:created>
  <dcterms:modified xsi:type="dcterms:W3CDTF">2021-01-11T16:42:00Z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