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C2F61" w14:textId="77777777" w:rsidR="008B3573" w:rsidRPr="00363516" w:rsidRDefault="008B3573">
      <w:pPr>
        <w:tabs>
          <w:tab w:val="center" w:pos="4680"/>
        </w:tabs>
        <w:rPr>
          <w:sz w:val="24"/>
        </w:rPr>
      </w:pPr>
      <w:bookmarkStart w:id="0" w:name="_GoBack"/>
      <w:bookmarkEnd w:id="0"/>
      <w:r>
        <w:rPr>
          <w:sz w:val="24"/>
        </w:rPr>
        <w:tab/>
      </w:r>
      <w:r w:rsidRPr="00363516">
        <w:rPr>
          <w:sz w:val="24"/>
        </w:rPr>
        <w:t>Supporting Statement</w:t>
      </w:r>
    </w:p>
    <w:p w14:paraId="6A326AD6" w14:textId="77777777" w:rsidR="008B3573" w:rsidRPr="00363516" w:rsidRDefault="008B3573">
      <w:pPr>
        <w:tabs>
          <w:tab w:val="center" w:pos="4680"/>
        </w:tabs>
        <w:rPr>
          <w:sz w:val="24"/>
        </w:rPr>
      </w:pPr>
      <w:r w:rsidRPr="00363516">
        <w:rPr>
          <w:sz w:val="24"/>
        </w:rPr>
        <w:tab/>
        <w:t>Medicare Credit Balance Reporting Requirements</w:t>
      </w:r>
    </w:p>
    <w:p w14:paraId="25A6F127" w14:textId="77777777" w:rsidR="004B6690" w:rsidRDefault="008B3573">
      <w:pPr>
        <w:tabs>
          <w:tab w:val="center" w:pos="4680"/>
        </w:tabs>
        <w:rPr>
          <w:sz w:val="24"/>
        </w:rPr>
      </w:pPr>
      <w:r w:rsidRPr="00363516">
        <w:rPr>
          <w:sz w:val="24"/>
        </w:rPr>
        <w:tab/>
        <w:t>and Supporting Regulations in 42 CFR 405.371, 405.378, and 413.20</w:t>
      </w:r>
      <w:r w:rsidR="004B6690">
        <w:rPr>
          <w:sz w:val="24"/>
        </w:rPr>
        <w:t xml:space="preserve"> </w:t>
      </w:r>
    </w:p>
    <w:p w14:paraId="2B398257" w14:textId="00D16273" w:rsidR="008B3573" w:rsidRPr="00363516" w:rsidRDefault="004B6690" w:rsidP="004B6690">
      <w:pPr>
        <w:tabs>
          <w:tab w:val="center" w:pos="4680"/>
        </w:tabs>
        <w:jc w:val="center"/>
        <w:rPr>
          <w:sz w:val="24"/>
        </w:rPr>
      </w:pPr>
      <w:r>
        <w:rPr>
          <w:sz w:val="24"/>
        </w:rPr>
        <w:t>CMS-838 (OMB: 0938-0600)</w:t>
      </w:r>
    </w:p>
    <w:p w14:paraId="5849FAFA" w14:textId="77777777" w:rsidR="008B3573" w:rsidRPr="00363516" w:rsidRDefault="008B3573">
      <w:pPr>
        <w:rPr>
          <w:sz w:val="24"/>
        </w:rPr>
      </w:pPr>
    </w:p>
    <w:p w14:paraId="292E2B94" w14:textId="77777777" w:rsidR="008B3573" w:rsidRPr="00363516" w:rsidRDefault="008B3573">
      <w:pPr>
        <w:rPr>
          <w:sz w:val="24"/>
        </w:rPr>
      </w:pPr>
      <w:r w:rsidRPr="00363516">
        <w:rPr>
          <w:sz w:val="24"/>
        </w:rPr>
        <w:t xml:space="preserve">A. </w:t>
      </w:r>
      <w:r w:rsidRPr="00363516">
        <w:rPr>
          <w:sz w:val="24"/>
          <w:u w:val="single"/>
        </w:rPr>
        <w:t>BACKGROUND</w:t>
      </w:r>
    </w:p>
    <w:p w14:paraId="6B4A8FAD" w14:textId="77777777" w:rsidR="008B3573" w:rsidRPr="00363516" w:rsidRDefault="008B3573">
      <w:pPr>
        <w:rPr>
          <w:sz w:val="24"/>
        </w:rPr>
      </w:pPr>
    </w:p>
    <w:p w14:paraId="2676C18E" w14:textId="0FF5EA2D" w:rsidR="008B3573" w:rsidRPr="00363516" w:rsidRDefault="00956DE9">
      <w:pPr>
        <w:rPr>
          <w:sz w:val="24"/>
        </w:rPr>
      </w:pPr>
      <w:r w:rsidRPr="00CD1622">
        <w:rPr>
          <w:sz w:val="24"/>
        </w:rPr>
        <w:t xml:space="preserve">Through the submission of this information collection request, CMS is seeking to reinstate the information collection requirements previously approved under OMB control number 0938-0600. The OMB Control Number lapsed due to administrative issues. </w:t>
      </w:r>
      <w:r w:rsidR="008B3573" w:rsidRPr="00956DE9">
        <w:rPr>
          <w:sz w:val="24"/>
        </w:rPr>
        <w:t>Section 1866(a)(1)(C) of the Social Security Act (Act) requires health care providers participating in th</w:t>
      </w:r>
      <w:r w:rsidR="008B3573" w:rsidRPr="00363516">
        <w:rPr>
          <w:sz w:val="24"/>
        </w:rPr>
        <w:t>e Medicare program to make adequate provisions to refund any monies incorrectly paid.  Studies performed by the Centers for Medicare &amp; Medicaid Servic</w:t>
      </w:r>
      <w:r w:rsidR="00241230">
        <w:rPr>
          <w:sz w:val="24"/>
        </w:rPr>
        <w:t xml:space="preserve">es (CMS), the Government Accountability </w:t>
      </w:r>
      <w:r w:rsidR="008B3573" w:rsidRPr="00363516">
        <w:rPr>
          <w:sz w:val="24"/>
        </w:rPr>
        <w:t xml:space="preserve">Office (GAO), and the HHS Office of the Inspector General (OIG) during the early 1990's showed that providers were not complying with this requirement.  </w:t>
      </w:r>
    </w:p>
    <w:p w14:paraId="34EC3908" w14:textId="77777777" w:rsidR="008B3573" w:rsidRPr="00363516" w:rsidRDefault="008B3573">
      <w:pPr>
        <w:rPr>
          <w:sz w:val="24"/>
        </w:rPr>
      </w:pPr>
    </w:p>
    <w:p w14:paraId="7DED4153" w14:textId="059094F4" w:rsidR="008B3573" w:rsidRPr="00363516" w:rsidRDefault="008B3573">
      <w:pPr>
        <w:rPr>
          <w:sz w:val="24"/>
        </w:rPr>
      </w:pPr>
      <w:r w:rsidRPr="00363516">
        <w:rPr>
          <w:sz w:val="24"/>
        </w:rPr>
        <w:t>Improper payments are made to providers through the Medicare claims processing system.  When</w:t>
      </w:r>
      <w:r w:rsidR="00F74709">
        <w:rPr>
          <w:sz w:val="24"/>
        </w:rPr>
        <w:t>ever</w:t>
      </w:r>
      <w:r w:rsidRPr="00363516">
        <w:rPr>
          <w:sz w:val="24"/>
        </w:rPr>
        <w:t xml:space="preserve"> </w:t>
      </w:r>
      <w:r w:rsidR="00F74709">
        <w:rPr>
          <w:sz w:val="24"/>
        </w:rPr>
        <w:t>a</w:t>
      </w:r>
      <w:r w:rsidRPr="00363516">
        <w:rPr>
          <w:sz w:val="24"/>
        </w:rPr>
        <w:t xml:space="preserve"> provider receives an improper payment for a claim it has submitted, th</w:t>
      </w:r>
      <w:r w:rsidR="00CF5CB6">
        <w:rPr>
          <w:sz w:val="24"/>
        </w:rPr>
        <w:t xml:space="preserve">is </w:t>
      </w:r>
      <w:r w:rsidRPr="00363516">
        <w:rPr>
          <w:sz w:val="24"/>
        </w:rPr>
        <w:t>payment is</w:t>
      </w:r>
      <w:r w:rsidR="00CF5CB6">
        <w:rPr>
          <w:sz w:val="24"/>
        </w:rPr>
        <w:t xml:space="preserve"> usually recorded </w:t>
      </w:r>
      <w:r w:rsidRPr="00363516">
        <w:rPr>
          <w:sz w:val="24"/>
        </w:rPr>
        <w:t xml:space="preserve">in its </w:t>
      </w:r>
      <w:r w:rsidR="001E27AA" w:rsidRPr="00363516">
        <w:rPr>
          <w:sz w:val="24"/>
        </w:rPr>
        <w:t xml:space="preserve">accounting </w:t>
      </w:r>
      <w:r w:rsidR="001E27AA">
        <w:rPr>
          <w:sz w:val="24"/>
        </w:rPr>
        <w:t>system.</w:t>
      </w:r>
      <w:r w:rsidR="001A1EAC">
        <w:rPr>
          <w:sz w:val="24"/>
        </w:rPr>
        <w:t xml:space="preserve">  Such payments are identified as Medicare credit balances.</w:t>
      </w:r>
    </w:p>
    <w:p w14:paraId="11F00D22" w14:textId="64188F3F" w:rsidR="008B3573" w:rsidRPr="00363516" w:rsidRDefault="008B3573">
      <w:pPr>
        <w:rPr>
          <w:sz w:val="24"/>
        </w:rPr>
      </w:pPr>
      <w:r w:rsidRPr="00363516">
        <w:rPr>
          <w:sz w:val="24"/>
        </w:rPr>
        <w:t xml:space="preserve">According to both GAO and OIG, providers have no incentive to refund credit balances due to the Medicare program or to refund them on a timely basis.  Generally, this is because no penalties can be assessed against them until the credit balances are identified.  GAO and OIG concluded that CMS needed to strengthen its controls over Medicare credit balances and recovery procedures employed by its </w:t>
      </w:r>
      <w:r w:rsidR="00226B6D">
        <w:rPr>
          <w:sz w:val="24"/>
        </w:rPr>
        <w:t>Medicare contractor (Medicare Administrative Contractor)</w:t>
      </w:r>
      <w:r w:rsidRPr="00363516">
        <w:rPr>
          <w:sz w:val="24"/>
        </w:rPr>
        <w:t>, and establish penalties to enforce timely reporting and repayment by providers.  In 1991, GAO specifically recommended that CMS initiate a provider credit balance reporting system.</w:t>
      </w:r>
    </w:p>
    <w:p w14:paraId="41348E1E" w14:textId="77777777" w:rsidR="008B3573" w:rsidRPr="00363516" w:rsidRDefault="008B3573">
      <w:pPr>
        <w:rPr>
          <w:sz w:val="24"/>
        </w:rPr>
      </w:pPr>
    </w:p>
    <w:p w14:paraId="183CFAA7" w14:textId="77777777" w:rsidR="008B3573" w:rsidRPr="00363516" w:rsidRDefault="008B3573">
      <w:pPr>
        <w:rPr>
          <w:sz w:val="24"/>
        </w:rPr>
      </w:pPr>
      <w:r w:rsidRPr="00363516">
        <w:rPr>
          <w:sz w:val="24"/>
        </w:rPr>
        <w:t xml:space="preserve">On April 8, 1991, CMS issued instructions requiring providers to report all Medicare credit balances to their </w:t>
      </w:r>
      <w:r w:rsidR="00226B6D">
        <w:rPr>
          <w:sz w:val="24"/>
        </w:rPr>
        <w:t>contractor</w:t>
      </w:r>
      <w:r w:rsidRPr="00363516">
        <w:rPr>
          <w:sz w:val="24"/>
        </w:rPr>
        <w:t xml:space="preserve"> on a quarterly basis.  These requirements were suspended because the Paperwork Reduction Act requires that the Office of Management and Budget (OMB) approve national data collections of this type.</w:t>
      </w:r>
    </w:p>
    <w:p w14:paraId="7668A5C4" w14:textId="77777777" w:rsidR="008B3573" w:rsidRPr="00363516" w:rsidRDefault="008B3573">
      <w:pPr>
        <w:rPr>
          <w:sz w:val="24"/>
        </w:rPr>
      </w:pPr>
    </w:p>
    <w:p w14:paraId="27AC4CE3" w14:textId="77777777" w:rsidR="008B3573" w:rsidRPr="00363516" w:rsidRDefault="008B3573">
      <w:pPr>
        <w:rPr>
          <w:sz w:val="24"/>
        </w:rPr>
      </w:pPr>
      <w:r w:rsidRPr="00363516">
        <w:rPr>
          <w:sz w:val="24"/>
        </w:rPr>
        <w:t xml:space="preserve">On April 21, 1992, OMB approved the use of Form CMS-838 (838), Medicare Credit Balance Report.  Following this approval, CMS reinstated its mandatory credit balance reporting requirements on June 8, 1992, furnishing providers with instructions for completing the 838 on a quarterly basis.  At that time, </w:t>
      </w:r>
      <w:r w:rsidR="00226B6D">
        <w:rPr>
          <w:sz w:val="24"/>
        </w:rPr>
        <w:t>contractors</w:t>
      </w:r>
      <w:r w:rsidRPr="00363516">
        <w:rPr>
          <w:sz w:val="24"/>
        </w:rPr>
        <w:t xml:space="preserve"> were instructed to designate a component to monitor and control all credit balance transactions, assure that all providers submit a completed report, </w:t>
      </w:r>
    </w:p>
    <w:p w14:paraId="180E5D89" w14:textId="77777777" w:rsidR="008B3573" w:rsidRPr="00363516" w:rsidRDefault="008B3573">
      <w:pPr>
        <w:rPr>
          <w:sz w:val="24"/>
        </w:rPr>
      </w:pPr>
      <w:r w:rsidRPr="00363516">
        <w:rPr>
          <w:sz w:val="24"/>
        </w:rPr>
        <w:t xml:space="preserve">accept checks as repayment of credit balances, and timely process adjustment bills.  On </w:t>
      </w:r>
    </w:p>
    <w:p w14:paraId="21D44157" w14:textId="6EB6E6F1" w:rsidR="008B3573" w:rsidRPr="00363516" w:rsidRDefault="008B3573">
      <w:pPr>
        <w:rPr>
          <w:sz w:val="24"/>
        </w:rPr>
      </w:pPr>
      <w:r w:rsidRPr="00363516">
        <w:rPr>
          <w:sz w:val="24"/>
        </w:rPr>
        <w:t xml:space="preserve">September 10, 1992, CMS issued clarifying instructions advising providers that failure to file the required reports may lead to the suspension of Medicare payments; however, CMS’ intention is to achieve compliance by the provider community in reporting credit balances and not to impose </w:t>
      </w:r>
      <w:r w:rsidR="001E27AA" w:rsidRPr="00363516">
        <w:rPr>
          <w:sz w:val="24"/>
        </w:rPr>
        <w:t xml:space="preserve">sanctions. </w:t>
      </w:r>
      <w:r w:rsidR="001E27AA">
        <w:rPr>
          <w:sz w:val="24"/>
        </w:rPr>
        <w:t>At</w:t>
      </w:r>
      <w:r w:rsidR="008B5B6F">
        <w:rPr>
          <w:sz w:val="24"/>
        </w:rPr>
        <w:t xml:space="preserve"> this time, we are re</w:t>
      </w:r>
      <w:r w:rsidR="004B6690">
        <w:rPr>
          <w:sz w:val="24"/>
        </w:rPr>
        <w:t>questing for an extension</w:t>
      </w:r>
      <w:r w:rsidRPr="00363516">
        <w:rPr>
          <w:sz w:val="24"/>
        </w:rPr>
        <w:t xml:space="preserve"> of </w:t>
      </w:r>
      <w:r w:rsidR="008B5B6F">
        <w:rPr>
          <w:sz w:val="24"/>
        </w:rPr>
        <w:t xml:space="preserve">the </w:t>
      </w:r>
      <w:r w:rsidR="004B6690">
        <w:rPr>
          <w:sz w:val="24"/>
        </w:rPr>
        <w:t>current</w:t>
      </w:r>
      <w:r w:rsidR="008B5B6F">
        <w:rPr>
          <w:sz w:val="24"/>
        </w:rPr>
        <w:t xml:space="preserve"> </w:t>
      </w:r>
      <w:r w:rsidR="004B6690">
        <w:rPr>
          <w:sz w:val="24"/>
        </w:rPr>
        <w:t>OMB approved package</w:t>
      </w:r>
      <w:r w:rsidRPr="00363516">
        <w:rPr>
          <w:sz w:val="24"/>
        </w:rPr>
        <w:t xml:space="preserve"> for the use of </w:t>
      </w:r>
      <w:r w:rsidR="008B5B6F">
        <w:rPr>
          <w:sz w:val="24"/>
        </w:rPr>
        <w:t>Form CMS-838.</w:t>
      </w:r>
    </w:p>
    <w:p w14:paraId="66DB5C8D" w14:textId="77777777" w:rsidR="008B3573" w:rsidRPr="00363516" w:rsidRDefault="008B3573">
      <w:pPr>
        <w:rPr>
          <w:sz w:val="24"/>
        </w:rPr>
      </w:pPr>
    </w:p>
    <w:p w14:paraId="0BE49A88" w14:textId="77777777" w:rsidR="00301B0E" w:rsidRDefault="00301B0E">
      <w:pPr>
        <w:rPr>
          <w:sz w:val="24"/>
        </w:rPr>
      </w:pPr>
    </w:p>
    <w:p w14:paraId="087A8509" w14:textId="77777777" w:rsidR="008B3573" w:rsidRPr="00363516" w:rsidRDefault="008B3573">
      <w:pPr>
        <w:rPr>
          <w:sz w:val="24"/>
          <w:u w:val="single"/>
        </w:rPr>
      </w:pPr>
      <w:r w:rsidRPr="00363516">
        <w:rPr>
          <w:sz w:val="24"/>
        </w:rPr>
        <w:t xml:space="preserve">B. </w:t>
      </w:r>
      <w:r w:rsidRPr="00363516">
        <w:rPr>
          <w:sz w:val="24"/>
          <w:u w:val="single"/>
        </w:rPr>
        <w:t>JUSTIFICATION</w:t>
      </w:r>
    </w:p>
    <w:p w14:paraId="5F4E6EC1" w14:textId="77777777" w:rsidR="008B3573" w:rsidRPr="00363516" w:rsidRDefault="008B3573">
      <w:pPr>
        <w:rPr>
          <w:sz w:val="24"/>
          <w:u w:val="single"/>
        </w:rPr>
      </w:pPr>
    </w:p>
    <w:p w14:paraId="5EFBBCB3" w14:textId="77777777" w:rsidR="008B3573" w:rsidRPr="00363516" w:rsidRDefault="008B3573">
      <w:pPr>
        <w:rPr>
          <w:sz w:val="24"/>
          <w:u w:val="single"/>
        </w:rPr>
      </w:pPr>
      <w:r w:rsidRPr="00363516">
        <w:rPr>
          <w:sz w:val="24"/>
        </w:rPr>
        <w:t>1.</w:t>
      </w:r>
      <w:r w:rsidRPr="00363516">
        <w:rPr>
          <w:sz w:val="24"/>
        </w:rPr>
        <w:tab/>
      </w:r>
      <w:r w:rsidRPr="00363516">
        <w:rPr>
          <w:sz w:val="24"/>
          <w:u w:val="single"/>
        </w:rPr>
        <w:t>Need and Legal Basis</w:t>
      </w:r>
    </w:p>
    <w:p w14:paraId="7A831004" w14:textId="77777777" w:rsidR="008B3573" w:rsidRPr="00363516" w:rsidRDefault="008B3573">
      <w:pPr>
        <w:rPr>
          <w:sz w:val="24"/>
          <w:u w:val="single"/>
        </w:rPr>
      </w:pPr>
    </w:p>
    <w:p w14:paraId="110A665D" w14:textId="77777777" w:rsidR="008B3573" w:rsidRPr="00363516" w:rsidRDefault="008B3573">
      <w:pPr>
        <w:rPr>
          <w:sz w:val="24"/>
        </w:rPr>
      </w:pPr>
      <w:r w:rsidRPr="00363516">
        <w:rPr>
          <w:sz w:val="24"/>
        </w:rPr>
        <w:t>Section 1815(a) of the Act authorizes the Secretary to request information from providers which is necessary to properly administer the Medicare program.  Quarterly credit balance reporting is needed to monitor and control the identification and timely collection of improper payments.</w:t>
      </w:r>
    </w:p>
    <w:p w14:paraId="5705A978" w14:textId="77777777" w:rsidR="008B3573" w:rsidRPr="00363516" w:rsidRDefault="008B3573">
      <w:pPr>
        <w:rPr>
          <w:sz w:val="24"/>
        </w:rPr>
      </w:pPr>
    </w:p>
    <w:p w14:paraId="0F433677" w14:textId="77777777" w:rsidR="008B3573" w:rsidRPr="00363516" w:rsidRDefault="008B3573">
      <w:pPr>
        <w:rPr>
          <w:sz w:val="24"/>
        </w:rPr>
      </w:pPr>
      <w:r w:rsidRPr="00363516">
        <w:rPr>
          <w:sz w:val="24"/>
        </w:rPr>
        <w:t xml:space="preserve">Credit balances are mainly attributable to provider billing practices and cannot be eliminated by program functions; they will continue to occur.  In December 1992, the OIG issued a Management Advisory Report (MAR) on their extended review of credit balances (See Attachment).  They state that approximately 90 percent of credit balances result from providers: (1) billing Medicare and a private insurer for the same service, (2) submitting duplicate billings for services in a manner which cannot be detected by system edits, and (3) billing for services not performed.  The 1992 MAR recommends that CMS continue its plan of recovery by requiring hospitals to report Medicare credit balances to </w:t>
      </w:r>
      <w:r w:rsidR="004039F7">
        <w:rPr>
          <w:sz w:val="24"/>
        </w:rPr>
        <w:t>contractors</w:t>
      </w:r>
      <w:r w:rsidRPr="00363516">
        <w:rPr>
          <w:sz w:val="24"/>
        </w:rPr>
        <w:t xml:space="preserve"> on a quarterly basis.</w:t>
      </w:r>
    </w:p>
    <w:p w14:paraId="208D2CDA" w14:textId="77777777" w:rsidR="008B3573" w:rsidRPr="00363516" w:rsidRDefault="008B3573">
      <w:pPr>
        <w:rPr>
          <w:sz w:val="24"/>
        </w:rPr>
      </w:pPr>
    </w:p>
    <w:p w14:paraId="56D47D05" w14:textId="77777777" w:rsidR="008B3573" w:rsidRPr="00363516" w:rsidRDefault="008B3573">
      <w:pPr>
        <w:rPr>
          <w:sz w:val="24"/>
        </w:rPr>
      </w:pPr>
    </w:p>
    <w:p w14:paraId="30CD15C3" w14:textId="77777777" w:rsidR="008B3573" w:rsidRPr="00363516" w:rsidRDefault="008B3573">
      <w:pPr>
        <w:rPr>
          <w:sz w:val="24"/>
        </w:rPr>
      </w:pPr>
      <w:r w:rsidRPr="00363516">
        <w:rPr>
          <w:sz w:val="24"/>
        </w:rPr>
        <w:t>The reporting requirements provide CMS with the authority to impose sanctions such as the suspension of program payments in accordance with 42 CFR 413.20(e) and 405.371 if providers do not report credit balances on a timely basis.  Furthermore, once a credit balance has been identified on an 838 and demand for payment is made, CMS has the authority to charge interest if the amount is not repaid within 30 days in accordance with 42 CFR 405.378.</w:t>
      </w:r>
    </w:p>
    <w:p w14:paraId="46C8B7BA" w14:textId="77777777" w:rsidR="008B3573" w:rsidRPr="00363516" w:rsidRDefault="008B3573">
      <w:pPr>
        <w:rPr>
          <w:sz w:val="24"/>
        </w:rPr>
      </w:pPr>
    </w:p>
    <w:p w14:paraId="1D3D24E7" w14:textId="77777777" w:rsidR="00FD47A9" w:rsidRPr="00363516" w:rsidRDefault="008B1995">
      <w:pPr>
        <w:rPr>
          <w:sz w:val="24"/>
        </w:rPr>
      </w:pPr>
      <w:r w:rsidRPr="00363516">
        <w:rPr>
          <w:sz w:val="24"/>
        </w:rPr>
        <w:t xml:space="preserve">Providers that repay credit balances before the end of each calendar year quarter are not required to report such balances on the CMS-838.  </w:t>
      </w:r>
      <w:r w:rsidR="004D047E" w:rsidRPr="00363516">
        <w:rPr>
          <w:sz w:val="24"/>
        </w:rPr>
        <w:t xml:space="preserve">These providers </w:t>
      </w:r>
      <w:r w:rsidR="008F4BAE" w:rsidRPr="00363516">
        <w:rPr>
          <w:sz w:val="24"/>
        </w:rPr>
        <w:t>only</w:t>
      </w:r>
      <w:r w:rsidR="004D047E" w:rsidRPr="00363516">
        <w:rPr>
          <w:sz w:val="24"/>
        </w:rPr>
        <w:t xml:space="preserve"> need to submit the </w:t>
      </w:r>
      <w:r w:rsidR="008F4BAE" w:rsidRPr="00363516">
        <w:rPr>
          <w:sz w:val="24"/>
        </w:rPr>
        <w:t xml:space="preserve">certification statement indicating it has </w:t>
      </w:r>
      <w:r w:rsidR="004D047E" w:rsidRPr="00363516">
        <w:rPr>
          <w:sz w:val="24"/>
        </w:rPr>
        <w:t xml:space="preserve">no Medicare credit balances to report for </w:t>
      </w:r>
      <w:r w:rsidR="001C024A" w:rsidRPr="00363516">
        <w:rPr>
          <w:sz w:val="24"/>
        </w:rPr>
        <w:t>each applicable calendar year</w:t>
      </w:r>
      <w:r w:rsidR="004D047E" w:rsidRPr="00363516">
        <w:rPr>
          <w:sz w:val="24"/>
        </w:rPr>
        <w:t xml:space="preserve"> quarter.</w:t>
      </w:r>
    </w:p>
    <w:p w14:paraId="4DBD6C96" w14:textId="77777777" w:rsidR="00FD47A9" w:rsidRPr="00363516" w:rsidRDefault="00FD47A9">
      <w:pPr>
        <w:rPr>
          <w:sz w:val="24"/>
        </w:rPr>
      </w:pPr>
    </w:p>
    <w:p w14:paraId="76FB98F2" w14:textId="77777777" w:rsidR="008B3573" w:rsidRPr="00363516" w:rsidRDefault="008B3573">
      <w:pPr>
        <w:rPr>
          <w:sz w:val="24"/>
          <w:u w:val="single"/>
        </w:rPr>
      </w:pPr>
      <w:r w:rsidRPr="00363516">
        <w:rPr>
          <w:sz w:val="24"/>
        </w:rPr>
        <w:t>2.</w:t>
      </w:r>
      <w:r w:rsidRPr="00363516">
        <w:rPr>
          <w:sz w:val="24"/>
        </w:rPr>
        <w:tab/>
      </w:r>
      <w:r w:rsidRPr="00363516">
        <w:rPr>
          <w:sz w:val="24"/>
          <w:u w:val="single"/>
        </w:rPr>
        <w:t>Information Users</w:t>
      </w:r>
    </w:p>
    <w:p w14:paraId="2D276FAE" w14:textId="77777777" w:rsidR="008B3573" w:rsidRPr="00363516" w:rsidRDefault="008B3573">
      <w:pPr>
        <w:rPr>
          <w:sz w:val="24"/>
          <w:u w:val="single"/>
        </w:rPr>
      </w:pPr>
    </w:p>
    <w:p w14:paraId="5CF4321D" w14:textId="77777777" w:rsidR="00410E48" w:rsidRDefault="008B3573" w:rsidP="004D047E">
      <w:pPr>
        <w:rPr>
          <w:sz w:val="24"/>
        </w:rPr>
      </w:pPr>
      <w:r w:rsidRPr="00363516">
        <w:rPr>
          <w:sz w:val="24"/>
        </w:rPr>
        <w:t xml:space="preserve">The information obtained from Medicare credit balance reports will be used by the </w:t>
      </w:r>
      <w:r w:rsidR="004039F7">
        <w:rPr>
          <w:sz w:val="24"/>
        </w:rPr>
        <w:t>contractors</w:t>
      </w:r>
      <w:r w:rsidRPr="00363516">
        <w:rPr>
          <w:sz w:val="24"/>
        </w:rPr>
        <w:t xml:space="preserve"> to </w:t>
      </w:r>
      <w:r w:rsidR="008F4BAE" w:rsidRPr="00363516">
        <w:rPr>
          <w:sz w:val="24"/>
        </w:rPr>
        <w:t xml:space="preserve">identify and recover outstanding Medicare credit balances and by Federal enforcement agencies </w:t>
      </w:r>
    </w:p>
    <w:p w14:paraId="1F335C74" w14:textId="1FB1CFBC" w:rsidR="004D047E" w:rsidRPr="00363516" w:rsidRDefault="008F4BAE" w:rsidP="004D047E">
      <w:pPr>
        <w:rPr>
          <w:sz w:val="24"/>
        </w:rPr>
      </w:pPr>
      <w:r w:rsidRPr="00363516">
        <w:rPr>
          <w:sz w:val="24"/>
        </w:rPr>
        <w:t xml:space="preserve">to protect </w:t>
      </w:r>
      <w:r w:rsidR="004D047E" w:rsidRPr="00363516">
        <w:rPr>
          <w:sz w:val="24"/>
        </w:rPr>
        <w:t>Federal funds.  The information will also be used to identify the causes of credit balances and to take corrective action.</w:t>
      </w:r>
    </w:p>
    <w:p w14:paraId="106E806C" w14:textId="77777777" w:rsidR="004D047E" w:rsidRPr="00363516" w:rsidRDefault="004D047E">
      <w:pPr>
        <w:rPr>
          <w:sz w:val="24"/>
        </w:rPr>
      </w:pPr>
    </w:p>
    <w:p w14:paraId="7A415E23" w14:textId="77777777" w:rsidR="008B3573" w:rsidRPr="00363516" w:rsidRDefault="008B3573">
      <w:pPr>
        <w:rPr>
          <w:sz w:val="24"/>
        </w:rPr>
      </w:pPr>
      <w:r w:rsidRPr="00363516">
        <w:rPr>
          <w:sz w:val="24"/>
        </w:rPr>
        <w:t xml:space="preserve">All providers participating in the Medicare program will be required to submit a quarterly credit balance report (Form CMS-838) to their </w:t>
      </w:r>
      <w:r w:rsidR="004039F7">
        <w:rPr>
          <w:sz w:val="24"/>
        </w:rPr>
        <w:t>contractor</w:t>
      </w:r>
      <w:r w:rsidRPr="00363516">
        <w:rPr>
          <w:sz w:val="24"/>
        </w:rPr>
        <w:t>.  The report and its instructions require providers to report information which includes:</w:t>
      </w:r>
    </w:p>
    <w:p w14:paraId="38C559AE" w14:textId="77777777" w:rsidR="008B3573" w:rsidRPr="00363516" w:rsidRDefault="008B3573">
      <w:pPr>
        <w:rPr>
          <w:sz w:val="24"/>
        </w:rPr>
      </w:pPr>
    </w:p>
    <w:p w14:paraId="060E3085" w14:textId="77777777" w:rsidR="008B3573" w:rsidRPr="00363516" w:rsidRDefault="008B3573">
      <w:pPr>
        <w:ind w:firstLine="1440"/>
        <w:rPr>
          <w:sz w:val="24"/>
        </w:rPr>
      </w:pPr>
      <w:r w:rsidRPr="00363516">
        <w:rPr>
          <w:sz w:val="24"/>
        </w:rPr>
        <w:t>-Provider Name and Number</w:t>
      </w:r>
    </w:p>
    <w:p w14:paraId="69681CA8" w14:textId="77777777" w:rsidR="008B3573" w:rsidRPr="00363516" w:rsidRDefault="008B3573">
      <w:pPr>
        <w:ind w:firstLine="1440"/>
        <w:rPr>
          <w:sz w:val="24"/>
        </w:rPr>
      </w:pPr>
      <w:r w:rsidRPr="00363516">
        <w:rPr>
          <w:sz w:val="24"/>
        </w:rPr>
        <w:t>-Patient Name and Identification Number</w:t>
      </w:r>
    </w:p>
    <w:p w14:paraId="5A2037AA" w14:textId="77777777" w:rsidR="008B3573" w:rsidRPr="00363516" w:rsidRDefault="008B3573">
      <w:pPr>
        <w:ind w:firstLine="1440"/>
        <w:rPr>
          <w:sz w:val="24"/>
        </w:rPr>
      </w:pPr>
      <w:r w:rsidRPr="00363516">
        <w:rPr>
          <w:sz w:val="24"/>
        </w:rPr>
        <w:t>-Dates of Service</w:t>
      </w:r>
    </w:p>
    <w:p w14:paraId="21045E69" w14:textId="77777777" w:rsidR="008B3573" w:rsidRPr="00363516" w:rsidRDefault="008B3573">
      <w:pPr>
        <w:ind w:firstLine="1440"/>
        <w:rPr>
          <w:sz w:val="24"/>
        </w:rPr>
      </w:pPr>
      <w:r w:rsidRPr="00363516">
        <w:rPr>
          <w:sz w:val="24"/>
        </w:rPr>
        <w:t>-Credit Balance Amount</w:t>
      </w:r>
    </w:p>
    <w:p w14:paraId="3FA699F7" w14:textId="77777777" w:rsidR="008B3573" w:rsidRPr="00363516" w:rsidRDefault="008B3573">
      <w:pPr>
        <w:ind w:firstLine="1440"/>
        <w:rPr>
          <w:sz w:val="24"/>
        </w:rPr>
      </w:pPr>
      <w:r w:rsidRPr="00363516">
        <w:rPr>
          <w:sz w:val="24"/>
        </w:rPr>
        <w:lastRenderedPageBreak/>
        <w:t>-Cause of Credit Balance</w:t>
      </w:r>
    </w:p>
    <w:p w14:paraId="756D7EEE" w14:textId="77777777" w:rsidR="008B3573" w:rsidRPr="00363516" w:rsidRDefault="008B3573">
      <w:pPr>
        <w:rPr>
          <w:sz w:val="24"/>
        </w:rPr>
      </w:pPr>
    </w:p>
    <w:p w14:paraId="04AB6760" w14:textId="77777777" w:rsidR="008B3573" w:rsidRPr="00363516" w:rsidRDefault="004039F7">
      <w:pPr>
        <w:rPr>
          <w:sz w:val="24"/>
        </w:rPr>
      </w:pPr>
      <w:r>
        <w:rPr>
          <w:sz w:val="24"/>
        </w:rPr>
        <w:t>Contractor</w:t>
      </w:r>
      <w:r w:rsidR="008B3573" w:rsidRPr="00363516">
        <w:rPr>
          <w:sz w:val="24"/>
        </w:rPr>
        <w:t xml:space="preserve">s will </w:t>
      </w:r>
      <w:r w:rsidR="008F4BAE" w:rsidRPr="00363516">
        <w:rPr>
          <w:sz w:val="24"/>
        </w:rPr>
        <w:t xml:space="preserve">collect overpayments related to identified credit balances, process adjustment bills, and </w:t>
      </w:r>
      <w:r w:rsidR="008B3573" w:rsidRPr="00363516">
        <w:rPr>
          <w:sz w:val="24"/>
        </w:rPr>
        <w:t>maintain the credit balance reports</w:t>
      </w:r>
      <w:r w:rsidR="008F4BAE" w:rsidRPr="00363516">
        <w:rPr>
          <w:sz w:val="24"/>
        </w:rPr>
        <w:t>.</w:t>
      </w:r>
      <w:r w:rsidR="008B3573" w:rsidRPr="00363516">
        <w:rPr>
          <w:sz w:val="24"/>
        </w:rPr>
        <w:t xml:space="preserve">  </w:t>
      </w:r>
      <w:r>
        <w:rPr>
          <w:sz w:val="24"/>
        </w:rPr>
        <w:t>Contractor</w:t>
      </w:r>
      <w:r w:rsidRPr="00363516">
        <w:rPr>
          <w:sz w:val="24"/>
        </w:rPr>
        <w:t>s</w:t>
      </w:r>
      <w:r w:rsidR="008B3573" w:rsidRPr="00363516">
        <w:rPr>
          <w:sz w:val="24"/>
        </w:rPr>
        <w:t xml:space="preserve"> will issue a demand for payment and assess interest, if necessary, in accordance with established procedures for any amounts that remain outstanding.</w:t>
      </w:r>
    </w:p>
    <w:p w14:paraId="3EA98B8B" w14:textId="77777777" w:rsidR="008B3573" w:rsidRPr="00363516" w:rsidRDefault="008B3573">
      <w:pPr>
        <w:rPr>
          <w:sz w:val="24"/>
        </w:rPr>
      </w:pPr>
    </w:p>
    <w:p w14:paraId="095B19C8" w14:textId="7A0A95D8" w:rsidR="008B3573" w:rsidRPr="00363516" w:rsidRDefault="008B3573">
      <w:pPr>
        <w:rPr>
          <w:sz w:val="24"/>
        </w:rPr>
      </w:pPr>
      <w:r w:rsidRPr="00363516">
        <w:rPr>
          <w:sz w:val="24"/>
        </w:rPr>
        <w:t xml:space="preserve">The information collected from the providers will also be used to identify causes of credit balances so corrective action can be taken.  The providers will report the cause of each credit balance they identify in their records.  The </w:t>
      </w:r>
      <w:r w:rsidR="004039F7">
        <w:rPr>
          <w:sz w:val="24"/>
        </w:rPr>
        <w:t>contractor</w:t>
      </w:r>
      <w:r w:rsidR="004039F7" w:rsidRPr="00363516">
        <w:rPr>
          <w:sz w:val="24"/>
        </w:rPr>
        <w:t>s</w:t>
      </w:r>
      <w:r w:rsidRPr="00363516">
        <w:rPr>
          <w:sz w:val="24"/>
        </w:rPr>
        <w:t xml:space="preserve"> will analyze this information and determine what actions are needed to prevent further occurrences.  For example, there may be a failure in a</w:t>
      </w:r>
      <w:r w:rsidR="004039F7">
        <w:rPr>
          <w:sz w:val="24"/>
        </w:rPr>
        <w:t xml:space="preserve"> contractor</w:t>
      </w:r>
      <w:r w:rsidRPr="00363516">
        <w:rPr>
          <w:sz w:val="24"/>
        </w:rPr>
        <w:t xml:space="preserve">’s claims processing edits which allows duplicate claims to be processed without being detected.  In addition, if the results of a </w:t>
      </w:r>
      <w:r w:rsidR="004039F7">
        <w:rPr>
          <w:sz w:val="24"/>
        </w:rPr>
        <w:t>contractor</w:t>
      </w:r>
      <w:r w:rsidRPr="00363516">
        <w:rPr>
          <w:sz w:val="24"/>
        </w:rPr>
        <w:t>’s review indicate that problems exist outside of their area of responsibility, the issue will be referred to CMS for action (e.g., change in billing instructions, regulations, provider manuals).</w:t>
      </w:r>
    </w:p>
    <w:p w14:paraId="06F8CFAC" w14:textId="77777777" w:rsidR="008B3573" w:rsidRPr="00363516" w:rsidRDefault="008B3573">
      <w:pPr>
        <w:rPr>
          <w:sz w:val="24"/>
        </w:rPr>
      </w:pPr>
    </w:p>
    <w:p w14:paraId="1243ADF0" w14:textId="77777777" w:rsidR="008B3573" w:rsidRPr="00363516" w:rsidRDefault="008B3573">
      <w:pPr>
        <w:rPr>
          <w:sz w:val="24"/>
        </w:rPr>
      </w:pPr>
      <w:r w:rsidRPr="00363516">
        <w:rPr>
          <w:sz w:val="24"/>
        </w:rPr>
        <w:t>3.</w:t>
      </w:r>
      <w:r w:rsidRPr="00363516">
        <w:rPr>
          <w:sz w:val="24"/>
        </w:rPr>
        <w:tab/>
      </w:r>
      <w:r w:rsidRPr="00363516">
        <w:rPr>
          <w:sz w:val="24"/>
          <w:u w:val="single"/>
        </w:rPr>
        <w:t>Improved Information Technology</w:t>
      </w:r>
    </w:p>
    <w:p w14:paraId="4974895C" w14:textId="77777777" w:rsidR="008B3573" w:rsidRPr="00363516" w:rsidRDefault="008B3573">
      <w:pPr>
        <w:rPr>
          <w:sz w:val="24"/>
        </w:rPr>
      </w:pPr>
    </w:p>
    <w:p w14:paraId="16C6589B" w14:textId="766929B1" w:rsidR="004D047E" w:rsidRPr="00363516" w:rsidRDefault="008B3573" w:rsidP="004D047E">
      <w:pPr>
        <w:rPr>
          <w:sz w:val="24"/>
        </w:rPr>
      </w:pPr>
      <w:r w:rsidRPr="00363516">
        <w:rPr>
          <w:sz w:val="24"/>
        </w:rPr>
        <w:t xml:space="preserve">The form is 100 percent electronic.  The requested information is maintained by the majority of providers in computerized accounting systems.  Computerized files for this form allow for proper input of the specific information required in the </w:t>
      </w:r>
      <w:r w:rsidR="004D047E" w:rsidRPr="00363516">
        <w:rPr>
          <w:sz w:val="24"/>
        </w:rPr>
        <w:t>cr</w:t>
      </w:r>
      <w:r w:rsidRPr="00363516">
        <w:rPr>
          <w:sz w:val="24"/>
        </w:rPr>
        <w:t xml:space="preserve">edit balance report.  These files are available at a provider’s request, and the necessary data is </w:t>
      </w:r>
      <w:r w:rsidR="004D047E" w:rsidRPr="00363516">
        <w:rPr>
          <w:sz w:val="24"/>
        </w:rPr>
        <w:t>easily extracted from their accounts receivable records.  Because the majority of providers have this electronic capability, the burden associated with hard copy reporting is greatly reduced.</w:t>
      </w:r>
    </w:p>
    <w:p w14:paraId="5241DF0A" w14:textId="77777777" w:rsidR="004D047E" w:rsidRPr="00363516" w:rsidRDefault="004D047E">
      <w:pPr>
        <w:rPr>
          <w:sz w:val="24"/>
        </w:rPr>
      </w:pPr>
    </w:p>
    <w:p w14:paraId="44166D55" w14:textId="77777777" w:rsidR="008B3573" w:rsidRPr="00363516" w:rsidRDefault="008B3573">
      <w:pPr>
        <w:rPr>
          <w:sz w:val="24"/>
        </w:rPr>
      </w:pPr>
      <w:r w:rsidRPr="00363516">
        <w:rPr>
          <w:sz w:val="24"/>
        </w:rPr>
        <w:t>4.</w:t>
      </w:r>
      <w:r w:rsidRPr="00363516">
        <w:rPr>
          <w:sz w:val="24"/>
        </w:rPr>
        <w:tab/>
      </w:r>
      <w:r w:rsidRPr="00363516">
        <w:rPr>
          <w:sz w:val="24"/>
          <w:u w:val="single"/>
        </w:rPr>
        <w:t>Duplication/Similar Information</w:t>
      </w:r>
    </w:p>
    <w:p w14:paraId="2B6D2288" w14:textId="77777777" w:rsidR="008B3573" w:rsidRPr="00363516" w:rsidRDefault="008B3573">
      <w:pPr>
        <w:rPr>
          <w:sz w:val="24"/>
        </w:rPr>
      </w:pPr>
    </w:p>
    <w:p w14:paraId="2C9917B1" w14:textId="7582A078" w:rsidR="00E34810" w:rsidRDefault="008B3573">
      <w:pPr>
        <w:rPr>
          <w:sz w:val="24"/>
        </w:rPr>
      </w:pPr>
      <w:r w:rsidRPr="00363516">
        <w:rPr>
          <w:sz w:val="24"/>
        </w:rPr>
        <w:t>There is no duplication of this type of data being collected or reported elsewhere.  The availability of credit balance information was discussed with GAO and the OIG.  Providers are not preparing or forwarding credit balance data to any other governmental or non-governmental entity.</w:t>
      </w:r>
    </w:p>
    <w:p w14:paraId="3921E782" w14:textId="77777777" w:rsidR="00103999" w:rsidRDefault="00103999">
      <w:pPr>
        <w:rPr>
          <w:sz w:val="24"/>
        </w:rPr>
      </w:pPr>
    </w:p>
    <w:p w14:paraId="56C3C65D" w14:textId="7E3C81DA" w:rsidR="00E34810" w:rsidRPr="00103999" w:rsidRDefault="00E34810" w:rsidP="00E34810">
      <w:pPr>
        <w:rPr>
          <w:color w:val="000000" w:themeColor="text1"/>
          <w:sz w:val="24"/>
        </w:rPr>
      </w:pPr>
      <w:r w:rsidRPr="00103999">
        <w:rPr>
          <w:color w:val="000000" w:themeColor="text1"/>
          <w:sz w:val="24"/>
        </w:rPr>
        <w:t xml:space="preserve">However, it’s important to </w:t>
      </w:r>
      <w:r w:rsidR="00C06B99" w:rsidRPr="00103999">
        <w:rPr>
          <w:color w:val="000000" w:themeColor="text1"/>
          <w:sz w:val="24"/>
        </w:rPr>
        <w:t>emphasize</w:t>
      </w:r>
      <w:r w:rsidRPr="00103999">
        <w:rPr>
          <w:color w:val="000000" w:themeColor="text1"/>
          <w:sz w:val="24"/>
        </w:rPr>
        <w:t xml:space="preserve"> that the Medicare Credit Balance Report is just one option for </w:t>
      </w:r>
      <w:r w:rsidR="00C06B99" w:rsidRPr="00103999">
        <w:rPr>
          <w:color w:val="000000" w:themeColor="text1"/>
          <w:sz w:val="24"/>
        </w:rPr>
        <w:t xml:space="preserve">Part A Medicare </w:t>
      </w:r>
      <w:r w:rsidR="00D42504" w:rsidRPr="00103999">
        <w:rPr>
          <w:color w:val="000000" w:themeColor="text1"/>
          <w:sz w:val="24"/>
        </w:rPr>
        <w:t xml:space="preserve">contractors who service </w:t>
      </w:r>
      <w:r w:rsidR="00C06B99" w:rsidRPr="00103999">
        <w:rPr>
          <w:color w:val="000000" w:themeColor="text1"/>
          <w:sz w:val="24"/>
        </w:rPr>
        <w:t>providers to report sel</w:t>
      </w:r>
      <w:r w:rsidR="00103999">
        <w:rPr>
          <w:color w:val="000000" w:themeColor="text1"/>
          <w:sz w:val="24"/>
        </w:rPr>
        <w:t>f-</w:t>
      </w:r>
      <w:r w:rsidR="00C06B99" w:rsidRPr="00103999">
        <w:rPr>
          <w:color w:val="000000" w:themeColor="text1"/>
          <w:sz w:val="24"/>
        </w:rPr>
        <w:t xml:space="preserve">identified overpayments. </w:t>
      </w:r>
      <w:r w:rsidR="00163EFB" w:rsidRPr="00103999">
        <w:rPr>
          <w:color w:val="000000" w:themeColor="text1"/>
          <w:sz w:val="24"/>
        </w:rPr>
        <w:t xml:space="preserve">Any burden estimates contained </w:t>
      </w:r>
      <w:r w:rsidR="00C06B99" w:rsidRPr="00103999">
        <w:rPr>
          <w:color w:val="000000" w:themeColor="text1"/>
          <w:sz w:val="24"/>
        </w:rPr>
        <w:t xml:space="preserve">in </w:t>
      </w:r>
      <w:r w:rsidR="00624CE5" w:rsidRPr="00103999">
        <w:rPr>
          <w:color w:val="000000" w:themeColor="text1"/>
          <w:sz w:val="24"/>
        </w:rPr>
        <w:t>this information</w:t>
      </w:r>
      <w:r w:rsidRPr="00103999">
        <w:rPr>
          <w:color w:val="000000" w:themeColor="text1"/>
          <w:sz w:val="24"/>
        </w:rPr>
        <w:t xml:space="preserve"> collection request are completely independent of those associated with the information collection request approved under OMB control number 0938-1323, Medicare Program; Reporting and Returning of Overpayments.  </w:t>
      </w:r>
      <w:r w:rsidR="00183FAA" w:rsidRPr="00103999">
        <w:rPr>
          <w:color w:val="000000" w:themeColor="text1"/>
          <w:sz w:val="24"/>
        </w:rPr>
        <w:t>The</w:t>
      </w:r>
      <w:r w:rsidRPr="00103999">
        <w:rPr>
          <w:color w:val="000000" w:themeColor="text1"/>
          <w:sz w:val="24"/>
        </w:rPr>
        <w:t xml:space="preserve"> Medicare Credit Balance Report is for Medicare Part A</w:t>
      </w:r>
      <w:r w:rsidR="00624CE5" w:rsidRPr="00103999">
        <w:rPr>
          <w:color w:val="000000" w:themeColor="text1"/>
          <w:sz w:val="24"/>
        </w:rPr>
        <w:t xml:space="preserve"> providers</w:t>
      </w:r>
      <w:r w:rsidRPr="00103999">
        <w:rPr>
          <w:color w:val="000000" w:themeColor="text1"/>
          <w:sz w:val="24"/>
        </w:rPr>
        <w:t xml:space="preserve"> </w:t>
      </w:r>
      <w:r w:rsidR="00624CE5" w:rsidRPr="00103999">
        <w:rPr>
          <w:color w:val="000000" w:themeColor="text1"/>
          <w:sz w:val="24"/>
        </w:rPr>
        <w:t>that are serviced by Part A Medicare Administrative Contractors.</w:t>
      </w:r>
    </w:p>
    <w:p w14:paraId="082EB453" w14:textId="77777777" w:rsidR="00E34810" w:rsidRDefault="00E34810">
      <w:pPr>
        <w:rPr>
          <w:sz w:val="24"/>
        </w:rPr>
      </w:pPr>
    </w:p>
    <w:p w14:paraId="2CC7C682" w14:textId="556FE0ED" w:rsidR="008B3573" w:rsidRPr="00363516" w:rsidRDefault="008B3573">
      <w:pPr>
        <w:rPr>
          <w:sz w:val="24"/>
          <w:u w:val="single"/>
        </w:rPr>
      </w:pPr>
      <w:r w:rsidRPr="00363516">
        <w:rPr>
          <w:sz w:val="24"/>
        </w:rPr>
        <w:t>5.</w:t>
      </w:r>
      <w:r w:rsidRPr="00363516">
        <w:rPr>
          <w:sz w:val="24"/>
        </w:rPr>
        <w:tab/>
      </w:r>
      <w:r w:rsidRPr="00363516">
        <w:rPr>
          <w:sz w:val="24"/>
          <w:u w:val="single"/>
        </w:rPr>
        <w:t>Small Business</w:t>
      </w:r>
    </w:p>
    <w:p w14:paraId="07173AFA" w14:textId="77777777" w:rsidR="0042562F" w:rsidRPr="00363516" w:rsidRDefault="0042562F">
      <w:pPr>
        <w:rPr>
          <w:sz w:val="24"/>
          <w:u w:val="single"/>
        </w:rPr>
      </w:pPr>
    </w:p>
    <w:p w14:paraId="213E42D1" w14:textId="77777777" w:rsidR="008B3573" w:rsidRDefault="008B3573">
      <w:pPr>
        <w:rPr>
          <w:sz w:val="24"/>
        </w:rPr>
      </w:pPr>
      <w:r w:rsidRPr="00363516">
        <w:rPr>
          <w:sz w:val="24"/>
        </w:rPr>
        <w:t>These requirements do not significantly impact small businesses.</w:t>
      </w:r>
    </w:p>
    <w:p w14:paraId="6C961607" w14:textId="77777777" w:rsidR="004039F7" w:rsidRPr="00363516" w:rsidRDefault="004039F7">
      <w:pPr>
        <w:rPr>
          <w:sz w:val="24"/>
        </w:rPr>
      </w:pPr>
    </w:p>
    <w:p w14:paraId="54D7FD08" w14:textId="77777777" w:rsidR="008B3573" w:rsidRPr="00363516" w:rsidRDefault="008B3573">
      <w:pPr>
        <w:rPr>
          <w:sz w:val="24"/>
          <w:u w:val="single"/>
        </w:rPr>
      </w:pPr>
      <w:r w:rsidRPr="00363516">
        <w:rPr>
          <w:sz w:val="24"/>
        </w:rPr>
        <w:t>6.</w:t>
      </w:r>
      <w:r w:rsidRPr="00363516">
        <w:rPr>
          <w:sz w:val="24"/>
        </w:rPr>
        <w:tab/>
      </w:r>
      <w:r w:rsidRPr="00363516">
        <w:rPr>
          <w:sz w:val="24"/>
          <w:u w:val="single"/>
        </w:rPr>
        <w:t>Less Frequent Collection</w:t>
      </w:r>
    </w:p>
    <w:p w14:paraId="7D130AB9" w14:textId="77777777" w:rsidR="008B3573" w:rsidRPr="00363516" w:rsidRDefault="008B3573">
      <w:pPr>
        <w:rPr>
          <w:sz w:val="24"/>
          <w:u w:val="single"/>
        </w:rPr>
      </w:pPr>
    </w:p>
    <w:p w14:paraId="5E8F4DD9" w14:textId="57CA0365" w:rsidR="008B3573" w:rsidRPr="00363516" w:rsidRDefault="008B3573">
      <w:pPr>
        <w:rPr>
          <w:sz w:val="24"/>
        </w:rPr>
      </w:pPr>
      <w:r w:rsidRPr="00363516">
        <w:rPr>
          <w:sz w:val="24"/>
        </w:rPr>
        <w:t>We are requesting that providers report credit balances on a quarterly basis.  A less frequent</w:t>
      </w:r>
      <w:r w:rsidR="00011A80">
        <w:rPr>
          <w:sz w:val="24"/>
        </w:rPr>
        <w:t xml:space="preserve"> </w:t>
      </w:r>
      <w:r w:rsidRPr="00363516">
        <w:rPr>
          <w:sz w:val="24"/>
        </w:rPr>
        <w:t>collection would mean that millions of dollars in program funds may remain outstanding for a</w:t>
      </w:r>
      <w:r w:rsidR="0042562F" w:rsidRPr="00363516">
        <w:rPr>
          <w:sz w:val="24"/>
        </w:rPr>
        <w:t xml:space="preserve">n extended </w:t>
      </w:r>
      <w:r w:rsidRPr="00363516">
        <w:rPr>
          <w:sz w:val="24"/>
        </w:rPr>
        <w:t>period of time</w:t>
      </w:r>
      <w:r w:rsidR="0042562F" w:rsidRPr="00363516">
        <w:rPr>
          <w:sz w:val="24"/>
        </w:rPr>
        <w:t>.</w:t>
      </w:r>
    </w:p>
    <w:p w14:paraId="3AAA5460" w14:textId="77777777" w:rsidR="008B3573" w:rsidRPr="00363516" w:rsidRDefault="008B3573">
      <w:pPr>
        <w:rPr>
          <w:sz w:val="24"/>
        </w:rPr>
      </w:pPr>
    </w:p>
    <w:p w14:paraId="3373B8D9" w14:textId="77777777" w:rsidR="008B3573" w:rsidRPr="00363516" w:rsidRDefault="008B3573">
      <w:pPr>
        <w:rPr>
          <w:sz w:val="24"/>
          <w:u w:val="single"/>
        </w:rPr>
      </w:pPr>
      <w:r w:rsidRPr="00363516">
        <w:rPr>
          <w:sz w:val="24"/>
        </w:rPr>
        <w:t>7.</w:t>
      </w:r>
      <w:r w:rsidRPr="00363516">
        <w:rPr>
          <w:sz w:val="24"/>
        </w:rPr>
        <w:tab/>
      </w:r>
      <w:r w:rsidRPr="00363516">
        <w:rPr>
          <w:sz w:val="24"/>
          <w:u w:val="single"/>
        </w:rPr>
        <w:t>Special Circumstances Affecting the Information Collection</w:t>
      </w:r>
    </w:p>
    <w:p w14:paraId="79872BBA" w14:textId="77777777" w:rsidR="008B3573" w:rsidRPr="00363516" w:rsidRDefault="008B3573">
      <w:pPr>
        <w:rPr>
          <w:sz w:val="24"/>
          <w:u w:val="single"/>
        </w:rPr>
      </w:pPr>
    </w:p>
    <w:p w14:paraId="51A58909" w14:textId="77777777" w:rsidR="008B3573" w:rsidRPr="00363516" w:rsidRDefault="008B3573">
      <w:pPr>
        <w:rPr>
          <w:sz w:val="24"/>
        </w:rPr>
      </w:pPr>
      <w:r w:rsidRPr="00363516">
        <w:rPr>
          <w:sz w:val="24"/>
        </w:rPr>
        <w:t>There are no special circumstances.</w:t>
      </w:r>
    </w:p>
    <w:p w14:paraId="568711E2" w14:textId="77777777" w:rsidR="008B3573" w:rsidRPr="00363516" w:rsidRDefault="008B3573">
      <w:pPr>
        <w:rPr>
          <w:sz w:val="24"/>
        </w:rPr>
      </w:pPr>
    </w:p>
    <w:p w14:paraId="16C5EF5C" w14:textId="77777777" w:rsidR="008B3573" w:rsidRPr="00363516" w:rsidRDefault="008B3573">
      <w:pPr>
        <w:rPr>
          <w:sz w:val="24"/>
        </w:rPr>
      </w:pPr>
      <w:r w:rsidRPr="00363516">
        <w:rPr>
          <w:sz w:val="24"/>
        </w:rPr>
        <w:t>8.</w:t>
      </w:r>
      <w:r w:rsidRPr="00363516">
        <w:rPr>
          <w:sz w:val="24"/>
        </w:rPr>
        <w:tab/>
      </w:r>
      <w:r w:rsidRPr="00363516">
        <w:rPr>
          <w:sz w:val="24"/>
          <w:u w:val="single"/>
        </w:rPr>
        <w:t>Federal Register/Outside Consultation</w:t>
      </w:r>
    </w:p>
    <w:p w14:paraId="427C513F" w14:textId="77777777" w:rsidR="008B3573" w:rsidRPr="00363516" w:rsidRDefault="008B3573">
      <w:pPr>
        <w:rPr>
          <w:sz w:val="24"/>
        </w:rPr>
      </w:pPr>
    </w:p>
    <w:p w14:paraId="3645B9E6" w14:textId="55707AE4" w:rsidR="008B3573" w:rsidRPr="00363516" w:rsidRDefault="008B3573">
      <w:pPr>
        <w:rPr>
          <w:sz w:val="24"/>
        </w:rPr>
      </w:pPr>
      <w:r w:rsidRPr="00363516">
        <w:rPr>
          <w:sz w:val="24"/>
        </w:rPr>
        <w:t>The 60-Day Federal R</w:t>
      </w:r>
      <w:r w:rsidR="00DC4CA2">
        <w:rPr>
          <w:sz w:val="24"/>
        </w:rPr>
        <w:t>egister noti</w:t>
      </w:r>
      <w:r w:rsidR="00D03A27">
        <w:rPr>
          <w:sz w:val="24"/>
        </w:rPr>
        <w:t xml:space="preserve">ce </w:t>
      </w:r>
      <w:r w:rsidR="005616BE">
        <w:rPr>
          <w:sz w:val="24"/>
        </w:rPr>
        <w:t xml:space="preserve">was </w:t>
      </w:r>
      <w:r w:rsidR="00D03A27">
        <w:rPr>
          <w:sz w:val="24"/>
        </w:rPr>
        <w:t>published</w:t>
      </w:r>
      <w:r w:rsidR="000F07B9">
        <w:rPr>
          <w:sz w:val="24"/>
        </w:rPr>
        <w:t xml:space="preserve"> April 27, 2018 (83FR18568)</w:t>
      </w:r>
      <w:r w:rsidR="00D03A27">
        <w:rPr>
          <w:sz w:val="24"/>
        </w:rPr>
        <w:t>.</w:t>
      </w:r>
      <w:r w:rsidR="00956DE9">
        <w:rPr>
          <w:sz w:val="24"/>
        </w:rPr>
        <w:t xml:space="preserve"> No public comments were received. The 30-day Federal Register n</w:t>
      </w:r>
      <w:r w:rsidR="000F07B9">
        <w:rPr>
          <w:sz w:val="24"/>
        </w:rPr>
        <w:t>otice published on June 29, 2018(83FR30732)</w:t>
      </w:r>
      <w:r w:rsidR="00956DE9">
        <w:rPr>
          <w:sz w:val="24"/>
        </w:rPr>
        <w:t xml:space="preserve">. No public comments were received. </w:t>
      </w:r>
    </w:p>
    <w:p w14:paraId="2BF9887E" w14:textId="77777777" w:rsidR="008B3573" w:rsidRPr="00363516" w:rsidRDefault="008B3573">
      <w:pPr>
        <w:rPr>
          <w:sz w:val="24"/>
        </w:rPr>
      </w:pPr>
    </w:p>
    <w:p w14:paraId="1EF61EBF" w14:textId="77777777" w:rsidR="008B3573" w:rsidRPr="00363516" w:rsidRDefault="008B3573">
      <w:pPr>
        <w:rPr>
          <w:sz w:val="24"/>
        </w:rPr>
      </w:pPr>
      <w:r w:rsidRPr="00363516">
        <w:rPr>
          <w:sz w:val="24"/>
        </w:rPr>
        <w:t>9.</w:t>
      </w:r>
      <w:r w:rsidRPr="00363516">
        <w:rPr>
          <w:sz w:val="24"/>
        </w:rPr>
        <w:tab/>
      </w:r>
      <w:r w:rsidRPr="00363516">
        <w:rPr>
          <w:sz w:val="24"/>
          <w:u w:val="single"/>
        </w:rPr>
        <w:t>Payment to Respondent</w:t>
      </w:r>
    </w:p>
    <w:p w14:paraId="6306381D" w14:textId="77777777" w:rsidR="008B3573" w:rsidRPr="00363516" w:rsidRDefault="008B3573">
      <w:pPr>
        <w:rPr>
          <w:sz w:val="24"/>
        </w:rPr>
      </w:pPr>
    </w:p>
    <w:p w14:paraId="00A38941" w14:textId="77777777" w:rsidR="008B3573" w:rsidRPr="00363516" w:rsidRDefault="008B3573">
      <w:pPr>
        <w:rPr>
          <w:sz w:val="24"/>
        </w:rPr>
      </w:pPr>
      <w:r w:rsidRPr="00363516">
        <w:rPr>
          <w:sz w:val="24"/>
        </w:rPr>
        <w:t>There is no payment or gift made to any respondent.</w:t>
      </w:r>
    </w:p>
    <w:p w14:paraId="1CD5387D" w14:textId="77777777" w:rsidR="008B3573" w:rsidRPr="00363516" w:rsidRDefault="008B3573">
      <w:pPr>
        <w:rPr>
          <w:sz w:val="24"/>
        </w:rPr>
      </w:pPr>
    </w:p>
    <w:p w14:paraId="3AE4DDE4" w14:textId="77777777" w:rsidR="008B3573" w:rsidRPr="00363516" w:rsidRDefault="008B3573">
      <w:pPr>
        <w:rPr>
          <w:sz w:val="24"/>
          <w:u w:val="single"/>
        </w:rPr>
      </w:pPr>
      <w:r w:rsidRPr="00363516">
        <w:rPr>
          <w:sz w:val="24"/>
        </w:rPr>
        <w:t>10.</w:t>
      </w:r>
      <w:r w:rsidRPr="00363516">
        <w:rPr>
          <w:sz w:val="24"/>
        </w:rPr>
        <w:tab/>
      </w:r>
      <w:r w:rsidRPr="00363516">
        <w:rPr>
          <w:sz w:val="24"/>
          <w:u w:val="single"/>
        </w:rPr>
        <w:t>Confidentiality</w:t>
      </w:r>
    </w:p>
    <w:p w14:paraId="792147EF" w14:textId="77777777" w:rsidR="008B3573" w:rsidRPr="00363516" w:rsidRDefault="008B3573">
      <w:pPr>
        <w:rPr>
          <w:sz w:val="24"/>
          <w:u w:val="single"/>
        </w:rPr>
      </w:pPr>
    </w:p>
    <w:p w14:paraId="5CDD926F" w14:textId="4C7E77EB" w:rsidR="008F4BAE" w:rsidRDefault="000D2246">
      <w:pPr>
        <w:rPr>
          <w:sz w:val="24"/>
        </w:rPr>
      </w:pPr>
      <w:r>
        <w:rPr>
          <w:sz w:val="24"/>
        </w:rPr>
        <w:t>This co1lection maintains confidentiality to the extent of the law.</w:t>
      </w:r>
      <w:r w:rsidR="00BA7E0F">
        <w:rPr>
          <w:sz w:val="24"/>
        </w:rPr>
        <w:t xml:space="preserve">  There is no associated SORN with this collection because the personally identifiable information that is collected (Provider Name/</w:t>
      </w:r>
      <w:r w:rsidR="00BA7E0F" w:rsidRPr="00A825F1">
        <w:rPr>
          <w:sz w:val="24"/>
        </w:rPr>
        <w:t>Number</w:t>
      </w:r>
      <w:r w:rsidR="00BA7E0F">
        <w:rPr>
          <w:sz w:val="24"/>
        </w:rPr>
        <w:t xml:space="preserve"> and </w:t>
      </w:r>
      <w:r w:rsidR="00BA7E0F" w:rsidRPr="00A825F1">
        <w:rPr>
          <w:sz w:val="24"/>
        </w:rPr>
        <w:t>Patient Name</w:t>
      </w:r>
      <w:r w:rsidR="00BA7E0F">
        <w:rPr>
          <w:sz w:val="24"/>
        </w:rPr>
        <w:t>/</w:t>
      </w:r>
      <w:r w:rsidR="00BA7E0F" w:rsidRPr="00A825F1">
        <w:rPr>
          <w:sz w:val="24"/>
        </w:rPr>
        <w:t>Identification Number</w:t>
      </w:r>
      <w:r w:rsidR="00BA7E0F">
        <w:rPr>
          <w:sz w:val="24"/>
        </w:rPr>
        <w:t xml:space="preserve">) are not maintained in a </w:t>
      </w:r>
      <w:r w:rsidR="00CF1561">
        <w:rPr>
          <w:sz w:val="24"/>
        </w:rPr>
        <w:t>s</w:t>
      </w:r>
      <w:r w:rsidR="00BA7E0F">
        <w:rPr>
          <w:sz w:val="24"/>
        </w:rPr>
        <w:t xml:space="preserve">ystem of </w:t>
      </w:r>
      <w:r w:rsidR="00CF1561">
        <w:rPr>
          <w:sz w:val="24"/>
        </w:rPr>
        <w:t>r</w:t>
      </w:r>
      <w:r w:rsidR="00BA7E0F">
        <w:rPr>
          <w:sz w:val="24"/>
        </w:rPr>
        <w:t>ecords as</w:t>
      </w:r>
      <w:r w:rsidR="00CF1561">
        <w:rPr>
          <w:sz w:val="24"/>
        </w:rPr>
        <w:t xml:space="preserve"> that term is</w:t>
      </w:r>
      <w:r w:rsidR="00BA7E0F">
        <w:rPr>
          <w:sz w:val="24"/>
        </w:rPr>
        <w:t xml:space="preserve"> defined </w:t>
      </w:r>
      <w:r w:rsidR="00CF1561">
        <w:rPr>
          <w:sz w:val="24"/>
        </w:rPr>
        <w:t>in</w:t>
      </w:r>
      <w:r w:rsidR="00BA7E0F">
        <w:rPr>
          <w:sz w:val="24"/>
        </w:rPr>
        <w:t xml:space="preserve"> the Privacy Act</w:t>
      </w:r>
      <w:r w:rsidR="00CF1561">
        <w:rPr>
          <w:sz w:val="24"/>
        </w:rPr>
        <w:t xml:space="preserve"> of 1974</w:t>
      </w:r>
      <w:r w:rsidR="00BA7E0F">
        <w:rPr>
          <w:sz w:val="24"/>
        </w:rPr>
        <w:t>.</w:t>
      </w:r>
      <w:r w:rsidR="00BA7E0F">
        <w:rPr>
          <w:rStyle w:val="FootnoteReference"/>
          <w:sz w:val="24"/>
        </w:rPr>
        <w:footnoteReference w:id="1"/>
      </w:r>
    </w:p>
    <w:p w14:paraId="28D23EB0" w14:textId="77777777" w:rsidR="00BA7E0F" w:rsidRPr="00363516" w:rsidRDefault="00BA7E0F">
      <w:pPr>
        <w:rPr>
          <w:sz w:val="24"/>
        </w:rPr>
      </w:pPr>
    </w:p>
    <w:p w14:paraId="3B479560" w14:textId="77777777" w:rsidR="008B3573" w:rsidRPr="00363516" w:rsidRDefault="008B3573">
      <w:pPr>
        <w:rPr>
          <w:sz w:val="24"/>
        </w:rPr>
      </w:pPr>
      <w:r w:rsidRPr="00363516">
        <w:rPr>
          <w:sz w:val="24"/>
        </w:rPr>
        <w:t>11.</w:t>
      </w:r>
      <w:r w:rsidRPr="00363516">
        <w:rPr>
          <w:sz w:val="24"/>
        </w:rPr>
        <w:tab/>
      </w:r>
      <w:r w:rsidRPr="00363516">
        <w:rPr>
          <w:sz w:val="24"/>
          <w:u w:val="single"/>
        </w:rPr>
        <w:t>Sensitive Questions</w:t>
      </w:r>
    </w:p>
    <w:p w14:paraId="443A50AD" w14:textId="77777777" w:rsidR="008B3573" w:rsidRPr="00363516" w:rsidRDefault="008B3573">
      <w:pPr>
        <w:rPr>
          <w:sz w:val="24"/>
        </w:rPr>
      </w:pPr>
    </w:p>
    <w:p w14:paraId="0C35DDA9" w14:textId="77777777" w:rsidR="008B3573" w:rsidRPr="00363516" w:rsidRDefault="008B3573">
      <w:pPr>
        <w:rPr>
          <w:sz w:val="24"/>
        </w:rPr>
      </w:pPr>
      <w:r w:rsidRPr="00363516">
        <w:rPr>
          <w:sz w:val="24"/>
        </w:rPr>
        <w:t>There are no questions of a sensitive nature involved in the credit balance data collection.</w:t>
      </w:r>
    </w:p>
    <w:p w14:paraId="09854396" w14:textId="77777777" w:rsidR="008B3573" w:rsidRPr="00363516" w:rsidRDefault="008B3573">
      <w:pPr>
        <w:rPr>
          <w:sz w:val="24"/>
        </w:rPr>
      </w:pPr>
    </w:p>
    <w:p w14:paraId="587E84E4" w14:textId="77777777" w:rsidR="008B3573" w:rsidRPr="00363516" w:rsidRDefault="008B3573">
      <w:pPr>
        <w:rPr>
          <w:sz w:val="24"/>
          <w:u w:val="single"/>
        </w:rPr>
      </w:pPr>
      <w:r w:rsidRPr="00363516">
        <w:rPr>
          <w:sz w:val="24"/>
        </w:rPr>
        <w:t>12.</w:t>
      </w:r>
      <w:r w:rsidRPr="00363516">
        <w:rPr>
          <w:sz w:val="24"/>
        </w:rPr>
        <w:tab/>
      </w:r>
      <w:r w:rsidRPr="00363516">
        <w:rPr>
          <w:sz w:val="24"/>
          <w:u w:val="single"/>
        </w:rPr>
        <w:t>Estimate of Burden</w:t>
      </w:r>
    </w:p>
    <w:p w14:paraId="08BD0FE6" w14:textId="77777777" w:rsidR="008B3573" w:rsidRPr="00363516" w:rsidRDefault="008B3573">
      <w:pPr>
        <w:rPr>
          <w:sz w:val="24"/>
        </w:rPr>
      </w:pPr>
    </w:p>
    <w:p w14:paraId="5817A1B3" w14:textId="77777777" w:rsidR="00410E48" w:rsidRDefault="008B3573">
      <w:pPr>
        <w:rPr>
          <w:sz w:val="24"/>
        </w:rPr>
      </w:pPr>
      <w:r w:rsidRPr="00363516">
        <w:rPr>
          <w:sz w:val="24"/>
        </w:rPr>
        <w:t>The burden associated with the information collection is based upon the amount of time needed by providers to prepare and submit the credit balance reports.  In most instances, the reports will be prepared electronically creating little burden.  However, in many instances, providers will need to review patient files to ensure that credit balance amounts are in fact due Medicare and not another insurer or patient.</w:t>
      </w:r>
    </w:p>
    <w:p w14:paraId="1DA3443E" w14:textId="724E949C" w:rsidR="008B3573" w:rsidRPr="00363516" w:rsidRDefault="008B3573">
      <w:pPr>
        <w:rPr>
          <w:sz w:val="24"/>
        </w:rPr>
      </w:pPr>
      <w:r w:rsidRPr="00363516">
        <w:rPr>
          <w:sz w:val="24"/>
        </w:rPr>
        <w:t>Provider costs to verify credit balance amounts due Medicare and to prepare the requisite reports will cost $</w:t>
      </w:r>
      <w:r w:rsidR="001A1EAC">
        <w:rPr>
          <w:sz w:val="24"/>
        </w:rPr>
        <w:t xml:space="preserve"> 40.3 </w:t>
      </w:r>
      <w:r w:rsidR="00B063D8" w:rsidRPr="00363516">
        <w:rPr>
          <w:sz w:val="24"/>
        </w:rPr>
        <w:t>m</w:t>
      </w:r>
      <w:r w:rsidRPr="00363516">
        <w:rPr>
          <w:sz w:val="24"/>
        </w:rPr>
        <w:t>illion per year, computed as follows:</w:t>
      </w:r>
    </w:p>
    <w:p w14:paraId="1B7DCDCD" w14:textId="77777777" w:rsidR="008B3573" w:rsidRPr="00363516" w:rsidRDefault="008B3573">
      <w:pPr>
        <w:rPr>
          <w:sz w:val="24"/>
        </w:rPr>
      </w:pPr>
    </w:p>
    <w:p w14:paraId="444CEBB1" w14:textId="6C386BBA" w:rsidR="008B3573" w:rsidRPr="00363516" w:rsidRDefault="008B3573">
      <w:pPr>
        <w:rPr>
          <w:sz w:val="24"/>
        </w:rPr>
      </w:pPr>
      <w:r w:rsidRPr="00363516">
        <w:rPr>
          <w:sz w:val="24"/>
        </w:rPr>
        <w:t>Number of Providers</w:t>
      </w:r>
      <w:r w:rsidRPr="00363516">
        <w:rPr>
          <w:sz w:val="24"/>
        </w:rPr>
        <w:tab/>
      </w:r>
      <w:r w:rsidR="001A1EAC">
        <w:rPr>
          <w:sz w:val="24"/>
        </w:rPr>
        <w:t xml:space="preserve">Serviced by Part A </w:t>
      </w:r>
      <w:r w:rsidR="00026610">
        <w:rPr>
          <w:sz w:val="24"/>
        </w:rPr>
        <w:t xml:space="preserve">MACs                                         </w:t>
      </w:r>
      <w:r w:rsidR="00E63882">
        <w:rPr>
          <w:sz w:val="24"/>
        </w:rPr>
        <w:t>52,582</w:t>
      </w:r>
    </w:p>
    <w:p w14:paraId="55FAC44F" w14:textId="3B2C0B7F" w:rsidR="008B3573" w:rsidRPr="00363516" w:rsidRDefault="008B3573">
      <w:pPr>
        <w:rPr>
          <w:sz w:val="24"/>
        </w:rPr>
      </w:pPr>
      <w:r w:rsidRPr="00363516">
        <w:rPr>
          <w:sz w:val="24"/>
        </w:rPr>
        <w:t xml:space="preserve">Number of Hours </w:t>
      </w:r>
      <w:r w:rsidR="001E27AA" w:rsidRPr="00363516">
        <w:rPr>
          <w:sz w:val="24"/>
        </w:rPr>
        <w:t>per</w:t>
      </w:r>
      <w:r w:rsidRPr="00363516">
        <w:rPr>
          <w:sz w:val="24"/>
        </w:rPr>
        <w:t xml:space="preserve"> Quarter to Generate Report</w:t>
      </w:r>
      <w:r w:rsidRPr="00363516">
        <w:rPr>
          <w:sz w:val="24"/>
        </w:rPr>
        <w:tab/>
      </w:r>
      <w:r w:rsidRPr="00363516">
        <w:rPr>
          <w:sz w:val="24"/>
        </w:rPr>
        <w:tab/>
      </w:r>
      <w:r w:rsidRPr="00363516">
        <w:rPr>
          <w:sz w:val="24"/>
        </w:rPr>
        <w:tab/>
        <w:t xml:space="preserve">   </w:t>
      </w:r>
      <w:r w:rsidRPr="00363516">
        <w:rPr>
          <w:sz w:val="24"/>
          <w:u w:val="single"/>
        </w:rPr>
        <w:t xml:space="preserve">              </w:t>
      </w:r>
      <w:r w:rsidR="00981498" w:rsidRPr="00363516">
        <w:rPr>
          <w:sz w:val="24"/>
          <w:u w:val="single"/>
        </w:rPr>
        <w:t xml:space="preserve">X </w:t>
      </w:r>
      <w:r w:rsidR="00824110" w:rsidRPr="00363516">
        <w:rPr>
          <w:sz w:val="24"/>
          <w:u w:val="single"/>
        </w:rPr>
        <w:t>3</w:t>
      </w:r>
    </w:p>
    <w:p w14:paraId="1049F0D4" w14:textId="23C1DE33" w:rsidR="008B3573" w:rsidRPr="00363516" w:rsidRDefault="008B3573">
      <w:pPr>
        <w:rPr>
          <w:sz w:val="24"/>
        </w:rPr>
      </w:pPr>
      <w:r w:rsidRPr="00363516">
        <w:rPr>
          <w:sz w:val="24"/>
        </w:rPr>
        <w:t xml:space="preserve">Total Hours </w:t>
      </w:r>
      <w:r w:rsidR="001E27AA" w:rsidRPr="00363516">
        <w:rPr>
          <w:sz w:val="24"/>
        </w:rPr>
        <w:t>per</w:t>
      </w:r>
      <w:r w:rsidRPr="00363516">
        <w:rPr>
          <w:sz w:val="24"/>
        </w:rPr>
        <w:t xml:space="preserve"> Quarter</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5616BE">
        <w:rPr>
          <w:sz w:val="24"/>
        </w:rPr>
        <w:t>1</w:t>
      </w:r>
      <w:r w:rsidR="00E63882">
        <w:rPr>
          <w:sz w:val="24"/>
        </w:rPr>
        <w:t>5</w:t>
      </w:r>
      <w:r w:rsidR="00A7159A">
        <w:rPr>
          <w:sz w:val="24"/>
        </w:rPr>
        <w:t>7</w:t>
      </w:r>
      <w:r w:rsidR="007B2EB7">
        <w:rPr>
          <w:sz w:val="24"/>
        </w:rPr>
        <w:t>,</w:t>
      </w:r>
      <w:r w:rsidR="00E63882">
        <w:rPr>
          <w:sz w:val="24"/>
        </w:rPr>
        <w:t>746</w:t>
      </w:r>
    </w:p>
    <w:p w14:paraId="7FA8BE97" w14:textId="77777777" w:rsidR="008B3573" w:rsidRPr="00363516" w:rsidRDefault="008B3573">
      <w:pPr>
        <w:rPr>
          <w:sz w:val="24"/>
        </w:rPr>
      </w:pPr>
      <w:r w:rsidRPr="00363516">
        <w:rPr>
          <w:sz w:val="24"/>
        </w:rPr>
        <w:t>Number of Quarters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X</w:t>
      </w:r>
      <w:r w:rsidR="00981498" w:rsidRPr="00363516">
        <w:rPr>
          <w:sz w:val="24"/>
          <w:u w:val="single"/>
        </w:rPr>
        <w:t xml:space="preserve"> </w:t>
      </w:r>
      <w:r w:rsidRPr="00363516">
        <w:rPr>
          <w:sz w:val="24"/>
          <w:u w:val="single"/>
        </w:rPr>
        <w:t>4</w:t>
      </w:r>
    </w:p>
    <w:p w14:paraId="07A4B54C" w14:textId="77777777" w:rsidR="008B3573"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9C5B7F" w:rsidRPr="00363516">
        <w:rPr>
          <w:sz w:val="24"/>
        </w:rPr>
        <w:t xml:space="preserve">   </w:t>
      </w:r>
      <w:r w:rsidR="00E63882">
        <w:rPr>
          <w:sz w:val="24"/>
        </w:rPr>
        <w:t>630</w:t>
      </w:r>
      <w:r w:rsidR="007B2EB7">
        <w:rPr>
          <w:sz w:val="24"/>
        </w:rPr>
        <w:t>,</w:t>
      </w:r>
      <w:r w:rsidR="00E63882">
        <w:rPr>
          <w:sz w:val="24"/>
        </w:rPr>
        <w:t>984</w:t>
      </w:r>
    </w:p>
    <w:p w14:paraId="22A1DE98" w14:textId="36E53BDB" w:rsidR="00400A70" w:rsidRDefault="00400A70">
      <w:pPr>
        <w:rPr>
          <w:sz w:val="24"/>
        </w:rPr>
      </w:pPr>
      <w:r>
        <w:rPr>
          <w:sz w:val="24"/>
        </w:rPr>
        <w:t>Reporting is based on our policy and procedures outlined in the Financial Management Manual Publication 100.6, Chapter 12.</w:t>
      </w:r>
    </w:p>
    <w:p w14:paraId="54CBE3A0" w14:textId="77777777" w:rsidR="00A7159A" w:rsidRPr="00363516" w:rsidRDefault="00A7159A">
      <w:pPr>
        <w:rPr>
          <w:sz w:val="24"/>
        </w:rPr>
      </w:pPr>
    </w:p>
    <w:p w14:paraId="2CE841C0" w14:textId="5F7613CE" w:rsidR="008B3573" w:rsidRPr="00363516" w:rsidRDefault="008B3573">
      <w:pPr>
        <w:rPr>
          <w:sz w:val="24"/>
        </w:rPr>
      </w:pPr>
      <w:r w:rsidRPr="00363516">
        <w:rPr>
          <w:sz w:val="24"/>
        </w:rPr>
        <w:t>Cost Per Hour</w:t>
      </w:r>
      <w:r w:rsidRPr="00363516">
        <w:rPr>
          <w:sz w:val="24"/>
        </w:rPr>
        <w:tab/>
      </w:r>
      <w:r w:rsidR="00026610">
        <w:rPr>
          <w:sz w:val="24"/>
        </w:rPr>
        <w:t>(63.82/</w:t>
      </w:r>
      <w:r w:rsidR="001E27AA">
        <w:rPr>
          <w:sz w:val="24"/>
        </w:rPr>
        <w:t>hr. Financial</w:t>
      </w:r>
      <w:r w:rsidR="00026610">
        <w:rPr>
          <w:sz w:val="24"/>
        </w:rPr>
        <w:t xml:space="preserve"> Specialist</w:t>
      </w:r>
      <w:r w:rsidR="008731D3">
        <w:rPr>
          <w:sz w:val="24"/>
        </w:rPr>
        <w:t xml:space="preserve"> 13-2099</w:t>
      </w:r>
      <w:r w:rsidR="00026610">
        <w:rPr>
          <w:sz w:val="24"/>
        </w:rPr>
        <w:t>)</w:t>
      </w:r>
      <w:r w:rsidRPr="00363516">
        <w:rPr>
          <w:sz w:val="24"/>
        </w:rPr>
        <w:tab/>
      </w:r>
      <w:r w:rsidRPr="00363516">
        <w:rPr>
          <w:sz w:val="24"/>
        </w:rPr>
        <w:tab/>
      </w:r>
      <w:r w:rsidR="001809E7" w:rsidRPr="00363516">
        <w:rPr>
          <w:sz w:val="24"/>
        </w:rPr>
        <w:tab/>
      </w:r>
      <w:r w:rsidRPr="00363516">
        <w:rPr>
          <w:sz w:val="24"/>
          <w:u w:val="single"/>
        </w:rPr>
        <w:t xml:space="preserve">       X</w:t>
      </w:r>
      <w:r w:rsidR="00981498" w:rsidRPr="00363516">
        <w:rPr>
          <w:sz w:val="24"/>
          <w:u w:val="single"/>
        </w:rPr>
        <w:t xml:space="preserve"> </w:t>
      </w:r>
      <w:r w:rsidRPr="00363516">
        <w:rPr>
          <w:sz w:val="24"/>
          <w:u w:val="single"/>
        </w:rPr>
        <w:t>$</w:t>
      </w:r>
      <w:r w:rsidR="00026610">
        <w:rPr>
          <w:sz w:val="24"/>
          <w:u w:val="single"/>
        </w:rPr>
        <w:t>63.82</w:t>
      </w:r>
    </w:p>
    <w:p w14:paraId="652F274F" w14:textId="6ED01C01" w:rsidR="008B3573" w:rsidRPr="00363516" w:rsidRDefault="00400A70">
      <w:pPr>
        <w:rPr>
          <w:sz w:val="24"/>
        </w:rPr>
      </w:pPr>
      <w:r>
        <w:rPr>
          <w:sz w:val="24"/>
        </w:rPr>
        <w:t>This information comes from the Bureau of Labor Statistics and includes 100% of salary overhead.</w:t>
      </w:r>
      <w:r w:rsidR="00FF5E14">
        <w:rPr>
          <w:sz w:val="24"/>
        </w:rPr>
        <w:t xml:space="preserve">  BLS website http://www.bls.gov/oes/current/oes_md.htm</w:t>
      </w:r>
    </w:p>
    <w:p w14:paraId="5D03E341" w14:textId="2139BC21" w:rsidR="008B3573"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001809E7" w:rsidRPr="00363516">
        <w:rPr>
          <w:sz w:val="24"/>
        </w:rPr>
        <w:t xml:space="preserve">           </w:t>
      </w:r>
      <w:r w:rsidR="001809E7" w:rsidRPr="00363516">
        <w:rPr>
          <w:sz w:val="24"/>
          <w:u w:val="double"/>
        </w:rPr>
        <w:t xml:space="preserve">    </w:t>
      </w:r>
      <w:r w:rsidRPr="00363516">
        <w:rPr>
          <w:sz w:val="24"/>
          <w:u w:val="double"/>
        </w:rPr>
        <w:t>$</w:t>
      </w:r>
      <w:r w:rsidR="008731D3">
        <w:rPr>
          <w:sz w:val="24"/>
          <w:u w:val="double"/>
        </w:rPr>
        <w:t>40,269,399</w:t>
      </w:r>
    </w:p>
    <w:p w14:paraId="7932217B" w14:textId="77777777" w:rsidR="005E028C" w:rsidRPr="00363516" w:rsidRDefault="005E028C">
      <w:pPr>
        <w:rPr>
          <w:sz w:val="24"/>
        </w:rPr>
      </w:pPr>
    </w:p>
    <w:p w14:paraId="133B68F7" w14:textId="77777777" w:rsidR="008B3573" w:rsidRPr="00363516" w:rsidRDefault="008B3573">
      <w:pPr>
        <w:rPr>
          <w:sz w:val="24"/>
        </w:rPr>
      </w:pPr>
      <w:r w:rsidRPr="00363516">
        <w:rPr>
          <w:sz w:val="24"/>
        </w:rPr>
        <w:t>13.</w:t>
      </w:r>
      <w:r w:rsidRPr="00363516">
        <w:rPr>
          <w:sz w:val="24"/>
        </w:rPr>
        <w:tab/>
      </w:r>
      <w:r w:rsidRPr="00363516">
        <w:rPr>
          <w:sz w:val="24"/>
          <w:u w:val="single"/>
        </w:rPr>
        <w:t>Capital Costs</w:t>
      </w:r>
    </w:p>
    <w:p w14:paraId="69369A2E" w14:textId="77777777" w:rsidR="008B3573" w:rsidRPr="00363516" w:rsidRDefault="008B3573">
      <w:pPr>
        <w:rPr>
          <w:sz w:val="24"/>
        </w:rPr>
      </w:pPr>
    </w:p>
    <w:p w14:paraId="6EC5B75E" w14:textId="77777777" w:rsidR="008B3573" w:rsidRPr="00363516" w:rsidRDefault="008B3573">
      <w:pPr>
        <w:rPr>
          <w:sz w:val="24"/>
        </w:rPr>
      </w:pPr>
      <w:r w:rsidRPr="00363516">
        <w:rPr>
          <w:sz w:val="24"/>
        </w:rPr>
        <w:t>There are no capital and startup costs or operation and maintenance costs associated with this collection.</w:t>
      </w:r>
    </w:p>
    <w:p w14:paraId="32187721" w14:textId="77777777" w:rsidR="008B3573" w:rsidRPr="00363516" w:rsidRDefault="008B3573">
      <w:pPr>
        <w:rPr>
          <w:sz w:val="24"/>
        </w:rPr>
      </w:pPr>
    </w:p>
    <w:p w14:paraId="6F9EE8B4" w14:textId="77777777" w:rsidR="008B3573" w:rsidRPr="00363516" w:rsidRDefault="008B3573">
      <w:pPr>
        <w:rPr>
          <w:sz w:val="24"/>
        </w:rPr>
      </w:pPr>
      <w:r w:rsidRPr="00363516">
        <w:rPr>
          <w:sz w:val="24"/>
        </w:rPr>
        <w:t>14.</w:t>
      </w:r>
      <w:r w:rsidRPr="00363516">
        <w:rPr>
          <w:sz w:val="24"/>
        </w:rPr>
        <w:tab/>
      </w:r>
      <w:r w:rsidRPr="00363516">
        <w:rPr>
          <w:sz w:val="24"/>
          <w:u w:val="single"/>
        </w:rPr>
        <w:t>Cost to Federal Government</w:t>
      </w:r>
    </w:p>
    <w:p w14:paraId="3E5238AD" w14:textId="77777777" w:rsidR="008B3573" w:rsidRPr="00363516" w:rsidRDefault="008B3573">
      <w:pPr>
        <w:rPr>
          <w:sz w:val="24"/>
        </w:rPr>
      </w:pPr>
    </w:p>
    <w:p w14:paraId="73552547" w14:textId="6E55079E" w:rsidR="0042562F" w:rsidRPr="00363516" w:rsidRDefault="008B3573">
      <w:pPr>
        <w:rPr>
          <w:sz w:val="24"/>
        </w:rPr>
      </w:pPr>
      <w:r w:rsidRPr="00363516">
        <w:rPr>
          <w:sz w:val="24"/>
        </w:rPr>
        <w:t>Federal Government costs for this initiative will be $</w:t>
      </w:r>
      <w:r w:rsidR="008731D3">
        <w:rPr>
          <w:sz w:val="24"/>
        </w:rPr>
        <w:t xml:space="preserve"> 1.2</w:t>
      </w:r>
      <w:r w:rsidR="00103999">
        <w:rPr>
          <w:sz w:val="24"/>
        </w:rPr>
        <w:t xml:space="preserve"> </w:t>
      </w:r>
      <w:r w:rsidRPr="00363516">
        <w:rPr>
          <w:sz w:val="24"/>
        </w:rPr>
        <w:t xml:space="preserve">million per year.  This estimate is based upon the cost of 3/4 full-time equivalent (FTE) employee at each </w:t>
      </w:r>
      <w:r w:rsidR="004039F7">
        <w:rPr>
          <w:sz w:val="24"/>
        </w:rPr>
        <w:t>contractor</w:t>
      </w:r>
      <w:r w:rsidRPr="00363516">
        <w:rPr>
          <w:sz w:val="24"/>
        </w:rPr>
        <w:t xml:space="preserve"> to monitor the credit balance reports, the recovery of outstanding credit balances, the issuance of demand letters, </w:t>
      </w:r>
      <w:r w:rsidR="0042562F" w:rsidRPr="00363516">
        <w:rPr>
          <w:sz w:val="24"/>
        </w:rPr>
        <w:t xml:space="preserve">and </w:t>
      </w:r>
      <w:r w:rsidRPr="00363516">
        <w:rPr>
          <w:sz w:val="24"/>
        </w:rPr>
        <w:t>audit costs to verify the accuracy of provider credit balance reports.</w:t>
      </w:r>
    </w:p>
    <w:p w14:paraId="24840C3B" w14:textId="77777777" w:rsidR="0042562F" w:rsidRPr="00363516" w:rsidRDefault="0042562F">
      <w:pPr>
        <w:rPr>
          <w:sz w:val="24"/>
        </w:rPr>
      </w:pPr>
    </w:p>
    <w:p w14:paraId="78D5FB96" w14:textId="77777777" w:rsidR="008B3573" w:rsidRPr="00363516" w:rsidRDefault="008B3573">
      <w:pPr>
        <w:rPr>
          <w:sz w:val="24"/>
        </w:rPr>
      </w:pPr>
      <w:r w:rsidRPr="00363516">
        <w:rPr>
          <w:sz w:val="24"/>
        </w:rPr>
        <w:t>Costs to the Government are calculated as follows:</w:t>
      </w:r>
    </w:p>
    <w:p w14:paraId="4421A69F" w14:textId="77777777" w:rsidR="008B3573" w:rsidRPr="00363516" w:rsidRDefault="008B3573">
      <w:pPr>
        <w:rPr>
          <w:sz w:val="24"/>
        </w:rPr>
      </w:pPr>
    </w:p>
    <w:p w14:paraId="5A0208C9" w14:textId="6C68261C" w:rsidR="008B3573" w:rsidRPr="00363516" w:rsidRDefault="008B3573">
      <w:pPr>
        <w:rPr>
          <w:sz w:val="24"/>
        </w:rPr>
      </w:pPr>
      <w:r w:rsidRPr="00363516">
        <w:rPr>
          <w:sz w:val="24"/>
        </w:rPr>
        <w:t xml:space="preserve">Cost of 3/4 FTE </w:t>
      </w:r>
      <w:r w:rsidR="00B80BA4">
        <w:rPr>
          <w:sz w:val="24"/>
        </w:rPr>
        <w:t>E</w:t>
      </w:r>
      <w:r w:rsidRPr="00363516">
        <w:rPr>
          <w:sz w:val="24"/>
        </w:rPr>
        <w:t>mployee ($</w:t>
      </w:r>
      <w:r w:rsidR="008731D3">
        <w:rPr>
          <w:sz w:val="24"/>
        </w:rPr>
        <w:t xml:space="preserve"> 63.82</w:t>
      </w:r>
      <w:r w:rsidRPr="00363516">
        <w:rPr>
          <w:sz w:val="24"/>
        </w:rPr>
        <w:t>/hr.</w:t>
      </w:r>
      <w:r w:rsidR="008731D3">
        <w:rPr>
          <w:sz w:val="24"/>
        </w:rPr>
        <w:t>, Financial Specialist 13-2099</w:t>
      </w:r>
      <w:r w:rsidRPr="00363516">
        <w:rPr>
          <w:sz w:val="24"/>
        </w:rPr>
        <w:t>)</w:t>
      </w:r>
      <w:r w:rsidRPr="00363516">
        <w:rPr>
          <w:sz w:val="24"/>
        </w:rPr>
        <w:tab/>
      </w:r>
      <w:r w:rsidRPr="00363516">
        <w:rPr>
          <w:sz w:val="24"/>
        </w:rPr>
        <w:tab/>
      </w:r>
      <w:r w:rsidRPr="00363516">
        <w:rPr>
          <w:sz w:val="24"/>
        </w:rPr>
        <w:tab/>
      </w:r>
      <w:r w:rsidRPr="00363516">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8731D3">
        <w:rPr>
          <w:sz w:val="24"/>
        </w:rPr>
        <w:tab/>
      </w:r>
      <w:r w:rsidR="006C56B0">
        <w:rPr>
          <w:sz w:val="24"/>
        </w:rPr>
        <w:t>$</w:t>
      </w:r>
      <w:r w:rsidR="008731D3">
        <w:rPr>
          <w:sz w:val="24"/>
        </w:rPr>
        <w:t>99,559</w:t>
      </w:r>
      <w:r w:rsidRPr="00363516">
        <w:rPr>
          <w:sz w:val="24"/>
        </w:rPr>
        <w:tab/>
      </w:r>
      <w:r w:rsidR="008731D3">
        <w:rPr>
          <w:sz w:val="24"/>
        </w:rPr>
        <w:t xml:space="preserve">                                                                         </w:t>
      </w:r>
    </w:p>
    <w:p w14:paraId="1B17FDDC" w14:textId="087E24A1" w:rsidR="008B3573" w:rsidRPr="00363516" w:rsidRDefault="008B3573">
      <w:pPr>
        <w:rPr>
          <w:sz w:val="24"/>
        </w:rPr>
      </w:pPr>
      <w:r w:rsidRPr="00363516">
        <w:rPr>
          <w:sz w:val="24"/>
        </w:rPr>
        <w:t xml:space="preserve">Number of </w:t>
      </w:r>
      <w:r w:rsidR="00226B6D">
        <w:rPr>
          <w:sz w:val="24"/>
        </w:rPr>
        <w:t xml:space="preserve">Contractors </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1E27AA" w:rsidRPr="00363516">
        <w:rPr>
          <w:sz w:val="24"/>
          <w:u w:val="single"/>
        </w:rPr>
        <w:t xml:space="preserve">X </w:t>
      </w:r>
      <w:r w:rsidR="001E27AA">
        <w:rPr>
          <w:sz w:val="24"/>
          <w:u w:val="single"/>
        </w:rPr>
        <w:t>12</w:t>
      </w:r>
    </w:p>
    <w:p w14:paraId="0272978C" w14:textId="27D57165" w:rsidR="008B3573" w:rsidRPr="00363516" w:rsidRDefault="008B3573">
      <w:pPr>
        <w:rPr>
          <w:sz w:val="24"/>
        </w:rPr>
      </w:pPr>
      <w:r w:rsidRPr="00363516">
        <w:rPr>
          <w:sz w:val="24"/>
        </w:rPr>
        <w:t>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E63882">
        <w:rPr>
          <w:sz w:val="24"/>
          <w:u w:val="single"/>
        </w:rPr>
        <w:t xml:space="preserve">   </w:t>
      </w:r>
      <w:r w:rsidR="009432AA">
        <w:rPr>
          <w:sz w:val="24"/>
          <w:u w:val="single"/>
        </w:rPr>
        <w:t xml:space="preserve"> </w:t>
      </w:r>
      <w:r w:rsidRPr="00363516">
        <w:rPr>
          <w:sz w:val="24"/>
          <w:u w:val="single"/>
        </w:rPr>
        <w:t>$</w:t>
      </w:r>
      <w:r w:rsidR="008731D3">
        <w:rPr>
          <w:sz w:val="24"/>
          <w:u w:val="single"/>
        </w:rPr>
        <w:t>1,194,708</w:t>
      </w:r>
      <w:r w:rsidR="00E63882">
        <w:rPr>
          <w:sz w:val="24"/>
          <w:u w:val="single"/>
        </w:rPr>
        <w:t xml:space="preserve"> </w:t>
      </w:r>
    </w:p>
    <w:p w14:paraId="012C994D" w14:textId="77777777" w:rsidR="008B3573" w:rsidRPr="00363516" w:rsidRDefault="008B3573">
      <w:pPr>
        <w:rPr>
          <w:sz w:val="24"/>
        </w:rPr>
      </w:pPr>
    </w:p>
    <w:p w14:paraId="2701BE5F" w14:textId="77777777" w:rsidR="008B3573" w:rsidRPr="00363516" w:rsidRDefault="008B3573">
      <w:pPr>
        <w:rPr>
          <w:sz w:val="24"/>
        </w:rPr>
      </w:pPr>
      <w:r w:rsidRPr="00363516">
        <w:rPr>
          <w:sz w:val="24"/>
        </w:rPr>
        <w:t>No. of Audits</w:t>
      </w:r>
      <w:r w:rsidR="0042562F" w:rsidRPr="00363516">
        <w:rPr>
          <w:sz w:val="24"/>
        </w:rPr>
        <w:t xml:space="preserve"> of Credit Balance Reports</w:t>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42562F" w:rsidRPr="00363516">
        <w:rPr>
          <w:sz w:val="24"/>
        </w:rPr>
        <w:t xml:space="preserve">  25</w:t>
      </w:r>
    </w:p>
    <w:p w14:paraId="08F1111C" w14:textId="77777777" w:rsidR="008B3573" w:rsidRPr="00363516" w:rsidRDefault="008B3573">
      <w:pPr>
        <w:rPr>
          <w:sz w:val="24"/>
        </w:rPr>
      </w:pPr>
      <w:r w:rsidRPr="00363516">
        <w:rPr>
          <w:sz w:val="24"/>
        </w:rPr>
        <w:t>No. of Hours per Audit</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1A3AA9" w:rsidRPr="00363516">
        <w:rPr>
          <w:sz w:val="24"/>
          <w:u w:val="single"/>
        </w:rPr>
        <w:t xml:space="preserve">  X 4</w:t>
      </w:r>
    </w:p>
    <w:p w14:paraId="232A1443" w14:textId="77777777" w:rsidR="008B3573" w:rsidRPr="00363516" w:rsidRDefault="008B3573">
      <w:pPr>
        <w:rPr>
          <w:sz w:val="24"/>
        </w:rPr>
      </w:pPr>
      <w:r w:rsidRPr="00363516">
        <w:rPr>
          <w:sz w:val="24"/>
        </w:rPr>
        <w:t>Total Hours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001A3AA9" w:rsidRPr="00363516">
        <w:rPr>
          <w:sz w:val="24"/>
        </w:rPr>
        <w:t xml:space="preserve">  </w:t>
      </w:r>
      <w:r w:rsidR="0042562F" w:rsidRPr="00363516">
        <w:rPr>
          <w:sz w:val="24"/>
        </w:rPr>
        <w:t xml:space="preserve">   100</w:t>
      </w:r>
    </w:p>
    <w:p w14:paraId="20580933" w14:textId="160CE5B5" w:rsidR="008B3573" w:rsidRPr="00363516" w:rsidRDefault="008B3573">
      <w:pPr>
        <w:rPr>
          <w:sz w:val="24"/>
        </w:rPr>
      </w:pPr>
      <w:r w:rsidRPr="00363516">
        <w:rPr>
          <w:sz w:val="24"/>
        </w:rPr>
        <w:t>Cost per Hour (</w:t>
      </w:r>
      <w:r w:rsidR="00410E48">
        <w:rPr>
          <w:sz w:val="24"/>
        </w:rPr>
        <w:t>$</w:t>
      </w:r>
      <w:r w:rsidR="002C646E">
        <w:rPr>
          <w:sz w:val="24"/>
        </w:rPr>
        <w:t>71.18/</w:t>
      </w:r>
      <w:r w:rsidR="001E27AA">
        <w:rPr>
          <w:sz w:val="24"/>
        </w:rPr>
        <w:t>hr. Auditor</w:t>
      </w:r>
      <w:r w:rsidR="002C646E">
        <w:rPr>
          <w:sz w:val="24"/>
        </w:rPr>
        <w:t xml:space="preserve"> 13-2011</w:t>
      </w:r>
      <w:r w:rsidRPr="00363516">
        <w:rPr>
          <w:sz w:val="24"/>
        </w:rPr>
        <w:t>)</w:t>
      </w:r>
      <w:r w:rsidRPr="00363516">
        <w:rPr>
          <w:sz w:val="24"/>
        </w:rPr>
        <w:tab/>
        <w:t xml:space="preserve">         </w:t>
      </w:r>
      <w:r w:rsidR="001A3AA9" w:rsidRPr="00363516">
        <w:rPr>
          <w:sz w:val="24"/>
        </w:rPr>
        <w:t xml:space="preserve">X </w:t>
      </w:r>
      <w:r w:rsidRPr="00363516">
        <w:rPr>
          <w:sz w:val="24"/>
          <w:u w:val="single"/>
        </w:rPr>
        <w:t>$</w:t>
      </w:r>
      <w:r w:rsidR="008731D3">
        <w:rPr>
          <w:sz w:val="24"/>
          <w:u w:val="single"/>
        </w:rPr>
        <w:t>71.18</w:t>
      </w:r>
    </w:p>
    <w:p w14:paraId="6C65A3DB" w14:textId="462F9612" w:rsidR="008B3573" w:rsidRDefault="008B3573">
      <w:pPr>
        <w:rPr>
          <w:sz w:val="24"/>
          <w:u w:val="single"/>
        </w:rPr>
      </w:pPr>
      <w:r w:rsidRPr="00363516">
        <w:rPr>
          <w:sz w:val="24"/>
        </w:rPr>
        <w:t>Cost</w:t>
      </w:r>
      <w:r w:rsidR="002E4AF6">
        <w:rPr>
          <w:sz w:val="24"/>
        </w:rPr>
        <w: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single"/>
        </w:rPr>
        <w:t xml:space="preserve">      </w:t>
      </w:r>
      <w:r w:rsidR="0042562F" w:rsidRPr="00363516">
        <w:rPr>
          <w:sz w:val="24"/>
          <w:u w:val="single"/>
        </w:rPr>
        <w:t xml:space="preserve">    $</w:t>
      </w:r>
      <w:r w:rsidR="008731D3">
        <w:rPr>
          <w:sz w:val="24"/>
          <w:u w:val="single"/>
        </w:rPr>
        <w:t>7,118</w:t>
      </w:r>
    </w:p>
    <w:p w14:paraId="124C0534" w14:textId="774C4FFC" w:rsidR="00226B6D" w:rsidRPr="00363516" w:rsidRDefault="00FF5E14">
      <w:pPr>
        <w:rPr>
          <w:sz w:val="24"/>
        </w:rPr>
      </w:pPr>
      <w:r>
        <w:rPr>
          <w:sz w:val="24"/>
        </w:rPr>
        <w:t>BLS website http://www.bls.gov/oes/current/oes_md.htm</w:t>
      </w:r>
    </w:p>
    <w:p w14:paraId="097068B2" w14:textId="7E533FB2" w:rsidR="008B3573" w:rsidRPr="00363516" w:rsidRDefault="008B3573">
      <w:pPr>
        <w:rPr>
          <w:sz w:val="24"/>
          <w:u w:val="double"/>
        </w:rPr>
      </w:pPr>
      <w:r w:rsidRPr="00363516">
        <w:rPr>
          <w:sz w:val="24"/>
        </w:rPr>
        <w:t>Total Costs</w:t>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r>
      <w:r w:rsidRPr="00363516">
        <w:rPr>
          <w:sz w:val="24"/>
        </w:rPr>
        <w:tab/>
        <w:t xml:space="preserve">   </w:t>
      </w:r>
      <w:r w:rsidRPr="00363516">
        <w:rPr>
          <w:sz w:val="24"/>
          <w:u w:val="double"/>
        </w:rPr>
        <w:t xml:space="preserve">   </w:t>
      </w:r>
      <w:r w:rsidR="00E63882">
        <w:rPr>
          <w:sz w:val="24"/>
          <w:u w:val="double"/>
        </w:rPr>
        <w:t xml:space="preserve">    </w:t>
      </w:r>
      <w:r w:rsidRPr="00363516">
        <w:rPr>
          <w:sz w:val="24"/>
          <w:u w:val="double"/>
        </w:rPr>
        <w:t>$</w:t>
      </w:r>
      <w:r w:rsidR="008731D3">
        <w:rPr>
          <w:sz w:val="24"/>
          <w:u w:val="double"/>
        </w:rPr>
        <w:t>1,201,826</w:t>
      </w:r>
    </w:p>
    <w:p w14:paraId="386D2F1C" w14:textId="77777777" w:rsidR="008B3573" w:rsidRPr="00363516" w:rsidRDefault="008B3573">
      <w:pPr>
        <w:rPr>
          <w:sz w:val="24"/>
        </w:rPr>
      </w:pPr>
    </w:p>
    <w:p w14:paraId="4FB512B9" w14:textId="77777777" w:rsidR="008B3573" w:rsidRPr="00363516" w:rsidRDefault="008B3573">
      <w:pPr>
        <w:rPr>
          <w:sz w:val="24"/>
          <w:u w:val="single"/>
        </w:rPr>
      </w:pPr>
      <w:r w:rsidRPr="00363516">
        <w:rPr>
          <w:sz w:val="24"/>
        </w:rPr>
        <w:t>15.</w:t>
      </w:r>
      <w:r w:rsidRPr="00363516">
        <w:rPr>
          <w:sz w:val="24"/>
        </w:rPr>
        <w:tab/>
      </w:r>
      <w:r w:rsidRPr="00363516">
        <w:rPr>
          <w:sz w:val="24"/>
          <w:u w:val="single"/>
        </w:rPr>
        <w:t>Changes in Burden/Program</w:t>
      </w:r>
    </w:p>
    <w:p w14:paraId="30104729" w14:textId="2100F90B" w:rsidR="005F405B" w:rsidRDefault="00956DE9">
      <w:pPr>
        <w:rPr>
          <w:sz w:val="24"/>
        </w:rPr>
      </w:pPr>
      <w:r>
        <w:rPr>
          <w:sz w:val="24"/>
        </w:rPr>
        <w:t xml:space="preserve">The burden per submission has not changed; however, the overall total annual burden has increased from </w:t>
      </w:r>
      <w:r w:rsidR="000D2246">
        <w:rPr>
          <w:sz w:val="24"/>
        </w:rPr>
        <w:t xml:space="preserve">$550,056 </w:t>
      </w:r>
      <w:r>
        <w:rPr>
          <w:sz w:val="24"/>
        </w:rPr>
        <w:t>to</w:t>
      </w:r>
      <w:r w:rsidR="000D2246">
        <w:rPr>
          <w:sz w:val="24"/>
        </w:rPr>
        <w:t xml:space="preserve"> $630,984</w:t>
      </w:r>
      <w:r w:rsidR="0067370B">
        <w:rPr>
          <w:sz w:val="24"/>
        </w:rPr>
        <w:t xml:space="preserve"> due to</w:t>
      </w:r>
      <w:r>
        <w:rPr>
          <w:sz w:val="24"/>
        </w:rPr>
        <w:t xml:space="preserve"> an increase in the </w:t>
      </w:r>
      <w:r w:rsidR="009C5B7F" w:rsidRPr="00363516">
        <w:rPr>
          <w:sz w:val="24"/>
        </w:rPr>
        <w:t xml:space="preserve">number of </w:t>
      </w:r>
      <w:r w:rsidR="006C56B0">
        <w:rPr>
          <w:sz w:val="24"/>
        </w:rPr>
        <w:t>providers</w:t>
      </w:r>
      <w:r w:rsidR="009C5B7F" w:rsidRPr="00363516">
        <w:rPr>
          <w:sz w:val="24"/>
        </w:rPr>
        <w:t xml:space="preserve"> that </w:t>
      </w:r>
      <w:r w:rsidR="00D65FE2">
        <w:rPr>
          <w:sz w:val="24"/>
        </w:rPr>
        <w:t>submit claims to Medicare and are subject to Medicare</w:t>
      </w:r>
      <w:r w:rsidR="00E65EB6" w:rsidRPr="00363516">
        <w:rPr>
          <w:sz w:val="24"/>
        </w:rPr>
        <w:t xml:space="preserve"> credit balance report</w:t>
      </w:r>
      <w:r w:rsidR="00D65FE2">
        <w:rPr>
          <w:sz w:val="24"/>
        </w:rPr>
        <w:t>ing</w:t>
      </w:r>
      <w:r w:rsidR="00E65EB6" w:rsidRPr="00363516">
        <w:rPr>
          <w:sz w:val="24"/>
        </w:rPr>
        <w:t>.</w:t>
      </w:r>
      <w:r w:rsidR="00824110" w:rsidRPr="00363516">
        <w:rPr>
          <w:sz w:val="24"/>
        </w:rPr>
        <w:t xml:space="preserve">  </w:t>
      </w:r>
      <w:r>
        <w:rPr>
          <w:sz w:val="24"/>
        </w:rPr>
        <w:t xml:space="preserve">The burden has been adjusted accordingly. We have also revised the total cost burden to reflect the use of 100% of the hourly wage when calculating fringe and overhead. </w:t>
      </w:r>
    </w:p>
    <w:p w14:paraId="268DEB8B" w14:textId="77777777" w:rsidR="00A96EED" w:rsidRDefault="00A96EED">
      <w:pPr>
        <w:rPr>
          <w:sz w:val="24"/>
        </w:rPr>
      </w:pPr>
    </w:p>
    <w:p w14:paraId="7B86CD7A" w14:textId="21C891CB" w:rsidR="008B3573" w:rsidRPr="00363516" w:rsidRDefault="008B3573">
      <w:pPr>
        <w:rPr>
          <w:sz w:val="24"/>
        </w:rPr>
      </w:pPr>
      <w:r w:rsidRPr="00363516">
        <w:rPr>
          <w:sz w:val="24"/>
        </w:rPr>
        <w:t>16.</w:t>
      </w:r>
      <w:r w:rsidRPr="00363516">
        <w:rPr>
          <w:sz w:val="24"/>
        </w:rPr>
        <w:tab/>
      </w:r>
      <w:r w:rsidRPr="00363516">
        <w:rPr>
          <w:sz w:val="24"/>
          <w:u w:val="single"/>
        </w:rPr>
        <w:t>Publication Data</w:t>
      </w:r>
    </w:p>
    <w:p w14:paraId="7D85BC80" w14:textId="77777777" w:rsidR="008B3573" w:rsidRPr="00363516" w:rsidRDefault="008B3573">
      <w:pPr>
        <w:rPr>
          <w:sz w:val="24"/>
        </w:rPr>
      </w:pPr>
    </w:p>
    <w:p w14:paraId="0E9D6C05" w14:textId="77777777" w:rsidR="008B3573" w:rsidRPr="00363516" w:rsidRDefault="008B3573">
      <w:pPr>
        <w:rPr>
          <w:sz w:val="24"/>
        </w:rPr>
      </w:pPr>
      <w:r w:rsidRPr="00363516">
        <w:rPr>
          <w:sz w:val="24"/>
        </w:rPr>
        <w:t>There are no plans to publish the information collected under this submission.</w:t>
      </w:r>
    </w:p>
    <w:p w14:paraId="4845B67C" w14:textId="77777777" w:rsidR="008B3573" w:rsidRPr="00363516" w:rsidRDefault="008B3573">
      <w:pPr>
        <w:rPr>
          <w:sz w:val="24"/>
        </w:rPr>
      </w:pPr>
    </w:p>
    <w:p w14:paraId="35769581" w14:textId="77777777" w:rsidR="008B3573" w:rsidRPr="00363516" w:rsidRDefault="008B3573">
      <w:pPr>
        <w:rPr>
          <w:sz w:val="24"/>
        </w:rPr>
      </w:pPr>
      <w:r w:rsidRPr="00363516">
        <w:rPr>
          <w:sz w:val="24"/>
        </w:rPr>
        <w:t>17.</w:t>
      </w:r>
      <w:r w:rsidRPr="00363516">
        <w:rPr>
          <w:sz w:val="24"/>
        </w:rPr>
        <w:tab/>
      </w:r>
      <w:r w:rsidRPr="00363516">
        <w:rPr>
          <w:sz w:val="24"/>
          <w:u w:val="single"/>
        </w:rPr>
        <w:t>Expiration Date</w:t>
      </w:r>
    </w:p>
    <w:p w14:paraId="21524344" w14:textId="77777777" w:rsidR="008B3573" w:rsidRPr="00363516" w:rsidRDefault="008B3573">
      <w:pPr>
        <w:rPr>
          <w:sz w:val="24"/>
        </w:rPr>
      </w:pPr>
    </w:p>
    <w:p w14:paraId="3DF05B5A" w14:textId="39A02803" w:rsidR="008B3573" w:rsidRDefault="00BE4879">
      <w:pPr>
        <w:rPr>
          <w:sz w:val="24"/>
        </w:rPr>
      </w:pPr>
      <w:r>
        <w:rPr>
          <w:sz w:val="24"/>
        </w:rPr>
        <w:t>The Form CMS-838 will display the expiration date.  The expiration date is located in the lower left hand corner of the certification page.  It is also located in the lower left hand corner of the detail page.  The expiration date is also located in the PRA disclosure statement located on the instructions page.</w:t>
      </w:r>
    </w:p>
    <w:p w14:paraId="3C88771D" w14:textId="77777777" w:rsidR="00CD1622" w:rsidRPr="00363516" w:rsidRDefault="00CD1622">
      <w:pPr>
        <w:rPr>
          <w:sz w:val="24"/>
        </w:rPr>
      </w:pPr>
    </w:p>
    <w:p w14:paraId="48ED6888" w14:textId="77777777" w:rsidR="008B3573" w:rsidRPr="00363516" w:rsidRDefault="008B3573">
      <w:pPr>
        <w:rPr>
          <w:sz w:val="24"/>
        </w:rPr>
      </w:pPr>
      <w:r w:rsidRPr="00363516">
        <w:rPr>
          <w:sz w:val="24"/>
        </w:rPr>
        <w:t>18.</w:t>
      </w:r>
      <w:r w:rsidRPr="00363516">
        <w:rPr>
          <w:sz w:val="24"/>
        </w:rPr>
        <w:tab/>
      </w:r>
      <w:r w:rsidRPr="00363516">
        <w:rPr>
          <w:sz w:val="24"/>
          <w:u w:val="single"/>
        </w:rPr>
        <w:t>Exception to Certification Statement</w:t>
      </w:r>
    </w:p>
    <w:p w14:paraId="56D00544" w14:textId="77777777" w:rsidR="008B3573" w:rsidRPr="00363516" w:rsidRDefault="008B3573">
      <w:pPr>
        <w:rPr>
          <w:sz w:val="24"/>
        </w:rPr>
      </w:pPr>
    </w:p>
    <w:p w14:paraId="0566F612" w14:textId="77777777" w:rsidR="008B3573" w:rsidRPr="00363516" w:rsidRDefault="008B3573">
      <w:pPr>
        <w:rPr>
          <w:sz w:val="24"/>
        </w:rPr>
      </w:pPr>
      <w:r w:rsidRPr="00363516">
        <w:rPr>
          <w:sz w:val="24"/>
        </w:rPr>
        <w:t>There are no exceptions to the certification statement.</w:t>
      </w:r>
    </w:p>
    <w:p w14:paraId="59FAC763" w14:textId="77777777" w:rsidR="008B3573" w:rsidRPr="00363516" w:rsidRDefault="008B3573">
      <w:pPr>
        <w:rPr>
          <w:sz w:val="24"/>
        </w:rPr>
      </w:pPr>
    </w:p>
    <w:p w14:paraId="04BFF94F" w14:textId="77777777" w:rsidR="008B3573" w:rsidRPr="00363516" w:rsidRDefault="008B3573">
      <w:pPr>
        <w:rPr>
          <w:sz w:val="24"/>
        </w:rPr>
      </w:pPr>
      <w:r w:rsidRPr="00363516">
        <w:rPr>
          <w:sz w:val="24"/>
        </w:rPr>
        <w:t xml:space="preserve">C. </w:t>
      </w:r>
      <w:r w:rsidRPr="00363516">
        <w:rPr>
          <w:sz w:val="24"/>
          <w:u w:val="single"/>
        </w:rPr>
        <w:t>COLLECTION OF INFORMATION EMPLOYING STATISTICAL INFORMATION</w:t>
      </w:r>
    </w:p>
    <w:p w14:paraId="53CC0518" w14:textId="77777777" w:rsidR="008B3573" w:rsidRPr="00363516" w:rsidRDefault="008B3573">
      <w:pPr>
        <w:rPr>
          <w:sz w:val="24"/>
        </w:rPr>
      </w:pPr>
    </w:p>
    <w:p w14:paraId="54EC48CD" w14:textId="77777777" w:rsidR="008B3573" w:rsidRDefault="008B3573">
      <w:pPr>
        <w:rPr>
          <w:sz w:val="24"/>
        </w:rPr>
      </w:pPr>
      <w:r w:rsidRPr="00363516">
        <w:rPr>
          <w:sz w:val="24"/>
        </w:rPr>
        <w:t>This collection of information does not employ statistical methods.</w:t>
      </w:r>
    </w:p>
    <w:p w14:paraId="07B1CD92" w14:textId="77777777" w:rsidR="008B3573" w:rsidRDefault="008B3573">
      <w:pPr>
        <w:rPr>
          <w:sz w:val="24"/>
        </w:rPr>
      </w:pPr>
    </w:p>
    <w:p w14:paraId="4B281F7F" w14:textId="77777777" w:rsidR="008B3573" w:rsidRDefault="008B3573">
      <w:pPr>
        <w:rPr>
          <w:sz w:val="24"/>
        </w:rPr>
      </w:pPr>
    </w:p>
    <w:sectPr w:rsidR="008B3573">
      <w:endnotePr>
        <w:numFmt w:val="decimal"/>
      </w:endnotePr>
      <w:pgSz w:w="12240" w:h="15840"/>
      <w:pgMar w:top="1440" w:right="1440" w:bottom="1728" w:left="1440" w:header="1440" w:footer="172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AE116" w14:textId="77777777" w:rsidR="001F6738" w:rsidRDefault="001F6738">
      <w:r>
        <w:separator/>
      </w:r>
    </w:p>
  </w:endnote>
  <w:endnote w:type="continuationSeparator" w:id="0">
    <w:p w14:paraId="5E148140" w14:textId="77777777" w:rsidR="001F6738" w:rsidRDefault="001F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94A8" w14:textId="77777777" w:rsidR="001F6738" w:rsidRDefault="001F6738">
      <w:r>
        <w:separator/>
      </w:r>
    </w:p>
  </w:footnote>
  <w:footnote w:type="continuationSeparator" w:id="0">
    <w:p w14:paraId="7F01B774" w14:textId="77777777" w:rsidR="001F6738" w:rsidRDefault="001F6738">
      <w:r>
        <w:continuationSeparator/>
      </w:r>
    </w:p>
  </w:footnote>
  <w:footnote w:id="1">
    <w:p w14:paraId="006F2DB4" w14:textId="24829239" w:rsidR="00BA7E0F" w:rsidRDefault="00BA7E0F" w:rsidP="00BA7E0F">
      <w:pPr>
        <w:pStyle w:val="FootnoteText"/>
      </w:pPr>
      <w:r>
        <w:rPr>
          <w:rStyle w:val="FootnoteReference"/>
        </w:rPr>
        <w:footnoteRef/>
      </w:r>
      <w:r>
        <w:t xml:space="preserve"> </w:t>
      </w:r>
      <w:r w:rsidRPr="00A825F1">
        <w:t xml:space="preserve">A </w:t>
      </w:r>
      <w:r w:rsidR="00CF1561">
        <w:t>“</w:t>
      </w:r>
      <w:r w:rsidRPr="00A825F1">
        <w:t>system of records</w:t>
      </w:r>
      <w:r w:rsidR="00CF1561">
        <w:t>”</w:t>
      </w:r>
      <w:r w:rsidRPr="00A825F1">
        <w:t xml:space="preserve"> </w:t>
      </w:r>
      <w:r w:rsidR="00CF1561">
        <w:t>means a group of any records under the control of an agency from which information is retrieved by the name of the individual or by some identifying number, symbol, or other particular assigned to the individual (see 5 U.S.C. 522a(a)(5))</w:t>
      </w:r>
      <w:r w:rsidRPr="00A825F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A9"/>
    <w:rsid w:val="00011A80"/>
    <w:rsid w:val="00024089"/>
    <w:rsid w:val="00026610"/>
    <w:rsid w:val="00033FE8"/>
    <w:rsid w:val="00096ADE"/>
    <w:rsid w:val="000C16A7"/>
    <w:rsid w:val="000D2246"/>
    <w:rsid w:val="000D3FFD"/>
    <w:rsid w:val="000E4064"/>
    <w:rsid w:val="000F07B9"/>
    <w:rsid w:val="00103999"/>
    <w:rsid w:val="00105D01"/>
    <w:rsid w:val="00126018"/>
    <w:rsid w:val="00163EFB"/>
    <w:rsid w:val="001809E7"/>
    <w:rsid w:val="00183FAA"/>
    <w:rsid w:val="00194951"/>
    <w:rsid w:val="001A1EAC"/>
    <w:rsid w:val="001A3AA9"/>
    <w:rsid w:val="001C024A"/>
    <w:rsid w:val="001D7AE2"/>
    <w:rsid w:val="001E27AA"/>
    <w:rsid w:val="001F6738"/>
    <w:rsid w:val="00223EAB"/>
    <w:rsid w:val="00226B6D"/>
    <w:rsid w:val="00241230"/>
    <w:rsid w:val="00241F1C"/>
    <w:rsid w:val="00251CFE"/>
    <w:rsid w:val="002733F7"/>
    <w:rsid w:val="002876D2"/>
    <w:rsid w:val="002C2881"/>
    <w:rsid w:val="002C646E"/>
    <w:rsid w:val="002E4AF6"/>
    <w:rsid w:val="002F2BBA"/>
    <w:rsid w:val="00301B0E"/>
    <w:rsid w:val="003333F8"/>
    <w:rsid w:val="00361139"/>
    <w:rsid w:val="00363516"/>
    <w:rsid w:val="00370990"/>
    <w:rsid w:val="003C4024"/>
    <w:rsid w:val="003C4542"/>
    <w:rsid w:val="00400A70"/>
    <w:rsid w:val="004039F7"/>
    <w:rsid w:val="00404AE5"/>
    <w:rsid w:val="00410E48"/>
    <w:rsid w:val="0042562F"/>
    <w:rsid w:val="004477C0"/>
    <w:rsid w:val="0046032A"/>
    <w:rsid w:val="004B6690"/>
    <w:rsid w:val="004D047E"/>
    <w:rsid w:val="0053008B"/>
    <w:rsid w:val="005616BE"/>
    <w:rsid w:val="00572336"/>
    <w:rsid w:val="005A3DFD"/>
    <w:rsid w:val="005B00FA"/>
    <w:rsid w:val="005E028C"/>
    <w:rsid w:val="005F3D1E"/>
    <w:rsid w:val="005F405B"/>
    <w:rsid w:val="00611A5C"/>
    <w:rsid w:val="00624CE5"/>
    <w:rsid w:val="0067370B"/>
    <w:rsid w:val="006C56B0"/>
    <w:rsid w:val="006F55A2"/>
    <w:rsid w:val="00712F30"/>
    <w:rsid w:val="0071329E"/>
    <w:rsid w:val="00734748"/>
    <w:rsid w:val="00753686"/>
    <w:rsid w:val="007551AD"/>
    <w:rsid w:val="00764943"/>
    <w:rsid w:val="007955B9"/>
    <w:rsid w:val="007B2EB7"/>
    <w:rsid w:val="007E31A7"/>
    <w:rsid w:val="00824110"/>
    <w:rsid w:val="008731D3"/>
    <w:rsid w:val="00873399"/>
    <w:rsid w:val="00885C6B"/>
    <w:rsid w:val="008972F6"/>
    <w:rsid w:val="008A3AF3"/>
    <w:rsid w:val="008B08AD"/>
    <w:rsid w:val="008B1995"/>
    <w:rsid w:val="008B3573"/>
    <w:rsid w:val="008B5B6F"/>
    <w:rsid w:val="008C21D8"/>
    <w:rsid w:val="008D45DE"/>
    <w:rsid w:val="008F4BAE"/>
    <w:rsid w:val="00933986"/>
    <w:rsid w:val="009432AA"/>
    <w:rsid w:val="00954393"/>
    <w:rsid w:val="00956DE9"/>
    <w:rsid w:val="00981498"/>
    <w:rsid w:val="009C5B7F"/>
    <w:rsid w:val="009E7BF6"/>
    <w:rsid w:val="00A7159A"/>
    <w:rsid w:val="00A96EED"/>
    <w:rsid w:val="00AC3D6C"/>
    <w:rsid w:val="00B00AE6"/>
    <w:rsid w:val="00B024DE"/>
    <w:rsid w:val="00B063D8"/>
    <w:rsid w:val="00B223A5"/>
    <w:rsid w:val="00B25624"/>
    <w:rsid w:val="00B80BA4"/>
    <w:rsid w:val="00BA7E0F"/>
    <w:rsid w:val="00BC07E9"/>
    <w:rsid w:val="00BE4879"/>
    <w:rsid w:val="00BE4F9C"/>
    <w:rsid w:val="00C06B99"/>
    <w:rsid w:val="00C07694"/>
    <w:rsid w:val="00C442C3"/>
    <w:rsid w:val="00C542F7"/>
    <w:rsid w:val="00C66408"/>
    <w:rsid w:val="00C752BD"/>
    <w:rsid w:val="00CC23AE"/>
    <w:rsid w:val="00CD1622"/>
    <w:rsid w:val="00CE43BD"/>
    <w:rsid w:val="00CF1561"/>
    <w:rsid w:val="00CF5CB6"/>
    <w:rsid w:val="00D03A27"/>
    <w:rsid w:val="00D24DB3"/>
    <w:rsid w:val="00D42504"/>
    <w:rsid w:val="00D42EEE"/>
    <w:rsid w:val="00D61DA1"/>
    <w:rsid w:val="00D65FE2"/>
    <w:rsid w:val="00D70C5E"/>
    <w:rsid w:val="00DC4CA2"/>
    <w:rsid w:val="00E34810"/>
    <w:rsid w:val="00E63882"/>
    <w:rsid w:val="00E65EB6"/>
    <w:rsid w:val="00EA32D4"/>
    <w:rsid w:val="00EB4950"/>
    <w:rsid w:val="00EB6882"/>
    <w:rsid w:val="00F34F8D"/>
    <w:rsid w:val="00F52357"/>
    <w:rsid w:val="00F74709"/>
    <w:rsid w:val="00FD47A9"/>
    <w:rsid w:val="00FE7607"/>
    <w:rsid w:val="00FF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F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A3AF3"/>
    <w:rPr>
      <w:rFonts w:ascii="Segoe UI" w:hAnsi="Segoe UI" w:cs="Segoe UI"/>
      <w:sz w:val="18"/>
      <w:szCs w:val="18"/>
    </w:rPr>
  </w:style>
  <w:style w:type="character" w:customStyle="1" w:styleId="BalloonTextChar">
    <w:name w:val="Balloon Text Char"/>
    <w:link w:val="BalloonText"/>
    <w:rsid w:val="008A3AF3"/>
    <w:rPr>
      <w:rFonts w:ascii="Segoe UI" w:hAnsi="Segoe UI" w:cs="Segoe UI"/>
      <w:sz w:val="18"/>
      <w:szCs w:val="18"/>
    </w:rPr>
  </w:style>
  <w:style w:type="character" w:styleId="CommentReference">
    <w:name w:val="annotation reference"/>
    <w:basedOn w:val="DefaultParagraphFont"/>
    <w:rsid w:val="00CE43BD"/>
    <w:rPr>
      <w:sz w:val="16"/>
      <w:szCs w:val="16"/>
    </w:rPr>
  </w:style>
  <w:style w:type="paragraph" w:styleId="CommentText">
    <w:name w:val="annotation text"/>
    <w:basedOn w:val="Normal"/>
    <w:link w:val="CommentTextChar"/>
    <w:rsid w:val="00CE43BD"/>
    <w:rPr>
      <w:szCs w:val="20"/>
    </w:rPr>
  </w:style>
  <w:style w:type="character" w:customStyle="1" w:styleId="CommentTextChar">
    <w:name w:val="Comment Text Char"/>
    <w:basedOn w:val="DefaultParagraphFont"/>
    <w:link w:val="CommentText"/>
    <w:rsid w:val="00CE43BD"/>
  </w:style>
  <w:style w:type="paragraph" w:styleId="CommentSubject">
    <w:name w:val="annotation subject"/>
    <w:basedOn w:val="CommentText"/>
    <w:next w:val="CommentText"/>
    <w:link w:val="CommentSubjectChar"/>
    <w:rsid w:val="00CE43BD"/>
    <w:rPr>
      <w:b/>
      <w:bCs/>
    </w:rPr>
  </w:style>
  <w:style w:type="character" w:customStyle="1" w:styleId="CommentSubjectChar">
    <w:name w:val="Comment Subject Char"/>
    <w:basedOn w:val="CommentTextChar"/>
    <w:link w:val="CommentSubject"/>
    <w:rsid w:val="00CE43BD"/>
    <w:rPr>
      <w:b/>
      <w:bCs/>
    </w:rPr>
  </w:style>
  <w:style w:type="paragraph" w:styleId="FootnoteText">
    <w:name w:val="footnote text"/>
    <w:basedOn w:val="Normal"/>
    <w:link w:val="FootnoteTextChar"/>
    <w:rsid w:val="00BA7E0F"/>
    <w:rPr>
      <w:szCs w:val="20"/>
    </w:rPr>
  </w:style>
  <w:style w:type="character" w:customStyle="1" w:styleId="FootnoteTextChar">
    <w:name w:val="Footnote Text Char"/>
    <w:basedOn w:val="DefaultParagraphFont"/>
    <w:link w:val="FootnoteText"/>
    <w:rsid w:val="00BA7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A3AF3"/>
    <w:rPr>
      <w:rFonts w:ascii="Segoe UI" w:hAnsi="Segoe UI" w:cs="Segoe UI"/>
      <w:sz w:val="18"/>
      <w:szCs w:val="18"/>
    </w:rPr>
  </w:style>
  <w:style w:type="character" w:customStyle="1" w:styleId="BalloonTextChar">
    <w:name w:val="Balloon Text Char"/>
    <w:link w:val="BalloonText"/>
    <w:rsid w:val="008A3AF3"/>
    <w:rPr>
      <w:rFonts w:ascii="Segoe UI" w:hAnsi="Segoe UI" w:cs="Segoe UI"/>
      <w:sz w:val="18"/>
      <w:szCs w:val="18"/>
    </w:rPr>
  </w:style>
  <w:style w:type="character" w:styleId="CommentReference">
    <w:name w:val="annotation reference"/>
    <w:basedOn w:val="DefaultParagraphFont"/>
    <w:rsid w:val="00CE43BD"/>
    <w:rPr>
      <w:sz w:val="16"/>
      <w:szCs w:val="16"/>
    </w:rPr>
  </w:style>
  <w:style w:type="paragraph" w:styleId="CommentText">
    <w:name w:val="annotation text"/>
    <w:basedOn w:val="Normal"/>
    <w:link w:val="CommentTextChar"/>
    <w:rsid w:val="00CE43BD"/>
    <w:rPr>
      <w:szCs w:val="20"/>
    </w:rPr>
  </w:style>
  <w:style w:type="character" w:customStyle="1" w:styleId="CommentTextChar">
    <w:name w:val="Comment Text Char"/>
    <w:basedOn w:val="DefaultParagraphFont"/>
    <w:link w:val="CommentText"/>
    <w:rsid w:val="00CE43BD"/>
  </w:style>
  <w:style w:type="paragraph" w:styleId="CommentSubject">
    <w:name w:val="annotation subject"/>
    <w:basedOn w:val="CommentText"/>
    <w:next w:val="CommentText"/>
    <w:link w:val="CommentSubjectChar"/>
    <w:rsid w:val="00CE43BD"/>
    <w:rPr>
      <w:b/>
      <w:bCs/>
    </w:rPr>
  </w:style>
  <w:style w:type="character" w:customStyle="1" w:styleId="CommentSubjectChar">
    <w:name w:val="Comment Subject Char"/>
    <w:basedOn w:val="CommentTextChar"/>
    <w:link w:val="CommentSubject"/>
    <w:rsid w:val="00CE43BD"/>
    <w:rPr>
      <w:b/>
      <w:bCs/>
    </w:rPr>
  </w:style>
  <w:style w:type="paragraph" w:styleId="FootnoteText">
    <w:name w:val="footnote text"/>
    <w:basedOn w:val="Normal"/>
    <w:link w:val="FootnoteTextChar"/>
    <w:rsid w:val="00BA7E0F"/>
    <w:rPr>
      <w:szCs w:val="20"/>
    </w:rPr>
  </w:style>
  <w:style w:type="character" w:customStyle="1" w:styleId="FootnoteTextChar">
    <w:name w:val="Footnote Text Char"/>
    <w:basedOn w:val="DefaultParagraphFont"/>
    <w:link w:val="FootnoteText"/>
    <w:rsid w:val="00BA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38554">
      <w:bodyDiv w:val="1"/>
      <w:marLeft w:val="0"/>
      <w:marRight w:val="0"/>
      <w:marTop w:val="0"/>
      <w:marBottom w:val="0"/>
      <w:divBdr>
        <w:top w:val="none" w:sz="0" w:space="0" w:color="auto"/>
        <w:left w:val="none" w:sz="0" w:space="0" w:color="auto"/>
        <w:bottom w:val="none" w:sz="0" w:space="0" w:color="auto"/>
        <w:right w:val="none" w:sz="0" w:space="0" w:color="auto"/>
      </w:divBdr>
    </w:div>
    <w:div w:id="12904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2017-05-03T15:04:00Z</cp:lastPrinted>
  <dcterms:created xsi:type="dcterms:W3CDTF">2018-06-29T16:56:00Z</dcterms:created>
  <dcterms:modified xsi:type="dcterms:W3CDTF">2018-06-29T16:56:00Z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-1738831040</vt:i4>
  </property>
  <property fmtid="{D5CDD505-2E9C-101B-9397-08002B2CF9AE}" pid="4" name="_EmailSubject">
    <vt:lpwstr>PRA PACKAGE FOR MEDICARE CREDIT BALANCE</vt:lpwstr>
  </property>
  <property fmtid="{D5CDD505-2E9C-101B-9397-08002B2CF9AE}" pid="5" name="_AuthorEmail">
    <vt:lpwstr>Kayla.Williams@cms.hhs.gov</vt:lpwstr>
  </property>
  <property fmtid="{D5CDD505-2E9C-101B-9397-08002B2CF9AE}" pid="6" name="_AuthorEmailDisplayName">
    <vt:lpwstr>Williams, Kayla J. (CMS/OSORA)</vt:lpwstr>
  </property>
  <property fmtid="{D5CDD505-2E9C-101B-9397-08002B2CF9AE}" pid="7" name="_ReviewingToolsShownOnce">
    <vt:lpwstr/>
  </property>
</Properties>
</file>