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64" w:rsidRDefault="006D7E2B">
      <w:pPr>
        <w:pStyle w:val="Heading1"/>
        <w:spacing w:before="62"/>
        <w:ind w:right="2437" w:firstLine="0"/>
        <w:jc w:val="center"/>
      </w:pPr>
      <w:bookmarkStart w:id="0" w:name="_GoBack"/>
      <w:bookmarkEnd w:id="0"/>
      <w:r>
        <w:t>Supporting Statement – Part A</w:t>
      </w:r>
    </w:p>
    <w:p w:rsidR="00B93A64" w:rsidRDefault="006D7E2B">
      <w:pPr>
        <w:ind w:left="2509" w:right="325" w:hanging="1764"/>
        <w:rPr>
          <w:b/>
          <w:sz w:val="28"/>
        </w:rPr>
      </w:pPr>
      <w:r>
        <w:rPr>
          <w:b/>
          <w:sz w:val="28"/>
        </w:rPr>
        <w:t>Information Collection Requirement for Mid-Year Formulary Change Reporting and Notice Requirement</w:t>
      </w:r>
    </w:p>
    <w:p w:rsidR="00B93A64" w:rsidRDefault="006D7E2B">
      <w:pPr>
        <w:pStyle w:val="Heading2"/>
        <w:spacing w:line="274" w:lineRule="exact"/>
        <w:ind w:left="2142" w:right="2437" w:firstLine="0"/>
        <w:jc w:val="center"/>
      </w:pPr>
      <w:r>
        <w:t>CMS-10696/OMB Control Number: 0938-NEW</w:t>
      </w:r>
    </w:p>
    <w:p w:rsidR="00B93A64" w:rsidRDefault="00B93A64">
      <w:pPr>
        <w:pStyle w:val="BodyText"/>
        <w:spacing w:before="8"/>
        <w:rPr>
          <w:b/>
          <w:sz w:val="23"/>
        </w:rPr>
      </w:pPr>
    </w:p>
    <w:p w:rsidR="00B93A64" w:rsidRDefault="006D7E2B">
      <w:pPr>
        <w:pStyle w:val="ListParagraph"/>
        <w:numPr>
          <w:ilvl w:val="0"/>
          <w:numId w:val="1"/>
        </w:numPr>
        <w:tabs>
          <w:tab w:val="left" w:pos="460"/>
        </w:tabs>
        <w:rPr>
          <w:b/>
          <w:sz w:val="24"/>
        </w:rPr>
      </w:pPr>
      <w:r>
        <w:rPr>
          <w:b/>
          <w:sz w:val="24"/>
        </w:rPr>
        <w:t>Background</w:t>
      </w:r>
    </w:p>
    <w:p w:rsidR="00B93A64" w:rsidRDefault="00B93A64">
      <w:pPr>
        <w:pStyle w:val="BodyText"/>
        <w:spacing w:before="9"/>
        <w:rPr>
          <w:b/>
          <w:sz w:val="23"/>
        </w:rPr>
      </w:pPr>
    </w:p>
    <w:p w:rsidR="00B93A64" w:rsidRDefault="006D7E2B">
      <w:pPr>
        <w:pStyle w:val="BodyText"/>
        <w:spacing w:line="247" w:lineRule="auto"/>
        <w:ind w:left="100" w:right="382"/>
      </w:pPr>
      <w:r>
        <w:t>On March 23, 2010, the President signed into law the Patient Protection and Affordable Care Act (P.L. 111-148). On March 30, 2010, the Health Care and Education Reconciliation Act of 2010 (P.L.111-152) was signed into law. The two laws are collectively referred to as the Affordable Care Act. The Affordable Care Act (ACA) established new competitive private health</w:t>
      </w:r>
      <w:r w:rsidR="00C91807">
        <w:t xml:space="preserve"> </w:t>
      </w:r>
      <w:r>
        <w:t>insurance Exchanges, which gave millions of Americans and small businesses access to qualified health plans (QHPs), including stand-alone dental plans (SADPs)— private health and dental insurance plans that have been certified as meeting certain</w:t>
      </w:r>
      <w:r w:rsidR="00C91807">
        <w:t xml:space="preserve"> </w:t>
      </w:r>
      <w:r>
        <w:t>standards.</w:t>
      </w:r>
    </w:p>
    <w:p w:rsidR="00B93A64" w:rsidRDefault="00B93A64">
      <w:pPr>
        <w:pStyle w:val="BodyText"/>
        <w:spacing w:before="5"/>
      </w:pPr>
    </w:p>
    <w:p w:rsidR="00B93A64" w:rsidRDefault="006D7E2B">
      <w:pPr>
        <w:pStyle w:val="BodyText"/>
        <w:spacing w:line="247" w:lineRule="auto"/>
        <w:ind w:left="100" w:right="181"/>
      </w:pPr>
      <w:r>
        <w:t xml:space="preserve">In the proposed rule, the </w:t>
      </w:r>
      <w:r>
        <w:rPr>
          <w:i/>
        </w:rPr>
        <w:t xml:space="preserve">Patient Protection and Affordable Care Act; HHS Notice of Benefit and Payment Parameters for 2020 </w:t>
      </w:r>
      <w:r>
        <w:t>(CMS-9926-P), we propose to add §147.106(e)(5) to allow a health insurance issuers, beginning with plan years on or after January 1, 2020, the flexibility to update their prescription drug formularies by allowing certain mid-year formulary changes in an effort to optimize the use of new generic drugs as they become available, and incentivize enrollees to use lower cost drugs on the formulary by modifying the application of the annual limitation on cost-sharing. We propose allowing issuers to make the following changes during the plan year: add a generic equivalent drug to the formulary, remove the brand name drug from the formulary when only when a generic equivalent becomes available and is added to the formulary, or add a generic equivalent to a formulary and move the corresponding brand name drug to a different cost-sharing</w:t>
      </w:r>
      <w:r>
        <w:rPr>
          <w:spacing w:val="-5"/>
        </w:rPr>
        <w:t xml:space="preserve"> </w:t>
      </w:r>
      <w:r>
        <w:t>tier.</w:t>
      </w:r>
    </w:p>
    <w:p w:rsidR="00B93A64" w:rsidRDefault="00B93A64">
      <w:pPr>
        <w:pStyle w:val="BodyText"/>
        <w:spacing w:before="4"/>
        <w:rPr>
          <w:sz w:val="23"/>
        </w:rPr>
      </w:pPr>
    </w:p>
    <w:p w:rsidR="00B93A64" w:rsidRDefault="006D7E2B">
      <w:pPr>
        <w:pStyle w:val="BodyText"/>
        <w:ind w:left="100" w:right="96"/>
      </w:pPr>
      <w:r>
        <w:t>At §147.106(e)(5), we propose for plan years beginning on or after January 1, 2020, a health insurance issuer may make mid-year formulary changes by notifying the plan enrollees of changes a minimum 60 days prior to initiating a change that removes the brand name drug from the formulary when a generic equivalent becomes available; or adds a generic equivalent drug to the formulary and moves the brand drug to a higher formulary drug tier. Providing a pre- notification before changes to the formulary are implemented will allow enrollees to begin working with their prescribing healthcare provider on any exception request processes before the change occurs.</w:t>
      </w:r>
    </w:p>
    <w:p w:rsidR="00B93A64" w:rsidRDefault="00B93A64">
      <w:pPr>
        <w:pStyle w:val="BodyText"/>
        <w:spacing w:before="11"/>
        <w:rPr>
          <w:sz w:val="23"/>
        </w:rPr>
      </w:pPr>
    </w:p>
    <w:p w:rsidR="00B93A64" w:rsidRDefault="006D7E2B">
      <w:pPr>
        <w:pStyle w:val="BodyText"/>
        <w:ind w:left="100" w:right="96"/>
      </w:pPr>
      <w:r>
        <w:t>The Centers for Medicare and Medicaid Services (CMS) is creating a new information</w:t>
      </w:r>
      <w:r w:rsidR="00C91807">
        <w:t xml:space="preserve"> </w:t>
      </w:r>
      <w:r>
        <w:t>collection request (ICR) in connection with these standards. The burden estimate for this new ICR</w:t>
      </w:r>
      <w:r w:rsidR="00C91807">
        <w:t xml:space="preserve"> </w:t>
      </w:r>
      <w:r>
        <w:t>included in this package reflects the additional time and effort for QHP issuers to provide notifications to enrollees.</w:t>
      </w:r>
    </w:p>
    <w:p w:rsidR="00B93A64" w:rsidRDefault="00B93A64">
      <w:pPr>
        <w:pStyle w:val="BodyText"/>
        <w:spacing w:before="2"/>
      </w:pPr>
    </w:p>
    <w:p w:rsidR="00B93A64" w:rsidRDefault="006D7E2B">
      <w:pPr>
        <w:pStyle w:val="Heading2"/>
        <w:numPr>
          <w:ilvl w:val="0"/>
          <w:numId w:val="1"/>
        </w:numPr>
        <w:tabs>
          <w:tab w:val="left" w:pos="460"/>
        </w:tabs>
      </w:pPr>
      <w:r>
        <w:t>Justification</w:t>
      </w:r>
    </w:p>
    <w:p w:rsidR="00B93A64" w:rsidRDefault="00B93A64">
      <w:pPr>
        <w:pStyle w:val="BodyText"/>
        <w:spacing w:before="8"/>
        <w:rPr>
          <w:b/>
          <w:sz w:val="23"/>
        </w:rPr>
      </w:pPr>
    </w:p>
    <w:p w:rsidR="00B93A64" w:rsidRDefault="006D7E2B">
      <w:pPr>
        <w:pStyle w:val="ListParagraph"/>
        <w:numPr>
          <w:ilvl w:val="1"/>
          <w:numId w:val="1"/>
        </w:numPr>
        <w:tabs>
          <w:tab w:val="left" w:pos="460"/>
        </w:tabs>
        <w:rPr>
          <w:sz w:val="24"/>
        </w:rPr>
      </w:pPr>
      <w:r>
        <w:rPr>
          <w:sz w:val="24"/>
          <w:u w:val="single"/>
        </w:rPr>
        <w:t xml:space="preserve">Need and </w:t>
      </w:r>
      <w:r>
        <w:rPr>
          <w:spacing w:val="-3"/>
          <w:sz w:val="24"/>
          <w:u w:val="single"/>
        </w:rPr>
        <w:t>Legal</w:t>
      </w:r>
      <w:r>
        <w:rPr>
          <w:spacing w:val="-5"/>
          <w:sz w:val="24"/>
          <w:u w:val="single"/>
        </w:rPr>
        <w:t xml:space="preserve"> </w:t>
      </w:r>
      <w:r>
        <w:rPr>
          <w:sz w:val="24"/>
          <w:u w:val="single"/>
        </w:rPr>
        <w:t>Basis</w:t>
      </w:r>
    </w:p>
    <w:p w:rsidR="00B93A64" w:rsidRDefault="00B93A64">
      <w:pPr>
        <w:rPr>
          <w:sz w:val="24"/>
        </w:rPr>
        <w:sectPr w:rsidR="00B93A64">
          <w:footerReference w:type="default" r:id="rId8"/>
          <w:type w:val="continuous"/>
          <w:pgSz w:w="12240" w:h="15840"/>
          <w:pgMar w:top="1380" w:right="1140" w:bottom="1720" w:left="1580" w:header="720" w:footer="1522" w:gutter="0"/>
          <w:pgNumType w:start="1"/>
          <w:cols w:space="720"/>
        </w:sectPr>
      </w:pPr>
    </w:p>
    <w:p w:rsidR="00B93A64" w:rsidRDefault="006D7E2B">
      <w:pPr>
        <w:pStyle w:val="BodyText"/>
        <w:spacing w:before="162" w:line="247" w:lineRule="auto"/>
        <w:ind w:left="100" w:right="516"/>
      </w:pPr>
      <w:r>
        <w:lastRenderedPageBreak/>
        <w:t xml:space="preserve">Under proposed §147.106(e)(5), for plan years beginning on or after January 1, 2020, a health insurance issuers must notify their enrollees no less than 60 calendar </w:t>
      </w:r>
      <w:r>
        <w:rPr>
          <w:spacing w:val="-3"/>
        </w:rPr>
        <w:t xml:space="preserve">days prior </w:t>
      </w:r>
      <w:r>
        <w:t xml:space="preserve">to </w:t>
      </w:r>
      <w:r>
        <w:rPr>
          <w:spacing w:val="-4"/>
        </w:rPr>
        <w:t xml:space="preserve">removing </w:t>
      </w:r>
      <w:r>
        <w:t xml:space="preserve">a </w:t>
      </w:r>
      <w:r>
        <w:rPr>
          <w:spacing w:val="-3"/>
        </w:rPr>
        <w:t xml:space="preserve">brand drug from </w:t>
      </w:r>
      <w:r>
        <w:rPr>
          <w:spacing w:val="-2"/>
        </w:rPr>
        <w:t xml:space="preserve">the </w:t>
      </w:r>
      <w:r>
        <w:rPr>
          <w:spacing w:val="-4"/>
        </w:rPr>
        <w:t xml:space="preserve">formulary </w:t>
      </w:r>
      <w:r>
        <w:t xml:space="preserve">or </w:t>
      </w:r>
      <w:r>
        <w:rPr>
          <w:spacing w:val="-4"/>
        </w:rPr>
        <w:t xml:space="preserve">placing </w:t>
      </w:r>
      <w:r>
        <w:rPr>
          <w:spacing w:val="-3"/>
        </w:rPr>
        <w:t xml:space="preserve">the brand drug </w:t>
      </w:r>
      <w:r>
        <w:t xml:space="preserve">on a </w:t>
      </w:r>
      <w:r>
        <w:rPr>
          <w:spacing w:val="-3"/>
        </w:rPr>
        <w:t xml:space="preserve">higher cost </w:t>
      </w:r>
      <w:r>
        <w:rPr>
          <w:spacing w:val="-4"/>
        </w:rPr>
        <w:t xml:space="preserve">sharing </w:t>
      </w:r>
      <w:r>
        <w:rPr>
          <w:spacing w:val="-3"/>
        </w:rPr>
        <w:t xml:space="preserve">tier. </w:t>
      </w:r>
      <w:r>
        <w:t>We</w:t>
      </w:r>
      <w:r>
        <w:rPr>
          <w:spacing w:val="-39"/>
        </w:rPr>
        <w:t xml:space="preserve"> </w:t>
      </w:r>
      <w:r>
        <w:t xml:space="preserve">believe that enrollees should be made aware of any drug formulary changes that may have impacted their </w:t>
      </w:r>
      <w:r>
        <w:rPr>
          <w:spacing w:val="-3"/>
        </w:rPr>
        <w:t xml:space="preserve">plan </w:t>
      </w:r>
      <w:r>
        <w:rPr>
          <w:spacing w:val="-4"/>
        </w:rPr>
        <w:t xml:space="preserve">selection </w:t>
      </w:r>
      <w:r>
        <w:t xml:space="preserve">and enrollment, or any other associated restrictions on access to brand drugs. Therefore, we are </w:t>
      </w:r>
      <w:r>
        <w:rPr>
          <w:spacing w:val="2"/>
        </w:rPr>
        <w:t>proposing</w:t>
      </w:r>
      <w:r w:rsidR="00C91807">
        <w:rPr>
          <w:spacing w:val="2"/>
        </w:rPr>
        <w:t xml:space="preserve"> </w:t>
      </w:r>
      <w:r>
        <w:rPr>
          <w:spacing w:val="2"/>
        </w:rPr>
        <w:t xml:space="preserve">a </w:t>
      </w:r>
      <w:r>
        <w:t>requirement for issuers to notify their enrollees of such changes. Enrollees would retain the option to request coverage for a brand name drug that was removed from the formulary through the state’s coverage appeal process under §147.136 or the drug exception request process under</w:t>
      </w:r>
      <w:r>
        <w:rPr>
          <w:spacing w:val="-9"/>
        </w:rPr>
        <w:t xml:space="preserve"> </w:t>
      </w:r>
      <w:r>
        <w:t>§156.122(c).</w:t>
      </w:r>
    </w:p>
    <w:p w:rsidR="00B93A64" w:rsidRDefault="00B93A64">
      <w:pPr>
        <w:pStyle w:val="BodyText"/>
        <w:spacing w:before="6"/>
        <w:rPr>
          <w:sz w:val="30"/>
        </w:rPr>
      </w:pPr>
    </w:p>
    <w:p w:rsidR="00B93A64" w:rsidRDefault="006D7E2B">
      <w:pPr>
        <w:pStyle w:val="ListParagraph"/>
        <w:numPr>
          <w:ilvl w:val="1"/>
          <w:numId w:val="1"/>
        </w:numPr>
        <w:tabs>
          <w:tab w:val="left" w:pos="460"/>
        </w:tabs>
        <w:rPr>
          <w:sz w:val="24"/>
        </w:rPr>
      </w:pPr>
      <w:r>
        <w:rPr>
          <w:sz w:val="24"/>
          <w:u w:val="single"/>
        </w:rPr>
        <w:t>Information</w:t>
      </w:r>
      <w:r>
        <w:rPr>
          <w:spacing w:val="-3"/>
          <w:sz w:val="24"/>
          <w:u w:val="single"/>
        </w:rPr>
        <w:t xml:space="preserve"> </w:t>
      </w:r>
      <w:r>
        <w:rPr>
          <w:sz w:val="24"/>
          <w:u w:val="single"/>
        </w:rPr>
        <w:t>Users</w:t>
      </w:r>
    </w:p>
    <w:p w:rsidR="00B93A64" w:rsidRDefault="00B93A64">
      <w:pPr>
        <w:pStyle w:val="BodyText"/>
        <w:spacing w:before="2"/>
        <w:rPr>
          <w:sz w:val="16"/>
        </w:rPr>
      </w:pPr>
    </w:p>
    <w:p w:rsidR="00B93A64" w:rsidRDefault="006D7E2B">
      <w:pPr>
        <w:pStyle w:val="BodyText"/>
        <w:spacing w:before="90" w:line="247" w:lineRule="auto"/>
        <w:ind w:left="100" w:right="415"/>
      </w:pPr>
      <w:r>
        <w:t xml:space="preserve">The notifications that a health insurance issuer will be required to send under this information collection will be sent to enrollees who may be adversely affected by </w:t>
      </w:r>
      <w:r>
        <w:rPr>
          <w:spacing w:val="-8"/>
        </w:rPr>
        <w:t xml:space="preserve">brand drugs being moved </w:t>
      </w:r>
      <w:r>
        <w:rPr>
          <w:spacing w:val="-4"/>
        </w:rPr>
        <w:t xml:space="preserve">to </w:t>
      </w:r>
      <w:r>
        <w:t xml:space="preserve">a </w:t>
      </w:r>
      <w:r>
        <w:rPr>
          <w:spacing w:val="-8"/>
        </w:rPr>
        <w:t xml:space="preserve">higher </w:t>
      </w:r>
      <w:r>
        <w:rPr>
          <w:spacing w:val="-9"/>
        </w:rPr>
        <w:t xml:space="preserve">cost-sharing </w:t>
      </w:r>
      <w:r>
        <w:rPr>
          <w:spacing w:val="-8"/>
        </w:rPr>
        <w:t xml:space="preserve">tier </w:t>
      </w:r>
      <w:r>
        <w:rPr>
          <w:spacing w:val="-5"/>
        </w:rPr>
        <w:t xml:space="preserve">or </w:t>
      </w:r>
      <w:r>
        <w:rPr>
          <w:spacing w:val="-9"/>
        </w:rPr>
        <w:t xml:space="preserve">removal </w:t>
      </w:r>
      <w:r>
        <w:rPr>
          <w:spacing w:val="-5"/>
        </w:rPr>
        <w:t xml:space="preserve">of </w:t>
      </w:r>
      <w:r>
        <w:t xml:space="preserve">a </w:t>
      </w:r>
      <w:r>
        <w:rPr>
          <w:spacing w:val="-8"/>
        </w:rPr>
        <w:t xml:space="preserve">drug </w:t>
      </w:r>
      <w:r>
        <w:rPr>
          <w:spacing w:val="-7"/>
        </w:rPr>
        <w:t xml:space="preserve">from </w:t>
      </w:r>
      <w:r>
        <w:rPr>
          <w:spacing w:val="-6"/>
        </w:rPr>
        <w:t xml:space="preserve">the </w:t>
      </w:r>
      <w:r>
        <w:rPr>
          <w:spacing w:val="-9"/>
        </w:rPr>
        <w:t xml:space="preserve">formulary. </w:t>
      </w:r>
      <w:r>
        <w:t>The notifications are intended to inform the consumer about such changes to his or her health insurance coverage. Enrollees would retain the option to request coverage for a brand name drug that was removed from the formulary through the state’s coverage appeal process under §147.136 or the drug exception request process under§156.122(c).</w:t>
      </w:r>
    </w:p>
    <w:p w:rsidR="00B93A64" w:rsidRDefault="00B93A64">
      <w:pPr>
        <w:pStyle w:val="BodyText"/>
        <w:spacing w:before="7"/>
        <w:rPr>
          <w:sz w:val="30"/>
        </w:rPr>
      </w:pPr>
    </w:p>
    <w:p w:rsidR="00B93A64" w:rsidRDefault="006D7E2B">
      <w:pPr>
        <w:pStyle w:val="ListParagraph"/>
        <w:numPr>
          <w:ilvl w:val="1"/>
          <w:numId w:val="1"/>
        </w:numPr>
        <w:tabs>
          <w:tab w:val="left" w:pos="460"/>
        </w:tabs>
        <w:rPr>
          <w:sz w:val="24"/>
        </w:rPr>
      </w:pPr>
      <w:r>
        <w:rPr>
          <w:sz w:val="24"/>
          <w:u w:val="single"/>
        </w:rPr>
        <w:t>Use of Information</w:t>
      </w:r>
      <w:r>
        <w:rPr>
          <w:spacing w:val="-5"/>
          <w:sz w:val="24"/>
          <w:u w:val="single"/>
        </w:rPr>
        <w:t xml:space="preserve"> </w:t>
      </w:r>
      <w:r>
        <w:rPr>
          <w:sz w:val="24"/>
          <w:u w:val="single"/>
        </w:rPr>
        <w:t>Technology</w:t>
      </w:r>
    </w:p>
    <w:p w:rsidR="00B93A64" w:rsidRDefault="00B93A64">
      <w:pPr>
        <w:pStyle w:val="BodyText"/>
        <w:spacing w:before="1"/>
        <w:rPr>
          <w:sz w:val="16"/>
        </w:rPr>
      </w:pPr>
    </w:p>
    <w:p w:rsidR="00B93A64" w:rsidRDefault="006D7E2B">
      <w:pPr>
        <w:pStyle w:val="BodyText"/>
        <w:spacing w:before="90" w:line="247" w:lineRule="auto"/>
        <w:ind w:left="100" w:right="415"/>
      </w:pPr>
      <w:r>
        <w:t>CMS anticipates that health insurance issuers will use their claims data systems to identify enrollees that need to be notified. The notification must be sent to the enrollee electronically or by mail, both 60 days prior to brand drug formulary changes.</w:t>
      </w:r>
    </w:p>
    <w:p w:rsidR="00B93A64" w:rsidRDefault="00B93A64">
      <w:pPr>
        <w:pStyle w:val="BodyText"/>
        <w:spacing w:before="8"/>
        <w:rPr>
          <w:sz w:val="30"/>
        </w:rPr>
      </w:pPr>
    </w:p>
    <w:p w:rsidR="00B93A64" w:rsidRDefault="006D7E2B">
      <w:pPr>
        <w:pStyle w:val="ListParagraph"/>
        <w:numPr>
          <w:ilvl w:val="1"/>
          <w:numId w:val="1"/>
        </w:numPr>
        <w:tabs>
          <w:tab w:val="left" w:pos="460"/>
        </w:tabs>
        <w:rPr>
          <w:sz w:val="24"/>
        </w:rPr>
      </w:pPr>
      <w:r>
        <w:rPr>
          <w:sz w:val="24"/>
          <w:u w:val="single"/>
        </w:rPr>
        <w:t>Duplication of</w:t>
      </w:r>
      <w:r>
        <w:rPr>
          <w:spacing w:val="-7"/>
          <w:sz w:val="24"/>
          <w:u w:val="single"/>
        </w:rPr>
        <w:t xml:space="preserve"> </w:t>
      </w:r>
      <w:r>
        <w:rPr>
          <w:sz w:val="24"/>
          <w:u w:val="single"/>
        </w:rPr>
        <w:t>Efforts</w:t>
      </w:r>
    </w:p>
    <w:p w:rsidR="00B93A64" w:rsidRDefault="00B93A64">
      <w:pPr>
        <w:pStyle w:val="BodyText"/>
        <w:spacing w:before="2"/>
        <w:rPr>
          <w:sz w:val="16"/>
        </w:rPr>
      </w:pPr>
    </w:p>
    <w:p w:rsidR="00B93A64" w:rsidRDefault="006D7E2B">
      <w:pPr>
        <w:pStyle w:val="BodyText"/>
        <w:spacing w:before="90"/>
        <w:ind w:left="100"/>
      </w:pPr>
      <w:r>
        <w:t>Notices to enrollees under proposed §147.106(e)(5), do not duplicate any other Federal</w:t>
      </w:r>
      <w:r w:rsidR="00C91807">
        <w:t xml:space="preserve"> </w:t>
      </w:r>
      <w:r>
        <w:t>effort.</w:t>
      </w:r>
    </w:p>
    <w:p w:rsidR="00B93A64" w:rsidRDefault="00B93A64">
      <w:pPr>
        <w:pStyle w:val="BodyText"/>
        <w:spacing w:before="8"/>
        <w:rPr>
          <w:sz w:val="33"/>
        </w:rPr>
      </w:pPr>
    </w:p>
    <w:p w:rsidR="00B93A64" w:rsidRDefault="006D7E2B">
      <w:pPr>
        <w:pStyle w:val="ListParagraph"/>
        <w:numPr>
          <w:ilvl w:val="1"/>
          <w:numId w:val="1"/>
        </w:numPr>
        <w:tabs>
          <w:tab w:val="left" w:pos="460"/>
        </w:tabs>
        <w:rPr>
          <w:sz w:val="24"/>
        </w:rPr>
      </w:pPr>
      <w:r>
        <w:rPr>
          <w:sz w:val="24"/>
          <w:u w:val="single"/>
        </w:rPr>
        <w:t>Small</w:t>
      </w:r>
      <w:r>
        <w:rPr>
          <w:spacing w:val="-3"/>
          <w:sz w:val="24"/>
          <w:u w:val="single"/>
        </w:rPr>
        <w:t xml:space="preserve"> </w:t>
      </w:r>
      <w:r>
        <w:rPr>
          <w:sz w:val="24"/>
          <w:u w:val="single"/>
        </w:rPr>
        <w:t>Businesses</w:t>
      </w:r>
    </w:p>
    <w:p w:rsidR="00B93A64" w:rsidRDefault="00B93A64">
      <w:pPr>
        <w:pStyle w:val="BodyText"/>
        <w:spacing w:before="2"/>
        <w:rPr>
          <w:sz w:val="16"/>
        </w:rPr>
      </w:pPr>
    </w:p>
    <w:p w:rsidR="00B93A64" w:rsidRDefault="006D7E2B">
      <w:pPr>
        <w:pStyle w:val="BodyText"/>
        <w:spacing w:before="90"/>
        <w:ind w:left="100" w:right="1435"/>
      </w:pPr>
      <w:r>
        <w:t>We do not anticipate that small businesses will be significantly burdened by this data collection.</w:t>
      </w:r>
    </w:p>
    <w:p w:rsidR="00B93A64" w:rsidRDefault="00B93A64">
      <w:pPr>
        <w:pStyle w:val="BodyText"/>
        <w:spacing w:before="11"/>
        <w:rPr>
          <w:sz w:val="29"/>
        </w:rPr>
      </w:pPr>
    </w:p>
    <w:p w:rsidR="00B93A64" w:rsidRDefault="006D7E2B">
      <w:pPr>
        <w:pStyle w:val="ListParagraph"/>
        <w:numPr>
          <w:ilvl w:val="1"/>
          <w:numId w:val="1"/>
        </w:numPr>
        <w:tabs>
          <w:tab w:val="left" w:pos="460"/>
        </w:tabs>
        <w:rPr>
          <w:sz w:val="24"/>
        </w:rPr>
      </w:pPr>
      <w:r>
        <w:rPr>
          <w:sz w:val="24"/>
          <w:u w:val="single"/>
        </w:rPr>
        <w:t>Less Frequent</w:t>
      </w:r>
      <w:r>
        <w:rPr>
          <w:spacing w:val="-6"/>
          <w:sz w:val="24"/>
          <w:u w:val="single"/>
        </w:rPr>
        <w:t xml:space="preserve"> </w:t>
      </w:r>
      <w:r>
        <w:rPr>
          <w:sz w:val="24"/>
          <w:u w:val="single"/>
        </w:rPr>
        <w:t>Collection</w:t>
      </w:r>
    </w:p>
    <w:p w:rsidR="00B93A64" w:rsidRDefault="00B93A64">
      <w:pPr>
        <w:pStyle w:val="BodyText"/>
        <w:spacing w:before="2"/>
        <w:rPr>
          <w:sz w:val="16"/>
        </w:rPr>
      </w:pPr>
    </w:p>
    <w:p w:rsidR="00B93A64" w:rsidRDefault="006D7E2B">
      <w:pPr>
        <w:pStyle w:val="BodyText"/>
        <w:spacing w:before="90" w:line="247" w:lineRule="auto"/>
        <w:ind w:left="100" w:right="107"/>
      </w:pPr>
      <w:r>
        <w:t>The burden associated with this information collection consists of health insurance issuers notifying</w:t>
      </w:r>
      <w:r>
        <w:rPr>
          <w:spacing w:val="-1"/>
        </w:rPr>
        <w:t xml:space="preserve"> </w:t>
      </w:r>
      <w:r>
        <w:t>enrollees</w:t>
      </w:r>
      <w:r>
        <w:rPr>
          <w:spacing w:val="-1"/>
        </w:rPr>
        <w:t xml:space="preserve"> </w:t>
      </w:r>
      <w:r>
        <w:t>about</w:t>
      </w:r>
      <w:r>
        <w:rPr>
          <w:spacing w:val="-1"/>
        </w:rPr>
        <w:t xml:space="preserve"> </w:t>
      </w:r>
      <w:r>
        <w:t>the</w:t>
      </w:r>
      <w:r>
        <w:rPr>
          <w:spacing w:val="-1"/>
        </w:rPr>
        <w:t xml:space="preserve"> </w:t>
      </w:r>
      <w:r>
        <w:t>plan’s</w:t>
      </w:r>
      <w:r>
        <w:rPr>
          <w:spacing w:val="-2"/>
        </w:rPr>
        <w:t xml:space="preserve"> </w:t>
      </w:r>
      <w:r>
        <w:t>change</w:t>
      </w:r>
      <w:r>
        <w:rPr>
          <w:spacing w:val="-1"/>
        </w:rPr>
        <w:t xml:space="preserve"> </w:t>
      </w:r>
      <w:r>
        <w:t>of</w:t>
      </w:r>
      <w:r>
        <w:rPr>
          <w:spacing w:val="-1"/>
        </w:rPr>
        <w:t xml:space="preserve"> </w:t>
      </w:r>
      <w:r>
        <w:t>access</w:t>
      </w:r>
      <w:r>
        <w:rPr>
          <w:spacing w:val="-1"/>
        </w:rPr>
        <w:t xml:space="preserve"> </w:t>
      </w:r>
      <w:r>
        <w:t>of</w:t>
      </w:r>
      <w:r>
        <w:rPr>
          <w:spacing w:val="-1"/>
        </w:rPr>
        <w:t xml:space="preserve"> </w:t>
      </w:r>
      <w:r>
        <w:t>a</w:t>
      </w:r>
      <w:r>
        <w:rPr>
          <w:spacing w:val="-8"/>
        </w:rPr>
        <w:t xml:space="preserve"> </w:t>
      </w:r>
      <w:r>
        <w:rPr>
          <w:spacing w:val="-3"/>
        </w:rPr>
        <w:t>brand</w:t>
      </w:r>
      <w:r>
        <w:rPr>
          <w:spacing w:val="-7"/>
        </w:rPr>
        <w:t xml:space="preserve"> </w:t>
      </w:r>
      <w:r>
        <w:rPr>
          <w:spacing w:val="-3"/>
        </w:rPr>
        <w:t>drug</w:t>
      </w:r>
      <w:r>
        <w:rPr>
          <w:spacing w:val="-7"/>
        </w:rPr>
        <w:t xml:space="preserve"> </w:t>
      </w:r>
      <w:r>
        <w:t>by</w:t>
      </w:r>
      <w:r>
        <w:rPr>
          <w:spacing w:val="-7"/>
        </w:rPr>
        <w:t xml:space="preserve"> </w:t>
      </w:r>
      <w:r>
        <w:rPr>
          <w:spacing w:val="-3"/>
        </w:rPr>
        <w:t>moving</w:t>
      </w:r>
      <w:r>
        <w:rPr>
          <w:spacing w:val="-7"/>
        </w:rPr>
        <w:t xml:space="preserve"> </w:t>
      </w:r>
      <w:r>
        <w:rPr>
          <w:spacing w:val="-3"/>
        </w:rPr>
        <w:t>the</w:t>
      </w:r>
      <w:r>
        <w:rPr>
          <w:spacing w:val="-6"/>
        </w:rPr>
        <w:t xml:space="preserve"> </w:t>
      </w:r>
      <w:r>
        <w:rPr>
          <w:spacing w:val="-3"/>
        </w:rPr>
        <w:t>drug</w:t>
      </w:r>
      <w:r>
        <w:rPr>
          <w:spacing w:val="-9"/>
        </w:rPr>
        <w:t xml:space="preserve"> </w:t>
      </w:r>
      <w:r>
        <w:t>to</w:t>
      </w:r>
      <w:r>
        <w:rPr>
          <w:spacing w:val="-9"/>
        </w:rPr>
        <w:t xml:space="preserve"> </w:t>
      </w:r>
      <w:r>
        <w:t>a</w:t>
      </w:r>
      <w:r>
        <w:rPr>
          <w:spacing w:val="-7"/>
        </w:rPr>
        <w:t xml:space="preserve"> </w:t>
      </w:r>
      <w:r>
        <w:rPr>
          <w:spacing w:val="-3"/>
        </w:rPr>
        <w:t xml:space="preserve">higher </w:t>
      </w:r>
      <w:r>
        <w:rPr>
          <w:spacing w:val="-4"/>
        </w:rPr>
        <w:t xml:space="preserve">cost-sharing </w:t>
      </w:r>
      <w:r>
        <w:rPr>
          <w:spacing w:val="-3"/>
        </w:rPr>
        <w:t xml:space="preserve">tier </w:t>
      </w:r>
      <w:r>
        <w:t xml:space="preserve">or </w:t>
      </w:r>
      <w:r>
        <w:rPr>
          <w:spacing w:val="-3"/>
        </w:rPr>
        <w:t xml:space="preserve">removal </w:t>
      </w:r>
      <w:r>
        <w:t xml:space="preserve">of a </w:t>
      </w:r>
      <w:r>
        <w:rPr>
          <w:spacing w:val="-3"/>
        </w:rPr>
        <w:t xml:space="preserve">drug from </w:t>
      </w:r>
      <w:r>
        <w:rPr>
          <w:spacing w:val="-2"/>
        </w:rPr>
        <w:t xml:space="preserve">the </w:t>
      </w:r>
      <w:r>
        <w:rPr>
          <w:spacing w:val="-4"/>
        </w:rPr>
        <w:t xml:space="preserve">formulary. </w:t>
      </w:r>
      <w:r>
        <w:t>We recognize that the notification of the change is a good faith effort, as there are certain situations that the issuer cannot anticipate at the beginning of a plan year. For these reasons, the proposed regulation requires the notification</w:t>
      </w:r>
      <w:r>
        <w:rPr>
          <w:spacing w:val="-15"/>
        </w:rPr>
        <w:t xml:space="preserve"> </w:t>
      </w:r>
      <w:r>
        <w:t>60</w:t>
      </w:r>
    </w:p>
    <w:p w:rsidR="00B93A64" w:rsidRDefault="00B93A64">
      <w:pPr>
        <w:spacing w:line="247" w:lineRule="auto"/>
        <w:sectPr w:rsidR="00B93A64">
          <w:pgSz w:w="12240" w:h="15840"/>
          <w:pgMar w:top="1500" w:right="940" w:bottom="1760" w:left="1580" w:header="0" w:footer="1522" w:gutter="0"/>
          <w:cols w:space="720"/>
        </w:sectPr>
      </w:pPr>
    </w:p>
    <w:p w:rsidR="00B93A64" w:rsidRDefault="006D7E2B">
      <w:pPr>
        <w:pStyle w:val="BodyText"/>
        <w:spacing w:before="77" w:line="247" w:lineRule="auto"/>
        <w:ind w:left="120" w:right="149"/>
      </w:pPr>
      <w:r>
        <w:lastRenderedPageBreak/>
        <w:t>calendar days prior to changing access to a brand drug, and providing an exceptions process, pursuant to the applicable coverage appeal process under §147.136 or the drug exception request process under §156.122(c).</w:t>
      </w:r>
    </w:p>
    <w:p w:rsidR="00B93A64" w:rsidRDefault="00B93A64">
      <w:pPr>
        <w:pStyle w:val="BodyText"/>
        <w:spacing w:before="6"/>
        <w:rPr>
          <w:sz w:val="34"/>
        </w:rPr>
      </w:pPr>
    </w:p>
    <w:p w:rsidR="00B93A64" w:rsidRDefault="006D7E2B">
      <w:pPr>
        <w:pStyle w:val="ListParagraph"/>
        <w:numPr>
          <w:ilvl w:val="1"/>
          <w:numId w:val="1"/>
        </w:numPr>
        <w:tabs>
          <w:tab w:val="left" w:pos="480"/>
        </w:tabs>
        <w:spacing w:before="1"/>
        <w:ind w:left="480"/>
        <w:rPr>
          <w:sz w:val="24"/>
        </w:rPr>
      </w:pPr>
      <w:r>
        <w:rPr>
          <w:sz w:val="24"/>
          <w:u w:val="single"/>
        </w:rPr>
        <w:t>Special</w:t>
      </w:r>
      <w:r>
        <w:rPr>
          <w:spacing w:val="-4"/>
          <w:sz w:val="24"/>
          <w:u w:val="single"/>
        </w:rPr>
        <w:t xml:space="preserve"> </w:t>
      </w:r>
      <w:r>
        <w:rPr>
          <w:sz w:val="24"/>
          <w:u w:val="single"/>
        </w:rPr>
        <w:t>Circumstances</w:t>
      </w:r>
    </w:p>
    <w:p w:rsidR="00B93A64" w:rsidRDefault="00B93A64">
      <w:pPr>
        <w:pStyle w:val="BodyText"/>
      </w:pPr>
    </w:p>
    <w:p w:rsidR="00B93A64" w:rsidRDefault="006D7E2B">
      <w:pPr>
        <w:pStyle w:val="BodyText"/>
        <w:ind w:left="120"/>
      </w:pPr>
      <w:r>
        <w:t>There are no anticipated special circumstances</w:t>
      </w:r>
    </w:p>
    <w:p w:rsidR="00B93A64" w:rsidRDefault="00B93A64">
      <w:pPr>
        <w:pStyle w:val="BodyText"/>
        <w:spacing w:before="3"/>
        <w:rPr>
          <w:sz w:val="31"/>
        </w:rPr>
      </w:pPr>
    </w:p>
    <w:p w:rsidR="00B93A64" w:rsidRDefault="006D7E2B">
      <w:pPr>
        <w:pStyle w:val="ListParagraph"/>
        <w:numPr>
          <w:ilvl w:val="1"/>
          <w:numId w:val="1"/>
        </w:numPr>
        <w:tabs>
          <w:tab w:val="left" w:pos="480"/>
        </w:tabs>
        <w:ind w:left="480"/>
        <w:rPr>
          <w:sz w:val="24"/>
        </w:rPr>
      </w:pPr>
      <w:r>
        <w:rPr>
          <w:sz w:val="24"/>
          <w:u w:val="single"/>
        </w:rPr>
        <w:t>Federal Register/Outside</w:t>
      </w:r>
      <w:r>
        <w:rPr>
          <w:spacing w:val="-2"/>
          <w:sz w:val="24"/>
          <w:u w:val="single"/>
        </w:rPr>
        <w:t xml:space="preserve"> </w:t>
      </w:r>
      <w:r>
        <w:rPr>
          <w:sz w:val="24"/>
          <w:u w:val="single"/>
        </w:rPr>
        <w:t>Consultation</w:t>
      </w:r>
    </w:p>
    <w:p w:rsidR="00B93A64" w:rsidRDefault="00B93A64">
      <w:pPr>
        <w:pStyle w:val="BodyText"/>
        <w:spacing w:before="11"/>
        <w:rPr>
          <w:sz w:val="23"/>
        </w:rPr>
      </w:pPr>
    </w:p>
    <w:p w:rsidR="00B93A64" w:rsidRDefault="006D7E2B">
      <w:pPr>
        <w:pStyle w:val="BodyText"/>
        <w:spacing w:line="247" w:lineRule="auto"/>
        <w:ind w:left="120"/>
      </w:pPr>
      <w:r>
        <w:t>The Patient Protection and Affordable Care Act; HHS Notice of Benefit and Payment Parameters for 2020 (CMS-9926-P) proposed rule published January 24, 2019. CMS proposed §147.106(e) (5), and is awaiting comments on the proposed information collection. CMS will consider</w:t>
      </w:r>
      <w:r w:rsidR="00C91807">
        <w:t xml:space="preserve"> </w:t>
      </w:r>
      <w:r>
        <w:t>any comments received during the 60-day comment period.</w:t>
      </w:r>
    </w:p>
    <w:p w:rsidR="00B93A64" w:rsidRDefault="00B93A64">
      <w:pPr>
        <w:pStyle w:val="BodyText"/>
        <w:spacing w:before="8"/>
        <w:rPr>
          <w:sz w:val="30"/>
        </w:rPr>
      </w:pPr>
    </w:p>
    <w:p w:rsidR="00B93A64" w:rsidRDefault="006D7E2B">
      <w:pPr>
        <w:pStyle w:val="ListParagraph"/>
        <w:numPr>
          <w:ilvl w:val="1"/>
          <w:numId w:val="1"/>
        </w:numPr>
        <w:tabs>
          <w:tab w:val="left" w:pos="480"/>
        </w:tabs>
        <w:ind w:left="480"/>
        <w:rPr>
          <w:sz w:val="24"/>
        </w:rPr>
      </w:pPr>
      <w:r>
        <w:rPr>
          <w:sz w:val="24"/>
          <w:u w:val="single"/>
        </w:rPr>
        <w:t>Payments/Gifts to</w:t>
      </w:r>
      <w:r>
        <w:rPr>
          <w:spacing w:val="-2"/>
          <w:sz w:val="24"/>
          <w:u w:val="single"/>
        </w:rPr>
        <w:t xml:space="preserve"> </w:t>
      </w:r>
      <w:r>
        <w:rPr>
          <w:sz w:val="24"/>
          <w:u w:val="single"/>
        </w:rPr>
        <w:t>Respondents</w:t>
      </w:r>
    </w:p>
    <w:p w:rsidR="00B93A64" w:rsidRDefault="00B93A64">
      <w:pPr>
        <w:pStyle w:val="BodyText"/>
      </w:pPr>
    </w:p>
    <w:p w:rsidR="00B93A64" w:rsidRDefault="006D7E2B">
      <w:pPr>
        <w:pStyle w:val="BodyText"/>
        <w:ind w:left="119"/>
      </w:pPr>
      <w:r>
        <w:t>No payments and/or gifts will be provided.</w:t>
      </w:r>
    </w:p>
    <w:p w:rsidR="00B93A64" w:rsidRDefault="00B93A64">
      <w:pPr>
        <w:pStyle w:val="BodyText"/>
        <w:spacing w:before="10"/>
        <w:rPr>
          <w:sz w:val="27"/>
        </w:rPr>
      </w:pPr>
    </w:p>
    <w:p w:rsidR="00B93A64" w:rsidRDefault="006D7E2B">
      <w:pPr>
        <w:pStyle w:val="ListParagraph"/>
        <w:numPr>
          <w:ilvl w:val="1"/>
          <w:numId w:val="1"/>
        </w:numPr>
        <w:tabs>
          <w:tab w:val="left" w:pos="480"/>
        </w:tabs>
        <w:spacing w:before="1"/>
        <w:ind w:left="480"/>
        <w:rPr>
          <w:sz w:val="24"/>
        </w:rPr>
      </w:pPr>
      <w:r>
        <w:rPr>
          <w:sz w:val="24"/>
          <w:u w:val="single"/>
        </w:rPr>
        <w:t>Confidentiality</w:t>
      </w:r>
    </w:p>
    <w:p w:rsidR="00B93A64" w:rsidRDefault="00B93A64">
      <w:pPr>
        <w:pStyle w:val="BodyText"/>
      </w:pPr>
    </w:p>
    <w:p w:rsidR="00B93A64" w:rsidRDefault="006D7E2B">
      <w:pPr>
        <w:pStyle w:val="BodyText"/>
        <w:spacing w:line="247" w:lineRule="auto"/>
        <w:ind w:left="120" w:right="149"/>
      </w:pPr>
      <w:r>
        <w:t>To the extent of the applicable law and HHS policies, we will maintain consumer privacy</w:t>
      </w:r>
      <w:r w:rsidR="00C91807">
        <w:t xml:space="preserve"> </w:t>
      </w:r>
      <w:r>
        <w:t>with respect to the information disclosed.</w:t>
      </w:r>
    </w:p>
    <w:p w:rsidR="00B93A64" w:rsidRDefault="00B93A64">
      <w:pPr>
        <w:pStyle w:val="BodyText"/>
        <w:spacing w:before="3"/>
        <w:rPr>
          <w:sz w:val="27"/>
        </w:rPr>
      </w:pPr>
    </w:p>
    <w:p w:rsidR="00B93A64" w:rsidRDefault="006D7E2B">
      <w:pPr>
        <w:pStyle w:val="ListParagraph"/>
        <w:numPr>
          <w:ilvl w:val="1"/>
          <w:numId w:val="1"/>
        </w:numPr>
        <w:tabs>
          <w:tab w:val="left" w:pos="480"/>
        </w:tabs>
        <w:ind w:left="480"/>
        <w:rPr>
          <w:sz w:val="24"/>
        </w:rPr>
      </w:pPr>
      <w:r>
        <w:rPr>
          <w:sz w:val="24"/>
          <w:u w:val="single"/>
        </w:rPr>
        <w:t>Sensitive</w:t>
      </w:r>
      <w:r>
        <w:rPr>
          <w:spacing w:val="-1"/>
          <w:sz w:val="24"/>
          <w:u w:val="single"/>
        </w:rPr>
        <w:t xml:space="preserve"> </w:t>
      </w:r>
      <w:r>
        <w:rPr>
          <w:sz w:val="24"/>
          <w:u w:val="single"/>
        </w:rPr>
        <w:t>Questions</w:t>
      </w:r>
    </w:p>
    <w:p w:rsidR="00B93A64" w:rsidRDefault="00B93A64">
      <w:pPr>
        <w:pStyle w:val="BodyText"/>
      </w:pPr>
    </w:p>
    <w:p w:rsidR="00B93A64" w:rsidRDefault="006D7E2B">
      <w:pPr>
        <w:pStyle w:val="BodyText"/>
        <w:ind w:left="120"/>
      </w:pPr>
      <w:r>
        <w:t>No sensitive questions are included in these notice requirements.</w:t>
      </w:r>
    </w:p>
    <w:p w:rsidR="00B93A64" w:rsidRDefault="00B93A64">
      <w:pPr>
        <w:pStyle w:val="BodyText"/>
        <w:spacing w:before="9"/>
        <w:rPr>
          <w:sz w:val="27"/>
        </w:rPr>
      </w:pPr>
    </w:p>
    <w:p w:rsidR="00B93A64" w:rsidRDefault="006D7E2B">
      <w:pPr>
        <w:pStyle w:val="ListParagraph"/>
        <w:numPr>
          <w:ilvl w:val="1"/>
          <w:numId w:val="1"/>
        </w:numPr>
        <w:tabs>
          <w:tab w:val="left" w:pos="480"/>
        </w:tabs>
        <w:spacing w:before="1"/>
        <w:ind w:left="480"/>
        <w:rPr>
          <w:sz w:val="24"/>
        </w:rPr>
      </w:pPr>
      <w:r>
        <w:rPr>
          <w:sz w:val="24"/>
          <w:u w:val="single"/>
        </w:rPr>
        <w:t>Burden Estimates (Hours &amp;</w:t>
      </w:r>
      <w:r>
        <w:rPr>
          <w:spacing w:val="-3"/>
          <w:sz w:val="24"/>
          <w:u w:val="single"/>
        </w:rPr>
        <w:t xml:space="preserve"> </w:t>
      </w:r>
      <w:r>
        <w:rPr>
          <w:sz w:val="24"/>
          <w:u w:val="single"/>
        </w:rPr>
        <w:t>Wages)</w:t>
      </w:r>
    </w:p>
    <w:p w:rsidR="00B93A64" w:rsidRDefault="00B93A64">
      <w:pPr>
        <w:pStyle w:val="BodyText"/>
      </w:pPr>
    </w:p>
    <w:p w:rsidR="00B93A64" w:rsidRDefault="006D7E2B">
      <w:pPr>
        <w:pStyle w:val="BodyText"/>
        <w:ind w:left="120" w:right="149"/>
      </w:pPr>
      <w:r>
        <w:t>We generally used data from the Bureau of Labor Statistics to derive average labor costs (including fringe benefits) for estimating the burden associated with the ICRs.</w:t>
      </w:r>
    </w:p>
    <w:p w:rsidR="00B93A64" w:rsidRDefault="006D7E2B">
      <w:pPr>
        <w:pStyle w:val="BodyText"/>
        <w:spacing w:before="199"/>
        <w:ind w:left="120" w:right="83"/>
      </w:pPr>
      <w:r>
        <w:t>In an effort to optimize the use of new generic drugs as they become available, we proposed to allow issuers, beginning with plan years on or after January 1, 2020, to update their prescription drug formularies by allowing certain mid-year formulary changes, subject to applicable state law.</w:t>
      </w:r>
    </w:p>
    <w:p w:rsidR="00B93A64" w:rsidRDefault="00B93A64">
      <w:pPr>
        <w:sectPr w:rsidR="00B93A64">
          <w:pgSz w:w="12240" w:h="15840"/>
          <w:pgMar w:top="1320" w:right="1100" w:bottom="1760" w:left="1560" w:header="0" w:footer="1522" w:gutter="0"/>
          <w:cols w:space="720"/>
        </w:sectPr>
      </w:pPr>
    </w:p>
    <w:p w:rsidR="00B93A64" w:rsidRDefault="006D7E2B">
      <w:pPr>
        <w:pStyle w:val="BodyText"/>
        <w:spacing w:before="77"/>
        <w:ind w:left="120" w:right="95"/>
      </w:pPr>
      <w:r>
        <w:t>We propose that a health insurance issuer that makes one of the following mid-year drug formulary changes would be required to send a written notice to enrollees 60 days prior to implementing any of the following drug formulary changes:</w:t>
      </w:r>
    </w:p>
    <w:p w:rsidR="00B93A64" w:rsidRDefault="006D7E2B">
      <w:pPr>
        <w:pStyle w:val="ListParagraph"/>
        <w:numPr>
          <w:ilvl w:val="2"/>
          <w:numId w:val="1"/>
        </w:numPr>
        <w:tabs>
          <w:tab w:val="left" w:pos="1107"/>
        </w:tabs>
        <w:spacing w:before="200"/>
        <w:ind w:right="309" w:firstLine="720"/>
        <w:rPr>
          <w:sz w:val="24"/>
        </w:rPr>
      </w:pPr>
      <w:r>
        <w:rPr>
          <w:sz w:val="24"/>
        </w:rPr>
        <w:t>Adding a generic equivalent drug to the formulary, while removing the brand name</w:t>
      </w:r>
      <w:r>
        <w:rPr>
          <w:spacing w:val="-10"/>
          <w:sz w:val="24"/>
        </w:rPr>
        <w:t xml:space="preserve"> </w:t>
      </w:r>
      <w:r>
        <w:rPr>
          <w:sz w:val="24"/>
        </w:rPr>
        <w:t>drug from the formulary;</w:t>
      </w:r>
      <w:r>
        <w:rPr>
          <w:spacing w:val="-2"/>
          <w:sz w:val="24"/>
        </w:rPr>
        <w:t xml:space="preserve"> </w:t>
      </w:r>
      <w:r>
        <w:rPr>
          <w:sz w:val="24"/>
        </w:rPr>
        <w:t>or</w:t>
      </w:r>
    </w:p>
    <w:p w:rsidR="00B93A64" w:rsidRDefault="006D7E2B">
      <w:pPr>
        <w:pStyle w:val="ListParagraph"/>
        <w:numPr>
          <w:ilvl w:val="2"/>
          <w:numId w:val="1"/>
        </w:numPr>
        <w:tabs>
          <w:tab w:val="left" w:pos="1107"/>
        </w:tabs>
        <w:spacing w:before="200"/>
        <w:ind w:right="122" w:firstLine="720"/>
        <w:rPr>
          <w:sz w:val="24"/>
        </w:rPr>
      </w:pPr>
      <w:r>
        <w:rPr>
          <w:sz w:val="24"/>
        </w:rPr>
        <w:t>Adding a generic equivalent to a formulary and moving the equivalent brand name drug</w:t>
      </w:r>
      <w:r>
        <w:rPr>
          <w:spacing w:val="-9"/>
          <w:sz w:val="24"/>
        </w:rPr>
        <w:t xml:space="preserve"> </w:t>
      </w:r>
      <w:r>
        <w:rPr>
          <w:sz w:val="24"/>
        </w:rPr>
        <w:t>to a different cost-sharing</w:t>
      </w:r>
      <w:r>
        <w:rPr>
          <w:spacing w:val="-5"/>
          <w:sz w:val="24"/>
        </w:rPr>
        <w:t xml:space="preserve"> </w:t>
      </w:r>
      <w:r>
        <w:rPr>
          <w:sz w:val="24"/>
        </w:rPr>
        <w:t>tier.</w:t>
      </w:r>
    </w:p>
    <w:p w:rsidR="00B93A64" w:rsidRDefault="006D7E2B">
      <w:pPr>
        <w:pStyle w:val="BodyText"/>
        <w:spacing w:before="200"/>
        <w:ind w:left="120" w:right="183"/>
      </w:pPr>
      <w:r>
        <w:t>Such changes would not be permitted to exceed the scope of what would otherwise be a uniform modification, and enrollees would retain the option to request coverage for a brand name drug that was removed from the formulary through the applicable coverage appeal process under §147.136 or the drug exception request process under §156.122(c).</w:t>
      </w:r>
    </w:p>
    <w:p w:rsidR="00B93A64" w:rsidRDefault="006D7E2B">
      <w:pPr>
        <w:pStyle w:val="BodyText"/>
        <w:spacing w:before="203" w:line="276" w:lineRule="exact"/>
        <w:ind w:left="120" w:right="83"/>
      </w:pPr>
      <w:r>
        <w:t>Based on the 2016 Medical Loss Ratio (MLR) totals, there are 520 health insurance issuers with estimated 75.6 million enrollees. Given the approval trends from 2016 through 2018, we also estimate that the Food and Drug Administration approves an average of 76 first time generic drug applications per calendar year, allowing a first time generic equivalent of a brand drug to be manufactured.</w:t>
      </w:r>
      <w:r>
        <w:rPr>
          <w:position w:val="9"/>
          <w:sz w:val="16"/>
        </w:rPr>
        <w:t xml:space="preserve">1 </w:t>
      </w:r>
      <w:r>
        <w:t>However, not all of these drugs are suitable for a drug formulary; some are only administered in a clinical setting, and others may be approved for over-the counter (OTC) use. We also considered that not all issuers will opt to make mid-year formulary changes. In reviewing the recent first time FDA generic equivalent approvals for 2018, 60 percent, or 37 generic equivalent drugs are available by prescription and could potentially be found on an issuers’ formulary, resulting in a mid-year formulary change. If finalized as proposed, all enrollees would receive a notice regarding the mid-year formulary change.</w:t>
      </w:r>
    </w:p>
    <w:p w:rsidR="00B93A64" w:rsidRDefault="006D7E2B">
      <w:pPr>
        <w:pStyle w:val="BodyText"/>
        <w:spacing w:before="196"/>
        <w:ind w:left="120" w:right="114"/>
        <w:jc w:val="both"/>
      </w:pPr>
      <w:r>
        <w:t>Issuers would have two options to make formulary changes, therefore we have provided two notice cost estimates for removing a brand drug from the formulary and for changing the cost-sharing tier for a brand drug.</w:t>
      </w:r>
    </w:p>
    <w:p w:rsidR="00B93A64" w:rsidRDefault="006D7E2B">
      <w:pPr>
        <w:pStyle w:val="BodyText"/>
        <w:spacing w:before="199"/>
        <w:ind w:left="120"/>
      </w:pPr>
      <w:r>
        <w:rPr>
          <w:u w:val="single"/>
        </w:rPr>
        <w:t>Notice of Change: Removal of a brand drug from the formulary</w:t>
      </w:r>
    </w:p>
    <w:p w:rsidR="00B93A64" w:rsidRDefault="006D7E2B">
      <w:pPr>
        <w:pStyle w:val="BodyText"/>
        <w:spacing w:before="199"/>
        <w:ind w:left="120" w:right="96"/>
      </w:pPr>
      <w:r>
        <w:t>A health insurance issuer would be required to provide a written notice 60 days in advance. This notice would be required to identify the name of the brand drug that is the subject of the change, disclose whether the brand drug will be removed from the formulary or placed on a different cost- sharing tier, provide the name of the generic equivalent that will be made available, specify the date the changes will become effective, and state that under the appeals processes outlined in §147.136 or</w:t>
      </w:r>
    </w:p>
    <w:p w:rsidR="00B93A64" w:rsidRDefault="00B93A64">
      <w:pPr>
        <w:pStyle w:val="BodyText"/>
        <w:rPr>
          <w:sz w:val="20"/>
        </w:rPr>
      </w:pPr>
    </w:p>
    <w:p w:rsidR="00B93A64" w:rsidRDefault="00B93A64">
      <w:pPr>
        <w:pStyle w:val="BodyText"/>
        <w:rPr>
          <w:sz w:val="20"/>
        </w:rPr>
      </w:pPr>
    </w:p>
    <w:p w:rsidR="00B93A64" w:rsidRDefault="00B93A64">
      <w:pPr>
        <w:pStyle w:val="BodyText"/>
        <w:rPr>
          <w:sz w:val="20"/>
        </w:rPr>
      </w:pPr>
    </w:p>
    <w:p w:rsidR="00B93A64" w:rsidRDefault="00B93A64">
      <w:pPr>
        <w:pStyle w:val="BodyText"/>
        <w:rPr>
          <w:sz w:val="20"/>
        </w:rPr>
      </w:pPr>
    </w:p>
    <w:p w:rsidR="00B93A64" w:rsidRDefault="005C2174">
      <w:pPr>
        <w:pStyle w:val="BodyText"/>
        <w:spacing w:before="11"/>
        <w:rPr>
          <w:sz w:val="21"/>
        </w:rPr>
      </w:pPr>
      <w:r>
        <w:rPr>
          <w:noProof/>
        </w:rPr>
        <mc:AlternateContent>
          <mc:Choice Requires="wps">
            <w:drawing>
              <wp:anchor distT="0" distB="0" distL="0" distR="0" simplePos="0" relativeHeight="251655168" behindDoc="0" locked="0" layoutInCell="1" allowOverlap="1" wp14:anchorId="26DEC62B" wp14:editId="4B65345D">
                <wp:simplePos x="0" y="0"/>
                <wp:positionH relativeFrom="page">
                  <wp:posOffset>838200</wp:posOffset>
                </wp:positionH>
                <wp:positionV relativeFrom="paragraph">
                  <wp:posOffset>189865</wp:posOffset>
                </wp:positionV>
                <wp:extent cx="1828800" cy="0"/>
                <wp:effectExtent l="9525" t="8255" r="9525" b="10795"/>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1C331F"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pt,14.95pt" to="210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QlHgIAAEMEAAAOAAAAZHJzL2Uyb0RvYy54bWysU0Gu0zAQ3SNxB8v7NkkJJY2afqGkZVOg&#10;0v8cwLWdxsKxLdttWiHuzthpC4UNQmTh2J6ZN2/mjZdP516iE7dOaFXhbJpixBXVTKhDhb+8bCYF&#10;Rs4TxYjUilf4wh1+Wr1+tRxMyWe605JxiwBEuXIwFe68N2WSONrxnripNlyBsdW2Jx6O9pAwSwZA&#10;72UyS9N5MmjLjNWUOwe3zWjEq4jftpz6z23ruEeywsDNx9XGdR/WZLUk5cES0wl6pUH+gUVPhIKk&#10;d6iGeIKOVvwB1QtqtdOtn1LdJ7ptBeWxBqgmS3+r5rkjhsdaoDnO3Nvk/h8s/XTaWSQYaDfDSJEe&#10;NNoKxVGWhd4MxpXgUqudDdXRs3o2W02/OqR03RF14JHjy8VAXIxIHkLCwRnIsB8+agY+5Oh1bNS5&#10;tX2AhBagc9TjcteDnz2icJkVs6JIQTZ6syWkvAUa6/wHrnsUNhWWQDoCk9PWeaAOrjeXkEfpjZAy&#10;yi0VGiq8yPI8BjgtBQvG4ObsYV9Li04kDEz8Qh8A7MEtIDfEdaNfNI2jZPVRsZil44Str3tPhBz3&#10;ACRVSAQ1As/rbhyVb4t0sS7WRT7JZ/P1JE+bZvJ+U+eT+SZ797Z509R1k30PnLO87ARjXAXat7HN&#10;8r8bi+sDGgfuPrj3/iSP6LF2IHv7R9JR5KDrOCF7zS47G9oU9IZJjc7XVxWewq/n6PXz7a9+AAAA&#10;//8DAFBLAwQUAAYACAAAACEA1z90mdwAAAAJAQAADwAAAGRycy9kb3ducmV2LnhtbEyPwU7DMBBE&#10;70j8g7VI3KhDQIWmcSpUhQviQAMfsI23sUVsR7HbhH49izjAcXZHM2/Kzex6caIx2uAV3C4yEOTb&#10;oK3vFHy8P988gogJvcY+eFLwRRE21eVFiYUOk9/RqUmd4BAfC1RgUhoKKWNryGFchIE8/w5hdJhY&#10;jp3UI04c7nqZZ9lSOrSeGwwOtDXUfjZHp6B5e52WL+fzVD80FmNK1tT1Vqnrq/lpDSLRnP7M8IPP&#10;6FAx0z4cvY6iZ32X85akIF+tQLDhnvtA7H8Psirl/wXVNwAAAP//AwBQSwECLQAUAAYACAAAACEA&#10;toM4kv4AAADhAQAAEwAAAAAAAAAAAAAAAAAAAAAAW0NvbnRlbnRfVHlwZXNdLnhtbFBLAQItABQA&#10;BgAIAAAAIQA4/SH/1gAAAJQBAAALAAAAAAAAAAAAAAAAAC8BAABfcmVscy8ucmVsc1BLAQItABQA&#10;BgAIAAAAIQADmFQlHgIAAEMEAAAOAAAAAAAAAAAAAAAAAC4CAABkcnMvZTJvRG9jLnhtbFBLAQIt&#10;ABQABgAIAAAAIQDXP3SZ3AAAAAkBAAAPAAAAAAAAAAAAAAAAAHgEAABkcnMvZG93bnJldi54bWxQ&#10;SwUGAAAAAAQABADzAAAAgQUAAAAA&#10;" strokeweight=".72pt">
                <w10:wrap type="topAndBottom" anchorx="page"/>
              </v:line>
            </w:pict>
          </mc:Fallback>
        </mc:AlternateContent>
      </w:r>
    </w:p>
    <w:p w:rsidR="00B93A64" w:rsidRDefault="006D7E2B">
      <w:pPr>
        <w:spacing w:before="63"/>
        <w:ind w:left="120" w:right="121"/>
        <w:rPr>
          <w:sz w:val="20"/>
        </w:rPr>
      </w:pPr>
      <w:r>
        <w:rPr>
          <w:position w:val="7"/>
          <w:sz w:val="13"/>
        </w:rPr>
        <w:t xml:space="preserve">1 </w:t>
      </w:r>
      <w:r>
        <w:rPr>
          <w:sz w:val="20"/>
        </w:rPr>
        <w:t xml:space="preserve">See ANDA (Generic) Drug Approval Reports-2018. Available at </w:t>
      </w:r>
      <w:hyperlink r:id="rId9">
        <w:r>
          <w:rPr>
            <w:color w:val="0000FF"/>
            <w:sz w:val="20"/>
            <w:u w:val="single" w:color="0000FF"/>
          </w:rPr>
          <w:t>https://www.fda.gov/Drugs/DevelopmentApprovalProcess/HowDrugsareDevelopedandApproved/DrugandBiologicAppr</w:t>
        </w:r>
      </w:hyperlink>
      <w:r>
        <w:rPr>
          <w:color w:val="0000FF"/>
          <w:sz w:val="20"/>
          <w:u w:val="single" w:color="0000FF"/>
        </w:rPr>
        <w:t xml:space="preserve"> </w:t>
      </w:r>
      <w:hyperlink r:id="rId10">
        <w:r>
          <w:rPr>
            <w:color w:val="0000FF"/>
            <w:sz w:val="20"/>
            <w:u w:val="single" w:color="0000FF"/>
          </w:rPr>
          <w:t>ovalReports/ANDAGenericDrugApprovals/default.htm</w:t>
        </w:r>
        <w:r>
          <w:rPr>
            <w:sz w:val="20"/>
          </w:rPr>
          <w:t>.</w:t>
        </w:r>
      </w:hyperlink>
      <w:r>
        <w:rPr>
          <w:sz w:val="20"/>
        </w:rPr>
        <w:t xml:space="preserve"> See also ANDA (Generic Drug Approval Reports Previous Years-2016-17. Available at </w:t>
      </w:r>
      <w:hyperlink r:id="rId11">
        <w:r>
          <w:rPr>
            <w:color w:val="0000FF"/>
            <w:sz w:val="20"/>
            <w:u w:val="single" w:color="0000FF"/>
          </w:rPr>
          <w:t>https://www.fda.gov/Drugs/DevelopmentApprovalProcess/HowDrugsareDevelopedandApproved/DrugandBiologicAppr</w:t>
        </w:r>
      </w:hyperlink>
      <w:r>
        <w:rPr>
          <w:color w:val="0000FF"/>
          <w:sz w:val="20"/>
          <w:u w:val="single" w:color="0000FF"/>
        </w:rPr>
        <w:t xml:space="preserve"> </w:t>
      </w:r>
      <w:hyperlink r:id="rId12">
        <w:r>
          <w:rPr>
            <w:color w:val="0000FF"/>
            <w:sz w:val="20"/>
            <w:u w:val="single" w:color="0000FF"/>
          </w:rPr>
          <w:t>ovalReports/ANDAGenericDrugApprovals/ucm050527.htm</w:t>
        </w:r>
        <w:r>
          <w:rPr>
            <w:sz w:val="20"/>
          </w:rPr>
          <w:t>.</w:t>
        </w:r>
      </w:hyperlink>
    </w:p>
    <w:p w:rsidR="00B93A64" w:rsidRDefault="00B93A64">
      <w:pPr>
        <w:rPr>
          <w:sz w:val="20"/>
        </w:rPr>
        <w:sectPr w:rsidR="00B93A64">
          <w:pgSz w:w="12240" w:h="15840"/>
          <w:pgMar w:top="1320" w:right="1120" w:bottom="1720" w:left="1200" w:header="0" w:footer="1522" w:gutter="0"/>
          <w:cols w:space="720"/>
        </w:sectPr>
      </w:pPr>
    </w:p>
    <w:p w:rsidR="00B93A64" w:rsidRDefault="006D7E2B">
      <w:pPr>
        <w:pStyle w:val="BodyText"/>
        <w:spacing w:before="77"/>
        <w:ind w:left="120" w:right="329"/>
      </w:pPr>
      <w:r>
        <w:t>the exceptions processes outlined in §156.122(c), enrollees and dependents may request and gain access to the brand drug when clinically appropriate and not otherwise covered by the health plan. Issuers also would be required to provide enrollees the option to request coverage for a brand drug that was removed from the formulary through the applicable coverage appeal process under</w:t>
      </w:r>
    </w:p>
    <w:p w:rsidR="00B93A64" w:rsidRDefault="006D7E2B">
      <w:pPr>
        <w:pStyle w:val="BodyText"/>
        <w:ind w:left="119" w:right="117"/>
      </w:pPr>
      <w:r>
        <w:t>§147.136 or the drug exception request process under §156.122(c). Therefore, we estimate that a “Notice of Change: Removal of a brand drug from the formulary,” would require issuers 10 hours of clerical labor (at a cost of $39.12 per hour) to prepare the custom notice using an existing standard notice or a standard notice provided by the issuer’s state. It would take an estimated 2 hour for a senior manager (at a cost of $118.70 per hour) to review the notice template. We also estimate that it would take a computer programmer 10 hours (at a cost $84.16 per hour) to write and test a program to automate the electronic notices. The total annual burden for each issuer to prepare the template would be 22 hours with an equivalent cost of approximately $1,470. For all 520 health insurance issuers, the total annual burden would be 11,440 hours with an equivalent cost of approximately</w:t>
      </w:r>
    </w:p>
    <w:p w:rsidR="00B93A64" w:rsidRDefault="006D7E2B">
      <w:pPr>
        <w:pStyle w:val="BodyText"/>
        <w:ind w:left="120"/>
      </w:pPr>
      <w:r>
        <w:t>$764,504.</w:t>
      </w:r>
    </w:p>
    <w:p w:rsidR="00B93A64" w:rsidRDefault="006D7E2B">
      <w:pPr>
        <w:pStyle w:val="BodyText"/>
        <w:spacing w:before="200"/>
        <w:ind w:left="120"/>
      </w:pPr>
      <w:r>
        <w:rPr>
          <w:u w:val="single"/>
        </w:rPr>
        <w:t>Notice of Change: Change to cost-sharing tier for a brand drug</w:t>
      </w:r>
    </w:p>
    <w:p w:rsidR="00B93A64" w:rsidRDefault="006D7E2B">
      <w:pPr>
        <w:pStyle w:val="BodyText"/>
        <w:spacing w:before="200"/>
        <w:ind w:left="120" w:right="83"/>
      </w:pPr>
      <w:r>
        <w:t xml:space="preserve">A health insurance issuer would provide the notice 60-days prior to adding a generic equivalent to a formulary, and moving the equivalent brand name drug to a different cost-sharing tier. Therefore, we estimate that a “Notice of Change: Change to cost-sharing tier for a brand drug,” would require 6 hours of clerical labor (at a cost of $39.12 per hour) to prepare the custom notice using an existing standard notice or a standard notice </w:t>
      </w:r>
      <w:r>
        <w:rPr>
          <w:u w:val="single"/>
        </w:rPr>
        <w:t>provided by the issuer’s state. It would tak</w:t>
      </w:r>
      <w:r>
        <w:t>e an estimated 2 hours for a senior manager (at a cost of $118.70 per hour) to review the notice template. We also estimate that it would take a computer programmer 10 hours (at a cost $84.16 per hour) to write and test a program to automate the electronic notices. The total annual burden for each issuer to prepare the template would be 18 hours with an equivalent cost of approximately $1,314. For all 520 health insurance issuers, the total annual burden would be 9,360 hours with an equivalent cost of approximately $683,134.</w:t>
      </w:r>
    </w:p>
    <w:p w:rsidR="00B93A64" w:rsidRDefault="006D7E2B">
      <w:pPr>
        <w:pStyle w:val="BodyText"/>
        <w:spacing w:before="200"/>
        <w:ind w:left="119" w:right="82"/>
      </w:pPr>
      <w:r>
        <w:t>As a subset of this notice requirement, at §156.122(d)(3) we propose that QHP issuers in the FFEs would be required to notify HHS annually in an HHS-specified format of any mid-year formulary changes made in the prior plan year consistent with the policy proposed at §147.106(e) that would allow an issuer to make mid-year drug formulary changes. QHP issuers in the FFEs would be required to report the name of the drug being removed from the formulary, dosage, name of the generic equivalent, the Rx Norm Concept Unique Identifier (RxCUI) associated with the brand and generic drug, if the brand drug was moved to a higher cost sharing tier or removed from the formulary. Issuers would be required to submit the formulary changes in a template as specified by HHS. We estimate 66 QHP issuers (not including SADPs, but encompassing both individual and SHOP markets) will offer QHPs in an FFE and thus be subject to this requirement. The estimate of 66 is based on the number of issuers whose QHP issuers in an FFE, that appeared on HealthCare.gov in the 2019 plan year.</w:t>
      </w:r>
    </w:p>
    <w:p w:rsidR="00B93A64" w:rsidRDefault="006D7E2B">
      <w:pPr>
        <w:spacing w:before="161"/>
        <w:ind w:left="76"/>
        <w:jc w:val="center"/>
        <w:rPr>
          <w:rFonts w:ascii="Calibri"/>
          <w:sz w:val="20"/>
        </w:rPr>
      </w:pPr>
      <w:r>
        <w:rPr>
          <w:rFonts w:ascii="Calibri"/>
          <w:w w:val="99"/>
          <w:sz w:val="20"/>
        </w:rPr>
        <w:t>5</w:t>
      </w:r>
    </w:p>
    <w:p w:rsidR="00B93A64" w:rsidRDefault="00B93A64">
      <w:pPr>
        <w:jc w:val="center"/>
        <w:rPr>
          <w:rFonts w:ascii="Calibri"/>
          <w:sz w:val="20"/>
        </w:rPr>
        <w:sectPr w:rsidR="00B93A64">
          <w:footerReference w:type="default" r:id="rId13"/>
          <w:pgSz w:w="12240" w:h="15840"/>
          <w:pgMar w:top="1320" w:right="1120" w:bottom="280" w:left="1200" w:header="0" w:footer="0" w:gutter="0"/>
          <w:cols w:space="720"/>
        </w:sectPr>
      </w:pPr>
    </w:p>
    <w:p w:rsidR="00B93A64" w:rsidRDefault="006D7E2B">
      <w:pPr>
        <w:pStyle w:val="BodyText"/>
        <w:spacing w:before="77"/>
        <w:ind w:left="1099" w:right="1090"/>
      </w:pPr>
      <w:r>
        <w:t xml:space="preserve">We estimate that it will take 42 hours per </w:t>
      </w:r>
      <w:r>
        <w:rPr>
          <w:spacing w:val="-3"/>
        </w:rPr>
        <w:t xml:space="preserve">year </w:t>
      </w:r>
      <w:r>
        <w:t xml:space="preserve">for a QHP issuer </w:t>
      </w:r>
      <w:r>
        <w:rPr>
          <w:spacing w:val="-3"/>
        </w:rPr>
        <w:t xml:space="preserve">in an </w:t>
      </w:r>
      <w:r>
        <w:rPr>
          <w:spacing w:val="-5"/>
        </w:rPr>
        <w:t xml:space="preserve">FFE </w:t>
      </w:r>
      <w:r>
        <w:t xml:space="preserve">to meet this reporting requirement, which </w:t>
      </w:r>
      <w:r>
        <w:rPr>
          <w:spacing w:val="-4"/>
        </w:rPr>
        <w:t xml:space="preserve">will </w:t>
      </w:r>
      <w:r>
        <w:rPr>
          <w:spacing w:val="-5"/>
        </w:rPr>
        <w:t xml:space="preserve">occur annually. </w:t>
      </w:r>
      <w:r>
        <w:t>On average, we estimate that it will take an Information and Records Clerk 36 hours (at $39.12 an hour), and a Senior Manager 6 hours (at $118.70 an hour) to fulfill these requirements. The total estimated annual burden is 42 hours with an equivalent cost of approximately $2,121 per reporting entity. The aggregate annual burden for all issuers would be 2,772 hours with an equivalent cost of approximately $139,954.</w:t>
      </w:r>
    </w:p>
    <w:p w:rsidR="00B93A64" w:rsidRDefault="00B93A64">
      <w:pPr>
        <w:pStyle w:val="BodyText"/>
        <w:spacing w:before="7"/>
        <w:rPr>
          <w:sz w:val="27"/>
        </w:rPr>
      </w:pPr>
    </w:p>
    <w:p w:rsidR="00B93A64" w:rsidRDefault="005C2174">
      <w:pPr>
        <w:spacing w:before="1"/>
        <w:ind w:left="1100"/>
        <w:rPr>
          <w:b/>
          <w:i/>
          <w:sz w:val="21"/>
        </w:rPr>
      </w:pPr>
      <w:r>
        <w:rPr>
          <w:noProof/>
        </w:rPr>
        <mc:AlternateContent>
          <mc:Choice Requires="wpg">
            <w:drawing>
              <wp:anchor distT="0" distB="0" distL="114300" distR="114300" simplePos="0" relativeHeight="251656192" behindDoc="0" locked="0" layoutInCell="1" allowOverlap="1" wp14:anchorId="0496BE56" wp14:editId="2610A7F6">
                <wp:simplePos x="0" y="0"/>
                <wp:positionH relativeFrom="page">
                  <wp:posOffset>7633335</wp:posOffset>
                </wp:positionH>
                <wp:positionV relativeFrom="paragraph">
                  <wp:posOffset>153670</wp:posOffset>
                </wp:positionV>
                <wp:extent cx="12700" cy="6350"/>
                <wp:effectExtent l="3810" t="7620" r="2540" b="508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2021" y="242"/>
                          <a:chExt cx="20" cy="10"/>
                        </a:xfrm>
                      </wpg:grpSpPr>
                      <wps:wsp>
                        <wps:cNvPr id="10" name="Line 10"/>
                        <wps:cNvCnPr>
                          <a:cxnSpLocks noChangeShapeType="1"/>
                        </wps:cNvCnPr>
                        <wps:spPr bwMode="auto">
                          <a:xfrm>
                            <a:off x="12026" y="247"/>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2026" y="247"/>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272A8A" id="Group 8" o:spid="_x0000_s1026" style="position:absolute;margin-left:601.05pt;margin-top:12.1pt;width:1pt;height:.5pt;z-index:251656192;mso-position-horizontal-relative:page" coordorigin="12021,242"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HorQIAAEsIAAAOAAAAZHJzL2Uyb0RvYy54bWzsVstu2zAQvBfoPxC6O3pEcWwhclBYdi5p&#10;EyDpB9Ak9UAlkiAZy0bRf+/yYcdJUbRIgZ6Sg0Jqyd3ZmSHlq+vd0KMtU7oTvIzSsyRCjBNBO96U&#10;0dfH9WQWIW0wp7gXnJXRnunoevHxw9UoC5aJVvSUKQRJuC5GWUatMbKIY01aNmB9JiTjEKyFGrCB&#10;qWpiqvAI2Yc+zpJkGo9CUakEYVrD28oHo4XLX9eMmLu61sygvowAm3FP5Z4b+4wXV7hoFJZtRwIM&#10;/AYUA+44FD2mqrDB6El1v6QaOqKEFrU5I2KIRV13hLkeoJs0edXNjRJP0vXSFGMjjzQBta94enNa&#10;8mV7r1BHy2geIY4HkMhVRTNLzSibAlbcKPkg75XvD4a3gnzTEI5fx+288YvRZvwsKKTDT0Y4ana1&#10;GmwKaBrtnAL7owJsZxCBl2l2mYBMBCLT84sgD2lBQ7slzZIsjRAEszzz0pF2FbZmYV/qdsW48PUc&#10;xoDJNgQ2089M6n9j8qHFkjmBtOUpMAkIApW3HWfIA7KVYcmSex7JjgceERfLFvOGuWSPewmcpbY5&#10;QH6yxU40iPBHXi1J00DSpSfpyG6g6CVDuJBKmxsmBmQHZdQDaqcY3t5qY5E8L7ECcrHu+h7e46Ln&#10;aASpkvnUbdCi76gN2phWzWbZK7TF9uy5P9cWRE6X2ZoV1q1f50IeNZifU1elZZiuwtjgrvdjQNVz&#10;WwjaA5xh5E/d93kyX81Ws3ySZ9PVJE+qavJpvcwn03V6eVGdV8tllf6wmNO8aDtKGbewDzdAmv+d&#10;L8Jd5M/u8Q448hO/zO6IBLCH/w60U9kK6825EXR/rw7qg1X/l2fhXPnj7zw7txK88B8u3i17cPa7&#10;Zf1d9FvLuksXvljO6eHraj+Jp3MYn/4GWPwEAAD//wMAUEsDBBQABgAIAAAAIQChFqnX3wAAAAsB&#10;AAAPAAAAZHJzL2Rvd25yZXYueG1sTI/BasMwEETvhf6D2EJvjWw1KcG1HEJoewqFJoWSm2JtbBNr&#10;ZSzFdv6+m1N7nNnH7Ey+mlwrBuxD40lDOktAIJXeNlRp+N6/Py1BhGjImtYTarhigFVxf5ebzPqR&#10;vnDYxUpwCIXMaKhj7DIpQ1mjM2HmOyS+nXzvTGTZV9L2ZuRw10qVJC/SmYb4Q2063NRYnncXp+Fj&#10;NOP6OX0btufT5nrYLz5/tilq/fgwrV9BRJziHwy3+lwdCu509BeyQbSsVaJSZjWouQJxI1QyZ+fI&#10;zkKBLHL5f0PxCwAA//8DAFBLAQItABQABgAIAAAAIQC2gziS/gAAAOEBAAATAAAAAAAAAAAAAAAA&#10;AAAAAABbQ29udGVudF9UeXBlc10ueG1sUEsBAi0AFAAGAAgAAAAhADj9If/WAAAAlAEAAAsAAAAA&#10;AAAAAAAAAAAALwEAAF9yZWxzLy5yZWxzUEsBAi0AFAAGAAgAAAAhAI83QeitAgAASwgAAA4AAAAA&#10;AAAAAAAAAAAALgIAAGRycy9lMm9Eb2MueG1sUEsBAi0AFAAGAAgAAAAhAKEWqdffAAAACwEAAA8A&#10;AAAAAAAAAAAAAAAABwUAAGRycy9kb3ducmV2LnhtbFBLBQYAAAAABAAEAPMAAAATBgAAAAA=&#10;">
                <v:line id="Line 10" o:spid="_x0000_s1027" style="position:absolute;visibility:visible;mso-wrap-style:square" from="12026,247" to="12036,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9" o:spid="_x0000_s1028" style="position:absolute;visibility:visible;mso-wrap-style:square" from="12026,247" to="12036,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wrap anchorx="page"/>
              </v:group>
            </w:pict>
          </mc:Fallback>
        </mc:AlternateContent>
      </w:r>
      <w:r>
        <w:rPr>
          <w:noProof/>
        </w:rPr>
        <mc:AlternateContent>
          <mc:Choice Requires="wps">
            <w:drawing>
              <wp:anchor distT="0" distB="0" distL="114300" distR="114300" simplePos="0" relativeHeight="251657216" behindDoc="0" locked="0" layoutInCell="1" allowOverlap="1" wp14:anchorId="68083D1D" wp14:editId="1F1D7CF2">
                <wp:simplePos x="0" y="0"/>
                <wp:positionH relativeFrom="page">
                  <wp:posOffset>7636510</wp:posOffset>
                </wp:positionH>
                <wp:positionV relativeFrom="paragraph">
                  <wp:posOffset>981710</wp:posOffset>
                </wp:positionV>
                <wp:extent cx="6350" cy="0"/>
                <wp:effectExtent l="6985" t="6985" r="5715" b="1206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7839B2"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1.3pt,77.3pt" to="601.8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AXGgIAAD4EAAAOAAAAZHJzL2Uyb0RvYy54bWysU8GO2yAQvVfqPyDfE9tZbzax4qwqO+kl&#10;7Uba7QcQwDEqBgQkTlT13ztgO8q2l6qqD3hgZh5vZh6r50sr0JkZy5UsonSaRIhJoiiXxyL69rad&#10;LCJkHZYUCyVZEV2ZjZ7XHz+sOp2zmWqUoMwgAJE273QRNc7pPI4taViL7VRpJsFZK9NiB1tzjKnB&#10;HaC3Ip4lyTzulKHaKMKshdOqd0brgF/XjLiXurbMIVFEwM2F1YT14Nd4vcL50WDdcDLQwP/AosVc&#10;wqU3qAo7jE6G/wHVcmKUVbWbEtXGqq45YaEGqCZNfqvmtcGahVqgOVbf2mT/Hyz5et4bxGkRwaAk&#10;bmFEOy4ZevKd6bTNIaCUe+NrIxf5qneKfLdIqrLB8sgCw7erhrTUZ8TvUvzGasA/dF8UhRh8ciq0&#10;6VKb1kNCA9AlTON6mwa7OETgcP7wCBMjoyPG+ZiljXWfmWqRN4pIAOGAis876zwLnI8h/hKptlyI&#10;MGkhUQfIyXIeEqwSnHqnD7PmeCiFQWfstRK+UBJ47sM8coVt08cFV68io06ShlsahulmsB3moreB&#10;lZD+IigQeA5Wr5Ify2S5WWwW2SSbzTeTLKmqyadtmU3m2/TpsXqoyrJKf3rOaZY3nFImPe1RsWn2&#10;d4oY3k6vtZtmb/2J36OHRgLZ8R9Ihwn7ofbyOCh63Ztx8iDSEDw8KP8K7vdg3z/79S8AAAD//wMA&#10;UEsDBBQABgAIAAAAIQDzhnXL3gAAAA0BAAAPAAAAZHJzL2Rvd25yZXYueG1sTI9BS8NAEIXvgv9h&#10;GcGb3TVqjTGbIopCD0Vsi+dtdkxisrMhu23Sf+8UBL29N/N4802+mFwnDjiExpOG65kCgVR621Cl&#10;Ybt5vUpBhGjIms4TajhigEVxfpabzPqRPvCwjpXgEgqZ0VDH2GdShrJGZ8LM90i8+/KDM5HtUEk7&#10;mJHLXScTpebSmYb4Qm16fK6xbNd7p2GVyhf/3n6Wx+9x85amy/bhfrnV+vJienoEEXGKf2E44TM6&#10;FMy083uyQXTsE5XMOcvq7pbFKZKoG1a735Escvn/i+IHAAD//wMAUEsBAi0AFAAGAAgAAAAhALaD&#10;OJL+AAAA4QEAABMAAAAAAAAAAAAAAAAAAAAAAFtDb250ZW50X1R5cGVzXS54bWxQSwECLQAUAAYA&#10;CAAAACEAOP0h/9YAAACUAQAACwAAAAAAAAAAAAAAAAAvAQAAX3JlbHMvLnJlbHNQSwECLQAUAAYA&#10;CAAAACEAhSYAFxoCAAA+BAAADgAAAAAAAAAAAAAAAAAuAgAAZHJzL2Uyb0RvYy54bWxQSwECLQAU&#10;AAYACAAAACEA84Z1y94AAAANAQAADwAAAAAAAAAAAAAAAAB0BAAAZHJzL2Rvd25yZXYueG1sUEsF&#10;BgAAAAAEAAQA8wAAAH8FAAAAAA==&#10;" strokeweight=".48pt">
                <w10:wrap anchorx="page"/>
              </v:line>
            </w:pict>
          </mc:Fallback>
        </mc:AlternateContent>
      </w:r>
      <w:r w:rsidR="006D7E2B">
        <w:rPr>
          <w:b/>
          <w:i/>
          <w:color w:val="272727"/>
          <w:sz w:val="21"/>
        </w:rPr>
        <w:t xml:space="preserve">TABLE </w:t>
      </w:r>
      <w:r w:rsidR="006D7E2B">
        <w:rPr>
          <w:b/>
          <w:i/>
          <w:sz w:val="21"/>
        </w:rPr>
        <w:t>1: Estimated Annualized Burden for Notices of Change for All Health Plans</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029"/>
        <w:gridCol w:w="1436"/>
        <w:gridCol w:w="1315"/>
        <w:gridCol w:w="1114"/>
        <w:gridCol w:w="1152"/>
        <w:gridCol w:w="1436"/>
        <w:gridCol w:w="1518"/>
      </w:tblGrid>
      <w:tr w:rsidR="00B93A64">
        <w:trPr>
          <w:trHeight w:hRule="exact" w:val="1298"/>
        </w:trPr>
        <w:tc>
          <w:tcPr>
            <w:tcW w:w="1435" w:type="dxa"/>
          </w:tcPr>
          <w:p w:rsidR="00B93A64" w:rsidRDefault="006D7E2B">
            <w:pPr>
              <w:pStyle w:val="TableParagraph"/>
              <w:spacing w:line="183" w:lineRule="exact"/>
              <w:ind w:left="202"/>
              <w:rPr>
                <w:b/>
                <w:sz w:val="16"/>
              </w:rPr>
            </w:pPr>
            <w:r>
              <w:rPr>
                <w:b/>
                <w:sz w:val="16"/>
              </w:rPr>
              <w:t>Respondent</w:t>
            </w:r>
          </w:p>
        </w:tc>
        <w:tc>
          <w:tcPr>
            <w:tcW w:w="1029" w:type="dxa"/>
          </w:tcPr>
          <w:p w:rsidR="00B93A64" w:rsidRDefault="006D7E2B">
            <w:pPr>
              <w:pStyle w:val="TableParagraph"/>
              <w:ind w:left="202" w:right="277"/>
              <w:rPr>
                <w:b/>
                <w:sz w:val="16"/>
              </w:rPr>
            </w:pPr>
            <w:r>
              <w:rPr>
                <w:b/>
                <w:sz w:val="16"/>
              </w:rPr>
              <w:t>Type of notice</w:t>
            </w:r>
          </w:p>
        </w:tc>
        <w:tc>
          <w:tcPr>
            <w:tcW w:w="1436" w:type="dxa"/>
          </w:tcPr>
          <w:p w:rsidR="00B93A64" w:rsidRDefault="006D7E2B">
            <w:pPr>
              <w:pStyle w:val="TableParagraph"/>
              <w:ind w:left="201" w:right="379"/>
              <w:rPr>
                <w:b/>
                <w:sz w:val="16"/>
              </w:rPr>
            </w:pPr>
            <w:r>
              <w:rPr>
                <w:b/>
                <w:sz w:val="16"/>
              </w:rPr>
              <w:t>Number of respondents</w:t>
            </w:r>
          </w:p>
        </w:tc>
        <w:tc>
          <w:tcPr>
            <w:tcW w:w="1315" w:type="dxa"/>
          </w:tcPr>
          <w:p w:rsidR="00B93A64" w:rsidRDefault="006D7E2B">
            <w:pPr>
              <w:pStyle w:val="TableParagraph"/>
              <w:ind w:left="202" w:right="337"/>
              <w:jc w:val="both"/>
              <w:rPr>
                <w:b/>
                <w:sz w:val="16"/>
              </w:rPr>
            </w:pPr>
            <w:r>
              <w:rPr>
                <w:b/>
                <w:sz w:val="16"/>
              </w:rPr>
              <w:t>Number of notices per respondent</w:t>
            </w:r>
          </w:p>
        </w:tc>
        <w:tc>
          <w:tcPr>
            <w:tcW w:w="1114" w:type="dxa"/>
          </w:tcPr>
          <w:p w:rsidR="00B93A64" w:rsidRDefault="006D7E2B">
            <w:pPr>
              <w:pStyle w:val="TableParagraph"/>
              <w:ind w:left="202" w:right="366"/>
              <w:rPr>
                <w:b/>
                <w:sz w:val="16"/>
              </w:rPr>
            </w:pPr>
            <w:r>
              <w:rPr>
                <w:b/>
                <w:sz w:val="16"/>
              </w:rPr>
              <w:t xml:space="preserve">Burden per notice </w:t>
            </w:r>
            <w:r>
              <w:rPr>
                <w:b/>
                <w:w w:val="95"/>
                <w:sz w:val="16"/>
              </w:rPr>
              <w:t>(Hours)</w:t>
            </w:r>
          </w:p>
        </w:tc>
        <w:tc>
          <w:tcPr>
            <w:tcW w:w="1152" w:type="dxa"/>
          </w:tcPr>
          <w:p w:rsidR="00B93A64" w:rsidRDefault="006D7E2B">
            <w:pPr>
              <w:pStyle w:val="TableParagraph"/>
              <w:ind w:left="202" w:right="338"/>
              <w:rPr>
                <w:b/>
                <w:sz w:val="16"/>
              </w:rPr>
            </w:pPr>
            <w:r>
              <w:rPr>
                <w:b/>
                <w:sz w:val="16"/>
              </w:rPr>
              <w:t>Cost per notice</w:t>
            </w:r>
          </w:p>
        </w:tc>
        <w:tc>
          <w:tcPr>
            <w:tcW w:w="1436" w:type="dxa"/>
          </w:tcPr>
          <w:p w:rsidR="00B93A64" w:rsidRDefault="006D7E2B">
            <w:pPr>
              <w:pStyle w:val="TableParagraph"/>
              <w:ind w:left="201" w:right="303"/>
              <w:rPr>
                <w:b/>
                <w:sz w:val="16"/>
              </w:rPr>
            </w:pPr>
            <w:r>
              <w:rPr>
                <w:b/>
                <w:sz w:val="16"/>
              </w:rPr>
              <w:t>Total burden for all respondents</w:t>
            </w:r>
          </w:p>
        </w:tc>
        <w:tc>
          <w:tcPr>
            <w:tcW w:w="1518" w:type="dxa"/>
          </w:tcPr>
          <w:p w:rsidR="00B93A64" w:rsidRDefault="006D7E2B">
            <w:pPr>
              <w:pStyle w:val="TableParagraph"/>
              <w:ind w:left="202" w:right="455"/>
              <w:rPr>
                <w:b/>
                <w:sz w:val="16"/>
              </w:rPr>
            </w:pPr>
            <w:r>
              <w:rPr>
                <w:b/>
                <w:sz w:val="16"/>
              </w:rPr>
              <w:t>Total Labor Cost for all respondents</w:t>
            </w:r>
          </w:p>
        </w:tc>
      </w:tr>
      <w:tr w:rsidR="00B93A64">
        <w:trPr>
          <w:trHeight w:hRule="exact" w:val="1388"/>
        </w:trPr>
        <w:tc>
          <w:tcPr>
            <w:tcW w:w="1435" w:type="dxa"/>
          </w:tcPr>
          <w:p w:rsidR="00B93A64" w:rsidRDefault="006D7E2B">
            <w:pPr>
              <w:pStyle w:val="TableParagraph"/>
              <w:spacing w:before="34" w:line="285" w:lineRule="auto"/>
              <w:ind w:left="202" w:right="426"/>
              <w:rPr>
                <w:sz w:val="20"/>
              </w:rPr>
            </w:pPr>
            <w:r>
              <w:rPr>
                <w:sz w:val="20"/>
              </w:rPr>
              <w:t>Health Insurance Issuer</w:t>
            </w:r>
          </w:p>
        </w:tc>
        <w:tc>
          <w:tcPr>
            <w:tcW w:w="1029" w:type="dxa"/>
          </w:tcPr>
          <w:p w:rsidR="00B93A64" w:rsidRDefault="006D7E2B">
            <w:pPr>
              <w:pStyle w:val="TableParagraph"/>
              <w:ind w:left="103" w:right="94"/>
              <w:rPr>
                <w:sz w:val="16"/>
              </w:rPr>
            </w:pPr>
            <w:r>
              <w:rPr>
                <w:sz w:val="16"/>
              </w:rPr>
              <w:t>Notice of Change: Removal of a brand drug from the formulary</w:t>
            </w:r>
          </w:p>
        </w:tc>
        <w:tc>
          <w:tcPr>
            <w:tcW w:w="1436" w:type="dxa"/>
          </w:tcPr>
          <w:p w:rsidR="00B93A64" w:rsidRDefault="006D7E2B">
            <w:pPr>
              <w:pStyle w:val="TableParagraph"/>
              <w:spacing w:before="34"/>
              <w:ind w:left="201"/>
              <w:rPr>
                <w:sz w:val="20"/>
              </w:rPr>
            </w:pPr>
            <w:r>
              <w:rPr>
                <w:sz w:val="20"/>
              </w:rPr>
              <w:t>520</w:t>
            </w:r>
          </w:p>
        </w:tc>
        <w:tc>
          <w:tcPr>
            <w:tcW w:w="1315" w:type="dxa"/>
          </w:tcPr>
          <w:p w:rsidR="00B93A64" w:rsidRDefault="006D7E2B">
            <w:pPr>
              <w:pStyle w:val="TableParagraph"/>
              <w:spacing w:before="34"/>
              <w:ind w:right="400"/>
              <w:jc w:val="right"/>
              <w:rPr>
                <w:sz w:val="20"/>
              </w:rPr>
            </w:pPr>
            <w:r>
              <w:rPr>
                <w:sz w:val="20"/>
              </w:rPr>
              <w:t>1</w:t>
            </w:r>
          </w:p>
        </w:tc>
        <w:tc>
          <w:tcPr>
            <w:tcW w:w="1114" w:type="dxa"/>
          </w:tcPr>
          <w:p w:rsidR="00B93A64" w:rsidRDefault="006D7E2B">
            <w:pPr>
              <w:pStyle w:val="TableParagraph"/>
              <w:spacing w:before="34"/>
              <w:ind w:right="399"/>
              <w:jc w:val="right"/>
              <w:rPr>
                <w:sz w:val="20"/>
              </w:rPr>
            </w:pPr>
            <w:r>
              <w:rPr>
                <w:sz w:val="20"/>
              </w:rPr>
              <w:t>22</w:t>
            </w:r>
          </w:p>
        </w:tc>
        <w:tc>
          <w:tcPr>
            <w:tcW w:w="1152" w:type="dxa"/>
          </w:tcPr>
          <w:p w:rsidR="00B93A64" w:rsidRDefault="006D7E2B">
            <w:pPr>
              <w:pStyle w:val="TableParagraph"/>
              <w:spacing w:before="38"/>
              <w:ind w:left="179" w:right="172"/>
              <w:jc w:val="center"/>
              <w:rPr>
                <w:sz w:val="20"/>
              </w:rPr>
            </w:pPr>
            <w:r>
              <w:rPr>
                <w:sz w:val="20"/>
              </w:rPr>
              <w:t>$1470.20</w:t>
            </w:r>
          </w:p>
        </w:tc>
        <w:tc>
          <w:tcPr>
            <w:tcW w:w="1436" w:type="dxa"/>
          </w:tcPr>
          <w:p w:rsidR="00B93A64" w:rsidRDefault="00C91807">
            <w:pPr>
              <w:pStyle w:val="TableParagraph"/>
              <w:spacing w:before="34"/>
              <w:ind w:left="201"/>
              <w:rPr>
                <w:sz w:val="20"/>
              </w:rPr>
            </w:pPr>
            <w:r>
              <w:rPr>
                <w:sz w:val="20"/>
              </w:rPr>
              <w:t>11,440</w:t>
            </w:r>
          </w:p>
        </w:tc>
        <w:tc>
          <w:tcPr>
            <w:tcW w:w="1518" w:type="dxa"/>
          </w:tcPr>
          <w:p w:rsidR="00B93A64" w:rsidRDefault="006D7E2B">
            <w:pPr>
              <w:pStyle w:val="TableParagraph"/>
              <w:spacing w:before="34"/>
              <w:ind w:left="202"/>
              <w:rPr>
                <w:sz w:val="20"/>
              </w:rPr>
            </w:pPr>
            <w:r>
              <w:rPr>
                <w:sz w:val="20"/>
              </w:rPr>
              <w:t>$764,504.00</w:t>
            </w:r>
          </w:p>
        </w:tc>
      </w:tr>
      <w:tr w:rsidR="00B93A64">
        <w:trPr>
          <w:trHeight w:hRule="exact" w:val="1573"/>
        </w:trPr>
        <w:tc>
          <w:tcPr>
            <w:tcW w:w="1435" w:type="dxa"/>
          </w:tcPr>
          <w:p w:rsidR="00B93A64" w:rsidRDefault="006D7E2B">
            <w:pPr>
              <w:pStyle w:val="TableParagraph"/>
              <w:spacing w:before="34" w:line="288" w:lineRule="auto"/>
              <w:ind w:left="202" w:right="426"/>
              <w:rPr>
                <w:sz w:val="20"/>
              </w:rPr>
            </w:pPr>
            <w:r>
              <w:rPr>
                <w:sz w:val="20"/>
              </w:rPr>
              <w:t>Health Insurance Issuer</w:t>
            </w:r>
          </w:p>
        </w:tc>
        <w:tc>
          <w:tcPr>
            <w:tcW w:w="1029" w:type="dxa"/>
          </w:tcPr>
          <w:p w:rsidR="00B93A64" w:rsidRDefault="006D7E2B">
            <w:pPr>
              <w:pStyle w:val="TableParagraph"/>
              <w:ind w:left="103" w:right="172"/>
              <w:rPr>
                <w:sz w:val="16"/>
              </w:rPr>
            </w:pPr>
            <w:r>
              <w:rPr>
                <w:sz w:val="16"/>
              </w:rPr>
              <w:t>Notice of Change: Change to Cost- sharing tier for a brand drug</w:t>
            </w:r>
          </w:p>
        </w:tc>
        <w:tc>
          <w:tcPr>
            <w:tcW w:w="1436" w:type="dxa"/>
          </w:tcPr>
          <w:p w:rsidR="00B93A64" w:rsidRDefault="006D7E2B">
            <w:pPr>
              <w:pStyle w:val="TableParagraph"/>
              <w:spacing w:before="34"/>
              <w:ind w:left="201"/>
              <w:rPr>
                <w:sz w:val="20"/>
              </w:rPr>
            </w:pPr>
            <w:r>
              <w:rPr>
                <w:sz w:val="20"/>
              </w:rPr>
              <w:t>520</w:t>
            </w:r>
          </w:p>
        </w:tc>
        <w:tc>
          <w:tcPr>
            <w:tcW w:w="1315" w:type="dxa"/>
          </w:tcPr>
          <w:p w:rsidR="00B93A64" w:rsidRDefault="006D7E2B">
            <w:pPr>
              <w:pStyle w:val="TableParagraph"/>
              <w:spacing w:before="34"/>
              <w:ind w:right="400"/>
              <w:jc w:val="right"/>
              <w:rPr>
                <w:sz w:val="20"/>
              </w:rPr>
            </w:pPr>
            <w:r>
              <w:rPr>
                <w:sz w:val="20"/>
              </w:rPr>
              <w:t>1</w:t>
            </w:r>
          </w:p>
        </w:tc>
        <w:tc>
          <w:tcPr>
            <w:tcW w:w="1114" w:type="dxa"/>
          </w:tcPr>
          <w:p w:rsidR="00B93A64" w:rsidRDefault="006D7E2B">
            <w:pPr>
              <w:pStyle w:val="TableParagraph"/>
              <w:spacing w:before="34"/>
              <w:ind w:right="411"/>
              <w:jc w:val="right"/>
              <w:rPr>
                <w:sz w:val="20"/>
              </w:rPr>
            </w:pPr>
            <w:r>
              <w:rPr>
                <w:sz w:val="20"/>
              </w:rPr>
              <w:t>18</w:t>
            </w:r>
          </w:p>
        </w:tc>
        <w:tc>
          <w:tcPr>
            <w:tcW w:w="1152" w:type="dxa"/>
          </w:tcPr>
          <w:p w:rsidR="00B93A64" w:rsidRDefault="006D7E2B">
            <w:pPr>
              <w:pStyle w:val="TableParagraph"/>
              <w:spacing w:before="36"/>
              <w:ind w:left="179" w:right="172"/>
              <w:jc w:val="center"/>
              <w:rPr>
                <w:sz w:val="20"/>
              </w:rPr>
            </w:pPr>
            <w:r>
              <w:rPr>
                <w:sz w:val="20"/>
              </w:rPr>
              <w:t>$1313.72</w:t>
            </w:r>
          </w:p>
        </w:tc>
        <w:tc>
          <w:tcPr>
            <w:tcW w:w="1436" w:type="dxa"/>
          </w:tcPr>
          <w:p w:rsidR="00B93A64" w:rsidRDefault="006D7E2B">
            <w:pPr>
              <w:pStyle w:val="TableParagraph"/>
              <w:spacing w:before="34"/>
              <w:ind w:left="201"/>
              <w:rPr>
                <w:sz w:val="20"/>
              </w:rPr>
            </w:pPr>
            <w:r>
              <w:rPr>
                <w:sz w:val="20"/>
              </w:rPr>
              <w:t>9,360</w:t>
            </w:r>
          </w:p>
        </w:tc>
        <w:tc>
          <w:tcPr>
            <w:tcW w:w="1518" w:type="dxa"/>
          </w:tcPr>
          <w:p w:rsidR="00B93A64" w:rsidRDefault="006D7E2B">
            <w:pPr>
              <w:pStyle w:val="TableParagraph"/>
              <w:spacing w:before="34"/>
              <w:ind w:left="202"/>
              <w:rPr>
                <w:sz w:val="20"/>
              </w:rPr>
            </w:pPr>
            <w:r>
              <w:rPr>
                <w:sz w:val="20"/>
              </w:rPr>
              <w:t>$683,134.40</w:t>
            </w:r>
          </w:p>
        </w:tc>
      </w:tr>
      <w:tr w:rsidR="00B93A64">
        <w:trPr>
          <w:trHeight w:hRule="exact" w:val="286"/>
        </w:trPr>
        <w:tc>
          <w:tcPr>
            <w:tcW w:w="1435" w:type="dxa"/>
          </w:tcPr>
          <w:p w:rsidR="00B93A64" w:rsidRDefault="006D7E2B">
            <w:pPr>
              <w:pStyle w:val="TableParagraph"/>
              <w:spacing w:before="34"/>
              <w:ind w:left="202"/>
              <w:rPr>
                <w:sz w:val="20"/>
              </w:rPr>
            </w:pPr>
            <w:r>
              <w:rPr>
                <w:sz w:val="20"/>
              </w:rPr>
              <w:t>Total</w:t>
            </w:r>
          </w:p>
        </w:tc>
        <w:tc>
          <w:tcPr>
            <w:tcW w:w="1029" w:type="dxa"/>
          </w:tcPr>
          <w:p w:rsidR="00B93A64" w:rsidRDefault="00B93A64"/>
        </w:tc>
        <w:tc>
          <w:tcPr>
            <w:tcW w:w="1436" w:type="dxa"/>
          </w:tcPr>
          <w:p w:rsidR="00B93A64" w:rsidRDefault="006D7E2B">
            <w:pPr>
              <w:pStyle w:val="TableParagraph"/>
              <w:spacing w:before="34"/>
              <w:ind w:left="201"/>
              <w:rPr>
                <w:sz w:val="20"/>
              </w:rPr>
            </w:pPr>
            <w:r>
              <w:rPr>
                <w:sz w:val="20"/>
              </w:rPr>
              <w:t>520</w:t>
            </w:r>
          </w:p>
        </w:tc>
        <w:tc>
          <w:tcPr>
            <w:tcW w:w="1315" w:type="dxa"/>
          </w:tcPr>
          <w:p w:rsidR="00B93A64" w:rsidRDefault="00B93A64"/>
        </w:tc>
        <w:tc>
          <w:tcPr>
            <w:tcW w:w="1114" w:type="dxa"/>
          </w:tcPr>
          <w:p w:rsidR="00B93A64" w:rsidRDefault="00B93A64"/>
        </w:tc>
        <w:tc>
          <w:tcPr>
            <w:tcW w:w="1152" w:type="dxa"/>
          </w:tcPr>
          <w:p w:rsidR="00B93A64" w:rsidRDefault="00B93A64"/>
        </w:tc>
        <w:tc>
          <w:tcPr>
            <w:tcW w:w="1436" w:type="dxa"/>
          </w:tcPr>
          <w:p w:rsidR="00B93A64" w:rsidRDefault="00C91807">
            <w:pPr>
              <w:pStyle w:val="TableParagraph"/>
              <w:spacing w:before="34"/>
              <w:ind w:left="201"/>
              <w:rPr>
                <w:sz w:val="20"/>
              </w:rPr>
            </w:pPr>
            <w:r>
              <w:rPr>
                <w:sz w:val="20"/>
              </w:rPr>
              <w:t>20,800</w:t>
            </w:r>
          </w:p>
        </w:tc>
        <w:tc>
          <w:tcPr>
            <w:tcW w:w="1518" w:type="dxa"/>
          </w:tcPr>
          <w:p w:rsidR="00B93A64" w:rsidRDefault="006D7E2B">
            <w:pPr>
              <w:pStyle w:val="TableParagraph"/>
              <w:spacing w:before="71"/>
              <w:ind w:left="202"/>
              <w:rPr>
                <w:sz w:val="16"/>
              </w:rPr>
            </w:pPr>
            <w:r>
              <w:rPr>
                <w:sz w:val="16"/>
              </w:rPr>
              <w:t>$1,447,638.40</w:t>
            </w:r>
          </w:p>
        </w:tc>
      </w:tr>
    </w:tbl>
    <w:p w:rsidR="00B93A64" w:rsidRDefault="005C2174">
      <w:pPr>
        <w:pStyle w:val="BodyText"/>
        <w:spacing w:line="20" w:lineRule="exact"/>
        <w:ind w:left="11801"/>
        <w:rPr>
          <w:sz w:val="2"/>
        </w:rPr>
      </w:pPr>
      <w:r>
        <w:rPr>
          <w:noProof/>
          <w:sz w:val="2"/>
        </w:rPr>
        <mc:AlternateContent>
          <mc:Choice Requires="wpg">
            <w:drawing>
              <wp:inline distT="0" distB="0" distL="0" distR="0" wp14:anchorId="494F099C" wp14:editId="78307A43">
                <wp:extent cx="12700" cy="6350"/>
                <wp:effectExtent l="7620" t="1905" r="8255" b="10795"/>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0" y="0"/>
                          <a:chExt cx="20" cy="10"/>
                        </a:xfrm>
                      </wpg:grpSpPr>
                      <wps:wsp>
                        <wps:cNvPr id="6" name="Line 6"/>
                        <wps:cNvCnPr>
                          <a:cxnSpLocks noChangeShapeType="1"/>
                        </wps:cNvCnPr>
                        <wps:spPr bwMode="auto">
                          <a:xfrm>
                            <a:off x="5"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5"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89031D" id="Group 4" o:spid="_x0000_s1026" style="width:1pt;height:.5pt;mso-position-horizontal-relative:char;mso-position-vertical-relative:line"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6lmQIAADYIAAAOAAAAZHJzL2Uyb0RvYy54bWzsVdFu2yAUfZ+0f0B+T22njttadaopTvrS&#10;bZXafQDB2EbDgIDGiab9+y7gpEkrbVMn7al5cMD3cjn3nIO5vtn2HG2oNkyKMkrPkghRQWTNRFtG&#10;3x5Xk8sIGYtFjbkUtIx21EQ3848frgdV0KnsJK+pRlBEmGJQZdRZq4o4NqSjPTZnUlEBwUbqHluY&#10;6jauNR6ges/jaZLk8SB1rbQk1Bh4W4VgNPf1m4YS+7VpDLWIlxFgs/6p/XPtnvH8GhetxqpjZISB&#10;34Cix0zApodSFbYYPWn2qlTPiJZGNvaMyD6WTcMI9T1AN2nyoptbLZ+U76UthlYdaAJqX/D05rLk&#10;y+ZeI1aX0SxCAvcgkd8VZY6aQbUFZNxq9aDudegPhneSfDcQjl/G3bwNyWg9fJY1lMNPVnpqto3u&#10;XQloGm29AruDAnRrEYGX6fQiAZkIRPLz2SgP6UDDV0tItxwXTccVqc+PcRF28uhGNK4VMJh55tD8&#10;G4cPHVbUS2McQyOH+Z7DOyYoygOFPmEhAn9kK0b+kJCLDouW+lKPOwVcpW4F4D5a4iYGyP8jn6Af&#10;sDYLjj7wOVJzygwulDb2lsoeuUEZcYDrNcKbO2MdhucUJ5mQK8Y5vMcFF2gAcZKr3C8wkrPaBV3M&#10;6Ha94BptsDtt/ucbgshxmtuzwqYLeT4UUIPdRe136Siul+PYYsbDGFBx4TaC9gDnOArn7MdVcrW8&#10;XF5mk2yaLydZUlWTT6tFNslX6cWsOq8Wiyr96TCnWdGxuqbCwd6f+TT7Oz+MX59wWg+n/sBPfFrd&#10;Ewlg9/8etNfXSRpMuZb17l7vdQeL/ievXpx41fvmxHi4ePdqOAXvXv2NV/1XFi4nb/HxInW33/Ec&#10;xsfX/fwXAAAA//8DAFBLAwQUAAYACAAAACEAN1CAJdgAAAABAQAADwAAAGRycy9kb3ducmV2Lnht&#10;bEyPQUvDQBCF74L/YZmCN7tJRZE0m1KKeiqCrSDeptlpEpqdDdltkv57Ry/2MvB4jzffy1eTa9VA&#10;fWg8G0jnCSji0tuGKwOf+9f7Z1AhIltsPZOBCwVYFbc3OWbWj/xBwy5WSko4ZGigjrHLtA5lTQ7D&#10;3HfE4h197zCK7Cttexyl3LV6kSRP2mHD8qHGjjY1lafd2Rl4G3FcP6Qvw/Z03Fy+94/vX9uUjLmb&#10;TeslqEhT/A/DL76gQyFMB39mG1RrQIbEvyveQsRBIgnoItfX5MUPAAAA//8DAFBLAQItABQABgAI&#10;AAAAIQC2gziS/gAAAOEBAAATAAAAAAAAAAAAAAAAAAAAAABbQ29udGVudF9UeXBlc10ueG1sUEsB&#10;Ai0AFAAGAAgAAAAhADj9If/WAAAAlAEAAAsAAAAAAAAAAAAAAAAALwEAAF9yZWxzLy5yZWxzUEsB&#10;Ai0AFAAGAAgAAAAhAGpNrqWZAgAANggAAA4AAAAAAAAAAAAAAAAALgIAAGRycy9lMm9Eb2MueG1s&#10;UEsBAi0AFAAGAAgAAAAhADdQgCXYAAAAAQEAAA8AAAAAAAAAAAAAAAAA8wQAAGRycy9kb3ducmV2&#10;LnhtbFBLBQYAAAAABAAEAPMAAAD4BQAAAAA=&#10;">
                <v:line id="Line 6" o:spid="_x0000_s1027" style="position:absolute;visibility:visible;mso-wrap-style:square" from="5,5" to="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5" o:spid="_x0000_s1028" style="position:absolute;visibility:visible;mso-wrap-style:square" from="5,5" to="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anchorlock/>
              </v:group>
            </w:pict>
          </mc:Fallback>
        </mc:AlternateContent>
      </w:r>
    </w:p>
    <w:p w:rsidR="00B93A64" w:rsidRDefault="00B93A64">
      <w:pPr>
        <w:pStyle w:val="BodyText"/>
        <w:spacing w:before="7"/>
        <w:rPr>
          <w:b/>
          <w:i/>
          <w:sz w:val="25"/>
        </w:rPr>
      </w:pPr>
    </w:p>
    <w:p w:rsidR="00B93A64" w:rsidRDefault="005C2174">
      <w:pPr>
        <w:spacing w:before="1" w:after="21"/>
        <w:ind w:left="1575"/>
        <w:rPr>
          <w:b/>
          <w:i/>
          <w:sz w:val="20"/>
        </w:rPr>
      </w:pPr>
      <w:r>
        <w:rPr>
          <w:noProof/>
        </w:rPr>
        <mc:AlternateContent>
          <mc:Choice Requires="wps">
            <w:drawing>
              <wp:anchor distT="0" distB="0" distL="114300" distR="114300" simplePos="0" relativeHeight="251658240" behindDoc="0" locked="0" layoutInCell="1" allowOverlap="1" wp14:anchorId="76CF5F50" wp14:editId="0C886D63">
                <wp:simplePos x="0" y="0"/>
                <wp:positionH relativeFrom="page">
                  <wp:posOffset>7636510</wp:posOffset>
                </wp:positionH>
                <wp:positionV relativeFrom="paragraph">
                  <wp:posOffset>-1383030</wp:posOffset>
                </wp:positionV>
                <wp:extent cx="6350" cy="0"/>
                <wp:effectExtent l="6985" t="12065" r="5715" b="698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1B3DB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1.3pt,-108.9pt" to="601.8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dGQIAAD4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0dKYzroCAtdrbUBu9qBez0/S7Q0qvG6KOPDJ8vRpIy0JG8iYlbJwB/EP3WTOIISevY5su&#10;tW0DJDQAXeI0rvdp8ItHFA5n0yeYGB0cCSmGLGOd/8R1i4JRYgmEIyo575wPLEgxhIRLlN4KKeOk&#10;pUIdIKeLWUxwWgoWnCHM2eNhLS06k6CV+MWSwPMYFpAr4po+Lrp6FVl9Uize0nDCNjfbEyF7G1hJ&#10;FS6CAoHnzepV8mORLjbzzTwf5ZPZZpSnVTX6uF3no9k2+/BUTav1usp+Bs5ZXjSCMa4C7UGxWf53&#10;iri9nV5rd83e+5O8RY+NBLLDP5KOEw5D7eVx0Oy6t8PkQaQx+Pagwit43IP9+OxXvwAAAP//AwBQ&#10;SwMEFAAGAAgAAAAhAK2HPkngAAAADwEAAA8AAABkcnMvZG93bnJldi54bWxMj8FOwzAQRO9I/IO1&#10;SNxau0FqQ4hTIRBIPSBEW3F24yUJiddR7Dbp37M9IDjO7NPsTL6eXCdOOITGk4bFXIFAKr1tqNKw&#10;373MUhAhGrKm84QazhhgXVxf5SazfqQPPG1jJTiEQmY01DH2mZShrNGZMPc9Et++/OBMZDlU0g5m&#10;5HDXyUSppXSmIf5Qmx6faizb7dFpeEvls39vP8vz97h7TdNNe7/a7LW+vZkeH0BEnOIfDJf6XB0K&#10;7nTwR7JBdKwTlSyZ1TBLFitecWESdcfe4deTRS7/7yh+AAAA//8DAFBLAQItABQABgAIAAAAIQC2&#10;gziS/gAAAOEBAAATAAAAAAAAAAAAAAAAAAAAAABbQ29udGVudF9UeXBlc10ueG1sUEsBAi0AFAAG&#10;AAgAAAAhADj9If/WAAAAlAEAAAsAAAAAAAAAAAAAAAAALwEAAF9yZWxzLy5yZWxzUEsBAi0AFAAG&#10;AAgAAAAhAL9Oux0ZAgAAPgQAAA4AAAAAAAAAAAAAAAAALgIAAGRycy9lMm9Eb2MueG1sUEsBAi0A&#10;FAAGAAgAAAAhAK2HPkngAAAADwEAAA8AAAAAAAAAAAAAAAAAcwQAAGRycy9kb3ducmV2LnhtbFBL&#10;BQYAAAAABAAEAPMAAACABQAAAAA=&#10;" strokeweight=".48pt">
                <w10:wrap anchorx="page"/>
              </v:line>
            </w:pict>
          </mc:Fallback>
        </mc:AlternateContent>
      </w:r>
      <w:r>
        <w:rPr>
          <w:noProof/>
        </w:rPr>
        <mc:AlternateContent>
          <mc:Choice Requires="wps">
            <w:drawing>
              <wp:anchor distT="0" distB="0" distL="114300" distR="114300" simplePos="0" relativeHeight="251659264" behindDoc="0" locked="0" layoutInCell="1" allowOverlap="1" wp14:anchorId="68D9230A" wp14:editId="6D2219B0">
                <wp:simplePos x="0" y="0"/>
                <wp:positionH relativeFrom="page">
                  <wp:posOffset>7636510</wp:posOffset>
                </wp:positionH>
                <wp:positionV relativeFrom="paragraph">
                  <wp:posOffset>-384175</wp:posOffset>
                </wp:positionV>
                <wp:extent cx="6350" cy="0"/>
                <wp:effectExtent l="6985" t="10795" r="5715"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7E8305"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1.3pt,-30.25pt" to="601.8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lwUGQIAAD4EAAAOAAAAZHJzL2Uyb0RvYy54bWysU8GO2jAQvVfqP1i+QxJgKU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FSJEW&#10;RrQTiqNJ6ExnXA4BpdrbUBu9qBez0/S7Q0qXDVFHHhm+Xg2kZSEjeZMSNs4A/qH7rBnEkJPXsU2X&#10;2rYBEhqALnEa1/s0+MUjCofz6RNMjA6OhORDlrHOf+K6RcEosATCEZWcd84HFiQfQsIlSm+FlHHS&#10;UqEOkNPlPCY4LQULzhDm7PFQSovOJGglfrEk8DyGBeSKuKaPi65eRVafFIu3NJywzc32RMjeBlZS&#10;hYugQOB5s3qV/Fimy81is5iNZpP5ZjRLq2r0cVvORvNt9uGpmlZlWWU/A+dsljeCMa4C7UGx2ezv&#10;FHF7O73W7pq99yd5ix4bCWSHfyQdJxyG2svjoNl1b4fJg0hj8O1BhVfwuAf78dmvfwEAAP//AwBQ&#10;SwMEFAAGAAgAAAAhALnk8fbfAAAADQEAAA8AAABkcnMvZG93bnJldi54bWxMj0FLw0AQhe+C/2EZ&#10;wVu7a8SYptkUURR6kGJbPG+TMYnJzobstkn/vVMQ9PjefLx5L1tNthMnHHzjSMPdXIFAKlzZUKVh&#10;v3udJSB8MFSazhFqOKOHVX59lZm0dCN94GkbKsEh5FOjoQ6hT6X0RY3W+Lnrkfj25QZrAsuhkuVg&#10;Rg63nYyUiqU1DfGH2vT4XGPRbo9Ww3siX9ym/SzO3+PuLUnW7eJxvdf69mZ6WoIIOIU/GC71uTrk&#10;3OngjlR60bGOVBQzq2EWqwcQFyRS92wdfi2ZZ/L/ivwHAAD//wMAUEsBAi0AFAAGAAgAAAAhALaD&#10;OJL+AAAA4QEAABMAAAAAAAAAAAAAAAAAAAAAAFtDb250ZW50X1R5cGVzXS54bWxQSwECLQAUAAYA&#10;CAAAACEAOP0h/9YAAACUAQAACwAAAAAAAAAAAAAAAAAvAQAAX3JlbHMvLnJlbHNQSwECLQAUAAYA&#10;CAAAACEAvOZcFBkCAAA+BAAADgAAAAAAAAAAAAAAAAAuAgAAZHJzL2Uyb0RvYy54bWxQSwECLQAU&#10;AAYACAAAACEAueTx9t8AAAANAQAADwAAAAAAAAAAAAAAAABzBAAAZHJzL2Rvd25yZXYueG1sUEsF&#10;BgAAAAAEAAQA8wAAAH8FAAAAAA==&#10;" strokeweight=".48pt">
                <w10:wrap anchorx="page"/>
              </v:line>
            </w:pict>
          </mc:Fallback>
        </mc:AlternateContent>
      </w:r>
      <w:r w:rsidR="006D7E2B">
        <w:rPr>
          <w:b/>
          <w:i/>
          <w:sz w:val="20"/>
        </w:rPr>
        <w:t>TABLE 2: Estimated Annualized Burden for Mid-year Formulary Change Reporting to QHP FFE Issuers</w:t>
      </w:r>
    </w:p>
    <w:tbl>
      <w:tblPr>
        <w:tblW w:w="0" w:type="auto"/>
        <w:tblInd w:w="1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0"/>
        <w:gridCol w:w="1282"/>
        <w:gridCol w:w="1385"/>
        <w:gridCol w:w="1113"/>
        <w:gridCol w:w="1769"/>
        <w:gridCol w:w="1635"/>
      </w:tblGrid>
      <w:tr w:rsidR="00B93A64">
        <w:trPr>
          <w:trHeight w:hRule="exact" w:val="1679"/>
        </w:trPr>
        <w:tc>
          <w:tcPr>
            <w:tcW w:w="2260" w:type="dxa"/>
          </w:tcPr>
          <w:p w:rsidR="00B93A64" w:rsidRDefault="006D7E2B">
            <w:pPr>
              <w:pStyle w:val="TableParagraph"/>
              <w:ind w:left="99"/>
              <w:rPr>
                <w:b/>
                <w:sz w:val="20"/>
              </w:rPr>
            </w:pPr>
            <w:r>
              <w:rPr>
                <w:b/>
                <w:sz w:val="20"/>
              </w:rPr>
              <w:t>Labor Category</w:t>
            </w:r>
          </w:p>
        </w:tc>
        <w:tc>
          <w:tcPr>
            <w:tcW w:w="1282" w:type="dxa"/>
          </w:tcPr>
          <w:p w:rsidR="00B93A64" w:rsidRDefault="006D7E2B">
            <w:pPr>
              <w:pStyle w:val="TableParagraph"/>
              <w:ind w:left="99" w:right="225"/>
              <w:rPr>
                <w:b/>
                <w:sz w:val="20"/>
              </w:rPr>
            </w:pPr>
            <w:r>
              <w:rPr>
                <w:b/>
                <w:sz w:val="20"/>
              </w:rPr>
              <w:t>Number of Employees</w:t>
            </w:r>
          </w:p>
        </w:tc>
        <w:tc>
          <w:tcPr>
            <w:tcW w:w="1385" w:type="dxa"/>
          </w:tcPr>
          <w:p w:rsidR="00B93A64" w:rsidRDefault="006D7E2B">
            <w:pPr>
              <w:pStyle w:val="TableParagraph"/>
              <w:ind w:left="99" w:right="245"/>
              <w:rPr>
                <w:b/>
                <w:sz w:val="20"/>
              </w:rPr>
            </w:pPr>
            <w:r>
              <w:rPr>
                <w:b/>
                <w:sz w:val="20"/>
              </w:rPr>
              <w:t>Hourly Labor Costs (hourly</w:t>
            </w:r>
            <w:r>
              <w:rPr>
                <w:b/>
                <w:spacing w:val="-2"/>
                <w:sz w:val="20"/>
              </w:rPr>
              <w:t xml:space="preserve"> </w:t>
            </w:r>
            <w:r>
              <w:rPr>
                <w:b/>
                <w:sz w:val="20"/>
              </w:rPr>
              <w:t>rate</w:t>
            </w:r>
          </w:p>
          <w:p w:rsidR="00B93A64" w:rsidRDefault="006D7E2B">
            <w:pPr>
              <w:pStyle w:val="TableParagraph"/>
              <w:spacing w:line="229" w:lineRule="exact"/>
              <w:ind w:left="99"/>
              <w:rPr>
                <w:b/>
                <w:sz w:val="20"/>
              </w:rPr>
            </w:pPr>
            <w:r>
              <w:rPr>
                <w:b/>
                <w:sz w:val="20"/>
              </w:rPr>
              <w:t>+ 100%</w:t>
            </w:r>
          </w:p>
          <w:p w:rsidR="00B93A64" w:rsidRDefault="006D7E2B">
            <w:pPr>
              <w:pStyle w:val="TableParagraph"/>
              <w:spacing w:before="1"/>
              <w:ind w:left="99" w:right="589"/>
              <w:rPr>
                <w:b/>
                <w:sz w:val="20"/>
              </w:rPr>
            </w:pPr>
            <w:r>
              <w:rPr>
                <w:b/>
                <w:sz w:val="20"/>
              </w:rPr>
              <w:t>fringe benefits</w:t>
            </w:r>
          </w:p>
        </w:tc>
        <w:tc>
          <w:tcPr>
            <w:tcW w:w="1113" w:type="dxa"/>
          </w:tcPr>
          <w:p w:rsidR="00B93A64" w:rsidRDefault="006D7E2B">
            <w:pPr>
              <w:pStyle w:val="TableParagraph"/>
              <w:ind w:left="99" w:right="339"/>
              <w:rPr>
                <w:b/>
                <w:sz w:val="20"/>
              </w:rPr>
            </w:pPr>
            <w:r>
              <w:rPr>
                <w:b/>
                <w:sz w:val="20"/>
              </w:rPr>
              <w:t>Burden Hours</w:t>
            </w:r>
          </w:p>
        </w:tc>
        <w:tc>
          <w:tcPr>
            <w:tcW w:w="1769" w:type="dxa"/>
          </w:tcPr>
          <w:p w:rsidR="00B93A64" w:rsidRDefault="006D7E2B">
            <w:pPr>
              <w:pStyle w:val="TableParagraph"/>
              <w:ind w:left="99" w:right="490"/>
              <w:rPr>
                <w:b/>
                <w:sz w:val="20"/>
              </w:rPr>
            </w:pPr>
            <w:r>
              <w:rPr>
                <w:b/>
                <w:sz w:val="20"/>
              </w:rPr>
              <w:t>Total Burden Costs</w:t>
            </w:r>
          </w:p>
        </w:tc>
        <w:tc>
          <w:tcPr>
            <w:tcW w:w="1635" w:type="dxa"/>
          </w:tcPr>
          <w:p w:rsidR="00B93A64" w:rsidRDefault="006D7E2B">
            <w:pPr>
              <w:pStyle w:val="TableParagraph"/>
              <w:ind w:left="99" w:right="217"/>
              <w:rPr>
                <w:b/>
                <w:sz w:val="20"/>
              </w:rPr>
            </w:pPr>
            <w:r>
              <w:rPr>
                <w:b/>
                <w:sz w:val="20"/>
              </w:rPr>
              <w:t>Total Burden Cost (per year)</w:t>
            </w:r>
          </w:p>
        </w:tc>
      </w:tr>
      <w:tr w:rsidR="00B93A64">
        <w:trPr>
          <w:trHeight w:hRule="exact" w:val="911"/>
        </w:trPr>
        <w:tc>
          <w:tcPr>
            <w:tcW w:w="2260" w:type="dxa"/>
          </w:tcPr>
          <w:p w:rsidR="00B93A64" w:rsidRDefault="006D7E2B">
            <w:pPr>
              <w:pStyle w:val="TableParagraph"/>
              <w:spacing w:before="39"/>
              <w:ind w:right="231"/>
              <w:rPr>
                <w:sz w:val="20"/>
              </w:rPr>
            </w:pPr>
            <w:r>
              <w:rPr>
                <w:sz w:val="20"/>
              </w:rPr>
              <w:t>Information and Records Clerk</w:t>
            </w:r>
          </w:p>
        </w:tc>
        <w:tc>
          <w:tcPr>
            <w:tcW w:w="1282" w:type="dxa"/>
          </w:tcPr>
          <w:p w:rsidR="00B93A64" w:rsidRDefault="006D7E2B">
            <w:pPr>
              <w:pStyle w:val="TableParagraph"/>
              <w:spacing w:line="228" w:lineRule="exact"/>
              <w:rPr>
                <w:sz w:val="20"/>
              </w:rPr>
            </w:pPr>
            <w:r>
              <w:rPr>
                <w:sz w:val="20"/>
              </w:rPr>
              <w:t>1</w:t>
            </w:r>
          </w:p>
        </w:tc>
        <w:tc>
          <w:tcPr>
            <w:tcW w:w="1385" w:type="dxa"/>
          </w:tcPr>
          <w:p w:rsidR="00B93A64" w:rsidRDefault="006D7E2B">
            <w:pPr>
              <w:pStyle w:val="TableParagraph"/>
              <w:spacing w:line="228" w:lineRule="exact"/>
              <w:rPr>
                <w:sz w:val="20"/>
              </w:rPr>
            </w:pPr>
            <w:r>
              <w:rPr>
                <w:sz w:val="20"/>
              </w:rPr>
              <w:t>$39.12</w:t>
            </w:r>
          </w:p>
        </w:tc>
        <w:tc>
          <w:tcPr>
            <w:tcW w:w="1113" w:type="dxa"/>
          </w:tcPr>
          <w:p w:rsidR="00B93A64" w:rsidRDefault="006D7E2B">
            <w:pPr>
              <w:pStyle w:val="TableParagraph"/>
              <w:spacing w:line="228" w:lineRule="exact"/>
              <w:rPr>
                <w:sz w:val="20"/>
              </w:rPr>
            </w:pPr>
            <w:r>
              <w:rPr>
                <w:sz w:val="20"/>
              </w:rPr>
              <w:t>36</w:t>
            </w:r>
          </w:p>
        </w:tc>
        <w:tc>
          <w:tcPr>
            <w:tcW w:w="1769" w:type="dxa"/>
          </w:tcPr>
          <w:p w:rsidR="00B93A64" w:rsidRDefault="006D7E2B">
            <w:pPr>
              <w:pStyle w:val="TableParagraph"/>
              <w:spacing w:line="228" w:lineRule="exact"/>
              <w:ind w:left="-1"/>
              <w:rPr>
                <w:sz w:val="20"/>
              </w:rPr>
            </w:pPr>
            <w:r>
              <w:rPr>
                <w:sz w:val="20"/>
              </w:rPr>
              <w:t>$1408.32</w:t>
            </w:r>
          </w:p>
        </w:tc>
        <w:tc>
          <w:tcPr>
            <w:tcW w:w="1635" w:type="dxa"/>
          </w:tcPr>
          <w:p w:rsidR="00B93A64" w:rsidRDefault="00B93A64"/>
        </w:tc>
      </w:tr>
      <w:tr w:rsidR="00B93A64">
        <w:trPr>
          <w:trHeight w:hRule="exact" w:val="640"/>
        </w:trPr>
        <w:tc>
          <w:tcPr>
            <w:tcW w:w="2260" w:type="dxa"/>
          </w:tcPr>
          <w:p w:rsidR="00B93A64" w:rsidRDefault="006D7E2B">
            <w:pPr>
              <w:pStyle w:val="TableParagraph"/>
              <w:spacing w:before="49"/>
              <w:rPr>
                <w:sz w:val="20"/>
              </w:rPr>
            </w:pPr>
            <w:r>
              <w:rPr>
                <w:sz w:val="20"/>
              </w:rPr>
              <w:t>Senior Manager</w:t>
            </w:r>
          </w:p>
        </w:tc>
        <w:tc>
          <w:tcPr>
            <w:tcW w:w="1282" w:type="dxa"/>
          </w:tcPr>
          <w:p w:rsidR="00B93A64" w:rsidRDefault="006D7E2B">
            <w:pPr>
              <w:pStyle w:val="TableParagraph"/>
              <w:spacing w:before="49"/>
              <w:rPr>
                <w:sz w:val="20"/>
              </w:rPr>
            </w:pPr>
            <w:r>
              <w:rPr>
                <w:sz w:val="20"/>
              </w:rPr>
              <w:t>1</w:t>
            </w:r>
          </w:p>
        </w:tc>
        <w:tc>
          <w:tcPr>
            <w:tcW w:w="1385" w:type="dxa"/>
          </w:tcPr>
          <w:p w:rsidR="00B93A64" w:rsidRDefault="006D7E2B">
            <w:pPr>
              <w:pStyle w:val="TableParagraph"/>
              <w:spacing w:before="49"/>
              <w:rPr>
                <w:sz w:val="20"/>
              </w:rPr>
            </w:pPr>
            <w:r>
              <w:rPr>
                <w:sz w:val="20"/>
              </w:rPr>
              <w:t>$118.70</w:t>
            </w:r>
          </w:p>
        </w:tc>
        <w:tc>
          <w:tcPr>
            <w:tcW w:w="1113" w:type="dxa"/>
          </w:tcPr>
          <w:p w:rsidR="00B93A64" w:rsidRDefault="006D7E2B">
            <w:pPr>
              <w:pStyle w:val="TableParagraph"/>
              <w:spacing w:line="227" w:lineRule="exact"/>
              <w:rPr>
                <w:sz w:val="20"/>
              </w:rPr>
            </w:pPr>
            <w:r>
              <w:rPr>
                <w:sz w:val="20"/>
              </w:rPr>
              <w:t>6</w:t>
            </w:r>
          </w:p>
        </w:tc>
        <w:tc>
          <w:tcPr>
            <w:tcW w:w="1769" w:type="dxa"/>
          </w:tcPr>
          <w:p w:rsidR="00B93A64" w:rsidRDefault="006D7E2B">
            <w:pPr>
              <w:pStyle w:val="TableParagraph"/>
              <w:spacing w:before="49"/>
              <w:ind w:left="-1"/>
              <w:rPr>
                <w:sz w:val="20"/>
              </w:rPr>
            </w:pPr>
            <w:r>
              <w:rPr>
                <w:sz w:val="20"/>
              </w:rPr>
              <w:t>$712.20</w:t>
            </w:r>
          </w:p>
        </w:tc>
        <w:tc>
          <w:tcPr>
            <w:tcW w:w="1635" w:type="dxa"/>
          </w:tcPr>
          <w:p w:rsidR="00B93A64" w:rsidRDefault="00B93A64"/>
        </w:tc>
      </w:tr>
      <w:tr w:rsidR="00B93A64">
        <w:trPr>
          <w:trHeight w:hRule="exact" w:val="622"/>
        </w:trPr>
        <w:tc>
          <w:tcPr>
            <w:tcW w:w="2260" w:type="dxa"/>
          </w:tcPr>
          <w:p w:rsidR="00B93A64" w:rsidRDefault="006D7E2B">
            <w:pPr>
              <w:pStyle w:val="TableParagraph"/>
              <w:spacing w:before="49"/>
              <w:rPr>
                <w:sz w:val="20"/>
              </w:rPr>
            </w:pPr>
            <w:r>
              <w:rPr>
                <w:sz w:val="20"/>
              </w:rPr>
              <w:t>Total per Issuer</w:t>
            </w:r>
          </w:p>
        </w:tc>
        <w:tc>
          <w:tcPr>
            <w:tcW w:w="1282" w:type="dxa"/>
          </w:tcPr>
          <w:p w:rsidR="00B93A64" w:rsidRDefault="00B93A64"/>
        </w:tc>
        <w:tc>
          <w:tcPr>
            <w:tcW w:w="1385" w:type="dxa"/>
          </w:tcPr>
          <w:p w:rsidR="00B93A64" w:rsidRDefault="00B93A64"/>
        </w:tc>
        <w:tc>
          <w:tcPr>
            <w:tcW w:w="1113" w:type="dxa"/>
          </w:tcPr>
          <w:p w:rsidR="00B93A64" w:rsidRDefault="006D7E2B">
            <w:pPr>
              <w:pStyle w:val="TableParagraph"/>
              <w:spacing w:line="227" w:lineRule="exact"/>
              <w:rPr>
                <w:sz w:val="20"/>
              </w:rPr>
            </w:pPr>
            <w:r>
              <w:rPr>
                <w:sz w:val="20"/>
              </w:rPr>
              <w:t>42</w:t>
            </w:r>
          </w:p>
        </w:tc>
        <w:tc>
          <w:tcPr>
            <w:tcW w:w="1769" w:type="dxa"/>
          </w:tcPr>
          <w:p w:rsidR="00B93A64" w:rsidRDefault="006D7E2B">
            <w:pPr>
              <w:pStyle w:val="TableParagraph"/>
              <w:spacing w:before="49"/>
              <w:ind w:left="-1"/>
              <w:rPr>
                <w:sz w:val="20"/>
              </w:rPr>
            </w:pPr>
            <w:r>
              <w:rPr>
                <w:sz w:val="20"/>
              </w:rPr>
              <w:t>$2120.52</w:t>
            </w:r>
          </w:p>
        </w:tc>
        <w:tc>
          <w:tcPr>
            <w:tcW w:w="1635" w:type="dxa"/>
          </w:tcPr>
          <w:p w:rsidR="00B93A64" w:rsidRDefault="00B93A64"/>
        </w:tc>
      </w:tr>
      <w:tr w:rsidR="00B93A64">
        <w:trPr>
          <w:trHeight w:hRule="exact" w:val="644"/>
        </w:trPr>
        <w:tc>
          <w:tcPr>
            <w:tcW w:w="2260" w:type="dxa"/>
          </w:tcPr>
          <w:p w:rsidR="00B93A64" w:rsidRDefault="006D7E2B">
            <w:pPr>
              <w:pStyle w:val="TableParagraph"/>
              <w:spacing w:before="30" w:line="290" w:lineRule="auto"/>
              <w:ind w:right="830"/>
              <w:rPr>
                <w:sz w:val="20"/>
              </w:rPr>
            </w:pPr>
            <w:r>
              <w:rPr>
                <w:sz w:val="20"/>
              </w:rPr>
              <w:t>Total for the 66 QHP FFE Issuers</w:t>
            </w:r>
          </w:p>
        </w:tc>
        <w:tc>
          <w:tcPr>
            <w:tcW w:w="1282" w:type="dxa"/>
          </w:tcPr>
          <w:p w:rsidR="00B93A64" w:rsidRDefault="00B93A64"/>
        </w:tc>
        <w:tc>
          <w:tcPr>
            <w:tcW w:w="1385" w:type="dxa"/>
          </w:tcPr>
          <w:p w:rsidR="00B93A64" w:rsidRDefault="00B93A64"/>
        </w:tc>
        <w:tc>
          <w:tcPr>
            <w:tcW w:w="1113" w:type="dxa"/>
          </w:tcPr>
          <w:p w:rsidR="00B93A64" w:rsidRDefault="00B93A64"/>
        </w:tc>
        <w:tc>
          <w:tcPr>
            <w:tcW w:w="1769" w:type="dxa"/>
          </w:tcPr>
          <w:p w:rsidR="00B93A64" w:rsidRDefault="00B93A64"/>
        </w:tc>
        <w:tc>
          <w:tcPr>
            <w:tcW w:w="1635" w:type="dxa"/>
          </w:tcPr>
          <w:p w:rsidR="00B93A64" w:rsidRDefault="00B93A64">
            <w:pPr>
              <w:pStyle w:val="TableParagraph"/>
              <w:spacing w:before="8"/>
              <w:rPr>
                <w:b/>
                <w:i/>
                <w:sz w:val="26"/>
              </w:rPr>
            </w:pPr>
          </w:p>
          <w:p w:rsidR="00B93A64" w:rsidRDefault="006D7E2B">
            <w:pPr>
              <w:pStyle w:val="TableParagraph"/>
              <w:ind w:left="-1"/>
              <w:rPr>
                <w:sz w:val="20"/>
              </w:rPr>
            </w:pPr>
            <w:r>
              <w:rPr>
                <w:sz w:val="20"/>
              </w:rPr>
              <w:t>$ 139,954.32</w:t>
            </w:r>
          </w:p>
        </w:tc>
      </w:tr>
    </w:tbl>
    <w:p w:rsidR="00B93A64" w:rsidRDefault="00B93A64">
      <w:pPr>
        <w:rPr>
          <w:sz w:val="20"/>
        </w:rPr>
        <w:sectPr w:rsidR="00B93A64">
          <w:footerReference w:type="default" r:id="rId14"/>
          <w:pgSz w:w="12240" w:h="15840"/>
          <w:pgMar w:top="1320" w:right="80" w:bottom="1760" w:left="220" w:header="0" w:footer="1574" w:gutter="0"/>
          <w:pgNumType w:start="6"/>
          <w:cols w:space="720"/>
        </w:sectPr>
      </w:pPr>
    </w:p>
    <w:p w:rsidR="00B93A64" w:rsidRDefault="006D7E2B">
      <w:pPr>
        <w:pStyle w:val="ListParagraph"/>
        <w:numPr>
          <w:ilvl w:val="1"/>
          <w:numId w:val="1"/>
        </w:numPr>
        <w:tabs>
          <w:tab w:val="left" w:pos="480"/>
        </w:tabs>
        <w:spacing w:before="66"/>
        <w:ind w:left="480"/>
        <w:rPr>
          <w:sz w:val="24"/>
        </w:rPr>
      </w:pPr>
      <w:r>
        <w:rPr>
          <w:sz w:val="24"/>
          <w:u w:val="single"/>
        </w:rPr>
        <w:t>Capital</w:t>
      </w:r>
      <w:r>
        <w:rPr>
          <w:spacing w:val="-1"/>
          <w:sz w:val="24"/>
          <w:u w:val="single"/>
        </w:rPr>
        <w:t xml:space="preserve"> </w:t>
      </w:r>
      <w:r>
        <w:rPr>
          <w:sz w:val="24"/>
          <w:u w:val="single"/>
        </w:rPr>
        <w:t>Costs</w:t>
      </w:r>
    </w:p>
    <w:p w:rsidR="00B93A64" w:rsidRDefault="00B93A64">
      <w:pPr>
        <w:pStyle w:val="BodyText"/>
      </w:pPr>
    </w:p>
    <w:p w:rsidR="00B93A64" w:rsidRDefault="006D7E2B">
      <w:pPr>
        <w:pStyle w:val="BodyText"/>
        <w:ind w:left="179"/>
      </w:pPr>
      <w:r>
        <w:rPr>
          <w:u w:val="single"/>
        </w:rPr>
        <w:t>Notice of Change: Removal of a brand drug from the formulary</w:t>
      </w:r>
    </w:p>
    <w:p w:rsidR="00B93A64" w:rsidRDefault="00B93A64">
      <w:pPr>
        <w:pStyle w:val="BodyText"/>
        <w:rPr>
          <w:sz w:val="26"/>
        </w:rPr>
      </w:pPr>
    </w:p>
    <w:p w:rsidR="00B93A64" w:rsidRDefault="006D7E2B">
      <w:pPr>
        <w:pStyle w:val="BodyText"/>
        <w:spacing w:before="1" w:line="249" w:lineRule="auto"/>
        <w:ind w:left="119"/>
      </w:pPr>
      <w:r>
        <w:t>The cost to print and send the notice would include $0.05 per page and $0.55 to mail. We assume that approximately half of the notices sent would be of this type, with a mailing cost of approximately</w:t>
      </w:r>
    </w:p>
    <w:p w:rsidR="00B93A64" w:rsidRDefault="006D7E2B">
      <w:pPr>
        <w:pStyle w:val="BodyText"/>
        <w:spacing w:before="1"/>
        <w:ind w:left="119"/>
      </w:pPr>
      <w:r>
        <w:t>$7,740,700. The total annual cost for all issuers would be approximately $8,505,204.</w:t>
      </w:r>
    </w:p>
    <w:p w:rsidR="00B93A64" w:rsidRDefault="00B93A64">
      <w:pPr>
        <w:pStyle w:val="BodyText"/>
        <w:rPr>
          <w:sz w:val="26"/>
        </w:rPr>
      </w:pPr>
    </w:p>
    <w:p w:rsidR="00B93A64" w:rsidRDefault="006D7E2B">
      <w:pPr>
        <w:pStyle w:val="BodyText"/>
        <w:ind w:left="119"/>
      </w:pPr>
      <w:r>
        <w:rPr>
          <w:u w:val="single"/>
        </w:rPr>
        <w:t>Notice of Change: Change to cost-sharing tier for a brand drug</w:t>
      </w:r>
    </w:p>
    <w:p w:rsidR="00B93A64" w:rsidRDefault="00B93A64">
      <w:pPr>
        <w:pStyle w:val="BodyText"/>
        <w:rPr>
          <w:sz w:val="26"/>
        </w:rPr>
      </w:pPr>
    </w:p>
    <w:p w:rsidR="00B93A64" w:rsidRDefault="006D7E2B">
      <w:pPr>
        <w:pStyle w:val="BodyText"/>
        <w:spacing w:line="249" w:lineRule="auto"/>
        <w:ind w:left="120"/>
      </w:pPr>
      <w:r>
        <w:t>The cost to print and send the notice would include $0.05 per 1-page and $0.55 per notice to mail. We assume that approximately half of the notices sent would be of this type, with a mailing cost of approximately $7,740,700. The total annual cost for all issuers would be approximately $8,423,834.</w:t>
      </w:r>
    </w:p>
    <w:p w:rsidR="00B93A64" w:rsidRDefault="00B93A64">
      <w:pPr>
        <w:pStyle w:val="BodyText"/>
        <w:rPr>
          <w:sz w:val="26"/>
        </w:rPr>
      </w:pPr>
    </w:p>
    <w:p w:rsidR="00B93A64" w:rsidRDefault="00B93A64">
      <w:pPr>
        <w:pStyle w:val="BodyText"/>
        <w:spacing w:before="4"/>
        <w:rPr>
          <w:sz w:val="22"/>
        </w:rPr>
      </w:pPr>
    </w:p>
    <w:p w:rsidR="00B93A64" w:rsidRDefault="006D7E2B">
      <w:pPr>
        <w:pStyle w:val="ListParagraph"/>
        <w:numPr>
          <w:ilvl w:val="1"/>
          <w:numId w:val="1"/>
        </w:numPr>
        <w:tabs>
          <w:tab w:val="left" w:pos="516"/>
        </w:tabs>
        <w:ind w:left="515"/>
        <w:rPr>
          <w:sz w:val="24"/>
        </w:rPr>
      </w:pPr>
      <w:r>
        <w:rPr>
          <w:sz w:val="24"/>
          <w:u w:val="single"/>
        </w:rPr>
        <w:t>Cost to Federal</w:t>
      </w:r>
      <w:r>
        <w:rPr>
          <w:spacing w:val="-1"/>
          <w:sz w:val="24"/>
          <w:u w:val="single"/>
        </w:rPr>
        <w:t xml:space="preserve"> </w:t>
      </w:r>
      <w:r>
        <w:rPr>
          <w:sz w:val="24"/>
          <w:u w:val="single"/>
        </w:rPr>
        <w:t>Government</w:t>
      </w:r>
    </w:p>
    <w:p w:rsidR="00B93A64" w:rsidRDefault="006D7E2B">
      <w:pPr>
        <w:pStyle w:val="BodyText"/>
        <w:spacing w:before="186"/>
        <w:ind w:left="178"/>
      </w:pPr>
      <w:r>
        <w:t>There are no additional costs to the Federal Government.</w:t>
      </w:r>
    </w:p>
    <w:p w:rsidR="00B93A64" w:rsidRDefault="00B93A64">
      <w:pPr>
        <w:pStyle w:val="BodyText"/>
        <w:spacing w:before="10"/>
        <w:rPr>
          <w:sz w:val="27"/>
        </w:rPr>
      </w:pPr>
    </w:p>
    <w:p w:rsidR="00B93A64" w:rsidRDefault="006D7E2B">
      <w:pPr>
        <w:pStyle w:val="ListParagraph"/>
        <w:numPr>
          <w:ilvl w:val="1"/>
          <w:numId w:val="1"/>
        </w:numPr>
        <w:tabs>
          <w:tab w:val="left" w:pos="516"/>
        </w:tabs>
        <w:ind w:left="515"/>
        <w:rPr>
          <w:sz w:val="24"/>
        </w:rPr>
      </w:pPr>
      <w:r>
        <w:rPr>
          <w:sz w:val="24"/>
          <w:u w:val="single"/>
        </w:rPr>
        <w:t>Changes to</w:t>
      </w:r>
      <w:r>
        <w:rPr>
          <w:spacing w:val="-1"/>
          <w:sz w:val="24"/>
          <w:u w:val="single"/>
        </w:rPr>
        <w:t xml:space="preserve"> </w:t>
      </w:r>
      <w:r>
        <w:rPr>
          <w:sz w:val="24"/>
          <w:u w:val="single"/>
        </w:rPr>
        <w:t>Burden</w:t>
      </w:r>
    </w:p>
    <w:p w:rsidR="00B93A64" w:rsidRDefault="00B93A64">
      <w:pPr>
        <w:pStyle w:val="BodyText"/>
        <w:spacing w:before="3"/>
      </w:pPr>
    </w:p>
    <w:p w:rsidR="00B93A64" w:rsidRDefault="006D7E2B">
      <w:pPr>
        <w:pStyle w:val="BodyText"/>
        <w:ind w:left="153"/>
      </w:pPr>
      <w:r>
        <w:t>This is a new data collection</w:t>
      </w:r>
    </w:p>
    <w:p w:rsidR="00B93A64" w:rsidRDefault="00B93A64">
      <w:pPr>
        <w:pStyle w:val="BodyText"/>
        <w:spacing w:before="2"/>
        <w:rPr>
          <w:sz w:val="25"/>
        </w:rPr>
      </w:pPr>
    </w:p>
    <w:p w:rsidR="00B93A64" w:rsidRDefault="006D7E2B">
      <w:pPr>
        <w:pStyle w:val="ListParagraph"/>
        <w:numPr>
          <w:ilvl w:val="1"/>
          <w:numId w:val="1"/>
        </w:numPr>
        <w:tabs>
          <w:tab w:val="left" w:pos="586"/>
        </w:tabs>
        <w:spacing w:before="1"/>
        <w:ind w:left="585" w:hanging="432"/>
        <w:rPr>
          <w:sz w:val="24"/>
        </w:rPr>
      </w:pPr>
      <w:r>
        <w:rPr>
          <w:sz w:val="24"/>
          <w:u w:val="single"/>
        </w:rPr>
        <w:t>Publication/Tabulation</w:t>
      </w:r>
      <w:r>
        <w:rPr>
          <w:spacing w:val="-2"/>
          <w:sz w:val="24"/>
          <w:u w:val="single"/>
        </w:rPr>
        <w:t xml:space="preserve"> </w:t>
      </w:r>
      <w:r>
        <w:rPr>
          <w:sz w:val="24"/>
          <w:u w:val="single"/>
        </w:rPr>
        <w:t>Dates</w:t>
      </w:r>
    </w:p>
    <w:p w:rsidR="00B93A64" w:rsidRDefault="00B93A64">
      <w:pPr>
        <w:pStyle w:val="BodyText"/>
        <w:spacing w:before="4"/>
        <w:rPr>
          <w:sz w:val="25"/>
        </w:rPr>
      </w:pPr>
    </w:p>
    <w:p w:rsidR="00B93A64" w:rsidRDefault="006D7E2B">
      <w:pPr>
        <w:pStyle w:val="BodyText"/>
        <w:ind w:left="153"/>
      </w:pPr>
      <w:r>
        <w:t>The results of the data collection will not be published.</w:t>
      </w:r>
    </w:p>
    <w:p w:rsidR="00B93A64" w:rsidRDefault="00B93A64">
      <w:pPr>
        <w:pStyle w:val="BodyText"/>
        <w:spacing w:before="1"/>
        <w:rPr>
          <w:sz w:val="25"/>
        </w:rPr>
      </w:pPr>
    </w:p>
    <w:p w:rsidR="00B93A64" w:rsidRDefault="006D7E2B">
      <w:pPr>
        <w:pStyle w:val="ListParagraph"/>
        <w:numPr>
          <w:ilvl w:val="1"/>
          <w:numId w:val="1"/>
        </w:numPr>
        <w:tabs>
          <w:tab w:val="left" w:pos="586"/>
        </w:tabs>
        <w:ind w:left="585" w:hanging="432"/>
        <w:rPr>
          <w:sz w:val="24"/>
        </w:rPr>
      </w:pPr>
      <w:r>
        <w:rPr>
          <w:sz w:val="24"/>
          <w:u w:val="single"/>
        </w:rPr>
        <w:t>Expiration</w:t>
      </w:r>
      <w:r>
        <w:rPr>
          <w:spacing w:val="-3"/>
          <w:sz w:val="24"/>
          <w:u w:val="single"/>
        </w:rPr>
        <w:t xml:space="preserve"> </w:t>
      </w:r>
      <w:r>
        <w:rPr>
          <w:sz w:val="24"/>
          <w:u w:val="single"/>
        </w:rPr>
        <w:t>Date</w:t>
      </w:r>
    </w:p>
    <w:p w:rsidR="00B93A64" w:rsidRDefault="00B93A64">
      <w:pPr>
        <w:pStyle w:val="BodyText"/>
        <w:spacing w:before="3"/>
        <w:rPr>
          <w:sz w:val="25"/>
        </w:rPr>
      </w:pPr>
    </w:p>
    <w:p w:rsidR="00B93A64" w:rsidRDefault="006D7E2B">
      <w:pPr>
        <w:pStyle w:val="BodyText"/>
        <w:spacing w:line="249" w:lineRule="auto"/>
        <w:ind w:left="153" w:right="289"/>
      </w:pPr>
      <w:r>
        <w:t>The expiration date and OMB control number will display on the first page (top-right corner) of the instrument.</w:t>
      </w:r>
    </w:p>
    <w:sectPr w:rsidR="00B93A64">
      <w:pgSz w:w="12240" w:h="15840"/>
      <w:pgMar w:top="1360" w:right="900" w:bottom="1760" w:left="1320" w:header="0" w:footer="15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A6D" w:rsidRDefault="006D7E2B">
      <w:r>
        <w:separator/>
      </w:r>
    </w:p>
  </w:endnote>
  <w:endnote w:type="continuationSeparator" w:id="0">
    <w:p w:rsidR="00485A6D" w:rsidRDefault="006D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A64" w:rsidRDefault="005C2174">
    <w:pPr>
      <w:pStyle w:val="BodyText"/>
      <w:spacing w:line="14" w:lineRule="auto"/>
      <w:rPr>
        <w:sz w:val="15"/>
      </w:rPr>
    </w:pPr>
    <w:r>
      <w:rPr>
        <w:noProof/>
      </w:rPr>
      <mc:AlternateContent>
        <mc:Choice Requires="wps">
          <w:drawing>
            <wp:anchor distT="0" distB="0" distL="114300" distR="114300" simplePos="0" relativeHeight="503306648" behindDoc="1" locked="0" layoutInCell="1" allowOverlap="1" wp14:anchorId="5C325B5C" wp14:editId="12E7C60C">
              <wp:simplePos x="0" y="0"/>
              <wp:positionH relativeFrom="page">
                <wp:posOffset>3829050</wp:posOffset>
              </wp:positionH>
              <wp:positionV relativeFrom="page">
                <wp:posOffset>8919210</wp:posOffset>
              </wp:positionV>
              <wp:extent cx="114935" cy="15303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A64" w:rsidRDefault="006D7E2B">
                          <w:pPr>
                            <w:spacing w:line="224" w:lineRule="exact"/>
                            <w:ind w:left="40"/>
                            <w:rPr>
                              <w:rFonts w:ascii="Calibri"/>
                              <w:sz w:val="20"/>
                            </w:rPr>
                          </w:pPr>
                          <w:r>
                            <w:fldChar w:fldCharType="begin"/>
                          </w:r>
                          <w:r>
                            <w:rPr>
                              <w:rFonts w:ascii="Calibri"/>
                              <w:w w:val="99"/>
                              <w:sz w:val="20"/>
                            </w:rPr>
                            <w:instrText xml:space="preserve"> PAGE </w:instrText>
                          </w:r>
                          <w:r>
                            <w:fldChar w:fldCharType="separate"/>
                          </w:r>
                          <w:r w:rsidR="00F570B4">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5pt;margin-top:702.3pt;width:9.05pt;height:12.05pt;z-index:-9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zwqwIAAKg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RnGyeUMoxKOwtllALaNQNLpcqe0eUdli6yR&#10;YQWNd+Bkf6/N6Dq52FhCFoxz2CcpF2cbgDnuQGi4as9sEq6XP5IgWS/Wi9iLo/nai4M8926LVezN&#10;i/Bqll/mq1Ue/rRxwzhtWFVRYcNMugrjP+vbQeGjIo7K0pKzysLZlLTablZcoT0BXRfuOxTkxM0/&#10;T8PVC7i8oBRGcXAXJV4xX1x5cRHPvOQqWHhBmNwl8yBO4rw4p3TPBP13SqjPcDKLZqOWfsstcN9r&#10;biRtmYHJwVmb4cXRiaRWgWtRudYawvhon5TCpv9cCmj31GinVyvRUaxm2AyAYkW8kdUTKFdJUBbI&#10;E8YdGI1U3zHqYXRkWH/bEUUx4u8FqN/OmclQk7GZDCJKuJphg9Forsw4j3adYtsGkMf3JeQtvJCa&#10;OfU+Z3F4VzAOHInD6LLz5vTfeT0P2OUvAAAA//8DAFBLAwQUAAYACAAAACEAk1ZgNeEAAAANAQAA&#10;DwAAAGRycy9kb3ducmV2LnhtbEyPwU7DMBBE70j8g7VI3KidUJk2jVNVCE5IiDQcODqJm1iN1yF2&#10;2/D3bE9w3JnR7Jt8O7uBnc0UrEcFyUIAM9j41mKn4LN6fVgBC1FjqwePRsGPCbAtbm9ynbX+gqU5&#10;72PHqARDphX0MY4Z56HpjdNh4UeD5B385HSkc+p4O+kLlbuBp0JI7rRF+tDr0Tz3pjnuT07B7gvL&#10;F/v9Xn+Uh9JW1VrgmzwqdX837zbAopnjXxiu+IQOBTHV/oRtYIMCKR5pSyRjKZYSGEVkmiTA6quU&#10;rp6AFzn/v6L4BQAA//8DAFBLAQItABQABgAIAAAAIQC2gziS/gAAAOEBAAATAAAAAAAAAAAAAAAA&#10;AAAAAABbQ29udGVudF9UeXBlc10ueG1sUEsBAi0AFAAGAAgAAAAhADj9If/WAAAAlAEAAAsAAAAA&#10;AAAAAAAAAAAALwEAAF9yZWxzLy5yZWxzUEsBAi0AFAAGAAgAAAAhANmuzPCrAgAAqAUAAA4AAAAA&#10;AAAAAAAAAAAALgIAAGRycy9lMm9Eb2MueG1sUEsBAi0AFAAGAAgAAAAhAJNWYDXhAAAADQEAAA8A&#10;AAAAAAAAAAAAAAAABQUAAGRycy9kb3ducmV2LnhtbFBLBQYAAAAABAAEAPMAAAATBgAAAAA=&#10;" filled="f" stroked="f">
              <v:textbox inset="0,0,0,0">
                <w:txbxContent>
                  <w:p w:rsidR="00B93A64" w:rsidRDefault="006D7E2B">
                    <w:pPr>
                      <w:spacing w:line="224" w:lineRule="exact"/>
                      <w:ind w:left="40"/>
                      <w:rPr>
                        <w:rFonts w:ascii="Calibri"/>
                        <w:sz w:val="20"/>
                      </w:rPr>
                    </w:pPr>
                    <w:r>
                      <w:fldChar w:fldCharType="begin"/>
                    </w:r>
                    <w:r>
                      <w:rPr>
                        <w:rFonts w:ascii="Calibri"/>
                        <w:w w:val="99"/>
                        <w:sz w:val="20"/>
                      </w:rPr>
                      <w:instrText xml:space="preserve"> PAGE </w:instrText>
                    </w:r>
                    <w:r>
                      <w:fldChar w:fldCharType="separate"/>
                    </w:r>
                    <w:r w:rsidR="00F570B4">
                      <w:rPr>
                        <w:rFonts w:ascii="Calibri"/>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A64" w:rsidRDefault="00B93A64">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A64" w:rsidRDefault="005C2174">
    <w:pPr>
      <w:pStyle w:val="BodyText"/>
      <w:spacing w:line="14" w:lineRule="auto"/>
      <w:rPr>
        <w:sz w:val="20"/>
      </w:rPr>
    </w:pPr>
    <w:r>
      <w:rPr>
        <w:noProof/>
      </w:rPr>
      <mc:AlternateContent>
        <mc:Choice Requires="wps">
          <w:drawing>
            <wp:anchor distT="0" distB="0" distL="114300" distR="114300" simplePos="0" relativeHeight="503306672" behindDoc="1" locked="0" layoutInCell="1" allowOverlap="1" wp14:anchorId="2B9ECD9A" wp14:editId="06426331">
              <wp:simplePos x="0" y="0"/>
              <wp:positionH relativeFrom="page">
                <wp:posOffset>3829050</wp:posOffset>
              </wp:positionH>
              <wp:positionV relativeFrom="page">
                <wp:posOffset>8919210</wp:posOffset>
              </wp:positionV>
              <wp:extent cx="114935" cy="153035"/>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A64" w:rsidRDefault="006D7E2B">
                          <w:pPr>
                            <w:spacing w:line="224" w:lineRule="exact"/>
                            <w:ind w:left="40"/>
                            <w:rPr>
                              <w:rFonts w:ascii="Calibri"/>
                              <w:sz w:val="20"/>
                            </w:rPr>
                          </w:pPr>
                          <w:r>
                            <w:fldChar w:fldCharType="begin"/>
                          </w:r>
                          <w:r>
                            <w:rPr>
                              <w:rFonts w:ascii="Calibri"/>
                              <w:w w:val="99"/>
                              <w:sz w:val="20"/>
                            </w:rPr>
                            <w:instrText xml:space="preserve"> PAGE </w:instrText>
                          </w:r>
                          <w:r>
                            <w:fldChar w:fldCharType="separate"/>
                          </w:r>
                          <w:r>
                            <w:rPr>
                              <w:rFonts w:ascii="Calibri"/>
                              <w:noProof/>
                              <w:w w:val="99"/>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5pt;margin-top:702.3pt;width:9.05pt;height:12.05pt;z-index:-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iYrAIAAK8FAAAOAAAAZHJzL2Uyb0RvYy54bWysVG1vmzAQ/j5p/8HydwokJA2opEpDmCZ1&#10;L1K7H+CACdaMzWwn0E377zubkCatJk3b+IDO9vm5e+4e381t33B0oEozKVIcXgUYUVHIkoldir88&#10;5t4CI22IKAmXgqb4iWp8u3z75qZrEzqRteQlVQhAhE66NsW1MW3i+7qoaUP0lWypgMNKqoYYWKqd&#10;XyrSAXrD/UkQzP1OqrJVsqBaw242HOKlw68qWphPVaWpQTzFkJtxf+X+W/v3lzck2SnS1qw4pkH+&#10;IouGMAFBT1AZMQTtFXsF1bBCSS0rc1XIxpdVxQrqOACbMHjB5qEmLXVcoDi6PZVJ/z/Y4uPhs0Ks&#10;hN5hJEgDLXqkvUF3skehrU7X6gScHlpwMz1sW0/LVLf3sviqkZDrmogdXSklu5qSErJzN/2zqwOO&#10;tiDb7oMsIQzZG+mA+ko1FhCKgQAduvR06oxNpbAhwyiezjAq4CicTQOwITefJOPlVmnzjsoGWSPF&#10;ChrvwMnhXpvBdXSxsYTMGeeu+VxcbADmsAOh4ao9s0m4Xv6Ig3iz2CwiL5rMN14UZJm3yteRN8/D&#10;61k2zdbrLPxp44ZRUrOypMKGGXUVRn/Wt6PCB0WclKUlZ6WFsylptduuuUIHArrO3XcsyJmbf5mG&#10;qxdweUEpnETB3ST28vni2ovyaObF18HCC8L4Lp4HURxl+SWleybov1NCXYrj2WQ2aOm33AL3veZG&#10;koYZmBycNSlenJxIYhW4EaVrrSGMD/ZZKWz6z6WAdo+Ndnq1Eh3Eavptf3wYAGa1vJXlEwhYSRAY&#10;qBSmHhi1VN8x6mCCpFh/2xNFMeLvBTwCO25GQ43GdjSIKOBqig1Gg7k2w1jat4rtakAenpmQK3go&#10;FXMifs4CGNgFTAXH5TjB7Ng5Xzuv5zm7/AUAAP//AwBQSwMEFAAGAAgAAAAhAJNWYDXhAAAADQEA&#10;AA8AAABkcnMvZG93bnJldi54bWxMj8FOwzAQRO9I/IO1SNyonVCZNo1TVQhOSIg0HDg6iZtYjdch&#10;dtvw92xPcNyZ0eybfDu7gZ3NFKxHBclCADPY+NZip+Czen1YAQtRY6sHj0bBjwmwLW5vcp21/oKl&#10;Oe9jx6gEQ6YV9DGOGeeh6Y3TYeFHg+Qd/OR0pHPqeDvpC5W7gadCSO60RfrQ69E896Y57k9Owe4L&#10;yxf7/V5/lIfSVtVa4Js8KnV/N+82wKKZ418YrviEDgUx1f6EbWCDAikeaUskYymWEhhFZJokwOqr&#10;lK6egBc5/7+i+AUAAP//AwBQSwECLQAUAAYACAAAACEAtoM4kv4AAADhAQAAEwAAAAAAAAAAAAAA&#10;AAAAAAAAW0NvbnRlbnRfVHlwZXNdLnhtbFBLAQItABQABgAIAAAAIQA4/SH/1gAAAJQBAAALAAAA&#10;AAAAAAAAAAAAAC8BAABfcmVscy8ucmVsc1BLAQItABQABgAIAAAAIQBdZRiYrAIAAK8FAAAOAAAA&#10;AAAAAAAAAAAAAC4CAABkcnMvZTJvRG9jLnhtbFBLAQItABQABgAIAAAAIQCTVmA14QAAAA0BAAAP&#10;AAAAAAAAAAAAAAAAAAYFAABkcnMvZG93bnJldi54bWxQSwUGAAAAAAQABADzAAAAFAYAAAAA&#10;" filled="f" stroked="f">
              <v:textbox inset="0,0,0,0">
                <w:txbxContent>
                  <w:p w:rsidR="00B93A64" w:rsidRDefault="006D7E2B">
                    <w:pPr>
                      <w:spacing w:line="224" w:lineRule="exact"/>
                      <w:ind w:left="40"/>
                      <w:rPr>
                        <w:rFonts w:ascii="Calibri"/>
                        <w:sz w:val="20"/>
                      </w:rPr>
                    </w:pPr>
                    <w:r>
                      <w:fldChar w:fldCharType="begin"/>
                    </w:r>
                    <w:r>
                      <w:rPr>
                        <w:rFonts w:ascii="Calibri"/>
                        <w:w w:val="99"/>
                        <w:sz w:val="20"/>
                      </w:rPr>
                      <w:instrText xml:space="preserve"> PAGE </w:instrText>
                    </w:r>
                    <w:r>
                      <w:fldChar w:fldCharType="separate"/>
                    </w:r>
                    <w:r>
                      <w:rPr>
                        <w:rFonts w:ascii="Calibri"/>
                        <w:noProof/>
                        <w:w w:val="99"/>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A6D" w:rsidRDefault="006D7E2B">
      <w:r>
        <w:separator/>
      </w:r>
    </w:p>
  </w:footnote>
  <w:footnote w:type="continuationSeparator" w:id="0">
    <w:p w:rsidR="00485A6D" w:rsidRDefault="006D7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C2041"/>
    <w:multiLevelType w:val="hybridMultilevel"/>
    <w:tmpl w:val="418613D2"/>
    <w:lvl w:ilvl="0" w:tplc="A14C5C78">
      <w:start w:val="1"/>
      <w:numFmt w:val="upperLetter"/>
      <w:lvlText w:val="%1."/>
      <w:lvlJc w:val="left"/>
      <w:pPr>
        <w:ind w:left="460" w:hanging="360"/>
        <w:jc w:val="left"/>
      </w:pPr>
      <w:rPr>
        <w:rFonts w:ascii="Times New Roman" w:eastAsia="Times New Roman" w:hAnsi="Times New Roman" w:cs="Times New Roman" w:hint="default"/>
        <w:b/>
        <w:bCs/>
        <w:spacing w:val="-1"/>
        <w:w w:val="99"/>
        <w:sz w:val="24"/>
        <w:szCs w:val="24"/>
      </w:rPr>
    </w:lvl>
    <w:lvl w:ilvl="1" w:tplc="FDB6EE96">
      <w:start w:val="1"/>
      <w:numFmt w:val="decimal"/>
      <w:lvlText w:val="%2."/>
      <w:lvlJc w:val="left"/>
      <w:pPr>
        <w:ind w:left="460" w:hanging="360"/>
        <w:jc w:val="left"/>
      </w:pPr>
      <w:rPr>
        <w:rFonts w:ascii="Times New Roman" w:eastAsia="Times New Roman" w:hAnsi="Times New Roman" w:cs="Times New Roman" w:hint="default"/>
        <w:spacing w:val="-4"/>
        <w:w w:val="99"/>
        <w:sz w:val="24"/>
        <w:szCs w:val="24"/>
      </w:rPr>
    </w:lvl>
    <w:lvl w:ilvl="2" w:tplc="93280E58">
      <w:numFmt w:val="bullet"/>
      <w:lvlText w:val="●"/>
      <w:lvlJc w:val="left"/>
      <w:pPr>
        <w:ind w:left="120" w:hanging="267"/>
      </w:pPr>
      <w:rPr>
        <w:rFonts w:ascii="Times New Roman" w:eastAsia="Times New Roman" w:hAnsi="Times New Roman" w:cs="Times New Roman" w:hint="default"/>
        <w:spacing w:val="-2"/>
        <w:w w:val="99"/>
        <w:sz w:val="24"/>
        <w:szCs w:val="24"/>
      </w:rPr>
    </w:lvl>
    <w:lvl w:ilvl="3" w:tplc="AA3A0BC6">
      <w:numFmt w:val="bullet"/>
      <w:lvlText w:val="•"/>
      <w:lvlJc w:val="left"/>
      <w:pPr>
        <w:ind w:left="2473" w:hanging="267"/>
      </w:pPr>
      <w:rPr>
        <w:rFonts w:hint="default"/>
      </w:rPr>
    </w:lvl>
    <w:lvl w:ilvl="4" w:tplc="FB103D3E">
      <w:numFmt w:val="bullet"/>
      <w:lvlText w:val="•"/>
      <w:lvlJc w:val="left"/>
      <w:pPr>
        <w:ind w:left="3480" w:hanging="267"/>
      </w:pPr>
      <w:rPr>
        <w:rFonts w:hint="default"/>
      </w:rPr>
    </w:lvl>
    <w:lvl w:ilvl="5" w:tplc="EEA033CC">
      <w:numFmt w:val="bullet"/>
      <w:lvlText w:val="•"/>
      <w:lvlJc w:val="left"/>
      <w:pPr>
        <w:ind w:left="4486" w:hanging="267"/>
      </w:pPr>
      <w:rPr>
        <w:rFonts w:hint="default"/>
      </w:rPr>
    </w:lvl>
    <w:lvl w:ilvl="6" w:tplc="97204506">
      <w:numFmt w:val="bullet"/>
      <w:lvlText w:val="•"/>
      <w:lvlJc w:val="left"/>
      <w:pPr>
        <w:ind w:left="5493" w:hanging="267"/>
      </w:pPr>
      <w:rPr>
        <w:rFonts w:hint="default"/>
      </w:rPr>
    </w:lvl>
    <w:lvl w:ilvl="7" w:tplc="521668AA">
      <w:numFmt w:val="bullet"/>
      <w:lvlText w:val="•"/>
      <w:lvlJc w:val="left"/>
      <w:pPr>
        <w:ind w:left="6500" w:hanging="267"/>
      </w:pPr>
      <w:rPr>
        <w:rFonts w:hint="default"/>
      </w:rPr>
    </w:lvl>
    <w:lvl w:ilvl="8" w:tplc="A2867658">
      <w:numFmt w:val="bullet"/>
      <w:lvlText w:val="•"/>
      <w:lvlJc w:val="left"/>
      <w:pPr>
        <w:ind w:left="7506" w:hanging="2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64"/>
    <w:rsid w:val="00485A6D"/>
    <w:rsid w:val="005C2174"/>
    <w:rsid w:val="006D7E2B"/>
    <w:rsid w:val="00B93A64"/>
    <w:rsid w:val="00C91807"/>
    <w:rsid w:val="00F5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41" w:right="325" w:hanging="1764"/>
      <w:outlineLvl w:val="0"/>
    </w:pPr>
    <w:rPr>
      <w:b/>
      <w:bCs/>
      <w:sz w:val="28"/>
      <w:szCs w:val="28"/>
    </w:rPr>
  </w:style>
  <w:style w:type="paragraph" w:styleId="Heading2">
    <w:name w:val="heading 2"/>
    <w:basedOn w:val="Normal"/>
    <w:uiPriority w:val="1"/>
    <w:qFormat/>
    <w:pPr>
      <w:ind w:left="46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41" w:right="325" w:hanging="1764"/>
      <w:outlineLvl w:val="0"/>
    </w:pPr>
    <w:rPr>
      <w:b/>
      <w:bCs/>
      <w:sz w:val="28"/>
      <w:szCs w:val="28"/>
    </w:rPr>
  </w:style>
  <w:style w:type="paragraph" w:styleId="Heading2">
    <w:name w:val="heading 2"/>
    <w:basedOn w:val="Normal"/>
    <w:uiPriority w:val="1"/>
    <w:qFormat/>
    <w:pPr>
      <w:ind w:left="46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Drugs/DevelopmentApprovalProcess/HowDrugsareDevelopedandApproved/DrugandBiologicApprovalReports/ANDAGenericDrugApprovals/ucm050527.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Drugs/DevelopmentApprovalProcess/HowDrugsareDevelopedandApproved/DrugandBiologicApprovalReports/ANDAGenericDrugApprovals/ucm050527.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da.gov/Drugs/DevelopmentApprovalProcess/HowDrugsareDevelopedandApproved/DrugandBiologicApprovalReports/ANDAGenericDrugApprovals/default.htm" TargetMode="External"/><Relationship Id="rId4" Type="http://schemas.openxmlformats.org/officeDocument/2006/relationships/settings" Target="settings.xml"/><Relationship Id="rId9" Type="http://schemas.openxmlformats.org/officeDocument/2006/relationships/hyperlink" Target="https://www.fda.gov/Drugs/DevelopmentApprovalProcess/HowDrugsareDevelopedandApproved/DrugandBiologicApprovalReports/ANDAGenericDrugApprovals/default.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PRA_147.106 Midyear Formulary Change_Supporting Statement</vt:lpstr>
    </vt:vector>
  </TitlesOfParts>
  <Company>CMS</Company>
  <LinksUpToDate>false</LinksUpToDate>
  <CharactersWithSpaces>16482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PRA_147.106 Midyear Formulary Change_Supporting Statement</dc:title>
  <dc:creator>CMS</dc:creator>
  <cp:lastModifiedBy>SYSTEM</cp:lastModifiedBy>
  <cp:revision>2</cp:revision>
  <dcterms:created xsi:type="dcterms:W3CDTF">2019-04-08T22:11:00Z</dcterms:created>
  <dcterms:modified xsi:type="dcterms:W3CDTF">2019-04-08T22:11:00Z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Microsoft® Word 2013</vt:lpwstr>
  </property>
  <property fmtid="{D5CDD505-2E9C-101B-9397-08002B2CF9AE}" pid="4" name="LastSaved">
    <vt:filetime>2019-04-08T00:00:00Z</vt:filetime>
  </property>
</Properties>
</file>