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CBD67" w14:textId="77777777" w:rsidR="00583309" w:rsidRPr="003F0326" w:rsidRDefault="00583309" w:rsidP="00F9028B">
      <w:pPr>
        <w:contextualSpacing/>
        <w:jc w:val="center"/>
        <w:rPr>
          <w:bCs/>
          <w:sz w:val="24"/>
          <w:szCs w:val="24"/>
        </w:rPr>
      </w:pPr>
      <w:bookmarkStart w:id="0" w:name="_GoBack"/>
      <w:bookmarkEnd w:id="0"/>
      <w:r w:rsidRPr="003F0326">
        <w:rPr>
          <w:bCs/>
          <w:sz w:val="24"/>
          <w:szCs w:val="24"/>
        </w:rPr>
        <w:t>SUPPORTING STATEMENT</w:t>
      </w:r>
    </w:p>
    <w:p w14:paraId="66AAB650" w14:textId="49B20BE4" w:rsidR="00583309" w:rsidRPr="003F0326" w:rsidRDefault="000329C0" w:rsidP="00F9028B">
      <w:pPr>
        <w:contextualSpacing/>
        <w:jc w:val="center"/>
        <w:rPr>
          <w:bCs/>
          <w:sz w:val="24"/>
          <w:szCs w:val="24"/>
        </w:rPr>
      </w:pPr>
      <w:r>
        <w:rPr>
          <w:bCs/>
          <w:sz w:val="24"/>
          <w:szCs w:val="24"/>
        </w:rPr>
        <w:t xml:space="preserve">NORTH </w:t>
      </w:r>
      <w:r w:rsidR="00583309" w:rsidRPr="003F0326">
        <w:rPr>
          <w:bCs/>
          <w:sz w:val="24"/>
          <w:szCs w:val="24"/>
        </w:rPr>
        <w:t>ATLANTIC</w:t>
      </w:r>
      <w:r w:rsidR="00363D78">
        <w:rPr>
          <w:bCs/>
          <w:sz w:val="24"/>
          <w:szCs w:val="24"/>
        </w:rPr>
        <w:t xml:space="preserve"> </w:t>
      </w:r>
      <w:r w:rsidR="00583309" w:rsidRPr="003F0326">
        <w:rPr>
          <w:bCs/>
          <w:sz w:val="24"/>
          <w:szCs w:val="24"/>
        </w:rPr>
        <w:t>RECREATIONAL FISHING SURVEY</w:t>
      </w:r>
    </w:p>
    <w:p w14:paraId="3E21071C" w14:textId="77777777" w:rsidR="00583309" w:rsidRPr="003F0326" w:rsidRDefault="00583309" w:rsidP="00F9028B">
      <w:pPr>
        <w:contextualSpacing/>
        <w:jc w:val="center"/>
        <w:rPr>
          <w:sz w:val="24"/>
          <w:szCs w:val="24"/>
        </w:rPr>
      </w:pPr>
      <w:r w:rsidRPr="003F0326">
        <w:rPr>
          <w:bCs/>
          <w:sz w:val="24"/>
          <w:szCs w:val="24"/>
        </w:rPr>
        <w:t>OMB CONTROL NO. XXXX-XXXX</w:t>
      </w:r>
    </w:p>
    <w:p w14:paraId="5C6AB0E3" w14:textId="77777777" w:rsidR="00583309" w:rsidRDefault="00583309" w:rsidP="00F9028B">
      <w:pPr>
        <w:contextualSpacing/>
        <w:rPr>
          <w:sz w:val="24"/>
          <w:szCs w:val="24"/>
        </w:rPr>
      </w:pPr>
    </w:p>
    <w:p w14:paraId="0410E6A9" w14:textId="0FED231A" w:rsidR="00583309" w:rsidRPr="00E12028" w:rsidRDefault="00583309" w:rsidP="0094229B">
      <w:pPr>
        <w:pStyle w:val="Style1"/>
      </w:pPr>
      <w:r w:rsidRPr="00E12028">
        <w:t>JUSTIFICATION</w:t>
      </w:r>
    </w:p>
    <w:p w14:paraId="17685731" w14:textId="77777777" w:rsidR="00E12028" w:rsidRPr="00F9028B" w:rsidRDefault="00E12028" w:rsidP="00E12028">
      <w:pPr>
        <w:pStyle w:val="ListParagraph"/>
        <w:tabs>
          <w:tab w:val="left" w:pos="720"/>
        </w:tabs>
        <w:rPr>
          <w:b/>
          <w:sz w:val="24"/>
          <w:szCs w:val="24"/>
          <w:u w:val="single"/>
        </w:rPr>
      </w:pPr>
    </w:p>
    <w:p w14:paraId="616C6839" w14:textId="2DA29D4A" w:rsidR="00F94B07" w:rsidRPr="00F9028B" w:rsidRDefault="00583309" w:rsidP="0094229B">
      <w:pPr>
        <w:pStyle w:val="Style2"/>
      </w:pPr>
      <w:r w:rsidRPr="00F9028B">
        <w:t>Explain the circumstances that make the collection of information necessary.</w:t>
      </w:r>
    </w:p>
    <w:p w14:paraId="5278E125" w14:textId="77777777" w:rsidR="00D11456" w:rsidRPr="00EC50C9" w:rsidRDefault="00D11456" w:rsidP="00F9028B">
      <w:pPr>
        <w:pStyle w:val="ListParagraph"/>
        <w:ind w:left="360"/>
        <w:rPr>
          <w:i/>
          <w:sz w:val="24"/>
          <w:szCs w:val="24"/>
        </w:rPr>
      </w:pPr>
    </w:p>
    <w:p w14:paraId="5FFF894D" w14:textId="4413ED33" w:rsidR="008D450A" w:rsidRDefault="00583309" w:rsidP="00E12028">
      <w:pPr>
        <w:contextualSpacing/>
        <w:rPr>
          <w:sz w:val="24"/>
          <w:szCs w:val="24"/>
        </w:rPr>
      </w:pPr>
      <w:r>
        <w:rPr>
          <w:sz w:val="24"/>
          <w:szCs w:val="24"/>
        </w:rPr>
        <w:t xml:space="preserve">The Northeast Fisheries Science Center (NEFSC) is conducting an economics research project to </w:t>
      </w:r>
      <w:r w:rsidRPr="00583309">
        <w:rPr>
          <w:sz w:val="24"/>
          <w:szCs w:val="24"/>
        </w:rPr>
        <w:t xml:space="preserve">assess </w:t>
      </w:r>
      <w:r>
        <w:rPr>
          <w:sz w:val="24"/>
          <w:szCs w:val="24"/>
        </w:rPr>
        <w:t xml:space="preserve">how changes in recreational </w:t>
      </w:r>
      <w:r w:rsidR="008D450A">
        <w:rPr>
          <w:sz w:val="24"/>
          <w:szCs w:val="24"/>
        </w:rPr>
        <w:t xml:space="preserve">Atlantic </w:t>
      </w:r>
      <w:r w:rsidR="006D6396">
        <w:rPr>
          <w:sz w:val="24"/>
          <w:szCs w:val="24"/>
        </w:rPr>
        <w:t xml:space="preserve">cod and haddock </w:t>
      </w:r>
      <w:r>
        <w:rPr>
          <w:sz w:val="24"/>
          <w:szCs w:val="24"/>
        </w:rPr>
        <w:t xml:space="preserve">fishing regulations affect angler </w:t>
      </w:r>
      <w:r w:rsidR="008D450A">
        <w:rPr>
          <w:sz w:val="24"/>
          <w:szCs w:val="24"/>
        </w:rPr>
        <w:t>effort</w:t>
      </w:r>
      <w:r w:rsidR="006D6396">
        <w:rPr>
          <w:sz w:val="24"/>
          <w:szCs w:val="24"/>
        </w:rPr>
        <w:t xml:space="preserve">, angler welfare, </w:t>
      </w:r>
      <w:r w:rsidR="008D450A" w:rsidRPr="008D450A">
        <w:rPr>
          <w:sz w:val="24"/>
          <w:szCs w:val="24"/>
        </w:rPr>
        <w:t>fishing mortality</w:t>
      </w:r>
      <w:r w:rsidR="008D450A">
        <w:rPr>
          <w:sz w:val="24"/>
          <w:szCs w:val="24"/>
        </w:rPr>
        <w:t xml:space="preserve">, </w:t>
      </w:r>
      <w:r w:rsidR="006D6396">
        <w:rPr>
          <w:sz w:val="24"/>
          <w:szCs w:val="24"/>
        </w:rPr>
        <w:t>and future stock levels</w:t>
      </w:r>
      <w:r>
        <w:rPr>
          <w:sz w:val="24"/>
          <w:szCs w:val="24"/>
        </w:rPr>
        <w:t xml:space="preserve">. </w:t>
      </w:r>
      <w:r w:rsidR="006D6396">
        <w:rPr>
          <w:sz w:val="24"/>
          <w:szCs w:val="24"/>
        </w:rPr>
        <w:t xml:space="preserve">The statistical model </w:t>
      </w:r>
      <w:r w:rsidR="008D450A">
        <w:rPr>
          <w:sz w:val="24"/>
          <w:szCs w:val="24"/>
        </w:rPr>
        <w:t>needed</w:t>
      </w:r>
      <w:r w:rsidR="006D6396">
        <w:rPr>
          <w:sz w:val="24"/>
          <w:szCs w:val="24"/>
        </w:rPr>
        <w:t xml:space="preserve"> to meet this research objective requires fishing-related and so</w:t>
      </w:r>
      <w:r w:rsidR="00D4420B">
        <w:rPr>
          <w:sz w:val="24"/>
          <w:szCs w:val="24"/>
        </w:rPr>
        <w:t>cioeconomic data on users of the</w:t>
      </w:r>
      <w:r w:rsidR="006D6396">
        <w:rPr>
          <w:sz w:val="24"/>
          <w:szCs w:val="24"/>
        </w:rPr>
        <w:t>s</w:t>
      </w:r>
      <w:r w:rsidR="00D4420B">
        <w:rPr>
          <w:sz w:val="24"/>
          <w:szCs w:val="24"/>
        </w:rPr>
        <w:t>e</w:t>
      </w:r>
      <w:r w:rsidR="006D6396">
        <w:rPr>
          <w:sz w:val="24"/>
          <w:szCs w:val="24"/>
        </w:rPr>
        <w:t xml:space="preserve"> fisher</w:t>
      </w:r>
      <w:r w:rsidR="00D4420B">
        <w:rPr>
          <w:sz w:val="24"/>
          <w:szCs w:val="24"/>
        </w:rPr>
        <w:t>ies</w:t>
      </w:r>
      <w:r w:rsidR="006D6396">
        <w:rPr>
          <w:sz w:val="24"/>
          <w:szCs w:val="24"/>
        </w:rPr>
        <w:t xml:space="preserve">. To </w:t>
      </w:r>
      <w:r w:rsidR="008D450A">
        <w:rPr>
          <w:sz w:val="24"/>
          <w:szCs w:val="24"/>
        </w:rPr>
        <w:t>collect this essential information</w:t>
      </w:r>
      <w:r w:rsidR="006D6396">
        <w:rPr>
          <w:sz w:val="24"/>
          <w:szCs w:val="24"/>
        </w:rPr>
        <w:t xml:space="preserve">, the NEFSC </w:t>
      </w:r>
      <w:r w:rsidR="008D450A">
        <w:rPr>
          <w:sz w:val="24"/>
          <w:szCs w:val="24"/>
        </w:rPr>
        <w:t xml:space="preserve">seeks to implement the </w:t>
      </w:r>
      <w:r w:rsidR="00CA0835">
        <w:rPr>
          <w:sz w:val="24"/>
          <w:szCs w:val="24"/>
        </w:rPr>
        <w:t>North Atlantic</w:t>
      </w:r>
      <w:r w:rsidR="00363D78">
        <w:rPr>
          <w:sz w:val="24"/>
          <w:szCs w:val="24"/>
        </w:rPr>
        <w:t xml:space="preserve"> </w:t>
      </w:r>
      <w:r w:rsidR="008D450A">
        <w:rPr>
          <w:sz w:val="24"/>
          <w:szCs w:val="24"/>
        </w:rPr>
        <w:t>Recreational Fishing Survey (</w:t>
      </w:r>
      <w:r w:rsidR="00CA0835">
        <w:rPr>
          <w:sz w:val="24"/>
          <w:szCs w:val="24"/>
        </w:rPr>
        <w:t>NARFS</w:t>
      </w:r>
      <w:r w:rsidR="008D450A">
        <w:rPr>
          <w:sz w:val="24"/>
          <w:szCs w:val="24"/>
        </w:rPr>
        <w:t xml:space="preserve">), a questionnaire directed toward recreational </w:t>
      </w:r>
      <w:r w:rsidR="00B40765">
        <w:rPr>
          <w:sz w:val="24"/>
          <w:szCs w:val="24"/>
        </w:rPr>
        <w:t xml:space="preserve">anglers who fish for </w:t>
      </w:r>
      <w:r w:rsidR="00275199">
        <w:rPr>
          <w:sz w:val="24"/>
          <w:szCs w:val="24"/>
        </w:rPr>
        <w:t xml:space="preserve">Atlantic </w:t>
      </w:r>
      <w:r w:rsidR="008D450A">
        <w:rPr>
          <w:sz w:val="24"/>
          <w:szCs w:val="24"/>
        </w:rPr>
        <w:t xml:space="preserve">cod </w:t>
      </w:r>
      <w:r w:rsidR="009026ED">
        <w:rPr>
          <w:sz w:val="24"/>
          <w:szCs w:val="24"/>
        </w:rPr>
        <w:t>or</w:t>
      </w:r>
      <w:r w:rsidR="008D450A">
        <w:rPr>
          <w:sz w:val="24"/>
          <w:szCs w:val="24"/>
        </w:rPr>
        <w:t xml:space="preserve"> haddock </w:t>
      </w:r>
      <w:r w:rsidR="00481079">
        <w:rPr>
          <w:sz w:val="24"/>
          <w:szCs w:val="24"/>
        </w:rPr>
        <w:t>off the coast of</w:t>
      </w:r>
      <w:r w:rsidR="008D450A">
        <w:rPr>
          <w:sz w:val="24"/>
          <w:szCs w:val="24"/>
        </w:rPr>
        <w:t xml:space="preserve"> Maine, New Hampshire, and Massachusetts. </w:t>
      </w:r>
    </w:p>
    <w:p w14:paraId="182CB8EE" w14:textId="77777777" w:rsidR="00E12028" w:rsidRDefault="00E12028" w:rsidP="00F9028B">
      <w:pPr>
        <w:tabs>
          <w:tab w:val="left" w:pos="720"/>
        </w:tabs>
        <w:contextualSpacing/>
        <w:rPr>
          <w:sz w:val="24"/>
          <w:szCs w:val="24"/>
        </w:rPr>
      </w:pPr>
    </w:p>
    <w:p w14:paraId="5C0384C2" w14:textId="42B5D0B9" w:rsidR="00283B65" w:rsidRDefault="00B40765" w:rsidP="00283B65">
      <w:pPr>
        <w:tabs>
          <w:tab w:val="left" w:pos="720"/>
        </w:tabs>
        <w:contextualSpacing/>
        <w:rPr>
          <w:sz w:val="24"/>
          <w:szCs w:val="24"/>
        </w:rPr>
      </w:pPr>
      <w:r>
        <w:rPr>
          <w:sz w:val="24"/>
          <w:szCs w:val="24"/>
        </w:rPr>
        <w:t>D</w:t>
      </w:r>
      <w:r w:rsidR="008D450A">
        <w:rPr>
          <w:sz w:val="24"/>
          <w:szCs w:val="24"/>
        </w:rPr>
        <w:t xml:space="preserve">ata collected </w:t>
      </w:r>
      <w:r w:rsidR="00460FBE">
        <w:rPr>
          <w:sz w:val="24"/>
          <w:szCs w:val="24"/>
        </w:rPr>
        <w:t xml:space="preserve">by </w:t>
      </w:r>
      <w:r w:rsidR="008D450A">
        <w:rPr>
          <w:sz w:val="24"/>
          <w:szCs w:val="24"/>
        </w:rPr>
        <w:t xml:space="preserve">the </w:t>
      </w:r>
      <w:r w:rsidR="00CA0835">
        <w:rPr>
          <w:sz w:val="24"/>
          <w:szCs w:val="24"/>
        </w:rPr>
        <w:t>NARFS</w:t>
      </w:r>
      <w:r w:rsidR="008D450A" w:rsidRPr="009A3EE6">
        <w:rPr>
          <w:sz w:val="24"/>
          <w:szCs w:val="24"/>
        </w:rPr>
        <w:t xml:space="preserve"> will be </w:t>
      </w:r>
      <w:r w:rsidR="003C0D37" w:rsidRPr="009A3EE6">
        <w:rPr>
          <w:sz w:val="24"/>
          <w:szCs w:val="24"/>
        </w:rPr>
        <w:t xml:space="preserve">used </w:t>
      </w:r>
      <w:r w:rsidR="008D450A" w:rsidRPr="009A3EE6">
        <w:rPr>
          <w:sz w:val="24"/>
          <w:szCs w:val="24"/>
        </w:rPr>
        <w:t xml:space="preserve">as input into a bioeconomic model that is currently used to determine </w:t>
      </w:r>
      <w:r w:rsidR="00963E13" w:rsidRPr="009A3EE6">
        <w:rPr>
          <w:sz w:val="24"/>
          <w:szCs w:val="24"/>
        </w:rPr>
        <w:t xml:space="preserve">recreational </w:t>
      </w:r>
      <w:r w:rsidR="008D450A" w:rsidRPr="009A3EE6">
        <w:rPr>
          <w:sz w:val="24"/>
          <w:szCs w:val="24"/>
        </w:rPr>
        <w:t xml:space="preserve">fishing regulations for </w:t>
      </w:r>
      <w:r w:rsidR="00ED47DF">
        <w:rPr>
          <w:sz w:val="24"/>
          <w:szCs w:val="24"/>
        </w:rPr>
        <w:t xml:space="preserve">North </w:t>
      </w:r>
      <w:r w:rsidR="008D450A" w:rsidRPr="009A3EE6">
        <w:rPr>
          <w:sz w:val="24"/>
          <w:szCs w:val="24"/>
        </w:rPr>
        <w:t>Atlantic cod and haddock</w:t>
      </w:r>
      <w:r w:rsidRPr="009A3EE6">
        <w:rPr>
          <w:sz w:val="24"/>
          <w:szCs w:val="24"/>
        </w:rPr>
        <w:t xml:space="preserve"> (</w:t>
      </w:r>
      <w:r w:rsidR="009A3EE6" w:rsidRPr="009A3EE6">
        <w:rPr>
          <w:sz w:val="24"/>
          <w:szCs w:val="24"/>
        </w:rPr>
        <w:t xml:space="preserve">83 </w:t>
      </w:r>
      <w:r w:rsidR="009A3EE6" w:rsidRPr="009A3EE6">
        <w:rPr>
          <w:i/>
          <w:sz w:val="24"/>
          <w:szCs w:val="24"/>
        </w:rPr>
        <w:t>Federal Register</w:t>
      </w:r>
      <w:r w:rsidR="009A3EE6" w:rsidRPr="009A3EE6">
        <w:rPr>
          <w:sz w:val="24"/>
          <w:szCs w:val="24"/>
        </w:rPr>
        <w:t xml:space="preserve"> 18972</w:t>
      </w:r>
      <w:r w:rsidRPr="009A3EE6">
        <w:rPr>
          <w:sz w:val="24"/>
          <w:szCs w:val="24"/>
        </w:rPr>
        <w:t>)</w:t>
      </w:r>
      <w:r w:rsidR="00AD31E9">
        <w:rPr>
          <w:sz w:val="24"/>
          <w:szCs w:val="24"/>
        </w:rPr>
        <w:t xml:space="preserve">. </w:t>
      </w:r>
      <w:r w:rsidR="00834012">
        <w:rPr>
          <w:sz w:val="24"/>
          <w:szCs w:val="24"/>
        </w:rPr>
        <w:t xml:space="preserve">Our response to question B2 provides an overview of the statistical model to be estimated using </w:t>
      </w:r>
      <w:r w:rsidR="00CA0835">
        <w:rPr>
          <w:sz w:val="24"/>
          <w:szCs w:val="24"/>
        </w:rPr>
        <w:t>NARFS</w:t>
      </w:r>
      <w:r w:rsidR="00834012">
        <w:rPr>
          <w:sz w:val="24"/>
          <w:szCs w:val="24"/>
        </w:rPr>
        <w:t xml:space="preserve"> data and </w:t>
      </w:r>
      <w:r w:rsidR="00AF263A" w:rsidRPr="009A3EE6">
        <w:rPr>
          <w:sz w:val="24"/>
          <w:szCs w:val="24"/>
        </w:rPr>
        <w:fldChar w:fldCharType="begin" w:fldLock="1"/>
      </w:r>
      <w:r w:rsidR="00AF263A" w:rsidRPr="009A3EE6">
        <w:rPr>
          <w:sz w:val="24"/>
          <w:szCs w:val="24"/>
        </w:rPr>
        <w:instrText>ADDIN CSL_CITATION {"citationItems":[{"id":"ITEM-1","itemData":{"author":[{"dropping-particle":"","family":"Lee","given":"Min-Yang","non-dropping-particle":"","parse-names":false,"suffix":""},{"dropping-particle":"","family":"Steinback","given":"Scott","non-dropping-particle":"","parse-names":false,"suffix":""},{"dropping-particle":"","family":"Wallmo","given":"Kristy","non-dropping-particle":"","parse-names":false,"suffix":""}],"id":"ITEM-1","issue":"2","issued":{"date-parts":[["2017"]]},"title":"Applying a Bioeconomic Model to Recreational Fisheries Management: Groundfish in the Northeast United States","type":"article-journal","volume":"32"},"uris":["http://www.mendeley.com/documents/?uuid=4f37fc22-8d06-4d2c-980e-76316c4427d3"]}],"mendeley":{"formattedCitation":"(Lee, Steinback, and Wallmo 2017)","manualFormatting":"Lee et al. (2017)","plainTextFormattedCitation":"(Lee, Steinback, and Wallmo 2017)","previouslyFormattedCitation":"(Lee, Steinback, and Wallmo 2017)"},"properties":{"noteIndex":0},"schema":"https://github.com/citation-style-language/schema/raw/master/csl-citation.json"}</w:instrText>
      </w:r>
      <w:r w:rsidR="00AF263A" w:rsidRPr="009A3EE6">
        <w:rPr>
          <w:sz w:val="24"/>
          <w:szCs w:val="24"/>
        </w:rPr>
        <w:fldChar w:fldCharType="separate"/>
      </w:r>
      <w:r w:rsidR="00AF263A" w:rsidRPr="009A3EE6">
        <w:rPr>
          <w:noProof/>
          <w:sz w:val="24"/>
          <w:szCs w:val="24"/>
        </w:rPr>
        <w:t>Lee et al. (2017)</w:t>
      </w:r>
      <w:r w:rsidR="00AF263A" w:rsidRPr="009A3EE6">
        <w:rPr>
          <w:sz w:val="24"/>
          <w:szCs w:val="24"/>
        </w:rPr>
        <w:fldChar w:fldCharType="end"/>
      </w:r>
      <w:r w:rsidR="00AF263A" w:rsidRPr="009A3EE6">
        <w:rPr>
          <w:sz w:val="24"/>
          <w:szCs w:val="24"/>
        </w:rPr>
        <w:t xml:space="preserve"> </w:t>
      </w:r>
      <w:r w:rsidR="00834012">
        <w:rPr>
          <w:sz w:val="24"/>
          <w:szCs w:val="24"/>
        </w:rPr>
        <w:t>describes and illustrates</w:t>
      </w:r>
      <w:r w:rsidR="00C9749F" w:rsidRPr="009A3EE6">
        <w:rPr>
          <w:sz w:val="24"/>
          <w:szCs w:val="24"/>
        </w:rPr>
        <w:t xml:space="preserve"> </w:t>
      </w:r>
      <w:r w:rsidR="00834012">
        <w:rPr>
          <w:sz w:val="24"/>
          <w:szCs w:val="24"/>
        </w:rPr>
        <w:t xml:space="preserve">how the results of this model are integrated with the biological component of the bioeconomic </w:t>
      </w:r>
      <w:r w:rsidR="00AF263A" w:rsidRPr="009A3EE6">
        <w:rPr>
          <w:sz w:val="24"/>
          <w:szCs w:val="24"/>
        </w:rPr>
        <w:t>model</w:t>
      </w:r>
      <w:r w:rsidR="00834012">
        <w:rPr>
          <w:sz w:val="24"/>
          <w:szCs w:val="24"/>
        </w:rPr>
        <w:t xml:space="preserve"> described above</w:t>
      </w:r>
      <w:r w:rsidR="008D450A" w:rsidRPr="009A3EE6">
        <w:rPr>
          <w:sz w:val="24"/>
          <w:szCs w:val="24"/>
        </w:rPr>
        <w:t xml:space="preserve">. </w:t>
      </w:r>
      <w:r w:rsidR="00C91521">
        <w:rPr>
          <w:sz w:val="24"/>
          <w:szCs w:val="24"/>
        </w:rPr>
        <w:t>S</w:t>
      </w:r>
      <w:r w:rsidR="00AF263A" w:rsidRPr="009A3EE6">
        <w:rPr>
          <w:sz w:val="24"/>
          <w:szCs w:val="24"/>
        </w:rPr>
        <w:t>ince 2013,</w:t>
      </w:r>
      <w:r w:rsidR="00363D78">
        <w:rPr>
          <w:sz w:val="24"/>
          <w:szCs w:val="24"/>
        </w:rPr>
        <w:t xml:space="preserve"> the</w:t>
      </w:r>
      <w:r w:rsidR="00AF263A" w:rsidRPr="009A3EE6">
        <w:rPr>
          <w:sz w:val="24"/>
          <w:szCs w:val="24"/>
        </w:rPr>
        <w:t xml:space="preserve"> NEFSC </w:t>
      </w:r>
      <w:r w:rsidR="00C91521">
        <w:rPr>
          <w:sz w:val="24"/>
          <w:szCs w:val="24"/>
        </w:rPr>
        <w:t>ha</w:t>
      </w:r>
      <w:r w:rsidR="00363D78">
        <w:rPr>
          <w:sz w:val="24"/>
          <w:szCs w:val="24"/>
        </w:rPr>
        <w:t>s</w:t>
      </w:r>
      <w:r w:rsidR="00C91521">
        <w:rPr>
          <w:sz w:val="24"/>
          <w:szCs w:val="24"/>
        </w:rPr>
        <w:t xml:space="preserve"> used the model </w:t>
      </w:r>
      <w:r w:rsidR="00F87F3F">
        <w:rPr>
          <w:sz w:val="24"/>
          <w:szCs w:val="24"/>
        </w:rPr>
        <w:t xml:space="preserve">annually </w:t>
      </w:r>
      <w:r w:rsidR="00C91521">
        <w:rPr>
          <w:sz w:val="24"/>
          <w:szCs w:val="24"/>
        </w:rPr>
        <w:t xml:space="preserve">to </w:t>
      </w:r>
      <w:r w:rsidR="002D6ADE">
        <w:rPr>
          <w:sz w:val="24"/>
          <w:szCs w:val="24"/>
        </w:rPr>
        <w:t>predict</w:t>
      </w:r>
      <w:r w:rsidR="00AF263A" w:rsidRPr="009A3EE6">
        <w:rPr>
          <w:sz w:val="24"/>
          <w:szCs w:val="24"/>
        </w:rPr>
        <w:t xml:space="preserve"> </w:t>
      </w:r>
      <w:r w:rsidR="002D6ADE">
        <w:rPr>
          <w:sz w:val="24"/>
          <w:szCs w:val="24"/>
        </w:rPr>
        <w:t xml:space="preserve">how </w:t>
      </w:r>
      <w:r w:rsidR="00AF263A" w:rsidRPr="009A3EE6">
        <w:rPr>
          <w:sz w:val="24"/>
          <w:szCs w:val="24"/>
        </w:rPr>
        <w:t>proposed fishing regulations</w:t>
      </w:r>
      <w:r w:rsidR="00AF263A">
        <w:rPr>
          <w:sz w:val="24"/>
          <w:szCs w:val="24"/>
        </w:rPr>
        <w:t xml:space="preserve"> </w:t>
      </w:r>
      <w:r w:rsidR="002D6ADE">
        <w:rPr>
          <w:sz w:val="24"/>
          <w:szCs w:val="24"/>
        </w:rPr>
        <w:t>affect</w:t>
      </w:r>
      <w:r w:rsidR="00AF263A" w:rsidRPr="008D450A">
        <w:rPr>
          <w:sz w:val="24"/>
          <w:szCs w:val="24"/>
        </w:rPr>
        <w:t xml:space="preserve"> angler welfare, angler effort, fishing mortality</w:t>
      </w:r>
      <w:r w:rsidR="00AF263A">
        <w:rPr>
          <w:sz w:val="24"/>
          <w:szCs w:val="24"/>
        </w:rPr>
        <w:t xml:space="preserve">, </w:t>
      </w:r>
      <w:r w:rsidR="00AF263A" w:rsidRPr="008D450A">
        <w:rPr>
          <w:sz w:val="24"/>
          <w:szCs w:val="24"/>
        </w:rPr>
        <w:t>and future stock levels</w:t>
      </w:r>
      <w:r w:rsidR="00AF263A">
        <w:rPr>
          <w:sz w:val="24"/>
          <w:szCs w:val="24"/>
        </w:rPr>
        <w:t xml:space="preserve">. </w:t>
      </w:r>
      <w:r w:rsidR="00283B65">
        <w:rPr>
          <w:sz w:val="24"/>
          <w:szCs w:val="24"/>
        </w:rPr>
        <w:t xml:space="preserve">The Northeast Fishery Management Council (NEFMC), in turn, </w:t>
      </w:r>
      <w:r w:rsidR="00F87F3F">
        <w:rPr>
          <w:sz w:val="24"/>
          <w:szCs w:val="24"/>
        </w:rPr>
        <w:t>select</w:t>
      </w:r>
      <w:r w:rsidR="001931AE">
        <w:rPr>
          <w:sz w:val="24"/>
          <w:szCs w:val="24"/>
        </w:rPr>
        <w:t>s</w:t>
      </w:r>
      <w:r w:rsidR="00F87F3F">
        <w:rPr>
          <w:sz w:val="24"/>
          <w:szCs w:val="24"/>
        </w:rPr>
        <w:t xml:space="preserve"> </w:t>
      </w:r>
      <w:r w:rsidR="00ED47DF">
        <w:rPr>
          <w:sz w:val="24"/>
          <w:szCs w:val="24"/>
        </w:rPr>
        <w:t>management options</w:t>
      </w:r>
      <w:r w:rsidR="00283B65">
        <w:rPr>
          <w:sz w:val="24"/>
          <w:szCs w:val="24"/>
        </w:rPr>
        <w:t xml:space="preserve"> </w:t>
      </w:r>
      <w:r w:rsidR="00F87F3F">
        <w:rPr>
          <w:sz w:val="24"/>
          <w:szCs w:val="24"/>
        </w:rPr>
        <w:t xml:space="preserve">that are </w:t>
      </w:r>
      <w:r w:rsidR="00283B65">
        <w:rPr>
          <w:sz w:val="24"/>
          <w:szCs w:val="24"/>
        </w:rPr>
        <w:t xml:space="preserve">predicted </w:t>
      </w:r>
      <w:r w:rsidR="00F87F3F">
        <w:rPr>
          <w:sz w:val="24"/>
          <w:szCs w:val="24"/>
        </w:rPr>
        <w:t xml:space="preserve">to have the highest probability of achieving target allowable catch limits for both species. </w:t>
      </w:r>
    </w:p>
    <w:p w14:paraId="0254936C" w14:textId="2D319244" w:rsidR="00E12028" w:rsidRDefault="00E12028" w:rsidP="00E12028">
      <w:pPr>
        <w:contextualSpacing/>
        <w:rPr>
          <w:sz w:val="24"/>
          <w:szCs w:val="24"/>
        </w:rPr>
      </w:pPr>
    </w:p>
    <w:p w14:paraId="5D5670D6" w14:textId="25C2D5FE" w:rsidR="00B80DC0" w:rsidRDefault="00B80DC0" w:rsidP="00B80DC0">
      <w:pPr>
        <w:tabs>
          <w:tab w:val="left" w:pos="720"/>
        </w:tabs>
        <w:contextualSpacing/>
        <w:rPr>
          <w:sz w:val="24"/>
          <w:szCs w:val="24"/>
        </w:rPr>
      </w:pPr>
      <w:r>
        <w:rPr>
          <w:sz w:val="24"/>
          <w:szCs w:val="24"/>
        </w:rPr>
        <w:t xml:space="preserve">The bioeconomic model currently uses economic data derived from an angler survey that was implemented in 2014, yet there exist several limitations of these data that necessitate new primary data that the 2019 </w:t>
      </w:r>
      <w:r w:rsidR="00CA0835">
        <w:rPr>
          <w:sz w:val="24"/>
          <w:szCs w:val="24"/>
        </w:rPr>
        <w:t>NARFS</w:t>
      </w:r>
      <w:r>
        <w:rPr>
          <w:sz w:val="24"/>
          <w:szCs w:val="24"/>
        </w:rPr>
        <w:t xml:space="preserve"> will collect. </w:t>
      </w:r>
    </w:p>
    <w:p w14:paraId="58339FB3" w14:textId="77777777" w:rsidR="00B80DC0" w:rsidRDefault="00B80DC0" w:rsidP="00B80DC0">
      <w:pPr>
        <w:tabs>
          <w:tab w:val="left" w:pos="720"/>
        </w:tabs>
        <w:contextualSpacing/>
        <w:rPr>
          <w:sz w:val="24"/>
          <w:szCs w:val="24"/>
        </w:rPr>
      </w:pPr>
    </w:p>
    <w:p w14:paraId="36F3F5D6" w14:textId="77777777" w:rsidR="004A1291" w:rsidRDefault="00B80DC0" w:rsidP="00B80DC0">
      <w:pPr>
        <w:tabs>
          <w:tab w:val="left" w:pos="720"/>
        </w:tabs>
        <w:contextualSpacing/>
        <w:rPr>
          <w:sz w:val="24"/>
          <w:szCs w:val="24"/>
        </w:rPr>
      </w:pPr>
      <w:r>
        <w:rPr>
          <w:sz w:val="24"/>
          <w:szCs w:val="24"/>
        </w:rPr>
        <w:t xml:space="preserve">First, it is likely that angler targeting behavior and preferences for </w:t>
      </w:r>
      <w:r w:rsidR="00ED47DF">
        <w:rPr>
          <w:sz w:val="24"/>
          <w:szCs w:val="24"/>
        </w:rPr>
        <w:t xml:space="preserve">North </w:t>
      </w:r>
      <w:r>
        <w:rPr>
          <w:sz w:val="24"/>
          <w:szCs w:val="24"/>
        </w:rPr>
        <w:t xml:space="preserve">Atlantic cod and haddock have shifted since the 2014 data collection effort in response to major policy changes. </w:t>
      </w:r>
    </w:p>
    <w:p w14:paraId="4F828DB0" w14:textId="1ADAF382" w:rsidR="00B80DC0" w:rsidRDefault="004A1291" w:rsidP="00B80DC0">
      <w:pPr>
        <w:tabs>
          <w:tab w:val="left" w:pos="720"/>
        </w:tabs>
        <w:contextualSpacing/>
        <w:rPr>
          <w:sz w:val="24"/>
          <w:szCs w:val="24"/>
        </w:rPr>
      </w:pPr>
      <w:r>
        <w:rPr>
          <w:sz w:val="24"/>
          <w:szCs w:val="24"/>
        </w:rPr>
        <w:t>In response to results of a stock assessment that estimated the 2014 population of North Atlantic cod to be near historically low levels, recreational fishery managers reduced the recreational possession limit from 9 cod in 2014 to 0 cod in 2015,</w:t>
      </w:r>
      <w:r w:rsidRPr="004A1291">
        <w:rPr>
          <w:sz w:val="24"/>
          <w:szCs w:val="24"/>
        </w:rPr>
        <w:t xml:space="preserve"> </w:t>
      </w:r>
      <w:r>
        <w:rPr>
          <w:sz w:val="24"/>
          <w:szCs w:val="24"/>
        </w:rPr>
        <w:t xml:space="preserve">imposing for the first time a full moratorium on the recreational harvest of North Atlantic cod. </w:t>
      </w:r>
      <w:r w:rsidR="00B80DC0">
        <w:rPr>
          <w:sz w:val="24"/>
          <w:szCs w:val="24"/>
        </w:rPr>
        <w:t xml:space="preserve">Since 2015, daily recreational possession limits for </w:t>
      </w:r>
      <w:r w:rsidR="00ED47DF">
        <w:rPr>
          <w:sz w:val="24"/>
          <w:szCs w:val="24"/>
        </w:rPr>
        <w:t xml:space="preserve">North </w:t>
      </w:r>
      <w:r w:rsidR="00B80DC0">
        <w:rPr>
          <w:sz w:val="24"/>
          <w:szCs w:val="24"/>
        </w:rPr>
        <w:t>Atlantic cod have fluctuated annually between zero and one fish. It is plausible that during this period, some anglers have shifted their targeting behavior by taking more trips for haddock instead of cod,</w:t>
      </w:r>
      <w:r w:rsidR="00B80DC0" w:rsidRPr="002C1C15">
        <w:rPr>
          <w:sz w:val="24"/>
          <w:szCs w:val="24"/>
        </w:rPr>
        <w:t xml:space="preserve"> </w:t>
      </w:r>
      <w:r w:rsidR="00B80DC0">
        <w:rPr>
          <w:sz w:val="24"/>
          <w:szCs w:val="24"/>
        </w:rPr>
        <w:t>for example, and hence have established a new set of fishing preferences for the two species. Because estimates of angler preferences for keeping and releasing cod and haddock form the basis for the bioeconomic model’s predictions, collecting contemporary cod and haddock angler preference data is critical for accurately predicting the likelihood of management success across the range of policy alternatives</w:t>
      </w:r>
      <w:r w:rsidR="00B80DC0" w:rsidRPr="00BD52C8">
        <w:rPr>
          <w:sz w:val="24"/>
          <w:szCs w:val="24"/>
        </w:rPr>
        <w:t xml:space="preserve"> </w:t>
      </w:r>
      <w:r w:rsidR="00B80DC0">
        <w:rPr>
          <w:sz w:val="24"/>
          <w:szCs w:val="24"/>
        </w:rPr>
        <w:t>that are proposed annually by the NEFMC.</w:t>
      </w:r>
    </w:p>
    <w:p w14:paraId="5E8275D9" w14:textId="77777777" w:rsidR="00B80DC0" w:rsidRDefault="00B80DC0" w:rsidP="00B80DC0">
      <w:pPr>
        <w:tabs>
          <w:tab w:val="left" w:pos="720"/>
        </w:tabs>
        <w:contextualSpacing/>
        <w:rPr>
          <w:sz w:val="24"/>
          <w:szCs w:val="24"/>
        </w:rPr>
      </w:pPr>
    </w:p>
    <w:p w14:paraId="4DEFE8A9" w14:textId="6290047F" w:rsidR="00B80DC0" w:rsidRDefault="00B80DC0" w:rsidP="00B80DC0">
      <w:pPr>
        <w:tabs>
          <w:tab w:val="left" w:pos="720"/>
        </w:tabs>
        <w:contextualSpacing/>
        <w:rPr>
          <w:sz w:val="24"/>
          <w:szCs w:val="24"/>
        </w:rPr>
      </w:pPr>
      <w:r>
        <w:rPr>
          <w:sz w:val="24"/>
          <w:szCs w:val="24"/>
        </w:rPr>
        <w:t xml:space="preserve">Additionally, the </w:t>
      </w:r>
      <w:r w:rsidR="00CA0835">
        <w:rPr>
          <w:sz w:val="24"/>
          <w:szCs w:val="24"/>
        </w:rPr>
        <w:t>NARFS</w:t>
      </w:r>
      <w:r>
        <w:rPr>
          <w:sz w:val="24"/>
          <w:szCs w:val="24"/>
        </w:rPr>
        <w:t xml:space="preserve"> data collection effort is more narrowly focused than the 2014 data </w:t>
      </w:r>
      <w:r>
        <w:rPr>
          <w:sz w:val="24"/>
          <w:szCs w:val="24"/>
        </w:rPr>
        <w:lastRenderedPageBreak/>
        <w:t xml:space="preserve">collection effort. We intend to collect the information necessary to assess angler preferences for cod and haddock, whereas information regarding an additional groundfish species, pollock, was sought in the 2014 survey effort. While seemingly minute, this difference could have considerable influence on the results of the ensuing angler behavioral model. Excluding pollock from the scope of the </w:t>
      </w:r>
      <w:r w:rsidR="00CA0835">
        <w:rPr>
          <w:sz w:val="24"/>
          <w:szCs w:val="24"/>
        </w:rPr>
        <w:t>NARFS</w:t>
      </w:r>
      <w:r>
        <w:rPr>
          <w:sz w:val="24"/>
          <w:szCs w:val="24"/>
        </w:rPr>
        <w:t xml:space="preserve"> is also warranted given that the policy-guiding bioeconomic</w:t>
      </w:r>
      <w:r w:rsidRPr="0044306C">
        <w:rPr>
          <w:sz w:val="24"/>
          <w:szCs w:val="24"/>
        </w:rPr>
        <w:t xml:space="preserve"> </w:t>
      </w:r>
      <w:r>
        <w:rPr>
          <w:sz w:val="24"/>
          <w:szCs w:val="24"/>
        </w:rPr>
        <w:t xml:space="preserve">model for which these data are used applies only to the recreational </w:t>
      </w:r>
      <w:r w:rsidR="00ED47DF">
        <w:rPr>
          <w:sz w:val="24"/>
          <w:szCs w:val="24"/>
        </w:rPr>
        <w:t xml:space="preserve">North </w:t>
      </w:r>
      <w:r>
        <w:rPr>
          <w:sz w:val="24"/>
          <w:szCs w:val="24"/>
        </w:rPr>
        <w:t xml:space="preserve">Atlantic cod and haddock fisheries.  </w:t>
      </w:r>
    </w:p>
    <w:p w14:paraId="07BD8BA4" w14:textId="77777777" w:rsidR="00B80DC0" w:rsidRDefault="00B80DC0" w:rsidP="00B80DC0">
      <w:pPr>
        <w:tabs>
          <w:tab w:val="left" w:pos="720"/>
        </w:tabs>
        <w:contextualSpacing/>
        <w:rPr>
          <w:sz w:val="24"/>
          <w:szCs w:val="24"/>
        </w:rPr>
      </w:pPr>
    </w:p>
    <w:p w14:paraId="0DA2C9CE" w14:textId="6CB05789" w:rsidR="00B80DC0" w:rsidRDefault="00B80DC0" w:rsidP="00B80DC0">
      <w:pPr>
        <w:tabs>
          <w:tab w:val="left" w:pos="720"/>
        </w:tabs>
        <w:contextualSpacing/>
        <w:rPr>
          <w:sz w:val="24"/>
          <w:szCs w:val="24"/>
        </w:rPr>
      </w:pPr>
      <w:r>
        <w:rPr>
          <w:sz w:val="24"/>
          <w:szCs w:val="24"/>
        </w:rPr>
        <w:t xml:space="preserve">Finally, feedback from recent focus groups aimed at refining the </w:t>
      </w:r>
      <w:r w:rsidR="00CA0835">
        <w:rPr>
          <w:sz w:val="24"/>
          <w:szCs w:val="24"/>
        </w:rPr>
        <w:t>NARFS</w:t>
      </w:r>
      <w:r>
        <w:rPr>
          <w:sz w:val="24"/>
          <w:szCs w:val="24"/>
        </w:rPr>
        <w:t xml:space="preserve"> survey instrument highlight the need for improving the clarity of the </w:t>
      </w:r>
      <w:r w:rsidRPr="0044306C">
        <w:rPr>
          <w:sz w:val="24"/>
          <w:szCs w:val="24"/>
        </w:rPr>
        <w:t xml:space="preserve">choice experiment (CE) </w:t>
      </w:r>
      <w:r>
        <w:rPr>
          <w:sz w:val="24"/>
          <w:szCs w:val="24"/>
        </w:rPr>
        <w:t xml:space="preserve">questions, a critical component the survey discussed in more detail in A2. The 2014 survey contained these </w:t>
      </w:r>
      <w:r w:rsidR="00467386">
        <w:rPr>
          <w:sz w:val="24"/>
          <w:szCs w:val="24"/>
        </w:rPr>
        <w:t xml:space="preserve">types of </w:t>
      </w:r>
      <w:r>
        <w:rPr>
          <w:sz w:val="24"/>
          <w:szCs w:val="24"/>
        </w:rPr>
        <w:t>questions</w:t>
      </w:r>
      <w:r w:rsidR="00082D4B">
        <w:rPr>
          <w:sz w:val="24"/>
          <w:szCs w:val="24"/>
        </w:rPr>
        <w:t xml:space="preserve">, </w:t>
      </w:r>
      <w:r w:rsidR="00467386">
        <w:rPr>
          <w:sz w:val="24"/>
          <w:szCs w:val="24"/>
        </w:rPr>
        <w:t xml:space="preserve">and </w:t>
      </w:r>
      <w:r>
        <w:rPr>
          <w:sz w:val="24"/>
          <w:szCs w:val="24"/>
        </w:rPr>
        <w:t>similar versions</w:t>
      </w:r>
      <w:r w:rsidR="00082D4B">
        <w:rPr>
          <w:sz w:val="24"/>
          <w:szCs w:val="24"/>
        </w:rPr>
        <w:t xml:space="preserve"> </w:t>
      </w:r>
      <w:r w:rsidR="00467386">
        <w:rPr>
          <w:sz w:val="24"/>
          <w:szCs w:val="24"/>
        </w:rPr>
        <w:t xml:space="preserve">of them </w:t>
      </w:r>
      <w:r>
        <w:rPr>
          <w:sz w:val="24"/>
          <w:szCs w:val="24"/>
        </w:rPr>
        <w:t xml:space="preserve">will be </w:t>
      </w:r>
      <w:r w:rsidR="00467386">
        <w:rPr>
          <w:sz w:val="24"/>
          <w:szCs w:val="24"/>
        </w:rPr>
        <w:t xml:space="preserve">appear </w:t>
      </w:r>
      <w:r>
        <w:rPr>
          <w:sz w:val="24"/>
          <w:szCs w:val="24"/>
        </w:rPr>
        <w:t xml:space="preserve">in the </w:t>
      </w:r>
      <w:r w:rsidR="00CA0835">
        <w:rPr>
          <w:sz w:val="24"/>
          <w:szCs w:val="24"/>
        </w:rPr>
        <w:t>NARFS</w:t>
      </w:r>
      <w:r>
        <w:rPr>
          <w:sz w:val="24"/>
          <w:szCs w:val="24"/>
        </w:rPr>
        <w:t xml:space="preserve">. During the focus groups, we presented participants with several versions of these questions, each containing the same information but differing in how the information was displayed. </w:t>
      </w:r>
      <w:r w:rsidR="00CA0835">
        <w:rPr>
          <w:sz w:val="24"/>
          <w:szCs w:val="24"/>
        </w:rPr>
        <w:t>NARFS</w:t>
      </w:r>
      <w:r>
        <w:rPr>
          <w:sz w:val="24"/>
          <w:szCs w:val="24"/>
        </w:rPr>
        <w:t xml:space="preserve"> focus groups participants unanimously found these questions more difficult to answer</w:t>
      </w:r>
      <w:r w:rsidRPr="0061708B">
        <w:rPr>
          <w:sz w:val="24"/>
          <w:szCs w:val="24"/>
        </w:rPr>
        <w:t xml:space="preserve"> </w:t>
      </w:r>
      <w:r>
        <w:rPr>
          <w:sz w:val="24"/>
          <w:szCs w:val="24"/>
        </w:rPr>
        <w:t>wh</w:t>
      </w:r>
      <w:r w:rsidR="00DB2277">
        <w:rPr>
          <w:sz w:val="24"/>
          <w:szCs w:val="24"/>
        </w:rPr>
        <w:t xml:space="preserve">en displayed in the 2014 format </w:t>
      </w:r>
      <w:r>
        <w:rPr>
          <w:sz w:val="24"/>
          <w:szCs w:val="24"/>
        </w:rPr>
        <w:t>compared to when we displayed them in alternative formats.</w:t>
      </w:r>
      <w:r w:rsidRPr="0061708B">
        <w:rPr>
          <w:sz w:val="24"/>
          <w:szCs w:val="24"/>
        </w:rPr>
        <w:t xml:space="preserve"> </w:t>
      </w:r>
      <w:r>
        <w:rPr>
          <w:sz w:val="24"/>
          <w:szCs w:val="24"/>
        </w:rPr>
        <w:t xml:space="preserve">We believe that clarifying these questions will improve the quality of data </w:t>
      </w:r>
      <w:r w:rsidR="007275BE">
        <w:rPr>
          <w:sz w:val="24"/>
          <w:szCs w:val="24"/>
        </w:rPr>
        <w:t xml:space="preserve">used in the bioeconomic model described above, potentially allowing for more accurate predictions of anglers’ behavioral response to regulatory changes. </w:t>
      </w:r>
    </w:p>
    <w:p w14:paraId="61C4FE23" w14:textId="77777777" w:rsidR="00B80DC0" w:rsidRDefault="00B80DC0" w:rsidP="00E12028">
      <w:pPr>
        <w:contextualSpacing/>
        <w:rPr>
          <w:sz w:val="24"/>
          <w:szCs w:val="24"/>
        </w:rPr>
      </w:pPr>
    </w:p>
    <w:p w14:paraId="498C9558" w14:textId="2B2B0067" w:rsidR="006F51A7" w:rsidRPr="00C9749F" w:rsidRDefault="006F51A7" w:rsidP="00E12028">
      <w:pPr>
        <w:contextualSpacing/>
        <w:rPr>
          <w:sz w:val="24"/>
          <w:szCs w:val="24"/>
        </w:rPr>
      </w:pPr>
      <w:r w:rsidRPr="00C9749F">
        <w:rPr>
          <w:sz w:val="24"/>
          <w:szCs w:val="24"/>
        </w:rPr>
        <w:t xml:space="preserve">Overall, the data and models reliant on such data will inform management decisions of the </w:t>
      </w:r>
      <w:r w:rsidR="001D235D" w:rsidRPr="00C9749F">
        <w:rPr>
          <w:sz w:val="24"/>
          <w:szCs w:val="24"/>
        </w:rPr>
        <w:t>NEFMC</w:t>
      </w:r>
      <w:r w:rsidRPr="00C9749F">
        <w:rPr>
          <w:sz w:val="24"/>
          <w:szCs w:val="24"/>
        </w:rPr>
        <w:t xml:space="preserve">, operating under the authority of the </w:t>
      </w:r>
      <w:hyperlink r:id="rId9" w:history="1">
        <w:r w:rsidRPr="00C9749F">
          <w:rPr>
            <w:rStyle w:val="Hyperlink"/>
            <w:color w:val="auto"/>
            <w:sz w:val="24"/>
            <w:szCs w:val="24"/>
            <w:u w:val="none"/>
          </w:rPr>
          <w:t xml:space="preserve">Magnuson-Stevens Fishery Conservation and Management Act </w:t>
        </w:r>
      </w:hyperlink>
      <w:r w:rsidRPr="00C9749F">
        <w:rPr>
          <w:sz w:val="24"/>
          <w:szCs w:val="24"/>
        </w:rPr>
        <w:t>(16 US.C. 1801 et seq</w:t>
      </w:r>
      <w:r w:rsidR="008F6EC7">
        <w:rPr>
          <w:sz w:val="24"/>
          <w:szCs w:val="24"/>
        </w:rPr>
        <w:t>.</w:t>
      </w:r>
      <w:r w:rsidRPr="00C9749F">
        <w:rPr>
          <w:sz w:val="24"/>
          <w:szCs w:val="24"/>
        </w:rPr>
        <w:t>)</w:t>
      </w:r>
      <w:r w:rsidR="00B12896" w:rsidRPr="00C9749F">
        <w:rPr>
          <w:sz w:val="24"/>
          <w:szCs w:val="24"/>
        </w:rPr>
        <w:t>.</w:t>
      </w:r>
    </w:p>
    <w:p w14:paraId="314A2929" w14:textId="77777777" w:rsidR="001D235D" w:rsidRDefault="001D235D" w:rsidP="00F9028B">
      <w:pPr>
        <w:tabs>
          <w:tab w:val="left" w:pos="720"/>
        </w:tabs>
        <w:contextualSpacing/>
        <w:rPr>
          <w:sz w:val="24"/>
          <w:szCs w:val="24"/>
        </w:rPr>
      </w:pPr>
    </w:p>
    <w:p w14:paraId="0519DBB8" w14:textId="1EDA175D" w:rsidR="00583309" w:rsidRPr="00E12028" w:rsidRDefault="00583309" w:rsidP="0094229B">
      <w:pPr>
        <w:pStyle w:val="Style2"/>
      </w:pPr>
      <w:r w:rsidRPr="00E12028">
        <w:rPr>
          <w:lang w:val="en-CA"/>
        </w:rPr>
        <w:fldChar w:fldCharType="begin"/>
      </w:r>
      <w:r w:rsidRPr="00E12028">
        <w:rPr>
          <w:lang w:val="en-CA"/>
        </w:rPr>
        <w:instrText xml:space="preserve"> SEQ CHAPTER \h \r 1</w:instrText>
      </w:r>
      <w:r w:rsidRPr="00E12028">
        <w:rPr>
          <w:lang w:val="en-CA"/>
        </w:rPr>
        <w:fldChar w:fldCharType="end"/>
      </w:r>
      <w:r w:rsidRPr="00E12028">
        <w:t xml:space="preserve">Explain how, by whom, how frequently, and for what purpose the information will be used.  </w:t>
      </w:r>
      <w:r w:rsidRPr="00E12028">
        <w:rPr>
          <w:lang w:val="en-CA"/>
        </w:rPr>
        <w:fldChar w:fldCharType="begin"/>
      </w:r>
      <w:r w:rsidRPr="00E12028">
        <w:rPr>
          <w:lang w:val="en-CA"/>
        </w:rPr>
        <w:instrText xml:space="preserve"> SEQ CHAPTER \h \r 1</w:instrText>
      </w:r>
      <w:r w:rsidRPr="00E12028">
        <w:rPr>
          <w:lang w:val="en-CA"/>
        </w:rPr>
        <w:fldChar w:fldCharType="end"/>
      </w:r>
      <w:r w:rsidRPr="00E12028">
        <w:t xml:space="preserve">If the information collected will be disseminated to the public or used to support information that will be disseminated to the public, then explain how the collection complies with all applicable Information Quality Guidelines. </w:t>
      </w:r>
    </w:p>
    <w:p w14:paraId="2FBF0F32" w14:textId="77777777" w:rsidR="00D11456" w:rsidRPr="00EC50C9" w:rsidRDefault="00D11456" w:rsidP="00F9028B">
      <w:pPr>
        <w:pStyle w:val="ListParagraph"/>
        <w:ind w:left="360"/>
        <w:rPr>
          <w:i/>
          <w:sz w:val="24"/>
          <w:szCs w:val="24"/>
        </w:rPr>
      </w:pPr>
    </w:p>
    <w:p w14:paraId="721FE52E" w14:textId="28D1FB85" w:rsidR="00BE5DA2" w:rsidRDefault="00A34C54" w:rsidP="00E12028">
      <w:pPr>
        <w:contextualSpacing/>
        <w:rPr>
          <w:sz w:val="24"/>
          <w:szCs w:val="24"/>
        </w:rPr>
      </w:pPr>
      <w:r>
        <w:rPr>
          <w:sz w:val="24"/>
          <w:szCs w:val="24"/>
        </w:rPr>
        <w:t>The data collected from this survey</w:t>
      </w:r>
      <w:r w:rsidR="00EE3D5A" w:rsidRPr="0044306C">
        <w:rPr>
          <w:sz w:val="24"/>
          <w:szCs w:val="24"/>
        </w:rPr>
        <w:t xml:space="preserve"> </w:t>
      </w:r>
      <w:r w:rsidR="00BE5DA2">
        <w:rPr>
          <w:sz w:val="24"/>
          <w:szCs w:val="24"/>
        </w:rPr>
        <w:t xml:space="preserve">will be used to estimate a </w:t>
      </w:r>
      <w:r w:rsidR="0044306C" w:rsidRPr="0044306C">
        <w:rPr>
          <w:sz w:val="24"/>
          <w:szCs w:val="24"/>
        </w:rPr>
        <w:t xml:space="preserve">model of angler behavior, the economic component of the </w:t>
      </w:r>
      <w:r w:rsidR="0044306C">
        <w:rPr>
          <w:sz w:val="24"/>
          <w:szCs w:val="24"/>
        </w:rPr>
        <w:t>bioeconomic</w:t>
      </w:r>
      <w:r w:rsidR="0044306C" w:rsidRPr="0044306C">
        <w:rPr>
          <w:sz w:val="24"/>
          <w:szCs w:val="24"/>
        </w:rPr>
        <w:t xml:space="preserve"> model </w:t>
      </w:r>
      <w:r w:rsidR="00BE5DA2">
        <w:rPr>
          <w:sz w:val="24"/>
          <w:szCs w:val="24"/>
        </w:rPr>
        <w:t xml:space="preserve">described in </w:t>
      </w:r>
      <w:r w:rsidR="00B12896">
        <w:rPr>
          <w:sz w:val="24"/>
          <w:szCs w:val="24"/>
        </w:rPr>
        <w:t xml:space="preserve">our response to </w:t>
      </w:r>
      <w:r w:rsidR="004E2921">
        <w:rPr>
          <w:sz w:val="24"/>
          <w:szCs w:val="24"/>
        </w:rPr>
        <w:t xml:space="preserve">question </w:t>
      </w:r>
      <w:r w:rsidR="00BE5DA2">
        <w:rPr>
          <w:sz w:val="24"/>
          <w:szCs w:val="24"/>
        </w:rPr>
        <w:t xml:space="preserve">A1. This model will be used annually by NEFSC scientists to produce estimates of </w:t>
      </w:r>
      <w:r w:rsidR="00BE5DA2" w:rsidRPr="008D450A">
        <w:rPr>
          <w:sz w:val="24"/>
          <w:szCs w:val="24"/>
        </w:rPr>
        <w:t>angler welfare, angler effort, fishing mortality</w:t>
      </w:r>
      <w:r w:rsidR="00BE5DA2">
        <w:rPr>
          <w:sz w:val="24"/>
          <w:szCs w:val="24"/>
        </w:rPr>
        <w:t xml:space="preserve">, </w:t>
      </w:r>
      <w:r w:rsidR="00BE5DA2" w:rsidRPr="008D450A">
        <w:rPr>
          <w:sz w:val="24"/>
          <w:szCs w:val="24"/>
        </w:rPr>
        <w:t>and future stock levels</w:t>
      </w:r>
      <w:r w:rsidR="00BE5DA2">
        <w:rPr>
          <w:sz w:val="24"/>
          <w:szCs w:val="24"/>
        </w:rPr>
        <w:t xml:space="preserve"> conditional on proposed fishery manag</w:t>
      </w:r>
      <w:r w:rsidR="00C9749F">
        <w:rPr>
          <w:sz w:val="24"/>
          <w:szCs w:val="24"/>
        </w:rPr>
        <w:t xml:space="preserve">ement changes. These estimates </w:t>
      </w:r>
      <w:r w:rsidR="00BE5DA2">
        <w:rPr>
          <w:sz w:val="24"/>
          <w:szCs w:val="24"/>
        </w:rPr>
        <w:t>will be used by the NEFMC to select of annual recreational fishing regulations for Atlantic cod and haddock. Each section of the survey instrument is described in more detail below</w:t>
      </w:r>
      <w:r w:rsidR="005E301C">
        <w:rPr>
          <w:sz w:val="24"/>
          <w:szCs w:val="24"/>
        </w:rPr>
        <w:t>.</w:t>
      </w:r>
    </w:p>
    <w:p w14:paraId="4CA80893" w14:textId="77777777" w:rsidR="00BE5DA2" w:rsidRDefault="00BE5DA2" w:rsidP="00F9028B">
      <w:pPr>
        <w:contextualSpacing/>
        <w:rPr>
          <w:sz w:val="24"/>
          <w:szCs w:val="24"/>
        </w:rPr>
      </w:pPr>
    </w:p>
    <w:p w14:paraId="655DDAC6" w14:textId="247F3428" w:rsidR="005E301C" w:rsidRPr="00E12028" w:rsidRDefault="00DD4E8D" w:rsidP="00F9028B">
      <w:pPr>
        <w:contextualSpacing/>
        <w:rPr>
          <w:sz w:val="24"/>
          <w:szCs w:val="24"/>
          <w:u w:val="single"/>
        </w:rPr>
      </w:pPr>
      <w:r w:rsidRPr="00C77DB2">
        <w:rPr>
          <w:sz w:val="24"/>
          <w:szCs w:val="24"/>
          <w:u w:val="single"/>
        </w:rPr>
        <w:t>NARFS</w:t>
      </w:r>
      <w:r w:rsidR="00460FBE" w:rsidRPr="00A26BA0">
        <w:rPr>
          <w:sz w:val="24"/>
          <w:szCs w:val="24"/>
          <w:u w:val="single"/>
        </w:rPr>
        <w:t xml:space="preserve"> </w:t>
      </w:r>
      <w:r w:rsidR="005E301C" w:rsidRPr="00E12028">
        <w:rPr>
          <w:sz w:val="24"/>
          <w:szCs w:val="24"/>
          <w:u w:val="single"/>
        </w:rPr>
        <w:t xml:space="preserve">Section A: Your </w:t>
      </w:r>
      <w:r w:rsidR="00094BB7" w:rsidRPr="00E12028">
        <w:rPr>
          <w:sz w:val="24"/>
          <w:szCs w:val="24"/>
          <w:u w:val="single"/>
        </w:rPr>
        <w:t>Recreational</w:t>
      </w:r>
      <w:r w:rsidR="005E301C" w:rsidRPr="00E12028">
        <w:rPr>
          <w:sz w:val="24"/>
          <w:szCs w:val="24"/>
          <w:u w:val="single"/>
        </w:rPr>
        <w:t xml:space="preserve"> Fishing </w:t>
      </w:r>
      <w:r w:rsidR="00094BB7" w:rsidRPr="00E12028">
        <w:rPr>
          <w:sz w:val="24"/>
          <w:szCs w:val="24"/>
          <w:u w:val="single"/>
        </w:rPr>
        <w:t>Experiences</w:t>
      </w:r>
    </w:p>
    <w:p w14:paraId="51A91EF8" w14:textId="45AEC020" w:rsidR="00094BB7" w:rsidRDefault="00094BB7" w:rsidP="00E12028">
      <w:pPr>
        <w:contextualSpacing/>
        <w:rPr>
          <w:sz w:val="24"/>
          <w:szCs w:val="24"/>
        </w:rPr>
      </w:pPr>
      <w:r>
        <w:rPr>
          <w:sz w:val="24"/>
          <w:szCs w:val="24"/>
        </w:rPr>
        <w:t>The first question in this section of the survey will be used to screen out respondents without relevant fishery experience</w:t>
      </w:r>
      <w:r w:rsidR="00FF6A7C">
        <w:rPr>
          <w:sz w:val="24"/>
          <w:szCs w:val="24"/>
        </w:rPr>
        <w:t xml:space="preserve">, which we define as </w:t>
      </w:r>
      <w:r>
        <w:rPr>
          <w:sz w:val="24"/>
          <w:szCs w:val="24"/>
        </w:rPr>
        <w:t xml:space="preserve">those who have not gone recreational fishing </w:t>
      </w:r>
      <w:r w:rsidR="00ED47DF">
        <w:rPr>
          <w:sz w:val="24"/>
          <w:szCs w:val="24"/>
        </w:rPr>
        <w:t xml:space="preserve">for North </w:t>
      </w:r>
      <w:r>
        <w:rPr>
          <w:sz w:val="24"/>
          <w:szCs w:val="24"/>
        </w:rPr>
        <w:t>Atlantic cod or haddock in the past five years.</w:t>
      </w:r>
      <w:r w:rsidR="00C9749F">
        <w:rPr>
          <w:sz w:val="24"/>
          <w:szCs w:val="24"/>
        </w:rPr>
        <w:t xml:space="preserve"> </w:t>
      </w:r>
    </w:p>
    <w:p w14:paraId="4981FF63" w14:textId="77777777" w:rsidR="00E12028" w:rsidRDefault="00E12028" w:rsidP="00E12028">
      <w:pPr>
        <w:contextualSpacing/>
        <w:rPr>
          <w:sz w:val="24"/>
          <w:szCs w:val="24"/>
        </w:rPr>
      </w:pPr>
    </w:p>
    <w:p w14:paraId="6015E942" w14:textId="63B0FEAD" w:rsidR="00485C76" w:rsidRDefault="003B2D96" w:rsidP="00E12028">
      <w:pPr>
        <w:contextualSpacing/>
        <w:rPr>
          <w:sz w:val="24"/>
          <w:szCs w:val="24"/>
        </w:rPr>
      </w:pPr>
      <w:r>
        <w:rPr>
          <w:sz w:val="24"/>
          <w:szCs w:val="24"/>
        </w:rPr>
        <w:t>The remaining questions in this section are intended for respondents who have gone</w:t>
      </w:r>
      <w:r w:rsidR="00094BB7">
        <w:rPr>
          <w:sz w:val="24"/>
          <w:szCs w:val="24"/>
        </w:rPr>
        <w:t xml:space="preserve"> recreational fishing for either species in the past five years</w:t>
      </w:r>
      <w:r>
        <w:rPr>
          <w:sz w:val="24"/>
          <w:szCs w:val="24"/>
        </w:rPr>
        <w:t>.</w:t>
      </w:r>
      <w:r w:rsidR="00D11456" w:rsidRPr="00D11456">
        <w:rPr>
          <w:sz w:val="24"/>
          <w:szCs w:val="24"/>
        </w:rPr>
        <w:t xml:space="preserve"> </w:t>
      </w:r>
      <w:r w:rsidR="00D11456">
        <w:rPr>
          <w:sz w:val="24"/>
          <w:szCs w:val="24"/>
        </w:rPr>
        <w:t xml:space="preserve">Information collected from Questions 2 through 4 </w:t>
      </w:r>
      <w:r w:rsidR="00467386">
        <w:rPr>
          <w:sz w:val="24"/>
          <w:szCs w:val="24"/>
        </w:rPr>
        <w:t>are intended</w:t>
      </w:r>
      <w:r w:rsidR="00D11456">
        <w:rPr>
          <w:sz w:val="24"/>
          <w:szCs w:val="24"/>
        </w:rPr>
        <w:t xml:space="preserve"> to </w:t>
      </w:r>
      <w:r w:rsidR="00467386">
        <w:rPr>
          <w:sz w:val="24"/>
          <w:szCs w:val="24"/>
        </w:rPr>
        <w:t xml:space="preserve">measure </w:t>
      </w:r>
      <w:r w:rsidR="00D11456">
        <w:rPr>
          <w:sz w:val="24"/>
          <w:szCs w:val="24"/>
        </w:rPr>
        <w:t>and control for fishing avidity</w:t>
      </w:r>
      <w:r w:rsidR="00D11456" w:rsidRPr="00D11456">
        <w:rPr>
          <w:sz w:val="24"/>
          <w:szCs w:val="24"/>
        </w:rPr>
        <w:t xml:space="preserve"> </w:t>
      </w:r>
      <w:r w:rsidR="00D11456">
        <w:rPr>
          <w:sz w:val="24"/>
          <w:szCs w:val="24"/>
        </w:rPr>
        <w:t xml:space="preserve">in the behavioral model. </w:t>
      </w:r>
      <w:r w:rsidR="00467386">
        <w:rPr>
          <w:sz w:val="24"/>
          <w:szCs w:val="24"/>
        </w:rPr>
        <w:t>These questions ask respondents if and how many times they went fishing for the species of interest during 2018, even if they did not catch or keep any</w:t>
      </w:r>
      <w:r w:rsidR="00C9749F">
        <w:rPr>
          <w:sz w:val="24"/>
          <w:szCs w:val="24"/>
        </w:rPr>
        <w:t xml:space="preserve">. Question 4 asks respondents to indicate how much they like </w:t>
      </w:r>
      <w:r w:rsidR="00467386">
        <w:rPr>
          <w:sz w:val="24"/>
          <w:szCs w:val="24"/>
        </w:rPr>
        <w:t xml:space="preserve">saltwater </w:t>
      </w:r>
      <w:r w:rsidR="00C9749F">
        <w:rPr>
          <w:sz w:val="24"/>
          <w:szCs w:val="24"/>
        </w:rPr>
        <w:t xml:space="preserve">recreational fishing compared to other recreational activities. </w:t>
      </w:r>
    </w:p>
    <w:p w14:paraId="36A27951" w14:textId="77777777" w:rsidR="00E12028" w:rsidRDefault="00E12028" w:rsidP="00E12028">
      <w:pPr>
        <w:contextualSpacing/>
        <w:rPr>
          <w:sz w:val="24"/>
          <w:szCs w:val="24"/>
        </w:rPr>
      </w:pPr>
    </w:p>
    <w:p w14:paraId="76BD2C05" w14:textId="3FBCE604" w:rsidR="00A16EC2" w:rsidRDefault="003B2D96" w:rsidP="00E12028">
      <w:pPr>
        <w:contextualSpacing/>
        <w:rPr>
          <w:sz w:val="24"/>
          <w:szCs w:val="24"/>
        </w:rPr>
      </w:pPr>
      <w:r>
        <w:rPr>
          <w:sz w:val="24"/>
          <w:szCs w:val="24"/>
        </w:rPr>
        <w:t>The last two question</w:t>
      </w:r>
      <w:r w:rsidR="006F4029">
        <w:rPr>
          <w:sz w:val="24"/>
          <w:szCs w:val="24"/>
        </w:rPr>
        <w:t>s</w:t>
      </w:r>
      <w:r>
        <w:rPr>
          <w:sz w:val="24"/>
          <w:szCs w:val="24"/>
        </w:rPr>
        <w:t xml:space="preserve"> in </w:t>
      </w:r>
      <w:r w:rsidR="00D11456">
        <w:rPr>
          <w:sz w:val="24"/>
          <w:szCs w:val="24"/>
        </w:rPr>
        <w:t>S</w:t>
      </w:r>
      <w:r>
        <w:rPr>
          <w:sz w:val="24"/>
          <w:szCs w:val="24"/>
        </w:rPr>
        <w:t xml:space="preserve">ection </w:t>
      </w:r>
      <w:r w:rsidR="00D11456">
        <w:rPr>
          <w:sz w:val="24"/>
          <w:szCs w:val="24"/>
        </w:rPr>
        <w:t xml:space="preserve">A </w:t>
      </w:r>
      <w:r>
        <w:rPr>
          <w:sz w:val="24"/>
          <w:szCs w:val="24"/>
        </w:rPr>
        <w:t xml:space="preserve">gather information about respondents’ fishing experience in the </w:t>
      </w:r>
      <w:r w:rsidR="00ED47DF">
        <w:rPr>
          <w:sz w:val="24"/>
          <w:szCs w:val="24"/>
        </w:rPr>
        <w:t xml:space="preserve">North </w:t>
      </w:r>
      <w:r w:rsidR="00467386">
        <w:rPr>
          <w:sz w:val="24"/>
          <w:szCs w:val="24"/>
        </w:rPr>
        <w:t>and mid-</w:t>
      </w:r>
      <w:r w:rsidR="00ED47DF">
        <w:rPr>
          <w:sz w:val="24"/>
          <w:szCs w:val="24"/>
        </w:rPr>
        <w:t>Atlantic</w:t>
      </w:r>
      <w:r w:rsidR="00467386">
        <w:rPr>
          <w:sz w:val="24"/>
          <w:szCs w:val="24"/>
        </w:rPr>
        <w:t>, where there exist two separately-managed stocks of Atlantic cod</w:t>
      </w:r>
      <w:r w:rsidR="00485C76">
        <w:rPr>
          <w:sz w:val="24"/>
          <w:szCs w:val="24"/>
        </w:rPr>
        <w:t xml:space="preserve">. The first </w:t>
      </w:r>
      <w:r>
        <w:rPr>
          <w:sz w:val="24"/>
          <w:szCs w:val="24"/>
        </w:rPr>
        <w:t xml:space="preserve">asks respondents </w:t>
      </w:r>
      <w:r w:rsidR="00485C76">
        <w:rPr>
          <w:sz w:val="24"/>
          <w:szCs w:val="24"/>
        </w:rPr>
        <w:t xml:space="preserve">to indicate </w:t>
      </w:r>
      <w:r w:rsidR="00467386">
        <w:rPr>
          <w:sz w:val="24"/>
          <w:szCs w:val="24"/>
        </w:rPr>
        <w:t xml:space="preserve">whether they fish for haddock, </w:t>
      </w:r>
      <w:r w:rsidR="002D37DB">
        <w:rPr>
          <w:sz w:val="24"/>
          <w:szCs w:val="24"/>
        </w:rPr>
        <w:t>pollock, or cod</w:t>
      </w:r>
      <w:r w:rsidR="00467386">
        <w:rPr>
          <w:sz w:val="24"/>
          <w:szCs w:val="24"/>
        </w:rPr>
        <w:t xml:space="preserve"> </w:t>
      </w:r>
      <w:r w:rsidR="002D37DB">
        <w:rPr>
          <w:sz w:val="24"/>
          <w:szCs w:val="24"/>
        </w:rPr>
        <w:t>most often in the Gulf of Maine (GOM) or Georges Bank (GB), or both areas about equally</w:t>
      </w:r>
      <w:r>
        <w:rPr>
          <w:sz w:val="24"/>
          <w:szCs w:val="24"/>
        </w:rPr>
        <w:t xml:space="preserve">. </w:t>
      </w:r>
      <w:r w:rsidR="006F4029">
        <w:rPr>
          <w:sz w:val="24"/>
          <w:szCs w:val="24"/>
        </w:rPr>
        <w:t xml:space="preserve">We </w:t>
      </w:r>
      <w:r w:rsidR="00467386">
        <w:rPr>
          <w:sz w:val="24"/>
          <w:szCs w:val="24"/>
        </w:rPr>
        <w:t xml:space="preserve">plan to </w:t>
      </w:r>
      <w:r w:rsidR="006F4029">
        <w:rPr>
          <w:sz w:val="24"/>
          <w:szCs w:val="24"/>
        </w:rPr>
        <w:t>use this information to screen out anglers who fish for cod primarily in waters outside of the GOM</w:t>
      </w:r>
      <w:r w:rsidR="00467386">
        <w:rPr>
          <w:sz w:val="24"/>
          <w:szCs w:val="24"/>
        </w:rPr>
        <w:t xml:space="preserve"> because </w:t>
      </w:r>
      <w:r>
        <w:rPr>
          <w:sz w:val="24"/>
          <w:szCs w:val="24"/>
        </w:rPr>
        <w:t>we are</w:t>
      </w:r>
      <w:r w:rsidR="006F4029">
        <w:rPr>
          <w:sz w:val="24"/>
          <w:szCs w:val="24"/>
        </w:rPr>
        <w:t xml:space="preserve"> </w:t>
      </w:r>
      <w:r w:rsidR="008B10C0">
        <w:rPr>
          <w:sz w:val="24"/>
          <w:szCs w:val="24"/>
        </w:rPr>
        <w:t xml:space="preserve">only </w:t>
      </w:r>
      <w:r>
        <w:rPr>
          <w:sz w:val="24"/>
          <w:szCs w:val="24"/>
        </w:rPr>
        <w:t xml:space="preserve">interested in estimating angler </w:t>
      </w:r>
      <w:r w:rsidR="00485C76">
        <w:rPr>
          <w:sz w:val="24"/>
          <w:szCs w:val="24"/>
        </w:rPr>
        <w:t>preferences</w:t>
      </w:r>
      <w:r w:rsidR="006F4029">
        <w:rPr>
          <w:sz w:val="24"/>
          <w:szCs w:val="24"/>
        </w:rPr>
        <w:t xml:space="preserve"> for GOM cod</w:t>
      </w:r>
      <w:r w:rsidR="00485C76">
        <w:rPr>
          <w:sz w:val="24"/>
          <w:szCs w:val="24"/>
        </w:rPr>
        <w:t xml:space="preserve">. The second of these questions asks respondents to indicate whether they fished for </w:t>
      </w:r>
      <w:r w:rsidR="00A16EC2">
        <w:rPr>
          <w:sz w:val="24"/>
          <w:szCs w:val="24"/>
        </w:rPr>
        <w:t xml:space="preserve">GOM </w:t>
      </w:r>
      <w:r w:rsidR="00485C76">
        <w:rPr>
          <w:sz w:val="24"/>
          <w:szCs w:val="24"/>
        </w:rPr>
        <w:t xml:space="preserve">cod prior to 2015. </w:t>
      </w:r>
      <w:r w:rsidR="00A16EC2">
        <w:rPr>
          <w:sz w:val="24"/>
          <w:szCs w:val="24"/>
        </w:rPr>
        <w:t>With this information, we</w:t>
      </w:r>
      <w:r w:rsidR="00485C76">
        <w:rPr>
          <w:sz w:val="24"/>
          <w:szCs w:val="24"/>
        </w:rPr>
        <w:t xml:space="preserve"> can measure the extent to which </w:t>
      </w:r>
      <w:r w:rsidR="000D04E7">
        <w:rPr>
          <w:sz w:val="24"/>
          <w:szCs w:val="24"/>
        </w:rPr>
        <w:t xml:space="preserve">preferences </w:t>
      </w:r>
      <w:r w:rsidR="00A16EC2">
        <w:rPr>
          <w:sz w:val="24"/>
          <w:szCs w:val="24"/>
        </w:rPr>
        <w:t xml:space="preserve">differ between anglers who starting fishing for GOM cod before and </w:t>
      </w:r>
      <w:r w:rsidR="00E12028">
        <w:rPr>
          <w:sz w:val="24"/>
          <w:szCs w:val="24"/>
        </w:rPr>
        <w:t>those who star</w:t>
      </w:r>
      <w:r w:rsidR="008B10C0">
        <w:rPr>
          <w:sz w:val="24"/>
          <w:szCs w:val="24"/>
        </w:rPr>
        <w:t>t</w:t>
      </w:r>
      <w:r w:rsidR="00E12028">
        <w:rPr>
          <w:sz w:val="24"/>
          <w:szCs w:val="24"/>
        </w:rPr>
        <w:t xml:space="preserve">ed fishing for GOM cod after </w:t>
      </w:r>
      <w:r w:rsidR="00A16EC2">
        <w:rPr>
          <w:sz w:val="24"/>
          <w:szCs w:val="24"/>
        </w:rPr>
        <w:t>the 2015 policy</w:t>
      </w:r>
      <w:r w:rsidR="00E12028">
        <w:rPr>
          <w:sz w:val="24"/>
          <w:szCs w:val="24"/>
        </w:rPr>
        <w:t xml:space="preserve"> changes</w:t>
      </w:r>
      <w:r w:rsidR="00A16EC2">
        <w:rPr>
          <w:sz w:val="24"/>
          <w:szCs w:val="24"/>
        </w:rPr>
        <w:t xml:space="preserve"> described in our response to question A1</w:t>
      </w:r>
      <w:r w:rsidR="00E12028">
        <w:rPr>
          <w:sz w:val="24"/>
          <w:szCs w:val="24"/>
        </w:rPr>
        <w:t xml:space="preserve">. </w:t>
      </w:r>
    </w:p>
    <w:p w14:paraId="0D4AB11D" w14:textId="0C4B09E2" w:rsidR="00EE3D5A" w:rsidRDefault="00EE3D5A" w:rsidP="00F9028B">
      <w:pPr>
        <w:contextualSpacing/>
        <w:rPr>
          <w:sz w:val="24"/>
          <w:szCs w:val="24"/>
        </w:rPr>
      </w:pPr>
    </w:p>
    <w:p w14:paraId="05794F33" w14:textId="3F00A37F" w:rsidR="00583309" w:rsidRPr="00485C76" w:rsidRDefault="00DD4E8D" w:rsidP="00F9028B">
      <w:pPr>
        <w:contextualSpacing/>
        <w:rPr>
          <w:sz w:val="24"/>
          <w:szCs w:val="24"/>
          <w:u w:val="single"/>
        </w:rPr>
      </w:pPr>
      <w:r w:rsidRPr="00C77DB2">
        <w:rPr>
          <w:sz w:val="24"/>
          <w:szCs w:val="24"/>
          <w:u w:val="single"/>
        </w:rPr>
        <w:t>NARFS</w:t>
      </w:r>
      <w:r w:rsidR="00834012" w:rsidRPr="00A26BA0">
        <w:rPr>
          <w:sz w:val="24"/>
          <w:szCs w:val="24"/>
          <w:u w:val="single"/>
        </w:rPr>
        <w:t xml:space="preserve"> </w:t>
      </w:r>
      <w:r w:rsidR="00485C76">
        <w:rPr>
          <w:sz w:val="24"/>
          <w:szCs w:val="24"/>
          <w:u w:val="single"/>
        </w:rPr>
        <w:t>Section B: Your Saltwater Fishing Trip Preferences</w:t>
      </w:r>
    </w:p>
    <w:p w14:paraId="19E00AB5" w14:textId="404BA79B" w:rsidR="00583309" w:rsidRDefault="00A34C54" w:rsidP="00E12028">
      <w:pPr>
        <w:contextualSpacing/>
        <w:rPr>
          <w:sz w:val="24"/>
          <w:szCs w:val="24"/>
        </w:rPr>
      </w:pPr>
      <w:r>
        <w:rPr>
          <w:sz w:val="24"/>
          <w:szCs w:val="24"/>
        </w:rPr>
        <w:t>The next section</w:t>
      </w:r>
      <w:r w:rsidRPr="0044306C">
        <w:rPr>
          <w:sz w:val="24"/>
          <w:szCs w:val="24"/>
        </w:rPr>
        <w:t xml:space="preserve"> </w:t>
      </w:r>
      <w:r w:rsidR="008B10C0">
        <w:rPr>
          <w:sz w:val="24"/>
          <w:szCs w:val="24"/>
        </w:rPr>
        <w:t xml:space="preserve">of </w:t>
      </w:r>
      <w:r w:rsidRPr="0044306C">
        <w:rPr>
          <w:sz w:val="24"/>
          <w:szCs w:val="24"/>
        </w:rPr>
        <w:t xml:space="preserve">the survey </w:t>
      </w:r>
      <w:r>
        <w:rPr>
          <w:sz w:val="24"/>
          <w:szCs w:val="24"/>
        </w:rPr>
        <w:t>contains a set</w:t>
      </w:r>
      <w:r w:rsidRPr="0044306C">
        <w:rPr>
          <w:sz w:val="24"/>
          <w:szCs w:val="24"/>
        </w:rPr>
        <w:t xml:space="preserve"> of </w:t>
      </w:r>
      <w:r w:rsidR="00EC50C9" w:rsidRPr="0044306C">
        <w:rPr>
          <w:sz w:val="24"/>
          <w:szCs w:val="24"/>
        </w:rPr>
        <w:t xml:space="preserve">CE </w:t>
      </w:r>
      <w:r w:rsidRPr="0044306C">
        <w:rPr>
          <w:sz w:val="24"/>
          <w:szCs w:val="24"/>
        </w:rPr>
        <w:t xml:space="preserve">questions. These questions are designed to elicit the tradeoffs angler are willing to make between </w:t>
      </w:r>
      <w:r>
        <w:rPr>
          <w:sz w:val="24"/>
          <w:szCs w:val="24"/>
        </w:rPr>
        <w:t>two fishing trips</w:t>
      </w:r>
      <w:r w:rsidR="00B12896">
        <w:rPr>
          <w:sz w:val="24"/>
          <w:szCs w:val="24"/>
        </w:rPr>
        <w:t xml:space="preserve"> that</w:t>
      </w:r>
      <w:r>
        <w:rPr>
          <w:sz w:val="24"/>
          <w:szCs w:val="24"/>
        </w:rPr>
        <w:t xml:space="preserve"> </w:t>
      </w:r>
      <w:r w:rsidRPr="0044306C">
        <w:rPr>
          <w:sz w:val="24"/>
          <w:szCs w:val="24"/>
        </w:rPr>
        <w:t xml:space="preserve">vary in </w:t>
      </w:r>
      <w:r w:rsidR="002D37DB">
        <w:rPr>
          <w:sz w:val="24"/>
          <w:szCs w:val="24"/>
        </w:rPr>
        <w:t>the number of legal and sub-legal cod and haddock caught</w:t>
      </w:r>
      <w:r>
        <w:rPr>
          <w:sz w:val="24"/>
          <w:szCs w:val="24"/>
        </w:rPr>
        <w:t>, regulations</w:t>
      </w:r>
      <w:r w:rsidRPr="0044306C">
        <w:rPr>
          <w:sz w:val="24"/>
          <w:szCs w:val="24"/>
        </w:rPr>
        <w:t>,</w:t>
      </w:r>
      <w:r w:rsidR="00B24CF8">
        <w:rPr>
          <w:sz w:val="24"/>
          <w:szCs w:val="24"/>
        </w:rPr>
        <w:t xml:space="preserve"> total number of fish that could be kept and must be released,</w:t>
      </w:r>
      <w:r w:rsidR="002D37DB">
        <w:rPr>
          <w:sz w:val="24"/>
          <w:szCs w:val="24"/>
        </w:rPr>
        <w:t xml:space="preserve"> trip</w:t>
      </w:r>
      <w:r w:rsidRPr="0044306C">
        <w:rPr>
          <w:sz w:val="24"/>
          <w:szCs w:val="24"/>
        </w:rPr>
        <w:t xml:space="preserve"> cost, and </w:t>
      </w:r>
      <w:r w:rsidR="002D37DB">
        <w:rPr>
          <w:sz w:val="24"/>
          <w:szCs w:val="24"/>
        </w:rPr>
        <w:t xml:space="preserve">trip </w:t>
      </w:r>
      <w:r>
        <w:rPr>
          <w:sz w:val="24"/>
          <w:szCs w:val="24"/>
        </w:rPr>
        <w:t>length,</w:t>
      </w:r>
      <w:r w:rsidRPr="0044306C">
        <w:rPr>
          <w:sz w:val="24"/>
          <w:szCs w:val="24"/>
        </w:rPr>
        <w:t xml:space="preserve"> and not going </w:t>
      </w:r>
      <w:r w:rsidR="002D37DB">
        <w:rPr>
          <w:sz w:val="24"/>
          <w:szCs w:val="24"/>
        </w:rPr>
        <w:t xml:space="preserve">saltwater </w:t>
      </w:r>
      <w:r w:rsidRPr="0044306C">
        <w:rPr>
          <w:sz w:val="24"/>
          <w:szCs w:val="24"/>
        </w:rPr>
        <w:t>fishing.</w:t>
      </w:r>
      <w:r>
        <w:rPr>
          <w:sz w:val="24"/>
          <w:szCs w:val="24"/>
        </w:rPr>
        <w:t xml:space="preserve"> </w:t>
      </w:r>
      <w:r w:rsidR="002D37DB">
        <w:rPr>
          <w:sz w:val="24"/>
          <w:szCs w:val="24"/>
        </w:rPr>
        <w:t xml:space="preserve">After presenting respondents with these fishing and non-fishing options, the questions ask respondents to select the option they would take if given the opportunity, and what would be their second choice. </w:t>
      </w:r>
      <w:r>
        <w:rPr>
          <w:sz w:val="24"/>
          <w:szCs w:val="24"/>
        </w:rPr>
        <w:t xml:space="preserve">Responses to these questions are the key source of data needed to estimate the economic model of angler behavior. </w:t>
      </w:r>
    </w:p>
    <w:p w14:paraId="4307778D" w14:textId="77777777" w:rsidR="00A34C54" w:rsidRDefault="00A34C54" w:rsidP="00F9028B">
      <w:pPr>
        <w:contextualSpacing/>
        <w:rPr>
          <w:sz w:val="24"/>
          <w:szCs w:val="24"/>
        </w:rPr>
      </w:pPr>
    </w:p>
    <w:p w14:paraId="10824619" w14:textId="168D051F" w:rsidR="00A34C54" w:rsidRDefault="00DD4E8D" w:rsidP="00F9028B">
      <w:pPr>
        <w:contextualSpacing/>
        <w:rPr>
          <w:sz w:val="24"/>
          <w:szCs w:val="24"/>
          <w:u w:val="single"/>
        </w:rPr>
      </w:pPr>
      <w:r w:rsidRPr="00C77DB2">
        <w:rPr>
          <w:sz w:val="24"/>
          <w:szCs w:val="24"/>
          <w:u w:val="single"/>
        </w:rPr>
        <w:t>NARFS</w:t>
      </w:r>
      <w:r w:rsidR="00834012" w:rsidRPr="00A26BA0">
        <w:rPr>
          <w:sz w:val="24"/>
          <w:szCs w:val="24"/>
          <w:u w:val="single"/>
        </w:rPr>
        <w:t xml:space="preserve"> </w:t>
      </w:r>
      <w:r w:rsidR="00A34C54" w:rsidRPr="00A26BA0">
        <w:rPr>
          <w:sz w:val="24"/>
          <w:szCs w:val="24"/>
          <w:u w:val="single"/>
        </w:rPr>
        <w:t>Section</w:t>
      </w:r>
      <w:r w:rsidR="00A34C54">
        <w:rPr>
          <w:sz w:val="24"/>
          <w:szCs w:val="24"/>
          <w:u w:val="single"/>
        </w:rPr>
        <w:t xml:space="preserve"> C: Saltwater Fishing trip Attributes</w:t>
      </w:r>
    </w:p>
    <w:p w14:paraId="70C7F9CE" w14:textId="66461837" w:rsidR="00A34C54" w:rsidRPr="00A34C54" w:rsidRDefault="00A34C54" w:rsidP="00E12028">
      <w:pPr>
        <w:contextualSpacing/>
        <w:rPr>
          <w:sz w:val="24"/>
          <w:szCs w:val="24"/>
        </w:rPr>
      </w:pPr>
      <w:r>
        <w:rPr>
          <w:sz w:val="24"/>
          <w:szCs w:val="24"/>
        </w:rPr>
        <w:t xml:space="preserve">This one-question section will obtain additional information regarding respondents’ </w:t>
      </w:r>
      <w:r w:rsidR="00B24CF8">
        <w:rPr>
          <w:sz w:val="24"/>
          <w:szCs w:val="24"/>
        </w:rPr>
        <w:t xml:space="preserve">decisions making process </w:t>
      </w:r>
      <w:r w:rsidR="0043499D">
        <w:rPr>
          <w:sz w:val="24"/>
          <w:szCs w:val="24"/>
        </w:rPr>
        <w:t xml:space="preserve">when answering </w:t>
      </w:r>
      <w:r>
        <w:rPr>
          <w:sz w:val="24"/>
          <w:szCs w:val="24"/>
        </w:rPr>
        <w:t xml:space="preserve">the questions in Section B. Specifically, the question asks respondents to indicate </w:t>
      </w:r>
      <w:r w:rsidR="00B24CF8">
        <w:rPr>
          <w:sz w:val="24"/>
          <w:szCs w:val="24"/>
        </w:rPr>
        <w:t xml:space="preserve">which </w:t>
      </w:r>
      <w:r>
        <w:rPr>
          <w:sz w:val="24"/>
          <w:szCs w:val="24"/>
        </w:rPr>
        <w:t xml:space="preserve">features </w:t>
      </w:r>
      <w:r w:rsidR="00B24CF8">
        <w:rPr>
          <w:sz w:val="24"/>
          <w:szCs w:val="24"/>
        </w:rPr>
        <w:t>of the</w:t>
      </w:r>
      <w:r>
        <w:rPr>
          <w:sz w:val="24"/>
          <w:szCs w:val="24"/>
        </w:rPr>
        <w:t xml:space="preserve"> fishing trip</w:t>
      </w:r>
      <w:r w:rsidR="00B24CF8">
        <w:rPr>
          <w:sz w:val="24"/>
          <w:szCs w:val="24"/>
        </w:rPr>
        <w:t xml:space="preserve"> options</w:t>
      </w:r>
      <w:r>
        <w:rPr>
          <w:sz w:val="24"/>
          <w:szCs w:val="24"/>
        </w:rPr>
        <w:t xml:space="preserve"> (</w:t>
      </w:r>
      <w:r w:rsidR="00B24CF8">
        <w:rPr>
          <w:sz w:val="24"/>
          <w:szCs w:val="24"/>
        </w:rPr>
        <w:t xml:space="preserve">number of cod and haddock that could be kept and must be release, trip </w:t>
      </w:r>
      <w:r w:rsidRPr="0044306C">
        <w:rPr>
          <w:sz w:val="24"/>
          <w:szCs w:val="24"/>
        </w:rPr>
        <w:t xml:space="preserve">cost, and </w:t>
      </w:r>
      <w:r>
        <w:rPr>
          <w:sz w:val="24"/>
          <w:szCs w:val="24"/>
        </w:rPr>
        <w:t>length of time)</w:t>
      </w:r>
      <w:r w:rsidR="0043499D">
        <w:rPr>
          <w:sz w:val="24"/>
          <w:szCs w:val="24"/>
        </w:rPr>
        <w:t xml:space="preserve">, if any, </w:t>
      </w:r>
      <w:r>
        <w:rPr>
          <w:sz w:val="24"/>
          <w:szCs w:val="24"/>
        </w:rPr>
        <w:t xml:space="preserve">did not factor into the choices they made. </w:t>
      </w:r>
      <w:r w:rsidR="002B6154">
        <w:rPr>
          <w:sz w:val="24"/>
          <w:szCs w:val="24"/>
        </w:rPr>
        <w:t xml:space="preserve">Obtaining </w:t>
      </w:r>
      <w:r w:rsidR="001D235D">
        <w:rPr>
          <w:sz w:val="24"/>
          <w:szCs w:val="24"/>
        </w:rPr>
        <w:t xml:space="preserve">and incorporating </w:t>
      </w:r>
      <w:r w:rsidR="002B6154">
        <w:rPr>
          <w:sz w:val="24"/>
          <w:szCs w:val="24"/>
        </w:rPr>
        <w:t>this type of information</w:t>
      </w:r>
      <w:r w:rsidR="001D235D">
        <w:rPr>
          <w:sz w:val="24"/>
          <w:szCs w:val="24"/>
        </w:rPr>
        <w:t xml:space="preserve"> in the </w:t>
      </w:r>
      <w:r w:rsidR="00EC50C9">
        <w:rPr>
          <w:sz w:val="24"/>
          <w:szCs w:val="24"/>
        </w:rPr>
        <w:t>behavioral</w:t>
      </w:r>
      <w:r w:rsidR="001D235D">
        <w:rPr>
          <w:sz w:val="24"/>
          <w:szCs w:val="24"/>
        </w:rPr>
        <w:t xml:space="preserve"> model </w:t>
      </w:r>
      <w:r w:rsidR="00D5168F">
        <w:rPr>
          <w:sz w:val="24"/>
          <w:szCs w:val="24"/>
        </w:rPr>
        <w:t>may</w:t>
      </w:r>
      <w:r w:rsidR="00660268">
        <w:rPr>
          <w:sz w:val="24"/>
          <w:szCs w:val="24"/>
        </w:rPr>
        <w:t xml:space="preserve"> increase </w:t>
      </w:r>
      <w:r w:rsidR="002B6154">
        <w:rPr>
          <w:sz w:val="24"/>
          <w:szCs w:val="24"/>
        </w:rPr>
        <w:t xml:space="preserve">the statistical efficiency of </w:t>
      </w:r>
      <w:r w:rsidR="001D235D">
        <w:rPr>
          <w:sz w:val="24"/>
          <w:szCs w:val="24"/>
        </w:rPr>
        <w:t xml:space="preserve">the </w:t>
      </w:r>
      <w:r w:rsidR="0089545D">
        <w:rPr>
          <w:sz w:val="24"/>
          <w:szCs w:val="24"/>
        </w:rPr>
        <w:t>ensuing</w:t>
      </w:r>
      <w:r w:rsidR="00B12896">
        <w:rPr>
          <w:sz w:val="24"/>
          <w:szCs w:val="24"/>
        </w:rPr>
        <w:t xml:space="preserve"> </w:t>
      </w:r>
      <w:r w:rsidR="001D235D">
        <w:rPr>
          <w:sz w:val="24"/>
          <w:szCs w:val="24"/>
        </w:rPr>
        <w:t>parameter</w:t>
      </w:r>
      <w:r w:rsidR="0089545D">
        <w:rPr>
          <w:sz w:val="24"/>
          <w:szCs w:val="24"/>
        </w:rPr>
        <w:t xml:space="preserve"> estimates</w:t>
      </w:r>
      <w:r w:rsidR="00EC50C9">
        <w:rPr>
          <w:sz w:val="24"/>
          <w:szCs w:val="24"/>
        </w:rPr>
        <w:t xml:space="preserve"> </w:t>
      </w:r>
      <w:r w:rsidR="00EC50C9">
        <w:rPr>
          <w:sz w:val="24"/>
          <w:szCs w:val="24"/>
        </w:rPr>
        <w:fldChar w:fldCharType="begin" w:fldLock="1"/>
      </w:r>
      <w:r w:rsidR="00AD3676">
        <w:rPr>
          <w:sz w:val="24"/>
          <w:szCs w:val="24"/>
        </w:rPr>
        <w:instrText>ADDIN CSL_CITATION {"citationItems":[{"id":"ITEM-1","itemData":{"ISBN":"0924-6460","ISSN":"09246460","abstract":"This paper focuses on behavioural reasons underlying stated attribute non-attendance in choice experiments. In order to identify and incorporate procedures for dealing with heterogeneous attribute processing strategies, we ask respondents follow-up questions regarding their reasons for ignoring attributes. Based on these statements, we conclude that the standard way of assigning a zero impact of ignored attributes on the likelihood is inappropriate. We find that some respondents act in accordance with the passive bounded rationality assumption since they ignore an attribute simply because it does not affect their utility. Excluding these genuine zero preferences, as the standard approach essentially does, might bias results. Other respondents claim to have ignored attributes to simplify choices. However, we find that these respondents have actually not completely ignored attributes. We argue along the rationally adaptive behavioural model that valid preference information may indeed be elicited in these cases, and we illustrate how recoding of non-attendance statements conditional on stated reasons may be a more appropriate solution than the current standard way of taking stated non-attendance into account.","author":[{"dropping-particle":"","family":"Alemu","given":"Mohammed Hussen","non-dropping-particle":"","parse-names":false,"suffix":""},{"dropping-particle":"","family":"Mørkbak","given":"Morten Raun","non-dropping-particle":"","parse-names":false,"suffix":""},{"dropping-particle":"","family":"Olsen","given":"Søren Bøye","non-dropping-particle":"","parse-names":false,"suffix":""},{"dropping-particle":"","family":"Jensen","given":"Carsten Lynge","non-dropping-particle":"","parse-names":false,"suffix":""}],"container-title":"Environmental and Resource Economics","id":"ITEM-1","issue":"3","issued":{"date-parts":[["2013"]]},"page":"333-359","title":"Attending to the Reasons for Attribute Non-attendance in Choice Experiments","type":"article-journal","volume":"54"},"uris":["http://www.mendeley.com/documents/?uuid=96e46d2c-de96-4823-8f0b-c15c0b91e42b","http://www.mendeley.com/documents/?uuid=0811a691-bdd9-44ab-af74-ca55daaa1e99"]}],"mendeley":{"formattedCitation":"(Alemu et al. 2013)","plainTextFormattedCitation":"(Alemu et al. 2013)","previouslyFormattedCitation":"(Alemu et al. 2013)"},"properties":{"noteIndex":0},"schema":"https://github.com/citation-style-language/schema/raw/master/csl-citation.json"}</w:instrText>
      </w:r>
      <w:r w:rsidR="00EC50C9">
        <w:rPr>
          <w:sz w:val="24"/>
          <w:szCs w:val="24"/>
        </w:rPr>
        <w:fldChar w:fldCharType="separate"/>
      </w:r>
      <w:r w:rsidR="00EC50C9" w:rsidRPr="00EC50C9">
        <w:rPr>
          <w:noProof/>
          <w:sz w:val="24"/>
          <w:szCs w:val="24"/>
        </w:rPr>
        <w:t>(Alemu et al. 2013)</w:t>
      </w:r>
      <w:r w:rsidR="00EC50C9">
        <w:rPr>
          <w:sz w:val="24"/>
          <w:szCs w:val="24"/>
        </w:rPr>
        <w:fldChar w:fldCharType="end"/>
      </w:r>
      <w:r w:rsidR="002B6154">
        <w:rPr>
          <w:sz w:val="24"/>
          <w:szCs w:val="24"/>
        </w:rPr>
        <w:t xml:space="preserve">. </w:t>
      </w:r>
    </w:p>
    <w:p w14:paraId="42C7540A" w14:textId="76564CCD" w:rsidR="00A34C54" w:rsidRDefault="00A34C54" w:rsidP="00F9028B">
      <w:pPr>
        <w:contextualSpacing/>
        <w:rPr>
          <w:sz w:val="24"/>
          <w:szCs w:val="24"/>
        </w:rPr>
      </w:pPr>
    </w:p>
    <w:p w14:paraId="73EFD560" w14:textId="13B01E24" w:rsidR="002B6154" w:rsidRPr="00623EC3" w:rsidRDefault="00DD4E8D" w:rsidP="00F9028B">
      <w:pPr>
        <w:contextualSpacing/>
        <w:rPr>
          <w:sz w:val="24"/>
          <w:szCs w:val="24"/>
        </w:rPr>
      </w:pPr>
      <w:r w:rsidRPr="00C77DB2">
        <w:rPr>
          <w:sz w:val="24"/>
          <w:szCs w:val="24"/>
          <w:u w:val="single"/>
        </w:rPr>
        <w:t>NARFS</w:t>
      </w:r>
      <w:r w:rsidR="00834012" w:rsidRPr="00A26BA0">
        <w:rPr>
          <w:sz w:val="24"/>
          <w:szCs w:val="24"/>
          <w:u w:val="single"/>
        </w:rPr>
        <w:t xml:space="preserve"> </w:t>
      </w:r>
      <w:r w:rsidR="002B6154">
        <w:rPr>
          <w:sz w:val="24"/>
          <w:szCs w:val="24"/>
          <w:u w:val="single"/>
        </w:rPr>
        <w:t>Section D: About You and Your Household</w:t>
      </w:r>
    </w:p>
    <w:p w14:paraId="52D9CA98" w14:textId="6BE43BB4" w:rsidR="009A057B" w:rsidRDefault="002B6154" w:rsidP="00E12028">
      <w:pPr>
        <w:contextualSpacing/>
        <w:rPr>
          <w:sz w:val="24"/>
          <w:szCs w:val="24"/>
        </w:rPr>
      </w:pPr>
      <w:r w:rsidRPr="007122C4">
        <w:rPr>
          <w:sz w:val="24"/>
          <w:szCs w:val="24"/>
        </w:rPr>
        <w:t>Section D asks a series of demographic and other questions</w:t>
      </w:r>
      <w:r>
        <w:rPr>
          <w:sz w:val="24"/>
          <w:szCs w:val="24"/>
        </w:rPr>
        <w:t xml:space="preserve">. </w:t>
      </w:r>
      <w:r w:rsidRPr="007122C4">
        <w:rPr>
          <w:sz w:val="24"/>
          <w:szCs w:val="24"/>
        </w:rPr>
        <w:t xml:space="preserve">These questions will gather information on age, gender, education, income, </w:t>
      </w:r>
      <w:r>
        <w:rPr>
          <w:sz w:val="24"/>
          <w:szCs w:val="24"/>
        </w:rPr>
        <w:t xml:space="preserve">private fishing boat access, </w:t>
      </w:r>
      <w:r w:rsidRPr="007122C4">
        <w:rPr>
          <w:sz w:val="24"/>
          <w:szCs w:val="24"/>
        </w:rPr>
        <w:t xml:space="preserve">and </w:t>
      </w:r>
      <w:r w:rsidR="0043499D">
        <w:rPr>
          <w:sz w:val="24"/>
          <w:szCs w:val="24"/>
        </w:rPr>
        <w:t>likelihood of recreational fishing for Atlantic cod or haddock during the next 12 months.</w:t>
      </w:r>
      <w:r>
        <w:rPr>
          <w:sz w:val="24"/>
          <w:szCs w:val="24"/>
        </w:rPr>
        <w:t xml:space="preserve"> </w:t>
      </w:r>
      <w:r w:rsidR="00724BE8">
        <w:rPr>
          <w:sz w:val="24"/>
          <w:szCs w:val="24"/>
        </w:rPr>
        <w:t xml:space="preserve">Used as </w:t>
      </w:r>
      <w:r w:rsidR="00D11456">
        <w:rPr>
          <w:sz w:val="24"/>
          <w:szCs w:val="24"/>
        </w:rPr>
        <w:t>conditioning</w:t>
      </w:r>
      <w:r w:rsidR="00724BE8">
        <w:rPr>
          <w:sz w:val="24"/>
          <w:szCs w:val="24"/>
        </w:rPr>
        <w:t xml:space="preserve"> </w:t>
      </w:r>
      <w:r w:rsidR="00D11456">
        <w:rPr>
          <w:sz w:val="24"/>
          <w:szCs w:val="24"/>
        </w:rPr>
        <w:t>variables</w:t>
      </w:r>
      <w:r w:rsidR="00724BE8">
        <w:rPr>
          <w:sz w:val="24"/>
          <w:szCs w:val="24"/>
        </w:rPr>
        <w:t>, this information can</w:t>
      </w:r>
      <w:r w:rsidRPr="007122C4">
        <w:rPr>
          <w:sz w:val="24"/>
          <w:szCs w:val="24"/>
        </w:rPr>
        <w:t xml:space="preserve"> improve estimation of the </w:t>
      </w:r>
      <w:r>
        <w:rPr>
          <w:sz w:val="24"/>
          <w:szCs w:val="24"/>
        </w:rPr>
        <w:t>economic model</w:t>
      </w:r>
      <w:r w:rsidRPr="007122C4">
        <w:rPr>
          <w:sz w:val="24"/>
          <w:szCs w:val="24"/>
        </w:rPr>
        <w:t>.</w:t>
      </w:r>
      <w:r>
        <w:rPr>
          <w:sz w:val="24"/>
          <w:szCs w:val="24"/>
        </w:rPr>
        <w:t xml:space="preserve"> Additionally, we can use this information </w:t>
      </w:r>
      <w:r w:rsidR="008B10C0">
        <w:rPr>
          <w:sz w:val="24"/>
          <w:szCs w:val="24"/>
        </w:rPr>
        <w:t xml:space="preserve">to </w:t>
      </w:r>
      <w:r>
        <w:rPr>
          <w:sz w:val="24"/>
          <w:szCs w:val="24"/>
        </w:rPr>
        <w:t xml:space="preserve">assess </w:t>
      </w:r>
      <w:r w:rsidR="009A057B">
        <w:rPr>
          <w:sz w:val="24"/>
          <w:szCs w:val="24"/>
        </w:rPr>
        <w:t>sample</w:t>
      </w:r>
      <w:r>
        <w:rPr>
          <w:sz w:val="24"/>
          <w:szCs w:val="24"/>
        </w:rPr>
        <w:t xml:space="preserve"> representativeness by comparing </w:t>
      </w:r>
      <w:r w:rsidR="009A057B">
        <w:rPr>
          <w:sz w:val="24"/>
          <w:szCs w:val="24"/>
        </w:rPr>
        <w:t>the characteristics of our sample to (1) the characteristics of cod and haddock anglers from previous</w:t>
      </w:r>
      <w:r w:rsidR="009A057B" w:rsidRPr="009A057B">
        <w:rPr>
          <w:sz w:val="24"/>
          <w:szCs w:val="24"/>
        </w:rPr>
        <w:t xml:space="preserve"> </w:t>
      </w:r>
      <w:r w:rsidR="009A057B">
        <w:rPr>
          <w:sz w:val="24"/>
          <w:szCs w:val="24"/>
        </w:rPr>
        <w:t>data collection efforts</w:t>
      </w:r>
      <w:r w:rsidR="008F6EC7">
        <w:rPr>
          <w:sz w:val="24"/>
          <w:szCs w:val="24"/>
        </w:rPr>
        <w:t>,</w:t>
      </w:r>
      <w:r w:rsidR="009A057B">
        <w:rPr>
          <w:sz w:val="24"/>
          <w:szCs w:val="24"/>
        </w:rPr>
        <w:t xml:space="preserve"> </w:t>
      </w:r>
      <w:r w:rsidR="001D235D">
        <w:rPr>
          <w:sz w:val="24"/>
          <w:szCs w:val="24"/>
        </w:rPr>
        <w:t>and</w:t>
      </w:r>
      <w:r w:rsidR="009A057B">
        <w:rPr>
          <w:sz w:val="24"/>
          <w:szCs w:val="24"/>
        </w:rPr>
        <w:t xml:space="preserve"> (2) the characteristics of the population of recreational anglers at large, which can be found in NOAA-sponsored nationwide angler expenditure reports</w:t>
      </w:r>
      <w:r w:rsidR="000D1B0B">
        <w:rPr>
          <w:sz w:val="24"/>
          <w:szCs w:val="24"/>
        </w:rPr>
        <w:t xml:space="preserve">. </w:t>
      </w:r>
    </w:p>
    <w:p w14:paraId="25364D00" w14:textId="77777777" w:rsidR="00E12028" w:rsidRDefault="00E12028" w:rsidP="00E12028">
      <w:pPr>
        <w:contextualSpacing/>
        <w:rPr>
          <w:sz w:val="24"/>
          <w:szCs w:val="24"/>
        </w:rPr>
      </w:pPr>
    </w:p>
    <w:p w14:paraId="71BC0B60" w14:textId="6DF9DA3D" w:rsidR="00D11456" w:rsidRDefault="00D11456" w:rsidP="00E12028">
      <w:pPr>
        <w:contextualSpacing/>
        <w:rPr>
          <w:sz w:val="24"/>
          <w:szCs w:val="24"/>
        </w:rPr>
      </w:pPr>
      <w:r>
        <w:rPr>
          <w:sz w:val="24"/>
          <w:szCs w:val="24"/>
        </w:rPr>
        <w:t xml:space="preserve">The Northeast Fisheries Science Centers </w:t>
      </w:r>
      <w:r w:rsidRPr="004561D0">
        <w:rPr>
          <w:sz w:val="24"/>
          <w:szCs w:val="24"/>
        </w:rPr>
        <w:t xml:space="preserve">will retain control over the information </w:t>
      </w:r>
      <w:r>
        <w:rPr>
          <w:sz w:val="24"/>
          <w:szCs w:val="24"/>
        </w:rPr>
        <w:t xml:space="preserve">collected by this survey effort </w:t>
      </w:r>
      <w:r w:rsidRPr="004561D0">
        <w:rPr>
          <w:sz w:val="24"/>
          <w:szCs w:val="24"/>
        </w:rPr>
        <w:t>and safeguard it from improper</w:t>
      </w:r>
      <w:r>
        <w:rPr>
          <w:sz w:val="24"/>
          <w:szCs w:val="24"/>
        </w:rPr>
        <w:t xml:space="preserve"> </w:t>
      </w:r>
      <w:r w:rsidRPr="004561D0">
        <w:rPr>
          <w:sz w:val="24"/>
          <w:szCs w:val="24"/>
        </w:rPr>
        <w:t>access, modification, and destruction, consistent with NOAA standards for confidentiality, privacy, and electronic</w:t>
      </w:r>
      <w:r>
        <w:rPr>
          <w:sz w:val="24"/>
          <w:szCs w:val="24"/>
        </w:rPr>
        <w:t xml:space="preserve"> </w:t>
      </w:r>
      <w:r w:rsidRPr="004561D0">
        <w:rPr>
          <w:sz w:val="24"/>
          <w:szCs w:val="24"/>
        </w:rPr>
        <w:t xml:space="preserve">information. </w:t>
      </w:r>
      <w:r w:rsidRPr="00B12896">
        <w:rPr>
          <w:sz w:val="24"/>
          <w:szCs w:val="24"/>
        </w:rPr>
        <w:t>See response to question A10 of this Supporting Statement for more information on confidentiality and privacy.</w:t>
      </w:r>
      <w:r w:rsidRPr="004561D0">
        <w:rPr>
          <w:sz w:val="24"/>
          <w:szCs w:val="24"/>
        </w:rPr>
        <w:t xml:space="preserve"> The information collection is designed to yield data that meet all applicable information quality guidelines.</w:t>
      </w:r>
      <w:r>
        <w:rPr>
          <w:sz w:val="24"/>
          <w:szCs w:val="24"/>
        </w:rPr>
        <w:t xml:space="preserve"> </w:t>
      </w:r>
      <w:r w:rsidRPr="00E12028">
        <w:rPr>
          <w:sz w:val="24"/>
          <w:szCs w:val="24"/>
        </w:rPr>
        <w:t xml:space="preserve">Although the information collected is not expected to be disseminated directly to the public, results may be used in scientific, management, technical, or general informational publications. Prior to dissemination, the information will be subjected to quality control measures and a pre-dissemination review pursuant to </w:t>
      </w:r>
      <w:hyperlink r:id="rId10" w:history="1">
        <w:r w:rsidRPr="00E12028">
          <w:rPr>
            <w:rStyle w:val="Hyperlink"/>
            <w:sz w:val="24"/>
            <w:szCs w:val="24"/>
          </w:rPr>
          <w:t>Section 515 of Public Law 106-554</w:t>
        </w:r>
      </w:hyperlink>
      <w:r w:rsidRPr="00E12028">
        <w:rPr>
          <w:sz w:val="24"/>
          <w:szCs w:val="24"/>
        </w:rPr>
        <w:t>.</w:t>
      </w:r>
    </w:p>
    <w:p w14:paraId="633805D8" w14:textId="77777777" w:rsidR="00C7479A" w:rsidRDefault="00C7479A" w:rsidP="00F9028B">
      <w:pPr>
        <w:contextualSpacing/>
        <w:rPr>
          <w:sz w:val="24"/>
          <w:szCs w:val="24"/>
        </w:rPr>
      </w:pPr>
    </w:p>
    <w:p w14:paraId="15C34089" w14:textId="276283AB" w:rsidR="00583309" w:rsidRPr="00E12028" w:rsidRDefault="00583309" w:rsidP="0094229B">
      <w:pPr>
        <w:pStyle w:val="Style2"/>
      </w:pPr>
      <w:r w:rsidRPr="00E12028">
        <w:t>Describe whether, and to what extent, the collection of information involves the use of automated, electronic, mechanical, or other technological techniques or other forms of information technology.</w:t>
      </w:r>
    </w:p>
    <w:p w14:paraId="7E8F971D" w14:textId="77777777" w:rsidR="00583309" w:rsidRDefault="00583309" w:rsidP="00F9028B">
      <w:pPr>
        <w:contextualSpacing/>
        <w:rPr>
          <w:sz w:val="24"/>
          <w:szCs w:val="24"/>
        </w:rPr>
      </w:pPr>
    </w:p>
    <w:p w14:paraId="65A54173" w14:textId="521A6A4E" w:rsidR="00583309" w:rsidRDefault="00583309" w:rsidP="00A272BC">
      <w:pPr>
        <w:contextualSpacing/>
        <w:rPr>
          <w:sz w:val="24"/>
          <w:szCs w:val="24"/>
        </w:rPr>
      </w:pPr>
      <w:r>
        <w:rPr>
          <w:sz w:val="24"/>
          <w:szCs w:val="24"/>
        </w:rPr>
        <w:t xml:space="preserve">The data collection </w:t>
      </w:r>
      <w:r w:rsidR="007E50CB">
        <w:rPr>
          <w:sz w:val="24"/>
          <w:szCs w:val="24"/>
        </w:rPr>
        <w:t xml:space="preserve">procedure </w:t>
      </w:r>
      <w:r w:rsidR="00B72E74">
        <w:rPr>
          <w:sz w:val="24"/>
          <w:szCs w:val="24"/>
        </w:rPr>
        <w:t xml:space="preserve">involves </w:t>
      </w:r>
      <w:r w:rsidR="007E50CB">
        <w:rPr>
          <w:sz w:val="24"/>
          <w:szCs w:val="24"/>
        </w:rPr>
        <w:t xml:space="preserve">implementing </w:t>
      </w:r>
      <w:r w:rsidR="00203CE7">
        <w:rPr>
          <w:sz w:val="24"/>
          <w:szCs w:val="24"/>
        </w:rPr>
        <w:t>two</w:t>
      </w:r>
      <w:r w:rsidR="00B72E74">
        <w:rPr>
          <w:sz w:val="24"/>
          <w:szCs w:val="24"/>
        </w:rPr>
        <w:t xml:space="preserve"> mechanical forms of information technology. The first is a telephone pre-screening interview</w:t>
      </w:r>
      <w:r w:rsidR="00D525DA">
        <w:rPr>
          <w:sz w:val="24"/>
          <w:szCs w:val="24"/>
        </w:rPr>
        <w:t>. We will make attempts to conduct these interviews with half of the sampling frame. S</w:t>
      </w:r>
      <w:r w:rsidR="00B72E74">
        <w:rPr>
          <w:sz w:val="24"/>
          <w:szCs w:val="24"/>
        </w:rPr>
        <w:t>econd,</w:t>
      </w:r>
      <w:r>
        <w:rPr>
          <w:sz w:val="24"/>
          <w:szCs w:val="24"/>
        </w:rPr>
        <w:t xml:space="preserve"> the survey instrument will be administered online to</w:t>
      </w:r>
      <w:r w:rsidR="00EC1AA5">
        <w:rPr>
          <w:sz w:val="24"/>
          <w:szCs w:val="24"/>
        </w:rPr>
        <w:t xml:space="preserve"> </w:t>
      </w:r>
      <w:r w:rsidR="00203CE7">
        <w:rPr>
          <w:sz w:val="24"/>
          <w:szCs w:val="24"/>
        </w:rPr>
        <w:t xml:space="preserve">about ¾ of the sampling </w:t>
      </w:r>
      <w:r w:rsidR="006A1EF0">
        <w:rPr>
          <w:sz w:val="24"/>
          <w:szCs w:val="24"/>
        </w:rPr>
        <w:t>frame.</w:t>
      </w:r>
      <w:r w:rsidR="006A683D">
        <w:rPr>
          <w:sz w:val="24"/>
          <w:szCs w:val="24"/>
        </w:rPr>
        <w:t xml:space="preserve"> </w:t>
      </w:r>
      <w:r w:rsidR="00B72E74">
        <w:rPr>
          <w:sz w:val="24"/>
          <w:szCs w:val="24"/>
        </w:rPr>
        <w:t>P</w:t>
      </w:r>
      <w:r w:rsidR="00046343">
        <w:rPr>
          <w:sz w:val="24"/>
          <w:szCs w:val="24"/>
        </w:rPr>
        <w:t xml:space="preserve">otential respondents selected </w:t>
      </w:r>
      <w:r w:rsidR="00B72E74">
        <w:rPr>
          <w:sz w:val="24"/>
          <w:szCs w:val="24"/>
        </w:rPr>
        <w:t>for web-survey distribution will receive email invitation</w:t>
      </w:r>
      <w:r w:rsidR="00D525DA">
        <w:rPr>
          <w:sz w:val="24"/>
          <w:szCs w:val="24"/>
        </w:rPr>
        <w:t>s</w:t>
      </w:r>
      <w:r w:rsidR="00B72E74">
        <w:rPr>
          <w:sz w:val="24"/>
          <w:szCs w:val="24"/>
        </w:rPr>
        <w:t xml:space="preserve"> </w:t>
      </w:r>
      <w:r w:rsidR="00D525DA">
        <w:rPr>
          <w:sz w:val="24"/>
          <w:szCs w:val="24"/>
        </w:rPr>
        <w:t xml:space="preserve">and reminders </w:t>
      </w:r>
      <w:r w:rsidR="00B72E74">
        <w:rPr>
          <w:sz w:val="24"/>
          <w:szCs w:val="24"/>
        </w:rPr>
        <w:t xml:space="preserve">that include a web-link to </w:t>
      </w:r>
      <w:r w:rsidR="00D525DA">
        <w:rPr>
          <w:sz w:val="24"/>
          <w:szCs w:val="24"/>
        </w:rPr>
        <w:t xml:space="preserve">the </w:t>
      </w:r>
      <w:r w:rsidR="00B72E74">
        <w:rPr>
          <w:sz w:val="24"/>
          <w:szCs w:val="24"/>
        </w:rPr>
        <w:t>survey</w:t>
      </w:r>
      <w:r w:rsidR="00C45C3F">
        <w:rPr>
          <w:sz w:val="24"/>
          <w:szCs w:val="24"/>
        </w:rPr>
        <w:t xml:space="preserve">.  </w:t>
      </w:r>
    </w:p>
    <w:p w14:paraId="43B87525" w14:textId="77777777" w:rsidR="00B12896" w:rsidRDefault="00B12896" w:rsidP="00F9028B">
      <w:pPr>
        <w:contextualSpacing/>
        <w:rPr>
          <w:sz w:val="24"/>
          <w:szCs w:val="24"/>
        </w:rPr>
      </w:pPr>
    </w:p>
    <w:p w14:paraId="0FCCB3D2" w14:textId="6EA2BFE9" w:rsidR="00583309" w:rsidRPr="00E86166" w:rsidRDefault="00583309" w:rsidP="0094229B">
      <w:pPr>
        <w:pStyle w:val="Style2"/>
      </w:pPr>
      <w:r w:rsidRPr="00E12028">
        <w:t>Describe efforts to identify duplication.</w:t>
      </w:r>
    </w:p>
    <w:p w14:paraId="74A94561" w14:textId="30B3B51D" w:rsidR="00E86166" w:rsidRDefault="00E86166" w:rsidP="00E86166">
      <w:pPr>
        <w:rPr>
          <w:b/>
          <w:sz w:val="24"/>
          <w:szCs w:val="24"/>
          <w:u w:val="single"/>
        </w:rPr>
      </w:pPr>
    </w:p>
    <w:p w14:paraId="6B944E22" w14:textId="29EF72CA" w:rsidR="00F95187" w:rsidRDefault="00E86166" w:rsidP="001C337D">
      <w:pPr>
        <w:contextualSpacing/>
        <w:rPr>
          <w:sz w:val="24"/>
          <w:szCs w:val="24"/>
        </w:rPr>
      </w:pPr>
      <w:r w:rsidRPr="00E86166">
        <w:rPr>
          <w:sz w:val="24"/>
          <w:szCs w:val="24"/>
        </w:rPr>
        <w:t>We conferred with state officials in Maine, New Hampshire, and Massachusetts with responsibilities for managing recreational saltwater fishing and they could not identify any existing or planned duplicative</w:t>
      </w:r>
      <w:r w:rsidR="00E447F5">
        <w:rPr>
          <w:sz w:val="24"/>
          <w:szCs w:val="24"/>
        </w:rPr>
        <w:t xml:space="preserve"> survey</w:t>
      </w:r>
      <w:r w:rsidRPr="00E86166">
        <w:rPr>
          <w:sz w:val="24"/>
          <w:szCs w:val="24"/>
        </w:rPr>
        <w:t xml:space="preserve"> efforts.</w:t>
      </w:r>
      <w:r w:rsidR="001C337D">
        <w:rPr>
          <w:sz w:val="24"/>
          <w:szCs w:val="24"/>
        </w:rPr>
        <w:t xml:space="preserve"> </w:t>
      </w:r>
    </w:p>
    <w:p w14:paraId="50FC266B" w14:textId="77777777" w:rsidR="00F95187" w:rsidRDefault="00F95187" w:rsidP="001C337D">
      <w:pPr>
        <w:contextualSpacing/>
        <w:rPr>
          <w:sz w:val="24"/>
          <w:szCs w:val="24"/>
        </w:rPr>
      </w:pPr>
    </w:p>
    <w:p w14:paraId="28E53D34" w14:textId="389E5BFD" w:rsidR="00D6101B" w:rsidRDefault="00A12FDB" w:rsidP="001C337D">
      <w:pPr>
        <w:contextualSpacing/>
        <w:rPr>
          <w:sz w:val="24"/>
          <w:szCs w:val="24"/>
        </w:rPr>
      </w:pPr>
      <w:r>
        <w:rPr>
          <w:sz w:val="24"/>
          <w:szCs w:val="24"/>
        </w:rPr>
        <w:t xml:space="preserve">We </w:t>
      </w:r>
      <w:r w:rsidR="001C337D">
        <w:rPr>
          <w:sz w:val="24"/>
          <w:szCs w:val="24"/>
        </w:rPr>
        <w:t xml:space="preserve">also </w:t>
      </w:r>
      <w:r>
        <w:rPr>
          <w:sz w:val="24"/>
          <w:szCs w:val="24"/>
        </w:rPr>
        <w:t>identified</w:t>
      </w:r>
      <w:r w:rsidR="003C03B6">
        <w:rPr>
          <w:sz w:val="24"/>
          <w:szCs w:val="24"/>
        </w:rPr>
        <w:t xml:space="preserve"> two NMFS-sponsored survey</w:t>
      </w:r>
      <w:r w:rsidR="00D6101B">
        <w:rPr>
          <w:sz w:val="24"/>
          <w:szCs w:val="24"/>
        </w:rPr>
        <w:t xml:space="preserve">s </w:t>
      </w:r>
      <w:r w:rsidR="003C03B6">
        <w:rPr>
          <w:sz w:val="24"/>
          <w:szCs w:val="24"/>
        </w:rPr>
        <w:t>planned for 2019</w:t>
      </w:r>
      <w:r>
        <w:rPr>
          <w:sz w:val="24"/>
          <w:szCs w:val="24"/>
        </w:rPr>
        <w:t xml:space="preserve"> and confirmed that </w:t>
      </w:r>
      <w:r w:rsidR="00D6101B">
        <w:rPr>
          <w:sz w:val="24"/>
          <w:szCs w:val="24"/>
        </w:rPr>
        <w:t>they</w:t>
      </w:r>
      <w:r>
        <w:rPr>
          <w:sz w:val="24"/>
          <w:szCs w:val="24"/>
        </w:rPr>
        <w:t xml:space="preserve"> are not duplicative of the </w:t>
      </w:r>
      <w:r w:rsidR="00CA0835">
        <w:rPr>
          <w:sz w:val="24"/>
          <w:szCs w:val="24"/>
        </w:rPr>
        <w:t>NARFS</w:t>
      </w:r>
      <w:r>
        <w:rPr>
          <w:sz w:val="24"/>
          <w:szCs w:val="24"/>
        </w:rPr>
        <w:t xml:space="preserve">. </w:t>
      </w:r>
      <w:r w:rsidR="003C03B6">
        <w:rPr>
          <w:sz w:val="24"/>
          <w:szCs w:val="24"/>
        </w:rPr>
        <w:t>The first</w:t>
      </w:r>
      <w:r w:rsidR="005A4198">
        <w:rPr>
          <w:sz w:val="24"/>
          <w:szCs w:val="24"/>
        </w:rPr>
        <w:t xml:space="preserve"> project</w:t>
      </w:r>
      <w:r>
        <w:rPr>
          <w:sz w:val="24"/>
          <w:szCs w:val="24"/>
        </w:rPr>
        <w:t>,</w:t>
      </w:r>
      <w:r w:rsidRPr="00A12FDB">
        <w:t xml:space="preserve"> </w:t>
      </w:r>
      <w:r>
        <w:rPr>
          <w:sz w:val="24"/>
          <w:szCs w:val="24"/>
        </w:rPr>
        <w:t>“M</w:t>
      </w:r>
      <w:r w:rsidRPr="00A12FDB">
        <w:rPr>
          <w:sz w:val="24"/>
          <w:szCs w:val="24"/>
        </w:rPr>
        <w:t>odeling Recreational An</w:t>
      </w:r>
      <w:r>
        <w:rPr>
          <w:sz w:val="24"/>
          <w:szCs w:val="24"/>
        </w:rPr>
        <w:t>glers' Responses to Risky Catch”</w:t>
      </w:r>
      <w:r w:rsidR="003C03B6">
        <w:rPr>
          <w:sz w:val="24"/>
          <w:szCs w:val="24"/>
        </w:rPr>
        <w:t xml:space="preserve"> </w:t>
      </w:r>
      <w:r>
        <w:rPr>
          <w:sz w:val="24"/>
          <w:szCs w:val="24"/>
        </w:rPr>
        <w:t>is under guidance from</w:t>
      </w:r>
      <w:r w:rsidR="003C03B6">
        <w:rPr>
          <w:sz w:val="24"/>
          <w:szCs w:val="24"/>
        </w:rPr>
        <w:t xml:space="preserve"> J</w:t>
      </w:r>
      <w:r w:rsidR="003C03B6" w:rsidRPr="003C03B6">
        <w:rPr>
          <w:sz w:val="24"/>
          <w:szCs w:val="24"/>
        </w:rPr>
        <w:t>orge Holzer</w:t>
      </w:r>
      <w:r w:rsidR="003C03B6">
        <w:rPr>
          <w:sz w:val="24"/>
          <w:szCs w:val="24"/>
        </w:rPr>
        <w:t xml:space="preserve">, an </w:t>
      </w:r>
      <w:r w:rsidRPr="003C03B6">
        <w:rPr>
          <w:sz w:val="24"/>
          <w:szCs w:val="24"/>
        </w:rPr>
        <w:t>assistant</w:t>
      </w:r>
      <w:r w:rsidR="003C03B6" w:rsidRPr="003C03B6">
        <w:rPr>
          <w:sz w:val="24"/>
          <w:szCs w:val="24"/>
        </w:rPr>
        <w:t xml:space="preserve"> professor in the Department of Agric</w:t>
      </w:r>
      <w:r w:rsidR="003C03B6">
        <w:rPr>
          <w:sz w:val="24"/>
          <w:szCs w:val="24"/>
        </w:rPr>
        <w:t xml:space="preserve">ultural and Resource Economics at the </w:t>
      </w:r>
      <w:r w:rsidR="003C03B6" w:rsidRPr="003C03B6">
        <w:rPr>
          <w:sz w:val="24"/>
          <w:szCs w:val="24"/>
        </w:rPr>
        <w:t>University of Maryland</w:t>
      </w:r>
      <w:r>
        <w:rPr>
          <w:sz w:val="24"/>
          <w:szCs w:val="24"/>
        </w:rPr>
        <w:t>. Researchers for this project will</w:t>
      </w:r>
      <w:r w:rsidR="005A4848">
        <w:rPr>
          <w:sz w:val="24"/>
          <w:szCs w:val="24"/>
        </w:rPr>
        <w:t xml:space="preserve">, upon PRA </w:t>
      </w:r>
      <w:r w:rsidR="00D6101B">
        <w:rPr>
          <w:sz w:val="24"/>
          <w:szCs w:val="24"/>
        </w:rPr>
        <w:t xml:space="preserve">submission and </w:t>
      </w:r>
      <w:r w:rsidR="005A4848">
        <w:rPr>
          <w:sz w:val="24"/>
          <w:szCs w:val="24"/>
        </w:rPr>
        <w:t>approval,</w:t>
      </w:r>
      <w:r>
        <w:rPr>
          <w:sz w:val="24"/>
          <w:szCs w:val="24"/>
        </w:rPr>
        <w:t xml:space="preserve"> conduct mail and online surveys</w:t>
      </w:r>
      <w:r w:rsidRPr="00A12FDB">
        <w:rPr>
          <w:sz w:val="24"/>
          <w:szCs w:val="24"/>
        </w:rPr>
        <w:t xml:space="preserve"> </w:t>
      </w:r>
      <w:r w:rsidR="005A4848">
        <w:rPr>
          <w:sz w:val="24"/>
          <w:szCs w:val="24"/>
        </w:rPr>
        <w:t>to</w:t>
      </w:r>
      <w:r>
        <w:rPr>
          <w:sz w:val="24"/>
          <w:szCs w:val="24"/>
        </w:rPr>
        <w:t xml:space="preserve"> recreational</w:t>
      </w:r>
      <w:r w:rsidRPr="00A12FDB">
        <w:rPr>
          <w:sz w:val="24"/>
          <w:szCs w:val="24"/>
        </w:rPr>
        <w:t xml:space="preserve"> summer flounder and black sea bass </w:t>
      </w:r>
      <w:r>
        <w:rPr>
          <w:sz w:val="24"/>
          <w:szCs w:val="24"/>
        </w:rPr>
        <w:t xml:space="preserve">anglers </w:t>
      </w:r>
      <w:r w:rsidR="005A4848">
        <w:rPr>
          <w:sz w:val="24"/>
          <w:szCs w:val="24"/>
        </w:rPr>
        <w:t>licensed in coastal states from</w:t>
      </w:r>
      <w:r>
        <w:rPr>
          <w:sz w:val="24"/>
          <w:szCs w:val="24"/>
        </w:rPr>
        <w:t xml:space="preserve"> Rhode Island</w:t>
      </w:r>
      <w:r w:rsidRPr="00A12FDB">
        <w:rPr>
          <w:sz w:val="24"/>
          <w:szCs w:val="24"/>
        </w:rPr>
        <w:t xml:space="preserve"> south to New Jersey</w:t>
      </w:r>
      <w:r w:rsidR="005A4848">
        <w:rPr>
          <w:sz w:val="24"/>
          <w:szCs w:val="24"/>
        </w:rPr>
        <w:t xml:space="preserve">. This </w:t>
      </w:r>
      <w:r w:rsidR="00E447F5">
        <w:rPr>
          <w:sz w:val="24"/>
          <w:szCs w:val="24"/>
        </w:rPr>
        <w:t>contrasts with</w:t>
      </w:r>
      <w:r w:rsidR="005A4848">
        <w:rPr>
          <w:sz w:val="24"/>
          <w:szCs w:val="24"/>
        </w:rPr>
        <w:t xml:space="preserve"> the </w:t>
      </w:r>
      <w:r w:rsidR="00CA0835">
        <w:rPr>
          <w:sz w:val="24"/>
          <w:szCs w:val="24"/>
        </w:rPr>
        <w:t>NARFS</w:t>
      </w:r>
      <w:r w:rsidR="005A4848">
        <w:rPr>
          <w:sz w:val="24"/>
          <w:szCs w:val="24"/>
        </w:rPr>
        <w:t xml:space="preserve">’s target population of recreational Atlantic cod and haddock angler in Maine, New Hampshire, and Massachusetts. </w:t>
      </w:r>
    </w:p>
    <w:p w14:paraId="5B4EDB69" w14:textId="77777777" w:rsidR="00D6101B" w:rsidRDefault="00D6101B" w:rsidP="001C337D">
      <w:pPr>
        <w:contextualSpacing/>
        <w:rPr>
          <w:sz w:val="24"/>
          <w:szCs w:val="24"/>
        </w:rPr>
      </w:pPr>
    </w:p>
    <w:p w14:paraId="436FFC6E" w14:textId="5A6D237A" w:rsidR="00365609" w:rsidRDefault="005A4848" w:rsidP="001C337D">
      <w:pPr>
        <w:contextualSpacing/>
        <w:rPr>
          <w:sz w:val="24"/>
          <w:szCs w:val="24"/>
        </w:rPr>
      </w:pPr>
      <w:r>
        <w:rPr>
          <w:sz w:val="24"/>
          <w:szCs w:val="24"/>
        </w:rPr>
        <w:t xml:space="preserve">The second </w:t>
      </w:r>
      <w:r w:rsidR="00D6101B">
        <w:rPr>
          <w:sz w:val="24"/>
          <w:szCs w:val="24"/>
        </w:rPr>
        <w:t xml:space="preserve">NMFS-sponsored survey, the 2019 </w:t>
      </w:r>
      <w:r w:rsidR="00963389">
        <w:rPr>
          <w:sz w:val="24"/>
          <w:szCs w:val="24"/>
        </w:rPr>
        <w:t>Social Network Analysis Mail Survey</w:t>
      </w:r>
      <w:r w:rsidR="00046343">
        <w:rPr>
          <w:sz w:val="24"/>
          <w:szCs w:val="24"/>
        </w:rPr>
        <w:t xml:space="preserve"> (SNAMS)</w:t>
      </w:r>
      <w:r w:rsidR="00D6101B">
        <w:rPr>
          <w:sz w:val="24"/>
          <w:szCs w:val="24"/>
        </w:rPr>
        <w:t xml:space="preserve">, was recently submitted for PRA approval. The purpose of the </w:t>
      </w:r>
      <w:r w:rsidR="00963389">
        <w:rPr>
          <w:sz w:val="24"/>
          <w:szCs w:val="24"/>
        </w:rPr>
        <w:t xml:space="preserve">SNAMS </w:t>
      </w:r>
      <w:r w:rsidR="00D6101B">
        <w:rPr>
          <w:sz w:val="24"/>
          <w:szCs w:val="24"/>
        </w:rPr>
        <w:t>is to e</w:t>
      </w:r>
      <w:r w:rsidR="00D6101B" w:rsidRPr="00D6101B">
        <w:rPr>
          <w:sz w:val="24"/>
          <w:szCs w:val="24"/>
        </w:rPr>
        <w:t xml:space="preserve">valuate </w:t>
      </w:r>
      <w:r w:rsidR="005A4198">
        <w:rPr>
          <w:sz w:val="24"/>
          <w:szCs w:val="24"/>
        </w:rPr>
        <w:t xml:space="preserve">anglers’ </w:t>
      </w:r>
      <w:r w:rsidR="00D6101B" w:rsidRPr="00D6101B">
        <w:rPr>
          <w:sz w:val="24"/>
          <w:szCs w:val="24"/>
        </w:rPr>
        <w:t>level of knowledge of, understanding of, trust in, and preferences for recreational saltwater fisheries regulations, management, data collection, and data</w:t>
      </w:r>
      <w:r w:rsidR="00D6101B">
        <w:rPr>
          <w:sz w:val="24"/>
          <w:szCs w:val="24"/>
        </w:rPr>
        <w:t xml:space="preserve">. Additionally, the </w:t>
      </w:r>
      <w:r w:rsidR="00963389">
        <w:rPr>
          <w:sz w:val="24"/>
          <w:szCs w:val="24"/>
        </w:rPr>
        <w:t>SNAMS</w:t>
      </w:r>
      <w:r w:rsidR="00D6101B" w:rsidRPr="00D6101B">
        <w:rPr>
          <w:sz w:val="24"/>
          <w:szCs w:val="24"/>
        </w:rPr>
        <w:t xml:space="preserve"> asks about the sources recreational anglers use to get information on recreational saltwater fishing</w:t>
      </w:r>
      <w:r w:rsidR="00D6101B">
        <w:rPr>
          <w:sz w:val="24"/>
          <w:szCs w:val="24"/>
        </w:rPr>
        <w:t xml:space="preserve">. The </w:t>
      </w:r>
      <w:r w:rsidR="00963389">
        <w:rPr>
          <w:sz w:val="24"/>
          <w:szCs w:val="24"/>
        </w:rPr>
        <w:t>SNAMS</w:t>
      </w:r>
      <w:r w:rsidR="00D6101B">
        <w:rPr>
          <w:sz w:val="24"/>
          <w:szCs w:val="24"/>
        </w:rPr>
        <w:t xml:space="preserve"> will be directed toward recreational saltwater angler</w:t>
      </w:r>
      <w:r w:rsidR="00831A07">
        <w:rPr>
          <w:sz w:val="24"/>
          <w:szCs w:val="24"/>
        </w:rPr>
        <w:t>s</w:t>
      </w:r>
      <w:r w:rsidR="00D6101B">
        <w:rPr>
          <w:sz w:val="24"/>
          <w:szCs w:val="24"/>
        </w:rPr>
        <w:t xml:space="preserve"> along the Atlantic</w:t>
      </w:r>
      <w:r w:rsidR="00963389">
        <w:rPr>
          <w:sz w:val="24"/>
          <w:szCs w:val="24"/>
        </w:rPr>
        <w:t xml:space="preserve"> and Gulf</w:t>
      </w:r>
      <w:r w:rsidR="00D6101B">
        <w:rPr>
          <w:sz w:val="24"/>
          <w:szCs w:val="24"/>
        </w:rPr>
        <w:t xml:space="preserve"> coast</w:t>
      </w:r>
      <w:r w:rsidR="00963389">
        <w:rPr>
          <w:sz w:val="24"/>
          <w:szCs w:val="24"/>
        </w:rPr>
        <w:t>s</w:t>
      </w:r>
      <w:r w:rsidR="00D6101B">
        <w:rPr>
          <w:sz w:val="24"/>
          <w:szCs w:val="24"/>
        </w:rPr>
        <w:t xml:space="preserve"> from Maine to Mississippi</w:t>
      </w:r>
      <w:r w:rsidR="00365609">
        <w:rPr>
          <w:sz w:val="24"/>
          <w:szCs w:val="24"/>
        </w:rPr>
        <w:t xml:space="preserve"> and will likely use the same state-based licensed frames as the </w:t>
      </w:r>
      <w:r w:rsidR="00CA0835">
        <w:rPr>
          <w:sz w:val="24"/>
          <w:szCs w:val="24"/>
        </w:rPr>
        <w:t>NARFS</w:t>
      </w:r>
      <w:r w:rsidR="00365609">
        <w:rPr>
          <w:sz w:val="24"/>
          <w:szCs w:val="24"/>
        </w:rPr>
        <w:t xml:space="preserve">. An estimated 1,000 licensed anglers from Maine, New Hampshire, and Massachusetts will be drawn into the </w:t>
      </w:r>
      <w:r w:rsidR="00963389">
        <w:rPr>
          <w:sz w:val="24"/>
          <w:szCs w:val="24"/>
        </w:rPr>
        <w:t>SNAMS</w:t>
      </w:r>
      <w:r w:rsidR="00365609">
        <w:rPr>
          <w:sz w:val="24"/>
          <w:szCs w:val="24"/>
        </w:rPr>
        <w:t xml:space="preserve"> sample. We </w:t>
      </w:r>
      <w:r w:rsidR="00D525DA">
        <w:rPr>
          <w:sz w:val="24"/>
          <w:szCs w:val="24"/>
        </w:rPr>
        <w:t xml:space="preserve">have </w:t>
      </w:r>
      <w:r w:rsidR="009A4FC0">
        <w:rPr>
          <w:sz w:val="24"/>
          <w:szCs w:val="24"/>
        </w:rPr>
        <w:t>coordinate</w:t>
      </w:r>
      <w:r w:rsidR="00D525DA">
        <w:rPr>
          <w:sz w:val="24"/>
          <w:szCs w:val="24"/>
        </w:rPr>
        <w:t>d</w:t>
      </w:r>
      <w:r w:rsidR="00365609">
        <w:rPr>
          <w:sz w:val="24"/>
          <w:szCs w:val="24"/>
        </w:rPr>
        <w:t xml:space="preserve"> with </w:t>
      </w:r>
      <w:r w:rsidR="00963389">
        <w:rPr>
          <w:sz w:val="24"/>
          <w:szCs w:val="24"/>
        </w:rPr>
        <w:t>SNAMS</w:t>
      </w:r>
      <w:r w:rsidR="00365609">
        <w:rPr>
          <w:sz w:val="24"/>
          <w:szCs w:val="24"/>
        </w:rPr>
        <w:t xml:space="preserve"> researchers </w:t>
      </w:r>
      <w:r w:rsidR="005A4198">
        <w:rPr>
          <w:sz w:val="24"/>
          <w:szCs w:val="24"/>
        </w:rPr>
        <w:t>to ensure that</w:t>
      </w:r>
      <w:r w:rsidR="00365609">
        <w:rPr>
          <w:sz w:val="24"/>
          <w:szCs w:val="24"/>
        </w:rPr>
        <w:t xml:space="preserve"> angler</w:t>
      </w:r>
      <w:r w:rsidR="009A4FC0">
        <w:rPr>
          <w:sz w:val="24"/>
          <w:szCs w:val="24"/>
        </w:rPr>
        <w:t>s</w:t>
      </w:r>
      <w:r w:rsidR="00365609">
        <w:rPr>
          <w:sz w:val="24"/>
          <w:szCs w:val="24"/>
        </w:rPr>
        <w:t xml:space="preserve"> </w:t>
      </w:r>
      <w:r w:rsidR="009A4FC0">
        <w:rPr>
          <w:sz w:val="24"/>
          <w:szCs w:val="24"/>
        </w:rPr>
        <w:t>do</w:t>
      </w:r>
      <w:r w:rsidR="005A4198">
        <w:rPr>
          <w:sz w:val="24"/>
          <w:szCs w:val="24"/>
        </w:rPr>
        <w:t xml:space="preserve"> not </w:t>
      </w:r>
      <w:r w:rsidR="00365609">
        <w:rPr>
          <w:sz w:val="24"/>
          <w:szCs w:val="24"/>
        </w:rPr>
        <w:t>receiv</w:t>
      </w:r>
      <w:r w:rsidR="005A4198">
        <w:rPr>
          <w:sz w:val="24"/>
          <w:szCs w:val="24"/>
        </w:rPr>
        <w:t>e</w:t>
      </w:r>
      <w:r w:rsidR="00365609">
        <w:rPr>
          <w:sz w:val="24"/>
          <w:szCs w:val="24"/>
        </w:rPr>
        <w:t xml:space="preserve"> both an </w:t>
      </w:r>
      <w:r w:rsidR="00963389">
        <w:rPr>
          <w:sz w:val="24"/>
          <w:szCs w:val="24"/>
        </w:rPr>
        <w:t>SNAMS</w:t>
      </w:r>
      <w:r w:rsidR="00365609">
        <w:rPr>
          <w:sz w:val="24"/>
          <w:szCs w:val="24"/>
        </w:rPr>
        <w:t xml:space="preserve"> and a</w:t>
      </w:r>
      <w:r w:rsidR="005A4198">
        <w:rPr>
          <w:sz w:val="24"/>
          <w:szCs w:val="24"/>
        </w:rPr>
        <w:t xml:space="preserve"> </w:t>
      </w:r>
      <w:r w:rsidR="00CA0835">
        <w:rPr>
          <w:sz w:val="24"/>
          <w:szCs w:val="24"/>
        </w:rPr>
        <w:t>NARFS</w:t>
      </w:r>
      <w:r w:rsidR="00365609">
        <w:rPr>
          <w:sz w:val="24"/>
          <w:szCs w:val="24"/>
        </w:rPr>
        <w:t xml:space="preserve">. </w:t>
      </w:r>
    </w:p>
    <w:p w14:paraId="74309E38" w14:textId="77777777" w:rsidR="00365609" w:rsidRDefault="00365609" w:rsidP="001C337D">
      <w:pPr>
        <w:contextualSpacing/>
        <w:rPr>
          <w:sz w:val="24"/>
          <w:szCs w:val="24"/>
        </w:rPr>
      </w:pPr>
    </w:p>
    <w:p w14:paraId="138C1910" w14:textId="0A1A411A" w:rsidR="004060B3" w:rsidRDefault="004060B3" w:rsidP="004060B3">
      <w:pPr>
        <w:rPr>
          <w:sz w:val="24"/>
          <w:szCs w:val="24"/>
        </w:rPr>
      </w:pPr>
      <w:r>
        <w:rPr>
          <w:sz w:val="24"/>
          <w:szCs w:val="24"/>
        </w:rPr>
        <w:t>The NARFS will contain a series of discrete choice experiment (</w:t>
      </w:r>
      <w:r w:rsidRPr="00E86166">
        <w:rPr>
          <w:sz w:val="24"/>
          <w:szCs w:val="24"/>
        </w:rPr>
        <w:t>DCE</w:t>
      </w:r>
      <w:r>
        <w:rPr>
          <w:sz w:val="24"/>
          <w:szCs w:val="24"/>
        </w:rPr>
        <w:t xml:space="preserve">) questions, each of which </w:t>
      </w:r>
      <w:r w:rsidRPr="00DD4E8D">
        <w:rPr>
          <w:sz w:val="24"/>
          <w:szCs w:val="24"/>
        </w:rPr>
        <w:t>present</w:t>
      </w:r>
      <w:r>
        <w:rPr>
          <w:sz w:val="24"/>
          <w:szCs w:val="24"/>
        </w:rPr>
        <w:t>s</w:t>
      </w:r>
      <w:r w:rsidRPr="00DD4E8D">
        <w:rPr>
          <w:sz w:val="24"/>
          <w:szCs w:val="24"/>
        </w:rPr>
        <w:t xml:space="preserve"> respondents with two or more hypothetical, multi-attribute alternatives</w:t>
      </w:r>
      <w:r>
        <w:rPr>
          <w:sz w:val="24"/>
          <w:szCs w:val="24"/>
        </w:rPr>
        <w:t xml:space="preserve"> and</w:t>
      </w:r>
      <w:r w:rsidRPr="00DD4E8D">
        <w:rPr>
          <w:sz w:val="24"/>
          <w:szCs w:val="24"/>
        </w:rPr>
        <w:t xml:space="preserve"> ask</w:t>
      </w:r>
      <w:r>
        <w:rPr>
          <w:sz w:val="24"/>
          <w:szCs w:val="24"/>
        </w:rPr>
        <w:t>s</w:t>
      </w:r>
      <w:r w:rsidRPr="00DD4E8D">
        <w:rPr>
          <w:sz w:val="24"/>
          <w:szCs w:val="24"/>
        </w:rPr>
        <w:t xml:space="preserve"> </w:t>
      </w:r>
      <w:r w:rsidR="00124D79">
        <w:rPr>
          <w:sz w:val="24"/>
          <w:szCs w:val="24"/>
        </w:rPr>
        <w:t>respondents</w:t>
      </w:r>
      <w:r w:rsidRPr="00DD4E8D">
        <w:rPr>
          <w:sz w:val="24"/>
          <w:szCs w:val="24"/>
        </w:rPr>
        <w:t xml:space="preserve"> to choose or rank their most preferred alternative. Each alternative is comprised of a combination of attribute levels, the ranges of which are carefully selected to fulfill policy-relevant research objectives. Responses to DCE questions can be used to evaluate choice behavior, preferences, and WTP values for marginal changes in attribute levels </w:t>
      </w:r>
      <w:r w:rsidRPr="00DD4E8D">
        <w:rPr>
          <w:sz w:val="24"/>
          <w:szCs w:val="24"/>
        </w:rPr>
        <w:fldChar w:fldCharType="begin" w:fldLock="1"/>
      </w:r>
      <w:r w:rsidRPr="00DD4E8D">
        <w:rPr>
          <w:sz w:val="24"/>
          <w:szCs w:val="24"/>
        </w:rPr>
        <w:instrText>ADDIN CSL_CITATION {"citationItems":[{"id":"ITEM-1","itemData":{"author":[{"dropping-particle":"","family":"Louiviere","given":"Jordan J.","non-dropping-particle":"","parse-names":false,"suffix":""},{"dropping-particle":"","family":"Hensher","given":"David A.","non-dropping-particle":"","parse-names":false,"suffix":""},{"dropping-particle":"","family":"Swait.","given":"Joffre D.","non-dropping-particle":"","parse-names":false,"suffix":""}],"id":"ITEM-1","issued":{"date-parts":[["2000"]]},"publisher":"Cambridge University Press","title":"Stated Choice Methods: Analysis and Applications","type":"book"},"uris":["http://www.mendeley.com/documents/?uuid=93d7e66a-99ed-4a09-b95d-465cc9180753"]}],"mendeley":{"formattedCitation":"(Louiviere, Hensher, and Swait. 2000)","manualFormatting":"(Louiviere et al. 2000)","plainTextFormattedCitation":"(Louiviere, Hensher, and Swait. 2000)","previouslyFormattedCitation":"(Louiviere, Hensher, and Swait. 2000)"},"properties":{"noteIndex":0},"schema":"https://github.com/citation-style-language/schema/raw/master/csl-citation.json"}</w:instrText>
      </w:r>
      <w:r w:rsidRPr="00DD4E8D">
        <w:rPr>
          <w:sz w:val="24"/>
          <w:szCs w:val="24"/>
        </w:rPr>
        <w:fldChar w:fldCharType="separate"/>
      </w:r>
      <w:r w:rsidRPr="00DD4E8D">
        <w:rPr>
          <w:noProof/>
          <w:sz w:val="24"/>
          <w:szCs w:val="24"/>
        </w:rPr>
        <w:t>(Louiviere et al. 2000)</w:t>
      </w:r>
      <w:r w:rsidRPr="00DD4E8D">
        <w:rPr>
          <w:sz w:val="24"/>
          <w:szCs w:val="24"/>
        </w:rPr>
        <w:fldChar w:fldCharType="end"/>
      </w:r>
    </w:p>
    <w:p w14:paraId="734E20F1" w14:textId="77777777" w:rsidR="004060B3" w:rsidRDefault="004060B3" w:rsidP="004060B3">
      <w:pPr>
        <w:rPr>
          <w:sz w:val="24"/>
          <w:szCs w:val="24"/>
        </w:rPr>
      </w:pPr>
    </w:p>
    <w:p w14:paraId="06B734A6" w14:textId="4218997F" w:rsidR="00BE71E6" w:rsidRDefault="00E86166" w:rsidP="004060B3">
      <w:pPr>
        <w:rPr>
          <w:sz w:val="24"/>
          <w:szCs w:val="24"/>
        </w:rPr>
      </w:pPr>
      <w:r w:rsidRPr="00E86166">
        <w:rPr>
          <w:sz w:val="24"/>
          <w:szCs w:val="24"/>
        </w:rPr>
        <w:t xml:space="preserve">Several studies have employed a </w:t>
      </w:r>
      <w:r w:rsidR="00DD4E8D">
        <w:rPr>
          <w:sz w:val="24"/>
          <w:szCs w:val="24"/>
        </w:rPr>
        <w:t>discrete choice experiment (</w:t>
      </w:r>
      <w:r w:rsidRPr="00E86166">
        <w:rPr>
          <w:sz w:val="24"/>
          <w:szCs w:val="24"/>
        </w:rPr>
        <w:t>DCE</w:t>
      </w:r>
      <w:r w:rsidR="00DD4E8D">
        <w:rPr>
          <w:sz w:val="24"/>
          <w:szCs w:val="24"/>
        </w:rPr>
        <w:t>)</w:t>
      </w:r>
      <w:r w:rsidRPr="00E86166">
        <w:rPr>
          <w:sz w:val="24"/>
          <w:szCs w:val="24"/>
        </w:rPr>
        <w:t xml:space="preserve"> to evaluate angler preferences for different aspects of the recreational fishing experience. Because they cover a wide range of species and fishery-specific research objectives, these studies differ in terms of the attributes used to explain angler preferences. In general, the attributes of interest to fisheries economists typically include catch or harvest rates and regulations. Angler preferences for marginal changes in catch and regulations have been estimated jointly for summer flounder in the Northeast </w:t>
      </w:r>
      <w:r w:rsidR="0046517C">
        <w:rPr>
          <w:sz w:val="24"/>
          <w:szCs w:val="24"/>
        </w:rPr>
        <w:fldChar w:fldCharType="begin" w:fldLock="1"/>
      </w:r>
      <w:r w:rsidR="0046517C">
        <w:rPr>
          <w:sz w:val="24"/>
          <w:szCs w:val="24"/>
        </w:rPr>
        <w:instrText>ADDIN CSL_CITATION {"citationItems":[{"id":"ITEM-1","itemData":{"abstract":"This paper develops and applies a structural bioeconomic model of a coastal recreational fishery. We combine a dynamic fish population model, a statistical model of angler catch rates, and a recreation demand model to estimate the value of water quality changes for the Atlantic Coast summer flounder fishery. The model predicts that improving water quality conditions in Maryland's coastal bays alone would have relatively small impacts on the fishery as a whole. However, water quality improvements throughout the range of the species could lead to substantial increases in fish abundance and associated benefits to recreational anglers from increased catch rates. We also estimate an alternative version of the catch function, with no direct measure of fish abundance included, and we compare results from this \"reduced form\" approach to results from our structural model. © 2006.","author":[{"dropping-particle":"","family":"Massey","given":"D. Matthew","non-dropping-particle":"","parse-names":false,"suffix":""},{"dropping-particle":"","family":"Newbold","given":"Stephen C.","non-dropping-particle":"","parse-names":false,"suffix":""},{"dropping-particle":"","family":"Gentner","given":"Brad","non-dropping-particle":"","parse-names":false,"suffix":""}],"container-title":"Journal of Environmental Economics and Management","id":"ITEM-1","issue":"1","issued":{"date-parts":[["2006"]]},"page":"482-500","title":"Valuing water quality changes using a bioeconomic model of a coastal recreational fishery","type":"article-journal","volume":"52"},"uris":["http://www.mendeley.com/documents/?uuid=6ee7dd57-9615-4b93-b646-8a5d34689830"]},{"id":"ITEM-2","itemData":{"author":[{"dropping-particle":"","family":"Hicks","given":"Robert L","non-dropping-particle":"","parse-names":false,"suffix":""}],"container-title":"Fisheries Statistics and Economics Division","id":"ITEM-2","issue":"April","issued":{"date-parts":[["2002"]]},"page":"111","title":"Stated preference methods for environmental management: recreational summer flounder angling in the northeastern united states","type":"article-journal"},"uris":["http://www.mendeley.com/documents/?uuid=dec248cb-1361-44ee-b30a-debd81252975"]}],"mendeley":{"formattedCitation":"(Massey, Newbold, and Gentner 2006; Hicks 2002)","manualFormatting":"(Massey at al. 2006; Hicks 2002)","plainTextFormattedCitation":"(Massey, Newbold, and Gentner 2006; Hicks 2002)","previouslyFormattedCitation":"(Massey, Newbold, and Gentner 2006; Hicks 2002)"},"properties":{"noteIndex":0},"schema":"https://github.com/citation-style-language/schema/raw/master/csl-citation.json"}</w:instrText>
      </w:r>
      <w:r w:rsidR="0046517C">
        <w:rPr>
          <w:sz w:val="24"/>
          <w:szCs w:val="24"/>
        </w:rPr>
        <w:fldChar w:fldCharType="separate"/>
      </w:r>
      <w:r w:rsidR="0046517C" w:rsidRPr="0046517C">
        <w:rPr>
          <w:noProof/>
          <w:sz w:val="24"/>
          <w:szCs w:val="24"/>
        </w:rPr>
        <w:t>(Massey</w:t>
      </w:r>
      <w:r w:rsidR="0046517C">
        <w:rPr>
          <w:noProof/>
          <w:sz w:val="24"/>
          <w:szCs w:val="24"/>
        </w:rPr>
        <w:t xml:space="preserve"> at al.</w:t>
      </w:r>
      <w:r w:rsidR="0046517C" w:rsidRPr="0046517C">
        <w:rPr>
          <w:noProof/>
          <w:sz w:val="24"/>
          <w:szCs w:val="24"/>
        </w:rPr>
        <w:t xml:space="preserve"> 2006; Hicks 2002)</w:t>
      </w:r>
      <w:r w:rsidR="0046517C">
        <w:rPr>
          <w:sz w:val="24"/>
          <w:szCs w:val="24"/>
        </w:rPr>
        <w:fldChar w:fldCharType="end"/>
      </w:r>
      <w:r w:rsidRPr="00E86166">
        <w:rPr>
          <w:sz w:val="24"/>
          <w:szCs w:val="24"/>
        </w:rPr>
        <w:t>, trout and grayling in Norway</w:t>
      </w:r>
      <w:r w:rsidR="0046517C">
        <w:rPr>
          <w:sz w:val="24"/>
          <w:szCs w:val="24"/>
        </w:rPr>
        <w:t xml:space="preserve"> </w:t>
      </w:r>
      <w:r w:rsidR="0046517C">
        <w:rPr>
          <w:sz w:val="24"/>
          <w:szCs w:val="24"/>
        </w:rPr>
        <w:fldChar w:fldCharType="begin" w:fldLock="1"/>
      </w:r>
      <w:r w:rsidR="0046517C">
        <w:rPr>
          <w:sz w:val="24"/>
          <w:szCs w:val="24"/>
        </w:rPr>
        <w:instrText>ADDIN CSL_CITATION {"citationItems":[{"id":"ITEM-1","itemData":{"abstract":"—Experimental modeling of angler choice behavior is slowly emerging as an alternative to both the modeling of actual fishing behavior (revealed preferences), and the modeling of be-havioral antecedents, such as attitudes, beliefs, and opinions. These conjoint-based choice modeling approaches are particularly useful for evaluating various fisheries management alternatives and programs. In this study we applied a discrete choice experiment (DCE), which relies on the principle of fractional factorial designs, to produce hypothetical profiles of fishing opportunities. The study was conducted in Engerdal, eastern Norway. Engerdal is a popular fishing area for locals and tourists from Norway and Sweden. Proper harvest regulation of a popular sport fishery for brown trout Salmo trutta and European grayling Thymallus thymallus is the major challenge to fisheries management in the area. Data were collected in a mail survey in the fall of 1996. Three regulation variables (minimum size limit, bag limit, and bait type) and two expectation variables (expected average fish size and expected catch numbers) were considered in this DCE. The study uncovered major differences in preferences for fishing opportunities between fly-only anglers and other angler groups. The fundamental difference between the main angling groups suggests that spatial seg-regation of these segments should be an essential management strategy, if both groups are to be provided with satisfactory experiences. The study shows great promise for using conjoint-based choice modeling in understanding angler responses to different harvest regulation alternatives. Future research is needed to refine its application in the human dimensions research.","author":[{"dropping-particle":"","family":"Aas","given":"Øystein","non-dropping-particle":"","parse-names":false,"suffix":""},{"dropping-particle":"","family":"Haider","given":"Wolfgang","non-dropping-particle":"","parse-names":false,"suffix":""},{"dropping-particle":"","family":"Hunt","given":"Len","non-dropping-particle":"","parse-names":false,"suffix":""}],"container-title":"North American Journal of Fisheries Management","id":"ITEM-1","issue":"4","issued":{"date-parts":[["2000"]]},"page":"940-950","title":"Angler Responses to Potential Harvest Regulations in a Norwegian Sport Fishery: A Conjoint-Based Choice Modeling Approach","type":"article-journal","volume":"20"},"uris":["http://www.mendeley.com/documents/?uuid=76e97019-4054-4ba8-9a08-94de3b06a3f1"]}],"mendeley":{"formattedCitation":"(Aas, Haider, and Hunt 2000)","manualFormatting":"(Aas et al. 2000)","plainTextFormattedCitation":"(Aas, Haider, and Hunt 2000)","previouslyFormattedCitation":"(Aas, Haider, and Hunt 2000)"},"properties":{"noteIndex":0},"schema":"https://github.com/citation-style-language/schema/raw/master/csl-citation.json"}</w:instrText>
      </w:r>
      <w:r w:rsidR="0046517C">
        <w:rPr>
          <w:sz w:val="24"/>
          <w:szCs w:val="24"/>
        </w:rPr>
        <w:fldChar w:fldCharType="separate"/>
      </w:r>
      <w:r w:rsidR="0046517C" w:rsidRPr="0046517C">
        <w:rPr>
          <w:noProof/>
          <w:sz w:val="24"/>
          <w:szCs w:val="24"/>
        </w:rPr>
        <w:t>(Aas</w:t>
      </w:r>
      <w:r w:rsidR="0046517C">
        <w:rPr>
          <w:noProof/>
          <w:sz w:val="24"/>
          <w:szCs w:val="24"/>
        </w:rPr>
        <w:t xml:space="preserve"> et al. </w:t>
      </w:r>
      <w:r w:rsidR="0046517C" w:rsidRPr="0046517C">
        <w:rPr>
          <w:noProof/>
          <w:sz w:val="24"/>
          <w:szCs w:val="24"/>
        </w:rPr>
        <w:t>2000)</w:t>
      </w:r>
      <w:r w:rsidR="0046517C">
        <w:rPr>
          <w:sz w:val="24"/>
          <w:szCs w:val="24"/>
        </w:rPr>
        <w:fldChar w:fldCharType="end"/>
      </w:r>
      <w:r w:rsidRPr="00E86166">
        <w:rPr>
          <w:sz w:val="24"/>
          <w:szCs w:val="24"/>
        </w:rPr>
        <w:t xml:space="preserve">, paddlefish in Oklahoma </w:t>
      </w:r>
      <w:r w:rsidR="0046517C">
        <w:rPr>
          <w:sz w:val="24"/>
          <w:szCs w:val="24"/>
        </w:rPr>
        <w:fldChar w:fldCharType="begin" w:fldLock="1"/>
      </w:r>
      <w:r w:rsidR="0046517C">
        <w:rPr>
          <w:sz w:val="24"/>
          <w:szCs w:val="24"/>
        </w:rPr>
        <w:instrText>ADDIN CSL_CITATION {"citationItems":[{"id":"ITEM-1","itemData":{"abstract":"This paper presents research on recreational paddlefish anglers’ preferences for catch-and-release fishing. We used stated preference (SP) data from a choice experiment to identify the effect of a hypothetical catch-and-release regulation on fishing preferences, and revealed preference (RP) data to measure the desirability of actual paddlefish fishing locations. We then modeled the effects of catch-and-release regulations on location choice and participation in the Oklahoma fishery. Our results indicate that although anglers dislike catch-and-release, most directly affected by regulations will either continue fishing at their preferred site or switch to a site where harvesting is permitted. Our preferred model predicts two-thirds will continue to participate even if catch-and-release fishing is required statewide.","author":[{"dropping-particle":"","family":"Cha","given":"Wonkyu","non-dropping-particle":"","parse-names":false,"suffix":""},{"dropping-particle":"","family":"Melstrom","given":"Richard T.","non-dropping-particle":"","parse-names":false,"suffix":""}],"container-title":"Journal of Environmental Management","id":"ITEM-1","issued":{"date-parts":[["2018"]]},"page":"1-8","title":"Catch-and-release regulations and paddlefish angler preferences","type":"article-journal","volume":"214"},"uris":["http://www.mendeley.com/documents/?uuid=9c9baa65-f177-4270-8e37-27f94e8e29fd"]}],"mendeley":{"formattedCitation":"(Cha and Melstrom 2018)","plainTextFormattedCitation":"(Cha and Melstrom 2018)","previouslyFormattedCitation":"(Cha and Melstrom 2018)"},"properties":{"noteIndex":0},"schema":"https://github.com/citation-style-language/schema/raw/master/csl-citation.json"}</w:instrText>
      </w:r>
      <w:r w:rsidR="0046517C">
        <w:rPr>
          <w:sz w:val="24"/>
          <w:szCs w:val="24"/>
        </w:rPr>
        <w:fldChar w:fldCharType="separate"/>
      </w:r>
      <w:r w:rsidR="0046517C" w:rsidRPr="0046517C">
        <w:rPr>
          <w:noProof/>
          <w:sz w:val="24"/>
          <w:szCs w:val="24"/>
        </w:rPr>
        <w:t>(Cha and Melstrom 2018)</w:t>
      </w:r>
      <w:r w:rsidR="0046517C">
        <w:rPr>
          <w:sz w:val="24"/>
          <w:szCs w:val="24"/>
        </w:rPr>
        <w:fldChar w:fldCharType="end"/>
      </w:r>
      <w:r w:rsidRPr="00E86166">
        <w:rPr>
          <w:sz w:val="24"/>
          <w:szCs w:val="24"/>
        </w:rPr>
        <w:t xml:space="preserve">, trout in Michigan </w:t>
      </w:r>
      <w:r w:rsidR="0046517C">
        <w:rPr>
          <w:sz w:val="24"/>
          <w:szCs w:val="24"/>
        </w:rPr>
        <w:fldChar w:fldCharType="begin" w:fldLock="1"/>
      </w:r>
      <w:r w:rsidR="0046517C">
        <w:rPr>
          <w:sz w:val="24"/>
          <w:szCs w:val="24"/>
        </w:rPr>
        <w:instrText>ADDIN CSL_CITATION {"citationItems":[{"id":"ITEM-1","itemData":{"abstract":"Allocating limited funds across competing management actions to generate the fisheries improvements most desired by anglers requires in-depth knowledge of angler preferences for aspects of the fishing experience. Characterizing angler preferences in terms of a probability distribution, rather than simply a population mean, provides fisheries managers with insights into how preferences vary across the population of anglers. This is particularly important with respect to fishing regulations, for which anglers may have strong yet diverse preferences. To examine angler preferences and how these preferences vary across the population of trout anglers, we estimated a random parameters logit model of trout fishing site choice using data from a mail and internet administered choice experiment of Michigan trout anglers (response rate-44.6%). We found that, even though on average trout anglers do not prefer fishing at sites with the most strict fishing regulations (Catch and Release Only and Artificial Flies Only; p &lt; 0.01), about 18% and 26% of anglers do prefer sites with these regulations (all else equal). We then exploit positive and statistically significant (p &lt; 0.01) mean preferences for trout catch rates and sizes to examine how sites with regulations that result in offsetting catch-related improvements can increase the proportion of anglers preferring such sites. These results can help improve trout fishery management by focusing scarce resources on the improvement of the most-preferred catch-related attributes, while understanding how anglers are affected by gear and harvest regulations.","author":[{"dropping-particle":"","family":"Knoche","given":"Scott","non-dropping-particle":"","parse-names":false,"suffix":""},{"dropping-particle":"","family":"Lupi","given":"Frank","non-dropping-particle":"","parse-names":false,"suffix":""}],"container-title":"Fisheries Research","id":"ITEM-1","issued":{"date-parts":[["2016"]]},"page":"163-171","title":"Demand for fishery regulations: Effects of angler heterogeneity and catch improvements on preferences for gear and harvest restrictions","type":"article-journal","volume":"181"},"uris":["http://www.mendeley.com/documents/?uuid=36dc84fb-db99-3580-a99a-2e4bb0da173d"]}],"mendeley":{"formattedCitation":"(Knoche and Lupi 2016)","plainTextFormattedCitation":"(Knoche and Lupi 2016)","previouslyFormattedCitation":"(Knoche and Lupi 2016)"},"properties":{"noteIndex":0},"schema":"https://github.com/citation-style-language/schema/raw/master/csl-citation.json"}</w:instrText>
      </w:r>
      <w:r w:rsidR="0046517C">
        <w:rPr>
          <w:sz w:val="24"/>
          <w:szCs w:val="24"/>
        </w:rPr>
        <w:fldChar w:fldCharType="separate"/>
      </w:r>
      <w:r w:rsidR="0046517C" w:rsidRPr="0046517C">
        <w:rPr>
          <w:noProof/>
          <w:sz w:val="24"/>
          <w:szCs w:val="24"/>
        </w:rPr>
        <w:t>(Knoche and Lupi 2016)</w:t>
      </w:r>
      <w:r w:rsidR="0046517C">
        <w:rPr>
          <w:sz w:val="24"/>
          <w:szCs w:val="24"/>
        </w:rPr>
        <w:fldChar w:fldCharType="end"/>
      </w:r>
      <w:r w:rsidRPr="00E86166">
        <w:rPr>
          <w:sz w:val="24"/>
          <w:szCs w:val="24"/>
        </w:rPr>
        <w:t xml:space="preserve">, and pacific halibut and salmon in Alaska </w:t>
      </w:r>
      <w:r w:rsidR="0046517C">
        <w:rPr>
          <w:sz w:val="24"/>
          <w:szCs w:val="24"/>
        </w:rPr>
        <w:fldChar w:fldCharType="begin" w:fldLock="1"/>
      </w:r>
      <w:r w:rsidR="00A26BA0">
        <w:rPr>
          <w:sz w:val="24"/>
          <w:szCs w:val="24"/>
        </w:rPr>
        <w:instrText>ADDIN CSL_CITATION {"citationItems":[{"id":"ITEM-1","itemData":{"abstract":"The knowledge of how anglers value their fishing opportunities is a fundamental building block of a sound marine policy, especially for stocks for which there is conflict over allocation between different uses (e.g., allocation between recreational and commercial uses and conservation goals). This paper reports on how recreational saltwater anglers value their catches, and the regulations governing them, of Pacific halibut Hippoglossus stenolepis, Chinook salmon Oncorhynchus tshawytscha, and coho salmon O. kisutch off the coast of Alaska using stated preference choice experiment data from 2007. Using data from a stated preference survey, we estimated the economic value, or willingness to pay, anglers place on saltwater boat fishing trips in Alaska and assess their response to changes in the characteristics of fishing trips. The results show that Alaska resident anglers had mean trip values ranging from US$246 to $444, while nonresidents had much higher values ($2,007 to $2,639), likely reflecting the fact that their trips are both less common and considerably more expensive to take. Nonresidents generally had significant positive values for increases in the number of fish caught, bag limit, and fish size, while Alaska residents valued size and bag limit changes but not catch increases. The economic values are also discussed in the context of allocation issues, particularly as they relate to the sport fishing and commercial fishing sectors for Pacific halibut, which is a current issue facing Alaska marine fisheries managers.","author":[{"dropping-particle":"","family":"Lew","given":"Daniel K.","non-dropping-particle":"","parse-names":false,"suffix":""},{"dropping-particle":"","family":"Larson","given":"Douglas M.","non-dropping-particle":"","parse-names":false,"suffix":""}],"container-title":"North American Journal of Fisheries Management","id":"ITEM-1","issue":"4","issued":{"date-parts":[["2012"]]},"page":"745-759","title":"Economic values for saltwater sport fishing in Alaska: A stated preference analysis","type":"article-journal","volume":"32"},"uris":["http://www.mendeley.com/documents/?uuid=0b620f12-c87a-4957-8dde-4ec110ab39b1"]},{"id":"ITEM-2","itemData":{"abstract":"Saltwater sportfishing is a popular activity for visitors to Alaska. In this paper, a stated- preference model of saltwater sportfishing participation is used to generate estimates of the changes in participation resulting from changes in harvest limits for three primary recreational target species in Alaska saltwater fisheries: Pacific halibut Hippoglossus stenolepis, Chinook salmon Oncorhynchus tshawytscha, and coho salmon O. kisutch. These estimates are then used in a state-level computable general equilibrium (CGE) model to generate estimates of the economic impacts of harvest policies. We find that the impacts of changes in nonresident anglers’ expenditures are smaller than those from a social accounting matrix model and that many of the impacts from an increase in expenditures leak out of state owing to Alaska’s heavy dependence on imports of goods and services from the rest of the United States. Moreover, changes to harvest limits appear to have a small effect on the Alaska economy, at least in comparison with the overall size of that economy.","author":[{"dropping-particle":"","family":"Lew","given":"Daniel K.","non-dropping-particle":"","parse-names":false,"suffix":""},{"dropping-particle":"","family":"Seung","given":"Chang K.","non-dropping-particle":"","parse-names":false,"suffix":""}],"container-title":"North American Journal of Fisheries Management","id":"ITEM-2","issue":"2","issued":{"date-parts":[["2010"]]},"page":"538-551","title":"The Economic Impact of Saltwater Sportfishing Harvest Restrictions in Alaska: An Empirical Analysis of Nonresident Anglers","type":"article-journal","volume":"30"},"uris":["http://www.mendeley.com/documents/?uuid=2f7f8f32-b2b1-40d4-a556-d1b8cdde7deb"]}],"mendeley":{"formattedCitation":"(Lew and Larson 2012; Lew and Seung 2010)","plainTextFormattedCitation":"(Lew and Larson 2012; Lew and Seung 2010)","previouslyFormattedCitation":"(Lew and Larson 2012; Lew and Seung 2010)"},"properties":{"noteIndex":0},"schema":"https://github.com/citation-style-language/schema/raw/master/csl-citation.json"}</w:instrText>
      </w:r>
      <w:r w:rsidR="0046517C">
        <w:rPr>
          <w:sz w:val="24"/>
          <w:szCs w:val="24"/>
        </w:rPr>
        <w:fldChar w:fldCharType="separate"/>
      </w:r>
      <w:r w:rsidR="0046517C" w:rsidRPr="0046517C">
        <w:rPr>
          <w:noProof/>
          <w:sz w:val="24"/>
          <w:szCs w:val="24"/>
        </w:rPr>
        <w:t>(Lew and Larson 2012; Lew and Seung 2010)</w:t>
      </w:r>
      <w:r w:rsidR="0046517C">
        <w:rPr>
          <w:sz w:val="24"/>
          <w:szCs w:val="24"/>
        </w:rPr>
        <w:fldChar w:fldCharType="end"/>
      </w:r>
      <w:r w:rsidRPr="00E86166">
        <w:rPr>
          <w:sz w:val="24"/>
          <w:szCs w:val="24"/>
        </w:rPr>
        <w:t xml:space="preserve">. In addition to catch rates and regulations, other studies have evaluated non-consumptive aspects of recreational fishing, such as hooking and losing, or seeing a target species </w:t>
      </w:r>
      <w:r w:rsidR="0046517C">
        <w:rPr>
          <w:sz w:val="24"/>
          <w:szCs w:val="24"/>
        </w:rPr>
        <w:fldChar w:fldCharType="begin" w:fldLock="1"/>
      </w:r>
      <w:r w:rsidR="0046517C">
        <w:rPr>
          <w:sz w:val="24"/>
          <w:szCs w:val="24"/>
        </w:rPr>
        <w:instrText>ADDIN CSL_CITATION {"citationItems":[{"id":"ITEM-1","itemData":{"abstract":"The Atlantic Bluefin Tuna Thunnus thynnus is the target of a recreational fishery along the U.S. East Coast that is thought to be of considerable economic value. In some years, recreational landings have exceeded the sector’s annual subquota due to changes in fish availability, limited predictability of angler effort, and difficulties in real-time monitoring of catch. Understanding the drivers of angler behavior is critical for predicting how effort and harvest may vary as a function of changing fish availability, regulations, or costs. To investigate angler decision making, preferences, and values, we surveyed private recreational anglers from Maine to North Carolina and employed discrete choice experiments to determine how regulatory and nonregulatory trip-specific variables influence trip-taking behavior. A latent class-ranked logit model identified two distinct classes of anglers who exhibited differing preferences in regard to the importance of nonconsumptive aspects of Bluefin Tuna fishing (e.g., catch and release). Income and recent Bluefin Tuna targeting were the primary determinants of class membership, and higher-income anglers who had targeted Bluefin Tuna in the past 5 years were significantly more likely to be in the class that derives substantive benefits from nonconsumptive angling activities. An annual consumer surplus exceeding US$14 million was estimated for the 2015 fishery. We considered potential angler welfare impacts of possible management changes (compensating surplus) and identified a large amount of latent effort currently present in the fishery in the form of consumptiveoriented anglers. As a result, liberalization of harvest regulations could potentially lead to a large influx of effort into the fishery, which could impede the ability of managers to maintain harvest levels within prescribed limits.","author":[{"dropping-particle":"","family":"Goldsmith","given":"William M.","non-dropping-particle":"","parse-names":false,"suffix":""},{"dropping-particle":"","family":"Scheld","given":"Andrew M.","non-dropping-particle":"","parse-names":false,"suffix":""},{"dropping-particle":"","family":"Graves","given":"John E.","non-dropping-particle":"","parse-names":false,"suffix":""}],"container-title":"North American Journal of Fisheries Management","id":"ITEM-1","issue":"3","issued":{"date-parts":[["2018"]]},"page":"680-697","title":"Characterizing the Preferences and Values of U.S. Recreational Atlantic Bluefin Tuna Anglers","type":"article-journal","volume":"38"},"uris":["http://www.mendeley.com/documents/?uuid=9ddd5ec1-3d20-4964-b194-1d4202320d78"]},{"id":"ITEM-2","itemData":{"abstract":"This article reports on an application of choice experiment methods to\\nanglers targeting blue marlin and other pelagic species in Hawaii. Data\\nwas collected through the Hawaii Marine Recreational Fisheries\\nStatistical Survey in 2006. Based on 480 completed surveys, respondents\\nwere dominantly male (94.2%), Asian (51.6%), had relatively high\\nincomes ($79,816), and 59.6% owned boats. Profit orientation included\\nfishing for profit, expense fishing, Holoholo (purely recreational),\\nKaukau (subsistence fishing), and trophy fishing. Multinomial logit\\nmodels were estimated and parameters on trip cost, marlin catch, ahi\\nweight, the summer season, and a nonconsumptive attribute, seeing\\nmarlin, were all highly significant and of the expected sign. Part-worth\\nwillingness to pay (WTP) for catching a blue marlin was estimated at\\n$521 for the charter group and $276 for those on private boat trips.\\nMarginal value per pound for ahi is similar for both groups,\\n$0.96/pound for charter and $0.92 for private boat.","author":[{"dropping-particle":"","family":"Duffield","given":"John","non-dropping-particle":"","parse-names":false,"suffix":""},{"dropping-particle":"","family":"Neher","given":"Chris","non-dropping-particle":"","parse-names":false,"suffix":""},{"dropping-particle":"","family":"Allen","given":"Stewart","non-dropping-particle":"","parse-names":false,"suffix":""},{"dropping-particle":"","family":"Patterson","given":"David","non-dropping-particle":"","parse-names":false,"suffix":""},{"dropping-particle":"","family":"Gentner","given":"Brad","non-dropping-particle":"","parse-names":false,"suffix":""}],"container-title":"Marine Resource Economics","id":"ITEM-2","issue":"4","issued":{"date-parts":[["2012"]]},"page":"343-357","title":"Modeling the Behavior of Marlin Anglers in the Western Pacific","type":"article-journal","volume":"27"},"uris":["http://www.mendeley.com/documents/?uuid=6352f7df-77bd-40fb-9f30-fa0a3e9167db"]}],"mendeley":{"formattedCitation":"(Goldsmith, Scheld, and Graves 2018; Duffield et al. 2012)","manualFormatting":"(Goldsmith et al. 2018; Duffield et al. 2012)","plainTextFormattedCitation":"(Goldsmith, Scheld, and Graves 2018; Duffield et al. 2012)","previouslyFormattedCitation":"(Goldsmith, Scheld, and Graves 2018; Duffield et al. 2012)"},"properties":{"noteIndex":0},"schema":"https://github.com/citation-style-language/schema/raw/master/csl-citation.json"}</w:instrText>
      </w:r>
      <w:r w:rsidR="0046517C">
        <w:rPr>
          <w:sz w:val="24"/>
          <w:szCs w:val="24"/>
        </w:rPr>
        <w:fldChar w:fldCharType="separate"/>
      </w:r>
      <w:r w:rsidR="0046517C" w:rsidRPr="0046517C">
        <w:rPr>
          <w:noProof/>
          <w:sz w:val="24"/>
          <w:szCs w:val="24"/>
        </w:rPr>
        <w:t>(Goldsmith</w:t>
      </w:r>
      <w:r w:rsidR="0046517C">
        <w:rPr>
          <w:noProof/>
          <w:sz w:val="24"/>
          <w:szCs w:val="24"/>
        </w:rPr>
        <w:t xml:space="preserve"> et al. </w:t>
      </w:r>
      <w:r w:rsidR="0046517C" w:rsidRPr="0046517C">
        <w:rPr>
          <w:noProof/>
          <w:sz w:val="24"/>
          <w:szCs w:val="24"/>
        </w:rPr>
        <w:t>2018; Duffield et al. 2012)</w:t>
      </w:r>
      <w:r w:rsidR="0046517C">
        <w:rPr>
          <w:sz w:val="24"/>
          <w:szCs w:val="24"/>
        </w:rPr>
        <w:fldChar w:fldCharType="end"/>
      </w:r>
      <w:r w:rsidRPr="00E86166">
        <w:rPr>
          <w:sz w:val="24"/>
          <w:szCs w:val="24"/>
        </w:rPr>
        <w:t xml:space="preserve">. </w:t>
      </w:r>
      <w:r w:rsidR="0046517C">
        <w:rPr>
          <w:sz w:val="24"/>
          <w:szCs w:val="24"/>
        </w:rPr>
        <w:fldChar w:fldCharType="begin" w:fldLock="1"/>
      </w:r>
      <w:r w:rsidR="00A26BA0">
        <w:rPr>
          <w:sz w:val="24"/>
          <w:szCs w:val="24"/>
        </w:rPr>
        <w:instrText>ADDIN CSL_CITATION {"citationItems":[{"id":"ITEM-1","itemData":{"abstract":"Over the last several years, significant regulatory changes related to Pacific halibut Hippoglossus stenolepis have occurred in the for-hire recreational charter boat fishing sector in Alaska. In addition to limited entry restrictions and adoption of a catch sharing plan that provides a formal means of determining allocation between the commercial and charter boat fishing sectors, more restrictive harvest regulations were placed on anglers fishing from charter boats. This article provides insights into how the value anglers place on charter boat fishing is affected by these regulations, principally bag and size limits. Such information is helpful in assessing the trade-offs in economic benefits associated with different regulatory tools used to manage angler harvest levels. Stated preference choice experiment data from a 2012 survey are analyzed using a panel rank-ordered mixed logit model to estimate the economic value, or willingness to pay (WTP), non-resident anglers place on saltwater charter boat fishing trips in Alaska and to assess how changes in characteristics of fishing trips, particularly harvest restrictions related to Pacific halibut, affect this value. The model specification accounts for a wide array of size and bag limit restrictions that have been recently implemented or are under consideration by Pacific halibut fishery managers. The results indicate that very strict harvest restrictions have the effect of driving WTP to zero, while allowing at least one (potentially) large fish to be caught is valuable to anglers. The results also suggest that WTP for fishing trips with bag limits that allow two or more fish to be harvested with no size restrictions on the first fish harvested are not statistically different from the value for trips for larger bag limits or for the case where all the fish in the limit can be any size. This suggests that fishery managers can restrict the size of the second fish in a two-fish bag limit and still maintain economic values for fishing trips.","author":[{"dropping-particle":"","family":"Lew","given":"Daniel K.","non-dropping-particle":"","parse-names":false,"suffix":""},{"dropping-particle":"","family":"Larson","given":"Douglas M.","non-dropping-particle":"","parse-names":false,"suffix":""}],"container-title":"Marine Policy","id":"ITEM-1","issued":{"date-parts":[["2015"]]},"page":"66-76","title":"Stated preferences for size and bag limits of Alaska charter boat anglers","type":"article-journal","volume":"61"},"uris":["http://www.mendeley.com/documents/?uuid=6788d362-9fde-42a9-991a-a65b78e427ef"]}],"mendeley":{"formattedCitation":"(Lew and Larson 2015)","manualFormatting":"Lew and Larson (2015)","plainTextFormattedCitation":"(Lew and Larson 2015)","previouslyFormattedCitation":"(Lew and Larson 2015)"},"properties":{"noteIndex":0},"schema":"https://github.com/citation-style-language/schema/raw/master/csl-citation.json"}</w:instrText>
      </w:r>
      <w:r w:rsidR="0046517C">
        <w:rPr>
          <w:sz w:val="24"/>
          <w:szCs w:val="24"/>
        </w:rPr>
        <w:fldChar w:fldCharType="separate"/>
      </w:r>
      <w:r w:rsidR="0046517C" w:rsidRPr="0046517C">
        <w:rPr>
          <w:noProof/>
          <w:sz w:val="24"/>
          <w:szCs w:val="24"/>
        </w:rPr>
        <w:t xml:space="preserve">Lew and Larson </w:t>
      </w:r>
      <w:r w:rsidR="0046517C">
        <w:rPr>
          <w:noProof/>
          <w:sz w:val="24"/>
          <w:szCs w:val="24"/>
        </w:rPr>
        <w:t>(</w:t>
      </w:r>
      <w:r w:rsidR="0046517C" w:rsidRPr="0046517C">
        <w:rPr>
          <w:noProof/>
          <w:sz w:val="24"/>
          <w:szCs w:val="24"/>
        </w:rPr>
        <w:t>2015)</w:t>
      </w:r>
      <w:r w:rsidR="0046517C">
        <w:rPr>
          <w:sz w:val="24"/>
          <w:szCs w:val="24"/>
        </w:rPr>
        <w:fldChar w:fldCharType="end"/>
      </w:r>
      <w:r w:rsidR="0046517C">
        <w:rPr>
          <w:sz w:val="24"/>
          <w:szCs w:val="24"/>
        </w:rPr>
        <w:t xml:space="preserve"> </w:t>
      </w:r>
      <w:r w:rsidRPr="00E86166">
        <w:rPr>
          <w:sz w:val="24"/>
          <w:szCs w:val="24"/>
        </w:rPr>
        <w:t>exclude catch attributes from the utility function and estimate Alaskan charter b</w:t>
      </w:r>
      <w:r>
        <w:rPr>
          <w:sz w:val="24"/>
          <w:szCs w:val="24"/>
        </w:rPr>
        <w:t xml:space="preserve">oat angler preferences and </w:t>
      </w:r>
      <w:r w:rsidR="00BE71E6">
        <w:rPr>
          <w:sz w:val="24"/>
          <w:szCs w:val="24"/>
        </w:rPr>
        <w:t>willingness-to-pay</w:t>
      </w:r>
      <w:r>
        <w:rPr>
          <w:sz w:val="24"/>
          <w:szCs w:val="24"/>
        </w:rPr>
        <w:t xml:space="preserve"> </w:t>
      </w:r>
      <w:r w:rsidRPr="00E86166">
        <w:rPr>
          <w:sz w:val="24"/>
          <w:szCs w:val="24"/>
        </w:rPr>
        <w:t xml:space="preserve">for alternative bag and size limit restrictions. </w:t>
      </w:r>
      <w:r w:rsidR="00BE71E6">
        <w:rPr>
          <w:sz w:val="24"/>
          <w:szCs w:val="24"/>
        </w:rPr>
        <w:t xml:space="preserve">Like the proposed </w:t>
      </w:r>
      <w:r w:rsidR="00CA0835">
        <w:rPr>
          <w:sz w:val="24"/>
          <w:szCs w:val="24"/>
        </w:rPr>
        <w:t>NARFS</w:t>
      </w:r>
      <w:r w:rsidR="00BE71E6">
        <w:rPr>
          <w:sz w:val="24"/>
          <w:szCs w:val="24"/>
        </w:rPr>
        <w:t>, s</w:t>
      </w:r>
      <w:r w:rsidRPr="00E86166">
        <w:rPr>
          <w:sz w:val="24"/>
          <w:szCs w:val="24"/>
        </w:rPr>
        <w:t xml:space="preserve">ome </w:t>
      </w:r>
      <w:r w:rsidR="00BE71E6">
        <w:rPr>
          <w:sz w:val="24"/>
          <w:szCs w:val="24"/>
        </w:rPr>
        <w:t>studies</w:t>
      </w:r>
      <w:r w:rsidRPr="00E86166">
        <w:rPr>
          <w:sz w:val="24"/>
          <w:szCs w:val="24"/>
        </w:rPr>
        <w:t xml:space="preserve"> have examined the interface between recreational catch and regulations by estimating the nonmarket value of fish that may</w:t>
      </w:r>
      <w:r w:rsidR="00831A07">
        <w:rPr>
          <w:sz w:val="24"/>
          <w:szCs w:val="24"/>
        </w:rPr>
        <w:t xml:space="preserve"> be</w:t>
      </w:r>
      <w:r w:rsidRPr="00E86166">
        <w:rPr>
          <w:sz w:val="24"/>
          <w:szCs w:val="24"/>
        </w:rPr>
        <w:t xml:space="preserve"> kept and of those which must be released. These studies consistently find that the recreational value of keeping fish is higher than that of releasing fish </w:t>
      </w:r>
      <w:r w:rsidR="006A08DC">
        <w:rPr>
          <w:sz w:val="24"/>
          <w:szCs w:val="24"/>
        </w:rPr>
        <w:t xml:space="preserve">for a variety of species </w:t>
      </w:r>
      <w:r w:rsidRPr="00E86166">
        <w:rPr>
          <w:sz w:val="24"/>
          <w:szCs w:val="24"/>
        </w:rPr>
        <w:t>(</w:t>
      </w:r>
      <w:r w:rsidR="006A08DC">
        <w:rPr>
          <w:sz w:val="24"/>
          <w:szCs w:val="24"/>
        </w:rPr>
        <w:t xml:space="preserve">Atlantic cod, haddock, </w:t>
      </w:r>
      <w:r w:rsidR="001931AE">
        <w:rPr>
          <w:sz w:val="24"/>
          <w:szCs w:val="24"/>
        </w:rPr>
        <w:t xml:space="preserve">and </w:t>
      </w:r>
      <w:r w:rsidR="006A08DC">
        <w:rPr>
          <w:sz w:val="24"/>
          <w:szCs w:val="24"/>
        </w:rPr>
        <w:t xml:space="preserve">pollock: </w:t>
      </w:r>
      <w:r w:rsidR="0046517C">
        <w:rPr>
          <w:sz w:val="24"/>
          <w:szCs w:val="24"/>
        </w:rPr>
        <w:fldChar w:fldCharType="begin" w:fldLock="1"/>
      </w:r>
      <w:r w:rsidR="0046517C">
        <w:rPr>
          <w:sz w:val="24"/>
          <w:szCs w:val="24"/>
        </w:rPr>
        <w:instrText>ADDIN CSL_CITATION {"citationItems":[{"id":"ITEM-1","itemData":{"author":[{"dropping-particle":"","family":"Lee","given":"Min-Yang","non-dropping-particle":"","parse-names":false,"suffix":""},{"dropping-particle":"","family":"Steinback","given":"Scott","non-dropping-particle":"","parse-names":false,"suffix":""},{"dropping-particle":"","family":"Wallmo","given":"Kristy","non-dropping-particle":"","parse-names":false,"suffix":""}],"id":"ITEM-1","issue":"2","issued":{"date-parts":[["2017"]]},"title":"Applying a Bioeconomic Model to Recreational Fisheries Management: Groundfish in the Northeast United States","type":"article-journal","volume":"32"},"uris":["http://www.mendeley.com/documents/?uuid=4f37fc22-8d06-4d2c-980e-76316c4427d3"]}],"mendeley":{"formattedCitation":"(Lee, Steinback, and Wallmo 2017)","manualFormatting":"Lee et al. 2017","plainTextFormattedCitation":"(Lee, Steinback, and Wallmo 2017)","previouslyFormattedCitation":"(Lee, Steinback, and Wallmo 2017)"},"properties":{"noteIndex":0},"schema":"https://github.com/citation-style-language/schema/raw/master/csl-citation.json"}</w:instrText>
      </w:r>
      <w:r w:rsidR="0046517C">
        <w:rPr>
          <w:sz w:val="24"/>
          <w:szCs w:val="24"/>
        </w:rPr>
        <w:fldChar w:fldCharType="separate"/>
      </w:r>
      <w:r w:rsidR="0046517C" w:rsidRPr="0046517C">
        <w:rPr>
          <w:noProof/>
          <w:sz w:val="24"/>
          <w:szCs w:val="24"/>
        </w:rPr>
        <w:t>Lee</w:t>
      </w:r>
      <w:r w:rsidR="0046517C">
        <w:rPr>
          <w:noProof/>
          <w:sz w:val="24"/>
          <w:szCs w:val="24"/>
        </w:rPr>
        <w:t xml:space="preserve"> et al. </w:t>
      </w:r>
      <w:r w:rsidR="0046517C" w:rsidRPr="0046517C">
        <w:rPr>
          <w:noProof/>
          <w:sz w:val="24"/>
          <w:szCs w:val="24"/>
        </w:rPr>
        <w:t>2017</w:t>
      </w:r>
      <w:r w:rsidR="0046517C">
        <w:rPr>
          <w:sz w:val="24"/>
          <w:szCs w:val="24"/>
        </w:rPr>
        <w:fldChar w:fldCharType="end"/>
      </w:r>
      <w:r w:rsidR="0046517C">
        <w:rPr>
          <w:sz w:val="24"/>
          <w:szCs w:val="24"/>
        </w:rPr>
        <w:t xml:space="preserve">; </w:t>
      </w:r>
      <w:r w:rsidR="006A08DC">
        <w:rPr>
          <w:sz w:val="24"/>
          <w:szCs w:val="24"/>
        </w:rPr>
        <w:t>Pacific halibut, Chinook salmon, and coho salmon:</w:t>
      </w:r>
      <w:r w:rsidR="0046517C">
        <w:rPr>
          <w:sz w:val="24"/>
          <w:szCs w:val="24"/>
        </w:rPr>
        <w:t xml:space="preserve"> </w:t>
      </w:r>
      <w:r w:rsidR="0046517C">
        <w:rPr>
          <w:sz w:val="24"/>
          <w:szCs w:val="24"/>
        </w:rPr>
        <w:fldChar w:fldCharType="begin" w:fldLock="1"/>
      </w:r>
      <w:r w:rsidR="0046517C">
        <w:rPr>
          <w:sz w:val="24"/>
          <w:szCs w:val="24"/>
        </w:rPr>
        <w:instrText>ADDIN CSL_CITATION {"citationItems":[{"id":"ITEM-1","itemData":{"abstract":"The knowledge of how anglers value their fishing opportunities is a fundamental building block of a sound marine policy, especially for stocks for which there is conflict over allocation between different uses (e.g., allocation between recreational and commercial uses and conservation goals). This paper reports on how recreational saltwater anglers value their catches, and the regulations governing them, of Pacific halibut Hippoglossus stenolepis, Chinook salmon Oncorhynchus tshawytscha, and coho salmon O. kisutch off the coast of Alaska using stated preference choice experiment data from 2007. Using data from a stated preference survey, we estimated the economic value, or willingness to pay, anglers place on saltwater boat fishing trips in Alaska and assess their response to changes in the characteristics of fishing trips. The results show that Alaska resident anglers had mean trip values ranging from US$246 to $444, while nonresidents had much higher values ($2,007 to $2,639), likely reflecting the fact that their trips are both less common and considerably more expensive to take. Nonresidents generally had significant positive values for increases in the number of fish caught, bag limit, and fish size, while Alaska residents valued size and bag limit changes but not catch increases. The economic values are also discussed in the context of allocation issues, particularly as they relate to the sport fishing and commercial fishing sectors for Pacific halibut, which is a current issue facing Alaska marine fisheries managers.","author":[{"dropping-particle":"","family":"Lew","given":"Daniel K.","non-dropping-particle":"","parse-names":false,"suffix":""},{"dropping-particle":"","family":"Larson","given":"Douglas M.","non-dropping-particle":"","parse-names":false,"suffix":""}],"container-title":"North American Journal of Fisheries Management","id":"ITEM-1","issue":"4","issued":{"date-parts":[["2012"]]},"page":"745-759","title":"Economic values for saltwater sport fishing in Alaska: A stated preference analysis","type":"article-journal","volume":"32"},"uris":["http://www.mendeley.com/documents/?uuid=0b620f12-c87a-4957-8dde-4ec110ab39b1"]}],"mendeley":{"formattedCitation":"(Lew and Larson 2012)","manualFormatting":"Lew and Larson 2012","plainTextFormattedCitation":"(Lew and Larson 2012)","previouslyFormattedCitation":"(Lew and Larson 2012)"},"properties":{"noteIndex":0},"schema":"https://github.com/citation-style-language/schema/raw/master/csl-citation.json"}</w:instrText>
      </w:r>
      <w:r w:rsidR="0046517C">
        <w:rPr>
          <w:sz w:val="24"/>
          <w:szCs w:val="24"/>
        </w:rPr>
        <w:fldChar w:fldCharType="separate"/>
      </w:r>
      <w:r w:rsidR="0046517C" w:rsidRPr="0046517C">
        <w:rPr>
          <w:noProof/>
          <w:sz w:val="24"/>
          <w:szCs w:val="24"/>
        </w:rPr>
        <w:t>Lew and Larson 2012</w:t>
      </w:r>
      <w:r w:rsidR="0046517C">
        <w:rPr>
          <w:sz w:val="24"/>
          <w:szCs w:val="24"/>
        </w:rPr>
        <w:fldChar w:fldCharType="end"/>
      </w:r>
      <w:r w:rsidRPr="00E86166">
        <w:rPr>
          <w:sz w:val="24"/>
          <w:szCs w:val="24"/>
        </w:rPr>
        <w:t xml:space="preserve">; </w:t>
      </w:r>
      <w:r w:rsidR="006A08DC">
        <w:rPr>
          <w:sz w:val="24"/>
          <w:szCs w:val="24"/>
        </w:rPr>
        <w:t>rockfish along the U.S. west coast:</w:t>
      </w:r>
      <w:r w:rsidR="0046517C">
        <w:rPr>
          <w:sz w:val="24"/>
          <w:szCs w:val="24"/>
        </w:rPr>
        <w:t xml:space="preserve"> </w:t>
      </w:r>
      <w:r w:rsidR="0046517C">
        <w:rPr>
          <w:sz w:val="24"/>
          <w:szCs w:val="24"/>
        </w:rPr>
        <w:fldChar w:fldCharType="begin" w:fldLock="1"/>
      </w:r>
      <w:r w:rsidR="00766A25">
        <w:rPr>
          <w:sz w:val="24"/>
          <w:szCs w:val="24"/>
        </w:rPr>
        <w:instrText>ADDIN CSL_CITATION {"citationItems":[{"id":"ITEM-1","itemData":{"abstract":"Abstract Many Pacific salmon populations have declined to levels that have prompted their listing under the Endangered Species Act. In order to protect these populations and provide harvest opportunities for recreational anglers, the fishery is often managed with separate regulations for wild and hatchery salmon. This article examines how the value of recreational fishing is affected by changes in wild and hatchery salmon regulations and catch rates in the Northwest region of the US. Using a discrete choice experiment, we estimate saltwater fishing trip preferences. We integrate the estimated preferences with auxiliary creel data in order to conduct simulations of willingness to pay that vary in bag limits and catch rates, conditioning on current fishery conditions. We find statistically significant differences between the recreational values for wild and hatchery salmon, and our simulations highlight the fact that these differences depend on baseline levels of catch rates and bag limits. JEL Classificati...","author":[{"dropping-particle":"","family":"Anderson","given":"L","non-dropping-particle":"","parse-names":false,"suffix":""},{"dropping-particle":"","family":"Lee","given":"T","non-dropping-particle":"","parse-names":false,"suffix":""}],"container-title":"Marine Resource Economics","id":"ITEM-1","issue":"2","issued":{"date-parts":[["2013"]]},"page":"175-197","title":"Untangling the Recreational Value of Wild and Hatchery Salmon","type":"article-journal","volume":"28"},"uris":["http://www.mendeley.com/documents/?uuid=e37b9417-937b-447f-aa72-32e52df9d0ba"]},{"id":"ITEM-2","itemData":{"abstract":"Several species of rockfishes (Sebastes spp.) in the Puget Sound of Washington have recently been listed under the Endangered Species Act. Bag limits for rockfishes have been restricted as a result, and recreational bycatch may prompt additional restrictions on trips targeting co-occurring species. A mixed logit model is estimated on discrete choice experiment data in order to simulate the effects of a set of regulations intended to conserve rockfish populations on recreational use values. Measures intended to limit rockfish bycatch mortality are shown to have economic impacts that are orders of magnitude larger than a direct adjustment in rockfish regulations. © 2013 by the Board of Regents of the University of Wisconsin System.","author":[{"dropping-particle":"","family":"Anderson","given":"L.","non-dropping-particle":"","parse-names":false,"suffix":""},{"dropping-particle":"","family":"Lee","given":"S.","non-dropping-particle":"","parse-names":false,"suffix":""},{"dropping-particle":"","family":"Levin","given":"P.","non-dropping-particle":"","parse-names":false,"suffix":""}],"container-title":"Land Economics","id":"ITEM-2","issue":"2","issued":{"date-parts":[["2013"]]},"page":"371-385","title":"Costs of Delaying Conservation: Regulations and the Recreational Values of Exploited and Co-occurring Species","type":"article-journal","volume":"89"},"uris":["http://www.mendeley.com/documents/?uuid=c4a99c80-ea40-4e4c-bd1c-47fbc8d83c8c"]}],"mendeley":{"formattedCitation":"(Anderson and Lee 2013; Anderson, Lee, and Levin 2013)","manualFormatting":"Anderson and Lee 2013; Anderson et al. 2013","plainTextFormattedCitation":"(Anderson and Lee 2013; Anderson, Lee, and Levin 2013)","previouslyFormattedCitation":"(Anderson and Lee 2013; Anderson, Lee, and Levin 2013)"},"properties":{"noteIndex":0},"schema":"https://github.com/citation-style-language/schema/raw/master/csl-citation.json"}</w:instrText>
      </w:r>
      <w:r w:rsidR="0046517C">
        <w:rPr>
          <w:sz w:val="24"/>
          <w:szCs w:val="24"/>
        </w:rPr>
        <w:fldChar w:fldCharType="separate"/>
      </w:r>
      <w:r w:rsidR="0046517C" w:rsidRPr="0046517C">
        <w:rPr>
          <w:noProof/>
          <w:sz w:val="24"/>
          <w:szCs w:val="24"/>
        </w:rPr>
        <w:t>Anderson and Lee 2013; Anderson</w:t>
      </w:r>
      <w:r w:rsidR="0046517C">
        <w:rPr>
          <w:noProof/>
          <w:sz w:val="24"/>
          <w:szCs w:val="24"/>
        </w:rPr>
        <w:t xml:space="preserve"> et al. </w:t>
      </w:r>
      <w:r w:rsidR="0046517C" w:rsidRPr="0046517C">
        <w:rPr>
          <w:noProof/>
          <w:sz w:val="24"/>
          <w:szCs w:val="24"/>
        </w:rPr>
        <w:t>2013</w:t>
      </w:r>
      <w:r w:rsidR="0046517C">
        <w:rPr>
          <w:sz w:val="24"/>
          <w:szCs w:val="24"/>
        </w:rPr>
        <w:fldChar w:fldCharType="end"/>
      </w:r>
      <w:r w:rsidRPr="00E86166">
        <w:rPr>
          <w:sz w:val="24"/>
          <w:szCs w:val="24"/>
        </w:rPr>
        <w:t>;</w:t>
      </w:r>
      <w:r w:rsidR="006A08DC">
        <w:rPr>
          <w:sz w:val="24"/>
          <w:szCs w:val="24"/>
        </w:rPr>
        <w:t xml:space="preserve"> groupers, red snapper, dolphinfish, and king mackerel along the U.S southeast coast:</w:t>
      </w:r>
      <w:r w:rsidR="0046517C">
        <w:rPr>
          <w:sz w:val="24"/>
          <w:szCs w:val="24"/>
        </w:rPr>
        <w:t xml:space="preserve"> </w:t>
      </w:r>
      <w:r w:rsidR="0046517C">
        <w:rPr>
          <w:sz w:val="24"/>
          <w:szCs w:val="24"/>
        </w:rPr>
        <w:fldChar w:fldCharType="begin" w:fldLock="1"/>
      </w:r>
      <w:r w:rsidR="001931AE">
        <w:rPr>
          <w:sz w:val="24"/>
          <w:szCs w:val="24"/>
        </w:rPr>
        <w:instrText>ADDIN CSL_CITATION {"citationItems":[{"id":"ITEM-1","itemData":{"abstract":"Abstract To evaluate the economic effects of bag limit and minimum size regulations, it is important to understand how anglers? valuation of catch varies. Using a sportfishing demand model, we estimated angler willingness to pay (WTP) for groupers Epinephelus spp. and Mycteroperca spp., red snapper Lutjanus campechanus, dolphinfish Coryphaena hippurus, and king mackerel Scomberomorus cavalla by using data from a choice experiment survey with questions about fishing trips in the southeast USA. Beyond differentiating by species and the number of fish caught (second through sixth), our catch disposition model separately estimated angler WTP for one additional fish caught and kept, caught and released due to a minimum size limit, and caught and released due to a bag limit. Angler valuations of groupers, red snapper, and king mackerel were similar and more than five times the angler valuation of dolphinfish. For all species, the angler valuation decreased with each successive fish. For red snapper and groupers, anglers indicated that keeping a fish was worth more than eight times the value of releasing the fish due to a bag limit. For all species except king mackerel, angler WTP did not differ much between a fish released due to a bag limit and a fish released due to a size limit. For king mackerel, the value of a fish caught and released due to a bag limit was more than 2.5 times the value of a fish released due to a size limit and was nearly half the value of a fish that was caught and kept. We compared our angler WTP values with those in the literature, and we provide a policy application example. Results suggest that measures of the economic effects of sportfishing regulations can be seriously misstated if the species, number, and disposition of the catch are not considered. Received January 3, 2011; accepted February 9, 2012\\nAbstract To evaluate the economic effects of bag limit and minimum size regulations, it is important to understand how anglers? valuation of catch varies. Using a sportfishing demand model, we estimated angler willingness to pay (WTP) for groupers Epinephelus spp. and Mycteroperca spp., red snapper Lutjanus campechanus, dolphinfish Coryphaena hippurus, and king mackerel Scomberomorus cavalla by using data from a choice experiment survey with questions about fishing trips in the southeast USA. Beyond differentiating by species and the number of fish caught (second through sixth), our catch disposition model separately estimated angl…","author":[{"dropping-particle":"","family":"Carter","given":"David W.","non-dropping-particle":"","parse-names":false,"suffix":""},{"dropping-particle":"","family":"Liese","given":"Christopher","non-dropping-particle":"","parse-names":false,"suffix":""}],"container-title":"North American Journal of Fisheries Management","id":"ITEM-1","issue":"4","issued":{"date-parts":[["2012"]]},"page":"613-625","title":"The Economic Value of Catching and Keeping or Releasing Saltwater Sport Fish in the Southeast USA","type":"article-journal","volume":"32"},"uris":["http://www.mendeley.com/documents/?uuid=06084b12-cef8-4d8f-b732-a03986d769f6"]}],"mendeley":{"formattedCitation":"(Carter and Liese 2012)","manualFormatting":"Carter and Liese 2012","plainTextFormattedCitation":"(Carter and Liese 2012)","previouslyFormattedCitation":"(Carter and Liese 2012)"},"properties":{"noteIndex":0},"schema":"https://github.com/citation-style-language/schema/raw/master/csl-citation.json"}</w:instrText>
      </w:r>
      <w:r w:rsidR="0046517C">
        <w:rPr>
          <w:sz w:val="24"/>
          <w:szCs w:val="24"/>
        </w:rPr>
        <w:fldChar w:fldCharType="separate"/>
      </w:r>
      <w:r w:rsidR="0046517C" w:rsidRPr="0046517C">
        <w:rPr>
          <w:noProof/>
          <w:sz w:val="24"/>
          <w:szCs w:val="24"/>
        </w:rPr>
        <w:t>Carter and Liese 2012</w:t>
      </w:r>
      <w:r w:rsidR="0046517C">
        <w:rPr>
          <w:sz w:val="24"/>
          <w:szCs w:val="24"/>
        </w:rPr>
        <w:fldChar w:fldCharType="end"/>
      </w:r>
      <w:r w:rsidR="0046517C">
        <w:rPr>
          <w:sz w:val="24"/>
          <w:szCs w:val="24"/>
        </w:rPr>
        <w:t>)</w:t>
      </w:r>
      <w:r w:rsidR="006A08DC">
        <w:rPr>
          <w:sz w:val="24"/>
          <w:szCs w:val="24"/>
        </w:rPr>
        <w:t xml:space="preserve">. </w:t>
      </w:r>
    </w:p>
    <w:p w14:paraId="4B0D1266" w14:textId="4F87B403" w:rsidR="00B80DC0" w:rsidRDefault="00B80DC0" w:rsidP="00E86166">
      <w:pPr>
        <w:rPr>
          <w:sz w:val="24"/>
          <w:szCs w:val="24"/>
        </w:rPr>
      </w:pPr>
    </w:p>
    <w:p w14:paraId="2411B294" w14:textId="7A00B57E" w:rsidR="00B80DC0" w:rsidRDefault="00B80DC0" w:rsidP="00E86166">
      <w:pPr>
        <w:rPr>
          <w:sz w:val="24"/>
          <w:szCs w:val="24"/>
        </w:rPr>
      </w:pPr>
      <w:r>
        <w:rPr>
          <w:sz w:val="24"/>
          <w:szCs w:val="24"/>
        </w:rPr>
        <w:t>As noted above, recreational cod and haddock angler preferences have been evaluated previous</w:t>
      </w:r>
      <w:r w:rsidR="00554E89">
        <w:rPr>
          <w:sz w:val="24"/>
          <w:szCs w:val="24"/>
        </w:rPr>
        <w:t>ly</w:t>
      </w:r>
      <w:r>
        <w:rPr>
          <w:sz w:val="24"/>
          <w:szCs w:val="24"/>
        </w:rPr>
        <w:t xml:space="preserve"> in </w:t>
      </w:r>
      <w:r w:rsidR="0046517C">
        <w:rPr>
          <w:sz w:val="24"/>
          <w:szCs w:val="24"/>
        </w:rPr>
        <w:fldChar w:fldCharType="begin" w:fldLock="1"/>
      </w:r>
      <w:r w:rsidR="0046517C">
        <w:rPr>
          <w:sz w:val="24"/>
          <w:szCs w:val="24"/>
        </w:rPr>
        <w:instrText>ADDIN CSL_CITATION {"citationItems":[{"id":"ITEM-1","itemData":{"author":[{"dropping-particle":"","family":"Lee","given":"Min-Yang","non-dropping-particle":"","parse-names":false,"suffix":""},{"dropping-particle":"","family":"Steinback","given":"Scott","non-dropping-particle":"","parse-names":false,"suffix":""},{"dropping-particle":"","family":"Wallmo","given":"Kristy","non-dropping-particle":"","parse-names":false,"suffix":""}],"id":"ITEM-1","issue":"2","issued":{"date-parts":[["2017"]]},"title":"Applying a Bioeconomic Model to Recreational Fisheries Management: Groundfish in the Northeast United States","type":"article-journal","volume":"32"},"uris":["http://www.mendeley.com/documents/?uuid=4f37fc22-8d06-4d2c-980e-76316c4427d3"]}],"mendeley":{"formattedCitation":"(Lee, Steinback, and Wallmo 2017)","manualFormatting":"Lee et al. (2017","plainTextFormattedCitation":"(Lee, Steinback, and Wallmo 2017)","previouslyFormattedCitation":"(Lee, Steinback, and Wallmo 2017)"},"properties":{"noteIndex":0},"schema":"https://github.com/citation-style-language/schema/raw/master/csl-citation.json"}</w:instrText>
      </w:r>
      <w:r w:rsidR="0046517C">
        <w:rPr>
          <w:sz w:val="24"/>
          <w:szCs w:val="24"/>
        </w:rPr>
        <w:fldChar w:fldCharType="separate"/>
      </w:r>
      <w:r w:rsidR="0046517C" w:rsidRPr="0046517C">
        <w:rPr>
          <w:noProof/>
          <w:sz w:val="24"/>
          <w:szCs w:val="24"/>
        </w:rPr>
        <w:t>Lee</w:t>
      </w:r>
      <w:r w:rsidR="0046517C">
        <w:rPr>
          <w:noProof/>
          <w:sz w:val="24"/>
          <w:szCs w:val="24"/>
        </w:rPr>
        <w:t xml:space="preserve"> et al. (</w:t>
      </w:r>
      <w:r w:rsidR="0046517C" w:rsidRPr="0046517C">
        <w:rPr>
          <w:noProof/>
          <w:sz w:val="24"/>
          <w:szCs w:val="24"/>
        </w:rPr>
        <w:t>2017</w:t>
      </w:r>
      <w:r w:rsidR="0046517C">
        <w:rPr>
          <w:sz w:val="24"/>
          <w:szCs w:val="24"/>
        </w:rPr>
        <w:fldChar w:fldCharType="end"/>
      </w:r>
      <w:r w:rsidR="0046517C">
        <w:rPr>
          <w:sz w:val="24"/>
          <w:szCs w:val="24"/>
        </w:rPr>
        <w:t>)</w:t>
      </w:r>
      <w:r>
        <w:rPr>
          <w:sz w:val="24"/>
          <w:szCs w:val="24"/>
        </w:rPr>
        <w:t xml:space="preserve">. </w:t>
      </w:r>
      <w:r w:rsidR="00554E89">
        <w:rPr>
          <w:sz w:val="24"/>
          <w:szCs w:val="24"/>
        </w:rPr>
        <w:t xml:space="preserve">However, we believe that </w:t>
      </w:r>
      <w:r w:rsidR="00D525DA">
        <w:rPr>
          <w:sz w:val="24"/>
          <w:szCs w:val="24"/>
        </w:rPr>
        <w:t xml:space="preserve">using new </w:t>
      </w:r>
      <w:r w:rsidR="00554E89">
        <w:rPr>
          <w:sz w:val="24"/>
          <w:szCs w:val="24"/>
        </w:rPr>
        <w:t>data</w:t>
      </w:r>
      <w:r w:rsidR="00D525DA">
        <w:rPr>
          <w:sz w:val="24"/>
          <w:szCs w:val="24"/>
        </w:rPr>
        <w:t xml:space="preserve"> collected by the proposed NARFS will </w:t>
      </w:r>
      <w:r w:rsidR="005B755F">
        <w:rPr>
          <w:sz w:val="24"/>
          <w:szCs w:val="24"/>
        </w:rPr>
        <w:t>lead to</w:t>
      </w:r>
      <w:r w:rsidR="00D525DA">
        <w:rPr>
          <w:sz w:val="24"/>
          <w:szCs w:val="24"/>
        </w:rPr>
        <w:t xml:space="preserve"> more accurate predictions of the effect of regulatory changes on angler behavior.</w:t>
      </w:r>
      <w:r w:rsidR="00554E89">
        <w:rPr>
          <w:sz w:val="24"/>
          <w:szCs w:val="24"/>
        </w:rPr>
        <w:t xml:space="preserve"> Our response to question A1 provides a more detailed explanation of </w:t>
      </w:r>
      <w:r w:rsidR="00D525DA">
        <w:rPr>
          <w:sz w:val="24"/>
          <w:szCs w:val="24"/>
        </w:rPr>
        <w:t>the f</w:t>
      </w:r>
      <w:r w:rsidR="00554E89">
        <w:rPr>
          <w:sz w:val="24"/>
          <w:szCs w:val="24"/>
        </w:rPr>
        <w:t>actors warrant</w:t>
      </w:r>
      <w:r w:rsidR="00D525DA">
        <w:rPr>
          <w:sz w:val="24"/>
          <w:szCs w:val="24"/>
        </w:rPr>
        <w:t xml:space="preserve">ing </w:t>
      </w:r>
      <w:r w:rsidR="005B755F">
        <w:rPr>
          <w:sz w:val="24"/>
          <w:szCs w:val="24"/>
        </w:rPr>
        <w:t>the proposed data collection effort.</w:t>
      </w:r>
      <w:r w:rsidR="00554E89">
        <w:rPr>
          <w:sz w:val="24"/>
          <w:szCs w:val="24"/>
        </w:rPr>
        <w:t xml:space="preserve"> </w:t>
      </w:r>
    </w:p>
    <w:p w14:paraId="2C30D3DA" w14:textId="77777777" w:rsidR="00574290" w:rsidRPr="000D71A0" w:rsidRDefault="00574290" w:rsidP="00F9028B">
      <w:pPr>
        <w:ind w:firstLine="360"/>
        <w:contextualSpacing/>
        <w:rPr>
          <w:sz w:val="24"/>
          <w:szCs w:val="24"/>
        </w:rPr>
      </w:pPr>
    </w:p>
    <w:p w14:paraId="3F1D2998" w14:textId="35084C47" w:rsidR="00583309" w:rsidRPr="000D1B0B" w:rsidRDefault="00583309" w:rsidP="0094229B">
      <w:pPr>
        <w:pStyle w:val="Style2"/>
        <w:rPr>
          <w:i/>
        </w:rPr>
      </w:pPr>
      <w:r w:rsidRPr="00E12028">
        <w:t>If the collection of information involves small businesses or other small entities, describe the methods used to minimize burden</w:t>
      </w:r>
      <w:r w:rsidRPr="000D1B0B">
        <w:rPr>
          <w:i/>
        </w:rPr>
        <w:t xml:space="preserve">. </w:t>
      </w:r>
    </w:p>
    <w:p w14:paraId="5CD187C8" w14:textId="77777777" w:rsidR="00583309" w:rsidRDefault="00583309" w:rsidP="00F9028B">
      <w:pPr>
        <w:contextualSpacing/>
        <w:rPr>
          <w:sz w:val="24"/>
          <w:szCs w:val="24"/>
        </w:rPr>
      </w:pPr>
    </w:p>
    <w:p w14:paraId="6D52DC25" w14:textId="77777777" w:rsidR="00583309" w:rsidRPr="000D71A0" w:rsidRDefault="00583309" w:rsidP="00E12028">
      <w:pPr>
        <w:contextualSpacing/>
        <w:rPr>
          <w:sz w:val="24"/>
          <w:szCs w:val="24"/>
        </w:rPr>
      </w:pPr>
      <w:r w:rsidRPr="000D71A0">
        <w:rPr>
          <w:sz w:val="24"/>
          <w:szCs w:val="24"/>
        </w:rPr>
        <w:t>The collection of information does not involve small businesses or small entities.</w:t>
      </w:r>
    </w:p>
    <w:p w14:paraId="1ED46524" w14:textId="77777777" w:rsidR="00583309" w:rsidRDefault="00583309" w:rsidP="00F9028B">
      <w:pPr>
        <w:contextualSpacing/>
        <w:rPr>
          <w:sz w:val="24"/>
          <w:szCs w:val="24"/>
        </w:rPr>
      </w:pPr>
    </w:p>
    <w:p w14:paraId="5538C68E" w14:textId="3FC52CEC" w:rsidR="00583309" w:rsidRPr="00E12028" w:rsidRDefault="00583309" w:rsidP="0094229B">
      <w:pPr>
        <w:pStyle w:val="Style2"/>
      </w:pPr>
      <w:r w:rsidRPr="00E12028">
        <w:t xml:space="preserve">Describe the consequences to the Federal program or policy activities if the collection is not conducted or is conducted less frequently. </w:t>
      </w:r>
    </w:p>
    <w:p w14:paraId="7E26236D" w14:textId="77777777" w:rsidR="00583309" w:rsidRDefault="00583309" w:rsidP="00F9028B">
      <w:pPr>
        <w:contextualSpacing/>
        <w:rPr>
          <w:sz w:val="24"/>
          <w:szCs w:val="24"/>
        </w:rPr>
      </w:pPr>
    </w:p>
    <w:p w14:paraId="182A17BE" w14:textId="451A6737" w:rsidR="00583309" w:rsidRDefault="00817D4C" w:rsidP="00E12028">
      <w:pPr>
        <w:contextualSpacing/>
        <w:rPr>
          <w:sz w:val="24"/>
          <w:szCs w:val="24"/>
        </w:rPr>
      </w:pPr>
      <w:r>
        <w:rPr>
          <w:sz w:val="24"/>
          <w:szCs w:val="24"/>
        </w:rPr>
        <w:t>T</w:t>
      </w:r>
      <w:r w:rsidR="00583309">
        <w:rPr>
          <w:sz w:val="24"/>
          <w:szCs w:val="24"/>
        </w:rPr>
        <w:t xml:space="preserve">he survey will collect information needed to develop economic models of recreational saltwater fishing in </w:t>
      </w:r>
      <w:r w:rsidR="001D235D">
        <w:rPr>
          <w:sz w:val="24"/>
          <w:szCs w:val="24"/>
        </w:rPr>
        <w:t>federal waters off the coast of Maine, New Hampshire, and Massachusetts</w:t>
      </w:r>
      <w:r w:rsidR="00583309">
        <w:rPr>
          <w:sz w:val="24"/>
          <w:szCs w:val="24"/>
        </w:rPr>
        <w:t>.</w:t>
      </w:r>
      <w:r w:rsidR="00B30503">
        <w:rPr>
          <w:sz w:val="24"/>
          <w:szCs w:val="24"/>
        </w:rPr>
        <w:t xml:space="preserve"> </w:t>
      </w:r>
      <w:r w:rsidR="00583309">
        <w:rPr>
          <w:sz w:val="24"/>
          <w:szCs w:val="24"/>
        </w:rPr>
        <w:t xml:space="preserve">This research will provide scientific </w:t>
      </w:r>
      <w:r w:rsidR="00FC658A">
        <w:rPr>
          <w:sz w:val="24"/>
          <w:szCs w:val="24"/>
        </w:rPr>
        <w:t xml:space="preserve">and management </w:t>
      </w:r>
      <w:r w:rsidR="00583309">
        <w:rPr>
          <w:sz w:val="24"/>
          <w:szCs w:val="24"/>
        </w:rPr>
        <w:t xml:space="preserve">support </w:t>
      </w:r>
      <w:r w:rsidR="00FC658A">
        <w:rPr>
          <w:sz w:val="24"/>
          <w:szCs w:val="24"/>
        </w:rPr>
        <w:t>to the</w:t>
      </w:r>
      <w:r w:rsidR="008B10C0">
        <w:rPr>
          <w:sz w:val="24"/>
          <w:szCs w:val="24"/>
        </w:rPr>
        <w:t xml:space="preserve"> NEFSC and </w:t>
      </w:r>
      <w:r w:rsidR="00583309">
        <w:rPr>
          <w:sz w:val="24"/>
          <w:szCs w:val="24"/>
        </w:rPr>
        <w:t xml:space="preserve">the </w:t>
      </w:r>
      <w:r w:rsidR="00B30503">
        <w:rPr>
          <w:sz w:val="24"/>
          <w:szCs w:val="24"/>
        </w:rPr>
        <w:t xml:space="preserve">NEFMC. </w:t>
      </w:r>
      <w:r w:rsidR="00583309">
        <w:rPr>
          <w:sz w:val="24"/>
          <w:szCs w:val="24"/>
        </w:rPr>
        <w:t xml:space="preserve">Not conducting the information collection will undercut </w:t>
      </w:r>
      <w:r w:rsidR="00B30503">
        <w:rPr>
          <w:sz w:val="24"/>
          <w:szCs w:val="24"/>
        </w:rPr>
        <w:t xml:space="preserve">these agencies’ </w:t>
      </w:r>
      <w:r w:rsidR="00583309">
        <w:rPr>
          <w:sz w:val="24"/>
          <w:szCs w:val="24"/>
        </w:rPr>
        <w:t xml:space="preserve">ability to account for </w:t>
      </w:r>
      <w:r w:rsidR="00B30503">
        <w:rPr>
          <w:sz w:val="24"/>
          <w:szCs w:val="24"/>
        </w:rPr>
        <w:t>anglers’</w:t>
      </w:r>
      <w:r w:rsidR="00583309">
        <w:rPr>
          <w:sz w:val="24"/>
          <w:szCs w:val="24"/>
        </w:rPr>
        <w:t xml:space="preserve"> </w:t>
      </w:r>
      <w:r w:rsidR="00B30503">
        <w:rPr>
          <w:sz w:val="24"/>
          <w:szCs w:val="24"/>
        </w:rPr>
        <w:t>behavioral</w:t>
      </w:r>
      <w:r w:rsidR="00583309">
        <w:rPr>
          <w:sz w:val="24"/>
          <w:szCs w:val="24"/>
        </w:rPr>
        <w:t xml:space="preserve"> </w:t>
      </w:r>
      <w:r w:rsidR="00B30503">
        <w:rPr>
          <w:sz w:val="24"/>
          <w:szCs w:val="24"/>
        </w:rPr>
        <w:t xml:space="preserve">responses to regulatory changes and consequent impacts to </w:t>
      </w:r>
      <w:r w:rsidR="00D661C1">
        <w:rPr>
          <w:sz w:val="24"/>
          <w:szCs w:val="24"/>
        </w:rPr>
        <w:t xml:space="preserve">angler </w:t>
      </w:r>
      <w:r w:rsidR="00B30503">
        <w:rPr>
          <w:sz w:val="24"/>
          <w:szCs w:val="24"/>
        </w:rPr>
        <w:t>welfare, fishing mortality, and future stock levels</w:t>
      </w:r>
      <w:r w:rsidR="00583309">
        <w:rPr>
          <w:sz w:val="24"/>
          <w:szCs w:val="24"/>
        </w:rPr>
        <w:t xml:space="preserve">, thus limiting the ability of </w:t>
      </w:r>
      <w:r w:rsidR="00B30503">
        <w:rPr>
          <w:sz w:val="24"/>
          <w:szCs w:val="24"/>
        </w:rPr>
        <w:t xml:space="preserve">these </w:t>
      </w:r>
      <w:r w:rsidR="00583309">
        <w:rPr>
          <w:sz w:val="24"/>
          <w:szCs w:val="24"/>
        </w:rPr>
        <w:t xml:space="preserve">agencies to manage fisheries consistent with federal and state law. </w:t>
      </w:r>
    </w:p>
    <w:p w14:paraId="21DD9357" w14:textId="77777777" w:rsidR="00583309" w:rsidRDefault="00583309" w:rsidP="00F9028B">
      <w:pPr>
        <w:contextualSpacing/>
        <w:rPr>
          <w:sz w:val="24"/>
          <w:szCs w:val="24"/>
        </w:rPr>
      </w:pPr>
    </w:p>
    <w:p w14:paraId="4C6A36BD" w14:textId="54F14D8E" w:rsidR="00583309" w:rsidRPr="00E12028" w:rsidRDefault="00583309" w:rsidP="0094229B">
      <w:pPr>
        <w:pStyle w:val="Style2"/>
      </w:pPr>
      <w:r w:rsidRPr="00E12028">
        <w:t xml:space="preserve">Explain any special circumstances that require the collection to be conducted in a manner inconsistent with OMB guidelines. </w:t>
      </w:r>
    </w:p>
    <w:p w14:paraId="21C2CB1A" w14:textId="77777777" w:rsidR="00583309" w:rsidRDefault="00583309" w:rsidP="00F9028B">
      <w:pPr>
        <w:contextualSpacing/>
        <w:rPr>
          <w:sz w:val="24"/>
          <w:szCs w:val="24"/>
        </w:rPr>
      </w:pPr>
    </w:p>
    <w:p w14:paraId="14725C79" w14:textId="716A3F0D" w:rsidR="00A26BA0" w:rsidRDefault="00583309" w:rsidP="003C03B6">
      <w:pPr>
        <w:contextualSpacing/>
        <w:rPr>
          <w:sz w:val="24"/>
          <w:szCs w:val="24"/>
        </w:rPr>
      </w:pPr>
      <w:r>
        <w:rPr>
          <w:sz w:val="24"/>
          <w:szCs w:val="24"/>
        </w:rPr>
        <w:t>Not Applicable.</w:t>
      </w:r>
    </w:p>
    <w:p w14:paraId="1401BC57" w14:textId="77777777" w:rsidR="007E4BD9" w:rsidRPr="000D71A0" w:rsidRDefault="007E4BD9" w:rsidP="003C03B6">
      <w:pPr>
        <w:contextualSpacing/>
        <w:rPr>
          <w:sz w:val="24"/>
          <w:szCs w:val="24"/>
        </w:rPr>
      </w:pPr>
    </w:p>
    <w:p w14:paraId="2F11B1B9" w14:textId="1AB0E568" w:rsidR="00583309" w:rsidRPr="00E12028" w:rsidRDefault="00583309" w:rsidP="0094229B">
      <w:pPr>
        <w:pStyle w:val="Style2"/>
      </w:pPr>
      <w:r w:rsidRPr="00E12028">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4DBDC26" w14:textId="77777777" w:rsidR="00583309" w:rsidRDefault="00583309" w:rsidP="00F9028B">
      <w:pPr>
        <w:contextualSpacing/>
        <w:rPr>
          <w:sz w:val="24"/>
          <w:szCs w:val="24"/>
        </w:rPr>
      </w:pPr>
    </w:p>
    <w:p w14:paraId="119984C2" w14:textId="3F09A33B" w:rsidR="00583309" w:rsidRDefault="00583309" w:rsidP="00E12028">
      <w:pPr>
        <w:contextualSpacing/>
        <w:rPr>
          <w:sz w:val="24"/>
          <w:szCs w:val="24"/>
        </w:rPr>
      </w:pPr>
      <w:r w:rsidRPr="003C03B6">
        <w:rPr>
          <w:sz w:val="24"/>
          <w:szCs w:val="24"/>
        </w:rPr>
        <w:t xml:space="preserve">A Federal Register Notice published on </w:t>
      </w:r>
      <w:r w:rsidR="00D11456" w:rsidRPr="003C03B6">
        <w:rPr>
          <w:sz w:val="24"/>
          <w:szCs w:val="24"/>
        </w:rPr>
        <w:t>Friday, July 20</w:t>
      </w:r>
      <w:r w:rsidR="00D11456" w:rsidRPr="003C03B6">
        <w:rPr>
          <w:sz w:val="24"/>
          <w:szCs w:val="24"/>
          <w:vertAlign w:val="superscript"/>
        </w:rPr>
        <w:t>th</w:t>
      </w:r>
      <w:r w:rsidR="00D11456" w:rsidRPr="003C03B6">
        <w:rPr>
          <w:sz w:val="24"/>
          <w:szCs w:val="24"/>
        </w:rPr>
        <w:t>, 2018</w:t>
      </w:r>
      <w:r w:rsidRPr="003C03B6">
        <w:rPr>
          <w:sz w:val="24"/>
          <w:szCs w:val="24"/>
        </w:rPr>
        <w:t xml:space="preserve"> (</w:t>
      </w:r>
      <w:r w:rsidR="00ED4A71" w:rsidRPr="003C03B6">
        <w:rPr>
          <w:sz w:val="24"/>
          <w:szCs w:val="24"/>
        </w:rPr>
        <w:t>83 FR 34551</w:t>
      </w:r>
      <w:r w:rsidRPr="003C03B6">
        <w:rPr>
          <w:sz w:val="24"/>
          <w:szCs w:val="24"/>
        </w:rPr>
        <w:t xml:space="preserve">) solicited public comments. No </w:t>
      </w:r>
      <w:r w:rsidR="00817D4C">
        <w:rPr>
          <w:sz w:val="24"/>
          <w:szCs w:val="24"/>
        </w:rPr>
        <w:t xml:space="preserve">substantive </w:t>
      </w:r>
      <w:r w:rsidRPr="003C03B6">
        <w:rPr>
          <w:sz w:val="24"/>
          <w:szCs w:val="24"/>
        </w:rPr>
        <w:t xml:space="preserve">comments were received. We have also consulted with personnel at the </w:t>
      </w:r>
      <w:r w:rsidR="00442962" w:rsidRPr="003C03B6">
        <w:rPr>
          <w:sz w:val="24"/>
          <w:szCs w:val="24"/>
        </w:rPr>
        <w:t xml:space="preserve">Maine </w:t>
      </w:r>
      <w:r w:rsidRPr="003C03B6">
        <w:rPr>
          <w:sz w:val="24"/>
          <w:szCs w:val="24"/>
        </w:rPr>
        <w:t>Department</w:t>
      </w:r>
      <w:r w:rsidR="00442962" w:rsidRPr="003C03B6">
        <w:rPr>
          <w:sz w:val="24"/>
          <w:szCs w:val="24"/>
        </w:rPr>
        <w:t xml:space="preserve"> </w:t>
      </w:r>
      <w:r w:rsidRPr="003C03B6">
        <w:rPr>
          <w:sz w:val="24"/>
          <w:szCs w:val="24"/>
        </w:rPr>
        <w:t xml:space="preserve">of </w:t>
      </w:r>
      <w:r w:rsidR="00442962" w:rsidRPr="003C03B6">
        <w:rPr>
          <w:sz w:val="24"/>
          <w:szCs w:val="24"/>
        </w:rPr>
        <w:t>Marine Resources, New Hampshire Fish and Game, and Massachusetts Division of Marine Fisheries</w:t>
      </w:r>
      <w:r w:rsidR="00D661C1" w:rsidRPr="003C03B6">
        <w:rPr>
          <w:sz w:val="24"/>
          <w:szCs w:val="24"/>
        </w:rPr>
        <w:t xml:space="preserve"> </w:t>
      </w:r>
      <w:r w:rsidRPr="003C03B6">
        <w:rPr>
          <w:sz w:val="24"/>
          <w:szCs w:val="24"/>
        </w:rPr>
        <w:t>regarding the data we are collecting.</w:t>
      </w:r>
      <w:r>
        <w:rPr>
          <w:sz w:val="24"/>
          <w:szCs w:val="24"/>
        </w:rPr>
        <w:t xml:space="preserve"> </w:t>
      </w:r>
      <w:r w:rsidR="00632292">
        <w:rPr>
          <w:sz w:val="24"/>
          <w:szCs w:val="24"/>
        </w:rPr>
        <w:t>T</w:t>
      </w:r>
      <w:r w:rsidR="00632292" w:rsidRPr="00E86166">
        <w:rPr>
          <w:sz w:val="24"/>
          <w:szCs w:val="24"/>
        </w:rPr>
        <w:t>hey could not identify any existing or planned duplicative</w:t>
      </w:r>
      <w:r w:rsidR="00632292">
        <w:rPr>
          <w:sz w:val="24"/>
          <w:szCs w:val="24"/>
        </w:rPr>
        <w:t xml:space="preserve"> survey</w:t>
      </w:r>
      <w:r w:rsidR="00632292" w:rsidRPr="00E86166">
        <w:rPr>
          <w:sz w:val="24"/>
          <w:szCs w:val="24"/>
        </w:rPr>
        <w:t xml:space="preserve"> efforts.</w:t>
      </w:r>
      <w:r>
        <w:rPr>
          <w:sz w:val="24"/>
          <w:szCs w:val="24"/>
        </w:rPr>
        <w:t xml:space="preserve"> </w:t>
      </w:r>
    </w:p>
    <w:p w14:paraId="1544D682" w14:textId="77777777" w:rsidR="00B72E74" w:rsidRPr="000D71A0" w:rsidRDefault="00B72E74" w:rsidP="00E12028">
      <w:pPr>
        <w:contextualSpacing/>
        <w:rPr>
          <w:sz w:val="24"/>
          <w:szCs w:val="24"/>
        </w:rPr>
      </w:pPr>
    </w:p>
    <w:p w14:paraId="53E5B14A" w14:textId="66FDECA3" w:rsidR="00583309" w:rsidRPr="00E12028" w:rsidRDefault="00583309" w:rsidP="0094229B">
      <w:pPr>
        <w:pStyle w:val="Style2"/>
      </w:pPr>
      <w:r w:rsidRPr="00E12028">
        <w:t>Explain any decisions to provide payments or gifts to respondents, other than remuneration of contractors or grantees.</w:t>
      </w:r>
    </w:p>
    <w:p w14:paraId="2DCF4D4F" w14:textId="77777777" w:rsidR="00583309" w:rsidRDefault="00583309" w:rsidP="00F9028B">
      <w:pPr>
        <w:contextualSpacing/>
        <w:rPr>
          <w:sz w:val="24"/>
          <w:szCs w:val="24"/>
        </w:rPr>
      </w:pPr>
    </w:p>
    <w:p w14:paraId="59E7C0B9" w14:textId="01E2CC56" w:rsidR="008227F3" w:rsidRDefault="00FC3AFC" w:rsidP="00E12028">
      <w:pPr>
        <w:contextualSpacing/>
        <w:rPr>
          <w:sz w:val="24"/>
          <w:szCs w:val="24"/>
        </w:rPr>
      </w:pPr>
      <w:r>
        <w:rPr>
          <w:sz w:val="24"/>
          <w:szCs w:val="24"/>
        </w:rPr>
        <w:t xml:space="preserve">A $2 incentive will be included in </w:t>
      </w:r>
      <w:r w:rsidR="005C448D">
        <w:rPr>
          <w:sz w:val="24"/>
          <w:szCs w:val="24"/>
        </w:rPr>
        <w:t xml:space="preserve">approximately 3,110 </w:t>
      </w:r>
      <w:r>
        <w:rPr>
          <w:sz w:val="24"/>
          <w:szCs w:val="24"/>
        </w:rPr>
        <w:t>mail correspondences</w:t>
      </w:r>
      <w:r w:rsidRPr="00FC3AFC">
        <w:rPr>
          <w:sz w:val="24"/>
          <w:szCs w:val="24"/>
        </w:rPr>
        <w:t xml:space="preserve"> </w:t>
      </w:r>
      <w:r>
        <w:rPr>
          <w:sz w:val="24"/>
          <w:szCs w:val="24"/>
        </w:rPr>
        <w:t xml:space="preserve">to increase survey participation and to test the effect of the incentive on survey response. </w:t>
      </w:r>
      <w:r w:rsidR="005C448D">
        <w:rPr>
          <w:sz w:val="24"/>
          <w:szCs w:val="24"/>
        </w:rPr>
        <w:t>This is the sample allocation necessary to detect a change in response rate</w:t>
      </w:r>
      <w:r w:rsidR="00016F57">
        <w:rPr>
          <w:sz w:val="24"/>
          <w:szCs w:val="24"/>
        </w:rPr>
        <w:t>s</w:t>
      </w:r>
      <w:r w:rsidR="005C448D">
        <w:rPr>
          <w:sz w:val="24"/>
          <w:szCs w:val="24"/>
        </w:rPr>
        <w:t xml:space="preserve"> (1 tailed test, alpha=0.5) with 80% power. </w:t>
      </w:r>
      <w:r w:rsidR="00976B2F">
        <w:rPr>
          <w:sz w:val="24"/>
          <w:szCs w:val="24"/>
        </w:rPr>
        <w:t>S</w:t>
      </w:r>
      <w:r>
        <w:rPr>
          <w:sz w:val="24"/>
          <w:szCs w:val="24"/>
        </w:rPr>
        <w:t xml:space="preserve">pecifically, </w:t>
      </w:r>
      <w:r w:rsidR="00976B2F">
        <w:rPr>
          <w:sz w:val="24"/>
          <w:szCs w:val="24"/>
        </w:rPr>
        <w:t>given</w:t>
      </w:r>
      <w:r w:rsidR="006B0450">
        <w:rPr>
          <w:sz w:val="24"/>
          <w:szCs w:val="24"/>
        </w:rPr>
        <w:t xml:space="preserve"> the proposed sampling procedure</w:t>
      </w:r>
      <w:r>
        <w:rPr>
          <w:sz w:val="24"/>
          <w:szCs w:val="24"/>
        </w:rPr>
        <w:t xml:space="preserve"> (</w:t>
      </w:r>
      <w:r w:rsidR="006B0450">
        <w:rPr>
          <w:sz w:val="24"/>
          <w:szCs w:val="24"/>
        </w:rPr>
        <w:t>detailed</w:t>
      </w:r>
      <w:r w:rsidR="007E4BD9">
        <w:rPr>
          <w:sz w:val="24"/>
          <w:szCs w:val="24"/>
        </w:rPr>
        <w:t xml:space="preserve"> in our</w:t>
      </w:r>
      <w:r w:rsidR="006B0450">
        <w:rPr>
          <w:sz w:val="24"/>
          <w:szCs w:val="24"/>
        </w:rPr>
        <w:t xml:space="preserve"> response to question B3</w:t>
      </w:r>
      <w:r>
        <w:rPr>
          <w:sz w:val="24"/>
          <w:szCs w:val="24"/>
        </w:rPr>
        <w:t>)</w:t>
      </w:r>
      <w:r w:rsidR="00976B2F">
        <w:rPr>
          <w:sz w:val="24"/>
          <w:szCs w:val="24"/>
        </w:rPr>
        <w:t>,</w:t>
      </w:r>
      <w:r w:rsidR="006B0450">
        <w:rPr>
          <w:sz w:val="24"/>
          <w:szCs w:val="24"/>
        </w:rPr>
        <w:t xml:space="preserve"> all survey participants </w:t>
      </w:r>
      <w:r w:rsidR="00976B2F">
        <w:rPr>
          <w:sz w:val="24"/>
          <w:szCs w:val="24"/>
        </w:rPr>
        <w:t xml:space="preserve">will </w:t>
      </w:r>
      <w:r>
        <w:rPr>
          <w:sz w:val="24"/>
          <w:szCs w:val="24"/>
        </w:rPr>
        <w:t>fall into one of five sampling tracks</w:t>
      </w:r>
      <w:r w:rsidR="00976B2F">
        <w:rPr>
          <w:sz w:val="24"/>
          <w:szCs w:val="24"/>
        </w:rPr>
        <w:t xml:space="preserve">, </w:t>
      </w:r>
      <w:r>
        <w:rPr>
          <w:sz w:val="24"/>
          <w:szCs w:val="24"/>
        </w:rPr>
        <w:t xml:space="preserve">each </w:t>
      </w:r>
      <w:r w:rsidR="00976B2F">
        <w:rPr>
          <w:sz w:val="24"/>
          <w:szCs w:val="24"/>
        </w:rPr>
        <w:t>of which</w:t>
      </w:r>
      <w:r>
        <w:rPr>
          <w:sz w:val="24"/>
          <w:szCs w:val="24"/>
        </w:rPr>
        <w:t xml:space="preserve"> includes at least one </w:t>
      </w:r>
      <w:r w:rsidR="00976B2F">
        <w:rPr>
          <w:sz w:val="24"/>
          <w:szCs w:val="24"/>
        </w:rPr>
        <w:t>postal mail contact. P</w:t>
      </w:r>
      <w:r>
        <w:rPr>
          <w:sz w:val="24"/>
          <w:szCs w:val="24"/>
        </w:rPr>
        <w:t xml:space="preserve">articipants in each track will be split into two treatment groups: a control group that does not, and a treated group that does receive the $2 incentive with the postal mail contact. </w:t>
      </w:r>
      <w:r w:rsidR="00CC7315">
        <w:rPr>
          <w:sz w:val="24"/>
          <w:szCs w:val="24"/>
        </w:rPr>
        <w:t xml:space="preserve">We will </w:t>
      </w:r>
      <w:r w:rsidR="005C448D">
        <w:rPr>
          <w:sz w:val="24"/>
          <w:szCs w:val="24"/>
        </w:rPr>
        <w:t xml:space="preserve">randomly </w:t>
      </w:r>
      <w:r w:rsidR="00CC7315">
        <w:rPr>
          <w:sz w:val="24"/>
          <w:szCs w:val="24"/>
        </w:rPr>
        <w:t xml:space="preserve">designate participants in each track into treatment groups such that number of expected completes from each group is sufficient </w:t>
      </w:r>
      <w:r w:rsidR="007E4BD9">
        <w:rPr>
          <w:sz w:val="24"/>
          <w:szCs w:val="24"/>
        </w:rPr>
        <w:t xml:space="preserve">(about 30 or more) </w:t>
      </w:r>
      <w:r w:rsidR="00CC7315">
        <w:rPr>
          <w:sz w:val="24"/>
          <w:szCs w:val="24"/>
        </w:rPr>
        <w:t xml:space="preserve">to </w:t>
      </w:r>
      <w:r w:rsidR="005C448D">
        <w:rPr>
          <w:sz w:val="24"/>
          <w:szCs w:val="24"/>
        </w:rPr>
        <w:t xml:space="preserve">produce </w:t>
      </w:r>
      <w:r w:rsidR="00CC7315">
        <w:rPr>
          <w:sz w:val="24"/>
          <w:szCs w:val="24"/>
        </w:rPr>
        <w:t xml:space="preserve">within-track response rate comparisons. Thus, in addition to ignoring any track effects and testing the effect of the incentive on the overall survey response rate, </w:t>
      </w:r>
      <w:r w:rsidR="00AB54AB">
        <w:rPr>
          <w:sz w:val="24"/>
          <w:szCs w:val="24"/>
        </w:rPr>
        <w:t>our experimental design will allow us to</w:t>
      </w:r>
      <w:r w:rsidR="00CC7315">
        <w:rPr>
          <w:sz w:val="24"/>
          <w:szCs w:val="24"/>
        </w:rPr>
        <w:t xml:space="preserve"> examine </w:t>
      </w:r>
      <w:r w:rsidR="00976B2F">
        <w:rPr>
          <w:sz w:val="24"/>
          <w:szCs w:val="24"/>
        </w:rPr>
        <w:t>whether</w:t>
      </w:r>
      <w:r w:rsidR="00CC7315">
        <w:rPr>
          <w:sz w:val="24"/>
          <w:szCs w:val="24"/>
        </w:rPr>
        <w:t xml:space="preserve"> </w:t>
      </w:r>
      <w:r w:rsidR="00976B2F">
        <w:rPr>
          <w:sz w:val="24"/>
          <w:szCs w:val="24"/>
        </w:rPr>
        <w:t xml:space="preserve">the </w:t>
      </w:r>
      <w:r w:rsidR="00CC7315">
        <w:rPr>
          <w:sz w:val="24"/>
          <w:szCs w:val="24"/>
        </w:rPr>
        <w:t>effectiveness of the incentive varies within each track</w:t>
      </w:r>
      <w:r w:rsidR="00976B2F">
        <w:rPr>
          <w:sz w:val="24"/>
          <w:szCs w:val="24"/>
        </w:rPr>
        <w:t xml:space="preserve">, i.e., whether providing an incentive with the first contact is more or less effective than providing it with the second or fourth. </w:t>
      </w:r>
      <w:r w:rsidR="008227F3">
        <w:rPr>
          <w:sz w:val="24"/>
          <w:szCs w:val="24"/>
        </w:rPr>
        <w:t>The total</w:t>
      </w:r>
      <w:r w:rsidR="007E32DB">
        <w:rPr>
          <w:sz w:val="24"/>
          <w:szCs w:val="24"/>
        </w:rPr>
        <w:t xml:space="preserve"> </w:t>
      </w:r>
      <w:r w:rsidR="008227F3">
        <w:rPr>
          <w:sz w:val="24"/>
          <w:szCs w:val="24"/>
        </w:rPr>
        <w:t xml:space="preserve">amount of </w:t>
      </w:r>
      <w:r w:rsidR="007E32DB">
        <w:rPr>
          <w:sz w:val="24"/>
          <w:szCs w:val="24"/>
        </w:rPr>
        <w:t>incentive</w:t>
      </w:r>
      <w:r w:rsidR="008227F3">
        <w:rPr>
          <w:sz w:val="24"/>
          <w:szCs w:val="24"/>
        </w:rPr>
        <w:t xml:space="preserve"> money</w:t>
      </w:r>
      <w:r w:rsidR="007E32DB">
        <w:rPr>
          <w:sz w:val="24"/>
          <w:szCs w:val="24"/>
        </w:rPr>
        <w:t xml:space="preserve"> distributed </w:t>
      </w:r>
      <w:r w:rsidR="008227F3">
        <w:rPr>
          <w:sz w:val="24"/>
          <w:szCs w:val="24"/>
        </w:rPr>
        <w:t>is</w:t>
      </w:r>
      <w:r w:rsidR="007E32DB">
        <w:rPr>
          <w:sz w:val="24"/>
          <w:szCs w:val="24"/>
        </w:rPr>
        <w:t xml:space="preserve"> </w:t>
      </w:r>
      <w:r w:rsidR="00016F57">
        <w:rPr>
          <w:sz w:val="24"/>
          <w:szCs w:val="24"/>
        </w:rPr>
        <w:t>estimated to be approximately $6,220.</w:t>
      </w:r>
    </w:p>
    <w:p w14:paraId="7156225F" w14:textId="77777777" w:rsidR="008227F3" w:rsidRDefault="008227F3" w:rsidP="00E12028">
      <w:pPr>
        <w:contextualSpacing/>
        <w:rPr>
          <w:sz w:val="24"/>
          <w:szCs w:val="24"/>
        </w:rPr>
      </w:pPr>
    </w:p>
    <w:p w14:paraId="1DE62326" w14:textId="3B49AEA7" w:rsidR="008227F3" w:rsidRDefault="00976B2F" w:rsidP="008227F3">
      <w:pPr>
        <w:widowControl/>
        <w:tabs>
          <w:tab w:val="left" w:pos="720"/>
        </w:tabs>
        <w:autoSpaceDE/>
        <w:autoSpaceDN/>
        <w:adjustRightInd/>
        <w:spacing w:after="160"/>
        <w:contextualSpacing/>
        <w:rPr>
          <w:rFonts w:eastAsiaTheme="minorHAnsi" w:cstheme="minorBidi"/>
          <w:sz w:val="24"/>
          <w:szCs w:val="24"/>
        </w:rPr>
      </w:pPr>
      <w:r>
        <w:rPr>
          <w:rFonts w:eastAsiaTheme="minorHAnsi" w:cstheme="minorBidi"/>
          <w:sz w:val="24"/>
          <w:szCs w:val="24"/>
        </w:rPr>
        <w:t>More broadly, i</w:t>
      </w:r>
      <w:r w:rsidR="007275BE">
        <w:rPr>
          <w:rFonts w:eastAsiaTheme="minorHAnsi" w:cstheme="minorBidi"/>
          <w:sz w:val="24"/>
          <w:szCs w:val="24"/>
        </w:rPr>
        <w:t>ncluding</w:t>
      </w:r>
      <w:r w:rsidR="008227F3" w:rsidRPr="00D84DFA">
        <w:rPr>
          <w:rFonts w:eastAsiaTheme="minorHAnsi" w:cstheme="minorBidi"/>
          <w:sz w:val="24"/>
          <w:szCs w:val="24"/>
        </w:rPr>
        <w:t xml:space="preserve"> </w:t>
      </w:r>
      <w:r w:rsidR="007275BE">
        <w:rPr>
          <w:rFonts w:eastAsiaTheme="minorHAnsi" w:cstheme="minorBidi"/>
          <w:sz w:val="24"/>
          <w:szCs w:val="24"/>
        </w:rPr>
        <w:t>small monetary incentives in surveys</w:t>
      </w:r>
      <w:r w:rsidR="008227F3" w:rsidRPr="00D84DFA">
        <w:rPr>
          <w:rFonts w:eastAsiaTheme="minorHAnsi" w:cstheme="minorBidi"/>
          <w:sz w:val="24"/>
          <w:szCs w:val="24"/>
        </w:rPr>
        <w:t xml:space="preserve"> serves two important functions: (1) increasing the response rate and (2) mitigating survey nonresponse bias by attracting participation from those who otherwise might not respond to the survey </w:t>
      </w:r>
      <w:r w:rsidR="008227F3" w:rsidRPr="00D84DFA">
        <w:rPr>
          <w:rFonts w:eastAsiaTheme="minorHAnsi" w:cstheme="minorBidi"/>
          <w:sz w:val="24"/>
          <w:szCs w:val="24"/>
        </w:rPr>
        <w:fldChar w:fldCharType="begin" w:fldLock="1"/>
      </w:r>
      <w:r w:rsidR="008227F3" w:rsidRPr="00D84DFA">
        <w:rPr>
          <w:rFonts w:eastAsiaTheme="minorHAnsi" w:cstheme="minorBidi"/>
          <w:sz w:val="24"/>
          <w:szCs w:val="24"/>
        </w:rPr>
        <w:instrText>ADDIN CSL_CITATION {"citationItems":[{"id":"ITEM-1","itemData":{"author":[{"dropping-particle":"","family":"Groves","given":"Robert M.","non-dropping-particle":"","parse-names":false,"suffix":""},{"dropping-particle":"","family":"Couper","given":"Mick P.","non-dropping-particle":"","parse-names":false,"suffix":""},{"dropping-particle":"","family":"Presser","given":"Stanley","non-dropping-particle":"","parse-names":false,"suffix":""},{"dropping-particle":"","family":"Singer","given":"Eleanor","non-dropping-particle":"","parse-names":false,"suffix":""},{"dropping-particle":"","family":"Tourangeau","given":"Roger","non-dropping-particle":"","parse-names":false,"suffix":""},{"dropping-particle":"","family":"Acosta","given":"Giorgina Piani","non-dropping-particle":"","parse-names":false,"suffix":""},{"dropping-particle":"","family":"Nelson","given":"Lindsay","non-dropping-particle":"","parse-names":false,"suffix":""}],"container-title":"Public Opinion Quarterly","id":"ITEM-1","issue":"5","issued":{"date-parts":[["2006"]]},"page":"720-736","title":"Experiments in Producing Nonresponse Bias","type":"article-journal","volume":"70"},"uris":["http://www.mendeley.com/documents/?uuid=a875d2a4-98f0-4489-b1a6-7cfc66190709","http://www.mendeley.com/documents/?uuid=682966cf-74c0-4793-a8e5-5035b0109924"]},{"id":"ITEM-2","itemData":{"DOI":"10.1093/poq/nfh002","ISBN":"0033-362X","ISSN":"0033362X","abstract":"While a low survey response rate may indicate that the risk of nonresponse error is high, we know little about when nonresponse causes such error and when nonresponse is ignorable. Leverage-salience theory of survey participation suggests that when the survey topic is a factor in the decision to participate, noncooperation will cause nonresponse error. We test three hypotheses derived from the theory: (I) those faced with a survey request on a topic of interest to them cooperate at higher rates than do those less interested in the topic; (2) this tendency for the \"interested\" to cooperate more readily is diminished when monetary incentives are offered; and (3) the impact of interest on cooperation has nonignorability implications for key statistics. The data come from a three-factor experiment examining the impact on cooperation with surveys on (a) five different topics, using (b) samples from five different populations that have known attributes related to the topics, with (c) two different incentive conditions. [ABSTRACT FROM AUTHOR]","author":[{"dropping-particle":"","family":"Groves","given":"Robert M.","non-dropping-particle":"","parse-names":false,"suffix":""},{"dropping-particle":"","family":"Presser","given":"Stanley","non-dropping-particle":"","parse-names":false,"suffix":""},{"dropping-particle":"","family":"Dipko","given":"Sarah","non-dropping-particle":"","parse-names":false,"suffix":""}],"container-title":"Public Opinion Quarterly","id":"ITEM-2","issue":"1","issued":{"date-parts":[["2004"]]},"page":"2-31","title":"The role of topic interest in survey participation decisions","type":"article-journal","volume":"68"},"uris":["http://www.mendeley.com/documents/?uuid=24f1c4fe-b78c-4caa-8427-57f04b4fb99c","http://www.mendeley.com/documents/?uuid=73b84aa4-2914-41bc-980a-cc815373b86a"]}],"mendeley":{"formattedCitation":"(Groves et al. 2006; Groves, Presser, and Dipko 2004)","manualFormatting":"(Groves et al. 2006; Groves et al. 2004)","plainTextFormattedCitation":"(Groves et al. 2006; Groves, Presser, and Dipko 2004)","previouslyFormattedCitation":"(Groves et al. 2006; Groves, Presser, and Dipko 2004)"},"properties":{"noteIndex":0},"schema":"https://github.com/citation-style-language/schema/raw/master/csl-citation.json"}</w:instrText>
      </w:r>
      <w:r w:rsidR="008227F3" w:rsidRPr="00D84DFA">
        <w:rPr>
          <w:rFonts w:eastAsiaTheme="minorHAnsi" w:cstheme="minorBidi"/>
          <w:sz w:val="24"/>
          <w:szCs w:val="24"/>
        </w:rPr>
        <w:fldChar w:fldCharType="separate"/>
      </w:r>
      <w:r w:rsidR="008227F3" w:rsidRPr="00D84DFA">
        <w:rPr>
          <w:rFonts w:eastAsiaTheme="minorHAnsi" w:cstheme="minorBidi"/>
          <w:noProof/>
          <w:sz w:val="24"/>
          <w:szCs w:val="24"/>
        </w:rPr>
        <w:t>(Groves et al. 2006; Groves et al. 2004)</w:t>
      </w:r>
      <w:r w:rsidR="008227F3" w:rsidRPr="00D84DFA">
        <w:rPr>
          <w:rFonts w:eastAsiaTheme="minorHAnsi" w:cstheme="minorBidi"/>
          <w:sz w:val="24"/>
          <w:szCs w:val="24"/>
        </w:rPr>
        <w:fldChar w:fldCharType="end"/>
      </w:r>
      <w:r w:rsidR="008227F3" w:rsidRPr="00D84DFA">
        <w:rPr>
          <w:rFonts w:eastAsiaTheme="minorHAnsi" w:cstheme="minorBidi"/>
          <w:sz w:val="24"/>
          <w:szCs w:val="24"/>
        </w:rPr>
        <w:t xml:space="preserve">. Table </w:t>
      </w:r>
      <w:r w:rsidR="00776E48">
        <w:rPr>
          <w:rFonts w:eastAsiaTheme="minorHAnsi" w:cstheme="minorBidi"/>
          <w:sz w:val="24"/>
          <w:szCs w:val="24"/>
        </w:rPr>
        <w:t>1</w:t>
      </w:r>
      <w:r w:rsidR="008227F3" w:rsidRPr="00D84DFA">
        <w:rPr>
          <w:rFonts w:eastAsiaTheme="minorHAnsi" w:cstheme="minorBidi"/>
          <w:sz w:val="24"/>
          <w:szCs w:val="24"/>
        </w:rPr>
        <w:t xml:space="preserve">, reprinted from </w:t>
      </w:r>
      <w:r w:rsidR="008227F3" w:rsidRPr="00D84DFA">
        <w:rPr>
          <w:rFonts w:eastAsiaTheme="minorHAnsi" w:cstheme="minorBidi"/>
          <w:sz w:val="24"/>
          <w:szCs w:val="24"/>
        </w:rPr>
        <w:fldChar w:fldCharType="begin" w:fldLock="1"/>
      </w:r>
      <w:r w:rsidR="008227F3" w:rsidRPr="00D84DFA">
        <w:rPr>
          <w:rFonts w:eastAsiaTheme="minorHAnsi" w:cstheme="minorBidi"/>
          <w:sz w:val="24"/>
          <w:szCs w:val="24"/>
        </w:rPr>
        <w:instrText>ADDIN CSL_CITATION {"citationItems":[{"id":"ITEM-1","itemData":{"author":[{"dropping-particle":"","family":"Dillman","given":"Donald A.","non-dropping-particle":"","parse-names":false,"suffix":""},{"dropping-particle":"","family":"Smyth","given":"Jolene D.","non-dropping-particle":"","parse-names":false,"suffix":""},{"dropping-particle":"","family":"Christian","given":"Leah M.","non-dropping-particle":"","parse-names":false,"suffix":""}],"edition":"3rd","id":"ITEM-1","issued":{"date-parts":[["2009"]]},"publisher":"Wiley","publisher-place":"New York","title":"Internet, Mail, and Mixed-Mode Surveys: The Tailored Design Method","type":"book"},"uris":["http://www.mendeley.com/documents/?uuid=c940be88-54b4-4968-8c29-bd8375eda6f7"]}],"mendeley":{"formattedCitation":"(Dillman, Smyth, and Christian 2009)","manualFormatting":"Dillman et al. (2009)","plainTextFormattedCitation":"(Dillman, Smyth, and Christian 2009)","previouslyFormattedCitation":"(Dillman, Smyth, and Christian 2009)"},"properties":{"noteIndex":0},"schema":"https://github.com/citation-style-language/schema/raw/master/csl-citation.json"}</w:instrText>
      </w:r>
      <w:r w:rsidR="008227F3" w:rsidRPr="00D84DFA">
        <w:rPr>
          <w:rFonts w:eastAsiaTheme="minorHAnsi" w:cstheme="minorBidi"/>
          <w:sz w:val="24"/>
          <w:szCs w:val="24"/>
        </w:rPr>
        <w:fldChar w:fldCharType="separate"/>
      </w:r>
      <w:r w:rsidR="008227F3" w:rsidRPr="00D84DFA">
        <w:rPr>
          <w:rFonts w:eastAsiaTheme="minorHAnsi" w:cstheme="minorBidi"/>
          <w:noProof/>
          <w:sz w:val="24"/>
          <w:szCs w:val="24"/>
        </w:rPr>
        <w:t>Dillman et al. (2009)</w:t>
      </w:r>
      <w:r w:rsidR="008227F3" w:rsidRPr="00D84DFA">
        <w:rPr>
          <w:rFonts w:eastAsiaTheme="minorHAnsi" w:cstheme="minorBidi"/>
          <w:sz w:val="24"/>
          <w:szCs w:val="24"/>
        </w:rPr>
        <w:fldChar w:fldCharType="end"/>
      </w:r>
      <w:r w:rsidR="008227F3" w:rsidRPr="00D84DFA">
        <w:rPr>
          <w:rFonts w:eastAsiaTheme="minorHAnsi" w:cstheme="minorBidi"/>
          <w:sz w:val="24"/>
          <w:szCs w:val="24"/>
        </w:rPr>
        <w:t xml:space="preserve">, displays results from several studies that experimentally test the influence of different types of incentives on mail survey response rates. These studies consistently obtained higher response rates among groups who received a small, upfront financial incentive relative to groups that did not. </w:t>
      </w:r>
    </w:p>
    <w:p w14:paraId="14BE2379" w14:textId="63C8CBBE" w:rsidR="007E4BD9" w:rsidRDefault="007E4BD9" w:rsidP="008227F3">
      <w:pPr>
        <w:widowControl/>
        <w:tabs>
          <w:tab w:val="left" w:pos="720"/>
        </w:tabs>
        <w:autoSpaceDE/>
        <w:autoSpaceDN/>
        <w:adjustRightInd/>
        <w:spacing w:after="160"/>
        <w:contextualSpacing/>
        <w:rPr>
          <w:rFonts w:eastAsiaTheme="minorHAnsi" w:cstheme="minorBidi"/>
          <w:sz w:val="24"/>
          <w:szCs w:val="24"/>
        </w:rPr>
      </w:pPr>
    </w:p>
    <w:p w14:paraId="293D1C5B" w14:textId="77777777" w:rsidR="00AB54AB" w:rsidRDefault="00AB54AB" w:rsidP="008227F3">
      <w:pPr>
        <w:widowControl/>
        <w:tabs>
          <w:tab w:val="left" w:pos="720"/>
        </w:tabs>
        <w:autoSpaceDE/>
        <w:autoSpaceDN/>
        <w:adjustRightInd/>
        <w:spacing w:after="160"/>
        <w:contextualSpacing/>
        <w:rPr>
          <w:rFonts w:eastAsiaTheme="minorHAnsi" w:cstheme="minorBidi"/>
          <w:sz w:val="24"/>
          <w:szCs w:val="24"/>
        </w:rPr>
      </w:pPr>
    </w:p>
    <w:p w14:paraId="798B7F82" w14:textId="77777777" w:rsidR="007E4BD9" w:rsidRPr="00D84DFA" w:rsidRDefault="007E4BD9" w:rsidP="008227F3">
      <w:pPr>
        <w:widowControl/>
        <w:tabs>
          <w:tab w:val="left" w:pos="720"/>
        </w:tabs>
        <w:autoSpaceDE/>
        <w:autoSpaceDN/>
        <w:adjustRightInd/>
        <w:spacing w:after="160"/>
        <w:contextualSpacing/>
        <w:rPr>
          <w:rFonts w:eastAsiaTheme="minorHAnsi" w:cstheme="minorBidi"/>
          <w:sz w:val="24"/>
          <w:szCs w:val="24"/>
        </w:rPr>
      </w:pPr>
    </w:p>
    <w:p w14:paraId="20DF2A25" w14:textId="77777777" w:rsidR="008227F3" w:rsidRPr="00D84DFA" w:rsidRDefault="008227F3" w:rsidP="008227F3">
      <w:pPr>
        <w:widowControl/>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 xml:space="preserve">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650"/>
        <w:gridCol w:w="1650"/>
        <w:gridCol w:w="1650"/>
      </w:tblGrid>
      <w:tr w:rsidR="008227F3" w:rsidRPr="00D84DFA" w14:paraId="0F7D6F2E" w14:textId="77777777" w:rsidTr="00467386">
        <w:trPr>
          <w:trHeight w:hRule="exact" w:val="288"/>
          <w:jc w:val="center"/>
        </w:trPr>
        <w:tc>
          <w:tcPr>
            <w:tcW w:w="9085" w:type="dxa"/>
            <w:gridSpan w:val="4"/>
            <w:tcBorders>
              <w:bottom w:val="single" w:sz="4" w:space="0" w:color="auto"/>
            </w:tcBorders>
            <w:vAlign w:val="center"/>
          </w:tcPr>
          <w:p w14:paraId="2C608FE8" w14:textId="609F74F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r w:rsidRPr="00D84DFA">
              <w:rPr>
                <w:rFonts w:eastAsiaTheme="minorHAnsi" w:cstheme="minorBidi"/>
                <w:sz w:val="21"/>
                <w:szCs w:val="21"/>
              </w:rPr>
              <w:t xml:space="preserve">Table </w:t>
            </w:r>
            <w:r w:rsidR="00776E48">
              <w:rPr>
                <w:rFonts w:eastAsiaTheme="minorHAnsi" w:cstheme="minorBidi"/>
                <w:sz w:val="21"/>
                <w:szCs w:val="21"/>
              </w:rPr>
              <w:t>1</w:t>
            </w:r>
            <w:r w:rsidRPr="00D84DFA">
              <w:rPr>
                <w:rFonts w:eastAsiaTheme="minorHAnsi" w:cstheme="minorBidi"/>
                <w:sz w:val="21"/>
                <w:szCs w:val="21"/>
              </w:rPr>
              <w:t xml:space="preserve">. Examples of the effect of advance token incentives in mail surveys. </w:t>
            </w:r>
          </w:p>
        </w:tc>
      </w:tr>
      <w:tr w:rsidR="008227F3" w:rsidRPr="00D84DFA" w14:paraId="70ABA810" w14:textId="77777777" w:rsidTr="00467386">
        <w:trPr>
          <w:trHeight w:hRule="exact" w:val="576"/>
          <w:jc w:val="center"/>
        </w:trPr>
        <w:tc>
          <w:tcPr>
            <w:tcW w:w="4135" w:type="dxa"/>
            <w:tcBorders>
              <w:top w:val="single" w:sz="4" w:space="0" w:color="auto"/>
              <w:bottom w:val="single" w:sz="4" w:space="0" w:color="auto"/>
            </w:tcBorders>
            <w:vAlign w:val="center"/>
          </w:tcPr>
          <w:p w14:paraId="5A1EFE84"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r w:rsidRPr="00D84DFA">
              <w:rPr>
                <w:rFonts w:eastAsiaTheme="minorHAnsi" w:cstheme="minorBidi"/>
                <w:sz w:val="21"/>
                <w:szCs w:val="21"/>
              </w:rPr>
              <w:t>Population (Year)</w:t>
            </w:r>
          </w:p>
        </w:tc>
        <w:tc>
          <w:tcPr>
            <w:tcW w:w="1650" w:type="dxa"/>
            <w:tcBorders>
              <w:top w:val="single" w:sz="4" w:space="0" w:color="auto"/>
              <w:bottom w:val="single" w:sz="4" w:space="0" w:color="auto"/>
            </w:tcBorders>
            <w:vAlign w:val="center"/>
          </w:tcPr>
          <w:p w14:paraId="721700BE"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Sample Size</w:t>
            </w:r>
          </w:p>
        </w:tc>
        <w:tc>
          <w:tcPr>
            <w:tcW w:w="1650" w:type="dxa"/>
            <w:tcBorders>
              <w:top w:val="single" w:sz="4" w:space="0" w:color="auto"/>
              <w:bottom w:val="single" w:sz="4" w:space="0" w:color="auto"/>
            </w:tcBorders>
            <w:vAlign w:val="center"/>
          </w:tcPr>
          <w:p w14:paraId="77845D59"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Experimental Groups ($)</w:t>
            </w:r>
          </w:p>
        </w:tc>
        <w:tc>
          <w:tcPr>
            <w:tcW w:w="1650" w:type="dxa"/>
            <w:tcBorders>
              <w:top w:val="single" w:sz="4" w:space="0" w:color="auto"/>
              <w:bottom w:val="single" w:sz="4" w:space="0" w:color="auto"/>
            </w:tcBorders>
            <w:vAlign w:val="center"/>
          </w:tcPr>
          <w:p w14:paraId="2BFE27EE"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Response</w:t>
            </w:r>
          </w:p>
          <w:p w14:paraId="504E8E08"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Rate (%)</w:t>
            </w:r>
          </w:p>
        </w:tc>
      </w:tr>
      <w:tr w:rsidR="008227F3" w:rsidRPr="00D84DFA" w14:paraId="6C40C263" w14:textId="77777777" w:rsidTr="00467386">
        <w:trPr>
          <w:trHeight w:hRule="exact" w:val="259"/>
          <w:jc w:val="center"/>
        </w:trPr>
        <w:tc>
          <w:tcPr>
            <w:tcW w:w="4135" w:type="dxa"/>
            <w:vMerge w:val="restart"/>
            <w:tcBorders>
              <w:top w:val="single" w:sz="4" w:space="0" w:color="auto"/>
            </w:tcBorders>
            <w:shd w:val="clear" w:color="auto" w:fill="D9D9D9"/>
            <w:vAlign w:val="center"/>
          </w:tcPr>
          <w:p w14:paraId="045B61E1"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r w:rsidRPr="00D84DFA">
              <w:rPr>
                <w:rFonts w:eastAsiaTheme="minorHAnsi" w:cstheme="minorBidi"/>
                <w:sz w:val="21"/>
                <w:szCs w:val="21"/>
              </w:rPr>
              <w:t>Oregon State University (OSU) students who left the College of Agricultural Sciences without graduating (1997)</w:t>
            </w:r>
          </w:p>
        </w:tc>
        <w:tc>
          <w:tcPr>
            <w:tcW w:w="1650" w:type="dxa"/>
            <w:tcBorders>
              <w:top w:val="single" w:sz="4" w:space="0" w:color="auto"/>
            </w:tcBorders>
            <w:shd w:val="clear" w:color="auto" w:fill="D9D9D9"/>
            <w:vAlign w:val="center"/>
          </w:tcPr>
          <w:p w14:paraId="40C6B627"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133</w:t>
            </w:r>
          </w:p>
        </w:tc>
        <w:tc>
          <w:tcPr>
            <w:tcW w:w="1650" w:type="dxa"/>
            <w:tcBorders>
              <w:top w:val="single" w:sz="4" w:space="0" w:color="auto"/>
            </w:tcBorders>
            <w:shd w:val="clear" w:color="auto" w:fill="D9D9D9"/>
            <w:vAlign w:val="center"/>
          </w:tcPr>
          <w:p w14:paraId="2246BF9A"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0</w:t>
            </w:r>
          </w:p>
        </w:tc>
        <w:tc>
          <w:tcPr>
            <w:tcW w:w="1650" w:type="dxa"/>
            <w:tcBorders>
              <w:top w:val="single" w:sz="4" w:space="0" w:color="auto"/>
            </w:tcBorders>
            <w:shd w:val="clear" w:color="auto" w:fill="D9D9D9"/>
            <w:vAlign w:val="center"/>
          </w:tcPr>
          <w:p w14:paraId="0F312AB9"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28</w:t>
            </w:r>
          </w:p>
        </w:tc>
      </w:tr>
      <w:tr w:rsidR="008227F3" w:rsidRPr="00D84DFA" w14:paraId="23D33D9D" w14:textId="77777777" w:rsidTr="00467386">
        <w:trPr>
          <w:trHeight w:hRule="exact" w:val="259"/>
          <w:jc w:val="center"/>
        </w:trPr>
        <w:tc>
          <w:tcPr>
            <w:tcW w:w="4135" w:type="dxa"/>
            <w:vMerge/>
            <w:shd w:val="clear" w:color="auto" w:fill="D9D9D9"/>
            <w:vAlign w:val="center"/>
          </w:tcPr>
          <w:p w14:paraId="0B6E3F3D"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shd w:val="clear" w:color="auto" w:fill="D9D9D9"/>
            <w:vAlign w:val="center"/>
          </w:tcPr>
          <w:p w14:paraId="1F7CB099"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130</w:t>
            </w:r>
          </w:p>
        </w:tc>
        <w:tc>
          <w:tcPr>
            <w:tcW w:w="1650" w:type="dxa"/>
            <w:shd w:val="clear" w:color="auto" w:fill="D9D9D9"/>
            <w:vAlign w:val="center"/>
          </w:tcPr>
          <w:p w14:paraId="0D8FA238"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2 Check</w:t>
            </w:r>
          </w:p>
        </w:tc>
        <w:tc>
          <w:tcPr>
            <w:tcW w:w="1650" w:type="dxa"/>
            <w:shd w:val="clear" w:color="auto" w:fill="D9D9D9"/>
            <w:vAlign w:val="center"/>
          </w:tcPr>
          <w:p w14:paraId="5A4F0081"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44</w:t>
            </w:r>
          </w:p>
        </w:tc>
      </w:tr>
      <w:tr w:rsidR="008227F3" w:rsidRPr="00D84DFA" w14:paraId="580343E6" w14:textId="77777777" w:rsidTr="00467386">
        <w:trPr>
          <w:trHeight w:hRule="exact" w:val="259"/>
          <w:jc w:val="center"/>
        </w:trPr>
        <w:tc>
          <w:tcPr>
            <w:tcW w:w="4135" w:type="dxa"/>
            <w:vMerge/>
            <w:shd w:val="clear" w:color="auto" w:fill="D9D9D9"/>
            <w:vAlign w:val="center"/>
          </w:tcPr>
          <w:p w14:paraId="79EF8753"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shd w:val="clear" w:color="auto" w:fill="D9D9D9"/>
            <w:vAlign w:val="center"/>
          </w:tcPr>
          <w:p w14:paraId="75276C71"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125</w:t>
            </w:r>
          </w:p>
        </w:tc>
        <w:tc>
          <w:tcPr>
            <w:tcW w:w="1650" w:type="dxa"/>
            <w:shd w:val="clear" w:color="auto" w:fill="D9D9D9"/>
            <w:vAlign w:val="center"/>
          </w:tcPr>
          <w:p w14:paraId="04781D78"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2 Bill</w:t>
            </w:r>
          </w:p>
        </w:tc>
        <w:tc>
          <w:tcPr>
            <w:tcW w:w="1650" w:type="dxa"/>
            <w:shd w:val="clear" w:color="auto" w:fill="D9D9D9"/>
            <w:vAlign w:val="center"/>
          </w:tcPr>
          <w:p w14:paraId="0F0F4629"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53</w:t>
            </w:r>
          </w:p>
        </w:tc>
      </w:tr>
      <w:tr w:rsidR="008227F3" w:rsidRPr="00D84DFA" w14:paraId="5E754D6D" w14:textId="77777777" w:rsidTr="00467386">
        <w:trPr>
          <w:trHeight w:hRule="exact" w:val="259"/>
          <w:jc w:val="center"/>
        </w:trPr>
        <w:tc>
          <w:tcPr>
            <w:tcW w:w="4135" w:type="dxa"/>
            <w:vMerge w:val="restart"/>
            <w:vAlign w:val="center"/>
          </w:tcPr>
          <w:p w14:paraId="1050A074"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r w:rsidRPr="00D84DFA">
              <w:rPr>
                <w:rFonts w:eastAsiaTheme="minorHAnsi" w:cstheme="minorBidi"/>
                <w:sz w:val="21"/>
                <w:szCs w:val="21"/>
              </w:rPr>
              <w:t>Recent graduates of the College of Agricultural Sciences at OSU (1998)</w:t>
            </w:r>
          </w:p>
        </w:tc>
        <w:tc>
          <w:tcPr>
            <w:tcW w:w="1650" w:type="dxa"/>
            <w:vAlign w:val="center"/>
          </w:tcPr>
          <w:p w14:paraId="00284A13"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129</w:t>
            </w:r>
          </w:p>
        </w:tc>
        <w:tc>
          <w:tcPr>
            <w:tcW w:w="1650" w:type="dxa"/>
            <w:vAlign w:val="center"/>
          </w:tcPr>
          <w:p w14:paraId="24AE7CC4"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0</w:t>
            </w:r>
          </w:p>
        </w:tc>
        <w:tc>
          <w:tcPr>
            <w:tcW w:w="1650" w:type="dxa"/>
            <w:vAlign w:val="center"/>
          </w:tcPr>
          <w:p w14:paraId="54F53814"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59</w:t>
            </w:r>
          </w:p>
        </w:tc>
      </w:tr>
      <w:tr w:rsidR="008227F3" w:rsidRPr="00D84DFA" w14:paraId="024320A4" w14:textId="77777777" w:rsidTr="00467386">
        <w:trPr>
          <w:trHeight w:hRule="exact" w:val="259"/>
          <w:jc w:val="center"/>
        </w:trPr>
        <w:tc>
          <w:tcPr>
            <w:tcW w:w="4135" w:type="dxa"/>
            <w:vMerge/>
            <w:vAlign w:val="center"/>
          </w:tcPr>
          <w:p w14:paraId="55283998"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vAlign w:val="center"/>
          </w:tcPr>
          <w:p w14:paraId="033664BF"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135</w:t>
            </w:r>
          </w:p>
        </w:tc>
        <w:tc>
          <w:tcPr>
            <w:tcW w:w="1650" w:type="dxa"/>
            <w:vAlign w:val="center"/>
          </w:tcPr>
          <w:p w14:paraId="58C3B5C6"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2 Bill</w:t>
            </w:r>
          </w:p>
        </w:tc>
        <w:tc>
          <w:tcPr>
            <w:tcW w:w="1650" w:type="dxa"/>
            <w:vAlign w:val="center"/>
          </w:tcPr>
          <w:p w14:paraId="67214439"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67</w:t>
            </w:r>
          </w:p>
        </w:tc>
      </w:tr>
      <w:tr w:rsidR="008227F3" w:rsidRPr="00D84DFA" w14:paraId="403DB518" w14:textId="77777777" w:rsidTr="00467386">
        <w:trPr>
          <w:trHeight w:hRule="exact" w:val="259"/>
          <w:jc w:val="center"/>
        </w:trPr>
        <w:tc>
          <w:tcPr>
            <w:tcW w:w="4135" w:type="dxa"/>
            <w:vMerge/>
            <w:vAlign w:val="center"/>
          </w:tcPr>
          <w:p w14:paraId="6447F690"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vAlign w:val="center"/>
          </w:tcPr>
          <w:p w14:paraId="37CADAFE"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141</w:t>
            </w:r>
          </w:p>
        </w:tc>
        <w:tc>
          <w:tcPr>
            <w:tcW w:w="1650" w:type="dxa"/>
            <w:vAlign w:val="center"/>
          </w:tcPr>
          <w:p w14:paraId="7C40033C"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5 Bill</w:t>
            </w:r>
          </w:p>
        </w:tc>
        <w:tc>
          <w:tcPr>
            <w:tcW w:w="1650" w:type="dxa"/>
            <w:vAlign w:val="center"/>
          </w:tcPr>
          <w:p w14:paraId="3EC90125"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81</w:t>
            </w:r>
          </w:p>
        </w:tc>
      </w:tr>
      <w:tr w:rsidR="008227F3" w:rsidRPr="00D84DFA" w14:paraId="3FD7B221" w14:textId="77777777" w:rsidTr="00467386">
        <w:trPr>
          <w:trHeight w:hRule="exact" w:val="259"/>
          <w:jc w:val="center"/>
        </w:trPr>
        <w:tc>
          <w:tcPr>
            <w:tcW w:w="4135" w:type="dxa"/>
            <w:vMerge w:val="restart"/>
            <w:shd w:val="clear" w:color="auto" w:fill="D9D9D9"/>
            <w:vAlign w:val="center"/>
          </w:tcPr>
          <w:p w14:paraId="1A592C98"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r w:rsidRPr="00D84DFA">
              <w:rPr>
                <w:rFonts w:eastAsiaTheme="minorHAnsi" w:cstheme="minorBidi"/>
                <w:sz w:val="21"/>
                <w:szCs w:val="21"/>
              </w:rPr>
              <w:t>OSU distance education students (1997)</w:t>
            </w:r>
          </w:p>
        </w:tc>
        <w:tc>
          <w:tcPr>
            <w:tcW w:w="1650" w:type="dxa"/>
            <w:shd w:val="clear" w:color="auto" w:fill="D9D9D9"/>
            <w:vAlign w:val="center"/>
          </w:tcPr>
          <w:p w14:paraId="6A1072A5"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249</w:t>
            </w:r>
          </w:p>
        </w:tc>
        <w:tc>
          <w:tcPr>
            <w:tcW w:w="1650" w:type="dxa"/>
            <w:shd w:val="clear" w:color="auto" w:fill="D9D9D9"/>
            <w:vAlign w:val="center"/>
          </w:tcPr>
          <w:p w14:paraId="140B2353"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0</w:t>
            </w:r>
          </w:p>
        </w:tc>
        <w:tc>
          <w:tcPr>
            <w:tcW w:w="1650" w:type="dxa"/>
            <w:shd w:val="clear" w:color="auto" w:fill="D9D9D9"/>
            <w:vAlign w:val="center"/>
          </w:tcPr>
          <w:p w14:paraId="0A56D28A"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20</w:t>
            </w:r>
          </w:p>
        </w:tc>
      </w:tr>
      <w:tr w:rsidR="008227F3" w:rsidRPr="00D84DFA" w14:paraId="34D52170" w14:textId="77777777" w:rsidTr="00467386">
        <w:trPr>
          <w:trHeight w:hRule="exact" w:val="259"/>
          <w:jc w:val="center"/>
        </w:trPr>
        <w:tc>
          <w:tcPr>
            <w:tcW w:w="4135" w:type="dxa"/>
            <w:vMerge/>
            <w:shd w:val="clear" w:color="auto" w:fill="D9D9D9"/>
            <w:vAlign w:val="center"/>
          </w:tcPr>
          <w:p w14:paraId="50D96617"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shd w:val="clear" w:color="auto" w:fill="D9D9D9"/>
            <w:vAlign w:val="center"/>
          </w:tcPr>
          <w:p w14:paraId="3F2E72D9"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91</w:t>
            </w:r>
          </w:p>
        </w:tc>
        <w:tc>
          <w:tcPr>
            <w:tcW w:w="1650" w:type="dxa"/>
            <w:shd w:val="clear" w:color="auto" w:fill="D9D9D9"/>
            <w:vAlign w:val="center"/>
          </w:tcPr>
          <w:p w14:paraId="73F8B749"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2 Check</w:t>
            </w:r>
          </w:p>
        </w:tc>
        <w:tc>
          <w:tcPr>
            <w:tcW w:w="1650" w:type="dxa"/>
            <w:shd w:val="clear" w:color="auto" w:fill="D9D9D9"/>
            <w:vAlign w:val="center"/>
          </w:tcPr>
          <w:p w14:paraId="279C5E29"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25</w:t>
            </w:r>
          </w:p>
        </w:tc>
      </w:tr>
      <w:tr w:rsidR="008227F3" w:rsidRPr="00D84DFA" w14:paraId="7E23F10E" w14:textId="77777777" w:rsidTr="00467386">
        <w:trPr>
          <w:trHeight w:hRule="exact" w:val="259"/>
          <w:jc w:val="center"/>
        </w:trPr>
        <w:tc>
          <w:tcPr>
            <w:tcW w:w="4135" w:type="dxa"/>
            <w:vMerge/>
            <w:shd w:val="clear" w:color="auto" w:fill="D9D9D9"/>
            <w:vAlign w:val="center"/>
          </w:tcPr>
          <w:p w14:paraId="6F7097A8"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shd w:val="clear" w:color="auto" w:fill="D9D9D9"/>
            <w:vAlign w:val="center"/>
          </w:tcPr>
          <w:p w14:paraId="4D76FD4B"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92</w:t>
            </w:r>
          </w:p>
        </w:tc>
        <w:tc>
          <w:tcPr>
            <w:tcW w:w="1650" w:type="dxa"/>
            <w:shd w:val="clear" w:color="auto" w:fill="D9D9D9"/>
            <w:vAlign w:val="center"/>
          </w:tcPr>
          <w:p w14:paraId="68E00A6C"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2 Bill</w:t>
            </w:r>
          </w:p>
        </w:tc>
        <w:tc>
          <w:tcPr>
            <w:tcW w:w="1650" w:type="dxa"/>
            <w:shd w:val="clear" w:color="auto" w:fill="D9D9D9"/>
            <w:vAlign w:val="center"/>
          </w:tcPr>
          <w:p w14:paraId="75FCCBD0"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32</w:t>
            </w:r>
          </w:p>
        </w:tc>
      </w:tr>
      <w:tr w:rsidR="008227F3" w:rsidRPr="00D84DFA" w14:paraId="25B7582C" w14:textId="77777777" w:rsidTr="00467386">
        <w:trPr>
          <w:trHeight w:hRule="exact" w:val="259"/>
          <w:jc w:val="center"/>
        </w:trPr>
        <w:tc>
          <w:tcPr>
            <w:tcW w:w="4135" w:type="dxa"/>
            <w:vMerge/>
            <w:shd w:val="clear" w:color="auto" w:fill="D9D9D9"/>
            <w:vAlign w:val="center"/>
          </w:tcPr>
          <w:p w14:paraId="43E3A816"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shd w:val="clear" w:color="auto" w:fill="D9D9D9"/>
            <w:vAlign w:val="center"/>
          </w:tcPr>
          <w:p w14:paraId="0FB43387"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87</w:t>
            </w:r>
          </w:p>
        </w:tc>
        <w:tc>
          <w:tcPr>
            <w:tcW w:w="1650" w:type="dxa"/>
            <w:shd w:val="clear" w:color="auto" w:fill="D9D9D9"/>
            <w:vAlign w:val="center"/>
          </w:tcPr>
          <w:p w14:paraId="0F298C3A"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5 Check</w:t>
            </w:r>
          </w:p>
        </w:tc>
        <w:tc>
          <w:tcPr>
            <w:tcW w:w="1650" w:type="dxa"/>
            <w:shd w:val="clear" w:color="auto" w:fill="D9D9D9"/>
            <w:vAlign w:val="center"/>
          </w:tcPr>
          <w:p w14:paraId="47F539CD"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31</w:t>
            </w:r>
          </w:p>
        </w:tc>
      </w:tr>
      <w:tr w:rsidR="008227F3" w:rsidRPr="00D84DFA" w14:paraId="4AAB67E3" w14:textId="77777777" w:rsidTr="00467386">
        <w:trPr>
          <w:trHeight w:hRule="exact" w:val="259"/>
          <w:jc w:val="center"/>
        </w:trPr>
        <w:tc>
          <w:tcPr>
            <w:tcW w:w="4135" w:type="dxa"/>
            <w:vMerge/>
            <w:shd w:val="clear" w:color="auto" w:fill="D9D9D9"/>
            <w:vAlign w:val="center"/>
          </w:tcPr>
          <w:p w14:paraId="05BE5CA4"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shd w:val="clear" w:color="auto" w:fill="D9D9D9"/>
            <w:vAlign w:val="center"/>
          </w:tcPr>
          <w:p w14:paraId="72F4AC15"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97</w:t>
            </w:r>
          </w:p>
        </w:tc>
        <w:tc>
          <w:tcPr>
            <w:tcW w:w="1650" w:type="dxa"/>
            <w:shd w:val="clear" w:color="auto" w:fill="D9D9D9"/>
            <w:vAlign w:val="center"/>
          </w:tcPr>
          <w:p w14:paraId="2F7A9DC9"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5 Bill</w:t>
            </w:r>
          </w:p>
        </w:tc>
        <w:tc>
          <w:tcPr>
            <w:tcW w:w="1650" w:type="dxa"/>
            <w:shd w:val="clear" w:color="auto" w:fill="D9D9D9"/>
            <w:vAlign w:val="center"/>
          </w:tcPr>
          <w:p w14:paraId="0E04011D"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32</w:t>
            </w:r>
          </w:p>
        </w:tc>
      </w:tr>
      <w:tr w:rsidR="008227F3" w:rsidRPr="00D84DFA" w14:paraId="4439550E" w14:textId="77777777" w:rsidTr="00467386">
        <w:trPr>
          <w:trHeight w:hRule="exact" w:val="259"/>
          <w:jc w:val="center"/>
        </w:trPr>
        <w:tc>
          <w:tcPr>
            <w:tcW w:w="4135" w:type="dxa"/>
            <w:vMerge w:val="restart"/>
            <w:vAlign w:val="center"/>
          </w:tcPr>
          <w:p w14:paraId="2CBD4BB4"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r w:rsidRPr="00D84DFA">
              <w:rPr>
                <w:rFonts w:eastAsiaTheme="minorHAnsi" w:cstheme="minorBidi"/>
                <w:sz w:val="21"/>
                <w:szCs w:val="21"/>
              </w:rPr>
              <w:t>OSU June 1997 Graduates (1998)</w:t>
            </w:r>
          </w:p>
        </w:tc>
        <w:tc>
          <w:tcPr>
            <w:tcW w:w="1650" w:type="dxa"/>
            <w:vAlign w:val="center"/>
          </w:tcPr>
          <w:p w14:paraId="750E02DE"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231</w:t>
            </w:r>
          </w:p>
        </w:tc>
        <w:tc>
          <w:tcPr>
            <w:tcW w:w="1650" w:type="dxa"/>
            <w:vAlign w:val="center"/>
          </w:tcPr>
          <w:p w14:paraId="3590ED9E"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0</w:t>
            </w:r>
          </w:p>
        </w:tc>
        <w:tc>
          <w:tcPr>
            <w:tcW w:w="1650" w:type="dxa"/>
            <w:vAlign w:val="center"/>
          </w:tcPr>
          <w:p w14:paraId="13F8A0B1"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52</w:t>
            </w:r>
          </w:p>
        </w:tc>
      </w:tr>
      <w:tr w:rsidR="008227F3" w:rsidRPr="00D84DFA" w14:paraId="5F7C9F13" w14:textId="77777777" w:rsidTr="00467386">
        <w:trPr>
          <w:trHeight w:hRule="exact" w:val="259"/>
          <w:jc w:val="center"/>
        </w:trPr>
        <w:tc>
          <w:tcPr>
            <w:tcW w:w="4135" w:type="dxa"/>
            <w:vMerge/>
            <w:vAlign w:val="center"/>
          </w:tcPr>
          <w:p w14:paraId="6680E11C"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vAlign w:val="center"/>
          </w:tcPr>
          <w:p w14:paraId="7948E601"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234</w:t>
            </w:r>
          </w:p>
        </w:tc>
        <w:tc>
          <w:tcPr>
            <w:tcW w:w="1650" w:type="dxa"/>
            <w:vAlign w:val="center"/>
          </w:tcPr>
          <w:p w14:paraId="7CACB7B6"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2 Bill</w:t>
            </w:r>
          </w:p>
        </w:tc>
        <w:tc>
          <w:tcPr>
            <w:tcW w:w="1650" w:type="dxa"/>
            <w:vAlign w:val="center"/>
          </w:tcPr>
          <w:p w14:paraId="0910AAFF"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65</w:t>
            </w:r>
          </w:p>
        </w:tc>
      </w:tr>
      <w:tr w:rsidR="008227F3" w:rsidRPr="00D84DFA" w14:paraId="75611E21" w14:textId="77777777" w:rsidTr="00467386">
        <w:trPr>
          <w:trHeight w:hRule="exact" w:val="259"/>
          <w:jc w:val="center"/>
        </w:trPr>
        <w:tc>
          <w:tcPr>
            <w:tcW w:w="4135" w:type="dxa"/>
            <w:vMerge w:val="restart"/>
            <w:shd w:val="clear" w:color="auto" w:fill="D9D9D9"/>
            <w:vAlign w:val="center"/>
          </w:tcPr>
          <w:p w14:paraId="4AEF7CB6"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r w:rsidRPr="00D84DFA">
              <w:rPr>
                <w:rFonts w:eastAsiaTheme="minorHAnsi" w:cstheme="minorBidi"/>
                <w:sz w:val="21"/>
                <w:szCs w:val="21"/>
              </w:rPr>
              <w:t>New residents of Washington who obtained a state driver’s license (1994)</w:t>
            </w:r>
          </w:p>
        </w:tc>
        <w:tc>
          <w:tcPr>
            <w:tcW w:w="1650" w:type="dxa"/>
            <w:shd w:val="clear" w:color="auto" w:fill="D9D9D9"/>
            <w:vAlign w:val="center"/>
          </w:tcPr>
          <w:p w14:paraId="60901FAB"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368</w:t>
            </w:r>
          </w:p>
        </w:tc>
        <w:tc>
          <w:tcPr>
            <w:tcW w:w="1650" w:type="dxa"/>
            <w:shd w:val="clear" w:color="auto" w:fill="D9D9D9"/>
            <w:vAlign w:val="center"/>
          </w:tcPr>
          <w:p w14:paraId="141BBCE3"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0</w:t>
            </w:r>
          </w:p>
        </w:tc>
        <w:tc>
          <w:tcPr>
            <w:tcW w:w="1650" w:type="dxa"/>
            <w:shd w:val="clear" w:color="auto" w:fill="D9D9D9"/>
            <w:vAlign w:val="center"/>
          </w:tcPr>
          <w:p w14:paraId="072A1B2C"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44</w:t>
            </w:r>
          </w:p>
        </w:tc>
      </w:tr>
      <w:tr w:rsidR="008227F3" w:rsidRPr="00D84DFA" w14:paraId="28C33AF1" w14:textId="77777777" w:rsidTr="00467386">
        <w:trPr>
          <w:trHeight w:hRule="exact" w:val="259"/>
          <w:jc w:val="center"/>
        </w:trPr>
        <w:tc>
          <w:tcPr>
            <w:tcW w:w="4135" w:type="dxa"/>
            <w:vMerge/>
            <w:shd w:val="clear" w:color="auto" w:fill="D9D9D9"/>
            <w:vAlign w:val="center"/>
          </w:tcPr>
          <w:p w14:paraId="29CDCC34"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shd w:val="clear" w:color="auto" w:fill="D9D9D9"/>
            <w:vAlign w:val="center"/>
          </w:tcPr>
          <w:p w14:paraId="571FB63D"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357</w:t>
            </w:r>
          </w:p>
        </w:tc>
        <w:tc>
          <w:tcPr>
            <w:tcW w:w="1650" w:type="dxa"/>
            <w:shd w:val="clear" w:color="auto" w:fill="D9D9D9"/>
            <w:vAlign w:val="center"/>
          </w:tcPr>
          <w:p w14:paraId="769F29B5"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2 Bill</w:t>
            </w:r>
          </w:p>
        </w:tc>
        <w:tc>
          <w:tcPr>
            <w:tcW w:w="1650" w:type="dxa"/>
            <w:shd w:val="clear" w:color="auto" w:fill="D9D9D9"/>
            <w:vAlign w:val="center"/>
          </w:tcPr>
          <w:p w14:paraId="53100601"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63</w:t>
            </w:r>
          </w:p>
        </w:tc>
      </w:tr>
      <w:tr w:rsidR="008227F3" w:rsidRPr="00D84DFA" w14:paraId="1F3C593E" w14:textId="77777777" w:rsidTr="00467386">
        <w:trPr>
          <w:trHeight w:hRule="exact" w:val="259"/>
          <w:jc w:val="center"/>
        </w:trPr>
        <w:tc>
          <w:tcPr>
            <w:tcW w:w="4135" w:type="dxa"/>
            <w:vMerge w:val="restart"/>
            <w:vAlign w:val="center"/>
          </w:tcPr>
          <w:p w14:paraId="64B8FC93"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r w:rsidRPr="00D84DFA">
              <w:rPr>
                <w:rFonts w:eastAsiaTheme="minorHAnsi" w:cstheme="minorBidi"/>
                <w:sz w:val="21"/>
                <w:szCs w:val="21"/>
              </w:rPr>
              <w:t>New residents of Iowa who obtained a state driver’s license (1997)</w:t>
            </w:r>
          </w:p>
        </w:tc>
        <w:tc>
          <w:tcPr>
            <w:tcW w:w="1650" w:type="dxa"/>
            <w:vAlign w:val="center"/>
          </w:tcPr>
          <w:p w14:paraId="27BE891E"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317</w:t>
            </w:r>
          </w:p>
        </w:tc>
        <w:tc>
          <w:tcPr>
            <w:tcW w:w="1650" w:type="dxa"/>
            <w:vAlign w:val="center"/>
          </w:tcPr>
          <w:p w14:paraId="539F0516"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0</w:t>
            </w:r>
          </w:p>
        </w:tc>
        <w:tc>
          <w:tcPr>
            <w:tcW w:w="1650" w:type="dxa"/>
            <w:vAlign w:val="center"/>
          </w:tcPr>
          <w:p w14:paraId="1692F7E2"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42</w:t>
            </w:r>
          </w:p>
        </w:tc>
      </w:tr>
      <w:tr w:rsidR="008227F3" w:rsidRPr="00D84DFA" w14:paraId="7C85B535" w14:textId="77777777" w:rsidTr="00467386">
        <w:trPr>
          <w:trHeight w:hRule="exact" w:val="259"/>
          <w:jc w:val="center"/>
        </w:trPr>
        <w:tc>
          <w:tcPr>
            <w:tcW w:w="4135" w:type="dxa"/>
            <w:vMerge/>
            <w:vAlign w:val="center"/>
          </w:tcPr>
          <w:p w14:paraId="69386594"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vAlign w:val="center"/>
          </w:tcPr>
          <w:p w14:paraId="339DD89A"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313</w:t>
            </w:r>
          </w:p>
        </w:tc>
        <w:tc>
          <w:tcPr>
            <w:tcW w:w="1650" w:type="dxa"/>
            <w:vAlign w:val="center"/>
          </w:tcPr>
          <w:p w14:paraId="498B4CC2"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2 Singles</w:t>
            </w:r>
          </w:p>
        </w:tc>
        <w:tc>
          <w:tcPr>
            <w:tcW w:w="1650" w:type="dxa"/>
            <w:vAlign w:val="center"/>
          </w:tcPr>
          <w:p w14:paraId="000C8CE4"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70</w:t>
            </w:r>
          </w:p>
        </w:tc>
      </w:tr>
      <w:tr w:rsidR="008227F3" w:rsidRPr="00D84DFA" w14:paraId="6CAE96E2" w14:textId="77777777" w:rsidTr="00467386">
        <w:trPr>
          <w:trHeight w:hRule="exact" w:val="259"/>
          <w:jc w:val="center"/>
        </w:trPr>
        <w:tc>
          <w:tcPr>
            <w:tcW w:w="4135" w:type="dxa"/>
            <w:vMerge/>
            <w:vAlign w:val="center"/>
          </w:tcPr>
          <w:p w14:paraId="30859CCE"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vAlign w:val="center"/>
          </w:tcPr>
          <w:p w14:paraId="10DD5757"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313</w:t>
            </w:r>
          </w:p>
        </w:tc>
        <w:tc>
          <w:tcPr>
            <w:tcW w:w="1650" w:type="dxa"/>
            <w:vAlign w:val="center"/>
          </w:tcPr>
          <w:p w14:paraId="166C698B"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2 Bill</w:t>
            </w:r>
          </w:p>
        </w:tc>
        <w:tc>
          <w:tcPr>
            <w:tcW w:w="1650" w:type="dxa"/>
            <w:vAlign w:val="center"/>
          </w:tcPr>
          <w:p w14:paraId="5819B12B"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73</w:t>
            </w:r>
          </w:p>
        </w:tc>
      </w:tr>
      <w:tr w:rsidR="008227F3" w:rsidRPr="00D84DFA" w14:paraId="5DCBD199" w14:textId="77777777" w:rsidTr="00467386">
        <w:trPr>
          <w:trHeight w:hRule="exact" w:val="259"/>
          <w:jc w:val="center"/>
        </w:trPr>
        <w:tc>
          <w:tcPr>
            <w:tcW w:w="4135" w:type="dxa"/>
            <w:vMerge w:val="restart"/>
            <w:shd w:val="clear" w:color="auto" w:fill="D9D9D9"/>
            <w:vAlign w:val="center"/>
          </w:tcPr>
          <w:p w14:paraId="00DF5B42"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r w:rsidRPr="00D84DFA">
              <w:rPr>
                <w:rFonts w:eastAsiaTheme="minorHAnsi" w:cstheme="minorBidi"/>
                <w:sz w:val="21"/>
                <w:szCs w:val="21"/>
              </w:rPr>
              <w:t>New residents of Idaho aged 50-70 (1996)</w:t>
            </w:r>
          </w:p>
        </w:tc>
        <w:tc>
          <w:tcPr>
            <w:tcW w:w="1650" w:type="dxa"/>
            <w:shd w:val="clear" w:color="auto" w:fill="D9D9D9"/>
            <w:vAlign w:val="center"/>
          </w:tcPr>
          <w:p w14:paraId="13BCAFE5"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526</w:t>
            </w:r>
          </w:p>
        </w:tc>
        <w:tc>
          <w:tcPr>
            <w:tcW w:w="1650" w:type="dxa"/>
            <w:shd w:val="clear" w:color="auto" w:fill="D9D9D9"/>
            <w:vAlign w:val="center"/>
          </w:tcPr>
          <w:p w14:paraId="48B4B185"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0</w:t>
            </w:r>
          </w:p>
        </w:tc>
        <w:tc>
          <w:tcPr>
            <w:tcW w:w="1650" w:type="dxa"/>
            <w:shd w:val="clear" w:color="auto" w:fill="D9D9D9"/>
            <w:vAlign w:val="center"/>
          </w:tcPr>
          <w:p w14:paraId="570B0BAD"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53</w:t>
            </w:r>
          </w:p>
        </w:tc>
      </w:tr>
      <w:tr w:rsidR="008227F3" w:rsidRPr="00D84DFA" w14:paraId="5D52C711" w14:textId="77777777" w:rsidTr="00467386">
        <w:trPr>
          <w:trHeight w:hRule="exact" w:val="259"/>
          <w:jc w:val="center"/>
        </w:trPr>
        <w:tc>
          <w:tcPr>
            <w:tcW w:w="4135" w:type="dxa"/>
            <w:vMerge/>
            <w:shd w:val="clear" w:color="auto" w:fill="D9D9D9"/>
            <w:vAlign w:val="center"/>
          </w:tcPr>
          <w:p w14:paraId="6F34CE0B"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shd w:val="clear" w:color="auto" w:fill="D9D9D9"/>
            <w:vAlign w:val="center"/>
          </w:tcPr>
          <w:p w14:paraId="57D178AD"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526</w:t>
            </w:r>
          </w:p>
        </w:tc>
        <w:tc>
          <w:tcPr>
            <w:tcW w:w="1650" w:type="dxa"/>
            <w:shd w:val="clear" w:color="auto" w:fill="D9D9D9"/>
            <w:vAlign w:val="center"/>
          </w:tcPr>
          <w:p w14:paraId="1A0F6848"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2 Bill</w:t>
            </w:r>
          </w:p>
        </w:tc>
        <w:tc>
          <w:tcPr>
            <w:tcW w:w="1650" w:type="dxa"/>
            <w:shd w:val="clear" w:color="auto" w:fill="D9D9D9"/>
            <w:vAlign w:val="center"/>
          </w:tcPr>
          <w:p w14:paraId="5C20470E"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72</w:t>
            </w:r>
          </w:p>
        </w:tc>
      </w:tr>
      <w:tr w:rsidR="008227F3" w:rsidRPr="00D84DFA" w14:paraId="4B41B800" w14:textId="77777777" w:rsidTr="00467386">
        <w:trPr>
          <w:trHeight w:hRule="exact" w:val="259"/>
          <w:jc w:val="center"/>
        </w:trPr>
        <w:tc>
          <w:tcPr>
            <w:tcW w:w="4135" w:type="dxa"/>
            <w:vMerge/>
            <w:shd w:val="clear" w:color="auto" w:fill="D9D9D9"/>
            <w:vAlign w:val="center"/>
          </w:tcPr>
          <w:p w14:paraId="4BABAEFE"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shd w:val="clear" w:color="auto" w:fill="D9D9D9"/>
            <w:vAlign w:val="center"/>
          </w:tcPr>
          <w:p w14:paraId="14651B9F"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524</w:t>
            </w:r>
          </w:p>
        </w:tc>
        <w:tc>
          <w:tcPr>
            <w:tcW w:w="1650" w:type="dxa"/>
            <w:shd w:val="clear" w:color="auto" w:fill="D9D9D9"/>
            <w:vAlign w:val="center"/>
          </w:tcPr>
          <w:p w14:paraId="05E151F8"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300 Lottery</w:t>
            </w:r>
          </w:p>
        </w:tc>
        <w:tc>
          <w:tcPr>
            <w:tcW w:w="1650" w:type="dxa"/>
            <w:shd w:val="clear" w:color="auto" w:fill="D9D9D9"/>
            <w:vAlign w:val="center"/>
          </w:tcPr>
          <w:p w14:paraId="30125B34"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58</w:t>
            </w:r>
          </w:p>
        </w:tc>
      </w:tr>
      <w:tr w:rsidR="008227F3" w:rsidRPr="00D84DFA" w14:paraId="0C0B92CC" w14:textId="77777777" w:rsidTr="00467386">
        <w:trPr>
          <w:trHeight w:hRule="exact" w:val="259"/>
          <w:jc w:val="center"/>
        </w:trPr>
        <w:tc>
          <w:tcPr>
            <w:tcW w:w="4135" w:type="dxa"/>
            <w:vMerge w:val="restart"/>
            <w:vAlign w:val="center"/>
          </w:tcPr>
          <w:p w14:paraId="333CB73C"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r w:rsidRPr="00D84DFA">
              <w:rPr>
                <w:rFonts w:eastAsiaTheme="minorHAnsi" w:cstheme="minorBidi"/>
                <w:sz w:val="21"/>
                <w:szCs w:val="21"/>
              </w:rPr>
              <w:t>Centre County, Pennsylvania residents (1998)</w:t>
            </w:r>
          </w:p>
        </w:tc>
        <w:tc>
          <w:tcPr>
            <w:tcW w:w="1650" w:type="dxa"/>
            <w:vAlign w:val="center"/>
          </w:tcPr>
          <w:p w14:paraId="3B4E4D77"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470</w:t>
            </w:r>
          </w:p>
        </w:tc>
        <w:tc>
          <w:tcPr>
            <w:tcW w:w="1650" w:type="dxa"/>
            <w:vAlign w:val="center"/>
          </w:tcPr>
          <w:p w14:paraId="45FEB1CF"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0</w:t>
            </w:r>
          </w:p>
        </w:tc>
        <w:tc>
          <w:tcPr>
            <w:tcW w:w="1650" w:type="dxa"/>
            <w:vAlign w:val="center"/>
          </w:tcPr>
          <w:p w14:paraId="56F83B66"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39</w:t>
            </w:r>
          </w:p>
        </w:tc>
      </w:tr>
      <w:tr w:rsidR="008227F3" w:rsidRPr="00D84DFA" w14:paraId="36A754E3" w14:textId="77777777" w:rsidTr="00467386">
        <w:trPr>
          <w:trHeight w:hRule="exact" w:val="259"/>
          <w:jc w:val="center"/>
        </w:trPr>
        <w:tc>
          <w:tcPr>
            <w:tcW w:w="4135" w:type="dxa"/>
            <w:vMerge/>
            <w:tcBorders>
              <w:bottom w:val="single" w:sz="4" w:space="0" w:color="auto"/>
            </w:tcBorders>
          </w:tcPr>
          <w:p w14:paraId="330B4E50"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p>
        </w:tc>
        <w:tc>
          <w:tcPr>
            <w:tcW w:w="1650" w:type="dxa"/>
            <w:tcBorders>
              <w:bottom w:val="single" w:sz="4" w:space="0" w:color="auto"/>
            </w:tcBorders>
            <w:vAlign w:val="center"/>
          </w:tcPr>
          <w:p w14:paraId="53C8215D"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288</w:t>
            </w:r>
          </w:p>
        </w:tc>
        <w:tc>
          <w:tcPr>
            <w:tcW w:w="1650" w:type="dxa"/>
            <w:tcBorders>
              <w:bottom w:val="single" w:sz="4" w:space="0" w:color="auto"/>
            </w:tcBorders>
            <w:vAlign w:val="center"/>
          </w:tcPr>
          <w:p w14:paraId="3FB4BF82" w14:textId="77777777" w:rsidR="008227F3" w:rsidRPr="00D84DFA" w:rsidRDefault="008227F3" w:rsidP="00467386">
            <w:pPr>
              <w:widowControl/>
              <w:tabs>
                <w:tab w:val="left" w:pos="720"/>
              </w:tabs>
              <w:autoSpaceDE/>
              <w:autoSpaceDN/>
              <w:adjustRightInd/>
              <w:spacing w:after="160"/>
              <w:ind w:left="313"/>
              <w:contextualSpacing/>
              <w:rPr>
                <w:rFonts w:eastAsiaTheme="minorHAnsi" w:cstheme="minorBidi"/>
                <w:sz w:val="21"/>
                <w:szCs w:val="21"/>
              </w:rPr>
            </w:pPr>
            <w:r w:rsidRPr="00D84DFA">
              <w:rPr>
                <w:rFonts w:eastAsiaTheme="minorHAnsi" w:cstheme="minorBidi"/>
                <w:sz w:val="21"/>
                <w:szCs w:val="21"/>
              </w:rPr>
              <w:t>2 Bill</w:t>
            </w:r>
          </w:p>
        </w:tc>
        <w:tc>
          <w:tcPr>
            <w:tcW w:w="1650" w:type="dxa"/>
            <w:tcBorders>
              <w:bottom w:val="single" w:sz="4" w:space="0" w:color="auto"/>
            </w:tcBorders>
            <w:vAlign w:val="center"/>
          </w:tcPr>
          <w:p w14:paraId="1423A616" w14:textId="77777777" w:rsidR="008227F3" w:rsidRPr="00D84DFA" w:rsidRDefault="008227F3" w:rsidP="00467386">
            <w:pPr>
              <w:widowControl/>
              <w:tabs>
                <w:tab w:val="left" w:pos="720"/>
              </w:tabs>
              <w:autoSpaceDE/>
              <w:autoSpaceDN/>
              <w:adjustRightInd/>
              <w:spacing w:after="160"/>
              <w:contextualSpacing/>
              <w:jc w:val="center"/>
              <w:rPr>
                <w:rFonts w:eastAsiaTheme="minorHAnsi" w:cstheme="minorBidi"/>
                <w:sz w:val="21"/>
                <w:szCs w:val="21"/>
              </w:rPr>
            </w:pPr>
            <w:r w:rsidRPr="00D84DFA">
              <w:rPr>
                <w:rFonts w:eastAsiaTheme="minorHAnsi" w:cstheme="minorBidi"/>
                <w:sz w:val="21"/>
                <w:szCs w:val="21"/>
              </w:rPr>
              <w:t>62</w:t>
            </w:r>
          </w:p>
        </w:tc>
      </w:tr>
      <w:tr w:rsidR="008227F3" w:rsidRPr="00D84DFA" w14:paraId="0D24EB46" w14:textId="77777777" w:rsidTr="00467386">
        <w:trPr>
          <w:trHeight w:hRule="exact" w:val="288"/>
          <w:jc w:val="center"/>
        </w:trPr>
        <w:tc>
          <w:tcPr>
            <w:tcW w:w="9085" w:type="dxa"/>
            <w:gridSpan w:val="4"/>
          </w:tcPr>
          <w:p w14:paraId="4C705976" w14:textId="77777777" w:rsidR="008227F3" w:rsidRPr="00D84DFA" w:rsidRDefault="008227F3" w:rsidP="00467386">
            <w:pPr>
              <w:widowControl/>
              <w:tabs>
                <w:tab w:val="left" w:pos="720"/>
              </w:tabs>
              <w:autoSpaceDE/>
              <w:autoSpaceDN/>
              <w:adjustRightInd/>
              <w:spacing w:after="160"/>
              <w:contextualSpacing/>
              <w:rPr>
                <w:rFonts w:eastAsiaTheme="minorHAnsi" w:cstheme="minorBidi"/>
                <w:sz w:val="21"/>
                <w:szCs w:val="21"/>
              </w:rPr>
            </w:pPr>
            <w:r w:rsidRPr="00D84DFA">
              <w:rPr>
                <w:rFonts w:eastAsiaTheme="minorHAnsi" w:cstheme="minorBidi"/>
                <w:sz w:val="21"/>
                <w:szCs w:val="21"/>
              </w:rPr>
              <w:t xml:space="preserve">Notes: This table is reprinted from </w:t>
            </w:r>
            <w:r w:rsidRPr="00D84DFA">
              <w:rPr>
                <w:rFonts w:eastAsiaTheme="minorHAnsi" w:cstheme="minorBidi"/>
                <w:sz w:val="21"/>
                <w:szCs w:val="21"/>
              </w:rPr>
              <w:fldChar w:fldCharType="begin" w:fldLock="1"/>
            </w:r>
            <w:r w:rsidRPr="00D84DFA">
              <w:rPr>
                <w:rFonts w:eastAsiaTheme="minorHAnsi" w:cstheme="minorBidi"/>
                <w:sz w:val="21"/>
                <w:szCs w:val="21"/>
              </w:rPr>
              <w:instrText>ADDIN CSL_CITATION {"citationItems":[{"id":"ITEM-1","itemData":{"author":[{"dropping-particle":"","family":"Dillman","given":"Donald A.","non-dropping-particle":"","parse-names":false,"suffix":""},{"dropping-particle":"","family":"Smyth","given":"Jolene D.","non-dropping-particle":"","parse-names":false,"suffix":""},{"dropping-particle":"","family":"Christian","given":"Leah M.","non-dropping-particle":"","parse-names":false,"suffix":""}],"edition":"3rd","id":"ITEM-1","issued":{"date-parts":[["2009"]]},"publisher":"Wiley","publisher-place":"New York","title":"Internet, Mail, and Mixed-Mode Surveys: The Tailored Design Method","type":"book"},"uris":["http://www.mendeley.com/documents/?uuid=c940be88-54b4-4968-8c29-bd8375eda6f7"]}],"mendeley":{"formattedCitation":"(Dillman, Smyth, and Christian 2009)","manualFormatting":"Dillman et al. (2009)","plainTextFormattedCitation":"(Dillman, Smyth, and Christian 2009)","previouslyFormattedCitation":"(Dillman, Smyth, and Christian 2009)"},"properties":{"noteIndex":0},"schema":"https://github.com/citation-style-language/schema/raw/master/csl-citation.json"}</w:instrText>
            </w:r>
            <w:r w:rsidRPr="00D84DFA">
              <w:rPr>
                <w:rFonts w:eastAsiaTheme="minorHAnsi" w:cstheme="minorBidi"/>
                <w:sz w:val="21"/>
                <w:szCs w:val="21"/>
              </w:rPr>
              <w:fldChar w:fldCharType="separate"/>
            </w:r>
            <w:r w:rsidRPr="00D84DFA">
              <w:rPr>
                <w:rFonts w:eastAsiaTheme="minorHAnsi" w:cstheme="minorBidi"/>
                <w:noProof/>
                <w:sz w:val="21"/>
                <w:szCs w:val="21"/>
              </w:rPr>
              <w:t>Dillman et al. (2009)</w:t>
            </w:r>
            <w:r w:rsidRPr="00D84DFA">
              <w:rPr>
                <w:rFonts w:eastAsiaTheme="minorHAnsi" w:cstheme="minorBidi"/>
                <w:sz w:val="21"/>
                <w:szCs w:val="21"/>
              </w:rPr>
              <w:fldChar w:fldCharType="end"/>
            </w:r>
            <w:r w:rsidRPr="00D84DFA">
              <w:rPr>
                <w:rFonts w:eastAsiaTheme="minorHAnsi" w:cstheme="minorBidi"/>
                <w:sz w:val="21"/>
                <w:szCs w:val="21"/>
              </w:rPr>
              <w:t xml:space="preserve">. Original Source: </w:t>
            </w:r>
            <w:r w:rsidRPr="00D84DFA">
              <w:rPr>
                <w:rFonts w:eastAsiaTheme="minorHAnsi" w:cstheme="minorBidi"/>
                <w:sz w:val="21"/>
                <w:szCs w:val="21"/>
              </w:rPr>
              <w:fldChar w:fldCharType="begin" w:fldLock="1"/>
            </w:r>
            <w:r w:rsidRPr="00D84DFA">
              <w:rPr>
                <w:rFonts w:eastAsiaTheme="minorHAnsi" w:cstheme="minorBidi"/>
                <w:sz w:val="21"/>
                <w:szCs w:val="21"/>
              </w:rPr>
              <w:instrText>ADDIN CSL_CITATION {"citationItems":[{"id":"ITEM-1","itemData":{"author":[{"dropping-particle":"","family":"Lesser","given":"Virginia M.","non-dropping-particle":"","parse-names":false,"suffix":""},{"dropping-particle":"","family":"Dillman","given":"Don A.","non-dropping-particle":"","parse-names":false,"suffix":""},{"dropping-particle":"","family":"Carlson","given":"John","non-dropping-particle":"","parse-names":false,"suffix":""},{"dropping-particle":"","family":"Lorenz","given":"Frederick","non-dropping-particle":"","parse-names":false,"suffix":""},{"dropping-particle":"","family":"Mason","given":"Robert","non-dropping-particle":"","parse-names":false,"suffix":""},{"dropping-particle":"","family":"Willits","given":"Fern","non-dropping-particle":"","parse-names":false,"suffix":""}],"id":"ITEM-1","issued":{"date-parts":[["2001"]]},"publisher-place":"Atlanta, GA","title":"Quantifying the influence of incentives on mail survey response rates and nonresponse bias","type":"report"},"uris":["http://www.mendeley.com/documents/?uuid=9eda6046-d829-4dc5-abe7-8f68dcb68827","http://www.mendeley.com/documents/?uuid=cac436f0-17e6-4046-a10c-9ed413e00b9f"]}],"mendeley":{"formattedCitation":"(Lesser et al. 2001)","manualFormatting":"Lesser et al. (2001)","plainTextFormattedCitation":"(Lesser et al. 2001)","previouslyFormattedCitation":"(Lesser et al. 2001)"},"properties":{"noteIndex":0},"schema":"https://github.com/citation-style-language/schema/raw/master/csl-citation.json"}</w:instrText>
            </w:r>
            <w:r w:rsidRPr="00D84DFA">
              <w:rPr>
                <w:rFonts w:eastAsiaTheme="minorHAnsi" w:cstheme="minorBidi"/>
                <w:sz w:val="21"/>
                <w:szCs w:val="21"/>
              </w:rPr>
              <w:fldChar w:fldCharType="separate"/>
            </w:r>
            <w:r w:rsidRPr="00D84DFA">
              <w:rPr>
                <w:rFonts w:eastAsiaTheme="minorHAnsi" w:cstheme="minorBidi"/>
                <w:noProof/>
                <w:sz w:val="21"/>
                <w:szCs w:val="21"/>
              </w:rPr>
              <w:t>Lesser et al. (2001)</w:t>
            </w:r>
            <w:r w:rsidRPr="00D84DFA">
              <w:rPr>
                <w:rFonts w:eastAsiaTheme="minorHAnsi" w:cstheme="minorBidi"/>
                <w:sz w:val="21"/>
                <w:szCs w:val="21"/>
              </w:rPr>
              <w:fldChar w:fldCharType="end"/>
            </w:r>
          </w:p>
        </w:tc>
      </w:tr>
    </w:tbl>
    <w:p w14:paraId="5C628304" w14:textId="77777777" w:rsidR="008227F3" w:rsidRDefault="008227F3" w:rsidP="008227F3">
      <w:pPr>
        <w:widowControl/>
        <w:tabs>
          <w:tab w:val="left" w:pos="720"/>
        </w:tabs>
        <w:autoSpaceDE/>
        <w:autoSpaceDN/>
        <w:adjustRightInd/>
        <w:spacing w:after="160"/>
        <w:contextualSpacing/>
        <w:rPr>
          <w:rFonts w:eastAsiaTheme="minorHAnsi" w:cstheme="minorBidi"/>
          <w:sz w:val="24"/>
          <w:szCs w:val="24"/>
        </w:rPr>
      </w:pPr>
    </w:p>
    <w:p w14:paraId="6F95A580" w14:textId="013E87F8" w:rsidR="00766A25" w:rsidRDefault="008227F3" w:rsidP="008227F3">
      <w:pPr>
        <w:widowControl/>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 xml:space="preserve">The target population for the NARFS is very different from those of the studies displayed Table </w:t>
      </w:r>
      <w:r w:rsidR="00776E48">
        <w:rPr>
          <w:rFonts w:eastAsiaTheme="minorHAnsi" w:cstheme="minorBidi"/>
          <w:sz w:val="24"/>
          <w:szCs w:val="24"/>
        </w:rPr>
        <w:t>1</w:t>
      </w:r>
      <w:r w:rsidRPr="00D84DFA">
        <w:rPr>
          <w:rFonts w:eastAsiaTheme="minorHAnsi" w:cstheme="minorBidi"/>
          <w:sz w:val="24"/>
          <w:szCs w:val="24"/>
        </w:rPr>
        <w:t xml:space="preserve"> but results of recent and ongoing survey efforts directed at saltwater angler corroborate the findings. For example, the Marine Recreational Information Program Marine (MRIP) Effort Survey of anglers currently uses a $2 prepaid incentive in a mail survey because pretesting </w:t>
      </w:r>
      <w:r w:rsidR="00766A25" w:rsidRPr="00D84DFA">
        <w:rPr>
          <w:rFonts w:eastAsiaTheme="minorHAnsi" w:cstheme="minorBidi"/>
          <w:sz w:val="24"/>
          <w:szCs w:val="24"/>
        </w:rPr>
        <w:t xml:space="preserve"> (OMB Control No. 0648-0652)</w:t>
      </w:r>
      <w:r w:rsidR="00766A25">
        <w:rPr>
          <w:rFonts w:eastAsiaTheme="minorHAnsi" w:cstheme="minorBidi"/>
          <w:sz w:val="24"/>
          <w:szCs w:val="24"/>
        </w:rPr>
        <w:t xml:space="preserve"> </w:t>
      </w:r>
      <w:r w:rsidRPr="00D84DFA">
        <w:rPr>
          <w:rFonts w:eastAsiaTheme="minorHAnsi" w:cstheme="minorBidi"/>
          <w:sz w:val="24"/>
          <w:szCs w:val="24"/>
        </w:rPr>
        <w:t>found that</w:t>
      </w:r>
      <w:r w:rsidR="007275BE">
        <w:rPr>
          <w:rFonts w:eastAsiaTheme="minorHAnsi" w:cstheme="minorBidi"/>
          <w:sz w:val="24"/>
          <w:szCs w:val="24"/>
        </w:rPr>
        <w:t>,</w:t>
      </w:r>
      <w:r w:rsidR="007275BE" w:rsidRPr="007275BE">
        <w:rPr>
          <w:rFonts w:eastAsiaTheme="minorHAnsi" w:cstheme="minorBidi"/>
          <w:sz w:val="24"/>
          <w:szCs w:val="24"/>
        </w:rPr>
        <w:t xml:space="preserve"> </w:t>
      </w:r>
      <w:r w:rsidR="007275BE">
        <w:rPr>
          <w:rFonts w:eastAsiaTheme="minorHAnsi" w:cstheme="minorBidi"/>
          <w:sz w:val="24"/>
          <w:szCs w:val="24"/>
        </w:rPr>
        <w:t>relative to a no-incentive control group,</w:t>
      </w:r>
      <w:r w:rsidRPr="00D84DFA">
        <w:rPr>
          <w:rFonts w:eastAsiaTheme="minorHAnsi" w:cstheme="minorBidi"/>
          <w:sz w:val="24"/>
          <w:szCs w:val="24"/>
        </w:rPr>
        <w:t xml:space="preserve"> </w:t>
      </w:r>
      <w:r w:rsidR="00766A25">
        <w:rPr>
          <w:rFonts w:eastAsiaTheme="minorHAnsi" w:cstheme="minorBidi"/>
          <w:sz w:val="24"/>
          <w:szCs w:val="24"/>
        </w:rPr>
        <w:t>the odds of receiving a completed survey increased significantly by 63%, 93%, and 137% when ca</w:t>
      </w:r>
      <w:r w:rsidR="007275BE">
        <w:rPr>
          <w:rFonts w:eastAsiaTheme="minorHAnsi" w:cstheme="minorBidi"/>
          <w:sz w:val="24"/>
          <w:szCs w:val="24"/>
        </w:rPr>
        <w:t xml:space="preserve">sh incentives of $1, $2, and $5, respectively, </w:t>
      </w:r>
      <w:r w:rsidR="00766A25">
        <w:rPr>
          <w:rFonts w:eastAsiaTheme="minorHAnsi" w:cstheme="minorBidi"/>
          <w:sz w:val="24"/>
          <w:szCs w:val="24"/>
        </w:rPr>
        <w:t xml:space="preserve">were distributed within the survey package </w:t>
      </w:r>
      <w:r w:rsidR="00766A25">
        <w:rPr>
          <w:rFonts w:eastAsiaTheme="minorHAnsi" w:cstheme="minorBidi"/>
          <w:sz w:val="24"/>
          <w:szCs w:val="24"/>
        </w:rPr>
        <w:fldChar w:fldCharType="begin" w:fldLock="1"/>
      </w:r>
      <w:r w:rsidR="00766A25">
        <w:rPr>
          <w:rFonts w:eastAsiaTheme="minorHAnsi" w:cstheme="minorBidi"/>
          <w:sz w:val="24"/>
          <w:szCs w:val="24"/>
        </w:rPr>
        <w:instrText>ADDIN CSL_CITATION {"citationItems":[{"id":"ITEM-1","itemData":{"author":[{"dropping-particle":"","family":"Andrews","given":"Rob","non-dropping-particle":"","parse-names":false,"suffix":""},{"dropping-particle":"","family":"Brick","given":"Michael J.","non-dropping-particle":"","parse-names":false,"suffix":""},{"dropping-particle":"","family":"Mathiowetz","given":"Nancy A.","non-dropping-particle":"","parse-names":false,"suffix":""}],"id":"ITEM-1","issued":{"date-parts":[["2014"]]},"publisher-place":"National Oceanic and Atmospheric Administration, National Marine Fisheries Service, Silver Spring, MD","title":"Development and testing of recreational fishing effort surveys","type":"report"},"uris":["http://www.mendeley.com/documents/?uuid=f5f02a21-044c-4e7c-bfbb-659944c2f630"]}],"mendeley":{"formattedCitation":"(Andrews, Brick, and Mathiowetz 2014)","manualFormatting":"(Andrews et al. 2014)","plainTextFormattedCitation":"(Andrews, Brick, and Mathiowetz 2014)","previouslyFormattedCitation":"(Andrews, Brick, and Mathiowetz 2014)"},"properties":{"noteIndex":0},"schema":"https://github.com/citation-style-language/schema/raw/master/csl-citation.json"}</w:instrText>
      </w:r>
      <w:r w:rsidR="00766A25">
        <w:rPr>
          <w:rFonts w:eastAsiaTheme="minorHAnsi" w:cstheme="minorBidi"/>
          <w:sz w:val="24"/>
          <w:szCs w:val="24"/>
        </w:rPr>
        <w:fldChar w:fldCharType="separate"/>
      </w:r>
      <w:r w:rsidR="00766A25">
        <w:rPr>
          <w:rFonts w:eastAsiaTheme="minorHAnsi" w:cstheme="minorBidi"/>
          <w:noProof/>
          <w:sz w:val="24"/>
          <w:szCs w:val="24"/>
        </w:rPr>
        <w:t>(Andrews</w:t>
      </w:r>
      <w:r w:rsidR="00766A25" w:rsidRPr="00766A25">
        <w:rPr>
          <w:rFonts w:eastAsiaTheme="minorHAnsi" w:cstheme="minorBidi"/>
          <w:noProof/>
          <w:sz w:val="24"/>
          <w:szCs w:val="24"/>
        </w:rPr>
        <w:t xml:space="preserve"> </w:t>
      </w:r>
      <w:r w:rsidR="00766A25">
        <w:rPr>
          <w:rFonts w:eastAsiaTheme="minorHAnsi" w:cstheme="minorBidi"/>
          <w:noProof/>
          <w:sz w:val="24"/>
          <w:szCs w:val="24"/>
        </w:rPr>
        <w:t>et al.</w:t>
      </w:r>
      <w:r w:rsidR="00766A25" w:rsidRPr="00766A25">
        <w:rPr>
          <w:rFonts w:eastAsiaTheme="minorHAnsi" w:cstheme="minorBidi"/>
          <w:noProof/>
          <w:sz w:val="24"/>
          <w:szCs w:val="24"/>
        </w:rPr>
        <w:t xml:space="preserve"> 2014)</w:t>
      </w:r>
      <w:r w:rsidR="00766A25">
        <w:rPr>
          <w:rFonts w:eastAsiaTheme="minorHAnsi" w:cstheme="minorBidi"/>
          <w:sz w:val="24"/>
          <w:szCs w:val="24"/>
        </w:rPr>
        <w:fldChar w:fldCharType="end"/>
      </w:r>
      <w:r w:rsidR="00766A25">
        <w:rPr>
          <w:rFonts w:eastAsiaTheme="minorHAnsi" w:cstheme="minorBidi"/>
          <w:sz w:val="24"/>
          <w:szCs w:val="24"/>
        </w:rPr>
        <w:t>. The authors note that “</w:t>
      </w:r>
      <w:r w:rsidR="00766A25">
        <w:rPr>
          <w:sz w:val="23"/>
          <w:szCs w:val="23"/>
        </w:rPr>
        <w:t>including a $1 or $2 cash incentive in the initial survey mailing actually decreased the cost of receiving a completed survey by 22% and 20%, respectively. These cost savings, which are conservative, could be used to lower overall data collection costs (for a fixed sample size) or increase the precision of survey estimates (for a fixed cost).”</w:t>
      </w:r>
    </w:p>
    <w:p w14:paraId="723EACD5" w14:textId="77777777" w:rsidR="008227F3" w:rsidRPr="00D84DFA" w:rsidRDefault="008227F3" w:rsidP="008227F3">
      <w:pPr>
        <w:widowControl/>
        <w:tabs>
          <w:tab w:val="left" w:pos="720"/>
        </w:tabs>
        <w:autoSpaceDE/>
        <w:autoSpaceDN/>
        <w:adjustRightInd/>
        <w:spacing w:after="160"/>
        <w:contextualSpacing/>
        <w:rPr>
          <w:rFonts w:eastAsiaTheme="minorHAnsi" w:cstheme="minorBidi"/>
          <w:sz w:val="24"/>
          <w:szCs w:val="24"/>
        </w:rPr>
      </w:pPr>
    </w:p>
    <w:p w14:paraId="69796841" w14:textId="7C298722" w:rsidR="008227F3" w:rsidRDefault="008227F3" w:rsidP="008227F3">
      <w:pPr>
        <w:widowControl/>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Also relevant to the proposed NARFS are the results of a recently-implemented pilot test of the West Coast Saltwater Fishing Survey (WCSFS) (</w:t>
      </w:r>
      <w:r w:rsidR="004E0C75">
        <w:rPr>
          <w:rFonts w:eastAsiaTheme="minorHAnsi" w:cstheme="minorBidi"/>
          <w:sz w:val="24"/>
          <w:szCs w:val="24"/>
        </w:rPr>
        <w:fldChar w:fldCharType="begin" w:fldLock="1"/>
      </w:r>
      <w:r w:rsidR="004E0C75">
        <w:rPr>
          <w:rFonts w:eastAsiaTheme="minorHAnsi" w:cstheme="minorBidi"/>
          <w:sz w:val="24"/>
          <w:szCs w:val="24"/>
        </w:rPr>
        <w:instrText>ADDIN CSL_CITATION {"citationItems":[{"id":"ITEM-1","itemData":{"author":[{"dropping-particle":"","family":"ICF","given":"","non-dropping-particle":"","parse-names":false,"suffix":""}],"id":"ITEM-1","issued":{"date-parts":[["2018"]]},"publisher-place":"Submitted to National Marine Fisheries Service","title":"West Coast Saltwater Fishing Survey Pretest Report","type":"report"},"uris":["http://www.mendeley.com/documents/?uuid=e131be0b-c19b-4b7c-908e-a105c056a97b"]}],"mendeley":{"formattedCitation":"(ICF 2018)","manualFormatting":"ICF 2018","plainTextFormattedCitation":"(ICF 2018)","previouslyFormattedCitation":"(ICF 2018)"},"properties":{"noteIndex":0},"schema":"https://github.com/citation-style-language/schema/raw/master/csl-citation.json"}</w:instrText>
      </w:r>
      <w:r w:rsidR="004E0C75">
        <w:rPr>
          <w:rFonts w:eastAsiaTheme="minorHAnsi" w:cstheme="minorBidi"/>
          <w:sz w:val="24"/>
          <w:szCs w:val="24"/>
        </w:rPr>
        <w:fldChar w:fldCharType="separate"/>
      </w:r>
      <w:r w:rsidR="004E0C75" w:rsidRPr="004E0C75">
        <w:rPr>
          <w:rFonts w:eastAsiaTheme="minorHAnsi" w:cstheme="minorBidi"/>
          <w:noProof/>
          <w:sz w:val="24"/>
          <w:szCs w:val="24"/>
        </w:rPr>
        <w:t>ICF 2018</w:t>
      </w:r>
      <w:r w:rsidR="004E0C75">
        <w:rPr>
          <w:rFonts w:eastAsiaTheme="minorHAnsi" w:cstheme="minorBidi"/>
          <w:sz w:val="24"/>
          <w:szCs w:val="24"/>
        </w:rPr>
        <w:fldChar w:fldCharType="end"/>
      </w:r>
      <w:r w:rsidR="004E0C75">
        <w:rPr>
          <w:rFonts w:eastAsiaTheme="minorHAnsi" w:cstheme="minorBidi"/>
          <w:sz w:val="24"/>
          <w:szCs w:val="24"/>
        </w:rPr>
        <w:t xml:space="preserve">; </w:t>
      </w:r>
      <w:r w:rsidRPr="00D84DFA">
        <w:rPr>
          <w:rFonts w:eastAsiaTheme="minorHAnsi" w:cstheme="minorBidi"/>
          <w:sz w:val="24"/>
          <w:szCs w:val="24"/>
        </w:rPr>
        <w:t>OMB Control No. 0648-0750). Anglers in California, Oregon, and Washington who had saltwater fished in the last 12 months constituted the target population for the WCSFS. A random sample of 4,000 records, stratified by four regions (Northern California, Southern California, Oregon, and Washington) was drawn for the pilot test.</w:t>
      </w:r>
      <w:r>
        <w:rPr>
          <w:rFonts w:eastAsiaTheme="minorHAnsi" w:cstheme="minorBidi"/>
          <w:sz w:val="24"/>
          <w:szCs w:val="24"/>
        </w:rPr>
        <w:t xml:space="preserve"> </w:t>
      </w:r>
      <w:r w:rsidRPr="00D84DFA">
        <w:rPr>
          <w:rFonts w:eastAsiaTheme="minorHAnsi" w:cstheme="minorBidi"/>
          <w:sz w:val="24"/>
          <w:szCs w:val="24"/>
        </w:rPr>
        <w:t xml:space="preserve">The 4,000 </w:t>
      </w:r>
      <w:r>
        <w:rPr>
          <w:rFonts w:eastAsiaTheme="minorHAnsi" w:cstheme="minorBidi"/>
          <w:sz w:val="24"/>
          <w:szCs w:val="24"/>
        </w:rPr>
        <w:t>s</w:t>
      </w:r>
      <w:r w:rsidRPr="00D84DFA">
        <w:rPr>
          <w:rFonts w:eastAsiaTheme="minorHAnsi" w:cstheme="minorBidi"/>
          <w:sz w:val="24"/>
          <w:szCs w:val="24"/>
        </w:rPr>
        <w:t>ampled anglers were randomly assigned to one of three incentive levels</w:t>
      </w:r>
      <w:r>
        <w:rPr>
          <w:rFonts w:eastAsiaTheme="minorHAnsi" w:cstheme="minorBidi"/>
          <w:sz w:val="24"/>
          <w:szCs w:val="24"/>
        </w:rPr>
        <w:t xml:space="preserve"> (</w:t>
      </w:r>
      <w:r w:rsidRPr="00D84DFA">
        <w:rPr>
          <w:rFonts w:eastAsiaTheme="minorHAnsi" w:cstheme="minorBidi"/>
          <w:sz w:val="24"/>
          <w:szCs w:val="24"/>
        </w:rPr>
        <w:t>no incentive, $2</w:t>
      </w:r>
      <w:r>
        <w:rPr>
          <w:rFonts w:eastAsiaTheme="minorHAnsi" w:cstheme="minorBidi"/>
          <w:sz w:val="24"/>
          <w:szCs w:val="24"/>
        </w:rPr>
        <w:t xml:space="preserve">, </w:t>
      </w:r>
      <w:r w:rsidRPr="00D84DFA">
        <w:rPr>
          <w:rFonts w:eastAsiaTheme="minorHAnsi" w:cstheme="minorBidi"/>
          <w:sz w:val="24"/>
          <w:szCs w:val="24"/>
        </w:rPr>
        <w:t>or $5</w:t>
      </w:r>
      <w:r>
        <w:rPr>
          <w:rFonts w:eastAsiaTheme="minorHAnsi" w:cstheme="minorBidi"/>
          <w:sz w:val="24"/>
          <w:szCs w:val="24"/>
        </w:rPr>
        <w:t>)</w:t>
      </w:r>
      <w:r w:rsidRPr="00D84DFA">
        <w:rPr>
          <w:rFonts w:eastAsiaTheme="minorHAnsi" w:cstheme="minorBidi"/>
          <w:sz w:val="24"/>
          <w:szCs w:val="24"/>
        </w:rPr>
        <w:t xml:space="preserve"> mailed with the first contact.</w:t>
      </w:r>
      <w:r w:rsidR="00766A25">
        <w:rPr>
          <w:rFonts w:eastAsiaTheme="minorHAnsi" w:cstheme="minorBidi"/>
          <w:sz w:val="24"/>
          <w:szCs w:val="24"/>
        </w:rPr>
        <w:t xml:space="preserve"> </w:t>
      </w:r>
    </w:p>
    <w:p w14:paraId="71A16FA2" w14:textId="77777777" w:rsidR="008227F3" w:rsidRDefault="008227F3" w:rsidP="008227F3">
      <w:pPr>
        <w:widowControl/>
        <w:tabs>
          <w:tab w:val="left" w:pos="720"/>
        </w:tabs>
        <w:autoSpaceDE/>
        <w:autoSpaceDN/>
        <w:adjustRightInd/>
        <w:spacing w:after="160"/>
        <w:contextualSpacing/>
        <w:rPr>
          <w:rFonts w:eastAsiaTheme="minorHAnsi" w:cstheme="minorBidi"/>
          <w:sz w:val="24"/>
          <w:szCs w:val="24"/>
        </w:rPr>
      </w:pPr>
    </w:p>
    <w:p w14:paraId="59449AE0" w14:textId="353AB7DB" w:rsidR="008227F3" w:rsidRDefault="008227F3" w:rsidP="008227F3">
      <w:pPr>
        <w:widowControl/>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 xml:space="preserve">Each level of incentive significantly led to additional screener returns (Figure </w:t>
      </w:r>
      <w:r w:rsidR="00776E48">
        <w:rPr>
          <w:rFonts w:eastAsiaTheme="minorHAnsi" w:cstheme="minorBidi"/>
          <w:sz w:val="24"/>
          <w:szCs w:val="24"/>
        </w:rPr>
        <w:t>1</w:t>
      </w:r>
      <w:r w:rsidRPr="00D84DFA">
        <w:rPr>
          <w:rFonts w:eastAsiaTheme="minorHAnsi" w:cstheme="minorBidi"/>
          <w:sz w:val="24"/>
          <w:szCs w:val="24"/>
        </w:rPr>
        <w:t>). The return rate for the $0 incentive amount was 11%. Adding $2 increased the return rate by 14 percentage points to 25% (z = -9.692; p &lt; 0.001). Adding $3 more ($2 v. $5) increased completion by 4 percentage points more to 29% (z = -2.101, p = 0.036 for the comparison between $2 and $5).</w:t>
      </w:r>
      <w:r>
        <w:rPr>
          <w:rFonts w:eastAsiaTheme="minorHAnsi" w:cstheme="minorBidi"/>
          <w:sz w:val="24"/>
          <w:szCs w:val="24"/>
        </w:rPr>
        <w:t xml:space="preserve"> </w:t>
      </w:r>
      <w:r w:rsidRPr="00D84DFA">
        <w:rPr>
          <w:rFonts w:eastAsiaTheme="minorHAnsi" w:cstheme="minorBidi"/>
          <w:sz w:val="24"/>
          <w:szCs w:val="24"/>
        </w:rPr>
        <w:t xml:space="preserve">The finding </w:t>
      </w:r>
      <w:r>
        <w:rPr>
          <w:rFonts w:eastAsiaTheme="minorHAnsi" w:cstheme="minorBidi"/>
          <w:sz w:val="24"/>
          <w:szCs w:val="24"/>
        </w:rPr>
        <w:t xml:space="preserve">further </w:t>
      </w:r>
      <w:r w:rsidRPr="00D84DFA">
        <w:rPr>
          <w:rFonts w:eastAsiaTheme="minorHAnsi" w:cstheme="minorBidi"/>
          <w:sz w:val="24"/>
          <w:szCs w:val="24"/>
        </w:rPr>
        <w:t>warrant</w:t>
      </w:r>
      <w:r>
        <w:rPr>
          <w:rFonts w:eastAsiaTheme="minorHAnsi" w:cstheme="minorBidi"/>
          <w:sz w:val="24"/>
          <w:szCs w:val="24"/>
        </w:rPr>
        <w:t>s</w:t>
      </w:r>
      <w:r w:rsidRPr="00D84DFA">
        <w:rPr>
          <w:rFonts w:eastAsiaTheme="minorHAnsi" w:cstheme="minorBidi"/>
          <w:sz w:val="24"/>
          <w:szCs w:val="24"/>
        </w:rPr>
        <w:t xml:space="preserve"> including a $2 incentive in </w:t>
      </w:r>
      <w:r w:rsidR="004E0C75">
        <w:rPr>
          <w:rFonts w:eastAsiaTheme="minorHAnsi" w:cstheme="minorBidi"/>
          <w:sz w:val="24"/>
          <w:szCs w:val="24"/>
        </w:rPr>
        <w:t>some mail correspondences during</w:t>
      </w:r>
      <w:r w:rsidRPr="00D84DFA">
        <w:rPr>
          <w:rFonts w:eastAsiaTheme="minorHAnsi" w:cstheme="minorBidi"/>
          <w:sz w:val="24"/>
          <w:szCs w:val="24"/>
        </w:rPr>
        <w:t xml:space="preserve"> the NARFS</w:t>
      </w:r>
      <w:r>
        <w:rPr>
          <w:rFonts w:eastAsiaTheme="minorHAnsi" w:cstheme="minorBidi"/>
          <w:sz w:val="24"/>
          <w:szCs w:val="24"/>
        </w:rPr>
        <w:t xml:space="preserve"> sampling procedure</w:t>
      </w:r>
      <w:r w:rsidR="00776E48">
        <w:rPr>
          <w:rFonts w:eastAsiaTheme="minorHAnsi" w:cstheme="minorBidi"/>
          <w:sz w:val="24"/>
          <w:szCs w:val="24"/>
        </w:rPr>
        <w:t>, discussed in detail in our response to question B3.</w:t>
      </w:r>
      <w:r w:rsidRPr="00D84DFA">
        <w:rPr>
          <w:rFonts w:eastAsiaTheme="minorHAnsi" w:cstheme="minorBidi"/>
          <w:sz w:val="24"/>
          <w:szCs w:val="24"/>
        </w:rPr>
        <w:t xml:space="preserve"> </w:t>
      </w:r>
    </w:p>
    <w:p w14:paraId="37F67B7C" w14:textId="77777777" w:rsidR="008227F3" w:rsidRPr="00D84DFA" w:rsidRDefault="008227F3" w:rsidP="008227F3">
      <w:pPr>
        <w:widowControl/>
        <w:tabs>
          <w:tab w:val="left" w:pos="720"/>
        </w:tabs>
        <w:autoSpaceDE/>
        <w:autoSpaceDN/>
        <w:adjustRightInd/>
        <w:spacing w:after="160"/>
        <w:contextualSpacing/>
        <w:rPr>
          <w:rFonts w:eastAsiaTheme="minorHAnsi" w:cstheme="minorBidi"/>
          <w:sz w:val="24"/>
          <w:szCs w:val="24"/>
        </w:rPr>
      </w:pPr>
    </w:p>
    <w:p w14:paraId="76FEA049" w14:textId="77777777" w:rsidR="004E0C75" w:rsidRDefault="004E0C75" w:rsidP="00F9028B">
      <w:pPr>
        <w:contextualSpacing/>
        <w:rPr>
          <w:sz w:val="24"/>
          <w:szCs w:val="24"/>
        </w:rPr>
      </w:pPr>
    </w:p>
    <w:p w14:paraId="237A3458" w14:textId="77777777" w:rsidR="004E0C75" w:rsidRDefault="004E0C75" w:rsidP="00F9028B">
      <w:pPr>
        <w:contextualSpacing/>
        <w:rPr>
          <w:sz w:val="24"/>
          <w:szCs w:val="24"/>
        </w:rPr>
      </w:pPr>
    </w:p>
    <w:p w14:paraId="71533BED" w14:textId="0250B654" w:rsidR="004E0C75" w:rsidRDefault="004E0C75" w:rsidP="00F9028B">
      <w:pPr>
        <w:contextualSpacing/>
        <w:rPr>
          <w:sz w:val="24"/>
          <w:szCs w:val="24"/>
        </w:rPr>
      </w:pPr>
      <w:r>
        <w:rPr>
          <w:noProof/>
          <w:sz w:val="24"/>
          <w:szCs w:val="24"/>
        </w:rPr>
        <w:drawing>
          <wp:anchor distT="0" distB="0" distL="114300" distR="114300" simplePos="0" relativeHeight="251659264" behindDoc="0" locked="0" layoutInCell="1" allowOverlap="1" wp14:anchorId="5426889D" wp14:editId="67B2D8E6">
            <wp:simplePos x="0" y="0"/>
            <wp:positionH relativeFrom="column">
              <wp:posOffset>1203960</wp:posOffset>
            </wp:positionH>
            <wp:positionV relativeFrom="paragraph">
              <wp:posOffset>121920</wp:posOffset>
            </wp:positionV>
            <wp:extent cx="3535045" cy="2468658"/>
            <wp:effectExtent l="0" t="0" r="8255" b="825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35045" cy="2468658"/>
                    </a:xfrm>
                    <a:prstGeom prst="rect">
                      <a:avLst/>
                    </a:prstGeom>
                  </pic:spPr>
                </pic:pic>
              </a:graphicData>
            </a:graphic>
          </wp:anchor>
        </w:drawing>
      </w:r>
    </w:p>
    <w:p w14:paraId="7EEF0218" w14:textId="6CC06CBA" w:rsidR="004E0C75" w:rsidRDefault="004E0C75" w:rsidP="004E0C75">
      <w:pPr>
        <w:contextualSpacing/>
        <w:jc w:val="center"/>
        <w:rPr>
          <w:sz w:val="24"/>
          <w:szCs w:val="24"/>
        </w:rPr>
      </w:pPr>
      <w:r>
        <w:rPr>
          <w:sz w:val="24"/>
          <w:szCs w:val="24"/>
        </w:rPr>
        <w:t xml:space="preserve">Figure 1. The Effect of Incentive on Screener Completion </w:t>
      </w:r>
      <w:r>
        <w:rPr>
          <w:sz w:val="24"/>
          <w:szCs w:val="24"/>
        </w:rPr>
        <w:fldChar w:fldCharType="begin" w:fldLock="1"/>
      </w:r>
      <w:r w:rsidR="00EE6B4A">
        <w:rPr>
          <w:sz w:val="24"/>
          <w:szCs w:val="24"/>
        </w:rPr>
        <w:instrText>ADDIN CSL_CITATION {"citationItems":[{"id":"ITEM-1","itemData":{"author":[{"dropping-particle":"","family":"ICF","given":"","non-dropping-particle":"","parse-names":false,"suffix":""}],"id":"ITEM-1","issued":{"date-parts":[["2018"]]},"publisher-place":"Submitted to National Marine Fisheries Service","title":"West Coast Saltwater Fishing Survey Pretest Report","type":"report"},"uris":["http://www.mendeley.com/documents/?uuid=e131be0b-c19b-4b7c-908e-a105c056a97b"]}],"mendeley":{"formattedCitation":"(ICF 2018)","plainTextFormattedCitation":"(ICF 2018)","previouslyFormattedCitation":"(ICF 2018)"},"properties":{"noteIndex":0},"schema":"https://github.com/citation-style-language/schema/raw/master/csl-citation.json"}</w:instrText>
      </w:r>
      <w:r>
        <w:rPr>
          <w:sz w:val="24"/>
          <w:szCs w:val="24"/>
        </w:rPr>
        <w:fldChar w:fldCharType="separate"/>
      </w:r>
      <w:r w:rsidRPr="004E0C75">
        <w:rPr>
          <w:noProof/>
          <w:sz w:val="24"/>
          <w:szCs w:val="24"/>
        </w:rPr>
        <w:t>(ICF 2018)</w:t>
      </w:r>
      <w:r>
        <w:rPr>
          <w:sz w:val="24"/>
          <w:szCs w:val="24"/>
        </w:rPr>
        <w:fldChar w:fldCharType="end"/>
      </w:r>
    </w:p>
    <w:p w14:paraId="1CE592FA" w14:textId="6D12D34F" w:rsidR="004E0C75" w:rsidRDefault="004E0C75" w:rsidP="00F9028B">
      <w:pPr>
        <w:contextualSpacing/>
        <w:rPr>
          <w:sz w:val="24"/>
          <w:szCs w:val="24"/>
        </w:rPr>
      </w:pPr>
    </w:p>
    <w:p w14:paraId="06416E9F" w14:textId="77777777" w:rsidR="00304CA0" w:rsidRDefault="00304CA0" w:rsidP="00F9028B">
      <w:pPr>
        <w:contextualSpacing/>
        <w:rPr>
          <w:sz w:val="24"/>
          <w:szCs w:val="24"/>
        </w:rPr>
      </w:pPr>
    </w:p>
    <w:p w14:paraId="5CEE2263" w14:textId="08558A83" w:rsidR="00583309" w:rsidRPr="00E12028" w:rsidRDefault="00583309" w:rsidP="0094229B">
      <w:pPr>
        <w:pStyle w:val="Style2"/>
      </w:pPr>
      <w:r w:rsidRPr="00E12028">
        <w:t>Describe any assurance of confidentiality provided to respondents and the basis for assurance in statute, regulation, or agency policy.</w:t>
      </w:r>
    </w:p>
    <w:p w14:paraId="36AA1E7C" w14:textId="77777777" w:rsidR="00583309" w:rsidRDefault="00583309" w:rsidP="00F9028B">
      <w:pPr>
        <w:contextualSpacing/>
        <w:rPr>
          <w:sz w:val="24"/>
          <w:szCs w:val="24"/>
        </w:rPr>
      </w:pPr>
    </w:p>
    <w:p w14:paraId="376051D1" w14:textId="59C2C30F" w:rsidR="00BB2BC6" w:rsidRDefault="00C301EC" w:rsidP="00E12028">
      <w:pPr>
        <w:contextualSpacing/>
        <w:rPr>
          <w:sz w:val="24"/>
          <w:szCs w:val="24"/>
        </w:rPr>
      </w:pPr>
      <w:r w:rsidRPr="00C93614">
        <w:rPr>
          <w:sz w:val="24"/>
          <w:szCs w:val="24"/>
        </w:rPr>
        <w:t xml:space="preserve">Our sample frame </w:t>
      </w:r>
      <w:r>
        <w:rPr>
          <w:sz w:val="24"/>
          <w:szCs w:val="24"/>
        </w:rPr>
        <w:t>will be drawn by an outside contractor from</w:t>
      </w:r>
      <w:r w:rsidRPr="00C93614">
        <w:rPr>
          <w:sz w:val="24"/>
          <w:szCs w:val="24"/>
        </w:rPr>
        <w:t xml:space="preserve"> </w:t>
      </w:r>
      <w:r>
        <w:rPr>
          <w:sz w:val="24"/>
          <w:szCs w:val="24"/>
        </w:rPr>
        <w:t xml:space="preserve">2018 </w:t>
      </w:r>
      <w:r w:rsidRPr="00C93614">
        <w:rPr>
          <w:sz w:val="24"/>
          <w:szCs w:val="24"/>
        </w:rPr>
        <w:t>recreational fishing license/registry databases maintained by the states of Maine, N</w:t>
      </w:r>
      <w:r>
        <w:rPr>
          <w:sz w:val="24"/>
          <w:szCs w:val="24"/>
        </w:rPr>
        <w:t xml:space="preserve">ew Hampshire, and Massachusetts. Prior to receiving these license databases, the contractor will provide a signed agreement of access and a confidentiality agreement. </w:t>
      </w:r>
      <w:r w:rsidRPr="00C301EC">
        <w:rPr>
          <w:sz w:val="24"/>
          <w:szCs w:val="24"/>
        </w:rPr>
        <w:t xml:space="preserve">The information in the </w:t>
      </w:r>
      <w:r>
        <w:rPr>
          <w:sz w:val="24"/>
          <w:szCs w:val="24"/>
        </w:rPr>
        <w:t>license database and sample frame</w:t>
      </w:r>
      <w:r w:rsidRPr="00C301EC">
        <w:rPr>
          <w:sz w:val="24"/>
          <w:szCs w:val="24"/>
        </w:rPr>
        <w:t xml:space="preserve"> is covered under the Privacy Act System of Records COMMERCE/NOAA-11, Contact Information for Members of the Public Requesting and Providing Inform</w:t>
      </w:r>
      <w:r>
        <w:rPr>
          <w:sz w:val="24"/>
          <w:szCs w:val="24"/>
        </w:rPr>
        <w:t xml:space="preserve">ation Related to NOAA’s Mission. </w:t>
      </w:r>
      <w:r w:rsidR="00583309" w:rsidRPr="000D71A0">
        <w:rPr>
          <w:sz w:val="24"/>
          <w:szCs w:val="24"/>
        </w:rPr>
        <w:t xml:space="preserve">To support the </w:t>
      </w:r>
      <w:r w:rsidR="00583309">
        <w:rPr>
          <w:sz w:val="24"/>
          <w:szCs w:val="24"/>
        </w:rPr>
        <w:t>anonymity</w:t>
      </w:r>
      <w:r w:rsidR="00583309" w:rsidRPr="000D71A0">
        <w:rPr>
          <w:sz w:val="24"/>
          <w:szCs w:val="24"/>
        </w:rPr>
        <w:t xml:space="preserve"> of this research, no participant names will be included on the survey document. Participant names will be tracked in a separate database </w:t>
      </w:r>
      <w:r w:rsidR="00583309">
        <w:rPr>
          <w:sz w:val="24"/>
          <w:szCs w:val="24"/>
        </w:rPr>
        <w:t>to</w:t>
      </w:r>
      <w:r w:rsidR="00583309" w:rsidRPr="000D71A0">
        <w:rPr>
          <w:sz w:val="24"/>
          <w:szCs w:val="24"/>
        </w:rPr>
        <w:t xml:space="preserve"> code participants for protection during data analysis, confirm receipt of a survey from each individual, and avoid of duplication of responses.</w:t>
      </w:r>
      <w:r w:rsidR="00BB2BC6">
        <w:rPr>
          <w:sz w:val="24"/>
          <w:szCs w:val="24"/>
        </w:rPr>
        <w:t xml:space="preserve"> The </w:t>
      </w:r>
      <w:r w:rsidR="00CA0835">
        <w:rPr>
          <w:sz w:val="24"/>
          <w:szCs w:val="24"/>
        </w:rPr>
        <w:t>NARFS</w:t>
      </w:r>
      <w:r w:rsidR="00BB2BC6">
        <w:rPr>
          <w:sz w:val="24"/>
          <w:szCs w:val="24"/>
        </w:rPr>
        <w:t xml:space="preserve"> will</w:t>
      </w:r>
      <w:r w:rsidR="000D1B0B">
        <w:rPr>
          <w:sz w:val="24"/>
          <w:szCs w:val="24"/>
        </w:rPr>
        <w:t xml:space="preserve"> </w:t>
      </w:r>
      <w:r w:rsidR="00ED4A71">
        <w:rPr>
          <w:sz w:val="24"/>
          <w:szCs w:val="24"/>
        </w:rPr>
        <w:t>contain</w:t>
      </w:r>
      <w:r w:rsidR="000D1B0B">
        <w:rPr>
          <w:sz w:val="24"/>
          <w:szCs w:val="24"/>
        </w:rPr>
        <w:t xml:space="preserve"> written text</w:t>
      </w:r>
      <w:r w:rsidR="00BB2BC6">
        <w:rPr>
          <w:sz w:val="24"/>
          <w:szCs w:val="24"/>
        </w:rPr>
        <w:t xml:space="preserve"> inform</w:t>
      </w:r>
      <w:r w:rsidR="000D1B0B">
        <w:rPr>
          <w:sz w:val="24"/>
          <w:szCs w:val="24"/>
        </w:rPr>
        <w:t>ing</w:t>
      </w:r>
      <w:r w:rsidR="00BB2BC6">
        <w:rPr>
          <w:sz w:val="24"/>
          <w:szCs w:val="24"/>
        </w:rPr>
        <w:t xml:space="preserve"> participants </w:t>
      </w:r>
      <w:r w:rsidR="00620C54">
        <w:rPr>
          <w:sz w:val="24"/>
          <w:szCs w:val="24"/>
        </w:rPr>
        <w:t>of the confidential and voluntary nature of</w:t>
      </w:r>
      <w:r w:rsidR="00BB2BC6">
        <w:rPr>
          <w:sz w:val="24"/>
          <w:szCs w:val="24"/>
        </w:rPr>
        <w:t xml:space="preserve"> their </w:t>
      </w:r>
      <w:r w:rsidR="000D1B0B">
        <w:rPr>
          <w:sz w:val="24"/>
          <w:szCs w:val="24"/>
        </w:rPr>
        <w:t>response</w:t>
      </w:r>
      <w:r w:rsidR="00BB2BC6">
        <w:rPr>
          <w:sz w:val="24"/>
          <w:szCs w:val="24"/>
        </w:rPr>
        <w:t xml:space="preserve">. </w:t>
      </w:r>
    </w:p>
    <w:p w14:paraId="45FBBD1C" w14:textId="77777777" w:rsidR="00E12028" w:rsidRDefault="00E12028" w:rsidP="00E12028">
      <w:pPr>
        <w:contextualSpacing/>
        <w:rPr>
          <w:sz w:val="24"/>
          <w:szCs w:val="24"/>
        </w:rPr>
      </w:pPr>
    </w:p>
    <w:p w14:paraId="0A38D497" w14:textId="0419B07A" w:rsidR="00583309" w:rsidRPr="000D71A0" w:rsidRDefault="00620C54" w:rsidP="00E12028">
      <w:pPr>
        <w:contextualSpacing/>
        <w:rPr>
          <w:sz w:val="24"/>
          <w:szCs w:val="24"/>
        </w:rPr>
      </w:pPr>
      <w:r w:rsidRPr="00620C54">
        <w:rPr>
          <w:sz w:val="24"/>
          <w:szCs w:val="24"/>
        </w:rPr>
        <w:t>Prior to providing deliverable</w:t>
      </w:r>
      <w:r>
        <w:rPr>
          <w:sz w:val="24"/>
          <w:szCs w:val="24"/>
        </w:rPr>
        <w:t>s</w:t>
      </w:r>
      <w:r w:rsidRPr="00620C54">
        <w:rPr>
          <w:sz w:val="24"/>
          <w:szCs w:val="24"/>
        </w:rPr>
        <w:t xml:space="preserve">, </w:t>
      </w:r>
      <w:r>
        <w:rPr>
          <w:sz w:val="24"/>
          <w:szCs w:val="24"/>
        </w:rPr>
        <w:t xml:space="preserve">the agency contracted by the NEFSC to conduct the </w:t>
      </w:r>
      <w:r w:rsidR="00CA0835">
        <w:rPr>
          <w:sz w:val="24"/>
          <w:szCs w:val="24"/>
        </w:rPr>
        <w:t>NARFS</w:t>
      </w:r>
      <w:r w:rsidR="004B3D0F">
        <w:rPr>
          <w:sz w:val="24"/>
          <w:szCs w:val="24"/>
        </w:rPr>
        <w:t xml:space="preserve"> will</w:t>
      </w:r>
      <w:r>
        <w:rPr>
          <w:sz w:val="24"/>
          <w:szCs w:val="24"/>
        </w:rPr>
        <w:t xml:space="preserve"> </w:t>
      </w:r>
      <w:r w:rsidRPr="00620C54">
        <w:rPr>
          <w:sz w:val="24"/>
          <w:szCs w:val="24"/>
        </w:rPr>
        <w:t xml:space="preserve">delete from the data all personal </w:t>
      </w:r>
      <w:r>
        <w:rPr>
          <w:sz w:val="24"/>
          <w:szCs w:val="24"/>
        </w:rPr>
        <w:t>information</w:t>
      </w:r>
      <w:r w:rsidRPr="00620C54">
        <w:rPr>
          <w:sz w:val="24"/>
          <w:szCs w:val="24"/>
        </w:rPr>
        <w:t xml:space="preserve"> such as name, street address, and phone number </w:t>
      </w:r>
      <w:r>
        <w:rPr>
          <w:sz w:val="24"/>
          <w:szCs w:val="24"/>
        </w:rPr>
        <w:t xml:space="preserve">such that the NEFSC cannot link this information to any individual. </w:t>
      </w:r>
    </w:p>
    <w:p w14:paraId="155BB75C" w14:textId="77777777" w:rsidR="00E12028" w:rsidRDefault="00E12028" w:rsidP="00E12028">
      <w:pPr>
        <w:contextualSpacing/>
        <w:rPr>
          <w:sz w:val="24"/>
          <w:szCs w:val="24"/>
        </w:rPr>
      </w:pPr>
    </w:p>
    <w:p w14:paraId="5E3E72E4" w14:textId="2EFF5B3B" w:rsidR="00583309" w:rsidRPr="000D71A0" w:rsidRDefault="00583309" w:rsidP="00E12028">
      <w:pPr>
        <w:contextualSpacing/>
        <w:rPr>
          <w:sz w:val="24"/>
          <w:szCs w:val="24"/>
        </w:rPr>
      </w:pPr>
      <w:r w:rsidRPr="000D71A0">
        <w:rPr>
          <w:sz w:val="24"/>
          <w:szCs w:val="24"/>
        </w:rPr>
        <w:t xml:space="preserve">When writing final reports and publishing the findings of this research, tabulations of individual responses will occur at a high enough level of aggregation so that no single individual may be identified. In addition to the confidentiality protection measures, survey participants are provided the option to skip questions of concern and stop their participation in the survey at any time with </w:t>
      </w:r>
      <w:r w:rsidRPr="00E12028">
        <w:rPr>
          <w:sz w:val="24"/>
          <w:szCs w:val="24"/>
        </w:rPr>
        <w:t>no consequence to themselves. Finally, in the event of a Freedom of Information Act (FOIA) request, we will protect the confidentiality to the extent possible under the Exemption 4 of the FOIA.</w:t>
      </w:r>
      <w:r>
        <w:rPr>
          <w:sz w:val="24"/>
          <w:szCs w:val="24"/>
        </w:rPr>
        <w:br/>
      </w:r>
    </w:p>
    <w:p w14:paraId="1CCA87FF" w14:textId="0DFFA561" w:rsidR="00583309" w:rsidRPr="00E12028" w:rsidRDefault="00583309" w:rsidP="0094229B">
      <w:pPr>
        <w:pStyle w:val="Style2"/>
      </w:pPr>
      <w:r w:rsidRPr="00E12028">
        <w:t>Provide additional justification for any questions of a sensitive nature, such as sexual behavior and attitudes, religious beliefs, and other matters that are commonly considered private.</w:t>
      </w:r>
    </w:p>
    <w:p w14:paraId="21E4A5EC" w14:textId="77777777" w:rsidR="00BC1596" w:rsidRDefault="00BC1596" w:rsidP="00F9028B">
      <w:pPr>
        <w:ind w:firstLine="360"/>
        <w:contextualSpacing/>
        <w:rPr>
          <w:sz w:val="24"/>
          <w:szCs w:val="24"/>
        </w:rPr>
      </w:pPr>
    </w:p>
    <w:p w14:paraId="66067F2D" w14:textId="107BA3BF" w:rsidR="00583309" w:rsidRPr="000D71A0" w:rsidRDefault="00583309" w:rsidP="00E12028">
      <w:pPr>
        <w:contextualSpacing/>
        <w:rPr>
          <w:sz w:val="24"/>
          <w:szCs w:val="24"/>
        </w:rPr>
      </w:pPr>
      <w:r w:rsidRPr="000D71A0">
        <w:rPr>
          <w:sz w:val="24"/>
          <w:szCs w:val="24"/>
        </w:rPr>
        <w:t xml:space="preserve">The </w:t>
      </w:r>
      <w:r w:rsidR="00CA0835">
        <w:rPr>
          <w:sz w:val="24"/>
          <w:szCs w:val="24"/>
        </w:rPr>
        <w:t>NARFS</w:t>
      </w:r>
      <w:r w:rsidRPr="000D71A0">
        <w:rPr>
          <w:sz w:val="24"/>
          <w:szCs w:val="24"/>
        </w:rPr>
        <w:t xml:space="preserve"> </w:t>
      </w:r>
      <w:r w:rsidR="00442962">
        <w:rPr>
          <w:sz w:val="24"/>
          <w:szCs w:val="24"/>
        </w:rPr>
        <w:t>contains</w:t>
      </w:r>
      <w:r w:rsidR="00620C54">
        <w:rPr>
          <w:sz w:val="24"/>
          <w:szCs w:val="24"/>
        </w:rPr>
        <w:t xml:space="preserve"> a </w:t>
      </w:r>
      <w:r w:rsidRPr="000D71A0">
        <w:rPr>
          <w:sz w:val="24"/>
          <w:szCs w:val="24"/>
        </w:rPr>
        <w:t xml:space="preserve">question that </w:t>
      </w:r>
      <w:r w:rsidR="00620C54">
        <w:rPr>
          <w:sz w:val="24"/>
          <w:szCs w:val="24"/>
        </w:rPr>
        <w:t xml:space="preserve">solicits respondents’ income, which </w:t>
      </w:r>
      <w:r>
        <w:rPr>
          <w:sz w:val="24"/>
          <w:szCs w:val="24"/>
        </w:rPr>
        <w:t xml:space="preserve">is considered sensitive information for some </w:t>
      </w:r>
      <w:r w:rsidR="00442962">
        <w:rPr>
          <w:sz w:val="24"/>
          <w:szCs w:val="24"/>
        </w:rPr>
        <w:t>people</w:t>
      </w:r>
      <w:r>
        <w:rPr>
          <w:sz w:val="24"/>
          <w:szCs w:val="24"/>
        </w:rPr>
        <w:t xml:space="preserve">. </w:t>
      </w:r>
      <w:r w:rsidR="004B3D0F">
        <w:rPr>
          <w:sz w:val="24"/>
          <w:szCs w:val="24"/>
        </w:rPr>
        <w:t xml:space="preserve">The NEFSC </w:t>
      </w:r>
      <w:r w:rsidR="00620C54">
        <w:rPr>
          <w:sz w:val="24"/>
          <w:szCs w:val="24"/>
        </w:rPr>
        <w:t>may</w:t>
      </w:r>
      <w:r w:rsidRPr="000D71A0">
        <w:rPr>
          <w:sz w:val="24"/>
          <w:szCs w:val="24"/>
        </w:rPr>
        <w:t xml:space="preserve"> use</w:t>
      </w:r>
      <w:r w:rsidR="004B3D0F">
        <w:rPr>
          <w:sz w:val="24"/>
          <w:szCs w:val="24"/>
        </w:rPr>
        <w:t xml:space="preserve"> this information</w:t>
      </w:r>
      <w:r w:rsidRPr="000D71A0">
        <w:rPr>
          <w:sz w:val="24"/>
          <w:szCs w:val="24"/>
        </w:rPr>
        <w:t xml:space="preserve"> </w:t>
      </w:r>
      <w:r w:rsidR="00ED4A71">
        <w:rPr>
          <w:sz w:val="24"/>
          <w:szCs w:val="24"/>
        </w:rPr>
        <w:t>in two ways: f</w:t>
      </w:r>
      <w:r w:rsidR="00620C54">
        <w:rPr>
          <w:sz w:val="24"/>
          <w:szCs w:val="24"/>
        </w:rPr>
        <w:t xml:space="preserve">irst, </w:t>
      </w:r>
      <w:r w:rsidR="004B3D0F">
        <w:rPr>
          <w:sz w:val="24"/>
          <w:szCs w:val="24"/>
        </w:rPr>
        <w:t>by incorporating it</w:t>
      </w:r>
      <w:r w:rsidR="00620C54">
        <w:rPr>
          <w:sz w:val="24"/>
          <w:szCs w:val="24"/>
        </w:rPr>
        <w:t xml:space="preserve"> into</w:t>
      </w:r>
      <w:r w:rsidRPr="000D71A0">
        <w:rPr>
          <w:sz w:val="24"/>
          <w:szCs w:val="24"/>
        </w:rPr>
        <w:t xml:space="preserve"> </w:t>
      </w:r>
      <w:r w:rsidR="00620C54">
        <w:rPr>
          <w:sz w:val="24"/>
          <w:szCs w:val="24"/>
        </w:rPr>
        <w:t xml:space="preserve">the economic model to control for variation in income that </w:t>
      </w:r>
      <w:r w:rsidR="004B3D0F">
        <w:rPr>
          <w:sz w:val="24"/>
          <w:szCs w:val="24"/>
        </w:rPr>
        <w:t xml:space="preserve">may </w:t>
      </w:r>
      <w:r w:rsidR="00620C54">
        <w:rPr>
          <w:sz w:val="24"/>
          <w:szCs w:val="24"/>
        </w:rPr>
        <w:t>affect angler preferences</w:t>
      </w:r>
      <w:r>
        <w:rPr>
          <w:sz w:val="24"/>
          <w:szCs w:val="24"/>
        </w:rPr>
        <w:t>, as is common in estimating economic demand functions</w:t>
      </w:r>
      <w:r w:rsidR="00620C54">
        <w:rPr>
          <w:sz w:val="24"/>
          <w:szCs w:val="24"/>
        </w:rPr>
        <w:t xml:space="preserve">, and (2) </w:t>
      </w:r>
      <w:r w:rsidR="004B3D0F">
        <w:rPr>
          <w:sz w:val="24"/>
          <w:szCs w:val="24"/>
        </w:rPr>
        <w:t xml:space="preserve">for </w:t>
      </w:r>
      <w:r w:rsidR="00620C54">
        <w:rPr>
          <w:sz w:val="24"/>
          <w:szCs w:val="24"/>
        </w:rPr>
        <w:t>compar</w:t>
      </w:r>
      <w:r w:rsidR="004B3D0F">
        <w:rPr>
          <w:sz w:val="24"/>
          <w:szCs w:val="24"/>
        </w:rPr>
        <w:t>ing</w:t>
      </w:r>
      <w:r w:rsidR="00620C54">
        <w:rPr>
          <w:sz w:val="24"/>
          <w:szCs w:val="24"/>
        </w:rPr>
        <w:t xml:space="preserve"> </w:t>
      </w:r>
      <w:r w:rsidR="00AA3099">
        <w:rPr>
          <w:sz w:val="24"/>
          <w:szCs w:val="24"/>
        </w:rPr>
        <w:t xml:space="preserve">survey </w:t>
      </w:r>
      <w:r w:rsidR="00620C54">
        <w:rPr>
          <w:sz w:val="24"/>
          <w:szCs w:val="24"/>
        </w:rPr>
        <w:t xml:space="preserve">respondents to </w:t>
      </w:r>
      <w:r w:rsidR="00AA3099">
        <w:rPr>
          <w:sz w:val="24"/>
          <w:szCs w:val="24"/>
        </w:rPr>
        <w:t xml:space="preserve">survey </w:t>
      </w:r>
      <w:r w:rsidR="00620C54">
        <w:rPr>
          <w:sz w:val="24"/>
          <w:szCs w:val="24"/>
        </w:rPr>
        <w:t>non-respondents</w:t>
      </w:r>
      <w:r w:rsidR="004B3D0F">
        <w:rPr>
          <w:sz w:val="24"/>
          <w:szCs w:val="24"/>
        </w:rPr>
        <w:t xml:space="preserve"> </w:t>
      </w:r>
      <w:r w:rsidR="00AA3099">
        <w:rPr>
          <w:sz w:val="24"/>
          <w:szCs w:val="24"/>
        </w:rPr>
        <w:t>that will</w:t>
      </w:r>
      <w:r w:rsidR="004B3D0F">
        <w:rPr>
          <w:sz w:val="24"/>
          <w:szCs w:val="24"/>
        </w:rPr>
        <w:t xml:space="preserve"> inform the use of weighted estimation </w:t>
      </w:r>
      <w:r w:rsidR="000D1B0B">
        <w:rPr>
          <w:sz w:val="24"/>
          <w:szCs w:val="24"/>
        </w:rPr>
        <w:t>procedures</w:t>
      </w:r>
      <w:r w:rsidR="004B3D0F">
        <w:rPr>
          <w:sz w:val="24"/>
          <w:szCs w:val="24"/>
        </w:rPr>
        <w:t>.</w:t>
      </w:r>
    </w:p>
    <w:p w14:paraId="2249E17A" w14:textId="77777777" w:rsidR="00583309" w:rsidRDefault="00583309" w:rsidP="00F9028B">
      <w:pPr>
        <w:contextualSpacing/>
        <w:rPr>
          <w:sz w:val="24"/>
          <w:szCs w:val="24"/>
        </w:rPr>
      </w:pPr>
    </w:p>
    <w:p w14:paraId="075BD007" w14:textId="2F6C32B9" w:rsidR="00583309" w:rsidRPr="00E12028" w:rsidRDefault="00583309" w:rsidP="0094229B">
      <w:pPr>
        <w:pStyle w:val="Style2"/>
      </w:pPr>
      <w:r w:rsidRPr="00E12028">
        <w:t>Provide an estimate in hours of the burden of the collection of information.</w:t>
      </w:r>
    </w:p>
    <w:p w14:paraId="684853B0" w14:textId="77777777" w:rsidR="00583309" w:rsidRDefault="00583309" w:rsidP="00F9028B">
      <w:pPr>
        <w:contextualSpacing/>
        <w:rPr>
          <w:sz w:val="24"/>
          <w:szCs w:val="24"/>
        </w:rPr>
      </w:pPr>
    </w:p>
    <w:p w14:paraId="64F092C7" w14:textId="77777777" w:rsidR="00F8286B" w:rsidRDefault="00442962" w:rsidP="00E12028">
      <w:pPr>
        <w:contextualSpacing/>
        <w:rPr>
          <w:sz w:val="24"/>
          <w:szCs w:val="24"/>
        </w:rPr>
      </w:pPr>
      <w:r>
        <w:rPr>
          <w:sz w:val="24"/>
          <w:szCs w:val="24"/>
        </w:rPr>
        <w:t>T</w:t>
      </w:r>
      <w:r w:rsidR="00583309" w:rsidRPr="00EE5F78">
        <w:rPr>
          <w:sz w:val="24"/>
          <w:szCs w:val="24"/>
        </w:rPr>
        <w:t xml:space="preserve">he annual burden of this data collection </w:t>
      </w:r>
      <w:r>
        <w:rPr>
          <w:sz w:val="24"/>
          <w:szCs w:val="24"/>
        </w:rPr>
        <w:t xml:space="preserve">is estimated </w:t>
      </w:r>
      <w:r w:rsidR="00583309" w:rsidRPr="00EE5F78">
        <w:rPr>
          <w:sz w:val="24"/>
          <w:szCs w:val="24"/>
        </w:rPr>
        <w:t xml:space="preserve">to be </w:t>
      </w:r>
      <w:r w:rsidR="00E12028">
        <w:rPr>
          <w:sz w:val="24"/>
          <w:szCs w:val="24"/>
        </w:rPr>
        <w:t>226</w:t>
      </w:r>
      <w:r w:rsidR="00936A85">
        <w:rPr>
          <w:sz w:val="24"/>
          <w:szCs w:val="24"/>
        </w:rPr>
        <w:t>.66</w:t>
      </w:r>
      <w:r w:rsidR="00583309">
        <w:rPr>
          <w:sz w:val="24"/>
          <w:szCs w:val="24"/>
        </w:rPr>
        <w:t xml:space="preserve"> hours and 1,</w:t>
      </w:r>
      <w:r w:rsidR="00E12028">
        <w:rPr>
          <w:sz w:val="24"/>
          <w:szCs w:val="24"/>
        </w:rPr>
        <w:t>295</w:t>
      </w:r>
      <w:r w:rsidR="00583309">
        <w:rPr>
          <w:sz w:val="24"/>
          <w:szCs w:val="24"/>
        </w:rPr>
        <w:t xml:space="preserve"> total responses</w:t>
      </w:r>
      <w:r w:rsidR="0093611A">
        <w:rPr>
          <w:sz w:val="24"/>
          <w:szCs w:val="24"/>
        </w:rPr>
        <w:t>.</w:t>
      </w:r>
    </w:p>
    <w:p w14:paraId="7C582AB0" w14:textId="77777777" w:rsidR="00F8286B" w:rsidRDefault="00F8286B" w:rsidP="00E12028">
      <w:pPr>
        <w:contextualSpacing/>
        <w:rPr>
          <w:sz w:val="24"/>
          <w:szCs w:val="24"/>
        </w:rPr>
      </w:pPr>
    </w:p>
    <w:p w14:paraId="2FD50DA2" w14:textId="06D5727A" w:rsidR="00C42F49" w:rsidRDefault="0093611A" w:rsidP="00E12028">
      <w:pPr>
        <w:contextualSpacing/>
        <w:rPr>
          <w:sz w:val="24"/>
          <w:szCs w:val="24"/>
        </w:rPr>
      </w:pPr>
      <w:r>
        <w:rPr>
          <w:sz w:val="24"/>
          <w:szCs w:val="24"/>
        </w:rPr>
        <w:t>Burden estimates are calculated by multiplying the estimated time to complete each contact by the number of estimated contacts of each type</w:t>
      </w:r>
      <w:r w:rsidR="00442962">
        <w:rPr>
          <w:sz w:val="24"/>
          <w:szCs w:val="24"/>
        </w:rPr>
        <w:t>. S</w:t>
      </w:r>
      <w:r w:rsidR="00690F9E">
        <w:rPr>
          <w:sz w:val="24"/>
          <w:szCs w:val="24"/>
        </w:rPr>
        <w:t xml:space="preserve">ee </w:t>
      </w:r>
      <w:r w:rsidR="00A92D03">
        <w:rPr>
          <w:sz w:val="24"/>
          <w:szCs w:val="24"/>
        </w:rPr>
        <w:t xml:space="preserve">our response to question B3 </w:t>
      </w:r>
      <w:r w:rsidR="00690F9E">
        <w:rPr>
          <w:sz w:val="24"/>
          <w:szCs w:val="24"/>
        </w:rPr>
        <w:t>for</w:t>
      </w:r>
      <w:r w:rsidR="00A92D03">
        <w:rPr>
          <w:sz w:val="24"/>
          <w:szCs w:val="24"/>
        </w:rPr>
        <w:t xml:space="preserve"> details </w:t>
      </w:r>
      <w:r w:rsidR="00690F9E">
        <w:rPr>
          <w:sz w:val="24"/>
          <w:szCs w:val="24"/>
        </w:rPr>
        <w:t xml:space="preserve">about </w:t>
      </w:r>
      <w:r w:rsidR="00065C61">
        <w:rPr>
          <w:sz w:val="24"/>
          <w:szCs w:val="24"/>
        </w:rPr>
        <w:t xml:space="preserve">the </w:t>
      </w:r>
      <w:r w:rsidR="00CA0835">
        <w:rPr>
          <w:sz w:val="24"/>
          <w:szCs w:val="24"/>
        </w:rPr>
        <w:t>NARFS</w:t>
      </w:r>
      <w:r w:rsidR="00065C61">
        <w:rPr>
          <w:sz w:val="24"/>
          <w:szCs w:val="24"/>
        </w:rPr>
        <w:t xml:space="preserve"> implementation procedure. </w:t>
      </w:r>
      <w:r w:rsidR="00C42F49">
        <w:rPr>
          <w:sz w:val="24"/>
          <w:szCs w:val="24"/>
        </w:rPr>
        <w:t xml:space="preserve">The type </w:t>
      </w:r>
      <w:r w:rsidR="00AA3099">
        <w:rPr>
          <w:sz w:val="24"/>
          <w:szCs w:val="24"/>
        </w:rPr>
        <w:t xml:space="preserve">of </w:t>
      </w:r>
      <w:r w:rsidR="00C42F49">
        <w:rPr>
          <w:sz w:val="24"/>
          <w:szCs w:val="24"/>
        </w:rPr>
        <w:t xml:space="preserve">and estimated time required to complete each contact </w:t>
      </w:r>
      <w:r w:rsidR="00AB6079">
        <w:rPr>
          <w:sz w:val="24"/>
          <w:szCs w:val="24"/>
        </w:rPr>
        <w:t xml:space="preserve">and total burden hours are </w:t>
      </w:r>
      <w:r w:rsidR="00A62E79">
        <w:rPr>
          <w:sz w:val="24"/>
          <w:szCs w:val="24"/>
        </w:rPr>
        <w:t xml:space="preserve">shown in Table </w:t>
      </w:r>
      <w:r w:rsidR="00776E48">
        <w:rPr>
          <w:sz w:val="24"/>
          <w:szCs w:val="24"/>
        </w:rPr>
        <w:t>2</w:t>
      </w:r>
      <w:r w:rsidR="00A62E79">
        <w:rPr>
          <w:sz w:val="24"/>
          <w:szCs w:val="24"/>
        </w:rPr>
        <w:t xml:space="preserve">. </w:t>
      </w:r>
    </w:p>
    <w:p w14:paraId="025ABF97" w14:textId="6E74BD66" w:rsidR="00776E48" w:rsidRDefault="00776E48" w:rsidP="00F9028B">
      <w:pPr>
        <w:contextualSpacing/>
        <w:rPr>
          <w:sz w:val="24"/>
          <w:szCs w:val="24"/>
        </w:rPr>
      </w:pPr>
    </w:p>
    <w:p w14:paraId="0F92DF15" w14:textId="77777777" w:rsidR="00776E48" w:rsidRDefault="00776E48" w:rsidP="00F9028B">
      <w:pPr>
        <w:contextualSpacing/>
        <w:rPr>
          <w:sz w:val="24"/>
          <w:szCs w:val="24"/>
        </w:rPr>
      </w:pPr>
    </w:p>
    <w:tbl>
      <w:tblPr>
        <w:tblStyle w:val="TableGrid"/>
        <w:tblW w:w="50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2211"/>
        <w:gridCol w:w="1324"/>
        <w:gridCol w:w="2211"/>
      </w:tblGrid>
      <w:tr w:rsidR="00A62E79" w:rsidRPr="00A62E79" w14:paraId="48E72271" w14:textId="77777777" w:rsidTr="00D84DFA">
        <w:tc>
          <w:tcPr>
            <w:tcW w:w="5000" w:type="pct"/>
            <w:gridSpan w:val="4"/>
            <w:tcBorders>
              <w:bottom w:val="single" w:sz="4" w:space="0" w:color="auto"/>
            </w:tcBorders>
            <w:vAlign w:val="center"/>
          </w:tcPr>
          <w:p w14:paraId="2FED97D9" w14:textId="280C9DB0" w:rsidR="00A62E79" w:rsidRPr="00AB6079" w:rsidRDefault="00A62E79" w:rsidP="00A62E79">
            <w:pPr>
              <w:contextualSpacing/>
              <w:rPr>
                <w:sz w:val="24"/>
                <w:szCs w:val="24"/>
              </w:rPr>
            </w:pPr>
            <w:r w:rsidRPr="00AB6079">
              <w:rPr>
                <w:sz w:val="24"/>
                <w:szCs w:val="24"/>
              </w:rPr>
              <w:t xml:space="preserve">Table </w:t>
            </w:r>
            <w:r w:rsidR="00776E48">
              <w:rPr>
                <w:sz w:val="24"/>
                <w:szCs w:val="24"/>
              </w:rPr>
              <w:t>2</w:t>
            </w:r>
            <w:r w:rsidRPr="00AB6079">
              <w:rPr>
                <w:sz w:val="24"/>
                <w:szCs w:val="24"/>
              </w:rPr>
              <w:t xml:space="preserve">. Estimated hours </w:t>
            </w:r>
            <w:r w:rsidRPr="00C77DB2">
              <w:rPr>
                <w:sz w:val="24"/>
                <w:szCs w:val="24"/>
              </w:rPr>
              <w:t xml:space="preserve">of the burden of the collection of information. </w:t>
            </w:r>
          </w:p>
        </w:tc>
      </w:tr>
      <w:tr w:rsidR="00A62E79" w:rsidRPr="00A62E79" w14:paraId="5CD9A43E" w14:textId="77777777" w:rsidTr="00C77DB2">
        <w:tc>
          <w:tcPr>
            <w:tcW w:w="2040" w:type="pct"/>
            <w:tcBorders>
              <w:top w:val="single" w:sz="4" w:space="0" w:color="auto"/>
              <w:bottom w:val="single" w:sz="4" w:space="0" w:color="auto"/>
            </w:tcBorders>
            <w:vAlign w:val="center"/>
          </w:tcPr>
          <w:p w14:paraId="6621353F" w14:textId="77777777" w:rsidR="00A62E79" w:rsidRPr="00A62E79" w:rsidRDefault="00A62E79" w:rsidP="00A62E79">
            <w:pPr>
              <w:contextualSpacing/>
              <w:rPr>
                <w:sz w:val="24"/>
                <w:szCs w:val="24"/>
              </w:rPr>
            </w:pPr>
            <w:r w:rsidRPr="00A62E79">
              <w:rPr>
                <w:sz w:val="24"/>
                <w:szCs w:val="24"/>
              </w:rPr>
              <w:t>Contact type</w:t>
            </w:r>
          </w:p>
        </w:tc>
        <w:tc>
          <w:tcPr>
            <w:tcW w:w="1139" w:type="pct"/>
            <w:tcBorders>
              <w:top w:val="single" w:sz="4" w:space="0" w:color="auto"/>
              <w:bottom w:val="single" w:sz="4" w:space="0" w:color="auto"/>
            </w:tcBorders>
            <w:vAlign w:val="center"/>
          </w:tcPr>
          <w:p w14:paraId="230496D1" w14:textId="77777777" w:rsidR="00A62E79" w:rsidRPr="00A62E79" w:rsidRDefault="00A62E79" w:rsidP="00C77DB2">
            <w:pPr>
              <w:contextualSpacing/>
              <w:jc w:val="center"/>
              <w:rPr>
                <w:sz w:val="24"/>
                <w:szCs w:val="24"/>
              </w:rPr>
            </w:pPr>
            <w:r w:rsidRPr="00A62E79">
              <w:rPr>
                <w:sz w:val="24"/>
                <w:szCs w:val="24"/>
              </w:rPr>
              <w:t>Estimated time required to complete contact</w:t>
            </w:r>
          </w:p>
        </w:tc>
        <w:tc>
          <w:tcPr>
            <w:tcW w:w="682" w:type="pct"/>
            <w:tcBorders>
              <w:top w:val="single" w:sz="4" w:space="0" w:color="auto"/>
              <w:bottom w:val="single" w:sz="4" w:space="0" w:color="auto"/>
            </w:tcBorders>
            <w:vAlign w:val="center"/>
          </w:tcPr>
          <w:p w14:paraId="021A9D1B" w14:textId="77777777" w:rsidR="00A62E79" w:rsidRPr="00A62E79" w:rsidRDefault="00A62E79" w:rsidP="00C77DB2">
            <w:pPr>
              <w:contextualSpacing/>
              <w:jc w:val="center"/>
              <w:rPr>
                <w:sz w:val="24"/>
                <w:szCs w:val="24"/>
              </w:rPr>
            </w:pPr>
            <w:r w:rsidRPr="00A62E79">
              <w:rPr>
                <w:sz w:val="24"/>
                <w:szCs w:val="24"/>
              </w:rPr>
              <w:t>Number of contacts</w:t>
            </w:r>
          </w:p>
        </w:tc>
        <w:tc>
          <w:tcPr>
            <w:tcW w:w="1139" w:type="pct"/>
            <w:tcBorders>
              <w:top w:val="single" w:sz="4" w:space="0" w:color="auto"/>
              <w:bottom w:val="single" w:sz="4" w:space="0" w:color="auto"/>
            </w:tcBorders>
            <w:vAlign w:val="center"/>
          </w:tcPr>
          <w:p w14:paraId="5209CBBB" w14:textId="77777777" w:rsidR="00A62E79" w:rsidRPr="00A62E79" w:rsidRDefault="00A62E79" w:rsidP="00C77DB2">
            <w:pPr>
              <w:contextualSpacing/>
              <w:jc w:val="center"/>
              <w:rPr>
                <w:sz w:val="24"/>
                <w:szCs w:val="24"/>
              </w:rPr>
            </w:pPr>
            <w:r w:rsidRPr="00A62E79">
              <w:rPr>
                <w:sz w:val="24"/>
                <w:szCs w:val="24"/>
              </w:rPr>
              <w:t>Estimated time multiplied by number of contacts</w:t>
            </w:r>
          </w:p>
        </w:tc>
      </w:tr>
      <w:tr w:rsidR="00A62E79" w:rsidRPr="00A62E79" w14:paraId="3E825101" w14:textId="77777777" w:rsidTr="00C77DB2">
        <w:trPr>
          <w:trHeight w:val="720"/>
        </w:trPr>
        <w:tc>
          <w:tcPr>
            <w:tcW w:w="2040" w:type="pct"/>
            <w:tcBorders>
              <w:top w:val="single" w:sz="4" w:space="0" w:color="auto"/>
            </w:tcBorders>
            <w:vAlign w:val="center"/>
          </w:tcPr>
          <w:p w14:paraId="247ED12A" w14:textId="77777777" w:rsidR="00A62E79" w:rsidRPr="00A62E79" w:rsidRDefault="00A62E79" w:rsidP="00AB6079">
            <w:pPr>
              <w:contextualSpacing/>
              <w:rPr>
                <w:sz w:val="24"/>
                <w:szCs w:val="24"/>
              </w:rPr>
            </w:pPr>
            <w:r w:rsidRPr="00A62E79">
              <w:rPr>
                <w:sz w:val="24"/>
                <w:szCs w:val="24"/>
              </w:rPr>
              <w:t xml:space="preserve">Completion of telephone pre-screening survey with eligible anglers </w:t>
            </w:r>
          </w:p>
        </w:tc>
        <w:tc>
          <w:tcPr>
            <w:tcW w:w="1139" w:type="pct"/>
            <w:tcBorders>
              <w:top w:val="single" w:sz="4" w:space="0" w:color="auto"/>
            </w:tcBorders>
            <w:vAlign w:val="center"/>
          </w:tcPr>
          <w:p w14:paraId="302B0EA7" w14:textId="77777777" w:rsidR="00A62E79" w:rsidRPr="00A62E79" w:rsidRDefault="00A62E79" w:rsidP="00C77DB2">
            <w:pPr>
              <w:contextualSpacing/>
              <w:jc w:val="center"/>
              <w:rPr>
                <w:sz w:val="24"/>
                <w:szCs w:val="24"/>
              </w:rPr>
            </w:pPr>
            <w:r w:rsidRPr="00A62E79">
              <w:rPr>
                <w:sz w:val="24"/>
                <w:szCs w:val="24"/>
              </w:rPr>
              <w:t>3 minutes</w:t>
            </w:r>
          </w:p>
        </w:tc>
        <w:tc>
          <w:tcPr>
            <w:tcW w:w="682" w:type="pct"/>
            <w:tcBorders>
              <w:top w:val="single" w:sz="4" w:space="0" w:color="auto"/>
            </w:tcBorders>
            <w:vAlign w:val="center"/>
          </w:tcPr>
          <w:p w14:paraId="7EDDE0B3" w14:textId="77777777" w:rsidR="00A62E79" w:rsidRPr="00AB6079" w:rsidRDefault="00A62E79" w:rsidP="00C77DB2">
            <w:pPr>
              <w:contextualSpacing/>
              <w:jc w:val="center"/>
              <w:rPr>
                <w:sz w:val="24"/>
                <w:szCs w:val="24"/>
              </w:rPr>
            </w:pPr>
            <w:r w:rsidRPr="00A62E79">
              <w:rPr>
                <w:sz w:val="24"/>
                <w:szCs w:val="24"/>
              </w:rPr>
              <w:t>300</w:t>
            </w:r>
          </w:p>
        </w:tc>
        <w:tc>
          <w:tcPr>
            <w:tcW w:w="1139" w:type="pct"/>
            <w:tcBorders>
              <w:top w:val="single" w:sz="4" w:space="0" w:color="auto"/>
            </w:tcBorders>
            <w:vAlign w:val="center"/>
          </w:tcPr>
          <w:p w14:paraId="21023089" w14:textId="6994A986" w:rsidR="00A62E79" w:rsidRPr="00A26BA0" w:rsidRDefault="00A62E79" w:rsidP="00C77DB2">
            <w:pPr>
              <w:contextualSpacing/>
              <w:jc w:val="center"/>
              <w:rPr>
                <w:sz w:val="24"/>
                <w:szCs w:val="24"/>
              </w:rPr>
            </w:pPr>
            <w:r w:rsidRPr="00A26BA0">
              <w:rPr>
                <w:sz w:val="24"/>
                <w:szCs w:val="24"/>
              </w:rPr>
              <w:t>900 minutes</w:t>
            </w:r>
          </w:p>
          <w:p w14:paraId="6C0CB4D5" w14:textId="77777777" w:rsidR="00A62E79" w:rsidRPr="00A62E79" w:rsidRDefault="00A62E79" w:rsidP="00C77DB2">
            <w:pPr>
              <w:contextualSpacing/>
              <w:jc w:val="center"/>
              <w:rPr>
                <w:sz w:val="24"/>
                <w:szCs w:val="24"/>
              </w:rPr>
            </w:pPr>
            <w:r w:rsidRPr="00A62E79">
              <w:rPr>
                <w:sz w:val="24"/>
                <w:szCs w:val="24"/>
              </w:rPr>
              <w:t>(15 hours)</w:t>
            </w:r>
          </w:p>
        </w:tc>
      </w:tr>
      <w:tr w:rsidR="00A62E79" w:rsidRPr="00A62E79" w14:paraId="6EF5A68B" w14:textId="77777777" w:rsidTr="00C77DB2">
        <w:trPr>
          <w:trHeight w:val="720"/>
        </w:trPr>
        <w:tc>
          <w:tcPr>
            <w:tcW w:w="2040" w:type="pct"/>
            <w:vAlign w:val="center"/>
          </w:tcPr>
          <w:p w14:paraId="286A767F" w14:textId="77777777" w:rsidR="00A62E79" w:rsidRPr="00A62E79" w:rsidRDefault="00A62E79" w:rsidP="00AB6079">
            <w:pPr>
              <w:contextualSpacing/>
              <w:rPr>
                <w:sz w:val="24"/>
                <w:szCs w:val="24"/>
              </w:rPr>
            </w:pPr>
            <w:r w:rsidRPr="00A62E79">
              <w:rPr>
                <w:sz w:val="24"/>
                <w:szCs w:val="24"/>
              </w:rPr>
              <w:t xml:space="preserve">Completion of telephone survey with ineligible anglers </w:t>
            </w:r>
          </w:p>
        </w:tc>
        <w:tc>
          <w:tcPr>
            <w:tcW w:w="1139" w:type="pct"/>
            <w:vAlign w:val="center"/>
          </w:tcPr>
          <w:p w14:paraId="1750A587" w14:textId="77777777" w:rsidR="00A62E79" w:rsidRPr="00A62E79" w:rsidRDefault="00A62E79" w:rsidP="00C77DB2">
            <w:pPr>
              <w:contextualSpacing/>
              <w:jc w:val="center"/>
              <w:rPr>
                <w:sz w:val="24"/>
                <w:szCs w:val="24"/>
              </w:rPr>
            </w:pPr>
            <w:r w:rsidRPr="00A62E79">
              <w:rPr>
                <w:sz w:val="24"/>
                <w:szCs w:val="24"/>
              </w:rPr>
              <w:t>1 minute</w:t>
            </w:r>
          </w:p>
        </w:tc>
        <w:tc>
          <w:tcPr>
            <w:tcW w:w="682" w:type="pct"/>
            <w:vAlign w:val="center"/>
          </w:tcPr>
          <w:p w14:paraId="0BEAF926" w14:textId="77777777" w:rsidR="00A62E79" w:rsidRPr="00A62E79" w:rsidRDefault="00A62E79" w:rsidP="00C77DB2">
            <w:pPr>
              <w:contextualSpacing/>
              <w:jc w:val="center"/>
              <w:rPr>
                <w:sz w:val="24"/>
                <w:szCs w:val="24"/>
              </w:rPr>
            </w:pPr>
            <w:r w:rsidRPr="00A62E79">
              <w:rPr>
                <w:sz w:val="24"/>
                <w:szCs w:val="24"/>
              </w:rPr>
              <w:t>250</w:t>
            </w:r>
          </w:p>
        </w:tc>
        <w:tc>
          <w:tcPr>
            <w:tcW w:w="1139" w:type="pct"/>
            <w:vAlign w:val="center"/>
          </w:tcPr>
          <w:p w14:paraId="5064D6C2" w14:textId="0738619C" w:rsidR="00A62E79" w:rsidRPr="00A62E79" w:rsidRDefault="00A62E79" w:rsidP="00C77DB2">
            <w:pPr>
              <w:contextualSpacing/>
              <w:jc w:val="center"/>
              <w:rPr>
                <w:sz w:val="24"/>
                <w:szCs w:val="24"/>
              </w:rPr>
            </w:pPr>
            <w:r w:rsidRPr="00A62E79">
              <w:rPr>
                <w:sz w:val="24"/>
                <w:szCs w:val="24"/>
              </w:rPr>
              <w:t>250 minutes</w:t>
            </w:r>
          </w:p>
          <w:p w14:paraId="478FB3E8" w14:textId="77777777" w:rsidR="00A62E79" w:rsidRPr="00A62E79" w:rsidRDefault="00A62E79" w:rsidP="00C77DB2">
            <w:pPr>
              <w:contextualSpacing/>
              <w:jc w:val="center"/>
              <w:rPr>
                <w:sz w:val="24"/>
                <w:szCs w:val="24"/>
              </w:rPr>
            </w:pPr>
            <w:r w:rsidRPr="00A62E79">
              <w:rPr>
                <w:sz w:val="24"/>
                <w:szCs w:val="24"/>
              </w:rPr>
              <w:t>(4.16 hours)</w:t>
            </w:r>
          </w:p>
        </w:tc>
      </w:tr>
      <w:tr w:rsidR="00A62E79" w:rsidRPr="00A62E79" w14:paraId="78FDDE20" w14:textId="77777777" w:rsidTr="00C77DB2">
        <w:trPr>
          <w:trHeight w:val="720"/>
        </w:trPr>
        <w:tc>
          <w:tcPr>
            <w:tcW w:w="2040" w:type="pct"/>
            <w:vAlign w:val="center"/>
          </w:tcPr>
          <w:p w14:paraId="6103057A" w14:textId="77777777" w:rsidR="00A62E79" w:rsidRPr="00A62E79" w:rsidRDefault="00A62E79" w:rsidP="00AB6079">
            <w:pPr>
              <w:contextualSpacing/>
              <w:rPr>
                <w:sz w:val="24"/>
                <w:szCs w:val="24"/>
              </w:rPr>
            </w:pPr>
            <w:r w:rsidRPr="00A62E79">
              <w:rPr>
                <w:sz w:val="24"/>
                <w:szCs w:val="24"/>
              </w:rPr>
              <w:t>Completion of mail/email surveys by an eligible angler</w:t>
            </w:r>
          </w:p>
        </w:tc>
        <w:tc>
          <w:tcPr>
            <w:tcW w:w="1139" w:type="pct"/>
            <w:vAlign w:val="center"/>
          </w:tcPr>
          <w:p w14:paraId="4BF5F136" w14:textId="77777777" w:rsidR="00A62E79" w:rsidRPr="00A62E79" w:rsidRDefault="00A62E79" w:rsidP="00C77DB2">
            <w:pPr>
              <w:contextualSpacing/>
              <w:jc w:val="center"/>
              <w:rPr>
                <w:sz w:val="24"/>
                <w:szCs w:val="24"/>
              </w:rPr>
            </w:pPr>
            <w:r w:rsidRPr="00A62E79">
              <w:rPr>
                <w:sz w:val="24"/>
                <w:szCs w:val="24"/>
              </w:rPr>
              <w:t>20 minutes</w:t>
            </w:r>
          </w:p>
        </w:tc>
        <w:tc>
          <w:tcPr>
            <w:tcW w:w="682" w:type="pct"/>
            <w:vAlign w:val="center"/>
          </w:tcPr>
          <w:p w14:paraId="353380EE" w14:textId="77777777" w:rsidR="00A62E79" w:rsidRPr="00A62E79" w:rsidRDefault="00A62E79" w:rsidP="00C77DB2">
            <w:pPr>
              <w:contextualSpacing/>
              <w:jc w:val="center"/>
              <w:rPr>
                <w:sz w:val="24"/>
                <w:szCs w:val="24"/>
              </w:rPr>
            </w:pPr>
            <w:r w:rsidRPr="00A62E79">
              <w:rPr>
                <w:sz w:val="24"/>
                <w:szCs w:val="24"/>
              </w:rPr>
              <w:t>500</w:t>
            </w:r>
          </w:p>
        </w:tc>
        <w:tc>
          <w:tcPr>
            <w:tcW w:w="1139" w:type="pct"/>
            <w:vAlign w:val="center"/>
          </w:tcPr>
          <w:p w14:paraId="13E5FBE9" w14:textId="77777777" w:rsidR="00A62E79" w:rsidRPr="00A62E79" w:rsidRDefault="00A62E79" w:rsidP="00C77DB2">
            <w:pPr>
              <w:contextualSpacing/>
              <w:jc w:val="center"/>
              <w:rPr>
                <w:sz w:val="24"/>
                <w:szCs w:val="24"/>
              </w:rPr>
            </w:pPr>
            <w:r w:rsidRPr="00A62E79">
              <w:rPr>
                <w:sz w:val="24"/>
                <w:szCs w:val="24"/>
              </w:rPr>
              <w:t>10,000 minutes (166.67 hours)</w:t>
            </w:r>
          </w:p>
        </w:tc>
      </w:tr>
      <w:tr w:rsidR="00A62E79" w:rsidRPr="00A62E79" w14:paraId="430142BE" w14:textId="77777777" w:rsidTr="00C77DB2">
        <w:trPr>
          <w:trHeight w:val="720"/>
        </w:trPr>
        <w:tc>
          <w:tcPr>
            <w:tcW w:w="2040" w:type="pct"/>
            <w:tcBorders>
              <w:bottom w:val="single" w:sz="4" w:space="0" w:color="auto"/>
            </w:tcBorders>
            <w:vAlign w:val="center"/>
          </w:tcPr>
          <w:p w14:paraId="3E3F7294" w14:textId="77777777" w:rsidR="00A62E79" w:rsidRPr="00A62E79" w:rsidRDefault="00A62E79" w:rsidP="00AB6079">
            <w:pPr>
              <w:contextualSpacing/>
              <w:rPr>
                <w:sz w:val="24"/>
                <w:szCs w:val="24"/>
              </w:rPr>
            </w:pPr>
            <w:r w:rsidRPr="00A62E79">
              <w:rPr>
                <w:sz w:val="24"/>
                <w:szCs w:val="24"/>
              </w:rPr>
              <w:t>Completion of mail/email surveys by an ineligible anglers</w:t>
            </w:r>
          </w:p>
        </w:tc>
        <w:tc>
          <w:tcPr>
            <w:tcW w:w="1139" w:type="pct"/>
            <w:tcBorders>
              <w:bottom w:val="single" w:sz="4" w:space="0" w:color="auto"/>
            </w:tcBorders>
            <w:vAlign w:val="center"/>
          </w:tcPr>
          <w:p w14:paraId="231B6279" w14:textId="77777777" w:rsidR="00A62E79" w:rsidRPr="00A62E79" w:rsidRDefault="00A62E79" w:rsidP="00C77DB2">
            <w:pPr>
              <w:contextualSpacing/>
              <w:jc w:val="center"/>
              <w:rPr>
                <w:sz w:val="24"/>
                <w:szCs w:val="24"/>
              </w:rPr>
            </w:pPr>
            <w:r w:rsidRPr="00A62E79">
              <w:rPr>
                <w:sz w:val="24"/>
                <w:szCs w:val="24"/>
              </w:rPr>
              <w:t>10 minutes</w:t>
            </w:r>
          </w:p>
        </w:tc>
        <w:tc>
          <w:tcPr>
            <w:tcW w:w="682" w:type="pct"/>
            <w:tcBorders>
              <w:bottom w:val="single" w:sz="4" w:space="0" w:color="auto"/>
            </w:tcBorders>
            <w:vAlign w:val="center"/>
          </w:tcPr>
          <w:p w14:paraId="6C9D731A" w14:textId="77777777" w:rsidR="00A62E79" w:rsidRPr="00A62E79" w:rsidRDefault="00A62E79" w:rsidP="00C77DB2">
            <w:pPr>
              <w:contextualSpacing/>
              <w:jc w:val="center"/>
              <w:rPr>
                <w:sz w:val="24"/>
                <w:szCs w:val="24"/>
              </w:rPr>
            </w:pPr>
            <w:r w:rsidRPr="00A62E79">
              <w:rPr>
                <w:sz w:val="24"/>
                <w:szCs w:val="24"/>
              </w:rPr>
              <w:t>245</w:t>
            </w:r>
          </w:p>
        </w:tc>
        <w:tc>
          <w:tcPr>
            <w:tcW w:w="1139" w:type="pct"/>
            <w:tcBorders>
              <w:bottom w:val="single" w:sz="4" w:space="0" w:color="auto"/>
            </w:tcBorders>
            <w:vAlign w:val="center"/>
          </w:tcPr>
          <w:p w14:paraId="6F55A0A8" w14:textId="77777777" w:rsidR="00A62E79" w:rsidRPr="00A62E79" w:rsidRDefault="00A62E79" w:rsidP="00C77DB2">
            <w:pPr>
              <w:contextualSpacing/>
              <w:jc w:val="center"/>
              <w:rPr>
                <w:sz w:val="24"/>
                <w:szCs w:val="24"/>
              </w:rPr>
            </w:pPr>
            <w:r w:rsidRPr="00A62E79">
              <w:rPr>
                <w:sz w:val="24"/>
                <w:szCs w:val="24"/>
              </w:rPr>
              <w:t>2,450 minutes (40.83 hours)</w:t>
            </w:r>
          </w:p>
        </w:tc>
      </w:tr>
      <w:tr w:rsidR="00A62E79" w:rsidRPr="00A62E79" w14:paraId="03C4C606" w14:textId="77777777" w:rsidTr="00C77DB2">
        <w:tc>
          <w:tcPr>
            <w:tcW w:w="2040" w:type="pct"/>
            <w:tcBorders>
              <w:top w:val="single" w:sz="4" w:space="0" w:color="auto"/>
              <w:bottom w:val="single" w:sz="4" w:space="0" w:color="auto"/>
            </w:tcBorders>
          </w:tcPr>
          <w:p w14:paraId="226A5AA7" w14:textId="77777777" w:rsidR="00A62E79" w:rsidRPr="00C77DB2" w:rsidRDefault="00A62E79" w:rsidP="00A62E79">
            <w:pPr>
              <w:contextualSpacing/>
              <w:rPr>
                <w:i/>
                <w:sz w:val="24"/>
                <w:szCs w:val="24"/>
              </w:rPr>
            </w:pPr>
            <w:r w:rsidRPr="00C77DB2">
              <w:rPr>
                <w:i/>
                <w:sz w:val="24"/>
                <w:szCs w:val="24"/>
              </w:rPr>
              <w:t>Total</w:t>
            </w:r>
          </w:p>
        </w:tc>
        <w:tc>
          <w:tcPr>
            <w:tcW w:w="1139" w:type="pct"/>
            <w:tcBorders>
              <w:top w:val="single" w:sz="4" w:space="0" w:color="auto"/>
              <w:bottom w:val="single" w:sz="4" w:space="0" w:color="auto"/>
            </w:tcBorders>
            <w:vAlign w:val="center"/>
          </w:tcPr>
          <w:p w14:paraId="65247429" w14:textId="77777777" w:rsidR="00A62E79" w:rsidRPr="00C77DB2" w:rsidRDefault="00A62E79" w:rsidP="00C77DB2">
            <w:pPr>
              <w:contextualSpacing/>
              <w:jc w:val="center"/>
              <w:rPr>
                <w:i/>
                <w:sz w:val="24"/>
                <w:szCs w:val="24"/>
              </w:rPr>
            </w:pPr>
          </w:p>
        </w:tc>
        <w:tc>
          <w:tcPr>
            <w:tcW w:w="682" w:type="pct"/>
            <w:tcBorders>
              <w:top w:val="single" w:sz="4" w:space="0" w:color="auto"/>
              <w:bottom w:val="single" w:sz="4" w:space="0" w:color="auto"/>
            </w:tcBorders>
            <w:vAlign w:val="center"/>
          </w:tcPr>
          <w:p w14:paraId="42892B47" w14:textId="77777777" w:rsidR="00A62E79" w:rsidRPr="00C77DB2" w:rsidRDefault="00A62E79" w:rsidP="00C77DB2">
            <w:pPr>
              <w:contextualSpacing/>
              <w:jc w:val="center"/>
              <w:rPr>
                <w:i/>
                <w:sz w:val="24"/>
                <w:szCs w:val="24"/>
              </w:rPr>
            </w:pPr>
            <w:r w:rsidRPr="00C77DB2">
              <w:rPr>
                <w:i/>
                <w:sz w:val="24"/>
                <w:szCs w:val="24"/>
              </w:rPr>
              <w:t>1,295</w:t>
            </w:r>
          </w:p>
        </w:tc>
        <w:tc>
          <w:tcPr>
            <w:tcW w:w="1139" w:type="pct"/>
            <w:tcBorders>
              <w:top w:val="single" w:sz="4" w:space="0" w:color="auto"/>
              <w:bottom w:val="single" w:sz="4" w:space="0" w:color="auto"/>
            </w:tcBorders>
            <w:vAlign w:val="center"/>
          </w:tcPr>
          <w:p w14:paraId="234E093A" w14:textId="77777777" w:rsidR="00A62E79" w:rsidRPr="00C77DB2" w:rsidRDefault="00A62E79" w:rsidP="00C77DB2">
            <w:pPr>
              <w:contextualSpacing/>
              <w:jc w:val="center"/>
              <w:rPr>
                <w:i/>
                <w:sz w:val="24"/>
                <w:szCs w:val="24"/>
              </w:rPr>
            </w:pPr>
            <w:r w:rsidRPr="00C77DB2">
              <w:rPr>
                <w:i/>
                <w:sz w:val="24"/>
                <w:szCs w:val="24"/>
              </w:rPr>
              <w:t>226.67 hours</w:t>
            </w:r>
          </w:p>
        </w:tc>
      </w:tr>
    </w:tbl>
    <w:p w14:paraId="532AF683" w14:textId="77777777" w:rsidR="00AB6079" w:rsidRPr="003C03B6" w:rsidRDefault="00AB6079" w:rsidP="00C77DB2">
      <w:pPr>
        <w:pStyle w:val="ListParagraph"/>
        <w:rPr>
          <w:sz w:val="24"/>
          <w:szCs w:val="24"/>
        </w:rPr>
      </w:pPr>
    </w:p>
    <w:p w14:paraId="31D73A79" w14:textId="77777777" w:rsidR="00583309" w:rsidRDefault="00583309" w:rsidP="00F9028B">
      <w:pPr>
        <w:contextualSpacing/>
        <w:rPr>
          <w:sz w:val="24"/>
          <w:szCs w:val="24"/>
        </w:rPr>
      </w:pPr>
    </w:p>
    <w:p w14:paraId="28EB1417" w14:textId="1BB69497" w:rsidR="00583309" w:rsidRPr="00E12028" w:rsidRDefault="00583309" w:rsidP="0094229B">
      <w:pPr>
        <w:pStyle w:val="Style2"/>
      </w:pPr>
      <w:r w:rsidRPr="00E12028">
        <w:t>Provide an estimate of the total annual cost burden to the respondents or record-keepers resulting from the collection (excluding the value of the burden hours in Question 12 above).</w:t>
      </w:r>
    </w:p>
    <w:p w14:paraId="5D6E91EB" w14:textId="77777777" w:rsidR="00583309" w:rsidRDefault="00583309" w:rsidP="00F9028B">
      <w:pPr>
        <w:contextualSpacing/>
        <w:rPr>
          <w:sz w:val="24"/>
          <w:szCs w:val="24"/>
        </w:rPr>
      </w:pPr>
    </w:p>
    <w:p w14:paraId="75E0BCDC" w14:textId="41063B48" w:rsidR="00583309" w:rsidRPr="000D71A0" w:rsidRDefault="00583309" w:rsidP="00E12028">
      <w:pPr>
        <w:contextualSpacing/>
        <w:rPr>
          <w:sz w:val="24"/>
          <w:szCs w:val="24"/>
        </w:rPr>
      </w:pPr>
      <w:r>
        <w:rPr>
          <w:sz w:val="24"/>
          <w:szCs w:val="24"/>
        </w:rPr>
        <w:t xml:space="preserve">There are no </w:t>
      </w:r>
      <w:r w:rsidRPr="000D71A0">
        <w:rPr>
          <w:sz w:val="24"/>
          <w:szCs w:val="24"/>
        </w:rPr>
        <w:t>cost</w:t>
      </w:r>
      <w:r>
        <w:rPr>
          <w:sz w:val="24"/>
          <w:szCs w:val="24"/>
        </w:rPr>
        <w:t>s</w:t>
      </w:r>
      <w:r w:rsidRPr="000D71A0">
        <w:rPr>
          <w:sz w:val="24"/>
          <w:szCs w:val="24"/>
        </w:rPr>
        <w:t xml:space="preserve"> </w:t>
      </w:r>
      <w:r>
        <w:rPr>
          <w:sz w:val="24"/>
          <w:szCs w:val="24"/>
        </w:rPr>
        <w:t xml:space="preserve">excluding the value of the burden hours in </w:t>
      </w:r>
      <w:r w:rsidR="00AA3099">
        <w:rPr>
          <w:sz w:val="24"/>
          <w:szCs w:val="24"/>
        </w:rPr>
        <w:t>q</w:t>
      </w:r>
      <w:r>
        <w:rPr>
          <w:sz w:val="24"/>
          <w:szCs w:val="24"/>
        </w:rPr>
        <w:t xml:space="preserve">uestion </w:t>
      </w:r>
      <w:r w:rsidR="00065C61">
        <w:rPr>
          <w:sz w:val="24"/>
          <w:szCs w:val="24"/>
        </w:rPr>
        <w:t>A</w:t>
      </w:r>
      <w:r>
        <w:rPr>
          <w:sz w:val="24"/>
          <w:szCs w:val="24"/>
        </w:rPr>
        <w:t>12. Mailed surveys will be accompanied by a postage-paid envelope.</w:t>
      </w:r>
    </w:p>
    <w:p w14:paraId="49BA319E" w14:textId="77777777" w:rsidR="00583309" w:rsidRDefault="00583309" w:rsidP="00F9028B">
      <w:pPr>
        <w:contextualSpacing/>
        <w:rPr>
          <w:b/>
          <w:bCs/>
          <w:sz w:val="24"/>
          <w:szCs w:val="24"/>
        </w:rPr>
      </w:pPr>
    </w:p>
    <w:p w14:paraId="070E513E" w14:textId="349049DA" w:rsidR="00583309" w:rsidRPr="00E12028" w:rsidRDefault="00583309" w:rsidP="0094229B">
      <w:pPr>
        <w:pStyle w:val="Style2"/>
      </w:pPr>
      <w:r w:rsidRPr="00E12028">
        <w:t>Provide estimates of annualized cost to the Federal government.</w:t>
      </w:r>
    </w:p>
    <w:p w14:paraId="4B4F7F01" w14:textId="77777777" w:rsidR="00583309" w:rsidRDefault="00583309" w:rsidP="00F9028B">
      <w:pPr>
        <w:contextualSpacing/>
        <w:rPr>
          <w:sz w:val="24"/>
          <w:szCs w:val="24"/>
        </w:rPr>
      </w:pPr>
    </w:p>
    <w:p w14:paraId="01AD6726" w14:textId="44B9A0CE" w:rsidR="00035261" w:rsidRPr="00035261" w:rsidRDefault="00F9028B" w:rsidP="00035261">
      <w:pPr>
        <w:contextualSpacing/>
        <w:rPr>
          <w:sz w:val="24"/>
          <w:szCs w:val="24"/>
        </w:rPr>
      </w:pPr>
      <w:r w:rsidRPr="00F9028B">
        <w:rPr>
          <w:sz w:val="24"/>
          <w:szCs w:val="24"/>
        </w:rPr>
        <w:t>The survey will be administered by an outside contractor. The costs to the federal government are limited to the cost of the contract, which is estimated to total $</w:t>
      </w:r>
      <w:r w:rsidR="00035261" w:rsidRPr="00035261">
        <w:rPr>
          <w:sz w:val="24"/>
          <w:szCs w:val="24"/>
        </w:rPr>
        <w:t>42</w:t>
      </w:r>
      <w:r w:rsidR="00035261">
        <w:rPr>
          <w:sz w:val="24"/>
          <w:szCs w:val="24"/>
        </w:rPr>
        <w:t>,</w:t>
      </w:r>
      <w:r w:rsidR="00035261" w:rsidRPr="00035261">
        <w:rPr>
          <w:sz w:val="24"/>
          <w:szCs w:val="24"/>
        </w:rPr>
        <w:t>508.33</w:t>
      </w:r>
      <w:r w:rsidR="00035261">
        <w:rPr>
          <w:sz w:val="24"/>
          <w:szCs w:val="24"/>
        </w:rPr>
        <w:t xml:space="preserve"> </w:t>
      </w:r>
      <w:r w:rsidRPr="00F9028B">
        <w:rPr>
          <w:sz w:val="24"/>
          <w:szCs w:val="24"/>
        </w:rPr>
        <w:t>per year over three years on an annualized basis, plus an estimated 30 hours each from two ZP</w:t>
      </w:r>
      <w:r w:rsidR="00853ACE">
        <w:rPr>
          <w:sz w:val="24"/>
          <w:szCs w:val="24"/>
        </w:rPr>
        <w:t>-</w:t>
      </w:r>
      <w:r w:rsidRPr="00F9028B">
        <w:rPr>
          <w:sz w:val="24"/>
          <w:szCs w:val="24"/>
        </w:rPr>
        <w:t>4 NOAA economists.  Although the economists will be employed full time by the federal government with or without this project, these hours would be diverted to other valuable tasks in the absence of this data collection.  We use hourly loaded wage rates to estimate these opportunity costs.  Assuming annual salaries of $148,000 and a 40% benefit load, these hours amount to $17,930 annually for salary and benefits related to this data collection. Therefore, the total estimated annual costs incurred by the federal government as a result of implementing this survey are $</w:t>
      </w:r>
      <w:r w:rsidR="00035261" w:rsidRPr="00035261">
        <w:rPr>
          <w:sz w:val="24"/>
          <w:szCs w:val="24"/>
        </w:rPr>
        <w:t>60</w:t>
      </w:r>
      <w:r w:rsidR="00035261">
        <w:rPr>
          <w:sz w:val="24"/>
          <w:szCs w:val="24"/>
        </w:rPr>
        <w:t>,</w:t>
      </w:r>
      <w:r w:rsidR="00035261" w:rsidRPr="00035261">
        <w:rPr>
          <w:sz w:val="24"/>
          <w:szCs w:val="24"/>
        </w:rPr>
        <w:t>438.33</w:t>
      </w:r>
      <w:r w:rsidR="00035261">
        <w:rPr>
          <w:sz w:val="24"/>
          <w:szCs w:val="24"/>
        </w:rPr>
        <w:t xml:space="preserve">. Table </w:t>
      </w:r>
      <w:r w:rsidR="00776E48">
        <w:rPr>
          <w:sz w:val="24"/>
          <w:szCs w:val="24"/>
        </w:rPr>
        <w:t>3</w:t>
      </w:r>
      <w:r w:rsidR="00035261">
        <w:rPr>
          <w:sz w:val="24"/>
          <w:szCs w:val="24"/>
        </w:rPr>
        <w:t xml:space="preserve"> shows a detailed breakdown of the annualized costs to the Federal government of </w:t>
      </w:r>
      <w:r w:rsidR="001A00A1">
        <w:rPr>
          <w:sz w:val="24"/>
          <w:szCs w:val="24"/>
        </w:rPr>
        <w:t>conducting</w:t>
      </w:r>
      <w:r w:rsidR="00035261">
        <w:rPr>
          <w:sz w:val="24"/>
          <w:szCs w:val="24"/>
        </w:rPr>
        <w:t xml:space="preserve"> the NARFS.</w:t>
      </w:r>
    </w:p>
    <w:p w14:paraId="59F8494B" w14:textId="59F1E29A" w:rsidR="00583309" w:rsidRDefault="00583309" w:rsidP="00E12028">
      <w:pPr>
        <w:contextualSpacing/>
        <w:rPr>
          <w:sz w:val="24"/>
          <w:szCs w:val="24"/>
        </w:rPr>
      </w:pPr>
    </w:p>
    <w:p w14:paraId="57A0F408" w14:textId="77777777" w:rsidR="00BE7948" w:rsidRDefault="00BE7948" w:rsidP="00E12028">
      <w:pPr>
        <w:contextualSpacing/>
        <w:rPr>
          <w:sz w:val="24"/>
          <w:szCs w:val="24"/>
        </w:rPr>
      </w:pPr>
    </w:p>
    <w:tbl>
      <w:tblPr>
        <w:tblW w:w="5000" w:type="pct"/>
        <w:jc w:val="center"/>
        <w:tblLook w:val="04A0" w:firstRow="1" w:lastRow="0" w:firstColumn="1" w:lastColumn="0" w:noHBand="0" w:noVBand="1"/>
      </w:tblPr>
      <w:tblGrid>
        <w:gridCol w:w="5512"/>
        <w:gridCol w:w="4064"/>
      </w:tblGrid>
      <w:tr w:rsidR="00035261" w:rsidRPr="00035261" w14:paraId="338C6FC8" w14:textId="77777777" w:rsidTr="00C77DB2">
        <w:trPr>
          <w:trHeight w:val="300"/>
          <w:jc w:val="center"/>
        </w:trPr>
        <w:tc>
          <w:tcPr>
            <w:tcW w:w="5000" w:type="pct"/>
            <w:gridSpan w:val="2"/>
            <w:tcBorders>
              <w:top w:val="nil"/>
              <w:left w:val="nil"/>
              <w:bottom w:val="single" w:sz="4" w:space="0" w:color="auto"/>
              <w:right w:val="nil"/>
            </w:tcBorders>
            <w:shd w:val="clear" w:color="auto" w:fill="auto"/>
            <w:noWrap/>
            <w:vAlign w:val="center"/>
          </w:tcPr>
          <w:p w14:paraId="7B7E338C" w14:textId="589C8F65" w:rsidR="00035261" w:rsidRDefault="00035261" w:rsidP="00C77DB2">
            <w:pPr>
              <w:widowControl/>
              <w:autoSpaceDE/>
              <w:autoSpaceDN/>
              <w:adjustRightInd/>
              <w:contextualSpacing/>
              <w:rPr>
                <w:color w:val="000000"/>
                <w:sz w:val="22"/>
                <w:szCs w:val="22"/>
              </w:rPr>
            </w:pPr>
            <w:r>
              <w:rPr>
                <w:color w:val="000000"/>
                <w:sz w:val="22"/>
                <w:szCs w:val="22"/>
              </w:rPr>
              <w:t xml:space="preserve">Table </w:t>
            </w:r>
            <w:r w:rsidR="00776E48">
              <w:rPr>
                <w:color w:val="000000"/>
                <w:sz w:val="22"/>
                <w:szCs w:val="22"/>
              </w:rPr>
              <w:t>3</w:t>
            </w:r>
            <w:r>
              <w:rPr>
                <w:color w:val="000000"/>
                <w:sz w:val="22"/>
                <w:szCs w:val="22"/>
              </w:rPr>
              <w:t xml:space="preserve">. Estimated annualized costs of the NARFS over three years. </w:t>
            </w:r>
          </w:p>
        </w:tc>
      </w:tr>
      <w:tr w:rsidR="00035261" w:rsidRPr="00035261" w14:paraId="27D52797" w14:textId="77777777" w:rsidTr="00C77DB2">
        <w:trPr>
          <w:trHeight w:val="300"/>
          <w:jc w:val="center"/>
        </w:trPr>
        <w:tc>
          <w:tcPr>
            <w:tcW w:w="2878" w:type="pct"/>
            <w:tcBorders>
              <w:top w:val="nil"/>
              <w:left w:val="nil"/>
              <w:bottom w:val="single" w:sz="4" w:space="0" w:color="auto"/>
              <w:right w:val="nil"/>
            </w:tcBorders>
            <w:shd w:val="clear" w:color="auto" w:fill="auto"/>
            <w:noWrap/>
            <w:vAlign w:val="bottom"/>
          </w:tcPr>
          <w:p w14:paraId="4EE34695" w14:textId="588FF012" w:rsidR="00035261" w:rsidRPr="00035261" w:rsidRDefault="00035261" w:rsidP="00C77DB2">
            <w:pPr>
              <w:widowControl/>
              <w:autoSpaceDE/>
              <w:autoSpaceDN/>
              <w:adjustRightInd/>
              <w:contextualSpacing/>
              <w:rPr>
                <w:color w:val="000000"/>
                <w:sz w:val="22"/>
                <w:szCs w:val="22"/>
              </w:rPr>
            </w:pPr>
            <w:r>
              <w:rPr>
                <w:color w:val="000000"/>
                <w:sz w:val="22"/>
                <w:szCs w:val="22"/>
              </w:rPr>
              <w:t>Task</w:t>
            </w:r>
          </w:p>
        </w:tc>
        <w:tc>
          <w:tcPr>
            <w:tcW w:w="2122" w:type="pct"/>
            <w:tcBorders>
              <w:top w:val="nil"/>
              <w:left w:val="nil"/>
              <w:bottom w:val="single" w:sz="4" w:space="0" w:color="auto"/>
              <w:right w:val="nil"/>
            </w:tcBorders>
            <w:shd w:val="clear" w:color="auto" w:fill="auto"/>
            <w:noWrap/>
            <w:vAlign w:val="bottom"/>
          </w:tcPr>
          <w:p w14:paraId="0017B05A" w14:textId="2D14BB86" w:rsidR="00035261" w:rsidRPr="00035261" w:rsidRDefault="00035261" w:rsidP="00C77DB2">
            <w:pPr>
              <w:widowControl/>
              <w:autoSpaceDE/>
              <w:autoSpaceDN/>
              <w:adjustRightInd/>
              <w:contextualSpacing/>
              <w:jc w:val="right"/>
              <w:rPr>
                <w:color w:val="000000"/>
                <w:sz w:val="22"/>
                <w:szCs w:val="22"/>
              </w:rPr>
            </w:pPr>
            <w:r>
              <w:rPr>
                <w:color w:val="000000"/>
                <w:sz w:val="22"/>
                <w:szCs w:val="22"/>
              </w:rPr>
              <w:t>Estimated annualized cost over three years</w:t>
            </w:r>
          </w:p>
        </w:tc>
      </w:tr>
      <w:tr w:rsidR="00035261" w:rsidRPr="00035261" w14:paraId="1C0CCF0B" w14:textId="77777777" w:rsidTr="00C77DB2">
        <w:trPr>
          <w:trHeight w:val="300"/>
          <w:jc w:val="center"/>
        </w:trPr>
        <w:tc>
          <w:tcPr>
            <w:tcW w:w="2878" w:type="pct"/>
            <w:tcBorders>
              <w:top w:val="single" w:sz="4" w:space="0" w:color="auto"/>
              <w:left w:val="nil"/>
              <w:bottom w:val="nil"/>
              <w:right w:val="nil"/>
            </w:tcBorders>
            <w:shd w:val="clear" w:color="auto" w:fill="auto"/>
            <w:noWrap/>
            <w:vAlign w:val="bottom"/>
          </w:tcPr>
          <w:p w14:paraId="0E1FAE16" w14:textId="77A1860A" w:rsidR="00035261" w:rsidRPr="00C77DB2" w:rsidRDefault="00035261" w:rsidP="00C77DB2">
            <w:pPr>
              <w:widowControl/>
              <w:autoSpaceDE/>
              <w:autoSpaceDN/>
              <w:adjustRightInd/>
              <w:contextualSpacing/>
              <w:rPr>
                <w:i/>
                <w:color w:val="000000"/>
                <w:sz w:val="22"/>
                <w:szCs w:val="22"/>
              </w:rPr>
            </w:pPr>
            <w:r w:rsidRPr="00C77DB2">
              <w:rPr>
                <w:i/>
                <w:color w:val="000000"/>
                <w:sz w:val="22"/>
                <w:szCs w:val="22"/>
              </w:rPr>
              <w:t>Survey Costs</w:t>
            </w:r>
          </w:p>
        </w:tc>
        <w:tc>
          <w:tcPr>
            <w:tcW w:w="2122" w:type="pct"/>
            <w:tcBorders>
              <w:top w:val="single" w:sz="4" w:space="0" w:color="auto"/>
              <w:left w:val="nil"/>
              <w:bottom w:val="nil"/>
              <w:right w:val="nil"/>
            </w:tcBorders>
            <w:shd w:val="clear" w:color="auto" w:fill="auto"/>
            <w:noWrap/>
            <w:vAlign w:val="center"/>
          </w:tcPr>
          <w:p w14:paraId="70663504" w14:textId="77777777" w:rsidR="00035261" w:rsidRPr="00035261" w:rsidRDefault="00035261" w:rsidP="00C77DB2">
            <w:pPr>
              <w:widowControl/>
              <w:autoSpaceDE/>
              <w:autoSpaceDN/>
              <w:adjustRightInd/>
              <w:contextualSpacing/>
              <w:jc w:val="center"/>
              <w:rPr>
                <w:color w:val="000000"/>
                <w:sz w:val="22"/>
                <w:szCs w:val="22"/>
              </w:rPr>
            </w:pPr>
          </w:p>
        </w:tc>
      </w:tr>
      <w:tr w:rsidR="00035261" w:rsidRPr="00035261" w14:paraId="15B82F94" w14:textId="77777777" w:rsidTr="00035261">
        <w:trPr>
          <w:trHeight w:val="300"/>
          <w:jc w:val="center"/>
        </w:trPr>
        <w:tc>
          <w:tcPr>
            <w:tcW w:w="2878" w:type="pct"/>
            <w:tcBorders>
              <w:top w:val="nil"/>
              <w:left w:val="nil"/>
              <w:bottom w:val="nil"/>
              <w:right w:val="nil"/>
            </w:tcBorders>
            <w:shd w:val="clear" w:color="auto" w:fill="auto"/>
            <w:noWrap/>
            <w:vAlign w:val="bottom"/>
            <w:hideMark/>
          </w:tcPr>
          <w:p w14:paraId="51D0830E" w14:textId="71F62700" w:rsidR="00035261" w:rsidRPr="00C77DB2" w:rsidRDefault="00035261" w:rsidP="00C77DB2">
            <w:pPr>
              <w:widowControl/>
              <w:autoSpaceDE/>
              <w:autoSpaceDN/>
              <w:adjustRightInd/>
              <w:contextualSpacing/>
              <w:rPr>
                <w:color w:val="000000"/>
                <w:sz w:val="22"/>
                <w:szCs w:val="22"/>
              </w:rPr>
            </w:pPr>
            <w:r>
              <w:rPr>
                <w:color w:val="000000"/>
                <w:sz w:val="22"/>
                <w:szCs w:val="22"/>
              </w:rPr>
              <w:t xml:space="preserve">   </w:t>
            </w:r>
            <w:r w:rsidRPr="00C77DB2">
              <w:rPr>
                <w:color w:val="000000"/>
                <w:sz w:val="22"/>
                <w:szCs w:val="22"/>
              </w:rPr>
              <w:t xml:space="preserve">Survey Design and Administration </w:t>
            </w:r>
          </w:p>
        </w:tc>
        <w:tc>
          <w:tcPr>
            <w:tcW w:w="2122" w:type="pct"/>
            <w:tcBorders>
              <w:top w:val="nil"/>
              <w:left w:val="nil"/>
              <w:bottom w:val="nil"/>
              <w:right w:val="nil"/>
            </w:tcBorders>
            <w:shd w:val="clear" w:color="auto" w:fill="auto"/>
            <w:noWrap/>
            <w:vAlign w:val="center"/>
            <w:hideMark/>
          </w:tcPr>
          <w:p w14:paraId="4740A2F3" w14:textId="624C0C2F" w:rsidR="00035261" w:rsidRPr="00C77DB2" w:rsidRDefault="00035261" w:rsidP="00C77DB2">
            <w:pPr>
              <w:widowControl/>
              <w:autoSpaceDE/>
              <w:autoSpaceDN/>
              <w:adjustRightInd/>
              <w:contextualSpacing/>
              <w:jc w:val="center"/>
              <w:rPr>
                <w:color w:val="000000"/>
                <w:sz w:val="22"/>
                <w:szCs w:val="22"/>
              </w:rPr>
            </w:pPr>
            <w:r>
              <w:rPr>
                <w:color w:val="000000"/>
                <w:sz w:val="22"/>
                <w:szCs w:val="22"/>
              </w:rPr>
              <w:t>$</w:t>
            </w:r>
            <w:r w:rsidRPr="00C77DB2">
              <w:rPr>
                <w:color w:val="000000"/>
                <w:sz w:val="22"/>
                <w:szCs w:val="22"/>
              </w:rPr>
              <w:t>25</w:t>
            </w:r>
            <w:r>
              <w:rPr>
                <w:color w:val="000000"/>
                <w:sz w:val="22"/>
                <w:szCs w:val="22"/>
              </w:rPr>
              <w:t>,</w:t>
            </w:r>
            <w:r w:rsidRPr="00C77DB2">
              <w:rPr>
                <w:color w:val="000000"/>
                <w:sz w:val="22"/>
                <w:szCs w:val="22"/>
              </w:rPr>
              <w:t>591.67</w:t>
            </w:r>
          </w:p>
        </w:tc>
      </w:tr>
      <w:tr w:rsidR="00035261" w:rsidRPr="00035261" w14:paraId="557C416E" w14:textId="77777777" w:rsidTr="00035261">
        <w:trPr>
          <w:trHeight w:val="300"/>
          <w:jc w:val="center"/>
        </w:trPr>
        <w:tc>
          <w:tcPr>
            <w:tcW w:w="2878" w:type="pct"/>
            <w:tcBorders>
              <w:top w:val="nil"/>
              <w:left w:val="nil"/>
              <w:bottom w:val="nil"/>
              <w:right w:val="nil"/>
            </w:tcBorders>
            <w:shd w:val="clear" w:color="auto" w:fill="auto"/>
            <w:noWrap/>
            <w:vAlign w:val="bottom"/>
            <w:hideMark/>
          </w:tcPr>
          <w:p w14:paraId="5605F870" w14:textId="6110CA91" w:rsidR="00035261" w:rsidRPr="00C77DB2" w:rsidRDefault="00035261" w:rsidP="00C77DB2">
            <w:pPr>
              <w:widowControl/>
              <w:autoSpaceDE/>
              <w:autoSpaceDN/>
              <w:adjustRightInd/>
              <w:contextualSpacing/>
              <w:rPr>
                <w:color w:val="000000"/>
                <w:sz w:val="22"/>
                <w:szCs w:val="22"/>
              </w:rPr>
            </w:pPr>
            <w:r>
              <w:rPr>
                <w:color w:val="000000"/>
                <w:sz w:val="22"/>
                <w:szCs w:val="22"/>
              </w:rPr>
              <w:t xml:space="preserve">   </w:t>
            </w:r>
            <w:r w:rsidRPr="00C77DB2">
              <w:rPr>
                <w:color w:val="000000"/>
                <w:sz w:val="22"/>
                <w:szCs w:val="22"/>
              </w:rPr>
              <w:t xml:space="preserve">Programming </w:t>
            </w:r>
          </w:p>
        </w:tc>
        <w:tc>
          <w:tcPr>
            <w:tcW w:w="2122" w:type="pct"/>
            <w:tcBorders>
              <w:top w:val="nil"/>
              <w:left w:val="nil"/>
              <w:bottom w:val="nil"/>
              <w:right w:val="nil"/>
            </w:tcBorders>
            <w:shd w:val="clear" w:color="auto" w:fill="auto"/>
            <w:noWrap/>
            <w:vAlign w:val="center"/>
            <w:hideMark/>
          </w:tcPr>
          <w:p w14:paraId="3E18B8F4" w14:textId="1A7C5D63" w:rsidR="00035261" w:rsidRPr="00C77DB2" w:rsidRDefault="00035261" w:rsidP="00C77DB2">
            <w:pPr>
              <w:widowControl/>
              <w:autoSpaceDE/>
              <w:autoSpaceDN/>
              <w:adjustRightInd/>
              <w:contextualSpacing/>
              <w:jc w:val="center"/>
              <w:rPr>
                <w:color w:val="000000"/>
                <w:sz w:val="22"/>
                <w:szCs w:val="22"/>
              </w:rPr>
            </w:pPr>
            <w:r>
              <w:rPr>
                <w:color w:val="000000"/>
                <w:sz w:val="22"/>
                <w:szCs w:val="22"/>
              </w:rPr>
              <w:t>$</w:t>
            </w:r>
            <w:r w:rsidRPr="00C77DB2">
              <w:rPr>
                <w:color w:val="000000"/>
                <w:sz w:val="22"/>
                <w:szCs w:val="22"/>
              </w:rPr>
              <w:t>2</w:t>
            </w:r>
            <w:r>
              <w:rPr>
                <w:color w:val="000000"/>
                <w:sz w:val="22"/>
                <w:szCs w:val="22"/>
              </w:rPr>
              <w:t>,</w:t>
            </w:r>
            <w:r w:rsidRPr="00C77DB2">
              <w:rPr>
                <w:color w:val="000000"/>
                <w:sz w:val="22"/>
                <w:szCs w:val="22"/>
              </w:rPr>
              <w:t>506</w:t>
            </w:r>
          </w:p>
        </w:tc>
      </w:tr>
      <w:tr w:rsidR="00035261" w:rsidRPr="00035261" w14:paraId="76BF3D29" w14:textId="77777777" w:rsidTr="00035261">
        <w:trPr>
          <w:trHeight w:val="300"/>
          <w:jc w:val="center"/>
        </w:trPr>
        <w:tc>
          <w:tcPr>
            <w:tcW w:w="2878" w:type="pct"/>
            <w:tcBorders>
              <w:top w:val="nil"/>
              <w:left w:val="nil"/>
              <w:bottom w:val="nil"/>
              <w:right w:val="nil"/>
            </w:tcBorders>
            <w:shd w:val="clear" w:color="auto" w:fill="auto"/>
            <w:noWrap/>
            <w:vAlign w:val="bottom"/>
            <w:hideMark/>
          </w:tcPr>
          <w:p w14:paraId="1AE6FC2B" w14:textId="65F0176D" w:rsidR="00035261" w:rsidRPr="00C77DB2" w:rsidRDefault="00035261" w:rsidP="00C77DB2">
            <w:pPr>
              <w:widowControl/>
              <w:autoSpaceDE/>
              <w:autoSpaceDN/>
              <w:adjustRightInd/>
              <w:contextualSpacing/>
              <w:rPr>
                <w:color w:val="000000"/>
                <w:sz w:val="22"/>
                <w:szCs w:val="22"/>
              </w:rPr>
            </w:pPr>
            <w:r>
              <w:rPr>
                <w:color w:val="000000"/>
                <w:sz w:val="22"/>
                <w:szCs w:val="22"/>
              </w:rPr>
              <w:t xml:space="preserve">   </w:t>
            </w:r>
            <w:r w:rsidRPr="00C77DB2">
              <w:rPr>
                <w:color w:val="000000"/>
                <w:sz w:val="22"/>
                <w:szCs w:val="22"/>
              </w:rPr>
              <w:t xml:space="preserve">Telephone pre-screening </w:t>
            </w:r>
            <w:r w:rsidRPr="00035261">
              <w:rPr>
                <w:color w:val="000000"/>
                <w:sz w:val="22"/>
                <w:szCs w:val="22"/>
              </w:rPr>
              <w:t>interviews</w:t>
            </w:r>
          </w:p>
        </w:tc>
        <w:tc>
          <w:tcPr>
            <w:tcW w:w="2122" w:type="pct"/>
            <w:tcBorders>
              <w:top w:val="nil"/>
              <w:left w:val="nil"/>
              <w:bottom w:val="nil"/>
              <w:right w:val="nil"/>
            </w:tcBorders>
            <w:shd w:val="clear" w:color="auto" w:fill="auto"/>
            <w:noWrap/>
            <w:vAlign w:val="center"/>
            <w:hideMark/>
          </w:tcPr>
          <w:p w14:paraId="2A64C3FB" w14:textId="3017718A" w:rsidR="00035261" w:rsidRPr="00C77DB2" w:rsidRDefault="00035261" w:rsidP="00C77DB2">
            <w:pPr>
              <w:widowControl/>
              <w:autoSpaceDE/>
              <w:autoSpaceDN/>
              <w:adjustRightInd/>
              <w:contextualSpacing/>
              <w:jc w:val="center"/>
              <w:rPr>
                <w:color w:val="000000"/>
                <w:sz w:val="22"/>
                <w:szCs w:val="22"/>
              </w:rPr>
            </w:pPr>
            <w:r>
              <w:rPr>
                <w:color w:val="000000"/>
                <w:sz w:val="22"/>
                <w:szCs w:val="22"/>
              </w:rPr>
              <w:t>$</w:t>
            </w:r>
            <w:r w:rsidRPr="00C77DB2">
              <w:rPr>
                <w:color w:val="000000"/>
                <w:sz w:val="22"/>
                <w:szCs w:val="22"/>
              </w:rPr>
              <w:t>3</w:t>
            </w:r>
            <w:r>
              <w:rPr>
                <w:color w:val="000000"/>
                <w:sz w:val="22"/>
                <w:szCs w:val="22"/>
              </w:rPr>
              <w:t>,</w:t>
            </w:r>
            <w:r w:rsidRPr="00C77DB2">
              <w:rPr>
                <w:color w:val="000000"/>
                <w:sz w:val="22"/>
                <w:szCs w:val="22"/>
              </w:rPr>
              <w:t>000</w:t>
            </w:r>
          </w:p>
        </w:tc>
      </w:tr>
      <w:tr w:rsidR="00035261" w:rsidRPr="00035261" w14:paraId="4DC0D3F7" w14:textId="77777777" w:rsidTr="00035261">
        <w:trPr>
          <w:trHeight w:val="300"/>
          <w:jc w:val="center"/>
        </w:trPr>
        <w:tc>
          <w:tcPr>
            <w:tcW w:w="2878" w:type="pct"/>
            <w:tcBorders>
              <w:top w:val="nil"/>
              <w:left w:val="nil"/>
              <w:bottom w:val="nil"/>
              <w:right w:val="nil"/>
            </w:tcBorders>
            <w:shd w:val="clear" w:color="auto" w:fill="auto"/>
            <w:noWrap/>
            <w:vAlign w:val="bottom"/>
            <w:hideMark/>
          </w:tcPr>
          <w:p w14:paraId="219A4AF4" w14:textId="1D10DB1E" w:rsidR="00035261" w:rsidRPr="00C77DB2" w:rsidRDefault="00035261" w:rsidP="00C77DB2">
            <w:pPr>
              <w:widowControl/>
              <w:autoSpaceDE/>
              <w:autoSpaceDN/>
              <w:adjustRightInd/>
              <w:contextualSpacing/>
              <w:rPr>
                <w:color w:val="000000"/>
                <w:sz w:val="22"/>
                <w:szCs w:val="22"/>
              </w:rPr>
            </w:pPr>
            <w:r>
              <w:rPr>
                <w:color w:val="000000"/>
                <w:sz w:val="22"/>
                <w:szCs w:val="22"/>
              </w:rPr>
              <w:t xml:space="preserve">   </w:t>
            </w:r>
            <w:r w:rsidRPr="00C77DB2">
              <w:rPr>
                <w:color w:val="000000"/>
                <w:sz w:val="22"/>
                <w:szCs w:val="22"/>
              </w:rPr>
              <w:t>Print</w:t>
            </w:r>
            <w:r>
              <w:rPr>
                <w:color w:val="000000"/>
                <w:sz w:val="22"/>
                <w:szCs w:val="22"/>
              </w:rPr>
              <w:t>ing</w:t>
            </w:r>
            <w:r w:rsidRPr="00C77DB2">
              <w:rPr>
                <w:color w:val="000000"/>
                <w:sz w:val="22"/>
                <w:szCs w:val="22"/>
              </w:rPr>
              <w:t xml:space="preserve"> </w:t>
            </w:r>
          </w:p>
        </w:tc>
        <w:tc>
          <w:tcPr>
            <w:tcW w:w="2122" w:type="pct"/>
            <w:tcBorders>
              <w:top w:val="nil"/>
              <w:left w:val="nil"/>
              <w:bottom w:val="nil"/>
              <w:right w:val="nil"/>
            </w:tcBorders>
            <w:shd w:val="clear" w:color="auto" w:fill="auto"/>
            <w:noWrap/>
            <w:vAlign w:val="center"/>
            <w:hideMark/>
          </w:tcPr>
          <w:p w14:paraId="373A2C43" w14:textId="0E6B750E" w:rsidR="00035261" w:rsidRPr="00C77DB2" w:rsidRDefault="00035261" w:rsidP="00C77DB2">
            <w:pPr>
              <w:widowControl/>
              <w:autoSpaceDE/>
              <w:autoSpaceDN/>
              <w:adjustRightInd/>
              <w:contextualSpacing/>
              <w:jc w:val="center"/>
              <w:rPr>
                <w:color w:val="000000"/>
                <w:sz w:val="22"/>
                <w:szCs w:val="22"/>
              </w:rPr>
            </w:pPr>
            <w:r>
              <w:rPr>
                <w:color w:val="000000"/>
                <w:sz w:val="22"/>
                <w:szCs w:val="22"/>
              </w:rPr>
              <w:t>$</w:t>
            </w:r>
            <w:r w:rsidRPr="00C77DB2">
              <w:rPr>
                <w:color w:val="000000"/>
                <w:sz w:val="22"/>
                <w:szCs w:val="22"/>
              </w:rPr>
              <w:t>5</w:t>
            </w:r>
            <w:r>
              <w:rPr>
                <w:color w:val="000000"/>
                <w:sz w:val="22"/>
                <w:szCs w:val="22"/>
              </w:rPr>
              <w:t>,</w:t>
            </w:r>
            <w:r w:rsidRPr="00C77DB2">
              <w:rPr>
                <w:color w:val="000000"/>
                <w:sz w:val="22"/>
                <w:szCs w:val="22"/>
              </w:rPr>
              <w:t>410</w:t>
            </w:r>
          </w:p>
        </w:tc>
      </w:tr>
      <w:tr w:rsidR="00035261" w:rsidRPr="00035261" w14:paraId="5E687B99" w14:textId="77777777" w:rsidTr="00035261">
        <w:trPr>
          <w:trHeight w:val="300"/>
          <w:jc w:val="center"/>
        </w:trPr>
        <w:tc>
          <w:tcPr>
            <w:tcW w:w="2878" w:type="pct"/>
            <w:tcBorders>
              <w:top w:val="nil"/>
              <w:left w:val="nil"/>
              <w:bottom w:val="nil"/>
              <w:right w:val="nil"/>
            </w:tcBorders>
            <w:shd w:val="clear" w:color="auto" w:fill="auto"/>
            <w:noWrap/>
            <w:vAlign w:val="bottom"/>
            <w:hideMark/>
          </w:tcPr>
          <w:p w14:paraId="79908B76" w14:textId="247B1F9F" w:rsidR="00035261" w:rsidRPr="00C77DB2" w:rsidRDefault="00035261" w:rsidP="00C77DB2">
            <w:pPr>
              <w:widowControl/>
              <w:autoSpaceDE/>
              <w:autoSpaceDN/>
              <w:adjustRightInd/>
              <w:contextualSpacing/>
              <w:rPr>
                <w:color w:val="000000"/>
                <w:sz w:val="22"/>
                <w:szCs w:val="22"/>
              </w:rPr>
            </w:pPr>
            <w:r>
              <w:rPr>
                <w:color w:val="000000"/>
                <w:sz w:val="22"/>
                <w:szCs w:val="22"/>
              </w:rPr>
              <w:t xml:space="preserve">   </w:t>
            </w:r>
            <w:r w:rsidRPr="00C77DB2">
              <w:rPr>
                <w:color w:val="000000"/>
                <w:sz w:val="22"/>
                <w:szCs w:val="22"/>
              </w:rPr>
              <w:t xml:space="preserve">Postage </w:t>
            </w:r>
          </w:p>
        </w:tc>
        <w:tc>
          <w:tcPr>
            <w:tcW w:w="2122" w:type="pct"/>
            <w:tcBorders>
              <w:top w:val="nil"/>
              <w:left w:val="nil"/>
              <w:bottom w:val="nil"/>
              <w:right w:val="nil"/>
            </w:tcBorders>
            <w:shd w:val="clear" w:color="auto" w:fill="auto"/>
            <w:noWrap/>
            <w:vAlign w:val="center"/>
            <w:hideMark/>
          </w:tcPr>
          <w:p w14:paraId="39431AD0" w14:textId="4B765D39" w:rsidR="00035261" w:rsidRPr="00C77DB2" w:rsidRDefault="00035261" w:rsidP="00C77DB2">
            <w:pPr>
              <w:widowControl/>
              <w:autoSpaceDE/>
              <w:autoSpaceDN/>
              <w:adjustRightInd/>
              <w:contextualSpacing/>
              <w:jc w:val="center"/>
              <w:rPr>
                <w:color w:val="000000"/>
                <w:sz w:val="22"/>
                <w:szCs w:val="22"/>
              </w:rPr>
            </w:pPr>
            <w:r>
              <w:rPr>
                <w:color w:val="000000"/>
                <w:sz w:val="22"/>
                <w:szCs w:val="22"/>
              </w:rPr>
              <w:t>$</w:t>
            </w:r>
            <w:r w:rsidRPr="00C77DB2">
              <w:rPr>
                <w:color w:val="000000"/>
                <w:sz w:val="22"/>
                <w:szCs w:val="22"/>
              </w:rPr>
              <w:t>2</w:t>
            </w:r>
            <w:r>
              <w:rPr>
                <w:color w:val="000000"/>
                <w:sz w:val="22"/>
                <w:szCs w:val="22"/>
              </w:rPr>
              <w:t>,</w:t>
            </w:r>
            <w:r w:rsidRPr="00C77DB2">
              <w:rPr>
                <w:color w:val="000000"/>
                <w:sz w:val="22"/>
                <w:szCs w:val="22"/>
              </w:rPr>
              <w:t>874.333</w:t>
            </w:r>
          </w:p>
        </w:tc>
      </w:tr>
      <w:tr w:rsidR="00035261" w:rsidRPr="00035261" w14:paraId="421693F8" w14:textId="77777777" w:rsidTr="00035261">
        <w:trPr>
          <w:trHeight w:val="300"/>
          <w:jc w:val="center"/>
        </w:trPr>
        <w:tc>
          <w:tcPr>
            <w:tcW w:w="2878" w:type="pct"/>
            <w:tcBorders>
              <w:top w:val="nil"/>
              <w:left w:val="nil"/>
              <w:bottom w:val="nil"/>
              <w:right w:val="nil"/>
            </w:tcBorders>
            <w:shd w:val="clear" w:color="auto" w:fill="auto"/>
            <w:noWrap/>
            <w:vAlign w:val="bottom"/>
            <w:hideMark/>
          </w:tcPr>
          <w:p w14:paraId="695A74D8" w14:textId="22D33599" w:rsidR="00035261" w:rsidRPr="00C77DB2" w:rsidRDefault="00035261" w:rsidP="00C77DB2">
            <w:pPr>
              <w:widowControl/>
              <w:autoSpaceDE/>
              <w:autoSpaceDN/>
              <w:adjustRightInd/>
              <w:contextualSpacing/>
              <w:rPr>
                <w:color w:val="000000"/>
                <w:sz w:val="22"/>
                <w:szCs w:val="22"/>
              </w:rPr>
            </w:pPr>
            <w:r>
              <w:rPr>
                <w:color w:val="000000"/>
                <w:sz w:val="22"/>
                <w:szCs w:val="22"/>
              </w:rPr>
              <w:t xml:space="preserve">   </w:t>
            </w:r>
            <w:r w:rsidRPr="00C77DB2">
              <w:rPr>
                <w:color w:val="000000"/>
                <w:sz w:val="22"/>
                <w:szCs w:val="22"/>
              </w:rPr>
              <w:t xml:space="preserve">Incentives </w:t>
            </w:r>
          </w:p>
        </w:tc>
        <w:tc>
          <w:tcPr>
            <w:tcW w:w="2122" w:type="pct"/>
            <w:tcBorders>
              <w:top w:val="nil"/>
              <w:left w:val="nil"/>
              <w:bottom w:val="nil"/>
              <w:right w:val="nil"/>
            </w:tcBorders>
            <w:shd w:val="clear" w:color="auto" w:fill="auto"/>
            <w:noWrap/>
            <w:vAlign w:val="center"/>
            <w:hideMark/>
          </w:tcPr>
          <w:p w14:paraId="4E41819F" w14:textId="16E323F5" w:rsidR="00035261" w:rsidRPr="00C77DB2" w:rsidRDefault="00035261" w:rsidP="00C77DB2">
            <w:pPr>
              <w:widowControl/>
              <w:autoSpaceDE/>
              <w:autoSpaceDN/>
              <w:adjustRightInd/>
              <w:contextualSpacing/>
              <w:jc w:val="center"/>
              <w:rPr>
                <w:color w:val="000000"/>
                <w:sz w:val="22"/>
                <w:szCs w:val="22"/>
              </w:rPr>
            </w:pPr>
            <w:r>
              <w:rPr>
                <w:color w:val="000000"/>
                <w:sz w:val="22"/>
                <w:szCs w:val="22"/>
              </w:rPr>
              <w:t>$</w:t>
            </w:r>
            <w:r w:rsidRPr="00C77DB2">
              <w:rPr>
                <w:color w:val="000000"/>
                <w:sz w:val="22"/>
                <w:szCs w:val="22"/>
              </w:rPr>
              <w:t>3</w:t>
            </w:r>
            <w:r>
              <w:rPr>
                <w:color w:val="000000"/>
                <w:sz w:val="22"/>
                <w:szCs w:val="22"/>
              </w:rPr>
              <w:t>,</w:t>
            </w:r>
            <w:r w:rsidRPr="00C77DB2">
              <w:rPr>
                <w:color w:val="000000"/>
                <w:sz w:val="22"/>
                <w:szCs w:val="22"/>
              </w:rPr>
              <w:t>126.333</w:t>
            </w:r>
          </w:p>
        </w:tc>
      </w:tr>
      <w:tr w:rsidR="00035261" w:rsidRPr="00035261" w14:paraId="2FAABF02" w14:textId="77777777" w:rsidTr="00C77DB2">
        <w:trPr>
          <w:trHeight w:val="300"/>
          <w:jc w:val="center"/>
        </w:trPr>
        <w:tc>
          <w:tcPr>
            <w:tcW w:w="2878" w:type="pct"/>
            <w:tcBorders>
              <w:top w:val="nil"/>
              <w:left w:val="nil"/>
              <w:right w:val="nil"/>
            </w:tcBorders>
            <w:shd w:val="clear" w:color="auto" w:fill="auto"/>
            <w:noWrap/>
            <w:vAlign w:val="bottom"/>
          </w:tcPr>
          <w:p w14:paraId="2404FA96" w14:textId="3E44B9E7" w:rsidR="00035261" w:rsidRPr="00C77DB2" w:rsidRDefault="00035261" w:rsidP="00C77DB2">
            <w:pPr>
              <w:widowControl/>
              <w:autoSpaceDE/>
              <w:autoSpaceDN/>
              <w:adjustRightInd/>
              <w:contextualSpacing/>
              <w:rPr>
                <w:i/>
                <w:color w:val="000000"/>
                <w:sz w:val="22"/>
                <w:szCs w:val="22"/>
              </w:rPr>
            </w:pPr>
            <w:r w:rsidRPr="00C77DB2">
              <w:rPr>
                <w:i/>
                <w:color w:val="000000"/>
                <w:sz w:val="22"/>
                <w:szCs w:val="22"/>
              </w:rPr>
              <w:t>Labor Costs</w:t>
            </w:r>
          </w:p>
        </w:tc>
        <w:tc>
          <w:tcPr>
            <w:tcW w:w="2122" w:type="pct"/>
            <w:tcBorders>
              <w:top w:val="nil"/>
              <w:left w:val="nil"/>
              <w:right w:val="nil"/>
            </w:tcBorders>
            <w:shd w:val="clear" w:color="auto" w:fill="auto"/>
            <w:noWrap/>
            <w:vAlign w:val="center"/>
          </w:tcPr>
          <w:p w14:paraId="6E0E24E8" w14:textId="77777777" w:rsidR="00035261" w:rsidRPr="00035261" w:rsidRDefault="00035261" w:rsidP="00C77DB2">
            <w:pPr>
              <w:widowControl/>
              <w:autoSpaceDE/>
              <w:autoSpaceDN/>
              <w:adjustRightInd/>
              <w:contextualSpacing/>
              <w:jc w:val="center"/>
              <w:rPr>
                <w:color w:val="000000"/>
                <w:sz w:val="22"/>
                <w:szCs w:val="22"/>
              </w:rPr>
            </w:pPr>
          </w:p>
        </w:tc>
      </w:tr>
      <w:tr w:rsidR="00035261" w:rsidRPr="00035261" w14:paraId="4E176A1A" w14:textId="77777777" w:rsidTr="00035261">
        <w:trPr>
          <w:trHeight w:val="300"/>
          <w:jc w:val="center"/>
        </w:trPr>
        <w:tc>
          <w:tcPr>
            <w:tcW w:w="2878" w:type="pct"/>
            <w:tcBorders>
              <w:top w:val="nil"/>
              <w:left w:val="nil"/>
              <w:bottom w:val="single" w:sz="4" w:space="0" w:color="auto"/>
              <w:right w:val="nil"/>
            </w:tcBorders>
            <w:shd w:val="clear" w:color="auto" w:fill="auto"/>
            <w:noWrap/>
            <w:vAlign w:val="bottom"/>
            <w:hideMark/>
          </w:tcPr>
          <w:p w14:paraId="77375773" w14:textId="4611C655" w:rsidR="00035261" w:rsidRPr="00C77DB2" w:rsidRDefault="00035261" w:rsidP="00C77DB2">
            <w:pPr>
              <w:widowControl/>
              <w:autoSpaceDE/>
              <w:autoSpaceDN/>
              <w:adjustRightInd/>
              <w:contextualSpacing/>
              <w:rPr>
                <w:color w:val="000000"/>
                <w:sz w:val="22"/>
                <w:szCs w:val="22"/>
              </w:rPr>
            </w:pPr>
            <w:r>
              <w:rPr>
                <w:color w:val="000000"/>
                <w:sz w:val="22"/>
                <w:szCs w:val="22"/>
              </w:rPr>
              <w:t xml:space="preserve">   </w:t>
            </w:r>
            <w:r w:rsidRPr="00C77DB2">
              <w:rPr>
                <w:color w:val="000000"/>
                <w:sz w:val="22"/>
                <w:szCs w:val="22"/>
              </w:rPr>
              <w:t>30 hours each from two ZP-4 NOAA economists</w:t>
            </w:r>
          </w:p>
        </w:tc>
        <w:tc>
          <w:tcPr>
            <w:tcW w:w="2122" w:type="pct"/>
            <w:tcBorders>
              <w:top w:val="nil"/>
              <w:left w:val="nil"/>
              <w:bottom w:val="single" w:sz="4" w:space="0" w:color="auto"/>
              <w:right w:val="nil"/>
            </w:tcBorders>
            <w:shd w:val="clear" w:color="auto" w:fill="auto"/>
            <w:noWrap/>
            <w:vAlign w:val="center"/>
            <w:hideMark/>
          </w:tcPr>
          <w:p w14:paraId="2122C61F" w14:textId="22E73616" w:rsidR="00035261" w:rsidRPr="00C77DB2" w:rsidRDefault="00035261" w:rsidP="00C77DB2">
            <w:pPr>
              <w:widowControl/>
              <w:autoSpaceDE/>
              <w:autoSpaceDN/>
              <w:adjustRightInd/>
              <w:contextualSpacing/>
              <w:jc w:val="center"/>
              <w:rPr>
                <w:color w:val="000000"/>
                <w:sz w:val="22"/>
                <w:szCs w:val="22"/>
              </w:rPr>
            </w:pPr>
            <w:r>
              <w:rPr>
                <w:color w:val="000000"/>
                <w:sz w:val="22"/>
                <w:szCs w:val="22"/>
              </w:rPr>
              <w:t>$</w:t>
            </w:r>
            <w:r w:rsidRPr="00C77DB2">
              <w:rPr>
                <w:color w:val="000000"/>
                <w:sz w:val="22"/>
                <w:szCs w:val="22"/>
              </w:rPr>
              <w:t>17</w:t>
            </w:r>
            <w:r>
              <w:rPr>
                <w:color w:val="000000"/>
                <w:sz w:val="22"/>
                <w:szCs w:val="22"/>
              </w:rPr>
              <w:t>,</w:t>
            </w:r>
            <w:r w:rsidRPr="00C77DB2">
              <w:rPr>
                <w:color w:val="000000"/>
                <w:sz w:val="22"/>
                <w:szCs w:val="22"/>
              </w:rPr>
              <w:t>930</w:t>
            </w:r>
          </w:p>
        </w:tc>
      </w:tr>
      <w:tr w:rsidR="00035261" w:rsidRPr="00035261" w14:paraId="4A602512" w14:textId="77777777" w:rsidTr="00035261">
        <w:trPr>
          <w:trHeight w:val="300"/>
          <w:jc w:val="center"/>
        </w:trPr>
        <w:tc>
          <w:tcPr>
            <w:tcW w:w="2878" w:type="pct"/>
            <w:tcBorders>
              <w:top w:val="single" w:sz="4" w:space="0" w:color="auto"/>
              <w:left w:val="nil"/>
              <w:bottom w:val="nil"/>
              <w:right w:val="nil"/>
            </w:tcBorders>
            <w:shd w:val="clear" w:color="auto" w:fill="auto"/>
            <w:noWrap/>
            <w:vAlign w:val="bottom"/>
            <w:hideMark/>
          </w:tcPr>
          <w:p w14:paraId="734E554A" w14:textId="6116128A" w:rsidR="00035261" w:rsidRPr="00C77DB2" w:rsidRDefault="00035261" w:rsidP="00C77DB2">
            <w:pPr>
              <w:widowControl/>
              <w:autoSpaceDE/>
              <w:autoSpaceDN/>
              <w:adjustRightInd/>
              <w:contextualSpacing/>
              <w:rPr>
                <w:color w:val="000000"/>
                <w:sz w:val="22"/>
                <w:szCs w:val="22"/>
              </w:rPr>
            </w:pPr>
            <w:r w:rsidRPr="00035261">
              <w:rPr>
                <w:color w:val="000000"/>
                <w:sz w:val="22"/>
                <w:szCs w:val="22"/>
              </w:rPr>
              <w:t>Total</w:t>
            </w:r>
          </w:p>
        </w:tc>
        <w:tc>
          <w:tcPr>
            <w:tcW w:w="2122" w:type="pct"/>
            <w:tcBorders>
              <w:top w:val="single" w:sz="4" w:space="0" w:color="auto"/>
              <w:left w:val="nil"/>
              <w:bottom w:val="nil"/>
              <w:right w:val="nil"/>
            </w:tcBorders>
            <w:shd w:val="clear" w:color="auto" w:fill="auto"/>
            <w:noWrap/>
            <w:vAlign w:val="center"/>
            <w:hideMark/>
          </w:tcPr>
          <w:p w14:paraId="1F2ADCAA" w14:textId="386E6562" w:rsidR="00035261" w:rsidRPr="00C77DB2" w:rsidRDefault="00035261" w:rsidP="00C77DB2">
            <w:pPr>
              <w:widowControl/>
              <w:autoSpaceDE/>
              <w:autoSpaceDN/>
              <w:adjustRightInd/>
              <w:contextualSpacing/>
              <w:jc w:val="center"/>
              <w:rPr>
                <w:color w:val="000000"/>
                <w:sz w:val="22"/>
                <w:szCs w:val="22"/>
              </w:rPr>
            </w:pPr>
            <w:r w:rsidRPr="00C77DB2">
              <w:rPr>
                <w:color w:val="000000"/>
                <w:sz w:val="22"/>
                <w:szCs w:val="22"/>
              </w:rPr>
              <w:t>$60,438.33</w:t>
            </w:r>
          </w:p>
        </w:tc>
      </w:tr>
    </w:tbl>
    <w:p w14:paraId="0B207021" w14:textId="77777777" w:rsidR="00035261" w:rsidRDefault="00035261" w:rsidP="00E12028">
      <w:pPr>
        <w:contextualSpacing/>
        <w:rPr>
          <w:sz w:val="24"/>
          <w:szCs w:val="24"/>
        </w:rPr>
      </w:pPr>
    </w:p>
    <w:p w14:paraId="5BFC3D59" w14:textId="77777777" w:rsidR="00F9028B" w:rsidRPr="000D71A0" w:rsidRDefault="00F9028B" w:rsidP="00F9028B">
      <w:pPr>
        <w:contextualSpacing/>
        <w:rPr>
          <w:sz w:val="24"/>
          <w:szCs w:val="24"/>
        </w:rPr>
      </w:pPr>
    </w:p>
    <w:p w14:paraId="2520ABF9" w14:textId="265DC736" w:rsidR="00583309" w:rsidRPr="00E12028" w:rsidRDefault="00583309" w:rsidP="0094229B">
      <w:pPr>
        <w:pStyle w:val="Style2"/>
      </w:pPr>
      <w:r w:rsidRPr="00E12028">
        <w:t>Explain the reasons for any program changes or adjustments.</w:t>
      </w:r>
    </w:p>
    <w:p w14:paraId="71722E3F" w14:textId="77777777" w:rsidR="00583309" w:rsidRDefault="00583309" w:rsidP="00F9028B">
      <w:pPr>
        <w:contextualSpacing/>
        <w:rPr>
          <w:sz w:val="24"/>
          <w:szCs w:val="24"/>
        </w:rPr>
      </w:pPr>
    </w:p>
    <w:p w14:paraId="446508F8" w14:textId="77777777" w:rsidR="00583309" w:rsidRPr="000D71A0" w:rsidRDefault="00583309" w:rsidP="00E12028">
      <w:pPr>
        <w:contextualSpacing/>
        <w:rPr>
          <w:sz w:val="24"/>
          <w:szCs w:val="24"/>
        </w:rPr>
      </w:pPr>
      <w:r w:rsidRPr="000D71A0">
        <w:rPr>
          <w:sz w:val="24"/>
          <w:szCs w:val="24"/>
        </w:rPr>
        <w:t>This is a new program.</w:t>
      </w:r>
    </w:p>
    <w:p w14:paraId="7315E317" w14:textId="77777777" w:rsidR="00583309" w:rsidRDefault="00583309" w:rsidP="00F9028B">
      <w:pPr>
        <w:contextualSpacing/>
        <w:rPr>
          <w:sz w:val="24"/>
          <w:szCs w:val="24"/>
        </w:rPr>
      </w:pPr>
    </w:p>
    <w:p w14:paraId="3F166F6E" w14:textId="69DA63E4" w:rsidR="00583309" w:rsidRPr="00E12028" w:rsidRDefault="00583309" w:rsidP="0094229B">
      <w:pPr>
        <w:pStyle w:val="Style2"/>
      </w:pPr>
      <w:r w:rsidRPr="00E12028">
        <w:t>For collections whose results will be published, outline the plans for tabulation and publication.</w:t>
      </w:r>
    </w:p>
    <w:p w14:paraId="7A371ECE" w14:textId="77777777" w:rsidR="000D1B0B" w:rsidRPr="000D1B0B" w:rsidRDefault="000D1B0B" w:rsidP="00F9028B">
      <w:pPr>
        <w:pStyle w:val="ListParagraph"/>
        <w:ind w:left="360"/>
        <w:rPr>
          <w:i/>
          <w:sz w:val="24"/>
          <w:szCs w:val="24"/>
        </w:rPr>
      </w:pPr>
    </w:p>
    <w:p w14:paraId="5ABD9757" w14:textId="2F8F18DF" w:rsidR="008A67E1" w:rsidRDefault="008A67E1" w:rsidP="00E12028">
      <w:pPr>
        <w:contextualSpacing/>
        <w:rPr>
          <w:sz w:val="24"/>
          <w:szCs w:val="24"/>
        </w:rPr>
      </w:pPr>
      <w:r>
        <w:rPr>
          <w:sz w:val="24"/>
          <w:szCs w:val="24"/>
        </w:rPr>
        <w:t>Results of the economic and bioeconomic models</w:t>
      </w:r>
      <w:r w:rsidRPr="008A67E1">
        <w:rPr>
          <w:sz w:val="24"/>
          <w:szCs w:val="24"/>
        </w:rPr>
        <w:t xml:space="preserve"> </w:t>
      </w:r>
      <w:r>
        <w:rPr>
          <w:sz w:val="24"/>
          <w:szCs w:val="24"/>
        </w:rPr>
        <w:t xml:space="preserve">that use data collected by the </w:t>
      </w:r>
      <w:r w:rsidR="00CA0835">
        <w:rPr>
          <w:sz w:val="24"/>
          <w:szCs w:val="24"/>
        </w:rPr>
        <w:t>NARFS</w:t>
      </w:r>
      <w:r>
        <w:rPr>
          <w:sz w:val="24"/>
          <w:szCs w:val="24"/>
        </w:rPr>
        <w:t xml:space="preserve"> may be reported for</w:t>
      </w:r>
      <w:r w:rsidRPr="008A67E1">
        <w:rPr>
          <w:sz w:val="24"/>
          <w:szCs w:val="24"/>
        </w:rPr>
        <w:t xml:space="preserve"> </w:t>
      </w:r>
      <w:r>
        <w:rPr>
          <w:sz w:val="24"/>
          <w:szCs w:val="24"/>
        </w:rPr>
        <w:t xml:space="preserve">management purposes or in peer reviewed journals. Tabulations of responses to </w:t>
      </w:r>
      <w:r w:rsidR="00CA0835">
        <w:rPr>
          <w:sz w:val="24"/>
          <w:szCs w:val="24"/>
        </w:rPr>
        <w:t>NARFS</w:t>
      </w:r>
      <w:r>
        <w:rPr>
          <w:sz w:val="24"/>
          <w:szCs w:val="24"/>
        </w:rPr>
        <w:t xml:space="preserve"> questions will be aggregated in order to maintain respondent confidentiality, as described in </w:t>
      </w:r>
      <w:r w:rsidR="000D1B0B">
        <w:rPr>
          <w:sz w:val="24"/>
          <w:szCs w:val="24"/>
        </w:rPr>
        <w:t>our</w:t>
      </w:r>
      <w:r>
        <w:rPr>
          <w:sz w:val="24"/>
          <w:szCs w:val="24"/>
        </w:rPr>
        <w:t xml:space="preserve"> answer to </w:t>
      </w:r>
      <w:r w:rsidR="00AA3099">
        <w:rPr>
          <w:sz w:val="24"/>
          <w:szCs w:val="24"/>
        </w:rPr>
        <w:t>q</w:t>
      </w:r>
      <w:r>
        <w:rPr>
          <w:sz w:val="24"/>
          <w:szCs w:val="24"/>
        </w:rPr>
        <w:t xml:space="preserve">uestion A10. </w:t>
      </w:r>
    </w:p>
    <w:p w14:paraId="3663D047" w14:textId="77777777" w:rsidR="008A67E1" w:rsidRDefault="008A67E1" w:rsidP="00F9028B">
      <w:pPr>
        <w:contextualSpacing/>
        <w:rPr>
          <w:sz w:val="24"/>
          <w:szCs w:val="24"/>
        </w:rPr>
      </w:pPr>
    </w:p>
    <w:p w14:paraId="2E3A0E4F" w14:textId="0F0E6F77" w:rsidR="00583309" w:rsidRPr="00E12028" w:rsidRDefault="00583309" w:rsidP="0094229B">
      <w:pPr>
        <w:pStyle w:val="Style2"/>
      </w:pPr>
      <w:r w:rsidRPr="00E12028">
        <w:t>If seeking approval to not display the expiration date for OMB approval of the information collection, explain the reasons why display would be inappropriate.</w:t>
      </w:r>
    </w:p>
    <w:p w14:paraId="0443B05D" w14:textId="77777777" w:rsidR="00583309" w:rsidRDefault="00583309" w:rsidP="00F9028B">
      <w:pPr>
        <w:contextualSpacing/>
        <w:rPr>
          <w:sz w:val="24"/>
          <w:szCs w:val="24"/>
        </w:rPr>
      </w:pPr>
    </w:p>
    <w:p w14:paraId="33D19416" w14:textId="77777777" w:rsidR="00583309" w:rsidRPr="000D71A0" w:rsidRDefault="00583309" w:rsidP="00E12028">
      <w:pPr>
        <w:contextualSpacing/>
        <w:rPr>
          <w:sz w:val="24"/>
          <w:szCs w:val="24"/>
        </w:rPr>
      </w:pPr>
      <w:r>
        <w:rPr>
          <w:sz w:val="24"/>
          <w:szCs w:val="24"/>
        </w:rPr>
        <w:t>This is n</w:t>
      </w:r>
      <w:r w:rsidRPr="000D71A0">
        <w:rPr>
          <w:sz w:val="24"/>
          <w:szCs w:val="24"/>
        </w:rPr>
        <w:t>ot applicable, as we are not seeking such an approval.</w:t>
      </w:r>
    </w:p>
    <w:p w14:paraId="0A2AE198" w14:textId="77777777" w:rsidR="00583309" w:rsidRDefault="00583309" w:rsidP="00F9028B">
      <w:pPr>
        <w:contextualSpacing/>
        <w:rPr>
          <w:sz w:val="24"/>
          <w:szCs w:val="24"/>
        </w:rPr>
      </w:pPr>
    </w:p>
    <w:p w14:paraId="2A1D3047" w14:textId="259BF6A3" w:rsidR="00583309" w:rsidRPr="00E12028" w:rsidRDefault="00583309" w:rsidP="0094229B">
      <w:pPr>
        <w:pStyle w:val="Style2"/>
      </w:pPr>
      <w:r w:rsidRPr="00E12028">
        <w:t>Explain each exception to the certification statement.</w:t>
      </w:r>
    </w:p>
    <w:p w14:paraId="3CD1E624" w14:textId="77777777" w:rsidR="00583309" w:rsidRDefault="00583309" w:rsidP="00F9028B">
      <w:pPr>
        <w:contextualSpacing/>
        <w:rPr>
          <w:sz w:val="24"/>
          <w:szCs w:val="24"/>
        </w:rPr>
      </w:pPr>
    </w:p>
    <w:p w14:paraId="5B76BE74" w14:textId="77777777" w:rsidR="00583309" w:rsidRDefault="00583309" w:rsidP="00E12028">
      <w:pPr>
        <w:contextualSpacing/>
        <w:rPr>
          <w:sz w:val="24"/>
          <w:szCs w:val="24"/>
        </w:rPr>
      </w:pPr>
      <w:r>
        <w:rPr>
          <w:sz w:val="24"/>
          <w:szCs w:val="24"/>
        </w:rPr>
        <w:t>This is n</w:t>
      </w:r>
      <w:r w:rsidRPr="000D71A0">
        <w:rPr>
          <w:sz w:val="24"/>
          <w:szCs w:val="24"/>
        </w:rPr>
        <w:t>ot applicable, as we are not seeking such an exception.</w:t>
      </w:r>
      <w:r>
        <w:rPr>
          <w:sz w:val="24"/>
          <w:szCs w:val="24"/>
        </w:rPr>
        <w:t xml:space="preserve">    </w:t>
      </w:r>
    </w:p>
    <w:p w14:paraId="75755E00" w14:textId="27D64F6B" w:rsidR="00C93614" w:rsidRDefault="00C93614" w:rsidP="00F9028B">
      <w:pPr>
        <w:contextualSpacing/>
        <w:rPr>
          <w:sz w:val="24"/>
          <w:szCs w:val="24"/>
        </w:rPr>
      </w:pPr>
    </w:p>
    <w:p w14:paraId="63B1745D" w14:textId="29CA1257" w:rsidR="00776E48" w:rsidRDefault="00776E48" w:rsidP="00F9028B">
      <w:pPr>
        <w:contextualSpacing/>
        <w:rPr>
          <w:sz w:val="24"/>
          <w:szCs w:val="24"/>
        </w:rPr>
      </w:pPr>
    </w:p>
    <w:p w14:paraId="482E656D" w14:textId="36F5EDED" w:rsidR="00776E48" w:rsidRDefault="00776E48" w:rsidP="00F9028B">
      <w:pPr>
        <w:contextualSpacing/>
        <w:rPr>
          <w:sz w:val="24"/>
          <w:szCs w:val="24"/>
        </w:rPr>
      </w:pPr>
    </w:p>
    <w:p w14:paraId="13B56315" w14:textId="06F84CF2" w:rsidR="00776E48" w:rsidRDefault="00776E48" w:rsidP="00F9028B">
      <w:pPr>
        <w:contextualSpacing/>
        <w:rPr>
          <w:sz w:val="24"/>
          <w:szCs w:val="24"/>
        </w:rPr>
      </w:pPr>
    </w:p>
    <w:p w14:paraId="7EAC9243" w14:textId="5A8E9585" w:rsidR="00766A25" w:rsidRDefault="00766A25" w:rsidP="00F9028B">
      <w:pPr>
        <w:contextualSpacing/>
        <w:rPr>
          <w:sz w:val="24"/>
          <w:szCs w:val="24"/>
        </w:rPr>
      </w:pPr>
    </w:p>
    <w:p w14:paraId="2B0AEFC0" w14:textId="4AEA2680" w:rsidR="00766A25" w:rsidRDefault="00766A25" w:rsidP="00F9028B">
      <w:pPr>
        <w:contextualSpacing/>
        <w:rPr>
          <w:sz w:val="24"/>
          <w:szCs w:val="24"/>
        </w:rPr>
      </w:pPr>
    </w:p>
    <w:p w14:paraId="13D3EB79" w14:textId="50A8FB2A" w:rsidR="00766A25" w:rsidRDefault="00766A25" w:rsidP="00F9028B">
      <w:pPr>
        <w:contextualSpacing/>
        <w:rPr>
          <w:sz w:val="24"/>
          <w:szCs w:val="24"/>
        </w:rPr>
      </w:pPr>
    </w:p>
    <w:p w14:paraId="7DB8524C" w14:textId="5C47769C" w:rsidR="00766A25" w:rsidRDefault="00766A25" w:rsidP="00F9028B">
      <w:pPr>
        <w:contextualSpacing/>
        <w:rPr>
          <w:sz w:val="24"/>
          <w:szCs w:val="24"/>
        </w:rPr>
      </w:pPr>
    </w:p>
    <w:p w14:paraId="3C9E228D" w14:textId="6749DFBE" w:rsidR="00766A25" w:rsidRDefault="00766A25" w:rsidP="00F9028B">
      <w:pPr>
        <w:contextualSpacing/>
        <w:rPr>
          <w:sz w:val="24"/>
          <w:szCs w:val="24"/>
        </w:rPr>
      </w:pPr>
    </w:p>
    <w:p w14:paraId="181971BD" w14:textId="75ADF7CC" w:rsidR="00766A25" w:rsidRDefault="00766A25" w:rsidP="00F9028B">
      <w:pPr>
        <w:contextualSpacing/>
        <w:rPr>
          <w:sz w:val="24"/>
          <w:szCs w:val="24"/>
        </w:rPr>
      </w:pPr>
    </w:p>
    <w:p w14:paraId="2E08344A" w14:textId="59D5EE8D" w:rsidR="00766A25" w:rsidRDefault="00766A25" w:rsidP="00F9028B">
      <w:pPr>
        <w:contextualSpacing/>
        <w:rPr>
          <w:sz w:val="24"/>
          <w:szCs w:val="24"/>
        </w:rPr>
      </w:pPr>
    </w:p>
    <w:p w14:paraId="7F2D80CB" w14:textId="4638433F" w:rsidR="00766A25" w:rsidRDefault="00766A25" w:rsidP="00F9028B">
      <w:pPr>
        <w:contextualSpacing/>
        <w:rPr>
          <w:sz w:val="24"/>
          <w:szCs w:val="24"/>
        </w:rPr>
      </w:pPr>
    </w:p>
    <w:p w14:paraId="7778931D" w14:textId="12A75F77" w:rsidR="00766A25" w:rsidRDefault="00766A25" w:rsidP="00F9028B">
      <w:pPr>
        <w:contextualSpacing/>
        <w:rPr>
          <w:sz w:val="24"/>
          <w:szCs w:val="24"/>
        </w:rPr>
      </w:pPr>
    </w:p>
    <w:p w14:paraId="3A062050" w14:textId="68B6441C" w:rsidR="00766A25" w:rsidRDefault="00766A25" w:rsidP="00F9028B">
      <w:pPr>
        <w:contextualSpacing/>
        <w:rPr>
          <w:sz w:val="24"/>
          <w:szCs w:val="24"/>
        </w:rPr>
      </w:pPr>
    </w:p>
    <w:p w14:paraId="335FDAB0" w14:textId="1F88605E" w:rsidR="00766A25" w:rsidRDefault="00766A25" w:rsidP="00F9028B">
      <w:pPr>
        <w:contextualSpacing/>
        <w:rPr>
          <w:sz w:val="24"/>
          <w:szCs w:val="24"/>
        </w:rPr>
      </w:pPr>
    </w:p>
    <w:p w14:paraId="4DE5BFBA" w14:textId="7F950FD3" w:rsidR="00766A25" w:rsidRDefault="00766A25" w:rsidP="00F9028B">
      <w:pPr>
        <w:contextualSpacing/>
        <w:rPr>
          <w:sz w:val="24"/>
          <w:szCs w:val="24"/>
        </w:rPr>
      </w:pPr>
    </w:p>
    <w:p w14:paraId="148D02DF" w14:textId="33621EF2" w:rsidR="00766A25" w:rsidRDefault="00766A25" w:rsidP="00F9028B">
      <w:pPr>
        <w:contextualSpacing/>
        <w:rPr>
          <w:sz w:val="24"/>
          <w:szCs w:val="24"/>
        </w:rPr>
      </w:pPr>
    </w:p>
    <w:p w14:paraId="5649E8ED" w14:textId="58160410" w:rsidR="00766A25" w:rsidRDefault="00766A25" w:rsidP="00F9028B">
      <w:pPr>
        <w:contextualSpacing/>
        <w:rPr>
          <w:sz w:val="24"/>
          <w:szCs w:val="24"/>
        </w:rPr>
      </w:pPr>
    </w:p>
    <w:p w14:paraId="5FA6CF00" w14:textId="12EE4F77" w:rsidR="00766A25" w:rsidRDefault="00766A25" w:rsidP="00F9028B">
      <w:pPr>
        <w:contextualSpacing/>
        <w:rPr>
          <w:sz w:val="24"/>
          <w:szCs w:val="24"/>
        </w:rPr>
      </w:pPr>
    </w:p>
    <w:p w14:paraId="5B6B3BEE" w14:textId="22B3F04B" w:rsidR="00766A25" w:rsidRDefault="00766A25" w:rsidP="00F9028B">
      <w:pPr>
        <w:contextualSpacing/>
        <w:rPr>
          <w:sz w:val="24"/>
          <w:szCs w:val="24"/>
        </w:rPr>
      </w:pPr>
    </w:p>
    <w:p w14:paraId="6C162D62" w14:textId="336C97AB" w:rsidR="00766A25" w:rsidRDefault="00766A25" w:rsidP="00F9028B">
      <w:pPr>
        <w:contextualSpacing/>
        <w:rPr>
          <w:sz w:val="24"/>
          <w:szCs w:val="24"/>
        </w:rPr>
      </w:pPr>
    </w:p>
    <w:p w14:paraId="68033BC8" w14:textId="49D2742F" w:rsidR="00766A25" w:rsidRDefault="00766A25" w:rsidP="00F9028B">
      <w:pPr>
        <w:contextualSpacing/>
        <w:rPr>
          <w:sz w:val="24"/>
          <w:szCs w:val="24"/>
        </w:rPr>
      </w:pPr>
    </w:p>
    <w:p w14:paraId="29C00060" w14:textId="46324DCE" w:rsidR="00766A25" w:rsidRDefault="00766A25" w:rsidP="00F9028B">
      <w:pPr>
        <w:contextualSpacing/>
        <w:rPr>
          <w:sz w:val="24"/>
          <w:szCs w:val="24"/>
        </w:rPr>
      </w:pPr>
    </w:p>
    <w:p w14:paraId="12DFB1A4" w14:textId="2CA1C879" w:rsidR="00766A25" w:rsidRDefault="00766A25" w:rsidP="00F9028B">
      <w:pPr>
        <w:contextualSpacing/>
        <w:rPr>
          <w:sz w:val="24"/>
          <w:szCs w:val="24"/>
        </w:rPr>
      </w:pPr>
    </w:p>
    <w:p w14:paraId="55949363" w14:textId="716E2C5A" w:rsidR="00766A25" w:rsidRDefault="00766A25" w:rsidP="00F9028B">
      <w:pPr>
        <w:contextualSpacing/>
        <w:rPr>
          <w:sz w:val="24"/>
          <w:szCs w:val="24"/>
        </w:rPr>
      </w:pPr>
    </w:p>
    <w:p w14:paraId="2AA86558" w14:textId="637321F6" w:rsidR="00766A25" w:rsidRDefault="00766A25" w:rsidP="00F9028B">
      <w:pPr>
        <w:contextualSpacing/>
        <w:rPr>
          <w:sz w:val="24"/>
          <w:szCs w:val="24"/>
        </w:rPr>
      </w:pPr>
    </w:p>
    <w:p w14:paraId="52EABE19" w14:textId="42BC35B9" w:rsidR="00766A25" w:rsidRDefault="00766A25" w:rsidP="00F9028B">
      <w:pPr>
        <w:contextualSpacing/>
        <w:rPr>
          <w:sz w:val="24"/>
          <w:szCs w:val="24"/>
        </w:rPr>
      </w:pPr>
    </w:p>
    <w:p w14:paraId="4965C5CF" w14:textId="089C6BE5" w:rsidR="00766A25" w:rsidRDefault="00766A25" w:rsidP="00F9028B">
      <w:pPr>
        <w:contextualSpacing/>
        <w:rPr>
          <w:sz w:val="24"/>
          <w:szCs w:val="24"/>
        </w:rPr>
      </w:pPr>
    </w:p>
    <w:p w14:paraId="73E3E011" w14:textId="0A7009A5" w:rsidR="00766A25" w:rsidRDefault="00766A25" w:rsidP="00F9028B">
      <w:pPr>
        <w:contextualSpacing/>
        <w:rPr>
          <w:sz w:val="24"/>
          <w:szCs w:val="24"/>
        </w:rPr>
      </w:pPr>
    </w:p>
    <w:p w14:paraId="072EAC6D" w14:textId="5A5E63AA" w:rsidR="00766A25" w:rsidRDefault="00766A25" w:rsidP="00F9028B">
      <w:pPr>
        <w:contextualSpacing/>
        <w:rPr>
          <w:sz w:val="24"/>
          <w:szCs w:val="24"/>
        </w:rPr>
      </w:pPr>
    </w:p>
    <w:p w14:paraId="72226079" w14:textId="619710F6" w:rsidR="00766A25" w:rsidRDefault="00766A25" w:rsidP="00F9028B">
      <w:pPr>
        <w:contextualSpacing/>
        <w:rPr>
          <w:sz w:val="24"/>
          <w:szCs w:val="24"/>
        </w:rPr>
      </w:pPr>
    </w:p>
    <w:p w14:paraId="7B729643" w14:textId="3A3B4F3D" w:rsidR="00766A25" w:rsidRDefault="00766A25" w:rsidP="00F9028B">
      <w:pPr>
        <w:contextualSpacing/>
        <w:rPr>
          <w:sz w:val="24"/>
          <w:szCs w:val="24"/>
        </w:rPr>
      </w:pPr>
    </w:p>
    <w:p w14:paraId="105B9BF3" w14:textId="3DFEC4B9" w:rsidR="00766A25" w:rsidRDefault="00766A25" w:rsidP="00F9028B">
      <w:pPr>
        <w:contextualSpacing/>
        <w:rPr>
          <w:sz w:val="24"/>
          <w:szCs w:val="24"/>
        </w:rPr>
      </w:pPr>
    </w:p>
    <w:p w14:paraId="71CDCA1E" w14:textId="41F08929" w:rsidR="00766A25" w:rsidRDefault="00766A25" w:rsidP="00F9028B">
      <w:pPr>
        <w:contextualSpacing/>
        <w:rPr>
          <w:sz w:val="24"/>
          <w:szCs w:val="24"/>
        </w:rPr>
      </w:pPr>
    </w:p>
    <w:p w14:paraId="153D0A90" w14:textId="77777777" w:rsidR="00766A25" w:rsidRDefault="00766A25" w:rsidP="00F9028B">
      <w:pPr>
        <w:contextualSpacing/>
        <w:rPr>
          <w:sz w:val="24"/>
          <w:szCs w:val="24"/>
        </w:rPr>
        <w:sectPr w:rsidR="00766A25" w:rsidSect="00583309">
          <w:footerReference w:type="default" r:id="rId12"/>
          <w:footnotePr>
            <w:numRestart w:val="eachSect"/>
          </w:footnotePr>
          <w:endnotePr>
            <w:numFmt w:val="decimal"/>
          </w:endnotePr>
          <w:pgSz w:w="12240" w:h="15840"/>
          <w:pgMar w:top="1440" w:right="1440" w:bottom="1080" w:left="1440" w:header="720" w:footer="720" w:gutter="0"/>
          <w:cols w:space="720"/>
        </w:sectPr>
      </w:pPr>
    </w:p>
    <w:p w14:paraId="33233EE4" w14:textId="70388A4B" w:rsidR="00766A25" w:rsidRDefault="00766A25" w:rsidP="00766A25">
      <w:pPr>
        <w:contextualSpacing/>
        <w:rPr>
          <w:sz w:val="24"/>
          <w:szCs w:val="24"/>
        </w:rPr>
      </w:pPr>
      <w:r w:rsidRPr="00F61FBE">
        <w:rPr>
          <w:sz w:val="24"/>
          <w:szCs w:val="24"/>
        </w:rPr>
        <w:t>REFERENCES</w:t>
      </w:r>
    </w:p>
    <w:p w14:paraId="441E508A" w14:textId="77777777" w:rsidR="00766A25" w:rsidRDefault="00766A25" w:rsidP="00766A25">
      <w:pPr>
        <w:contextualSpacing/>
        <w:rPr>
          <w:sz w:val="24"/>
          <w:szCs w:val="24"/>
        </w:rPr>
      </w:pPr>
    </w:p>
    <w:p w14:paraId="08FE50EE" w14:textId="25014568" w:rsidR="00EE6B4A" w:rsidRPr="00EE6B4A" w:rsidRDefault="00766A25" w:rsidP="00EE6B4A">
      <w:pPr>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EE6B4A" w:rsidRPr="00EE6B4A">
        <w:rPr>
          <w:noProof/>
          <w:sz w:val="24"/>
          <w:szCs w:val="24"/>
        </w:rPr>
        <w:t xml:space="preserve">Aas, Øystein, Wolfgang Haider, and Len Hunt. 2000. “Angler Responses to Potential Harvest Regulations in a Norwegian Sport Fishery: A Conjoint-Based Choice Modeling Approach.” </w:t>
      </w:r>
      <w:r w:rsidR="00EE6B4A" w:rsidRPr="00EE6B4A">
        <w:rPr>
          <w:i/>
          <w:iCs/>
          <w:noProof/>
          <w:sz w:val="24"/>
          <w:szCs w:val="24"/>
        </w:rPr>
        <w:t>North American Journal of Fisheries Management</w:t>
      </w:r>
      <w:r w:rsidR="00EE6B4A" w:rsidRPr="00EE6B4A">
        <w:rPr>
          <w:noProof/>
          <w:sz w:val="24"/>
          <w:szCs w:val="24"/>
        </w:rPr>
        <w:t xml:space="preserve"> 20 (4): 940–50.</w:t>
      </w:r>
    </w:p>
    <w:p w14:paraId="1F73647F" w14:textId="77777777" w:rsidR="00EE6B4A" w:rsidRPr="00EE6B4A" w:rsidRDefault="00EE6B4A" w:rsidP="00EE6B4A">
      <w:pPr>
        <w:ind w:left="480" w:hanging="480"/>
        <w:rPr>
          <w:noProof/>
          <w:sz w:val="24"/>
          <w:szCs w:val="24"/>
        </w:rPr>
      </w:pPr>
      <w:r w:rsidRPr="00EE6B4A">
        <w:rPr>
          <w:noProof/>
          <w:sz w:val="24"/>
          <w:szCs w:val="24"/>
        </w:rPr>
        <w:t xml:space="preserve">Alemu, Mohammed Hussen, Morten Raun Mørkbak, Søren Bøye Olsen, and Carsten Lynge Jensen. 2013. “Attending to the Reasons for Attribute Non-Attendance in Choice Experiments.” </w:t>
      </w:r>
      <w:r w:rsidRPr="00EE6B4A">
        <w:rPr>
          <w:i/>
          <w:iCs/>
          <w:noProof/>
          <w:sz w:val="24"/>
          <w:szCs w:val="24"/>
        </w:rPr>
        <w:t>Environmental and Resource Economics</w:t>
      </w:r>
      <w:r w:rsidRPr="00EE6B4A">
        <w:rPr>
          <w:noProof/>
          <w:sz w:val="24"/>
          <w:szCs w:val="24"/>
        </w:rPr>
        <w:t xml:space="preserve"> 54 (3): 333–59.</w:t>
      </w:r>
    </w:p>
    <w:p w14:paraId="28E33228" w14:textId="77777777" w:rsidR="00EE6B4A" w:rsidRPr="00EE6B4A" w:rsidRDefault="00EE6B4A" w:rsidP="00EE6B4A">
      <w:pPr>
        <w:ind w:left="480" w:hanging="480"/>
        <w:rPr>
          <w:noProof/>
          <w:sz w:val="24"/>
          <w:szCs w:val="24"/>
        </w:rPr>
      </w:pPr>
      <w:r w:rsidRPr="00EE6B4A">
        <w:rPr>
          <w:noProof/>
          <w:sz w:val="24"/>
          <w:szCs w:val="24"/>
        </w:rPr>
        <w:t xml:space="preserve">Anderson, L., S. Lee, and P. Levin. 2013. “Costs of Delaying Conservation: Regulations and the Recreational Values of Exploited and Co-Occurring Species.” </w:t>
      </w:r>
      <w:r w:rsidRPr="00EE6B4A">
        <w:rPr>
          <w:i/>
          <w:iCs/>
          <w:noProof/>
          <w:sz w:val="24"/>
          <w:szCs w:val="24"/>
        </w:rPr>
        <w:t>Land Economics</w:t>
      </w:r>
      <w:r w:rsidRPr="00EE6B4A">
        <w:rPr>
          <w:noProof/>
          <w:sz w:val="24"/>
          <w:szCs w:val="24"/>
        </w:rPr>
        <w:t xml:space="preserve"> 89 (2): 371–85.</w:t>
      </w:r>
    </w:p>
    <w:p w14:paraId="2F07F017" w14:textId="77777777" w:rsidR="00EE6B4A" w:rsidRPr="00EE6B4A" w:rsidRDefault="00EE6B4A" w:rsidP="00EE6B4A">
      <w:pPr>
        <w:ind w:left="480" w:hanging="480"/>
        <w:rPr>
          <w:noProof/>
          <w:sz w:val="24"/>
          <w:szCs w:val="24"/>
        </w:rPr>
      </w:pPr>
      <w:r w:rsidRPr="00EE6B4A">
        <w:rPr>
          <w:noProof/>
          <w:sz w:val="24"/>
          <w:szCs w:val="24"/>
        </w:rPr>
        <w:t xml:space="preserve">Anderson, L, and T Lee. 2013. “Untangling the Recreational Value of Wild and Hatchery Salmon.” </w:t>
      </w:r>
      <w:r w:rsidRPr="00EE6B4A">
        <w:rPr>
          <w:i/>
          <w:iCs/>
          <w:noProof/>
          <w:sz w:val="24"/>
          <w:szCs w:val="24"/>
        </w:rPr>
        <w:t>Marine Resource Economics</w:t>
      </w:r>
      <w:r w:rsidRPr="00EE6B4A">
        <w:rPr>
          <w:noProof/>
          <w:sz w:val="24"/>
          <w:szCs w:val="24"/>
        </w:rPr>
        <w:t xml:space="preserve"> 28 (2): 175–97.</w:t>
      </w:r>
    </w:p>
    <w:p w14:paraId="5E9267BD" w14:textId="77777777" w:rsidR="00EE6B4A" w:rsidRPr="00EE6B4A" w:rsidRDefault="00EE6B4A" w:rsidP="00EE6B4A">
      <w:pPr>
        <w:ind w:left="480" w:hanging="480"/>
        <w:rPr>
          <w:noProof/>
          <w:sz w:val="24"/>
          <w:szCs w:val="24"/>
        </w:rPr>
      </w:pPr>
      <w:r w:rsidRPr="00EE6B4A">
        <w:rPr>
          <w:noProof/>
          <w:sz w:val="24"/>
          <w:szCs w:val="24"/>
        </w:rPr>
        <w:t>Andrews, Rob, Michael J. Brick, and Nancy A. Mathiowetz. 2014. “Development and Testing of Recreational Fishing Effort Surveys.” National Oceanic and Atmospheric Administration, National Marine Fisheries Service, Silver Spring, MD.</w:t>
      </w:r>
    </w:p>
    <w:p w14:paraId="31A29F25" w14:textId="77777777" w:rsidR="00EE6B4A" w:rsidRPr="00EE6B4A" w:rsidRDefault="00EE6B4A" w:rsidP="00EE6B4A">
      <w:pPr>
        <w:ind w:left="480" w:hanging="480"/>
        <w:rPr>
          <w:noProof/>
          <w:sz w:val="24"/>
          <w:szCs w:val="24"/>
        </w:rPr>
      </w:pPr>
      <w:r w:rsidRPr="00EE6B4A">
        <w:rPr>
          <w:noProof/>
          <w:sz w:val="24"/>
          <w:szCs w:val="24"/>
        </w:rPr>
        <w:t xml:space="preserve">Carter, David W., and Christopher Liese. 2012. “The Economic Value of Catching and Keeping or Releasing Saltwater Sport Fish in the Southeast USA.” </w:t>
      </w:r>
      <w:r w:rsidRPr="00EE6B4A">
        <w:rPr>
          <w:i/>
          <w:iCs/>
          <w:noProof/>
          <w:sz w:val="24"/>
          <w:szCs w:val="24"/>
        </w:rPr>
        <w:t>North American Journal of Fisheries Management</w:t>
      </w:r>
      <w:r w:rsidRPr="00EE6B4A">
        <w:rPr>
          <w:noProof/>
          <w:sz w:val="24"/>
          <w:szCs w:val="24"/>
        </w:rPr>
        <w:t xml:space="preserve"> 32 (4): 613–25. http://dx.doi.org/10.1080/02755947.2012.675943.</w:t>
      </w:r>
    </w:p>
    <w:p w14:paraId="46C00DFB" w14:textId="77777777" w:rsidR="00EE6B4A" w:rsidRPr="00EE6B4A" w:rsidRDefault="00EE6B4A" w:rsidP="00EE6B4A">
      <w:pPr>
        <w:ind w:left="480" w:hanging="480"/>
        <w:rPr>
          <w:noProof/>
          <w:sz w:val="24"/>
          <w:szCs w:val="24"/>
        </w:rPr>
      </w:pPr>
      <w:r w:rsidRPr="00EE6B4A">
        <w:rPr>
          <w:noProof/>
          <w:sz w:val="24"/>
          <w:szCs w:val="24"/>
        </w:rPr>
        <w:t xml:space="preserve">Cha, Wonkyu, and Richard T. Melstrom. 2018. “Catch-and-Release Regulations and Paddlefish Angler Preferences.” </w:t>
      </w:r>
      <w:r w:rsidRPr="00EE6B4A">
        <w:rPr>
          <w:i/>
          <w:iCs/>
          <w:noProof/>
          <w:sz w:val="24"/>
          <w:szCs w:val="24"/>
        </w:rPr>
        <w:t>Journal of Environmental Management</w:t>
      </w:r>
      <w:r w:rsidRPr="00EE6B4A">
        <w:rPr>
          <w:noProof/>
          <w:sz w:val="24"/>
          <w:szCs w:val="24"/>
        </w:rPr>
        <w:t xml:space="preserve"> 214: 1–8.</w:t>
      </w:r>
    </w:p>
    <w:p w14:paraId="50E53139" w14:textId="77777777" w:rsidR="00EE6B4A" w:rsidRPr="00EE6B4A" w:rsidRDefault="00EE6B4A" w:rsidP="00EE6B4A">
      <w:pPr>
        <w:ind w:left="480" w:hanging="480"/>
        <w:rPr>
          <w:noProof/>
          <w:sz w:val="24"/>
          <w:szCs w:val="24"/>
        </w:rPr>
      </w:pPr>
      <w:r w:rsidRPr="00EE6B4A">
        <w:rPr>
          <w:noProof/>
          <w:sz w:val="24"/>
          <w:szCs w:val="24"/>
        </w:rPr>
        <w:t xml:space="preserve">Dillman, Donald A., Jolene D. Smyth, and Leah M. Christian. 2009. </w:t>
      </w:r>
      <w:r w:rsidRPr="00EE6B4A">
        <w:rPr>
          <w:i/>
          <w:iCs/>
          <w:noProof/>
          <w:sz w:val="24"/>
          <w:szCs w:val="24"/>
        </w:rPr>
        <w:t>Internet, Mail, and Mixed-Mode Surveys: The Tailored Design Method</w:t>
      </w:r>
      <w:r w:rsidRPr="00EE6B4A">
        <w:rPr>
          <w:noProof/>
          <w:sz w:val="24"/>
          <w:szCs w:val="24"/>
        </w:rPr>
        <w:t>. 3rd ed. New York: Wiley.</w:t>
      </w:r>
    </w:p>
    <w:p w14:paraId="039E25C9" w14:textId="77777777" w:rsidR="00EE6B4A" w:rsidRPr="00EE6B4A" w:rsidRDefault="00EE6B4A" w:rsidP="00EE6B4A">
      <w:pPr>
        <w:ind w:left="480" w:hanging="480"/>
        <w:rPr>
          <w:noProof/>
          <w:sz w:val="24"/>
          <w:szCs w:val="24"/>
        </w:rPr>
      </w:pPr>
      <w:r w:rsidRPr="00EE6B4A">
        <w:rPr>
          <w:noProof/>
          <w:sz w:val="24"/>
          <w:szCs w:val="24"/>
        </w:rPr>
        <w:t xml:space="preserve">Duffield, John, Chris Neher, Stewart Allen, David Patterson, and Brad Gentner. 2012. “Modeling the Behavior of Marlin Anglers in the Western Pacific.” </w:t>
      </w:r>
      <w:r w:rsidRPr="00EE6B4A">
        <w:rPr>
          <w:i/>
          <w:iCs/>
          <w:noProof/>
          <w:sz w:val="24"/>
          <w:szCs w:val="24"/>
        </w:rPr>
        <w:t>Marine Resource Economics</w:t>
      </w:r>
      <w:r w:rsidRPr="00EE6B4A">
        <w:rPr>
          <w:noProof/>
          <w:sz w:val="24"/>
          <w:szCs w:val="24"/>
        </w:rPr>
        <w:t xml:space="preserve"> 27 (4): 343–57.</w:t>
      </w:r>
    </w:p>
    <w:p w14:paraId="651C4DD5" w14:textId="77777777" w:rsidR="00EE6B4A" w:rsidRPr="00EE6B4A" w:rsidRDefault="00EE6B4A" w:rsidP="00EE6B4A">
      <w:pPr>
        <w:ind w:left="480" w:hanging="480"/>
        <w:rPr>
          <w:noProof/>
          <w:sz w:val="24"/>
          <w:szCs w:val="24"/>
        </w:rPr>
      </w:pPr>
      <w:r w:rsidRPr="00EE6B4A">
        <w:rPr>
          <w:noProof/>
          <w:sz w:val="24"/>
          <w:szCs w:val="24"/>
        </w:rPr>
        <w:t xml:space="preserve">Goldsmith, William M., Andrew M. Scheld, and John E. Graves. 2018. “Characterizing the Preferences and Values of U.S. Recreational Atlantic Bluefin Tuna Anglers.” </w:t>
      </w:r>
      <w:r w:rsidRPr="00EE6B4A">
        <w:rPr>
          <w:i/>
          <w:iCs/>
          <w:noProof/>
          <w:sz w:val="24"/>
          <w:szCs w:val="24"/>
        </w:rPr>
        <w:t>North American Journal of Fisheries Management</w:t>
      </w:r>
      <w:r w:rsidRPr="00EE6B4A">
        <w:rPr>
          <w:noProof/>
          <w:sz w:val="24"/>
          <w:szCs w:val="24"/>
        </w:rPr>
        <w:t xml:space="preserve"> 38 (3): 680–97.</w:t>
      </w:r>
    </w:p>
    <w:p w14:paraId="09E2DEF7" w14:textId="77777777" w:rsidR="00EE6B4A" w:rsidRPr="00EE6B4A" w:rsidRDefault="00EE6B4A" w:rsidP="00EE6B4A">
      <w:pPr>
        <w:ind w:left="480" w:hanging="480"/>
        <w:rPr>
          <w:noProof/>
          <w:sz w:val="24"/>
          <w:szCs w:val="24"/>
        </w:rPr>
      </w:pPr>
      <w:r w:rsidRPr="00EE6B4A">
        <w:rPr>
          <w:noProof/>
          <w:sz w:val="24"/>
          <w:szCs w:val="24"/>
        </w:rPr>
        <w:t xml:space="preserve">Groves, Robert M., Mick P. Couper, Stanley Presser, Eleanor Singer, Roger Tourangeau, Giorgina Piani Acosta, and Lindsay Nelson. 2006. “Experiments in Producing Nonresponse Bias.” </w:t>
      </w:r>
      <w:r w:rsidRPr="00EE6B4A">
        <w:rPr>
          <w:i/>
          <w:iCs/>
          <w:noProof/>
          <w:sz w:val="24"/>
          <w:szCs w:val="24"/>
        </w:rPr>
        <w:t>Public Opinion Quarterly</w:t>
      </w:r>
      <w:r w:rsidRPr="00EE6B4A">
        <w:rPr>
          <w:noProof/>
          <w:sz w:val="24"/>
          <w:szCs w:val="24"/>
        </w:rPr>
        <w:t xml:space="preserve"> 70 (5): 720–36.</w:t>
      </w:r>
    </w:p>
    <w:p w14:paraId="5F906380" w14:textId="77777777" w:rsidR="00EE6B4A" w:rsidRPr="00EE6B4A" w:rsidRDefault="00EE6B4A" w:rsidP="00EE6B4A">
      <w:pPr>
        <w:ind w:left="480" w:hanging="480"/>
        <w:rPr>
          <w:noProof/>
          <w:sz w:val="24"/>
          <w:szCs w:val="24"/>
        </w:rPr>
      </w:pPr>
      <w:r w:rsidRPr="00EE6B4A">
        <w:rPr>
          <w:noProof/>
          <w:sz w:val="24"/>
          <w:szCs w:val="24"/>
        </w:rPr>
        <w:t xml:space="preserve">Groves, Robert M., Stanley Presser, and Sarah Dipko. 2004. “The Role of Topic Interest in Survey Participation Decisions.” </w:t>
      </w:r>
      <w:r w:rsidRPr="00EE6B4A">
        <w:rPr>
          <w:i/>
          <w:iCs/>
          <w:noProof/>
          <w:sz w:val="24"/>
          <w:szCs w:val="24"/>
        </w:rPr>
        <w:t>Public Opinion Quarterly</w:t>
      </w:r>
      <w:r w:rsidRPr="00EE6B4A">
        <w:rPr>
          <w:noProof/>
          <w:sz w:val="24"/>
          <w:szCs w:val="24"/>
        </w:rPr>
        <w:t xml:space="preserve"> 68 (1): 2–31. https://doi.org/10.1093/poq/nfh002.</w:t>
      </w:r>
    </w:p>
    <w:p w14:paraId="41460110" w14:textId="77777777" w:rsidR="00EE6B4A" w:rsidRPr="00EE6B4A" w:rsidRDefault="00EE6B4A" w:rsidP="00EE6B4A">
      <w:pPr>
        <w:ind w:left="480" w:hanging="480"/>
        <w:rPr>
          <w:noProof/>
          <w:sz w:val="24"/>
          <w:szCs w:val="24"/>
        </w:rPr>
      </w:pPr>
      <w:r w:rsidRPr="00EE6B4A">
        <w:rPr>
          <w:noProof/>
          <w:sz w:val="24"/>
          <w:szCs w:val="24"/>
        </w:rPr>
        <w:t xml:space="preserve">Hicks, Robert L. 2002. “Stated Preference Methods for Environmental Management: Recreational Summer Flounder Angling in the Northeastern United States.” </w:t>
      </w:r>
      <w:r w:rsidRPr="00EE6B4A">
        <w:rPr>
          <w:i/>
          <w:iCs/>
          <w:noProof/>
          <w:sz w:val="24"/>
          <w:szCs w:val="24"/>
        </w:rPr>
        <w:t>Fisheries Statistics and Economics Division</w:t>
      </w:r>
      <w:r w:rsidRPr="00EE6B4A">
        <w:rPr>
          <w:noProof/>
          <w:sz w:val="24"/>
          <w:szCs w:val="24"/>
        </w:rPr>
        <w:t>, no. April: 111.</w:t>
      </w:r>
    </w:p>
    <w:p w14:paraId="35A39B4E" w14:textId="77777777" w:rsidR="00EE6B4A" w:rsidRPr="00EE6B4A" w:rsidRDefault="00EE6B4A" w:rsidP="00EE6B4A">
      <w:pPr>
        <w:ind w:left="480" w:hanging="480"/>
        <w:rPr>
          <w:noProof/>
          <w:sz w:val="24"/>
          <w:szCs w:val="24"/>
        </w:rPr>
      </w:pPr>
      <w:r w:rsidRPr="00EE6B4A">
        <w:rPr>
          <w:noProof/>
          <w:sz w:val="24"/>
          <w:szCs w:val="24"/>
        </w:rPr>
        <w:t>ICF. 2018. “West Coast Saltwater Fishing Survey Pretest Report.” Submitted to National Marine Fisheries Service.</w:t>
      </w:r>
    </w:p>
    <w:p w14:paraId="6089C6AA" w14:textId="77777777" w:rsidR="00EE6B4A" w:rsidRPr="00EE6B4A" w:rsidRDefault="00EE6B4A" w:rsidP="00EE6B4A">
      <w:pPr>
        <w:ind w:left="480" w:hanging="480"/>
        <w:rPr>
          <w:noProof/>
          <w:sz w:val="24"/>
          <w:szCs w:val="24"/>
        </w:rPr>
      </w:pPr>
      <w:r w:rsidRPr="00EE6B4A">
        <w:rPr>
          <w:noProof/>
          <w:sz w:val="24"/>
          <w:szCs w:val="24"/>
        </w:rPr>
        <w:t xml:space="preserve">Knoche, Scott, and Frank Lupi. 2016. “Demand for Fishery Regulations: Effects of Angler Heterogeneity and Catch Improvements on Preferences for Gear and Harvest Restrictions.” </w:t>
      </w:r>
      <w:r w:rsidRPr="00EE6B4A">
        <w:rPr>
          <w:i/>
          <w:iCs/>
          <w:noProof/>
          <w:sz w:val="24"/>
          <w:szCs w:val="24"/>
        </w:rPr>
        <w:t>Fisheries Research</w:t>
      </w:r>
      <w:r w:rsidRPr="00EE6B4A">
        <w:rPr>
          <w:noProof/>
          <w:sz w:val="24"/>
          <w:szCs w:val="24"/>
        </w:rPr>
        <w:t xml:space="preserve"> 181: 163–71.</w:t>
      </w:r>
    </w:p>
    <w:p w14:paraId="209764F7" w14:textId="77777777" w:rsidR="00EE6B4A" w:rsidRPr="00EE6B4A" w:rsidRDefault="00EE6B4A" w:rsidP="00EE6B4A">
      <w:pPr>
        <w:ind w:left="480" w:hanging="480"/>
        <w:rPr>
          <w:noProof/>
          <w:sz w:val="24"/>
          <w:szCs w:val="24"/>
        </w:rPr>
      </w:pPr>
      <w:r w:rsidRPr="00EE6B4A">
        <w:rPr>
          <w:noProof/>
          <w:sz w:val="24"/>
          <w:szCs w:val="24"/>
        </w:rPr>
        <w:t>Lee, Min-Yang, Scott Steinback, and Kristy Wallmo. 2017. “Applying a Bioeconomic Model to Recreational Fisheries Management: Groundfish in the Northeast United States” 32 (2).</w:t>
      </w:r>
    </w:p>
    <w:p w14:paraId="6B091F36" w14:textId="77777777" w:rsidR="00EE6B4A" w:rsidRPr="00EE6B4A" w:rsidRDefault="00EE6B4A" w:rsidP="00EE6B4A">
      <w:pPr>
        <w:ind w:left="480" w:hanging="480"/>
        <w:rPr>
          <w:noProof/>
          <w:sz w:val="24"/>
          <w:szCs w:val="24"/>
        </w:rPr>
      </w:pPr>
      <w:r w:rsidRPr="00EE6B4A">
        <w:rPr>
          <w:noProof/>
          <w:sz w:val="24"/>
          <w:szCs w:val="24"/>
        </w:rPr>
        <w:t>Lesser, Virginia M., Don A. Dillman, John Carlson, Frederick Lorenz, Robert Mason, and Fern Willits. 2001. “Quantifying the Influence of Incentives on Mail Survey Response Rates and Nonresponse Bias.” Atlanta, GA.</w:t>
      </w:r>
    </w:p>
    <w:p w14:paraId="57FF3F65" w14:textId="77777777" w:rsidR="00EE6B4A" w:rsidRPr="00EE6B4A" w:rsidRDefault="00EE6B4A" w:rsidP="00EE6B4A">
      <w:pPr>
        <w:ind w:left="480" w:hanging="480"/>
        <w:rPr>
          <w:noProof/>
          <w:sz w:val="24"/>
          <w:szCs w:val="24"/>
        </w:rPr>
      </w:pPr>
      <w:r w:rsidRPr="00EE6B4A">
        <w:rPr>
          <w:noProof/>
          <w:sz w:val="24"/>
          <w:szCs w:val="24"/>
        </w:rPr>
        <w:t xml:space="preserve">Lew, Daniel K., and Douglas M. Larson. 2012. “Economic Values for Saltwater Sport Fishing in Alaska: A Stated Preference Analysis.” </w:t>
      </w:r>
      <w:r w:rsidRPr="00EE6B4A">
        <w:rPr>
          <w:i/>
          <w:iCs/>
          <w:noProof/>
          <w:sz w:val="24"/>
          <w:szCs w:val="24"/>
        </w:rPr>
        <w:t>North American Journal of Fisheries Management</w:t>
      </w:r>
      <w:r w:rsidRPr="00EE6B4A">
        <w:rPr>
          <w:noProof/>
          <w:sz w:val="24"/>
          <w:szCs w:val="24"/>
        </w:rPr>
        <w:t xml:space="preserve"> 32 (4): 745–59.</w:t>
      </w:r>
    </w:p>
    <w:p w14:paraId="762FEB5E" w14:textId="77777777" w:rsidR="00EE6B4A" w:rsidRPr="00EE6B4A" w:rsidRDefault="00EE6B4A" w:rsidP="00EE6B4A">
      <w:pPr>
        <w:ind w:left="480" w:hanging="480"/>
        <w:rPr>
          <w:noProof/>
          <w:sz w:val="24"/>
          <w:szCs w:val="24"/>
        </w:rPr>
      </w:pPr>
      <w:r w:rsidRPr="00EE6B4A">
        <w:rPr>
          <w:noProof/>
          <w:sz w:val="24"/>
          <w:szCs w:val="24"/>
        </w:rPr>
        <w:t xml:space="preserve">———. 2015. “Stated Preferences for Size and Bag Limits of Alaska Charter Boat Anglers.” </w:t>
      </w:r>
      <w:r w:rsidRPr="00EE6B4A">
        <w:rPr>
          <w:i/>
          <w:iCs/>
          <w:noProof/>
          <w:sz w:val="24"/>
          <w:szCs w:val="24"/>
        </w:rPr>
        <w:t>Marine Policy</w:t>
      </w:r>
      <w:r w:rsidRPr="00EE6B4A">
        <w:rPr>
          <w:noProof/>
          <w:sz w:val="24"/>
          <w:szCs w:val="24"/>
        </w:rPr>
        <w:t xml:space="preserve"> 61: 66–76.</w:t>
      </w:r>
    </w:p>
    <w:p w14:paraId="276561A5" w14:textId="77777777" w:rsidR="00EE6B4A" w:rsidRPr="00EE6B4A" w:rsidRDefault="00EE6B4A" w:rsidP="00EE6B4A">
      <w:pPr>
        <w:ind w:left="480" w:hanging="480"/>
        <w:rPr>
          <w:noProof/>
          <w:sz w:val="24"/>
          <w:szCs w:val="24"/>
        </w:rPr>
      </w:pPr>
      <w:r w:rsidRPr="00EE6B4A">
        <w:rPr>
          <w:noProof/>
          <w:sz w:val="24"/>
          <w:szCs w:val="24"/>
        </w:rPr>
        <w:t xml:space="preserve">Lew, Daniel K., and Chang K. Seung. 2010. “The Economic Impact of Saltwater Sportfishing Harvest Restrictions in Alaska: An Empirical Analysis of Nonresident Anglers.” </w:t>
      </w:r>
      <w:r w:rsidRPr="00EE6B4A">
        <w:rPr>
          <w:i/>
          <w:iCs/>
          <w:noProof/>
          <w:sz w:val="24"/>
          <w:szCs w:val="24"/>
        </w:rPr>
        <w:t>North American Journal of Fisheries Management</w:t>
      </w:r>
      <w:r w:rsidRPr="00EE6B4A">
        <w:rPr>
          <w:noProof/>
          <w:sz w:val="24"/>
          <w:szCs w:val="24"/>
        </w:rPr>
        <w:t xml:space="preserve"> 30 (2): 538–51.</w:t>
      </w:r>
    </w:p>
    <w:p w14:paraId="775FD160" w14:textId="77777777" w:rsidR="00EE6B4A" w:rsidRPr="00EE6B4A" w:rsidRDefault="00EE6B4A" w:rsidP="00EE6B4A">
      <w:pPr>
        <w:ind w:left="480" w:hanging="480"/>
        <w:rPr>
          <w:noProof/>
          <w:sz w:val="24"/>
          <w:szCs w:val="24"/>
        </w:rPr>
      </w:pPr>
      <w:r w:rsidRPr="00EE6B4A">
        <w:rPr>
          <w:noProof/>
          <w:sz w:val="24"/>
          <w:szCs w:val="24"/>
        </w:rPr>
        <w:t xml:space="preserve">Louiviere, Jordan J., David A. Hensher, and Joffre D. Swait. 2000. </w:t>
      </w:r>
      <w:r w:rsidRPr="00EE6B4A">
        <w:rPr>
          <w:i/>
          <w:iCs/>
          <w:noProof/>
          <w:sz w:val="24"/>
          <w:szCs w:val="24"/>
        </w:rPr>
        <w:t>Stated Choice Methods: Analysis and Applications</w:t>
      </w:r>
      <w:r w:rsidRPr="00EE6B4A">
        <w:rPr>
          <w:noProof/>
          <w:sz w:val="24"/>
          <w:szCs w:val="24"/>
        </w:rPr>
        <w:t>. Cambridge University Press.</w:t>
      </w:r>
    </w:p>
    <w:p w14:paraId="31F0594B" w14:textId="77777777" w:rsidR="00EE6B4A" w:rsidRPr="00EE6B4A" w:rsidRDefault="00EE6B4A" w:rsidP="00EE6B4A">
      <w:pPr>
        <w:ind w:left="480" w:hanging="480"/>
        <w:rPr>
          <w:noProof/>
          <w:sz w:val="24"/>
        </w:rPr>
      </w:pPr>
      <w:r w:rsidRPr="00EE6B4A">
        <w:rPr>
          <w:noProof/>
          <w:sz w:val="24"/>
          <w:szCs w:val="24"/>
        </w:rPr>
        <w:t xml:space="preserve">Massey, D. Matthew, Stephen C. Newbold, and Brad Gentner. 2006. “Valuing Water Quality Changes Using a Bioeconomic Model of a Coastal Recreational Fishery.” </w:t>
      </w:r>
      <w:r w:rsidRPr="00EE6B4A">
        <w:rPr>
          <w:i/>
          <w:iCs/>
          <w:noProof/>
          <w:sz w:val="24"/>
          <w:szCs w:val="24"/>
        </w:rPr>
        <w:t>Journal of Environmental Economics and Management</w:t>
      </w:r>
      <w:r w:rsidRPr="00EE6B4A">
        <w:rPr>
          <w:noProof/>
          <w:sz w:val="24"/>
          <w:szCs w:val="24"/>
        </w:rPr>
        <w:t xml:space="preserve"> 52 (1): 482–500.</w:t>
      </w:r>
    </w:p>
    <w:p w14:paraId="5FEE3F2D" w14:textId="748259C1" w:rsidR="00766A25" w:rsidRPr="00F61FBE" w:rsidRDefault="00766A25" w:rsidP="00766A25">
      <w:pPr>
        <w:contextualSpacing/>
        <w:rPr>
          <w:sz w:val="24"/>
          <w:szCs w:val="24"/>
        </w:rPr>
      </w:pPr>
      <w:r>
        <w:rPr>
          <w:sz w:val="24"/>
          <w:szCs w:val="24"/>
        </w:rPr>
        <w:fldChar w:fldCharType="end"/>
      </w:r>
    </w:p>
    <w:p w14:paraId="451ED8A1" w14:textId="77777777" w:rsidR="00766A25" w:rsidRDefault="00766A25" w:rsidP="00F9028B">
      <w:pPr>
        <w:contextualSpacing/>
        <w:rPr>
          <w:sz w:val="24"/>
          <w:szCs w:val="24"/>
        </w:rPr>
      </w:pPr>
    </w:p>
    <w:p w14:paraId="0E4A824A" w14:textId="5B75088E" w:rsidR="00776E48" w:rsidRDefault="00776E48" w:rsidP="00F9028B">
      <w:pPr>
        <w:contextualSpacing/>
        <w:rPr>
          <w:sz w:val="24"/>
          <w:szCs w:val="24"/>
        </w:rPr>
      </w:pPr>
    </w:p>
    <w:p w14:paraId="33D607DA" w14:textId="34F80EFD" w:rsidR="00776E48" w:rsidRDefault="00776E48" w:rsidP="00F9028B">
      <w:pPr>
        <w:contextualSpacing/>
        <w:rPr>
          <w:sz w:val="24"/>
          <w:szCs w:val="24"/>
        </w:rPr>
      </w:pPr>
    </w:p>
    <w:p w14:paraId="2B63BCC1" w14:textId="2C4CFE79" w:rsidR="00776E48" w:rsidRDefault="00776E48" w:rsidP="00F9028B">
      <w:pPr>
        <w:contextualSpacing/>
        <w:rPr>
          <w:sz w:val="24"/>
          <w:szCs w:val="24"/>
        </w:rPr>
      </w:pPr>
    </w:p>
    <w:p w14:paraId="20CB30F0" w14:textId="2E213DE2" w:rsidR="00776E48" w:rsidRDefault="00776E48" w:rsidP="00F9028B">
      <w:pPr>
        <w:contextualSpacing/>
        <w:rPr>
          <w:sz w:val="24"/>
          <w:szCs w:val="24"/>
        </w:rPr>
      </w:pPr>
    </w:p>
    <w:p w14:paraId="4C4FC0A5" w14:textId="2A9E66F7" w:rsidR="00776E48" w:rsidRDefault="00776E48" w:rsidP="00F9028B">
      <w:pPr>
        <w:contextualSpacing/>
        <w:rPr>
          <w:sz w:val="24"/>
          <w:szCs w:val="24"/>
        </w:rPr>
      </w:pPr>
    </w:p>
    <w:p w14:paraId="19E0D039" w14:textId="60A0E0EA" w:rsidR="00776E48" w:rsidRDefault="00776E48" w:rsidP="00F9028B">
      <w:pPr>
        <w:contextualSpacing/>
        <w:rPr>
          <w:sz w:val="24"/>
          <w:szCs w:val="24"/>
        </w:rPr>
      </w:pPr>
    </w:p>
    <w:p w14:paraId="16E1526B" w14:textId="5D238B71" w:rsidR="00776E48" w:rsidRDefault="00776E48" w:rsidP="00F9028B">
      <w:pPr>
        <w:contextualSpacing/>
        <w:rPr>
          <w:sz w:val="24"/>
          <w:szCs w:val="24"/>
        </w:rPr>
      </w:pPr>
    </w:p>
    <w:p w14:paraId="37A94D36" w14:textId="7503DE51" w:rsidR="00776E48" w:rsidRDefault="00776E48" w:rsidP="00F9028B">
      <w:pPr>
        <w:contextualSpacing/>
        <w:rPr>
          <w:sz w:val="24"/>
          <w:szCs w:val="24"/>
        </w:rPr>
      </w:pPr>
    </w:p>
    <w:sectPr w:rsidR="00776E48" w:rsidSect="00583309">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48EA7" w14:textId="77777777" w:rsidR="00FB58DE" w:rsidRDefault="00FB58DE">
      <w:r>
        <w:separator/>
      </w:r>
    </w:p>
  </w:endnote>
  <w:endnote w:type="continuationSeparator" w:id="0">
    <w:p w14:paraId="027A3963" w14:textId="77777777" w:rsidR="00FB58DE" w:rsidRDefault="00FB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6E724" w14:textId="19707B5F" w:rsidR="00304CA0" w:rsidRDefault="00304CA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2454A">
      <w:rPr>
        <w:rStyle w:val="PageNumber"/>
        <w:noProof/>
        <w:sz w:val="24"/>
        <w:szCs w:val="24"/>
      </w:rPr>
      <w:t>1</w:t>
    </w:r>
    <w:r>
      <w:rPr>
        <w:rStyle w:val="PageNumber"/>
        <w:sz w:val="24"/>
        <w:szCs w:val="24"/>
      </w:rPr>
      <w:fldChar w:fldCharType="end"/>
    </w:r>
  </w:p>
  <w:p w14:paraId="1DCE372F" w14:textId="77777777" w:rsidR="00304CA0" w:rsidRDefault="00304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8C57B" w14:textId="77777777" w:rsidR="00FB58DE" w:rsidRDefault="00FB58DE">
      <w:r>
        <w:separator/>
      </w:r>
    </w:p>
  </w:footnote>
  <w:footnote w:type="continuationSeparator" w:id="0">
    <w:p w14:paraId="7EBB9E96" w14:textId="77777777" w:rsidR="00FB58DE" w:rsidRDefault="00FB5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C1E"/>
    <w:multiLevelType w:val="hybridMultilevel"/>
    <w:tmpl w:val="A1B04AF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61131"/>
    <w:multiLevelType w:val="hybridMultilevel"/>
    <w:tmpl w:val="8C8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A66B9"/>
    <w:multiLevelType w:val="hybridMultilevel"/>
    <w:tmpl w:val="14A0A4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811D5"/>
    <w:multiLevelType w:val="hybridMultilevel"/>
    <w:tmpl w:val="9DFA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50DB9"/>
    <w:multiLevelType w:val="hybridMultilevel"/>
    <w:tmpl w:val="04A2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95F21"/>
    <w:multiLevelType w:val="hybridMultilevel"/>
    <w:tmpl w:val="5E5676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C087E"/>
    <w:multiLevelType w:val="hybridMultilevel"/>
    <w:tmpl w:val="630072DC"/>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E676729"/>
    <w:multiLevelType w:val="hybridMultilevel"/>
    <w:tmpl w:val="B5F03228"/>
    <w:lvl w:ilvl="0" w:tplc="E378098C">
      <w:start w:val="1"/>
      <w:numFmt w:val="decimal"/>
      <w:pStyle w:val="Style2"/>
      <w:lvlText w:val="%1."/>
      <w:lvlJc w:val="left"/>
      <w:pPr>
        <w:ind w:left="360" w:hanging="360"/>
      </w:pPr>
      <w:rPr>
        <w:rFonts w:hint="default"/>
        <w:b/>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A22BB7"/>
    <w:multiLevelType w:val="hybridMultilevel"/>
    <w:tmpl w:val="905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0A6EA7"/>
    <w:multiLevelType w:val="hybridMultilevel"/>
    <w:tmpl w:val="97D0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F4150A"/>
    <w:multiLevelType w:val="hybridMultilevel"/>
    <w:tmpl w:val="488447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F1A5B18"/>
    <w:multiLevelType w:val="hybridMultilevel"/>
    <w:tmpl w:val="0664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7C2930"/>
    <w:multiLevelType w:val="hybridMultilevel"/>
    <w:tmpl w:val="76864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8E312A1"/>
    <w:multiLevelType w:val="hybridMultilevel"/>
    <w:tmpl w:val="EC4EEF6E"/>
    <w:lvl w:ilvl="0" w:tplc="EAD48E1A">
      <w:start w:val="1"/>
      <w:numFmt w:val="upperLetter"/>
      <w:pStyle w:val="Style1"/>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C10F6D"/>
    <w:multiLevelType w:val="hybridMultilevel"/>
    <w:tmpl w:val="0EC8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5B2D8F"/>
    <w:multiLevelType w:val="hybridMultilevel"/>
    <w:tmpl w:val="1D905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6853B8"/>
    <w:multiLevelType w:val="hybridMultilevel"/>
    <w:tmpl w:val="0A1EA5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777564D"/>
    <w:multiLevelType w:val="hybridMultilevel"/>
    <w:tmpl w:val="08F2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0F35E7"/>
    <w:multiLevelType w:val="hybridMultilevel"/>
    <w:tmpl w:val="3CE696E0"/>
    <w:lvl w:ilvl="0" w:tplc="D6806ECE">
      <w:start w:val="1"/>
      <w:numFmt w:val="decimal"/>
      <w:lvlText w:val="%1."/>
      <w:lvlJc w:val="left"/>
      <w:pPr>
        <w:ind w:left="36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E2534"/>
    <w:multiLevelType w:val="hybridMultilevel"/>
    <w:tmpl w:val="01E4F3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C70E6B"/>
    <w:multiLevelType w:val="hybridMultilevel"/>
    <w:tmpl w:val="761C7306"/>
    <w:lvl w:ilvl="0" w:tplc="39A61A6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3"/>
  </w:num>
  <w:num w:numId="3">
    <w:abstractNumId w:val="12"/>
  </w:num>
  <w:num w:numId="4">
    <w:abstractNumId w:val="5"/>
  </w:num>
  <w:num w:numId="5">
    <w:abstractNumId w:val="10"/>
  </w:num>
  <w:num w:numId="6">
    <w:abstractNumId w:val="13"/>
  </w:num>
  <w:num w:numId="7">
    <w:abstractNumId w:val="7"/>
  </w:num>
  <w:num w:numId="8">
    <w:abstractNumId w:val="20"/>
  </w:num>
  <w:num w:numId="9">
    <w:abstractNumId w:val="14"/>
  </w:num>
  <w:num w:numId="10">
    <w:abstractNumId w:val="19"/>
  </w:num>
  <w:num w:numId="11">
    <w:abstractNumId w:val="16"/>
  </w:num>
  <w:num w:numId="12">
    <w:abstractNumId w:val="6"/>
  </w:num>
  <w:num w:numId="13">
    <w:abstractNumId w:val="2"/>
  </w:num>
  <w:num w:numId="14">
    <w:abstractNumId w:val="0"/>
  </w:num>
  <w:num w:numId="15">
    <w:abstractNumId w:val="7"/>
    <w:lvlOverride w:ilvl="0">
      <w:startOverride w:val="1"/>
    </w:lvlOverride>
  </w:num>
  <w:num w:numId="16">
    <w:abstractNumId w:val="7"/>
  </w:num>
  <w:num w:numId="17">
    <w:abstractNumId w:val="7"/>
    <w:lvlOverride w:ilvl="0">
      <w:startOverride w:val="2"/>
    </w:lvlOverride>
  </w:num>
  <w:num w:numId="18">
    <w:abstractNumId w:val="18"/>
  </w:num>
  <w:num w:numId="19">
    <w:abstractNumId w:val="7"/>
    <w:lvlOverride w:ilvl="0">
      <w:startOverride w:val="1"/>
    </w:lvlOverride>
  </w:num>
  <w:num w:numId="20">
    <w:abstractNumId w:val="15"/>
  </w:num>
  <w:num w:numId="21">
    <w:abstractNumId w:val="9"/>
  </w:num>
  <w:num w:numId="22">
    <w:abstractNumId w:val="4"/>
  </w:num>
  <w:num w:numId="23">
    <w:abstractNumId w:val="1"/>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309"/>
    <w:rsid w:val="00016F57"/>
    <w:rsid w:val="0002376D"/>
    <w:rsid w:val="00023B34"/>
    <w:rsid w:val="000329C0"/>
    <w:rsid w:val="00033998"/>
    <w:rsid w:val="00035261"/>
    <w:rsid w:val="000369A2"/>
    <w:rsid w:val="00046343"/>
    <w:rsid w:val="0005041D"/>
    <w:rsid w:val="00053A28"/>
    <w:rsid w:val="00065C61"/>
    <w:rsid w:val="00082D4B"/>
    <w:rsid w:val="0008555A"/>
    <w:rsid w:val="00090AC2"/>
    <w:rsid w:val="00094BB7"/>
    <w:rsid w:val="000B43D0"/>
    <w:rsid w:val="000D04E7"/>
    <w:rsid w:val="000D1B0B"/>
    <w:rsid w:val="000D3262"/>
    <w:rsid w:val="000D52EA"/>
    <w:rsid w:val="000F1309"/>
    <w:rsid w:val="000F2465"/>
    <w:rsid w:val="00104893"/>
    <w:rsid w:val="0010597A"/>
    <w:rsid w:val="00110426"/>
    <w:rsid w:val="00111770"/>
    <w:rsid w:val="001218AD"/>
    <w:rsid w:val="00124D79"/>
    <w:rsid w:val="001277DA"/>
    <w:rsid w:val="00143AAD"/>
    <w:rsid w:val="00160420"/>
    <w:rsid w:val="001620B9"/>
    <w:rsid w:val="00174C78"/>
    <w:rsid w:val="00185731"/>
    <w:rsid w:val="001931AE"/>
    <w:rsid w:val="0019720C"/>
    <w:rsid w:val="001A00A1"/>
    <w:rsid w:val="001A1E0B"/>
    <w:rsid w:val="001B5802"/>
    <w:rsid w:val="001C337D"/>
    <w:rsid w:val="001C47F7"/>
    <w:rsid w:val="001D235D"/>
    <w:rsid w:val="001F69F9"/>
    <w:rsid w:val="001F7DD1"/>
    <w:rsid w:val="001F7F39"/>
    <w:rsid w:val="00203CE7"/>
    <w:rsid w:val="00216E62"/>
    <w:rsid w:val="00227793"/>
    <w:rsid w:val="00233D09"/>
    <w:rsid w:val="00275199"/>
    <w:rsid w:val="00283B65"/>
    <w:rsid w:val="00297BE2"/>
    <w:rsid w:val="002A675D"/>
    <w:rsid w:val="002B069B"/>
    <w:rsid w:val="002B6154"/>
    <w:rsid w:val="002C0672"/>
    <w:rsid w:val="002C1C15"/>
    <w:rsid w:val="002C1FEB"/>
    <w:rsid w:val="002D37DB"/>
    <w:rsid w:val="002D3D41"/>
    <w:rsid w:val="002D468B"/>
    <w:rsid w:val="002D5EBB"/>
    <w:rsid w:val="002D6ADE"/>
    <w:rsid w:val="002E5790"/>
    <w:rsid w:val="002F33EF"/>
    <w:rsid w:val="00301313"/>
    <w:rsid w:val="00304CA0"/>
    <w:rsid w:val="003238A8"/>
    <w:rsid w:val="00324ADE"/>
    <w:rsid w:val="0035118E"/>
    <w:rsid w:val="00351922"/>
    <w:rsid w:val="00363D78"/>
    <w:rsid w:val="00365609"/>
    <w:rsid w:val="003A7CEB"/>
    <w:rsid w:val="003B2D96"/>
    <w:rsid w:val="003B6D9A"/>
    <w:rsid w:val="003C03B6"/>
    <w:rsid w:val="003C0D37"/>
    <w:rsid w:val="003C130F"/>
    <w:rsid w:val="003C5E71"/>
    <w:rsid w:val="003E1E49"/>
    <w:rsid w:val="003E76EF"/>
    <w:rsid w:val="003E7A55"/>
    <w:rsid w:val="003F0326"/>
    <w:rsid w:val="003F4D9A"/>
    <w:rsid w:val="004033A3"/>
    <w:rsid w:val="004060B3"/>
    <w:rsid w:val="004118A4"/>
    <w:rsid w:val="00413D3E"/>
    <w:rsid w:val="004168EE"/>
    <w:rsid w:val="004177B5"/>
    <w:rsid w:val="0041792D"/>
    <w:rsid w:val="00431E8B"/>
    <w:rsid w:val="0043499D"/>
    <w:rsid w:val="00442962"/>
    <w:rsid w:val="0044306C"/>
    <w:rsid w:val="00450CF2"/>
    <w:rsid w:val="00460FBE"/>
    <w:rsid w:val="0046291A"/>
    <w:rsid w:val="0046517C"/>
    <w:rsid w:val="00467386"/>
    <w:rsid w:val="004804B1"/>
    <w:rsid w:val="00481079"/>
    <w:rsid w:val="004813B5"/>
    <w:rsid w:val="00485C76"/>
    <w:rsid w:val="004861DB"/>
    <w:rsid w:val="004A1291"/>
    <w:rsid w:val="004B3D0F"/>
    <w:rsid w:val="004D4E40"/>
    <w:rsid w:val="004E0C75"/>
    <w:rsid w:val="004E2921"/>
    <w:rsid w:val="004F5C57"/>
    <w:rsid w:val="00504D77"/>
    <w:rsid w:val="005213FC"/>
    <w:rsid w:val="00530400"/>
    <w:rsid w:val="0053134A"/>
    <w:rsid w:val="00544113"/>
    <w:rsid w:val="00547067"/>
    <w:rsid w:val="00554E89"/>
    <w:rsid w:val="00555A30"/>
    <w:rsid w:val="00574290"/>
    <w:rsid w:val="00583309"/>
    <w:rsid w:val="005A27DB"/>
    <w:rsid w:val="005A4198"/>
    <w:rsid w:val="005A4848"/>
    <w:rsid w:val="005B755F"/>
    <w:rsid w:val="005C448D"/>
    <w:rsid w:val="005D2A9C"/>
    <w:rsid w:val="005E301C"/>
    <w:rsid w:val="005E4B1B"/>
    <w:rsid w:val="005F36D9"/>
    <w:rsid w:val="00602066"/>
    <w:rsid w:val="006068E9"/>
    <w:rsid w:val="00606D0F"/>
    <w:rsid w:val="0061708B"/>
    <w:rsid w:val="00620C54"/>
    <w:rsid w:val="00625904"/>
    <w:rsid w:val="00632292"/>
    <w:rsid w:val="00632E1E"/>
    <w:rsid w:val="0064293D"/>
    <w:rsid w:val="00646FAA"/>
    <w:rsid w:val="00651F08"/>
    <w:rsid w:val="006527E2"/>
    <w:rsid w:val="00660268"/>
    <w:rsid w:val="006756D7"/>
    <w:rsid w:val="00690F9E"/>
    <w:rsid w:val="006919CE"/>
    <w:rsid w:val="00692B06"/>
    <w:rsid w:val="0069549E"/>
    <w:rsid w:val="00696957"/>
    <w:rsid w:val="006A08DC"/>
    <w:rsid w:val="006A1886"/>
    <w:rsid w:val="006A1EF0"/>
    <w:rsid w:val="006A3C3D"/>
    <w:rsid w:val="006A683D"/>
    <w:rsid w:val="006B0450"/>
    <w:rsid w:val="006D6396"/>
    <w:rsid w:val="006E51EC"/>
    <w:rsid w:val="006F0D0E"/>
    <w:rsid w:val="006F4029"/>
    <w:rsid w:val="006F51A7"/>
    <w:rsid w:val="00701635"/>
    <w:rsid w:val="00710A0C"/>
    <w:rsid w:val="00711D8E"/>
    <w:rsid w:val="00724BE8"/>
    <w:rsid w:val="007275BE"/>
    <w:rsid w:val="00735B9B"/>
    <w:rsid w:val="00743E7D"/>
    <w:rsid w:val="00744392"/>
    <w:rsid w:val="0074602D"/>
    <w:rsid w:val="007500A3"/>
    <w:rsid w:val="00766A25"/>
    <w:rsid w:val="00776E48"/>
    <w:rsid w:val="0078482F"/>
    <w:rsid w:val="007A4CBE"/>
    <w:rsid w:val="007B6367"/>
    <w:rsid w:val="007C117A"/>
    <w:rsid w:val="007D0B0F"/>
    <w:rsid w:val="007D6551"/>
    <w:rsid w:val="007E0682"/>
    <w:rsid w:val="007E32DB"/>
    <w:rsid w:val="007E4BD9"/>
    <w:rsid w:val="007E50CB"/>
    <w:rsid w:val="007F6F2E"/>
    <w:rsid w:val="00805EA4"/>
    <w:rsid w:val="008172D2"/>
    <w:rsid w:val="00817D4C"/>
    <w:rsid w:val="008227F3"/>
    <w:rsid w:val="00827AA1"/>
    <w:rsid w:val="00831A07"/>
    <w:rsid w:val="00834012"/>
    <w:rsid w:val="00850A53"/>
    <w:rsid w:val="00853ACE"/>
    <w:rsid w:val="00885B03"/>
    <w:rsid w:val="0089545D"/>
    <w:rsid w:val="008A67E1"/>
    <w:rsid w:val="008A7735"/>
    <w:rsid w:val="008B10C0"/>
    <w:rsid w:val="008B6841"/>
    <w:rsid w:val="008C2A9B"/>
    <w:rsid w:val="008D1D99"/>
    <w:rsid w:val="008D450A"/>
    <w:rsid w:val="008D75F2"/>
    <w:rsid w:val="008E1B0D"/>
    <w:rsid w:val="008E26BF"/>
    <w:rsid w:val="008F095C"/>
    <w:rsid w:val="008F6EC7"/>
    <w:rsid w:val="009026ED"/>
    <w:rsid w:val="00912A8C"/>
    <w:rsid w:val="00925C89"/>
    <w:rsid w:val="00932DC7"/>
    <w:rsid w:val="0093611A"/>
    <w:rsid w:val="00936A85"/>
    <w:rsid w:val="0094229B"/>
    <w:rsid w:val="009517C4"/>
    <w:rsid w:val="00963389"/>
    <w:rsid w:val="00963E13"/>
    <w:rsid w:val="009679FB"/>
    <w:rsid w:val="009753AC"/>
    <w:rsid w:val="00976B2F"/>
    <w:rsid w:val="009A057B"/>
    <w:rsid w:val="009A0AD3"/>
    <w:rsid w:val="009A3EE6"/>
    <w:rsid w:val="009A4FC0"/>
    <w:rsid w:val="009A65CD"/>
    <w:rsid w:val="009A65D3"/>
    <w:rsid w:val="009C179D"/>
    <w:rsid w:val="009F08F9"/>
    <w:rsid w:val="00A03E02"/>
    <w:rsid w:val="00A12FDB"/>
    <w:rsid w:val="00A13200"/>
    <w:rsid w:val="00A16EC2"/>
    <w:rsid w:val="00A249F9"/>
    <w:rsid w:val="00A26BA0"/>
    <w:rsid w:val="00A272BC"/>
    <w:rsid w:val="00A34C54"/>
    <w:rsid w:val="00A60C0C"/>
    <w:rsid w:val="00A62E79"/>
    <w:rsid w:val="00A657F5"/>
    <w:rsid w:val="00A70AE8"/>
    <w:rsid w:val="00A86116"/>
    <w:rsid w:val="00A92D03"/>
    <w:rsid w:val="00A94AD9"/>
    <w:rsid w:val="00AA3099"/>
    <w:rsid w:val="00AA47A8"/>
    <w:rsid w:val="00AA47E3"/>
    <w:rsid w:val="00AA4FCC"/>
    <w:rsid w:val="00AB54AB"/>
    <w:rsid w:val="00AB6079"/>
    <w:rsid w:val="00AD31E9"/>
    <w:rsid w:val="00AD3676"/>
    <w:rsid w:val="00AD43B0"/>
    <w:rsid w:val="00AF263A"/>
    <w:rsid w:val="00B12896"/>
    <w:rsid w:val="00B16E4C"/>
    <w:rsid w:val="00B2454A"/>
    <w:rsid w:val="00B24CF8"/>
    <w:rsid w:val="00B270C7"/>
    <w:rsid w:val="00B30503"/>
    <w:rsid w:val="00B30D54"/>
    <w:rsid w:val="00B40765"/>
    <w:rsid w:val="00B44163"/>
    <w:rsid w:val="00B45B23"/>
    <w:rsid w:val="00B46D37"/>
    <w:rsid w:val="00B600EB"/>
    <w:rsid w:val="00B65F03"/>
    <w:rsid w:val="00B72E74"/>
    <w:rsid w:val="00B80DC0"/>
    <w:rsid w:val="00B86BC4"/>
    <w:rsid w:val="00BB2BC6"/>
    <w:rsid w:val="00BB49F2"/>
    <w:rsid w:val="00BC1596"/>
    <w:rsid w:val="00BC5638"/>
    <w:rsid w:val="00BC655A"/>
    <w:rsid w:val="00BD52C8"/>
    <w:rsid w:val="00BE5DA2"/>
    <w:rsid w:val="00BE71E6"/>
    <w:rsid w:val="00BE7948"/>
    <w:rsid w:val="00BF335E"/>
    <w:rsid w:val="00BF6FF2"/>
    <w:rsid w:val="00C066F9"/>
    <w:rsid w:val="00C23906"/>
    <w:rsid w:val="00C301EC"/>
    <w:rsid w:val="00C42F49"/>
    <w:rsid w:val="00C45C3F"/>
    <w:rsid w:val="00C54F7F"/>
    <w:rsid w:val="00C56A37"/>
    <w:rsid w:val="00C7479A"/>
    <w:rsid w:val="00C77DB2"/>
    <w:rsid w:val="00C91521"/>
    <w:rsid w:val="00C93614"/>
    <w:rsid w:val="00C94E9D"/>
    <w:rsid w:val="00C971B7"/>
    <w:rsid w:val="00C9749F"/>
    <w:rsid w:val="00CA0835"/>
    <w:rsid w:val="00CA0910"/>
    <w:rsid w:val="00CB10BC"/>
    <w:rsid w:val="00CB2298"/>
    <w:rsid w:val="00CB47EB"/>
    <w:rsid w:val="00CC7315"/>
    <w:rsid w:val="00D10F09"/>
    <w:rsid w:val="00D112F0"/>
    <w:rsid w:val="00D11456"/>
    <w:rsid w:val="00D37293"/>
    <w:rsid w:val="00D37C89"/>
    <w:rsid w:val="00D4420B"/>
    <w:rsid w:val="00D5168F"/>
    <w:rsid w:val="00D525DA"/>
    <w:rsid w:val="00D57067"/>
    <w:rsid w:val="00D6101B"/>
    <w:rsid w:val="00D655D1"/>
    <w:rsid w:val="00D661C1"/>
    <w:rsid w:val="00D70C3D"/>
    <w:rsid w:val="00D84DFA"/>
    <w:rsid w:val="00DA1383"/>
    <w:rsid w:val="00DA4DFB"/>
    <w:rsid w:val="00DA7C30"/>
    <w:rsid w:val="00DB2277"/>
    <w:rsid w:val="00DB64CF"/>
    <w:rsid w:val="00DB6675"/>
    <w:rsid w:val="00DC04A4"/>
    <w:rsid w:val="00DC5339"/>
    <w:rsid w:val="00DC61F6"/>
    <w:rsid w:val="00DD4E8D"/>
    <w:rsid w:val="00DE7BE4"/>
    <w:rsid w:val="00DF5DAD"/>
    <w:rsid w:val="00E0044F"/>
    <w:rsid w:val="00E02D8A"/>
    <w:rsid w:val="00E12028"/>
    <w:rsid w:val="00E153AF"/>
    <w:rsid w:val="00E25DA6"/>
    <w:rsid w:val="00E447F5"/>
    <w:rsid w:val="00E4750E"/>
    <w:rsid w:val="00E64CCD"/>
    <w:rsid w:val="00E735FE"/>
    <w:rsid w:val="00E82AD6"/>
    <w:rsid w:val="00E82D1F"/>
    <w:rsid w:val="00E82FCD"/>
    <w:rsid w:val="00E86166"/>
    <w:rsid w:val="00EB413D"/>
    <w:rsid w:val="00EC1AA5"/>
    <w:rsid w:val="00EC50C9"/>
    <w:rsid w:val="00ED47DF"/>
    <w:rsid w:val="00ED4A71"/>
    <w:rsid w:val="00ED5E08"/>
    <w:rsid w:val="00ED74A0"/>
    <w:rsid w:val="00EE3D5A"/>
    <w:rsid w:val="00EE6B4A"/>
    <w:rsid w:val="00EF6E38"/>
    <w:rsid w:val="00F1364D"/>
    <w:rsid w:val="00F221CF"/>
    <w:rsid w:val="00F56A61"/>
    <w:rsid w:val="00F61FBE"/>
    <w:rsid w:val="00F8286B"/>
    <w:rsid w:val="00F83CB3"/>
    <w:rsid w:val="00F87F3F"/>
    <w:rsid w:val="00F9028B"/>
    <w:rsid w:val="00F904F1"/>
    <w:rsid w:val="00F94B07"/>
    <w:rsid w:val="00F95187"/>
    <w:rsid w:val="00FA1801"/>
    <w:rsid w:val="00FB58DE"/>
    <w:rsid w:val="00FC3AFC"/>
    <w:rsid w:val="00FC658A"/>
    <w:rsid w:val="00FF3BE8"/>
    <w:rsid w:val="00FF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73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09"/>
    <w:pPr>
      <w:widowControl w:val="0"/>
      <w:autoSpaceDE w:val="0"/>
      <w:autoSpaceDN w:val="0"/>
      <w:adjustRightInd w:val="0"/>
      <w:spacing w:after="0"/>
    </w:pPr>
    <w:rPr>
      <w:rFonts w:eastAsia="Times New Roman" w:cs="Times New Roman"/>
      <w:sz w:val="20"/>
      <w:szCs w:val="20"/>
    </w:rPr>
  </w:style>
  <w:style w:type="paragraph" w:styleId="Heading1">
    <w:name w:val="heading 1"/>
    <w:basedOn w:val="Normal"/>
    <w:next w:val="Normal"/>
    <w:link w:val="Heading1Char"/>
    <w:uiPriority w:val="9"/>
    <w:qFormat/>
    <w:rsid w:val="00460F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0F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3309"/>
    <w:pPr>
      <w:tabs>
        <w:tab w:val="center" w:pos="4320"/>
        <w:tab w:val="right" w:pos="8640"/>
      </w:tabs>
    </w:pPr>
  </w:style>
  <w:style w:type="character" w:customStyle="1" w:styleId="FooterChar">
    <w:name w:val="Footer Char"/>
    <w:basedOn w:val="DefaultParagraphFont"/>
    <w:link w:val="Footer"/>
    <w:rsid w:val="00583309"/>
    <w:rPr>
      <w:rFonts w:eastAsia="Times New Roman" w:cs="Times New Roman"/>
      <w:sz w:val="20"/>
      <w:szCs w:val="20"/>
    </w:rPr>
  </w:style>
  <w:style w:type="character" w:styleId="PageNumber">
    <w:name w:val="page number"/>
    <w:basedOn w:val="DefaultParagraphFont"/>
    <w:rsid w:val="00583309"/>
  </w:style>
  <w:style w:type="character" w:styleId="Hyperlink">
    <w:name w:val="Hyperlink"/>
    <w:uiPriority w:val="99"/>
    <w:rsid w:val="00583309"/>
    <w:rPr>
      <w:color w:val="0000FF"/>
      <w:u w:val="single"/>
    </w:rPr>
  </w:style>
  <w:style w:type="paragraph" w:styleId="ListParagraph">
    <w:name w:val="List Paragraph"/>
    <w:basedOn w:val="Normal"/>
    <w:uiPriority w:val="34"/>
    <w:qFormat/>
    <w:rsid w:val="00963E13"/>
    <w:pPr>
      <w:ind w:left="720"/>
      <w:contextualSpacing/>
    </w:pPr>
  </w:style>
  <w:style w:type="paragraph" w:styleId="Header">
    <w:name w:val="header"/>
    <w:basedOn w:val="Normal"/>
    <w:link w:val="HeaderChar"/>
    <w:uiPriority w:val="99"/>
    <w:unhideWhenUsed/>
    <w:rsid w:val="00A92D03"/>
    <w:pPr>
      <w:tabs>
        <w:tab w:val="center" w:pos="4680"/>
        <w:tab w:val="right" w:pos="9360"/>
      </w:tabs>
    </w:pPr>
  </w:style>
  <w:style w:type="character" w:customStyle="1" w:styleId="HeaderChar">
    <w:name w:val="Header Char"/>
    <w:basedOn w:val="DefaultParagraphFont"/>
    <w:link w:val="Header"/>
    <w:uiPriority w:val="99"/>
    <w:rsid w:val="00A92D03"/>
    <w:rPr>
      <w:rFonts w:eastAsia="Times New Roman" w:cs="Times New Roman"/>
      <w:sz w:val="20"/>
      <w:szCs w:val="20"/>
    </w:rPr>
  </w:style>
  <w:style w:type="table" w:styleId="TableGrid">
    <w:name w:val="Table Grid"/>
    <w:basedOn w:val="TableNormal"/>
    <w:uiPriority w:val="39"/>
    <w:rsid w:val="00C936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614"/>
    <w:rPr>
      <w:sz w:val="16"/>
      <w:szCs w:val="16"/>
    </w:rPr>
  </w:style>
  <w:style w:type="paragraph" w:styleId="CommentText">
    <w:name w:val="annotation text"/>
    <w:basedOn w:val="Normal"/>
    <w:link w:val="CommentTextChar"/>
    <w:uiPriority w:val="99"/>
    <w:unhideWhenUsed/>
    <w:rsid w:val="00C93614"/>
  </w:style>
  <w:style w:type="character" w:customStyle="1" w:styleId="CommentTextChar">
    <w:name w:val="Comment Text Char"/>
    <w:basedOn w:val="DefaultParagraphFont"/>
    <w:link w:val="CommentText"/>
    <w:uiPriority w:val="99"/>
    <w:rsid w:val="00C93614"/>
    <w:rPr>
      <w:rFonts w:eastAsia="Times New Roman" w:cs="Times New Roman"/>
      <w:sz w:val="20"/>
      <w:szCs w:val="20"/>
    </w:rPr>
  </w:style>
  <w:style w:type="paragraph" w:styleId="BalloonText">
    <w:name w:val="Balloon Text"/>
    <w:basedOn w:val="Normal"/>
    <w:link w:val="BalloonTextChar"/>
    <w:uiPriority w:val="99"/>
    <w:semiHidden/>
    <w:unhideWhenUsed/>
    <w:rsid w:val="00C93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61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118A4"/>
    <w:rPr>
      <w:b/>
      <w:bCs/>
    </w:rPr>
  </w:style>
  <w:style w:type="character" w:customStyle="1" w:styleId="CommentSubjectChar">
    <w:name w:val="Comment Subject Char"/>
    <w:basedOn w:val="CommentTextChar"/>
    <w:link w:val="CommentSubject"/>
    <w:uiPriority w:val="99"/>
    <w:semiHidden/>
    <w:rsid w:val="004118A4"/>
    <w:rPr>
      <w:rFonts w:eastAsia="Times New Roman" w:cs="Times New Roman"/>
      <w:b/>
      <w:bCs/>
      <w:sz w:val="20"/>
      <w:szCs w:val="20"/>
    </w:rPr>
  </w:style>
  <w:style w:type="character" w:styleId="PlaceholderText">
    <w:name w:val="Placeholder Text"/>
    <w:basedOn w:val="DefaultParagraphFont"/>
    <w:uiPriority w:val="99"/>
    <w:semiHidden/>
    <w:rsid w:val="005A27DB"/>
    <w:rPr>
      <w:color w:val="808080"/>
    </w:rPr>
  </w:style>
  <w:style w:type="paragraph" w:styleId="Revision">
    <w:name w:val="Revision"/>
    <w:hidden/>
    <w:uiPriority w:val="99"/>
    <w:semiHidden/>
    <w:rsid w:val="00D5168F"/>
    <w:pPr>
      <w:spacing w:after="0"/>
    </w:pPr>
    <w:rPr>
      <w:rFonts w:eastAsia="Times New Roman" w:cs="Times New Roman"/>
      <w:sz w:val="20"/>
      <w:szCs w:val="20"/>
    </w:rPr>
  </w:style>
  <w:style w:type="character" w:styleId="FollowedHyperlink">
    <w:name w:val="FollowedHyperlink"/>
    <w:basedOn w:val="DefaultParagraphFont"/>
    <w:uiPriority w:val="99"/>
    <w:semiHidden/>
    <w:unhideWhenUsed/>
    <w:rsid w:val="00D11456"/>
    <w:rPr>
      <w:color w:val="954F72" w:themeColor="followedHyperlink"/>
      <w:u w:val="single"/>
    </w:rPr>
  </w:style>
  <w:style w:type="paragraph" w:customStyle="1" w:styleId="Style1">
    <w:name w:val="Style1"/>
    <w:basedOn w:val="Heading1"/>
    <w:next w:val="Normal"/>
    <w:qFormat/>
    <w:rsid w:val="00460FBE"/>
    <w:pPr>
      <w:numPr>
        <w:numId w:val="6"/>
      </w:numPr>
      <w:tabs>
        <w:tab w:val="left" w:pos="720"/>
      </w:tabs>
    </w:pPr>
    <w:rPr>
      <w:rFonts w:ascii="Times New Roman" w:hAnsi="Times New Roman"/>
      <w:b/>
      <w:bCs/>
      <w:color w:val="auto"/>
      <w:sz w:val="24"/>
      <w:szCs w:val="24"/>
    </w:rPr>
  </w:style>
  <w:style w:type="paragraph" w:customStyle="1" w:styleId="Style2">
    <w:name w:val="Style2"/>
    <w:basedOn w:val="Heading2"/>
    <w:next w:val="Normal"/>
    <w:qFormat/>
    <w:rsid w:val="00460FBE"/>
    <w:pPr>
      <w:numPr>
        <w:numId w:val="16"/>
      </w:numPr>
    </w:pPr>
    <w:rPr>
      <w:rFonts w:ascii="Times New Roman" w:hAnsi="Times New Roman"/>
      <w:b/>
      <w:bCs/>
      <w:color w:val="auto"/>
      <w:sz w:val="24"/>
      <w:szCs w:val="24"/>
      <w:u w:val="single"/>
    </w:rPr>
  </w:style>
  <w:style w:type="character" w:customStyle="1" w:styleId="Heading1Char">
    <w:name w:val="Heading 1 Char"/>
    <w:basedOn w:val="DefaultParagraphFont"/>
    <w:link w:val="Heading1"/>
    <w:uiPriority w:val="9"/>
    <w:rsid w:val="00460FBE"/>
    <w:rPr>
      <w:rFonts w:asciiTheme="majorHAnsi" w:eastAsiaTheme="majorEastAsia" w:hAnsiTheme="majorHAnsi" w:cstheme="majorBidi"/>
      <w:color w:val="2F5496" w:themeColor="accent1" w:themeShade="BF"/>
      <w:sz w:val="32"/>
      <w:szCs w:val="32"/>
    </w:rPr>
  </w:style>
  <w:style w:type="paragraph" w:customStyle="1" w:styleId="FirstParagraph">
    <w:name w:val="First Paragraph"/>
    <w:basedOn w:val="BodyText"/>
    <w:next w:val="BodyText"/>
    <w:qFormat/>
    <w:rsid w:val="00F61FBE"/>
    <w:pPr>
      <w:widowControl/>
      <w:autoSpaceDE/>
      <w:autoSpaceDN/>
      <w:adjustRightInd/>
      <w:spacing w:before="180" w:after="180"/>
    </w:pPr>
    <w:rPr>
      <w:rFonts w:eastAsiaTheme="minorHAnsi" w:cstheme="minorBidi"/>
      <w:sz w:val="24"/>
      <w:szCs w:val="24"/>
    </w:rPr>
  </w:style>
  <w:style w:type="character" w:customStyle="1" w:styleId="Heading2Char">
    <w:name w:val="Heading 2 Char"/>
    <w:basedOn w:val="DefaultParagraphFont"/>
    <w:link w:val="Heading2"/>
    <w:uiPriority w:val="9"/>
    <w:semiHidden/>
    <w:rsid w:val="00460FB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F61FBE"/>
    <w:pPr>
      <w:spacing w:after="120"/>
    </w:pPr>
  </w:style>
  <w:style w:type="character" w:customStyle="1" w:styleId="BodyTextChar">
    <w:name w:val="Body Text Char"/>
    <w:basedOn w:val="DefaultParagraphFont"/>
    <w:link w:val="BodyText"/>
    <w:uiPriority w:val="99"/>
    <w:semiHidden/>
    <w:rsid w:val="00F61FBE"/>
    <w:rPr>
      <w:rFonts w:eastAsia="Times New Roman" w:cs="Times New Roman"/>
      <w:sz w:val="20"/>
      <w:szCs w:val="20"/>
    </w:rPr>
  </w:style>
  <w:style w:type="table" w:customStyle="1" w:styleId="TableGrid1">
    <w:name w:val="Table Grid1"/>
    <w:basedOn w:val="TableNormal"/>
    <w:next w:val="TableGrid"/>
    <w:uiPriority w:val="39"/>
    <w:rsid w:val="00D84DFA"/>
    <w:pPr>
      <w:spacing w:after="0"/>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09"/>
    <w:pPr>
      <w:widowControl w:val="0"/>
      <w:autoSpaceDE w:val="0"/>
      <w:autoSpaceDN w:val="0"/>
      <w:adjustRightInd w:val="0"/>
      <w:spacing w:after="0"/>
    </w:pPr>
    <w:rPr>
      <w:rFonts w:eastAsia="Times New Roman" w:cs="Times New Roman"/>
      <w:sz w:val="20"/>
      <w:szCs w:val="20"/>
    </w:rPr>
  </w:style>
  <w:style w:type="paragraph" w:styleId="Heading1">
    <w:name w:val="heading 1"/>
    <w:basedOn w:val="Normal"/>
    <w:next w:val="Normal"/>
    <w:link w:val="Heading1Char"/>
    <w:uiPriority w:val="9"/>
    <w:qFormat/>
    <w:rsid w:val="00460F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0F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3309"/>
    <w:pPr>
      <w:tabs>
        <w:tab w:val="center" w:pos="4320"/>
        <w:tab w:val="right" w:pos="8640"/>
      </w:tabs>
    </w:pPr>
  </w:style>
  <w:style w:type="character" w:customStyle="1" w:styleId="FooterChar">
    <w:name w:val="Footer Char"/>
    <w:basedOn w:val="DefaultParagraphFont"/>
    <w:link w:val="Footer"/>
    <w:rsid w:val="00583309"/>
    <w:rPr>
      <w:rFonts w:eastAsia="Times New Roman" w:cs="Times New Roman"/>
      <w:sz w:val="20"/>
      <w:szCs w:val="20"/>
    </w:rPr>
  </w:style>
  <w:style w:type="character" w:styleId="PageNumber">
    <w:name w:val="page number"/>
    <w:basedOn w:val="DefaultParagraphFont"/>
    <w:rsid w:val="00583309"/>
  </w:style>
  <w:style w:type="character" w:styleId="Hyperlink">
    <w:name w:val="Hyperlink"/>
    <w:uiPriority w:val="99"/>
    <w:rsid w:val="00583309"/>
    <w:rPr>
      <w:color w:val="0000FF"/>
      <w:u w:val="single"/>
    </w:rPr>
  </w:style>
  <w:style w:type="paragraph" w:styleId="ListParagraph">
    <w:name w:val="List Paragraph"/>
    <w:basedOn w:val="Normal"/>
    <w:uiPriority w:val="34"/>
    <w:qFormat/>
    <w:rsid w:val="00963E13"/>
    <w:pPr>
      <w:ind w:left="720"/>
      <w:contextualSpacing/>
    </w:pPr>
  </w:style>
  <w:style w:type="paragraph" w:styleId="Header">
    <w:name w:val="header"/>
    <w:basedOn w:val="Normal"/>
    <w:link w:val="HeaderChar"/>
    <w:uiPriority w:val="99"/>
    <w:unhideWhenUsed/>
    <w:rsid w:val="00A92D03"/>
    <w:pPr>
      <w:tabs>
        <w:tab w:val="center" w:pos="4680"/>
        <w:tab w:val="right" w:pos="9360"/>
      </w:tabs>
    </w:pPr>
  </w:style>
  <w:style w:type="character" w:customStyle="1" w:styleId="HeaderChar">
    <w:name w:val="Header Char"/>
    <w:basedOn w:val="DefaultParagraphFont"/>
    <w:link w:val="Header"/>
    <w:uiPriority w:val="99"/>
    <w:rsid w:val="00A92D03"/>
    <w:rPr>
      <w:rFonts w:eastAsia="Times New Roman" w:cs="Times New Roman"/>
      <w:sz w:val="20"/>
      <w:szCs w:val="20"/>
    </w:rPr>
  </w:style>
  <w:style w:type="table" w:styleId="TableGrid">
    <w:name w:val="Table Grid"/>
    <w:basedOn w:val="TableNormal"/>
    <w:uiPriority w:val="39"/>
    <w:rsid w:val="00C936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614"/>
    <w:rPr>
      <w:sz w:val="16"/>
      <w:szCs w:val="16"/>
    </w:rPr>
  </w:style>
  <w:style w:type="paragraph" w:styleId="CommentText">
    <w:name w:val="annotation text"/>
    <w:basedOn w:val="Normal"/>
    <w:link w:val="CommentTextChar"/>
    <w:uiPriority w:val="99"/>
    <w:unhideWhenUsed/>
    <w:rsid w:val="00C93614"/>
  </w:style>
  <w:style w:type="character" w:customStyle="1" w:styleId="CommentTextChar">
    <w:name w:val="Comment Text Char"/>
    <w:basedOn w:val="DefaultParagraphFont"/>
    <w:link w:val="CommentText"/>
    <w:uiPriority w:val="99"/>
    <w:rsid w:val="00C93614"/>
    <w:rPr>
      <w:rFonts w:eastAsia="Times New Roman" w:cs="Times New Roman"/>
      <w:sz w:val="20"/>
      <w:szCs w:val="20"/>
    </w:rPr>
  </w:style>
  <w:style w:type="paragraph" w:styleId="BalloonText">
    <w:name w:val="Balloon Text"/>
    <w:basedOn w:val="Normal"/>
    <w:link w:val="BalloonTextChar"/>
    <w:uiPriority w:val="99"/>
    <w:semiHidden/>
    <w:unhideWhenUsed/>
    <w:rsid w:val="00C93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61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118A4"/>
    <w:rPr>
      <w:b/>
      <w:bCs/>
    </w:rPr>
  </w:style>
  <w:style w:type="character" w:customStyle="1" w:styleId="CommentSubjectChar">
    <w:name w:val="Comment Subject Char"/>
    <w:basedOn w:val="CommentTextChar"/>
    <w:link w:val="CommentSubject"/>
    <w:uiPriority w:val="99"/>
    <w:semiHidden/>
    <w:rsid w:val="004118A4"/>
    <w:rPr>
      <w:rFonts w:eastAsia="Times New Roman" w:cs="Times New Roman"/>
      <w:b/>
      <w:bCs/>
      <w:sz w:val="20"/>
      <w:szCs w:val="20"/>
    </w:rPr>
  </w:style>
  <w:style w:type="character" w:styleId="PlaceholderText">
    <w:name w:val="Placeholder Text"/>
    <w:basedOn w:val="DefaultParagraphFont"/>
    <w:uiPriority w:val="99"/>
    <w:semiHidden/>
    <w:rsid w:val="005A27DB"/>
    <w:rPr>
      <w:color w:val="808080"/>
    </w:rPr>
  </w:style>
  <w:style w:type="paragraph" w:styleId="Revision">
    <w:name w:val="Revision"/>
    <w:hidden/>
    <w:uiPriority w:val="99"/>
    <w:semiHidden/>
    <w:rsid w:val="00D5168F"/>
    <w:pPr>
      <w:spacing w:after="0"/>
    </w:pPr>
    <w:rPr>
      <w:rFonts w:eastAsia="Times New Roman" w:cs="Times New Roman"/>
      <w:sz w:val="20"/>
      <w:szCs w:val="20"/>
    </w:rPr>
  </w:style>
  <w:style w:type="character" w:styleId="FollowedHyperlink">
    <w:name w:val="FollowedHyperlink"/>
    <w:basedOn w:val="DefaultParagraphFont"/>
    <w:uiPriority w:val="99"/>
    <w:semiHidden/>
    <w:unhideWhenUsed/>
    <w:rsid w:val="00D11456"/>
    <w:rPr>
      <w:color w:val="954F72" w:themeColor="followedHyperlink"/>
      <w:u w:val="single"/>
    </w:rPr>
  </w:style>
  <w:style w:type="paragraph" w:customStyle="1" w:styleId="Style1">
    <w:name w:val="Style1"/>
    <w:basedOn w:val="Heading1"/>
    <w:next w:val="Normal"/>
    <w:qFormat/>
    <w:rsid w:val="00460FBE"/>
    <w:pPr>
      <w:numPr>
        <w:numId w:val="6"/>
      </w:numPr>
      <w:tabs>
        <w:tab w:val="left" w:pos="720"/>
      </w:tabs>
    </w:pPr>
    <w:rPr>
      <w:rFonts w:ascii="Times New Roman" w:hAnsi="Times New Roman"/>
      <w:b/>
      <w:bCs/>
      <w:color w:val="auto"/>
      <w:sz w:val="24"/>
      <w:szCs w:val="24"/>
    </w:rPr>
  </w:style>
  <w:style w:type="paragraph" w:customStyle="1" w:styleId="Style2">
    <w:name w:val="Style2"/>
    <w:basedOn w:val="Heading2"/>
    <w:next w:val="Normal"/>
    <w:qFormat/>
    <w:rsid w:val="00460FBE"/>
    <w:pPr>
      <w:numPr>
        <w:numId w:val="16"/>
      </w:numPr>
    </w:pPr>
    <w:rPr>
      <w:rFonts w:ascii="Times New Roman" w:hAnsi="Times New Roman"/>
      <w:b/>
      <w:bCs/>
      <w:color w:val="auto"/>
      <w:sz w:val="24"/>
      <w:szCs w:val="24"/>
      <w:u w:val="single"/>
    </w:rPr>
  </w:style>
  <w:style w:type="character" w:customStyle="1" w:styleId="Heading1Char">
    <w:name w:val="Heading 1 Char"/>
    <w:basedOn w:val="DefaultParagraphFont"/>
    <w:link w:val="Heading1"/>
    <w:uiPriority w:val="9"/>
    <w:rsid w:val="00460FBE"/>
    <w:rPr>
      <w:rFonts w:asciiTheme="majorHAnsi" w:eastAsiaTheme="majorEastAsia" w:hAnsiTheme="majorHAnsi" w:cstheme="majorBidi"/>
      <w:color w:val="2F5496" w:themeColor="accent1" w:themeShade="BF"/>
      <w:sz w:val="32"/>
      <w:szCs w:val="32"/>
    </w:rPr>
  </w:style>
  <w:style w:type="paragraph" w:customStyle="1" w:styleId="FirstParagraph">
    <w:name w:val="First Paragraph"/>
    <w:basedOn w:val="BodyText"/>
    <w:next w:val="BodyText"/>
    <w:qFormat/>
    <w:rsid w:val="00F61FBE"/>
    <w:pPr>
      <w:widowControl/>
      <w:autoSpaceDE/>
      <w:autoSpaceDN/>
      <w:adjustRightInd/>
      <w:spacing w:before="180" w:after="180"/>
    </w:pPr>
    <w:rPr>
      <w:rFonts w:eastAsiaTheme="minorHAnsi" w:cstheme="minorBidi"/>
      <w:sz w:val="24"/>
      <w:szCs w:val="24"/>
    </w:rPr>
  </w:style>
  <w:style w:type="character" w:customStyle="1" w:styleId="Heading2Char">
    <w:name w:val="Heading 2 Char"/>
    <w:basedOn w:val="DefaultParagraphFont"/>
    <w:link w:val="Heading2"/>
    <w:uiPriority w:val="9"/>
    <w:semiHidden/>
    <w:rsid w:val="00460FB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F61FBE"/>
    <w:pPr>
      <w:spacing w:after="120"/>
    </w:pPr>
  </w:style>
  <w:style w:type="character" w:customStyle="1" w:styleId="BodyTextChar">
    <w:name w:val="Body Text Char"/>
    <w:basedOn w:val="DefaultParagraphFont"/>
    <w:link w:val="BodyText"/>
    <w:uiPriority w:val="99"/>
    <w:semiHidden/>
    <w:rsid w:val="00F61FBE"/>
    <w:rPr>
      <w:rFonts w:eastAsia="Times New Roman" w:cs="Times New Roman"/>
      <w:sz w:val="20"/>
      <w:szCs w:val="20"/>
    </w:rPr>
  </w:style>
  <w:style w:type="table" w:customStyle="1" w:styleId="TableGrid1">
    <w:name w:val="Table Grid1"/>
    <w:basedOn w:val="TableNormal"/>
    <w:next w:val="TableGrid"/>
    <w:uiPriority w:val="39"/>
    <w:rsid w:val="00D84DFA"/>
    <w:pPr>
      <w:spacing w:after="0"/>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20678">
      <w:bodyDiv w:val="1"/>
      <w:marLeft w:val="0"/>
      <w:marRight w:val="0"/>
      <w:marTop w:val="0"/>
      <w:marBottom w:val="0"/>
      <w:divBdr>
        <w:top w:val="none" w:sz="0" w:space="0" w:color="auto"/>
        <w:left w:val="none" w:sz="0" w:space="0" w:color="auto"/>
        <w:bottom w:val="none" w:sz="0" w:space="0" w:color="auto"/>
        <w:right w:val="none" w:sz="0" w:space="0" w:color="auto"/>
      </w:divBdr>
    </w:div>
    <w:div w:id="456067093">
      <w:bodyDiv w:val="1"/>
      <w:marLeft w:val="0"/>
      <w:marRight w:val="0"/>
      <w:marTop w:val="0"/>
      <w:marBottom w:val="0"/>
      <w:divBdr>
        <w:top w:val="none" w:sz="0" w:space="0" w:color="auto"/>
        <w:left w:val="none" w:sz="0" w:space="0" w:color="auto"/>
        <w:bottom w:val="none" w:sz="0" w:space="0" w:color="auto"/>
        <w:right w:val="none" w:sz="0" w:space="0" w:color="auto"/>
      </w:divBdr>
    </w:div>
    <w:div w:id="464812174">
      <w:bodyDiv w:val="1"/>
      <w:marLeft w:val="0"/>
      <w:marRight w:val="0"/>
      <w:marTop w:val="0"/>
      <w:marBottom w:val="0"/>
      <w:divBdr>
        <w:top w:val="none" w:sz="0" w:space="0" w:color="auto"/>
        <w:left w:val="none" w:sz="0" w:space="0" w:color="auto"/>
        <w:bottom w:val="none" w:sz="0" w:space="0" w:color="auto"/>
        <w:right w:val="none" w:sz="0" w:space="0" w:color="auto"/>
      </w:divBdr>
      <w:divsChild>
        <w:div w:id="534805066">
          <w:marLeft w:val="0"/>
          <w:marRight w:val="0"/>
          <w:marTop w:val="0"/>
          <w:marBottom w:val="0"/>
          <w:divBdr>
            <w:top w:val="none" w:sz="0" w:space="0" w:color="auto"/>
            <w:left w:val="none" w:sz="0" w:space="0" w:color="auto"/>
            <w:bottom w:val="none" w:sz="0" w:space="0" w:color="auto"/>
            <w:right w:val="none" w:sz="0" w:space="0" w:color="auto"/>
          </w:divBdr>
        </w:div>
        <w:div w:id="1064721519">
          <w:marLeft w:val="0"/>
          <w:marRight w:val="0"/>
          <w:marTop w:val="0"/>
          <w:marBottom w:val="0"/>
          <w:divBdr>
            <w:top w:val="none" w:sz="0" w:space="0" w:color="auto"/>
            <w:left w:val="none" w:sz="0" w:space="0" w:color="auto"/>
            <w:bottom w:val="none" w:sz="0" w:space="0" w:color="auto"/>
            <w:right w:val="none" w:sz="0" w:space="0" w:color="auto"/>
          </w:divBdr>
        </w:div>
      </w:divsChild>
    </w:div>
    <w:div w:id="559173764">
      <w:bodyDiv w:val="1"/>
      <w:marLeft w:val="0"/>
      <w:marRight w:val="0"/>
      <w:marTop w:val="0"/>
      <w:marBottom w:val="0"/>
      <w:divBdr>
        <w:top w:val="none" w:sz="0" w:space="0" w:color="auto"/>
        <w:left w:val="none" w:sz="0" w:space="0" w:color="auto"/>
        <w:bottom w:val="none" w:sz="0" w:space="0" w:color="auto"/>
        <w:right w:val="none" w:sz="0" w:space="0" w:color="auto"/>
      </w:divBdr>
      <w:divsChild>
        <w:div w:id="689792562">
          <w:marLeft w:val="0"/>
          <w:marRight w:val="0"/>
          <w:marTop w:val="0"/>
          <w:marBottom w:val="0"/>
          <w:divBdr>
            <w:top w:val="none" w:sz="0" w:space="0" w:color="auto"/>
            <w:left w:val="none" w:sz="0" w:space="0" w:color="auto"/>
            <w:bottom w:val="none" w:sz="0" w:space="0" w:color="auto"/>
            <w:right w:val="none" w:sz="0" w:space="0" w:color="auto"/>
          </w:divBdr>
        </w:div>
        <w:div w:id="2076926911">
          <w:marLeft w:val="0"/>
          <w:marRight w:val="0"/>
          <w:marTop w:val="0"/>
          <w:marBottom w:val="0"/>
          <w:divBdr>
            <w:top w:val="none" w:sz="0" w:space="0" w:color="auto"/>
            <w:left w:val="none" w:sz="0" w:space="0" w:color="auto"/>
            <w:bottom w:val="none" w:sz="0" w:space="0" w:color="auto"/>
            <w:right w:val="none" w:sz="0" w:space="0" w:color="auto"/>
          </w:divBdr>
        </w:div>
      </w:divsChild>
    </w:div>
    <w:div w:id="1036538217">
      <w:bodyDiv w:val="1"/>
      <w:marLeft w:val="0"/>
      <w:marRight w:val="0"/>
      <w:marTop w:val="0"/>
      <w:marBottom w:val="0"/>
      <w:divBdr>
        <w:top w:val="none" w:sz="0" w:space="0" w:color="auto"/>
        <w:left w:val="none" w:sz="0" w:space="0" w:color="auto"/>
        <w:bottom w:val="none" w:sz="0" w:space="0" w:color="auto"/>
        <w:right w:val="none" w:sz="0" w:space="0" w:color="auto"/>
      </w:divBdr>
    </w:div>
    <w:div w:id="1265530154">
      <w:bodyDiv w:val="1"/>
      <w:marLeft w:val="0"/>
      <w:marRight w:val="0"/>
      <w:marTop w:val="0"/>
      <w:marBottom w:val="0"/>
      <w:divBdr>
        <w:top w:val="none" w:sz="0" w:space="0" w:color="auto"/>
        <w:left w:val="none" w:sz="0" w:space="0" w:color="auto"/>
        <w:bottom w:val="none" w:sz="0" w:space="0" w:color="auto"/>
        <w:right w:val="none" w:sz="0" w:space="0" w:color="auto"/>
      </w:divBdr>
      <w:divsChild>
        <w:div w:id="885487886">
          <w:marLeft w:val="0"/>
          <w:marRight w:val="0"/>
          <w:marTop w:val="0"/>
          <w:marBottom w:val="0"/>
          <w:divBdr>
            <w:top w:val="none" w:sz="0" w:space="0" w:color="auto"/>
            <w:left w:val="none" w:sz="0" w:space="0" w:color="auto"/>
            <w:bottom w:val="none" w:sz="0" w:space="0" w:color="auto"/>
            <w:right w:val="none" w:sz="0" w:space="0" w:color="auto"/>
          </w:divBdr>
        </w:div>
        <w:div w:id="1156071233">
          <w:marLeft w:val="0"/>
          <w:marRight w:val="0"/>
          <w:marTop w:val="0"/>
          <w:marBottom w:val="0"/>
          <w:divBdr>
            <w:top w:val="none" w:sz="0" w:space="0" w:color="auto"/>
            <w:left w:val="none" w:sz="0" w:space="0" w:color="auto"/>
            <w:bottom w:val="none" w:sz="0" w:space="0" w:color="auto"/>
            <w:right w:val="none" w:sz="0" w:space="0" w:color="auto"/>
          </w:divBdr>
        </w:div>
      </w:divsChild>
    </w:div>
    <w:div w:id="1320622775">
      <w:bodyDiv w:val="1"/>
      <w:marLeft w:val="0"/>
      <w:marRight w:val="0"/>
      <w:marTop w:val="0"/>
      <w:marBottom w:val="0"/>
      <w:divBdr>
        <w:top w:val="none" w:sz="0" w:space="0" w:color="auto"/>
        <w:left w:val="none" w:sz="0" w:space="0" w:color="auto"/>
        <w:bottom w:val="none" w:sz="0" w:space="0" w:color="auto"/>
        <w:right w:val="none" w:sz="0" w:space="0" w:color="auto"/>
      </w:divBdr>
    </w:div>
    <w:div w:id="1341659751">
      <w:bodyDiv w:val="1"/>
      <w:marLeft w:val="0"/>
      <w:marRight w:val="0"/>
      <w:marTop w:val="0"/>
      <w:marBottom w:val="0"/>
      <w:divBdr>
        <w:top w:val="none" w:sz="0" w:space="0" w:color="auto"/>
        <w:left w:val="none" w:sz="0" w:space="0" w:color="auto"/>
        <w:bottom w:val="none" w:sz="0" w:space="0" w:color="auto"/>
        <w:right w:val="none" w:sz="0" w:space="0" w:color="auto"/>
      </w:divBdr>
    </w:div>
    <w:div w:id="1504011111">
      <w:bodyDiv w:val="1"/>
      <w:marLeft w:val="0"/>
      <w:marRight w:val="0"/>
      <w:marTop w:val="0"/>
      <w:marBottom w:val="0"/>
      <w:divBdr>
        <w:top w:val="none" w:sz="0" w:space="0" w:color="auto"/>
        <w:left w:val="none" w:sz="0" w:space="0" w:color="auto"/>
        <w:bottom w:val="none" w:sz="0" w:space="0" w:color="auto"/>
        <w:right w:val="none" w:sz="0" w:space="0" w:color="auto"/>
      </w:divBdr>
    </w:div>
    <w:div w:id="1793330133">
      <w:bodyDiv w:val="1"/>
      <w:marLeft w:val="0"/>
      <w:marRight w:val="0"/>
      <w:marTop w:val="0"/>
      <w:marBottom w:val="0"/>
      <w:divBdr>
        <w:top w:val="none" w:sz="0" w:space="0" w:color="auto"/>
        <w:left w:val="none" w:sz="0" w:space="0" w:color="auto"/>
        <w:bottom w:val="none" w:sz="0" w:space="0" w:color="auto"/>
        <w:right w:val="none" w:sz="0" w:space="0" w:color="auto"/>
      </w:divBdr>
    </w:div>
    <w:div w:id="18354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sfa/management/catch_shares/legislation_history/documents/msa_amended_200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FDAC706-50B4-4A0A-BE12-0B4C19B8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12528</Words>
  <Characters>71412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dc:creator>
  <cp:keywords/>
  <dc:description/>
  <cp:lastModifiedBy>SYSTEM</cp:lastModifiedBy>
  <cp:revision>2</cp:revision>
  <dcterms:created xsi:type="dcterms:W3CDTF">2019-07-26T21:18:00Z</dcterms:created>
  <dcterms:modified xsi:type="dcterms:W3CDTF">2019-07-26T21:18:00Z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a3f9cf46-043e-342a-a1ca-cb91e77622e1</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