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A1E57" w14:textId="72077C52" w:rsidR="002211DF" w:rsidRDefault="002211DF" w:rsidP="002211DF">
      <w:pPr>
        <w:widowControl/>
        <w:tabs>
          <w:tab w:val="center" w:pos="4680"/>
        </w:tabs>
        <w:jc w:val="center"/>
        <w:rPr>
          <w:b/>
          <w:bCs/>
        </w:rPr>
      </w:pPr>
      <w:bookmarkStart w:id="0" w:name="_GoBack"/>
      <w:bookmarkEnd w:id="0"/>
      <w:r>
        <w:rPr>
          <w:b/>
          <w:bCs/>
        </w:rPr>
        <w:t>SUPPORTING STATEMENT</w:t>
      </w:r>
    </w:p>
    <w:p w14:paraId="6F6A6E5D" w14:textId="24393B9E" w:rsidR="00DE480F" w:rsidRDefault="00DE480F" w:rsidP="007846BE">
      <w:pPr>
        <w:widowControl/>
        <w:tabs>
          <w:tab w:val="center" w:pos="4680"/>
        </w:tabs>
        <w:jc w:val="center"/>
        <w:rPr>
          <w:b/>
          <w:bCs/>
        </w:rPr>
      </w:pPr>
    </w:p>
    <w:p w14:paraId="6CC1028B" w14:textId="77777777" w:rsidR="002211DF" w:rsidRPr="00234FDD" w:rsidRDefault="002211DF" w:rsidP="002211DF">
      <w:pPr>
        <w:jc w:val="center"/>
        <w:rPr>
          <w:b/>
        </w:rPr>
      </w:pPr>
      <w:r>
        <w:rPr>
          <w:b/>
        </w:rPr>
        <w:t>U.S. Department of Commerce</w:t>
      </w:r>
    </w:p>
    <w:p w14:paraId="7400180E" w14:textId="5E3B6CB1" w:rsidR="007846BE" w:rsidRDefault="00CF07DF" w:rsidP="007846BE">
      <w:pPr>
        <w:widowControl/>
        <w:tabs>
          <w:tab w:val="center" w:pos="4680"/>
        </w:tabs>
        <w:jc w:val="center"/>
        <w:rPr>
          <w:b/>
          <w:bCs/>
        </w:rPr>
      </w:pPr>
      <w:r w:rsidRPr="00CF07DF">
        <w:rPr>
          <w:b/>
          <w:bCs/>
        </w:rPr>
        <w:t>Economic Development Administration</w:t>
      </w:r>
    </w:p>
    <w:p w14:paraId="4FAAC1D0" w14:textId="77777777" w:rsidR="007846BE" w:rsidRDefault="00CF07DF" w:rsidP="007846BE">
      <w:pPr>
        <w:widowControl/>
        <w:tabs>
          <w:tab w:val="center" w:pos="4680"/>
        </w:tabs>
        <w:jc w:val="center"/>
        <w:rPr>
          <w:b/>
          <w:bCs/>
        </w:rPr>
      </w:pPr>
      <w:r>
        <w:rPr>
          <w:b/>
          <w:bCs/>
        </w:rPr>
        <w:t>Trade Adjustment Assistance for Firms</w:t>
      </w:r>
    </w:p>
    <w:p w14:paraId="16F988D3" w14:textId="42B0F08B" w:rsidR="00136E5A" w:rsidRPr="007846BE" w:rsidRDefault="00136E5A" w:rsidP="007846BE">
      <w:pPr>
        <w:widowControl/>
        <w:tabs>
          <w:tab w:val="center" w:pos="4680"/>
        </w:tabs>
        <w:jc w:val="center"/>
        <w:rPr>
          <w:b/>
          <w:bCs/>
        </w:rPr>
      </w:pPr>
      <w:r>
        <w:rPr>
          <w:b/>
          <w:bCs/>
        </w:rPr>
        <w:t xml:space="preserve">OMB </w:t>
      </w:r>
      <w:r w:rsidR="002211DF">
        <w:rPr>
          <w:b/>
          <w:bCs/>
        </w:rPr>
        <w:t>Control</w:t>
      </w:r>
      <w:r>
        <w:rPr>
          <w:b/>
          <w:bCs/>
        </w:rPr>
        <w:t xml:space="preserve"> N</w:t>
      </w:r>
      <w:r w:rsidR="002211DF">
        <w:rPr>
          <w:b/>
          <w:bCs/>
        </w:rPr>
        <w:t>o</w:t>
      </w:r>
      <w:r>
        <w:rPr>
          <w:b/>
          <w:bCs/>
        </w:rPr>
        <w:t xml:space="preserve">. </w:t>
      </w:r>
      <w:r w:rsidR="00CF07DF">
        <w:rPr>
          <w:b/>
          <w:bCs/>
        </w:rPr>
        <w:t>0610</w:t>
      </w:r>
      <w:r>
        <w:rPr>
          <w:b/>
          <w:bCs/>
        </w:rPr>
        <w:t>-</w:t>
      </w:r>
      <w:r w:rsidR="00CF07DF">
        <w:rPr>
          <w:b/>
          <w:bCs/>
        </w:rPr>
        <w:t>0091</w:t>
      </w:r>
    </w:p>
    <w:p w14:paraId="7E02B508" w14:textId="77777777" w:rsidR="00136E5A" w:rsidRDefault="00136E5A" w:rsidP="00A91567">
      <w:pPr>
        <w:widowControl/>
      </w:pPr>
    </w:p>
    <w:p w14:paraId="48E7DE74" w14:textId="77777777" w:rsidR="00136E5A" w:rsidRDefault="00136E5A" w:rsidP="00A91567">
      <w:pPr>
        <w:widowControl/>
      </w:pPr>
    </w:p>
    <w:p w14:paraId="024DED5F" w14:textId="77777777" w:rsidR="00136E5A" w:rsidRDefault="00136E5A" w:rsidP="00A91567">
      <w:pPr>
        <w:widowControl/>
        <w:tabs>
          <w:tab w:val="left" w:pos="-1440"/>
        </w:tabs>
        <w:ind w:left="720" w:hanging="720"/>
        <w:rPr>
          <w:b/>
          <w:bCs/>
        </w:rPr>
      </w:pPr>
      <w:r>
        <w:rPr>
          <w:b/>
          <w:bCs/>
        </w:rPr>
        <w:t xml:space="preserve">A. </w:t>
      </w:r>
      <w:r>
        <w:rPr>
          <w:b/>
          <w:bCs/>
        </w:rPr>
        <w:tab/>
        <w:t>JUSTIFICATION</w:t>
      </w:r>
    </w:p>
    <w:p w14:paraId="063056C0" w14:textId="77777777" w:rsidR="002211DF" w:rsidRDefault="002211DF" w:rsidP="002211DF">
      <w:pPr>
        <w:rPr>
          <w:b/>
        </w:rPr>
      </w:pPr>
    </w:p>
    <w:p w14:paraId="2B0CCCC4" w14:textId="7514FE88" w:rsidR="002211DF" w:rsidRPr="002211DF" w:rsidRDefault="002211DF" w:rsidP="002211DF">
      <w:r w:rsidRPr="002211DF">
        <w:t>This request is to revise and extend OMB approval for these information collections.</w:t>
      </w:r>
    </w:p>
    <w:p w14:paraId="0FA7F3FF" w14:textId="77777777" w:rsidR="00861A51" w:rsidRDefault="00861A51" w:rsidP="00A91567">
      <w:pPr>
        <w:widowControl/>
        <w:tabs>
          <w:tab w:val="left" w:pos="-1440"/>
        </w:tabs>
        <w:ind w:left="720" w:hanging="720"/>
        <w:rPr>
          <w:b/>
          <w:bCs/>
        </w:rPr>
      </w:pPr>
    </w:p>
    <w:p w14:paraId="394843FF" w14:textId="77777777" w:rsidR="00136E5A" w:rsidRDefault="00136E5A" w:rsidP="00A91567">
      <w:pPr>
        <w:widowControl/>
      </w:pPr>
      <w:r>
        <w:rPr>
          <w:b/>
          <w:bCs/>
        </w:rPr>
        <w:t xml:space="preserve">1.  </w:t>
      </w:r>
      <w:r>
        <w:rPr>
          <w:b/>
          <w:bCs/>
          <w:u w:val="single"/>
        </w:rPr>
        <w:t>Explain the circumstances that make the collection of information necessary</w:t>
      </w:r>
      <w:r w:rsidRPr="00227E84">
        <w:rPr>
          <w:b/>
          <w:bCs/>
        </w:rPr>
        <w:t>.</w:t>
      </w:r>
    </w:p>
    <w:p w14:paraId="2465569E" w14:textId="47D030F5" w:rsidR="00136E5A" w:rsidRDefault="002211DF" w:rsidP="00A91567">
      <w:pPr>
        <w:widowControl/>
      </w:pPr>
      <w:r>
        <w:t xml:space="preserve"> </w:t>
      </w:r>
    </w:p>
    <w:p w14:paraId="4FBF43E0" w14:textId="76B4989C" w:rsidR="00C224E1" w:rsidRPr="00365919" w:rsidRDefault="00C224E1" w:rsidP="00A91567">
      <w:pPr>
        <w:widowControl/>
        <w:rPr>
          <w:rFonts w:eastAsiaTheme="minorHAnsi"/>
          <w:color w:val="000000" w:themeColor="text1"/>
        </w:rPr>
      </w:pPr>
      <w:r w:rsidRPr="00D33DF4">
        <w:rPr>
          <w:rFonts w:eastAsiaTheme="minorHAnsi"/>
          <w:color w:val="000000" w:themeColor="text1"/>
        </w:rPr>
        <w:t>The mission of the T</w:t>
      </w:r>
      <w:r w:rsidR="0090096B">
        <w:rPr>
          <w:rFonts w:eastAsiaTheme="minorHAnsi"/>
          <w:color w:val="000000" w:themeColor="text1"/>
        </w:rPr>
        <w:t xml:space="preserve">rade </w:t>
      </w:r>
      <w:r w:rsidRPr="00D33DF4">
        <w:rPr>
          <w:rFonts w:eastAsiaTheme="minorHAnsi"/>
          <w:color w:val="000000" w:themeColor="text1"/>
        </w:rPr>
        <w:t>A</w:t>
      </w:r>
      <w:r w:rsidR="0090096B">
        <w:rPr>
          <w:rFonts w:eastAsiaTheme="minorHAnsi"/>
          <w:color w:val="000000" w:themeColor="text1"/>
        </w:rPr>
        <w:t xml:space="preserve">djustment </w:t>
      </w:r>
      <w:r w:rsidRPr="00D33DF4">
        <w:rPr>
          <w:rFonts w:eastAsiaTheme="minorHAnsi"/>
          <w:color w:val="000000" w:themeColor="text1"/>
        </w:rPr>
        <w:t>A</w:t>
      </w:r>
      <w:r w:rsidR="0090096B">
        <w:rPr>
          <w:rFonts w:eastAsiaTheme="minorHAnsi"/>
          <w:color w:val="000000" w:themeColor="text1"/>
        </w:rPr>
        <w:t xml:space="preserve">ssistance for </w:t>
      </w:r>
      <w:r w:rsidRPr="00D33DF4">
        <w:rPr>
          <w:rFonts w:eastAsiaTheme="minorHAnsi"/>
          <w:color w:val="000000" w:themeColor="text1"/>
        </w:rPr>
        <w:t>F</w:t>
      </w:r>
      <w:r w:rsidR="0090096B">
        <w:rPr>
          <w:rFonts w:eastAsiaTheme="minorHAnsi"/>
          <w:color w:val="000000" w:themeColor="text1"/>
        </w:rPr>
        <w:t>irms</w:t>
      </w:r>
      <w:r w:rsidR="003E1E0A">
        <w:rPr>
          <w:rFonts w:eastAsiaTheme="minorHAnsi"/>
          <w:color w:val="000000" w:themeColor="text1"/>
        </w:rPr>
        <w:t xml:space="preserve"> (TAAF)</w:t>
      </w:r>
      <w:r w:rsidRPr="00D33DF4">
        <w:rPr>
          <w:rFonts w:eastAsiaTheme="minorHAnsi"/>
          <w:color w:val="000000" w:themeColor="text1"/>
        </w:rPr>
        <w:t xml:space="preserve"> program is to help import-impacted U.S.</w:t>
      </w:r>
      <w:r>
        <w:rPr>
          <w:rFonts w:eastAsiaTheme="minorHAnsi"/>
          <w:color w:val="000000" w:themeColor="text1"/>
        </w:rPr>
        <w:t xml:space="preserve"> firms</w:t>
      </w:r>
      <w:r>
        <w:t xml:space="preserve"> </w:t>
      </w:r>
      <w:r w:rsidRPr="00D33DF4">
        <w:rPr>
          <w:rFonts w:eastAsiaTheme="minorHAnsi"/>
          <w:color w:val="000000" w:themeColor="text1"/>
        </w:rPr>
        <w:t>develop and implement projects to regain global competitiveness, expand markets, strengthen operations, increase profitability, and create jobs.</w:t>
      </w:r>
      <w:r w:rsidR="00365919">
        <w:rPr>
          <w:rFonts w:eastAsiaTheme="minorHAnsi"/>
          <w:color w:val="000000" w:themeColor="text1"/>
        </w:rPr>
        <w:t xml:space="preserve"> </w:t>
      </w:r>
      <w:r w:rsidRPr="00D33DF4">
        <w:rPr>
          <w:rFonts w:eastAsiaTheme="minorHAnsi"/>
          <w:color w:val="000000" w:themeColor="text1"/>
        </w:rPr>
        <w:t xml:space="preserve"> </w:t>
      </w:r>
      <w:r>
        <w:rPr>
          <w:rFonts w:eastAsiaTheme="minorHAnsi"/>
          <w:color w:val="000000" w:themeColor="text1"/>
        </w:rPr>
        <w:t xml:space="preserve">Historically, most firms that applied for TAAF certification have been in the manufacturing sector. </w:t>
      </w:r>
      <w:r w:rsidR="00365919">
        <w:rPr>
          <w:rFonts w:eastAsiaTheme="minorHAnsi"/>
          <w:color w:val="000000" w:themeColor="text1"/>
        </w:rPr>
        <w:t xml:space="preserve"> </w:t>
      </w:r>
      <w:r w:rsidRPr="00D33DF4">
        <w:rPr>
          <w:color w:val="000000" w:themeColor="text1"/>
        </w:rPr>
        <w:t>The program provides direct technical assistance to support the development of business recovery plans</w:t>
      </w:r>
      <w:r w:rsidR="002211DF">
        <w:rPr>
          <w:color w:val="000000" w:themeColor="text1"/>
        </w:rPr>
        <w:t xml:space="preserve"> (</w:t>
      </w:r>
      <w:r w:rsidRPr="00D33DF4">
        <w:rPr>
          <w:color w:val="000000" w:themeColor="text1"/>
        </w:rPr>
        <w:t>Adjustment Proposals</w:t>
      </w:r>
      <w:r w:rsidR="002211DF">
        <w:rPr>
          <w:color w:val="000000" w:themeColor="text1"/>
        </w:rPr>
        <w:t>)</w:t>
      </w:r>
      <w:r w:rsidRPr="00D33DF4">
        <w:rPr>
          <w:color w:val="000000" w:themeColor="text1"/>
        </w:rPr>
        <w:t xml:space="preserve"> and matching funds to implement projects outlined in </w:t>
      </w:r>
      <w:r w:rsidR="002211DF">
        <w:rPr>
          <w:color w:val="000000" w:themeColor="text1"/>
        </w:rPr>
        <w:t>Adjustment Proposals</w:t>
      </w:r>
      <w:r w:rsidRPr="00D33DF4">
        <w:rPr>
          <w:color w:val="000000" w:themeColor="text1"/>
        </w:rPr>
        <w:t>.</w:t>
      </w:r>
    </w:p>
    <w:p w14:paraId="2D42CBFB" w14:textId="77777777" w:rsidR="00C224E1" w:rsidRDefault="00C224E1" w:rsidP="00A91567">
      <w:pPr>
        <w:widowControl/>
        <w:rPr>
          <w:color w:val="000000" w:themeColor="text1"/>
        </w:rPr>
      </w:pPr>
    </w:p>
    <w:p w14:paraId="0EE2D57D" w14:textId="4F38DD61" w:rsidR="00C224E1" w:rsidRPr="00365919" w:rsidRDefault="00C224E1" w:rsidP="00A91567">
      <w:pPr>
        <w:widowControl/>
        <w:rPr>
          <w:color w:val="000000" w:themeColor="text1"/>
        </w:rPr>
      </w:pPr>
      <w:r w:rsidRPr="00D33DF4">
        <w:rPr>
          <w:color w:val="000000" w:themeColor="text1"/>
        </w:rPr>
        <w:t xml:space="preserve">The TAAF program funds a national network of 11 Trade Adjustment Assistance Centers (TAACs), some of which are university-affiliated and </w:t>
      </w:r>
      <w:r>
        <w:rPr>
          <w:color w:val="000000" w:themeColor="text1"/>
        </w:rPr>
        <w:t>others of which are</w:t>
      </w:r>
      <w:r w:rsidRPr="00D33DF4">
        <w:rPr>
          <w:color w:val="000000" w:themeColor="text1"/>
        </w:rPr>
        <w:t xml:space="preserve"> independent non-profit</w:t>
      </w:r>
      <w:r>
        <w:rPr>
          <w:color w:val="000000" w:themeColor="text1"/>
        </w:rPr>
        <w:t xml:space="preserve"> organization</w:t>
      </w:r>
      <w:r w:rsidRPr="00D33DF4">
        <w:rPr>
          <w:color w:val="000000" w:themeColor="text1"/>
        </w:rPr>
        <w:t xml:space="preserve">s. </w:t>
      </w:r>
      <w:r w:rsidR="00365919">
        <w:rPr>
          <w:color w:val="000000" w:themeColor="text1"/>
        </w:rPr>
        <w:t xml:space="preserve"> </w:t>
      </w:r>
      <w:r w:rsidRPr="00D33DF4">
        <w:rPr>
          <w:color w:val="000000" w:themeColor="text1"/>
        </w:rPr>
        <w:t>Using TAAF funds that are matched by firms, these TAACs provide direct technical assistance to U.S</w:t>
      </w:r>
      <w:r>
        <w:rPr>
          <w:color w:val="000000" w:themeColor="text1"/>
        </w:rPr>
        <w:t>. f</w:t>
      </w:r>
      <w:r w:rsidRPr="00D33DF4">
        <w:rPr>
          <w:color w:val="000000" w:themeColor="text1"/>
        </w:rPr>
        <w:t>irms negatively affected by increased imports.</w:t>
      </w:r>
    </w:p>
    <w:p w14:paraId="350289B6" w14:textId="77777777" w:rsidR="00C224E1" w:rsidRDefault="00C224E1" w:rsidP="00A91567">
      <w:pPr>
        <w:widowControl/>
      </w:pPr>
    </w:p>
    <w:p w14:paraId="607B135C" w14:textId="1E1F2E01" w:rsidR="00D36A62" w:rsidRPr="005C6B9E" w:rsidRDefault="002211DF" w:rsidP="00A91567">
      <w:pPr>
        <w:widowControl/>
      </w:pPr>
      <w:r>
        <w:t>Pursuant to t</w:t>
      </w:r>
      <w:r w:rsidR="007B6A90" w:rsidRPr="005C6B9E">
        <w:t>he Trade Act</w:t>
      </w:r>
      <w:r w:rsidR="00D36A62" w:rsidRPr="005C6B9E">
        <w:t xml:space="preserve"> </w:t>
      </w:r>
      <w:r w:rsidRPr="005C6B9E">
        <w:t>of 1974</w:t>
      </w:r>
      <w:r>
        <w:t xml:space="preserve"> (the Trade Act), EDA </w:t>
      </w:r>
      <w:r w:rsidR="00D36A62" w:rsidRPr="005C6B9E">
        <w:t>accept</w:t>
      </w:r>
      <w:r>
        <w:t>s</w:t>
      </w:r>
      <w:r w:rsidR="00D36A62" w:rsidRPr="005C6B9E">
        <w:t xml:space="preserve"> petitions from firms </w:t>
      </w:r>
      <w:r>
        <w:t>for certification of eligibility</w:t>
      </w:r>
      <w:r w:rsidR="00D36A62" w:rsidRPr="005C6B9E">
        <w:t xml:space="preserve"> to apply for </w:t>
      </w:r>
      <w:r w:rsidR="00590A94">
        <w:t>t</w:t>
      </w:r>
      <w:r w:rsidR="00D36A62" w:rsidRPr="005C6B9E">
        <w:t xml:space="preserve">rade </w:t>
      </w:r>
      <w:r w:rsidR="00590A94">
        <w:t>a</w:t>
      </w:r>
      <w:r w:rsidR="00D36A62" w:rsidRPr="005C6B9E">
        <w:t xml:space="preserve">djustment </w:t>
      </w:r>
      <w:r w:rsidR="00590A94">
        <w:t>a</w:t>
      </w:r>
      <w:r w:rsidR="00D36A62" w:rsidRPr="005C6B9E">
        <w:t xml:space="preserve">ssistance </w:t>
      </w:r>
      <w:r>
        <w:t xml:space="preserve">(Petitions). </w:t>
      </w:r>
      <w:r w:rsidR="00A018CE">
        <w:t xml:space="preserve"> EDA evaluates P</w:t>
      </w:r>
      <w:r>
        <w:t>etitions to determine whether the following criteria</w:t>
      </w:r>
      <w:r w:rsidR="00CB43BC" w:rsidRPr="005C6B9E">
        <w:t xml:space="preserve"> are met</w:t>
      </w:r>
      <w:r w:rsidR="00D36A62" w:rsidRPr="005C6B9E">
        <w:t>:</w:t>
      </w:r>
    </w:p>
    <w:p w14:paraId="6CA29559" w14:textId="77777777" w:rsidR="00D36A62" w:rsidRPr="005C6B9E" w:rsidRDefault="00D36A62" w:rsidP="00A91567">
      <w:pPr>
        <w:widowControl/>
      </w:pPr>
    </w:p>
    <w:p w14:paraId="56ACA605" w14:textId="77777777" w:rsidR="00C224E1" w:rsidRPr="00365919" w:rsidRDefault="00C224E1" w:rsidP="0091553B">
      <w:pPr>
        <w:pStyle w:val="ListParagraph"/>
        <w:numPr>
          <w:ilvl w:val="0"/>
          <w:numId w:val="1"/>
        </w:numPr>
        <w:tabs>
          <w:tab w:val="left" w:pos="450"/>
        </w:tabs>
        <w:rPr>
          <w:rFonts w:ascii="Times New Roman" w:hAnsi="Times New Roman"/>
          <w:color w:val="000000" w:themeColor="text1"/>
          <w:sz w:val="24"/>
          <w:szCs w:val="24"/>
        </w:rPr>
      </w:pPr>
      <w:r w:rsidRPr="00365919">
        <w:rPr>
          <w:rFonts w:ascii="Times New Roman" w:hAnsi="Times New Roman"/>
          <w:color w:val="000000" w:themeColor="text1"/>
          <w:sz w:val="24"/>
          <w:szCs w:val="24"/>
        </w:rPr>
        <w:t>A significant number or proportion of the workers in the firm have been or are threatened to be totally or partially separated; and</w:t>
      </w:r>
    </w:p>
    <w:p w14:paraId="5938CA72" w14:textId="77777777" w:rsidR="00861A51" w:rsidRPr="00F7240F" w:rsidRDefault="00861A51" w:rsidP="00A91567">
      <w:pPr>
        <w:widowControl/>
        <w:ind w:left="720"/>
      </w:pPr>
    </w:p>
    <w:p w14:paraId="50D7DC6C" w14:textId="062D4339" w:rsidR="00C224E1" w:rsidRPr="00365919" w:rsidRDefault="00C224E1" w:rsidP="0091553B">
      <w:pPr>
        <w:pStyle w:val="ListParagraph"/>
        <w:numPr>
          <w:ilvl w:val="0"/>
          <w:numId w:val="1"/>
        </w:numPr>
        <w:tabs>
          <w:tab w:val="left" w:pos="450"/>
        </w:tabs>
        <w:rPr>
          <w:color w:val="000000" w:themeColor="text1"/>
        </w:rPr>
      </w:pPr>
      <w:r w:rsidRPr="00365919">
        <w:rPr>
          <w:rFonts w:ascii="Times New Roman" w:hAnsi="Times New Roman"/>
          <w:color w:val="000000" w:themeColor="text1"/>
          <w:sz w:val="24"/>
          <w:szCs w:val="24"/>
        </w:rPr>
        <w:t>Sales and/or production of the firm have decreased absolutely, or sales and/or production of an article or service that accounted for at least 25 percent of total production or sales of the firm have decreased absolutely, during the 12, 24, or 36 months preceding the most recent 12-month period for which data are available; and</w:t>
      </w:r>
    </w:p>
    <w:p w14:paraId="1A117ACB" w14:textId="77777777" w:rsidR="00861A51" w:rsidRPr="00F7240F" w:rsidRDefault="00861A51" w:rsidP="00A91567">
      <w:pPr>
        <w:widowControl/>
        <w:ind w:left="720"/>
      </w:pPr>
    </w:p>
    <w:p w14:paraId="1F067074" w14:textId="139B86A2" w:rsidR="00C224E1" w:rsidRPr="00FC06E1" w:rsidRDefault="00C224E1" w:rsidP="0091553B">
      <w:pPr>
        <w:pStyle w:val="ListParagraph"/>
        <w:numPr>
          <w:ilvl w:val="0"/>
          <w:numId w:val="1"/>
        </w:numPr>
        <w:tabs>
          <w:tab w:val="left" w:pos="450"/>
        </w:tabs>
        <w:contextualSpacing/>
        <w:rPr>
          <w:b/>
          <w:color w:val="000000" w:themeColor="text1"/>
        </w:rPr>
      </w:pPr>
      <w:r w:rsidRPr="00F7240F">
        <w:rPr>
          <w:rFonts w:ascii="Times New Roman" w:hAnsi="Times New Roman"/>
          <w:color w:val="000000" w:themeColor="text1"/>
          <w:sz w:val="24"/>
          <w:szCs w:val="24"/>
        </w:rPr>
        <w:t>Increased imports of articles like or directly competitive with articles produced or services provided by the firm have “contributed importantly” to both the decrease or threatened decrease in employment and the decline in sales and/or production</w:t>
      </w:r>
      <w:r w:rsidRPr="00D33DF4">
        <w:rPr>
          <w:rFonts w:ascii="Times New Roman" w:hAnsi="Times New Roman"/>
          <w:color w:val="000000" w:themeColor="text1"/>
          <w:sz w:val="24"/>
          <w:szCs w:val="24"/>
        </w:rPr>
        <w:t>.</w:t>
      </w:r>
    </w:p>
    <w:p w14:paraId="461B9E42" w14:textId="77777777" w:rsidR="00D36A62" w:rsidRPr="005C6B9E" w:rsidRDefault="00D36A62" w:rsidP="00A91567">
      <w:pPr>
        <w:widowControl/>
      </w:pPr>
    </w:p>
    <w:p w14:paraId="2C931A3A" w14:textId="3E60B433" w:rsidR="00D36A62" w:rsidRPr="005C6B9E" w:rsidRDefault="00D36A62" w:rsidP="00A91567">
      <w:pPr>
        <w:widowControl/>
      </w:pPr>
      <w:r w:rsidRPr="005C6B9E">
        <w:t xml:space="preserve">Form ED-840P (Petition by a Firm for Certification of Eligibility to Apply for Trade Adjustment Assistance) serves as a standard format for </w:t>
      </w:r>
      <w:r w:rsidR="00A91567">
        <w:t>collecting</w:t>
      </w:r>
      <w:r w:rsidRPr="005C6B9E">
        <w:t xml:space="preserve"> data on the</w:t>
      </w:r>
      <w:r w:rsidR="00AF3C9E" w:rsidRPr="005C6B9E">
        <w:t xml:space="preserve"> </w:t>
      </w:r>
      <w:r w:rsidR="00590A94">
        <w:t>above</w:t>
      </w:r>
      <w:r w:rsidR="00590A94" w:rsidRPr="005C6B9E">
        <w:t xml:space="preserve"> </w:t>
      </w:r>
      <w:r w:rsidR="00781F4F">
        <w:t>eligibility criteria</w:t>
      </w:r>
      <w:r w:rsidRPr="005C6B9E">
        <w:t>.</w:t>
      </w:r>
      <w:r w:rsidR="00781F4F">
        <w:t xml:space="preserve"> </w:t>
      </w:r>
      <w:r w:rsidR="00A91567">
        <w:t xml:space="preserve"> </w:t>
      </w:r>
      <w:r w:rsidR="002211DF">
        <w:lastRenderedPageBreak/>
        <w:t>EDA’s a</w:t>
      </w:r>
      <w:r w:rsidR="00781F4F" w:rsidRPr="005C6B9E">
        <w:t xml:space="preserve">uthorization </w:t>
      </w:r>
      <w:r w:rsidR="00A91567">
        <w:t>to collect Petitions</w:t>
      </w:r>
      <w:r w:rsidR="00781F4F" w:rsidRPr="005C6B9E">
        <w:t xml:space="preserve"> is </w:t>
      </w:r>
      <w:r w:rsidR="00781F4F">
        <w:t>located at</w:t>
      </w:r>
      <w:r w:rsidR="00781F4F" w:rsidRPr="005C6B9E">
        <w:t xml:space="preserve"> section 251 of the Trade Act (19 U.S.C. </w:t>
      </w:r>
      <w:r w:rsidR="00781F4F" w:rsidRPr="008F7753">
        <w:t xml:space="preserve">§ </w:t>
      </w:r>
      <w:r w:rsidR="002211DF">
        <w:t>2341</w:t>
      </w:r>
      <w:r w:rsidR="00106E5B">
        <w:t>(a)</w:t>
      </w:r>
      <w:r w:rsidR="00781F4F" w:rsidRPr="005C6B9E">
        <w:t>).</w:t>
      </w:r>
    </w:p>
    <w:p w14:paraId="218706F8" w14:textId="534F8E21" w:rsidR="00861A51" w:rsidRDefault="00861A51" w:rsidP="00A91567">
      <w:pPr>
        <w:widowControl/>
      </w:pPr>
    </w:p>
    <w:p w14:paraId="0015C344" w14:textId="7B591420" w:rsidR="00781F4F" w:rsidRPr="005C6B9E" w:rsidRDefault="00A018CE" w:rsidP="00A91567">
      <w:pPr>
        <w:widowControl/>
      </w:pPr>
      <w:r>
        <w:t>A firm certified as eligible</w:t>
      </w:r>
      <w:r w:rsidRPr="00A018CE">
        <w:t xml:space="preserve"> </w:t>
      </w:r>
      <w:r w:rsidRPr="005C6B9E">
        <w:t xml:space="preserve">to apply for </w:t>
      </w:r>
      <w:r>
        <w:t>t</w:t>
      </w:r>
      <w:r w:rsidRPr="005C6B9E">
        <w:t xml:space="preserve">rade </w:t>
      </w:r>
      <w:r>
        <w:t>a</w:t>
      </w:r>
      <w:r w:rsidRPr="005C6B9E">
        <w:t xml:space="preserve">djustment </w:t>
      </w:r>
      <w:r>
        <w:t>a</w:t>
      </w:r>
      <w:r w:rsidRPr="005C6B9E">
        <w:t>ssistance</w:t>
      </w:r>
      <w:r>
        <w:t xml:space="preserve"> </w:t>
      </w:r>
      <w:r w:rsidR="00EA4A07" w:rsidRPr="005C6B9E">
        <w:t xml:space="preserve">is required to </w:t>
      </w:r>
      <w:r>
        <w:t>create an Adjustment Proposal</w:t>
      </w:r>
      <w:r w:rsidR="00EA4A07" w:rsidRPr="005C6B9E">
        <w:t>.</w:t>
      </w:r>
      <w:r w:rsidR="00781F4F" w:rsidRPr="005C6B9E">
        <w:t xml:space="preserve">  </w:t>
      </w:r>
      <w:r>
        <w:t>EDA’s a</w:t>
      </w:r>
      <w:r w:rsidR="00781F4F" w:rsidRPr="005C6B9E">
        <w:t xml:space="preserve">uthorization </w:t>
      </w:r>
      <w:r w:rsidR="00A91567">
        <w:t>to collect Adjustment Proposals</w:t>
      </w:r>
      <w:r w:rsidR="00781F4F" w:rsidRPr="005C6B9E">
        <w:t xml:space="preserve"> is </w:t>
      </w:r>
      <w:r w:rsidR="00781F4F">
        <w:t>located at</w:t>
      </w:r>
      <w:r w:rsidR="00781F4F" w:rsidRPr="005C6B9E">
        <w:t xml:space="preserve"> section 252 of the Trade Act</w:t>
      </w:r>
      <w:r w:rsidR="00781F4F">
        <w:t xml:space="preserve"> </w:t>
      </w:r>
      <w:r w:rsidR="00781F4F" w:rsidRPr="005C6B9E">
        <w:t xml:space="preserve">(19 U.S.C. </w:t>
      </w:r>
      <w:r w:rsidR="00781F4F" w:rsidRPr="008F7753">
        <w:t xml:space="preserve">§ </w:t>
      </w:r>
      <w:r w:rsidR="00781F4F" w:rsidRPr="005C6B9E">
        <w:t>234</w:t>
      </w:r>
      <w:r w:rsidR="00781F4F">
        <w:t>2</w:t>
      </w:r>
      <w:r w:rsidR="00106E5B">
        <w:t>(a)</w:t>
      </w:r>
      <w:r w:rsidR="00781F4F">
        <w:t>)</w:t>
      </w:r>
      <w:r w:rsidR="007846BE">
        <w:t>.</w:t>
      </w:r>
    </w:p>
    <w:p w14:paraId="6211F418" w14:textId="77777777" w:rsidR="00EA4A07" w:rsidRDefault="00EA4A07" w:rsidP="00A91567">
      <w:pPr>
        <w:widowControl/>
      </w:pPr>
    </w:p>
    <w:p w14:paraId="308043E3" w14:textId="77777777" w:rsidR="00136E5A" w:rsidRDefault="00136E5A" w:rsidP="00A91567">
      <w:pPr>
        <w:widowControl/>
      </w:pPr>
    </w:p>
    <w:p w14:paraId="43B92665" w14:textId="1BBC7DBC" w:rsidR="00136E5A" w:rsidRDefault="00136E5A" w:rsidP="0091553B">
      <w:pPr>
        <w:keepNext/>
        <w:widowControl/>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w:t>
      </w:r>
    </w:p>
    <w:p w14:paraId="3102BCBF" w14:textId="77777777" w:rsidR="0011222B" w:rsidRDefault="0011222B" w:rsidP="0091553B">
      <w:pPr>
        <w:keepNext/>
        <w:widowControl/>
      </w:pPr>
    </w:p>
    <w:p w14:paraId="68B3CAF2" w14:textId="66C34851" w:rsidR="00136E5A" w:rsidRDefault="000079A4" w:rsidP="00A91567">
      <w:pPr>
        <w:widowControl/>
      </w:pPr>
      <w:r>
        <w:t>EDA uses information collected from Form</w:t>
      </w:r>
      <w:r w:rsidR="00B33D09">
        <w:t xml:space="preserve"> </w:t>
      </w:r>
      <w:r>
        <w:t>ED-840P, and its attachments,</w:t>
      </w:r>
      <w:r w:rsidRPr="000341EB">
        <w:t xml:space="preserve"> to determine if a </w:t>
      </w:r>
      <w:r>
        <w:t>firm</w:t>
      </w:r>
      <w:r w:rsidR="00A018CE">
        <w:t xml:space="preserve"> is eligible to apply for trade adjustment assistance</w:t>
      </w:r>
      <w:r w:rsidRPr="000341EB">
        <w:t>.</w:t>
      </w:r>
      <w:r w:rsidR="00781F4F">
        <w:t xml:space="preserve"> </w:t>
      </w:r>
      <w:r w:rsidR="00A94EC8">
        <w:t xml:space="preserve"> </w:t>
      </w:r>
      <w:r w:rsidR="00A018CE">
        <w:t>EDA received approximately 93 Petitions</w:t>
      </w:r>
      <w:r w:rsidR="00A018CE" w:rsidRPr="00C42130">
        <w:t xml:space="preserve"> </w:t>
      </w:r>
      <w:r w:rsidR="00A018CE">
        <w:t xml:space="preserve">during Fiscal Year 2017 and 94 Petitions during Fiscal Year 2018.  </w:t>
      </w:r>
      <w:r>
        <w:t>Petitions are submitted</w:t>
      </w:r>
      <w:r w:rsidR="00A018CE">
        <w:t xml:space="preserve"> to EDA</w:t>
      </w:r>
      <w:r w:rsidR="001606B0">
        <w:t xml:space="preserve"> by e-mail </w:t>
      </w:r>
      <w:r>
        <w:t xml:space="preserve">by </w:t>
      </w:r>
      <w:r w:rsidR="00781F4F">
        <w:t>the 11 TAACs</w:t>
      </w:r>
      <w:r w:rsidR="001606B0">
        <w:t xml:space="preserve">, which assist </w:t>
      </w:r>
      <w:r w:rsidR="0087497E">
        <w:t>respondent</w:t>
      </w:r>
      <w:r w:rsidR="00A018CE">
        <w:t xml:space="preserve"> firms</w:t>
      </w:r>
      <w:r w:rsidR="001606B0">
        <w:t xml:space="preserve"> </w:t>
      </w:r>
      <w:r w:rsidR="00A018CE">
        <w:t>applying for TAAF program benefits</w:t>
      </w:r>
      <w:r w:rsidR="001606B0">
        <w:t xml:space="preserve">.  </w:t>
      </w:r>
      <w:r w:rsidR="0087497E" w:rsidRPr="00D26929">
        <w:t xml:space="preserve">The respondents are U.S. firms </w:t>
      </w:r>
      <w:r w:rsidR="001808D6">
        <w:t>adversely impacted by import competition</w:t>
      </w:r>
      <w:r w:rsidR="0087497E" w:rsidRPr="00D26929">
        <w:t>.</w:t>
      </w:r>
      <w:r w:rsidR="00781F4F">
        <w:t xml:space="preserve"> </w:t>
      </w:r>
      <w:r w:rsidR="0087497E">
        <w:t xml:space="preserve"> </w:t>
      </w:r>
      <w:r w:rsidR="001606B0">
        <w:t xml:space="preserve">EDA reviews </w:t>
      </w:r>
      <w:r w:rsidR="00A91567">
        <w:t>P</w:t>
      </w:r>
      <w:r w:rsidR="001606B0">
        <w:t>etitions</w:t>
      </w:r>
      <w:r w:rsidR="00A91567">
        <w:t xml:space="preserve"> to </w:t>
      </w:r>
      <w:r w:rsidR="001606B0">
        <w:t>ensure that the</w:t>
      </w:r>
      <w:r w:rsidR="00A018CE">
        <w:t xml:space="preserve"> TAAF program’s</w:t>
      </w:r>
      <w:r w:rsidR="001606B0">
        <w:t xml:space="preserve"> statutory requirements are met</w:t>
      </w:r>
      <w:r w:rsidR="001F40A4">
        <w:t>.</w:t>
      </w:r>
    </w:p>
    <w:p w14:paraId="25D76D0F" w14:textId="547FAE77" w:rsidR="00D50D0B" w:rsidRDefault="00D50D0B" w:rsidP="00A91567">
      <w:pPr>
        <w:widowControl/>
      </w:pPr>
    </w:p>
    <w:p w14:paraId="4DC60359" w14:textId="3D26290C" w:rsidR="00894E7F" w:rsidRDefault="00D50D0B" w:rsidP="00894E7F">
      <w:pPr>
        <w:widowControl/>
      </w:pPr>
      <w:r>
        <w:t xml:space="preserve">EDA uses information collected from Adjustment Proposals </w:t>
      </w:r>
      <w:r w:rsidR="00894E7F">
        <w:t>to determine if the</w:t>
      </w:r>
      <w:r w:rsidR="00A018CE">
        <w:t xml:space="preserve"> respondent</w:t>
      </w:r>
      <w:r w:rsidR="00894E7F">
        <w:t xml:space="preserve"> fi</w:t>
      </w:r>
      <w:r w:rsidR="00A018CE">
        <w:t>rms’ business recovery plans are</w:t>
      </w:r>
      <w:r w:rsidR="00894E7F" w:rsidRPr="00894E7F">
        <w:t xml:space="preserve"> reasonably calculated to materially contribute to the economic adjustment of the firm, give adequate consideration to the interests of the workers of such firm</w:t>
      </w:r>
      <w:r w:rsidR="00A018CE">
        <w:t>s</w:t>
      </w:r>
      <w:r w:rsidR="00894E7F" w:rsidRPr="00894E7F">
        <w:t>, and demonstrate that the firm</w:t>
      </w:r>
      <w:r w:rsidR="00A018CE">
        <w:t>s</w:t>
      </w:r>
      <w:r w:rsidR="00894E7F" w:rsidRPr="00894E7F">
        <w:t xml:space="preserve"> will make all reasonable efforts to use </w:t>
      </w:r>
      <w:r w:rsidR="00A018CE">
        <w:t>their</w:t>
      </w:r>
      <w:r w:rsidR="00894E7F" w:rsidRPr="00894E7F">
        <w:t xml:space="preserve"> own resources for economic development.</w:t>
      </w:r>
      <w:r w:rsidR="00894E7F">
        <w:t xml:space="preserve"> </w:t>
      </w:r>
      <w:r w:rsidR="007846BE">
        <w:t xml:space="preserve"> </w:t>
      </w:r>
      <w:r w:rsidR="00894E7F">
        <w:t xml:space="preserve">EDA </w:t>
      </w:r>
      <w:r w:rsidR="00CD251D">
        <w:t>received</w:t>
      </w:r>
      <w:r w:rsidR="00894E7F">
        <w:t xml:space="preserve"> 104 Adjustment Proposals</w:t>
      </w:r>
      <w:r w:rsidR="00894E7F" w:rsidRPr="00C42130">
        <w:t xml:space="preserve"> </w:t>
      </w:r>
      <w:r w:rsidR="00894E7F">
        <w:t xml:space="preserve">during Fiscal Year 2017 and </w:t>
      </w:r>
      <w:r w:rsidR="00C4353A">
        <w:t xml:space="preserve">100 </w:t>
      </w:r>
      <w:r w:rsidR="00A018CE">
        <w:t xml:space="preserve">Adjustment Proposals </w:t>
      </w:r>
      <w:r w:rsidR="007846BE">
        <w:t>during Fiscal Year 2018.</w:t>
      </w:r>
    </w:p>
    <w:p w14:paraId="4154F927" w14:textId="490C3270" w:rsidR="00D50D0B" w:rsidRDefault="00D50D0B" w:rsidP="00894E7F">
      <w:pPr>
        <w:widowControl/>
      </w:pPr>
    </w:p>
    <w:p w14:paraId="547D93D5" w14:textId="77777777" w:rsidR="00136E5A" w:rsidRDefault="00136E5A" w:rsidP="00A91567">
      <w:pPr>
        <w:widowControl/>
      </w:pPr>
    </w:p>
    <w:p w14:paraId="709D3E20" w14:textId="77777777" w:rsidR="00136E5A" w:rsidRDefault="00136E5A" w:rsidP="0091553B">
      <w:pPr>
        <w:keepNext/>
        <w:widowControl/>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14:paraId="5B65331B" w14:textId="77777777" w:rsidR="00136E5A" w:rsidRDefault="00136E5A" w:rsidP="0091553B">
      <w:pPr>
        <w:keepNext/>
        <w:widowControl/>
      </w:pPr>
    </w:p>
    <w:p w14:paraId="546678C9" w14:textId="6E2992D2" w:rsidR="00136E5A" w:rsidRPr="00590A94" w:rsidRDefault="00590A94" w:rsidP="00A91567">
      <w:pPr>
        <w:widowControl/>
        <w:rPr>
          <w:iCs/>
        </w:rPr>
      </w:pPr>
      <w:r w:rsidRPr="00590A94">
        <w:rPr>
          <w:iCs/>
        </w:rPr>
        <w:t xml:space="preserve">EDA permits </w:t>
      </w:r>
      <w:r w:rsidR="00A91567">
        <w:rPr>
          <w:iCs/>
        </w:rPr>
        <w:t>P</w:t>
      </w:r>
      <w:r>
        <w:rPr>
          <w:iCs/>
        </w:rPr>
        <w:t>etitions and Adjustment Proposals</w:t>
      </w:r>
      <w:r w:rsidR="00A91567">
        <w:rPr>
          <w:iCs/>
        </w:rPr>
        <w:t xml:space="preserve"> to be submitted</w:t>
      </w:r>
      <w:r w:rsidRPr="00590A94">
        <w:rPr>
          <w:iCs/>
        </w:rPr>
        <w:t xml:space="preserve"> either electronically or in hardcopy format.</w:t>
      </w:r>
      <w:r>
        <w:rPr>
          <w:iCs/>
        </w:rPr>
        <w:t xml:space="preserve">  </w:t>
      </w:r>
      <w:r w:rsidR="00A91567">
        <w:rPr>
          <w:iCs/>
        </w:rPr>
        <w:t>Petitions</w:t>
      </w:r>
      <w:r w:rsidR="009210BA">
        <w:rPr>
          <w:iCs/>
        </w:rPr>
        <w:t xml:space="preserve"> </w:t>
      </w:r>
      <w:r w:rsidR="00A91567">
        <w:rPr>
          <w:iCs/>
        </w:rPr>
        <w:t xml:space="preserve">are </w:t>
      </w:r>
      <w:r w:rsidR="009210BA">
        <w:rPr>
          <w:iCs/>
        </w:rPr>
        <w:t>generally</w:t>
      </w:r>
      <w:r w:rsidR="009210BA" w:rsidRPr="0067051C">
        <w:rPr>
          <w:iCs/>
        </w:rPr>
        <w:t xml:space="preserve"> </w:t>
      </w:r>
      <w:r w:rsidR="00A91567">
        <w:rPr>
          <w:iCs/>
        </w:rPr>
        <w:t>submitted electronically using</w:t>
      </w:r>
      <w:r w:rsidR="009210BA" w:rsidRPr="0067051C">
        <w:rPr>
          <w:iCs/>
        </w:rPr>
        <w:t xml:space="preserve"> EDA-provided fillable PDF forms.</w:t>
      </w:r>
      <w:r w:rsidR="009210BA">
        <w:rPr>
          <w:iCs/>
        </w:rPr>
        <w:t xml:space="preserve">  However, some TAACs chose not to use the fillable PDF forms; instead they</w:t>
      </w:r>
      <w:r w:rsidR="00A91567">
        <w:rPr>
          <w:iCs/>
        </w:rPr>
        <w:t xml:space="preserve"> complete Form ED-840P</w:t>
      </w:r>
      <w:r w:rsidR="009210BA">
        <w:rPr>
          <w:iCs/>
        </w:rPr>
        <w:t xml:space="preserve"> manually and then scan and email </w:t>
      </w:r>
      <w:r w:rsidR="00A91567">
        <w:rPr>
          <w:iCs/>
        </w:rPr>
        <w:t xml:space="preserve">it </w:t>
      </w:r>
      <w:r w:rsidR="009210BA">
        <w:rPr>
          <w:iCs/>
        </w:rPr>
        <w:t>to EDA.</w:t>
      </w:r>
    </w:p>
    <w:p w14:paraId="7A349906" w14:textId="6EC7640F" w:rsidR="00136E5A" w:rsidRDefault="00136E5A" w:rsidP="00A91567">
      <w:pPr>
        <w:widowControl/>
      </w:pPr>
    </w:p>
    <w:p w14:paraId="725687E3" w14:textId="77777777" w:rsidR="0091553B" w:rsidRDefault="0091553B" w:rsidP="00A91567">
      <w:pPr>
        <w:widowControl/>
      </w:pPr>
    </w:p>
    <w:p w14:paraId="4EDF6B7F" w14:textId="77777777" w:rsidR="00136E5A" w:rsidRDefault="00136E5A" w:rsidP="0091553B">
      <w:pPr>
        <w:keepNext/>
        <w:widowControl/>
      </w:pPr>
      <w:r>
        <w:rPr>
          <w:b/>
          <w:bCs/>
        </w:rPr>
        <w:t xml:space="preserve">4.  </w:t>
      </w:r>
      <w:r>
        <w:rPr>
          <w:b/>
          <w:bCs/>
          <w:u w:val="single"/>
        </w:rPr>
        <w:t>Describe efforts to identify duplication</w:t>
      </w:r>
      <w:r>
        <w:rPr>
          <w:b/>
          <w:bCs/>
        </w:rPr>
        <w:t>.</w:t>
      </w:r>
    </w:p>
    <w:p w14:paraId="6C2BCBC3" w14:textId="77777777" w:rsidR="00136E5A" w:rsidRDefault="00136E5A" w:rsidP="0091553B">
      <w:pPr>
        <w:keepNext/>
        <w:widowControl/>
      </w:pPr>
    </w:p>
    <w:p w14:paraId="1819AFAE" w14:textId="1480FB68" w:rsidR="00A9784F" w:rsidRDefault="00CD4B08" w:rsidP="00A91567">
      <w:pPr>
        <w:widowControl/>
      </w:pPr>
      <w:r>
        <w:t>EDA is unaware of any duplication with respect to th</w:t>
      </w:r>
      <w:r w:rsidR="00A018CE">
        <w:t>ese</w:t>
      </w:r>
      <w:r>
        <w:t xml:space="preserve"> information collection</w:t>
      </w:r>
      <w:r w:rsidR="00A018CE">
        <w:t>s</w:t>
      </w:r>
      <w:r>
        <w:t xml:space="preserve">.  </w:t>
      </w:r>
      <w:r w:rsidR="00A018CE" w:rsidRPr="00EB17C9">
        <w:t>The information requested is unique to</w:t>
      </w:r>
      <w:r w:rsidR="00A018CE">
        <w:t xml:space="preserve"> the TAAF P</w:t>
      </w:r>
      <w:r w:rsidR="00A018CE" w:rsidRPr="00EB17C9">
        <w:t xml:space="preserve">rogram </w:t>
      </w:r>
      <w:r w:rsidR="00A018CE">
        <w:t xml:space="preserve">and is not collected elsewhere.  </w:t>
      </w:r>
      <w:r>
        <w:t>EDA periodically reviews its information collections to ensure that there is no duplication.</w:t>
      </w:r>
    </w:p>
    <w:p w14:paraId="75C93391" w14:textId="761D4920" w:rsidR="00136E5A" w:rsidRDefault="00136E5A" w:rsidP="00A91567">
      <w:pPr>
        <w:widowControl/>
      </w:pPr>
    </w:p>
    <w:p w14:paraId="5C8B48A9" w14:textId="77777777" w:rsidR="0091553B" w:rsidRDefault="0091553B" w:rsidP="00A91567">
      <w:pPr>
        <w:widowControl/>
      </w:pPr>
    </w:p>
    <w:p w14:paraId="42CC2D6C" w14:textId="3339854C" w:rsidR="00136E5A" w:rsidRDefault="00136E5A" w:rsidP="0091553B">
      <w:pPr>
        <w:keepNext/>
        <w:widowControl/>
      </w:pPr>
      <w:r>
        <w:rPr>
          <w:b/>
          <w:bCs/>
        </w:rPr>
        <w:t xml:space="preserve">5.  </w:t>
      </w:r>
      <w:r>
        <w:rPr>
          <w:b/>
          <w:bCs/>
          <w:u w:val="single"/>
        </w:rPr>
        <w:t>If the collection of information involves small businesses or other small entities, describe the methods used to minimize burden</w:t>
      </w:r>
      <w:r>
        <w:rPr>
          <w:b/>
          <w:bCs/>
        </w:rPr>
        <w:t>.</w:t>
      </w:r>
    </w:p>
    <w:p w14:paraId="2DF769DE" w14:textId="77777777" w:rsidR="00136E5A" w:rsidRDefault="00136E5A" w:rsidP="0091553B">
      <w:pPr>
        <w:keepNext/>
        <w:widowControl/>
      </w:pPr>
    </w:p>
    <w:p w14:paraId="07A53721" w14:textId="40BB7725" w:rsidR="00CD4B08" w:rsidRDefault="00CD4B08" w:rsidP="00A91567">
      <w:pPr>
        <w:pStyle w:val="Default"/>
        <w:rPr>
          <w:rFonts w:ascii="Times New Roman" w:hAnsi="Times New Roman"/>
        </w:rPr>
      </w:pPr>
      <w:r w:rsidRPr="00BD7413">
        <w:rPr>
          <w:rFonts w:ascii="Times New Roman" w:hAnsi="Times New Roman"/>
        </w:rPr>
        <w:t xml:space="preserve">Pursuant to </w:t>
      </w:r>
      <w:r>
        <w:rPr>
          <w:rFonts w:ascii="Times New Roman" w:hAnsi="Times New Roman"/>
        </w:rPr>
        <w:t xml:space="preserve">the Trade Act </w:t>
      </w:r>
      <w:r w:rsidRPr="00BD7413">
        <w:rPr>
          <w:rFonts w:ascii="Times New Roman" w:hAnsi="Times New Roman"/>
        </w:rPr>
        <w:t xml:space="preserve">and </w:t>
      </w:r>
      <w:r>
        <w:rPr>
          <w:rFonts w:ascii="Times New Roman" w:hAnsi="Times New Roman"/>
        </w:rPr>
        <w:t xml:space="preserve">13 C.F.R. </w:t>
      </w:r>
      <w:r w:rsidR="00FC3B1D">
        <w:rPr>
          <w:rFonts w:ascii="Times New Roman" w:hAnsi="Times New Roman"/>
        </w:rPr>
        <w:t>p</w:t>
      </w:r>
      <w:r>
        <w:rPr>
          <w:rFonts w:ascii="Times New Roman" w:hAnsi="Times New Roman"/>
        </w:rPr>
        <w:t>art 315</w:t>
      </w:r>
      <w:r w:rsidRPr="00BD7413">
        <w:rPr>
          <w:rFonts w:ascii="Times New Roman" w:hAnsi="Times New Roman"/>
        </w:rPr>
        <w:t xml:space="preserve">, eligible applicants and eligible recipients of </w:t>
      </w:r>
      <w:r w:rsidR="00A91567">
        <w:rPr>
          <w:rFonts w:ascii="Times New Roman" w:hAnsi="Times New Roman"/>
        </w:rPr>
        <w:t>trade a</w:t>
      </w:r>
      <w:r>
        <w:rPr>
          <w:rFonts w:ascii="Times New Roman" w:hAnsi="Times New Roman"/>
        </w:rPr>
        <w:t xml:space="preserve">djustment </w:t>
      </w:r>
      <w:r w:rsidR="00A91567">
        <w:rPr>
          <w:rFonts w:ascii="Times New Roman" w:hAnsi="Times New Roman"/>
        </w:rPr>
        <w:t>a</w:t>
      </w:r>
      <w:r>
        <w:rPr>
          <w:rFonts w:ascii="Times New Roman" w:hAnsi="Times New Roman"/>
        </w:rPr>
        <w:t xml:space="preserve">ssistance </w:t>
      </w:r>
      <w:r w:rsidRPr="00BD7413">
        <w:rPr>
          <w:rFonts w:ascii="Times New Roman" w:hAnsi="Times New Roman"/>
        </w:rPr>
        <w:t>include “small businesses” or “small entities” as defined by the Regulatory Flexibility Act (5 U.S.C. 601)</w:t>
      </w:r>
      <w:r w:rsidR="00020239">
        <w:rPr>
          <w:rFonts w:ascii="Times New Roman" w:hAnsi="Times New Roman"/>
        </w:rPr>
        <w:t>.</w:t>
      </w:r>
      <w:r w:rsidRPr="00BD7413">
        <w:rPr>
          <w:rFonts w:ascii="Times New Roman" w:hAnsi="Times New Roman"/>
        </w:rPr>
        <w:t xml:space="preserve">  Accordingly, this information collection potentially involves small businesses or other s</w:t>
      </w:r>
      <w:r w:rsidR="0091553B">
        <w:rPr>
          <w:rFonts w:ascii="Times New Roman" w:hAnsi="Times New Roman"/>
        </w:rPr>
        <w:t>mall entities.</w:t>
      </w:r>
    </w:p>
    <w:p w14:paraId="6840996B" w14:textId="77777777" w:rsidR="00CD4B08" w:rsidRDefault="00CD4B08" w:rsidP="00A91567">
      <w:pPr>
        <w:pStyle w:val="Default"/>
        <w:rPr>
          <w:rFonts w:ascii="Times New Roman" w:hAnsi="Times New Roman"/>
        </w:rPr>
      </w:pPr>
    </w:p>
    <w:p w14:paraId="114A9310" w14:textId="6C346CEF" w:rsidR="00CD4B08" w:rsidRDefault="00A018CE" w:rsidP="00A91567">
      <w:pPr>
        <w:pStyle w:val="Default"/>
        <w:rPr>
          <w:rFonts w:ascii="Times New Roman" w:hAnsi="Times New Roman"/>
        </w:rPr>
      </w:pPr>
      <w:r>
        <w:rPr>
          <w:rFonts w:ascii="Times New Roman" w:hAnsi="Times New Roman"/>
        </w:rPr>
        <w:t>As part of this Paperwork Reduction Act</w:t>
      </w:r>
      <w:r w:rsidR="00CD4B08">
        <w:rPr>
          <w:rFonts w:ascii="Times New Roman" w:hAnsi="Times New Roman"/>
        </w:rPr>
        <w:t xml:space="preserve"> process, EDA has conducted a thorough review of its </w:t>
      </w:r>
      <w:r w:rsidR="00FE75DB">
        <w:rPr>
          <w:rFonts w:ascii="Times New Roman" w:hAnsi="Times New Roman"/>
        </w:rPr>
        <w:t xml:space="preserve">TAAF program </w:t>
      </w:r>
      <w:r w:rsidR="00CD4B08">
        <w:rPr>
          <w:rFonts w:ascii="Times New Roman" w:hAnsi="Times New Roman"/>
        </w:rPr>
        <w:t xml:space="preserve">forms and information collections to minimize respondent burden.  </w:t>
      </w:r>
      <w:r w:rsidR="00CD4B08" w:rsidRPr="00BD7413">
        <w:rPr>
          <w:rFonts w:ascii="Times New Roman" w:hAnsi="Times New Roman"/>
        </w:rPr>
        <w:t xml:space="preserve">EDA collects only the minimum amount of information to effectively administer </w:t>
      </w:r>
      <w:r w:rsidR="00F82993">
        <w:rPr>
          <w:rFonts w:ascii="Times New Roman" w:hAnsi="Times New Roman"/>
        </w:rPr>
        <w:t>the TAA</w:t>
      </w:r>
      <w:r w:rsidR="00590A94">
        <w:rPr>
          <w:rFonts w:ascii="Times New Roman" w:hAnsi="Times New Roman"/>
        </w:rPr>
        <w:t>F</w:t>
      </w:r>
      <w:r w:rsidR="00CD4B08" w:rsidRPr="00BD7413">
        <w:rPr>
          <w:rFonts w:ascii="Times New Roman" w:hAnsi="Times New Roman"/>
        </w:rPr>
        <w:t xml:space="preserve"> program and to monitor compliance with </w:t>
      </w:r>
      <w:r w:rsidR="00CD4B08">
        <w:rPr>
          <w:rFonts w:ascii="Times New Roman" w:hAnsi="Times New Roman"/>
        </w:rPr>
        <w:t xml:space="preserve">the Trade Act </w:t>
      </w:r>
      <w:r w:rsidR="00CD4B08" w:rsidRPr="00BD7413">
        <w:rPr>
          <w:rFonts w:ascii="Times New Roman" w:hAnsi="Times New Roman"/>
        </w:rPr>
        <w:t xml:space="preserve">and </w:t>
      </w:r>
      <w:r w:rsidR="00CD4B08">
        <w:rPr>
          <w:rFonts w:ascii="Times New Roman" w:hAnsi="Times New Roman"/>
        </w:rPr>
        <w:t xml:space="preserve">13 C.F.R. </w:t>
      </w:r>
      <w:r w:rsidR="00A91567">
        <w:rPr>
          <w:rFonts w:ascii="Times New Roman" w:hAnsi="Times New Roman"/>
        </w:rPr>
        <w:t>p</w:t>
      </w:r>
      <w:r w:rsidR="00CD4B08">
        <w:rPr>
          <w:rFonts w:ascii="Times New Roman" w:hAnsi="Times New Roman"/>
        </w:rPr>
        <w:t>art 315</w:t>
      </w:r>
      <w:r w:rsidR="00CD4B08" w:rsidRPr="00BD7413">
        <w:rPr>
          <w:rFonts w:ascii="Times New Roman" w:hAnsi="Times New Roman"/>
        </w:rPr>
        <w:t>.</w:t>
      </w:r>
    </w:p>
    <w:p w14:paraId="74F88395" w14:textId="77777777" w:rsidR="00CD4B08" w:rsidRDefault="00CD4B08" w:rsidP="00A91567">
      <w:pPr>
        <w:pStyle w:val="Default"/>
        <w:rPr>
          <w:rFonts w:ascii="Times New Roman" w:hAnsi="Times New Roman"/>
        </w:rPr>
      </w:pPr>
    </w:p>
    <w:p w14:paraId="7CDCE2DC" w14:textId="7516D57F" w:rsidR="00CD4B08" w:rsidRPr="00560464" w:rsidRDefault="00CD4B08" w:rsidP="00A91567">
      <w:pPr>
        <w:pStyle w:val="Default"/>
        <w:rPr>
          <w:rFonts w:ascii="Times New Roman" w:hAnsi="Times New Roman"/>
        </w:rPr>
      </w:pPr>
      <w:r w:rsidRPr="00560464">
        <w:rPr>
          <w:rFonts w:ascii="Times New Roman" w:hAnsi="Times New Roman"/>
        </w:rPr>
        <w:t xml:space="preserve">Under the </w:t>
      </w:r>
      <w:r>
        <w:rPr>
          <w:rFonts w:ascii="Times New Roman" w:hAnsi="Times New Roman"/>
        </w:rPr>
        <w:t>TAA</w:t>
      </w:r>
      <w:r w:rsidR="00590A94">
        <w:rPr>
          <w:rFonts w:ascii="Times New Roman" w:hAnsi="Times New Roman"/>
        </w:rPr>
        <w:t>F</w:t>
      </w:r>
      <w:r>
        <w:rPr>
          <w:rFonts w:ascii="Times New Roman" w:hAnsi="Times New Roman"/>
        </w:rPr>
        <w:t xml:space="preserve"> </w:t>
      </w:r>
      <w:r w:rsidRPr="00560464">
        <w:rPr>
          <w:rFonts w:ascii="Times New Roman" w:hAnsi="Times New Roman"/>
        </w:rPr>
        <w:t>program, EDA funds a national network of eleven T</w:t>
      </w:r>
      <w:r w:rsidR="00D640F6">
        <w:rPr>
          <w:rFonts w:ascii="Times New Roman" w:hAnsi="Times New Roman"/>
        </w:rPr>
        <w:t>A</w:t>
      </w:r>
      <w:r w:rsidRPr="00560464">
        <w:rPr>
          <w:rFonts w:ascii="Times New Roman" w:hAnsi="Times New Roman"/>
        </w:rPr>
        <w:t>ACs.  One of the roles of a TAAC is to help interested firms complete the ED-840P, assemble the required supporting documentation, and submit the completed package to EDA for consideration.  This service is provided at no</w:t>
      </w:r>
      <w:r>
        <w:rPr>
          <w:rFonts w:ascii="Times New Roman" w:hAnsi="Times New Roman"/>
        </w:rPr>
        <w:t xml:space="preserve"> </w:t>
      </w:r>
      <w:r w:rsidRPr="00560464">
        <w:rPr>
          <w:rFonts w:ascii="Times New Roman" w:hAnsi="Times New Roman"/>
        </w:rPr>
        <w:t xml:space="preserve">cost to the firm.  Given their knowledge of the </w:t>
      </w:r>
      <w:r>
        <w:rPr>
          <w:rFonts w:ascii="Times New Roman" w:hAnsi="Times New Roman"/>
        </w:rPr>
        <w:t>TAA</w:t>
      </w:r>
      <w:r w:rsidR="00590A94">
        <w:rPr>
          <w:rFonts w:ascii="Times New Roman" w:hAnsi="Times New Roman"/>
        </w:rPr>
        <w:t>F</w:t>
      </w:r>
      <w:r>
        <w:rPr>
          <w:rFonts w:ascii="Times New Roman" w:hAnsi="Times New Roman"/>
        </w:rPr>
        <w:t xml:space="preserve"> </w:t>
      </w:r>
      <w:r w:rsidRPr="00560464">
        <w:rPr>
          <w:rFonts w:ascii="Times New Roman" w:hAnsi="Times New Roman"/>
        </w:rPr>
        <w:t>program, the TAACs are able to discourage firms that do not meet the requirements for certification from completing the form.</w:t>
      </w:r>
      <w:r w:rsidR="00A91567">
        <w:rPr>
          <w:rFonts w:ascii="Times New Roman" w:hAnsi="Times New Roman"/>
        </w:rPr>
        <w:t xml:space="preserve"> </w:t>
      </w:r>
      <w:r w:rsidR="00D640F6">
        <w:rPr>
          <w:rFonts w:ascii="Times New Roman" w:hAnsi="Times New Roman"/>
        </w:rPr>
        <w:t xml:space="preserve"> </w:t>
      </w:r>
      <w:r>
        <w:rPr>
          <w:rFonts w:ascii="Times New Roman" w:hAnsi="Times New Roman"/>
        </w:rPr>
        <w:t>This service-oriented program structure minimiz</w:t>
      </w:r>
      <w:r w:rsidR="00227E84">
        <w:rPr>
          <w:rFonts w:ascii="Times New Roman" w:hAnsi="Times New Roman"/>
        </w:rPr>
        <w:t>es</w:t>
      </w:r>
      <w:r>
        <w:rPr>
          <w:rFonts w:ascii="Times New Roman" w:hAnsi="Times New Roman"/>
        </w:rPr>
        <w:t xml:space="preserve"> the burden of </w:t>
      </w:r>
      <w:r w:rsidR="00227E84">
        <w:rPr>
          <w:rFonts w:ascii="Times New Roman" w:hAnsi="Times New Roman"/>
        </w:rPr>
        <w:t xml:space="preserve">the </w:t>
      </w:r>
      <w:r>
        <w:rPr>
          <w:rFonts w:ascii="Times New Roman" w:hAnsi="Times New Roman"/>
        </w:rPr>
        <w:t>information collection</w:t>
      </w:r>
      <w:r w:rsidR="00227E84">
        <w:rPr>
          <w:rFonts w:ascii="Times New Roman" w:hAnsi="Times New Roman"/>
        </w:rPr>
        <w:t>s on small businesses.</w:t>
      </w:r>
    </w:p>
    <w:p w14:paraId="40F81C51" w14:textId="77777777" w:rsidR="009F7039" w:rsidRDefault="009F7039" w:rsidP="00A91567">
      <w:pPr>
        <w:widowControl/>
      </w:pPr>
    </w:p>
    <w:p w14:paraId="096315C9" w14:textId="77777777" w:rsidR="00D640F6" w:rsidRDefault="00D640F6" w:rsidP="00A91567">
      <w:pPr>
        <w:widowControl/>
      </w:pPr>
    </w:p>
    <w:p w14:paraId="39478900" w14:textId="08095197" w:rsidR="00136E5A" w:rsidRDefault="00136E5A" w:rsidP="0091553B">
      <w:pPr>
        <w:keepNext/>
        <w:widowControl/>
      </w:pPr>
      <w:r>
        <w:rPr>
          <w:b/>
          <w:bCs/>
        </w:rPr>
        <w:t xml:space="preserve">6.  </w:t>
      </w:r>
      <w:r>
        <w:rPr>
          <w:b/>
          <w:bCs/>
          <w:u w:val="single"/>
        </w:rPr>
        <w:t>Describe the consequences to the Federal program or policy activities if the collection is not conducted or is conducted less frequently</w:t>
      </w:r>
      <w:r>
        <w:rPr>
          <w:b/>
          <w:bCs/>
        </w:rPr>
        <w:t>.</w:t>
      </w:r>
    </w:p>
    <w:p w14:paraId="085F9BB2" w14:textId="77777777" w:rsidR="00136E5A" w:rsidRDefault="00136E5A" w:rsidP="0091553B">
      <w:pPr>
        <w:keepNext/>
        <w:widowControl/>
      </w:pPr>
    </w:p>
    <w:p w14:paraId="56E4B535" w14:textId="066AC5CF" w:rsidR="00DC13D7" w:rsidRDefault="00DC13D7" w:rsidP="00A91567">
      <w:pPr>
        <w:widowControl/>
      </w:pPr>
      <w:r>
        <w:t xml:space="preserve">EDA would not be able to fulfill </w:t>
      </w:r>
      <w:r w:rsidR="00227E84">
        <w:t xml:space="preserve">its </w:t>
      </w:r>
      <w:r>
        <w:t>statutory mandate</w:t>
      </w:r>
      <w:r w:rsidR="00227E84">
        <w:t>s</w:t>
      </w:r>
      <w:r>
        <w:t xml:space="preserve"> under the Trade Act if these information collections </w:t>
      </w:r>
      <w:r w:rsidR="00A91567">
        <w:t xml:space="preserve">were </w:t>
      </w:r>
      <w:r>
        <w:t xml:space="preserve">not conducted or </w:t>
      </w:r>
      <w:r w:rsidR="00A91567">
        <w:t xml:space="preserve">were </w:t>
      </w:r>
      <w:r>
        <w:t xml:space="preserve">conducted less frequently.  The information collected is essential to the administration of </w:t>
      </w:r>
      <w:r w:rsidR="00A91567">
        <w:t xml:space="preserve">the </w:t>
      </w:r>
      <w:r>
        <w:t>TAA</w:t>
      </w:r>
      <w:r w:rsidR="00590A94">
        <w:t>F</w:t>
      </w:r>
      <w:r>
        <w:t xml:space="preserve"> program.</w:t>
      </w:r>
    </w:p>
    <w:p w14:paraId="1F089F47" w14:textId="77777777" w:rsidR="00136E5A" w:rsidRDefault="00136E5A" w:rsidP="00A91567">
      <w:pPr>
        <w:widowControl/>
      </w:pPr>
    </w:p>
    <w:p w14:paraId="474A27BA" w14:textId="77777777" w:rsidR="00D640F6" w:rsidRDefault="00D640F6" w:rsidP="00A91567">
      <w:pPr>
        <w:widowControl/>
        <w:rPr>
          <w:b/>
          <w:bCs/>
        </w:rPr>
      </w:pPr>
    </w:p>
    <w:p w14:paraId="02E2EBFB" w14:textId="4E3133F1" w:rsidR="00136E5A" w:rsidRDefault="00136E5A" w:rsidP="0091553B">
      <w:pPr>
        <w:keepNext/>
        <w:widowControl/>
      </w:pPr>
      <w:r>
        <w:rPr>
          <w:b/>
          <w:bCs/>
        </w:rPr>
        <w:t xml:space="preserve">7.  </w:t>
      </w:r>
      <w:r>
        <w:rPr>
          <w:b/>
          <w:bCs/>
          <w:u w:val="single"/>
        </w:rPr>
        <w:t>Explain any special circumstances that require the collection to be conducted in a manner inconsistent with OMB guidelines</w:t>
      </w:r>
      <w:r>
        <w:rPr>
          <w:b/>
          <w:bCs/>
        </w:rPr>
        <w:t>.</w:t>
      </w:r>
    </w:p>
    <w:p w14:paraId="5683B4C1" w14:textId="77777777" w:rsidR="0011222B" w:rsidRDefault="0011222B" w:rsidP="0091553B">
      <w:pPr>
        <w:keepNext/>
        <w:widowControl/>
      </w:pPr>
    </w:p>
    <w:p w14:paraId="4815F1DA" w14:textId="50A29697" w:rsidR="00561546" w:rsidRPr="00EB17C9" w:rsidRDefault="00561546" w:rsidP="00A91567">
      <w:pPr>
        <w:widowControl/>
      </w:pPr>
      <w:r w:rsidRPr="00EB17C9">
        <w:t xml:space="preserve">There are no special circumstances that would </w:t>
      </w:r>
      <w:r>
        <w:t>require the</w:t>
      </w:r>
      <w:r w:rsidRPr="00EB17C9">
        <w:t xml:space="preserve"> information collection to be conducted </w:t>
      </w:r>
      <w:r>
        <w:t>in a manner inconsistent with OMB guidelines</w:t>
      </w:r>
      <w:r w:rsidRPr="00EB17C9">
        <w:t>.</w:t>
      </w:r>
    </w:p>
    <w:p w14:paraId="22B47523" w14:textId="77777777" w:rsidR="00D640F6" w:rsidRDefault="00D640F6" w:rsidP="00A91567">
      <w:pPr>
        <w:widowControl/>
      </w:pPr>
    </w:p>
    <w:p w14:paraId="7FFE77FB" w14:textId="77777777" w:rsidR="00D640F6" w:rsidRDefault="00D640F6" w:rsidP="00A91567">
      <w:pPr>
        <w:widowControl/>
      </w:pPr>
    </w:p>
    <w:p w14:paraId="604DE832" w14:textId="77777777" w:rsidR="00136E5A" w:rsidRDefault="00136E5A" w:rsidP="0091553B">
      <w:pPr>
        <w:keepNext/>
        <w:widowControl/>
      </w:pPr>
      <w:r>
        <w:rPr>
          <w:b/>
          <w:bCs/>
        </w:rPr>
        <w:t xml:space="preserve">8.  </w:t>
      </w:r>
      <w:r>
        <w:rPr>
          <w:b/>
          <w:bCs/>
          <w:u w:val="single"/>
        </w:rPr>
        <w:t xml:space="preserve">Provide </w:t>
      </w:r>
      <w:r w:rsidR="00861A51">
        <w:rPr>
          <w:b/>
          <w:bCs/>
          <w:u w:val="single"/>
        </w:rPr>
        <w:t>information</w:t>
      </w:r>
      <w:r>
        <w:rPr>
          <w:b/>
          <w:bCs/>
          <w:u w:val="single"/>
        </w:rPr>
        <w:t xml:space="preserve"> of the PRA Federal Register notice that solicited public comments on the information collection prior to this submission.  Summarize the public comments received in response to that notice and describe the actions taken by the agency in response to those </w:t>
      </w:r>
      <w:r w:rsidRPr="00227E84">
        <w:rPr>
          <w:b/>
          <w:bCs/>
          <w:u w:val="single"/>
        </w:rPr>
        <w:t>comments.</w:t>
      </w:r>
      <w:r w:rsidRPr="00227E84">
        <w:rPr>
          <w:u w:val="single"/>
        </w:rPr>
        <w:t xml:space="preserve">  </w:t>
      </w:r>
      <w:r w:rsidRPr="00227E84">
        <w:rPr>
          <w:b/>
          <w:bCs/>
          <w:u w:val="single"/>
        </w:rPr>
        <w:t>Describe</w:t>
      </w:r>
      <w:r>
        <w:rPr>
          <w:b/>
          <w:bCs/>
          <w:u w:val="single"/>
        </w:rPr>
        <w:t xml:space="preserv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14:paraId="27D1A480" w14:textId="77777777" w:rsidR="00136E5A" w:rsidRDefault="00136E5A" w:rsidP="0091553B">
      <w:pPr>
        <w:keepNext/>
        <w:widowControl/>
      </w:pPr>
    </w:p>
    <w:p w14:paraId="4AD7AB6C" w14:textId="61CD050C" w:rsidR="003B2D63" w:rsidRDefault="00DD337E" w:rsidP="00A91567">
      <w:pPr>
        <w:widowControl/>
      </w:pPr>
      <w:r>
        <w:t xml:space="preserve">The Federal Register Notice </w:t>
      </w:r>
      <w:r w:rsidR="00D640F6">
        <w:t xml:space="preserve">soliciting public </w:t>
      </w:r>
      <w:r w:rsidR="00861A51">
        <w:t xml:space="preserve">comments was published on </w:t>
      </w:r>
      <w:r w:rsidR="003A4952">
        <w:t>February 13</w:t>
      </w:r>
      <w:r w:rsidR="008943FE">
        <w:t>, 201</w:t>
      </w:r>
      <w:r w:rsidR="003A4952">
        <w:t>9</w:t>
      </w:r>
      <w:r w:rsidR="00861A51">
        <w:t xml:space="preserve"> </w:t>
      </w:r>
      <w:r w:rsidR="00D640F6">
        <w:t>(</w:t>
      </w:r>
      <w:r w:rsidR="00561546">
        <w:t xml:space="preserve">84 </w:t>
      </w:r>
      <w:r w:rsidR="002F2798">
        <w:t>Fed. Reg.</w:t>
      </w:r>
      <w:r w:rsidR="00861A51">
        <w:t xml:space="preserve"> </w:t>
      </w:r>
      <w:r w:rsidR="00561546">
        <w:t>3757</w:t>
      </w:r>
      <w:r w:rsidR="00861A51">
        <w:t>).</w:t>
      </w:r>
      <w:r w:rsidR="00227E84">
        <w:t xml:space="preserve">  </w:t>
      </w:r>
      <w:r w:rsidR="003B2D63">
        <w:t>EDA received a total of eleven comments</w:t>
      </w:r>
      <w:r w:rsidR="00C95D68">
        <w:t>, all</w:t>
      </w:r>
      <w:r w:rsidR="003B2D63">
        <w:t xml:space="preserve"> from TAAC</w:t>
      </w:r>
      <w:r w:rsidR="00C95D68">
        <w:t>s</w:t>
      </w:r>
      <w:r w:rsidR="003B2D63">
        <w:t>.  No comments were received from individuals or entities unassociated with a TAAC.</w:t>
      </w:r>
    </w:p>
    <w:p w14:paraId="44FE05EC" w14:textId="77777777" w:rsidR="003B2D63" w:rsidRDefault="003B2D63" w:rsidP="00A91567">
      <w:pPr>
        <w:widowControl/>
      </w:pPr>
    </w:p>
    <w:p w14:paraId="4488811D" w14:textId="3BDC00C7" w:rsidR="00A71E66" w:rsidRDefault="00B167A8" w:rsidP="00A91567">
      <w:pPr>
        <w:widowControl/>
      </w:pPr>
      <w:r>
        <w:t>Several</w:t>
      </w:r>
      <w:r w:rsidR="00A71E66">
        <w:t xml:space="preserve"> comments</w:t>
      </w:r>
      <w:r w:rsidR="008A155F">
        <w:t xml:space="preserve"> </w:t>
      </w:r>
      <w:r w:rsidR="003B2D63">
        <w:t xml:space="preserve">stated that </w:t>
      </w:r>
      <w:r w:rsidR="008A155F">
        <w:t xml:space="preserve">the estimate of 8.2 hours for completing the ED-840P was </w:t>
      </w:r>
      <w:r w:rsidR="00BB5ED8">
        <w:t xml:space="preserve">too </w:t>
      </w:r>
      <w:r w:rsidR="008A155F">
        <w:t>low.</w:t>
      </w:r>
      <w:r w:rsidR="003B2D63">
        <w:t xml:space="preserve"> </w:t>
      </w:r>
      <w:r w:rsidR="00A71E66">
        <w:t xml:space="preserve"> </w:t>
      </w:r>
      <w:r w:rsidR="003B2D63">
        <w:t xml:space="preserve">EDA subsequently </w:t>
      </w:r>
      <w:r w:rsidR="00A71E66">
        <w:t>survey</w:t>
      </w:r>
      <w:r w:rsidR="003B2D63">
        <w:t>ed</w:t>
      </w:r>
      <w:r w:rsidR="00A71E66">
        <w:t xml:space="preserve"> </w:t>
      </w:r>
      <w:r w:rsidR="003B2D63">
        <w:t xml:space="preserve">the </w:t>
      </w:r>
      <w:r w:rsidR="00C95D68">
        <w:t>TAACs, which,</w:t>
      </w:r>
      <w:r w:rsidR="00584F14">
        <w:t xml:space="preserve"> </w:t>
      </w:r>
      <w:r w:rsidR="00C95D68">
        <w:t xml:space="preserve">pursuant to cooperative agreements with EDA, </w:t>
      </w:r>
      <w:r w:rsidR="00561546">
        <w:t xml:space="preserve">assist respondents in assembling </w:t>
      </w:r>
      <w:r w:rsidR="00584F14">
        <w:t>P</w:t>
      </w:r>
      <w:r w:rsidR="00561546">
        <w:t>etition</w:t>
      </w:r>
      <w:r w:rsidR="00584F14">
        <w:t>s</w:t>
      </w:r>
      <w:r w:rsidR="00C95D68">
        <w:t>.  EDA asked the TAACs</w:t>
      </w:r>
      <w:r w:rsidR="00A71E66">
        <w:t xml:space="preserve"> the number of hours</w:t>
      </w:r>
      <w:r w:rsidR="00C95D68">
        <w:t xml:space="preserve"> necessary</w:t>
      </w:r>
      <w:r w:rsidR="00A71E66">
        <w:t xml:space="preserve"> to complete </w:t>
      </w:r>
      <w:r w:rsidR="00584F14">
        <w:t>F</w:t>
      </w:r>
      <w:r w:rsidR="00A71E66">
        <w:t>orm</w:t>
      </w:r>
      <w:r w:rsidR="00584F14">
        <w:t xml:space="preserve"> ED-840P</w:t>
      </w:r>
      <w:r w:rsidR="00A71E66">
        <w:t xml:space="preserve">. </w:t>
      </w:r>
      <w:r w:rsidR="00C95D68">
        <w:t xml:space="preserve"> </w:t>
      </w:r>
      <w:r w:rsidR="00A71E66">
        <w:t>The average</w:t>
      </w:r>
      <w:r w:rsidR="00C95D68">
        <w:t xml:space="preserve"> response</w:t>
      </w:r>
      <w:r w:rsidR="00A71E66">
        <w:t xml:space="preserve"> was 53 </w:t>
      </w:r>
      <w:r w:rsidR="00E242EB">
        <w:t>hours</w:t>
      </w:r>
      <w:r w:rsidR="00584F14">
        <w:t>,</w:t>
      </w:r>
      <w:r w:rsidR="00E242EB">
        <w:t xml:space="preserve"> </w:t>
      </w:r>
      <w:r w:rsidR="00A71E66">
        <w:t>which is the revised estimate</w:t>
      </w:r>
      <w:r w:rsidR="00584F14">
        <w:t xml:space="preserve"> in the 30-day notice and this Supporting Statement</w:t>
      </w:r>
      <w:r w:rsidR="007846BE">
        <w:t>.</w:t>
      </w:r>
    </w:p>
    <w:p w14:paraId="46A1E8D7" w14:textId="77777777" w:rsidR="00B167A8" w:rsidRDefault="00B167A8" w:rsidP="00A91567">
      <w:pPr>
        <w:widowControl/>
      </w:pPr>
    </w:p>
    <w:p w14:paraId="127C649F" w14:textId="4318D1F1" w:rsidR="00A71E66" w:rsidRDefault="00584F14" w:rsidP="00A91567">
      <w:pPr>
        <w:widowControl/>
      </w:pPr>
      <w:r>
        <w:t xml:space="preserve">Several </w:t>
      </w:r>
      <w:r w:rsidR="00A71E66">
        <w:t xml:space="preserve">comments </w:t>
      </w:r>
      <w:r w:rsidR="00227E84">
        <w:t>related to</w:t>
      </w:r>
      <w:r w:rsidR="00A71E66">
        <w:t xml:space="preserve"> the </w:t>
      </w:r>
      <w:r w:rsidR="00561546">
        <w:t xml:space="preserve">supporting </w:t>
      </w:r>
      <w:r w:rsidR="00A71E66">
        <w:t xml:space="preserve">documentation required </w:t>
      </w:r>
      <w:r w:rsidR="00561546">
        <w:t xml:space="preserve">for a </w:t>
      </w:r>
      <w:r>
        <w:t>P</w:t>
      </w:r>
      <w:r w:rsidR="00561546">
        <w:t>etition</w:t>
      </w:r>
      <w:r w:rsidR="00A71E66">
        <w:t>.</w:t>
      </w:r>
      <w:r>
        <w:t xml:space="preserve"> </w:t>
      </w:r>
      <w:r w:rsidR="00A71E66">
        <w:t xml:space="preserve"> </w:t>
      </w:r>
      <w:r>
        <w:t>For example, s</w:t>
      </w:r>
      <w:r w:rsidR="00B167A8">
        <w:t>ome</w:t>
      </w:r>
      <w:r w:rsidR="009A0247">
        <w:t xml:space="preserve"> comments</w:t>
      </w:r>
      <w:r w:rsidR="00A71E66">
        <w:t xml:space="preserve"> </w:t>
      </w:r>
      <w:r w:rsidR="009A0247">
        <w:t>suggested</w:t>
      </w:r>
      <w:r w:rsidR="00A71E66">
        <w:t xml:space="preserve"> allow</w:t>
      </w:r>
      <w:r w:rsidR="009A0247">
        <w:t>ing</w:t>
      </w:r>
      <w:r w:rsidR="00A71E66">
        <w:t xml:space="preserve"> the use of IRS Form 941 to document </w:t>
      </w:r>
      <w:r>
        <w:t xml:space="preserve">firms’ </w:t>
      </w:r>
      <w:r w:rsidR="005C5DE9">
        <w:t xml:space="preserve">monthly </w:t>
      </w:r>
      <w:r w:rsidR="00A71E66">
        <w:t>employment</w:t>
      </w:r>
      <w:r>
        <w:t xml:space="preserve"> figures, instead of the currently required state unemployment insurance filings</w:t>
      </w:r>
      <w:r w:rsidR="00A71E66">
        <w:t xml:space="preserve">. </w:t>
      </w:r>
      <w:r>
        <w:t xml:space="preserve"> </w:t>
      </w:r>
      <w:r w:rsidR="009A0247">
        <w:t>IRS Form 941</w:t>
      </w:r>
      <w:r w:rsidR="00A71E66">
        <w:t xml:space="preserve"> does not </w:t>
      </w:r>
      <w:r>
        <w:t>include</w:t>
      </w:r>
      <w:r w:rsidR="00A71E66">
        <w:t xml:space="preserve"> the number of</w:t>
      </w:r>
      <w:r>
        <w:t xml:space="preserve"> a firm’s</w:t>
      </w:r>
      <w:r w:rsidR="00A71E66">
        <w:t xml:space="preserve"> employees </w:t>
      </w:r>
      <w:r w:rsidR="00227E84">
        <w:t xml:space="preserve">for </w:t>
      </w:r>
      <w:r>
        <w:t>each</w:t>
      </w:r>
      <w:r w:rsidR="00A71E66">
        <w:t xml:space="preserve"> month</w:t>
      </w:r>
      <w:r>
        <w:t>, which</w:t>
      </w:r>
      <w:r w:rsidR="00BB5ED8">
        <w:t xml:space="preserve"> </w:t>
      </w:r>
      <w:r>
        <w:t>is</w:t>
      </w:r>
      <w:r w:rsidR="00BB5ED8">
        <w:t xml:space="preserve"> needed to determine eligibility</w:t>
      </w:r>
      <w:r>
        <w:t xml:space="preserve"> for the TAAF program, and for this reason EDA will continue to require state unemployment insurance filings to document firms’ employment figures</w:t>
      </w:r>
      <w:r w:rsidR="00A71E66">
        <w:t>.</w:t>
      </w:r>
      <w:r w:rsidR="00C95D68">
        <w:t xml:space="preserve"> </w:t>
      </w:r>
      <w:r w:rsidR="00A71E66">
        <w:t xml:space="preserve"> </w:t>
      </w:r>
      <w:r>
        <w:t>EDA may allow p</w:t>
      </w:r>
      <w:r w:rsidR="00E242EB">
        <w:t>etitioning</w:t>
      </w:r>
      <w:r w:rsidR="00A71E66">
        <w:t xml:space="preserve"> firms </w:t>
      </w:r>
      <w:r>
        <w:t>to</w:t>
      </w:r>
      <w:r w:rsidR="00A71E66">
        <w:t xml:space="preserve"> use </w:t>
      </w:r>
      <w:r>
        <w:t xml:space="preserve">internal </w:t>
      </w:r>
      <w:r w:rsidR="00A71E66">
        <w:t>payroll reports when state unemployment</w:t>
      </w:r>
      <w:r>
        <w:t xml:space="preserve"> insurance filings are</w:t>
      </w:r>
      <w:r w:rsidR="00A71E66">
        <w:t xml:space="preserve"> not available.</w:t>
      </w:r>
    </w:p>
    <w:p w14:paraId="3B448921" w14:textId="77777777" w:rsidR="0091553B" w:rsidRDefault="0091553B" w:rsidP="00A91567">
      <w:pPr>
        <w:widowControl/>
      </w:pPr>
    </w:p>
    <w:p w14:paraId="5508191C" w14:textId="2EA3B5A9" w:rsidR="00C95A4E" w:rsidRDefault="00C95D68" w:rsidP="0091553B">
      <w:pPr>
        <w:widowControl/>
        <w:rPr>
          <w:color w:val="000000" w:themeColor="text1"/>
        </w:rPr>
      </w:pPr>
      <w:r>
        <w:t>One comment suggested eliminat</w:t>
      </w:r>
      <w:r w:rsidR="00227E84">
        <w:t>ing</w:t>
      </w:r>
      <w:r>
        <w:t xml:space="preserve"> the requirement for supporting documentation</w:t>
      </w:r>
      <w:r w:rsidR="00A71E66">
        <w:t xml:space="preserve"> for sales, exports, and resale</w:t>
      </w:r>
      <w:r>
        <w:t xml:space="preserve"> figures.  The commenter proposed </w:t>
      </w:r>
      <w:r w:rsidR="00227E84">
        <w:t xml:space="preserve">EDA instead </w:t>
      </w:r>
      <w:r>
        <w:t>allow a certification of such figures by the petitioning firm rather than supporting</w:t>
      </w:r>
      <w:r w:rsidR="00A71E66">
        <w:t xml:space="preserve"> documentation</w:t>
      </w:r>
      <w:r>
        <w:t xml:space="preserve">.  </w:t>
      </w:r>
      <w:r>
        <w:rPr>
          <w:color w:val="000000" w:themeColor="text1"/>
        </w:rPr>
        <w:t xml:space="preserve">In EDA’s experience, this supporting documentation is necessary to verify sales, export, and resale figures. </w:t>
      </w:r>
      <w:r w:rsidR="008919B8">
        <w:rPr>
          <w:color w:val="000000" w:themeColor="text1"/>
        </w:rPr>
        <w:t xml:space="preserve"> From time to time, EDA has found </w:t>
      </w:r>
      <w:r w:rsidR="008919B8" w:rsidRPr="0091553B">
        <w:t>such</w:t>
      </w:r>
      <w:r w:rsidR="008919B8">
        <w:rPr>
          <w:color w:val="000000" w:themeColor="text1"/>
        </w:rPr>
        <w:t xml:space="preserve"> figures to have been entered into Form ED-840P inaccurately.  </w:t>
      </w:r>
      <w:r w:rsidR="005C5DE9">
        <w:rPr>
          <w:color w:val="000000" w:themeColor="text1"/>
        </w:rPr>
        <w:t>Therefore, based on</w:t>
      </w:r>
      <w:r w:rsidR="008919B8">
        <w:rPr>
          <w:color w:val="000000" w:themeColor="text1"/>
        </w:rPr>
        <w:t xml:space="preserve"> EDA’s</w:t>
      </w:r>
      <w:r w:rsidR="005C5DE9">
        <w:rPr>
          <w:color w:val="000000" w:themeColor="text1"/>
        </w:rPr>
        <w:t xml:space="preserve"> </w:t>
      </w:r>
      <w:r w:rsidR="008477FF">
        <w:rPr>
          <w:color w:val="000000" w:themeColor="text1"/>
        </w:rPr>
        <w:t>experience</w:t>
      </w:r>
      <w:r w:rsidR="005C5DE9">
        <w:rPr>
          <w:color w:val="000000" w:themeColor="text1"/>
        </w:rPr>
        <w:t xml:space="preserve">, a certification </w:t>
      </w:r>
      <w:r w:rsidR="008919B8">
        <w:rPr>
          <w:color w:val="000000" w:themeColor="text1"/>
        </w:rPr>
        <w:t>of the</w:t>
      </w:r>
      <w:r w:rsidR="00227E84">
        <w:rPr>
          <w:color w:val="000000" w:themeColor="text1"/>
        </w:rPr>
        <w:t xml:space="preserve"> </w:t>
      </w:r>
      <w:r w:rsidR="00227E84">
        <w:t>sales, exports, and resale</w:t>
      </w:r>
      <w:r w:rsidR="008919B8">
        <w:rPr>
          <w:color w:val="000000" w:themeColor="text1"/>
        </w:rPr>
        <w:t xml:space="preserve"> figures would be insufficient; EDA requires supporting documentation to</w:t>
      </w:r>
      <w:r w:rsidR="005C5DE9">
        <w:rPr>
          <w:color w:val="000000" w:themeColor="text1"/>
        </w:rPr>
        <w:t xml:space="preserve"> verify information</w:t>
      </w:r>
      <w:r w:rsidR="008919B8">
        <w:rPr>
          <w:color w:val="000000" w:themeColor="text1"/>
        </w:rPr>
        <w:t xml:space="preserve"> provided on Form</w:t>
      </w:r>
      <w:r w:rsidR="005C5DE9">
        <w:rPr>
          <w:color w:val="000000" w:themeColor="text1"/>
        </w:rPr>
        <w:t xml:space="preserve"> ED-840P.</w:t>
      </w:r>
    </w:p>
    <w:p w14:paraId="5154C4A0" w14:textId="77777777" w:rsidR="0091553B" w:rsidRDefault="0091553B" w:rsidP="0091553B">
      <w:pPr>
        <w:widowControl/>
        <w:rPr>
          <w:color w:val="000000" w:themeColor="text1"/>
        </w:rPr>
      </w:pPr>
    </w:p>
    <w:p w14:paraId="10A13C21" w14:textId="597CD402" w:rsidR="0092636D" w:rsidRDefault="008919B8" w:rsidP="0091553B">
      <w:pPr>
        <w:widowControl/>
        <w:rPr>
          <w:color w:val="000000" w:themeColor="text1"/>
        </w:rPr>
      </w:pPr>
      <w:r>
        <w:rPr>
          <w:color w:val="000000" w:themeColor="text1"/>
        </w:rPr>
        <w:t>Other comments suggested that EDA allow petitioning firms</w:t>
      </w:r>
      <w:r w:rsidR="00BB5ED8" w:rsidRPr="00BB5ED8">
        <w:rPr>
          <w:color w:val="000000" w:themeColor="text1"/>
        </w:rPr>
        <w:t xml:space="preserve"> to use readily available financial reports that cover the entire petition period, whether the data is annual, quarterly, or monthly</w:t>
      </w:r>
      <w:r w:rsidR="00BB5ED8">
        <w:rPr>
          <w:color w:val="000000" w:themeColor="text1"/>
        </w:rPr>
        <w:t xml:space="preserve">. </w:t>
      </w:r>
      <w:r>
        <w:rPr>
          <w:color w:val="000000" w:themeColor="text1"/>
        </w:rPr>
        <w:t xml:space="preserve"> It is already the case that EDA allows supporting documentation to be provided for annual, quarterly, or monthly periods, so</w:t>
      </w:r>
      <w:r w:rsidR="0092636D">
        <w:rPr>
          <w:color w:val="000000" w:themeColor="text1"/>
        </w:rPr>
        <w:t xml:space="preserve"> long as the sales </w:t>
      </w:r>
      <w:r>
        <w:rPr>
          <w:color w:val="000000" w:themeColor="text1"/>
        </w:rPr>
        <w:t xml:space="preserve">figures provided on Form </w:t>
      </w:r>
      <w:r w:rsidR="0092636D">
        <w:rPr>
          <w:color w:val="000000" w:themeColor="text1"/>
        </w:rPr>
        <w:t>ED-840P can be verified</w:t>
      </w:r>
      <w:r>
        <w:rPr>
          <w:color w:val="000000" w:themeColor="text1"/>
        </w:rPr>
        <w:t xml:space="preserve"> from that documentation</w:t>
      </w:r>
      <w:r w:rsidR="0092636D">
        <w:rPr>
          <w:color w:val="000000" w:themeColor="text1"/>
        </w:rPr>
        <w:t>.</w:t>
      </w:r>
      <w:r w:rsidR="009A0247">
        <w:rPr>
          <w:color w:val="000000" w:themeColor="text1"/>
        </w:rPr>
        <w:t xml:space="preserve"> </w:t>
      </w:r>
      <w:r>
        <w:rPr>
          <w:color w:val="000000" w:themeColor="text1"/>
        </w:rPr>
        <w:t xml:space="preserve"> In some cases, monthly sales documentation is required because the petition period selected by the petitioning firm does not align with annual or quarterly sales documentation.</w:t>
      </w:r>
    </w:p>
    <w:p w14:paraId="21983E7B" w14:textId="58DB1BCD" w:rsidR="0091553B" w:rsidRDefault="0091553B" w:rsidP="0091553B">
      <w:pPr>
        <w:widowControl/>
        <w:rPr>
          <w:color w:val="000000" w:themeColor="text1"/>
        </w:rPr>
      </w:pPr>
    </w:p>
    <w:p w14:paraId="5B9845AA" w14:textId="15F129D4" w:rsidR="00A71E66" w:rsidRDefault="00227E84" w:rsidP="0091553B">
      <w:pPr>
        <w:widowControl/>
        <w:rPr>
          <w:color w:val="000000" w:themeColor="text1"/>
        </w:rPr>
      </w:pPr>
      <w:r>
        <w:rPr>
          <w:color w:val="000000" w:themeColor="text1"/>
        </w:rPr>
        <w:t>Several</w:t>
      </w:r>
      <w:r w:rsidR="0092636D">
        <w:rPr>
          <w:color w:val="000000" w:themeColor="text1"/>
        </w:rPr>
        <w:t xml:space="preserve"> comment</w:t>
      </w:r>
      <w:r w:rsidR="008919B8">
        <w:rPr>
          <w:color w:val="000000" w:themeColor="text1"/>
        </w:rPr>
        <w:t>s</w:t>
      </w:r>
      <w:r w:rsidR="0092636D">
        <w:rPr>
          <w:color w:val="000000" w:themeColor="text1"/>
        </w:rPr>
        <w:t xml:space="preserve"> </w:t>
      </w:r>
      <w:r w:rsidR="00115264">
        <w:rPr>
          <w:color w:val="000000" w:themeColor="text1"/>
        </w:rPr>
        <w:t>suggested</w:t>
      </w:r>
      <w:r w:rsidR="0092636D">
        <w:rPr>
          <w:color w:val="000000" w:themeColor="text1"/>
        </w:rPr>
        <w:t xml:space="preserve"> </w:t>
      </w:r>
      <w:r w:rsidR="008919B8">
        <w:rPr>
          <w:color w:val="000000" w:themeColor="text1"/>
        </w:rPr>
        <w:t xml:space="preserve">raising </w:t>
      </w:r>
      <w:r w:rsidR="0092636D">
        <w:rPr>
          <w:color w:val="000000" w:themeColor="text1"/>
        </w:rPr>
        <w:t xml:space="preserve">the threshold for excluding exports </w:t>
      </w:r>
      <w:r w:rsidR="008919B8">
        <w:rPr>
          <w:color w:val="000000" w:themeColor="text1"/>
        </w:rPr>
        <w:t>from 5%</w:t>
      </w:r>
      <w:r w:rsidR="0092636D">
        <w:rPr>
          <w:color w:val="000000" w:themeColor="text1"/>
        </w:rPr>
        <w:t xml:space="preserve"> to 25%</w:t>
      </w:r>
      <w:r w:rsidR="008919B8">
        <w:rPr>
          <w:color w:val="000000" w:themeColor="text1"/>
        </w:rPr>
        <w:t xml:space="preserve">. </w:t>
      </w:r>
      <w:r w:rsidR="0092636D">
        <w:rPr>
          <w:color w:val="000000" w:themeColor="text1"/>
        </w:rPr>
        <w:t xml:space="preserve"> Similarly, one comment</w:t>
      </w:r>
      <w:r w:rsidR="008919B8">
        <w:rPr>
          <w:color w:val="000000" w:themeColor="text1"/>
        </w:rPr>
        <w:t xml:space="preserve"> proposed raising</w:t>
      </w:r>
      <w:r w:rsidR="0092636D">
        <w:rPr>
          <w:color w:val="000000" w:themeColor="text1"/>
        </w:rPr>
        <w:t xml:space="preserve"> the threshold for excluding resales </w:t>
      </w:r>
      <w:r w:rsidR="008919B8">
        <w:rPr>
          <w:color w:val="000000" w:themeColor="text1"/>
        </w:rPr>
        <w:t>from 5%</w:t>
      </w:r>
      <w:r w:rsidR="0092636D">
        <w:rPr>
          <w:color w:val="000000" w:themeColor="text1"/>
        </w:rPr>
        <w:t xml:space="preserve"> to 25%. </w:t>
      </w:r>
      <w:r w:rsidR="008919B8">
        <w:rPr>
          <w:color w:val="000000" w:themeColor="text1"/>
        </w:rPr>
        <w:t xml:space="preserve">EDA has determined that 5% is a significant amount of exports and resales.  </w:t>
      </w:r>
      <w:r w:rsidR="0092636D">
        <w:rPr>
          <w:color w:val="000000" w:themeColor="text1"/>
        </w:rPr>
        <w:t xml:space="preserve">This </w:t>
      </w:r>
      <w:r w:rsidR="005C5DE9">
        <w:rPr>
          <w:color w:val="000000" w:themeColor="text1"/>
        </w:rPr>
        <w:t xml:space="preserve">is consistent with </w:t>
      </w:r>
      <w:r w:rsidR="008477FF">
        <w:rPr>
          <w:color w:val="000000" w:themeColor="text1"/>
        </w:rPr>
        <w:t>the</w:t>
      </w:r>
      <w:r w:rsidR="008919B8">
        <w:rPr>
          <w:color w:val="000000" w:themeColor="text1"/>
        </w:rPr>
        <w:t xml:space="preserve"> 5%</w:t>
      </w:r>
      <w:r w:rsidR="008477FF">
        <w:rPr>
          <w:color w:val="000000" w:themeColor="text1"/>
        </w:rPr>
        <w:t xml:space="preserve"> </w:t>
      </w:r>
      <w:r w:rsidR="008919B8">
        <w:rPr>
          <w:color w:val="000000" w:themeColor="text1"/>
        </w:rPr>
        <w:t>eligibility threshold for</w:t>
      </w:r>
      <w:r w:rsidR="005C5DE9">
        <w:rPr>
          <w:color w:val="000000" w:themeColor="text1"/>
        </w:rPr>
        <w:t xml:space="preserve"> </w:t>
      </w:r>
      <w:r w:rsidR="008919B8">
        <w:rPr>
          <w:color w:val="000000" w:themeColor="text1"/>
        </w:rPr>
        <w:t xml:space="preserve">decline in </w:t>
      </w:r>
      <w:r w:rsidR="005C5DE9">
        <w:rPr>
          <w:color w:val="000000" w:themeColor="text1"/>
        </w:rPr>
        <w:t xml:space="preserve">employment </w:t>
      </w:r>
      <w:r w:rsidR="008919B8">
        <w:rPr>
          <w:color w:val="000000" w:themeColor="text1"/>
        </w:rPr>
        <w:t>and</w:t>
      </w:r>
      <w:r w:rsidR="005C5DE9">
        <w:rPr>
          <w:color w:val="000000" w:themeColor="text1"/>
        </w:rPr>
        <w:t xml:space="preserve"> sales</w:t>
      </w:r>
      <w:r>
        <w:rPr>
          <w:color w:val="000000" w:themeColor="text1"/>
        </w:rPr>
        <w:t xml:space="preserve"> specified in the regulations governing the TAAF program </w:t>
      </w:r>
      <w:r w:rsidRPr="005C6B9E">
        <w:t>(</w:t>
      </w:r>
      <w:r w:rsidRPr="00A96B18">
        <w:rPr>
          <w:color w:val="000000"/>
          <w:shd w:val="clear" w:color="auto" w:fill="FFFFFF"/>
        </w:rPr>
        <w:t>1</w:t>
      </w:r>
      <w:r>
        <w:rPr>
          <w:color w:val="000000"/>
          <w:shd w:val="clear" w:color="auto" w:fill="FFFFFF"/>
        </w:rPr>
        <w:t>3</w:t>
      </w:r>
      <w:r w:rsidRPr="00A96B18">
        <w:rPr>
          <w:color w:val="000000"/>
          <w:shd w:val="clear" w:color="auto" w:fill="FFFFFF"/>
        </w:rPr>
        <w:t xml:space="preserve"> C</w:t>
      </w:r>
      <w:r>
        <w:rPr>
          <w:color w:val="000000"/>
          <w:shd w:val="clear" w:color="auto" w:fill="FFFFFF"/>
        </w:rPr>
        <w:t>.</w:t>
      </w:r>
      <w:r w:rsidRPr="00A96B18">
        <w:rPr>
          <w:color w:val="000000"/>
          <w:shd w:val="clear" w:color="auto" w:fill="FFFFFF"/>
        </w:rPr>
        <w:t>F</w:t>
      </w:r>
      <w:r>
        <w:rPr>
          <w:color w:val="000000"/>
          <w:shd w:val="clear" w:color="auto" w:fill="FFFFFF"/>
        </w:rPr>
        <w:t>.</w:t>
      </w:r>
      <w:r w:rsidRPr="00A96B18">
        <w:rPr>
          <w:color w:val="000000"/>
          <w:shd w:val="clear" w:color="auto" w:fill="FFFFFF"/>
        </w:rPr>
        <w:t>R</w:t>
      </w:r>
      <w:r>
        <w:rPr>
          <w:color w:val="000000"/>
          <w:shd w:val="clear" w:color="auto" w:fill="FFFFFF"/>
        </w:rPr>
        <w:t>. §</w:t>
      </w:r>
      <w:r w:rsidRPr="00A96B18">
        <w:rPr>
          <w:color w:val="000000"/>
          <w:shd w:val="clear" w:color="auto" w:fill="FFFFFF"/>
        </w:rPr>
        <w:t xml:space="preserve"> </w:t>
      </w:r>
      <w:r>
        <w:rPr>
          <w:color w:val="000000"/>
          <w:shd w:val="clear" w:color="auto" w:fill="FFFFFF"/>
        </w:rPr>
        <w:t xml:space="preserve">315.2, definitions of </w:t>
      </w:r>
      <w:r>
        <w:rPr>
          <w:i/>
          <w:color w:val="000000"/>
          <w:shd w:val="clear" w:color="auto" w:fill="FFFFFF"/>
        </w:rPr>
        <w:t>Decreased Absolutely</w:t>
      </w:r>
      <w:r>
        <w:rPr>
          <w:color w:val="000000"/>
          <w:shd w:val="clear" w:color="auto" w:fill="FFFFFF"/>
        </w:rPr>
        <w:t xml:space="preserve"> and </w:t>
      </w:r>
      <w:r>
        <w:rPr>
          <w:i/>
          <w:color w:val="000000"/>
          <w:shd w:val="clear" w:color="auto" w:fill="FFFFFF"/>
        </w:rPr>
        <w:t xml:space="preserve">Significant </w:t>
      </w:r>
      <w:r w:rsidR="00E52EFF">
        <w:rPr>
          <w:i/>
          <w:color w:val="000000"/>
          <w:shd w:val="clear" w:color="auto" w:fill="FFFFFF"/>
        </w:rPr>
        <w:t>Number or Proportion of Workers</w:t>
      </w:r>
      <w:r w:rsidRPr="005C6B9E">
        <w:t>)</w:t>
      </w:r>
      <w:r w:rsidR="005C5DE9">
        <w:rPr>
          <w:color w:val="000000" w:themeColor="text1"/>
        </w:rPr>
        <w:t>.</w:t>
      </w:r>
    </w:p>
    <w:p w14:paraId="2624221E" w14:textId="5FDE71A5" w:rsidR="0091553B" w:rsidRDefault="0091553B" w:rsidP="0091553B">
      <w:pPr>
        <w:widowControl/>
        <w:rPr>
          <w:color w:val="000000" w:themeColor="text1"/>
        </w:rPr>
      </w:pPr>
    </w:p>
    <w:p w14:paraId="6D951215" w14:textId="5C99C5C1" w:rsidR="00E242EB" w:rsidRDefault="00E52EFF" w:rsidP="0091553B">
      <w:pPr>
        <w:widowControl/>
        <w:rPr>
          <w:color w:val="000000" w:themeColor="text1"/>
        </w:rPr>
      </w:pPr>
      <w:r>
        <w:rPr>
          <w:color w:val="000000" w:themeColor="text1"/>
        </w:rPr>
        <w:t>Several</w:t>
      </w:r>
      <w:r w:rsidR="00E242EB">
        <w:rPr>
          <w:color w:val="000000" w:themeColor="text1"/>
        </w:rPr>
        <w:t xml:space="preserve"> comments suggested reducing the amount of information </w:t>
      </w:r>
      <w:r w:rsidR="008919B8">
        <w:rPr>
          <w:color w:val="000000" w:themeColor="text1"/>
        </w:rPr>
        <w:t xml:space="preserve">required </w:t>
      </w:r>
      <w:r w:rsidR="00E242EB">
        <w:rPr>
          <w:color w:val="000000" w:themeColor="text1"/>
        </w:rPr>
        <w:t>for related firms, including not requiring the names of all owners of a petitioning firm</w:t>
      </w:r>
      <w:r>
        <w:rPr>
          <w:color w:val="000000" w:themeColor="text1"/>
        </w:rPr>
        <w:t xml:space="preserve"> to be submitted with a Petition</w:t>
      </w:r>
      <w:r w:rsidR="00E242EB">
        <w:rPr>
          <w:color w:val="000000" w:themeColor="text1"/>
        </w:rPr>
        <w:t xml:space="preserve">. </w:t>
      </w:r>
      <w:r w:rsidR="008919B8">
        <w:rPr>
          <w:color w:val="000000" w:themeColor="text1"/>
        </w:rPr>
        <w:t xml:space="preserve"> </w:t>
      </w:r>
      <w:r w:rsidR="00E242EB">
        <w:rPr>
          <w:color w:val="000000" w:themeColor="text1"/>
        </w:rPr>
        <w:t xml:space="preserve">Information regarding related firms is requested to </w:t>
      </w:r>
      <w:r w:rsidR="008919B8">
        <w:rPr>
          <w:color w:val="000000" w:themeColor="text1"/>
        </w:rPr>
        <w:t>en</w:t>
      </w:r>
      <w:r w:rsidR="00E242EB">
        <w:rPr>
          <w:color w:val="000000" w:themeColor="text1"/>
        </w:rPr>
        <w:t xml:space="preserve">sure </w:t>
      </w:r>
      <w:r w:rsidR="008919B8">
        <w:rPr>
          <w:color w:val="000000" w:themeColor="text1"/>
        </w:rPr>
        <w:t xml:space="preserve">any related </w:t>
      </w:r>
      <w:r w:rsidR="00E242EB">
        <w:rPr>
          <w:color w:val="000000" w:themeColor="text1"/>
        </w:rPr>
        <w:t xml:space="preserve">firm </w:t>
      </w:r>
      <w:r w:rsidR="008919B8">
        <w:rPr>
          <w:color w:val="000000" w:themeColor="text1"/>
        </w:rPr>
        <w:t>do</w:t>
      </w:r>
      <w:r>
        <w:rPr>
          <w:color w:val="000000" w:themeColor="text1"/>
        </w:rPr>
        <w:t>es</w:t>
      </w:r>
      <w:r w:rsidR="008919B8">
        <w:rPr>
          <w:color w:val="000000" w:themeColor="text1"/>
        </w:rPr>
        <w:t xml:space="preserve"> </w:t>
      </w:r>
      <w:r w:rsidR="00E242EB">
        <w:rPr>
          <w:color w:val="000000" w:themeColor="text1"/>
        </w:rPr>
        <w:t>not receiv</w:t>
      </w:r>
      <w:r>
        <w:rPr>
          <w:color w:val="000000" w:themeColor="text1"/>
        </w:rPr>
        <w:t>e</w:t>
      </w:r>
      <w:r w:rsidR="00E242EB">
        <w:rPr>
          <w:color w:val="000000" w:themeColor="text1"/>
        </w:rPr>
        <w:t xml:space="preserve"> unjustifiable benefits</w:t>
      </w:r>
      <w:r w:rsidR="008919B8">
        <w:rPr>
          <w:color w:val="000000" w:themeColor="text1"/>
        </w:rPr>
        <w:t xml:space="preserve"> pursuant to the petitioning firm being certified as eligible for the TAAF program</w:t>
      </w:r>
      <w:r w:rsidR="00E242EB">
        <w:rPr>
          <w:color w:val="000000" w:themeColor="text1"/>
        </w:rPr>
        <w:t>.</w:t>
      </w:r>
    </w:p>
    <w:p w14:paraId="3E283754" w14:textId="77777777" w:rsidR="0091553B" w:rsidRDefault="0091553B" w:rsidP="0091553B">
      <w:pPr>
        <w:widowControl/>
        <w:rPr>
          <w:color w:val="000000" w:themeColor="text1"/>
        </w:rPr>
      </w:pPr>
    </w:p>
    <w:p w14:paraId="2A96BD53" w14:textId="6D7860D8" w:rsidR="005C5DE9" w:rsidRPr="00A96B18" w:rsidRDefault="005C5DE9" w:rsidP="0091553B">
      <w:pPr>
        <w:widowControl/>
        <w:rPr>
          <w:color w:val="000000" w:themeColor="text1"/>
        </w:rPr>
      </w:pPr>
      <w:r>
        <w:rPr>
          <w:color w:val="000000" w:themeColor="text1"/>
        </w:rPr>
        <w:t>One comment suggested simplifying the wording of the ED-840P.</w:t>
      </w:r>
      <w:r w:rsidR="008919B8">
        <w:rPr>
          <w:color w:val="000000" w:themeColor="text1"/>
        </w:rPr>
        <w:t xml:space="preserve"> </w:t>
      </w:r>
      <w:r>
        <w:rPr>
          <w:color w:val="000000" w:themeColor="text1"/>
        </w:rPr>
        <w:t xml:space="preserve"> The ED-840P is being revised to simplify the language</w:t>
      </w:r>
      <w:r w:rsidR="008919B8">
        <w:rPr>
          <w:color w:val="000000" w:themeColor="text1"/>
        </w:rPr>
        <w:t xml:space="preserve"> in several areas</w:t>
      </w:r>
      <w:r>
        <w:rPr>
          <w:color w:val="000000" w:themeColor="text1"/>
        </w:rPr>
        <w:t>.</w:t>
      </w:r>
    </w:p>
    <w:p w14:paraId="1926300B" w14:textId="77777777" w:rsidR="008A155F" w:rsidRDefault="008A155F" w:rsidP="00A91567">
      <w:pPr>
        <w:widowControl/>
      </w:pPr>
    </w:p>
    <w:p w14:paraId="26964AC2" w14:textId="5A3E2764" w:rsidR="008A155F" w:rsidRDefault="008919B8" w:rsidP="00A91567">
      <w:pPr>
        <w:widowControl/>
      </w:pPr>
      <w:bookmarkStart w:id="1" w:name="_Hlk6388298"/>
      <w:r>
        <w:t>Lastly,</w:t>
      </w:r>
      <w:r w:rsidR="009615A8">
        <w:t xml:space="preserve"> </w:t>
      </w:r>
      <w:r w:rsidR="00E52EFF">
        <w:t>several</w:t>
      </w:r>
      <w:r>
        <w:t xml:space="preserve"> </w:t>
      </w:r>
      <w:r w:rsidR="009615A8">
        <w:t>comments proposed changing TAAF program requirements mandated by the</w:t>
      </w:r>
      <w:r w:rsidR="008A155F">
        <w:t xml:space="preserve"> Trade Act.</w:t>
      </w:r>
      <w:r w:rsidR="009615A8">
        <w:t xml:space="preserve"> </w:t>
      </w:r>
      <w:r w:rsidR="008A155F">
        <w:t xml:space="preserve"> </w:t>
      </w:r>
      <w:r w:rsidR="00FE75DB">
        <w:t>Because tho</w:t>
      </w:r>
      <w:r w:rsidR="00115264">
        <w:t xml:space="preserve">se comments </w:t>
      </w:r>
      <w:r w:rsidR="009615A8">
        <w:t xml:space="preserve">did </w:t>
      </w:r>
      <w:r w:rsidR="00115264">
        <w:t xml:space="preserve">not concern </w:t>
      </w:r>
      <w:r w:rsidR="00E52EFF">
        <w:t>information</w:t>
      </w:r>
      <w:r w:rsidR="00115264">
        <w:t xml:space="preserve"> collection</w:t>
      </w:r>
      <w:r w:rsidR="00E52EFF">
        <w:t>s</w:t>
      </w:r>
      <w:r w:rsidR="00115264">
        <w:t xml:space="preserve"> </w:t>
      </w:r>
      <w:r w:rsidR="00BB5ED8">
        <w:t>or</w:t>
      </w:r>
      <w:r w:rsidR="00115264">
        <w:t xml:space="preserve"> </w:t>
      </w:r>
      <w:r w:rsidR="009615A8">
        <w:t xml:space="preserve">Form </w:t>
      </w:r>
      <w:r w:rsidR="00115264">
        <w:t xml:space="preserve">ED-840P, they </w:t>
      </w:r>
      <w:r w:rsidR="009615A8">
        <w:t xml:space="preserve">are not </w:t>
      </w:r>
      <w:r w:rsidR="00115264">
        <w:t>addressed</w:t>
      </w:r>
      <w:r w:rsidR="009615A8">
        <w:t xml:space="preserve"> here</w:t>
      </w:r>
      <w:r w:rsidR="0091553B">
        <w:t>.</w:t>
      </w:r>
    </w:p>
    <w:bookmarkEnd w:id="1"/>
    <w:p w14:paraId="2A7D5E45" w14:textId="77777777" w:rsidR="008A155F" w:rsidRDefault="008A155F" w:rsidP="00A91567">
      <w:pPr>
        <w:widowControl/>
      </w:pPr>
    </w:p>
    <w:p w14:paraId="14FBEFCA" w14:textId="77777777" w:rsidR="00861A51" w:rsidRDefault="00861A51" w:rsidP="00A91567">
      <w:pPr>
        <w:widowControl/>
      </w:pPr>
    </w:p>
    <w:p w14:paraId="25938052" w14:textId="46312DE1" w:rsidR="00136E5A" w:rsidRDefault="00136E5A" w:rsidP="0091553B">
      <w:pPr>
        <w:keepNext/>
        <w:widowControl/>
      </w:pPr>
      <w:r>
        <w:rPr>
          <w:b/>
          <w:bCs/>
        </w:rPr>
        <w:t xml:space="preserve">9.  </w:t>
      </w:r>
      <w:r>
        <w:rPr>
          <w:b/>
          <w:bCs/>
          <w:u w:val="single"/>
        </w:rPr>
        <w:t>Explain any decisions to provide payments or gifts to respondents, other than remuneration of contractors or grantees</w:t>
      </w:r>
      <w:r>
        <w:rPr>
          <w:b/>
          <w:bCs/>
        </w:rPr>
        <w:t>.</w:t>
      </w:r>
    </w:p>
    <w:p w14:paraId="26AE819D" w14:textId="77777777" w:rsidR="00136E5A" w:rsidRDefault="00136E5A" w:rsidP="0091553B">
      <w:pPr>
        <w:keepNext/>
        <w:widowControl/>
      </w:pPr>
    </w:p>
    <w:p w14:paraId="5D48A064" w14:textId="1D7A1E04" w:rsidR="00561546" w:rsidRPr="0067051C" w:rsidRDefault="00561546" w:rsidP="00A91567">
      <w:pPr>
        <w:widowControl/>
      </w:pPr>
      <w:r w:rsidRPr="0067051C">
        <w:t xml:space="preserve">No gifts or payments are made to any respondent, other than </w:t>
      </w:r>
      <w:r>
        <w:t>disbursements of cooperative agreement funds</w:t>
      </w:r>
      <w:r w:rsidRPr="0067051C">
        <w:t xml:space="preserve"> made by EDA to </w:t>
      </w:r>
      <w:r>
        <w:t>recipients</w:t>
      </w:r>
      <w:r w:rsidR="00A96B18">
        <w:t xml:space="preserve"> to eligible firms</w:t>
      </w:r>
      <w:r w:rsidRPr="0067051C">
        <w:t xml:space="preserve"> under the </w:t>
      </w:r>
      <w:r>
        <w:t>TAAF</w:t>
      </w:r>
      <w:r w:rsidRPr="0067051C">
        <w:t xml:space="preserve"> </w:t>
      </w:r>
      <w:r>
        <w:t>P</w:t>
      </w:r>
      <w:r w:rsidRPr="0067051C">
        <w:t>rogram.</w:t>
      </w:r>
    </w:p>
    <w:p w14:paraId="4E5810E1" w14:textId="77777777" w:rsidR="003942EA" w:rsidRDefault="003942EA" w:rsidP="00A91567">
      <w:pPr>
        <w:widowControl/>
      </w:pPr>
    </w:p>
    <w:p w14:paraId="17C8F9B1" w14:textId="77777777" w:rsidR="00D640F6" w:rsidRDefault="00D640F6" w:rsidP="00A91567">
      <w:pPr>
        <w:widowControl/>
      </w:pPr>
    </w:p>
    <w:p w14:paraId="141FBA9E" w14:textId="40C03C9C" w:rsidR="00136E5A" w:rsidRDefault="00136E5A" w:rsidP="0091553B">
      <w:pPr>
        <w:keepNext/>
        <w:widowControl/>
      </w:pPr>
      <w:r>
        <w:rPr>
          <w:b/>
          <w:bCs/>
        </w:rPr>
        <w:t xml:space="preserve">10.  </w:t>
      </w:r>
      <w:r>
        <w:rPr>
          <w:b/>
          <w:bCs/>
          <w:u w:val="single"/>
        </w:rPr>
        <w:t>Describe any assurance of confidentiality provided to respondents and the basis for assurance in statute, regulation, or agency policy</w:t>
      </w:r>
      <w:r>
        <w:rPr>
          <w:b/>
          <w:bCs/>
        </w:rPr>
        <w:t>.</w:t>
      </w:r>
    </w:p>
    <w:p w14:paraId="20470589" w14:textId="77777777" w:rsidR="00136E5A" w:rsidRDefault="00136E5A" w:rsidP="0091553B">
      <w:pPr>
        <w:keepNext/>
        <w:widowControl/>
      </w:pPr>
    </w:p>
    <w:p w14:paraId="5FAC0CD8" w14:textId="04F7AF12" w:rsidR="00136E5A" w:rsidRPr="00B167A8" w:rsidRDefault="00A96B18" w:rsidP="00A91567">
      <w:pPr>
        <w:widowControl/>
      </w:pPr>
      <w:r>
        <w:rPr>
          <w:color w:val="000000"/>
          <w:shd w:val="clear" w:color="auto" w:fill="FFFFFF"/>
        </w:rPr>
        <w:t xml:space="preserve">Petitions and Adjustment Proposals frequently include confidential commercial information. </w:t>
      </w:r>
      <w:r w:rsidR="00106E5B">
        <w:rPr>
          <w:color w:val="000000"/>
          <w:shd w:val="clear" w:color="auto" w:fill="FFFFFF"/>
        </w:rPr>
        <w:t xml:space="preserve">As required under </w:t>
      </w:r>
      <w:r w:rsidR="00106E5B" w:rsidRPr="00A96B18">
        <w:rPr>
          <w:color w:val="000000"/>
          <w:shd w:val="clear" w:color="auto" w:fill="FFFFFF"/>
        </w:rPr>
        <w:t>1</w:t>
      </w:r>
      <w:r w:rsidR="00106E5B">
        <w:rPr>
          <w:color w:val="000000"/>
          <w:shd w:val="clear" w:color="auto" w:fill="FFFFFF"/>
        </w:rPr>
        <w:t>3</w:t>
      </w:r>
      <w:r w:rsidR="00106E5B" w:rsidRPr="00A96B18">
        <w:rPr>
          <w:color w:val="000000"/>
          <w:shd w:val="clear" w:color="auto" w:fill="FFFFFF"/>
        </w:rPr>
        <w:t xml:space="preserve"> C</w:t>
      </w:r>
      <w:r w:rsidR="00106E5B">
        <w:rPr>
          <w:color w:val="000000"/>
          <w:shd w:val="clear" w:color="auto" w:fill="FFFFFF"/>
        </w:rPr>
        <w:t>.</w:t>
      </w:r>
      <w:r w:rsidR="00106E5B" w:rsidRPr="00A96B18">
        <w:rPr>
          <w:color w:val="000000"/>
          <w:shd w:val="clear" w:color="auto" w:fill="FFFFFF"/>
        </w:rPr>
        <w:t>F</w:t>
      </w:r>
      <w:r w:rsidR="00106E5B">
        <w:rPr>
          <w:color w:val="000000"/>
          <w:shd w:val="clear" w:color="auto" w:fill="FFFFFF"/>
        </w:rPr>
        <w:t>.</w:t>
      </w:r>
      <w:r w:rsidR="00106E5B" w:rsidRPr="00A96B18">
        <w:rPr>
          <w:color w:val="000000"/>
          <w:shd w:val="clear" w:color="auto" w:fill="FFFFFF"/>
        </w:rPr>
        <w:t>R</w:t>
      </w:r>
      <w:r w:rsidR="00106E5B">
        <w:rPr>
          <w:color w:val="000000"/>
          <w:shd w:val="clear" w:color="auto" w:fill="FFFFFF"/>
        </w:rPr>
        <w:t>. §</w:t>
      </w:r>
      <w:r w:rsidR="00106E5B" w:rsidRPr="00A96B18">
        <w:rPr>
          <w:color w:val="000000"/>
          <w:shd w:val="clear" w:color="auto" w:fill="FFFFFF"/>
        </w:rPr>
        <w:t xml:space="preserve"> </w:t>
      </w:r>
      <w:r w:rsidR="00106E5B">
        <w:rPr>
          <w:color w:val="000000"/>
          <w:shd w:val="clear" w:color="auto" w:fill="FFFFFF"/>
        </w:rPr>
        <w:t xml:space="preserve">315.3, </w:t>
      </w:r>
      <w:r w:rsidR="00B167A8" w:rsidRPr="00A96B18">
        <w:rPr>
          <w:color w:val="000000"/>
          <w:shd w:val="clear" w:color="auto" w:fill="FFFFFF"/>
        </w:rPr>
        <w:t xml:space="preserve">EDA will follow the </w:t>
      </w:r>
      <w:r w:rsidR="00106E5B">
        <w:rPr>
          <w:color w:val="000000"/>
          <w:shd w:val="clear" w:color="auto" w:fill="FFFFFF"/>
        </w:rPr>
        <w:t xml:space="preserve">Department of Commerce </w:t>
      </w:r>
      <w:r w:rsidR="00B167A8" w:rsidRPr="00A96B18">
        <w:rPr>
          <w:color w:val="000000"/>
          <w:shd w:val="clear" w:color="auto" w:fill="FFFFFF"/>
        </w:rPr>
        <w:t xml:space="preserve">procedures set forth </w:t>
      </w:r>
      <w:r>
        <w:rPr>
          <w:color w:val="000000"/>
          <w:shd w:val="clear" w:color="auto" w:fill="FFFFFF"/>
        </w:rPr>
        <w:t>at</w:t>
      </w:r>
      <w:r w:rsidR="00B167A8" w:rsidRPr="00A96B18">
        <w:rPr>
          <w:color w:val="000000"/>
          <w:shd w:val="clear" w:color="auto" w:fill="FFFFFF"/>
        </w:rPr>
        <w:t xml:space="preserve"> 15 C</w:t>
      </w:r>
      <w:r>
        <w:rPr>
          <w:color w:val="000000"/>
          <w:shd w:val="clear" w:color="auto" w:fill="FFFFFF"/>
        </w:rPr>
        <w:t>.</w:t>
      </w:r>
      <w:r w:rsidR="00B167A8" w:rsidRPr="00A96B18">
        <w:rPr>
          <w:color w:val="000000"/>
          <w:shd w:val="clear" w:color="auto" w:fill="FFFFFF"/>
        </w:rPr>
        <w:t>F</w:t>
      </w:r>
      <w:r>
        <w:rPr>
          <w:color w:val="000000"/>
          <w:shd w:val="clear" w:color="auto" w:fill="FFFFFF"/>
        </w:rPr>
        <w:t>.</w:t>
      </w:r>
      <w:r w:rsidR="00B167A8" w:rsidRPr="00A96B18">
        <w:rPr>
          <w:color w:val="000000"/>
          <w:shd w:val="clear" w:color="auto" w:fill="FFFFFF"/>
        </w:rPr>
        <w:t>R</w:t>
      </w:r>
      <w:r>
        <w:rPr>
          <w:color w:val="000000"/>
          <w:shd w:val="clear" w:color="auto" w:fill="FFFFFF"/>
        </w:rPr>
        <w:t>. §</w:t>
      </w:r>
      <w:r w:rsidR="00B167A8" w:rsidRPr="00A96B18">
        <w:rPr>
          <w:color w:val="000000"/>
          <w:shd w:val="clear" w:color="auto" w:fill="FFFFFF"/>
        </w:rPr>
        <w:t xml:space="preserve"> 4.9 for the submission of </w:t>
      </w:r>
      <w:r>
        <w:rPr>
          <w:color w:val="000000"/>
          <w:shd w:val="clear" w:color="auto" w:fill="FFFFFF"/>
        </w:rPr>
        <w:t>c</w:t>
      </w:r>
      <w:r w:rsidR="00B167A8" w:rsidRPr="00A96B18">
        <w:rPr>
          <w:color w:val="000000"/>
          <w:shd w:val="clear" w:color="auto" w:fill="FFFFFF"/>
        </w:rPr>
        <w:t xml:space="preserve">onfidential </w:t>
      </w:r>
      <w:r>
        <w:rPr>
          <w:color w:val="000000"/>
          <w:shd w:val="clear" w:color="auto" w:fill="FFFFFF"/>
        </w:rPr>
        <w:t>commercial</w:t>
      </w:r>
      <w:r w:rsidR="00B167A8" w:rsidRPr="00A96B18">
        <w:rPr>
          <w:color w:val="000000"/>
          <w:shd w:val="clear" w:color="auto" w:fill="FFFFFF"/>
        </w:rPr>
        <w:t xml:space="preserve"> </w:t>
      </w:r>
      <w:r>
        <w:rPr>
          <w:color w:val="000000"/>
          <w:shd w:val="clear" w:color="auto" w:fill="FFFFFF"/>
        </w:rPr>
        <w:t>i</w:t>
      </w:r>
      <w:r w:rsidR="00B167A8" w:rsidRPr="00A96B18">
        <w:rPr>
          <w:color w:val="000000"/>
          <w:shd w:val="clear" w:color="auto" w:fill="FFFFFF"/>
        </w:rPr>
        <w:t xml:space="preserve">nformation. </w:t>
      </w:r>
      <w:r>
        <w:rPr>
          <w:color w:val="000000"/>
          <w:shd w:val="clear" w:color="auto" w:fill="FFFFFF"/>
        </w:rPr>
        <w:t xml:space="preserve"> Respondents</w:t>
      </w:r>
      <w:r w:rsidR="00B167A8" w:rsidRPr="00A96B18">
        <w:rPr>
          <w:color w:val="000000"/>
          <w:shd w:val="clear" w:color="auto" w:fill="FFFFFF"/>
        </w:rPr>
        <w:t xml:space="preserve"> </w:t>
      </w:r>
      <w:r>
        <w:rPr>
          <w:color w:val="000000"/>
          <w:shd w:val="clear" w:color="auto" w:fill="FFFFFF"/>
        </w:rPr>
        <w:t>must</w:t>
      </w:r>
      <w:r w:rsidR="00B167A8" w:rsidRPr="00A96B18">
        <w:rPr>
          <w:color w:val="000000"/>
          <w:shd w:val="clear" w:color="auto" w:fill="FFFFFF"/>
        </w:rPr>
        <w:t xml:space="preserve"> clearly mark and designate as confidential any </w:t>
      </w:r>
      <w:r>
        <w:rPr>
          <w:color w:val="000000"/>
          <w:shd w:val="clear" w:color="auto" w:fill="FFFFFF"/>
        </w:rPr>
        <w:t>c</w:t>
      </w:r>
      <w:r w:rsidR="00B167A8" w:rsidRPr="00A96B18">
        <w:rPr>
          <w:color w:val="000000"/>
          <w:shd w:val="clear" w:color="auto" w:fill="FFFFFF"/>
        </w:rPr>
        <w:t xml:space="preserve">onfidential </w:t>
      </w:r>
      <w:r>
        <w:rPr>
          <w:color w:val="000000"/>
          <w:shd w:val="clear" w:color="auto" w:fill="FFFFFF"/>
        </w:rPr>
        <w:t>commercial</w:t>
      </w:r>
      <w:r w:rsidR="00B167A8" w:rsidRPr="00A96B18">
        <w:rPr>
          <w:color w:val="000000"/>
          <w:shd w:val="clear" w:color="auto" w:fill="FFFFFF"/>
        </w:rPr>
        <w:t xml:space="preserve"> </w:t>
      </w:r>
      <w:r>
        <w:rPr>
          <w:color w:val="000000"/>
          <w:shd w:val="clear" w:color="auto" w:fill="FFFFFF"/>
        </w:rPr>
        <w:t>i</w:t>
      </w:r>
      <w:r w:rsidR="00B167A8" w:rsidRPr="00A96B18">
        <w:rPr>
          <w:color w:val="000000"/>
          <w:shd w:val="clear" w:color="auto" w:fill="FFFFFF"/>
        </w:rPr>
        <w:t>nformation</w:t>
      </w:r>
      <w:r w:rsidR="00EE3F31" w:rsidRPr="00B167A8">
        <w:t>.</w:t>
      </w:r>
    </w:p>
    <w:p w14:paraId="66759D86" w14:textId="77777777" w:rsidR="00136E5A" w:rsidRDefault="00136E5A" w:rsidP="00A91567">
      <w:pPr>
        <w:widowControl/>
      </w:pPr>
    </w:p>
    <w:p w14:paraId="4928FC77" w14:textId="77777777" w:rsidR="00D640F6" w:rsidRDefault="00D640F6" w:rsidP="00A91567">
      <w:pPr>
        <w:widowControl/>
      </w:pPr>
    </w:p>
    <w:p w14:paraId="446A3274" w14:textId="77777777" w:rsidR="00136E5A" w:rsidRDefault="00136E5A" w:rsidP="0091553B">
      <w:pPr>
        <w:keepNext/>
        <w:widowControl/>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14:paraId="391E6216" w14:textId="77777777" w:rsidR="008A4468" w:rsidRDefault="008A4468" w:rsidP="0091553B">
      <w:pPr>
        <w:keepNext/>
        <w:widowControl/>
      </w:pPr>
    </w:p>
    <w:p w14:paraId="59D206F5" w14:textId="3106F5E9" w:rsidR="001201E5" w:rsidRDefault="00A96B18" w:rsidP="00A91567">
      <w:pPr>
        <w:widowControl/>
      </w:pPr>
      <w:r>
        <w:t>Respondent f</w:t>
      </w:r>
      <w:r w:rsidR="001201E5" w:rsidRPr="00DE1641">
        <w:t xml:space="preserve">irms generally consider their customer lists </w:t>
      </w:r>
      <w:r w:rsidR="00106E5B">
        <w:t>to be</w:t>
      </w:r>
      <w:r w:rsidR="001201E5" w:rsidRPr="00DE1641">
        <w:t xml:space="preserve"> sensitive in nature.  Firms submitting an</w:t>
      </w:r>
      <w:r w:rsidR="00D640F6">
        <w:t xml:space="preserve"> </w:t>
      </w:r>
      <w:r w:rsidR="001201E5" w:rsidRPr="00DE1641">
        <w:t xml:space="preserve">ED-840P, however, must include a short list of customers, </w:t>
      </w:r>
      <w:r w:rsidR="001201E5">
        <w:t xml:space="preserve">including </w:t>
      </w:r>
      <w:r w:rsidR="001201E5" w:rsidRPr="00DE1641">
        <w:t xml:space="preserve">buyer names and </w:t>
      </w:r>
      <w:r w:rsidR="001201E5">
        <w:t>contact information</w:t>
      </w:r>
      <w:r w:rsidR="001201E5" w:rsidRPr="00DE1641">
        <w:t>, which have reduced their purchases from the petitioning firm.  This information must be obtained in order for EDA</w:t>
      </w:r>
      <w:r w:rsidR="00106E5B">
        <w:t xml:space="preserve"> to determine whether</w:t>
      </w:r>
      <w:r w:rsidR="001201E5" w:rsidRPr="00DE1641">
        <w:t xml:space="preserve"> </w:t>
      </w:r>
      <w:r w:rsidR="00106E5B">
        <w:t>i</w:t>
      </w:r>
      <w:r w:rsidR="00106E5B" w:rsidRPr="00106E5B">
        <w:t xml:space="preserve">ncreased imports </w:t>
      </w:r>
      <w:r w:rsidR="00106E5B">
        <w:t xml:space="preserve">have </w:t>
      </w:r>
      <w:r w:rsidR="00106E5B" w:rsidRPr="00106E5B">
        <w:t>contributed importantly</w:t>
      </w:r>
      <w:r w:rsidR="00106E5B">
        <w:t xml:space="preserve"> to a firm’s </w:t>
      </w:r>
      <w:r w:rsidR="00106E5B" w:rsidRPr="00106E5B">
        <w:t xml:space="preserve">decrease </w:t>
      </w:r>
      <w:r w:rsidR="00106E5B">
        <w:t>(</w:t>
      </w:r>
      <w:r w:rsidR="00106E5B" w:rsidRPr="00106E5B">
        <w:t>or threatened decrease</w:t>
      </w:r>
      <w:r w:rsidR="00106E5B">
        <w:t>)</w:t>
      </w:r>
      <w:r w:rsidR="00106E5B" w:rsidRPr="00106E5B">
        <w:t xml:space="preserve"> in employment and </w:t>
      </w:r>
      <w:r w:rsidR="00106E5B">
        <w:t>a firm’s</w:t>
      </w:r>
      <w:r w:rsidR="00106E5B" w:rsidRPr="00106E5B">
        <w:t xml:space="preserve"> decline in sales and/or production</w:t>
      </w:r>
      <w:r w:rsidR="00106E5B">
        <w:t xml:space="preserve">, as required under the Trade Act </w:t>
      </w:r>
      <w:r w:rsidR="00106E5B" w:rsidRPr="005C6B9E">
        <w:t xml:space="preserve">(19 U.S.C. </w:t>
      </w:r>
      <w:r w:rsidR="00106E5B" w:rsidRPr="008F7753">
        <w:t xml:space="preserve">§ </w:t>
      </w:r>
      <w:r w:rsidR="00106E5B">
        <w:t xml:space="preserve">2341(c)(1)(C)).  </w:t>
      </w:r>
      <w:r w:rsidR="008A4468">
        <w:t>Declines</w:t>
      </w:r>
      <w:r w:rsidR="001201E5" w:rsidRPr="00DE1641">
        <w:t xml:space="preserve"> in employment and sales or production due to other factors (e.g., loss of business to another domestic producer of similar items or losses due to a general reduction in the demand for the generic products produced by the petitioning firm) would not quali</w:t>
      </w:r>
      <w:r w:rsidR="00E0306C">
        <w:t xml:space="preserve">fy a firm for certification.  The </w:t>
      </w:r>
      <w:r>
        <w:t>TAACs</w:t>
      </w:r>
      <w:r w:rsidR="001201E5" w:rsidRPr="00DE1641">
        <w:t xml:space="preserve"> </w:t>
      </w:r>
      <w:r w:rsidR="00106E5B">
        <w:t xml:space="preserve">generally </w:t>
      </w:r>
      <w:r w:rsidR="001201E5" w:rsidRPr="00DE1641">
        <w:t xml:space="preserve">contact at least </w:t>
      </w:r>
      <w:r w:rsidR="00E0306C">
        <w:t xml:space="preserve">two </w:t>
      </w:r>
      <w:r w:rsidR="001201E5" w:rsidRPr="00DE1641">
        <w:t xml:space="preserve">customers of a </w:t>
      </w:r>
      <w:r w:rsidR="001201E5">
        <w:t xml:space="preserve">petitioning </w:t>
      </w:r>
      <w:r w:rsidR="001201E5" w:rsidRPr="00DE1641">
        <w:t xml:space="preserve">firm and ask </w:t>
      </w:r>
      <w:r w:rsidR="00106E5B">
        <w:t xml:space="preserve">the customers </w:t>
      </w:r>
      <w:r w:rsidR="001201E5" w:rsidRPr="00DE1641">
        <w:t xml:space="preserve">if they have replaced their purchases of goods </w:t>
      </w:r>
      <w:r w:rsidR="009D039F">
        <w:t xml:space="preserve">and/or services </w:t>
      </w:r>
      <w:r w:rsidR="001201E5" w:rsidRPr="00DE1641">
        <w:t>from the petitioning firm with imported goods</w:t>
      </w:r>
      <w:r w:rsidR="009D039F">
        <w:t xml:space="preserve"> and/or services</w:t>
      </w:r>
      <w:r w:rsidR="001201E5" w:rsidRPr="00DE1641">
        <w:t>.</w:t>
      </w:r>
    </w:p>
    <w:p w14:paraId="6961CE6D" w14:textId="77777777" w:rsidR="00136E5A" w:rsidRDefault="00136E5A" w:rsidP="00A91567">
      <w:pPr>
        <w:widowControl/>
      </w:pPr>
    </w:p>
    <w:p w14:paraId="68391B3D" w14:textId="77777777" w:rsidR="00D640F6" w:rsidRDefault="00D640F6" w:rsidP="00A91567">
      <w:pPr>
        <w:widowControl/>
      </w:pPr>
    </w:p>
    <w:p w14:paraId="71D6E5B9" w14:textId="77777777" w:rsidR="00136E5A" w:rsidRDefault="00136E5A" w:rsidP="0091553B">
      <w:pPr>
        <w:keepNext/>
        <w:widowControl/>
      </w:pPr>
      <w:r>
        <w:rPr>
          <w:b/>
          <w:bCs/>
        </w:rPr>
        <w:t xml:space="preserve">12.  </w:t>
      </w:r>
      <w:r>
        <w:rPr>
          <w:b/>
          <w:bCs/>
          <w:u w:val="single"/>
        </w:rPr>
        <w:t>Provide an estimate in hours of the burden of the collection of information</w:t>
      </w:r>
      <w:r>
        <w:rPr>
          <w:b/>
          <w:bCs/>
        </w:rPr>
        <w:t>.</w:t>
      </w:r>
    </w:p>
    <w:p w14:paraId="5C37DFFE" w14:textId="77777777" w:rsidR="00605CAF" w:rsidRDefault="00605CAF" w:rsidP="0091553B">
      <w:pPr>
        <w:keepNext/>
        <w:widowControl/>
        <w:ind w:left="720" w:hanging="720"/>
        <w:rPr>
          <w:i/>
          <w:u w:val="single"/>
        </w:rPr>
      </w:pPr>
    </w:p>
    <w:p w14:paraId="083097DF" w14:textId="3431D3B0" w:rsidR="00247125" w:rsidRDefault="00605CAF" w:rsidP="00E95D0F">
      <w:pPr>
        <w:widowControl/>
        <w:ind w:left="720" w:hanging="720"/>
      </w:pPr>
      <w:r w:rsidRPr="00605CAF">
        <w:t>(a)</w:t>
      </w:r>
      <w:r w:rsidR="0091553B">
        <w:tab/>
      </w:r>
      <w:r w:rsidR="00AA5988" w:rsidRPr="00A804A3">
        <w:rPr>
          <w:i/>
          <w:u w:val="single"/>
        </w:rPr>
        <w:t xml:space="preserve">Form </w:t>
      </w:r>
      <w:r w:rsidR="00F82993">
        <w:rPr>
          <w:i/>
          <w:u w:val="single"/>
        </w:rPr>
        <w:t>ED-840</w:t>
      </w:r>
      <w:r w:rsidR="00AA5988" w:rsidRPr="00A804A3">
        <w:rPr>
          <w:i/>
          <w:u w:val="single"/>
        </w:rPr>
        <w:t>P (Petition by a Firm for Certification of Eligibility to Apply for Trade Adjustment Assistance)</w:t>
      </w:r>
      <w:r w:rsidR="00AA5988" w:rsidRPr="00A804A3">
        <w:t>:  EDA estimate</w:t>
      </w:r>
      <w:r w:rsidR="00CA148C">
        <w:t>s</w:t>
      </w:r>
      <w:r w:rsidR="00AA5988" w:rsidRPr="00A804A3">
        <w:t xml:space="preserve"> that it will take the average respondent approximately </w:t>
      </w:r>
      <w:r w:rsidR="00115264">
        <w:t>53</w:t>
      </w:r>
      <w:r w:rsidR="00354343">
        <w:t xml:space="preserve"> </w:t>
      </w:r>
      <w:r w:rsidR="00AA5988" w:rsidRPr="00A804A3">
        <w:t xml:space="preserve">hours to complete </w:t>
      </w:r>
      <w:r w:rsidR="00E95D0F">
        <w:t>a P</w:t>
      </w:r>
      <w:r w:rsidR="00AA5988" w:rsidRPr="00A804A3">
        <w:t xml:space="preserve">etition.  This burden estimate </w:t>
      </w:r>
      <w:r w:rsidR="001A0721">
        <w:t>has</w:t>
      </w:r>
      <w:r w:rsidR="00354343">
        <w:t xml:space="preserve"> increased </w:t>
      </w:r>
      <w:r w:rsidR="00E95D0F">
        <w:t>in response to public</w:t>
      </w:r>
      <w:r w:rsidR="00354343">
        <w:t xml:space="preserve"> comments</w:t>
      </w:r>
      <w:r w:rsidR="001A0721">
        <w:t xml:space="preserve"> in response to the 60-day notice,</w:t>
      </w:r>
      <w:r w:rsidR="00E95D0F">
        <w:t xml:space="preserve"> using information provided by the TAACs</w:t>
      </w:r>
      <w:r w:rsidR="00354343">
        <w:t xml:space="preserve">. </w:t>
      </w:r>
      <w:r w:rsidR="007846BE">
        <w:t xml:space="preserve"> </w:t>
      </w:r>
      <w:r w:rsidR="00AA5988" w:rsidRPr="00A804A3">
        <w:t>The estimated cost burden to a petitioning firm is $</w:t>
      </w:r>
      <w:r w:rsidR="00CD3B34">
        <w:t>3,366.56</w:t>
      </w:r>
      <w:r w:rsidR="00AA5988" w:rsidRPr="00A804A3">
        <w:t xml:space="preserve">.  </w:t>
      </w:r>
      <w:r w:rsidR="00E95D0F">
        <w:t>This figure is calculated using</w:t>
      </w:r>
      <w:r w:rsidR="00AA5988" w:rsidRPr="00A804A3">
        <w:t xml:space="preserve"> $</w:t>
      </w:r>
      <w:r w:rsidR="008A155F">
        <w:t>59</w:t>
      </w:r>
      <w:r w:rsidR="004B783B">
        <w:t>.86</w:t>
      </w:r>
      <w:r w:rsidR="008A155F" w:rsidRPr="00A804A3">
        <w:t xml:space="preserve"> </w:t>
      </w:r>
      <w:r w:rsidR="00AA5988" w:rsidRPr="00A804A3">
        <w:t>per hour as the estimate for the average cost of professional and support staff involved in preparing the petition</w:t>
      </w:r>
      <w:r w:rsidR="004B783B">
        <w:t xml:space="preserve"> based on data from the </w:t>
      </w:r>
      <w:r w:rsidR="00354343">
        <w:t xml:space="preserve">December 2018 </w:t>
      </w:r>
      <w:r w:rsidR="004B783B">
        <w:t>BLS Employer Costs for Employee Compensation of</w:t>
      </w:r>
      <w:r w:rsidR="00AA5988" w:rsidRPr="00A804A3">
        <w:t xml:space="preserve"> </w:t>
      </w:r>
      <w:r w:rsidR="00363B50">
        <w:t>m</w:t>
      </w:r>
      <w:r w:rsidR="004B783B">
        <w:t>anagement, professional, and related occupations.</w:t>
      </w:r>
      <w:r w:rsidR="007D6526">
        <w:t xml:space="preserve"> </w:t>
      </w:r>
      <w:r w:rsidR="004B783B">
        <w:t xml:space="preserve"> </w:t>
      </w:r>
      <w:r w:rsidR="001A0721">
        <w:t xml:space="preserve">This figure also includes </w:t>
      </w:r>
      <w:r w:rsidR="00AA5988" w:rsidRPr="00A804A3">
        <w:t>EDA</w:t>
      </w:r>
      <w:r w:rsidR="001A0721">
        <w:t>’s</w:t>
      </w:r>
      <w:r w:rsidR="00AA5988" w:rsidRPr="00A804A3">
        <w:t xml:space="preserve"> estimate</w:t>
      </w:r>
      <w:r w:rsidR="001A0721">
        <w:t xml:space="preserve"> of</w:t>
      </w:r>
      <w:r w:rsidR="00AA5988" w:rsidRPr="00A804A3">
        <w:t xml:space="preserve"> total non-labor </w:t>
      </w:r>
      <w:r w:rsidR="008F46F2">
        <w:t>costs</w:t>
      </w:r>
      <w:r w:rsidR="001A0721">
        <w:t xml:space="preserve"> in the amount of </w:t>
      </w:r>
      <w:r w:rsidR="001A0721" w:rsidRPr="00A804A3">
        <w:t>$</w:t>
      </w:r>
      <w:r w:rsidR="001A0721">
        <w:t>193.98</w:t>
      </w:r>
      <w:r w:rsidR="001A0721" w:rsidRPr="00A804A3">
        <w:t xml:space="preserve"> per response</w:t>
      </w:r>
      <w:r w:rsidR="001A0721">
        <w:t xml:space="preserve">, </w:t>
      </w:r>
      <w:r w:rsidR="008F46F2">
        <w:t>which include</w:t>
      </w:r>
      <w:r w:rsidR="001A0721">
        <w:t>s</w:t>
      </w:r>
      <w:r w:rsidR="008F46F2">
        <w:t xml:space="preserve"> equipment, suppl</w:t>
      </w:r>
      <w:r w:rsidR="001A0721">
        <w:t>y</w:t>
      </w:r>
      <w:r w:rsidR="008F46F2">
        <w:t xml:space="preserve">, and internet </w:t>
      </w:r>
      <w:r w:rsidR="001A0721">
        <w:t>costs</w:t>
      </w:r>
      <w:r w:rsidR="00AA5988" w:rsidRPr="00A804A3">
        <w:t xml:space="preserve">.  EDA estimates </w:t>
      </w:r>
      <w:r w:rsidR="00E95D0F">
        <w:t>the agency</w:t>
      </w:r>
      <w:r w:rsidR="00E95D0F" w:rsidRPr="00A804A3">
        <w:t xml:space="preserve"> </w:t>
      </w:r>
      <w:r w:rsidR="00AA5988" w:rsidRPr="00A804A3">
        <w:t xml:space="preserve">will receive </w:t>
      </w:r>
      <w:r w:rsidR="00C078E7">
        <w:t xml:space="preserve">up to </w:t>
      </w:r>
      <w:r w:rsidR="00CD3B34">
        <w:t>150</w:t>
      </w:r>
      <w:r w:rsidR="00AA5988" w:rsidRPr="00A804A3">
        <w:t xml:space="preserve"> petitions annually, for an annual total burden of </w:t>
      </w:r>
      <w:r w:rsidR="00CD3B34">
        <w:t>7,950</w:t>
      </w:r>
      <w:r w:rsidR="004B783B">
        <w:t xml:space="preserve"> </w:t>
      </w:r>
      <w:r w:rsidR="00AA5988" w:rsidRPr="00A804A3">
        <w:t>hours costing $</w:t>
      </w:r>
      <w:r w:rsidR="00CD3B34">
        <w:t>475,887.00</w:t>
      </w:r>
      <w:r w:rsidR="00086C8D">
        <w:t xml:space="preserve"> in labor</w:t>
      </w:r>
      <w:r w:rsidR="00AA5988" w:rsidRPr="00A804A3">
        <w:t>, and</w:t>
      </w:r>
      <w:r w:rsidR="00AA5988">
        <w:t xml:space="preserve"> annual</w:t>
      </w:r>
      <w:r w:rsidR="00AA5988" w:rsidRPr="00A804A3">
        <w:t xml:space="preserve"> non-labor costs at</w:t>
      </w:r>
      <w:r w:rsidR="00247125">
        <w:t xml:space="preserve"> </w:t>
      </w:r>
      <w:r w:rsidR="00354343">
        <w:t>$</w:t>
      </w:r>
      <w:r w:rsidR="00CD3B34">
        <w:t>29,097.00</w:t>
      </w:r>
      <w:r w:rsidR="00AA5988" w:rsidRPr="00A804A3">
        <w:t xml:space="preserve">, for a total </w:t>
      </w:r>
      <w:r w:rsidR="001A0721">
        <w:t xml:space="preserve">estimated </w:t>
      </w:r>
      <w:r w:rsidR="00AA5988" w:rsidRPr="00A804A3">
        <w:t>annual cost of</w:t>
      </w:r>
      <w:r w:rsidR="00354343">
        <w:t xml:space="preserve"> $</w:t>
      </w:r>
      <w:r w:rsidR="00CD3B34">
        <w:t>504,984.00</w:t>
      </w:r>
      <w:r w:rsidR="00B97A85">
        <w:t xml:space="preserve">.  </w:t>
      </w:r>
      <w:r w:rsidR="00AA5988" w:rsidRPr="00F75754">
        <w:t xml:space="preserve"> </w:t>
      </w:r>
      <w:r w:rsidR="00247125">
        <w:t xml:space="preserve">The number of </w:t>
      </w:r>
      <w:r w:rsidR="001A0721">
        <w:t>P</w:t>
      </w:r>
      <w:r w:rsidR="00247125">
        <w:t xml:space="preserve">etitions has been decreased </w:t>
      </w:r>
      <w:r w:rsidR="001A0721">
        <w:t xml:space="preserve">since the last renewal of this information collection </w:t>
      </w:r>
      <w:r w:rsidR="00247125">
        <w:t xml:space="preserve">to reflect the number of </w:t>
      </w:r>
      <w:r w:rsidR="001A0721">
        <w:t>P</w:t>
      </w:r>
      <w:r w:rsidR="00247125">
        <w:t xml:space="preserve">etitions received over the past </w:t>
      </w:r>
      <w:r w:rsidR="00CD3B34">
        <w:t>two</w:t>
      </w:r>
      <w:r w:rsidR="00247125">
        <w:t xml:space="preserve"> years. </w:t>
      </w:r>
      <w:r w:rsidR="007846BE">
        <w:t xml:space="preserve"> </w:t>
      </w:r>
      <w:r w:rsidR="00CD3B34">
        <w:t xml:space="preserve">EDA received approximately 93 </w:t>
      </w:r>
      <w:r w:rsidR="001A0721">
        <w:t>P</w:t>
      </w:r>
      <w:r w:rsidR="00CD3B34">
        <w:t>etitions</w:t>
      </w:r>
      <w:r w:rsidR="00CD3B34" w:rsidRPr="00C42130">
        <w:t xml:space="preserve"> </w:t>
      </w:r>
      <w:r w:rsidR="00CD3B34">
        <w:t xml:space="preserve">during Fiscal Year 2017 and 94 </w:t>
      </w:r>
      <w:r w:rsidR="001A0721">
        <w:t xml:space="preserve">Petitions </w:t>
      </w:r>
      <w:r w:rsidR="00CD3B34">
        <w:t>during Fiscal Year 2018</w:t>
      </w:r>
      <w:r w:rsidR="001A0721">
        <w:t>.</w:t>
      </w:r>
    </w:p>
    <w:p w14:paraId="3C06E708" w14:textId="77777777" w:rsidR="00B97A85" w:rsidRPr="007829D3" w:rsidRDefault="00B97A85" w:rsidP="007846BE">
      <w:pPr>
        <w:widowControl/>
      </w:pPr>
    </w:p>
    <w:p w14:paraId="3E292732" w14:textId="4A21B279" w:rsidR="00AA5988" w:rsidRDefault="007846BE" w:rsidP="007846BE">
      <w:pPr>
        <w:widowControl/>
        <w:ind w:left="720" w:hanging="720"/>
      </w:pPr>
      <w:r w:rsidRPr="007846BE">
        <w:t>(b)</w:t>
      </w:r>
      <w:r w:rsidRPr="007846BE">
        <w:tab/>
      </w:r>
      <w:r w:rsidR="00AA5988">
        <w:rPr>
          <w:i/>
          <w:u w:val="single"/>
        </w:rPr>
        <w:t xml:space="preserve">Adjustment </w:t>
      </w:r>
      <w:r w:rsidR="00AA5988" w:rsidRPr="00810DC9">
        <w:rPr>
          <w:i/>
          <w:u w:val="single"/>
        </w:rPr>
        <w:t>Proposals</w:t>
      </w:r>
      <w:r w:rsidR="00AA5988">
        <w:t>:</w:t>
      </w:r>
      <w:r w:rsidR="00E95D0F" w:rsidDel="00E95D0F">
        <w:t xml:space="preserve"> </w:t>
      </w:r>
      <w:r>
        <w:t xml:space="preserve"> </w:t>
      </w:r>
      <w:r w:rsidR="00AA5988" w:rsidRPr="00A804A3">
        <w:t>EDA</w:t>
      </w:r>
      <w:r w:rsidR="007D6526">
        <w:t xml:space="preserve"> estimates that it will take the average respondent</w:t>
      </w:r>
      <w:r w:rsidR="00AA5988" w:rsidRPr="00A804A3">
        <w:t xml:space="preserve"> 120 hours to complete a</w:t>
      </w:r>
      <w:r w:rsidR="007D6526">
        <w:t>n Adjustment</w:t>
      </w:r>
      <w:r w:rsidR="00AA5988" w:rsidRPr="00A804A3">
        <w:t xml:space="preserve"> </w:t>
      </w:r>
      <w:r w:rsidR="007D6526">
        <w:t>P</w:t>
      </w:r>
      <w:r w:rsidR="00AA5988" w:rsidRPr="00A804A3">
        <w:t>roposal.  The estimated cost burden in preparing a proposal is</w:t>
      </w:r>
      <w:r w:rsidR="00354343">
        <w:t xml:space="preserve"> $</w:t>
      </w:r>
      <w:r w:rsidR="001A0721">
        <w:t>7,</w:t>
      </w:r>
      <w:r w:rsidR="007F68C9">
        <w:t>33</w:t>
      </w:r>
      <w:r w:rsidR="001A0721">
        <w:t>3.20</w:t>
      </w:r>
      <w:r w:rsidR="00AA5988" w:rsidRPr="00A804A3">
        <w:t xml:space="preserve">.  </w:t>
      </w:r>
      <w:r w:rsidR="007D6526">
        <w:t>This figure is calculated using</w:t>
      </w:r>
      <w:r w:rsidR="00AA5988" w:rsidRPr="00A804A3">
        <w:t xml:space="preserve"> </w:t>
      </w:r>
      <w:r w:rsidR="00D51B7E">
        <w:t xml:space="preserve">$59.86 </w:t>
      </w:r>
      <w:r w:rsidR="00AA5988" w:rsidRPr="00A804A3">
        <w:t xml:space="preserve">per hour as the estimate for the average cost of professional and support </w:t>
      </w:r>
      <w:r w:rsidR="0054744F">
        <w:t xml:space="preserve">staff involved in preparing the </w:t>
      </w:r>
      <w:r w:rsidR="00AA5988" w:rsidRPr="00A804A3">
        <w:t>p</w:t>
      </w:r>
      <w:r w:rsidR="0099211C">
        <w:t>roposal</w:t>
      </w:r>
      <w:r w:rsidR="00AA5988" w:rsidRPr="00A804A3">
        <w:t xml:space="preserve"> </w:t>
      </w:r>
      <w:r w:rsidR="007D6526">
        <w:t>based on data from the December 2018 BLS Employer Costs for Employee Compensation of</w:t>
      </w:r>
      <w:r w:rsidR="007D6526" w:rsidRPr="00A804A3">
        <w:t xml:space="preserve"> </w:t>
      </w:r>
      <w:r w:rsidR="007D6526">
        <w:t xml:space="preserve">management, professional, and related occupations. </w:t>
      </w:r>
      <w:r>
        <w:t xml:space="preserve"> </w:t>
      </w:r>
      <w:r w:rsidR="001A0721">
        <w:t xml:space="preserve">This figure also includes </w:t>
      </w:r>
      <w:r w:rsidR="007D6526" w:rsidRPr="00A804A3">
        <w:t>EDA</w:t>
      </w:r>
      <w:r w:rsidR="001A0721">
        <w:t>’s</w:t>
      </w:r>
      <w:r w:rsidR="007D6526" w:rsidRPr="00A804A3">
        <w:t xml:space="preserve"> estimate</w:t>
      </w:r>
      <w:r w:rsidR="001A0721">
        <w:t xml:space="preserve"> of</w:t>
      </w:r>
      <w:r w:rsidR="007D6526" w:rsidRPr="00A804A3">
        <w:t xml:space="preserve"> non-labor costs </w:t>
      </w:r>
      <w:r w:rsidR="001A0721" w:rsidRPr="00A804A3">
        <w:t>at $</w:t>
      </w:r>
      <w:r w:rsidR="001A0721">
        <w:t>150.00</w:t>
      </w:r>
      <w:r w:rsidR="001A0721" w:rsidRPr="00A804A3">
        <w:t xml:space="preserve"> per response</w:t>
      </w:r>
      <w:r w:rsidR="001A0721">
        <w:t xml:space="preserve">, </w:t>
      </w:r>
      <w:r w:rsidR="008F46F2">
        <w:t>which includes equipment, suppl</w:t>
      </w:r>
      <w:r w:rsidR="001A0721">
        <w:t>y</w:t>
      </w:r>
      <w:r w:rsidR="008F46F2">
        <w:t>, and internet</w:t>
      </w:r>
      <w:r w:rsidR="001A0721">
        <w:t xml:space="preserve"> costs</w:t>
      </w:r>
      <w:r w:rsidR="007D6526" w:rsidRPr="00A804A3">
        <w:t>.</w:t>
      </w:r>
      <w:r w:rsidR="00B70E63">
        <w:t xml:space="preserve">  </w:t>
      </w:r>
      <w:r w:rsidR="00AA5988" w:rsidRPr="00A804A3">
        <w:t xml:space="preserve">EDA estimates </w:t>
      </w:r>
      <w:r w:rsidR="001A0721">
        <w:t>that the agency</w:t>
      </w:r>
      <w:r w:rsidR="00AA5988" w:rsidRPr="00A804A3">
        <w:t xml:space="preserve"> will receive </w:t>
      </w:r>
      <w:r w:rsidR="00CD3B34">
        <w:t>150</w:t>
      </w:r>
      <w:r w:rsidR="00AA5988" w:rsidRPr="00A804A3">
        <w:t xml:space="preserve"> </w:t>
      </w:r>
      <w:r w:rsidR="007D6526">
        <w:t>Adjustment P</w:t>
      </w:r>
      <w:r w:rsidR="0099211C">
        <w:t>roposals</w:t>
      </w:r>
      <w:r w:rsidR="00AA5988" w:rsidRPr="00A804A3">
        <w:t xml:space="preserve"> annually, for an annual total burden of</w:t>
      </w:r>
      <w:r w:rsidR="008F3BEB">
        <w:t xml:space="preserve"> </w:t>
      </w:r>
      <w:r w:rsidR="00CD3B34">
        <w:t>18</w:t>
      </w:r>
      <w:r w:rsidR="00354343">
        <w:t>,000</w:t>
      </w:r>
      <w:r w:rsidR="00AA5988" w:rsidRPr="00A804A3">
        <w:t xml:space="preserve"> hours costing </w:t>
      </w:r>
      <w:r w:rsidR="00354343">
        <w:t>$1,</w:t>
      </w:r>
      <w:r w:rsidR="00CD3B34">
        <w:t>077,480</w:t>
      </w:r>
      <w:r w:rsidR="00354343">
        <w:t xml:space="preserve">.00 </w:t>
      </w:r>
      <w:r w:rsidR="003657C2">
        <w:t>in labor</w:t>
      </w:r>
      <w:r w:rsidR="00AA5988" w:rsidRPr="00A804A3">
        <w:t xml:space="preserve"> per year, and annual non-labor costs of</w:t>
      </w:r>
      <w:r w:rsidR="00354343">
        <w:t xml:space="preserve"> $</w:t>
      </w:r>
      <w:r w:rsidR="00CD3B34">
        <w:t>22,500.00</w:t>
      </w:r>
      <w:r w:rsidR="00AA5988" w:rsidRPr="00A804A3">
        <w:t xml:space="preserve">, for a total </w:t>
      </w:r>
      <w:r w:rsidR="001A0721">
        <w:t xml:space="preserve">estimated </w:t>
      </w:r>
      <w:r w:rsidR="00AA5988" w:rsidRPr="00A804A3">
        <w:t>annual cost of</w:t>
      </w:r>
      <w:r w:rsidR="00354343">
        <w:t xml:space="preserve"> $1</w:t>
      </w:r>
      <w:r w:rsidR="00CD3B34">
        <w:t>,099,980.00</w:t>
      </w:r>
      <w:r w:rsidR="00AA5988" w:rsidRPr="00A804A3">
        <w:t>.</w:t>
      </w:r>
      <w:r w:rsidR="001A0721" w:rsidRPr="001A0721">
        <w:t xml:space="preserve"> </w:t>
      </w:r>
      <w:r w:rsidR="001A0721">
        <w:t xml:space="preserve"> The number of Adjustment Proposals has been decreased since the last renewal of this information collection to reflect the number of Adjustment Proposals approved over the past two years.  EDA </w:t>
      </w:r>
      <w:r w:rsidR="00C4353A">
        <w:t>received</w:t>
      </w:r>
      <w:r w:rsidR="001A0721">
        <w:t xml:space="preserve"> 104 Adjustment Proposals</w:t>
      </w:r>
      <w:r w:rsidR="001A0721" w:rsidRPr="00C42130">
        <w:t xml:space="preserve"> </w:t>
      </w:r>
      <w:r w:rsidR="001A0721">
        <w:t xml:space="preserve">during Fiscal Year 2017 and </w:t>
      </w:r>
      <w:r w:rsidR="00C4353A">
        <w:t>100</w:t>
      </w:r>
      <w:r w:rsidR="001A0721">
        <w:t xml:space="preserve"> Adjustment Proposals during Fiscal Year 2018.</w:t>
      </w:r>
    </w:p>
    <w:p w14:paraId="094ED6C8" w14:textId="69B9ED53" w:rsidR="00576C8E" w:rsidRDefault="00576C8E" w:rsidP="007846BE">
      <w:pPr>
        <w:widowControl/>
      </w:pPr>
    </w:p>
    <w:p w14:paraId="5F44281C" w14:textId="12073B63" w:rsidR="00A22D90" w:rsidRPr="007846BE" w:rsidRDefault="00A22D90" w:rsidP="007846BE">
      <w:pPr>
        <w:widowControl/>
      </w:pPr>
    </w:p>
    <w:p w14:paraId="54C3B13B" w14:textId="70A8388B" w:rsidR="00E95D4B" w:rsidRPr="00B97A85" w:rsidRDefault="00E95D4B" w:rsidP="007846BE">
      <w:pPr>
        <w:keepNext/>
        <w:widowControl/>
        <w:autoSpaceDE/>
        <w:autoSpaceDN/>
        <w:adjustRightInd/>
        <w:ind w:left="720"/>
        <w:rPr>
          <w:b/>
          <w:bCs/>
        </w:rPr>
      </w:pPr>
      <w:r w:rsidRPr="00B97A85">
        <w:rPr>
          <w:b/>
          <w:bCs/>
        </w:rPr>
        <w:t xml:space="preserve">Table </w:t>
      </w:r>
      <w:r w:rsidR="00040406">
        <w:rPr>
          <w:b/>
          <w:bCs/>
        </w:rPr>
        <w:t>1</w:t>
      </w:r>
      <w:r w:rsidRPr="00B97A85">
        <w:rPr>
          <w:b/>
          <w:bCs/>
        </w:rPr>
        <w:t xml:space="preserve">.  </w:t>
      </w:r>
      <w:r w:rsidR="001A0721">
        <w:rPr>
          <w:b/>
          <w:bCs/>
        </w:rPr>
        <w:t>Estimated Total Annual</w:t>
      </w:r>
      <w:r w:rsidR="00BE1297">
        <w:rPr>
          <w:b/>
          <w:bCs/>
        </w:rPr>
        <w:t xml:space="preserve"> Cost </w:t>
      </w:r>
      <w:r w:rsidR="007F68C9">
        <w:rPr>
          <w:b/>
          <w:bCs/>
        </w:rPr>
        <w:t xml:space="preserve">to Respondents </w:t>
      </w:r>
      <w:r w:rsidRPr="00B97A85">
        <w:rPr>
          <w:b/>
          <w:bCs/>
        </w:rPr>
        <w:t>for TAAF Petitions (Form ED-840P</w:t>
      </w:r>
      <w:r w:rsidR="001A0721">
        <w:rPr>
          <w:b/>
          <w:bCs/>
        </w:rPr>
        <w:t>) and Adjustment Proposals.</w:t>
      </w:r>
    </w:p>
    <w:p w14:paraId="72731652" w14:textId="3F2DD095" w:rsidR="00E95D4B" w:rsidRDefault="00E95D4B" w:rsidP="007846BE">
      <w:pPr>
        <w:keepNext/>
        <w:widowControl/>
        <w:ind w:left="720" w:hanging="720"/>
        <w:rPr>
          <w:b/>
        </w:rPr>
      </w:pPr>
    </w:p>
    <w:tbl>
      <w:tblPr>
        <w:tblW w:w="0" w:type="auto"/>
        <w:jc w:val="center"/>
        <w:tblLook w:val="0000" w:firstRow="0" w:lastRow="0" w:firstColumn="0" w:lastColumn="0" w:noHBand="0" w:noVBand="0"/>
      </w:tblPr>
      <w:tblGrid>
        <w:gridCol w:w="2666"/>
        <w:gridCol w:w="1644"/>
        <w:gridCol w:w="2111"/>
      </w:tblGrid>
      <w:tr w:rsidR="00AE6D13" w:rsidRPr="003A2588" w14:paraId="623759D0" w14:textId="0397A119" w:rsidTr="007846BE">
        <w:trPr>
          <w:trHeight w:val="255"/>
          <w:jc w:val="center"/>
        </w:trPr>
        <w:tc>
          <w:tcPr>
            <w:tcW w:w="0" w:type="auto"/>
            <w:tcBorders>
              <w:bottom w:val="single" w:sz="4" w:space="0" w:color="auto"/>
              <w:right w:val="single" w:sz="4" w:space="0" w:color="auto"/>
            </w:tcBorders>
            <w:shd w:val="clear" w:color="auto" w:fill="auto"/>
            <w:noWrap/>
            <w:vAlign w:val="center"/>
          </w:tcPr>
          <w:p w14:paraId="442C4B97" w14:textId="5BA7C635" w:rsidR="00AE6D13" w:rsidRPr="003A2588" w:rsidRDefault="00AE6D13" w:rsidP="007846BE">
            <w:pPr>
              <w:keepNext/>
              <w:keepLines/>
              <w:widowControl/>
              <w:autoSpaceDE/>
              <w:autoSpaceDN/>
              <w:adjustRightInd/>
              <w:jc w:val="center"/>
              <w:rPr>
                <w:sz w:val="20"/>
                <w:szCs w:val="20"/>
              </w:rPr>
            </w:pPr>
          </w:p>
        </w:tc>
        <w:tc>
          <w:tcPr>
            <w:tcW w:w="0" w:type="auto"/>
            <w:tcBorders>
              <w:top w:val="single" w:sz="4" w:space="0" w:color="auto"/>
              <w:bottom w:val="single" w:sz="4" w:space="0" w:color="auto"/>
              <w:right w:val="single" w:sz="4" w:space="0" w:color="auto"/>
            </w:tcBorders>
            <w:vAlign w:val="center"/>
          </w:tcPr>
          <w:p w14:paraId="725CA6CF" w14:textId="1A124C91" w:rsidR="00AE6D13" w:rsidRPr="003A2588" w:rsidRDefault="00AE6D13" w:rsidP="007846BE">
            <w:pPr>
              <w:keepNext/>
              <w:keepLines/>
              <w:widowControl/>
              <w:autoSpaceDE/>
              <w:autoSpaceDN/>
              <w:adjustRightInd/>
              <w:jc w:val="center"/>
              <w:rPr>
                <w:b/>
                <w:bCs/>
                <w:sz w:val="20"/>
                <w:szCs w:val="20"/>
              </w:rPr>
            </w:pPr>
            <w:r w:rsidRPr="003A2588">
              <w:rPr>
                <w:b/>
                <w:bCs/>
                <w:sz w:val="20"/>
                <w:szCs w:val="20"/>
              </w:rPr>
              <w:t>Petitions</w:t>
            </w:r>
          </w:p>
          <w:p w14:paraId="677853ED" w14:textId="45D1B8C2" w:rsidR="00AE6D13" w:rsidRPr="003A2588" w:rsidRDefault="00AE6D13" w:rsidP="007846BE">
            <w:pPr>
              <w:keepNext/>
              <w:keepLines/>
              <w:widowControl/>
              <w:autoSpaceDE/>
              <w:autoSpaceDN/>
              <w:adjustRightInd/>
              <w:jc w:val="center"/>
              <w:rPr>
                <w:b/>
                <w:bCs/>
                <w:sz w:val="20"/>
                <w:szCs w:val="20"/>
              </w:rPr>
            </w:pPr>
            <w:r w:rsidRPr="003A2588">
              <w:rPr>
                <w:b/>
                <w:bCs/>
                <w:sz w:val="20"/>
                <w:szCs w:val="20"/>
              </w:rPr>
              <w:t>(Form ED-840P)</w:t>
            </w:r>
          </w:p>
        </w:tc>
        <w:tc>
          <w:tcPr>
            <w:tcW w:w="0" w:type="auto"/>
            <w:tcBorders>
              <w:top w:val="single" w:sz="4" w:space="0" w:color="auto"/>
              <w:bottom w:val="single" w:sz="4" w:space="0" w:color="auto"/>
              <w:right w:val="single" w:sz="4" w:space="0" w:color="auto"/>
            </w:tcBorders>
            <w:vAlign w:val="center"/>
          </w:tcPr>
          <w:p w14:paraId="0E388756" w14:textId="1912DC3C" w:rsidR="00AE6D13" w:rsidRPr="003A2588" w:rsidRDefault="00AE6D13" w:rsidP="007846BE">
            <w:pPr>
              <w:keepNext/>
              <w:keepLines/>
              <w:widowControl/>
              <w:autoSpaceDE/>
              <w:autoSpaceDN/>
              <w:adjustRightInd/>
              <w:jc w:val="center"/>
              <w:rPr>
                <w:b/>
                <w:bCs/>
                <w:sz w:val="20"/>
                <w:szCs w:val="20"/>
              </w:rPr>
            </w:pPr>
            <w:r w:rsidRPr="003A2588">
              <w:rPr>
                <w:b/>
                <w:bCs/>
                <w:sz w:val="20"/>
                <w:szCs w:val="20"/>
              </w:rPr>
              <w:t>A</w:t>
            </w:r>
            <w:r w:rsidR="00040406">
              <w:rPr>
                <w:b/>
                <w:bCs/>
                <w:sz w:val="20"/>
                <w:szCs w:val="20"/>
              </w:rPr>
              <w:t xml:space="preserve">djustment </w:t>
            </w:r>
            <w:r w:rsidRPr="003A2588">
              <w:rPr>
                <w:b/>
                <w:bCs/>
                <w:sz w:val="20"/>
                <w:szCs w:val="20"/>
              </w:rPr>
              <w:t>P</w:t>
            </w:r>
            <w:r w:rsidR="00040406">
              <w:rPr>
                <w:b/>
                <w:bCs/>
                <w:sz w:val="20"/>
                <w:szCs w:val="20"/>
              </w:rPr>
              <w:t>roposal</w:t>
            </w:r>
            <w:r w:rsidRPr="003A2588">
              <w:rPr>
                <w:b/>
                <w:bCs/>
                <w:sz w:val="20"/>
                <w:szCs w:val="20"/>
              </w:rPr>
              <w:t>s</w:t>
            </w:r>
          </w:p>
        </w:tc>
      </w:tr>
      <w:tr w:rsidR="00AE6D13" w:rsidRPr="003A2588" w14:paraId="41468ED9" w14:textId="1894F503" w:rsidTr="007846BE">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07D5AC8" w14:textId="443CCF42" w:rsidR="00AE6D13" w:rsidRPr="003A2588" w:rsidRDefault="00AE6D13" w:rsidP="007846BE">
            <w:pPr>
              <w:keepNext/>
              <w:keepLines/>
              <w:widowControl/>
              <w:autoSpaceDE/>
              <w:autoSpaceDN/>
              <w:adjustRightInd/>
              <w:rPr>
                <w:sz w:val="20"/>
                <w:szCs w:val="20"/>
              </w:rPr>
            </w:pPr>
            <w:r w:rsidRPr="003A2588">
              <w:rPr>
                <w:sz w:val="20"/>
                <w:szCs w:val="20"/>
              </w:rPr>
              <w:t>Hours per response</w:t>
            </w:r>
          </w:p>
        </w:tc>
        <w:tc>
          <w:tcPr>
            <w:tcW w:w="0" w:type="auto"/>
            <w:tcBorders>
              <w:top w:val="nil"/>
              <w:left w:val="nil"/>
              <w:bottom w:val="single" w:sz="4" w:space="0" w:color="auto"/>
              <w:right w:val="single" w:sz="4" w:space="0" w:color="auto"/>
            </w:tcBorders>
            <w:vAlign w:val="bottom"/>
          </w:tcPr>
          <w:p w14:paraId="64105271" w14:textId="3D2DC6AA" w:rsidR="00AE6D13" w:rsidRPr="003A2588" w:rsidRDefault="00AE6D13" w:rsidP="007846BE">
            <w:pPr>
              <w:keepNext/>
              <w:keepLines/>
              <w:widowControl/>
              <w:jc w:val="right"/>
              <w:rPr>
                <w:sz w:val="20"/>
                <w:szCs w:val="20"/>
              </w:rPr>
            </w:pPr>
            <w:r>
              <w:rPr>
                <w:sz w:val="20"/>
                <w:szCs w:val="20"/>
              </w:rPr>
              <w:t>53</w:t>
            </w:r>
          </w:p>
        </w:tc>
        <w:tc>
          <w:tcPr>
            <w:tcW w:w="0" w:type="auto"/>
            <w:tcBorders>
              <w:top w:val="nil"/>
              <w:left w:val="nil"/>
              <w:bottom w:val="single" w:sz="4" w:space="0" w:color="auto"/>
              <w:right w:val="single" w:sz="4" w:space="0" w:color="auto"/>
            </w:tcBorders>
            <w:vAlign w:val="bottom"/>
          </w:tcPr>
          <w:p w14:paraId="6137A433" w14:textId="37F04BB3" w:rsidR="00AE6D13" w:rsidRPr="003A2588" w:rsidRDefault="00AE6D13" w:rsidP="007846BE">
            <w:pPr>
              <w:keepNext/>
              <w:keepLines/>
              <w:widowControl/>
              <w:jc w:val="right"/>
              <w:rPr>
                <w:sz w:val="20"/>
                <w:szCs w:val="20"/>
              </w:rPr>
            </w:pPr>
            <w:r w:rsidRPr="003A2588">
              <w:rPr>
                <w:sz w:val="20"/>
                <w:szCs w:val="20"/>
              </w:rPr>
              <w:t>120</w:t>
            </w:r>
          </w:p>
        </w:tc>
      </w:tr>
      <w:tr w:rsidR="00AE6D13" w:rsidRPr="003A2588" w14:paraId="3A6536B8" w14:textId="1C022008" w:rsidTr="007846BE">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AE2E22A" w14:textId="73151AD6" w:rsidR="00AE6D13" w:rsidRPr="003A2588" w:rsidRDefault="00AE6D13" w:rsidP="007846BE">
            <w:pPr>
              <w:keepNext/>
              <w:keepLines/>
              <w:widowControl/>
              <w:autoSpaceDE/>
              <w:autoSpaceDN/>
              <w:adjustRightInd/>
              <w:rPr>
                <w:sz w:val="20"/>
                <w:szCs w:val="20"/>
              </w:rPr>
            </w:pPr>
            <w:r w:rsidRPr="003A2588">
              <w:rPr>
                <w:sz w:val="20"/>
                <w:szCs w:val="20"/>
              </w:rPr>
              <w:t>Labor costs/ hour/ response</w:t>
            </w:r>
          </w:p>
        </w:tc>
        <w:tc>
          <w:tcPr>
            <w:tcW w:w="0" w:type="auto"/>
            <w:tcBorders>
              <w:top w:val="nil"/>
              <w:left w:val="nil"/>
              <w:bottom w:val="single" w:sz="4" w:space="0" w:color="auto"/>
              <w:right w:val="single" w:sz="4" w:space="0" w:color="auto"/>
            </w:tcBorders>
            <w:vAlign w:val="bottom"/>
          </w:tcPr>
          <w:p w14:paraId="7D0B3C19" w14:textId="0035D41D" w:rsidR="00AE6D13" w:rsidRPr="003A2588" w:rsidRDefault="00AE6D13" w:rsidP="007846BE">
            <w:pPr>
              <w:keepNext/>
              <w:keepLines/>
              <w:widowControl/>
              <w:jc w:val="right"/>
              <w:rPr>
                <w:sz w:val="20"/>
                <w:szCs w:val="20"/>
              </w:rPr>
            </w:pPr>
            <w:r>
              <w:rPr>
                <w:sz w:val="20"/>
                <w:szCs w:val="20"/>
              </w:rPr>
              <w:t>$59.86</w:t>
            </w:r>
          </w:p>
        </w:tc>
        <w:tc>
          <w:tcPr>
            <w:tcW w:w="0" w:type="auto"/>
            <w:tcBorders>
              <w:top w:val="nil"/>
              <w:left w:val="nil"/>
              <w:bottom w:val="single" w:sz="4" w:space="0" w:color="auto"/>
              <w:right w:val="single" w:sz="4" w:space="0" w:color="auto"/>
            </w:tcBorders>
            <w:vAlign w:val="bottom"/>
          </w:tcPr>
          <w:p w14:paraId="330D78EE" w14:textId="08C8D78E" w:rsidR="00AE6D13" w:rsidRPr="003A2588" w:rsidRDefault="00AE6D13" w:rsidP="007846BE">
            <w:pPr>
              <w:keepNext/>
              <w:keepLines/>
              <w:widowControl/>
              <w:jc w:val="right"/>
              <w:rPr>
                <w:sz w:val="20"/>
                <w:szCs w:val="20"/>
              </w:rPr>
            </w:pPr>
            <w:r>
              <w:rPr>
                <w:sz w:val="20"/>
                <w:szCs w:val="20"/>
              </w:rPr>
              <w:t>$59.86</w:t>
            </w:r>
          </w:p>
        </w:tc>
      </w:tr>
      <w:tr w:rsidR="00AE6D13" w:rsidRPr="003A2588" w14:paraId="2DB1238B" w14:textId="186F3ED7" w:rsidTr="007846BE">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7F10E21" w14:textId="2949D4E2" w:rsidR="00AE6D13" w:rsidRPr="003A2588" w:rsidRDefault="00AE6D13" w:rsidP="007846BE">
            <w:pPr>
              <w:keepNext/>
              <w:keepLines/>
              <w:widowControl/>
              <w:autoSpaceDE/>
              <w:autoSpaceDN/>
              <w:adjustRightInd/>
              <w:rPr>
                <w:sz w:val="20"/>
                <w:szCs w:val="20"/>
              </w:rPr>
            </w:pPr>
            <w:r w:rsidRPr="003A2588">
              <w:rPr>
                <w:sz w:val="20"/>
                <w:szCs w:val="20"/>
              </w:rPr>
              <w:t>Non-labor costs/hour/response</w:t>
            </w:r>
          </w:p>
        </w:tc>
        <w:tc>
          <w:tcPr>
            <w:tcW w:w="0" w:type="auto"/>
            <w:tcBorders>
              <w:top w:val="nil"/>
              <w:left w:val="nil"/>
              <w:bottom w:val="single" w:sz="4" w:space="0" w:color="auto"/>
              <w:right w:val="single" w:sz="4" w:space="0" w:color="auto"/>
            </w:tcBorders>
            <w:vAlign w:val="bottom"/>
          </w:tcPr>
          <w:p w14:paraId="55B7E74C" w14:textId="7F178113" w:rsidR="00AE6D13" w:rsidRPr="003A2588" w:rsidRDefault="001A0721" w:rsidP="007846BE">
            <w:pPr>
              <w:keepNext/>
              <w:keepLines/>
              <w:widowControl/>
              <w:jc w:val="right"/>
              <w:rPr>
                <w:sz w:val="20"/>
                <w:szCs w:val="20"/>
              </w:rPr>
            </w:pPr>
            <w:r>
              <w:rPr>
                <w:sz w:val="20"/>
                <w:szCs w:val="20"/>
              </w:rPr>
              <w:t>$</w:t>
            </w:r>
            <w:r w:rsidRPr="001A0721">
              <w:rPr>
                <w:sz w:val="20"/>
                <w:szCs w:val="20"/>
              </w:rPr>
              <w:t>193.98</w:t>
            </w:r>
          </w:p>
        </w:tc>
        <w:tc>
          <w:tcPr>
            <w:tcW w:w="0" w:type="auto"/>
            <w:tcBorders>
              <w:top w:val="nil"/>
              <w:left w:val="nil"/>
              <w:bottom w:val="single" w:sz="4" w:space="0" w:color="auto"/>
              <w:right w:val="single" w:sz="4" w:space="0" w:color="auto"/>
            </w:tcBorders>
            <w:vAlign w:val="bottom"/>
          </w:tcPr>
          <w:p w14:paraId="0B312A40" w14:textId="3FB0C762" w:rsidR="00AE6D13" w:rsidRPr="003A2588" w:rsidRDefault="007F68C9" w:rsidP="007846BE">
            <w:pPr>
              <w:keepNext/>
              <w:keepLines/>
              <w:widowControl/>
              <w:jc w:val="right"/>
              <w:rPr>
                <w:sz w:val="20"/>
                <w:szCs w:val="20"/>
              </w:rPr>
            </w:pPr>
            <w:r w:rsidRPr="007F68C9">
              <w:rPr>
                <w:sz w:val="20"/>
                <w:szCs w:val="20"/>
              </w:rPr>
              <w:t>$150.00</w:t>
            </w:r>
          </w:p>
        </w:tc>
      </w:tr>
      <w:tr w:rsidR="00AE6D13" w:rsidRPr="003A2588" w14:paraId="250D095D" w14:textId="084E19B9" w:rsidTr="007846BE">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FAD62C9" w14:textId="39FDD593" w:rsidR="00AE6D13" w:rsidRPr="003A2588" w:rsidRDefault="00AE6D13" w:rsidP="007846BE">
            <w:pPr>
              <w:keepNext/>
              <w:keepLines/>
              <w:widowControl/>
              <w:autoSpaceDE/>
              <w:autoSpaceDN/>
              <w:adjustRightInd/>
              <w:rPr>
                <w:sz w:val="20"/>
                <w:szCs w:val="20"/>
              </w:rPr>
            </w:pPr>
            <w:r w:rsidRPr="003A2588">
              <w:rPr>
                <w:sz w:val="20"/>
                <w:szCs w:val="20"/>
              </w:rPr>
              <w:t>Total cost/ response</w:t>
            </w:r>
          </w:p>
        </w:tc>
        <w:tc>
          <w:tcPr>
            <w:tcW w:w="0" w:type="auto"/>
            <w:tcBorders>
              <w:top w:val="nil"/>
              <w:left w:val="nil"/>
              <w:bottom w:val="single" w:sz="4" w:space="0" w:color="auto"/>
              <w:right w:val="single" w:sz="4" w:space="0" w:color="auto"/>
            </w:tcBorders>
            <w:vAlign w:val="bottom"/>
          </w:tcPr>
          <w:p w14:paraId="39B3AA50" w14:textId="666C1DBC" w:rsidR="00AE6D13" w:rsidRPr="003A2588" w:rsidRDefault="00AE6D13" w:rsidP="007846BE">
            <w:pPr>
              <w:keepNext/>
              <w:keepLines/>
              <w:widowControl/>
              <w:jc w:val="right"/>
              <w:rPr>
                <w:sz w:val="20"/>
                <w:szCs w:val="20"/>
              </w:rPr>
            </w:pPr>
            <w:r>
              <w:rPr>
                <w:sz w:val="20"/>
                <w:szCs w:val="20"/>
              </w:rPr>
              <w:t>$3,366.56</w:t>
            </w:r>
            <w:r w:rsidRPr="003A2588">
              <w:rPr>
                <w:sz w:val="20"/>
                <w:szCs w:val="20"/>
              </w:rPr>
              <w:t xml:space="preserve"> </w:t>
            </w:r>
          </w:p>
        </w:tc>
        <w:tc>
          <w:tcPr>
            <w:tcW w:w="0" w:type="auto"/>
            <w:tcBorders>
              <w:top w:val="nil"/>
              <w:left w:val="nil"/>
              <w:bottom w:val="single" w:sz="4" w:space="0" w:color="auto"/>
              <w:right w:val="single" w:sz="4" w:space="0" w:color="auto"/>
            </w:tcBorders>
            <w:vAlign w:val="bottom"/>
          </w:tcPr>
          <w:p w14:paraId="3C998B1E" w14:textId="13358C25" w:rsidR="00AE6D13" w:rsidRPr="003A2588" w:rsidRDefault="00AE6D13" w:rsidP="007846BE">
            <w:pPr>
              <w:keepNext/>
              <w:keepLines/>
              <w:widowControl/>
              <w:jc w:val="right"/>
              <w:rPr>
                <w:sz w:val="20"/>
                <w:szCs w:val="20"/>
              </w:rPr>
            </w:pPr>
            <w:r>
              <w:rPr>
                <w:sz w:val="20"/>
                <w:szCs w:val="20"/>
              </w:rPr>
              <w:t>$7,333.20</w:t>
            </w:r>
            <w:r w:rsidRPr="003A2588">
              <w:rPr>
                <w:sz w:val="20"/>
                <w:szCs w:val="20"/>
              </w:rPr>
              <w:t xml:space="preserve"> </w:t>
            </w:r>
          </w:p>
        </w:tc>
      </w:tr>
      <w:tr w:rsidR="00AE6D13" w:rsidRPr="003A2588" w14:paraId="3A1C9EAD" w14:textId="0A2C18EB" w:rsidTr="007846BE">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02D0ACF" w14:textId="4CF59022" w:rsidR="00AE6D13" w:rsidRPr="003A2588" w:rsidRDefault="00AE6D13" w:rsidP="007846BE">
            <w:pPr>
              <w:keepNext/>
              <w:keepLines/>
              <w:widowControl/>
              <w:autoSpaceDE/>
              <w:autoSpaceDN/>
              <w:adjustRightInd/>
              <w:rPr>
                <w:sz w:val="20"/>
                <w:szCs w:val="20"/>
              </w:rPr>
            </w:pPr>
            <w:r w:rsidRPr="003A2588">
              <w:rPr>
                <w:sz w:val="20"/>
                <w:szCs w:val="20"/>
              </w:rPr>
              <w:t>Estimate of annual responses</w:t>
            </w:r>
          </w:p>
        </w:tc>
        <w:tc>
          <w:tcPr>
            <w:tcW w:w="0" w:type="auto"/>
            <w:tcBorders>
              <w:top w:val="single" w:sz="4" w:space="0" w:color="auto"/>
              <w:left w:val="nil"/>
              <w:bottom w:val="single" w:sz="4" w:space="0" w:color="auto"/>
              <w:right w:val="single" w:sz="4" w:space="0" w:color="auto"/>
            </w:tcBorders>
            <w:vAlign w:val="bottom"/>
          </w:tcPr>
          <w:p w14:paraId="5B044864" w14:textId="45BF5FA6" w:rsidR="00AE6D13" w:rsidRPr="003A2588" w:rsidRDefault="00AE6D13" w:rsidP="007846BE">
            <w:pPr>
              <w:keepNext/>
              <w:keepLines/>
              <w:widowControl/>
              <w:jc w:val="right"/>
              <w:rPr>
                <w:sz w:val="20"/>
                <w:szCs w:val="20"/>
              </w:rPr>
            </w:pPr>
            <w:r>
              <w:rPr>
                <w:sz w:val="20"/>
                <w:szCs w:val="20"/>
              </w:rPr>
              <w:t>150</w:t>
            </w:r>
          </w:p>
        </w:tc>
        <w:tc>
          <w:tcPr>
            <w:tcW w:w="0" w:type="auto"/>
            <w:tcBorders>
              <w:top w:val="single" w:sz="4" w:space="0" w:color="auto"/>
              <w:left w:val="nil"/>
              <w:bottom w:val="single" w:sz="4" w:space="0" w:color="auto"/>
              <w:right w:val="single" w:sz="4" w:space="0" w:color="auto"/>
            </w:tcBorders>
            <w:vAlign w:val="bottom"/>
          </w:tcPr>
          <w:p w14:paraId="4E5A1013" w14:textId="001D96BA" w:rsidR="00AE6D13" w:rsidRPr="003A2588" w:rsidRDefault="00AE6D13" w:rsidP="007846BE">
            <w:pPr>
              <w:keepNext/>
              <w:keepLines/>
              <w:widowControl/>
              <w:jc w:val="right"/>
              <w:rPr>
                <w:sz w:val="20"/>
                <w:szCs w:val="20"/>
              </w:rPr>
            </w:pPr>
            <w:r>
              <w:rPr>
                <w:sz w:val="20"/>
                <w:szCs w:val="20"/>
              </w:rPr>
              <w:t>150</w:t>
            </w:r>
          </w:p>
        </w:tc>
      </w:tr>
      <w:tr w:rsidR="00AE6D13" w:rsidRPr="003A2588" w14:paraId="4500ADFE" w14:textId="49C1C2AE" w:rsidTr="007846BE">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70015E8" w14:textId="09D94832" w:rsidR="00AE6D13" w:rsidRPr="003A2588" w:rsidRDefault="00AE6D13" w:rsidP="007846BE">
            <w:pPr>
              <w:keepNext/>
              <w:keepLines/>
              <w:widowControl/>
              <w:autoSpaceDE/>
              <w:autoSpaceDN/>
              <w:adjustRightInd/>
              <w:rPr>
                <w:sz w:val="20"/>
                <w:szCs w:val="20"/>
              </w:rPr>
            </w:pPr>
            <w:r w:rsidRPr="003A2588">
              <w:rPr>
                <w:sz w:val="20"/>
                <w:szCs w:val="20"/>
              </w:rPr>
              <w:t>Total labor costs</w:t>
            </w:r>
          </w:p>
        </w:tc>
        <w:tc>
          <w:tcPr>
            <w:tcW w:w="0" w:type="auto"/>
            <w:tcBorders>
              <w:top w:val="nil"/>
              <w:left w:val="nil"/>
              <w:bottom w:val="single" w:sz="4" w:space="0" w:color="auto"/>
              <w:right w:val="single" w:sz="4" w:space="0" w:color="auto"/>
            </w:tcBorders>
            <w:vAlign w:val="bottom"/>
          </w:tcPr>
          <w:p w14:paraId="595554EC" w14:textId="054A107D" w:rsidR="00AE6D13" w:rsidRPr="003A2588" w:rsidRDefault="00AE6D13" w:rsidP="007846BE">
            <w:pPr>
              <w:keepNext/>
              <w:keepLines/>
              <w:widowControl/>
              <w:jc w:val="right"/>
              <w:rPr>
                <w:sz w:val="20"/>
                <w:szCs w:val="20"/>
              </w:rPr>
            </w:pPr>
            <w:r w:rsidRPr="003A2588">
              <w:rPr>
                <w:sz w:val="20"/>
                <w:szCs w:val="20"/>
              </w:rPr>
              <w:t>$</w:t>
            </w:r>
            <w:r>
              <w:rPr>
                <w:sz w:val="20"/>
                <w:szCs w:val="20"/>
              </w:rPr>
              <w:t>475,887.00</w:t>
            </w:r>
            <w:r w:rsidRPr="003A2588">
              <w:rPr>
                <w:sz w:val="20"/>
                <w:szCs w:val="20"/>
              </w:rPr>
              <w:t xml:space="preserve"> </w:t>
            </w:r>
          </w:p>
        </w:tc>
        <w:tc>
          <w:tcPr>
            <w:tcW w:w="0" w:type="auto"/>
            <w:tcBorders>
              <w:top w:val="nil"/>
              <w:left w:val="nil"/>
              <w:bottom w:val="single" w:sz="4" w:space="0" w:color="auto"/>
              <w:right w:val="single" w:sz="4" w:space="0" w:color="auto"/>
            </w:tcBorders>
            <w:vAlign w:val="bottom"/>
          </w:tcPr>
          <w:p w14:paraId="39A7D473" w14:textId="6127AA6B" w:rsidR="00AE6D13" w:rsidRPr="003A2588" w:rsidRDefault="00AE6D13" w:rsidP="007846BE">
            <w:pPr>
              <w:keepNext/>
              <w:keepLines/>
              <w:widowControl/>
              <w:jc w:val="right"/>
              <w:rPr>
                <w:sz w:val="20"/>
                <w:szCs w:val="20"/>
              </w:rPr>
            </w:pPr>
            <w:r w:rsidRPr="003A2588">
              <w:rPr>
                <w:sz w:val="20"/>
                <w:szCs w:val="20"/>
              </w:rPr>
              <w:t>$1,</w:t>
            </w:r>
            <w:r>
              <w:rPr>
                <w:sz w:val="20"/>
                <w:szCs w:val="20"/>
              </w:rPr>
              <w:t>077.480.00</w:t>
            </w:r>
            <w:r w:rsidRPr="003A2588">
              <w:rPr>
                <w:sz w:val="20"/>
                <w:szCs w:val="20"/>
              </w:rPr>
              <w:t xml:space="preserve"> </w:t>
            </w:r>
          </w:p>
        </w:tc>
      </w:tr>
      <w:tr w:rsidR="00AE6D13" w:rsidRPr="003A2588" w14:paraId="0B0A074F" w14:textId="0C2920E4" w:rsidTr="007846BE">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61FC0DD" w14:textId="7548B209" w:rsidR="00AE6D13" w:rsidRPr="003A2588" w:rsidRDefault="00AE6D13" w:rsidP="007846BE">
            <w:pPr>
              <w:keepNext/>
              <w:keepLines/>
              <w:widowControl/>
              <w:autoSpaceDE/>
              <w:autoSpaceDN/>
              <w:adjustRightInd/>
              <w:rPr>
                <w:sz w:val="20"/>
                <w:szCs w:val="20"/>
              </w:rPr>
            </w:pPr>
            <w:r w:rsidRPr="003A2588">
              <w:rPr>
                <w:sz w:val="20"/>
                <w:szCs w:val="20"/>
              </w:rPr>
              <w:t>Total non-labor costs</w:t>
            </w:r>
          </w:p>
        </w:tc>
        <w:tc>
          <w:tcPr>
            <w:tcW w:w="0" w:type="auto"/>
            <w:tcBorders>
              <w:top w:val="nil"/>
              <w:left w:val="nil"/>
              <w:bottom w:val="double" w:sz="6" w:space="0" w:color="auto"/>
              <w:right w:val="single" w:sz="4" w:space="0" w:color="auto"/>
            </w:tcBorders>
            <w:vAlign w:val="bottom"/>
          </w:tcPr>
          <w:p w14:paraId="4B36C516" w14:textId="2413A414" w:rsidR="00AE6D13" w:rsidRPr="003A2588" w:rsidRDefault="00AE6D13" w:rsidP="007846BE">
            <w:pPr>
              <w:keepNext/>
              <w:keepLines/>
              <w:widowControl/>
              <w:jc w:val="right"/>
              <w:rPr>
                <w:sz w:val="20"/>
                <w:szCs w:val="20"/>
              </w:rPr>
            </w:pPr>
            <w:r>
              <w:rPr>
                <w:sz w:val="20"/>
                <w:szCs w:val="20"/>
              </w:rPr>
              <w:t>$29,097.00</w:t>
            </w:r>
            <w:r w:rsidRPr="003A2588">
              <w:rPr>
                <w:sz w:val="20"/>
                <w:szCs w:val="20"/>
              </w:rPr>
              <w:t xml:space="preserve"> </w:t>
            </w:r>
          </w:p>
        </w:tc>
        <w:tc>
          <w:tcPr>
            <w:tcW w:w="0" w:type="auto"/>
            <w:tcBorders>
              <w:top w:val="nil"/>
              <w:left w:val="nil"/>
              <w:bottom w:val="double" w:sz="6" w:space="0" w:color="auto"/>
              <w:right w:val="single" w:sz="4" w:space="0" w:color="auto"/>
            </w:tcBorders>
            <w:vAlign w:val="bottom"/>
          </w:tcPr>
          <w:p w14:paraId="0F33BEED" w14:textId="0F7B66F3" w:rsidR="00AE6D13" w:rsidRPr="003A2588" w:rsidRDefault="00AE6D13" w:rsidP="007846BE">
            <w:pPr>
              <w:keepNext/>
              <w:keepLines/>
              <w:widowControl/>
              <w:jc w:val="right"/>
              <w:rPr>
                <w:sz w:val="20"/>
                <w:szCs w:val="20"/>
              </w:rPr>
            </w:pPr>
            <w:r w:rsidRPr="003A2588">
              <w:rPr>
                <w:sz w:val="20"/>
                <w:szCs w:val="20"/>
              </w:rPr>
              <w:t>$</w:t>
            </w:r>
            <w:r>
              <w:rPr>
                <w:sz w:val="20"/>
                <w:szCs w:val="20"/>
              </w:rPr>
              <w:t>22,500.00</w:t>
            </w:r>
            <w:r w:rsidRPr="003A2588">
              <w:rPr>
                <w:sz w:val="20"/>
                <w:szCs w:val="20"/>
              </w:rPr>
              <w:t xml:space="preserve"> </w:t>
            </w:r>
          </w:p>
        </w:tc>
      </w:tr>
      <w:tr w:rsidR="00AE6D13" w:rsidRPr="00D71501" w14:paraId="40B6DB93" w14:textId="49B4A72F" w:rsidTr="007846BE">
        <w:trPr>
          <w:trHeight w:val="267"/>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AC70BA9" w14:textId="3B926A43" w:rsidR="00AE6D13" w:rsidRPr="00D71501" w:rsidRDefault="00AE6D13" w:rsidP="007846BE">
            <w:pPr>
              <w:keepNext/>
              <w:keepLines/>
              <w:widowControl/>
              <w:autoSpaceDE/>
              <w:autoSpaceDN/>
              <w:adjustRightInd/>
              <w:rPr>
                <w:b/>
                <w:i/>
                <w:sz w:val="20"/>
                <w:szCs w:val="20"/>
              </w:rPr>
            </w:pPr>
            <w:r w:rsidRPr="00D71501">
              <w:rPr>
                <w:b/>
                <w:i/>
                <w:sz w:val="20"/>
                <w:szCs w:val="20"/>
              </w:rPr>
              <w:t>Total Annual Cost</w:t>
            </w:r>
          </w:p>
        </w:tc>
        <w:tc>
          <w:tcPr>
            <w:tcW w:w="0" w:type="auto"/>
            <w:tcBorders>
              <w:top w:val="nil"/>
              <w:left w:val="nil"/>
              <w:bottom w:val="single" w:sz="4" w:space="0" w:color="auto"/>
              <w:right w:val="single" w:sz="4" w:space="0" w:color="auto"/>
            </w:tcBorders>
            <w:vAlign w:val="bottom"/>
          </w:tcPr>
          <w:p w14:paraId="61172171" w14:textId="2FFD352C" w:rsidR="00AE6D13" w:rsidRPr="00D71501" w:rsidRDefault="00AE6D13" w:rsidP="007846BE">
            <w:pPr>
              <w:keepNext/>
              <w:keepLines/>
              <w:widowControl/>
              <w:jc w:val="right"/>
              <w:rPr>
                <w:b/>
                <w:sz w:val="20"/>
                <w:szCs w:val="20"/>
              </w:rPr>
            </w:pPr>
            <w:r>
              <w:rPr>
                <w:b/>
                <w:sz w:val="20"/>
                <w:szCs w:val="20"/>
              </w:rPr>
              <w:t>$</w:t>
            </w:r>
            <w:r w:rsidRPr="00D71501">
              <w:rPr>
                <w:b/>
                <w:sz w:val="20"/>
                <w:szCs w:val="20"/>
              </w:rPr>
              <w:t xml:space="preserve"> </w:t>
            </w:r>
            <w:r>
              <w:rPr>
                <w:b/>
                <w:sz w:val="20"/>
                <w:szCs w:val="20"/>
              </w:rPr>
              <w:t>504,984.00</w:t>
            </w:r>
            <w:r w:rsidRPr="00D71501">
              <w:rPr>
                <w:b/>
                <w:sz w:val="20"/>
                <w:szCs w:val="20"/>
              </w:rPr>
              <w:t xml:space="preserve"> </w:t>
            </w:r>
          </w:p>
        </w:tc>
        <w:tc>
          <w:tcPr>
            <w:tcW w:w="0" w:type="auto"/>
            <w:tcBorders>
              <w:top w:val="nil"/>
              <w:left w:val="nil"/>
              <w:bottom w:val="single" w:sz="4" w:space="0" w:color="auto"/>
              <w:right w:val="single" w:sz="4" w:space="0" w:color="auto"/>
            </w:tcBorders>
            <w:vAlign w:val="bottom"/>
          </w:tcPr>
          <w:p w14:paraId="4F6ADE17" w14:textId="6BCD9AB3" w:rsidR="00AE6D13" w:rsidRPr="00D71501" w:rsidRDefault="00AE6D13" w:rsidP="007846BE">
            <w:pPr>
              <w:keepNext/>
              <w:keepLines/>
              <w:widowControl/>
              <w:jc w:val="right"/>
              <w:rPr>
                <w:b/>
                <w:sz w:val="20"/>
                <w:szCs w:val="20"/>
              </w:rPr>
            </w:pPr>
            <w:r w:rsidRPr="00D71501">
              <w:rPr>
                <w:b/>
                <w:sz w:val="20"/>
                <w:szCs w:val="20"/>
              </w:rPr>
              <w:t>$1,</w:t>
            </w:r>
            <w:r>
              <w:rPr>
                <w:b/>
                <w:sz w:val="20"/>
                <w:szCs w:val="20"/>
              </w:rPr>
              <w:t>099,980.00</w:t>
            </w:r>
            <w:r w:rsidRPr="00D71501">
              <w:rPr>
                <w:b/>
                <w:sz w:val="20"/>
                <w:szCs w:val="20"/>
              </w:rPr>
              <w:t xml:space="preserve"> </w:t>
            </w:r>
          </w:p>
        </w:tc>
      </w:tr>
    </w:tbl>
    <w:p w14:paraId="0A8703DE" w14:textId="001159BF" w:rsidR="00B97A85" w:rsidRPr="00A77799" w:rsidRDefault="00B97A85" w:rsidP="00A91567">
      <w:pPr>
        <w:widowControl/>
        <w:ind w:left="720" w:hanging="720"/>
      </w:pPr>
    </w:p>
    <w:p w14:paraId="78AC0D66" w14:textId="77777777" w:rsidR="00B97A85" w:rsidRPr="00A77799" w:rsidRDefault="00B97A85" w:rsidP="00A91567">
      <w:pPr>
        <w:widowControl/>
        <w:ind w:left="720" w:hanging="720"/>
      </w:pPr>
    </w:p>
    <w:p w14:paraId="7B8AF345" w14:textId="77777777" w:rsidR="00136E5A" w:rsidRDefault="00136E5A" w:rsidP="0091553B">
      <w:pPr>
        <w:keepNext/>
        <w:widowControl/>
      </w:pPr>
      <w:r>
        <w:rPr>
          <w:b/>
          <w:bCs/>
        </w:rPr>
        <w:t xml:space="preserve">13.  </w:t>
      </w:r>
      <w:r>
        <w:rPr>
          <w:b/>
          <w:bCs/>
          <w:u w:val="single"/>
        </w:rPr>
        <w:t>Provide an estimate of the total annual cost burden to the respondents or record-keepers resulting from the collection (excluding the value of the burden hours in #12 above)</w:t>
      </w:r>
      <w:r>
        <w:rPr>
          <w:b/>
          <w:bCs/>
        </w:rPr>
        <w:t>.</w:t>
      </w:r>
    </w:p>
    <w:p w14:paraId="1CA38997" w14:textId="77777777" w:rsidR="00136E5A" w:rsidRDefault="00136E5A" w:rsidP="0091553B">
      <w:pPr>
        <w:keepNext/>
        <w:widowControl/>
      </w:pPr>
    </w:p>
    <w:p w14:paraId="48E23282" w14:textId="77777777" w:rsidR="0046270A" w:rsidRPr="00DE1641" w:rsidRDefault="0046270A" w:rsidP="00A91567">
      <w:pPr>
        <w:widowControl/>
      </w:pPr>
      <w:r w:rsidRPr="00DE1641">
        <w:t xml:space="preserve">There are no additional cost burdens to </w:t>
      </w:r>
      <w:r>
        <w:t xml:space="preserve">TAACs or </w:t>
      </w:r>
      <w:r w:rsidRPr="00DE1641">
        <w:t>firms resulting from the collection of this information, other than the costs identified in Item 12.</w:t>
      </w:r>
    </w:p>
    <w:p w14:paraId="28B87819" w14:textId="77777777" w:rsidR="00136E5A" w:rsidRDefault="00136E5A" w:rsidP="00A91567">
      <w:pPr>
        <w:widowControl/>
      </w:pPr>
    </w:p>
    <w:p w14:paraId="179A6665" w14:textId="77777777" w:rsidR="00A77799" w:rsidRDefault="00A77799" w:rsidP="00A91567">
      <w:pPr>
        <w:widowControl/>
        <w:rPr>
          <w:b/>
          <w:bCs/>
        </w:rPr>
      </w:pPr>
    </w:p>
    <w:p w14:paraId="1956DC14" w14:textId="0523B6D4" w:rsidR="00136E5A" w:rsidRDefault="00136E5A" w:rsidP="007846BE">
      <w:pPr>
        <w:keepNext/>
        <w:widowControl/>
      </w:pPr>
      <w:r>
        <w:rPr>
          <w:b/>
          <w:bCs/>
        </w:rPr>
        <w:t xml:space="preserve">14.  </w:t>
      </w:r>
      <w:r>
        <w:rPr>
          <w:b/>
          <w:bCs/>
          <w:u w:val="single"/>
        </w:rPr>
        <w:t>Provide estimates of annualized cost to the Federal government</w:t>
      </w:r>
      <w:r>
        <w:rPr>
          <w:b/>
          <w:bCs/>
        </w:rPr>
        <w:t>.</w:t>
      </w:r>
    </w:p>
    <w:p w14:paraId="3445A543" w14:textId="77777777" w:rsidR="00136E5A" w:rsidRDefault="00136E5A" w:rsidP="007846BE">
      <w:pPr>
        <w:keepNext/>
        <w:widowControl/>
      </w:pPr>
    </w:p>
    <w:p w14:paraId="6EE1C571" w14:textId="1CD27294" w:rsidR="006A0A9B" w:rsidRPr="002D2997" w:rsidRDefault="006A0A9B" w:rsidP="00A91567">
      <w:pPr>
        <w:widowControl/>
      </w:pPr>
      <w:r w:rsidRPr="00810DC9">
        <w:t>The estimated total annualized costs to the Federal government for these information collections are approximately $</w:t>
      </w:r>
      <w:r w:rsidR="0067292A">
        <w:t>233,099</w:t>
      </w:r>
      <w:r w:rsidRPr="00810DC9">
        <w:t>.</w:t>
      </w:r>
    </w:p>
    <w:p w14:paraId="6660728A" w14:textId="77777777" w:rsidR="006A0A9B" w:rsidRPr="00810DC9" w:rsidRDefault="006A0A9B" w:rsidP="00A91567">
      <w:pPr>
        <w:widowControl/>
      </w:pPr>
    </w:p>
    <w:p w14:paraId="1D1706F4" w14:textId="70FAC4BC" w:rsidR="006A0A9B" w:rsidRPr="00810DC9" w:rsidRDefault="006A0A9B" w:rsidP="00A91567">
      <w:pPr>
        <w:widowControl/>
        <w:ind w:left="720" w:hanging="720"/>
      </w:pPr>
      <w:r w:rsidRPr="00810DC9">
        <w:t>(a)</w:t>
      </w:r>
      <w:r w:rsidRPr="00810DC9">
        <w:tab/>
      </w:r>
      <w:r w:rsidRPr="00810DC9">
        <w:rPr>
          <w:i/>
          <w:u w:val="single"/>
        </w:rPr>
        <w:t xml:space="preserve">Form </w:t>
      </w:r>
      <w:r w:rsidR="00F82993">
        <w:rPr>
          <w:i/>
          <w:u w:val="single"/>
        </w:rPr>
        <w:t>ED-840</w:t>
      </w:r>
      <w:r w:rsidRPr="00810DC9">
        <w:rPr>
          <w:i/>
          <w:u w:val="single"/>
        </w:rPr>
        <w:t>P (Petition by a Firm for Certification of Eligibility to Apply for Trade Adjustment Assistance)</w:t>
      </w:r>
      <w:r w:rsidRPr="00810DC9">
        <w:t xml:space="preserve">:  </w:t>
      </w:r>
      <w:r>
        <w:t>$</w:t>
      </w:r>
      <w:r w:rsidR="007F68C9">
        <w:t>146</w:t>
      </w:r>
      <w:r w:rsidR="000B30C6">
        <w:t>,</w:t>
      </w:r>
      <w:r w:rsidR="007F68C9">
        <w:t>492</w:t>
      </w:r>
      <w:r>
        <w:t xml:space="preserve">; </w:t>
      </w:r>
      <w:r w:rsidRPr="00810DC9">
        <w:t>The cost associated with review of Form ED-840P for eligibility certification i</w:t>
      </w:r>
      <w:r>
        <w:t xml:space="preserve">s based on </w:t>
      </w:r>
      <w:r w:rsidR="00D444A2">
        <w:t xml:space="preserve">80 </w:t>
      </w:r>
      <w:r>
        <w:t>percent</w:t>
      </w:r>
      <w:r w:rsidRPr="00810DC9">
        <w:t xml:space="preserve"> of a </w:t>
      </w:r>
      <w:r w:rsidR="005262F8">
        <w:t>program analyst’s</w:t>
      </w:r>
      <w:r w:rsidRPr="00810DC9">
        <w:t xml:space="preserve"> salary ($</w:t>
      </w:r>
      <w:r w:rsidR="005262F8">
        <w:t>84,548</w:t>
      </w:r>
      <w:r w:rsidR="00F3105F">
        <w:t xml:space="preserve"> – GS 12, Step 1</w:t>
      </w:r>
      <w:r w:rsidR="005262F8">
        <w:t>)</w:t>
      </w:r>
      <w:r w:rsidR="00DB5314">
        <w:t xml:space="preserve"> </w:t>
      </w:r>
      <w:r w:rsidR="005262F8">
        <w:t xml:space="preserve">10 </w:t>
      </w:r>
      <w:r w:rsidR="00DB5314">
        <w:t>percent</w:t>
      </w:r>
      <w:r w:rsidRPr="00810DC9">
        <w:t xml:space="preserve"> of an attorney’s annual salary ($</w:t>
      </w:r>
      <w:r w:rsidR="005262F8">
        <w:t>114,590</w:t>
      </w:r>
      <w:r w:rsidR="00F3105F" w:rsidRPr="00F3105F">
        <w:t xml:space="preserve"> </w:t>
      </w:r>
      <w:r w:rsidR="00F3105F">
        <w:t>GS 14, Step 1</w:t>
      </w:r>
      <w:r w:rsidRPr="00810DC9">
        <w:t>)</w:t>
      </w:r>
      <w:r w:rsidR="00DB5314">
        <w:t>,</w:t>
      </w:r>
      <w:r w:rsidR="00DB5314" w:rsidRPr="00DB5314">
        <w:t xml:space="preserve"> </w:t>
      </w:r>
      <w:r w:rsidR="002647A7">
        <w:t xml:space="preserve">and </w:t>
      </w:r>
      <w:r w:rsidR="0033182C">
        <w:t>5</w:t>
      </w:r>
      <w:r w:rsidR="002647A7">
        <w:t>0 percent of a d</w:t>
      </w:r>
      <w:r w:rsidR="00DB5314">
        <w:t>irector’s salary ($</w:t>
      </w:r>
      <w:r w:rsidR="005262F8">
        <w:t>134,789</w:t>
      </w:r>
      <w:r w:rsidR="00F3105F">
        <w:t>– GS 15 – Step 1</w:t>
      </w:r>
      <w:r w:rsidR="00DB5314">
        <w:t>)</w:t>
      </w:r>
      <w:r w:rsidRPr="00810DC9">
        <w:t xml:space="preserve">.  </w:t>
      </w:r>
    </w:p>
    <w:p w14:paraId="17728AEC" w14:textId="77777777" w:rsidR="006A0A9B" w:rsidRPr="00810DC9" w:rsidRDefault="006A0A9B" w:rsidP="00A91567">
      <w:pPr>
        <w:widowControl/>
        <w:ind w:left="720" w:hanging="720"/>
      </w:pPr>
    </w:p>
    <w:p w14:paraId="20482FC4" w14:textId="0CF65C52" w:rsidR="006A0A9B" w:rsidRDefault="006A0A9B" w:rsidP="00A91567">
      <w:pPr>
        <w:widowControl/>
        <w:ind w:left="720" w:hanging="720"/>
      </w:pPr>
      <w:r w:rsidRPr="00810DC9">
        <w:t>(b)</w:t>
      </w:r>
      <w:r w:rsidRPr="00810DC9">
        <w:tab/>
      </w:r>
      <w:r w:rsidRPr="00810DC9">
        <w:rPr>
          <w:i/>
          <w:u w:val="single"/>
        </w:rPr>
        <w:t>Adjustment Proposals</w:t>
      </w:r>
      <w:r w:rsidRPr="00810DC9">
        <w:t xml:space="preserve">:  </w:t>
      </w:r>
      <w:r>
        <w:t>$</w:t>
      </w:r>
      <w:r w:rsidR="007F68C9">
        <w:t>86</w:t>
      </w:r>
      <w:r w:rsidR="000B30C6">
        <w:t>,</w:t>
      </w:r>
      <w:r w:rsidR="007F68C9">
        <w:t>607</w:t>
      </w:r>
      <w:r>
        <w:t xml:space="preserve">; </w:t>
      </w:r>
      <w:r w:rsidRPr="00810DC9">
        <w:t xml:space="preserve">The costs associated with review of adjustment proposals is based </w:t>
      </w:r>
      <w:r w:rsidR="008E559E">
        <w:t xml:space="preserve">on </w:t>
      </w:r>
      <w:r w:rsidR="002647A7">
        <w:t>8</w:t>
      </w:r>
      <w:r>
        <w:t>0 percent</w:t>
      </w:r>
      <w:r w:rsidRPr="00810DC9">
        <w:t xml:space="preserve"> of a </w:t>
      </w:r>
      <w:r w:rsidR="00F3105F">
        <w:t>program analyst’s</w:t>
      </w:r>
      <w:r w:rsidRPr="00810DC9">
        <w:t xml:space="preserve"> salary ($</w:t>
      </w:r>
      <w:r w:rsidR="00F3105F">
        <w:t>96,970 – GS 13, Step 1</w:t>
      </w:r>
      <w:r w:rsidRPr="00810DC9">
        <w:t>)</w:t>
      </w:r>
      <w:r w:rsidR="002647A7">
        <w:t>,</w:t>
      </w:r>
      <w:r w:rsidRPr="00810DC9">
        <w:t xml:space="preserve"> </w:t>
      </w:r>
      <w:r w:rsidR="002647A7">
        <w:t xml:space="preserve">two percent </w:t>
      </w:r>
      <w:r w:rsidR="00D14174">
        <w:t xml:space="preserve">of </w:t>
      </w:r>
      <w:r w:rsidRPr="00810DC9">
        <w:t>an attorney’s annual salary ($</w:t>
      </w:r>
      <w:r w:rsidR="005262F8">
        <w:t>114,590</w:t>
      </w:r>
      <w:r w:rsidR="00F3105F">
        <w:t xml:space="preserve"> – GS 14, Step 1</w:t>
      </w:r>
      <w:r w:rsidRPr="00810DC9">
        <w:t>)</w:t>
      </w:r>
      <w:r w:rsidR="002647A7">
        <w:t>,</w:t>
      </w:r>
      <w:r w:rsidR="002647A7" w:rsidRPr="002647A7">
        <w:t xml:space="preserve"> </w:t>
      </w:r>
      <w:r w:rsidR="002647A7" w:rsidRPr="00810DC9">
        <w:t>and</w:t>
      </w:r>
      <w:r w:rsidR="000B30C6">
        <w:t xml:space="preserve"> </w:t>
      </w:r>
      <w:r w:rsidR="00D444A2">
        <w:t>five</w:t>
      </w:r>
      <w:r w:rsidR="002647A7">
        <w:t xml:space="preserve"> percent of a director’s salary ($</w:t>
      </w:r>
      <w:r w:rsidR="005262F8">
        <w:t>134,789</w:t>
      </w:r>
      <w:r w:rsidR="00F3105F">
        <w:t xml:space="preserve"> – GS 15 – Step 1</w:t>
      </w:r>
      <w:r w:rsidR="002647A7">
        <w:t>)</w:t>
      </w:r>
      <w:r w:rsidRPr="00810DC9">
        <w:t>.</w:t>
      </w:r>
    </w:p>
    <w:p w14:paraId="0C5D363E" w14:textId="5400A1E1" w:rsidR="006A0A9B" w:rsidRDefault="006A0A9B" w:rsidP="00A91567">
      <w:pPr>
        <w:widowControl/>
        <w:ind w:left="720" w:hanging="720"/>
      </w:pPr>
      <w:r w:rsidRPr="00810DC9">
        <w:t xml:space="preserve"> </w:t>
      </w:r>
    </w:p>
    <w:p w14:paraId="5338709E" w14:textId="2070C13F" w:rsidR="007F68C9" w:rsidRPr="00B97A85" w:rsidRDefault="007F68C9" w:rsidP="007F68C9">
      <w:pPr>
        <w:keepNext/>
        <w:widowControl/>
        <w:autoSpaceDE/>
        <w:autoSpaceDN/>
        <w:adjustRightInd/>
        <w:ind w:left="720"/>
        <w:rPr>
          <w:b/>
          <w:bCs/>
        </w:rPr>
      </w:pPr>
      <w:r w:rsidRPr="00B97A85">
        <w:rPr>
          <w:b/>
          <w:bCs/>
        </w:rPr>
        <w:t xml:space="preserve">Table </w:t>
      </w:r>
      <w:r>
        <w:rPr>
          <w:b/>
          <w:bCs/>
        </w:rPr>
        <w:t>2</w:t>
      </w:r>
      <w:r w:rsidRPr="00B97A85">
        <w:rPr>
          <w:b/>
          <w:bCs/>
        </w:rPr>
        <w:t xml:space="preserve">.  </w:t>
      </w:r>
      <w:r>
        <w:rPr>
          <w:b/>
          <w:bCs/>
        </w:rPr>
        <w:t xml:space="preserve">Estimated Total Annual Cost to the Government for </w:t>
      </w:r>
      <w:r w:rsidRPr="00B97A85">
        <w:rPr>
          <w:b/>
          <w:bCs/>
        </w:rPr>
        <w:t>TAAF Petitions (Form ED-840P</w:t>
      </w:r>
      <w:r>
        <w:rPr>
          <w:b/>
          <w:bCs/>
        </w:rPr>
        <w:t>) and Adjustment Proposals.</w:t>
      </w:r>
    </w:p>
    <w:p w14:paraId="374F10D3" w14:textId="77777777" w:rsidR="007F68C9" w:rsidRPr="00810DC9" w:rsidRDefault="007F68C9" w:rsidP="00A91567">
      <w:pPr>
        <w:widowControl/>
        <w:ind w:left="720" w:hanging="720"/>
      </w:pPr>
    </w:p>
    <w:p w14:paraId="05640255" w14:textId="77777777" w:rsidR="000B30C6" w:rsidRPr="003A2588" w:rsidRDefault="000B30C6" w:rsidP="00040406">
      <w:pPr>
        <w:widowControl/>
        <w:rPr>
          <w:sz w:val="20"/>
          <w:szCs w:val="20"/>
        </w:rPr>
      </w:pPr>
    </w:p>
    <w:tbl>
      <w:tblPr>
        <w:tblW w:w="8640" w:type="dxa"/>
        <w:tblInd w:w="720" w:type="dxa"/>
        <w:tblLook w:val="0000" w:firstRow="0" w:lastRow="0" w:firstColumn="0" w:lastColumn="0" w:noHBand="0" w:noVBand="0"/>
      </w:tblPr>
      <w:tblGrid>
        <w:gridCol w:w="1866"/>
        <w:gridCol w:w="1523"/>
        <w:gridCol w:w="745"/>
        <w:gridCol w:w="1057"/>
        <w:gridCol w:w="796"/>
        <w:gridCol w:w="1033"/>
        <w:gridCol w:w="1620"/>
      </w:tblGrid>
      <w:tr w:rsidR="00D444A2" w:rsidRPr="003A2588" w14:paraId="33CA02B8" w14:textId="77777777" w:rsidTr="007F68C9">
        <w:trPr>
          <w:trHeight w:val="255"/>
        </w:trPr>
        <w:tc>
          <w:tcPr>
            <w:tcW w:w="1866" w:type="dxa"/>
            <w:tcBorders>
              <w:top w:val="nil"/>
              <w:left w:val="nil"/>
              <w:bottom w:val="nil"/>
              <w:right w:val="nil"/>
            </w:tcBorders>
            <w:shd w:val="clear" w:color="auto" w:fill="auto"/>
            <w:noWrap/>
            <w:vAlign w:val="bottom"/>
          </w:tcPr>
          <w:p w14:paraId="2AFEED6D" w14:textId="77777777" w:rsidR="00AE6D13" w:rsidRPr="00486A31" w:rsidRDefault="00AE6D13" w:rsidP="00A91567">
            <w:pPr>
              <w:widowControl/>
              <w:autoSpaceDE/>
              <w:autoSpaceDN/>
              <w:adjustRightInd/>
              <w:rPr>
                <w:sz w:val="22"/>
                <w:szCs w:val="22"/>
              </w:rPr>
            </w:pPr>
          </w:p>
        </w:tc>
        <w:tc>
          <w:tcPr>
            <w:tcW w:w="1523" w:type="dxa"/>
            <w:tcBorders>
              <w:top w:val="nil"/>
              <w:left w:val="nil"/>
              <w:bottom w:val="nil"/>
              <w:right w:val="nil"/>
            </w:tcBorders>
            <w:shd w:val="clear" w:color="auto" w:fill="auto"/>
            <w:noWrap/>
            <w:vAlign w:val="bottom"/>
          </w:tcPr>
          <w:p w14:paraId="10E72DFD" w14:textId="77777777" w:rsidR="00AE6D13" w:rsidRPr="00486A31" w:rsidRDefault="00AE6D13" w:rsidP="00A91567">
            <w:pPr>
              <w:widowControl/>
              <w:autoSpaceDE/>
              <w:autoSpaceDN/>
              <w:adjustRightInd/>
              <w:rPr>
                <w:b/>
                <w:bCs/>
                <w:sz w:val="22"/>
                <w:szCs w:val="22"/>
              </w:rPr>
            </w:pPr>
          </w:p>
        </w:tc>
        <w:tc>
          <w:tcPr>
            <w:tcW w:w="18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DC1004" w14:textId="5DD39333" w:rsidR="00AE6D13" w:rsidRPr="00486A31" w:rsidRDefault="00AE6D13" w:rsidP="007F68C9">
            <w:pPr>
              <w:widowControl/>
              <w:autoSpaceDE/>
              <w:autoSpaceDN/>
              <w:adjustRightInd/>
              <w:jc w:val="center"/>
              <w:rPr>
                <w:b/>
                <w:bCs/>
                <w:sz w:val="22"/>
                <w:szCs w:val="22"/>
              </w:rPr>
            </w:pPr>
            <w:r w:rsidRPr="00486A31">
              <w:rPr>
                <w:b/>
                <w:bCs/>
                <w:sz w:val="22"/>
                <w:szCs w:val="22"/>
              </w:rPr>
              <w:t>Petitions</w:t>
            </w:r>
            <w:r w:rsidR="007F68C9">
              <w:rPr>
                <w:b/>
                <w:bCs/>
                <w:sz w:val="22"/>
                <w:szCs w:val="22"/>
              </w:rPr>
              <w:br/>
            </w:r>
            <w:r w:rsidRPr="00486A31">
              <w:rPr>
                <w:b/>
                <w:bCs/>
                <w:sz w:val="22"/>
                <w:szCs w:val="22"/>
              </w:rPr>
              <w:t>(</w:t>
            </w:r>
            <w:r w:rsidR="007F68C9">
              <w:rPr>
                <w:b/>
                <w:bCs/>
                <w:sz w:val="22"/>
                <w:szCs w:val="22"/>
              </w:rPr>
              <w:t xml:space="preserve">Form </w:t>
            </w:r>
            <w:r w:rsidRPr="00486A31">
              <w:rPr>
                <w:b/>
                <w:bCs/>
                <w:sz w:val="22"/>
                <w:szCs w:val="22"/>
              </w:rPr>
              <w:t>ED-840P</w:t>
            </w:r>
            <w:r w:rsidR="007F68C9">
              <w:rPr>
                <w:b/>
                <w:bCs/>
                <w:sz w:val="22"/>
                <w:szCs w:val="22"/>
              </w:rPr>
              <w:t>)</w:t>
            </w:r>
          </w:p>
        </w:tc>
        <w:tc>
          <w:tcPr>
            <w:tcW w:w="1829" w:type="dxa"/>
            <w:gridSpan w:val="2"/>
            <w:tcBorders>
              <w:top w:val="single" w:sz="4" w:space="0" w:color="auto"/>
              <w:left w:val="nil"/>
              <w:bottom w:val="single" w:sz="4" w:space="0" w:color="auto"/>
              <w:right w:val="single" w:sz="4" w:space="0" w:color="000000"/>
            </w:tcBorders>
            <w:shd w:val="clear" w:color="auto" w:fill="auto"/>
            <w:noWrap/>
            <w:vAlign w:val="bottom"/>
          </w:tcPr>
          <w:p w14:paraId="085F1969" w14:textId="18C2EE36" w:rsidR="00AE6D13" w:rsidRPr="00486A31" w:rsidRDefault="007F68C9" w:rsidP="00A91567">
            <w:pPr>
              <w:widowControl/>
              <w:autoSpaceDE/>
              <w:autoSpaceDN/>
              <w:adjustRightInd/>
              <w:jc w:val="center"/>
              <w:rPr>
                <w:b/>
                <w:bCs/>
                <w:sz w:val="22"/>
                <w:szCs w:val="22"/>
              </w:rPr>
            </w:pPr>
            <w:r>
              <w:rPr>
                <w:b/>
                <w:bCs/>
                <w:sz w:val="22"/>
                <w:szCs w:val="22"/>
              </w:rPr>
              <w:t>Adjustment Proposals</w:t>
            </w:r>
          </w:p>
        </w:tc>
        <w:tc>
          <w:tcPr>
            <w:tcW w:w="1620" w:type="dxa"/>
            <w:tcBorders>
              <w:top w:val="nil"/>
              <w:left w:val="nil"/>
              <w:bottom w:val="nil"/>
              <w:right w:val="nil"/>
            </w:tcBorders>
            <w:shd w:val="clear" w:color="auto" w:fill="auto"/>
            <w:noWrap/>
            <w:vAlign w:val="bottom"/>
          </w:tcPr>
          <w:p w14:paraId="1D8288E2" w14:textId="77777777" w:rsidR="00AE6D13" w:rsidRPr="00486A31" w:rsidRDefault="00AE6D13" w:rsidP="00A91567">
            <w:pPr>
              <w:widowControl/>
              <w:autoSpaceDE/>
              <w:autoSpaceDN/>
              <w:adjustRightInd/>
              <w:rPr>
                <w:sz w:val="22"/>
                <w:szCs w:val="22"/>
              </w:rPr>
            </w:pPr>
          </w:p>
        </w:tc>
      </w:tr>
      <w:tr w:rsidR="00D444A2" w:rsidRPr="00486A31" w14:paraId="7CBA8F49" w14:textId="77777777" w:rsidTr="007F68C9">
        <w:trPr>
          <w:trHeight w:val="510"/>
        </w:trPr>
        <w:tc>
          <w:tcPr>
            <w:tcW w:w="1866" w:type="dxa"/>
            <w:tcBorders>
              <w:top w:val="single" w:sz="4" w:space="0" w:color="auto"/>
              <w:left w:val="single" w:sz="4" w:space="0" w:color="auto"/>
              <w:bottom w:val="single" w:sz="4" w:space="0" w:color="auto"/>
              <w:right w:val="single" w:sz="4" w:space="0" w:color="auto"/>
            </w:tcBorders>
            <w:shd w:val="clear" w:color="auto" w:fill="auto"/>
            <w:vAlign w:val="bottom"/>
          </w:tcPr>
          <w:p w14:paraId="67D724A8" w14:textId="77777777" w:rsidR="00AE6D13" w:rsidRPr="00486A31" w:rsidRDefault="00AE6D13" w:rsidP="00040406">
            <w:pPr>
              <w:widowControl/>
              <w:autoSpaceDE/>
              <w:autoSpaceDN/>
              <w:adjustRightInd/>
              <w:jc w:val="center"/>
              <w:rPr>
                <w:i/>
                <w:iCs/>
                <w:sz w:val="22"/>
                <w:szCs w:val="22"/>
              </w:rPr>
            </w:pPr>
            <w:r w:rsidRPr="00486A31">
              <w:rPr>
                <w:i/>
                <w:iCs/>
                <w:sz w:val="22"/>
                <w:szCs w:val="22"/>
              </w:rPr>
              <w:t>Position/ Item</w:t>
            </w:r>
          </w:p>
        </w:tc>
        <w:tc>
          <w:tcPr>
            <w:tcW w:w="1523" w:type="dxa"/>
            <w:tcBorders>
              <w:top w:val="single" w:sz="4" w:space="0" w:color="auto"/>
              <w:left w:val="nil"/>
              <w:bottom w:val="single" w:sz="4" w:space="0" w:color="auto"/>
              <w:right w:val="single" w:sz="4" w:space="0" w:color="auto"/>
            </w:tcBorders>
            <w:shd w:val="clear" w:color="auto" w:fill="auto"/>
            <w:vAlign w:val="bottom"/>
          </w:tcPr>
          <w:p w14:paraId="43A63CBD" w14:textId="77777777" w:rsidR="00AE6D13" w:rsidRPr="00486A31" w:rsidRDefault="00AE6D13" w:rsidP="00040406">
            <w:pPr>
              <w:widowControl/>
              <w:autoSpaceDE/>
              <w:autoSpaceDN/>
              <w:adjustRightInd/>
              <w:jc w:val="center"/>
              <w:rPr>
                <w:i/>
                <w:iCs/>
                <w:sz w:val="22"/>
                <w:szCs w:val="22"/>
              </w:rPr>
            </w:pPr>
            <w:r w:rsidRPr="00486A31">
              <w:rPr>
                <w:i/>
                <w:iCs/>
                <w:sz w:val="22"/>
                <w:szCs w:val="22"/>
              </w:rPr>
              <w:t>Annual Salary/Cost</w:t>
            </w:r>
          </w:p>
        </w:tc>
        <w:tc>
          <w:tcPr>
            <w:tcW w:w="745" w:type="dxa"/>
            <w:tcBorders>
              <w:top w:val="nil"/>
              <w:left w:val="nil"/>
              <w:bottom w:val="single" w:sz="4" w:space="0" w:color="auto"/>
              <w:right w:val="single" w:sz="4" w:space="0" w:color="auto"/>
            </w:tcBorders>
            <w:shd w:val="clear" w:color="auto" w:fill="auto"/>
            <w:vAlign w:val="bottom"/>
          </w:tcPr>
          <w:p w14:paraId="5B74F43A" w14:textId="77777777" w:rsidR="00AE6D13" w:rsidRPr="00486A31" w:rsidRDefault="00AE6D13" w:rsidP="00040406">
            <w:pPr>
              <w:widowControl/>
              <w:autoSpaceDE/>
              <w:autoSpaceDN/>
              <w:adjustRightInd/>
              <w:jc w:val="center"/>
              <w:rPr>
                <w:i/>
                <w:iCs/>
                <w:sz w:val="22"/>
                <w:szCs w:val="22"/>
              </w:rPr>
            </w:pPr>
            <w:r w:rsidRPr="00486A31">
              <w:rPr>
                <w:i/>
                <w:iCs/>
                <w:sz w:val="22"/>
                <w:szCs w:val="22"/>
              </w:rPr>
              <w:t>% of time</w:t>
            </w:r>
          </w:p>
        </w:tc>
        <w:tc>
          <w:tcPr>
            <w:tcW w:w="1057" w:type="dxa"/>
            <w:tcBorders>
              <w:top w:val="nil"/>
              <w:left w:val="nil"/>
              <w:bottom w:val="single" w:sz="4" w:space="0" w:color="auto"/>
              <w:right w:val="single" w:sz="4" w:space="0" w:color="auto"/>
            </w:tcBorders>
            <w:shd w:val="clear" w:color="auto" w:fill="auto"/>
            <w:vAlign w:val="bottom"/>
          </w:tcPr>
          <w:p w14:paraId="30CA3F8B" w14:textId="77777777" w:rsidR="00AE6D13" w:rsidRPr="00486A31" w:rsidRDefault="00AE6D13" w:rsidP="00040406">
            <w:pPr>
              <w:widowControl/>
              <w:autoSpaceDE/>
              <w:autoSpaceDN/>
              <w:adjustRightInd/>
              <w:jc w:val="center"/>
              <w:rPr>
                <w:i/>
                <w:iCs/>
                <w:sz w:val="22"/>
                <w:szCs w:val="22"/>
              </w:rPr>
            </w:pPr>
            <w:r w:rsidRPr="00486A31">
              <w:rPr>
                <w:i/>
                <w:iCs/>
                <w:sz w:val="22"/>
                <w:szCs w:val="22"/>
              </w:rPr>
              <w:t>Cost</w:t>
            </w:r>
          </w:p>
        </w:tc>
        <w:tc>
          <w:tcPr>
            <w:tcW w:w="796" w:type="dxa"/>
            <w:tcBorders>
              <w:top w:val="nil"/>
              <w:left w:val="nil"/>
              <w:bottom w:val="single" w:sz="4" w:space="0" w:color="auto"/>
              <w:right w:val="single" w:sz="4" w:space="0" w:color="auto"/>
            </w:tcBorders>
            <w:shd w:val="clear" w:color="auto" w:fill="auto"/>
            <w:vAlign w:val="bottom"/>
          </w:tcPr>
          <w:p w14:paraId="59F4959B" w14:textId="77777777" w:rsidR="00AE6D13" w:rsidRPr="00486A31" w:rsidRDefault="00AE6D13" w:rsidP="00040406">
            <w:pPr>
              <w:widowControl/>
              <w:autoSpaceDE/>
              <w:autoSpaceDN/>
              <w:adjustRightInd/>
              <w:jc w:val="center"/>
              <w:rPr>
                <w:i/>
                <w:iCs/>
                <w:sz w:val="22"/>
                <w:szCs w:val="22"/>
              </w:rPr>
            </w:pPr>
            <w:r w:rsidRPr="00486A31">
              <w:rPr>
                <w:i/>
                <w:iCs/>
                <w:sz w:val="22"/>
                <w:szCs w:val="22"/>
              </w:rPr>
              <w:t>% of time</w:t>
            </w:r>
          </w:p>
        </w:tc>
        <w:tc>
          <w:tcPr>
            <w:tcW w:w="1033" w:type="dxa"/>
            <w:tcBorders>
              <w:top w:val="nil"/>
              <w:left w:val="nil"/>
              <w:bottom w:val="single" w:sz="4" w:space="0" w:color="auto"/>
              <w:right w:val="single" w:sz="4" w:space="0" w:color="auto"/>
            </w:tcBorders>
            <w:shd w:val="clear" w:color="auto" w:fill="auto"/>
            <w:vAlign w:val="bottom"/>
          </w:tcPr>
          <w:p w14:paraId="171C3A8C" w14:textId="77777777" w:rsidR="00AE6D13" w:rsidRPr="00486A31" w:rsidRDefault="00AE6D13" w:rsidP="00040406">
            <w:pPr>
              <w:widowControl/>
              <w:autoSpaceDE/>
              <w:autoSpaceDN/>
              <w:adjustRightInd/>
              <w:jc w:val="center"/>
              <w:rPr>
                <w:i/>
                <w:iCs/>
                <w:sz w:val="22"/>
                <w:szCs w:val="22"/>
              </w:rPr>
            </w:pPr>
            <w:r w:rsidRPr="00486A31">
              <w:rPr>
                <w:i/>
                <w:iCs/>
                <w:sz w:val="22"/>
                <w:szCs w:val="22"/>
              </w:rPr>
              <w:t>Cost</w:t>
            </w:r>
          </w:p>
        </w:tc>
        <w:tc>
          <w:tcPr>
            <w:tcW w:w="1171" w:type="dxa"/>
            <w:tcBorders>
              <w:top w:val="single" w:sz="4" w:space="0" w:color="auto"/>
              <w:left w:val="nil"/>
              <w:bottom w:val="single" w:sz="4" w:space="0" w:color="auto"/>
              <w:right w:val="single" w:sz="4" w:space="0" w:color="auto"/>
            </w:tcBorders>
            <w:shd w:val="clear" w:color="auto" w:fill="auto"/>
            <w:vAlign w:val="bottom"/>
          </w:tcPr>
          <w:p w14:paraId="570883F1" w14:textId="77777777" w:rsidR="00AE6D13" w:rsidRPr="00486A31" w:rsidRDefault="00AE6D13" w:rsidP="00040406">
            <w:pPr>
              <w:widowControl/>
              <w:autoSpaceDE/>
              <w:autoSpaceDN/>
              <w:adjustRightInd/>
              <w:jc w:val="center"/>
              <w:rPr>
                <w:i/>
                <w:iCs/>
                <w:sz w:val="22"/>
                <w:szCs w:val="22"/>
              </w:rPr>
            </w:pPr>
            <w:r w:rsidRPr="00486A31">
              <w:rPr>
                <w:i/>
                <w:iCs/>
                <w:sz w:val="22"/>
                <w:szCs w:val="22"/>
              </w:rPr>
              <w:t>Total</w:t>
            </w:r>
          </w:p>
        </w:tc>
      </w:tr>
      <w:tr w:rsidR="00D444A2" w:rsidRPr="003A2588" w14:paraId="2C24A58B" w14:textId="77777777" w:rsidTr="007F68C9">
        <w:trPr>
          <w:trHeight w:val="25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1C17E273" w14:textId="77777777" w:rsidR="00AE6D13" w:rsidRPr="00486A31" w:rsidRDefault="00AE6D13" w:rsidP="00A91567">
            <w:pPr>
              <w:widowControl/>
              <w:autoSpaceDE/>
              <w:autoSpaceDN/>
              <w:adjustRightInd/>
              <w:rPr>
                <w:sz w:val="22"/>
                <w:szCs w:val="22"/>
              </w:rPr>
            </w:pPr>
            <w:r w:rsidRPr="00486A31">
              <w:rPr>
                <w:sz w:val="22"/>
                <w:szCs w:val="22"/>
              </w:rPr>
              <w:t>AP Examiner</w:t>
            </w:r>
          </w:p>
        </w:tc>
        <w:tc>
          <w:tcPr>
            <w:tcW w:w="1523" w:type="dxa"/>
            <w:tcBorders>
              <w:top w:val="nil"/>
              <w:left w:val="nil"/>
              <w:bottom w:val="single" w:sz="4" w:space="0" w:color="auto"/>
              <w:right w:val="single" w:sz="4" w:space="0" w:color="auto"/>
            </w:tcBorders>
            <w:shd w:val="clear" w:color="auto" w:fill="auto"/>
            <w:noWrap/>
            <w:vAlign w:val="bottom"/>
          </w:tcPr>
          <w:p w14:paraId="5B57243A" w14:textId="6FE280B5" w:rsidR="00AE6D13" w:rsidRPr="00486A31" w:rsidRDefault="00AE6D13" w:rsidP="00A91567">
            <w:pPr>
              <w:widowControl/>
              <w:jc w:val="right"/>
              <w:rPr>
                <w:sz w:val="22"/>
                <w:szCs w:val="22"/>
              </w:rPr>
            </w:pPr>
            <w:r w:rsidRPr="00486A31">
              <w:rPr>
                <w:sz w:val="22"/>
                <w:szCs w:val="22"/>
              </w:rPr>
              <w:t>$</w:t>
            </w:r>
            <w:r w:rsidR="00F3105F">
              <w:rPr>
                <w:sz w:val="22"/>
                <w:szCs w:val="22"/>
              </w:rPr>
              <w:t>96,970</w:t>
            </w:r>
            <w:r w:rsidRPr="00486A31">
              <w:rPr>
                <w:sz w:val="22"/>
                <w:szCs w:val="22"/>
              </w:rPr>
              <w:t xml:space="preserve"> </w:t>
            </w:r>
          </w:p>
        </w:tc>
        <w:tc>
          <w:tcPr>
            <w:tcW w:w="745" w:type="dxa"/>
            <w:tcBorders>
              <w:top w:val="nil"/>
              <w:left w:val="nil"/>
              <w:bottom w:val="single" w:sz="4" w:space="0" w:color="auto"/>
              <w:right w:val="single" w:sz="4" w:space="0" w:color="auto"/>
            </w:tcBorders>
            <w:shd w:val="clear" w:color="auto" w:fill="auto"/>
            <w:noWrap/>
            <w:vAlign w:val="bottom"/>
          </w:tcPr>
          <w:p w14:paraId="3915A5BB" w14:textId="77777777" w:rsidR="00AE6D13" w:rsidRPr="00486A31" w:rsidRDefault="00AE6D13" w:rsidP="00A91567">
            <w:pPr>
              <w:widowControl/>
              <w:jc w:val="right"/>
              <w:rPr>
                <w:sz w:val="22"/>
                <w:szCs w:val="22"/>
              </w:rPr>
            </w:pPr>
            <w:r w:rsidRPr="00486A31">
              <w:rPr>
                <w:sz w:val="22"/>
                <w:szCs w:val="22"/>
              </w:rPr>
              <w:t>0%</w:t>
            </w:r>
          </w:p>
        </w:tc>
        <w:tc>
          <w:tcPr>
            <w:tcW w:w="1057" w:type="dxa"/>
            <w:tcBorders>
              <w:top w:val="nil"/>
              <w:left w:val="nil"/>
              <w:bottom w:val="single" w:sz="4" w:space="0" w:color="auto"/>
              <w:right w:val="single" w:sz="4" w:space="0" w:color="auto"/>
            </w:tcBorders>
            <w:shd w:val="clear" w:color="auto" w:fill="auto"/>
            <w:noWrap/>
            <w:vAlign w:val="bottom"/>
          </w:tcPr>
          <w:p w14:paraId="0E83B68D" w14:textId="77777777" w:rsidR="00AE6D13" w:rsidRPr="00486A31" w:rsidRDefault="00AE6D13" w:rsidP="00A91567">
            <w:pPr>
              <w:widowControl/>
              <w:jc w:val="right"/>
              <w:rPr>
                <w:sz w:val="22"/>
                <w:szCs w:val="22"/>
              </w:rPr>
            </w:pPr>
            <w:r w:rsidRPr="00486A31">
              <w:rPr>
                <w:sz w:val="22"/>
                <w:szCs w:val="22"/>
              </w:rPr>
              <w:t xml:space="preserve">$0 </w:t>
            </w:r>
          </w:p>
        </w:tc>
        <w:tc>
          <w:tcPr>
            <w:tcW w:w="796" w:type="dxa"/>
            <w:tcBorders>
              <w:top w:val="nil"/>
              <w:left w:val="nil"/>
              <w:bottom w:val="single" w:sz="4" w:space="0" w:color="auto"/>
              <w:right w:val="single" w:sz="4" w:space="0" w:color="auto"/>
            </w:tcBorders>
            <w:shd w:val="clear" w:color="auto" w:fill="auto"/>
            <w:noWrap/>
            <w:vAlign w:val="bottom"/>
          </w:tcPr>
          <w:p w14:paraId="6DFEFADD" w14:textId="77777777" w:rsidR="00AE6D13" w:rsidRPr="00486A31" w:rsidRDefault="00AE6D13" w:rsidP="00A91567">
            <w:pPr>
              <w:widowControl/>
              <w:jc w:val="right"/>
              <w:rPr>
                <w:sz w:val="22"/>
                <w:szCs w:val="22"/>
              </w:rPr>
            </w:pPr>
            <w:r w:rsidRPr="00486A31">
              <w:rPr>
                <w:sz w:val="22"/>
                <w:szCs w:val="22"/>
              </w:rPr>
              <w:t>80%</w:t>
            </w:r>
          </w:p>
        </w:tc>
        <w:tc>
          <w:tcPr>
            <w:tcW w:w="1033" w:type="dxa"/>
            <w:tcBorders>
              <w:top w:val="nil"/>
              <w:left w:val="nil"/>
              <w:bottom w:val="single" w:sz="4" w:space="0" w:color="auto"/>
              <w:right w:val="single" w:sz="4" w:space="0" w:color="auto"/>
            </w:tcBorders>
            <w:shd w:val="clear" w:color="auto" w:fill="auto"/>
            <w:noWrap/>
            <w:vAlign w:val="bottom"/>
          </w:tcPr>
          <w:p w14:paraId="69EAE09A" w14:textId="5F709E62" w:rsidR="00AE6D13" w:rsidRPr="00486A31" w:rsidRDefault="00AE6D13" w:rsidP="00A91567">
            <w:pPr>
              <w:widowControl/>
              <w:jc w:val="right"/>
              <w:rPr>
                <w:sz w:val="22"/>
                <w:szCs w:val="22"/>
              </w:rPr>
            </w:pPr>
            <w:r w:rsidRPr="00486A31">
              <w:rPr>
                <w:sz w:val="22"/>
                <w:szCs w:val="22"/>
              </w:rPr>
              <w:t>$</w:t>
            </w:r>
            <w:r w:rsidR="00F3105F">
              <w:rPr>
                <w:sz w:val="22"/>
                <w:szCs w:val="22"/>
              </w:rPr>
              <w:t>77,576</w:t>
            </w:r>
            <w:r w:rsidRPr="00486A31">
              <w:rPr>
                <w:sz w:val="22"/>
                <w:szCs w:val="22"/>
              </w:rPr>
              <w:t xml:space="preserve"> </w:t>
            </w:r>
          </w:p>
        </w:tc>
        <w:tc>
          <w:tcPr>
            <w:tcW w:w="1171" w:type="dxa"/>
            <w:tcBorders>
              <w:top w:val="nil"/>
              <w:left w:val="nil"/>
              <w:bottom w:val="single" w:sz="4" w:space="0" w:color="auto"/>
              <w:right w:val="single" w:sz="4" w:space="0" w:color="auto"/>
            </w:tcBorders>
            <w:shd w:val="clear" w:color="auto" w:fill="auto"/>
            <w:noWrap/>
            <w:vAlign w:val="bottom"/>
          </w:tcPr>
          <w:p w14:paraId="39C09519" w14:textId="00641547" w:rsidR="00AE6D13" w:rsidRPr="00486A31" w:rsidRDefault="00AE6D13" w:rsidP="00A91567">
            <w:pPr>
              <w:widowControl/>
              <w:jc w:val="right"/>
              <w:rPr>
                <w:sz w:val="22"/>
                <w:szCs w:val="22"/>
              </w:rPr>
            </w:pPr>
            <w:r w:rsidRPr="00486A31">
              <w:rPr>
                <w:sz w:val="22"/>
                <w:szCs w:val="22"/>
              </w:rPr>
              <w:t>$</w:t>
            </w:r>
            <w:r w:rsidR="00F3105F">
              <w:rPr>
                <w:sz w:val="22"/>
                <w:szCs w:val="22"/>
              </w:rPr>
              <w:t>77,576</w:t>
            </w:r>
            <w:r w:rsidRPr="00486A31">
              <w:rPr>
                <w:sz w:val="22"/>
                <w:szCs w:val="22"/>
              </w:rPr>
              <w:t xml:space="preserve"> </w:t>
            </w:r>
          </w:p>
        </w:tc>
      </w:tr>
      <w:tr w:rsidR="00D444A2" w:rsidRPr="003A2588" w14:paraId="45BFFEF7" w14:textId="77777777" w:rsidTr="007F68C9">
        <w:trPr>
          <w:trHeight w:val="25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14EF8796" w14:textId="77777777" w:rsidR="00AE6D13" w:rsidRPr="00486A31" w:rsidRDefault="00AE6D13" w:rsidP="00A91567">
            <w:pPr>
              <w:widowControl/>
              <w:autoSpaceDE/>
              <w:autoSpaceDN/>
              <w:adjustRightInd/>
              <w:rPr>
                <w:sz w:val="22"/>
                <w:szCs w:val="22"/>
              </w:rPr>
            </w:pPr>
            <w:r w:rsidRPr="00486A31">
              <w:rPr>
                <w:sz w:val="22"/>
                <w:szCs w:val="22"/>
              </w:rPr>
              <w:t>Certification Examiner</w:t>
            </w:r>
          </w:p>
        </w:tc>
        <w:tc>
          <w:tcPr>
            <w:tcW w:w="1523" w:type="dxa"/>
            <w:tcBorders>
              <w:top w:val="nil"/>
              <w:left w:val="nil"/>
              <w:bottom w:val="single" w:sz="4" w:space="0" w:color="auto"/>
              <w:right w:val="single" w:sz="4" w:space="0" w:color="auto"/>
            </w:tcBorders>
            <w:shd w:val="clear" w:color="auto" w:fill="auto"/>
            <w:noWrap/>
            <w:vAlign w:val="bottom"/>
          </w:tcPr>
          <w:p w14:paraId="443140E9" w14:textId="09394990" w:rsidR="00AE6D13" w:rsidRPr="00486A31" w:rsidRDefault="00AE6D13" w:rsidP="007F68C9">
            <w:pPr>
              <w:widowControl/>
              <w:jc w:val="right"/>
              <w:rPr>
                <w:sz w:val="22"/>
                <w:szCs w:val="22"/>
              </w:rPr>
            </w:pPr>
            <w:r w:rsidRPr="00486A31">
              <w:rPr>
                <w:sz w:val="22"/>
                <w:szCs w:val="22"/>
              </w:rPr>
              <w:t>$</w:t>
            </w:r>
            <w:r w:rsidR="00F3105F">
              <w:rPr>
                <w:sz w:val="22"/>
                <w:szCs w:val="22"/>
              </w:rPr>
              <w:t>8</w:t>
            </w:r>
            <w:r w:rsidR="007F68C9">
              <w:rPr>
                <w:sz w:val="22"/>
                <w:szCs w:val="22"/>
              </w:rPr>
              <w:t>4</w:t>
            </w:r>
            <w:r w:rsidR="00F3105F">
              <w:rPr>
                <w:sz w:val="22"/>
                <w:szCs w:val="22"/>
              </w:rPr>
              <w:t>,548</w:t>
            </w:r>
            <w:r w:rsidRPr="00486A31">
              <w:rPr>
                <w:sz w:val="22"/>
                <w:szCs w:val="22"/>
              </w:rPr>
              <w:t xml:space="preserve"> </w:t>
            </w:r>
          </w:p>
        </w:tc>
        <w:tc>
          <w:tcPr>
            <w:tcW w:w="745" w:type="dxa"/>
            <w:tcBorders>
              <w:top w:val="nil"/>
              <w:left w:val="nil"/>
              <w:bottom w:val="single" w:sz="4" w:space="0" w:color="auto"/>
              <w:right w:val="single" w:sz="4" w:space="0" w:color="auto"/>
            </w:tcBorders>
            <w:shd w:val="clear" w:color="auto" w:fill="auto"/>
            <w:noWrap/>
            <w:vAlign w:val="bottom"/>
          </w:tcPr>
          <w:p w14:paraId="3094060F" w14:textId="55090AAC" w:rsidR="00AE6D13" w:rsidRPr="00486A31" w:rsidRDefault="00D444A2" w:rsidP="00A91567">
            <w:pPr>
              <w:widowControl/>
              <w:jc w:val="right"/>
              <w:rPr>
                <w:sz w:val="22"/>
                <w:szCs w:val="22"/>
              </w:rPr>
            </w:pPr>
            <w:r>
              <w:rPr>
                <w:sz w:val="22"/>
                <w:szCs w:val="22"/>
              </w:rPr>
              <w:t>80</w:t>
            </w:r>
            <w:r w:rsidR="00AE6D13" w:rsidRPr="00486A31">
              <w:rPr>
                <w:sz w:val="22"/>
                <w:szCs w:val="22"/>
              </w:rPr>
              <w:t>%</w:t>
            </w:r>
          </w:p>
        </w:tc>
        <w:tc>
          <w:tcPr>
            <w:tcW w:w="1057" w:type="dxa"/>
            <w:tcBorders>
              <w:top w:val="nil"/>
              <w:left w:val="nil"/>
              <w:bottom w:val="single" w:sz="4" w:space="0" w:color="auto"/>
              <w:right w:val="single" w:sz="4" w:space="0" w:color="auto"/>
            </w:tcBorders>
            <w:shd w:val="clear" w:color="auto" w:fill="auto"/>
            <w:noWrap/>
            <w:vAlign w:val="bottom"/>
          </w:tcPr>
          <w:p w14:paraId="39B93801" w14:textId="75C7D8C6" w:rsidR="00AE6D13" w:rsidRPr="00486A31" w:rsidRDefault="00AE6D13" w:rsidP="007F68C9">
            <w:pPr>
              <w:widowControl/>
              <w:jc w:val="right"/>
              <w:rPr>
                <w:sz w:val="22"/>
                <w:szCs w:val="22"/>
              </w:rPr>
            </w:pPr>
            <w:r w:rsidRPr="00486A31">
              <w:rPr>
                <w:sz w:val="22"/>
                <w:szCs w:val="22"/>
              </w:rPr>
              <w:t>$</w:t>
            </w:r>
            <w:r w:rsidR="007F68C9">
              <w:rPr>
                <w:sz w:val="22"/>
                <w:szCs w:val="22"/>
              </w:rPr>
              <w:t>67</w:t>
            </w:r>
            <w:r w:rsidR="00D444A2">
              <w:rPr>
                <w:sz w:val="22"/>
                <w:szCs w:val="22"/>
              </w:rPr>
              <w:t>,</w:t>
            </w:r>
            <w:r w:rsidR="007F68C9">
              <w:rPr>
                <w:sz w:val="22"/>
                <w:szCs w:val="22"/>
              </w:rPr>
              <w:t>6</w:t>
            </w:r>
            <w:r w:rsidR="00D444A2">
              <w:rPr>
                <w:sz w:val="22"/>
                <w:szCs w:val="22"/>
              </w:rPr>
              <w:t>38</w:t>
            </w:r>
            <w:r w:rsidRPr="00486A31">
              <w:rPr>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bottom"/>
          </w:tcPr>
          <w:p w14:paraId="11A64DF1" w14:textId="77777777" w:rsidR="00AE6D13" w:rsidRPr="00486A31" w:rsidRDefault="00AE6D13" w:rsidP="00A91567">
            <w:pPr>
              <w:widowControl/>
              <w:jc w:val="right"/>
              <w:rPr>
                <w:sz w:val="22"/>
                <w:szCs w:val="22"/>
              </w:rPr>
            </w:pPr>
            <w:r w:rsidRPr="00486A31">
              <w:rPr>
                <w:sz w:val="22"/>
                <w:szCs w:val="22"/>
              </w:rPr>
              <w:t>0%</w:t>
            </w:r>
          </w:p>
        </w:tc>
        <w:tc>
          <w:tcPr>
            <w:tcW w:w="1033" w:type="dxa"/>
            <w:tcBorders>
              <w:top w:val="nil"/>
              <w:left w:val="nil"/>
              <w:bottom w:val="single" w:sz="4" w:space="0" w:color="auto"/>
              <w:right w:val="single" w:sz="4" w:space="0" w:color="auto"/>
            </w:tcBorders>
            <w:shd w:val="clear" w:color="auto" w:fill="auto"/>
            <w:noWrap/>
            <w:vAlign w:val="bottom"/>
          </w:tcPr>
          <w:p w14:paraId="3408C648" w14:textId="77777777" w:rsidR="00AE6D13" w:rsidRPr="00486A31" w:rsidRDefault="00AE6D13" w:rsidP="00A91567">
            <w:pPr>
              <w:widowControl/>
              <w:jc w:val="right"/>
              <w:rPr>
                <w:sz w:val="22"/>
                <w:szCs w:val="22"/>
              </w:rPr>
            </w:pPr>
            <w:r w:rsidRPr="00486A31">
              <w:rPr>
                <w:sz w:val="22"/>
                <w:szCs w:val="22"/>
              </w:rPr>
              <w:t xml:space="preserve">$0 </w:t>
            </w:r>
          </w:p>
        </w:tc>
        <w:tc>
          <w:tcPr>
            <w:tcW w:w="1171" w:type="dxa"/>
            <w:tcBorders>
              <w:top w:val="nil"/>
              <w:left w:val="nil"/>
              <w:bottom w:val="single" w:sz="4" w:space="0" w:color="auto"/>
              <w:right w:val="single" w:sz="4" w:space="0" w:color="auto"/>
            </w:tcBorders>
            <w:shd w:val="clear" w:color="auto" w:fill="auto"/>
            <w:noWrap/>
            <w:vAlign w:val="bottom"/>
          </w:tcPr>
          <w:p w14:paraId="6B0BFB99" w14:textId="45F016F5" w:rsidR="00AE6D13" w:rsidRPr="00486A31" w:rsidRDefault="00AE6D13" w:rsidP="00A91567">
            <w:pPr>
              <w:widowControl/>
              <w:jc w:val="right"/>
              <w:rPr>
                <w:sz w:val="22"/>
                <w:szCs w:val="22"/>
              </w:rPr>
            </w:pPr>
            <w:r>
              <w:rPr>
                <w:sz w:val="22"/>
                <w:szCs w:val="22"/>
              </w:rPr>
              <w:t>$</w:t>
            </w:r>
            <w:r w:rsidR="0067292A">
              <w:rPr>
                <w:sz w:val="22"/>
                <w:szCs w:val="22"/>
              </w:rPr>
              <w:t>67,638</w:t>
            </w:r>
          </w:p>
        </w:tc>
      </w:tr>
      <w:tr w:rsidR="00D444A2" w:rsidRPr="003A2588" w14:paraId="3EFB13B5" w14:textId="77777777" w:rsidTr="007F68C9">
        <w:trPr>
          <w:trHeight w:val="25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71A5272A" w14:textId="77777777" w:rsidR="00AE6D13" w:rsidRPr="00486A31" w:rsidRDefault="00AE6D13" w:rsidP="00A91567">
            <w:pPr>
              <w:widowControl/>
              <w:autoSpaceDE/>
              <w:autoSpaceDN/>
              <w:adjustRightInd/>
              <w:rPr>
                <w:sz w:val="22"/>
                <w:szCs w:val="22"/>
              </w:rPr>
            </w:pPr>
            <w:r w:rsidRPr="00486A31">
              <w:rPr>
                <w:sz w:val="22"/>
                <w:szCs w:val="22"/>
              </w:rPr>
              <w:t>Attorney</w:t>
            </w:r>
          </w:p>
        </w:tc>
        <w:tc>
          <w:tcPr>
            <w:tcW w:w="1523" w:type="dxa"/>
            <w:tcBorders>
              <w:top w:val="nil"/>
              <w:left w:val="nil"/>
              <w:bottom w:val="single" w:sz="4" w:space="0" w:color="auto"/>
              <w:right w:val="single" w:sz="4" w:space="0" w:color="auto"/>
            </w:tcBorders>
            <w:shd w:val="clear" w:color="auto" w:fill="auto"/>
            <w:noWrap/>
            <w:vAlign w:val="bottom"/>
          </w:tcPr>
          <w:p w14:paraId="67DC6380" w14:textId="5D4AC8C3" w:rsidR="00AE6D13" w:rsidRPr="00486A31" w:rsidRDefault="00AE6D13" w:rsidP="00A91567">
            <w:pPr>
              <w:widowControl/>
              <w:jc w:val="right"/>
              <w:rPr>
                <w:sz w:val="22"/>
                <w:szCs w:val="22"/>
              </w:rPr>
            </w:pPr>
            <w:r w:rsidRPr="00486A31">
              <w:rPr>
                <w:sz w:val="22"/>
                <w:szCs w:val="22"/>
              </w:rPr>
              <w:t>$</w:t>
            </w:r>
            <w:r w:rsidR="00F3105F">
              <w:rPr>
                <w:sz w:val="22"/>
                <w:szCs w:val="22"/>
              </w:rPr>
              <w:t>114,590</w:t>
            </w:r>
            <w:r w:rsidRPr="00486A31">
              <w:rPr>
                <w:sz w:val="22"/>
                <w:szCs w:val="22"/>
              </w:rPr>
              <w:t xml:space="preserve"> </w:t>
            </w:r>
          </w:p>
        </w:tc>
        <w:tc>
          <w:tcPr>
            <w:tcW w:w="745" w:type="dxa"/>
            <w:tcBorders>
              <w:top w:val="nil"/>
              <w:left w:val="nil"/>
              <w:bottom w:val="single" w:sz="4" w:space="0" w:color="auto"/>
              <w:right w:val="single" w:sz="4" w:space="0" w:color="auto"/>
            </w:tcBorders>
            <w:shd w:val="clear" w:color="auto" w:fill="auto"/>
            <w:noWrap/>
            <w:vAlign w:val="bottom"/>
          </w:tcPr>
          <w:p w14:paraId="0CE21F69" w14:textId="1904D249" w:rsidR="00AE6D13" w:rsidRPr="00486A31" w:rsidRDefault="00F3105F" w:rsidP="00A91567">
            <w:pPr>
              <w:widowControl/>
              <w:jc w:val="right"/>
              <w:rPr>
                <w:sz w:val="22"/>
                <w:szCs w:val="22"/>
              </w:rPr>
            </w:pPr>
            <w:r>
              <w:rPr>
                <w:sz w:val="22"/>
                <w:szCs w:val="22"/>
              </w:rPr>
              <w:t>10</w:t>
            </w:r>
            <w:r w:rsidR="00AE6D13" w:rsidRPr="00486A31">
              <w:rPr>
                <w:sz w:val="22"/>
                <w:szCs w:val="22"/>
              </w:rPr>
              <w:t>%</w:t>
            </w:r>
          </w:p>
        </w:tc>
        <w:tc>
          <w:tcPr>
            <w:tcW w:w="1057" w:type="dxa"/>
            <w:tcBorders>
              <w:top w:val="nil"/>
              <w:left w:val="nil"/>
              <w:bottom w:val="single" w:sz="4" w:space="0" w:color="auto"/>
              <w:right w:val="single" w:sz="4" w:space="0" w:color="auto"/>
            </w:tcBorders>
            <w:shd w:val="clear" w:color="auto" w:fill="auto"/>
            <w:noWrap/>
            <w:vAlign w:val="bottom"/>
          </w:tcPr>
          <w:p w14:paraId="59DBC6ED" w14:textId="6903EE25" w:rsidR="00AE6D13" w:rsidRPr="00486A31" w:rsidRDefault="00AE6D13" w:rsidP="00A91567">
            <w:pPr>
              <w:widowControl/>
              <w:jc w:val="right"/>
              <w:rPr>
                <w:sz w:val="22"/>
                <w:szCs w:val="22"/>
              </w:rPr>
            </w:pPr>
            <w:r w:rsidRPr="00486A31">
              <w:rPr>
                <w:sz w:val="22"/>
                <w:szCs w:val="22"/>
              </w:rPr>
              <w:t>$</w:t>
            </w:r>
            <w:r w:rsidR="00D444A2">
              <w:rPr>
                <w:sz w:val="22"/>
                <w:szCs w:val="22"/>
              </w:rPr>
              <w:t>11,459</w:t>
            </w:r>
            <w:r w:rsidRPr="00486A31">
              <w:rPr>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bottom"/>
          </w:tcPr>
          <w:p w14:paraId="5F6B4C62" w14:textId="77777777" w:rsidR="00AE6D13" w:rsidRPr="00486A31" w:rsidRDefault="00AE6D13" w:rsidP="00A91567">
            <w:pPr>
              <w:widowControl/>
              <w:jc w:val="right"/>
              <w:rPr>
                <w:sz w:val="22"/>
                <w:szCs w:val="22"/>
              </w:rPr>
            </w:pPr>
            <w:r w:rsidRPr="00486A31">
              <w:rPr>
                <w:sz w:val="22"/>
                <w:szCs w:val="22"/>
              </w:rPr>
              <w:t>2%</w:t>
            </w:r>
          </w:p>
        </w:tc>
        <w:tc>
          <w:tcPr>
            <w:tcW w:w="1033" w:type="dxa"/>
            <w:tcBorders>
              <w:top w:val="nil"/>
              <w:left w:val="nil"/>
              <w:bottom w:val="single" w:sz="4" w:space="0" w:color="auto"/>
              <w:right w:val="single" w:sz="4" w:space="0" w:color="auto"/>
            </w:tcBorders>
            <w:shd w:val="clear" w:color="auto" w:fill="auto"/>
            <w:noWrap/>
            <w:vAlign w:val="bottom"/>
          </w:tcPr>
          <w:p w14:paraId="325E4716" w14:textId="56D3E10D" w:rsidR="00AE6D13" w:rsidRPr="00486A31" w:rsidRDefault="00AE6D13" w:rsidP="00A91567">
            <w:pPr>
              <w:widowControl/>
              <w:jc w:val="right"/>
              <w:rPr>
                <w:sz w:val="22"/>
                <w:szCs w:val="22"/>
              </w:rPr>
            </w:pPr>
            <w:r w:rsidRPr="00486A31">
              <w:rPr>
                <w:sz w:val="22"/>
                <w:szCs w:val="22"/>
              </w:rPr>
              <w:t>$</w:t>
            </w:r>
            <w:r w:rsidR="00D444A2">
              <w:rPr>
                <w:sz w:val="22"/>
                <w:szCs w:val="22"/>
              </w:rPr>
              <w:t>2,292</w:t>
            </w:r>
            <w:r w:rsidRPr="00486A31">
              <w:rPr>
                <w:sz w:val="22"/>
                <w:szCs w:val="22"/>
              </w:rPr>
              <w:t xml:space="preserve"> </w:t>
            </w:r>
          </w:p>
        </w:tc>
        <w:tc>
          <w:tcPr>
            <w:tcW w:w="1171" w:type="dxa"/>
            <w:tcBorders>
              <w:top w:val="nil"/>
              <w:left w:val="nil"/>
              <w:bottom w:val="single" w:sz="4" w:space="0" w:color="auto"/>
              <w:right w:val="single" w:sz="4" w:space="0" w:color="auto"/>
            </w:tcBorders>
            <w:shd w:val="clear" w:color="auto" w:fill="auto"/>
            <w:noWrap/>
            <w:vAlign w:val="bottom"/>
          </w:tcPr>
          <w:p w14:paraId="503FE9D9" w14:textId="196D80DF" w:rsidR="00AE6D13" w:rsidRPr="00486A31" w:rsidRDefault="00AE6D13" w:rsidP="00A91567">
            <w:pPr>
              <w:widowControl/>
              <w:jc w:val="right"/>
              <w:rPr>
                <w:sz w:val="22"/>
                <w:szCs w:val="22"/>
              </w:rPr>
            </w:pPr>
            <w:r w:rsidRPr="00486A31">
              <w:rPr>
                <w:sz w:val="22"/>
                <w:szCs w:val="22"/>
              </w:rPr>
              <w:t>$</w:t>
            </w:r>
            <w:r w:rsidR="00D444A2">
              <w:rPr>
                <w:sz w:val="22"/>
                <w:szCs w:val="22"/>
              </w:rPr>
              <w:t>13,751</w:t>
            </w:r>
            <w:r w:rsidRPr="00486A31">
              <w:rPr>
                <w:sz w:val="22"/>
                <w:szCs w:val="22"/>
              </w:rPr>
              <w:t xml:space="preserve"> </w:t>
            </w:r>
          </w:p>
        </w:tc>
      </w:tr>
      <w:tr w:rsidR="00D444A2" w:rsidRPr="003A2588" w14:paraId="5D2077B2" w14:textId="77777777" w:rsidTr="007F68C9">
        <w:trPr>
          <w:trHeight w:val="25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412FD37B" w14:textId="77777777" w:rsidR="00AE6D13" w:rsidRPr="00486A31" w:rsidRDefault="00AE6D13" w:rsidP="00A91567">
            <w:pPr>
              <w:widowControl/>
              <w:autoSpaceDE/>
              <w:autoSpaceDN/>
              <w:adjustRightInd/>
              <w:rPr>
                <w:sz w:val="22"/>
                <w:szCs w:val="22"/>
              </w:rPr>
            </w:pPr>
            <w:r w:rsidRPr="00486A31">
              <w:rPr>
                <w:sz w:val="22"/>
                <w:szCs w:val="22"/>
              </w:rPr>
              <w:t>Director</w:t>
            </w:r>
          </w:p>
        </w:tc>
        <w:tc>
          <w:tcPr>
            <w:tcW w:w="1523" w:type="dxa"/>
            <w:tcBorders>
              <w:top w:val="nil"/>
              <w:left w:val="nil"/>
              <w:bottom w:val="single" w:sz="4" w:space="0" w:color="auto"/>
              <w:right w:val="single" w:sz="4" w:space="0" w:color="auto"/>
            </w:tcBorders>
            <w:shd w:val="clear" w:color="auto" w:fill="auto"/>
            <w:noWrap/>
            <w:vAlign w:val="bottom"/>
          </w:tcPr>
          <w:p w14:paraId="62D0EF85" w14:textId="18F5B9FD" w:rsidR="00AE6D13" w:rsidRPr="00486A31" w:rsidRDefault="00AE6D13" w:rsidP="00A91567">
            <w:pPr>
              <w:widowControl/>
              <w:jc w:val="right"/>
              <w:rPr>
                <w:sz w:val="22"/>
                <w:szCs w:val="22"/>
              </w:rPr>
            </w:pPr>
            <w:r w:rsidRPr="00486A31">
              <w:rPr>
                <w:sz w:val="22"/>
                <w:szCs w:val="22"/>
              </w:rPr>
              <w:t>$</w:t>
            </w:r>
            <w:r w:rsidR="00F3105F">
              <w:rPr>
                <w:sz w:val="22"/>
                <w:szCs w:val="22"/>
              </w:rPr>
              <w:t>134,789</w:t>
            </w:r>
            <w:r w:rsidRPr="00486A31">
              <w:rPr>
                <w:sz w:val="22"/>
                <w:szCs w:val="22"/>
              </w:rPr>
              <w:t xml:space="preserve"> </w:t>
            </w:r>
          </w:p>
        </w:tc>
        <w:tc>
          <w:tcPr>
            <w:tcW w:w="745" w:type="dxa"/>
            <w:tcBorders>
              <w:top w:val="nil"/>
              <w:left w:val="nil"/>
              <w:bottom w:val="single" w:sz="4" w:space="0" w:color="auto"/>
              <w:right w:val="single" w:sz="4" w:space="0" w:color="auto"/>
            </w:tcBorders>
            <w:shd w:val="clear" w:color="auto" w:fill="auto"/>
            <w:noWrap/>
            <w:vAlign w:val="bottom"/>
          </w:tcPr>
          <w:p w14:paraId="0481B95B" w14:textId="77777777" w:rsidR="00AE6D13" w:rsidRPr="00486A31" w:rsidRDefault="00AE6D13" w:rsidP="00A91567">
            <w:pPr>
              <w:widowControl/>
              <w:jc w:val="right"/>
              <w:rPr>
                <w:sz w:val="22"/>
                <w:szCs w:val="22"/>
              </w:rPr>
            </w:pPr>
            <w:r w:rsidRPr="00486A31">
              <w:rPr>
                <w:sz w:val="22"/>
                <w:szCs w:val="22"/>
              </w:rPr>
              <w:t>50%</w:t>
            </w:r>
          </w:p>
        </w:tc>
        <w:tc>
          <w:tcPr>
            <w:tcW w:w="1057" w:type="dxa"/>
            <w:tcBorders>
              <w:top w:val="nil"/>
              <w:left w:val="nil"/>
              <w:bottom w:val="single" w:sz="4" w:space="0" w:color="auto"/>
              <w:right w:val="single" w:sz="4" w:space="0" w:color="auto"/>
            </w:tcBorders>
            <w:shd w:val="clear" w:color="auto" w:fill="auto"/>
            <w:noWrap/>
            <w:vAlign w:val="bottom"/>
          </w:tcPr>
          <w:p w14:paraId="7FB08B15" w14:textId="25ECE39F" w:rsidR="00AE6D13" w:rsidRPr="00486A31" w:rsidRDefault="00AE6D13" w:rsidP="00A91567">
            <w:pPr>
              <w:widowControl/>
              <w:jc w:val="right"/>
              <w:rPr>
                <w:sz w:val="22"/>
                <w:szCs w:val="22"/>
              </w:rPr>
            </w:pPr>
            <w:r w:rsidRPr="00486A31">
              <w:rPr>
                <w:sz w:val="22"/>
                <w:szCs w:val="22"/>
              </w:rPr>
              <w:t>$</w:t>
            </w:r>
            <w:r w:rsidR="00D444A2">
              <w:rPr>
                <w:sz w:val="22"/>
                <w:szCs w:val="22"/>
              </w:rPr>
              <w:t>67,395</w:t>
            </w:r>
            <w:r w:rsidRPr="00486A31">
              <w:rPr>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bottom"/>
          </w:tcPr>
          <w:p w14:paraId="32D49938" w14:textId="77777777" w:rsidR="00AE6D13" w:rsidRPr="00486A31" w:rsidRDefault="00AE6D13" w:rsidP="00A91567">
            <w:pPr>
              <w:widowControl/>
              <w:jc w:val="right"/>
              <w:rPr>
                <w:sz w:val="22"/>
                <w:szCs w:val="22"/>
              </w:rPr>
            </w:pPr>
            <w:r w:rsidRPr="00486A31">
              <w:rPr>
                <w:sz w:val="22"/>
                <w:szCs w:val="22"/>
              </w:rPr>
              <w:t>5%</w:t>
            </w:r>
          </w:p>
        </w:tc>
        <w:tc>
          <w:tcPr>
            <w:tcW w:w="1033" w:type="dxa"/>
            <w:tcBorders>
              <w:top w:val="nil"/>
              <w:left w:val="nil"/>
              <w:bottom w:val="single" w:sz="4" w:space="0" w:color="auto"/>
              <w:right w:val="single" w:sz="4" w:space="0" w:color="auto"/>
            </w:tcBorders>
            <w:shd w:val="clear" w:color="auto" w:fill="auto"/>
            <w:noWrap/>
            <w:vAlign w:val="bottom"/>
          </w:tcPr>
          <w:p w14:paraId="2106C519" w14:textId="0BE513E5" w:rsidR="00AE6D13" w:rsidRPr="00486A31" w:rsidRDefault="00AE6D13" w:rsidP="00A91567">
            <w:pPr>
              <w:widowControl/>
              <w:jc w:val="right"/>
              <w:rPr>
                <w:sz w:val="22"/>
                <w:szCs w:val="22"/>
              </w:rPr>
            </w:pPr>
            <w:r w:rsidRPr="00486A31">
              <w:rPr>
                <w:sz w:val="22"/>
                <w:szCs w:val="22"/>
              </w:rPr>
              <w:t>$6,</w:t>
            </w:r>
            <w:r w:rsidR="00D444A2">
              <w:rPr>
                <w:sz w:val="22"/>
                <w:szCs w:val="22"/>
              </w:rPr>
              <w:t>739</w:t>
            </w:r>
            <w:r w:rsidR="00D444A2" w:rsidRPr="00486A31">
              <w:rPr>
                <w:sz w:val="22"/>
                <w:szCs w:val="22"/>
              </w:rPr>
              <w:t xml:space="preserve"> </w:t>
            </w:r>
          </w:p>
        </w:tc>
        <w:tc>
          <w:tcPr>
            <w:tcW w:w="1171" w:type="dxa"/>
            <w:tcBorders>
              <w:top w:val="nil"/>
              <w:left w:val="nil"/>
              <w:bottom w:val="single" w:sz="4" w:space="0" w:color="auto"/>
              <w:right w:val="single" w:sz="4" w:space="0" w:color="auto"/>
            </w:tcBorders>
            <w:shd w:val="clear" w:color="auto" w:fill="auto"/>
            <w:noWrap/>
            <w:vAlign w:val="bottom"/>
          </w:tcPr>
          <w:p w14:paraId="27FE2D66" w14:textId="6D847B38" w:rsidR="00AE6D13" w:rsidRPr="00486A31" w:rsidRDefault="00AE6D13" w:rsidP="00A91567">
            <w:pPr>
              <w:widowControl/>
              <w:jc w:val="right"/>
              <w:rPr>
                <w:sz w:val="22"/>
                <w:szCs w:val="22"/>
              </w:rPr>
            </w:pPr>
            <w:r w:rsidRPr="00486A31">
              <w:rPr>
                <w:sz w:val="22"/>
                <w:szCs w:val="22"/>
              </w:rPr>
              <w:t>$</w:t>
            </w:r>
            <w:r w:rsidR="00D444A2">
              <w:rPr>
                <w:sz w:val="22"/>
                <w:szCs w:val="22"/>
              </w:rPr>
              <w:t>74,134</w:t>
            </w:r>
            <w:r w:rsidRPr="00486A31">
              <w:rPr>
                <w:sz w:val="22"/>
                <w:szCs w:val="22"/>
              </w:rPr>
              <w:t xml:space="preserve"> </w:t>
            </w:r>
          </w:p>
        </w:tc>
      </w:tr>
      <w:tr w:rsidR="00D444A2" w:rsidRPr="003A2588" w14:paraId="6717F5B9" w14:textId="77777777" w:rsidTr="007F68C9">
        <w:trPr>
          <w:trHeight w:val="255"/>
        </w:trPr>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3780C" w14:textId="77777777" w:rsidR="00AE6D13" w:rsidRPr="00486A31" w:rsidRDefault="00AE6D13" w:rsidP="00A91567">
            <w:pPr>
              <w:widowControl/>
              <w:autoSpaceDE/>
              <w:autoSpaceDN/>
              <w:adjustRightInd/>
              <w:rPr>
                <w:b/>
                <w:i/>
                <w:iCs/>
                <w:sz w:val="22"/>
                <w:szCs w:val="22"/>
              </w:rPr>
            </w:pPr>
            <w:r w:rsidRPr="00486A31">
              <w:rPr>
                <w:b/>
                <w:i/>
                <w:iCs/>
                <w:sz w:val="22"/>
                <w:szCs w:val="22"/>
              </w:rPr>
              <w:t>Total</w:t>
            </w:r>
          </w:p>
        </w:tc>
        <w:tc>
          <w:tcPr>
            <w:tcW w:w="1523" w:type="dxa"/>
            <w:tcBorders>
              <w:top w:val="single" w:sz="4" w:space="0" w:color="auto"/>
              <w:left w:val="nil"/>
              <w:bottom w:val="single" w:sz="4" w:space="0" w:color="auto"/>
              <w:right w:val="single" w:sz="4" w:space="0" w:color="auto"/>
            </w:tcBorders>
            <w:shd w:val="clear" w:color="auto" w:fill="auto"/>
            <w:noWrap/>
            <w:vAlign w:val="bottom"/>
          </w:tcPr>
          <w:p w14:paraId="50215FD7" w14:textId="77777777" w:rsidR="00AE6D13" w:rsidRPr="00486A31" w:rsidRDefault="00AE6D13" w:rsidP="00A91567">
            <w:pPr>
              <w:widowControl/>
              <w:rPr>
                <w:b/>
                <w:i/>
                <w:iCs/>
                <w:sz w:val="22"/>
                <w:szCs w:val="22"/>
              </w:rPr>
            </w:pPr>
            <w:r w:rsidRPr="00486A31">
              <w:rPr>
                <w:b/>
                <w:i/>
                <w:iCs/>
                <w:sz w:val="22"/>
                <w:szCs w:val="22"/>
              </w:rPr>
              <w:t> </w:t>
            </w:r>
          </w:p>
        </w:tc>
        <w:tc>
          <w:tcPr>
            <w:tcW w:w="745" w:type="dxa"/>
            <w:tcBorders>
              <w:top w:val="single" w:sz="4" w:space="0" w:color="auto"/>
              <w:left w:val="nil"/>
              <w:bottom w:val="single" w:sz="4" w:space="0" w:color="auto"/>
              <w:right w:val="single" w:sz="4" w:space="0" w:color="auto"/>
            </w:tcBorders>
            <w:shd w:val="clear" w:color="auto" w:fill="auto"/>
            <w:noWrap/>
            <w:vAlign w:val="bottom"/>
          </w:tcPr>
          <w:p w14:paraId="2B66A222" w14:textId="77777777" w:rsidR="00AE6D13" w:rsidRPr="00486A31" w:rsidRDefault="00AE6D13" w:rsidP="00A91567">
            <w:pPr>
              <w:widowControl/>
              <w:rPr>
                <w:b/>
                <w:i/>
                <w:iCs/>
                <w:sz w:val="22"/>
                <w:szCs w:val="22"/>
              </w:rPr>
            </w:pPr>
            <w:r w:rsidRPr="00486A31">
              <w:rPr>
                <w:b/>
                <w:i/>
                <w:iCs/>
                <w:sz w:val="22"/>
                <w:szCs w:val="22"/>
              </w:rPr>
              <w:t> </w:t>
            </w:r>
          </w:p>
        </w:tc>
        <w:tc>
          <w:tcPr>
            <w:tcW w:w="1057" w:type="dxa"/>
            <w:tcBorders>
              <w:top w:val="nil"/>
              <w:left w:val="nil"/>
              <w:bottom w:val="single" w:sz="4" w:space="0" w:color="auto"/>
              <w:right w:val="single" w:sz="4" w:space="0" w:color="auto"/>
            </w:tcBorders>
            <w:shd w:val="clear" w:color="auto" w:fill="auto"/>
            <w:noWrap/>
            <w:vAlign w:val="bottom"/>
          </w:tcPr>
          <w:p w14:paraId="1B66C2D4" w14:textId="0ED41E5E" w:rsidR="00AE6D13" w:rsidRPr="00486A31" w:rsidRDefault="00AE6D13" w:rsidP="007F68C9">
            <w:pPr>
              <w:widowControl/>
              <w:jc w:val="right"/>
              <w:rPr>
                <w:b/>
                <w:i/>
                <w:iCs/>
                <w:sz w:val="22"/>
                <w:szCs w:val="22"/>
              </w:rPr>
            </w:pPr>
            <w:r w:rsidRPr="00486A31">
              <w:rPr>
                <w:b/>
                <w:i/>
                <w:iCs/>
                <w:sz w:val="22"/>
                <w:szCs w:val="22"/>
              </w:rPr>
              <w:t>$</w:t>
            </w:r>
            <w:r w:rsidR="00D444A2">
              <w:rPr>
                <w:b/>
                <w:i/>
                <w:iCs/>
                <w:sz w:val="22"/>
                <w:szCs w:val="22"/>
              </w:rPr>
              <w:t>14</w:t>
            </w:r>
            <w:r w:rsidR="007F68C9">
              <w:rPr>
                <w:b/>
                <w:i/>
                <w:iCs/>
                <w:sz w:val="22"/>
                <w:szCs w:val="22"/>
              </w:rPr>
              <w:t>6</w:t>
            </w:r>
            <w:r w:rsidR="00D444A2">
              <w:rPr>
                <w:b/>
                <w:i/>
                <w:iCs/>
                <w:sz w:val="22"/>
                <w:szCs w:val="22"/>
              </w:rPr>
              <w:t>,</w:t>
            </w:r>
            <w:r w:rsidR="007F68C9">
              <w:rPr>
                <w:b/>
                <w:i/>
                <w:iCs/>
                <w:sz w:val="22"/>
                <w:szCs w:val="22"/>
              </w:rPr>
              <w:t>4</w:t>
            </w:r>
            <w:r w:rsidR="00D444A2">
              <w:rPr>
                <w:b/>
                <w:i/>
                <w:iCs/>
                <w:sz w:val="22"/>
                <w:szCs w:val="22"/>
              </w:rPr>
              <w:t>92</w:t>
            </w:r>
            <w:r w:rsidRPr="00486A31">
              <w:rPr>
                <w:b/>
                <w:i/>
                <w:iCs/>
                <w:sz w:val="22"/>
                <w:szCs w:val="22"/>
              </w:rPr>
              <w:t xml:space="preserve"> </w:t>
            </w:r>
          </w:p>
        </w:tc>
        <w:tc>
          <w:tcPr>
            <w:tcW w:w="796" w:type="dxa"/>
            <w:tcBorders>
              <w:top w:val="single" w:sz="4" w:space="0" w:color="auto"/>
              <w:left w:val="nil"/>
              <w:bottom w:val="single" w:sz="4" w:space="0" w:color="auto"/>
              <w:right w:val="single" w:sz="4" w:space="0" w:color="auto"/>
            </w:tcBorders>
            <w:shd w:val="clear" w:color="auto" w:fill="auto"/>
            <w:noWrap/>
            <w:vAlign w:val="bottom"/>
          </w:tcPr>
          <w:p w14:paraId="504CF5A3" w14:textId="77777777" w:rsidR="00AE6D13" w:rsidRPr="00486A31" w:rsidRDefault="00AE6D13" w:rsidP="00A91567">
            <w:pPr>
              <w:widowControl/>
              <w:rPr>
                <w:b/>
                <w:i/>
                <w:iCs/>
                <w:sz w:val="22"/>
                <w:szCs w:val="22"/>
              </w:rPr>
            </w:pPr>
            <w:r w:rsidRPr="00486A31">
              <w:rPr>
                <w:b/>
                <w:i/>
                <w:iCs/>
                <w:sz w:val="22"/>
                <w:szCs w:val="22"/>
              </w:rPr>
              <w:t> </w:t>
            </w:r>
          </w:p>
        </w:tc>
        <w:tc>
          <w:tcPr>
            <w:tcW w:w="1033" w:type="dxa"/>
            <w:tcBorders>
              <w:top w:val="single" w:sz="4" w:space="0" w:color="auto"/>
              <w:left w:val="nil"/>
              <w:bottom w:val="single" w:sz="4" w:space="0" w:color="auto"/>
              <w:right w:val="single" w:sz="4" w:space="0" w:color="auto"/>
            </w:tcBorders>
            <w:shd w:val="clear" w:color="auto" w:fill="auto"/>
            <w:noWrap/>
            <w:vAlign w:val="bottom"/>
          </w:tcPr>
          <w:p w14:paraId="33785804" w14:textId="2BA1C0ED" w:rsidR="00AE6D13" w:rsidRPr="00486A31" w:rsidRDefault="00AE6D13" w:rsidP="00A91567">
            <w:pPr>
              <w:widowControl/>
              <w:jc w:val="right"/>
              <w:rPr>
                <w:b/>
                <w:i/>
                <w:iCs/>
                <w:sz w:val="22"/>
                <w:szCs w:val="22"/>
              </w:rPr>
            </w:pPr>
            <w:r w:rsidRPr="00486A31">
              <w:rPr>
                <w:b/>
                <w:i/>
                <w:iCs/>
                <w:sz w:val="22"/>
                <w:szCs w:val="22"/>
              </w:rPr>
              <w:t>$</w:t>
            </w:r>
            <w:r w:rsidR="00D444A2">
              <w:rPr>
                <w:b/>
                <w:i/>
                <w:iCs/>
                <w:sz w:val="22"/>
                <w:szCs w:val="22"/>
              </w:rPr>
              <w:t>86,607</w:t>
            </w:r>
            <w:r w:rsidRPr="00486A31">
              <w:rPr>
                <w:b/>
                <w:i/>
                <w:iCs/>
                <w:sz w:val="22"/>
                <w:szCs w:val="22"/>
              </w:rPr>
              <w:t xml:space="preserve"> </w:t>
            </w:r>
          </w:p>
        </w:tc>
        <w:tc>
          <w:tcPr>
            <w:tcW w:w="1171" w:type="dxa"/>
            <w:tcBorders>
              <w:top w:val="nil"/>
              <w:left w:val="nil"/>
              <w:bottom w:val="single" w:sz="4" w:space="0" w:color="auto"/>
              <w:right w:val="single" w:sz="4" w:space="0" w:color="auto"/>
            </w:tcBorders>
            <w:shd w:val="clear" w:color="auto" w:fill="auto"/>
            <w:noWrap/>
            <w:vAlign w:val="bottom"/>
          </w:tcPr>
          <w:p w14:paraId="19DA4F11" w14:textId="7A9DA821" w:rsidR="00AE6D13" w:rsidRPr="00486A31" w:rsidRDefault="00AE6D13" w:rsidP="007F68C9">
            <w:pPr>
              <w:widowControl/>
              <w:jc w:val="right"/>
              <w:rPr>
                <w:b/>
                <w:i/>
                <w:iCs/>
                <w:sz w:val="22"/>
                <w:szCs w:val="22"/>
              </w:rPr>
            </w:pPr>
            <w:r w:rsidRPr="00486A31">
              <w:rPr>
                <w:b/>
                <w:i/>
                <w:iCs/>
                <w:sz w:val="22"/>
                <w:szCs w:val="22"/>
              </w:rPr>
              <w:t>$</w:t>
            </w:r>
            <w:r w:rsidR="00D444A2">
              <w:rPr>
                <w:b/>
                <w:i/>
                <w:iCs/>
                <w:sz w:val="22"/>
                <w:szCs w:val="22"/>
              </w:rPr>
              <w:t>23</w:t>
            </w:r>
            <w:r w:rsidR="007F68C9">
              <w:rPr>
                <w:b/>
                <w:i/>
                <w:iCs/>
                <w:sz w:val="22"/>
                <w:szCs w:val="22"/>
              </w:rPr>
              <w:t>3</w:t>
            </w:r>
            <w:r w:rsidR="00D444A2">
              <w:rPr>
                <w:b/>
                <w:i/>
                <w:iCs/>
                <w:sz w:val="22"/>
                <w:szCs w:val="22"/>
              </w:rPr>
              <w:t>,</w:t>
            </w:r>
            <w:r w:rsidR="007F68C9">
              <w:rPr>
                <w:b/>
                <w:i/>
                <w:iCs/>
                <w:sz w:val="22"/>
                <w:szCs w:val="22"/>
              </w:rPr>
              <w:t>0</w:t>
            </w:r>
            <w:r w:rsidR="00D444A2">
              <w:rPr>
                <w:b/>
                <w:i/>
                <w:iCs/>
                <w:sz w:val="22"/>
                <w:szCs w:val="22"/>
              </w:rPr>
              <w:t>99</w:t>
            </w:r>
          </w:p>
        </w:tc>
      </w:tr>
    </w:tbl>
    <w:p w14:paraId="1D3A9D0A" w14:textId="77777777" w:rsidR="00DB5314" w:rsidRPr="003A2588" w:rsidRDefault="00DB5314" w:rsidP="00A91567">
      <w:pPr>
        <w:widowControl/>
        <w:rPr>
          <w:sz w:val="20"/>
          <w:szCs w:val="20"/>
        </w:rPr>
      </w:pPr>
    </w:p>
    <w:p w14:paraId="6CA75282" w14:textId="77777777" w:rsidR="003806FA" w:rsidRPr="003A2588" w:rsidRDefault="003806FA" w:rsidP="00A91567">
      <w:pPr>
        <w:widowControl/>
        <w:ind w:left="720" w:hanging="720"/>
        <w:rPr>
          <w:sz w:val="20"/>
          <w:szCs w:val="20"/>
        </w:rPr>
      </w:pPr>
    </w:p>
    <w:p w14:paraId="6A15492C" w14:textId="77777777" w:rsidR="00136E5A" w:rsidRDefault="00136E5A" w:rsidP="007846BE">
      <w:pPr>
        <w:keepNext/>
        <w:widowControl/>
        <w:rPr>
          <w:b/>
          <w:bCs/>
        </w:rPr>
      </w:pPr>
      <w:r>
        <w:rPr>
          <w:b/>
          <w:bCs/>
        </w:rPr>
        <w:t xml:space="preserve">15.  </w:t>
      </w:r>
      <w:r>
        <w:rPr>
          <w:b/>
          <w:bCs/>
          <w:u w:val="single"/>
        </w:rPr>
        <w:t>Explain the reasons for any program changes or adjustments reported</w:t>
      </w:r>
      <w:r>
        <w:rPr>
          <w:b/>
          <w:bCs/>
        </w:rPr>
        <w:t>.</w:t>
      </w:r>
    </w:p>
    <w:p w14:paraId="4DA5183E" w14:textId="77777777" w:rsidR="00A77799" w:rsidRDefault="00A77799" w:rsidP="007846BE">
      <w:pPr>
        <w:keepNext/>
        <w:widowControl/>
        <w:rPr>
          <w:b/>
          <w:bCs/>
        </w:rPr>
      </w:pPr>
    </w:p>
    <w:p w14:paraId="519FD4A5" w14:textId="3F781AF8" w:rsidR="00A77799" w:rsidRPr="00040406" w:rsidRDefault="00040406" w:rsidP="00040406">
      <w:r>
        <w:t xml:space="preserve">There </w:t>
      </w:r>
      <w:r w:rsidR="000D2F92">
        <w:t>are</w:t>
      </w:r>
      <w:r>
        <w:t xml:space="preserve"> no program changes or adjustments.</w:t>
      </w:r>
    </w:p>
    <w:p w14:paraId="7BAD9AC6" w14:textId="77777777" w:rsidR="00A77799" w:rsidRPr="00A77799" w:rsidRDefault="00A77799" w:rsidP="00A91567">
      <w:pPr>
        <w:widowControl/>
      </w:pPr>
    </w:p>
    <w:p w14:paraId="4E17A028" w14:textId="77777777" w:rsidR="00136E5A" w:rsidRDefault="00136E5A" w:rsidP="00A91567">
      <w:pPr>
        <w:widowControl/>
      </w:pPr>
    </w:p>
    <w:p w14:paraId="7B67ECAE" w14:textId="77777777" w:rsidR="00136E5A" w:rsidRDefault="00136E5A" w:rsidP="007846BE">
      <w:pPr>
        <w:keepNext/>
        <w:widowControl/>
      </w:pPr>
      <w:r>
        <w:rPr>
          <w:b/>
          <w:bCs/>
        </w:rPr>
        <w:t xml:space="preserve">16.  </w:t>
      </w:r>
      <w:r>
        <w:rPr>
          <w:b/>
          <w:bCs/>
          <w:u w:val="single"/>
        </w:rPr>
        <w:t>For collections whose results will be published, outline the plans for tabulation and publication</w:t>
      </w:r>
      <w:r>
        <w:rPr>
          <w:b/>
          <w:bCs/>
        </w:rPr>
        <w:t>.</w:t>
      </w:r>
    </w:p>
    <w:p w14:paraId="5CEFBA5B" w14:textId="77777777" w:rsidR="00136E5A" w:rsidRDefault="00136E5A" w:rsidP="007846BE">
      <w:pPr>
        <w:keepNext/>
        <w:widowControl/>
      </w:pPr>
    </w:p>
    <w:p w14:paraId="73CD2BAB" w14:textId="0BC20E74" w:rsidR="00527E78" w:rsidRDefault="00527E78" w:rsidP="00A91567">
      <w:pPr>
        <w:widowControl/>
      </w:pPr>
      <w:r>
        <w:t>As required by the Trade Act, e</w:t>
      </w:r>
      <w:r w:rsidRPr="00DE1641">
        <w:t xml:space="preserve">ach month EDA publishes a notice in the </w:t>
      </w:r>
      <w:r w:rsidRPr="00F82993">
        <w:rPr>
          <w:i/>
        </w:rPr>
        <w:t>Federal Register</w:t>
      </w:r>
      <w:r w:rsidRPr="00DE1641">
        <w:t xml:space="preserve"> listing </w:t>
      </w:r>
      <w:r>
        <w:t>TAA</w:t>
      </w:r>
      <w:r w:rsidR="00590A94">
        <w:t>F</w:t>
      </w:r>
      <w:r>
        <w:t xml:space="preserve"> </w:t>
      </w:r>
      <w:r w:rsidRPr="00DE1641">
        <w:t>petitions accepted for investigation.  This notice lists the firm</w:t>
      </w:r>
      <w:r>
        <w:t>’s</w:t>
      </w:r>
      <w:r w:rsidRPr="00DE1641">
        <w:t xml:space="preserve"> name, address, </w:t>
      </w:r>
      <w:r w:rsidR="0099290A">
        <w:t xml:space="preserve">and </w:t>
      </w:r>
      <w:r w:rsidRPr="00DE1641">
        <w:t>princip</w:t>
      </w:r>
      <w:r>
        <w:t>a</w:t>
      </w:r>
      <w:r w:rsidRPr="00DE1641">
        <w:t xml:space="preserve">l products, and </w:t>
      </w:r>
      <w:r w:rsidR="0099290A">
        <w:t xml:space="preserve">the </w:t>
      </w:r>
      <w:r w:rsidRPr="00DE1641">
        <w:t xml:space="preserve">acceptance date of </w:t>
      </w:r>
      <w:r>
        <w:t xml:space="preserve">the </w:t>
      </w:r>
      <w:r w:rsidRPr="00DE1641">
        <w:t>petition.  EDA does not publish any other information collected in the petition.</w:t>
      </w:r>
    </w:p>
    <w:p w14:paraId="21112D91" w14:textId="77777777" w:rsidR="00527E78" w:rsidRDefault="00527E78" w:rsidP="00A91567">
      <w:pPr>
        <w:widowControl/>
      </w:pPr>
    </w:p>
    <w:p w14:paraId="2B0DE3A0" w14:textId="1B2B3496" w:rsidR="00136E5A" w:rsidRDefault="00527E78" w:rsidP="00A91567">
      <w:pPr>
        <w:widowControl/>
      </w:pPr>
      <w:r>
        <w:t xml:space="preserve">Further specific details of information collected from respondents will generally not be published.  However, some of the information collected may be published in aggregate form as part of </w:t>
      </w:r>
      <w:r w:rsidR="007414EF">
        <w:t xml:space="preserve">the TAAF annual report, </w:t>
      </w:r>
      <w:r>
        <w:t>EDA’s annual report, GPRA reporting, EDA’s Balanced Scor</w:t>
      </w:r>
      <w:r w:rsidR="007846BE">
        <w:t>ecard or other summary report.</w:t>
      </w:r>
    </w:p>
    <w:p w14:paraId="4EE243B2" w14:textId="77777777" w:rsidR="00136E5A" w:rsidRDefault="00136E5A" w:rsidP="00A91567">
      <w:pPr>
        <w:widowControl/>
      </w:pPr>
    </w:p>
    <w:p w14:paraId="594BE3F2" w14:textId="77777777" w:rsidR="00A77799" w:rsidRDefault="00A77799" w:rsidP="00A91567">
      <w:pPr>
        <w:widowControl/>
      </w:pPr>
    </w:p>
    <w:p w14:paraId="4F74A46A" w14:textId="77777777" w:rsidR="00136E5A" w:rsidRDefault="00136E5A" w:rsidP="007846BE">
      <w:pPr>
        <w:keepNext/>
        <w:widowControl/>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14:paraId="48D446C1" w14:textId="77777777" w:rsidR="00136E5A" w:rsidRDefault="00136E5A" w:rsidP="007846BE">
      <w:pPr>
        <w:keepNext/>
        <w:widowControl/>
      </w:pPr>
    </w:p>
    <w:p w14:paraId="0716DF1D" w14:textId="638D1530" w:rsidR="007414EF" w:rsidRPr="00EB17C9" w:rsidRDefault="007414EF" w:rsidP="00A91567">
      <w:pPr>
        <w:widowControl/>
      </w:pPr>
      <w:r w:rsidRPr="00EB17C9">
        <w:t>EDA is not seeking approval to not display the expiration date of OMB approval for the information collections.</w:t>
      </w:r>
    </w:p>
    <w:p w14:paraId="12AB4890" w14:textId="05787A9E" w:rsidR="004D6FB1" w:rsidRDefault="004D6FB1" w:rsidP="00A91567">
      <w:pPr>
        <w:widowControl/>
      </w:pPr>
    </w:p>
    <w:p w14:paraId="604B3B62" w14:textId="77777777" w:rsidR="00A77799" w:rsidRPr="007846BE" w:rsidRDefault="00A77799" w:rsidP="00A91567">
      <w:pPr>
        <w:widowControl/>
        <w:rPr>
          <w:bCs/>
        </w:rPr>
      </w:pPr>
    </w:p>
    <w:p w14:paraId="41320720" w14:textId="77777777" w:rsidR="00136E5A" w:rsidRPr="00A77799" w:rsidRDefault="00136E5A" w:rsidP="007846BE">
      <w:pPr>
        <w:keepNext/>
        <w:widowControl/>
        <w:rPr>
          <w:b/>
          <w:bCs/>
          <w:u w:val="single"/>
        </w:rPr>
      </w:pPr>
      <w:r>
        <w:rPr>
          <w:b/>
          <w:bCs/>
        </w:rPr>
        <w:t xml:space="preserve">18.  </w:t>
      </w:r>
      <w:r>
        <w:rPr>
          <w:b/>
          <w:bCs/>
          <w:u w:val="single"/>
        </w:rPr>
        <w:t>Explain each exception to the certification statement</w:t>
      </w:r>
      <w:r w:rsidR="00A77799">
        <w:rPr>
          <w:b/>
          <w:bCs/>
        </w:rPr>
        <w:t>.</w:t>
      </w:r>
    </w:p>
    <w:p w14:paraId="37483F60" w14:textId="77777777" w:rsidR="00136E5A" w:rsidRPr="007846BE" w:rsidRDefault="00136E5A" w:rsidP="007846BE">
      <w:pPr>
        <w:keepNext/>
        <w:widowControl/>
      </w:pPr>
    </w:p>
    <w:p w14:paraId="5DB680C8" w14:textId="3672C335" w:rsidR="007414EF" w:rsidRPr="00EB17C9" w:rsidRDefault="007414EF" w:rsidP="00A91567">
      <w:pPr>
        <w:widowControl/>
      </w:pPr>
      <w:r w:rsidRPr="00EB17C9">
        <w:t>There are no exceptions</w:t>
      </w:r>
      <w:r>
        <w:t xml:space="preserve"> to the certification statement</w:t>
      </w:r>
      <w:r w:rsidRPr="00EB17C9">
        <w:t>.</w:t>
      </w:r>
    </w:p>
    <w:p w14:paraId="672B2B47" w14:textId="77777777" w:rsidR="00A77799" w:rsidRDefault="00A77799" w:rsidP="00A91567">
      <w:pPr>
        <w:widowControl/>
      </w:pPr>
    </w:p>
    <w:p w14:paraId="7E28398D" w14:textId="77777777" w:rsidR="00A77799" w:rsidRDefault="00A77799" w:rsidP="00A91567">
      <w:pPr>
        <w:widowControl/>
      </w:pPr>
    </w:p>
    <w:p w14:paraId="6834D29A" w14:textId="77777777" w:rsidR="00136E5A" w:rsidRDefault="00136E5A" w:rsidP="007846BE">
      <w:pPr>
        <w:keepNext/>
        <w:widowControl/>
      </w:pPr>
      <w:r>
        <w:rPr>
          <w:b/>
          <w:bCs/>
        </w:rPr>
        <w:t>B.  COLLECTIONS OF INFORMATION EMPLOYING STATISTICAL METHODS</w:t>
      </w:r>
    </w:p>
    <w:p w14:paraId="4D804BDD" w14:textId="77777777" w:rsidR="00136E5A" w:rsidRDefault="00136E5A" w:rsidP="007846BE">
      <w:pPr>
        <w:keepNext/>
        <w:widowControl/>
      </w:pPr>
    </w:p>
    <w:p w14:paraId="3CC5E1D6" w14:textId="40BEEF1C" w:rsidR="007414EF" w:rsidRPr="00EB17C9" w:rsidRDefault="007414EF" w:rsidP="00A91567">
      <w:pPr>
        <w:widowControl/>
      </w:pPr>
      <w:r w:rsidRPr="00EB17C9">
        <w:t>EDA does not employ statistical methods to collect data using these forms.</w:t>
      </w:r>
    </w:p>
    <w:sectPr w:rsidR="007414EF" w:rsidRPr="00EB17C9" w:rsidSect="00136E5A">
      <w:headerReference w:type="default" r:id="rId9"/>
      <w:footerReference w:type="default" r:id="rId10"/>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43899" w14:textId="77777777" w:rsidR="003E08EA" w:rsidRDefault="003E08EA">
      <w:r>
        <w:separator/>
      </w:r>
    </w:p>
  </w:endnote>
  <w:endnote w:type="continuationSeparator" w:id="0">
    <w:p w14:paraId="257725BC" w14:textId="77777777" w:rsidR="003E08EA" w:rsidRDefault="003E08EA">
      <w:r>
        <w:continuationSeparator/>
      </w:r>
    </w:p>
  </w:endnote>
  <w:endnote w:type="continuationNotice" w:id="1">
    <w:p w14:paraId="7A2B9D95" w14:textId="77777777" w:rsidR="003E08EA" w:rsidRDefault="003E0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7BED4" w14:textId="77777777" w:rsidR="001A0721" w:rsidRDefault="001A0721">
    <w:pPr>
      <w:spacing w:line="240" w:lineRule="exact"/>
    </w:pPr>
  </w:p>
  <w:p w14:paraId="5760AE85" w14:textId="0D8B16F2" w:rsidR="001A0721" w:rsidRDefault="001A0721">
    <w:pPr>
      <w:framePr w:w="9361" w:wrap="notBeside" w:vAnchor="text" w:hAnchor="text" w:x="1" w:y="1"/>
      <w:jc w:val="center"/>
    </w:pPr>
    <w:r>
      <w:fldChar w:fldCharType="begin"/>
    </w:r>
    <w:r>
      <w:instrText xml:space="preserve">PAGE </w:instrText>
    </w:r>
    <w:r>
      <w:fldChar w:fldCharType="separate"/>
    </w:r>
    <w:r w:rsidR="00277927">
      <w:rPr>
        <w:noProof/>
      </w:rPr>
      <w:t>1</w:t>
    </w:r>
    <w:r>
      <w:fldChar w:fldCharType="end"/>
    </w:r>
  </w:p>
  <w:p w14:paraId="3314068C" w14:textId="77777777" w:rsidR="001A0721" w:rsidRDefault="001A0721" w:rsidP="007846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B71A5" w14:textId="77777777" w:rsidR="003E08EA" w:rsidRDefault="003E08EA">
      <w:r>
        <w:separator/>
      </w:r>
    </w:p>
  </w:footnote>
  <w:footnote w:type="continuationSeparator" w:id="0">
    <w:p w14:paraId="7ED718F0" w14:textId="77777777" w:rsidR="003E08EA" w:rsidRDefault="003E08EA">
      <w:r>
        <w:continuationSeparator/>
      </w:r>
    </w:p>
  </w:footnote>
  <w:footnote w:type="continuationNotice" w:id="1">
    <w:p w14:paraId="0A7F19BC" w14:textId="77777777" w:rsidR="003E08EA" w:rsidRDefault="003E08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E8A8F" w14:textId="77777777" w:rsidR="001A0721" w:rsidRDefault="001A0721" w:rsidP="0052774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154DD0"/>
    <w:multiLevelType w:val="hybridMultilevel"/>
    <w:tmpl w:val="7ED4E8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95062AD"/>
    <w:multiLevelType w:val="hybridMultilevel"/>
    <w:tmpl w:val="22E299AA"/>
    <w:lvl w:ilvl="0" w:tplc="D2F82B3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ED2F07"/>
    <w:multiLevelType w:val="hybridMultilevel"/>
    <w:tmpl w:val="96C45DB2"/>
    <w:lvl w:ilvl="0" w:tplc="0409000F">
      <w:start w:val="3"/>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82630F"/>
    <w:multiLevelType w:val="hybridMultilevel"/>
    <w:tmpl w:val="E3F27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DE6646B"/>
    <w:multiLevelType w:val="hybridMultilevel"/>
    <w:tmpl w:val="525AC844"/>
    <w:lvl w:ilvl="0" w:tplc="C3C6123E">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3A42ABA"/>
    <w:multiLevelType w:val="hybridMultilevel"/>
    <w:tmpl w:val="ACDE3DA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4C5167"/>
    <w:multiLevelType w:val="hybridMultilevel"/>
    <w:tmpl w:val="8B1A0C06"/>
    <w:lvl w:ilvl="0" w:tplc="4B268868">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FD53814"/>
    <w:multiLevelType w:val="hybridMultilevel"/>
    <w:tmpl w:val="CBF053A4"/>
    <w:lvl w:ilvl="0" w:tplc="3DCE85BA">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22D68BB"/>
    <w:multiLevelType w:val="hybridMultilevel"/>
    <w:tmpl w:val="2E444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9"/>
  </w:num>
  <w:num w:numId="4">
    <w:abstractNumId w:val="7"/>
  </w:num>
  <w:num w:numId="5">
    <w:abstractNumId w:val="5"/>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E5A"/>
    <w:rsid w:val="00001553"/>
    <w:rsid w:val="00002401"/>
    <w:rsid w:val="000079A4"/>
    <w:rsid w:val="000139FE"/>
    <w:rsid w:val="000162F2"/>
    <w:rsid w:val="00020239"/>
    <w:rsid w:val="00030257"/>
    <w:rsid w:val="000315B5"/>
    <w:rsid w:val="00040406"/>
    <w:rsid w:val="00065C54"/>
    <w:rsid w:val="000776C6"/>
    <w:rsid w:val="000847BC"/>
    <w:rsid w:val="00086C8D"/>
    <w:rsid w:val="000939F8"/>
    <w:rsid w:val="00095D92"/>
    <w:rsid w:val="000B0BB2"/>
    <w:rsid w:val="000B30C6"/>
    <w:rsid w:val="000C25FF"/>
    <w:rsid w:val="000C553B"/>
    <w:rsid w:val="000C7908"/>
    <w:rsid w:val="000D2F92"/>
    <w:rsid w:val="000D79FE"/>
    <w:rsid w:val="000F37D2"/>
    <w:rsid w:val="001012FC"/>
    <w:rsid w:val="00106E5B"/>
    <w:rsid w:val="0011222B"/>
    <w:rsid w:val="00115264"/>
    <w:rsid w:val="001201E5"/>
    <w:rsid w:val="00136E5A"/>
    <w:rsid w:val="00157DB4"/>
    <w:rsid w:val="001606B0"/>
    <w:rsid w:val="00176164"/>
    <w:rsid w:val="001808D6"/>
    <w:rsid w:val="00180DBA"/>
    <w:rsid w:val="001A0721"/>
    <w:rsid w:val="001B7CB5"/>
    <w:rsid w:val="001D5149"/>
    <w:rsid w:val="001D5477"/>
    <w:rsid w:val="001E1F4B"/>
    <w:rsid w:val="001F1338"/>
    <w:rsid w:val="001F40A4"/>
    <w:rsid w:val="001F6882"/>
    <w:rsid w:val="002211DF"/>
    <w:rsid w:val="00227E84"/>
    <w:rsid w:val="00236F4A"/>
    <w:rsid w:val="002437AC"/>
    <w:rsid w:val="00247125"/>
    <w:rsid w:val="00250512"/>
    <w:rsid w:val="002569C9"/>
    <w:rsid w:val="002647A7"/>
    <w:rsid w:val="0027102D"/>
    <w:rsid w:val="0027168B"/>
    <w:rsid w:val="00277927"/>
    <w:rsid w:val="0028135C"/>
    <w:rsid w:val="002A1661"/>
    <w:rsid w:val="002A7AD0"/>
    <w:rsid w:val="002C363C"/>
    <w:rsid w:val="002E76DE"/>
    <w:rsid w:val="002F115B"/>
    <w:rsid w:val="002F2798"/>
    <w:rsid w:val="002F5C84"/>
    <w:rsid w:val="0033182C"/>
    <w:rsid w:val="003470D9"/>
    <w:rsid w:val="0035037E"/>
    <w:rsid w:val="00354343"/>
    <w:rsid w:val="00355F8C"/>
    <w:rsid w:val="00363B50"/>
    <w:rsid w:val="003657C2"/>
    <w:rsid w:val="00365919"/>
    <w:rsid w:val="00367E08"/>
    <w:rsid w:val="00373D31"/>
    <w:rsid w:val="003806FA"/>
    <w:rsid w:val="00381B70"/>
    <w:rsid w:val="00386B24"/>
    <w:rsid w:val="003902E6"/>
    <w:rsid w:val="003942EA"/>
    <w:rsid w:val="003A2588"/>
    <w:rsid w:val="003A4952"/>
    <w:rsid w:val="003A506A"/>
    <w:rsid w:val="003B2017"/>
    <w:rsid w:val="003B2D63"/>
    <w:rsid w:val="003B5746"/>
    <w:rsid w:val="003E08EA"/>
    <w:rsid w:val="003E1E0A"/>
    <w:rsid w:val="003E34FD"/>
    <w:rsid w:val="00417E36"/>
    <w:rsid w:val="00420430"/>
    <w:rsid w:val="00434B25"/>
    <w:rsid w:val="0044506B"/>
    <w:rsid w:val="00451D7E"/>
    <w:rsid w:val="0046270A"/>
    <w:rsid w:val="0046388B"/>
    <w:rsid w:val="0046561E"/>
    <w:rsid w:val="00473630"/>
    <w:rsid w:val="00481069"/>
    <w:rsid w:val="00481DCF"/>
    <w:rsid w:val="00486A31"/>
    <w:rsid w:val="00495118"/>
    <w:rsid w:val="004A150E"/>
    <w:rsid w:val="004A2097"/>
    <w:rsid w:val="004A4479"/>
    <w:rsid w:val="004A6842"/>
    <w:rsid w:val="004B783B"/>
    <w:rsid w:val="004C2D0E"/>
    <w:rsid w:val="004D3FE2"/>
    <w:rsid w:val="004D6FB1"/>
    <w:rsid w:val="004E45EB"/>
    <w:rsid w:val="00504CB0"/>
    <w:rsid w:val="005206B3"/>
    <w:rsid w:val="00520921"/>
    <w:rsid w:val="005262F8"/>
    <w:rsid w:val="00527740"/>
    <w:rsid w:val="00527E78"/>
    <w:rsid w:val="00531026"/>
    <w:rsid w:val="00533280"/>
    <w:rsid w:val="0054744F"/>
    <w:rsid w:val="0055157B"/>
    <w:rsid w:val="00561546"/>
    <w:rsid w:val="00576C8E"/>
    <w:rsid w:val="00584F14"/>
    <w:rsid w:val="00590A94"/>
    <w:rsid w:val="005C5DE9"/>
    <w:rsid w:val="005C6B9E"/>
    <w:rsid w:val="005E1A3E"/>
    <w:rsid w:val="005F0DE0"/>
    <w:rsid w:val="0060044D"/>
    <w:rsid w:val="00605CAF"/>
    <w:rsid w:val="00610829"/>
    <w:rsid w:val="0062145E"/>
    <w:rsid w:val="0062225D"/>
    <w:rsid w:val="00657E1F"/>
    <w:rsid w:val="00661739"/>
    <w:rsid w:val="006649C3"/>
    <w:rsid w:val="0067292A"/>
    <w:rsid w:val="006941F2"/>
    <w:rsid w:val="0069468B"/>
    <w:rsid w:val="00696C55"/>
    <w:rsid w:val="006A0A9B"/>
    <w:rsid w:val="006A2DF7"/>
    <w:rsid w:val="006A4446"/>
    <w:rsid w:val="006C1A8B"/>
    <w:rsid w:val="006C6CB9"/>
    <w:rsid w:val="006D4E3D"/>
    <w:rsid w:val="00703B3B"/>
    <w:rsid w:val="00704ACD"/>
    <w:rsid w:val="00707CCF"/>
    <w:rsid w:val="007137BA"/>
    <w:rsid w:val="00726B46"/>
    <w:rsid w:val="007271ED"/>
    <w:rsid w:val="00733074"/>
    <w:rsid w:val="007414EF"/>
    <w:rsid w:val="00745D83"/>
    <w:rsid w:val="00753A57"/>
    <w:rsid w:val="00761303"/>
    <w:rsid w:val="00765F5A"/>
    <w:rsid w:val="00775181"/>
    <w:rsid w:val="00776890"/>
    <w:rsid w:val="00781F4F"/>
    <w:rsid w:val="007829D3"/>
    <w:rsid w:val="007846BE"/>
    <w:rsid w:val="00785C05"/>
    <w:rsid w:val="007A0623"/>
    <w:rsid w:val="007B6A90"/>
    <w:rsid w:val="007B7A1E"/>
    <w:rsid w:val="007C1BF8"/>
    <w:rsid w:val="007D6526"/>
    <w:rsid w:val="007E183A"/>
    <w:rsid w:val="007F68C9"/>
    <w:rsid w:val="00804A00"/>
    <w:rsid w:val="0081096F"/>
    <w:rsid w:val="0082518C"/>
    <w:rsid w:val="008477FF"/>
    <w:rsid w:val="008515C8"/>
    <w:rsid w:val="0085338F"/>
    <w:rsid w:val="00861A51"/>
    <w:rsid w:val="008675DA"/>
    <w:rsid w:val="008700BD"/>
    <w:rsid w:val="0087497E"/>
    <w:rsid w:val="008917E3"/>
    <w:rsid w:val="008919B8"/>
    <w:rsid w:val="008943FE"/>
    <w:rsid w:val="00894E7F"/>
    <w:rsid w:val="008A155F"/>
    <w:rsid w:val="008A4468"/>
    <w:rsid w:val="008B09E1"/>
    <w:rsid w:val="008D39ED"/>
    <w:rsid w:val="008D7AD5"/>
    <w:rsid w:val="008E194A"/>
    <w:rsid w:val="008E559E"/>
    <w:rsid w:val="008F236B"/>
    <w:rsid w:val="008F3BEB"/>
    <w:rsid w:val="008F46F2"/>
    <w:rsid w:val="008F7753"/>
    <w:rsid w:val="0090096B"/>
    <w:rsid w:val="00913920"/>
    <w:rsid w:val="0091553B"/>
    <w:rsid w:val="009155C1"/>
    <w:rsid w:val="009210BA"/>
    <w:rsid w:val="0092636D"/>
    <w:rsid w:val="009615A8"/>
    <w:rsid w:val="00970588"/>
    <w:rsid w:val="00970B3D"/>
    <w:rsid w:val="00972AC4"/>
    <w:rsid w:val="0099211C"/>
    <w:rsid w:val="0099290A"/>
    <w:rsid w:val="009A0247"/>
    <w:rsid w:val="009A28D7"/>
    <w:rsid w:val="009A5964"/>
    <w:rsid w:val="009D039F"/>
    <w:rsid w:val="009D6491"/>
    <w:rsid w:val="009E1489"/>
    <w:rsid w:val="009F017D"/>
    <w:rsid w:val="009F5172"/>
    <w:rsid w:val="009F7039"/>
    <w:rsid w:val="00A00DFA"/>
    <w:rsid w:val="00A018CE"/>
    <w:rsid w:val="00A22D90"/>
    <w:rsid w:val="00A23EEC"/>
    <w:rsid w:val="00A320F8"/>
    <w:rsid w:val="00A32D72"/>
    <w:rsid w:val="00A40DEA"/>
    <w:rsid w:val="00A4631C"/>
    <w:rsid w:val="00A71E66"/>
    <w:rsid w:val="00A72AD8"/>
    <w:rsid w:val="00A74EF3"/>
    <w:rsid w:val="00A77799"/>
    <w:rsid w:val="00A91567"/>
    <w:rsid w:val="00A94EC8"/>
    <w:rsid w:val="00A96B18"/>
    <w:rsid w:val="00A9784F"/>
    <w:rsid w:val="00AA2D82"/>
    <w:rsid w:val="00AA37A6"/>
    <w:rsid w:val="00AA5988"/>
    <w:rsid w:val="00AC5FE2"/>
    <w:rsid w:val="00AC7158"/>
    <w:rsid w:val="00AD3BCE"/>
    <w:rsid w:val="00AD60C4"/>
    <w:rsid w:val="00AD7E5F"/>
    <w:rsid w:val="00AE6D13"/>
    <w:rsid w:val="00AF3BC0"/>
    <w:rsid w:val="00AF3C9E"/>
    <w:rsid w:val="00AF450F"/>
    <w:rsid w:val="00B1649A"/>
    <w:rsid w:val="00B167A8"/>
    <w:rsid w:val="00B21584"/>
    <w:rsid w:val="00B24844"/>
    <w:rsid w:val="00B33D09"/>
    <w:rsid w:val="00B43B40"/>
    <w:rsid w:val="00B45B2E"/>
    <w:rsid w:val="00B5486A"/>
    <w:rsid w:val="00B70E63"/>
    <w:rsid w:val="00B8175C"/>
    <w:rsid w:val="00B87FD8"/>
    <w:rsid w:val="00B90104"/>
    <w:rsid w:val="00B9182E"/>
    <w:rsid w:val="00B97A85"/>
    <w:rsid w:val="00BA0893"/>
    <w:rsid w:val="00BA14E6"/>
    <w:rsid w:val="00BB5ED8"/>
    <w:rsid w:val="00BE0116"/>
    <w:rsid w:val="00BE1297"/>
    <w:rsid w:val="00BE1F9E"/>
    <w:rsid w:val="00C0109E"/>
    <w:rsid w:val="00C02CC2"/>
    <w:rsid w:val="00C06E64"/>
    <w:rsid w:val="00C078E7"/>
    <w:rsid w:val="00C1679E"/>
    <w:rsid w:val="00C224E1"/>
    <w:rsid w:val="00C22B8D"/>
    <w:rsid w:val="00C24F55"/>
    <w:rsid w:val="00C42130"/>
    <w:rsid w:val="00C4353A"/>
    <w:rsid w:val="00C46F13"/>
    <w:rsid w:val="00C50F1A"/>
    <w:rsid w:val="00C51474"/>
    <w:rsid w:val="00C61771"/>
    <w:rsid w:val="00C7559B"/>
    <w:rsid w:val="00C95A4E"/>
    <w:rsid w:val="00C95D68"/>
    <w:rsid w:val="00C97D3E"/>
    <w:rsid w:val="00CA148C"/>
    <w:rsid w:val="00CA7795"/>
    <w:rsid w:val="00CB37C6"/>
    <w:rsid w:val="00CB43BC"/>
    <w:rsid w:val="00CC2CFF"/>
    <w:rsid w:val="00CD1BB0"/>
    <w:rsid w:val="00CD251D"/>
    <w:rsid w:val="00CD3B34"/>
    <w:rsid w:val="00CD4B08"/>
    <w:rsid w:val="00CD67DC"/>
    <w:rsid w:val="00CE14D8"/>
    <w:rsid w:val="00CF07DF"/>
    <w:rsid w:val="00CF5567"/>
    <w:rsid w:val="00D031C3"/>
    <w:rsid w:val="00D14174"/>
    <w:rsid w:val="00D20651"/>
    <w:rsid w:val="00D36A62"/>
    <w:rsid w:val="00D444A2"/>
    <w:rsid w:val="00D45838"/>
    <w:rsid w:val="00D50D0B"/>
    <w:rsid w:val="00D51B7E"/>
    <w:rsid w:val="00D6081B"/>
    <w:rsid w:val="00D627FB"/>
    <w:rsid w:val="00D640F6"/>
    <w:rsid w:val="00D678F0"/>
    <w:rsid w:val="00D71501"/>
    <w:rsid w:val="00D777E2"/>
    <w:rsid w:val="00D82C3E"/>
    <w:rsid w:val="00D91E0D"/>
    <w:rsid w:val="00D97760"/>
    <w:rsid w:val="00DB2607"/>
    <w:rsid w:val="00DB5314"/>
    <w:rsid w:val="00DC13D7"/>
    <w:rsid w:val="00DC5661"/>
    <w:rsid w:val="00DC6EE5"/>
    <w:rsid w:val="00DD337E"/>
    <w:rsid w:val="00DD63B7"/>
    <w:rsid w:val="00DE480F"/>
    <w:rsid w:val="00DF2A8C"/>
    <w:rsid w:val="00E0306C"/>
    <w:rsid w:val="00E242EB"/>
    <w:rsid w:val="00E27E9F"/>
    <w:rsid w:val="00E30A18"/>
    <w:rsid w:val="00E4794F"/>
    <w:rsid w:val="00E52EFF"/>
    <w:rsid w:val="00E613D0"/>
    <w:rsid w:val="00E6483F"/>
    <w:rsid w:val="00E774CF"/>
    <w:rsid w:val="00E94FA2"/>
    <w:rsid w:val="00E95D0F"/>
    <w:rsid w:val="00E95D4B"/>
    <w:rsid w:val="00EA3912"/>
    <w:rsid w:val="00EA4A07"/>
    <w:rsid w:val="00EB6028"/>
    <w:rsid w:val="00EE0748"/>
    <w:rsid w:val="00EE3F31"/>
    <w:rsid w:val="00F3105F"/>
    <w:rsid w:val="00F36979"/>
    <w:rsid w:val="00F45724"/>
    <w:rsid w:val="00F64EF5"/>
    <w:rsid w:val="00F70814"/>
    <w:rsid w:val="00F7240F"/>
    <w:rsid w:val="00F72741"/>
    <w:rsid w:val="00F75754"/>
    <w:rsid w:val="00F768B6"/>
    <w:rsid w:val="00F82993"/>
    <w:rsid w:val="00FA09CD"/>
    <w:rsid w:val="00FA3204"/>
    <w:rsid w:val="00FB08AF"/>
    <w:rsid w:val="00FB43BD"/>
    <w:rsid w:val="00FC26FD"/>
    <w:rsid w:val="00FC290E"/>
    <w:rsid w:val="00FC3B1D"/>
    <w:rsid w:val="00FC5745"/>
    <w:rsid w:val="00FE18E9"/>
    <w:rsid w:val="00FE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3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D4B08"/>
    <w:pPr>
      <w:autoSpaceDE w:val="0"/>
      <w:autoSpaceDN w:val="0"/>
      <w:adjustRightInd w:val="0"/>
    </w:pPr>
    <w:rPr>
      <w:rFonts w:ascii="Arial Narrow" w:hAnsi="Arial Narrow" w:cs="Arial Narrow"/>
      <w:color w:val="000000"/>
      <w:sz w:val="24"/>
      <w:szCs w:val="24"/>
    </w:rPr>
  </w:style>
  <w:style w:type="paragraph" w:styleId="BodyText">
    <w:name w:val="Body Text"/>
    <w:basedOn w:val="Normal"/>
    <w:rsid w:val="001F6882"/>
    <w:pPr>
      <w:widowControl/>
      <w:autoSpaceDE/>
      <w:autoSpaceDN/>
      <w:adjustRightInd/>
      <w:spacing w:after="220" w:line="180" w:lineRule="atLeast"/>
      <w:ind w:left="835" w:right="835"/>
      <w:jc w:val="both"/>
    </w:pPr>
    <w:rPr>
      <w:rFonts w:ascii="Arial" w:hAnsi="Arial"/>
      <w:spacing w:val="-5"/>
      <w:sz w:val="20"/>
      <w:szCs w:val="20"/>
    </w:rPr>
  </w:style>
  <w:style w:type="character" w:styleId="Hyperlink">
    <w:name w:val="Hyperlink"/>
    <w:rsid w:val="001F6882"/>
    <w:rPr>
      <w:color w:val="0000FF"/>
      <w:u w:val="single"/>
    </w:rPr>
  </w:style>
  <w:style w:type="paragraph" w:styleId="Header">
    <w:name w:val="header"/>
    <w:basedOn w:val="Normal"/>
    <w:rsid w:val="00527740"/>
    <w:pPr>
      <w:tabs>
        <w:tab w:val="center" w:pos="4320"/>
        <w:tab w:val="right" w:pos="8640"/>
      </w:tabs>
    </w:pPr>
  </w:style>
  <w:style w:type="paragraph" w:styleId="Footer">
    <w:name w:val="footer"/>
    <w:basedOn w:val="Normal"/>
    <w:rsid w:val="00527740"/>
    <w:pPr>
      <w:tabs>
        <w:tab w:val="center" w:pos="4320"/>
        <w:tab w:val="right" w:pos="8640"/>
      </w:tabs>
    </w:pPr>
  </w:style>
  <w:style w:type="paragraph" w:styleId="BalloonText">
    <w:name w:val="Balloon Text"/>
    <w:basedOn w:val="Normal"/>
    <w:link w:val="BalloonTextChar"/>
    <w:rsid w:val="00913920"/>
    <w:rPr>
      <w:rFonts w:ascii="Tahoma" w:hAnsi="Tahoma"/>
      <w:sz w:val="16"/>
      <w:szCs w:val="16"/>
      <w:lang w:val="x-none" w:eastAsia="x-none"/>
    </w:rPr>
  </w:style>
  <w:style w:type="character" w:customStyle="1" w:styleId="BalloonTextChar">
    <w:name w:val="Balloon Text Char"/>
    <w:link w:val="BalloonText"/>
    <w:rsid w:val="00913920"/>
    <w:rPr>
      <w:rFonts w:ascii="Tahoma" w:hAnsi="Tahoma" w:cs="Tahoma"/>
      <w:sz w:val="16"/>
      <w:szCs w:val="16"/>
    </w:rPr>
  </w:style>
  <w:style w:type="paragraph" w:styleId="ListParagraph">
    <w:name w:val="List Paragraph"/>
    <w:basedOn w:val="Normal"/>
    <w:uiPriority w:val="34"/>
    <w:qFormat/>
    <w:rsid w:val="00861A51"/>
    <w:pPr>
      <w:widowControl/>
      <w:autoSpaceDE/>
      <w:autoSpaceDN/>
      <w:adjustRightInd/>
      <w:ind w:left="720"/>
    </w:pPr>
    <w:rPr>
      <w:rFonts w:ascii="Calibri" w:eastAsia="Calibri" w:hAnsi="Calibri"/>
      <w:sz w:val="22"/>
      <w:szCs w:val="22"/>
    </w:rPr>
  </w:style>
  <w:style w:type="character" w:styleId="CommentReference">
    <w:name w:val="annotation reference"/>
    <w:basedOn w:val="DefaultParagraphFont"/>
    <w:rsid w:val="00970588"/>
    <w:rPr>
      <w:sz w:val="16"/>
      <w:szCs w:val="16"/>
    </w:rPr>
  </w:style>
  <w:style w:type="paragraph" w:styleId="CommentText">
    <w:name w:val="annotation text"/>
    <w:basedOn w:val="Normal"/>
    <w:link w:val="CommentTextChar"/>
    <w:rsid w:val="00970588"/>
    <w:rPr>
      <w:sz w:val="20"/>
      <w:szCs w:val="20"/>
    </w:rPr>
  </w:style>
  <w:style w:type="character" w:customStyle="1" w:styleId="CommentTextChar">
    <w:name w:val="Comment Text Char"/>
    <w:basedOn w:val="DefaultParagraphFont"/>
    <w:link w:val="CommentText"/>
    <w:rsid w:val="00970588"/>
  </w:style>
  <w:style w:type="paragraph" w:styleId="CommentSubject">
    <w:name w:val="annotation subject"/>
    <w:basedOn w:val="CommentText"/>
    <w:next w:val="CommentText"/>
    <w:link w:val="CommentSubjectChar"/>
    <w:rsid w:val="00970588"/>
    <w:rPr>
      <w:b/>
      <w:bCs/>
    </w:rPr>
  </w:style>
  <w:style w:type="character" w:customStyle="1" w:styleId="CommentSubjectChar">
    <w:name w:val="Comment Subject Char"/>
    <w:basedOn w:val="CommentTextChar"/>
    <w:link w:val="CommentSubject"/>
    <w:rsid w:val="00970588"/>
    <w:rPr>
      <w:b/>
      <w:bCs/>
    </w:rPr>
  </w:style>
  <w:style w:type="paragraph" w:styleId="FootnoteText">
    <w:name w:val="footnote text"/>
    <w:basedOn w:val="Normal"/>
    <w:link w:val="FootnoteTextChar"/>
    <w:rsid w:val="00C224E1"/>
    <w:pPr>
      <w:widowControl/>
      <w:autoSpaceDE/>
      <w:autoSpaceDN/>
      <w:adjustRightInd/>
    </w:pPr>
    <w:rPr>
      <w:sz w:val="20"/>
      <w:szCs w:val="20"/>
    </w:rPr>
  </w:style>
  <w:style w:type="character" w:customStyle="1" w:styleId="FootnoteTextChar">
    <w:name w:val="Footnote Text Char"/>
    <w:basedOn w:val="DefaultParagraphFont"/>
    <w:link w:val="FootnoteText"/>
    <w:rsid w:val="00C224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D4B08"/>
    <w:pPr>
      <w:autoSpaceDE w:val="0"/>
      <w:autoSpaceDN w:val="0"/>
      <w:adjustRightInd w:val="0"/>
    </w:pPr>
    <w:rPr>
      <w:rFonts w:ascii="Arial Narrow" w:hAnsi="Arial Narrow" w:cs="Arial Narrow"/>
      <w:color w:val="000000"/>
      <w:sz w:val="24"/>
      <w:szCs w:val="24"/>
    </w:rPr>
  </w:style>
  <w:style w:type="paragraph" w:styleId="BodyText">
    <w:name w:val="Body Text"/>
    <w:basedOn w:val="Normal"/>
    <w:rsid w:val="001F6882"/>
    <w:pPr>
      <w:widowControl/>
      <w:autoSpaceDE/>
      <w:autoSpaceDN/>
      <w:adjustRightInd/>
      <w:spacing w:after="220" w:line="180" w:lineRule="atLeast"/>
      <w:ind w:left="835" w:right="835"/>
      <w:jc w:val="both"/>
    </w:pPr>
    <w:rPr>
      <w:rFonts w:ascii="Arial" w:hAnsi="Arial"/>
      <w:spacing w:val="-5"/>
      <w:sz w:val="20"/>
      <w:szCs w:val="20"/>
    </w:rPr>
  </w:style>
  <w:style w:type="character" w:styleId="Hyperlink">
    <w:name w:val="Hyperlink"/>
    <w:rsid w:val="001F6882"/>
    <w:rPr>
      <w:color w:val="0000FF"/>
      <w:u w:val="single"/>
    </w:rPr>
  </w:style>
  <w:style w:type="paragraph" w:styleId="Header">
    <w:name w:val="header"/>
    <w:basedOn w:val="Normal"/>
    <w:rsid w:val="00527740"/>
    <w:pPr>
      <w:tabs>
        <w:tab w:val="center" w:pos="4320"/>
        <w:tab w:val="right" w:pos="8640"/>
      </w:tabs>
    </w:pPr>
  </w:style>
  <w:style w:type="paragraph" w:styleId="Footer">
    <w:name w:val="footer"/>
    <w:basedOn w:val="Normal"/>
    <w:rsid w:val="00527740"/>
    <w:pPr>
      <w:tabs>
        <w:tab w:val="center" w:pos="4320"/>
        <w:tab w:val="right" w:pos="8640"/>
      </w:tabs>
    </w:pPr>
  </w:style>
  <w:style w:type="paragraph" w:styleId="BalloonText">
    <w:name w:val="Balloon Text"/>
    <w:basedOn w:val="Normal"/>
    <w:link w:val="BalloonTextChar"/>
    <w:rsid w:val="00913920"/>
    <w:rPr>
      <w:rFonts w:ascii="Tahoma" w:hAnsi="Tahoma"/>
      <w:sz w:val="16"/>
      <w:szCs w:val="16"/>
      <w:lang w:val="x-none" w:eastAsia="x-none"/>
    </w:rPr>
  </w:style>
  <w:style w:type="character" w:customStyle="1" w:styleId="BalloonTextChar">
    <w:name w:val="Balloon Text Char"/>
    <w:link w:val="BalloonText"/>
    <w:rsid w:val="00913920"/>
    <w:rPr>
      <w:rFonts w:ascii="Tahoma" w:hAnsi="Tahoma" w:cs="Tahoma"/>
      <w:sz w:val="16"/>
      <w:szCs w:val="16"/>
    </w:rPr>
  </w:style>
  <w:style w:type="paragraph" w:styleId="ListParagraph">
    <w:name w:val="List Paragraph"/>
    <w:basedOn w:val="Normal"/>
    <w:uiPriority w:val="34"/>
    <w:qFormat/>
    <w:rsid w:val="00861A51"/>
    <w:pPr>
      <w:widowControl/>
      <w:autoSpaceDE/>
      <w:autoSpaceDN/>
      <w:adjustRightInd/>
      <w:ind w:left="720"/>
    </w:pPr>
    <w:rPr>
      <w:rFonts w:ascii="Calibri" w:eastAsia="Calibri" w:hAnsi="Calibri"/>
      <w:sz w:val="22"/>
      <w:szCs w:val="22"/>
    </w:rPr>
  </w:style>
  <w:style w:type="character" w:styleId="CommentReference">
    <w:name w:val="annotation reference"/>
    <w:basedOn w:val="DefaultParagraphFont"/>
    <w:rsid w:val="00970588"/>
    <w:rPr>
      <w:sz w:val="16"/>
      <w:szCs w:val="16"/>
    </w:rPr>
  </w:style>
  <w:style w:type="paragraph" w:styleId="CommentText">
    <w:name w:val="annotation text"/>
    <w:basedOn w:val="Normal"/>
    <w:link w:val="CommentTextChar"/>
    <w:rsid w:val="00970588"/>
    <w:rPr>
      <w:sz w:val="20"/>
      <w:szCs w:val="20"/>
    </w:rPr>
  </w:style>
  <w:style w:type="character" w:customStyle="1" w:styleId="CommentTextChar">
    <w:name w:val="Comment Text Char"/>
    <w:basedOn w:val="DefaultParagraphFont"/>
    <w:link w:val="CommentText"/>
    <w:rsid w:val="00970588"/>
  </w:style>
  <w:style w:type="paragraph" w:styleId="CommentSubject">
    <w:name w:val="annotation subject"/>
    <w:basedOn w:val="CommentText"/>
    <w:next w:val="CommentText"/>
    <w:link w:val="CommentSubjectChar"/>
    <w:rsid w:val="00970588"/>
    <w:rPr>
      <w:b/>
      <w:bCs/>
    </w:rPr>
  </w:style>
  <w:style w:type="character" w:customStyle="1" w:styleId="CommentSubjectChar">
    <w:name w:val="Comment Subject Char"/>
    <w:basedOn w:val="CommentTextChar"/>
    <w:link w:val="CommentSubject"/>
    <w:rsid w:val="00970588"/>
    <w:rPr>
      <w:b/>
      <w:bCs/>
    </w:rPr>
  </w:style>
  <w:style w:type="paragraph" w:styleId="FootnoteText">
    <w:name w:val="footnote text"/>
    <w:basedOn w:val="Normal"/>
    <w:link w:val="FootnoteTextChar"/>
    <w:rsid w:val="00C224E1"/>
    <w:pPr>
      <w:widowControl/>
      <w:autoSpaceDE/>
      <w:autoSpaceDN/>
      <w:adjustRightInd/>
    </w:pPr>
    <w:rPr>
      <w:sz w:val="20"/>
      <w:szCs w:val="20"/>
    </w:rPr>
  </w:style>
  <w:style w:type="character" w:customStyle="1" w:styleId="FootnoteTextChar">
    <w:name w:val="Footnote Text Char"/>
    <w:basedOn w:val="DefaultParagraphFont"/>
    <w:link w:val="FootnoteText"/>
    <w:rsid w:val="00C22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7299">
      <w:bodyDiv w:val="1"/>
      <w:marLeft w:val="0"/>
      <w:marRight w:val="0"/>
      <w:marTop w:val="0"/>
      <w:marBottom w:val="0"/>
      <w:divBdr>
        <w:top w:val="none" w:sz="0" w:space="0" w:color="auto"/>
        <w:left w:val="none" w:sz="0" w:space="0" w:color="auto"/>
        <w:bottom w:val="none" w:sz="0" w:space="0" w:color="auto"/>
        <w:right w:val="none" w:sz="0" w:space="0" w:color="auto"/>
      </w:divBdr>
    </w:div>
    <w:div w:id="387533248">
      <w:bodyDiv w:val="1"/>
      <w:marLeft w:val="0"/>
      <w:marRight w:val="0"/>
      <w:marTop w:val="0"/>
      <w:marBottom w:val="0"/>
      <w:divBdr>
        <w:top w:val="none" w:sz="0" w:space="0" w:color="auto"/>
        <w:left w:val="none" w:sz="0" w:space="0" w:color="auto"/>
        <w:bottom w:val="none" w:sz="0" w:space="0" w:color="auto"/>
        <w:right w:val="none" w:sz="0" w:space="0" w:color="auto"/>
      </w:divBdr>
    </w:div>
    <w:div w:id="864632100">
      <w:bodyDiv w:val="1"/>
      <w:marLeft w:val="0"/>
      <w:marRight w:val="0"/>
      <w:marTop w:val="0"/>
      <w:marBottom w:val="0"/>
      <w:divBdr>
        <w:top w:val="none" w:sz="0" w:space="0" w:color="auto"/>
        <w:left w:val="none" w:sz="0" w:space="0" w:color="auto"/>
        <w:bottom w:val="none" w:sz="0" w:space="0" w:color="auto"/>
        <w:right w:val="none" w:sz="0" w:space="0" w:color="auto"/>
      </w:divBdr>
    </w:div>
    <w:div w:id="1196037717">
      <w:bodyDiv w:val="1"/>
      <w:marLeft w:val="0"/>
      <w:marRight w:val="0"/>
      <w:marTop w:val="0"/>
      <w:marBottom w:val="0"/>
      <w:divBdr>
        <w:top w:val="none" w:sz="0" w:space="0" w:color="auto"/>
        <w:left w:val="none" w:sz="0" w:space="0" w:color="auto"/>
        <w:bottom w:val="none" w:sz="0" w:space="0" w:color="auto"/>
        <w:right w:val="none" w:sz="0" w:space="0" w:color="auto"/>
      </w:divBdr>
    </w:div>
    <w:div w:id="1539195286">
      <w:bodyDiv w:val="1"/>
      <w:marLeft w:val="0"/>
      <w:marRight w:val="0"/>
      <w:marTop w:val="0"/>
      <w:marBottom w:val="0"/>
      <w:divBdr>
        <w:top w:val="none" w:sz="0" w:space="0" w:color="auto"/>
        <w:left w:val="none" w:sz="0" w:space="0" w:color="auto"/>
        <w:bottom w:val="none" w:sz="0" w:space="0" w:color="auto"/>
        <w:right w:val="none" w:sz="0" w:space="0" w:color="auto"/>
      </w:divBdr>
    </w:div>
    <w:div w:id="1708605248">
      <w:bodyDiv w:val="1"/>
      <w:marLeft w:val="0"/>
      <w:marRight w:val="0"/>
      <w:marTop w:val="0"/>
      <w:marBottom w:val="0"/>
      <w:divBdr>
        <w:top w:val="none" w:sz="0" w:space="0" w:color="auto"/>
        <w:left w:val="none" w:sz="0" w:space="0" w:color="auto"/>
        <w:bottom w:val="none" w:sz="0" w:space="0" w:color="auto"/>
        <w:right w:val="none" w:sz="0" w:space="0" w:color="auto"/>
      </w:divBdr>
    </w:div>
    <w:div w:id="182794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87D77-DF26-4E5E-99F1-25B12C296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2966</Words>
  <Characters>16910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SYSTEM</cp:lastModifiedBy>
  <cp:revision>2</cp:revision>
  <cp:lastPrinted>2019-05-01T19:30:00Z</cp:lastPrinted>
  <dcterms:created xsi:type="dcterms:W3CDTF">2019-05-28T16:41:00Z</dcterms:created>
  <dcterms:modified xsi:type="dcterms:W3CDTF">2019-05-28T16:41:00Z</dcterms:modified>
</cp:coreProperties>
</file>