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B79F2" w14:textId="38DA51A2" w:rsidR="002A6D07" w:rsidRDefault="004217E0" w:rsidP="00615254">
      <w:pPr>
        <w:pStyle w:val="Heading2"/>
        <w:jc w:val="both"/>
      </w:pPr>
      <w:bookmarkStart w:id="0" w:name="_GoBack"/>
      <w:bookmarkEnd w:id="0"/>
      <w:r>
        <w:t>High-Cost Universal Service Support</w:t>
      </w:r>
      <w:r w:rsidR="007A2719">
        <w:tab/>
      </w:r>
      <w:r w:rsidR="007A2719">
        <w:tab/>
      </w:r>
      <w:r w:rsidR="007A2719">
        <w:tab/>
      </w:r>
      <w:r w:rsidR="007A2719">
        <w:tab/>
      </w:r>
      <w:r w:rsidR="007A2719">
        <w:tab/>
        <w:t xml:space="preserve">             </w:t>
      </w:r>
      <w:r>
        <w:t xml:space="preserve">           </w:t>
      </w:r>
      <w:r w:rsidR="007A2719">
        <w:t xml:space="preserve">                                          </w:t>
      </w:r>
      <w:r>
        <w:tab/>
      </w:r>
      <w:r>
        <w:tab/>
      </w:r>
      <w:r w:rsidR="007A2719">
        <w:t xml:space="preserve">         3060-0986</w:t>
      </w:r>
    </w:p>
    <w:p w14:paraId="2F1B79F4" w14:textId="405087FF" w:rsidR="002A6D07" w:rsidRDefault="002154AE" w:rsidP="00613F6B">
      <w:pPr>
        <w:ind w:left="1"/>
        <w:jc w:val="right"/>
        <w:rPr>
          <w:b/>
          <w:szCs w:val="24"/>
        </w:rPr>
      </w:pPr>
      <w:r>
        <w:rPr>
          <w:b/>
          <w:szCs w:val="24"/>
        </w:rPr>
        <w:t>April</w:t>
      </w:r>
      <w:r w:rsidR="008F6EE3">
        <w:rPr>
          <w:b/>
          <w:szCs w:val="24"/>
        </w:rPr>
        <w:t xml:space="preserve"> </w:t>
      </w:r>
      <w:r w:rsidR="001045CC">
        <w:rPr>
          <w:b/>
          <w:szCs w:val="24"/>
        </w:rPr>
        <w:t>201</w:t>
      </w:r>
      <w:r w:rsidR="008F6EE3">
        <w:rPr>
          <w:b/>
          <w:szCs w:val="24"/>
        </w:rPr>
        <w:t>9</w:t>
      </w:r>
    </w:p>
    <w:p w14:paraId="2F1B79F5" w14:textId="77777777" w:rsidR="00DE165B" w:rsidRPr="00AC27FF" w:rsidRDefault="00DE165B">
      <w:pPr>
        <w:jc w:val="right"/>
        <w:rPr>
          <w:b/>
          <w:szCs w:val="24"/>
        </w:rPr>
      </w:pPr>
    </w:p>
    <w:p w14:paraId="2F1B79F6" w14:textId="77777777" w:rsidR="00DE165B" w:rsidRPr="00AC27FF" w:rsidRDefault="00DE165B" w:rsidP="0031421F">
      <w:pPr>
        <w:jc w:val="center"/>
        <w:rPr>
          <w:szCs w:val="24"/>
        </w:rPr>
      </w:pPr>
    </w:p>
    <w:p w14:paraId="2F1B79F7" w14:textId="77777777" w:rsidR="00DE165B" w:rsidRPr="00AC27FF" w:rsidRDefault="00DE165B">
      <w:pPr>
        <w:jc w:val="center"/>
        <w:rPr>
          <w:b/>
          <w:szCs w:val="24"/>
        </w:rPr>
      </w:pPr>
    </w:p>
    <w:p w14:paraId="2F1B79F8" w14:textId="77777777" w:rsidR="00DE165B" w:rsidRPr="00AC27FF" w:rsidRDefault="00DE165B">
      <w:pPr>
        <w:jc w:val="center"/>
        <w:rPr>
          <w:szCs w:val="24"/>
        </w:rPr>
      </w:pPr>
      <w:r w:rsidRPr="00AC27FF">
        <w:rPr>
          <w:szCs w:val="24"/>
        </w:rPr>
        <w:t>SUPPORTING STATEMENT</w:t>
      </w:r>
    </w:p>
    <w:p w14:paraId="2F1B79F9" w14:textId="77777777" w:rsidR="00DE165B" w:rsidRPr="00AC27FF" w:rsidRDefault="00DE165B">
      <w:pPr>
        <w:jc w:val="center"/>
        <w:rPr>
          <w:b/>
          <w:szCs w:val="24"/>
        </w:rPr>
      </w:pPr>
    </w:p>
    <w:p w14:paraId="2F1B79FA" w14:textId="1E72183C" w:rsidR="003A08A3" w:rsidRPr="000E731F" w:rsidRDefault="003A08A3" w:rsidP="003A08A3">
      <w:r>
        <w:t>This collection is</w:t>
      </w:r>
      <w:r w:rsidRPr="000E731F">
        <w:t xml:space="preserve"> being submitt</w:t>
      </w:r>
      <w:r w:rsidR="008F1D0E">
        <w:t xml:space="preserve">ed </w:t>
      </w:r>
      <w:r w:rsidRPr="000E731F">
        <w:t xml:space="preserve">to </w:t>
      </w:r>
      <w:r w:rsidR="00AB5014">
        <w:t xml:space="preserve">the </w:t>
      </w:r>
      <w:r>
        <w:t>O</w:t>
      </w:r>
      <w:r w:rsidR="00AB5014">
        <w:t xml:space="preserve">ffice of </w:t>
      </w:r>
      <w:r>
        <w:t>M</w:t>
      </w:r>
      <w:r w:rsidR="00AB5014">
        <w:t xml:space="preserve">anagement </w:t>
      </w:r>
      <w:r w:rsidR="001045CC">
        <w:t xml:space="preserve">and </w:t>
      </w:r>
      <w:r>
        <w:t>B</w:t>
      </w:r>
      <w:r w:rsidR="00AB5014">
        <w:t>udget (OMB)</w:t>
      </w:r>
      <w:r>
        <w:t xml:space="preserve"> </w:t>
      </w:r>
      <w:r w:rsidR="008F1D0E">
        <w:t>to seek approval for revised information collection requirements as a result of</w:t>
      </w:r>
      <w:r w:rsidR="00E64845">
        <w:t xml:space="preserve"> a</w:t>
      </w:r>
      <w:r w:rsidR="008F1D0E">
        <w:t xml:space="preserve"> recent Commission order as explained below.  </w:t>
      </w:r>
      <w:r w:rsidR="00AD1B4B">
        <w:t xml:space="preserve">This collection </w:t>
      </w:r>
      <w:r w:rsidR="002648B7">
        <w:t>updates</w:t>
      </w:r>
      <w:r w:rsidR="00C9322C">
        <w:t xml:space="preserve"> FCC</w:t>
      </w:r>
      <w:r w:rsidR="002648B7">
        <w:t xml:space="preserve"> </w:t>
      </w:r>
      <w:r w:rsidR="00C9322C">
        <w:t>Form 481 and its instructions, as well as the projected burdens associated with other forms necessary for carriers to receive high-cost universal service support under the Connect America Fund.</w:t>
      </w:r>
      <w:r w:rsidR="008D5B7C">
        <w:t xml:space="preserve"> </w:t>
      </w:r>
    </w:p>
    <w:p w14:paraId="2F1B79FB" w14:textId="77777777" w:rsidR="00DE165B" w:rsidRPr="00AC27FF" w:rsidRDefault="00DE165B">
      <w:pPr>
        <w:jc w:val="center"/>
        <w:rPr>
          <w:b/>
          <w:szCs w:val="24"/>
        </w:rPr>
      </w:pPr>
    </w:p>
    <w:p w14:paraId="2F1B79FC" w14:textId="77777777" w:rsidR="00DE165B" w:rsidRPr="00AC27FF" w:rsidRDefault="00DE165B">
      <w:pPr>
        <w:rPr>
          <w:b/>
          <w:szCs w:val="24"/>
        </w:rPr>
      </w:pPr>
      <w:r w:rsidRPr="00AC27FF">
        <w:rPr>
          <w:b/>
          <w:szCs w:val="24"/>
        </w:rPr>
        <w:t xml:space="preserve">A.  </w:t>
      </w:r>
      <w:r w:rsidRPr="00AC27FF">
        <w:rPr>
          <w:b/>
          <w:szCs w:val="24"/>
          <w:u w:val="single"/>
        </w:rPr>
        <w:t>Justification</w:t>
      </w:r>
      <w:r w:rsidRPr="00AC27FF">
        <w:rPr>
          <w:b/>
          <w:szCs w:val="24"/>
        </w:rPr>
        <w:t>:</w:t>
      </w:r>
    </w:p>
    <w:p w14:paraId="2F1B79FD" w14:textId="77777777" w:rsidR="00DE165B" w:rsidRPr="00AC27FF" w:rsidRDefault="00DE165B">
      <w:pPr>
        <w:rPr>
          <w:szCs w:val="24"/>
        </w:rPr>
      </w:pPr>
    </w:p>
    <w:p w14:paraId="2F1B79FE" w14:textId="1CBE00D9" w:rsidR="003A08A3" w:rsidRPr="00613F6B" w:rsidRDefault="00DE165B" w:rsidP="00AA14A5">
      <w:pPr>
        <w:numPr>
          <w:ilvl w:val="0"/>
          <w:numId w:val="3"/>
        </w:numPr>
        <w:ind w:left="360"/>
        <w:rPr>
          <w:szCs w:val="24"/>
        </w:rPr>
      </w:pPr>
      <w:r w:rsidRPr="00615254">
        <w:rPr>
          <w:i/>
          <w:kern w:val="28"/>
        </w:rPr>
        <w:t>Circumstances that make the collection necessary.</w:t>
      </w:r>
      <w:r w:rsidRPr="00AC27FF">
        <w:rPr>
          <w:snapToGrid w:val="0"/>
          <w:kern w:val="28"/>
          <w:szCs w:val="24"/>
          <w:lang w:bidi="he-IL"/>
        </w:rPr>
        <w:t xml:space="preserve">  </w:t>
      </w:r>
    </w:p>
    <w:p w14:paraId="2F1B79FF" w14:textId="77777777" w:rsidR="003A08A3" w:rsidRDefault="003A08A3" w:rsidP="00613F6B">
      <w:pPr>
        <w:ind w:left="360"/>
        <w:rPr>
          <w:snapToGrid w:val="0"/>
          <w:kern w:val="28"/>
          <w:szCs w:val="24"/>
          <w:lang w:bidi="he-IL"/>
        </w:rPr>
      </w:pPr>
    </w:p>
    <w:p w14:paraId="2F1B7A00" w14:textId="77777777" w:rsidR="00A47649" w:rsidRPr="00AC27FF" w:rsidRDefault="00321999" w:rsidP="00615254">
      <w:pPr>
        <w:ind w:left="360"/>
        <w:rPr>
          <w:szCs w:val="24"/>
        </w:rPr>
      </w:pPr>
      <w:r w:rsidRPr="00AC27FF">
        <w:rPr>
          <w:snapToGrid w:val="0"/>
          <w:kern w:val="28"/>
          <w:szCs w:val="24"/>
          <w:lang w:bidi="he-IL"/>
        </w:rPr>
        <w:t>T</w:t>
      </w:r>
      <w:r w:rsidR="00DE165B" w:rsidRPr="00AC27FF">
        <w:rPr>
          <w:szCs w:val="24"/>
        </w:rPr>
        <w:t xml:space="preserve">he </w:t>
      </w:r>
      <w:r w:rsidR="00003830" w:rsidRPr="00AC27FF">
        <w:rPr>
          <w:szCs w:val="24"/>
        </w:rPr>
        <w:t xml:space="preserve">requirements in this </w:t>
      </w:r>
      <w:r w:rsidR="00DE165B" w:rsidRPr="00AC27FF">
        <w:rPr>
          <w:szCs w:val="24"/>
        </w:rPr>
        <w:t xml:space="preserve">information collection are used to determine the amount of, and eligibility for, high-cost universal service support received by incumbent and competitive eligible telecommunications carriers (ETCs) under the Connect America Fund.  </w:t>
      </w:r>
    </w:p>
    <w:p w14:paraId="2F1B7A01" w14:textId="77777777" w:rsidR="00A47649" w:rsidRPr="00AC27FF" w:rsidRDefault="00A47649" w:rsidP="00A47649">
      <w:pPr>
        <w:rPr>
          <w:szCs w:val="24"/>
        </w:rPr>
      </w:pPr>
    </w:p>
    <w:p w14:paraId="2F1B7A02" w14:textId="13215031" w:rsidR="00526A5C" w:rsidRPr="00AC27FF" w:rsidRDefault="00DE165B" w:rsidP="00526A5C">
      <w:pPr>
        <w:tabs>
          <w:tab w:val="left" w:pos="360"/>
        </w:tabs>
        <w:ind w:left="360"/>
        <w:rPr>
          <w:szCs w:val="24"/>
        </w:rPr>
      </w:pPr>
      <w:r w:rsidRPr="00AC27FF">
        <w:rPr>
          <w:szCs w:val="24"/>
        </w:rPr>
        <w:t>The Communications Act of 1934, as amended</w:t>
      </w:r>
      <w:r w:rsidR="008F6EE3">
        <w:rPr>
          <w:szCs w:val="24"/>
        </w:rPr>
        <w:t>,</w:t>
      </w:r>
      <w:r w:rsidRPr="00AC27FF">
        <w:rPr>
          <w:szCs w:val="24"/>
        </w:rPr>
        <w:t xml:space="preserve"> (the Act) requires the “preservation and advancement of universal service.”  The information collection</w:t>
      </w:r>
      <w:r w:rsidR="00003830" w:rsidRPr="00AC27FF">
        <w:rPr>
          <w:szCs w:val="24"/>
        </w:rPr>
        <w:t xml:space="preserve"> requirement</w:t>
      </w:r>
      <w:r w:rsidRPr="00AC27FF">
        <w:rPr>
          <w:szCs w:val="24"/>
        </w:rPr>
        <w:t>s reported under this control number are the result of various Commission actions to promote the Act’s universal service goals, while minimizing waste, fraud, and abuse.</w:t>
      </w:r>
    </w:p>
    <w:p w14:paraId="2F1B7A03" w14:textId="77777777" w:rsidR="00DE165B" w:rsidRPr="00AC27FF" w:rsidRDefault="00DE165B" w:rsidP="00153382">
      <w:pPr>
        <w:rPr>
          <w:szCs w:val="24"/>
        </w:rPr>
      </w:pPr>
    </w:p>
    <w:p w14:paraId="2F1B7A05" w14:textId="1056BF0C" w:rsidR="00DE165B" w:rsidRPr="00D87D19" w:rsidRDefault="00DA66F0" w:rsidP="007C3E95">
      <w:pPr>
        <w:ind w:left="360"/>
        <w:rPr>
          <w:color w:val="000000"/>
        </w:rPr>
      </w:pPr>
      <w:r>
        <w:rPr>
          <w:color w:val="000000"/>
          <w:szCs w:val="24"/>
        </w:rPr>
        <w:t xml:space="preserve">On </w:t>
      </w:r>
      <w:r w:rsidR="00DE165B" w:rsidRPr="00AC27FF">
        <w:rPr>
          <w:color w:val="000000"/>
          <w:szCs w:val="24"/>
        </w:rPr>
        <w:t xml:space="preserve">November </w:t>
      </w:r>
      <w:r>
        <w:rPr>
          <w:color w:val="000000"/>
          <w:szCs w:val="24"/>
        </w:rPr>
        <w:t xml:space="preserve">18, </w:t>
      </w:r>
      <w:r w:rsidR="00DE165B" w:rsidRPr="00AC27FF">
        <w:rPr>
          <w:color w:val="000000"/>
          <w:szCs w:val="24"/>
        </w:rPr>
        <w:t xml:space="preserve">2011, the Commission adopted an order reforming its high-cost universal service support mechanisms.  </w:t>
      </w:r>
      <w:r w:rsidR="00DE165B" w:rsidRPr="00AC27FF">
        <w:rPr>
          <w:i/>
          <w:color w:val="000000"/>
          <w:szCs w:val="24"/>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00DE165B" w:rsidRPr="00AC27FF">
        <w:rPr>
          <w:color w:val="000000"/>
          <w:szCs w:val="24"/>
        </w:rPr>
        <w:t xml:space="preserve">, WC Docket Nos. 10-90, 07-135, 05-337, 03-109; GN Docket No. 09-51; CC Docket Nos. 01-92, 96-45; WT Docket No. 10-208, Order and Further Notice of Proposed Rulemaking, </w:t>
      </w:r>
      <w:r w:rsidR="00DE165B" w:rsidRPr="00AC27FF">
        <w:rPr>
          <w:szCs w:val="24"/>
        </w:rPr>
        <w:t>26 FCC Rcd 17663 (2011) (</w:t>
      </w:r>
      <w:r w:rsidR="00DE165B" w:rsidRPr="00AC27FF">
        <w:rPr>
          <w:i/>
          <w:szCs w:val="24"/>
        </w:rPr>
        <w:t>USF/ICC Transformation Order</w:t>
      </w:r>
      <w:r w:rsidR="00DE165B" w:rsidRPr="00AC27FF">
        <w:rPr>
          <w:szCs w:val="24"/>
        </w:rPr>
        <w:t>)</w:t>
      </w:r>
      <w:r w:rsidR="00B907D2" w:rsidRPr="00AC27FF">
        <w:rPr>
          <w:szCs w:val="24"/>
        </w:rPr>
        <w:t>, and</w:t>
      </w:r>
      <w:r w:rsidR="002F2275" w:rsidRPr="00AC27FF">
        <w:rPr>
          <w:szCs w:val="24"/>
        </w:rPr>
        <w:t xml:space="preserve"> the Commission and Wireline Competition Bureau</w:t>
      </w:r>
      <w:r w:rsidR="00B907D2" w:rsidRPr="00AC27FF">
        <w:rPr>
          <w:szCs w:val="24"/>
        </w:rPr>
        <w:t xml:space="preserve"> </w:t>
      </w:r>
      <w:r w:rsidR="002F2275" w:rsidRPr="00AC27FF">
        <w:rPr>
          <w:szCs w:val="24"/>
        </w:rPr>
        <w:t>have</w:t>
      </w:r>
      <w:r w:rsidR="00B907D2" w:rsidRPr="00AC27FF">
        <w:rPr>
          <w:szCs w:val="24"/>
        </w:rPr>
        <w:t xml:space="preserve"> since adopted a number of orders </w:t>
      </w:r>
      <w:r w:rsidR="004656BF" w:rsidRPr="00AC27FF">
        <w:rPr>
          <w:szCs w:val="24"/>
        </w:rPr>
        <w:t>that  implement</w:t>
      </w:r>
      <w:r w:rsidR="002F2275" w:rsidRPr="00AC27FF">
        <w:rPr>
          <w:szCs w:val="24"/>
        </w:rPr>
        <w:t xml:space="preserve"> </w:t>
      </w:r>
      <w:r w:rsidR="00B907D2" w:rsidRPr="00AC27FF">
        <w:rPr>
          <w:szCs w:val="24"/>
        </w:rPr>
        <w:t xml:space="preserve">the </w:t>
      </w:r>
      <w:r w:rsidR="00B907D2" w:rsidRPr="008D1CA8">
        <w:rPr>
          <w:i/>
          <w:szCs w:val="24"/>
        </w:rPr>
        <w:t>USF/ICC Transformation Order</w:t>
      </w:r>
      <w:r w:rsidR="00DE165B" w:rsidRPr="00AC27FF">
        <w:rPr>
          <w:szCs w:val="24"/>
        </w:rPr>
        <w:t xml:space="preserve">; </w:t>
      </w:r>
      <w:r w:rsidR="00DE165B" w:rsidRPr="00AC27FF">
        <w:rPr>
          <w:i/>
          <w:szCs w:val="24"/>
        </w:rPr>
        <w:t xml:space="preserve">see also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szCs w:val="24"/>
        </w:rPr>
        <w:t xml:space="preserve">Third Order on Reconsideration, </w:t>
      </w:r>
      <w:r w:rsidR="00DE165B" w:rsidRPr="00AC27FF">
        <w:rPr>
          <w:iCs/>
          <w:szCs w:val="24"/>
        </w:rPr>
        <w:t>27 FCC Rcd 5622</w:t>
      </w:r>
      <w:r w:rsidR="00DE165B" w:rsidRPr="00AC27FF">
        <w:rPr>
          <w:szCs w:val="24"/>
        </w:rPr>
        <w:t xml:space="preserve"> (2012);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color w:val="010101"/>
          <w:szCs w:val="24"/>
        </w:rPr>
        <w:t xml:space="preserve">Order, </w:t>
      </w:r>
      <w:r w:rsidR="00DE165B" w:rsidRPr="00AC27FF">
        <w:rPr>
          <w:color w:val="252525"/>
          <w:szCs w:val="24"/>
        </w:rPr>
        <w:t>27 FCC Rcd 605</w:t>
      </w:r>
      <w:r w:rsidR="00DE165B" w:rsidRPr="00AC27FF">
        <w:rPr>
          <w:color w:val="010101"/>
          <w:szCs w:val="24"/>
        </w:rPr>
        <w:t xml:space="preserve"> (Wireline Comp. Bur. 2012)</w:t>
      </w:r>
      <w:r w:rsidR="007565C7" w:rsidRPr="00AC27FF">
        <w:rPr>
          <w:color w:val="010101"/>
          <w:szCs w:val="24"/>
        </w:rPr>
        <w:t xml:space="preserve">; </w:t>
      </w:r>
      <w:r w:rsidR="007565C7" w:rsidRPr="00AC27FF">
        <w:rPr>
          <w:i/>
          <w:color w:val="010101"/>
          <w:szCs w:val="24"/>
        </w:rPr>
        <w:t>Connect America Fund et al.</w:t>
      </w:r>
      <w:r w:rsidR="007565C7" w:rsidRPr="00AC27FF">
        <w:rPr>
          <w:color w:val="010101"/>
          <w:szCs w:val="24"/>
        </w:rPr>
        <w:t>, WC Docket No. 10-90 et al., Fifth Order on Reconsideration, 27 FCC Rcd 14549 (2012)</w:t>
      </w:r>
      <w:r w:rsidR="00651D18" w:rsidRPr="00AC27FF">
        <w:rPr>
          <w:color w:val="010101"/>
          <w:szCs w:val="24"/>
        </w:rPr>
        <w:t xml:space="preserve">; </w:t>
      </w:r>
      <w:r w:rsidR="00651D18" w:rsidRPr="00AC27FF">
        <w:rPr>
          <w:i/>
          <w:color w:val="010101"/>
          <w:szCs w:val="24"/>
        </w:rPr>
        <w:t>Connect America Fund et al.</w:t>
      </w:r>
      <w:r w:rsidR="00651D18" w:rsidRPr="00AC27FF">
        <w:rPr>
          <w:color w:val="010101"/>
          <w:szCs w:val="24"/>
        </w:rPr>
        <w:t xml:space="preserve">, WC Docket No. 10-90 et al., Order, 28 FCC Rcd 2051 (Wireline Comp. Bur. 2013); </w:t>
      </w:r>
      <w:r w:rsidR="00651D18" w:rsidRPr="00AC27FF">
        <w:rPr>
          <w:i/>
          <w:color w:val="010101"/>
          <w:szCs w:val="24"/>
        </w:rPr>
        <w:t>Connect America Fund et al.</w:t>
      </w:r>
      <w:r w:rsidR="00651D18" w:rsidRPr="00AC27FF">
        <w:rPr>
          <w:color w:val="010101"/>
          <w:szCs w:val="24"/>
        </w:rPr>
        <w:t>, WC Docket No.</w:t>
      </w:r>
      <w:r w:rsidR="001F0F65" w:rsidRPr="00AC27FF">
        <w:rPr>
          <w:color w:val="010101"/>
          <w:szCs w:val="24"/>
        </w:rPr>
        <w:t xml:space="preserve"> 10-90 et al., Order, 28 FCC Rcd 7227</w:t>
      </w:r>
      <w:r w:rsidR="00651D18" w:rsidRPr="00AC27FF">
        <w:rPr>
          <w:color w:val="010101"/>
          <w:szCs w:val="24"/>
        </w:rPr>
        <w:t xml:space="preserve"> (Wirel</w:t>
      </w:r>
      <w:r w:rsidR="001F0F65" w:rsidRPr="00AC27FF">
        <w:rPr>
          <w:color w:val="010101"/>
          <w:szCs w:val="24"/>
        </w:rPr>
        <w:t>ine Comp. Bur. 2013)</w:t>
      </w:r>
      <w:r w:rsidR="0046213E">
        <w:rPr>
          <w:color w:val="010101"/>
          <w:szCs w:val="24"/>
        </w:rPr>
        <w:t xml:space="preserve">; </w:t>
      </w:r>
      <w:r w:rsidR="0046213E" w:rsidRPr="00AC27FF">
        <w:rPr>
          <w:i/>
          <w:color w:val="000000"/>
          <w:szCs w:val="24"/>
        </w:rPr>
        <w:t>Connect America Fund</w:t>
      </w:r>
      <w:r w:rsidR="0046213E" w:rsidRPr="00AC27FF">
        <w:rPr>
          <w:color w:val="000000"/>
          <w:szCs w:val="24"/>
        </w:rPr>
        <w:t>, WC Docket</w:t>
      </w:r>
      <w:r w:rsidR="0057728A">
        <w:rPr>
          <w:color w:val="000000"/>
          <w:szCs w:val="24"/>
        </w:rPr>
        <w:t xml:space="preserve"> No.</w:t>
      </w:r>
      <w:r w:rsidR="0046213E" w:rsidRPr="00AC27FF">
        <w:rPr>
          <w:color w:val="000000"/>
          <w:szCs w:val="24"/>
        </w:rPr>
        <w:t xml:space="preserve"> 10-90, Report and Order, </w:t>
      </w:r>
      <w:r w:rsidR="0057728A">
        <w:rPr>
          <w:color w:val="000000"/>
          <w:szCs w:val="24"/>
        </w:rPr>
        <w:t>28 FCC Rcd 7766</w:t>
      </w:r>
      <w:r w:rsidR="0046213E" w:rsidRPr="00AC27FF">
        <w:rPr>
          <w:color w:val="000000"/>
          <w:szCs w:val="24"/>
        </w:rPr>
        <w:t xml:space="preserve"> (</w:t>
      </w:r>
      <w:r w:rsidR="0057728A">
        <w:rPr>
          <w:color w:val="000000"/>
          <w:szCs w:val="24"/>
        </w:rPr>
        <w:t>Wireline Comp. Bur.</w:t>
      </w:r>
      <w:r w:rsidR="0046213E" w:rsidRPr="00AC27FF">
        <w:rPr>
          <w:color w:val="000000"/>
          <w:szCs w:val="24"/>
        </w:rPr>
        <w:t xml:space="preserve"> 2013)</w:t>
      </w:r>
      <w:r w:rsidR="0057728A">
        <w:rPr>
          <w:color w:val="000000"/>
          <w:szCs w:val="24"/>
        </w:rPr>
        <w:t xml:space="preserve">; </w:t>
      </w:r>
      <w:r w:rsidR="0057728A" w:rsidRPr="00E209F0">
        <w:rPr>
          <w:i/>
          <w:color w:val="000000"/>
          <w:szCs w:val="24"/>
        </w:rPr>
        <w:t>Connect America Fund</w:t>
      </w:r>
      <w:r w:rsidR="0057728A">
        <w:rPr>
          <w:color w:val="000000"/>
          <w:szCs w:val="24"/>
        </w:rPr>
        <w:t xml:space="preserve">, WC Docket No. 10-90, Report and Order, 28 FCC Rcd 7211 (Wireline Comp. Bur. </w:t>
      </w:r>
      <w:r w:rsidR="00503D2E">
        <w:rPr>
          <w:color w:val="000000"/>
          <w:szCs w:val="24"/>
        </w:rPr>
        <w:t xml:space="preserve">2013); </w:t>
      </w:r>
      <w:r w:rsidR="00503D2E" w:rsidRPr="00AC27FF">
        <w:rPr>
          <w:i/>
          <w:color w:val="000000"/>
          <w:szCs w:val="24"/>
        </w:rPr>
        <w:t>Connect America Fund</w:t>
      </w:r>
      <w:r w:rsidR="00503D2E" w:rsidRPr="00AC27FF">
        <w:rPr>
          <w:color w:val="000000"/>
          <w:szCs w:val="24"/>
        </w:rPr>
        <w:t>, WC Docket</w:t>
      </w:r>
      <w:r w:rsidR="00503D2E">
        <w:rPr>
          <w:color w:val="000000"/>
          <w:szCs w:val="24"/>
        </w:rPr>
        <w:t xml:space="preserve"> No.</w:t>
      </w:r>
      <w:r w:rsidR="00503D2E" w:rsidRPr="00AC27FF">
        <w:rPr>
          <w:color w:val="000000"/>
          <w:szCs w:val="24"/>
        </w:rPr>
        <w:t xml:space="preserve"> 10-90, Report and Order, </w:t>
      </w:r>
      <w:r w:rsidR="00503D2E">
        <w:rPr>
          <w:color w:val="000000"/>
          <w:szCs w:val="24"/>
        </w:rPr>
        <w:t>28 FCC Rcd 10488</w:t>
      </w:r>
      <w:r w:rsidR="00503D2E" w:rsidRPr="00AC27FF">
        <w:rPr>
          <w:color w:val="000000"/>
          <w:szCs w:val="24"/>
        </w:rPr>
        <w:t xml:space="preserve"> (</w:t>
      </w:r>
      <w:r w:rsidR="00503D2E">
        <w:rPr>
          <w:color w:val="000000"/>
          <w:szCs w:val="24"/>
        </w:rPr>
        <w:t>Wireline Comp. Bur.</w:t>
      </w:r>
      <w:r w:rsidR="00503D2E" w:rsidRPr="00AC27FF">
        <w:rPr>
          <w:color w:val="000000"/>
          <w:szCs w:val="24"/>
        </w:rPr>
        <w:t xml:space="preserve"> 2013)</w:t>
      </w:r>
      <w:r w:rsidR="00084739">
        <w:rPr>
          <w:color w:val="010101"/>
          <w:szCs w:val="24"/>
        </w:rPr>
        <w:t xml:space="preserve">; </w:t>
      </w:r>
      <w:r w:rsidR="00084739" w:rsidRPr="001A1877">
        <w:rPr>
          <w:i/>
        </w:rPr>
        <w:t xml:space="preserve">Connect </w:t>
      </w:r>
      <w:r w:rsidR="00084739" w:rsidRPr="001A1877">
        <w:rPr>
          <w:i/>
        </w:rPr>
        <w:lastRenderedPageBreak/>
        <w:t>America Fund et al.</w:t>
      </w:r>
      <w:r w:rsidR="00084739" w:rsidRPr="001A1877">
        <w:t>, WC Docket No. 10-90 et al., Report and Order, Order and Order on Reconsideration and Further Notice of Proposed Rulemaking, 31 FCC Rcd 3087 (2016)</w:t>
      </w:r>
      <w:r w:rsidR="001038C4">
        <w:t>;</w:t>
      </w:r>
      <w:r w:rsidR="001038C4" w:rsidRPr="00D87D19">
        <w:t xml:space="preserve"> </w:t>
      </w:r>
      <w:r w:rsidR="001038C4" w:rsidRPr="00084739">
        <w:rPr>
          <w:i/>
          <w:color w:val="000000"/>
          <w:szCs w:val="24"/>
        </w:rPr>
        <w:t xml:space="preserve">Connect America Fund et al., </w:t>
      </w:r>
      <w:r w:rsidR="001038C4">
        <w:rPr>
          <w:color w:val="000000"/>
          <w:szCs w:val="24"/>
        </w:rPr>
        <w:t xml:space="preserve">WC Docket Nos. 10-90, 16-271; WT Docket No. 10-208, </w:t>
      </w:r>
      <w:r w:rsidR="001038C4" w:rsidRPr="00084739">
        <w:rPr>
          <w:szCs w:val="24"/>
        </w:rPr>
        <w:t>Report and Order and Further Notice of Proposed Rulemaking, 31 FCC Rcd 10139 (2016)</w:t>
      </w:r>
      <w:r w:rsidR="001038C4">
        <w:rPr>
          <w:szCs w:val="24"/>
        </w:rPr>
        <w:t>;</w:t>
      </w:r>
      <w:r w:rsidR="001038C4" w:rsidRPr="00D87D19">
        <w:t xml:space="preserve"> </w:t>
      </w:r>
      <w:r w:rsidR="001038C4">
        <w:rPr>
          <w:i/>
          <w:szCs w:val="24"/>
        </w:rPr>
        <w:t>Connect America Fund; ETC Annual Reports and Certifications</w:t>
      </w:r>
      <w:r w:rsidR="001038C4">
        <w:rPr>
          <w:szCs w:val="24"/>
        </w:rPr>
        <w:t>, WC Docket Nos. 10-90, 14-58, Report and Order, 32 FCC Rcd 5944 (2017)</w:t>
      </w:r>
      <w:r w:rsidR="00084739">
        <w:t>.</w:t>
      </w:r>
      <w:r w:rsidR="006F53A3" w:rsidRPr="00AC27FF">
        <w:rPr>
          <w:color w:val="010101"/>
          <w:szCs w:val="24"/>
        </w:rPr>
        <w:t xml:space="preserve">  </w:t>
      </w:r>
      <w:r w:rsidR="00595A3E" w:rsidRPr="00AC27FF">
        <w:rPr>
          <w:color w:val="010101"/>
          <w:szCs w:val="24"/>
        </w:rPr>
        <w:t>T</w:t>
      </w:r>
      <w:r w:rsidR="00CA159A" w:rsidRPr="00AC27FF">
        <w:rPr>
          <w:color w:val="000000"/>
          <w:szCs w:val="24"/>
        </w:rPr>
        <w:t xml:space="preserve">he Commission </w:t>
      </w:r>
      <w:r w:rsidR="00595A3E" w:rsidRPr="00AC27FF">
        <w:rPr>
          <w:color w:val="000000"/>
          <w:szCs w:val="24"/>
        </w:rPr>
        <w:t xml:space="preserve">has </w:t>
      </w:r>
      <w:r w:rsidR="008211F5" w:rsidRPr="00AC27FF">
        <w:rPr>
          <w:color w:val="000000"/>
          <w:szCs w:val="24"/>
        </w:rPr>
        <w:t xml:space="preserve">received OMB approval for </w:t>
      </w:r>
      <w:r w:rsidR="00595A3E" w:rsidRPr="00AC27FF">
        <w:rPr>
          <w:color w:val="000000"/>
          <w:szCs w:val="24"/>
        </w:rPr>
        <w:t xml:space="preserve">most </w:t>
      </w:r>
      <w:r w:rsidR="006C51AE" w:rsidRPr="00AC27FF">
        <w:rPr>
          <w:color w:val="000000"/>
          <w:szCs w:val="24"/>
        </w:rPr>
        <w:t xml:space="preserve">of the information collections required by </w:t>
      </w:r>
      <w:r w:rsidR="006C51AE" w:rsidRPr="00084739">
        <w:rPr>
          <w:color w:val="000000"/>
          <w:szCs w:val="24"/>
        </w:rPr>
        <w:t>th</w:t>
      </w:r>
      <w:r w:rsidR="00B907D2" w:rsidRPr="00084739">
        <w:rPr>
          <w:color w:val="000000"/>
          <w:szCs w:val="24"/>
        </w:rPr>
        <w:t>ese</w:t>
      </w:r>
      <w:r w:rsidR="006C51AE" w:rsidRPr="00084739">
        <w:rPr>
          <w:color w:val="000000"/>
          <w:szCs w:val="24"/>
        </w:rPr>
        <w:t xml:space="preserve"> order</w:t>
      </w:r>
      <w:r w:rsidR="00B907D2" w:rsidRPr="00084739">
        <w:rPr>
          <w:color w:val="000000"/>
          <w:szCs w:val="24"/>
        </w:rPr>
        <w:t>s</w:t>
      </w:r>
      <w:r w:rsidR="00595A3E" w:rsidRPr="00084739">
        <w:rPr>
          <w:color w:val="000000"/>
          <w:szCs w:val="24"/>
        </w:rPr>
        <w:t>.  A</w:t>
      </w:r>
      <w:r w:rsidR="00CA159A" w:rsidRPr="00084739">
        <w:rPr>
          <w:color w:val="000000"/>
          <w:szCs w:val="24"/>
        </w:rPr>
        <w:t>t a later date</w:t>
      </w:r>
      <w:r w:rsidR="0088198C" w:rsidRPr="00084739">
        <w:rPr>
          <w:color w:val="000000"/>
          <w:szCs w:val="24"/>
        </w:rPr>
        <w:t>,</w:t>
      </w:r>
      <w:r w:rsidR="00CA159A" w:rsidRPr="00084739">
        <w:rPr>
          <w:color w:val="000000"/>
          <w:szCs w:val="24"/>
        </w:rPr>
        <w:t xml:space="preserve"> </w:t>
      </w:r>
      <w:r w:rsidR="00595A3E" w:rsidRPr="00084739">
        <w:rPr>
          <w:color w:val="000000"/>
          <w:szCs w:val="24"/>
        </w:rPr>
        <w:t>the Commission plans</w:t>
      </w:r>
      <w:r w:rsidR="00CA159A" w:rsidRPr="00084739">
        <w:rPr>
          <w:color w:val="000000"/>
          <w:szCs w:val="24"/>
        </w:rPr>
        <w:t xml:space="preserve"> to submit additional revisions for OMB review to address other reforms adopted in the order</w:t>
      </w:r>
      <w:r w:rsidR="00B907D2" w:rsidRPr="00084739">
        <w:rPr>
          <w:color w:val="000000"/>
          <w:szCs w:val="24"/>
        </w:rPr>
        <w:t>s</w:t>
      </w:r>
      <w:r w:rsidR="00595A3E" w:rsidRPr="00084739">
        <w:rPr>
          <w:color w:val="000000"/>
          <w:szCs w:val="24"/>
        </w:rPr>
        <w:t xml:space="preserve"> (e.g., 47 C.F.R. 54.313(a)(</w:t>
      </w:r>
      <w:r w:rsidR="008B3925" w:rsidRPr="00084739">
        <w:rPr>
          <w:color w:val="000000"/>
          <w:szCs w:val="24"/>
        </w:rPr>
        <w:t>6</w:t>
      </w:r>
      <w:r w:rsidR="00595A3E" w:rsidRPr="00084739">
        <w:rPr>
          <w:color w:val="000000"/>
          <w:szCs w:val="24"/>
        </w:rPr>
        <w:t>)</w:t>
      </w:r>
      <w:r w:rsidR="00B776AB" w:rsidRPr="00084739">
        <w:rPr>
          <w:color w:val="000000"/>
          <w:szCs w:val="24"/>
        </w:rPr>
        <w:t>)</w:t>
      </w:r>
      <w:r w:rsidR="006A48D8">
        <w:rPr>
          <w:color w:val="000000"/>
          <w:szCs w:val="24"/>
        </w:rPr>
        <w:t>.</w:t>
      </w:r>
    </w:p>
    <w:p w14:paraId="2F1B7A06" w14:textId="77777777" w:rsidR="002A6D07" w:rsidRPr="00084739" w:rsidRDefault="002A6D07" w:rsidP="00D87D19">
      <w:pPr>
        <w:rPr>
          <w:szCs w:val="24"/>
        </w:rPr>
      </w:pPr>
    </w:p>
    <w:p w14:paraId="36B4ACA0" w14:textId="253181F8" w:rsidR="003F56E2" w:rsidRPr="001038C4" w:rsidRDefault="00084739">
      <w:pPr>
        <w:ind w:left="360"/>
        <w:rPr>
          <w:szCs w:val="24"/>
        </w:rPr>
      </w:pPr>
      <w:r w:rsidRPr="00084739">
        <w:rPr>
          <w:szCs w:val="24"/>
        </w:rPr>
        <w:t xml:space="preserve">More recently, </w:t>
      </w:r>
      <w:r w:rsidR="001038C4">
        <w:rPr>
          <w:szCs w:val="24"/>
        </w:rPr>
        <w:t xml:space="preserve">in the </w:t>
      </w:r>
      <w:r w:rsidR="001038C4">
        <w:rPr>
          <w:i/>
          <w:szCs w:val="24"/>
        </w:rPr>
        <w:t>2018 Rate-of-Return Order</w:t>
      </w:r>
      <w:r w:rsidR="001038C4">
        <w:rPr>
          <w:szCs w:val="24"/>
        </w:rPr>
        <w:t>, the Commission adopted a rule requiring rate-of-return ETCs</w:t>
      </w:r>
      <w:r w:rsidR="00D87D19" w:rsidRPr="00D87D19">
        <w:rPr>
          <w:szCs w:val="24"/>
        </w:rPr>
        <w:t xml:space="preserve"> </w:t>
      </w:r>
      <w:r w:rsidR="00D87D19">
        <w:rPr>
          <w:szCs w:val="24"/>
        </w:rPr>
        <w:t>receiving high-cost universal service support</w:t>
      </w:r>
      <w:r w:rsidR="001038C4">
        <w:rPr>
          <w:szCs w:val="24"/>
        </w:rPr>
        <w:t xml:space="preserve"> to identify on their annual FCC Form 481 their cost consultants and cost consulting firm, or other third</w:t>
      </w:r>
      <w:r w:rsidR="00D87D19">
        <w:rPr>
          <w:szCs w:val="24"/>
        </w:rPr>
        <w:t>-</w:t>
      </w:r>
      <w:r w:rsidR="001038C4">
        <w:rPr>
          <w:szCs w:val="24"/>
        </w:rPr>
        <w:t xml:space="preserve">party, if any, used to prepare </w:t>
      </w:r>
      <w:r w:rsidR="00D87D19" w:rsidRPr="00D90C72">
        <w:rPr>
          <w:szCs w:val="24"/>
        </w:rPr>
        <w:t xml:space="preserve">financial and operations data disclosures </w:t>
      </w:r>
      <w:r w:rsidR="00D87D19">
        <w:rPr>
          <w:szCs w:val="24"/>
        </w:rPr>
        <w:t>used to calculate high-cost support for their submissions</w:t>
      </w:r>
      <w:r w:rsidR="00D87D19" w:rsidRPr="00D90C72">
        <w:rPr>
          <w:szCs w:val="24"/>
        </w:rPr>
        <w:t xml:space="preserve"> to the National Exchange Carrier Association (NECA), the </w:t>
      </w:r>
      <w:r w:rsidR="00D87D19">
        <w:rPr>
          <w:szCs w:val="24"/>
        </w:rPr>
        <w:t xml:space="preserve">Universal Service Administrative Company (USAC or the </w:t>
      </w:r>
      <w:r w:rsidR="00D87D19" w:rsidRPr="00D90C72">
        <w:rPr>
          <w:szCs w:val="24"/>
        </w:rPr>
        <w:t>Administrator</w:t>
      </w:r>
      <w:r w:rsidR="00D87D19">
        <w:rPr>
          <w:szCs w:val="24"/>
        </w:rPr>
        <w:t>),</w:t>
      </w:r>
      <w:r w:rsidR="00D87D19" w:rsidRPr="00D90C72">
        <w:rPr>
          <w:szCs w:val="24"/>
        </w:rPr>
        <w:t xml:space="preserve"> or the Commission</w:t>
      </w:r>
      <w:r w:rsidR="00D87D19">
        <w:rPr>
          <w:szCs w:val="24"/>
        </w:rPr>
        <w:t>.</w:t>
      </w:r>
      <w:r w:rsidR="001038C4">
        <w:rPr>
          <w:szCs w:val="24"/>
        </w:rPr>
        <w:t xml:space="preserve">  </w:t>
      </w:r>
      <w:r w:rsidR="001038C4">
        <w:rPr>
          <w:i/>
          <w:szCs w:val="24"/>
        </w:rPr>
        <w:t>Connect America Fund et al.</w:t>
      </w:r>
      <w:r w:rsidR="001038C4">
        <w:rPr>
          <w:szCs w:val="24"/>
        </w:rPr>
        <w:t>, WC Docket No. 10-90 et al., Report and Order, Third Order on Reconsideration, and Notice of Proposed Rulemaking, FCC 18-29</w:t>
      </w:r>
      <w:r w:rsidR="00EE63D8">
        <w:rPr>
          <w:szCs w:val="24"/>
        </w:rPr>
        <w:t>, at 19-20, para. 42</w:t>
      </w:r>
      <w:r w:rsidR="001038C4">
        <w:rPr>
          <w:szCs w:val="24"/>
        </w:rPr>
        <w:t xml:space="preserve"> (</w:t>
      </w:r>
      <w:r w:rsidR="00EE63D8">
        <w:rPr>
          <w:szCs w:val="24"/>
        </w:rPr>
        <w:t xml:space="preserve">Mar. 23, </w:t>
      </w:r>
      <w:r w:rsidR="001038C4">
        <w:rPr>
          <w:szCs w:val="24"/>
        </w:rPr>
        <w:t>2018)</w:t>
      </w:r>
      <w:r w:rsidR="00EE63D8">
        <w:rPr>
          <w:szCs w:val="24"/>
        </w:rPr>
        <w:t xml:space="preserve"> (</w:t>
      </w:r>
      <w:r w:rsidR="00EE63D8">
        <w:rPr>
          <w:i/>
          <w:szCs w:val="24"/>
        </w:rPr>
        <w:t>2018 Rate-of-Return Order</w:t>
      </w:r>
      <w:r w:rsidR="00EE63D8">
        <w:rPr>
          <w:szCs w:val="24"/>
        </w:rPr>
        <w:t xml:space="preserve">).  </w:t>
      </w:r>
      <w:r w:rsidR="00EE63D8">
        <w:rPr>
          <w:i/>
          <w:szCs w:val="24"/>
        </w:rPr>
        <w:t xml:space="preserve">See also </w:t>
      </w:r>
      <w:r w:rsidR="00EE63D8">
        <w:rPr>
          <w:szCs w:val="24"/>
        </w:rPr>
        <w:t xml:space="preserve">47 C.F.R. § 54.313(f)(4).  </w:t>
      </w:r>
    </w:p>
    <w:p w14:paraId="199849E6" w14:textId="1812D1E9" w:rsidR="00647C09" w:rsidRDefault="00647C09" w:rsidP="005E1465">
      <w:pPr>
        <w:rPr>
          <w:szCs w:val="24"/>
        </w:rPr>
      </w:pPr>
    </w:p>
    <w:p w14:paraId="16A23382" w14:textId="5374D1E0" w:rsidR="00A022DE" w:rsidRPr="00084739" w:rsidRDefault="00A022DE" w:rsidP="00C03510">
      <w:pPr>
        <w:ind w:left="360"/>
        <w:rPr>
          <w:szCs w:val="24"/>
        </w:rPr>
      </w:pPr>
      <w:r>
        <w:rPr>
          <w:szCs w:val="24"/>
        </w:rPr>
        <w:t xml:space="preserve">We therefore </w:t>
      </w:r>
      <w:r w:rsidR="00F85A90">
        <w:rPr>
          <w:szCs w:val="24"/>
        </w:rPr>
        <w:t xml:space="preserve">propose to revise this information collection, as well as Form 481 and its accompanying instructions, to reflect </w:t>
      </w:r>
      <w:r w:rsidR="00EE63D8">
        <w:rPr>
          <w:szCs w:val="24"/>
        </w:rPr>
        <w:t xml:space="preserve">this </w:t>
      </w:r>
      <w:r w:rsidR="00F85A90">
        <w:rPr>
          <w:szCs w:val="24"/>
        </w:rPr>
        <w:t xml:space="preserve">new requirement.  </w:t>
      </w:r>
      <w:r w:rsidR="00647C09">
        <w:rPr>
          <w:szCs w:val="24"/>
        </w:rPr>
        <w:t xml:space="preserve">Any increased burdens for particular reporting requirements are associated with ETCs newly subject to those requirements as a condition of receiving high-cost support. </w:t>
      </w:r>
    </w:p>
    <w:p w14:paraId="756AB008" w14:textId="08A21476" w:rsidR="00247D00" w:rsidRDefault="00247D00" w:rsidP="00000C6C">
      <w:pPr>
        <w:spacing w:after="120"/>
        <w:rPr>
          <w:szCs w:val="24"/>
        </w:rPr>
      </w:pPr>
    </w:p>
    <w:p w14:paraId="2AA33C32" w14:textId="5E615FD3" w:rsidR="005469D9" w:rsidRPr="00D87D19" w:rsidRDefault="00000C6C" w:rsidP="004026BA">
      <w:pPr>
        <w:rPr>
          <w:b/>
          <w:i/>
        </w:rPr>
      </w:pPr>
      <w:r w:rsidRPr="00183F24">
        <w:rPr>
          <w:b/>
          <w:i/>
          <w:szCs w:val="24"/>
        </w:rPr>
        <w:t xml:space="preserve">New requirements for which we are seeking </w:t>
      </w:r>
      <w:r w:rsidR="00CF2145">
        <w:rPr>
          <w:b/>
          <w:i/>
          <w:szCs w:val="24"/>
        </w:rPr>
        <w:t xml:space="preserve">OMB </w:t>
      </w:r>
      <w:r w:rsidRPr="00183F24">
        <w:rPr>
          <w:b/>
          <w:i/>
          <w:szCs w:val="24"/>
        </w:rPr>
        <w:t>approval:</w:t>
      </w:r>
    </w:p>
    <w:p w14:paraId="58A618B6" w14:textId="77777777" w:rsidR="00393887" w:rsidRPr="00D87D19" w:rsidRDefault="00393887" w:rsidP="004026BA">
      <w:pPr>
        <w:rPr>
          <w:b/>
          <w:i/>
        </w:rPr>
      </w:pPr>
    </w:p>
    <w:p w14:paraId="4D742130" w14:textId="41E26239" w:rsidR="008D7434" w:rsidRDefault="008A2EC4" w:rsidP="00AC0977">
      <w:pPr>
        <w:pStyle w:val="ListParagraph"/>
        <w:numPr>
          <w:ilvl w:val="0"/>
          <w:numId w:val="7"/>
        </w:numPr>
        <w:rPr>
          <w:b/>
          <w:szCs w:val="24"/>
        </w:rPr>
      </w:pPr>
      <w:r w:rsidRPr="00AC0977">
        <w:rPr>
          <w:szCs w:val="24"/>
          <w:u w:val="single"/>
        </w:rPr>
        <w:t>Cost Consultant Information for Rate-of-Return Carriers (See 12.a)</w:t>
      </w:r>
      <w:r w:rsidRPr="00AC0977">
        <w:rPr>
          <w:szCs w:val="24"/>
        </w:rPr>
        <w:t>:</w:t>
      </w:r>
      <w:r>
        <w:rPr>
          <w:szCs w:val="24"/>
        </w:rPr>
        <w:t xml:space="preserve"> The Commission requires that rate-of-return carriers provide the name of any cost consultant and cost consulting firm, or other third-party, retained to prepare financial and operations data disclosures submitted to </w:t>
      </w:r>
      <w:r w:rsidR="00EE63D8">
        <w:rPr>
          <w:szCs w:val="24"/>
        </w:rPr>
        <w:t>NECA</w:t>
      </w:r>
      <w:r>
        <w:rPr>
          <w:szCs w:val="24"/>
        </w:rPr>
        <w:t xml:space="preserve">, USAC, or the Commission.  </w:t>
      </w:r>
      <w:r w:rsidR="00393887">
        <w:rPr>
          <w:szCs w:val="24"/>
        </w:rPr>
        <w:t>47 C.F.R. § 54.313(f)(4).</w:t>
      </w:r>
      <w:r w:rsidR="001038C4" w:rsidRPr="001038C4">
        <w:rPr>
          <w:szCs w:val="24"/>
        </w:rPr>
        <w:t xml:space="preserve"> </w:t>
      </w:r>
      <w:r w:rsidR="00EE63D8">
        <w:rPr>
          <w:szCs w:val="24"/>
        </w:rPr>
        <w:t xml:space="preserve">This disclosure is a low-burden measure that will help the Commission identify waste, fraud, and abuse during audits.  </w:t>
      </w:r>
      <w:r w:rsidR="00EE63D8">
        <w:rPr>
          <w:i/>
          <w:szCs w:val="24"/>
        </w:rPr>
        <w:t>See 2018 Rate-of-Return Order</w:t>
      </w:r>
      <w:r w:rsidR="00EE63D8">
        <w:rPr>
          <w:szCs w:val="24"/>
        </w:rPr>
        <w:t xml:space="preserve"> at 19-20, para. 42.</w:t>
      </w:r>
    </w:p>
    <w:p w14:paraId="55C5E88C" w14:textId="77777777" w:rsidR="009278A7" w:rsidRPr="0027358D" w:rsidRDefault="009278A7" w:rsidP="00E96FA0">
      <w:pPr>
        <w:widowControl w:val="0"/>
        <w:tabs>
          <w:tab w:val="left" w:pos="0"/>
        </w:tabs>
        <w:suppressAutoHyphens/>
        <w:rPr>
          <w:b/>
          <w:szCs w:val="24"/>
        </w:rPr>
      </w:pPr>
    </w:p>
    <w:p w14:paraId="2F1B7AE9" w14:textId="3274449C" w:rsidR="00035068" w:rsidRPr="0027358D" w:rsidRDefault="00A23475" w:rsidP="0027358D">
      <w:pPr>
        <w:widowControl w:val="0"/>
        <w:tabs>
          <w:tab w:val="left" w:pos="0"/>
        </w:tabs>
        <w:suppressAutoHyphens/>
        <w:ind w:left="360" w:hanging="360"/>
        <w:rPr>
          <w:b/>
          <w:szCs w:val="24"/>
        </w:rPr>
      </w:pPr>
      <w:r>
        <w:rPr>
          <w:b/>
          <w:i/>
          <w:szCs w:val="24"/>
        </w:rPr>
        <w:t xml:space="preserve">Currently approved </w:t>
      </w:r>
      <w:r w:rsidR="004B2CDE">
        <w:rPr>
          <w:b/>
          <w:i/>
          <w:szCs w:val="24"/>
        </w:rPr>
        <w:t>requirements in this information collection</w:t>
      </w:r>
      <w:r w:rsidR="00A45457">
        <w:rPr>
          <w:b/>
          <w:i/>
          <w:szCs w:val="24"/>
        </w:rPr>
        <w:t xml:space="preserve"> (no changes to requirements)</w:t>
      </w:r>
      <w:r w:rsidR="004B2CDE">
        <w:rPr>
          <w:b/>
          <w:i/>
          <w:szCs w:val="24"/>
        </w:rPr>
        <w:t>:</w:t>
      </w:r>
    </w:p>
    <w:p w14:paraId="2F1B7B10" w14:textId="13FE4DCD" w:rsidR="00491ED7" w:rsidRPr="004217E0" w:rsidRDefault="00491ED7" w:rsidP="006B19D7">
      <w:pPr>
        <w:ind w:left="360"/>
        <w:rPr>
          <w:szCs w:val="24"/>
        </w:rPr>
      </w:pPr>
    </w:p>
    <w:p w14:paraId="2F1B7B11" w14:textId="4E7EC085" w:rsidR="00DE165B" w:rsidRDefault="00DE165B" w:rsidP="006B19D7">
      <w:pPr>
        <w:ind w:left="360"/>
        <w:rPr>
          <w:szCs w:val="24"/>
        </w:rPr>
      </w:pPr>
      <w:r w:rsidRPr="004217E0">
        <w:rPr>
          <w:szCs w:val="24"/>
        </w:rPr>
        <w:t>Through the Connect America Fund, the Commission provides substantial amounts of funding to private entities in order to deploy advanced vo</w:t>
      </w:r>
      <w:r w:rsidRPr="00351E83">
        <w:rPr>
          <w:szCs w:val="24"/>
        </w:rPr>
        <w:t>ice and broadband networks throughout the country.  To ensure these funds are properly used, various reporting requirements are imposed on funding recipients.  The reports, information, and certifications discussed in this section must be submitted annually to the Administrator</w:t>
      </w:r>
      <w:r w:rsidR="00B4630C">
        <w:rPr>
          <w:szCs w:val="24"/>
        </w:rPr>
        <w:t>.</w:t>
      </w:r>
      <w:r w:rsidRPr="00640C51">
        <w:rPr>
          <w:szCs w:val="24"/>
        </w:rPr>
        <w:t xml:space="preserve">  </w:t>
      </w:r>
    </w:p>
    <w:p w14:paraId="6FAC908B" w14:textId="77777777" w:rsidR="005F09EB" w:rsidRPr="00640C51" w:rsidRDefault="005F09EB" w:rsidP="006B19D7">
      <w:pPr>
        <w:ind w:left="360"/>
        <w:rPr>
          <w:szCs w:val="24"/>
        </w:rPr>
      </w:pPr>
    </w:p>
    <w:p w14:paraId="00416D3F" w14:textId="24DF043E" w:rsidR="005F09EB" w:rsidRPr="00D36895" w:rsidRDefault="005F09EB" w:rsidP="005F09EB">
      <w:pPr>
        <w:widowControl w:val="0"/>
        <w:numPr>
          <w:ilvl w:val="0"/>
          <w:numId w:val="7"/>
        </w:numPr>
        <w:tabs>
          <w:tab w:val="left" w:pos="0"/>
        </w:tabs>
        <w:suppressAutoHyphens/>
        <w:rPr>
          <w:szCs w:val="24"/>
        </w:rPr>
      </w:pPr>
      <w:r w:rsidRPr="0040798A">
        <w:rPr>
          <w:szCs w:val="24"/>
          <w:u w:val="single"/>
        </w:rPr>
        <w:t>An</w:t>
      </w:r>
      <w:r>
        <w:rPr>
          <w:szCs w:val="24"/>
          <w:u w:val="single"/>
        </w:rPr>
        <w:t>nual Reporting (See 12.</w:t>
      </w:r>
      <w:r w:rsidR="005E2F4B">
        <w:rPr>
          <w:szCs w:val="24"/>
          <w:u w:val="single"/>
        </w:rPr>
        <w:t>b</w:t>
      </w:r>
      <w:r w:rsidRPr="0040798A">
        <w:rPr>
          <w:szCs w:val="24"/>
          <w:u w:val="single"/>
        </w:rPr>
        <w:t>)</w:t>
      </w:r>
      <w:r w:rsidRPr="00D36895">
        <w:rPr>
          <w:szCs w:val="24"/>
        </w:rPr>
        <w:t>:</w:t>
      </w:r>
    </w:p>
    <w:p w14:paraId="6908C1B5" w14:textId="77777777" w:rsidR="005F09EB" w:rsidRPr="00D36895" w:rsidRDefault="005F09EB" w:rsidP="005F09EB">
      <w:pPr>
        <w:ind w:left="360"/>
        <w:rPr>
          <w:szCs w:val="24"/>
        </w:rPr>
      </w:pPr>
    </w:p>
    <w:p w14:paraId="66FB8D0B" w14:textId="7B2B77C1" w:rsidR="009A5CCB" w:rsidRDefault="005F09EB" w:rsidP="005F09EB">
      <w:pPr>
        <w:ind w:left="720"/>
        <w:rPr>
          <w:szCs w:val="24"/>
        </w:rPr>
      </w:pPr>
      <w:r w:rsidRPr="00D36895">
        <w:rPr>
          <w:szCs w:val="24"/>
        </w:rPr>
        <w:t>All ETCs must include in their annual reports the information that is required by section 54.313, as appropriate.  See 47 C.F.R. § 54.313</w:t>
      </w:r>
      <w:r>
        <w:rPr>
          <w:szCs w:val="24"/>
        </w:rPr>
        <w:t xml:space="preserve">. </w:t>
      </w:r>
      <w:r w:rsidRPr="00F54719">
        <w:rPr>
          <w:szCs w:val="24"/>
        </w:rPr>
        <w:t xml:space="preserve"> </w:t>
      </w:r>
      <w:r w:rsidRPr="00726CFE">
        <w:rPr>
          <w:szCs w:val="24"/>
        </w:rPr>
        <w:t xml:space="preserve">It is necessary and appropriate for the </w:t>
      </w:r>
      <w:r w:rsidRPr="00726CFE">
        <w:rPr>
          <w:szCs w:val="24"/>
        </w:rPr>
        <w:lastRenderedPageBreak/>
        <w:t>Commission to obtain such information from all ETCs, both federal-and state-designated, to ensure the continued availability of high-quality voice services and monitor progress in achieving the Commission’s broadband goals and to assist the FCC in determining whether the funds are being used appropriately.  This reporting requirement ensure</w:t>
      </w:r>
      <w:r>
        <w:rPr>
          <w:szCs w:val="24"/>
        </w:rPr>
        <w:t>s</w:t>
      </w:r>
      <w:r w:rsidRPr="00726CFE">
        <w:rPr>
          <w:szCs w:val="24"/>
        </w:rPr>
        <w:t xml:space="preserve"> that ETCs comply with the conditions of the ETC designation and that universal service funds are used for their intended purposes.  </w:t>
      </w:r>
      <w:r>
        <w:rPr>
          <w:szCs w:val="24"/>
        </w:rPr>
        <w:t>In this submission, the Commission is not seeking approval for the requirement in this section that ETCs submit the results of network performance tests</w:t>
      </w:r>
      <w:r w:rsidR="007E3AA8">
        <w:rPr>
          <w:szCs w:val="24"/>
        </w:rPr>
        <w:t>, but intends to seek approval in the future for this requirement</w:t>
      </w:r>
      <w:r>
        <w:rPr>
          <w:szCs w:val="24"/>
        </w:rPr>
        <w:t xml:space="preserve">.  </w:t>
      </w:r>
      <w:r>
        <w:rPr>
          <w:i/>
          <w:szCs w:val="24"/>
        </w:rPr>
        <w:t xml:space="preserve">See </w:t>
      </w:r>
      <w:r>
        <w:rPr>
          <w:szCs w:val="24"/>
        </w:rPr>
        <w:t xml:space="preserve">47 C.F.R. § 54.313(a)(6).  </w:t>
      </w:r>
    </w:p>
    <w:p w14:paraId="0FFC22F6" w14:textId="111DA32A" w:rsidR="005F09EB" w:rsidRPr="00726CFE" w:rsidRDefault="005F09EB" w:rsidP="005F09EB">
      <w:pPr>
        <w:ind w:left="720"/>
        <w:rPr>
          <w:b/>
          <w:i/>
          <w:szCs w:val="24"/>
        </w:rPr>
      </w:pPr>
    </w:p>
    <w:p w14:paraId="56D5EFF0" w14:textId="1AB288B4" w:rsidR="005F09EB" w:rsidRPr="00230208" w:rsidRDefault="005F09EB" w:rsidP="005F09EB">
      <w:pPr>
        <w:pStyle w:val="ListParagraph"/>
        <w:widowControl w:val="0"/>
        <w:numPr>
          <w:ilvl w:val="0"/>
          <w:numId w:val="13"/>
        </w:numPr>
        <w:tabs>
          <w:tab w:val="left" w:pos="0"/>
        </w:tabs>
        <w:suppressAutoHyphens/>
        <w:rPr>
          <w:szCs w:val="24"/>
        </w:rPr>
      </w:pPr>
      <w:r w:rsidRPr="00291514">
        <w:rPr>
          <w:color w:val="000000"/>
          <w:szCs w:val="24"/>
          <w:u w:val="single"/>
        </w:rPr>
        <w:t>Annual Reporting.  47 C.F.R. § 54.313(a)(4) (See 12.</w:t>
      </w:r>
      <w:r w:rsidR="005E2F4B">
        <w:rPr>
          <w:color w:val="000000"/>
          <w:szCs w:val="24"/>
          <w:u w:val="single"/>
        </w:rPr>
        <w:t>b</w:t>
      </w:r>
      <w:r w:rsidRPr="00291514">
        <w:rPr>
          <w:color w:val="000000"/>
          <w:szCs w:val="24"/>
          <w:u w:val="single"/>
        </w:rPr>
        <w:t>)</w:t>
      </w:r>
      <w:r w:rsidRPr="00291514">
        <w:rPr>
          <w:color w:val="000000"/>
          <w:szCs w:val="24"/>
        </w:rPr>
        <w:t xml:space="preserve">.  To help the Commission reduce waste, fraud, and abuse, increase accountability in its universal service programs, and ensure compliance with various requirements that take into account holding company structure, support recipients are required to report the holding company, operating companies, affiliates, and any branding (a “dba” or “doing-business-as company” or brand designation), for each such entity by Study Area Codes.  </w:t>
      </w:r>
    </w:p>
    <w:p w14:paraId="6862A958" w14:textId="77777777" w:rsidR="005F09EB" w:rsidRPr="003E26A9" w:rsidRDefault="005F09EB" w:rsidP="005F09EB">
      <w:pPr>
        <w:rPr>
          <w:color w:val="000000"/>
          <w:szCs w:val="24"/>
        </w:rPr>
      </w:pPr>
    </w:p>
    <w:p w14:paraId="2C078909" w14:textId="4E33347C" w:rsidR="005F09EB" w:rsidRPr="00726CFE" w:rsidRDefault="005F09EB" w:rsidP="005F09EB">
      <w:pPr>
        <w:widowControl w:val="0"/>
        <w:numPr>
          <w:ilvl w:val="0"/>
          <w:numId w:val="13"/>
        </w:numPr>
        <w:tabs>
          <w:tab w:val="left" w:pos="0"/>
        </w:tabs>
        <w:suppressAutoHyphens/>
        <w:rPr>
          <w:szCs w:val="24"/>
        </w:rPr>
      </w:pPr>
      <w:r w:rsidRPr="00726CFE">
        <w:rPr>
          <w:color w:val="000000"/>
          <w:szCs w:val="24"/>
          <w:u w:val="single"/>
        </w:rPr>
        <w:t>Annual Reporting.  47 C.F.R. § 54.313(a)(1)</w:t>
      </w:r>
      <w:r>
        <w:rPr>
          <w:color w:val="000000"/>
          <w:szCs w:val="24"/>
          <w:u w:val="single"/>
        </w:rPr>
        <w:t xml:space="preserve"> (See 12.</w:t>
      </w:r>
      <w:r w:rsidR="005E2F4B">
        <w:rPr>
          <w:color w:val="000000"/>
          <w:szCs w:val="24"/>
          <w:u w:val="single"/>
        </w:rPr>
        <w:t>b</w:t>
      </w:r>
      <w:r w:rsidRPr="00726CFE">
        <w:rPr>
          <w:color w:val="000000"/>
          <w:szCs w:val="24"/>
          <w:u w:val="single"/>
        </w:rPr>
        <w:t>)</w:t>
      </w:r>
      <w:r w:rsidRPr="00726CFE">
        <w:rPr>
          <w:color w:val="000000"/>
          <w:szCs w:val="24"/>
        </w:rPr>
        <w:t xml:space="preserve">.  ETCs are required to submit information and data required by 47 C.F.R. § 54.313(a)(1) separately broken out for both voice and broadband service.  </w:t>
      </w:r>
      <w:r>
        <w:rPr>
          <w:color w:val="000000"/>
          <w:szCs w:val="24"/>
        </w:rPr>
        <w:t xml:space="preserve">ETCs must </w:t>
      </w:r>
      <w:r>
        <w:rPr>
          <w:szCs w:val="24"/>
        </w:rPr>
        <w:t xml:space="preserve">certify that they are able to function in emergency situations as set forth in 47 C.F.R. § 54.202(a)(2).  47 C.F.R. § 54.313(a)(1).  </w:t>
      </w:r>
    </w:p>
    <w:p w14:paraId="3820DF9C" w14:textId="77777777" w:rsidR="005F09EB" w:rsidRPr="003E26A9" w:rsidRDefault="005F09EB" w:rsidP="005F09EB">
      <w:pPr>
        <w:widowControl w:val="0"/>
        <w:tabs>
          <w:tab w:val="left" w:pos="360"/>
        </w:tabs>
        <w:suppressAutoHyphens/>
        <w:rPr>
          <w:szCs w:val="24"/>
        </w:rPr>
      </w:pPr>
    </w:p>
    <w:p w14:paraId="711F07E5" w14:textId="1D7163BF" w:rsidR="005F09EB" w:rsidRPr="003E26A9" w:rsidRDefault="005F09EB" w:rsidP="00AC0977">
      <w:pPr>
        <w:widowControl w:val="0"/>
        <w:numPr>
          <w:ilvl w:val="0"/>
          <w:numId w:val="13"/>
        </w:numPr>
        <w:tabs>
          <w:tab w:val="left" w:pos="0"/>
        </w:tabs>
        <w:suppressAutoHyphens/>
        <w:rPr>
          <w:szCs w:val="24"/>
        </w:rPr>
      </w:pPr>
      <w:r>
        <w:rPr>
          <w:b/>
          <w:szCs w:val="24"/>
        </w:rPr>
        <w:tab/>
      </w:r>
      <w:r>
        <w:rPr>
          <w:b/>
          <w:szCs w:val="24"/>
        </w:rPr>
        <w:tab/>
      </w:r>
      <w:r w:rsidRPr="0040798A">
        <w:rPr>
          <w:color w:val="000000"/>
          <w:szCs w:val="24"/>
          <w:u w:val="single"/>
        </w:rPr>
        <w:t>Annual Reporting.  47 C.F.R. § 54.313(a)</w:t>
      </w:r>
      <w:r w:rsidRPr="00F54719">
        <w:rPr>
          <w:color w:val="000000"/>
          <w:szCs w:val="24"/>
          <w:u w:val="single"/>
        </w:rPr>
        <w:t>(2)</w:t>
      </w:r>
      <w:r w:rsidRPr="0040798A">
        <w:rPr>
          <w:color w:val="000000"/>
          <w:szCs w:val="24"/>
          <w:u w:val="single"/>
        </w:rPr>
        <w:t xml:space="preserve"> (See 12.</w:t>
      </w:r>
      <w:r w:rsidR="005E2F4B">
        <w:rPr>
          <w:color w:val="000000"/>
          <w:szCs w:val="24"/>
          <w:u w:val="single"/>
        </w:rPr>
        <w:t>b</w:t>
      </w:r>
      <w:r w:rsidRPr="0040798A">
        <w:rPr>
          <w:color w:val="000000"/>
          <w:szCs w:val="24"/>
          <w:u w:val="single"/>
        </w:rPr>
        <w:t>)</w:t>
      </w:r>
      <w:r w:rsidRPr="003E26A9">
        <w:rPr>
          <w:color w:val="000000"/>
          <w:szCs w:val="24"/>
        </w:rPr>
        <w:t xml:space="preserve">.  To ensure parity between urban and rural rates, ETCs are required to submit a self-certification that the pricing of their voice services is no more than two standard deviations above the national average urban rate for voice services.  </w:t>
      </w:r>
      <w:r>
        <w:rPr>
          <w:color w:val="000000"/>
          <w:szCs w:val="24"/>
        </w:rPr>
        <w:t xml:space="preserve">Competitive ETCs participating in the Alaska Plan must certify that their required stand-alone voice plan is (1) substantially </w:t>
      </w:r>
      <w:r>
        <w:rPr>
          <w:szCs w:val="24"/>
          <w:lang w:eastAsia="ja-JP"/>
        </w:rPr>
        <w:t xml:space="preserve">similar to a service plan offered by at least one mobile wireless service provider in the cellular market area (CMA) for Anchorage, Alaska, and (2) offered for the same or a lower rate than the matching plan in the CMA for Anchorage.  </w:t>
      </w:r>
      <w:r>
        <w:rPr>
          <w:i/>
          <w:szCs w:val="24"/>
          <w:lang w:eastAsia="ja-JP"/>
        </w:rPr>
        <w:t xml:space="preserve">See </w:t>
      </w:r>
      <w:r>
        <w:rPr>
          <w:szCs w:val="24"/>
          <w:lang w:eastAsia="ja-JP"/>
        </w:rPr>
        <w:t>47 C.F.R. § 54.308(d).</w:t>
      </w:r>
    </w:p>
    <w:p w14:paraId="2F1B7B12" w14:textId="77777777" w:rsidR="00627BDB" w:rsidRPr="00165F1C" w:rsidRDefault="00627BDB" w:rsidP="00D87D19">
      <w:pPr>
        <w:ind w:left="360"/>
        <w:rPr>
          <w:szCs w:val="24"/>
        </w:rPr>
      </w:pPr>
    </w:p>
    <w:p w14:paraId="4427E7C5" w14:textId="746940E7" w:rsidR="00726CFE" w:rsidRPr="00726CFE" w:rsidRDefault="00726CFE" w:rsidP="00726CFE">
      <w:pPr>
        <w:widowControl w:val="0"/>
        <w:tabs>
          <w:tab w:val="left" w:pos="0"/>
        </w:tabs>
        <w:suppressAutoHyphens/>
        <w:rPr>
          <w:szCs w:val="24"/>
        </w:rPr>
      </w:pPr>
    </w:p>
    <w:p w14:paraId="114D24FF" w14:textId="47D62570" w:rsidR="00E96FA0" w:rsidRPr="0040798A" w:rsidRDefault="00D31572" w:rsidP="00230208">
      <w:pPr>
        <w:widowControl w:val="0"/>
        <w:numPr>
          <w:ilvl w:val="0"/>
          <w:numId w:val="7"/>
        </w:numPr>
        <w:tabs>
          <w:tab w:val="left" w:pos="0"/>
        </w:tabs>
        <w:suppressAutoHyphens/>
        <w:rPr>
          <w:b/>
          <w:szCs w:val="24"/>
          <w:u w:val="single"/>
        </w:rPr>
      </w:pPr>
      <w:r w:rsidRPr="004026BA">
        <w:rPr>
          <w:szCs w:val="24"/>
        </w:rPr>
        <w:t xml:space="preserve"> </w:t>
      </w:r>
      <w:r w:rsidR="00E96FA0" w:rsidRPr="004217E0">
        <w:rPr>
          <w:szCs w:val="24"/>
          <w:u w:val="single"/>
        </w:rPr>
        <w:t>Capital Expenditure Reporting for Phase II Model-Based Support Recipients</w:t>
      </w:r>
      <w:r w:rsidR="00355D7D">
        <w:rPr>
          <w:szCs w:val="24"/>
          <w:u w:val="single"/>
        </w:rPr>
        <w:t xml:space="preserve"> (See 12.</w:t>
      </w:r>
      <w:r w:rsidR="005E2F4B">
        <w:rPr>
          <w:szCs w:val="24"/>
          <w:u w:val="single"/>
        </w:rPr>
        <w:t>c</w:t>
      </w:r>
      <w:r w:rsidR="00E96FA0">
        <w:rPr>
          <w:szCs w:val="24"/>
          <w:u w:val="single"/>
        </w:rPr>
        <w:t>):</w:t>
      </w:r>
    </w:p>
    <w:p w14:paraId="5791066E" w14:textId="77777777" w:rsidR="00E96FA0" w:rsidRDefault="00E96FA0" w:rsidP="00E96FA0">
      <w:pPr>
        <w:rPr>
          <w:szCs w:val="24"/>
        </w:rPr>
      </w:pPr>
    </w:p>
    <w:p w14:paraId="71B081D9" w14:textId="7D672043" w:rsidR="00E96FA0" w:rsidRPr="00FC6FCA" w:rsidRDefault="00E96FA0" w:rsidP="00E96FA0">
      <w:pPr>
        <w:ind w:left="720"/>
        <w:rPr>
          <w:szCs w:val="24"/>
        </w:rPr>
      </w:pPr>
      <w:r w:rsidRPr="00FC6FCA">
        <w:rPr>
          <w:szCs w:val="24"/>
        </w:rPr>
        <w:t xml:space="preserve">Each year, price cap carriers </w:t>
      </w:r>
      <w:r w:rsidR="008F6EE3">
        <w:rPr>
          <w:szCs w:val="24"/>
        </w:rPr>
        <w:t>are</w:t>
      </w:r>
      <w:r w:rsidRPr="00FC6FCA">
        <w:rPr>
          <w:szCs w:val="24"/>
        </w:rPr>
        <w:t xml:space="preserve"> required to report the total amount of Phase II support, if any, the price cap carrier used for capital expenditures in the previous calendar year.</w:t>
      </w:r>
      <w:r>
        <w:rPr>
          <w:szCs w:val="24"/>
        </w:rPr>
        <w:t xml:space="preserve">  The Commission requires that price cap carriers submit this information so that it can monitor price cap carriers’ progress in meeting buildout milestones associated with their accepted support.  </w:t>
      </w:r>
      <w:r w:rsidRPr="00165F1C">
        <w:rPr>
          <w:szCs w:val="24"/>
        </w:rPr>
        <w:t>47 C.</w:t>
      </w:r>
      <w:r w:rsidRPr="009B1994">
        <w:rPr>
          <w:szCs w:val="24"/>
        </w:rPr>
        <w:t>F.R. § 54.313</w:t>
      </w:r>
      <w:r>
        <w:rPr>
          <w:szCs w:val="24"/>
        </w:rPr>
        <w:t>(e).</w:t>
      </w:r>
    </w:p>
    <w:p w14:paraId="4F07D4C4" w14:textId="26C19A77" w:rsidR="006A30DC" w:rsidRDefault="006A30DC" w:rsidP="00E96FA0">
      <w:pPr>
        <w:widowControl w:val="0"/>
        <w:tabs>
          <w:tab w:val="left" w:pos="360"/>
        </w:tabs>
        <w:suppressAutoHyphens/>
        <w:rPr>
          <w:szCs w:val="24"/>
        </w:rPr>
      </w:pPr>
    </w:p>
    <w:p w14:paraId="3D1D50D6" w14:textId="784DB4BB" w:rsidR="006A30DC" w:rsidRPr="0040798A" w:rsidRDefault="006A30DC" w:rsidP="00230208">
      <w:pPr>
        <w:widowControl w:val="0"/>
        <w:numPr>
          <w:ilvl w:val="0"/>
          <w:numId w:val="7"/>
        </w:numPr>
        <w:tabs>
          <w:tab w:val="left" w:pos="0"/>
        </w:tabs>
        <w:suppressAutoHyphens/>
        <w:rPr>
          <w:szCs w:val="24"/>
          <w:u w:val="single"/>
        </w:rPr>
      </w:pPr>
      <w:r w:rsidRPr="00272F56">
        <w:rPr>
          <w:szCs w:val="24"/>
        </w:rPr>
        <w:t xml:space="preserve"> </w:t>
      </w:r>
      <w:r w:rsidRPr="0040798A">
        <w:rPr>
          <w:szCs w:val="24"/>
          <w:u w:val="single"/>
        </w:rPr>
        <w:t>E-rate Certification Requirement for Phase II Model-Based Support Recipients and Rate-of-Return Carrie</w:t>
      </w:r>
      <w:r w:rsidR="00355D7D">
        <w:rPr>
          <w:szCs w:val="24"/>
          <w:u w:val="single"/>
        </w:rPr>
        <w:t>r High-Cost Recipients (See 12.</w:t>
      </w:r>
      <w:r w:rsidR="005E2F4B">
        <w:rPr>
          <w:szCs w:val="24"/>
          <w:u w:val="single"/>
        </w:rPr>
        <w:t>d</w:t>
      </w:r>
      <w:r w:rsidRPr="0040798A">
        <w:rPr>
          <w:szCs w:val="24"/>
          <w:u w:val="single"/>
        </w:rPr>
        <w:t>)</w:t>
      </w:r>
      <w:r w:rsidR="0040798A">
        <w:rPr>
          <w:szCs w:val="24"/>
        </w:rPr>
        <w:t>:</w:t>
      </w:r>
    </w:p>
    <w:p w14:paraId="28B2E541" w14:textId="77777777" w:rsidR="006A30DC" w:rsidRPr="003E26A9" w:rsidRDefault="006A30DC" w:rsidP="006A30DC">
      <w:pPr>
        <w:ind w:left="360"/>
        <w:rPr>
          <w:szCs w:val="24"/>
        </w:rPr>
      </w:pPr>
    </w:p>
    <w:p w14:paraId="277CD284" w14:textId="2BD83417" w:rsidR="006A30DC" w:rsidRDefault="006A30DC" w:rsidP="000238B8">
      <w:pPr>
        <w:widowControl w:val="0"/>
        <w:tabs>
          <w:tab w:val="left" w:pos="360"/>
        </w:tabs>
        <w:suppressAutoHyphens/>
        <w:ind w:left="720"/>
        <w:rPr>
          <w:szCs w:val="24"/>
        </w:rPr>
      </w:pPr>
      <w:r w:rsidRPr="003E26A9">
        <w:rPr>
          <w:szCs w:val="24"/>
        </w:rPr>
        <w:t>The Commission require</w:t>
      </w:r>
      <w:r w:rsidR="008F6EE3">
        <w:rPr>
          <w:szCs w:val="24"/>
        </w:rPr>
        <w:t>s</w:t>
      </w:r>
      <w:r w:rsidRPr="003E26A9">
        <w:rPr>
          <w:szCs w:val="24"/>
        </w:rPr>
        <w:t xml:space="preserve">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within any area in a census block where the price cap carrier is receiving Phase II model-based support or in the service area of a rate-of-return carrier.  Such bids must be at rates reasonably comparable to rates charged to eligible schools in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C.F.R. § 54.313(e)(2)(V)</w:t>
      </w:r>
      <w:r w:rsidR="001E2F7A">
        <w:rPr>
          <w:szCs w:val="24"/>
        </w:rPr>
        <w:t>, (f)(1)(iii)</w:t>
      </w:r>
      <w:r w:rsidRPr="003E26A9">
        <w:rPr>
          <w:szCs w:val="24"/>
        </w:rPr>
        <w:t>.  This certification requirement will enable the Commission to monitor price cap carriers’ and rate-of-return carriers’ compliance with this requirement.</w:t>
      </w:r>
    </w:p>
    <w:p w14:paraId="7257C692" w14:textId="55BE7C97" w:rsidR="005830BB" w:rsidRDefault="005830BB" w:rsidP="00E96FA0">
      <w:pPr>
        <w:ind w:left="720"/>
        <w:rPr>
          <w:szCs w:val="24"/>
        </w:rPr>
      </w:pPr>
    </w:p>
    <w:p w14:paraId="3AAFFD4C" w14:textId="2D3F9B75" w:rsidR="003839F8" w:rsidRDefault="003839F8" w:rsidP="003839F8">
      <w:pPr>
        <w:widowControl w:val="0"/>
        <w:numPr>
          <w:ilvl w:val="0"/>
          <w:numId w:val="7"/>
        </w:numPr>
        <w:tabs>
          <w:tab w:val="left" w:pos="0"/>
        </w:tabs>
        <w:suppressAutoHyphens/>
        <w:rPr>
          <w:szCs w:val="24"/>
        </w:rPr>
      </w:pPr>
      <w:r>
        <w:rPr>
          <w:color w:val="000000"/>
          <w:szCs w:val="24"/>
          <w:u w:val="single"/>
        </w:rPr>
        <w:t>Connect America Fund Phase II Requirements, Rate-of-Return Carrier Requirements</w:t>
      </w:r>
      <w:r w:rsidRPr="0040798A">
        <w:rPr>
          <w:color w:val="000000"/>
          <w:szCs w:val="24"/>
          <w:u w:val="single"/>
        </w:rPr>
        <w:t>.  47 C.F.R. § 54.313(a)(1), (e)(1</w:t>
      </w:r>
      <w:r>
        <w:rPr>
          <w:color w:val="000000"/>
          <w:szCs w:val="24"/>
          <w:u w:val="single"/>
        </w:rPr>
        <w:t>), and (f)(1) (See 12.</w:t>
      </w:r>
      <w:r w:rsidR="005E2F4B">
        <w:rPr>
          <w:color w:val="000000"/>
          <w:szCs w:val="24"/>
          <w:u w:val="single"/>
        </w:rPr>
        <w:t>e</w:t>
      </w:r>
      <w:r>
        <w:rPr>
          <w:color w:val="000000"/>
          <w:szCs w:val="24"/>
          <w:u w:val="single"/>
        </w:rPr>
        <w:t xml:space="preserve"> &amp; 12.</w:t>
      </w:r>
      <w:r w:rsidR="005E2F4B">
        <w:rPr>
          <w:color w:val="000000"/>
          <w:szCs w:val="24"/>
          <w:u w:val="single"/>
        </w:rPr>
        <w:t>f</w:t>
      </w:r>
      <w:r w:rsidRPr="0040798A">
        <w:rPr>
          <w:color w:val="000000"/>
          <w:szCs w:val="24"/>
          <w:u w:val="single"/>
        </w:rPr>
        <w:t>)</w:t>
      </w:r>
      <w:r>
        <w:rPr>
          <w:color w:val="000000"/>
          <w:szCs w:val="24"/>
        </w:rPr>
        <w:t>:</w:t>
      </w:r>
      <w:r w:rsidRPr="003E26A9">
        <w:rPr>
          <w:color w:val="000000"/>
          <w:szCs w:val="24"/>
        </w:rPr>
        <w:t xml:space="preserve">  </w:t>
      </w:r>
    </w:p>
    <w:p w14:paraId="0C95318B" w14:textId="77777777" w:rsidR="003839F8" w:rsidRPr="009D334B" w:rsidRDefault="003839F8" w:rsidP="003839F8">
      <w:pPr>
        <w:widowControl w:val="0"/>
        <w:tabs>
          <w:tab w:val="left" w:pos="0"/>
        </w:tabs>
        <w:suppressAutoHyphens/>
        <w:ind w:left="720"/>
        <w:rPr>
          <w:szCs w:val="24"/>
        </w:rPr>
      </w:pPr>
    </w:p>
    <w:p w14:paraId="529A5F50" w14:textId="77777777" w:rsidR="003839F8" w:rsidRDefault="003839F8" w:rsidP="003839F8">
      <w:pPr>
        <w:ind w:left="720"/>
        <w:rPr>
          <w:szCs w:val="24"/>
        </w:rPr>
      </w:pPr>
      <w:r w:rsidRPr="00E077E7">
        <w:rPr>
          <w:szCs w:val="24"/>
        </w:rPr>
        <w:t xml:space="preserve">Price cap carriers and rate-of-return carriers must report the number, names, and addresses of community anchor institutions to which they newly began providing access to broadband service in the preceding calendar year in the required template associated with FCC Form 481.  To the extent applicable, rate-of-return carriers additionally must certify they are offering broadband meeting the Commission’s requirements upon reasonable request.  </w:t>
      </w:r>
      <w:r>
        <w:rPr>
          <w:szCs w:val="24"/>
        </w:rPr>
        <w:t xml:space="preserve">Rate-of-return carriers participating in the Alaska Plan must instead certify that they are offering broadband service consistent with their approved performance plans.  </w:t>
      </w:r>
    </w:p>
    <w:p w14:paraId="07475449" w14:textId="77777777" w:rsidR="003839F8" w:rsidRPr="00E077E7" w:rsidRDefault="003839F8" w:rsidP="003839F8">
      <w:pPr>
        <w:spacing w:after="120"/>
        <w:ind w:left="720"/>
        <w:rPr>
          <w:szCs w:val="24"/>
        </w:rPr>
      </w:pPr>
    </w:p>
    <w:p w14:paraId="56792E4A" w14:textId="7C3B9E88" w:rsidR="003839F8" w:rsidRPr="0040798A" w:rsidRDefault="003839F8" w:rsidP="003839F8">
      <w:pPr>
        <w:widowControl w:val="0"/>
        <w:numPr>
          <w:ilvl w:val="0"/>
          <w:numId w:val="7"/>
        </w:numPr>
        <w:tabs>
          <w:tab w:val="left" w:pos="0"/>
        </w:tabs>
        <w:suppressAutoHyphens/>
        <w:rPr>
          <w:szCs w:val="24"/>
          <w:u w:val="single"/>
        </w:rPr>
      </w:pPr>
      <w:r w:rsidRPr="0040798A">
        <w:rPr>
          <w:szCs w:val="24"/>
          <w:u w:val="single"/>
        </w:rPr>
        <w:t>Reasonably Comparable Rate Certification for Broadband fo</w:t>
      </w:r>
      <w:r>
        <w:rPr>
          <w:szCs w:val="24"/>
          <w:u w:val="single"/>
        </w:rPr>
        <w:t>r High-Cost Recipients (See 12.</w:t>
      </w:r>
      <w:r w:rsidR="005E2F4B">
        <w:rPr>
          <w:szCs w:val="24"/>
          <w:u w:val="single"/>
        </w:rPr>
        <w:t>g</w:t>
      </w:r>
      <w:r w:rsidRPr="0040798A">
        <w:rPr>
          <w:szCs w:val="24"/>
          <w:u w:val="single"/>
        </w:rPr>
        <w:t>)</w:t>
      </w:r>
      <w:r>
        <w:rPr>
          <w:szCs w:val="24"/>
        </w:rPr>
        <w:t>:</w:t>
      </w:r>
    </w:p>
    <w:p w14:paraId="01F1A873" w14:textId="77777777" w:rsidR="003839F8" w:rsidRPr="003E26A9" w:rsidRDefault="003839F8" w:rsidP="003839F8">
      <w:pPr>
        <w:widowControl w:val="0"/>
        <w:tabs>
          <w:tab w:val="left" w:pos="0"/>
        </w:tabs>
        <w:suppressAutoHyphens/>
        <w:ind w:left="720"/>
        <w:rPr>
          <w:szCs w:val="24"/>
        </w:rPr>
      </w:pPr>
    </w:p>
    <w:p w14:paraId="2ED7F5E8" w14:textId="77777777" w:rsidR="003839F8" w:rsidRDefault="003839F8" w:rsidP="003839F8">
      <w:pPr>
        <w:widowControl w:val="0"/>
        <w:tabs>
          <w:tab w:val="left" w:pos="360"/>
        </w:tabs>
        <w:suppressAutoHyphens/>
        <w:ind w:left="720"/>
        <w:rPr>
          <w:szCs w:val="24"/>
        </w:rPr>
      </w:pPr>
      <w:r w:rsidRPr="003E26A9">
        <w:rPr>
          <w:szCs w:val="24"/>
        </w:rPr>
        <w:t>The Commission requires high-cost recipients to certify in their FCC Form 481 reports that the pricing of a service that meets the Commission</w:t>
      </w:r>
      <w:r>
        <w:rPr>
          <w:szCs w:val="24"/>
        </w:rPr>
        <w:t>’</w:t>
      </w:r>
      <w:r w:rsidRPr="003E26A9">
        <w:rPr>
          <w:szCs w:val="24"/>
        </w:rPr>
        <w:t>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47 C.F.R. § 54.313(a)(12).  Recipients also are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w:t>
      </w:r>
      <w:r>
        <w:rPr>
          <w:szCs w:val="24"/>
        </w:rPr>
        <w:t xml:space="preserve">  Competitive ETCs participating in the Alaska Plan shall certify that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  </w:t>
      </w:r>
      <w:r>
        <w:rPr>
          <w:i/>
          <w:szCs w:val="24"/>
        </w:rPr>
        <w:t xml:space="preserve">See </w:t>
      </w:r>
      <w:r>
        <w:rPr>
          <w:szCs w:val="24"/>
        </w:rPr>
        <w:t>47 C.F.R. § 54.308(d).</w:t>
      </w:r>
    </w:p>
    <w:p w14:paraId="60D296C1" w14:textId="5DF73932" w:rsidR="003839F8" w:rsidRPr="003E26A9" w:rsidRDefault="003839F8" w:rsidP="00D87D19">
      <w:pPr>
        <w:rPr>
          <w:color w:val="000000"/>
          <w:szCs w:val="24"/>
        </w:rPr>
      </w:pPr>
    </w:p>
    <w:p w14:paraId="09EE53EA" w14:textId="5C3EF07C" w:rsidR="003839F8" w:rsidRPr="00E62396" w:rsidRDefault="003839F8" w:rsidP="003839F8">
      <w:pPr>
        <w:pStyle w:val="ListParagraph"/>
        <w:widowControl w:val="0"/>
        <w:numPr>
          <w:ilvl w:val="0"/>
          <w:numId w:val="7"/>
        </w:numPr>
        <w:tabs>
          <w:tab w:val="left" w:pos="0"/>
        </w:tabs>
        <w:suppressAutoHyphens/>
        <w:rPr>
          <w:color w:val="000000"/>
          <w:szCs w:val="24"/>
        </w:rPr>
      </w:pPr>
      <w:r w:rsidRPr="00E62396">
        <w:rPr>
          <w:color w:val="000000"/>
          <w:szCs w:val="24"/>
          <w:u w:val="single"/>
        </w:rPr>
        <w:t xml:space="preserve">Carriers Lacking Terrestrial Backhaul Certification. </w:t>
      </w:r>
      <w:r w:rsidRPr="00E62396">
        <w:rPr>
          <w:color w:val="000000"/>
          <w:u w:val="single"/>
        </w:rPr>
        <w:t xml:space="preserve"> 47 C.F.R. § 54.313(g</w:t>
      </w:r>
      <w:r w:rsidRPr="00E62396">
        <w:rPr>
          <w:color w:val="000000"/>
          <w:szCs w:val="24"/>
          <w:u w:val="single"/>
        </w:rPr>
        <w:t>) (See 12.</w:t>
      </w:r>
      <w:r w:rsidR="005E2F4B">
        <w:rPr>
          <w:color w:val="000000"/>
          <w:szCs w:val="24"/>
          <w:u w:val="single"/>
        </w:rPr>
        <w:t>h</w:t>
      </w:r>
      <w:r w:rsidRPr="00E62396">
        <w:rPr>
          <w:color w:val="000000"/>
          <w:u w:val="single"/>
        </w:rPr>
        <w:t>)</w:t>
      </w:r>
      <w:r w:rsidRPr="00E62396">
        <w:rPr>
          <w:color w:val="000000"/>
          <w:szCs w:val="24"/>
        </w:rPr>
        <w:t xml:space="preserve">.  The Commission recognizes that satellite backhaul may limit the performance of broadband networks as compared to terrestrial backhaul; thus, carriers that are compelled to rely exclusively on satellite backhaul in their study area must </w:t>
      </w:r>
      <w:r w:rsidRPr="00291514">
        <w:rPr>
          <w:color w:val="000000"/>
          <w:szCs w:val="24"/>
        </w:rPr>
        <w:t xml:space="preserve">certify annually that no terrestrial backhaul options exist.  The annual certifications must indicate that the carriers offer broadband service at actual speeds of at least 1 Mbps downstream and 256 kbps upstream within the supported area served by satellite middle-mile facilities.  Latency and capacity requirements </w:t>
      </w:r>
      <w:r w:rsidR="008F6EE3">
        <w:rPr>
          <w:color w:val="000000"/>
          <w:szCs w:val="24"/>
        </w:rPr>
        <w:t>do</w:t>
      </w:r>
      <w:r w:rsidR="008F6EE3" w:rsidRPr="00291514">
        <w:rPr>
          <w:color w:val="000000"/>
          <w:szCs w:val="24"/>
        </w:rPr>
        <w:t xml:space="preserve"> </w:t>
      </w:r>
      <w:r w:rsidRPr="00291514">
        <w:rPr>
          <w:color w:val="000000"/>
          <w:szCs w:val="24"/>
        </w:rPr>
        <w:t xml:space="preserve">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w:t>
      </w:r>
      <w:r>
        <w:rPr>
          <w:color w:val="000000"/>
          <w:szCs w:val="24"/>
        </w:rPr>
        <w:t>R</w:t>
      </w:r>
      <w:r w:rsidRPr="00E62396">
        <w:rPr>
          <w:color w:val="000000"/>
          <w:szCs w:val="24"/>
        </w:rPr>
        <w:t xml:space="preserve">ate-of-return carriers participating in the Alaska Plan must certify whether, in any portions of a carrier’s study area relying exclusively on satellite backhaul, the carrier provides service consistent with its approved performance plan.  </w:t>
      </w:r>
      <w:r w:rsidRPr="00E62396">
        <w:rPr>
          <w:i/>
          <w:color w:val="000000"/>
          <w:szCs w:val="24"/>
        </w:rPr>
        <w:t xml:space="preserve">See </w:t>
      </w:r>
      <w:r w:rsidRPr="00E62396">
        <w:rPr>
          <w:color w:val="000000"/>
          <w:szCs w:val="24"/>
        </w:rPr>
        <w:t>47 C.F.R. § 54.313(g).</w:t>
      </w:r>
    </w:p>
    <w:p w14:paraId="2F1B7B1E" w14:textId="77777777" w:rsidR="00FA50F6" w:rsidRPr="003E26A9" w:rsidRDefault="00FA50F6" w:rsidP="004026BA">
      <w:pPr>
        <w:rPr>
          <w:szCs w:val="24"/>
        </w:rPr>
      </w:pPr>
    </w:p>
    <w:p w14:paraId="2F1B7B1F" w14:textId="759CAF4B" w:rsidR="00FA50F6" w:rsidRPr="003E26A9" w:rsidRDefault="00C26C6F" w:rsidP="00230208">
      <w:pPr>
        <w:widowControl w:val="0"/>
        <w:numPr>
          <w:ilvl w:val="0"/>
          <w:numId w:val="7"/>
        </w:numPr>
        <w:tabs>
          <w:tab w:val="left" w:pos="0"/>
        </w:tabs>
        <w:suppressAutoHyphens/>
        <w:rPr>
          <w:szCs w:val="24"/>
        </w:rPr>
      </w:pPr>
      <w:r w:rsidRPr="003E26A9">
        <w:rPr>
          <w:color w:val="000000"/>
          <w:szCs w:val="24"/>
        </w:rPr>
        <w:t xml:space="preserve"> </w:t>
      </w:r>
      <w:r w:rsidR="005545B6" w:rsidRPr="0040798A">
        <w:rPr>
          <w:color w:val="000000"/>
          <w:szCs w:val="24"/>
          <w:u w:val="single"/>
        </w:rPr>
        <w:t xml:space="preserve">Tribal Engagement Reporting. </w:t>
      </w:r>
      <w:r w:rsidR="005545B6" w:rsidRPr="0046233F">
        <w:rPr>
          <w:color w:val="000000"/>
          <w:u w:val="single"/>
        </w:rPr>
        <w:t xml:space="preserve"> </w:t>
      </w:r>
      <w:r w:rsidR="00FA50F6" w:rsidRPr="0046233F">
        <w:rPr>
          <w:color w:val="000000"/>
          <w:u w:val="single"/>
        </w:rPr>
        <w:t>47 C.F.R. § 54.313(a)(</w:t>
      </w:r>
      <w:r w:rsidR="00F54719">
        <w:rPr>
          <w:color w:val="000000"/>
          <w:u w:val="single"/>
        </w:rPr>
        <w:t>5</w:t>
      </w:r>
      <w:r w:rsidR="00FA50F6" w:rsidRPr="0040798A">
        <w:rPr>
          <w:color w:val="000000"/>
          <w:szCs w:val="24"/>
          <w:u w:val="single"/>
        </w:rPr>
        <w:t>)</w:t>
      </w:r>
      <w:r w:rsidR="003C2A9B" w:rsidRPr="0040798A">
        <w:rPr>
          <w:color w:val="000000"/>
          <w:szCs w:val="24"/>
          <w:u w:val="single"/>
        </w:rPr>
        <w:t xml:space="preserve"> (See 12.</w:t>
      </w:r>
      <w:r w:rsidR="005E2F4B">
        <w:rPr>
          <w:color w:val="000000"/>
          <w:szCs w:val="24"/>
          <w:u w:val="single"/>
        </w:rPr>
        <w:t>i</w:t>
      </w:r>
      <w:r w:rsidR="003C2A9B" w:rsidRPr="0046233F">
        <w:rPr>
          <w:color w:val="000000"/>
          <w:u w:val="single"/>
        </w:rPr>
        <w:t>)</w:t>
      </w:r>
      <w:r w:rsidR="00FA50F6" w:rsidRPr="003E26A9">
        <w:rPr>
          <w:color w:val="000000"/>
          <w:szCs w:val="24"/>
        </w:rPr>
        <w:t xml:space="preserve">.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w:t>
      </w:r>
      <w:r w:rsidR="00651D18" w:rsidRPr="003E26A9">
        <w:rPr>
          <w:color w:val="000000"/>
          <w:szCs w:val="24"/>
        </w:rPr>
        <w:t xml:space="preserve">engaged </w:t>
      </w:r>
      <w:r w:rsidR="00FA50F6" w:rsidRPr="003E26A9">
        <w:rPr>
          <w:color w:val="000000"/>
          <w:szCs w:val="24"/>
        </w:rPr>
        <w:t>with Tribal governments.</w:t>
      </w:r>
      <w:r w:rsidR="00F54719">
        <w:rPr>
          <w:color w:val="000000"/>
          <w:szCs w:val="24"/>
        </w:rPr>
        <w:t xml:space="preserve">  The </w:t>
      </w:r>
      <w:r w:rsidR="00F54719">
        <w:rPr>
          <w:i/>
          <w:color w:val="000000"/>
          <w:szCs w:val="24"/>
        </w:rPr>
        <w:t xml:space="preserve">ETC Reporting Streamlining Order </w:t>
      </w:r>
      <w:r w:rsidR="00F54719">
        <w:rPr>
          <w:color w:val="000000"/>
          <w:szCs w:val="24"/>
        </w:rPr>
        <w:t>moved this requirement from 47 C.F.R. § 54.313(a)(9) to 47 C.F.R. § 54.313(a)(5), but the requirement remains the same.</w:t>
      </w:r>
    </w:p>
    <w:p w14:paraId="2F1B7B22" w14:textId="77777777" w:rsidR="00DE165B" w:rsidRPr="00D87D19" w:rsidRDefault="00DE165B" w:rsidP="00D87D19">
      <w:pPr>
        <w:rPr>
          <w:color w:val="000000"/>
        </w:rPr>
      </w:pPr>
    </w:p>
    <w:p w14:paraId="2F1B7B23" w14:textId="1B074A8E" w:rsidR="00DE165B" w:rsidRPr="003E26A9" w:rsidRDefault="00C26C6F" w:rsidP="00230208">
      <w:pPr>
        <w:widowControl w:val="0"/>
        <w:numPr>
          <w:ilvl w:val="0"/>
          <w:numId w:val="7"/>
        </w:numPr>
        <w:tabs>
          <w:tab w:val="left" w:pos="0"/>
        </w:tabs>
        <w:suppressAutoHyphens/>
        <w:rPr>
          <w:color w:val="000000"/>
          <w:szCs w:val="24"/>
        </w:rPr>
      </w:pPr>
      <w:r w:rsidRPr="003E26A9">
        <w:rPr>
          <w:color w:val="000000"/>
          <w:szCs w:val="24"/>
        </w:rPr>
        <w:t xml:space="preserve"> </w:t>
      </w:r>
      <w:r w:rsidR="005545B6" w:rsidRPr="0040798A">
        <w:rPr>
          <w:color w:val="000000"/>
          <w:szCs w:val="24"/>
          <w:u w:val="single"/>
        </w:rPr>
        <w:t xml:space="preserve">Connect America </w:t>
      </w:r>
      <w:r w:rsidR="006120E3" w:rsidRPr="0040798A">
        <w:rPr>
          <w:color w:val="000000"/>
          <w:szCs w:val="24"/>
          <w:u w:val="single"/>
        </w:rPr>
        <w:t>Frozen High Cost Support Certification</w:t>
      </w:r>
      <w:r w:rsidR="005545B6" w:rsidRPr="0040798A">
        <w:rPr>
          <w:color w:val="000000"/>
          <w:szCs w:val="24"/>
          <w:u w:val="single"/>
        </w:rPr>
        <w:t xml:space="preserve">. </w:t>
      </w:r>
      <w:r w:rsidR="005545B6" w:rsidRPr="0046233F">
        <w:rPr>
          <w:color w:val="000000"/>
          <w:u w:val="single"/>
        </w:rPr>
        <w:t xml:space="preserve"> </w:t>
      </w:r>
      <w:r w:rsidR="00DE165B" w:rsidRPr="0046233F">
        <w:rPr>
          <w:color w:val="000000"/>
          <w:u w:val="single"/>
        </w:rPr>
        <w:t>47 C.F.R. § 54.313(c</w:t>
      </w:r>
      <w:r w:rsidR="00DE165B" w:rsidRPr="0040798A">
        <w:rPr>
          <w:color w:val="000000"/>
          <w:szCs w:val="24"/>
          <w:u w:val="single"/>
        </w:rPr>
        <w:t>)</w:t>
      </w:r>
      <w:r w:rsidR="006120E3" w:rsidRPr="0040798A">
        <w:rPr>
          <w:color w:val="000000"/>
          <w:szCs w:val="24"/>
          <w:u w:val="single"/>
        </w:rPr>
        <w:t xml:space="preserve"> (See 12.</w:t>
      </w:r>
      <w:r w:rsidR="000C5514">
        <w:rPr>
          <w:color w:val="000000"/>
          <w:szCs w:val="24"/>
          <w:u w:val="single"/>
        </w:rPr>
        <w:t>j)</w:t>
      </w:r>
      <w:r w:rsidR="00DE165B" w:rsidRPr="003E26A9">
        <w:rPr>
          <w:color w:val="000000"/>
          <w:szCs w:val="24"/>
        </w:rPr>
        <w:t xml:space="preserve">.  </w:t>
      </w:r>
      <w:r w:rsidR="00DE165B" w:rsidRPr="003E26A9">
        <w:rPr>
          <w:szCs w:val="24"/>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00DE165B" w:rsidRPr="003E26A9">
        <w:rPr>
          <w:color w:val="000000"/>
          <w:szCs w:val="24"/>
        </w:rPr>
        <w:t xml:space="preserve">Recipients of frozen high-cost support must annually certify that increasing levels of support </w:t>
      </w:r>
      <w:r w:rsidR="00B95BE7" w:rsidRPr="003E26A9">
        <w:rPr>
          <w:color w:val="000000"/>
          <w:szCs w:val="24"/>
        </w:rPr>
        <w:t xml:space="preserve">have </w:t>
      </w:r>
      <w:r w:rsidR="00DE165B" w:rsidRPr="003E26A9">
        <w:rPr>
          <w:color w:val="000000"/>
          <w:szCs w:val="24"/>
        </w:rPr>
        <w:t xml:space="preserve">been used to achieve the goal of universal availability of voice and broadband.  </w:t>
      </w:r>
      <w:r w:rsidR="007E3AA8">
        <w:rPr>
          <w:color w:val="000000"/>
          <w:szCs w:val="24"/>
        </w:rPr>
        <w:t>R</w:t>
      </w:r>
      <w:r w:rsidR="00DE165B" w:rsidRPr="003E26A9">
        <w:rPr>
          <w:color w:val="000000"/>
          <w:szCs w:val="24"/>
        </w:rPr>
        <w:t>ecipients must certify that a</w:t>
      </w:r>
      <w:r w:rsidR="007E3AA8">
        <w:rPr>
          <w:color w:val="000000"/>
          <w:szCs w:val="24"/>
        </w:rPr>
        <w:t>ll</w:t>
      </w:r>
      <w:r w:rsidR="00DE165B" w:rsidRPr="003E26A9">
        <w:rPr>
          <w:color w:val="000000"/>
          <w:szCs w:val="24"/>
        </w:rPr>
        <w:t xml:space="preserve"> funding was used to build and operate broadband-capable networks used to offer the provider’s own retail broadband service in areas substantially unserved by an unsubsidized competitor.</w:t>
      </w:r>
    </w:p>
    <w:p w14:paraId="2F1B7B26" w14:textId="77777777" w:rsidR="00DE165B" w:rsidRPr="003E26A9" w:rsidRDefault="00DE165B" w:rsidP="00640C51">
      <w:pPr>
        <w:ind w:left="360"/>
        <w:rPr>
          <w:color w:val="000000"/>
          <w:szCs w:val="24"/>
        </w:rPr>
      </w:pPr>
    </w:p>
    <w:p w14:paraId="2F1B7B2E" w14:textId="29624FC1" w:rsidR="00DE165B" w:rsidRPr="009A5CCB" w:rsidRDefault="00C26C6F" w:rsidP="00AC0977">
      <w:pPr>
        <w:widowControl w:val="0"/>
        <w:numPr>
          <w:ilvl w:val="0"/>
          <w:numId w:val="7"/>
        </w:numPr>
        <w:tabs>
          <w:tab w:val="left" w:pos="0"/>
        </w:tabs>
        <w:suppressAutoHyphens/>
        <w:rPr>
          <w:color w:val="000000"/>
          <w:szCs w:val="24"/>
        </w:rPr>
      </w:pPr>
      <w:r w:rsidRPr="003E26A9">
        <w:rPr>
          <w:color w:val="000000"/>
          <w:szCs w:val="24"/>
        </w:rPr>
        <w:t xml:space="preserve"> </w:t>
      </w:r>
      <w:r w:rsidR="006120E3" w:rsidRPr="0040798A">
        <w:rPr>
          <w:color w:val="000000"/>
          <w:szCs w:val="24"/>
          <w:u w:val="single"/>
        </w:rPr>
        <w:t xml:space="preserve">Price Cap Carrier High-Cost Support for Access Charges Certification. </w:t>
      </w:r>
      <w:r w:rsidR="006120E3" w:rsidRPr="0046233F">
        <w:rPr>
          <w:color w:val="000000"/>
          <w:u w:val="single"/>
        </w:rPr>
        <w:t xml:space="preserve"> </w:t>
      </w:r>
      <w:r w:rsidR="00DE165B" w:rsidRPr="0046233F">
        <w:rPr>
          <w:color w:val="000000"/>
          <w:u w:val="single"/>
        </w:rPr>
        <w:t>47 C.F.R. § 54.313(d</w:t>
      </w:r>
      <w:r w:rsidR="00DE165B" w:rsidRPr="0040798A">
        <w:rPr>
          <w:color w:val="000000"/>
          <w:szCs w:val="24"/>
          <w:u w:val="single"/>
        </w:rPr>
        <w:t>)</w:t>
      </w:r>
      <w:r w:rsidR="0040798A" w:rsidRPr="0040798A">
        <w:rPr>
          <w:color w:val="000000"/>
          <w:szCs w:val="24"/>
          <w:u w:val="single"/>
        </w:rPr>
        <w:t xml:space="preserve"> </w:t>
      </w:r>
      <w:r w:rsidR="00355D7D">
        <w:rPr>
          <w:color w:val="000000"/>
          <w:szCs w:val="24"/>
          <w:u w:val="single"/>
        </w:rPr>
        <w:t xml:space="preserve">(See </w:t>
      </w:r>
      <w:r w:rsidR="005E2F4B">
        <w:rPr>
          <w:color w:val="000000"/>
          <w:szCs w:val="24"/>
          <w:u w:val="single"/>
        </w:rPr>
        <w:t>12.k)</w:t>
      </w:r>
      <w:r w:rsidR="00DE165B" w:rsidRPr="003E26A9">
        <w:rPr>
          <w:color w:val="000000"/>
          <w:szCs w:val="24"/>
        </w:rPr>
        <w:t>.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14:paraId="2F1B7B31" w14:textId="77777777" w:rsidR="00DE165B" w:rsidRPr="003E26A9" w:rsidRDefault="00DE165B" w:rsidP="00C01756">
      <w:pPr>
        <w:ind w:left="360"/>
        <w:rPr>
          <w:color w:val="000000"/>
          <w:szCs w:val="24"/>
        </w:rPr>
      </w:pPr>
    </w:p>
    <w:p w14:paraId="2F1B7B32" w14:textId="2402273E" w:rsidR="00DE165B" w:rsidRPr="00AC0977" w:rsidRDefault="00C26C6F" w:rsidP="00230208">
      <w:pPr>
        <w:widowControl w:val="0"/>
        <w:numPr>
          <w:ilvl w:val="0"/>
          <w:numId w:val="7"/>
        </w:numPr>
        <w:tabs>
          <w:tab w:val="left" w:pos="0"/>
        </w:tabs>
        <w:suppressAutoHyphens/>
        <w:rPr>
          <w:szCs w:val="24"/>
        </w:rPr>
      </w:pPr>
      <w:r w:rsidRPr="003E26A9">
        <w:rPr>
          <w:color w:val="000000"/>
          <w:szCs w:val="24"/>
        </w:rPr>
        <w:t xml:space="preserve"> </w:t>
      </w:r>
      <w:r w:rsidR="006120E3" w:rsidRPr="0040798A">
        <w:rPr>
          <w:color w:val="000000"/>
          <w:szCs w:val="24"/>
          <w:u w:val="single"/>
        </w:rPr>
        <w:t xml:space="preserve">Privately Held Rate-of-Return Financial Information.  </w:t>
      </w:r>
      <w:r w:rsidR="00DE165B" w:rsidRPr="0040798A">
        <w:rPr>
          <w:color w:val="000000"/>
          <w:szCs w:val="24"/>
          <w:u w:val="single"/>
        </w:rPr>
        <w:t>47 C.F.R. § 54.313(f)(2)</w:t>
      </w:r>
      <w:r w:rsidR="002254FA" w:rsidRPr="0040798A">
        <w:rPr>
          <w:color w:val="000000"/>
          <w:szCs w:val="24"/>
          <w:u w:val="single"/>
        </w:rPr>
        <w:t xml:space="preserve"> (See 12.</w:t>
      </w:r>
      <w:r w:rsidR="005E2F4B">
        <w:rPr>
          <w:color w:val="000000"/>
          <w:szCs w:val="24"/>
          <w:u w:val="single"/>
        </w:rPr>
        <w:t>l)</w:t>
      </w:r>
      <w:r w:rsidR="00DE165B" w:rsidRPr="003E26A9">
        <w:rPr>
          <w:color w:val="000000"/>
          <w:szCs w:val="24"/>
        </w:rPr>
        <w:t xml:space="preserve">.  The Commission can obtain publicly available financial information from publicly traded companies.  To ensure that support is sufficient but not excessive, privately held rate-of-return carriers that receive high-cost support must submit </w:t>
      </w:r>
      <w:r w:rsidR="00DB38FD" w:rsidRPr="003E26A9">
        <w:rPr>
          <w:color w:val="000000"/>
          <w:szCs w:val="24"/>
        </w:rPr>
        <w:t xml:space="preserve">various forms of financial statements.  Those companies that borrow funds from the Rural Utilities Service </w:t>
      </w:r>
      <w:r w:rsidR="006A6F54" w:rsidRPr="003E26A9">
        <w:rPr>
          <w:color w:val="000000"/>
          <w:szCs w:val="24"/>
        </w:rPr>
        <w:t xml:space="preserve">(RUS) </w:t>
      </w:r>
      <w:r w:rsidR="00DB38FD" w:rsidRPr="003E26A9">
        <w:rPr>
          <w:color w:val="000000"/>
          <w:szCs w:val="24"/>
        </w:rPr>
        <w:t xml:space="preserve">must submit a copy of their RUS </w:t>
      </w:r>
      <w:r w:rsidR="007565C7" w:rsidRPr="003E26A9">
        <w:rPr>
          <w:color w:val="000000"/>
          <w:szCs w:val="24"/>
        </w:rPr>
        <w:t>Operating Report for Telecommunications Borrowers</w:t>
      </w:r>
      <w:r w:rsidR="00DB38FD" w:rsidRPr="003E26A9">
        <w:rPr>
          <w:color w:val="000000"/>
          <w:szCs w:val="24"/>
        </w:rPr>
        <w:t xml:space="preserve">.  Carriers that do not borrow from </w:t>
      </w:r>
      <w:r w:rsidR="006A6F54" w:rsidRPr="003E26A9">
        <w:rPr>
          <w:color w:val="000000"/>
          <w:szCs w:val="24"/>
        </w:rPr>
        <w:t>RUS</w:t>
      </w:r>
      <w:r w:rsidR="00DB38FD" w:rsidRPr="003E26A9">
        <w:rPr>
          <w:color w:val="000000"/>
          <w:szCs w:val="24"/>
        </w:rPr>
        <w:t xml:space="preserve">, but that undergo financial audits in the ordinary course of business, must either file a copy of their audited financial statements or provide financial information in a form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 xml:space="preserve">.  Carriers that are not audited in the ordinary course of business must either file a financial statement that has been subject to review by a certified public accountant or file financial information in a format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w:t>
      </w:r>
      <w:r w:rsidR="00DE165B" w:rsidRPr="003E26A9">
        <w:rPr>
          <w:color w:val="000000"/>
          <w:szCs w:val="24"/>
        </w:rPr>
        <w:t xml:space="preserve">  These financial disclosures may be filed pursuant to a protective order.</w:t>
      </w:r>
    </w:p>
    <w:p w14:paraId="529F560F" w14:textId="77777777" w:rsidR="009A5CCB" w:rsidRPr="00D87D19" w:rsidRDefault="009A5CCB" w:rsidP="00D87D19">
      <w:pPr>
        <w:widowControl w:val="0"/>
        <w:tabs>
          <w:tab w:val="left" w:pos="0"/>
        </w:tabs>
        <w:suppressAutoHyphens/>
        <w:ind w:left="720"/>
      </w:pPr>
    </w:p>
    <w:p w14:paraId="4FB6E842" w14:textId="01A84028" w:rsidR="009A5CCB" w:rsidRPr="00D87D19" w:rsidRDefault="00437F9D" w:rsidP="00D87D19">
      <w:pPr>
        <w:widowControl w:val="0"/>
        <w:numPr>
          <w:ilvl w:val="0"/>
          <w:numId w:val="7"/>
        </w:numPr>
        <w:tabs>
          <w:tab w:val="left" w:pos="0"/>
        </w:tabs>
        <w:suppressAutoHyphens/>
      </w:pPr>
      <w:r>
        <w:rPr>
          <w:szCs w:val="24"/>
          <w:u w:val="single"/>
          <w:lang w:eastAsia="x-none"/>
        </w:rPr>
        <w:t xml:space="preserve"> </w:t>
      </w:r>
      <w:r w:rsidR="009A5CCB" w:rsidRPr="009D0BBE">
        <w:rPr>
          <w:szCs w:val="24"/>
          <w:u w:val="single"/>
          <w:lang w:eastAsia="x-none"/>
        </w:rPr>
        <w:t xml:space="preserve">Reporting of New Locations by Connect America Fund-Broadband Loop </w:t>
      </w:r>
      <w:r w:rsidR="009A5CCB">
        <w:rPr>
          <w:szCs w:val="24"/>
          <w:u w:val="single"/>
          <w:lang w:eastAsia="x-none"/>
        </w:rPr>
        <w:t xml:space="preserve">Support </w:t>
      </w:r>
      <w:r w:rsidR="009A5CCB" w:rsidRPr="009D0BBE">
        <w:rPr>
          <w:szCs w:val="24"/>
          <w:u w:val="single"/>
          <w:lang w:eastAsia="x-none"/>
        </w:rPr>
        <w:t>(CAF-BLS) Recipients</w:t>
      </w:r>
      <w:r w:rsidR="009A5CCB">
        <w:rPr>
          <w:szCs w:val="24"/>
          <w:u w:val="single"/>
          <w:lang w:eastAsia="x-none"/>
        </w:rPr>
        <w:t xml:space="preserve"> (See 12.</w:t>
      </w:r>
      <w:r w:rsidR="005E2F4B">
        <w:rPr>
          <w:szCs w:val="24"/>
          <w:u w:val="single"/>
          <w:lang w:eastAsia="x-none"/>
        </w:rPr>
        <w:t>m</w:t>
      </w:r>
      <w:r w:rsidR="009A5CCB">
        <w:rPr>
          <w:szCs w:val="24"/>
          <w:u w:val="single"/>
          <w:lang w:eastAsia="x-none"/>
        </w:rPr>
        <w:t>)</w:t>
      </w:r>
      <w:r w:rsidR="009A5CCB">
        <w:rPr>
          <w:szCs w:val="24"/>
          <w:lang w:eastAsia="x-none"/>
        </w:rPr>
        <w:t>:  Rate-of-return carriers participating in the CAF-BLS program, with 80 percent or greater deployment of 10/1 Mbps broadband service in their entire study areas, based on June 2015 FCC Form 477 data, must report progress on the number of locations where 10/1 Mbps or better broadband service has been deployed within their study area in the prior calendar year.  This information is required as part of FCC Form 481.  Such rate-of-return carriers also have the option of estimating the percentage of deployment across their entire study area (i.e., the approximate number of residential and small business locations to which the rate-of-return carrier has deployed, divided by the total approximate number of residential and small business locations in the study area).</w:t>
      </w:r>
    </w:p>
    <w:p w14:paraId="6D252537" w14:textId="57EA1F8D" w:rsidR="003839F8" w:rsidRDefault="003839F8" w:rsidP="00AC0977">
      <w:pPr>
        <w:widowControl w:val="0"/>
        <w:tabs>
          <w:tab w:val="left" w:pos="360"/>
        </w:tabs>
        <w:suppressAutoHyphens/>
        <w:rPr>
          <w:szCs w:val="24"/>
        </w:rPr>
      </w:pPr>
    </w:p>
    <w:p w14:paraId="4511AC30" w14:textId="2EB1EEB6" w:rsidR="003839F8" w:rsidRPr="0040798A" w:rsidRDefault="004C6D7B" w:rsidP="00AC0977">
      <w:pPr>
        <w:widowControl w:val="0"/>
        <w:numPr>
          <w:ilvl w:val="0"/>
          <w:numId w:val="7"/>
        </w:numPr>
        <w:tabs>
          <w:tab w:val="left" w:pos="0"/>
        </w:tabs>
        <w:suppressAutoHyphens/>
        <w:rPr>
          <w:b/>
          <w:szCs w:val="24"/>
          <w:u w:val="single"/>
        </w:rPr>
      </w:pPr>
      <w:r>
        <w:rPr>
          <w:szCs w:val="24"/>
          <w:u w:val="single"/>
        </w:rPr>
        <w:t xml:space="preserve"> </w:t>
      </w:r>
      <w:r w:rsidR="003839F8" w:rsidRPr="0040798A">
        <w:rPr>
          <w:szCs w:val="24"/>
          <w:u w:val="single"/>
        </w:rPr>
        <w:t>Additional Reporting Requirements for Rural Broadband Experim</w:t>
      </w:r>
      <w:r w:rsidR="003839F8">
        <w:rPr>
          <w:szCs w:val="24"/>
          <w:u w:val="single"/>
        </w:rPr>
        <w:t>ent Support Recipients (See 12.</w:t>
      </w:r>
      <w:r w:rsidR="005E2F4B">
        <w:rPr>
          <w:szCs w:val="24"/>
          <w:u w:val="single"/>
        </w:rPr>
        <w:t>n</w:t>
      </w:r>
      <w:r w:rsidR="003839F8" w:rsidRPr="0040798A">
        <w:rPr>
          <w:szCs w:val="24"/>
          <w:u w:val="single"/>
        </w:rPr>
        <w:t>)</w:t>
      </w:r>
      <w:r w:rsidR="003839F8">
        <w:rPr>
          <w:szCs w:val="24"/>
        </w:rPr>
        <w:t>:</w:t>
      </w:r>
      <w:r w:rsidR="003839F8" w:rsidRPr="0040798A">
        <w:rPr>
          <w:szCs w:val="24"/>
          <w:u w:val="single"/>
        </w:rPr>
        <w:t xml:space="preserve"> </w:t>
      </w:r>
    </w:p>
    <w:p w14:paraId="520774FE" w14:textId="77777777" w:rsidR="003839F8" w:rsidRPr="0046233F" w:rsidRDefault="003839F8" w:rsidP="003839F8">
      <w:pPr>
        <w:widowControl w:val="0"/>
        <w:tabs>
          <w:tab w:val="left" w:pos="0"/>
        </w:tabs>
        <w:suppressAutoHyphens/>
        <w:ind w:left="360"/>
        <w:rPr>
          <w:b/>
        </w:rPr>
      </w:pPr>
    </w:p>
    <w:p w14:paraId="03202006" w14:textId="77777777" w:rsidR="003839F8" w:rsidRPr="00EA0C41" w:rsidRDefault="003839F8" w:rsidP="003839F8">
      <w:pPr>
        <w:widowControl w:val="0"/>
        <w:tabs>
          <w:tab w:val="left" w:pos="0"/>
        </w:tabs>
        <w:suppressAutoHyphens/>
        <w:ind w:left="720"/>
        <w:rPr>
          <w:szCs w:val="24"/>
        </w:rPr>
      </w:pPr>
      <w:r w:rsidRPr="004217E0">
        <w:rPr>
          <w:szCs w:val="24"/>
        </w:rPr>
        <w:t>Recipients of rural broadband experiment support are required to de</w:t>
      </w:r>
      <w:r w:rsidRPr="00351E83">
        <w:rPr>
          <w:szCs w:val="24"/>
        </w:rPr>
        <w:t>ploy service meeting the Commission’s public interest obligations to a set number of locations by specific build-out mile</w:t>
      </w:r>
      <w:r>
        <w:rPr>
          <w:szCs w:val="24"/>
        </w:rPr>
        <w:t>stones.  The Commission requires</w:t>
      </w:r>
      <w:r w:rsidRPr="00351E83">
        <w:rPr>
          <w:szCs w:val="24"/>
        </w:rPr>
        <w:t xml:space="preserve">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640C51">
        <w:rPr>
          <w:i/>
          <w:szCs w:val="24"/>
        </w:rPr>
        <w:t>Connect America Fund et al.</w:t>
      </w:r>
      <w:r w:rsidRPr="00640C51">
        <w:rPr>
          <w:szCs w:val="24"/>
        </w:rPr>
        <w:t xml:space="preserve">, WC Docket No. 10-90 et al., Report and Order and Further Notice of Proposed Rulemaking, 29 FCC Rcd 8769 (2014).  </w:t>
      </w:r>
      <w:r w:rsidRPr="00CC03B8">
        <w:rPr>
          <w:szCs w:val="24"/>
        </w:rPr>
        <w:t xml:space="preserve">Rural broadband experiment recipients </w:t>
      </w:r>
      <w:r>
        <w:rPr>
          <w:szCs w:val="24"/>
        </w:rPr>
        <w:t>also</w:t>
      </w:r>
      <w:r w:rsidRPr="00CC03B8">
        <w:rPr>
          <w:szCs w:val="24"/>
        </w:rPr>
        <w:t xml:space="preserve"> </w:t>
      </w:r>
      <w:r>
        <w:rPr>
          <w:szCs w:val="24"/>
        </w:rPr>
        <w:t xml:space="preserve">are </w:t>
      </w:r>
      <w:r w:rsidRPr="00CC03B8">
        <w:rPr>
          <w:szCs w:val="24"/>
        </w:rPr>
        <w:t xml:space="preserve">required to submit </w:t>
      </w:r>
      <w:r w:rsidRPr="003E26A9">
        <w:t xml:space="preserve">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  </w:t>
      </w:r>
    </w:p>
    <w:p w14:paraId="00CAE685" w14:textId="6B299652" w:rsidR="003839F8" w:rsidRDefault="003839F8" w:rsidP="00D87D19">
      <w:pPr>
        <w:widowControl w:val="0"/>
        <w:tabs>
          <w:tab w:val="left" w:pos="0"/>
        </w:tabs>
        <w:suppressAutoHyphens/>
        <w:rPr>
          <w:szCs w:val="24"/>
        </w:rPr>
      </w:pPr>
    </w:p>
    <w:p w14:paraId="02FA21A1" w14:textId="77777777" w:rsidR="003839F8" w:rsidRPr="003E26A9" w:rsidRDefault="003839F8" w:rsidP="003839F8">
      <w:pPr>
        <w:widowControl w:val="0"/>
        <w:tabs>
          <w:tab w:val="left" w:pos="0"/>
        </w:tabs>
        <w:suppressAutoHyphens/>
        <w:ind w:left="720"/>
      </w:pPr>
      <w:r>
        <w:rPr>
          <w:szCs w:val="24"/>
        </w:rPr>
        <w:t>R</w:t>
      </w:r>
      <w:r w:rsidRPr="003E26A9">
        <w:rPr>
          <w:szCs w:val="24"/>
        </w:rPr>
        <w:t xml:space="preserve">ural broadband experiment recipients </w:t>
      </w:r>
      <w:r>
        <w:rPr>
          <w:szCs w:val="24"/>
        </w:rPr>
        <w:t>must certify</w:t>
      </w:r>
      <w:r w:rsidRPr="003E26A9">
        <w:rPr>
          <w:szCs w:val="24"/>
        </w:rPr>
        <w:t xml:space="preserve"> in each FCC Form 481 annual report that the </w:t>
      </w:r>
      <w:r w:rsidRPr="003E26A9">
        <w:t>recipient is offering broadband meeting the requisite public interest obligations consistent with the category for which they were selected, including broadband speed, latency, usage capacity, and rates that are reasonably comparable to rates for comparable offerings in urban areas</w:t>
      </w:r>
      <w:r>
        <w:t>.</w:t>
      </w:r>
      <w:r w:rsidRPr="003E26A9">
        <w:t xml:space="preserve">  </w:t>
      </w:r>
      <w:r w:rsidRPr="003E26A9">
        <w:rPr>
          <w:i/>
          <w:szCs w:val="24"/>
        </w:rPr>
        <w:t>Connect America Fund et al.</w:t>
      </w:r>
      <w:r w:rsidRPr="003E26A9">
        <w:rPr>
          <w:szCs w:val="24"/>
        </w:rPr>
        <w:t xml:space="preserve">, WC Docket No. 10-90 et al., Report and Order and Further Notice of Proposed Rulemaking, 29 FCC Rcd 8769 (2014).  </w:t>
      </w:r>
      <w:r w:rsidRPr="003E26A9">
        <w:t xml:space="preserve">This certification requirement </w:t>
      </w:r>
      <w:r>
        <w:t>enables</w:t>
      </w:r>
      <w:r w:rsidRPr="003E26A9">
        <w:t xml:space="preserve"> the Commission to monitor rural broadband experiment recipients to ensure they are using the support for its intended purposes and are meeting the relevant public interest obligations. </w:t>
      </w:r>
    </w:p>
    <w:p w14:paraId="50E8DADE" w14:textId="77777777" w:rsidR="003839F8" w:rsidRPr="003E26A9" w:rsidRDefault="003839F8" w:rsidP="003839F8">
      <w:pPr>
        <w:ind w:left="720"/>
      </w:pPr>
    </w:p>
    <w:p w14:paraId="6C2585F7" w14:textId="59997D13" w:rsidR="009A5CCB" w:rsidRPr="00D87D19" w:rsidRDefault="003839F8" w:rsidP="00AC0977">
      <w:pPr>
        <w:widowControl w:val="0"/>
        <w:tabs>
          <w:tab w:val="left" w:pos="360"/>
        </w:tabs>
        <w:suppressAutoHyphens/>
        <w:ind w:left="720"/>
        <w:rPr>
          <w:color w:val="000000"/>
        </w:rPr>
      </w:pPr>
      <w:r>
        <w:rPr>
          <w:szCs w:val="24"/>
        </w:rPr>
        <w:t>R</w:t>
      </w:r>
      <w:r w:rsidRPr="003E26A9">
        <w:rPr>
          <w:szCs w:val="24"/>
        </w:rPr>
        <w:t xml:space="preserve">ecipients of rural broadband experiment support </w:t>
      </w:r>
      <w:r>
        <w:rPr>
          <w:szCs w:val="24"/>
        </w:rPr>
        <w:t>are</w:t>
      </w:r>
      <w:r w:rsidRPr="003E26A9">
        <w:rPr>
          <w:szCs w:val="24"/>
        </w:rPr>
        <w:t xml:space="preserve"> required to report in their FCC Form 481 annual reports the number, names, and addresses of community anchor institutions to which the recipients newly began providing access to broadband service in the preceding calendar year.  This requirement </w:t>
      </w:r>
      <w:r>
        <w:rPr>
          <w:szCs w:val="24"/>
        </w:rPr>
        <w:t>is</w:t>
      </w:r>
      <w:r w:rsidRPr="003E26A9">
        <w:rPr>
          <w:szCs w:val="24"/>
        </w:rPr>
        <w:t xml:space="preserve"> a valuable way for the Commission to monitor how recipients are engaging with community anchor institutions, and learn how the networks supported by the experiments will impact anchor institutions and the communities they serve.</w:t>
      </w:r>
    </w:p>
    <w:p w14:paraId="2243CC31" w14:textId="23AB0263" w:rsidR="003839F8" w:rsidRPr="00D87D19" w:rsidRDefault="003839F8" w:rsidP="00D87D19">
      <w:pPr>
        <w:rPr>
          <w:color w:val="000000"/>
        </w:rPr>
      </w:pPr>
    </w:p>
    <w:p w14:paraId="2097E0EA" w14:textId="049AE2C3" w:rsidR="009A5CCB" w:rsidRPr="009D6351" w:rsidRDefault="00437F9D" w:rsidP="009A5CCB">
      <w:pPr>
        <w:numPr>
          <w:ilvl w:val="0"/>
          <w:numId w:val="7"/>
        </w:numPr>
        <w:tabs>
          <w:tab w:val="left" w:pos="720"/>
        </w:tabs>
        <w:spacing w:after="120"/>
        <w:rPr>
          <w:b/>
          <w:szCs w:val="24"/>
          <w:lang w:val="x-none" w:eastAsia="x-none"/>
        </w:rPr>
      </w:pPr>
      <w:r w:rsidRPr="00D87D19">
        <w:rPr>
          <w:u w:val="single"/>
        </w:rPr>
        <w:t xml:space="preserve"> </w:t>
      </w:r>
      <w:r w:rsidR="009A5CCB" w:rsidRPr="003E2D4B">
        <w:rPr>
          <w:szCs w:val="24"/>
          <w:u w:val="single"/>
        </w:rPr>
        <w:t>Newly Available Backhaul Reporting for Alaska Plan Participants</w:t>
      </w:r>
      <w:r w:rsidR="009A5CCB">
        <w:rPr>
          <w:szCs w:val="24"/>
        </w:rPr>
        <w:t xml:space="preserve"> </w:t>
      </w:r>
      <w:r w:rsidR="009A5CCB">
        <w:rPr>
          <w:szCs w:val="24"/>
          <w:u w:val="single"/>
        </w:rPr>
        <w:t>(See 12.</w:t>
      </w:r>
      <w:r w:rsidR="006D52AE">
        <w:rPr>
          <w:szCs w:val="24"/>
          <w:u w:val="single"/>
        </w:rPr>
        <w:t>o</w:t>
      </w:r>
      <w:r w:rsidR="009A5CCB">
        <w:rPr>
          <w:szCs w:val="24"/>
          <w:u w:val="single"/>
        </w:rPr>
        <w:t>)</w:t>
      </w:r>
      <w:r w:rsidR="009A5CCB" w:rsidRPr="00FB748A">
        <w:rPr>
          <w:szCs w:val="24"/>
        </w:rPr>
        <w:t>:</w:t>
      </w:r>
      <w:r w:rsidR="009A5CCB">
        <w:rPr>
          <w:szCs w:val="24"/>
        </w:rPr>
        <w:t xml:space="preserve">  To help the Commission monitor the availability of infrastructure for Alaska Plan participants, rate-of-return carriers and competitive ETCs participating in the Alaska Plan must certify in their FCC Form 481 </w:t>
      </w:r>
      <w:r w:rsidR="009A5CCB" w:rsidRPr="003746C1">
        <w:rPr>
          <w:szCs w:val="24"/>
          <w:lang w:eastAsia="ja-JP"/>
        </w:rPr>
        <w:t>whether any terrestrial backhaul or other satellite backhaul became commercially available in the previous calendar year in areas that previously were served exclusively by satellite backhaul</w:t>
      </w:r>
      <w:r w:rsidR="009A5CCB">
        <w:rPr>
          <w:szCs w:val="24"/>
          <w:lang w:eastAsia="ja-JP"/>
        </w:rPr>
        <w:t>, if the f</w:t>
      </w:r>
      <w:r w:rsidR="009A5CCB" w:rsidRPr="003746C1">
        <w:rPr>
          <w:szCs w:val="24"/>
          <w:lang w:eastAsia="ja-JP"/>
        </w:rPr>
        <w:t xml:space="preserve">unding recipient identified in </w:t>
      </w:r>
      <w:r w:rsidR="009A5CCB">
        <w:rPr>
          <w:szCs w:val="24"/>
          <w:lang w:eastAsia="ja-JP"/>
        </w:rPr>
        <w:t>its</w:t>
      </w:r>
      <w:r w:rsidR="009A5CCB" w:rsidRPr="003746C1">
        <w:rPr>
          <w:szCs w:val="24"/>
          <w:lang w:eastAsia="ja-JP"/>
        </w:rPr>
        <w:t xml:space="preserve"> approved performance plans that </w:t>
      </w:r>
      <w:r w:rsidR="009A5CCB">
        <w:rPr>
          <w:szCs w:val="24"/>
          <w:lang w:eastAsia="ja-JP"/>
        </w:rPr>
        <w:t>it</w:t>
      </w:r>
      <w:r w:rsidR="009A5CCB" w:rsidRPr="003746C1">
        <w:rPr>
          <w:szCs w:val="24"/>
          <w:lang w:eastAsia="ja-JP"/>
        </w:rPr>
        <w:t xml:space="preserve"> exclusively rel</w:t>
      </w:r>
      <w:r w:rsidR="009A5CCB">
        <w:rPr>
          <w:szCs w:val="24"/>
          <w:lang w:eastAsia="ja-JP"/>
        </w:rPr>
        <w:t>ied</w:t>
      </w:r>
      <w:r w:rsidR="009A5CCB" w:rsidRPr="003746C1">
        <w:rPr>
          <w:szCs w:val="24"/>
          <w:lang w:eastAsia="ja-JP"/>
        </w:rPr>
        <w:t xml:space="preserve"> on satellite backhaul for a certain portion of the population in </w:t>
      </w:r>
      <w:r w:rsidR="009A5CCB">
        <w:rPr>
          <w:szCs w:val="24"/>
          <w:lang w:eastAsia="ja-JP"/>
        </w:rPr>
        <w:t>its</w:t>
      </w:r>
      <w:r w:rsidR="009A5CCB" w:rsidRPr="003746C1">
        <w:rPr>
          <w:szCs w:val="24"/>
          <w:lang w:eastAsia="ja-JP"/>
        </w:rPr>
        <w:t xml:space="preserve"> service area</w:t>
      </w:r>
      <w:r w:rsidR="009A5CCB">
        <w:rPr>
          <w:szCs w:val="24"/>
          <w:lang w:eastAsia="ja-JP"/>
        </w:rPr>
        <w:t xml:space="preserve">.  </w:t>
      </w:r>
      <w:r w:rsidR="009A5CCB" w:rsidRPr="003746C1">
        <w:rPr>
          <w:szCs w:val="24"/>
          <w:lang w:eastAsia="ja-JP"/>
        </w:rPr>
        <w:t>To the extent that new terrestrial backhaul facilities are constructed or other satellite backhaul become commercially available, the funding recipient must</w:t>
      </w:r>
      <w:r w:rsidR="009A5CCB">
        <w:rPr>
          <w:szCs w:val="24"/>
          <w:lang w:eastAsia="ja-JP"/>
        </w:rPr>
        <w:t xml:space="preserve"> </w:t>
      </w:r>
      <w:r w:rsidR="009A5CCB" w:rsidRPr="003746C1">
        <w:rPr>
          <w:szCs w:val="24"/>
          <w:lang w:eastAsia="ja-JP"/>
        </w:rPr>
        <w:t>provide a description of the backhaul technology;</w:t>
      </w:r>
      <w:r w:rsidR="009A5CCB" w:rsidRPr="003746C1">
        <w:rPr>
          <w:snapToGrid w:val="0"/>
          <w:kern w:val="28"/>
        </w:rPr>
        <w:t xml:space="preserve"> </w:t>
      </w:r>
      <w:r w:rsidR="009A5CCB">
        <w:rPr>
          <w:snapToGrid w:val="0"/>
          <w:kern w:val="28"/>
        </w:rPr>
        <w:t xml:space="preserve">and </w:t>
      </w:r>
      <w:r w:rsidR="009A5CCB" w:rsidRPr="003746C1">
        <w:rPr>
          <w:szCs w:val="24"/>
          <w:lang w:eastAsia="ja-JP"/>
        </w:rPr>
        <w:t>provide the date on which that backhaul was made commer</w:t>
      </w:r>
      <w:r w:rsidR="009A5CCB">
        <w:rPr>
          <w:szCs w:val="24"/>
          <w:lang w:eastAsia="ja-JP"/>
        </w:rPr>
        <w:t xml:space="preserve">cially available to the carrier.  Rate-of-return carriers participating in the Alaska Plan must </w:t>
      </w:r>
      <w:r w:rsidR="009A5CCB" w:rsidRPr="003746C1">
        <w:rPr>
          <w:szCs w:val="24"/>
          <w:lang w:eastAsia="ja-JP"/>
        </w:rPr>
        <w:t>provide the number of</w:t>
      </w:r>
      <w:r w:rsidR="009A5CCB">
        <w:rPr>
          <w:szCs w:val="24"/>
          <w:lang w:eastAsia="ja-JP"/>
        </w:rPr>
        <w:t xml:space="preserve"> locations within their service area that are served by the newly available backhaul option</w:t>
      </w:r>
      <w:r w:rsidR="009A5CCB" w:rsidRPr="009D6351">
        <w:rPr>
          <w:szCs w:val="24"/>
          <w:lang w:eastAsia="ja-JP"/>
        </w:rPr>
        <w:t>.</w:t>
      </w:r>
      <w:r w:rsidR="009A5CCB">
        <w:rPr>
          <w:b/>
          <w:szCs w:val="24"/>
          <w:lang w:eastAsia="ja-JP"/>
        </w:rPr>
        <w:t xml:space="preserve">  </w:t>
      </w:r>
      <w:r w:rsidR="009A5CCB" w:rsidRPr="00FF04CC">
        <w:rPr>
          <w:szCs w:val="24"/>
          <w:lang w:eastAsia="ja-JP"/>
        </w:rPr>
        <w:t xml:space="preserve">Competitive ETCs participating in the Alaska Plan must instead provide the </w:t>
      </w:r>
      <w:r w:rsidR="009A5CCB">
        <w:rPr>
          <w:szCs w:val="24"/>
          <w:lang w:eastAsia="ja-JP"/>
        </w:rPr>
        <w:t xml:space="preserve">number of the </w:t>
      </w:r>
      <w:r w:rsidR="009A5CCB" w:rsidRPr="00FF04CC">
        <w:rPr>
          <w:szCs w:val="24"/>
          <w:lang w:eastAsia="ja-JP"/>
        </w:rPr>
        <w:t xml:space="preserve">population within their service area that </w:t>
      </w:r>
      <w:r w:rsidR="009A5CCB">
        <w:rPr>
          <w:szCs w:val="24"/>
          <w:lang w:eastAsia="ja-JP"/>
        </w:rPr>
        <w:t>is</w:t>
      </w:r>
      <w:r w:rsidR="009A5CCB" w:rsidRPr="00FF04CC">
        <w:rPr>
          <w:szCs w:val="24"/>
          <w:lang w:eastAsia="ja-JP"/>
        </w:rPr>
        <w:t xml:space="preserve"> served by the newly available backhaul option</w:t>
      </w:r>
      <w:r w:rsidR="009A5CCB">
        <w:rPr>
          <w:szCs w:val="24"/>
          <w:lang w:eastAsia="ja-JP"/>
        </w:rPr>
        <w:t xml:space="preserve">. </w:t>
      </w:r>
      <w:r w:rsidR="009A5CCB" w:rsidRPr="00FF6B6C">
        <w:rPr>
          <w:b/>
          <w:szCs w:val="24"/>
          <w:lang w:eastAsia="ja-JP"/>
        </w:rPr>
        <w:t xml:space="preserve"> </w:t>
      </w:r>
      <w:r w:rsidR="009A5CCB">
        <w:rPr>
          <w:szCs w:val="24"/>
          <w:lang w:eastAsia="ja-JP"/>
        </w:rPr>
        <w:t>47 C.F.R. §§ 54.313(f)(3), 54.313(l).</w:t>
      </w:r>
    </w:p>
    <w:p w14:paraId="7D9C2BD3" w14:textId="77777777" w:rsidR="009A5CCB" w:rsidRDefault="009A5CCB" w:rsidP="009A5CCB">
      <w:pPr>
        <w:tabs>
          <w:tab w:val="left" w:pos="720"/>
        </w:tabs>
        <w:spacing w:after="120"/>
        <w:ind w:left="720"/>
        <w:rPr>
          <w:b/>
          <w:szCs w:val="24"/>
          <w:lang w:val="x-none" w:eastAsia="x-none"/>
        </w:rPr>
      </w:pPr>
      <w:r w:rsidRPr="009E1FAB">
        <w:rPr>
          <w:szCs w:val="24"/>
          <w:lang w:eastAsia="x-none"/>
        </w:rPr>
        <w:t>Separate from Alaska Plan participants’ FCC Form 481 reporting, w</w:t>
      </w:r>
      <w:r w:rsidRPr="009E1FAB">
        <w:rPr>
          <w:szCs w:val="24"/>
          <w:lang w:eastAsia="ja-JP"/>
        </w:rPr>
        <w:t>ithin 12 months of backhaul facilities becoming commercially available</w:t>
      </w:r>
      <w:r>
        <w:rPr>
          <w:szCs w:val="24"/>
          <w:lang w:eastAsia="ja-JP"/>
        </w:rPr>
        <w:t xml:space="preserve"> to those locations served by the new backhaul reported pursuant to 47 C.F.R. § 54.313(f)(3)</w:t>
      </w:r>
      <w:r w:rsidRPr="009E1FAB">
        <w:rPr>
          <w:szCs w:val="24"/>
          <w:lang w:eastAsia="ja-JP"/>
        </w:rPr>
        <w:t>, rate-of-return carriers must certify that they are offering broadband service with latency suitable for real-time applications, including Voice over Internet Protocol, and usage capacity that is reasonably comparable to comparable offerings in urban areas</w:t>
      </w:r>
      <w:r>
        <w:rPr>
          <w:szCs w:val="24"/>
          <w:lang w:eastAsia="ja-JP"/>
        </w:rPr>
        <w:t xml:space="preserve">.  </w:t>
      </w:r>
      <w:r w:rsidRPr="009E1FAB">
        <w:rPr>
          <w:szCs w:val="24"/>
          <w:lang w:eastAsia="ja-JP"/>
        </w:rPr>
        <w:t>Competitive ETCs must,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r w:rsidRPr="00FF6B6C">
        <w:rPr>
          <w:b/>
          <w:szCs w:val="24"/>
          <w:lang w:eastAsia="ja-JP"/>
        </w:rPr>
        <w:t xml:space="preserve"> </w:t>
      </w:r>
      <w:r>
        <w:rPr>
          <w:b/>
          <w:szCs w:val="24"/>
          <w:lang w:eastAsia="ja-JP"/>
        </w:rPr>
        <w:t xml:space="preserve"> </w:t>
      </w:r>
      <w:r>
        <w:rPr>
          <w:szCs w:val="24"/>
          <w:lang w:eastAsia="ja-JP"/>
        </w:rPr>
        <w:t>47 C.F.R. §§ 54.313(f)(3), 54.313(l).</w:t>
      </w:r>
    </w:p>
    <w:p w14:paraId="6B4A2E0B" w14:textId="44F9F8FA" w:rsidR="009A5CCB" w:rsidRPr="00F565ED" w:rsidRDefault="00437F9D" w:rsidP="009A5CCB">
      <w:pPr>
        <w:numPr>
          <w:ilvl w:val="0"/>
          <w:numId w:val="7"/>
        </w:numPr>
        <w:tabs>
          <w:tab w:val="left" w:pos="720"/>
        </w:tabs>
        <w:spacing w:after="120"/>
        <w:rPr>
          <w:szCs w:val="24"/>
          <w:lang w:val="x-none" w:eastAsia="x-none"/>
        </w:rPr>
      </w:pPr>
      <w:r>
        <w:rPr>
          <w:szCs w:val="24"/>
          <w:u w:val="single"/>
          <w:lang w:eastAsia="x-none"/>
        </w:rPr>
        <w:t xml:space="preserve"> </w:t>
      </w:r>
      <w:r w:rsidR="009A5CCB" w:rsidRPr="00A71262">
        <w:rPr>
          <w:szCs w:val="24"/>
          <w:u w:val="single"/>
          <w:lang w:eastAsia="x-none"/>
        </w:rPr>
        <w:t xml:space="preserve">Capital </w:t>
      </w:r>
      <w:r w:rsidR="009A5CCB">
        <w:rPr>
          <w:szCs w:val="24"/>
          <w:u w:val="single"/>
          <w:lang w:eastAsia="x-none"/>
        </w:rPr>
        <w:t>Expenditure</w:t>
      </w:r>
      <w:r w:rsidR="009A5CCB" w:rsidRPr="00A71262">
        <w:rPr>
          <w:szCs w:val="24"/>
          <w:u w:val="single"/>
          <w:lang w:eastAsia="x-none"/>
        </w:rPr>
        <w:t xml:space="preserve"> Documentation for </w:t>
      </w:r>
      <w:r w:rsidR="009A5CCB">
        <w:rPr>
          <w:szCs w:val="24"/>
          <w:u w:val="single"/>
          <w:lang w:eastAsia="x-none"/>
        </w:rPr>
        <w:t xml:space="preserve">Rate-of-Return and Competitive ETC </w:t>
      </w:r>
      <w:r w:rsidR="009A5CCB" w:rsidRPr="00A71262">
        <w:rPr>
          <w:szCs w:val="24"/>
          <w:u w:val="single"/>
          <w:lang w:eastAsia="x-none"/>
        </w:rPr>
        <w:t>Alaska Plan Participants</w:t>
      </w:r>
      <w:r w:rsidR="009A5CCB">
        <w:rPr>
          <w:szCs w:val="24"/>
          <w:u w:val="single"/>
          <w:lang w:eastAsia="x-none"/>
        </w:rPr>
        <w:t xml:space="preserve"> (See 12.</w:t>
      </w:r>
      <w:r w:rsidR="005E2F4B">
        <w:rPr>
          <w:szCs w:val="24"/>
          <w:u w:val="single"/>
          <w:lang w:eastAsia="x-none"/>
        </w:rPr>
        <w:t>p</w:t>
      </w:r>
      <w:r w:rsidR="009A5CCB">
        <w:rPr>
          <w:szCs w:val="24"/>
          <w:u w:val="single"/>
          <w:lang w:eastAsia="x-none"/>
        </w:rPr>
        <w:t>)</w:t>
      </w:r>
      <w:r w:rsidR="009A5CCB" w:rsidRPr="00FB748A">
        <w:rPr>
          <w:szCs w:val="24"/>
          <w:lang w:eastAsia="x-none"/>
        </w:rPr>
        <w:t>:</w:t>
      </w:r>
      <w:r w:rsidR="009A5CCB" w:rsidRPr="0080723C">
        <w:rPr>
          <w:szCs w:val="24"/>
          <w:lang w:eastAsia="x-none"/>
        </w:rPr>
        <w:t xml:space="preserve"> Alaska Plan</w:t>
      </w:r>
      <w:r w:rsidR="009A5CCB">
        <w:rPr>
          <w:szCs w:val="24"/>
          <w:lang w:eastAsia="x-none"/>
        </w:rPr>
        <w:t xml:space="preserve"> rate-of-return</w:t>
      </w:r>
      <w:r w:rsidR="009A5CCB" w:rsidRPr="0080723C">
        <w:rPr>
          <w:szCs w:val="24"/>
          <w:lang w:eastAsia="x-none"/>
        </w:rPr>
        <w:t xml:space="preserve"> participants </w:t>
      </w:r>
      <w:r w:rsidR="009A5CCB">
        <w:rPr>
          <w:szCs w:val="24"/>
          <w:lang w:eastAsia="x-none"/>
        </w:rPr>
        <w:t>that propose to maintain their existing networks throughout the 10-year support term without newly deploying or upgrading service to locations within their service area and all Alaska Plan competitive ETC participants are required to retain documentation on how much of their Alaska Plan support was spent on capital expenses and operating expenses and be prepared to produce such documentation upon request.  We do not expect that this requirement will unduly burden recipients because they track their capital and operating expenditures in the regular course of business.</w:t>
      </w:r>
    </w:p>
    <w:p w14:paraId="5A4ABDE9" w14:textId="706033B7" w:rsidR="009A5CCB" w:rsidRPr="003E26A9" w:rsidRDefault="009A5CCB" w:rsidP="004026BA">
      <w:pPr>
        <w:rPr>
          <w:color w:val="000000"/>
          <w:szCs w:val="24"/>
        </w:rPr>
      </w:pPr>
    </w:p>
    <w:p w14:paraId="2F1B7B39" w14:textId="77C84E24" w:rsidR="008F1631" w:rsidRPr="00F54719" w:rsidRDefault="00C26C6F" w:rsidP="00AC0977">
      <w:pPr>
        <w:widowControl w:val="0"/>
        <w:numPr>
          <w:ilvl w:val="0"/>
          <w:numId w:val="7"/>
        </w:numPr>
        <w:tabs>
          <w:tab w:val="left" w:pos="0"/>
        </w:tabs>
        <w:suppressAutoHyphens/>
        <w:rPr>
          <w:szCs w:val="24"/>
        </w:rPr>
      </w:pPr>
      <w:r w:rsidRPr="003E26A9">
        <w:rPr>
          <w:color w:val="000000"/>
          <w:szCs w:val="24"/>
        </w:rPr>
        <w:t xml:space="preserve"> </w:t>
      </w:r>
      <w:r w:rsidR="005D3EC6" w:rsidRPr="0040798A">
        <w:rPr>
          <w:color w:val="000000"/>
          <w:szCs w:val="24"/>
          <w:u w:val="single"/>
        </w:rPr>
        <w:t xml:space="preserve">Residential Rate Updates. </w:t>
      </w:r>
      <w:r w:rsidR="005D3EC6" w:rsidRPr="0046233F">
        <w:rPr>
          <w:color w:val="000000"/>
          <w:u w:val="single"/>
        </w:rPr>
        <w:t xml:space="preserve"> </w:t>
      </w:r>
      <w:r w:rsidR="00DE165B" w:rsidRPr="0046233F">
        <w:rPr>
          <w:color w:val="000000"/>
          <w:u w:val="single"/>
        </w:rPr>
        <w:t>47 C.F.R. § 54.313(h</w:t>
      </w:r>
      <w:r w:rsidR="00DE165B" w:rsidRPr="0040798A">
        <w:rPr>
          <w:color w:val="000000"/>
          <w:szCs w:val="24"/>
          <w:u w:val="single"/>
        </w:rPr>
        <w:t>)</w:t>
      </w:r>
      <w:r w:rsidR="00355D7D">
        <w:rPr>
          <w:color w:val="000000"/>
          <w:szCs w:val="24"/>
          <w:u w:val="single"/>
        </w:rPr>
        <w:t xml:space="preserve"> (See 12.</w:t>
      </w:r>
      <w:r w:rsidR="005E2F4B">
        <w:rPr>
          <w:color w:val="000000"/>
          <w:szCs w:val="24"/>
          <w:u w:val="single"/>
        </w:rPr>
        <w:t>q</w:t>
      </w:r>
      <w:r w:rsidR="002254FA" w:rsidRPr="0046233F">
        <w:rPr>
          <w:color w:val="000000"/>
          <w:u w:val="single"/>
        </w:rPr>
        <w:t>)</w:t>
      </w:r>
      <w:r w:rsidR="00DE165B" w:rsidRPr="003E26A9">
        <w:rPr>
          <w:color w:val="000000"/>
          <w:szCs w:val="24"/>
        </w:rPr>
        <w:t xml:space="preserve">.  All incumbent local exchange carrier recipients of high-cost support must </w:t>
      </w:r>
      <w:r w:rsidR="00E47045" w:rsidRPr="003E26A9">
        <w:rPr>
          <w:color w:val="000000"/>
          <w:szCs w:val="24"/>
        </w:rPr>
        <w:t xml:space="preserve">already </w:t>
      </w:r>
      <w:r w:rsidR="00DE165B" w:rsidRPr="003E26A9">
        <w:rPr>
          <w:color w:val="000000"/>
          <w:szCs w:val="24"/>
        </w:rPr>
        <w:t>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w:t>
      </w:r>
      <w:r w:rsidR="00DE165B" w:rsidRPr="003E26A9">
        <w:rPr>
          <w:bCs/>
          <w:color w:val="000000"/>
          <w:szCs w:val="24"/>
        </w:rPr>
        <w:t xml:space="preserve"> and the number of lines for each rate specified. </w:t>
      </w:r>
      <w:r w:rsidR="008D48FE" w:rsidRPr="003E26A9">
        <w:rPr>
          <w:bCs/>
          <w:color w:val="000000"/>
          <w:szCs w:val="24"/>
        </w:rPr>
        <w:t xml:space="preserve"> </w:t>
      </w:r>
      <w:r w:rsidR="00DE165B" w:rsidRPr="003E26A9">
        <w:rPr>
          <w:bCs/>
          <w:color w:val="000000"/>
          <w:szCs w:val="24"/>
        </w:rPr>
        <w:t>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w:t>
      </w:r>
      <w:r w:rsidR="00664A20" w:rsidRPr="003E26A9">
        <w:rPr>
          <w:szCs w:val="24"/>
        </w:rPr>
        <w:t>er 1.</w:t>
      </w:r>
    </w:p>
    <w:p w14:paraId="2F1B7B55" w14:textId="7988ACBC" w:rsidR="00DE165B" w:rsidRDefault="00DE165B" w:rsidP="004026BA">
      <w:pPr>
        <w:rPr>
          <w:szCs w:val="24"/>
        </w:rPr>
      </w:pPr>
    </w:p>
    <w:p w14:paraId="01E55613" w14:textId="77777777" w:rsidR="00680540" w:rsidRPr="00D36895" w:rsidRDefault="00680540" w:rsidP="000F124A">
      <w:pPr>
        <w:ind w:left="360" w:hanging="360"/>
        <w:rPr>
          <w:szCs w:val="24"/>
        </w:rPr>
      </w:pPr>
    </w:p>
    <w:p w14:paraId="2F1B7B56" w14:textId="1AFF74BE" w:rsidR="00664A20" w:rsidRPr="00D36895" w:rsidRDefault="00C26C6F" w:rsidP="00AC0977">
      <w:pPr>
        <w:widowControl w:val="0"/>
        <w:numPr>
          <w:ilvl w:val="0"/>
          <w:numId w:val="7"/>
        </w:numPr>
        <w:tabs>
          <w:tab w:val="left" w:pos="0"/>
        </w:tabs>
        <w:suppressAutoHyphens/>
        <w:rPr>
          <w:szCs w:val="24"/>
        </w:rPr>
      </w:pPr>
      <w:r w:rsidRPr="004026BA">
        <w:rPr>
          <w:szCs w:val="24"/>
        </w:rPr>
        <w:t xml:space="preserve"> </w:t>
      </w:r>
      <w:r w:rsidR="00DE165B" w:rsidRPr="00D36895">
        <w:rPr>
          <w:szCs w:val="24"/>
          <w:u w:val="single"/>
        </w:rPr>
        <w:t>State Certification Letter under 254(e) of the Act</w:t>
      </w:r>
      <w:r w:rsidR="00355D7D">
        <w:rPr>
          <w:szCs w:val="24"/>
          <w:u w:val="single"/>
        </w:rPr>
        <w:t xml:space="preserve"> (See 12.</w:t>
      </w:r>
      <w:r w:rsidR="005E2F4B">
        <w:rPr>
          <w:szCs w:val="24"/>
          <w:u w:val="single"/>
        </w:rPr>
        <w:t>r</w:t>
      </w:r>
      <w:r w:rsidR="00160E36">
        <w:rPr>
          <w:szCs w:val="24"/>
          <w:u w:val="single"/>
        </w:rPr>
        <w:t>)</w:t>
      </w:r>
      <w:r w:rsidR="00DE165B" w:rsidRPr="00D36895">
        <w:rPr>
          <w:szCs w:val="24"/>
        </w:rPr>
        <w:t>:</w:t>
      </w:r>
      <w:r w:rsidR="00664A20" w:rsidRPr="00D36895">
        <w:rPr>
          <w:szCs w:val="24"/>
        </w:rPr>
        <w:t xml:space="preserve"> </w:t>
      </w:r>
    </w:p>
    <w:p w14:paraId="2F1B7B57" w14:textId="77777777" w:rsidR="00DE165B" w:rsidRPr="004B2CDE" w:rsidRDefault="00DE165B" w:rsidP="00C01756">
      <w:pPr>
        <w:ind w:left="360"/>
        <w:rPr>
          <w:b/>
          <w:szCs w:val="24"/>
          <w:u w:val="single"/>
        </w:rPr>
      </w:pPr>
      <w:r w:rsidRPr="004B2CDE">
        <w:rPr>
          <w:b/>
          <w:szCs w:val="24"/>
          <w:u w:val="single"/>
        </w:rPr>
        <w:t xml:space="preserve"> </w:t>
      </w:r>
    </w:p>
    <w:p w14:paraId="2F1B7B58" w14:textId="77777777" w:rsidR="00DE165B" w:rsidRPr="00165F1C" w:rsidRDefault="00DE165B" w:rsidP="00C01756">
      <w:pPr>
        <w:ind w:left="360" w:hanging="360"/>
        <w:rPr>
          <w:szCs w:val="24"/>
        </w:rPr>
      </w:pPr>
      <w:r w:rsidRPr="004217E0">
        <w:rPr>
          <w:szCs w:val="24"/>
        </w:rPr>
        <w:tab/>
        <w:t>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w:t>
      </w:r>
      <w:r w:rsidRPr="00351E83">
        <w:rPr>
          <w:szCs w:val="24"/>
        </w:rPr>
        <w:t xml:space="preserve">ith section 254(e).  Accordingly, the Commission requires states that wish to receive federal universal service high-cost support for carriers within their boundaries (or ETCs where the state lacks jurisdiction over ETCs) to file a certification with the Commission and </w:t>
      </w:r>
      <w:r w:rsidR="00B918D6" w:rsidRPr="00351E83">
        <w:rPr>
          <w:szCs w:val="24"/>
        </w:rPr>
        <w:t xml:space="preserve">USAC </w:t>
      </w:r>
      <w:r w:rsidRPr="00B12B89">
        <w:rPr>
          <w:szCs w:val="24"/>
        </w:rPr>
        <w:t>stating that all federal high-cost funds flowing to carriers in that state has been and will be used in a manner consistent with section 254(e).  A</w:t>
      </w:r>
      <w:r w:rsidRPr="00640C51">
        <w:rPr>
          <w:szCs w:val="24"/>
        </w:rPr>
        <w:t xml:space="preserve">bsent such certification, carriers will not receive such support.  </w:t>
      </w:r>
      <w:r w:rsidRPr="00640C51">
        <w:rPr>
          <w:i/>
          <w:szCs w:val="24"/>
        </w:rPr>
        <w:t>See</w:t>
      </w:r>
      <w:r w:rsidRPr="00640C51">
        <w:rPr>
          <w:szCs w:val="24"/>
        </w:rPr>
        <w:t xml:space="preserve"> 47 C</w:t>
      </w:r>
      <w:r w:rsidR="00664A20" w:rsidRPr="00640C51">
        <w:rPr>
          <w:szCs w:val="24"/>
        </w:rPr>
        <w:t>.</w:t>
      </w:r>
      <w:r w:rsidRPr="00640C51">
        <w:rPr>
          <w:szCs w:val="24"/>
        </w:rPr>
        <w:t>F</w:t>
      </w:r>
      <w:r w:rsidR="00664A20" w:rsidRPr="00165F1C">
        <w:rPr>
          <w:szCs w:val="24"/>
        </w:rPr>
        <w:t>.</w:t>
      </w:r>
      <w:r w:rsidRPr="00165F1C">
        <w:rPr>
          <w:szCs w:val="24"/>
        </w:rPr>
        <w:t>R</w:t>
      </w:r>
      <w:r w:rsidR="00664A20" w:rsidRPr="00165F1C">
        <w:rPr>
          <w:szCs w:val="24"/>
        </w:rPr>
        <w:t>.</w:t>
      </w:r>
      <w:r w:rsidRPr="00165F1C">
        <w:rPr>
          <w:szCs w:val="24"/>
        </w:rPr>
        <w:t xml:space="preserve"> § 54.314.</w:t>
      </w:r>
    </w:p>
    <w:p w14:paraId="2F1B7B59" w14:textId="77777777" w:rsidR="00DE165B" w:rsidRPr="00165F1C" w:rsidRDefault="00DE165B" w:rsidP="00C01756">
      <w:pPr>
        <w:ind w:left="360" w:hanging="360"/>
        <w:rPr>
          <w:szCs w:val="24"/>
        </w:rPr>
      </w:pPr>
    </w:p>
    <w:p w14:paraId="2F1B7B5A" w14:textId="77777777" w:rsidR="00DE165B" w:rsidRPr="003E26A9" w:rsidRDefault="00DE165B" w:rsidP="006B19D7">
      <w:pPr>
        <w:ind w:left="360" w:hanging="360"/>
        <w:rPr>
          <w:szCs w:val="24"/>
        </w:rPr>
      </w:pPr>
      <w:r w:rsidRPr="009B1994">
        <w:rPr>
          <w:szCs w:val="24"/>
        </w:rPr>
        <w:tab/>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rPr>
          <w:szCs w:val="24"/>
        </w:rPr>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36895">
        <w:rPr>
          <w:i/>
          <w:szCs w:val="24"/>
        </w:rPr>
        <w:t>See</w:t>
      </w:r>
      <w:r w:rsidRPr="00D36895">
        <w:rPr>
          <w:szCs w:val="24"/>
        </w:rPr>
        <w:t xml:space="preserve"> 47 C</w:t>
      </w:r>
      <w:r w:rsidR="00664A20" w:rsidRPr="00D36895">
        <w:rPr>
          <w:szCs w:val="24"/>
        </w:rPr>
        <w:t>.</w:t>
      </w:r>
      <w:r w:rsidRPr="00D36895">
        <w:rPr>
          <w:szCs w:val="24"/>
        </w:rPr>
        <w:t>F</w:t>
      </w:r>
      <w:r w:rsidR="00664A20" w:rsidRPr="00D36895">
        <w:rPr>
          <w:szCs w:val="24"/>
        </w:rPr>
        <w:t>.</w:t>
      </w:r>
      <w:r w:rsidRPr="00D36895">
        <w:rPr>
          <w:szCs w:val="24"/>
        </w:rPr>
        <w:t>R</w:t>
      </w:r>
      <w:r w:rsidR="00664A20" w:rsidRPr="00CC03B8">
        <w:rPr>
          <w:szCs w:val="24"/>
        </w:rPr>
        <w:t>.</w:t>
      </w:r>
      <w:r w:rsidRPr="003E26A9">
        <w:rPr>
          <w:szCs w:val="24"/>
        </w:rPr>
        <w:t xml:space="preserve"> § 54.314.</w:t>
      </w:r>
    </w:p>
    <w:p w14:paraId="2F1B7B5B" w14:textId="77777777" w:rsidR="00DE165B" w:rsidRPr="003E26A9" w:rsidRDefault="00DE165B" w:rsidP="006B19D7">
      <w:pPr>
        <w:ind w:left="360" w:hanging="360"/>
        <w:rPr>
          <w:szCs w:val="24"/>
        </w:rPr>
      </w:pPr>
    </w:p>
    <w:p w14:paraId="2F1B7B5C" w14:textId="552E4D5A" w:rsidR="00DE165B" w:rsidRPr="003E26A9" w:rsidRDefault="00C26C6F" w:rsidP="00AC0977">
      <w:pPr>
        <w:widowControl w:val="0"/>
        <w:numPr>
          <w:ilvl w:val="0"/>
          <w:numId w:val="7"/>
        </w:numPr>
        <w:tabs>
          <w:tab w:val="left" w:pos="0"/>
        </w:tabs>
        <w:suppressAutoHyphens/>
        <w:rPr>
          <w:szCs w:val="24"/>
          <w:u w:val="single"/>
        </w:rPr>
      </w:pPr>
      <w:r w:rsidRPr="004026BA">
        <w:rPr>
          <w:szCs w:val="24"/>
        </w:rPr>
        <w:t xml:space="preserve"> </w:t>
      </w:r>
      <w:r w:rsidR="00DE165B" w:rsidRPr="003E26A9">
        <w:rPr>
          <w:szCs w:val="24"/>
          <w:u w:val="single"/>
        </w:rPr>
        <w:t>Support in Competitive Study Areas</w:t>
      </w:r>
      <w:r w:rsidR="00160E36">
        <w:rPr>
          <w:szCs w:val="24"/>
          <w:u w:val="single"/>
        </w:rPr>
        <w:t xml:space="preserve"> (See 12.</w:t>
      </w:r>
      <w:r w:rsidR="005E2F4B">
        <w:rPr>
          <w:szCs w:val="24"/>
          <w:u w:val="single"/>
        </w:rPr>
        <w:t>s</w:t>
      </w:r>
      <w:r w:rsidR="00160E36">
        <w:rPr>
          <w:szCs w:val="24"/>
          <w:u w:val="single"/>
        </w:rPr>
        <w:t>)</w:t>
      </w:r>
      <w:r w:rsidR="00DE165B" w:rsidRPr="003E26A9">
        <w:rPr>
          <w:szCs w:val="24"/>
        </w:rPr>
        <w:t>:</w:t>
      </w:r>
    </w:p>
    <w:p w14:paraId="2F1B7B5D" w14:textId="77777777" w:rsidR="00DE165B" w:rsidRPr="003E26A9" w:rsidRDefault="00DE165B" w:rsidP="000C6116">
      <w:pPr>
        <w:ind w:left="360" w:hanging="360"/>
        <w:rPr>
          <w:szCs w:val="24"/>
        </w:rPr>
      </w:pPr>
    </w:p>
    <w:p w14:paraId="40CFAF9B" w14:textId="6058A031" w:rsidR="00AB6F6E" w:rsidRPr="003E26A9" w:rsidRDefault="00DE165B" w:rsidP="002B2F68">
      <w:pPr>
        <w:ind w:left="360" w:hanging="360"/>
        <w:rPr>
          <w:szCs w:val="24"/>
        </w:rPr>
      </w:pPr>
      <w:r w:rsidRPr="003E26A9">
        <w:rPr>
          <w:szCs w:val="24"/>
        </w:rPr>
        <w:tab/>
        <w:t>Rural carriers and competitive ETCs</w:t>
      </w:r>
      <w:r w:rsidR="006D52AE">
        <w:rPr>
          <w:szCs w:val="24"/>
        </w:rPr>
        <w:t>, except Alaska Plan participants,</w:t>
      </w:r>
      <w:r w:rsidRPr="003E26A9">
        <w:rPr>
          <w:szCs w:val="24"/>
        </w:rPr>
        <w:t xml:space="preserve">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line counts (collected on FCC Form 525) are used to calculate their total support.</w:t>
      </w:r>
      <w:r w:rsidR="00AB6F6E">
        <w:rPr>
          <w:szCs w:val="24"/>
        </w:rPr>
        <w:t xml:space="preserve">  </w:t>
      </w:r>
      <w:r w:rsidR="00AB6F6E" w:rsidRPr="00DF7CA5">
        <w:rPr>
          <w:i/>
          <w:szCs w:val="24"/>
        </w:rPr>
        <w:t xml:space="preserve">See </w:t>
      </w:r>
      <w:r w:rsidR="00AB6F6E" w:rsidRPr="00DF7CA5">
        <w:rPr>
          <w:szCs w:val="24"/>
        </w:rPr>
        <w:t>47 C.F.R. §§ 54.</w:t>
      </w:r>
      <w:r w:rsidR="00AB6F6E">
        <w:rPr>
          <w:szCs w:val="24"/>
        </w:rPr>
        <w:t>317(d).</w:t>
      </w:r>
    </w:p>
    <w:p w14:paraId="2F1B7B5F" w14:textId="77777777" w:rsidR="00DE165B" w:rsidRPr="003E26A9" w:rsidRDefault="00DE165B" w:rsidP="004B2CDE">
      <w:pPr>
        <w:rPr>
          <w:szCs w:val="24"/>
        </w:rPr>
      </w:pPr>
    </w:p>
    <w:p w14:paraId="2F1B7B60" w14:textId="303C15D5" w:rsidR="00DE165B" w:rsidRPr="003E26A9" w:rsidRDefault="00C26C6F" w:rsidP="00AC0977">
      <w:pPr>
        <w:widowControl w:val="0"/>
        <w:numPr>
          <w:ilvl w:val="0"/>
          <w:numId w:val="7"/>
        </w:numPr>
        <w:tabs>
          <w:tab w:val="left" w:pos="0"/>
        </w:tabs>
        <w:suppressAutoHyphens/>
        <w:rPr>
          <w:szCs w:val="24"/>
        </w:rPr>
      </w:pPr>
      <w:r w:rsidRPr="004026BA">
        <w:rPr>
          <w:szCs w:val="24"/>
        </w:rPr>
        <w:t xml:space="preserve"> </w:t>
      </w:r>
      <w:r w:rsidR="00DE165B" w:rsidRPr="003E26A9">
        <w:rPr>
          <w:szCs w:val="24"/>
          <w:u w:val="single"/>
        </w:rPr>
        <w:t>Safety Valve</w:t>
      </w:r>
      <w:r w:rsidR="00160E36">
        <w:rPr>
          <w:szCs w:val="24"/>
          <w:u w:val="single"/>
        </w:rPr>
        <w:t xml:space="preserve"> (See 12.</w:t>
      </w:r>
      <w:r w:rsidR="005E2F4B">
        <w:rPr>
          <w:szCs w:val="24"/>
          <w:u w:val="single"/>
        </w:rPr>
        <w:t>t</w:t>
      </w:r>
      <w:r w:rsidR="007E3AA8">
        <w:rPr>
          <w:szCs w:val="24"/>
          <w:u w:val="single"/>
        </w:rPr>
        <w:t>)</w:t>
      </w:r>
      <w:r w:rsidR="00DE165B" w:rsidRPr="003E26A9">
        <w:rPr>
          <w:szCs w:val="24"/>
        </w:rPr>
        <w:t xml:space="preserve">: </w:t>
      </w:r>
    </w:p>
    <w:p w14:paraId="2F1B7B61" w14:textId="77777777" w:rsidR="00DE165B" w:rsidRPr="004B2CDE" w:rsidRDefault="00DE165B" w:rsidP="00351E83">
      <w:pPr>
        <w:ind w:left="360" w:hanging="360"/>
        <w:rPr>
          <w:b/>
          <w:szCs w:val="24"/>
          <w:u w:val="single"/>
        </w:rPr>
      </w:pPr>
    </w:p>
    <w:p w14:paraId="2F1B7B68" w14:textId="21C5A973" w:rsidR="000C76C8" w:rsidRPr="0040798A" w:rsidRDefault="00DE165B" w:rsidP="0040798A">
      <w:pPr>
        <w:ind w:left="360" w:hanging="360"/>
        <w:rPr>
          <w:szCs w:val="24"/>
        </w:rPr>
      </w:pPr>
      <w:r w:rsidRPr="004217E0">
        <w:rPr>
          <w:szCs w:val="24"/>
        </w:rPr>
        <w:tab/>
        <w:t xml:space="preserve">The “safety valve” mechanism enables rural carriers acquiring access lines to receive additional support over a period of five years to reflect post-transaction investment made by the acquiring carrier.  Once relevant regulatory approvals are obtained and </w:t>
      </w:r>
      <w:r w:rsidRPr="00351E83">
        <w:rPr>
          <w:szCs w:val="24"/>
        </w:rPr>
        <w:t>the transaction is closed, the rural carrier must provide written notice to USAC that they have acquired access lines that may become eligible for safety valve support and identify when the index year for determining eligibility began.  See 47 C</w:t>
      </w:r>
      <w:r w:rsidR="00C255FA" w:rsidRPr="00351E83">
        <w:rPr>
          <w:szCs w:val="24"/>
        </w:rPr>
        <w:t>.</w:t>
      </w:r>
      <w:r w:rsidRPr="00B12B89">
        <w:rPr>
          <w:szCs w:val="24"/>
        </w:rPr>
        <w:t>F</w:t>
      </w:r>
      <w:r w:rsidR="00C255FA" w:rsidRPr="00640C51">
        <w:rPr>
          <w:szCs w:val="24"/>
        </w:rPr>
        <w:t>.</w:t>
      </w:r>
      <w:r w:rsidRPr="00640C51">
        <w:rPr>
          <w:szCs w:val="24"/>
        </w:rPr>
        <w:t>R</w:t>
      </w:r>
      <w:r w:rsidR="00C255FA" w:rsidRPr="00640C51">
        <w:rPr>
          <w:szCs w:val="24"/>
        </w:rPr>
        <w:t>.</w:t>
      </w:r>
      <w:r w:rsidRPr="00640C51">
        <w:rPr>
          <w:szCs w:val="24"/>
        </w:rPr>
        <w:t xml:space="preserve"> § 54.305(f).</w:t>
      </w:r>
    </w:p>
    <w:p w14:paraId="2F1B7B6B" w14:textId="77777777" w:rsidR="001204A6" w:rsidRPr="0046233F" w:rsidRDefault="001204A6" w:rsidP="0046233F">
      <w:pPr>
        <w:ind w:left="360"/>
        <w:rPr>
          <w:b/>
          <w:u w:val="single"/>
        </w:rPr>
      </w:pPr>
    </w:p>
    <w:p w14:paraId="2F1B7B6C" w14:textId="42C9C2CE" w:rsidR="00DE165B" w:rsidRPr="00351E83" w:rsidRDefault="00C26C6F" w:rsidP="00AC0977">
      <w:pPr>
        <w:widowControl w:val="0"/>
        <w:numPr>
          <w:ilvl w:val="0"/>
          <w:numId w:val="7"/>
        </w:numPr>
        <w:tabs>
          <w:tab w:val="left" w:pos="0"/>
        </w:tabs>
        <w:suppressAutoHyphens/>
        <w:rPr>
          <w:szCs w:val="24"/>
        </w:rPr>
      </w:pPr>
      <w:r w:rsidRPr="004026BA">
        <w:rPr>
          <w:szCs w:val="24"/>
        </w:rPr>
        <w:t xml:space="preserve"> </w:t>
      </w:r>
      <w:r w:rsidR="00DE165B" w:rsidRPr="004217E0">
        <w:rPr>
          <w:szCs w:val="24"/>
          <w:u w:val="single"/>
        </w:rPr>
        <w:t>Local End User Rates and State Regulated Fees</w:t>
      </w:r>
      <w:r w:rsidR="00355D7D">
        <w:rPr>
          <w:szCs w:val="24"/>
          <w:u w:val="single"/>
        </w:rPr>
        <w:t xml:space="preserve"> (See 12.</w:t>
      </w:r>
      <w:r w:rsidR="005E2F4B">
        <w:rPr>
          <w:szCs w:val="24"/>
          <w:u w:val="single"/>
        </w:rPr>
        <w:t>u)</w:t>
      </w:r>
      <w:r w:rsidR="00DE165B" w:rsidRPr="00351E83">
        <w:rPr>
          <w:szCs w:val="24"/>
        </w:rPr>
        <w:t>:</w:t>
      </w:r>
    </w:p>
    <w:p w14:paraId="2F1B7B6D" w14:textId="77777777" w:rsidR="00DE165B" w:rsidRPr="004B2CDE" w:rsidRDefault="00DE165B" w:rsidP="000F124A">
      <w:pPr>
        <w:ind w:left="360"/>
        <w:rPr>
          <w:b/>
          <w:szCs w:val="24"/>
          <w:u w:val="single"/>
        </w:rPr>
      </w:pPr>
    </w:p>
    <w:p w14:paraId="2F1B7B6E" w14:textId="77777777" w:rsidR="000C76C8" w:rsidRPr="004B2CDE" w:rsidRDefault="00DE165B" w:rsidP="000F124A">
      <w:pPr>
        <w:ind w:left="360"/>
        <w:rPr>
          <w:b/>
          <w:szCs w:val="24"/>
          <w:u w:val="single"/>
        </w:rPr>
      </w:pPr>
      <w:r w:rsidRPr="004217E0">
        <w:rPr>
          <w:color w:val="000000"/>
          <w:szCs w:val="24"/>
        </w:rPr>
        <w:t xml:space="preserve">The Commission requires carriers receiving high-cost loop support or Connect America Phase I support to report, on an annual basis, the local end user rates that fall below a specified urban rate floor and the number of lines associated with each rate.  </w:t>
      </w:r>
      <w:r w:rsidRPr="00351E83">
        <w:rPr>
          <w:i/>
          <w:szCs w:val="24"/>
        </w:rPr>
        <w:t>See</w:t>
      </w:r>
      <w:r w:rsidRPr="00351E83">
        <w:rPr>
          <w:szCs w:val="24"/>
        </w:rPr>
        <w:t xml:space="preserve"> 47 C</w:t>
      </w:r>
      <w:r w:rsidR="00C255FA" w:rsidRPr="00351E83">
        <w:rPr>
          <w:szCs w:val="24"/>
        </w:rPr>
        <w:t>.</w:t>
      </w:r>
      <w:r w:rsidRPr="00351E83">
        <w:rPr>
          <w:szCs w:val="24"/>
        </w:rPr>
        <w:t>F</w:t>
      </w:r>
      <w:r w:rsidR="00C255FA" w:rsidRPr="00351E83">
        <w:rPr>
          <w:szCs w:val="24"/>
        </w:rPr>
        <w:t>.</w:t>
      </w:r>
      <w:r w:rsidRPr="00351E83">
        <w:rPr>
          <w:szCs w:val="24"/>
        </w:rPr>
        <w:t>R</w:t>
      </w:r>
      <w:r w:rsidR="00C255FA" w:rsidRPr="00B12B89">
        <w:rPr>
          <w:szCs w:val="24"/>
        </w:rPr>
        <w:t>.</w:t>
      </w:r>
      <w:r w:rsidRPr="00640C51">
        <w:rPr>
          <w:szCs w:val="24"/>
        </w:rPr>
        <w:t xml:space="preserve"> § 54.313(h).  This permits USAC to </w:t>
      </w:r>
      <w:r w:rsidRPr="00165F1C">
        <w:rPr>
          <w:color w:val="000000"/>
          <w:szCs w:val="24"/>
        </w:rPr>
        <w:t xml:space="preserve">calculate reductions in support.  Carriers </w:t>
      </w:r>
      <w:r w:rsidR="00E47045" w:rsidRPr="00165F1C">
        <w:rPr>
          <w:color w:val="000000"/>
          <w:szCs w:val="24"/>
        </w:rPr>
        <w:t>are</w:t>
      </w:r>
      <w:r w:rsidRPr="00165F1C">
        <w:rPr>
          <w:color w:val="000000"/>
          <w:szCs w:val="24"/>
        </w:rPr>
        <w:t xml:space="preserve"> expected to provide local end user rate and state fee information in electronic form</w:t>
      </w:r>
      <w:r w:rsidR="000C76C8" w:rsidRPr="00165F1C">
        <w:rPr>
          <w:color w:val="000000"/>
          <w:szCs w:val="24"/>
        </w:rPr>
        <w:t>.</w:t>
      </w:r>
    </w:p>
    <w:p w14:paraId="2F1B7B6F" w14:textId="77777777" w:rsidR="00DE165B" w:rsidRPr="004B2CDE" w:rsidRDefault="00DE165B" w:rsidP="000F124A">
      <w:pPr>
        <w:ind w:left="360"/>
        <w:rPr>
          <w:b/>
          <w:szCs w:val="24"/>
          <w:u w:val="single"/>
        </w:rPr>
      </w:pPr>
    </w:p>
    <w:p w14:paraId="2F1B7B70" w14:textId="504F8E82" w:rsidR="00DE165B" w:rsidRPr="00351E83" w:rsidRDefault="00C26C6F" w:rsidP="00AC0977">
      <w:pPr>
        <w:widowControl w:val="0"/>
        <w:numPr>
          <w:ilvl w:val="0"/>
          <w:numId w:val="7"/>
        </w:numPr>
        <w:tabs>
          <w:tab w:val="left" w:pos="0"/>
        </w:tabs>
        <w:suppressAutoHyphens/>
        <w:rPr>
          <w:szCs w:val="24"/>
        </w:rPr>
      </w:pPr>
      <w:r w:rsidRPr="004026BA">
        <w:rPr>
          <w:szCs w:val="24"/>
        </w:rPr>
        <w:t xml:space="preserve"> </w:t>
      </w:r>
      <w:r w:rsidR="00DE165B" w:rsidRPr="004217E0">
        <w:rPr>
          <w:szCs w:val="24"/>
          <w:u w:val="single"/>
        </w:rPr>
        <w:t>Recordkeeping Requirement</w:t>
      </w:r>
      <w:r w:rsidR="00FB75F7">
        <w:rPr>
          <w:szCs w:val="24"/>
          <w:u w:val="single"/>
        </w:rPr>
        <w:t xml:space="preserve"> (See 12.</w:t>
      </w:r>
      <w:r w:rsidR="005E2F4B">
        <w:rPr>
          <w:szCs w:val="24"/>
          <w:u w:val="single"/>
        </w:rPr>
        <w:t>v)</w:t>
      </w:r>
      <w:r w:rsidR="00DE165B" w:rsidRPr="00351E83">
        <w:rPr>
          <w:szCs w:val="24"/>
        </w:rPr>
        <w:t>:</w:t>
      </w:r>
    </w:p>
    <w:p w14:paraId="2F1B7B71" w14:textId="77777777" w:rsidR="00DE165B" w:rsidRPr="00351E83" w:rsidRDefault="00DE165B" w:rsidP="00C01756">
      <w:pPr>
        <w:ind w:left="360"/>
        <w:rPr>
          <w:szCs w:val="24"/>
          <w:u w:val="single"/>
        </w:rPr>
      </w:pPr>
    </w:p>
    <w:p w14:paraId="2F1B7B72" w14:textId="7BE470A0" w:rsidR="00DE165B" w:rsidRDefault="00DE165B" w:rsidP="00C01756">
      <w:pPr>
        <w:ind w:left="360"/>
        <w:rPr>
          <w:szCs w:val="24"/>
        </w:rPr>
      </w:pPr>
      <w:r w:rsidRPr="00351E83">
        <w:rPr>
          <w:szCs w:val="24"/>
        </w:rPr>
        <w:t>Carriers receiving high-cost or Connect America Fund support are</w:t>
      </w:r>
      <w:r w:rsidRPr="00B12B89">
        <w:rPr>
          <w:szCs w:val="24"/>
        </w:rPr>
        <w:t xml:space="preserve"> subject to random compliance audits and other investigations to ensure compliance with program rules and orders, and carriers must retain records required to demonstrate to auditors that the support received was consistent with the universal service high-</w:t>
      </w:r>
      <w:r w:rsidRPr="00640C51">
        <w:rPr>
          <w:szCs w:val="24"/>
        </w:rPr>
        <w:t xml:space="preserve">cost program rules.  The document retention period is ten years.  The carriers must make these documents and records available to the Commission, any of its Bureaus or Offices, </w:t>
      </w:r>
      <w:r w:rsidR="009611EF" w:rsidRPr="00640C51">
        <w:rPr>
          <w:szCs w:val="24"/>
        </w:rPr>
        <w:t>USAC</w:t>
      </w:r>
      <w:r w:rsidRPr="00640C51">
        <w:rPr>
          <w:szCs w:val="24"/>
        </w:rPr>
        <w:t xml:space="preserve">, and to their respective auditors.  </w:t>
      </w:r>
      <w:r w:rsidRPr="00165F1C">
        <w:rPr>
          <w:i/>
          <w:szCs w:val="24"/>
        </w:rPr>
        <w:t>See</w:t>
      </w:r>
      <w:r w:rsidRPr="00165F1C">
        <w:rPr>
          <w:szCs w:val="24"/>
        </w:rPr>
        <w:t xml:space="preserve"> 47 C</w:t>
      </w:r>
      <w:r w:rsidR="00C255FA" w:rsidRPr="00165F1C">
        <w:rPr>
          <w:szCs w:val="24"/>
        </w:rPr>
        <w:t>.</w:t>
      </w:r>
      <w:r w:rsidRPr="00165F1C">
        <w:rPr>
          <w:szCs w:val="24"/>
        </w:rPr>
        <w:t>F</w:t>
      </w:r>
      <w:r w:rsidR="00C255FA" w:rsidRPr="00165F1C">
        <w:rPr>
          <w:szCs w:val="24"/>
        </w:rPr>
        <w:t>.</w:t>
      </w:r>
      <w:r w:rsidRPr="009B1994">
        <w:rPr>
          <w:szCs w:val="24"/>
        </w:rPr>
        <w:t>R</w:t>
      </w:r>
      <w:r w:rsidR="00C255FA" w:rsidRPr="009B1994">
        <w:rPr>
          <w:szCs w:val="24"/>
        </w:rPr>
        <w:t>.</w:t>
      </w:r>
      <w:r w:rsidRPr="00D36895">
        <w:rPr>
          <w:szCs w:val="24"/>
        </w:rPr>
        <w:t xml:space="preserve"> § 54.320(b).</w:t>
      </w:r>
    </w:p>
    <w:p w14:paraId="65CE6B32" w14:textId="34250DC9" w:rsidR="008140B2" w:rsidRPr="003E26A9" w:rsidRDefault="008140B2" w:rsidP="00EA663F">
      <w:pPr>
        <w:rPr>
          <w:color w:val="000000"/>
          <w:szCs w:val="24"/>
        </w:rPr>
      </w:pPr>
    </w:p>
    <w:p w14:paraId="2F1B7BB4" w14:textId="77777777" w:rsidR="003F3EF5" w:rsidRPr="003E26A9" w:rsidRDefault="003F3EF5" w:rsidP="006B19D7">
      <w:pPr>
        <w:ind w:left="360"/>
        <w:rPr>
          <w:szCs w:val="24"/>
        </w:rPr>
      </w:pPr>
      <w:r w:rsidRPr="003E26A9">
        <w:rPr>
          <w:szCs w:val="24"/>
        </w:rPr>
        <w:t>Statutory authority for this information collection is contained in 47 U.S.C. sections 151-154, 155, 201-206, 214, 218-220, 251, 252, 254, 256, 303(r), 332, 403, 405, 410, and 1302.</w:t>
      </w:r>
    </w:p>
    <w:p w14:paraId="2F1B7BB5" w14:textId="77777777" w:rsidR="003F3EF5" w:rsidRPr="003E26A9" w:rsidRDefault="003F3EF5" w:rsidP="000C6116">
      <w:pPr>
        <w:ind w:left="360"/>
        <w:rPr>
          <w:szCs w:val="24"/>
        </w:rPr>
      </w:pPr>
    </w:p>
    <w:p w14:paraId="2F1B7BB7" w14:textId="219B96E7" w:rsidR="003F3EF5" w:rsidRPr="00C4507E" w:rsidRDefault="003F3EF5" w:rsidP="00C4507E">
      <w:pPr>
        <w:ind w:left="360"/>
        <w:rPr>
          <w:szCs w:val="24"/>
        </w:rPr>
      </w:pPr>
      <w:r w:rsidRPr="003E26A9">
        <w:rPr>
          <w:szCs w:val="24"/>
        </w:rPr>
        <w:t xml:space="preserve">This information collection does not affect individuals or households; thus, there are no impacts under the Privacy Act.   </w:t>
      </w:r>
    </w:p>
    <w:p w14:paraId="2F1B7BB8" w14:textId="77777777" w:rsidR="00064CB4" w:rsidRPr="00AC27FF" w:rsidRDefault="00064CB4" w:rsidP="000A4532">
      <w:pPr>
        <w:ind w:left="360"/>
        <w:rPr>
          <w:szCs w:val="24"/>
        </w:rPr>
      </w:pPr>
    </w:p>
    <w:p w14:paraId="2F1B7BB9" w14:textId="60D6BD1C" w:rsidR="00DE165B" w:rsidRPr="00AC27FF" w:rsidRDefault="00DE165B">
      <w:pPr>
        <w:ind w:left="360" w:hanging="360"/>
        <w:rPr>
          <w:szCs w:val="24"/>
        </w:rPr>
      </w:pPr>
      <w:r w:rsidRPr="00AC27FF">
        <w:rPr>
          <w:szCs w:val="24"/>
        </w:rPr>
        <w:t xml:space="preserve">2.  </w:t>
      </w:r>
      <w:r w:rsidRPr="00AC27FF">
        <w:rPr>
          <w:i/>
          <w:szCs w:val="24"/>
        </w:rPr>
        <w:t xml:space="preserve">Use of information. </w:t>
      </w:r>
      <w:r w:rsidRPr="00AC27FF">
        <w:rPr>
          <w:szCs w:val="24"/>
        </w:rPr>
        <w:t xml:space="preserve">The Commission will use the information requirements to determine </w:t>
      </w:r>
      <w:r w:rsidR="00335AA2">
        <w:rPr>
          <w:szCs w:val="24"/>
        </w:rPr>
        <w:t>eligibility for high-cost universal service support</w:t>
      </w:r>
      <w:r w:rsidRPr="00AC27FF">
        <w:rPr>
          <w:szCs w:val="24"/>
        </w:rPr>
        <w:t>.</w:t>
      </w:r>
      <w:r w:rsidR="00ED570C" w:rsidRPr="00AC27FF">
        <w:rPr>
          <w:szCs w:val="24"/>
        </w:rPr>
        <w:t xml:space="preserve">  The Commission will also use the information collections to conduct oversight and ensure that Connect America funds are spent in accordance with the rules of the program.</w:t>
      </w:r>
    </w:p>
    <w:p w14:paraId="2F1B7BBA" w14:textId="77777777" w:rsidR="00DE165B" w:rsidRPr="00AC27FF" w:rsidRDefault="00DE165B">
      <w:pPr>
        <w:ind w:left="360" w:hanging="360"/>
        <w:rPr>
          <w:szCs w:val="24"/>
        </w:rPr>
      </w:pPr>
    </w:p>
    <w:p w14:paraId="2F1B7BBB" w14:textId="77777777" w:rsidR="00DE165B" w:rsidRPr="00AC27FF" w:rsidRDefault="00DE165B">
      <w:pPr>
        <w:ind w:left="360" w:hanging="360"/>
        <w:rPr>
          <w:szCs w:val="24"/>
        </w:rPr>
      </w:pPr>
      <w:r w:rsidRPr="00AC27FF">
        <w:rPr>
          <w:szCs w:val="24"/>
        </w:rPr>
        <w:t xml:space="preserve">3.  </w:t>
      </w:r>
      <w:r w:rsidRPr="00AC27FF">
        <w:rPr>
          <w:i/>
          <w:szCs w:val="24"/>
        </w:rPr>
        <w:t xml:space="preserve">Technological collection techniques.  </w:t>
      </w:r>
      <w:r w:rsidRPr="00AC27FF">
        <w:rPr>
          <w:szCs w:val="24"/>
        </w:rPr>
        <w:t>In an effort to reduce any burden created by these information collection requirements, the Commission shall permit all respondents to file responses using automated, electronic, mechanical or other technological collection techniques where feasible.</w:t>
      </w:r>
      <w:r w:rsidR="00AA39DC" w:rsidRPr="00AC27FF">
        <w:rPr>
          <w:szCs w:val="24"/>
        </w:rPr>
        <w:t xml:space="preserve">  Respondents must file Form 481 online through USAC’s “E-File” portal at </w:t>
      </w:r>
      <w:hyperlink r:id="rId9" w:history="1">
        <w:r w:rsidR="00AA39DC" w:rsidRPr="00AC27FF">
          <w:rPr>
            <w:rStyle w:val="Hyperlink"/>
            <w:szCs w:val="24"/>
          </w:rPr>
          <w:t>https://forms.universalservice.org/usaclogin/login.asp</w:t>
        </w:r>
      </w:hyperlink>
      <w:r w:rsidR="00AA39DC" w:rsidRPr="00AC27FF">
        <w:rPr>
          <w:szCs w:val="24"/>
        </w:rPr>
        <w:t>.</w:t>
      </w:r>
    </w:p>
    <w:p w14:paraId="2F1B7BBC" w14:textId="77777777" w:rsidR="00DE165B" w:rsidRPr="00AC27FF" w:rsidRDefault="00DE165B">
      <w:pPr>
        <w:ind w:left="360" w:hanging="360"/>
        <w:rPr>
          <w:szCs w:val="24"/>
        </w:rPr>
      </w:pPr>
    </w:p>
    <w:p w14:paraId="2F1B7BBD" w14:textId="77777777" w:rsidR="00DE165B" w:rsidRPr="00AC27FF" w:rsidRDefault="00DE165B">
      <w:pPr>
        <w:ind w:left="360" w:hanging="360"/>
        <w:rPr>
          <w:szCs w:val="24"/>
        </w:rPr>
      </w:pPr>
      <w:r w:rsidRPr="00AC27FF">
        <w:rPr>
          <w:szCs w:val="24"/>
        </w:rPr>
        <w:t xml:space="preserve">4.  </w:t>
      </w:r>
      <w:r w:rsidRPr="00AC27FF">
        <w:rPr>
          <w:i/>
          <w:szCs w:val="24"/>
        </w:rPr>
        <w:t xml:space="preserve">Efforts to identify duplication.  </w:t>
      </w:r>
      <w:r w:rsidRPr="00AC27FF">
        <w:rPr>
          <w:szCs w:val="24"/>
        </w:rPr>
        <w:t>There will be no duplication of information.  The information sought is unique to each carrier or respondent and similar information is not already available.  The Commission is using already established reporting and recordkeeping requirements to satisfy certain statutory directives and eligibility criteria.</w:t>
      </w:r>
    </w:p>
    <w:p w14:paraId="2F1B7BBE" w14:textId="77777777" w:rsidR="00DE165B" w:rsidRPr="00AC27FF" w:rsidRDefault="00DE165B">
      <w:pPr>
        <w:ind w:left="360" w:hanging="360"/>
        <w:rPr>
          <w:szCs w:val="24"/>
        </w:rPr>
      </w:pPr>
    </w:p>
    <w:p w14:paraId="2F1B7BBF" w14:textId="76E2A808" w:rsidR="00D70492" w:rsidRPr="004A52E3" w:rsidRDefault="00DE165B">
      <w:pPr>
        <w:ind w:left="360" w:hanging="360"/>
        <w:rPr>
          <w:b/>
          <w:szCs w:val="24"/>
        </w:rPr>
      </w:pPr>
      <w:r w:rsidRPr="00AC27FF">
        <w:rPr>
          <w:szCs w:val="24"/>
        </w:rPr>
        <w:t xml:space="preserve">5.  </w:t>
      </w:r>
      <w:r w:rsidRPr="00AC27FF">
        <w:rPr>
          <w:i/>
          <w:szCs w:val="24"/>
        </w:rPr>
        <w:t>Impact on small entities.</w:t>
      </w:r>
      <w:r w:rsidRPr="00AC27FF">
        <w:rPr>
          <w:szCs w:val="24"/>
        </w:rPr>
        <w:t xml:space="preserve">  The collection of information may affect small entities as well as large entities.</w:t>
      </w:r>
      <w:r w:rsidR="00ED570C" w:rsidRPr="00AC27FF">
        <w:rPr>
          <w:szCs w:val="24"/>
        </w:rPr>
        <w:t xml:space="preserve">  </w:t>
      </w:r>
      <w:r w:rsidR="00197BD9">
        <w:rPr>
          <w:szCs w:val="24"/>
        </w:rPr>
        <w:t>The requirements</w:t>
      </w:r>
      <w:r w:rsidR="005440F5">
        <w:rPr>
          <w:szCs w:val="24"/>
        </w:rPr>
        <w:t xml:space="preserve"> in</w:t>
      </w:r>
      <w:r w:rsidR="00197BD9">
        <w:rPr>
          <w:szCs w:val="24"/>
        </w:rPr>
        <w:t xml:space="preserve"> this collection are necessary to ensure compliance with </w:t>
      </w:r>
      <w:r w:rsidR="005304C9">
        <w:rPr>
          <w:szCs w:val="24"/>
        </w:rPr>
        <w:t>high-cost universal service support</w:t>
      </w:r>
      <w:r w:rsidR="00197BD9">
        <w:rPr>
          <w:szCs w:val="24"/>
        </w:rPr>
        <w:t xml:space="preserve"> requirements, and are designed to limit the burden on small entities as much as possible.</w:t>
      </w:r>
      <w:r w:rsidR="00A72944">
        <w:rPr>
          <w:szCs w:val="24"/>
        </w:rPr>
        <w:t xml:space="preserve">  Existing requirements </w:t>
      </w:r>
      <w:r w:rsidR="000D5C35">
        <w:rPr>
          <w:szCs w:val="24"/>
        </w:rPr>
        <w:t xml:space="preserve">that were duplicative or no longer necessary </w:t>
      </w:r>
      <w:r w:rsidR="00A72944">
        <w:rPr>
          <w:szCs w:val="24"/>
        </w:rPr>
        <w:t>have been streamlined to further minimize burdens, particularly for small entities.</w:t>
      </w:r>
    </w:p>
    <w:p w14:paraId="2F1B7BC0" w14:textId="77777777" w:rsidR="00DE165B" w:rsidRPr="00AC27FF" w:rsidRDefault="00D70492">
      <w:pPr>
        <w:ind w:left="360" w:hanging="360"/>
        <w:rPr>
          <w:szCs w:val="24"/>
        </w:rPr>
      </w:pPr>
      <w:r w:rsidRPr="00AC27FF">
        <w:rPr>
          <w:szCs w:val="24"/>
        </w:rPr>
        <w:t xml:space="preserve"> </w:t>
      </w:r>
    </w:p>
    <w:p w14:paraId="2F1B7BC1" w14:textId="5BAD5B0E" w:rsidR="00A717E5" w:rsidRPr="00AC27FF" w:rsidRDefault="00DE165B" w:rsidP="00A717E5">
      <w:pPr>
        <w:ind w:left="360" w:hanging="360"/>
        <w:rPr>
          <w:szCs w:val="24"/>
        </w:rPr>
      </w:pPr>
      <w:r w:rsidRPr="00AC27FF">
        <w:rPr>
          <w:szCs w:val="24"/>
        </w:rPr>
        <w:t xml:space="preserve">6.  </w:t>
      </w:r>
      <w:r w:rsidRPr="00AC27FF">
        <w:rPr>
          <w:i/>
          <w:szCs w:val="24"/>
        </w:rPr>
        <w:t xml:space="preserve">Consequences if information is not collected.  </w:t>
      </w:r>
      <w:r w:rsidRPr="00AC27FF">
        <w:rPr>
          <w:szCs w:val="24"/>
        </w:rPr>
        <w:t>The information collected is used to determine eligibility for high-cost universal service support</w:t>
      </w:r>
      <w:r w:rsidR="005127FE">
        <w:rPr>
          <w:szCs w:val="24"/>
        </w:rPr>
        <w:t xml:space="preserve"> and </w:t>
      </w:r>
      <w:r w:rsidR="00335AA2">
        <w:rPr>
          <w:szCs w:val="24"/>
        </w:rPr>
        <w:t>to conduct oversight and ensure that high-cost universal service support is spent in accordance with the rules of the program</w:t>
      </w:r>
      <w:r w:rsidRPr="00AC27FF">
        <w:rPr>
          <w:szCs w:val="24"/>
        </w:rPr>
        <w:t xml:space="preserve">.  Without the requested information, </w:t>
      </w:r>
      <w:r w:rsidR="005304C9">
        <w:rPr>
          <w:szCs w:val="24"/>
        </w:rPr>
        <w:t xml:space="preserve">the Commission and </w:t>
      </w:r>
      <w:r w:rsidRPr="00AC27FF">
        <w:rPr>
          <w:szCs w:val="24"/>
        </w:rPr>
        <w:t>USAC</w:t>
      </w:r>
      <w:r w:rsidR="005304C9">
        <w:rPr>
          <w:szCs w:val="24"/>
        </w:rPr>
        <w:t xml:space="preserve"> </w:t>
      </w:r>
      <w:r w:rsidRPr="00AC27FF">
        <w:rPr>
          <w:szCs w:val="24"/>
        </w:rPr>
        <w:t>will not be able to determine a carrier’s eligibility</w:t>
      </w:r>
      <w:r w:rsidR="005304C9">
        <w:rPr>
          <w:szCs w:val="24"/>
        </w:rPr>
        <w:t xml:space="preserve"> or </w:t>
      </w:r>
      <w:r w:rsidR="00335AA2">
        <w:rPr>
          <w:szCs w:val="24"/>
        </w:rPr>
        <w:t xml:space="preserve">monitor </w:t>
      </w:r>
      <w:r w:rsidR="0079611C">
        <w:rPr>
          <w:szCs w:val="24"/>
        </w:rPr>
        <w:t>compliance with</w:t>
      </w:r>
      <w:r w:rsidR="005304C9">
        <w:rPr>
          <w:szCs w:val="24"/>
        </w:rPr>
        <w:t xml:space="preserve"> high-cost universal service support</w:t>
      </w:r>
      <w:r w:rsidR="0079611C">
        <w:rPr>
          <w:szCs w:val="24"/>
        </w:rPr>
        <w:t xml:space="preserve"> requirements</w:t>
      </w:r>
      <w:r w:rsidRPr="00AC27FF">
        <w:rPr>
          <w:szCs w:val="24"/>
        </w:rPr>
        <w:t>.  This may result in partial or complete denial of high-cost universal service support for the carrier.</w:t>
      </w:r>
      <w:r w:rsidR="00A717E5" w:rsidRPr="00AC27FF">
        <w:rPr>
          <w:szCs w:val="24"/>
        </w:rPr>
        <w:t xml:space="preserve">  </w:t>
      </w:r>
    </w:p>
    <w:p w14:paraId="2F1B7BC2" w14:textId="77777777" w:rsidR="00DE165B" w:rsidRPr="00AC27FF" w:rsidRDefault="00DE165B">
      <w:pPr>
        <w:ind w:left="360" w:hanging="360"/>
        <w:rPr>
          <w:szCs w:val="24"/>
        </w:rPr>
      </w:pPr>
    </w:p>
    <w:p w14:paraId="2F1B7BC3" w14:textId="77777777" w:rsidR="00DE165B" w:rsidRPr="00AC27FF" w:rsidRDefault="00DE165B">
      <w:pPr>
        <w:ind w:left="360" w:hanging="360"/>
        <w:rPr>
          <w:szCs w:val="24"/>
        </w:rPr>
      </w:pPr>
      <w:r w:rsidRPr="00AC27FF">
        <w:rPr>
          <w:szCs w:val="24"/>
        </w:rPr>
        <w:t xml:space="preserve">7.  </w:t>
      </w:r>
      <w:r w:rsidRPr="00AC27FF">
        <w:rPr>
          <w:i/>
          <w:szCs w:val="24"/>
        </w:rPr>
        <w:t xml:space="preserve">Special circumstances.  </w:t>
      </w:r>
      <w:r w:rsidRPr="00AC27FF">
        <w:rPr>
          <w:szCs w:val="24"/>
        </w:rPr>
        <w:t xml:space="preserve">We do not foresee any special circumstances </w:t>
      </w:r>
      <w:r w:rsidR="00994894">
        <w:rPr>
          <w:szCs w:val="24"/>
        </w:rPr>
        <w:t xml:space="preserve">with this </w:t>
      </w:r>
      <w:r w:rsidRPr="00AC27FF">
        <w:rPr>
          <w:szCs w:val="24"/>
        </w:rPr>
        <w:t>information collection.</w:t>
      </w:r>
    </w:p>
    <w:p w14:paraId="2F1B7BC4" w14:textId="77777777" w:rsidR="00DE165B" w:rsidRPr="00AC27FF" w:rsidRDefault="00DE165B">
      <w:pPr>
        <w:ind w:left="360" w:hanging="360"/>
        <w:rPr>
          <w:szCs w:val="24"/>
        </w:rPr>
      </w:pPr>
    </w:p>
    <w:p w14:paraId="78A2E632" w14:textId="753445E6" w:rsidR="00BF0591" w:rsidRDefault="00DE165B" w:rsidP="000A1DA4">
      <w:pPr>
        <w:tabs>
          <w:tab w:val="num" w:pos="360"/>
        </w:tabs>
        <w:ind w:left="360" w:hanging="360"/>
      </w:pPr>
      <w:r w:rsidRPr="00235CFF">
        <w:rPr>
          <w:szCs w:val="24"/>
        </w:rPr>
        <w:t xml:space="preserve">8.  </w:t>
      </w:r>
      <w:r w:rsidR="00C255FA" w:rsidRPr="00235CFF">
        <w:rPr>
          <w:i/>
          <w:szCs w:val="24"/>
        </w:rPr>
        <w:t>Federal Register notice; efforts to consult with persons outside the Commission.</w:t>
      </w:r>
      <w:r w:rsidR="00C255FA" w:rsidRPr="00235CFF">
        <w:rPr>
          <w:szCs w:val="24"/>
        </w:rPr>
        <w:t xml:space="preserve">  </w:t>
      </w:r>
      <w:r w:rsidR="00A72944" w:rsidRPr="00235CFF">
        <w:rPr>
          <w:color w:val="000000"/>
        </w:rPr>
        <w:t xml:space="preserve">A 60-day notice was </w:t>
      </w:r>
      <w:r w:rsidR="00A72944" w:rsidRPr="00974CC4">
        <w:rPr>
          <w:color w:val="000000"/>
        </w:rPr>
        <w:t xml:space="preserve">also </w:t>
      </w:r>
      <w:r w:rsidR="00A72944" w:rsidRPr="00EE63D8">
        <w:rPr>
          <w:color w:val="000000"/>
        </w:rPr>
        <w:t xml:space="preserve">published in the </w:t>
      </w:r>
      <w:r w:rsidR="00A72944" w:rsidRPr="00EE63D8">
        <w:rPr>
          <w:i/>
          <w:color w:val="000000"/>
        </w:rPr>
        <w:t>Federal Register</w:t>
      </w:r>
      <w:r w:rsidR="00A72944" w:rsidRPr="00EE63D8">
        <w:rPr>
          <w:color w:val="000000"/>
        </w:rPr>
        <w:t xml:space="preserve"> pursuant to 5 C.F.R. § 1320.8(d) on </w:t>
      </w:r>
      <w:r w:rsidR="002154AE">
        <w:rPr>
          <w:color w:val="000000"/>
        </w:rPr>
        <w:t>February 22, 2019</w:t>
      </w:r>
      <w:r w:rsidR="00EE63D8" w:rsidRPr="00AC0977">
        <w:rPr>
          <w:color w:val="000000"/>
        </w:rPr>
        <w:t>.</w:t>
      </w:r>
      <w:r w:rsidR="00A72944" w:rsidRPr="00235CFF">
        <w:rPr>
          <w:color w:val="000000"/>
        </w:rPr>
        <w:t xml:space="preserve"> </w:t>
      </w:r>
      <w:r w:rsidR="00EE63D8" w:rsidRPr="00AC0977">
        <w:rPr>
          <w:color w:val="000000"/>
        </w:rPr>
        <w:t xml:space="preserve"> </w:t>
      </w:r>
      <w:r w:rsidR="00A72944" w:rsidRPr="00235CFF">
        <w:rPr>
          <w:i/>
          <w:color w:val="000000"/>
        </w:rPr>
        <w:t>See</w:t>
      </w:r>
      <w:r w:rsidR="00A72944" w:rsidRPr="00235CFF">
        <w:rPr>
          <w:color w:val="000000"/>
        </w:rPr>
        <w:t xml:space="preserve"> </w:t>
      </w:r>
      <w:r w:rsidR="002154AE">
        <w:rPr>
          <w:color w:val="000000"/>
        </w:rPr>
        <w:t>84</w:t>
      </w:r>
      <w:r w:rsidR="00A95E26" w:rsidRPr="00235CFF">
        <w:rPr>
          <w:color w:val="000000"/>
        </w:rPr>
        <w:t xml:space="preserve"> FR </w:t>
      </w:r>
      <w:r w:rsidR="002154AE">
        <w:rPr>
          <w:color w:val="000000"/>
        </w:rPr>
        <w:t>5082</w:t>
      </w:r>
      <w:r w:rsidR="00A72944" w:rsidRPr="00235CFF">
        <w:rPr>
          <w:color w:val="000000"/>
        </w:rPr>
        <w:t>.</w:t>
      </w:r>
      <w:r w:rsidR="00A72944" w:rsidRPr="00235CFF">
        <w:t xml:space="preserve"> </w:t>
      </w:r>
      <w:r w:rsidR="000A1DA4">
        <w:t xml:space="preserve"> </w:t>
      </w:r>
      <w:r w:rsidR="00A72944" w:rsidRPr="00235CFF">
        <w:t>No comments were received from the public.</w:t>
      </w:r>
    </w:p>
    <w:p w14:paraId="716A8801" w14:textId="77777777" w:rsidR="000A1DA4" w:rsidRPr="00A72944" w:rsidRDefault="000A1DA4" w:rsidP="000A1DA4">
      <w:pPr>
        <w:tabs>
          <w:tab w:val="num" w:pos="360"/>
        </w:tabs>
        <w:ind w:left="360" w:hanging="360"/>
        <w:rPr>
          <w:b/>
          <w:szCs w:val="24"/>
        </w:rPr>
      </w:pPr>
    </w:p>
    <w:p w14:paraId="2F1B7BC9" w14:textId="77777777" w:rsidR="00DE165B" w:rsidRPr="00AC27FF" w:rsidRDefault="00DE165B">
      <w:pPr>
        <w:ind w:left="360" w:hanging="360"/>
        <w:rPr>
          <w:szCs w:val="24"/>
        </w:rPr>
      </w:pPr>
      <w:r w:rsidRPr="00AC27FF">
        <w:rPr>
          <w:szCs w:val="24"/>
        </w:rPr>
        <w:t xml:space="preserve">9.  </w:t>
      </w:r>
      <w:r w:rsidRPr="00AC27FF">
        <w:rPr>
          <w:i/>
          <w:szCs w:val="24"/>
        </w:rPr>
        <w:t xml:space="preserve">Payments or gifts to respondents.  </w:t>
      </w:r>
      <w:r w:rsidRPr="00AC27FF">
        <w:rPr>
          <w:szCs w:val="24"/>
        </w:rPr>
        <w:t>The Commission does not anticipate providing any payment or gifts to respondents.</w:t>
      </w:r>
    </w:p>
    <w:p w14:paraId="2F1B7BCA" w14:textId="77777777" w:rsidR="00DE165B" w:rsidRPr="00AC27FF" w:rsidRDefault="00DE165B">
      <w:pPr>
        <w:ind w:left="360" w:hanging="360"/>
        <w:rPr>
          <w:szCs w:val="24"/>
        </w:rPr>
      </w:pPr>
    </w:p>
    <w:p w14:paraId="2F1B7BCB" w14:textId="1FE53F2A" w:rsidR="00DE165B" w:rsidRPr="00AC27FF" w:rsidRDefault="00DE165B">
      <w:pPr>
        <w:ind w:left="360" w:hanging="360"/>
        <w:rPr>
          <w:szCs w:val="24"/>
        </w:rPr>
      </w:pPr>
      <w:r w:rsidRPr="00AC27FF">
        <w:rPr>
          <w:szCs w:val="24"/>
        </w:rPr>
        <w:t xml:space="preserve">10.  </w:t>
      </w:r>
      <w:r w:rsidRPr="007F6AC0">
        <w:rPr>
          <w:i/>
        </w:rPr>
        <w:t xml:space="preserve">Assurances of confidentiality.  </w:t>
      </w:r>
      <w:r w:rsidR="00CC6F0A" w:rsidRPr="007F6AC0">
        <w:t xml:space="preserve">Parties may submit confidential information in relation to </w:t>
      </w:r>
      <w:r w:rsidR="005304C9" w:rsidRPr="00D035C0">
        <w:t>[[</w:t>
      </w:r>
      <w:r w:rsidR="00254CB8" w:rsidRPr="00D035C0">
        <w:t>sub</w:t>
      </w:r>
      <w:r w:rsidR="001342A8" w:rsidRPr="00D035C0">
        <w:t>-</w:t>
      </w:r>
      <w:r w:rsidR="00254CB8" w:rsidRPr="00D035C0">
        <w:t xml:space="preserve">item </w:t>
      </w:r>
      <w:r w:rsidR="007E3AA8">
        <w:t>l</w:t>
      </w:r>
      <w:r w:rsidR="005304C9" w:rsidRPr="00D035C0">
        <w:t>]]</w:t>
      </w:r>
      <w:r w:rsidR="001342A8" w:rsidRPr="00D035C0">
        <w:t xml:space="preserve"> </w:t>
      </w:r>
      <w:r w:rsidR="00254CB8" w:rsidRPr="00D035C0">
        <w:t xml:space="preserve">in Item 12 below </w:t>
      </w:r>
      <w:r w:rsidR="00EC166B" w:rsidRPr="00D035C0">
        <w:t>pursuant to a protective order</w:t>
      </w:r>
      <w:r w:rsidRPr="00D035C0">
        <w:t>.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w:t>
      </w:r>
      <w:r w:rsidR="0044259E" w:rsidRPr="00D035C0">
        <w:t xml:space="preserve">  Also, respondents may request materials or information submitted to the Commission or to the Administrator </w:t>
      </w:r>
      <w:r w:rsidR="000A1267" w:rsidRPr="00D035C0">
        <w:t xml:space="preserve">believed confidential to </w:t>
      </w:r>
      <w:r w:rsidR="0044259E" w:rsidRPr="00D035C0">
        <w:t>be withheld from public inspection under 47 C.F.R. § 0.459 of the FCC’s rules.</w:t>
      </w:r>
    </w:p>
    <w:p w14:paraId="2F1B7BCC" w14:textId="77777777" w:rsidR="00DE165B" w:rsidRPr="00AC27FF" w:rsidRDefault="00DE165B">
      <w:pPr>
        <w:ind w:left="360" w:hanging="360"/>
        <w:rPr>
          <w:szCs w:val="24"/>
        </w:rPr>
      </w:pPr>
    </w:p>
    <w:p w14:paraId="2F1B7BCD" w14:textId="77777777" w:rsidR="00DE165B" w:rsidRPr="00AC27FF" w:rsidRDefault="00DE165B">
      <w:pPr>
        <w:ind w:left="360" w:hanging="360"/>
        <w:rPr>
          <w:szCs w:val="24"/>
        </w:rPr>
      </w:pPr>
      <w:r w:rsidRPr="00AC27FF">
        <w:rPr>
          <w:szCs w:val="24"/>
        </w:rPr>
        <w:t xml:space="preserve">11.  </w:t>
      </w:r>
      <w:r w:rsidRPr="00AC27FF">
        <w:rPr>
          <w:i/>
          <w:szCs w:val="24"/>
        </w:rPr>
        <w:t xml:space="preserve">Questions of a sensitive nature.  </w:t>
      </w:r>
      <w:r w:rsidRPr="00AC27FF">
        <w:rPr>
          <w:szCs w:val="24"/>
        </w:rPr>
        <w:t>There are no questions of a sensitive nature with respect to the information collections described herein.</w:t>
      </w:r>
    </w:p>
    <w:p w14:paraId="2F1B7BCE" w14:textId="77777777" w:rsidR="00DE165B" w:rsidRPr="00AC27FF" w:rsidRDefault="00DE165B">
      <w:pPr>
        <w:ind w:left="360" w:hanging="360"/>
        <w:rPr>
          <w:szCs w:val="24"/>
        </w:rPr>
      </w:pPr>
    </w:p>
    <w:p w14:paraId="2F1B7BCF" w14:textId="3CE57BF5" w:rsidR="00DE165B" w:rsidRDefault="00DE165B">
      <w:pPr>
        <w:ind w:left="360" w:hanging="360"/>
        <w:rPr>
          <w:szCs w:val="24"/>
        </w:rPr>
      </w:pPr>
      <w:r w:rsidRPr="00AC27FF">
        <w:rPr>
          <w:szCs w:val="24"/>
        </w:rPr>
        <w:t xml:space="preserve">12.  </w:t>
      </w:r>
      <w:r w:rsidRPr="00AC27FF">
        <w:rPr>
          <w:i/>
          <w:szCs w:val="24"/>
        </w:rPr>
        <w:t xml:space="preserve">Estimates of the hour burden of the collection to respondents.  </w:t>
      </w:r>
      <w:r w:rsidRPr="00AC27FF">
        <w:rPr>
          <w:szCs w:val="24"/>
        </w:rPr>
        <w:t>The following represents the hour burden on the collections of information:</w:t>
      </w:r>
    </w:p>
    <w:p w14:paraId="25F36148" w14:textId="77777777" w:rsidR="002A04F3" w:rsidRDefault="002A04F3" w:rsidP="00D87D19">
      <w:pPr>
        <w:tabs>
          <w:tab w:val="left" w:pos="2250"/>
        </w:tabs>
        <w:ind w:left="720" w:hanging="360"/>
        <w:rPr>
          <w:szCs w:val="24"/>
        </w:rPr>
      </w:pPr>
    </w:p>
    <w:p w14:paraId="04E7BC96" w14:textId="19514AE7" w:rsidR="002A04F3" w:rsidRDefault="002A04F3" w:rsidP="002A04F3">
      <w:pPr>
        <w:ind w:left="360"/>
        <w:rPr>
          <w:b/>
          <w:szCs w:val="24"/>
          <w:u w:val="single"/>
        </w:rPr>
      </w:pPr>
      <w:r>
        <w:rPr>
          <w:b/>
          <w:szCs w:val="24"/>
          <w:u w:val="single"/>
        </w:rPr>
        <w:t>a</w:t>
      </w:r>
      <w:r w:rsidRPr="00EE0B13">
        <w:rPr>
          <w:b/>
          <w:szCs w:val="24"/>
          <w:u w:val="single"/>
        </w:rPr>
        <w:t xml:space="preserve">. Reporting of </w:t>
      </w:r>
      <w:r w:rsidR="004D0664">
        <w:rPr>
          <w:b/>
          <w:szCs w:val="24"/>
          <w:u w:val="single"/>
        </w:rPr>
        <w:t xml:space="preserve">Cost Consultant Information for Rate-of-Return Carriers </w:t>
      </w:r>
      <w:r w:rsidRPr="00EE0B13">
        <w:rPr>
          <w:b/>
          <w:szCs w:val="24"/>
          <w:u w:val="single"/>
        </w:rPr>
        <w:t xml:space="preserve">(Form 481) (new requirement): </w:t>
      </w:r>
    </w:p>
    <w:p w14:paraId="4AD12ED5" w14:textId="77777777" w:rsidR="002A04F3" w:rsidRPr="00D87D19" w:rsidRDefault="002A04F3" w:rsidP="00D87D19">
      <w:pPr>
        <w:ind w:left="360" w:hanging="360"/>
      </w:pPr>
    </w:p>
    <w:p w14:paraId="2FDC3FE2" w14:textId="1F49A342" w:rsidR="002A04F3" w:rsidRPr="00AC27FF" w:rsidRDefault="002A04F3" w:rsidP="002A04F3">
      <w:pPr>
        <w:ind w:left="720" w:hanging="360"/>
        <w:rPr>
          <w:szCs w:val="24"/>
        </w:rPr>
      </w:pPr>
      <w:r w:rsidRPr="00AC27FF">
        <w:rPr>
          <w:szCs w:val="24"/>
        </w:rPr>
        <w:t xml:space="preserve">(1) </w:t>
      </w:r>
      <w:r w:rsidRPr="00AC27FF">
        <w:rPr>
          <w:szCs w:val="24"/>
          <w:u w:val="single"/>
        </w:rPr>
        <w:t>Number of respondents</w:t>
      </w:r>
      <w:r w:rsidRPr="00AC27FF">
        <w:rPr>
          <w:szCs w:val="24"/>
        </w:rPr>
        <w:t>:  Approximately 1,141 rate-of-retu</w:t>
      </w:r>
      <w:r w:rsidR="004D0664">
        <w:rPr>
          <w:szCs w:val="24"/>
        </w:rPr>
        <w:t xml:space="preserve">rn carriers will be required to answer whether they retained a cost consultant and cost consulting firm, or other third-party, to prepare financial and operations data disclosures, and provide the applicable names, if any.  </w:t>
      </w:r>
    </w:p>
    <w:p w14:paraId="2F8B9240" w14:textId="77777777" w:rsidR="002A04F3" w:rsidRPr="00AC27FF" w:rsidRDefault="002A04F3" w:rsidP="002A04F3">
      <w:pPr>
        <w:ind w:left="720" w:hanging="360"/>
        <w:rPr>
          <w:szCs w:val="24"/>
        </w:rPr>
      </w:pPr>
    </w:p>
    <w:p w14:paraId="1876703A" w14:textId="577D8E78" w:rsidR="002A04F3" w:rsidRPr="00AC27FF" w:rsidRDefault="002A04F3" w:rsidP="002A04F3">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12BC25C8" w14:textId="77777777" w:rsidR="002A04F3" w:rsidRPr="00AC27FF" w:rsidRDefault="002A04F3" w:rsidP="002A04F3">
      <w:pPr>
        <w:ind w:left="720" w:hanging="360"/>
        <w:rPr>
          <w:szCs w:val="24"/>
        </w:rPr>
      </w:pPr>
    </w:p>
    <w:p w14:paraId="570232C9" w14:textId="06CF65E4" w:rsidR="002A04F3" w:rsidRDefault="002A04F3" w:rsidP="002A04F3">
      <w:pPr>
        <w:ind w:left="720" w:hanging="360"/>
        <w:rPr>
          <w:szCs w:val="24"/>
        </w:rPr>
      </w:pPr>
      <w:r w:rsidRPr="00AC27FF">
        <w:rPr>
          <w:szCs w:val="24"/>
        </w:rPr>
        <w:t xml:space="preserve">(3) </w:t>
      </w:r>
      <w:r w:rsidRPr="0046244E">
        <w:rPr>
          <w:szCs w:val="24"/>
          <w:u w:val="single"/>
        </w:rPr>
        <w:t>Total number of responses per respondent</w:t>
      </w:r>
      <w:r>
        <w:rPr>
          <w:szCs w:val="24"/>
        </w:rPr>
        <w:t xml:space="preserve">: Approximately 1. </w:t>
      </w:r>
    </w:p>
    <w:p w14:paraId="0A632DA7" w14:textId="77777777" w:rsidR="002A04F3" w:rsidRPr="00D87D19" w:rsidRDefault="002A04F3" w:rsidP="002A04F3">
      <w:pPr>
        <w:ind w:left="720" w:hanging="360"/>
      </w:pPr>
    </w:p>
    <w:p w14:paraId="19DB10F9" w14:textId="5D849C91" w:rsidR="002A04F3" w:rsidRDefault="002A04F3" w:rsidP="002A04F3">
      <w:pPr>
        <w:ind w:left="720" w:hanging="360"/>
        <w:rPr>
          <w:szCs w:val="24"/>
        </w:rPr>
      </w:pPr>
      <w:r>
        <w:rPr>
          <w:szCs w:val="24"/>
        </w:rPr>
        <w:t xml:space="preserve">(4) </w:t>
      </w:r>
      <w:r w:rsidRPr="0046244E">
        <w:rPr>
          <w:szCs w:val="24"/>
          <w:u w:val="single"/>
        </w:rPr>
        <w:t>Estimated time per response</w:t>
      </w:r>
      <w:r w:rsidR="004D0664" w:rsidRPr="00D87D19">
        <w:t>:</w:t>
      </w:r>
      <w:r w:rsidR="004D0664">
        <w:rPr>
          <w:szCs w:val="24"/>
        </w:rPr>
        <w:t xml:space="preserve">  0.1</w:t>
      </w:r>
      <w:r>
        <w:rPr>
          <w:szCs w:val="24"/>
        </w:rPr>
        <w:t xml:space="preserve"> hours. </w:t>
      </w:r>
    </w:p>
    <w:p w14:paraId="0426E7DE" w14:textId="77777777" w:rsidR="002A04F3" w:rsidRPr="00D87D19" w:rsidRDefault="002A04F3" w:rsidP="002A04F3">
      <w:pPr>
        <w:ind w:left="720" w:hanging="360"/>
      </w:pPr>
    </w:p>
    <w:p w14:paraId="6399E718" w14:textId="5096DDC3" w:rsidR="002A04F3" w:rsidRDefault="002A04F3" w:rsidP="002A04F3">
      <w:pPr>
        <w:ind w:left="720" w:hanging="360"/>
        <w:rPr>
          <w:szCs w:val="24"/>
        </w:rPr>
      </w:pPr>
      <w:r w:rsidRPr="0046244E">
        <w:rPr>
          <w:szCs w:val="24"/>
        </w:rPr>
        <w:t xml:space="preserve">(5) </w:t>
      </w:r>
      <w:r w:rsidRPr="0046244E">
        <w:rPr>
          <w:szCs w:val="24"/>
          <w:u w:val="single"/>
        </w:rPr>
        <w:t>Total annual hour burden</w:t>
      </w:r>
      <w:r w:rsidRPr="00AC27FF">
        <w:rPr>
          <w:szCs w:val="24"/>
        </w:rPr>
        <w:t xml:space="preserve">:  </w:t>
      </w:r>
      <w:r w:rsidR="004D0664">
        <w:rPr>
          <w:szCs w:val="24"/>
        </w:rPr>
        <w:t>114</w:t>
      </w:r>
      <w:r>
        <w:rPr>
          <w:szCs w:val="24"/>
        </w:rPr>
        <w:t xml:space="preserve"> hours. </w:t>
      </w:r>
    </w:p>
    <w:p w14:paraId="22436D72" w14:textId="77777777" w:rsidR="002A04F3" w:rsidRDefault="002A04F3" w:rsidP="002A04F3">
      <w:pPr>
        <w:ind w:left="720" w:hanging="360"/>
        <w:rPr>
          <w:szCs w:val="24"/>
        </w:rPr>
      </w:pPr>
    </w:p>
    <w:p w14:paraId="0FCA6D35" w14:textId="07F2BC9B" w:rsidR="002A04F3" w:rsidRPr="00AC27FF" w:rsidRDefault="002A04F3" w:rsidP="00D87D19">
      <w:pPr>
        <w:ind w:left="720" w:hanging="360"/>
        <w:rPr>
          <w:szCs w:val="24"/>
        </w:rPr>
      </w:pPr>
      <w:r>
        <w:rPr>
          <w:szCs w:val="24"/>
        </w:rPr>
        <w:t xml:space="preserve">      </w:t>
      </w:r>
      <w:r w:rsidR="004D0664">
        <w:rPr>
          <w:szCs w:val="24"/>
        </w:rPr>
        <w:t>0.</w:t>
      </w:r>
      <w:r>
        <w:rPr>
          <w:szCs w:val="24"/>
        </w:rPr>
        <w:t>1</w:t>
      </w:r>
      <w:r w:rsidRPr="00050DAD">
        <w:rPr>
          <w:szCs w:val="24"/>
        </w:rPr>
        <w:t xml:space="preserve"> hour per respondent for 1,141 respondents filing annually.  Total annual hour burden is: 1,141 respondents x 1 report per respondent = 1,141 responses x </w:t>
      </w:r>
      <w:r w:rsidR="004D0664">
        <w:rPr>
          <w:szCs w:val="24"/>
        </w:rPr>
        <w:t>0.1</w:t>
      </w:r>
      <w:r w:rsidRPr="00050DAD">
        <w:rPr>
          <w:szCs w:val="24"/>
        </w:rPr>
        <w:t xml:space="preserve"> hour</w:t>
      </w:r>
      <w:r>
        <w:rPr>
          <w:szCs w:val="24"/>
        </w:rPr>
        <w:t>s</w:t>
      </w:r>
      <w:r w:rsidRPr="00050DAD">
        <w:rPr>
          <w:szCs w:val="24"/>
        </w:rPr>
        <w:t xml:space="preserve"> = </w:t>
      </w:r>
      <w:r w:rsidR="004D0664">
        <w:rPr>
          <w:b/>
          <w:szCs w:val="24"/>
        </w:rPr>
        <w:t>114</w:t>
      </w:r>
      <w:r w:rsidRPr="00D87D19">
        <w:rPr>
          <w:b/>
        </w:rPr>
        <w:t xml:space="preserve"> hours</w:t>
      </w:r>
      <w:r w:rsidRPr="00050DAD">
        <w:rPr>
          <w:szCs w:val="24"/>
        </w:rPr>
        <w:t>.</w:t>
      </w:r>
    </w:p>
    <w:p w14:paraId="63CC45F8" w14:textId="77777777" w:rsidR="002A04F3" w:rsidRPr="00AC27FF" w:rsidRDefault="002A04F3" w:rsidP="002A04F3">
      <w:pPr>
        <w:ind w:left="720" w:hanging="360"/>
        <w:rPr>
          <w:szCs w:val="24"/>
        </w:rPr>
      </w:pPr>
    </w:p>
    <w:p w14:paraId="2EA53262" w14:textId="17236E5B" w:rsidR="002A04F3" w:rsidRPr="00AC27FF" w:rsidRDefault="002A04F3" w:rsidP="002A04F3">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w:t>
      </w:r>
      <w:r w:rsidR="004D0664">
        <w:rPr>
          <w:szCs w:val="24"/>
        </w:rPr>
        <w:t>4,564</w:t>
      </w:r>
      <w:r w:rsidRPr="00AC27FF">
        <w:rPr>
          <w:szCs w:val="24"/>
        </w:rPr>
        <w:t>.  (</w:t>
      </w:r>
      <w:r w:rsidR="004D0664">
        <w:rPr>
          <w:szCs w:val="24"/>
        </w:rPr>
        <w:t>114</w:t>
      </w:r>
      <w:r w:rsidRPr="00AC27FF">
        <w:rPr>
          <w:szCs w:val="24"/>
        </w:rPr>
        <w:t xml:space="preserve"> hours x $40/hour.).</w:t>
      </w:r>
    </w:p>
    <w:p w14:paraId="128A93AD" w14:textId="77777777" w:rsidR="002A04F3" w:rsidRPr="00AC27FF" w:rsidRDefault="002A04F3" w:rsidP="002A04F3">
      <w:pPr>
        <w:ind w:left="720" w:hanging="360"/>
        <w:rPr>
          <w:szCs w:val="24"/>
        </w:rPr>
      </w:pPr>
    </w:p>
    <w:p w14:paraId="322451DA" w14:textId="07567132" w:rsidR="004D0664" w:rsidRPr="00D87D19" w:rsidRDefault="002A04F3" w:rsidP="00D87D19">
      <w:pPr>
        <w:ind w:left="360"/>
        <w:rPr>
          <w:color w:val="000000"/>
        </w:rPr>
      </w:pPr>
      <w:r w:rsidRPr="00AC27FF">
        <w:rPr>
          <w:szCs w:val="24"/>
        </w:rPr>
        <w:t>(</w:t>
      </w:r>
      <w:r>
        <w:rPr>
          <w:szCs w:val="24"/>
        </w:rPr>
        <w:t>7</w:t>
      </w:r>
      <w:r w:rsidRPr="00AC27FF">
        <w:rPr>
          <w:szCs w:val="24"/>
        </w:rPr>
        <w:t xml:space="preserve">) </w:t>
      </w:r>
      <w:r w:rsidRPr="00AC27FF">
        <w:rPr>
          <w:szCs w:val="24"/>
          <w:u w:val="single"/>
        </w:rPr>
        <w:t>Explanation of calculation</w:t>
      </w:r>
      <w:r w:rsidR="004D0664">
        <w:rPr>
          <w:szCs w:val="24"/>
        </w:rPr>
        <w:t xml:space="preserve">:  We estimate that </w:t>
      </w:r>
      <w:r w:rsidRPr="00AC27FF">
        <w:rPr>
          <w:szCs w:val="24"/>
        </w:rPr>
        <w:t>rate-of-return carrier</w:t>
      </w:r>
      <w:r w:rsidR="004D0664">
        <w:rPr>
          <w:szCs w:val="24"/>
        </w:rPr>
        <w:t>s</w:t>
      </w:r>
      <w:r w:rsidRPr="00AC27FF">
        <w:rPr>
          <w:szCs w:val="24"/>
        </w:rPr>
        <w:t xml:space="preserve"> will spend</w:t>
      </w:r>
      <w:r w:rsidR="004D0664">
        <w:rPr>
          <w:szCs w:val="24"/>
        </w:rPr>
        <w:t>, on average,</w:t>
      </w:r>
      <w:r w:rsidRPr="00AC27FF">
        <w:rPr>
          <w:szCs w:val="24"/>
        </w:rPr>
        <w:t xml:space="preserve"> </w:t>
      </w:r>
      <w:r w:rsidR="004D0664">
        <w:rPr>
          <w:szCs w:val="24"/>
        </w:rPr>
        <w:t>approximately 0.1</w:t>
      </w:r>
      <w:r w:rsidRPr="00AC27FF">
        <w:rPr>
          <w:szCs w:val="24"/>
        </w:rPr>
        <w:t xml:space="preserve"> hour</w:t>
      </w:r>
      <w:r>
        <w:rPr>
          <w:szCs w:val="24"/>
        </w:rPr>
        <w:t>s</w:t>
      </w:r>
      <w:r w:rsidRPr="00AC27FF">
        <w:rPr>
          <w:szCs w:val="24"/>
        </w:rPr>
        <w:t xml:space="preserve"> </w:t>
      </w:r>
      <w:r w:rsidR="004D0664">
        <w:rPr>
          <w:szCs w:val="24"/>
        </w:rPr>
        <w:t>providing the name of any applicable cost consultants, cost consulting firms, and other third parties.</w:t>
      </w:r>
      <w:r>
        <w:rPr>
          <w:color w:val="000000"/>
          <w:szCs w:val="24"/>
        </w:rPr>
        <w:t xml:space="preserve">  1,141</w:t>
      </w:r>
      <w:r w:rsidRPr="00D87D19">
        <w:rPr>
          <w:color w:val="000000"/>
        </w:rPr>
        <w:t xml:space="preserve"> (responses) x </w:t>
      </w:r>
      <w:r w:rsidR="004D0664">
        <w:rPr>
          <w:color w:val="000000"/>
          <w:szCs w:val="24"/>
        </w:rPr>
        <w:t>0.1</w:t>
      </w:r>
      <w:r w:rsidRPr="00D87D19">
        <w:rPr>
          <w:color w:val="000000"/>
        </w:rPr>
        <w:t xml:space="preserve"> (hours to </w:t>
      </w:r>
      <w:r w:rsidR="004D0664">
        <w:rPr>
          <w:szCs w:val="24"/>
        </w:rPr>
        <w:t>track and report this information</w:t>
      </w:r>
      <w:r w:rsidRPr="00D87D19">
        <w:rPr>
          <w:color w:val="000000"/>
        </w:rPr>
        <w:t xml:space="preserve">) x </w:t>
      </w:r>
      <w:r w:rsidRPr="00AC27FF">
        <w:rPr>
          <w:szCs w:val="24"/>
        </w:rPr>
        <w:t xml:space="preserve">$40/hr. </w:t>
      </w:r>
      <w:r w:rsidRPr="00D87D19">
        <w:rPr>
          <w:color w:val="000000"/>
        </w:rPr>
        <w:t>= $</w:t>
      </w:r>
      <w:r w:rsidR="004D0664">
        <w:rPr>
          <w:color w:val="000000"/>
          <w:szCs w:val="24"/>
        </w:rPr>
        <w:t>4,564</w:t>
      </w:r>
      <w:r w:rsidRPr="00D87D19">
        <w:rPr>
          <w:color w:val="000000"/>
        </w:rPr>
        <w:t>.</w:t>
      </w:r>
    </w:p>
    <w:p w14:paraId="55170972" w14:textId="77777777" w:rsidR="004D0664" w:rsidRPr="00D87D19" w:rsidRDefault="004D0664" w:rsidP="00D87D19">
      <w:pPr>
        <w:ind w:left="360"/>
        <w:rPr>
          <w:color w:val="000000"/>
        </w:rPr>
      </w:pPr>
    </w:p>
    <w:p w14:paraId="6FD24B54" w14:textId="44D82636" w:rsidR="004D0664" w:rsidRPr="00AC27FF" w:rsidRDefault="004D0664" w:rsidP="004D0664">
      <w:pPr>
        <w:ind w:left="360"/>
        <w:rPr>
          <w:b/>
          <w:szCs w:val="24"/>
        </w:rPr>
      </w:pPr>
      <w:r>
        <w:rPr>
          <w:b/>
          <w:szCs w:val="24"/>
          <w:u w:val="single"/>
        </w:rPr>
        <w:t>b</w:t>
      </w:r>
      <w:r w:rsidRPr="00AC27FF">
        <w:rPr>
          <w:b/>
          <w:szCs w:val="24"/>
          <w:u w:val="single"/>
        </w:rPr>
        <w:t>. Annual Reporting Requirements for All Funding Recipients</w:t>
      </w:r>
      <w:r w:rsidRPr="00E209F0">
        <w:rPr>
          <w:b/>
          <w:szCs w:val="24"/>
        </w:rPr>
        <w:t xml:space="preserve"> </w:t>
      </w:r>
      <w:r w:rsidRPr="00AC27FF">
        <w:rPr>
          <w:b/>
          <w:szCs w:val="24"/>
          <w:u w:val="single"/>
        </w:rPr>
        <w:t>(</w:t>
      </w:r>
      <w:r w:rsidR="0005073E">
        <w:rPr>
          <w:b/>
          <w:szCs w:val="24"/>
          <w:u w:val="single"/>
        </w:rPr>
        <w:t>no revisions</w:t>
      </w:r>
      <w:r w:rsidRPr="00AC27FF">
        <w:rPr>
          <w:b/>
          <w:szCs w:val="24"/>
          <w:u w:val="single"/>
        </w:rPr>
        <w:t>)</w:t>
      </w:r>
      <w:r w:rsidRPr="00AC27FF">
        <w:rPr>
          <w:b/>
          <w:szCs w:val="24"/>
        </w:rPr>
        <w:t>:</w:t>
      </w:r>
    </w:p>
    <w:p w14:paraId="71A0CB73" w14:textId="77777777" w:rsidR="004D0664" w:rsidRPr="00AC27FF" w:rsidRDefault="004D0664" w:rsidP="004D0664">
      <w:pPr>
        <w:ind w:left="360"/>
        <w:rPr>
          <w:b/>
          <w:szCs w:val="24"/>
          <w:u w:val="single"/>
        </w:rPr>
      </w:pPr>
    </w:p>
    <w:p w14:paraId="40A9F762" w14:textId="77777777" w:rsidR="004D0664" w:rsidRPr="00AC27FF" w:rsidRDefault="004D0664" w:rsidP="004D0664">
      <w:pPr>
        <w:ind w:left="720" w:hanging="360"/>
        <w:rPr>
          <w:szCs w:val="24"/>
        </w:rPr>
      </w:pPr>
      <w:r w:rsidRPr="00AC27FF">
        <w:rPr>
          <w:szCs w:val="24"/>
        </w:rPr>
        <w:t xml:space="preserve">(1)  </w:t>
      </w:r>
      <w:r w:rsidRPr="00AC27FF">
        <w:rPr>
          <w:szCs w:val="24"/>
          <w:u w:val="single"/>
        </w:rPr>
        <w:t>Number of Respondents</w:t>
      </w:r>
      <w:r w:rsidRPr="00AC27FF">
        <w:rPr>
          <w:szCs w:val="24"/>
        </w:rPr>
        <w:t>:  Approximately 1,8</w:t>
      </w:r>
      <w:r>
        <w:rPr>
          <w:szCs w:val="24"/>
        </w:rPr>
        <w:t>7</w:t>
      </w:r>
      <w:r w:rsidRPr="00AC27FF">
        <w:rPr>
          <w:szCs w:val="24"/>
        </w:rPr>
        <w:t>7 telephone companies.</w:t>
      </w:r>
    </w:p>
    <w:p w14:paraId="53844723" w14:textId="77777777" w:rsidR="004D0664" w:rsidRPr="00AC27FF" w:rsidRDefault="004D0664" w:rsidP="004D0664">
      <w:pPr>
        <w:ind w:left="1080" w:right="-450"/>
        <w:rPr>
          <w:szCs w:val="24"/>
        </w:rPr>
      </w:pPr>
    </w:p>
    <w:p w14:paraId="14A9F012" w14:textId="77777777" w:rsidR="004D0664" w:rsidRPr="00AC27FF" w:rsidRDefault="004D0664" w:rsidP="004D0664">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566B9AA9" w14:textId="77777777" w:rsidR="004D0664" w:rsidRPr="00AC27FF" w:rsidRDefault="004D0664" w:rsidP="004D0664">
      <w:pPr>
        <w:ind w:left="1080" w:right="-450"/>
        <w:rPr>
          <w:szCs w:val="24"/>
        </w:rPr>
      </w:pPr>
    </w:p>
    <w:p w14:paraId="7919211B" w14:textId="77777777" w:rsidR="004D0664" w:rsidRDefault="004D0664" w:rsidP="004D0664">
      <w:pPr>
        <w:ind w:left="720" w:hanging="360"/>
        <w:rPr>
          <w:szCs w:val="24"/>
        </w:rPr>
      </w:pPr>
      <w:r w:rsidRPr="00AC27FF">
        <w:rPr>
          <w:szCs w:val="24"/>
        </w:rPr>
        <w:t xml:space="preserve">(3)  </w:t>
      </w:r>
      <w:r w:rsidRPr="001A1CF1">
        <w:rPr>
          <w:szCs w:val="24"/>
          <w:u w:val="single"/>
        </w:rPr>
        <w:t>Total number of responses per respondent</w:t>
      </w:r>
      <w:r>
        <w:rPr>
          <w:szCs w:val="24"/>
        </w:rPr>
        <w:t xml:space="preserve">: Approximately 1. </w:t>
      </w:r>
    </w:p>
    <w:p w14:paraId="5417EF3C" w14:textId="77777777" w:rsidR="004D0664" w:rsidRDefault="004D0664" w:rsidP="004D0664">
      <w:pPr>
        <w:ind w:left="720" w:hanging="360"/>
        <w:rPr>
          <w:szCs w:val="24"/>
        </w:rPr>
      </w:pPr>
    </w:p>
    <w:p w14:paraId="3541B653" w14:textId="77777777" w:rsidR="004D0664" w:rsidRPr="001A1CF1" w:rsidRDefault="004D0664" w:rsidP="004D0664">
      <w:pPr>
        <w:ind w:left="720" w:hanging="360"/>
        <w:rPr>
          <w:szCs w:val="24"/>
        </w:rPr>
      </w:pPr>
      <w:r w:rsidRPr="001A1CF1">
        <w:rPr>
          <w:szCs w:val="24"/>
        </w:rPr>
        <w:t xml:space="preserve">(4) </w:t>
      </w:r>
      <w:r w:rsidRPr="001A1CF1">
        <w:rPr>
          <w:szCs w:val="24"/>
          <w:u w:val="single"/>
        </w:rPr>
        <w:t>Estimated time per response</w:t>
      </w:r>
      <w:r w:rsidRPr="001A1CF1">
        <w:rPr>
          <w:szCs w:val="24"/>
        </w:rPr>
        <w:t xml:space="preserve">:  </w:t>
      </w:r>
      <w:r>
        <w:rPr>
          <w:szCs w:val="24"/>
        </w:rPr>
        <w:t>5</w:t>
      </w:r>
      <w:r w:rsidRPr="001A1CF1">
        <w:rPr>
          <w:szCs w:val="24"/>
        </w:rPr>
        <w:t xml:space="preserve"> hours. </w:t>
      </w:r>
    </w:p>
    <w:p w14:paraId="34FC6CB6" w14:textId="77777777" w:rsidR="004D0664" w:rsidRDefault="004D0664" w:rsidP="004D0664">
      <w:pPr>
        <w:ind w:left="720" w:hanging="360"/>
        <w:rPr>
          <w:szCs w:val="24"/>
          <w:u w:val="single"/>
        </w:rPr>
      </w:pPr>
    </w:p>
    <w:p w14:paraId="52E364CC" w14:textId="77777777" w:rsidR="004D0664" w:rsidRDefault="004D0664" w:rsidP="004D0664">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Pr>
          <w:szCs w:val="24"/>
        </w:rPr>
        <w:t xml:space="preserve">9,385 hours. </w:t>
      </w:r>
    </w:p>
    <w:p w14:paraId="789EC86A" w14:textId="77777777" w:rsidR="004D0664" w:rsidRDefault="004D0664" w:rsidP="004D0664">
      <w:pPr>
        <w:ind w:left="720" w:hanging="360"/>
        <w:rPr>
          <w:szCs w:val="24"/>
        </w:rPr>
      </w:pPr>
    </w:p>
    <w:p w14:paraId="7E7B7055" w14:textId="77777777" w:rsidR="004D0664" w:rsidRPr="00AC27FF" w:rsidRDefault="004D0664" w:rsidP="004D0664">
      <w:pPr>
        <w:ind w:left="720" w:hanging="360"/>
        <w:rPr>
          <w:szCs w:val="24"/>
        </w:rPr>
      </w:pPr>
      <w:r>
        <w:rPr>
          <w:szCs w:val="24"/>
        </w:rPr>
        <w:t xml:space="preserve">      5</w:t>
      </w:r>
      <w:r w:rsidRPr="00F54D78">
        <w:rPr>
          <w:szCs w:val="24"/>
        </w:rPr>
        <w:t xml:space="preserve"> hours per respondent for 1,877 respondents filing on an annual basis.  Total annual hour burden is: 1,877 respondents x 1 submission per respondent = 1,877 responses x </w:t>
      </w:r>
      <w:r>
        <w:rPr>
          <w:szCs w:val="24"/>
        </w:rPr>
        <w:t>5</w:t>
      </w:r>
      <w:r w:rsidRPr="00F54D78">
        <w:rPr>
          <w:szCs w:val="24"/>
        </w:rPr>
        <w:t xml:space="preserve"> hours = </w:t>
      </w:r>
      <w:r>
        <w:rPr>
          <w:b/>
          <w:szCs w:val="24"/>
        </w:rPr>
        <w:t>9,385</w:t>
      </w:r>
      <w:r w:rsidRPr="00F54D78">
        <w:rPr>
          <w:b/>
          <w:szCs w:val="24"/>
        </w:rPr>
        <w:t xml:space="preserve"> hours</w:t>
      </w:r>
      <w:r w:rsidRPr="00F54D78">
        <w:rPr>
          <w:szCs w:val="24"/>
        </w:rPr>
        <w:t>.</w:t>
      </w:r>
    </w:p>
    <w:p w14:paraId="60916763" w14:textId="77777777" w:rsidR="004D0664" w:rsidRPr="00AC27FF" w:rsidRDefault="004D0664" w:rsidP="004D0664">
      <w:pPr>
        <w:ind w:left="-720" w:right="-450"/>
        <w:rPr>
          <w:szCs w:val="24"/>
        </w:rPr>
      </w:pPr>
    </w:p>
    <w:p w14:paraId="45381A34" w14:textId="77777777" w:rsidR="004D0664" w:rsidRPr="00AC27FF" w:rsidRDefault="004D0664" w:rsidP="004D0664">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Total estimate of in-house</w:t>
      </w:r>
      <w:r w:rsidRPr="00AC27FF">
        <w:rPr>
          <w:szCs w:val="24"/>
          <w:u w:val="single"/>
        </w:rPr>
        <w:t xml:space="preserve"> cost to respondents:</w:t>
      </w:r>
      <w:r w:rsidRPr="00AC27FF">
        <w:rPr>
          <w:b/>
          <w:szCs w:val="24"/>
        </w:rPr>
        <w:t xml:space="preserve">  </w:t>
      </w:r>
      <w:r w:rsidRPr="00AC27FF">
        <w:rPr>
          <w:szCs w:val="24"/>
        </w:rPr>
        <w:t>$</w:t>
      </w:r>
      <w:r>
        <w:rPr>
          <w:szCs w:val="24"/>
        </w:rPr>
        <w:t>375,400.</w:t>
      </w:r>
      <w:r w:rsidRPr="00AC27FF">
        <w:rPr>
          <w:szCs w:val="24"/>
        </w:rPr>
        <w:t xml:space="preserve"> (</w:t>
      </w:r>
      <w:r>
        <w:rPr>
          <w:szCs w:val="24"/>
        </w:rPr>
        <w:t>9,385</w:t>
      </w:r>
      <w:r w:rsidRPr="00AC27FF">
        <w:rPr>
          <w:szCs w:val="24"/>
        </w:rPr>
        <w:t xml:space="preserve"> hours x $40/hour.).</w:t>
      </w:r>
    </w:p>
    <w:p w14:paraId="1452238C" w14:textId="77777777" w:rsidR="004D0664" w:rsidRPr="00AC27FF" w:rsidRDefault="004D0664" w:rsidP="004D0664">
      <w:pPr>
        <w:ind w:left="720" w:hanging="360"/>
        <w:rPr>
          <w:b/>
          <w:szCs w:val="24"/>
        </w:rPr>
      </w:pPr>
    </w:p>
    <w:p w14:paraId="2E2A5F7E" w14:textId="77777777" w:rsidR="004D0664" w:rsidRDefault="004D0664" w:rsidP="004D0664">
      <w:pPr>
        <w:ind w:left="720" w:hanging="360"/>
        <w:rPr>
          <w:color w:val="000000"/>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 total of </w:t>
      </w:r>
      <w:r>
        <w:rPr>
          <w:szCs w:val="24"/>
        </w:rPr>
        <w:t>approximately 5</w:t>
      </w:r>
      <w:r w:rsidRPr="00AC27FF">
        <w:rPr>
          <w:szCs w:val="24"/>
        </w:rPr>
        <w:t xml:space="preserve"> hours </w:t>
      </w:r>
      <w:r>
        <w:rPr>
          <w:szCs w:val="24"/>
        </w:rPr>
        <w:t>preparing and submitting the emergency certification and information regarding any holding companies, operating companies, and affiliates</w:t>
      </w:r>
      <w:r w:rsidRPr="00AC27FF">
        <w:rPr>
          <w:szCs w:val="24"/>
        </w:rPr>
        <w:t>:  1,8</w:t>
      </w:r>
      <w:r>
        <w:rPr>
          <w:szCs w:val="24"/>
        </w:rPr>
        <w:t>7</w:t>
      </w:r>
      <w:r w:rsidRPr="00AC27FF">
        <w:rPr>
          <w:szCs w:val="24"/>
        </w:rPr>
        <w:t>7</w:t>
      </w:r>
      <w:r>
        <w:rPr>
          <w:szCs w:val="24"/>
        </w:rPr>
        <w:t xml:space="preserve"> (</w:t>
      </w:r>
      <w:r w:rsidRPr="00AC27FF">
        <w:rPr>
          <w:szCs w:val="24"/>
        </w:rPr>
        <w:t>respon</w:t>
      </w:r>
      <w:r>
        <w:rPr>
          <w:szCs w:val="24"/>
        </w:rPr>
        <w:t>ses</w:t>
      </w:r>
      <w:r w:rsidRPr="00AC27FF">
        <w:rPr>
          <w:szCs w:val="24"/>
        </w:rPr>
        <w:t xml:space="preserve">) </w:t>
      </w:r>
      <w:r w:rsidRPr="00AC27FF">
        <w:rPr>
          <w:color w:val="000000"/>
          <w:szCs w:val="24"/>
        </w:rPr>
        <w:t xml:space="preserve">x </w:t>
      </w:r>
      <w:r>
        <w:rPr>
          <w:color w:val="000000"/>
          <w:szCs w:val="24"/>
        </w:rPr>
        <w:t>5</w:t>
      </w:r>
      <w:r w:rsidRPr="00AC27FF">
        <w:rPr>
          <w:color w:val="000000"/>
          <w:szCs w:val="24"/>
        </w:rPr>
        <w:t xml:space="preserve"> (hours </w:t>
      </w:r>
      <w:r>
        <w:rPr>
          <w:color w:val="000000"/>
          <w:szCs w:val="24"/>
        </w:rPr>
        <w:t xml:space="preserve">preparing and submitting certification and company information) x $40 per hour </w:t>
      </w:r>
      <w:r w:rsidRPr="00AC27FF">
        <w:rPr>
          <w:color w:val="000000"/>
          <w:szCs w:val="24"/>
        </w:rPr>
        <w:t>= $</w:t>
      </w:r>
      <w:r>
        <w:rPr>
          <w:color w:val="000000"/>
          <w:szCs w:val="24"/>
        </w:rPr>
        <w:t>375,400</w:t>
      </w:r>
      <w:r w:rsidRPr="00AC27FF">
        <w:rPr>
          <w:color w:val="000000"/>
          <w:szCs w:val="24"/>
        </w:rPr>
        <w:t>.</w:t>
      </w:r>
    </w:p>
    <w:p w14:paraId="56C4A4B6" w14:textId="080F2107" w:rsidR="0005073E" w:rsidRPr="00AC27FF" w:rsidRDefault="002A04F3" w:rsidP="0005073E">
      <w:pPr>
        <w:ind w:left="360"/>
        <w:rPr>
          <w:b/>
          <w:szCs w:val="24"/>
          <w:u w:val="single"/>
        </w:rPr>
      </w:pPr>
      <w:r w:rsidRPr="00AC27FF">
        <w:rPr>
          <w:color w:val="000000"/>
          <w:szCs w:val="24"/>
        </w:rPr>
        <w:br/>
      </w:r>
      <w:r w:rsidR="0005073E">
        <w:rPr>
          <w:b/>
          <w:szCs w:val="24"/>
          <w:u w:val="single"/>
        </w:rPr>
        <w:t>c</w:t>
      </w:r>
      <w:r w:rsidR="0005073E" w:rsidRPr="00AC27FF">
        <w:rPr>
          <w:b/>
          <w:szCs w:val="24"/>
          <w:u w:val="single"/>
        </w:rPr>
        <w:t xml:space="preserve">. </w:t>
      </w:r>
      <w:r w:rsidR="0005073E">
        <w:rPr>
          <w:b/>
          <w:szCs w:val="24"/>
          <w:u w:val="single"/>
        </w:rPr>
        <w:t xml:space="preserve">Capital Operating Expense Data </w:t>
      </w:r>
      <w:r w:rsidR="0005073E" w:rsidRPr="00AC27FF">
        <w:rPr>
          <w:b/>
          <w:szCs w:val="24"/>
          <w:u w:val="single"/>
        </w:rPr>
        <w:t>for Phase I</w:t>
      </w:r>
      <w:r w:rsidR="0005073E">
        <w:rPr>
          <w:b/>
          <w:szCs w:val="24"/>
          <w:u w:val="single"/>
        </w:rPr>
        <w:t>I Model-Based Support Recipients</w:t>
      </w:r>
      <w:r w:rsidR="0005073E" w:rsidRPr="00AC27FF">
        <w:rPr>
          <w:b/>
          <w:szCs w:val="24"/>
          <w:u w:val="single"/>
        </w:rPr>
        <w:t xml:space="preserve"> (</w:t>
      </w:r>
      <w:r w:rsidR="0005073E">
        <w:rPr>
          <w:b/>
          <w:szCs w:val="24"/>
          <w:u w:val="single"/>
        </w:rPr>
        <w:t xml:space="preserve">FCC </w:t>
      </w:r>
      <w:r w:rsidR="0005073E" w:rsidRPr="00AC27FF">
        <w:rPr>
          <w:b/>
          <w:szCs w:val="24"/>
          <w:u w:val="single"/>
        </w:rPr>
        <w:t>Form 481)</w:t>
      </w:r>
      <w:r w:rsidR="0005073E">
        <w:rPr>
          <w:b/>
          <w:szCs w:val="24"/>
          <w:u w:val="single"/>
        </w:rPr>
        <w:t xml:space="preserve"> (no revisions):</w:t>
      </w:r>
      <w:r w:rsidR="0005073E" w:rsidRPr="00AC27FF">
        <w:rPr>
          <w:b/>
          <w:szCs w:val="24"/>
          <w:u w:val="single"/>
        </w:rPr>
        <w:t xml:space="preserve"> </w:t>
      </w:r>
    </w:p>
    <w:p w14:paraId="50EFC5F0" w14:textId="77777777" w:rsidR="0005073E" w:rsidRPr="00AC27FF" w:rsidRDefault="0005073E" w:rsidP="0005073E">
      <w:pPr>
        <w:ind w:left="360" w:hanging="360"/>
        <w:rPr>
          <w:b/>
          <w:szCs w:val="24"/>
          <w:u w:val="single"/>
        </w:rPr>
      </w:pPr>
    </w:p>
    <w:p w14:paraId="198970A4"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Only price cap carriers that elect to receive Phase I</w:t>
      </w:r>
      <w:r>
        <w:rPr>
          <w:szCs w:val="24"/>
        </w:rPr>
        <w:t>I model-based support</w:t>
      </w:r>
      <w:r w:rsidRPr="00AC27FF">
        <w:rPr>
          <w:szCs w:val="24"/>
        </w:rPr>
        <w:t xml:space="preserve"> </w:t>
      </w:r>
      <w:r>
        <w:rPr>
          <w:szCs w:val="24"/>
        </w:rPr>
        <w:t>must report this data</w:t>
      </w:r>
      <w:r w:rsidRPr="00AC27FF">
        <w:rPr>
          <w:szCs w:val="24"/>
        </w:rPr>
        <w:t>.</w:t>
      </w:r>
    </w:p>
    <w:p w14:paraId="48B2FEFF" w14:textId="77777777" w:rsidR="0005073E" w:rsidRPr="00AC27FF" w:rsidRDefault="0005073E" w:rsidP="0005073E">
      <w:pPr>
        <w:ind w:left="720" w:hanging="360"/>
        <w:rPr>
          <w:szCs w:val="24"/>
        </w:rPr>
      </w:pPr>
    </w:p>
    <w:p w14:paraId="15ED580D"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14:paraId="4D57B547" w14:textId="77777777" w:rsidR="0005073E" w:rsidRPr="004313F4" w:rsidRDefault="0005073E" w:rsidP="0005073E">
      <w:pPr>
        <w:ind w:left="720" w:hanging="360"/>
        <w:rPr>
          <w:szCs w:val="24"/>
        </w:rPr>
      </w:pPr>
      <w:r w:rsidRPr="00AC27FF">
        <w:rPr>
          <w:szCs w:val="24"/>
        </w:rPr>
        <w:t xml:space="preserve">(3) </w:t>
      </w:r>
      <w:r w:rsidRPr="00423F95">
        <w:rPr>
          <w:szCs w:val="24"/>
          <w:u w:val="single"/>
        </w:rPr>
        <w:t>Total number of responses per respondent</w:t>
      </w:r>
      <w:r>
        <w:rPr>
          <w:szCs w:val="24"/>
        </w:rPr>
        <w:t>: Approximately 1.</w:t>
      </w:r>
    </w:p>
    <w:p w14:paraId="38D2345E" w14:textId="77777777" w:rsidR="0005073E" w:rsidRDefault="0005073E" w:rsidP="0005073E">
      <w:pPr>
        <w:ind w:left="720" w:hanging="360"/>
        <w:rPr>
          <w:szCs w:val="24"/>
        </w:rPr>
      </w:pPr>
    </w:p>
    <w:p w14:paraId="732FD03D" w14:textId="77777777" w:rsidR="0005073E" w:rsidRDefault="0005073E" w:rsidP="0005073E">
      <w:pPr>
        <w:ind w:left="720" w:hanging="360"/>
        <w:rPr>
          <w:szCs w:val="24"/>
        </w:rPr>
      </w:pPr>
      <w:r>
        <w:rPr>
          <w:szCs w:val="24"/>
        </w:rPr>
        <w:t xml:space="preserve">(4) </w:t>
      </w:r>
      <w:r w:rsidRPr="00423F95">
        <w:rPr>
          <w:szCs w:val="24"/>
          <w:u w:val="single"/>
        </w:rPr>
        <w:t>Estimated time per response</w:t>
      </w:r>
      <w:r>
        <w:rPr>
          <w:szCs w:val="24"/>
        </w:rPr>
        <w:t xml:space="preserve">:  1 hour. </w:t>
      </w:r>
    </w:p>
    <w:p w14:paraId="0C54A90D" w14:textId="77777777" w:rsidR="0005073E" w:rsidRDefault="0005073E" w:rsidP="0005073E">
      <w:pPr>
        <w:ind w:left="720" w:hanging="360"/>
        <w:rPr>
          <w:szCs w:val="24"/>
          <w:u w:val="single"/>
        </w:rPr>
      </w:pPr>
    </w:p>
    <w:p w14:paraId="26E618FD" w14:textId="77777777" w:rsidR="0005073E" w:rsidRDefault="0005073E" w:rsidP="0005073E">
      <w:pPr>
        <w:ind w:left="720" w:hanging="360"/>
        <w:rPr>
          <w:szCs w:val="24"/>
        </w:rPr>
      </w:pPr>
      <w:r w:rsidRPr="008648DA">
        <w:rPr>
          <w:szCs w:val="24"/>
        </w:rPr>
        <w:t xml:space="preserve">(5) </w:t>
      </w:r>
      <w:r>
        <w:rPr>
          <w:szCs w:val="24"/>
          <w:u w:val="single"/>
        </w:rPr>
        <w:t>Total a</w:t>
      </w:r>
      <w:r w:rsidRPr="00AC27FF">
        <w:rPr>
          <w:szCs w:val="24"/>
          <w:u w:val="single"/>
        </w:rPr>
        <w:t>nnual hour burden</w:t>
      </w:r>
      <w:r>
        <w:rPr>
          <w:szCs w:val="24"/>
        </w:rPr>
        <w:t xml:space="preserve">:  9 hours.  </w:t>
      </w:r>
    </w:p>
    <w:p w14:paraId="64595D67" w14:textId="77777777" w:rsidR="0005073E" w:rsidRDefault="0005073E" w:rsidP="0005073E">
      <w:pPr>
        <w:ind w:left="720" w:hanging="360"/>
        <w:rPr>
          <w:szCs w:val="24"/>
        </w:rPr>
      </w:pPr>
    </w:p>
    <w:p w14:paraId="53611ACC" w14:textId="77777777" w:rsidR="0005073E" w:rsidRPr="00AC27FF" w:rsidRDefault="0005073E" w:rsidP="0005073E">
      <w:pPr>
        <w:ind w:left="720" w:hanging="360"/>
        <w:rPr>
          <w:szCs w:val="24"/>
        </w:rPr>
      </w:pPr>
      <w:r>
        <w:rPr>
          <w:szCs w:val="24"/>
        </w:rPr>
        <w:t xml:space="preserve">      1</w:t>
      </w:r>
      <w:r w:rsidRPr="00AC27FF">
        <w:rPr>
          <w:szCs w:val="24"/>
        </w:rPr>
        <w:t xml:space="preserve"> hour per respondent for </w:t>
      </w:r>
      <w:r>
        <w:rPr>
          <w:szCs w:val="24"/>
        </w:rPr>
        <w:t>9</w:t>
      </w:r>
      <w:r w:rsidRPr="00AC27FF">
        <w:rPr>
          <w:szCs w:val="24"/>
        </w:rPr>
        <w:t xml:space="preserve"> carriers filing on an annual basis.  Total annual hour burden is calculated as follows:  </w:t>
      </w:r>
    </w:p>
    <w:p w14:paraId="4F4DF0E8" w14:textId="77777777" w:rsidR="0005073E" w:rsidRPr="00AC27FF" w:rsidRDefault="0005073E" w:rsidP="0005073E">
      <w:pPr>
        <w:ind w:left="720"/>
        <w:rPr>
          <w:szCs w:val="24"/>
        </w:rPr>
      </w:pPr>
    </w:p>
    <w:p w14:paraId="7C1FC43A" w14:textId="77777777" w:rsidR="0005073E" w:rsidRPr="00AC27FF" w:rsidRDefault="0005073E" w:rsidP="0005073E">
      <w:pPr>
        <w:ind w:left="720"/>
        <w:rPr>
          <w:szCs w:val="24"/>
        </w:rPr>
      </w:pPr>
      <w:r>
        <w:rPr>
          <w:szCs w:val="24"/>
        </w:rPr>
        <w:t>9</w:t>
      </w:r>
      <w:r w:rsidRPr="00AC27FF">
        <w:rPr>
          <w:szCs w:val="24"/>
        </w:rPr>
        <w:t xml:space="preserve"> respondents x 1 report per respondent = </w:t>
      </w:r>
      <w:r>
        <w:rPr>
          <w:szCs w:val="24"/>
        </w:rPr>
        <w:t>9 responses x 1</w:t>
      </w:r>
      <w:r w:rsidRPr="00AC27FF">
        <w:rPr>
          <w:szCs w:val="24"/>
        </w:rPr>
        <w:t xml:space="preserve"> hour = </w:t>
      </w:r>
      <w:r>
        <w:rPr>
          <w:b/>
          <w:szCs w:val="24"/>
        </w:rPr>
        <w:t>9</w:t>
      </w:r>
      <w:r w:rsidRPr="00AC27FF">
        <w:rPr>
          <w:b/>
          <w:szCs w:val="24"/>
        </w:rPr>
        <w:t xml:space="preserve"> total annual hours.</w:t>
      </w:r>
      <w:r w:rsidRPr="00AC27FF">
        <w:rPr>
          <w:szCs w:val="24"/>
        </w:rPr>
        <w:t xml:space="preserve">  </w:t>
      </w:r>
    </w:p>
    <w:p w14:paraId="69B7DE01" w14:textId="77777777" w:rsidR="0005073E" w:rsidRPr="00AC27FF" w:rsidRDefault="0005073E" w:rsidP="0005073E">
      <w:pPr>
        <w:ind w:left="720" w:hanging="360"/>
        <w:rPr>
          <w:szCs w:val="24"/>
        </w:rPr>
      </w:pPr>
    </w:p>
    <w:p w14:paraId="4DCCACCC"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sidRPr="00AC27FF">
        <w:rPr>
          <w:szCs w:val="24"/>
          <w:u w:val="single"/>
        </w:rPr>
        <w:t>Total estimate of</w:t>
      </w:r>
      <w:r>
        <w:rPr>
          <w:szCs w:val="24"/>
          <w:u w:val="single"/>
        </w:rPr>
        <w:t xml:space="preserve"> in-house </w:t>
      </w:r>
      <w:r w:rsidRPr="00AC27FF">
        <w:rPr>
          <w:szCs w:val="24"/>
          <w:u w:val="single"/>
        </w:rPr>
        <w:t>cost to respondents</w:t>
      </w:r>
      <w:r w:rsidRPr="00AC27FF">
        <w:rPr>
          <w:szCs w:val="24"/>
        </w:rPr>
        <w:t>: $</w:t>
      </w:r>
      <w:r>
        <w:rPr>
          <w:szCs w:val="24"/>
        </w:rPr>
        <w:t>360</w:t>
      </w:r>
      <w:r w:rsidRPr="00AC27FF">
        <w:rPr>
          <w:szCs w:val="24"/>
        </w:rPr>
        <w:t>.  (</w:t>
      </w:r>
      <w:r>
        <w:rPr>
          <w:szCs w:val="24"/>
        </w:rPr>
        <w:t>9</w:t>
      </w:r>
      <w:r w:rsidRPr="00AC27FF">
        <w:rPr>
          <w:szCs w:val="24"/>
        </w:rPr>
        <w:t xml:space="preserve"> hours x $40/hr.).</w:t>
      </w:r>
    </w:p>
    <w:p w14:paraId="400DDF2F" w14:textId="77777777" w:rsidR="0005073E" w:rsidRPr="00AC27FF" w:rsidRDefault="0005073E" w:rsidP="0005073E">
      <w:pPr>
        <w:ind w:left="720" w:hanging="360"/>
        <w:rPr>
          <w:szCs w:val="24"/>
        </w:rPr>
      </w:pPr>
    </w:p>
    <w:p w14:paraId="6F37D614" w14:textId="77777777" w:rsidR="0005073E" w:rsidRPr="00AC27FF" w:rsidRDefault="0005073E" w:rsidP="0005073E">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Phase I</w:t>
      </w:r>
      <w:r>
        <w:rPr>
          <w:szCs w:val="24"/>
        </w:rPr>
        <w:t>I model-based support recipient will take 1</w:t>
      </w:r>
      <w:r w:rsidRPr="00AC27FF">
        <w:rPr>
          <w:szCs w:val="24"/>
        </w:rPr>
        <w:t xml:space="preserve"> hour to gather and submit the </w:t>
      </w:r>
      <w:r>
        <w:rPr>
          <w:szCs w:val="24"/>
        </w:rPr>
        <w:t>total amount of Phase II support paid for capital expenses</w:t>
      </w:r>
      <w:r w:rsidRPr="00AC27FF">
        <w:rPr>
          <w:szCs w:val="24"/>
        </w:rPr>
        <w:t xml:space="preserve"> to the Commission: </w:t>
      </w:r>
    </w:p>
    <w:p w14:paraId="4C1CAC75" w14:textId="77777777" w:rsidR="0005073E" w:rsidRPr="00AC27FF" w:rsidRDefault="0005073E" w:rsidP="0005073E">
      <w:pPr>
        <w:ind w:left="720" w:hanging="360"/>
        <w:rPr>
          <w:szCs w:val="24"/>
        </w:rPr>
      </w:pPr>
    </w:p>
    <w:p w14:paraId="0310F3A0" w14:textId="77777777" w:rsidR="0005073E" w:rsidRDefault="0005073E" w:rsidP="0005073E">
      <w:pPr>
        <w:ind w:left="720"/>
        <w:rPr>
          <w:szCs w:val="24"/>
        </w:rPr>
      </w:pPr>
      <w:r>
        <w:rPr>
          <w:szCs w:val="24"/>
        </w:rPr>
        <w:t>9 (responses) x 1</w:t>
      </w:r>
      <w:r w:rsidRPr="00AC27FF">
        <w:rPr>
          <w:szCs w:val="24"/>
        </w:rPr>
        <w:t xml:space="preserve"> (hours to prepare report) x $40/hr. = $</w:t>
      </w:r>
      <w:r>
        <w:rPr>
          <w:szCs w:val="24"/>
        </w:rPr>
        <w:t>360</w:t>
      </w:r>
      <w:r w:rsidRPr="00AC27FF">
        <w:rPr>
          <w:szCs w:val="24"/>
        </w:rPr>
        <w:t>.</w:t>
      </w:r>
    </w:p>
    <w:p w14:paraId="3C5F02EA" w14:textId="77777777" w:rsidR="0005073E" w:rsidRDefault="0005073E" w:rsidP="0005073E">
      <w:pPr>
        <w:rPr>
          <w:szCs w:val="24"/>
        </w:rPr>
      </w:pPr>
    </w:p>
    <w:p w14:paraId="23FF90EC" w14:textId="4772B467" w:rsidR="0005073E" w:rsidRPr="00AC27FF" w:rsidRDefault="0005073E" w:rsidP="0005073E">
      <w:pPr>
        <w:ind w:left="360"/>
        <w:rPr>
          <w:b/>
          <w:szCs w:val="24"/>
          <w:u w:val="single"/>
        </w:rPr>
      </w:pPr>
      <w:r>
        <w:rPr>
          <w:b/>
          <w:szCs w:val="24"/>
          <w:u w:val="single"/>
        </w:rPr>
        <w:t>d</w:t>
      </w:r>
      <w:r w:rsidRPr="00656B33">
        <w:rPr>
          <w:b/>
          <w:szCs w:val="24"/>
          <w:u w:val="single"/>
        </w:rPr>
        <w:t>.</w:t>
      </w:r>
      <w:r>
        <w:rPr>
          <w:b/>
          <w:szCs w:val="24"/>
          <w:u w:val="single"/>
        </w:rPr>
        <w:t xml:space="preserve"> E-rate Certification for Phase II Model-Based Support Recipients and Rate-of-Return Carrier High-Cost Recipients (FCC Form 481)</w:t>
      </w:r>
      <w:r w:rsidRPr="00E209F0">
        <w:rPr>
          <w:b/>
          <w:szCs w:val="24"/>
        </w:rPr>
        <w:t xml:space="preserve"> </w:t>
      </w:r>
      <w:r>
        <w:rPr>
          <w:b/>
          <w:szCs w:val="24"/>
          <w:u w:val="single"/>
        </w:rPr>
        <w:t>(no revisions):</w:t>
      </w:r>
    </w:p>
    <w:p w14:paraId="1E6763E9" w14:textId="77777777" w:rsidR="0005073E" w:rsidRPr="00AC27FF" w:rsidRDefault="0005073E" w:rsidP="0005073E">
      <w:pPr>
        <w:ind w:left="360" w:hanging="360"/>
        <w:rPr>
          <w:b/>
          <w:szCs w:val="24"/>
          <w:u w:val="single"/>
        </w:rPr>
      </w:pPr>
    </w:p>
    <w:p w14:paraId="7F70A1A1"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1,150</w:t>
      </w:r>
      <w:r w:rsidRPr="00AC27FF">
        <w:rPr>
          <w:szCs w:val="24"/>
        </w:rPr>
        <w:t>.  Only price cap carriers that elect to receive Phase I</w:t>
      </w:r>
      <w:r>
        <w:rPr>
          <w:szCs w:val="24"/>
        </w:rPr>
        <w:t>I model-based support</w:t>
      </w:r>
      <w:r w:rsidRPr="00AC27FF">
        <w:rPr>
          <w:szCs w:val="24"/>
        </w:rPr>
        <w:t xml:space="preserve"> </w:t>
      </w:r>
      <w:r>
        <w:rPr>
          <w:szCs w:val="24"/>
        </w:rPr>
        <w:t>and rate-of-return carriers that receive high-cost support must make this certification</w:t>
      </w:r>
      <w:r w:rsidRPr="00AC27FF">
        <w:rPr>
          <w:szCs w:val="24"/>
        </w:rPr>
        <w:t>.</w:t>
      </w:r>
    </w:p>
    <w:p w14:paraId="1EF5A257" w14:textId="77777777" w:rsidR="0005073E" w:rsidRPr="00AC27FF" w:rsidRDefault="0005073E" w:rsidP="0005073E">
      <w:pPr>
        <w:ind w:left="720" w:hanging="360"/>
        <w:rPr>
          <w:szCs w:val="24"/>
        </w:rPr>
      </w:pPr>
    </w:p>
    <w:p w14:paraId="50619907"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accepting Phase I</w:t>
      </w:r>
      <w:r>
        <w:rPr>
          <w:szCs w:val="24"/>
        </w:rPr>
        <w:t>I model-based support and rate-of-return carriers that receive high-cost support</w:t>
      </w:r>
      <w:r w:rsidRPr="00AC27FF">
        <w:rPr>
          <w:szCs w:val="24"/>
        </w:rPr>
        <w:t xml:space="preserve"> will be required to file this </w:t>
      </w:r>
      <w:r>
        <w:rPr>
          <w:szCs w:val="24"/>
        </w:rPr>
        <w:t>certification once the requirement has been fully implemented</w:t>
      </w:r>
      <w:r w:rsidRPr="00AC27FF">
        <w:rPr>
          <w:szCs w:val="24"/>
        </w:rPr>
        <w:t xml:space="preserve">.  </w:t>
      </w:r>
    </w:p>
    <w:p w14:paraId="4B388EF0" w14:textId="77777777" w:rsidR="0005073E" w:rsidRPr="00AC27FF" w:rsidRDefault="0005073E" w:rsidP="0005073E">
      <w:pPr>
        <w:ind w:left="720" w:hanging="360"/>
        <w:rPr>
          <w:szCs w:val="24"/>
        </w:rPr>
      </w:pPr>
    </w:p>
    <w:p w14:paraId="53D06E85" w14:textId="77777777" w:rsidR="0005073E" w:rsidRDefault="0005073E" w:rsidP="0005073E">
      <w:pPr>
        <w:ind w:left="720" w:hanging="360"/>
        <w:rPr>
          <w:szCs w:val="24"/>
        </w:rPr>
      </w:pPr>
      <w:r>
        <w:rPr>
          <w:szCs w:val="24"/>
        </w:rPr>
        <w:t xml:space="preserve">(3) </w:t>
      </w:r>
      <w:r w:rsidRPr="00423F95">
        <w:rPr>
          <w:szCs w:val="24"/>
          <w:u w:val="single"/>
        </w:rPr>
        <w:t>Total responses per respondent</w:t>
      </w:r>
      <w:r>
        <w:rPr>
          <w:szCs w:val="24"/>
        </w:rPr>
        <w:t xml:space="preserve">:  Approximately 1. </w:t>
      </w:r>
    </w:p>
    <w:p w14:paraId="7E2CBC47" w14:textId="77777777" w:rsidR="0005073E" w:rsidRDefault="0005073E" w:rsidP="0005073E">
      <w:pPr>
        <w:ind w:left="720" w:hanging="360"/>
        <w:rPr>
          <w:szCs w:val="24"/>
        </w:rPr>
      </w:pPr>
    </w:p>
    <w:p w14:paraId="153FF970" w14:textId="77777777" w:rsidR="0005073E" w:rsidRPr="00423F95" w:rsidRDefault="0005073E" w:rsidP="0005073E">
      <w:pPr>
        <w:ind w:left="720" w:hanging="360"/>
        <w:rPr>
          <w:szCs w:val="24"/>
        </w:rPr>
      </w:pPr>
      <w:r>
        <w:rPr>
          <w:szCs w:val="24"/>
        </w:rPr>
        <w:t xml:space="preserve">(4) </w:t>
      </w:r>
      <w:r w:rsidRPr="00423F95">
        <w:rPr>
          <w:szCs w:val="24"/>
          <w:u w:val="single"/>
        </w:rPr>
        <w:t>Estimated time per response</w:t>
      </w:r>
      <w:r w:rsidRPr="00423F95">
        <w:rPr>
          <w:szCs w:val="24"/>
        </w:rPr>
        <w:t xml:space="preserve">:  2 hours. </w:t>
      </w:r>
    </w:p>
    <w:p w14:paraId="52510B16" w14:textId="77777777" w:rsidR="0005073E" w:rsidRPr="00423F95" w:rsidRDefault="0005073E" w:rsidP="0005073E">
      <w:pPr>
        <w:ind w:left="720" w:hanging="360"/>
        <w:rPr>
          <w:szCs w:val="24"/>
        </w:rPr>
      </w:pPr>
    </w:p>
    <w:p w14:paraId="0A233D30" w14:textId="77777777" w:rsidR="0005073E" w:rsidRDefault="0005073E" w:rsidP="0005073E">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2,300 hours.  </w:t>
      </w:r>
    </w:p>
    <w:p w14:paraId="04EF0706" w14:textId="77777777" w:rsidR="0005073E" w:rsidRDefault="0005073E" w:rsidP="0005073E">
      <w:pPr>
        <w:ind w:left="720" w:hanging="360"/>
        <w:rPr>
          <w:szCs w:val="24"/>
        </w:rPr>
      </w:pPr>
    </w:p>
    <w:p w14:paraId="60ED2793" w14:textId="77777777" w:rsidR="0005073E" w:rsidRPr="00AC27FF" w:rsidRDefault="0005073E" w:rsidP="0005073E">
      <w:pPr>
        <w:ind w:left="720" w:hanging="360"/>
        <w:rPr>
          <w:szCs w:val="24"/>
        </w:rPr>
      </w:pPr>
      <w:r>
        <w:rPr>
          <w:szCs w:val="24"/>
        </w:rPr>
        <w:t xml:space="preserve">      2</w:t>
      </w:r>
      <w:r w:rsidRPr="00AC27FF">
        <w:rPr>
          <w:szCs w:val="24"/>
        </w:rPr>
        <w:t xml:space="preserve"> hours per respondent for </w:t>
      </w:r>
      <w:r>
        <w:rPr>
          <w:szCs w:val="24"/>
        </w:rPr>
        <w:t>1,150</w:t>
      </w:r>
      <w:r w:rsidRPr="00AC27FF">
        <w:rPr>
          <w:szCs w:val="24"/>
        </w:rPr>
        <w:t xml:space="preserve"> carriers filing on an annual basis.  Total annual hour burden is calculated as follows:  </w:t>
      </w:r>
    </w:p>
    <w:p w14:paraId="05142DAA" w14:textId="77777777" w:rsidR="0005073E" w:rsidRPr="00AC27FF" w:rsidRDefault="0005073E" w:rsidP="0005073E">
      <w:pPr>
        <w:ind w:left="720"/>
        <w:rPr>
          <w:szCs w:val="24"/>
        </w:rPr>
      </w:pPr>
    </w:p>
    <w:p w14:paraId="72287E83" w14:textId="77777777" w:rsidR="0005073E" w:rsidRPr="00AC27FF" w:rsidRDefault="0005073E" w:rsidP="0005073E">
      <w:pPr>
        <w:ind w:left="720"/>
        <w:rPr>
          <w:szCs w:val="24"/>
        </w:rPr>
      </w:pPr>
      <w:r>
        <w:rPr>
          <w:szCs w:val="24"/>
        </w:rPr>
        <w:t>1,150</w:t>
      </w:r>
      <w:r w:rsidRPr="00AC27FF">
        <w:rPr>
          <w:szCs w:val="24"/>
        </w:rPr>
        <w:t xml:space="preserve"> responde</w:t>
      </w:r>
      <w:r>
        <w:rPr>
          <w:szCs w:val="24"/>
        </w:rPr>
        <w:t>nts x 1 report per respondent = 1,150 responses x 2</w:t>
      </w:r>
      <w:r w:rsidRPr="00AC27FF">
        <w:rPr>
          <w:szCs w:val="24"/>
        </w:rPr>
        <w:t xml:space="preserve"> hours = </w:t>
      </w:r>
      <w:r>
        <w:rPr>
          <w:b/>
          <w:szCs w:val="24"/>
        </w:rPr>
        <w:t xml:space="preserve">2,300 </w:t>
      </w:r>
      <w:r w:rsidRPr="00AC27FF">
        <w:rPr>
          <w:b/>
          <w:szCs w:val="24"/>
        </w:rPr>
        <w:t>total annual hours.</w:t>
      </w:r>
      <w:r w:rsidRPr="00AC27FF">
        <w:rPr>
          <w:szCs w:val="24"/>
        </w:rPr>
        <w:t xml:space="preserve">  </w:t>
      </w:r>
    </w:p>
    <w:p w14:paraId="168A6ACB" w14:textId="77777777" w:rsidR="0005073E" w:rsidRPr="00AC27FF" w:rsidRDefault="0005073E" w:rsidP="0005073E">
      <w:pPr>
        <w:ind w:left="720" w:hanging="360"/>
        <w:rPr>
          <w:szCs w:val="24"/>
        </w:rPr>
      </w:pPr>
    </w:p>
    <w:p w14:paraId="572FA352" w14:textId="77777777" w:rsidR="0005073E" w:rsidRPr="00AC27FF" w:rsidRDefault="0005073E" w:rsidP="0005073E">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92,000. </w:t>
      </w:r>
      <w:r w:rsidRPr="00AC27FF">
        <w:rPr>
          <w:szCs w:val="24"/>
        </w:rPr>
        <w:t>(</w:t>
      </w:r>
      <w:r>
        <w:rPr>
          <w:szCs w:val="24"/>
        </w:rPr>
        <w:t>2,300 hours x $40/hour</w:t>
      </w:r>
      <w:r w:rsidRPr="00AC27FF">
        <w:rPr>
          <w:szCs w:val="24"/>
        </w:rPr>
        <w:t>).</w:t>
      </w:r>
    </w:p>
    <w:p w14:paraId="599955C2" w14:textId="77777777" w:rsidR="0005073E" w:rsidRPr="00AC27FF" w:rsidRDefault="0005073E" w:rsidP="0005073E">
      <w:pPr>
        <w:ind w:left="720" w:hanging="360"/>
        <w:rPr>
          <w:szCs w:val="24"/>
        </w:rPr>
      </w:pPr>
    </w:p>
    <w:p w14:paraId="6A7BCC90" w14:textId="77777777" w:rsidR="0005073E" w:rsidRPr="00AC27FF" w:rsidRDefault="0005073E" w:rsidP="0005073E">
      <w:pPr>
        <w:tabs>
          <w:tab w:val="left" w:pos="2250"/>
        </w:tabs>
        <w:ind w:left="720" w:hanging="360"/>
        <w:rPr>
          <w:color w:val="000000"/>
          <w:szCs w:val="24"/>
        </w:rPr>
      </w:pPr>
      <w:r>
        <w:rPr>
          <w:szCs w:val="24"/>
        </w:rPr>
        <w:t xml:space="preserve">(7) </w:t>
      </w:r>
      <w:r w:rsidRPr="00AC27FF">
        <w:rPr>
          <w:szCs w:val="24"/>
          <w:u w:val="single"/>
        </w:rPr>
        <w:t>Explanation of calculation</w:t>
      </w:r>
      <w:r w:rsidRPr="00AC27FF">
        <w:rPr>
          <w:szCs w:val="24"/>
        </w:rPr>
        <w:t xml:space="preserve">:  We estimate that each carrier </w:t>
      </w:r>
      <w:r>
        <w:rPr>
          <w:szCs w:val="24"/>
        </w:rPr>
        <w:t>that accepted</w:t>
      </w:r>
      <w:r w:rsidRPr="00AC27FF">
        <w:rPr>
          <w:szCs w:val="24"/>
        </w:rPr>
        <w:t xml:space="preserve"> Phase I</w:t>
      </w:r>
      <w:r>
        <w:rPr>
          <w:szCs w:val="24"/>
        </w:rPr>
        <w:t>I model-based</w:t>
      </w:r>
      <w:r w:rsidRPr="00AC27FF">
        <w:rPr>
          <w:szCs w:val="24"/>
        </w:rPr>
        <w:t xml:space="preserve"> </w:t>
      </w:r>
      <w:r>
        <w:rPr>
          <w:szCs w:val="24"/>
        </w:rPr>
        <w:t>support and each rate-of-return carrier that receives high-cost support will spend at least 2</w:t>
      </w:r>
      <w:r w:rsidRPr="00AC27FF">
        <w:rPr>
          <w:szCs w:val="24"/>
        </w:rPr>
        <w:t xml:space="preserve"> hours </w:t>
      </w:r>
      <w:r>
        <w:rPr>
          <w:szCs w:val="24"/>
        </w:rPr>
        <w:t>to confirm compliance and certify</w:t>
      </w:r>
      <w:r w:rsidRPr="00AC27FF">
        <w:rPr>
          <w:szCs w:val="24"/>
        </w:rPr>
        <w:t xml:space="preserve"> that </w:t>
      </w:r>
      <w:r>
        <w:rPr>
          <w:szCs w:val="24"/>
        </w:rPr>
        <w:t>it has met the E-rate requirements</w:t>
      </w:r>
      <w:r w:rsidRPr="00AC27FF">
        <w:rPr>
          <w:color w:val="000000"/>
          <w:szCs w:val="24"/>
        </w:rPr>
        <w:t xml:space="preserve">.  </w:t>
      </w:r>
    </w:p>
    <w:p w14:paraId="2A63AF64" w14:textId="77777777" w:rsidR="0005073E" w:rsidRPr="00AC27FF" w:rsidRDefault="0005073E" w:rsidP="0005073E">
      <w:pPr>
        <w:ind w:left="720" w:hanging="360"/>
        <w:rPr>
          <w:szCs w:val="24"/>
        </w:rPr>
      </w:pPr>
    </w:p>
    <w:p w14:paraId="4D4C6B90" w14:textId="4C4C24F0" w:rsidR="0005073E" w:rsidRDefault="0005073E" w:rsidP="0005073E">
      <w:pPr>
        <w:ind w:left="720"/>
        <w:rPr>
          <w:szCs w:val="24"/>
        </w:rPr>
      </w:pPr>
      <w:r>
        <w:rPr>
          <w:szCs w:val="24"/>
        </w:rPr>
        <w:t>1,150 (responses) x 2</w:t>
      </w:r>
      <w:r w:rsidRPr="00AC27FF">
        <w:rPr>
          <w:szCs w:val="24"/>
        </w:rPr>
        <w:t xml:space="preserve"> (hours </w:t>
      </w:r>
      <w:r>
        <w:rPr>
          <w:szCs w:val="24"/>
        </w:rPr>
        <w:t>to confirm and certify compliance) x $40/hr.</w:t>
      </w:r>
      <w:r w:rsidRPr="00AC27FF">
        <w:rPr>
          <w:szCs w:val="24"/>
        </w:rPr>
        <w:t xml:space="preserve"> = $</w:t>
      </w:r>
      <w:r>
        <w:rPr>
          <w:szCs w:val="24"/>
        </w:rPr>
        <w:t>92,000</w:t>
      </w:r>
      <w:r w:rsidRPr="00AC27FF">
        <w:rPr>
          <w:szCs w:val="24"/>
        </w:rPr>
        <w:t>.</w:t>
      </w:r>
    </w:p>
    <w:p w14:paraId="2031F969" w14:textId="77777777" w:rsidR="0005073E" w:rsidRDefault="0005073E" w:rsidP="0005073E">
      <w:pPr>
        <w:ind w:left="720"/>
        <w:rPr>
          <w:szCs w:val="24"/>
        </w:rPr>
      </w:pPr>
    </w:p>
    <w:p w14:paraId="0CC4D18F" w14:textId="167FA95D" w:rsidR="0005073E" w:rsidRPr="00AC27FF" w:rsidRDefault="0005073E" w:rsidP="0005073E">
      <w:pPr>
        <w:ind w:left="360" w:hanging="360"/>
        <w:rPr>
          <w:b/>
          <w:szCs w:val="24"/>
          <w:u w:val="single"/>
        </w:rPr>
      </w:pPr>
      <w:r>
        <w:rPr>
          <w:b/>
          <w:szCs w:val="24"/>
          <w:u w:val="single"/>
        </w:rPr>
        <w:t>e</w:t>
      </w:r>
      <w:r w:rsidRPr="00AC27FF">
        <w:rPr>
          <w:b/>
          <w:szCs w:val="24"/>
          <w:u w:val="single"/>
        </w:rPr>
        <w:t xml:space="preserve">. Connect America Fund Phase II </w:t>
      </w:r>
      <w:r>
        <w:rPr>
          <w:b/>
          <w:szCs w:val="24"/>
          <w:u w:val="single"/>
        </w:rPr>
        <w:t>Requirements (no revisions)</w:t>
      </w:r>
      <w:r>
        <w:rPr>
          <w:b/>
          <w:szCs w:val="24"/>
        </w:rPr>
        <w:t>:</w:t>
      </w:r>
    </w:p>
    <w:p w14:paraId="75A812D8" w14:textId="77777777" w:rsidR="0005073E" w:rsidRPr="00AC27FF" w:rsidRDefault="0005073E" w:rsidP="0005073E">
      <w:pPr>
        <w:ind w:left="360"/>
        <w:rPr>
          <w:b/>
          <w:szCs w:val="24"/>
          <w:u w:val="single"/>
        </w:rPr>
      </w:pPr>
    </w:p>
    <w:p w14:paraId="4BE7D5A4"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xml:space="preserve"> carriers or holding companies receiving Connect America Phase II support will be required to </w:t>
      </w:r>
      <w:r>
        <w:rPr>
          <w:szCs w:val="24"/>
        </w:rPr>
        <w:t>report the number, names and, addresses of community anchor institutions to which they newly began providing access to broadband service</w:t>
      </w:r>
      <w:r w:rsidRPr="00AC27FF">
        <w:rPr>
          <w:szCs w:val="24"/>
        </w:rPr>
        <w:t xml:space="preserve">.  </w:t>
      </w:r>
    </w:p>
    <w:p w14:paraId="17FBC115" w14:textId="77777777" w:rsidR="0005073E" w:rsidRPr="00AC27FF" w:rsidRDefault="0005073E" w:rsidP="0005073E">
      <w:pPr>
        <w:ind w:left="720" w:hanging="360"/>
        <w:rPr>
          <w:szCs w:val="24"/>
        </w:rPr>
      </w:pPr>
    </w:p>
    <w:p w14:paraId="302B0790"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7DCDFD58" w14:textId="77777777" w:rsidR="0005073E" w:rsidRPr="00AC27FF" w:rsidRDefault="0005073E" w:rsidP="0005073E">
      <w:pPr>
        <w:ind w:left="720" w:hanging="360"/>
        <w:rPr>
          <w:szCs w:val="24"/>
        </w:rPr>
      </w:pPr>
    </w:p>
    <w:p w14:paraId="627D1799" w14:textId="77777777" w:rsidR="0005073E" w:rsidRDefault="0005073E" w:rsidP="0005073E">
      <w:pPr>
        <w:ind w:left="720" w:hanging="360"/>
        <w:rPr>
          <w:szCs w:val="24"/>
        </w:rPr>
      </w:pPr>
      <w:r w:rsidRPr="00AC27FF">
        <w:rPr>
          <w:szCs w:val="24"/>
        </w:rPr>
        <w:t xml:space="preserve">(3) </w:t>
      </w:r>
      <w:r w:rsidRPr="0066661E">
        <w:rPr>
          <w:szCs w:val="24"/>
          <w:u w:val="single"/>
        </w:rPr>
        <w:t>Total number of responses per respondent</w:t>
      </w:r>
      <w:r>
        <w:rPr>
          <w:szCs w:val="24"/>
        </w:rPr>
        <w:t>:  Approximately 1.</w:t>
      </w:r>
      <w:r w:rsidRPr="00AC27FF">
        <w:rPr>
          <w:szCs w:val="24"/>
        </w:rPr>
        <w:t xml:space="preserve"> </w:t>
      </w:r>
    </w:p>
    <w:p w14:paraId="73FF2185" w14:textId="77777777" w:rsidR="0005073E" w:rsidRDefault="0005073E" w:rsidP="0005073E">
      <w:pPr>
        <w:ind w:left="720" w:hanging="360"/>
        <w:rPr>
          <w:szCs w:val="24"/>
          <w:u w:val="single"/>
        </w:rPr>
      </w:pPr>
    </w:p>
    <w:p w14:paraId="1DB5DC76" w14:textId="77777777" w:rsidR="0005073E" w:rsidRPr="0066661E" w:rsidRDefault="0005073E" w:rsidP="0005073E">
      <w:pPr>
        <w:ind w:left="720" w:hanging="360"/>
        <w:rPr>
          <w:szCs w:val="24"/>
        </w:rPr>
      </w:pPr>
      <w:r w:rsidRPr="0066661E">
        <w:rPr>
          <w:szCs w:val="24"/>
        </w:rPr>
        <w:t xml:space="preserve">(4) </w:t>
      </w:r>
      <w:r w:rsidRPr="0066661E">
        <w:rPr>
          <w:szCs w:val="24"/>
          <w:u w:val="single"/>
        </w:rPr>
        <w:t>Estimated time per response</w:t>
      </w:r>
      <w:r w:rsidRPr="0066661E">
        <w:rPr>
          <w:szCs w:val="24"/>
        </w:rPr>
        <w:t xml:space="preserve">:  </w:t>
      </w:r>
      <w:r>
        <w:rPr>
          <w:szCs w:val="24"/>
        </w:rPr>
        <w:t>2</w:t>
      </w:r>
      <w:r w:rsidRPr="0066661E">
        <w:rPr>
          <w:szCs w:val="24"/>
        </w:rPr>
        <w:t xml:space="preserve"> hours. </w:t>
      </w:r>
    </w:p>
    <w:p w14:paraId="64D75921" w14:textId="77777777" w:rsidR="0005073E" w:rsidRDefault="0005073E" w:rsidP="0005073E">
      <w:pPr>
        <w:ind w:left="720" w:hanging="360"/>
        <w:rPr>
          <w:szCs w:val="24"/>
          <w:u w:val="single"/>
        </w:rPr>
      </w:pPr>
    </w:p>
    <w:p w14:paraId="34834505" w14:textId="77777777" w:rsidR="0005073E" w:rsidRDefault="0005073E" w:rsidP="0005073E">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 xml:space="preserve">18 hours. </w:t>
      </w:r>
    </w:p>
    <w:p w14:paraId="2AFB983A" w14:textId="77777777" w:rsidR="0005073E" w:rsidRDefault="0005073E" w:rsidP="0005073E">
      <w:pPr>
        <w:ind w:left="720" w:hanging="360"/>
        <w:rPr>
          <w:szCs w:val="24"/>
        </w:rPr>
      </w:pPr>
    </w:p>
    <w:p w14:paraId="110BA085" w14:textId="77777777" w:rsidR="0005073E" w:rsidRPr="00AC27FF" w:rsidRDefault="0005073E" w:rsidP="0005073E">
      <w:pPr>
        <w:ind w:left="720" w:hanging="360"/>
        <w:rPr>
          <w:szCs w:val="24"/>
        </w:rPr>
      </w:pPr>
      <w:r>
        <w:rPr>
          <w:szCs w:val="24"/>
        </w:rPr>
        <w:t xml:space="preserve">      2</w:t>
      </w:r>
      <w:r w:rsidRPr="00F54D78">
        <w:rPr>
          <w:szCs w:val="24"/>
        </w:rPr>
        <w:t xml:space="preserve"> hours per respondent for 9 respondents filing annually.  Total annual hour burden is: 9 respondents x 1 report per respondent = 9 responses x </w:t>
      </w:r>
      <w:r>
        <w:rPr>
          <w:szCs w:val="24"/>
        </w:rPr>
        <w:t>2</w:t>
      </w:r>
      <w:r w:rsidRPr="00F54D78">
        <w:rPr>
          <w:szCs w:val="24"/>
        </w:rPr>
        <w:t xml:space="preserve"> hours = </w:t>
      </w:r>
      <w:r>
        <w:rPr>
          <w:b/>
          <w:szCs w:val="24"/>
        </w:rPr>
        <w:t>18</w:t>
      </w:r>
      <w:r w:rsidRPr="00F54D78">
        <w:rPr>
          <w:szCs w:val="24"/>
        </w:rPr>
        <w:t xml:space="preserve"> </w:t>
      </w:r>
      <w:r w:rsidRPr="00F54D78">
        <w:rPr>
          <w:b/>
          <w:szCs w:val="24"/>
        </w:rPr>
        <w:t>hours</w:t>
      </w:r>
      <w:r w:rsidRPr="00F54D78">
        <w:rPr>
          <w:szCs w:val="24"/>
        </w:rPr>
        <w:t>.</w:t>
      </w:r>
    </w:p>
    <w:p w14:paraId="0619D1AE" w14:textId="77777777" w:rsidR="0005073E" w:rsidRPr="00AC27FF" w:rsidRDefault="0005073E" w:rsidP="0005073E">
      <w:pPr>
        <w:ind w:left="720" w:hanging="360"/>
        <w:rPr>
          <w:szCs w:val="24"/>
        </w:rPr>
      </w:pPr>
    </w:p>
    <w:p w14:paraId="278DBF01"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720</w:t>
      </w:r>
      <w:r w:rsidRPr="00AC27FF">
        <w:rPr>
          <w:szCs w:val="24"/>
        </w:rPr>
        <w:t>.  (</w:t>
      </w:r>
      <w:r>
        <w:rPr>
          <w:szCs w:val="24"/>
        </w:rPr>
        <w:t>18</w:t>
      </w:r>
      <w:r w:rsidRPr="00AC27FF">
        <w:rPr>
          <w:szCs w:val="24"/>
        </w:rPr>
        <w:t xml:space="preserve"> hours x $40/hour.).</w:t>
      </w:r>
    </w:p>
    <w:p w14:paraId="03E54516" w14:textId="77777777" w:rsidR="0005073E" w:rsidRPr="00AC27FF" w:rsidRDefault="0005073E" w:rsidP="0005073E">
      <w:pPr>
        <w:ind w:left="720" w:hanging="360"/>
        <w:rPr>
          <w:szCs w:val="24"/>
        </w:rPr>
      </w:pPr>
    </w:p>
    <w:p w14:paraId="0D98078E" w14:textId="77777777" w:rsidR="0005073E" w:rsidRPr="00AC27FF" w:rsidRDefault="0005073E" w:rsidP="0005073E">
      <w:pPr>
        <w:numPr>
          <w:ilvl w:val="0"/>
          <w:numId w:val="5"/>
        </w:numPr>
        <w:rPr>
          <w:color w:val="000000"/>
          <w:szCs w:val="24"/>
        </w:rPr>
      </w:pPr>
      <w:r w:rsidRPr="00AC27FF">
        <w:rPr>
          <w:szCs w:val="24"/>
          <w:u w:val="single"/>
        </w:rPr>
        <w:t>Explanation of calculation</w:t>
      </w:r>
      <w:r w:rsidRPr="00AC27FF">
        <w:rPr>
          <w:szCs w:val="24"/>
        </w:rPr>
        <w:t xml:space="preserve">: </w:t>
      </w:r>
      <w:r>
        <w:rPr>
          <w:szCs w:val="24"/>
        </w:rPr>
        <w:t>We estimate that each Phase II funding recipient will spend at least 2 hours collecting and reporting data on newly served community anchor institutions.</w:t>
      </w:r>
      <w:r>
        <w:rPr>
          <w:color w:val="000000"/>
          <w:szCs w:val="24"/>
        </w:rPr>
        <w:t xml:space="preserve">  9 (</w:t>
      </w:r>
      <w:r w:rsidRPr="00AC27FF">
        <w:rPr>
          <w:color w:val="000000"/>
          <w:szCs w:val="24"/>
        </w:rPr>
        <w:t>respon</w:t>
      </w:r>
      <w:r>
        <w:rPr>
          <w:color w:val="000000"/>
          <w:szCs w:val="24"/>
        </w:rPr>
        <w:t>ses</w:t>
      </w:r>
      <w:r w:rsidRPr="00AC27FF">
        <w:rPr>
          <w:color w:val="000000"/>
          <w:szCs w:val="24"/>
        </w:rPr>
        <w:t xml:space="preserve">) x </w:t>
      </w:r>
      <w:r>
        <w:rPr>
          <w:color w:val="000000"/>
          <w:szCs w:val="24"/>
        </w:rPr>
        <w:t>2</w:t>
      </w:r>
      <w:r w:rsidRPr="00AC27FF">
        <w:rPr>
          <w:color w:val="000000"/>
          <w:szCs w:val="24"/>
        </w:rPr>
        <w:t xml:space="preserve"> (hours to </w:t>
      </w:r>
      <w:r w:rsidRPr="00AC27FF">
        <w:rPr>
          <w:szCs w:val="24"/>
        </w:rPr>
        <w:t xml:space="preserve">track, </w:t>
      </w:r>
      <w:r>
        <w:rPr>
          <w:szCs w:val="24"/>
        </w:rPr>
        <w:t xml:space="preserve">tabulate, </w:t>
      </w:r>
      <w:r w:rsidRPr="00AC27FF">
        <w:rPr>
          <w:szCs w:val="24"/>
        </w:rPr>
        <w:t>and prepare reporting requirements</w:t>
      </w:r>
      <w:r w:rsidRPr="00AC27FF">
        <w:rPr>
          <w:color w:val="000000"/>
          <w:szCs w:val="24"/>
        </w:rPr>
        <w:t xml:space="preserve">) x </w:t>
      </w:r>
      <w:r w:rsidRPr="00AC27FF">
        <w:rPr>
          <w:szCs w:val="24"/>
        </w:rPr>
        <w:t xml:space="preserve">$40/hr. </w:t>
      </w:r>
      <w:r w:rsidRPr="00AC27FF">
        <w:rPr>
          <w:color w:val="000000"/>
          <w:szCs w:val="24"/>
        </w:rPr>
        <w:t>= $</w:t>
      </w:r>
      <w:r>
        <w:rPr>
          <w:color w:val="000000"/>
          <w:szCs w:val="24"/>
        </w:rPr>
        <w:t>720</w:t>
      </w:r>
      <w:r w:rsidRPr="00AC27FF">
        <w:rPr>
          <w:color w:val="000000"/>
          <w:szCs w:val="24"/>
        </w:rPr>
        <w:t>.</w:t>
      </w:r>
    </w:p>
    <w:p w14:paraId="1C668CA8" w14:textId="77777777" w:rsidR="0005073E" w:rsidRPr="00AC27FF" w:rsidRDefault="0005073E" w:rsidP="0005073E">
      <w:pPr>
        <w:ind w:left="720"/>
        <w:rPr>
          <w:color w:val="000000"/>
          <w:szCs w:val="24"/>
        </w:rPr>
      </w:pPr>
    </w:p>
    <w:p w14:paraId="252EDA1B" w14:textId="21210CA2" w:rsidR="0005073E" w:rsidRPr="00AC27FF" w:rsidRDefault="0005073E" w:rsidP="0005073E">
      <w:pPr>
        <w:ind w:left="360"/>
        <w:rPr>
          <w:b/>
          <w:szCs w:val="24"/>
          <w:u w:val="single"/>
        </w:rPr>
      </w:pPr>
      <w:r>
        <w:rPr>
          <w:b/>
          <w:szCs w:val="24"/>
          <w:u w:val="single"/>
        </w:rPr>
        <w:t>f</w:t>
      </w:r>
      <w:r w:rsidRPr="00AC27FF">
        <w:rPr>
          <w:b/>
          <w:szCs w:val="24"/>
          <w:u w:val="single"/>
        </w:rPr>
        <w:t xml:space="preserve">. Rate-of-Return Carrier </w:t>
      </w:r>
      <w:r>
        <w:rPr>
          <w:b/>
          <w:szCs w:val="24"/>
          <w:u w:val="single"/>
        </w:rPr>
        <w:t>Requirements (no revisions)</w:t>
      </w:r>
      <w:r>
        <w:rPr>
          <w:b/>
          <w:szCs w:val="24"/>
        </w:rPr>
        <w:t>:</w:t>
      </w:r>
    </w:p>
    <w:p w14:paraId="117205D1" w14:textId="77777777" w:rsidR="0005073E" w:rsidRPr="00AC27FF" w:rsidRDefault="0005073E" w:rsidP="0005073E">
      <w:pPr>
        <w:ind w:left="360"/>
        <w:rPr>
          <w:b/>
          <w:szCs w:val="24"/>
          <w:u w:val="single"/>
        </w:rPr>
      </w:pPr>
    </w:p>
    <w:p w14:paraId="5E55EBC1"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1,141 rate-of-return carriers will be required to certify that they </w:t>
      </w:r>
      <w:r>
        <w:rPr>
          <w:szCs w:val="24"/>
        </w:rPr>
        <w:t>are offering broadband upon reasonable request meeting the Commission’s requirements and report the number, names, and addresses of community anchor institutions to which they newly began providing access to broadband service</w:t>
      </w:r>
      <w:r w:rsidRPr="00AC27FF">
        <w:rPr>
          <w:szCs w:val="24"/>
        </w:rPr>
        <w:t xml:space="preserve">.  </w:t>
      </w:r>
    </w:p>
    <w:p w14:paraId="21423A3C" w14:textId="77777777" w:rsidR="0005073E" w:rsidRPr="00AC27FF" w:rsidRDefault="0005073E" w:rsidP="0005073E">
      <w:pPr>
        <w:ind w:left="720" w:hanging="360"/>
        <w:rPr>
          <w:szCs w:val="24"/>
        </w:rPr>
      </w:pPr>
    </w:p>
    <w:p w14:paraId="04C0D196"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74352D66" w14:textId="77777777" w:rsidR="0005073E" w:rsidRPr="00AC27FF" w:rsidRDefault="0005073E" w:rsidP="0005073E">
      <w:pPr>
        <w:ind w:left="720" w:hanging="360"/>
        <w:rPr>
          <w:szCs w:val="24"/>
        </w:rPr>
      </w:pPr>
    </w:p>
    <w:p w14:paraId="371B8DF4" w14:textId="77777777" w:rsidR="0005073E" w:rsidRDefault="0005073E" w:rsidP="0005073E">
      <w:pPr>
        <w:ind w:left="720" w:hanging="360"/>
        <w:rPr>
          <w:szCs w:val="24"/>
        </w:rPr>
      </w:pPr>
      <w:r w:rsidRPr="00AC27FF">
        <w:rPr>
          <w:szCs w:val="24"/>
        </w:rPr>
        <w:t xml:space="preserve">(3) </w:t>
      </w:r>
      <w:r w:rsidRPr="0046244E">
        <w:rPr>
          <w:szCs w:val="24"/>
          <w:u w:val="single"/>
        </w:rPr>
        <w:t>Total number of responses per respondent</w:t>
      </w:r>
      <w:r>
        <w:rPr>
          <w:szCs w:val="24"/>
        </w:rPr>
        <w:t xml:space="preserve">: Approximately 1. </w:t>
      </w:r>
    </w:p>
    <w:p w14:paraId="372192B2" w14:textId="77777777" w:rsidR="0005073E" w:rsidRDefault="0005073E" w:rsidP="0005073E">
      <w:pPr>
        <w:ind w:left="720" w:hanging="360"/>
        <w:rPr>
          <w:szCs w:val="24"/>
        </w:rPr>
      </w:pPr>
    </w:p>
    <w:p w14:paraId="1E059454" w14:textId="77777777" w:rsidR="0005073E" w:rsidRDefault="0005073E" w:rsidP="0005073E">
      <w:pPr>
        <w:ind w:left="720" w:hanging="360"/>
        <w:rPr>
          <w:szCs w:val="24"/>
        </w:rPr>
      </w:pPr>
      <w:r>
        <w:rPr>
          <w:szCs w:val="24"/>
        </w:rPr>
        <w:t xml:space="preserve">(4) </w:t>
      </w:r>
      <w:r w:rsidRPr="0046244E">
        <w:rPr>
          <w:szCs w:val="24"/>
          <w:u w:val="single"/>
        </w:rPr>
        <w:t>Estimated time per response</w:t>
      </w:r>
      <w:r>
        <w:rPr>
          <w:szCs w:val="24"/>
        </w:rPr>
        <w:t xml:space="preserve">:  3 hours. </w:t>
      </w:r>
    </w:p>
    <w:p w14:paraId="57180FF0" w14:textId="77777777" w:rsidR="0005073E" w:rsidRDefault="0005073E" w:rsidP="0005073E">
      <w:pPr>
        <w:ind w:left="720" w:hanging="360"/>
        <w:rPr>
          <w:szCs w:val="24"/>
        </w:rPr>
      </w:pPr>
    </w:p>
    <w:p w14:paraId="51285795" w14:textId="77777777" w:rsidR="0005073E" w:rsidRDefault="0005073E" w:rsidP="0005073E">
      <w:pPr>
        <w:ind w:left="720" w:hanging="360"/>
        <w:rPr>
          <w:szCs w:val="24"/>
        </w:rPr>
      </w:pPr>
      <w:r w:rsidRPr="0046244E">
        <w:rPr>
          <w:szCs w:val="24"/>
        </w:rPr>
        <w:t xml:space="preserve">(5) </w:t>
      </w:r>
      <w:r w:rsidRPr="0046244E">
        <w:rPr>
          <w:szCs w:val="24"/>
          <w:u w:val="single"/>
        </w:rPr>
        <w:t>Total annual hour burden</w:t>
      </w:r>
      <w:r w:rsidRPr="00AC27FF">
        <w:rPr>
          <w:szCs w:val="24"/>
        </w:rPr>
        <w:t xml:space="preserve">:  </w:t>
      </w:r>
      <w:r>
        <w:rPr>
          <w:szCs w:val="24"/>
        </w:rPr>
        <w:t xml:space="preserve">3,423 hours. </w:t>
      </w:r>
    </w:p>
    <w:p w14:paraId="13B4D077" w14:textId="77777777" w:rsidR="0005073E" w:rsidRDefault="0005073E" w:rsidP="0005073E">
      <w:pPr>
        <w:ind w:left="720" w:hanging="360"/>
        <w:rPr>
          <w:szCs w:val="24"/>
        </w:rPr>
      </w:pPr>
    </w:p>
    <w:p w14:paraId="1AAE16D6" w14:textId="77777777" w:rsidR="0005073E" w:rsidRPr="00AC27FF" w:rsidRDefault="0005073E" w:rsidP="0005073E">
      <w:pPr>
        <w:ind w:left="720" w:hanging="360"/>
        <w:rPr>
          <w:szCs w:val="24"/>
        </w:rPr>
      </w:pPr>
      <w:r>
        <w:rPr>
          <w:szCs w:val="24"/>
        </w:rPr>
        <w:t xml:space="preserve">      1</w:t>
      </w:r>
      <w:r w:rsidRPr="00050DAD">
        <w:rPr>
          <w:szCs w:val="24"/>
        </w:rPr>
        <w:t xml:space="preserve"> hour per respondent for 1,141 respondents filing annually.  Total annual hour burden is: 1,141 respondents x 1 report per respondent = 1,141 responses x </w:t>
      </w:r>
      <w:r>
        <w:rPr>
          <w:szCs w:val="24"/>
        </w:rPr>
        <w:t>3</w:t>
      </w:r>
      <w:r w:rsidRPr="00050DAD">
        <w:rPr>
          <w:szCs w:val="24"/>
        </w:rPr>
        <w:t xml:space="preserve"> hour</w:t>
      </w:r>
      <w:r>
        <w:rPr>
          <w:szCs w:val="24"/>
        </w:rPr>
        <w:t>s</w:t>
      </w:r>
      <w:r w:rsidRPr="00050DAD">
        <w:rPr>
          <w:szCs w:val="24"/>
        </w:rPr>
        <w:t xml:space="preserve"> = </w:t>
      </w:r>
      <w:r>
        <w:rPr>
          <w:b/>
          <w:szCs w:val="24"/>
        </w:rPr>
        <w:t>3,423</w:t>
      </w:r>
      <w:r w:rsidRPr="00050DAD">
        <w:rPr>
          <w:b/>
          <w:szCs w:val="24"/>
        </w:rPr>
        <w:t xml:space="preserve"> hours</w:t>
      </w:r>
      <w:r w:rsidRPr="00050DAD">
        <w:rPr>
          <w:szCs w:val="24"/>
        </w:rPr>
        <w:t>.</w:t>
      </w:r>
    </w:p>
    <w:p w14:paraId="23AECCA9" w14:textId="77777777" w:rsidR="0005073E" w:rsidRPr="00AC27FF" w:rsidRDefault="0005073E" w:rsidP="0005073E">
      <w:pPr>
        <w:ind w:left="720" w:hanging="360"/>
        <w:rPr>
          <w:szCs w:val="24"/>
        </w:rPr>
      </w:pPr>
    </w:p>
    <w:p w14:paraId="03EE3CB9"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w:t>
      </w:r>
      <w:r>
        <w:rPr>
          <w:szCs w:val="24"/>
        </w:rPr>
        <w:t>136,920</w:t>
      </w:r>
      <w:r w:rsidRPr="00AC27FF">
        <w:rPr>
          <w:szCs w:val="24"/>
        </w:rPr>
        <w:t>.  (</w:t>
      </w:r>
      <w:r>
        <w:rPr>
          <w:szCs w:val="24"/>
        </w:rPr>
        <w:t>3,423</w:t>
      </w:r>
      <w:r w:rsidRPr="00AC27FF">
        <w:rPr>
          <w:szCs w:val="24"/>
        </w:rPr>
        <w:t xml:space="preserve"> hours x $40/hour.).</w:t>
      </w:r>
    </w:p>
    <w:p w14:paraId="659C4A10" w14:textId="77777777" w:rsidR="0005073E" w:rsidRPr="00AC27FF" w:rsidRDefault="0005073E" w:rsidP="0005073E">
      <w:pPr>
        <w:ind w:left="720" w:hanging="360"/>
        <w:rPr>
          <w:szCs w:val="24"/>
        </w:rPr>
      </w:pPr>
    </w:p>
    <w:p w14:paraId="37D2453E" w14:textId="77777777" w:rsidR="0005073E" w:rsidRDefault="0005073E" w:rsidP="0005073E">
      <w:pPr>
        <w:tabs>
          <w:tab w:val="left" w:pos="2250"/>
        </w:tabs>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rate-of-return carrier</w:t>
      </w:r>
      <w:r>
        <w:rPr>
          <w:szCs w:val="24"/>
        </w:rPr>
        <w:t>, including rate-of-return carriers participating in the Alaska Plan,</w:t>
      </w:r>
      <w:r w:rsidRPr="00AC27FF">
        <w:rPr>
          <w:szCs w:val="24"/>
        </w:rPr>
        <w:t xml:space="preserve"> will spend </w:t>
      </w:r>
      <w:r>
        <w:rPr>
          <w:szCs w:val="24"/>
        </w:rPr>
        <w:t>approximately 3</w:t>
      </w:r>
      <w:r w:rsidRPr="00AC27FF">
        <w:rPr>
          <w:szCs w:val="24"/>
        </w:rPr>
        <w:t xml:space="preserve"> hour</w:t>
      </w:r>
      <w:r>
        <w:rPr>
          <w:szCs w:val="24"/>
        </w:rPr>
        <w:t>s</w:t>
      </w:r>
      <w:r w:rsidRPr="00AC27FF">
        <w:rPr>
          <w:szCs w:val="24"/>
        </w:rPr>
        <w:t xml:space="preserve"> certifying </w:t>
      </w:r>
      <w:r>
        <w:rPr>
          <w:szCs w:val="24"/>
        </w:rPr>
        <w:t>they are offering the required broadband service and reporting data on newly served community anchor institutions</w:t>
      </w:r>
      <w:r>
        <w:rPr>
          <w:color w:val="000000"/>
          <w:szCs w:val="24"/>
        </w:rPr>
        <w:t>.  1,141 (</w:t>
      </w:r>
      <w:r w:rsidRPr="00AC27FF">
        <w:rPr>
          <w:color w:val="000000"/>
          <w:szCs w:val="24"/>
        </w:rPr>
        <w:t>respon</w:t>
      </w:r>
      <w:r>
        <w:rPr>
          <w:color w:val="000000"/>
          <w:szCs w:val="24"/>
        </w:rPr>
        <w:t>ses</w:t>
      </w:r>
      <w:r w:rsidRPr="00AC27FF">
        <w:rPr>
          <w:color w:val="000000"/>
          <w:szCs w:val="24"/>
        </w:rPr>
        <w:t xml:space="preserve">) x </w:t>
      </w:r>
      <w:r>
        <w:rPr>
          <w:color w:val="000000"/>
          <w:szCs w:val="24"/>
        </w:rPr>
        <w:t>3</w:t>
      </w:r>
      <w:r w:rsidRPr="00AC27FF">
        <w:rPr>
          <w:color w:val="000000"/>
          <w:szCs w:val="24"/>
        </w:rPr>
        <w:t xml:space="preserve"> (hour</w:t>
      </w:r>
      <w:r>
        <w:rPr>
          <w:color w:val="000000"/>
          <w:szCs w:val="24"/>
        </w:rPr>
        <w:t>s</w:t>
      </w:r>
      <w:r w:rsidRPr="00AC27FF">
        <w:rPr>
          <w:color w:val="000000"/>
          <w:szCs w:val="24"/>
        </w:rPr>
        <w:t xml:space="preserve"> to </w:t>
      </w:r>
      <w:r w:rsidRPr="00AC27FF">
        <w:rPr>
          <w:szCs w:val="24"/>
        </w:rPr>
        <w:t>track, tabulate, and prepare reporting requirements and confirm and certify</w:t>
      </w:r>
      <w:r>
        <w:rPr>
          <w:szCs w:val="24"/>
        </w:rPr>
        <w:t xml:space="preserve"> </w:t>
      </w:r>
      <w:r w:rsidRPr="00AC27FF">
        <w:rPr>
          <w:szCs w:val="24"/>
        </w:rPr>
        <w:t xml:space="preserve">compliance with </w:t>
      </w:r>
      <w:r>
        <w:rPr>
          <w:szCs w:val="24"/>
        </w:rPr>
        <w:t>broadband obligations</w:t>
      </w:r>
      <w:r w:rsidRPr="00AC27FF">
        <w:rPr>
          <w:color w:val="000000"/>
          <w:szCs w:val="24"/>
        </w:rPr>
        <w:t xml:space="preserve">) x </w:t>
      </w:r>
      <w:r w:rsidRPr="00AC27FF">
        <w:rPr>
          <w:szCs w:val="24"/>
        </w:rPr>
        <w:t xml:space="preserve">$40/hr. </w:t>
      </w:r>
      <w:r w:rsidRPr="00AC27FF">
        <w:rPr>
          <w:color w:val="000000"/>
          <w:szCs w:val="24"/>
        </w:rPr>
        <w:t>= $</w:t>
      </w:r>
      <w:r>
        <w:rPr>
          <w:color w:val="000000"/>
          <w:szCs w:val="24"/>
        </w:rPr>
        <w:t>136,920</w:t>
      </w:r>
      <w:r w:rsidRPr="00AC27FF">
        <w:rPr>
          <w:color w:val="000000"/>
          <w:szCs w:val="24"/>
        </w:rPr>
        <w:t>.</w:t>
      </w:r>
      <w:r w:rsidRPr="00AC27FF">
        <w:rPr>
          <w:color w:val="000000"/>
          <w:szCs w:val="24"/>
        </w:rPr>
        <w:br/>
      </w:r>
    </w:p>
    <w:p w14:paraId="18B737EA" w14:textId="22C73A93" w:rsidR="0005073E" w:rsidRPr="00FB748A" w:rsidRDefault="0005073E" w:rsidP="0005073E">
      <w:pPr>
        <w:ind w:left="360"/>
        <w:rPr>
          <w:b/>
          <w:szCs w:val="24"/>
          <w:u w:val="single"/>
        </w:rPr>
      </w:pPr>
      <w:r>
        <w:rPr>
          <w:b/>
          <w:szCs w:val="24"/>
          <w:u w:val="single"/>
        </w:rPr>
        <w:t>g</w:t>
      </w:r>
      <w:r w:rsidRPr="00AC27FF">
        <w:rPr>
          <w:b/>
          <w:szCs w:val="24"/>
          <w:u w:val="single"/>
        </w:rPr>
        <w:t xml:space="preserve">. </w:t>
      </w:r>
      <w:r>
        <w:rPr>
          <w:b/>
          <w:szCs w:val="24"/>
          <w:u w:val="single"/>
        </w:rPr>
        <w:t>Reasonably Comparable Rates Certification for Broadband (FCC Form 481)</w:t>
      </w:r>
      <w:r w:rsidRPr="00E209F0">
        <w:rPr>
          <w:b/>
          <w:szCs w:val="24"/>
        </w:rPr>
        <w:t xml:space="preserve"> </w:t>
      </w:r>
      <w:r>
        <w:rPr>
          <w:b/>
          <w:szCs w:val="24"/>
          <w:u w:val="single"/>
        </w:rPr>
        <w:t>(no revisions):</w:t>
      </w:r>
    </w:p>
    <w:p w14:paraId="47E8BE0F" w14:textId="77777777" w:rsidR="0005073E" w:rsidRPr="00AC27FF" w:rsidRDefault="0005073E" w:rsidP="0005073E">
      <w:pPr>
        <w:ind w:left="360" w:hanging="360"/>
        <w:rPr>
          <w:b/>
          <w:szCs w:val="24"/>
          <w:u w:val="single"/>
        </w:rPr>
      </w:pPr>
    </w:p>
    <w:p w14:paraId="46D02C2D"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1,182</w:t>
      </w:r>
      <w:r w:rsidRPr="00AC27FF">
        <w:rPr>
          <w:szCs w:val="24"/>
        </w:rPr>
        <w:t xml:space="preserve">.  </w:t>
      </w:r>
      <w:r>
        <w:rPr>
          <w:szCs w:val="24"/>
        </w:rPr>
        <w:t xml:space="preserve">Almost all price cap carriers, rate-of-return carriers, Alaska Plan competitive ETC participants, and rural broadband experiment recipients will be required to make this certification.  </w:t>
      </w:r>
    </w:p>
    <w:p w14:paraId="3B3B9550" w14:textId="77777777" w:rsidR="0005073E" w:rsidRPr="00AC27FF" w:rsidRDefault="0005073E" w:rsidP="0005073E">
      <w:pPr>
        <w:ind w:left="720" w:hanging="360"/>
        <w:rPr>
          <w:szCs w:val="24"/>
        </w:rPr>
      </w:pPr>
    </w:p>
    <w:p w14:paraId="77DBE52B"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w:t>
      </w:r>
      <w:r>
        <w:rPr>
          <w:szCs w:val="24"/>
        </w:rPr>
        <w:t>will be required to file this certification with their annual reports</w:t>
      </w:r>
      <w:r w:rsidRPr="00AC27FF">
        <w:rPr>
          <w:szCs w:val="24"/>
        </w:rPr>
        <w:t xml:space="preserve">.  </w:t>
      </w:r>
    </w:p>
    <w:p w14:paraId="49F38AEC" w14:textId="77777777" w:rsidR="0005073E" w:rsidRPr="00AC27FF" w:rsidRDefault="0005073E" w:rsidP="0005073E">
      <w:pPr>
        <w:ind w:left="720" w:hanging="360"/>
        <w:rPr>
          <w:szCs w:val="24"/>
        </w:rPr>
      </w:pPr>
    </w:p>
    <w:p w14:paraId="1F255395" w14:textId="77777777" w:rsidR="0005073E" w:rsidRDefault="0005073E" w:rsidP="0005073E">
      <w:pPr>
        <w:ind w:left="720" w:hanging="360"/>
        <w:rPr>
          <w:szCs w:val="24"/>
        </w:rPr>
      </w:pPr>
      <w:r>
        <w:rPr>
          <w:szCs w:val="24"/>
        </w:rPr>
        <w:t xml:space="preserve">(3) </w:t>
      </w:r>
      <w:r w:rsidRPr="00423F95">
        <w:rPr>
          <w:szCs w:val="24"/>
          <w:u w:val="single"/>
        </w:rPr>
        <w:t>Total number of responses per respondent</w:t>
      </w:r>
      <w:r>
        <w:rPr>
          <w:szCs w:val="24"/>
        </w:rPr>
        <w:t>:  Approximately 1.</w:t>
      </w:r>
    </w:p>
    <w:p w14:paraId="7604386B" w14:textId="77777777" w:rsidR="0005073E" w:rsidRDefault="0005073E" w:rsidP="0005073E">
      <w:pPr>
        <w:ind w:left="720" w:hanging="360"/>
        <w:rPr>
          <w:szCs w:val="24"/>
        </w:rPr>
      </w:pPr>
    </w:p>
    <w:p w14:paraId="1AF5510B" w14:textId="77777777" w:rsidR="0005073E" w:rsidRDefault="0005073E" w:rsidP="0005073E">
      <w:pPr>
        <w:ind w:left="720" w:hanging="360"/>
        <w:rPr>
          <w:szCs w:val="24"/>
        </w:rPr>
      </w:pPr>
      <w:r>
        <w:rPr>
          <w:szCs w:val="24"/>
        </w:rPr>
        <w:t xml:space="preserve">(4) </w:t>
      </w:r>
      <w:r w:rsidRPr="00423F95">
        <w:rPr>
          <w:szCs w:val="24"/>
          <w:u w:val="single"/>
        </w:rPr>
        <w:t>Estimated time per response</w:t>
      </w:r>
      <w:r>
        <w:rPr>
          <w:szCs w:val="24"/>
        </w:rPr>
        <w:t>:  4 hours.</w:t>
      </w:r>
    </w:p>
    <w:p w14:paraId="5032C353" w14:textId="77777777" w:rsidR="0005073E" w:rsidRDefault="0005073E" w:rsidP="0005073E">
      <w:pPr>
        <w:ind w:left="720" w:hanging="360"/>
        <w:rPr>
          <w:szCs w:val="24"/>
        </w:rPr>
      </w:pPr>
    </w:p>
    <w:p w14:paraId="467C270F" w14:textId="77777777" w:rsidR="0005073E" w:rsidRDefault="0005073E" w:rsidP="0005073E">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4,728 hours. </w:t>
      </w:r>
    </w:p>
    <w:p w14:paraId="23F35779" w14:textId="77777777" w:rsidR="0005073E" w:rsidRDefault="0005073E" w:rsidP="0005073E">
      <w:pPr>
        <w:ind w:left="720" w:hanging="360"/>
        <w:rPr>
          <w:szCs w:val="24"/>
        </w:rPr>
      </w:pPr>
    </w:p>
    <w:p w14:paraId="496F7B72" w14:textId="77777777" w:rsidR="0005073E" w:rsidRPr="00AC27FF" w:rsidRDefault="0005073E" w:rsidP="0005073E">
      <w:pPr>
        <w:ind w:left="720" w:hanging="359"/>
        <w:rPr>
          <w:szCs w:val="24"/>
        </w:rPr>
      </w:pPr>
      <w:r>
        <w:rPr>
          <w:szCs w:val="24"/>
        </w:rPr>
        <w:t xml:space="preserve">      4</w:t>
      </w:r>
      <w:r w:rsidRPr="00AC27FF">
        <w:rPr>
          <w:szCs w:val="24"/>
        </w:rPr>
        <w:t xml:space="preserve"> hours per respondent for </w:t>
      </w:r>
      <w:r>
        <w:rPr>
          <w:szCs w:val="24"/>
        </w:rPr>
        <w:t>1,182</w:t>
      </w:r>
      <w:r w:rsidRPr="00AC27FF">
        <w:rPr>
          <w:szCs w:val="24"/>
        </w:rPr>
        <w:t xml:space="preserve"> carriers filing on an annual basis.  Total annual hour burden is calculated as follows:  </w:t>
      </w:r>
    </w:p>
    <w:p w14:paraId="54DFB0FC" w14:textId="77777777" w:rsidR="0005073E" w:rsidRPr="00AC27FF" w:rsidRDefault="0005073E" w:rsidP="0005073E">
      <w:pPr>
        <w:ind w:left="720"/>
        <w:rPr>
          <w:szCs w:val="24"/>
        </w:rPr>
      </w:pPr>
    </w:p>
    <w:p w14:paraId="249594F5" w14:textId="77777777" w:rsidR="0005073E" w:rsidRPr="00AC27FF" w:rsidRDefault="0005073E" w:rsidP="0005073E">
      <w:pPr>
        <w:ind w:left="720"/>
        <w:rPr>
          <w:szCs w:val="24"/>
        </w:rPr>
      </w:pPr>
      <w:r>
        <w:rPr>
          <w:szCs w:val="24"/>
        </w:rPr>
        <w:t>1,182</w:t>
      </w:r>
      <w:r w:rsidRPr="00AC27FF">
        <w:rPr>
          <w:szCs w:val="24"/>
        </w:rPr>
        <w:t xml:space="preserve"> responde</w:t>
      </w:r>
      <w:r>
        <w:rPr>
          <w:szCs w:val="24"/>
        </w:rPr>
        <w:t>nts x 1 report per respondent = 1,182 responses x 4</w:t>
      </w:r>
      <w:r w:rsidRPr="00AC27FF">
        <w:rPr>
          <w:szCs w:val="24"/>
        </w:rPr>
        <w:t xml:space="preserve"> hours = </w:t>
      </w:r>
      <w:r>
        <w:rPr>
          <w:b/>
          <w:szCs w:val="24"/>
        </w:rPr>
        <w:t xml:space="preserve">4,728 </w:t>
      </w:r>
      <w:r w:rsidRPr="00AC27FF">
        <w:rPr>
          <w:b/>
          <w:szCs w:val="24"/>
        </w:rPr>
        <w:t>total annual hours.</w:t>
      </w:r>
      <w:r w:rsidRPr="00AC27FF">
        <w:rPr>
          <w:szCs w:val="24"/>
        </w:rPr>
        <w:t xml:space="preserve">  </w:t>
      </w:r>
    </w:p>
    <w:p w14:paraId="19803394" w14:textId="77777777" w:rsidR="0005073E" w:rsidRPr="00AC27FF" w:rsidRDefault="0005073E" w:rsidP="0005073E">
      <w:pPr>
        <w:ind w:left="720" w:hanging="360"/>
        <w:rPr>
          <w:szCs w:val="24"/>
        </w:rPr>
      </w:pPr>
    </w:p>
    <w:p w14:paraId="66476D8F" w14:textId="77777777" w:rsidR="0005073E" w:rsidRPr="00AC27FF" w:rsidRDefault="0005073E" w:rsidP="0005073E">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189,120. </w:t>
      </w:r>
      <w:r w:rsidRPr="00AC27FF">
        <w:rPr>
          <w:szCs w:val="24"/>
        </w:rPr>
        <w:t>(</w:t>
      </w:r>
      <w:r>
        <w:rPr>
          <w:szCs w:val="24"/>
        </w:rPr>
        <w:t>4,728</w:t>
      </w:r>
      <w:r w:rsidRPr="00AC27FF">
        <w:rPr>
          <w:szCs w:val="24"/>
        </w:rPr>
        <w:t xml:space="preserve"> </w:t>
      </w:r>
      <w:r>
        <w:rPr>
          <w:szCs w:val="24"/>
        </w:rPr>
        <w:t>hours x $40/hour</w:t>
      </w:r>
      <w:r w:rsidRPr="00AC27FF">
        <w:rPr>
          <w:szCs w:val="24"/>
        </w:rPr>
        <w:t>).</w:t>
      </w:r>
    </w:p>
    <w:p w14:paraId="5D42FB03" w14:textId="77777777" w:rsidR="0005073E" w:rsidRPr="00AC27FF" w:rsidRDefault="0005073E" w:rsidP="0005073E">
      <w:pPr>
        <w:ind w:left="720" w:hanging="360"/>
        <w:rPr>
          <w:szCs w:val="24"/>
        </w:rPr>
      </w:pPr>
    </w:p>
    <w:p w14:paraId="6DA489CA" w14:textId="77777777" w:rsidR="0005073E" w:rsidRPr="00AC27FF" w:rsidRDefault="0005073E" w:rsidP="0005073E">
      <w:pPr>
        <w:tabs>
          <w:tab w:val="left" w:pos="2250"/>
        </w:tabs>
        <w:ind w:left="720" w:hanging="360"/>
        <w:rPr>
          <w:color w:val="000000"/>
          <w:szCs w:val="24"/>
        </w:rPr>
      </w:pPr>
      <w:r>
        <w:rPr>
          <w:szCs w:val="24"/>
        </w:rPr>
        <w:t xml:space="preserve">(7) </w:t>
      </w:r>
      <w:r w:rsidRPr="0046233F">
        <w:rPr>
          <w:u w:val="single"/>
        </w:rPr>
        <w:t>Explanation of calculation</w:t>
      </w:r>
      <w:r w:rsidRPr="0046233F">
        <w:t xml:space="preserve">:  We estimate that each carrier that accepted Phase II model-based support and each rate-of-return carrier that receives high-cost support will spend at least 4 hours certifying that it has met the </w:t>
      </w:r>
      <w:r>
        <w:rPr>
          <w:szCs w:val="24"/>
        </w:rPr>
        <w:t>reasonably comparable rates</w:t>
      </w:r>
      <w:r w:rsidRPr="0046233F">
        <w:t xml:space="preserve"> requirements</w:t>
      </w:r>
      <w:r w:rsidRPr="0046233F">
        <w:rPr>
          <w:color w:val="000000"/>
        </w:rPr>
        <w:t>.</w:t>
      </w:r>
      <w:r w:rsidRPr="00AC27FF">
        <w:rPr>
          <w:color w:val="000000"/>
          <w:szCs w:val="24"/>
        </w:rPr>
        <w:t xml:space="preserve">  </w:t>
      </w:r>
    </w:p>
    <w:p w14:paraId="5C46F335" w14:textId="77777777" w:rsidR="0005073E" w:rsidRPr="00AC27FF" w:rsidRDefault="0005073E" w:rsidP="0005073E">
      <w:pPr>
        <w:ind w:left="720" w:hanging="360"/>
        <w:rPr>
          <w:szCs w:val="24"/>
        </w:rPr>
      </w:pPr>
    </w:p>
    <w:p w14:paraId="28ED1697" w14:textId="6A3FED2D" w:rsidR="0005073E" w:rsidRDefault="0005073E" w:rsidP="0005073E">
      <w:pPr>
        <w:ind w:left="720"/>
        <w:rPr>
          <w:szCs w:val="24"/>
        </w:rPr>
      </w:pPr>
      <w:r>
        <w:rPr>
          <w:szCs w:val="24"/>
        </w:rPr>
        <w:t>1,182 (responses) x 4</w:t>
      </w:r>
      <w:r w:rsidRPr="00AC27FF">
        <w:rPr>
          <w:szCs w:val="24"/>
        </w:rPr>
        <w:t xml:space="preserve"> (hours </w:t>
      </w:r>
      <w:r>
        <w:rPr>
          <w:szCs w:val="24"/>
        </w:rPr>
        <w:t>to confirm and certify compliance) x $40/hr.</w:t>
      </w:r>
      <w:r w:rsidRPr="00AC27FF">
        <w:rPr>
          <w:szCs w:val="24"/>
        </w:rPr>
        <w:t xml:space="preserve"> = $</w:t>
      </w:r>
      <w:r>
        <w:rPr>
          <w:szCs w:val="24"/>
        </w:rPr>
        <w:t>189,120</w:t>
      </w:r>
      <w:r w:rsidRPr="00AC27FF">
        <w:rPr>
          <w:szCs w:val="24"/>
        </w:rPr>
        <w:t>.</w:t>
      </w:r>
    </w:p>
    <w:p w14:paraId="317ABE73" w14:textId="77777777" w:rsidR="0005073E" w:rsidRDefault="0005073E" w:rsidP="0005073E">
      <w:pPr>
        <w:ind w:left="720"/>
        <w:rPr>
          <w:szCs w:val="24"/>
        </w:rPr>
      </w:pPr>
    </w:p>
    <w:p w14:paraId="0FF8057C" w14:textId="71B131D5" w:rsidR="0005073E" w:rsidRPr="00077334" w:rsidRDefault="0005073E" w:rsidP="0005073E">
      <w:pPr>
        <w:ind w:left="810" w:hanging="450"/>
        <w:rPr>
          <w:b/>
          <w:szCs w:val="24"/>
          <w:u w:val="single"/>
        </w:rPr>
      </w:pPr>
      <w:r>
        <w:rPr>
          <w:b/>
          <w:szCs w:val="24"/>
          <w:u w:val="single"/>
        </w:rPr>
        <w:t>h</w:t>
      </w:r>
      <w:r w:rsidRPr="00AC27FF">
        <w:rPr>
          <w:b/>
          <w:szCs w:val="24"/>
          <w:u w:val="single"/>
        </w:rPr>
        <w:t>. Carriers Lacking Terrestrial Backhaul Certification</w:t>
      </w:r>
      <w:r w:rsidRPr="00E209F0">
        <w:rPr>
          <w:b/>
          <w:szCs w:val="24"/>
        </w:rPr>
        <w:t xml:space="preserve"> </w:t>
      </w:r>
      <w:r w:rsidRPr="00A63F44">
        <w:rPr>
          <w:b/>
          <w:szCs w:val="24"/>
          <w:u w:val="single"/>
        </w:rPr>
        <w:t>(</w:t>
      </w:r>
      <w:r>
        <w:rPr>
          <w:b/>
          <w:szCs w:val="24"/>
          <w:u w:val="single"/>
        </w:rPr>
        <w:t>no revisions</w:t>
      </w:r>
      <w:r w:rsidRPr="00A63F44">
        <w:rPr>
          <w:b/>
          <w:szCs w:val="24"/>
          <w:u w:val="single"/>
        </w:rPr>
        <w:t>)</w:t>
      </w:r>
    </w:p>
    <w:p w14:paraId="38F718A0" w14:textId="77777777" w:rsidR="0005073E" w:rsidRPr="00AC27FF" w:rsidRDefault="0005073E" w:rsidP="0005073E">
      <w:pPr>
        <w:ind w:left="360"/>
        <w:rPr>
          <w:b/>
          <w:szCs w:val="24"/>
          <w:u w:val="single"/>
        </w:rPr>
      </w:pPr>
    </w:p>
    <w:p w14:paraId="7A787CE6"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Fewer than 20 carriers that receive funding but rely exclusively on satellite for backhaul</w:t>
      </w:r>
      <w:r>
        <w:rPr>
          <w:szCs w:val="24"/>
        </w:rPr>
        <w:t xml:space="preserve"> or are Alaska Plan participants that rely exclusively on satellite backhaul in a portion of their study areas</w:t>
      </w:r>
      <w:r w:rsidRPr="00AC27FF">
        <w:rPr>
          <w:szCs w:val="24"/>
        </w:rPr>
        <w:t xml:space="preserve"> must certify as to the performance of their broadband service.  </w:t>
      </w:r>
    </w:p>
    <w:p w14:paraId="7B5C8E65" w14:textId="77777777" w:rsidR="0005073E" w:rsidRPr="00AC27FF" w:rsidRDefault="0005073E" w:rsidP="0005073E">
      <w:pPr>
        <w:ind w:left="720" w:hanging="360"/>
        <w:rPr>
          <w:szCs w:val="24"/>
        </w:rPr>
      </w:pPr>
    </w:p>
    <w:p w14:paraId="28CFA8DC"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418DD69D" w14:textId="77777777" w:rsidR="0005073E" w:rsidRPr="00AC27FF" w:rsidRDefault="0005073E" w:rsidP="0005073E">
      <w:pPr>
        <w:ind w:left="720" w:hanging="360"/>
        <w:rPr>
          <w:szCs w:val="24"/>
        </w:rPr>
      </w:pPr>
    </w:p>
    <w:p w14:paraId="796F24F1" w14:textId="77777777" w:rsidR="0005073E" w:rsidRDefault="0005073E" w:rsidP="0005073E">
      <w:pPr>
        <w:ind w:left="720" w:hanging="360"/>
        <w:rPr>
          <w:szCs w:val="24"/>
        </w:rPr>
      </w:pPr>
      <w:r w:rsidRPr="00AC27FF">
        <w:rPr>
          <w:szCs w:val="24"/>
        </w:rPr>
        <w:t xml:space="preserve">(3) </w:t>
      </w:r>
      <w:r w:rsidRPr="003E4207">
        <w:rPr>
          <w:szCs w:val="24"/>
          <w:u w:val="single"/>
        </w:rPr>
        <w:t>Total number of responses per respondent</w:t>
      </w:r>
      <w:r>
        <w:rPr>
          <w:szCs w:val="24"/>
        </w:rPr>
        <w:t xml:space="preserve">:  Approximately 1. </w:t>
      </w:r>
    </w:p>
    <w:p w14:paraId="37E91E93" w14:textId="77777777" w:rsidR="0005073E" w:rsidRDefault="0005073E" w:rsidP="0005073E">
      <w:pPr>
        <w:ind w:left="720" w:hanging="360"/>
        <w:rPr>
          <w:szCs w:val="24"/>
        </w:rPr>
      </w:pPr>
    </w:p>
    <w:p w14:paraId="0546ABF9" w14:textId="77777777" w:rsidR="0005073E" w:rsidRPr="0046244E" w:rsidRDefault="0005073E" w:rsidP="0005073E">
      <w:pPr>
        <w:ind w:left="720" w:hanging="360"/>
        <w:rPr>
          <w:szCs w:val="24"/>
        </w:rPr>
      </w:pPr>
      <w:r w:rsidRPr="0046244E">
        <w:rPr>
          <w:szCs w:val="24"/>
        </w:rPr>
        <w:t xml:space="preserve">(4) </w:t>
      </w:r>
      <w:r w:rsidRPr="003E4207">
        <w:rPr>
          <w:szCs w:val="24"/>
          <w:u w:val="single"/>
        </w:rPr>
        <w:t>Estimated time per response</w:t>
      </w:r>
      <w:r w:rsidRPr="0046244E">
        <w:rPr>
          <w:szCs w:val="24"/>
        </w:rPr>
        <w:t xml:space="preserve">:  15 hours. </w:t>
      </w:r>
    </w:p>
    <w:p w14:paraId="03401646" w14:textId="77777777" w:rsidR="0005073E" w:rsidRDefault="0005073E" w:rsidP="0005073E">
      <w:pPr>
        <w:ind w:left="720" w:hanging="360"/>
        <w:rPr>
          <w:szCs w:val="24"/>
          <w:u w:val="single"/>
        </w:rPr>
      </w:pPr>
    </w:p>
    <w:p w14:paraId="4CA3325A" w14:textId="77777777" w:rsidR="0005073E" w:rsidRPr="003E4207" w:rsidRDefault="0005073E" w:rsidP="0005073E">
      <w:pPr>
        <w:ind w:left="720" w:hanging="360"/>
        <w:rPr>
          <w:szCs w:val="24"/>
        </w:rPr>
      </w:pPr>
      <w:r w:rsidRPr="003E4207">
        <w:rPr>
          <w:szCs w:val="24"/>
        </w:rPr>
        <w:t xml:space="preserve">(5) </w:t>
      </w:r>
      <w:r w:rsidRPr="003E4207">
        <w:rPr>
          <w:szCs w:val="24"/>
          <w:u w:val="single"/>
        </w:rPr>
        <w:t>Total annual hour burden:</w:t>
      </w:r>
      <w:r w:rsidRPr="003E4207">
        <w:rPr>
          <w:szCs w:val="24"/>
        </w:rPr>
        <w:t xml:space="preserve">  </w:t>
      </w:r>
      <w:r>
        <w:rPr>
          <w:szCs w:val="24"/>
        </w:rPr>
        <w:t>300</w:t>
      </w:r>
      <w:r w:rsidRPr="003E4207">
        <w:rPr>
          <w:szCs w:val="24"/>
        </w:rPr>
        <w:t xml:space="preserve"> hours. </w:t>
      </w:r>
    </w:p>
    <w:p w14:paraId="2BCF8602" w14:textId="77777777" w:rsidR="0005073E" w:rsidRPr="003E4207" w:rsidRDefault="0005073E" w:rsidP="0005073E">
      <w:pPr>
        <w:ind w:left="720" w:hanging="360"/>
        <w:rPr>
          <w:szCs w:val="24"/>
        </w:rPr>
      </w:pPr>
    </w:p>
    <w:p w14:paraId="5354C701" w14:textId="77777777" w:rsidR="0005073E" w:rsidRPr="00AC27FF" w:rsidRDefault="0005073E" w:rsidP="0005073E">
      <w:pPr>
        <w:ind w:left="720" w:hanging="360"/>
        <w:rPr>
          <w:szCs w:val="24"/>
        </w:rPr>
      </w:pPr>
      <w:r>
        <w:rPr>
          <w:szCs w:val="24"/>
        </w:rPr>
        <w:t xml:space="preserve">      </w:t>
      </w:r>
      <w:r w:rsidRPr="00050DAD">
        <w:rPr>
          <w:szCs w:val="24"/>
        </w:rPr>
        <w:t xml:space="preserve">15 hours per respondent for 20 respondents filing annually.  Total annual hour burden is: 20 respondents x 1 certification per respondent = 20 responses x 15 hours = </w:t>
      </w:r>
      <w:r w:rsidRPr="00050DAD">
        <w:rPr>
          <w:b/>
          <w:szCs w:val="24"/>
        </w:rPr>
        <w:t>300 hours</w:t>
      </w:r>
      <w:r w:rsidRPr="00050DAD">
        <w:rPr>
          <w:szCs w:val="24"/>
        </w:rPr>
        <w:t>.</w:t>
      </w:r>
    </w:p>
    <w:p w14:paraId="766347C1" w14:textId="77777777" w:rsidR="0005073E" w:rsidRPr="00AC27FF" w:rsidRDefault="0005073E" w:rsidP="0005073E">
      <w:pPr>
        <w:ind w:left="720" w:hanging="360"/>
        <w:rPr>
          <w:szCs w:val="24"/>
        </w:rPr>
      </w:pPr>
    </w:p>
    <w:p w14:paraId="59C4A183"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$12,000.  (300 hours x $40/hour.).</w:t>
      </w:r>
    </w:p>
    <w:p w14:paraId="6774F5BB" w14:textId="77777777" w:rsidR="0005073E" w:rsidRPr="00AC27FF" w:rsidRDefault="0005073E" w:rsidP="0005073E">
      <w:pPr>
        <w:ind w:left="720" w:hanging="360"/>
        <w:rPr>
          <w:szCs w:val="24"/>
        </w:rPr>
      </w:pPr>
    </w:p>
    <w:p w14:paraId="0D03EA4B" w14:textId="77777777" w:rsidR="0005073E" w:rsidRPr="00AC27FF" w:rsidRDefault="0005073E" w:rsidP="0005073E">
      <w:pPr>
        <w:numPr>
          <w:ilvl w:val="0"/>
          <w:numId w:val="6"/>
        </w:numPr>
        <w:rPr>
          <w:color w:val="000000"/>
          <w:szCs w:val="24"/>
        </w:rPr>
      </w:pPr>
      <w:r w:rsidRPr="00AC27FF">
        <w:rPr>
          <w:szCs w:val="24"/>
          <w:u w:val="single"/>
        </w:rPr>
        <w:t>Explanation of calculation</w:t>
      </w:r>
      <w:r w:rsidRPr="00AC27FF">
        <w:rPr>
          <w:szCs w:val="24"/>
        </w:rPr>
        <w:t xml:space="preserve">:  We estimate that each carrier receiving funding but relying exclusively on satellite for backhaul will spend at least 15 hours </w:t>
      </w:r>
      <w:r>
        <w:rPr>
          <w:szCs w:val="24"/>
        </w:rPr>
        <w:t xml:space="preserve">to confirm and </w:t>
      </w:r>
      <w:r w:rsidRPr="00AC27FF">
        <w:rPr>
          <w:szCs w:val="24"/>
        </w:rPr>
        <w:t>certify</w:t>
      </w:r>
      <w:r>
        <w:rPr>
          <w:szCs w:val="24"/>
        </w:rPr>
        <w:t xml:space="preserve"> compliance </w:t>
      </w:r>
      <w:r w:rsidRPr="00AC27FF">
        <w:rPr>
          <w:szCs w:val="24"/>
        </w:rPr>
        <w:t>as to the performance of its broadband service</w:t>
      </w:r>
      <w:r>
        <w:rPr>
          <w:color w:val="000000"/>
          <w:szCs w:val="24"/>
        </w:rPr>
        <w:t>.  20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$12,000.</w:t>
      </w:r>
    </w:p>
    <w:p w14:paraId="07C76429" w14:textId="77777777" w:rsidR="0005073E" w:rsidRPr="00D87D19" w:rsidRDefault="0005073E" w:rsidP="00D87D19">
      <w:pPr>
        <w:ind w:left="720"/>
      </w:pPr>
    </w:p>
    <w:p w14:paraId="075A1B24" w14:textId="51833271" w:rsidR="0005073E" w:rsidRPr="00AC27FF" w:rsidRDefault="0005073E" w:rsidP="0005073E">
      <w:pPr>
        <w:ind w:left="360"/>
        <w:rPr>
          <w:b/>
          <w:szCs w:val="24"/>
          <w:u w:val="single"/>
        </w:rPr>
      </w:pPr>
      <w:r>
        <w:rPr>
          <w:b/>
          <w:szCs w:val="24"/>
          <w:u w:val="single"/>
        </w:rPr>
        <w:t>i</w:t>
      </w:r>
      <w:r w:rsidRPr="00AC27FF">
        <w:rPr>
          <w:b/>
          <w:szCs w:val="24"/>
          <w:u w:val="single"/>
        </w:rPr>
        <w:t>. Tribal Engagement Reporting</w:t>
      </w:r>
      <w:r w:rsidRPr="00E209F0">
        <w:rPr>
          <w:b/>
          <w:szCs w:val="24"/>
        </w:rPr>
        <w:t xml:space="preserve"> </w:t>
      </w:r>
      <w:r w:rsidRPr="00AC27FF">
        <w:rPr>
          <w:b/>
          <w:szCs w:val="24"/>
          <w:u w:val="single"/>
        </w:rPr>
        <w:t>(no revisions):</w:t>
      </w:r>
    </w:p>
    <w:p w14:paraId="26CFE7EE" w14:textId="77777777" w:rsidR="0005073E" w:rsidRPr="00AC27FF" w:rsidRDefault="0005073E" w:rsidP="0005073E">
      <w:pPr>
        <w:ind w:left="360"/>
        <w:rPr>
          <w:b/>
          <w:szCs w:val="24"/>
          <w:u w:val="single"/>
        </w:rPr>
      </w:pPr>
    </w:p>
    <w:p w14:paraId="1101639D"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Approximately 300 carriers that serve Tribal lands.</w:t>
      </w:r>
    </w:p>
    <w:p w14:paraId="7D5742D1" w14:textId="77777777" w:rsidR="0005073E" w:rsidRPr="00AC27FF" w:rsidRDefault="0005073E" w:rsidP="0005073E">
      <w:pPr>
        <w:ind w:left="1080" w:right="-450"/>
        <w:rPr>
          <w:szCs w:val="24"/>
        </w:rPr>
      </w:pPr>
    </w:p>
    <w:p w14:paraId="17AB4264"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01EB08D" w14:textId="77777777" w:rsidR="0005073E" w:rsidRPr="00AC27FF" w:rsidRDefault="0005073E" w:rsidP="0005073E">
      <w:pPr>
        <w:ind w:left="1080" w:right="-450"/>
        <w:rPr>
          <w:szCs w:val="24"/>
        </w:rPr>
      </w:pPr>
    </w:p>
    <w:p w14:paraId="5467C9DE" w14:textId="77777777" w:rsidR="0005073E" w:rsidRDefault="0005073E" w:rsidP="0005073E">
      <w:pPr>
        <w:ind w:left="720" w:hanging="360"/>
        <w:rPr>
          <w:szCs w:val="24"/>
        </w:rPr>
      </w:pPr>
      <w:r w:rsidRPr="00AC27FF">
        <w:rPr>
          <w:szCs w:val="24"/>
        </w:rPr>
        <w:t xml:space="preserve">(3) </w:t>
      </w:r>
      <w:r w:rsidRPr="001A1CF1">
        <w:rPr>
          <w:szCs w:val="24"/>
          <w:u w:val="single"/>
        </w:rPr>
        <w:t>Total number of responses per respondent</w:t>
      </w:r>
      <w:r>
        <w:rPr>
          <w:szCs w:val="24"/>
        </w:rPr>
        <w:t xml:space="preserve">:  Approximately 1. </w:t>
      </w:r>
    </w:p>
    <w:p w14:paraId="2CB82FC7" w14:textId="77777777" w:rsidR="0005073E" w:rsidRDefault="0005073E" w:rsidP="0005073E">
      <w:pPr>
        <w:ind w:left="720" w:hanging="360"/>
        <w:rPr>
          <w:szCs w:val="24"/>
        </w:rPr>
      </w:pPr>
    </w:p>
    <w:p w14:paraId="310DAEE0" w14:textId="77777777" w:rsidR="0005073E" w:rsidRDefault="0005073E" w:rsidP="0005073E">
      <w:pPr>
        <w:ind w:left="720" w:hanging="360"/>
        <w:rPr>
          <w:szCs w:val="24"/>
        </w:rPr>
      </w:pPr>
      <w:r>
        <w:rPr>
          <w:szCs w:val="24"/>
        </w:rPr>
        <w:t xml:space="preserve">(4) </w:t>
      </w:r>
      <w:r w:rsidRPr="00EC0BE0">
        <w:rPr>
          <w:szCs w:val="24"/>
          <w:u w:val="single"/>
        </w:rPr>
        <w:t>Estimated time per response</w:t>
      </w:r>
      <w:r>
        <w:rPr>
          <w:szCs w:val="24"/>
        </w:rPr>
        <w:t xml:space="preserve">:  4 hours. </w:t>
      </w:r>
    </w:p>
    <w:p w14:paraId="74FA8916" w14:textId="77777777" w:rsidR="0005073E" w:rsidRDefault="0005073E" w:rsidP="0005073E">
      <w:pPr>
        <w:ind w:left="720" w:hanging="360"/>
        <w:rPr>
          <w:szCs w:val="24"/>
          <w:u w:val="single"/>
        </w:rPr>
      </w:pPr>
    </w:p>
    <w:p w14:paraId="4A69F64C" w14:textId="77777777" w:rsidR="0005073E" w:rsidRDefault="0005073E" w:rsidP="0005073E">
      <w:pPr>
        <w:ind w:left="720" w:hanging="360"/>
        <w:rPr>
          <w:szCs w:val="24"/>
        </w:rPr>
      </w:pPr>
      <w:r w:rsidRPr="00EC0BE0">
        <w:rPr>
          <w:szCs w:val="24"/>
        </w:rPr>
        <w:t xml:space="preserve">(5) </w:t>
      </w:r>
      <w:r w:rsidRPr="00EC0BE0">
        <w:rPr>
          <w:szCs w:val="24"/>
          <w:u w:val="single"/>
        </w:rPr>
        <w:t>Total annual hour burden</w:t>
      </w:r>
      <w:r w:rsidRPr="00AC27FF">
        <w:rPr>
          <w:szCs w:val="24"/>
        </w:rPr>
        <w:t xml:space="preserve">:  </w:t>
      </w:r>
      <w:r>
        <w:rPr>
          <w:szCs w:val="24"/>
        </w:rPr>
        <w:t xml:space="preserve">1,200 hours. </w:t>
      </w:r>
    </w:p>
    <w:p w14:paraId="5E1A8B43" w14:textId="77777777" w:rsidR="0005073E" w:rsidRDefault="0005073E" w:rsidP="0005073E">
      <w:pPr>
        <w:ind w:left="720" w:hanging="360"/>
        <w:rPr>
          <w:szCs w:val="24"/>
        </w:rPr>
      </w:pPr>
    </w:p>
    <w:p w14:paraId="3B5D7862" w14:textId="77777777" w:rsidR="0005073E" w:rsidRPr="00AC27FF" w:rsidRDefault="0005073E" w:rsidP="0005073E">
      <w:pPr>
        <w:ind w:left="720" w:hanging="360"/>
        <w:rPr>
          <w:szCs w:val="24"/>
        </w:rPr>
      </w:pPr>
      <w:r>
        <w:rPr>
          <w:szCs w:val="24"/>
        </w:rPr>
        <w:t xml:space="preserve">      </w:t>
      </w:r>
      <w:r w:rsidRPr="00F54D78">
        <w:rPr>
          <w:szCs w:val="24"/>
        </w:rPr>
        <w:t xml:space="preserve">4 hours per respondent for 300 respondents filing on an annual basis.  Total annual hour burden is: 300 respondents x 1 report per respondent = 300 responses x 4 hours = </w:t>
      </w:r>
      <w:r w:rsidRPr="00F54D78">
        <w:rPr>
          <w:b/>
          <w:szCs w:val="24"/>
        </w:rPr>
        <w:t>1,200 hours</w:t>
      </w:r>
      <w:r w:rsidRPr="00F54D78">
        <w:rPr>
          <w:szCs w:val="24"/>
        </w:rPr>
        <w:t>.</w:t>
      </w:r>
    </w:p>
    <w:p w14:paraId="0BE028C9" w14:textId="77777777" w:rsidR="0005073E" w:rsidRPr="00AC27FF" w:rsidRDefault="0005073E" w:rsidP="0005073E">
      <w:pPr>
        <w:ind w:left="-720" w:right="-450"/>
        <w:rPr>
          <w:szCs w:val="24"/>
        </w:rPr>
      </w:pPr>
    </w:p>
    <w:p w14:paraId="3189710D" w14:textId="77777777" w:rsidR="0005073E" w:rsidRPr="00AC27FF" w:rsidRDefault="0005073E" w:rsidP="0005073E">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 xml:space="preserve">Total estimate of in-house </w:t>
      </w:r>
      <w:r w:rsidRPr="00AC27FF">
        <w:rPr>
          <w:szCs w:val="24"/>
          <w:u w:val="single"/>
        </w:rPr>
        <w:t>cost to respondents:</w:t>
      </w:r>
      <w:r w:rsidRPr="00AC27FF">
        <w:rPr>
          <w:b/>
          <w:szCs w:val="24"/>
        </w:rPr>
        <w:t xml:space="preserve">  </w:t>
      </w:r>
      <w:r w:rsidRPr="00AC27FF">
        <w:rPr>
          <w:szCs w:val="24"/>
        </w:rPr>
        <w:t>$48,000</w:t>
      </w:r>
      <w:r>
        <w:rPr>
          <w:szCs w:val="24"/>
        </w:rPr>
        <w:t>.</w:t>
      </w:r>
      <w:r w:rsidRPr="00AC27FF">
        <w:rPr>
          <w:szCs w:val="24"/>
        </w:rPr>
        <w:t xml:space="preserve"> (1,200 hours x $40/hour.).</w:t>
      </w:r>
    </w:p>
    <w:p w14:paraId="00C2C4E3" w14:textId="77777777" w:rsidR="0005073E" w:rsidRPr="00AC27FF" w:rsidRDefault="0005073E" w:rsidP="0005073E">
      <w:pPr>
        <w:ind w:left="720" w:hanging="360"/>
        <w:rPr>
          <w:b/>
          <w:szCs w:val="24"/>
        </w:rPr>
      </w:pPr>
    </w:p>
    <w:p w14:paraId="4B07DEAE" w14:textId="2A50C6C8" w:rsidR="0005073E" w:rsidRPr="00D87D19" w:rsidRDefault="0005073E" w:rsidP="0005073E">
      <w:pPr>
        <w:ind w:left="720" w:hanging="360"/>
        <w:rPr>
          <w:color w:val="000000"/>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serving Tribal lands will spend a total of at least 4 hours preparing, reviewing, and submitting its report on Tri</w:t>
      </w:r>
      <w:r>
        <w:rPr>
          <w:szCs w:val="24"/>
        </w:rPr>
        <w:t>bal engagement:  300 (</w:t>
      </w:r>
      <w:r w:rsidRPr="00AC27FF">
        <w:rPr>
          <w:szCs w:val="24"/>
        </w:rPr>
        <w:t>respon</w:t>
      </w:r>
      <w:r>
        <w:rPr>
          <w:szCs w:val="24"/>
        </w:rPr>
        <w:t>ses</w:t>
      </w:r>
      <w:r w:rsidRPr="00AC27FF">
        <w:rPr>
          <w:szCs w:val="24"/>
        </w:rPr>
        <w:t xml:space="preserve">) </w:t>
      </w:r>
      <w:r w:rsidRPr="00AC27FF">
        <w:rPr>
          <w:color w:val="000000"/>
          <w:szCs w:val="24"/>
        </w:rPr>
        <w:t xml:space="preserve">x 4 (hours </w:t>
      </w:r>
      <w:r w:rsidRPr="00AC27FF">
        <w:rPr>
          <w:szCs w:val="24"/>
        </w:rPr>
        <w:t>preparing, reviewing, and submitting report</w:t>
      </w:r>
      <w:r w:rsidRPr="00AC27FF">
        <w:rPr>
          <w:color w:val="000000"/>
          <w:szCs w:val="24"/>
        </w:rPr>
        <w:t xml:space="preserve">) </w:t>
      </w:r>
      <w:r>
        <w:rPr>
          <w:color w:val="000000"/>
          <w:szCs w:val="24"/>
        </w:rPr>
        <w:t>x $40 per hour</w:t>
      </w:r>
      <w:r w:rsidRPr="00AC27FF">
        <w:rPr>
          <w:color w:val="000000"/>
          <w:szCs w:val="24"/>
        </w:rPr>
        <w:t xml:space="preserve"> = $48,000.</w:t>
      </w:r>
    </w:p>
    <w:p w14:paraId="77E6C2F7" w14:textId="77777777" w:rsidR="0005073E" w:rsidRDefault="0005073E" w:rsidP="0005073E">
      <w:pPr>
        <w:ind w:left="720" w:hanging="360"/>
        <w:rPr>
          <w:szCs w:val="24"/>
        </w:rPr>
      </w:pPr>
    </w:p>
    <w:p w14:paraId="19D5082D" w14:textId="3A911560" w:rsidR="0005073E" w:rsidRPr="00AC27FF" w:rsidRDefault="0005073E" w:rsidP="0005073E">
      <w:pPr>
        <w:ind w:left="360"/>
        <w:rPr>
          <w:b/>
          <w:szCs w:val="24"/>
          <w:u w:val="single"/>
        </w:rPr>
      </w:pPr>
      <w:r>
        <w:rPr>
          <w:b/>
          <w:szCs w:val="24"/>
          <w:u w:val="single"/>
        </w:rPr>
        <w:t>j</w:t>
      </w:r>
      <w:r w:rsidRPr="00AC27FF">
        <w:rPr>
          <w:b/>
          <w:szCs w:val="24"/>
          <w:u w:val="single"/>
        </w:rPr>
        <w:t>. Price Cap Carrier Frozen High Cost Support Certification</w:t>
      </w:r>
      <w:r w:rsidRPr="00E209F0">
        <w:rPr>
          <w:b/>
          <w:szCs w:val="24"/>
        </w:rPr>
        <w:t xml:space="preserve"> </w:t>
      </w:r>
      <w:r w:rsidRPr="00AC27FF">
        <w:rPr>
          <w:b/>
          <w:szCs w:val="24"/>
          <w:u w:val="single"/>
        </w:rPr>
        <w:t>(no revisions)</w:t>
      </w:r>
      <w:r w:rsidRPr="00AC27FF">
        <w:rPr>
          <w:b/>
          <w:szCs w:val="24"/>
        </w:rPr>
        <w:t>:</w:t>
      </w:r>
    </w:p>
    <w:p w14:paraId="1CA76909" w14:textId="77777777" w:rsidR="0005073E" w:rsidRPr="00AC27FF" w:rsidRDefault="0005073E" w:rsidP="0005073E">
      <w:pPr>
        <w:ind w:left="360"/>
        <w:rPr>
          <w:b/>
          <w:szCs w:val="24"/>
          <w:u w:val="single"/>
        </w:rPr>
      </w:pPr>
    </w:p>
    <w:p w14:paraId="5D754B12"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14:paraId="77CDD258" w14:textId="77777777" w:rsidR="0005073E" w:rsidRPr="00AC27FF" w:rsidRDefault="0005073E" w:rsidP="0005073E">
      <w:pPr>
        <w:ind w:left="720" w:hanging="360"/>
        <w:rPr>
          <w:szCs w:val="24"/>
        </w:rPr>
      </w:pPr>
    </w:p>
    <w:p w14:paraId="2E0B6DE2"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078350F2" w14:textId="77777777" w:rsidR="0005073E" w:rsidRPr="00AC27FF" w:rsidRDefault="0005073E" w:rsidP="0005073E">
      <w:pPr>
        <w:ind w:left="720" w:hanging="360"/>
        <w:rPr>
          <w:szCs w:val="24"/>
        </w:rPr>
      </w:pPr>
    </w:p>
    <w:p w14:paraId="53C4FF39" w14:textId="77777777" w:rsidR="0005073E" w:rsidRDefault="0005073E" w:rsidP="0005073E">
      <w:pPr>
        <w:ind w:left="720" w:hanging="360"/>
        <w:rPr>
          <w:szCs w:val="24"/>
        </w:rPr>
      </w:pPr>
      <w:r w:rsidRPr="00AC27FF">
        <w:rPr>
          <w:szCs w:val="24"/>
        </w:rPr>
        <w:t xml:space="preserve">(3) </w:t>
      </w:r>
      <w:r w:rsidRPr="0066661E">
        <w:rPr>
          <w:szCs w:val="24"/>
          <w:u w:val="single"/>
        </w:rPr>
        <w:t>Total number of responses per respondent</w:t>
      </w:r>
      <w:r>
        <w:rPr>
          <w:szCs w:val="24"/>
        </w:rPr>
        <w:t xml:space="preserve">:  </w:t>
      </w:r>
      <w:r w:rsidRPr="00F54D78">
        <w:rPr>
          <w:szCs w:val="24"/>
        </w:rPr>
        <w:t>Approximately 1.</w:t>
      </w:r>
      <w:r>
        <w:rPr>
          <w:szCs w:val="24"/>
        </w:rPr>
        <w:t xml:space="preserve"> </w:t>
      </w:r>
      <w:r w:rsidRPr="00AC27FF">
        <w:rPr>
          <w:szCs w:val="24"/>
        </w:rPr>
        <w:t xml:space="preserve"> </w:t>
      </w:r>
    </w:p>
    <w:p w14:paraId="47800719" w14:textId="77777777" w:rsidR="0005073E" w:rsidRDefault="0005073E" w:rsidP="0005073E">
      <w:pPr>
        <w:ind w:left="720" w:hanging="360"/>
        <w:rPr>
          <w:szCs w:val="24"/>
        </w:rPr>
      </w:pPr>
    </w:p>
    <w:p w14:paraId="159D184F" w14:textId="77777777" w:rsidR="0005073E" w:rsidRDefault="0005073E" w:rsidP="0005073E">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46BA5A74" w14:textId="77777777" w:rsidR="0005073E" w:rsidRDefault="0005073E" w:rsidP="0005073E">
      <w:pPr>
        <w:ind w:left="720" w:hanging="360"/>
        <w:rPr>
          <w:szCs w:val="24"/>
        </w:rPr>
      </w:pPr>
    </w:p>
    <w:p w14:paraId="762CE01D" w14:textId="77777777" w:rsidR="0005073E" w:rsidRDefault="0005073E" w:rsidP="0005073E">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4,395 hours.</w:t>
      </w:r>
    </w:p>
    <w:p w14:paraId="329EBFC8" w14:textId="77777777" w:rsidR="0005073E" w:rsidRDefault="0005073E" w:rsidP="0005073E">
      <w:pPr>
        <w:ind w:left="720" w:hanging="360"/>
        <w:rPr>
          <w:szCs w:val="24"/>
        </w:rPr>
      </w:pPr>
    </w:p>
    <w:p w14:paraId="0F303041" w14:textId="77777777" w:rsidR="0005073E" w:rsidRPr="00AC27FF" w:rsidRDefault="0005073E" w:rsidP="0005073E">
      <w:pPr>
        <w:ind w:left="720" w:hanging="360"/>
        <w:rPr>
          <w:szCs w:val="24"/>
        </w:rPr>
      </w:pPr>
      <w:r>
        <w:rPr>
          <w:szCs w:val="24"/>
        </w:rPr>
        <w:t xml:space="preserve">      </w:t>
      </w:r>
      <w:r w:rsidRPr="00F54D78">
        <w:rPr>
          <w:szCs w:val="24"/>
        </w:rPr>
        <w:t xml:space="preserve">15 hours per respondent for 293 respondents filing annually.  Total annual hour burden is: 293 respondents x 1 certification per respondent = 293 responses x 15 hours = </w:t>
      </w:r>
      <w:r w:rsidRPr="00F54D78">
        <w:rPr>
          <w:b/>
          <w:szCs w:val="24"/>
        </w:rPr>
        <w:t>4,395 hours</w:t>
      </w:r>
      <w:r w:rsidRPr="00F54D78">
        <w:rPr>
          <w:szCs w:val="24"/>
        </w:rPr>
        <w:t>.</w:t>
      </w:r>
    </w:p>
    <w:p w14:paraId="46B7E3DC" w14:textId="77777777" w:rsidR="0005073E" w:rsidRPr="00AC27FF" w:rsidRDefault="0005073E" w:rsidP="0005073E">
      <w:pPr>
        <w:ind w:left="720" w:hanging="360"/>
        <w:rPr>
          <w:szCs w:val="24"/>
        </w:rPr>
      </w:pPr>
    </w:p>
    <w:p w14:paraId="17AD5C3F"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$175,800.  (4,395 hours x $40/hour.).</w:t>
      </w:r>
    </w:p>
    <w:p w14:paraId="70B890E2" w14:textId="77777777" w:rsidR="0005073E" w:rsidRPr="00AC27FF" w:rsidRDefault="0005073E" w:rsidP="0005073E">
      <w:pPr>
        <w:ind w:left="720" w:hanging="360"/>
        <w:rPr>
          <w:szCs w:val="24"/>
        </w:rPr>
      </w:pPr>
    </w:p>
    <w:p w14:paraId="739B308D" w14:textId="77777777" w:rsidR="0005073E" w:rsidRPr="00AC27FF" w:rsidRDefault="0005073E" w:rsidP="0005073E">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frozen support will spend at least 15 hours </w:t>
      </w:r>
      <w:r>
        <w:rPr>
          <w:szCs w:val="24"/>
        </w:rPr>
        <w:t xml:space="preserve">confirming compliance and </w:t>
      </w:r>
      <w:r w:rsidRPr="00AC27FF">
        <w:rPr>
          <w:szCs w:val="24"/>
        </w:rPr>
        <w:t>certifying that it is using incrementally increasing portions of its frozen support to deploy broadband-capable networks and to offer its own retail broadband service in areas substantially unserved by an unsubsidized competitor</w:t>
      </w:r>
      <w:r w:rsidRPr="00AC27FF">
        <w:rPr>
          <w:color w:val="000000"/>
          <w:szCs w:val="24"/>
        </w:rPr>
        <w:t xml:space="preserve">.  </w:t>
      </w:r>
      <w:r>
        <w:rPr>
          <w:color w:val="000000"/>
          <w:szCs w:val="24"/>
        </w:rPr>
        <w:t>293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7BAF8067" w14:textId="77777777" w:rsidR="0005073E" w:rsidRPr="00AC27FF" w:rsidRDefault="0005073E" w:rsidP="00D87D19">
      <w:pPr>
        <w:rPr>
          <w:szCs w:val="24"/>
        </w:rPr>
      </w:pPr>
    </w:p>
    <w:p w14:paraId="4D646E57" w14:textId="6AEDCD61" w:rsidR="0005073E" w:rsidRPr="00AC27FF" w:rsidRDefault="0005073E" w:rsidP="0005073E">
      <w:pPr>
        <w:ind w:left="360"/>
        <w:rPr>
          <w:b/>
          <w:szCs w:val="24"/>
          <w:u w:val="single"/>
        </w:rPr>
      </w:pPr>
      <w:r>
        <w:rPr>
          <w:b/>
          <w:szCs w:val="24"/>
          <w:u w:val="single"/>
        </w:rPr>
        <w:t>k</w:t>
      </w:r>
      <w:r w:rsidRPr="00AC27FF">
        <w:rPr>
          <w:b/>
          <w:szCs w:val="24"/>
          <w:u w:val="single"/>
        </w:rPr>
        <w:t>. Price Cap Carrier High-Cost Support for Access Charges Certification (no revisions)</w:t>
      </w:r>
      <w:r w:rsidRPr="00AC27FF">
        <w:rPr>
          <w:b/>
          <w:szCs w:val="24"/>
        </w:rPr>
        <w:t>:</w:t>
      </w:r>
      <w:r>
        <w:rPr>
          <w:b/>
          <w:szCs w:val="24"/>
        </w:rPr>
        <w:t xml:space="preserve"> </w:t>
      </w:r>
    </w:p>
    <w:p w14:paraId="20E9E0B7" w14:textId="77777777" w:rsidR="0005073E" w:rsidRPr="00AC27FF" w:rsidRDefault="0005073E" w:rsidP="0005073E">
      <w:pPr>
        <w:ind w:left="360"/>
        <w:rPr>
          <w:b/>
          <w:szCs w:val="24"/>
          <w:u w:val="single"/>
        </w:rPr>
      </w:pPr>
    </w:p>
    <w:p w14:paraId="475E8F8B"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14:paraId="11B590C7" w14:textId="77777777" w:rsidR="0005073E" w:rsidRPr="00AC27FF" w:rsidRDefault="0005073E" w:rsidP="0005073E">
      <w:pPr>
        <w:ind w:left="720" w:hanging="360"/>
        <w:rPr>
          <w:szCs w:val="24"/>
        </w:rPr>
      </w:pPr>
    </w:p>
    <w:p w14:paraId="7D7FEE7E"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ED4D90" w14:textId="77777777" w:rsidR="0005073E" w:rsidRPr="00AC27FF" w:rsidRDefault="0005073E" w:rsidP="0005073E">
      <w:pPr>
        <w:ind w:left="720" w:hanging="360"/>
        <w:rPr>
          <w:szCs w:val="24"/>
        </w:rPr>
      </w:pPr>
    </w:p>
    <w:p w14:paraId="3DC55578" w14:textId="77777777" w:rsidR="0005073E" w:rsidRDefault="0005073E" w:rsidP="0005073E">
      <w:pPr>
        <w:ind w:left="720" w:hanging="360"/>
        <w:rPr>
          <w:szCs w:val="24"/>
        </w:rPr>
      </w:pPr>
      <w:r w:rsidRPr="00AC27FF">
        <w:rPr>
          <w:szCs w:val="24"/>
        </w:rPr>
        <w:t xml:space="preserve">(3) </w:t>
      </w:r>
      <w:r w:rsidRPr="0066661E">
        <w:rPr>
          <w:szCs w:val="24"/>
          <w:u w:val="single"/>
        </w:rPr>
        <w:t>Total number of responses per respondent</w:t>
      </w:r>
      <w:r>
        <w:rPr>
          <w:szCs w:val="24"/>
        </w:rPr>
        <w:t xml:space="preserve">:  Approximately 1. </w:t>
      </w:r>
    </w:p>
    <w:p w14:paraId="566CB35C" w14:textId="77777777" w:rsidR="0005073E" w:rsidRDefault="0005073E" w:rsidP="0005073E">
      <w:pPr>
        <w:ind w:left="720" w:hanging="360"/>
        <w:rPr>
          <w:szCs w:val="24"/>
        </w:rPr>
      </w:pPr>
    </w:p>
    <w:p w14:paraId="2329B74D" w14:textId="77777777" w:rsidR="0005073E" w:rsidRDefault="0005073E" w:rsidP="0005073E">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1269C783" w14:textId="77777777" w:rsidR="0005073E" w:rsidRDefault="0005073E" w:rsidP="0005073E">
      <w:pPr>
        <w:ind w:left="720" w:hanging="360"/>
        <w:rPr>
          <w:szCs w:val="24"/>
        </w:rPr>
      </w:pPr>
    </w:p>
    <w:p w14:paraId="7F17AB73" w14:textId="77777777" w:rsidR="0005073E" w:rsidRDefault="0005073E" w:rsidP="0005073E">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 xml:space="preserve">4,395 hours. </w:t>
      </w:r>
    </w:p>
    <w:p w14:paraId="4A196A31" w14:textId="77777777" w:rsidR="0005073E" w:rsidRDefault="0005073E" w:rsidP="0005073E">
      <w:pPr>
        <w:ind w:left="720" w:hanging="360"/>
        <w:rPr>
          <w:szCs w:val="24"/>
        </w:rPr>
      </w:pPr>
    </w:p>
    <w:p w14:paraId="4C0BA6C0" w14:textId="77777777" w:rsidR="0005073E" w:rsidRPr="00AC27FF" w:rsidRDefault="0005073E" w:rsidP="0005073E">
      <w:pPr>
        <w:ind w:left="720" w:hanging="360"/>
        <w:rPr>
          <w:szCs w:val="24"/>
        </w:rPr>
      </w:pPr>
      <w:r>
        <w:rPr>
          <w:szCs w:val="24"/>
        </w:rPr>
        <w:t xml:space="preserve">      </w:t>
      </w:r>
      <w:r w:rsidRPr="00AC27FF">
        <w:rPr>
          <w:szCs w:val="24"/>
        </w:rPr>
        <w:t xml:space="preserve">15 hours per respondent for 293 respondents filing annually.  Total annual hour burden is: </w:t>
      </w:r>
      <w:r w:rsidRPr="00F54D78">
        <w:rPr>
          <w:szCs w:val="24"/>
        </w:rPr>
        <w:t xml:space="preserve">293 respondents x 1 certification per respondent = 293 responses x 15 hours = </w:t>
      </w:r>
      <w:r w:rsidRPr="00F54D78">
        <w:rPr>
          <w:b/>
          <w:szCs w:val="24"/>
        </w:rPr>
        <w:t>4,395 hours</w:t>
      </w:r>
      <w:r w:rsidRPr="00F54D78">
        <w:rPr>
          <w:szCs w:val="24"/>
        </w:rPr>
        <w:t>.</w:t>
      </w:r>
    </w:p>
    <w:p w14:paraId="7609027E" w14:textId="77777777" w:rsidR="0005073E" w:rsidRPr="00AC27FF" w:rsidRDefault="0005073E" w:rsidP="0005073E">
      <w:pPr>
        <w:ind w:left="720" w:hanging="360"/>
        <w:rPr>
          <w:szCs w:val="24"/>
        </w:rPr>
      </w:pPr>
    </w:p>
    <w:p w14:paraId="52B18772"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$175,800.  (4,395 hours x $40/hour.).</w:t>
      </w:r>
    </w:p>
    <w:p w14:paraId="7FA5FB00" w14:textId="77777777" w:rsidR="0005073E" w:rsidRPr="00AC27FF" w:rsidRDefault="0005073E" w:rsidP="0005073E">
      <w:pPr>
        <w:ind w:left="720" w:hanging="360"/>
        <w:rPr>
          <w:szCs w:val="24"/>
        </w:rPr>
      </w:pPr>
    </w:p>
    <w:p w14:paraId="1D9B1FFF" w14:textId="77777777" w:rsidR="0005073E" w:rsidRPr="00AC27FF" w:rsidRDefault="0005073E" w:rsidP="0005073E">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support to offset reductions in access charges will spend at least 15 hours </w:t>
      </w:r>
      <w:r>
        <w:rPr>
          <w:szCs w:val="24"/>
        </w:rPr>
        <w:t xml:space="preserve">confirming compliance and </w:t>
      </w:r>
      <w:r w:rsidRPr="00AC27FF">
        <w:rPr>
          <w:szCs w:val="24"/>
        </w:rPr>
        <w:t>certifying that it is using high-cost support received pursuant to 47 C.F.R. § 54.304 to deploy broadband-capable networks and to offer its own retail broadband service in areas substantially unserved by an unsubsidized competitor</w:t>
      </w:r>
      <w:r>
        <w:rPr>
          <w:color w:val="000000"/>
          <w:szCs w:val="24"/>
        </w:rPr>
        <w:t>.  293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632729D0" w14:textId="77777777" w:rsidR="0005073E" w:rsidRPr="00AC27FF" w:rsidRDefault="0005073E" w:rsidP="0005073E">
      <w:pPr>
        <w:ind w:left="810" w:hanging="450"/>
        <w:rPr>
          <w:b/>
          <w:szCs w:val="24"/>
          <w:u w:val="single"/>
        </w:rPr>
      </w:pPr>
    </w:p>
    <w:p w14:paraId="707C08E5" w14:textId="3FECE358" w:rsidR="0005073E" w:rsidRPr="00AC27FF" w:rsidRDefault="0005073E" w:rsidP="0005073E">
      <w:pPr>
        <w:ind w:left="360" w:hanging="360"/>
        <w:rPr>
          <w:b/>
          <w:szCs w:val="24"/>
          <w:u w:val="single"/>
        </w:rPr>
      </w:pPr>
      <w:r>
        <w:rPr>
          <w:b/>
          <w:szCs w:val="24"/>
          <w:u w:val="single"/>
        </w:rPr>
        <w:t>l</w:t>
      </w:r>
      <w:r w:rsidRPr="00AC27FF">
        <w:rPr>
          <w:b/>
          <w:szCs w:val="24"/>
          <w:u w:val="single"/>
        </w:rPr>
        <w:t xml:space="preserve">. Privately Held Rate-of-Return Carrier </w:t>
      </w:r>
      <w:r>
        <w:rPr>
          <w:b/>
          <w:szCs w:val="24"/>
          <w:u w:val="single"/>
        </w:rPr>
        <w:t>Financial Information</w:t>
      </w:r>
      <w:r w:rsidRPr="00E209F0">
        <w:rPr>
          <w:b/>
          <w:szCs w:val="24"/>
        </w:rPr>
        <w:t xml:space="preserve"> </w:t>
      </w:r>
      <w:r w:rsidRPr="00AC27FF">
        <w:rPr>
          <w:b/>
          <w:szCs w:val="24"/>
          <w:u w:val="single"/>
        </w:rPr>
        <w:t>(no revisions)</w:t>
      </w:r>
      <w:r w:rsidRPr="00AC27FF">
        <w:rPr>
          <w:b/>
          <w:szCs w:val="24"/>
        </w:rPr>
        <w:t>:</w:t>
      </w:r>
    </w:p>
    <w:p w14:paraId="616E2E74" w14:textId="74688115" w:rsidR="0005073E" w:rsidRPr="00AC27FF" w:rsidRDefault="0005073E" w:rsidP="0005073E">
      <w:pPr>
        <w:ind w:left="360"/>
        <w:rPr>
          <w:b/>
          <w:szCs w:val="24"/>
          <w:u w:val="single"/>
        </w:rPr>
      </w:pPr>
    </w:p>
    <w:p w14:paraId="5AF8FC52"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625 privately held rate-of-return carriers will be required to submit financial statements.  </w:t>
      </w:r>
    </w:p>
    <w:p w14:paraId="1CF4AA03" w14:textId="77777777" w:rsidR="0005073E" w:rsidRPr="00AC27FF" w:rsidRDefault="0005073E" w:rsidP="0005073E">
      <w:pPr>
        <w:ind w:left="720" w:hanging="360"/>
        <w:rPr>
          <w:szCs w:val="24"/>
        </w:rPr>
      </w:pPr>
    </w:p>
    <w:p w14:paraId="712AEEDB"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171A497D" w14:textId="77777777" w:rsidR="0005073E" w:rsidRPr="00AC27FF" w:rsidRDefault="0005073E" w:rsidP="0005073E">
      <w:pPr>
        <w:ind w:left="720" w:hanging="360"/>
        <w:rPr>
          <w:szCs w:val="24"/>
        </w:rPr>
      </w:pPr>
    </w:p>
    <w:p w14:paraId="6681F2AF" w14:textId="77777777" w:rsidR="0005073E" w:rsidRDefault="0005073E" w:rsidP="0005073E">
      <w:pPr>
        <w:ind w:left="720" w:hanging="360"/>
        <w:rPr>
          <w:szCs w:val="24"/>
        </w:rPr>
      </w:pPr>
      <w:r w:rsidRPr="00AC27FF">
        <w:rPr>
          <w:szCs w:val="24"/>
        </w:rPr>
        <w:t xml:space="preserve">(3)  </w:t>
      </w:r>
      <w:r>
        <w:rPr>
          <w:szCs w:val="24"/>
        </w:rPr>
        <w:t xml:space="preserve">Total number of responses per respondent:  Approximately 1. </w:t>
      </w:r>
    </w:p>
    <w:p w14:paraId="22481F35" w14:textId="77777777" w:rsidR="0005073E" w:rsidRDefault="0005073E" w:rsidP="0005073E">
      <w:pPr>
        <w:ind w:left="720" w:hanging="360"/>
        <w:rPr>
          <w:szCs w:val="24"/>
        </w:rPr>
      </w:pPr>
    </w:p>
    <w:p w14:paraId="43E202DB" w14:textId="77777777" w:rsidR="0005073E" w:rsidRDefault="0005073E" w:rsidP="0005073E">
      <w:pPr>
        <w:ind w:left="720" w:hanging="360"/>
        <w:rPr>
          <w:szCs w:val="24"/>
        </w:rPr>
      </w:pPr>
      <w:r>
        <w:rPr>
          <w:szCs w:val="24"/>
        </w:rPr>
        <w:t xml:space="preserve">(4) Estimated time per response: 15 hours.  </w:t>
      </w:r>
    </w:p>
    <w:p w14:paraId="509453CA" w14:textId="77777777" w:rsidR="0005073E" w:rsidRDefault="0005073E" w:rsidP="0005073E">
      <w:pPr>
        <w:ind w:left="720" w:hanging="360"/>
        <w:rPr>
          <w:szCs w:val="24"/>
        </w:rPr>
      </w:pPr>
    </w:p>
    <w:p w14:paraId="655F4A1E" w14:textId="77777777" w:rsidR="0005073E" w:rsidRDefault="0005073E" w:rsidP="0005073E">
      <w:pPr>
        <w:ind w:left="720" w:hanging="360"/>
        <w:rPr>
          <w:szCs w:val="24"/>
        </w:rPr>
      </w:pPr>
      <w:r w:rsidRPr="008648DA">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 xml:space="preserve">9,375 hours. </w:t>
      </w:r>
    </w:p>
    <w:p w14:paraId="13AB43A8" w14:textId="77777777" w:rsidR="0005073E" w:rsidRDefault="0005073E" w:rsidP="0005073E">
      <w:pPr>
        <w:ind w:left="720" w:hanging="360"/>
        <w:rPr>
          <w:szCs w:val="24"/>
        </w:rPr>
      </w:pPr>
    </w:p>
    <w:p w14:paraId="2C4F46F2" w14:textId="77777777" w:rsidR="0005073E" w:rsidRPr="00AC27FF" w:rsidRDefault="0005073E" w:rsidP="0005073E">
      <w:pPr>
        <w:ind w:left="720" w:hanging="360"/>
        <w:rPr>
          <w:szCs w:val="24"/>
        </w:rPr>
      </w:pPr>
      <w:r>
        <w:rPr>
          <w:szCs w:val="24"/>
        </w:rPr>
        <w:t xml:space="preserve">      </w:t>
      </w:r>
      <w:r w:rsidRPr="00050DAD">
        <w:rPr>
          <w:szCs w:val="24"/>
        </w:rPr>
        <w:t xml:space="preserve">15 hours per respondent for 625 respondents filing annually.  Total annual hour burden is: 625 respondents x 1 financial statement per respondent = 625 responses x 15 hours = </w:t>
      </w:r>
      <w:r w:rsidRPr="00050DAD">
        <w:rPr>
          <w:b/>
          <w:szCs w:val="24"/>
        </w:rPr>
        <w:t>9,375 hours</w:t>
      </w:r>
      <w:r w:rsidRPr="00050DAD">
        <w:rPr>
          <w:szCs w:val="24"/>
        </w:rPr>
        <w:t>.</w:t>
      </w:r>
    </w:p>
    <w:p w14:paraId="78616D41" w14:textId="77777777" w:rsidR="0005073E" w:rsidRPr="00AC27FF" w:rsidRDefault="0005073E" w:rsidP="0005073E">
      <w:pPr>
        <w:ind w:left="720" w:hanging="360"/>
        <w:rPr>
          <w:szCs w:val="24"/>
        </w:rPr>
      </w:pPr>
    </w:p>
    <w:p w14:paraId="4CA9516C"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$375,000.  (9,375 hours x $40/hour.).</w:t>
      </w:r>
    </w:p>
    <w:p w14:paraId="16A56AFD" w14:textId="77777777" w:rsidR="0005073E" w:rsidRPr="00AC27FF" w:rsidRDefault="0005073E" w:rsidP="0005073E">
      <w:pPr>
        <w:ind w:left="720" w:hanging="360"/>
        <w:rPr>
          <w:szCs w:val="24"/>
        </w:rPr>
      </w:pPr>
    </w:p>
    <w:p w14:paraId="63061BB6" w14:textId="77777777" w:rsidR="0005073E" w:rsidRPr="00AC27FF" w:rsidRDefault="0005073E" w:rsidP="0005073E">
      <w:pPr>
        <w:ind w:left="810" w:hanging="45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privately held rate-of-return carrier will spend at least 15 hours filing its RUS Operating Report for Telecommunications Borrowers, audited financial statements, or financial statements reviewed by a certified public accountant</w:t>
      </w:r>
      <w:r w:rsidRPr="00AC27FF">
        <w:rPr>
          <w:color w:val="000000"/>
          <w:szCs w:val="24"/>
        </w:rPr>
        <w:t xml:space="preserve">.  </w:t>
      </w:r>
      <w:r>
        <w:rPr>
          <w:color w:val="000000"/>
          <w:szCs w:val="24"/>
        </w:rPr>
        <w:t>625 (</w:t>
      </w:r>
      <w:r w:rsidRPr="00AC27FF">
        <w:rPr>
          <w:color w:val="000000"/>
          <w:szCs w:val="24"/>
        </w:rPr>
        <w:t>respon</w:t>
      </w:r>
      <w:r>
        <w:rPr>
          <w:color w:val="000000"/>
          <w:szCs w:val="24"/>
        </w:rPr>
        <w:t>ses</w:t>
      </w:r>
      <w:r w:rsidRPr="00AC27FF">
        <w:rPr>
          <w:color w:val="000000"/>
          <w:szCs w:val="24"/>
        </w:rPr>
        <w:t xml:space="preserve">) x 15 (hours to prepare and submit financial statements) x </w:t>
      </w:r>
      <w:r w:rsidRPr="00AC27FF">
        <w:rPr>
          <w:szCs w:val="24"/>
        </w:rPr>
        <w:t xml:space="preserve">$40/hr. </w:t>
      </w:r>
      <w:r w:rsidRPr="00AC27FF">
        <w:rPr>
          <w:color w:val="000000"/>
          <w:szCs w:val="24"/>
        </w:rPr>
        <w:t>= $</w:t>
      </w:r>
      <w:r>
        <w:rPr>
          <w:color w:val="000000"/>
          <w:szCs w:val="24"/>
        </w:rPr>
        <w:t>375,000</w:t>
      </w:r>
      <w:r w:rsidRPr="00AC27FF">
        <w:rPr>
          <w:color w:val="000000"/>
          <w:szCs w:val="24"/>
        </w:rPr>
        <w:t>.</w:t>
      </w:r>
      <w:r w:rsidRPr="00AC27FF">
        <w:rPr>
          <w:color w:val="000000"/>
          <w:szCs w:val="24"/>
        </w:rPr>
        <w:br/>
      </w:r>
    </w:p>
    <w:p w14:paraId="6188636B" w14:textId="5FBD093D" w:rsidR="0005073E" w:rsidRDefault="0005073E" w:rsidP="0005073E">
      <w:pPr>
        <w:ind w:left="360"/>
        <w:rPr>
          <w:b/>
          <w:szCs w:val="24"/>
          <w:u w:val="single"/>
        </w:rPr>
      </w:pPr>
      <w:r>
        <w:rPr>
          <w:b/>
          <w:szCs w:val="24"/>
          <w:u w:val="single"/>
        </w:rPr>
        <w:t>m</w:t>
      </w:r>
      <w:r w:rsidRPr="00EE0B13">
        <w:rPr>
          <w:b/>
          <w:szCs w:val="24"/>
          <w:u w:val="single"/>
        </w:rPr>
        <w:t>. Reporting of New Locations by Connect America Fund-Broadband Loop Support (CAF-BLS) Recipients (Form 481) (</w:t>
      </w:r>
      <w:r>
        <w:rPr>
          <w:b/>
          <w:szCs w:val="24"/>
          <w:u w:val="single"/>
        </w:rPr>
        <w:t>no revisions</w:t>
      </w:r>
      <w:r w:rsidRPr="00EE0B13">
        <w:rPr>
          <w:b/>
          <w:szCs w:val="24"/>
          <w:u w:val="single"/>
        </w:rPr>
        <w:t xml:space="preserve">): </w:t>
      </w:r>
    </w:p>
    <w:p w14:paraId="485ADE6E" w14:textId="77777777" w:rsidR="0005073E" w:rsidRPr="00AC27FF" w:rsidRDefault="0005073E" w:rsidP="0005073E">
      <w:pPr>
        <w:ind w:left="360"/>
        <w:rPr>
          <w:b/>
          <w:szCs w:val="24"/>
          <w:u w:val="single"/>
        </w:rPr>
      </w:pPr>
    </w:p>
    <w:p w14:paraId="611404A4"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Approximately 485 rate-of-return carriers participating in the CAF-BLS program with 80 percent or greater deployment of 10/1 Mbps broadband service in their entire study areas, based on June 2015 FCC Form 477 data, will report progress on the number of locations where 10/1 Mbps or better broadband service has been deployed within their study area in the prior calendar year</w:t>
      </w:r>
      <w:r w:rsidRPr="00AC27FF">
        <w:rPr>
          <w:szCs w:val="24"/>
        </w:rPr>
        <w:t xml:space="preserve">.  </w:t>
      </w:r>
    </w:p>
    <w:p w14:paraId="5802E9E2" w14:textId="77777777" w:rsidR="0005073E" w:rsidRPr="00AC27FF" w:rsidRDefault="0005073E" w:rsidP="0005073E">
      <w:pPr>
        <w:ind w:left="720" w:hanging="360"/>
        <w:rPr>
          <w:szCs w:val="24"/>
        </w:rPr>
      </w:pPr>
    </w:p>
    <w:p w14:paraId="02D368EF"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036D4689" w14:textId="77777777" w:rsidR="0005073E" w:rsidRPr="00AC27FF" w:rsidRDefault="0005073E" w:rsidP="0005073E">
      <w:pPr>
        <w:ind w:left="720" w:hanging="360"/>
        <w:rPr>
          <w:szCs w:val="24"/>
        </w:rPr>
      </w:pPr>
    </w:p>
    <w:p w14:paraId="1237A19C" w14:textId="77777777" w:rsidR="0005073E" w:rsidRDefault="0005073E" w:rsidP="0005073E">
      <w:pPr>
        <w:ind w:left="720" w:hanging="360"/>
        <w:rPr>
          <w:szCs w:val="24"/>
        </w:rPr>
      </w:pPr>
      <w:r>
        <w:rPr>
          <w:szCs w:val="24"/>
        </w:rPr>
        <w:t xml:space="preserve">(3) </w:t>
      </w:r>
      <w:r w:rsidRPr="00423F95">
        <w:rPr>
          <w:szCs w:val="24"/>
          <w:u w:val="single"/>
        </w:rPr>
        <w:t>Total number of responses per respondent</w:t>
      </w:r>
      <w:r>
        <w:rPr>
          <w:szCs w:val="24"/>
        </w:rPr>
        <w:t>:  Approximately 1.</w:t>
      </w:r>
    </w:p>
    <w:p w14:paraId="7B3F8BBD" w14:textId="77777777" w:rsidR="0005073E" w:rsidRDefault="0005073E" w:rsidP="0005073E">
      <w:pPr>
        <w:ind w:left="720" w:hanging="360"/>
        <w:rPr>
          <w:szCs w:val="24"/>
          <w:u w:val="single"/>
        </w:rPr>
      </w:pPr>
    </w:p>
    <w:p w14:paraId="4FE0DDD0" w14:textId="77777777" w:rsidR="0005073E" w:rsidRPr="0046233F" w:rsidRDefault="0005073E" w:rsidP="0005073E">
      <w:pPr>
        <w:ind w:left="720" w:hanging="360"/>
      </w:pPr>
      <w:r w:rsidRPr="00423F95">
        <w:rPr>
          <w:szCs w:val="24"/>
        </w:rPr>
        <w:t xml:space="preserve">(4) </w:t>
      </w:r>
      <w:r>
        <w:rPr>
          <w:szCs w:val="24"/>
          <w:u w:val="single"/>
        </w:rPr>
        <w:t>Estimated time per response:</w:t>
      </w:r>
      <w:r w:rsidRPr="0046233F">
        <w:t xml:space="preserve">  </w:t>
      </w:r>
      <w:r>
        <w:rPr>
          <w:szCs w:val="24"/>
          <w:lang w:eastAsia="ko-KR"/>
        </w:rPr>
        <w:t>3</w:t>
      </w:r>
      <w:r w:rsidRPr="0046233F">
        <w:t xml:space="preserve"> hours. </w:t>
      </w:r>
    </w:p>
    <w:p w14:paraId="00AA5872" w14:textId="77777777" w:rsidR="0005073E" w:rsidRDefault="0005073E" w:rsidP="0005073E">
      <w:pPr>
        <w:ind w:left="720" w:hanging="360"/>
        <w:rPr>
          <w:szCs w:val="24"/>
          <w:u w:val="single"/>
        </w:rPr>
      </w:pPr>
    </w:p>
    <w:p w14:paraId="220FC5C3" w14:textId="77777777" w:rsidR="0005073E" w:rsidRDefault="0005073E" w:rsidP="0005073E">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1,455 hours.</w:t>
      </w:r>
    </w:p>
    <w:p w14:paraId="52229418" w14:textId="77777777" w:rsidR="0005073E" w:rsidRDefault="0005073E" w:rsidP="0005073E">
      <w:pPr>
        <w:ind w:left="720" w:hanging="360"/>
        <w:rPr>
          <w:szCs w:val="24"/>
        </w:rPr>
      </w:pPr>
    </w:p>
    <w:p w14:paraId="13984249" w14:textId="77777777" w:rsidR="0005073E" w:rsidRPr="00AC27FF" w:rsidRDefault="0005073E" w:rsidP="0005073E">
      <w:pPr>
        <w:ind w:left="720" w:hanging="360"/>
        <w:rPr>
          <w:szCs w:val="24"/>
        </w:rPr>
      </w:pPr>
      <w:r>
        <w:rPr>
          <w:szCs w:val="24"/>
        </w:rPr>
        <w:t xml:space="preserve">      3</w:t>
      </w:r>
      <w:r w:rsidRPr="00AC27FF">
        <w:rPr>
          <w:szCs w:val="24"/>
        </w:rPr>
        <w:t xml:space="preserve"> hours per respondent for </w:t>
      </w:r>
      <w:r>
        <w:rPr>
          <w:szCs w:val="24"/>
        </w:rPr>
        <w:t>485</w:t>
      </w:r>
      <w:r w:rsidRPr="00AC27FF">
        <w:rPr>
          <w:szCs w:val="24"/>
        </w:rPr>
        <w:t xml:space="preserve"> carriers filing on an annual basis.  Total annual hour burden is calculated as follows:  </w:t>
      </w:r>
    </w:p>
    <w:p w14:paraId="5333B958" w14:textId="77777777" w:rsidR="0005073E" w:rsidRPr="00AC27FF" w:rsidRDefault="0005073E" w:rsidP="0005073E">
      <w:pPr>
        <w:ind w:left="720"/>
        <w:rPr>
          <w:szCs w:val="24"/>
        </w:rPr>
      </w:pPr>
    </w:p>
    <w:p w14:paraId="025A421C" w14:textId="77777777" w:rsidR="0005073E" w:rsidRPr="00AC27FF" w:rsidRDefault="0005073E" w:rsidP="0005073E">
      <w:pPr>
        <w:ind w:left="720"/>
        <w:rPr>
          <w:szCs w:val="24"/>
        </w:rPr>
      </w:pPr>
      <w:r>
        <w:rPr>
          <w:szCs w:val="24"/>
        </w:rPr>
        <w:t xml:space="preserve">485 </w:t>
      </w:r>
      <w:r w:rsidRPr="00AC27FF">
        <w:rPr>
          <w:szCs w:val="24"/>
        </w:rPr>
        <w:t xml:space="preserve">respondents x </w:t>
      </w:r>
      <w:r>
        <w:rPr>
          <w:szCs w:val="24"/>
        </w:rPr>
        <w:t>1</w:t>
      </w:r>
      <w:r w:rsidRPr="00AC27FF">
        <w:rPr>
          <w:szCs w:val="24"/>
        </w:rPr>
        <w:t xml:space="preserve"> report per respondent = </w:t>
      </w:r>
      <w:r>
        <w:rPr>
          <w:szCs w:val="24"/>
        </w:rPr>
        <w:t>485 responses x 3</w:t>
      </w:r>
      <w:r w:rsidRPr="00AC27FF">
        <w:rPr>
          <w:szCs w:val="24"/>
        </w:rPr>
        <w:t xml:space="preserve"> hours = </w:t>
      </w:r>
      <w:r>
        <w:rPr>
          <w:b/>
          <w:szCs w:val="24"/>
        </w:rPr>
        <w:t>1,455</w:t>
      </w:r>
      <w:r w:rsidRPr="00AC27FF">
        <w:rPr>
          <w:b/>
          <w:szCs w:val="24"/>
        </w:rPr>
        <w:t xml:space="preserve"> total annual hours.</w:t>
      </w:r>
      <w:r w:rsidRPr="00AC27FF">
        <w:rPr>
          <w:szCs w:val="24"/>
        </w:rPr>
        <w:t xml:space="preserve">  </w:t>
      </w:r>
    </w:p>
    <w:p w14:paraId="5BA6D72E" w14:textId="77777777" w:rsidR="0005073E" w:rsidRPr="00AC27FF" w:rsidRDefault="0005073E" w:rsidP="0005073E">
      <w:pPr>
        <w:ind w:left="720" w:hanging="360"/>
        <w:rPr>
          <w:szCs w:val="24"/>
        </w:rPr>
      </w:pPr>
    </w:p>
    <w:p w14:paraId="2A99E398" w14:textId="77777777" w:rsidR="0005073E" w:rsidRPr="00AC27FF" w:rsidRDefault="0005073E" w:rsidP="0005073E">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Pr>
          <w:szCs w:val="24"/>
        </w:rPr>
        <w:t xml:space="preserve"> 58,200. </w:t>
      </w:r>
      <w:r w:rsidRPr="00AC27FF">
        <w:rPr>
          <w:szCs w:val="24"/>
        </w:rPr>
        <w:t>(</w:t>
      </w:r>
      <w:r>
        <w:rPr>
          <w:szCs w:val="24"/>
        </w:rPr>
        <w:t>1,455</w:t>
      </w:r>
      <w:r w:rsidRPr="00AC27FF">
        <w:rPr>
          <w:szCs w:val="24"/>
        </w:rPr>
        <w:t xml:space="preserve"> </w:t>
      </w:r>
      <w:r>
        <w:rPr>
          <w:szCs w:val="24"/>
        </w:rPr>
        <w:t>hours x $40/hour</w:t>
      </w:r>
      <w:r w:rsidRPr="00AC27FF">
        <w:rPr>
          <w:szCs w:val="24"/>
        </w:rPr>
        <w:t>).</w:t>
      </w:r>
    </w:p>
    <w:p w14:paraId="6CBD0D91" w14:textId="77777777" w:rsidR="0005073E" w:rsidRPr="00AC27FF" w:rsidRDefault="0005073E" w:rsidP="0005073E">
      <w:pPr>
        <w:ind w:left="720" w:hanging="360"/>
        <w:rPr>
          <w:szCs w:val="24"/>
        </w:rPr>
      </w:pPr>
    </w:p>
    <w:p w14:paraId="2BBE5B3A" w14:textId="3E214898" w:rsidR="0005073E" w:rsidRDefault="0005073E" w:rsidP="0005073E">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Pr>
          <w:szCs w:val="24"/>
        </w:rPr>
        <w:t>We estimate that each CAF-BLS participant subject to this reporting requirement will take about 3 hours gathering and submitting information on the number of locations where 10/1 Mbps or better broadband service has been deployed in the prior calendar year.  485 (responses) x 3 (hours for gathering and submitting information on deployed locations) x $40 per hour = $58,200.</w:t>
      </w:r>
    </w:p>
    <w:p w14:paraId="1DEAB2F5" w14:textId="4FE01C46" w:rsidR="0005073E" w:rsidRDefault="0005073E" w:rsidP="0005073E">
      <w:pPr>
        <w:tabs>
          <w:tab w:val="left" w:pos="2250"/>
        </w:tabs>
        <w:ind w:left="720" w:hanging="360"/>
        <w:rPr>
          <w:szCs w:val="24"/>
        </w:rPr>
      </w:pPr>
    </w:p>
    <w:p w14:paraId="77437513" w14:textId="0C28CCF6" w:rsidR="0005073E" w:rsidRPr="00AC27FF" w:rsidRDefault="0005073E" w:rsidP="0005073E">
      <w:pPr>
        <w:ind w:left="360"/>
        <w:rPr>
          <w:b/>
          <w:szCs w:val="24"/>
          <w:u w:val="single"/>
        </w:rPr>
      </w:pPr>
      <w:r w:rsidRPr="00AC0977">
        <w:rPr>
          <w:b/>
          <w:szCs w:val="24"/>
          <w:u w:val="single"/>
        </w:rPr>
        <w:t>n</w:t>
      </w:r>
      <w:r w:rsidRPr="00235CFF">
        <w:rPr>
          <w:b/>
          <w:szCs w:val="24"/>
          <w:u w:val="single"/>
        </w:rPr>
        <w:t>.</w:t>
      </w:r>
      <w:r w:rsidRPr="00FB748A">
        <w:rPr>
          <w:szCs w:val="24"/>
          <w:u w:val="single"/>
        </w:rPr>
        <w:t xml:space="preserve"> </w:t>
      </w:r>
      <w:r>
        <w:rPr>
          <w:b/>
          <w:szCs w:val="24"/>
          <w:u w:val="single"/>
        </w:rPr>
        <w:t>Additional Annual Reporting for Rural Broadband Experiments</w:t>
      </w:r>
      <w:r w:rsidRPr="00AC27FF">
        <w:rPr>
          <w:b/>
          <w:szCs w:val="24"/>
          <w:u w:val="single"/>
        </w:rPr>
        <w:t xml:space="preserve"> (</w:t>
      </w:r>
      <w:r>
        <w:rPr>
          <w:b/>
          <w:szCs w:val="24"/>
          <w:u w:val="single"/>
        </w:rPr>
        <w:t xml:space="preserve">FCC </w:t>
      </w:r>
      <w:r w:rsidRPr="00AC27FF">
        <w:rPr>
          <w:b/>
          <w:szCs w:val="24"/>
          <w:u w:val="single"/>
        </w:rPr>
        <w:t>Form 481)</w:t>
      </w:r>
      <w:r w:rsidRPr="00E209F0">
        <w:rPr>
          <w:b/>
          <w:szCs w:val="24"/>
        </w:rPr>
        <w:t xml:space="preserve"> </w:t>
      </w:r>
      <w:r>
        <w:rPr>
          <w:b/>
          <w:szCs w:val="24"/>
          <w:u w:val="single"/>
        </w:rPr>
        <w:t>(no revisions):</w:t>
      </w:r>
      <w:r w:rsidRPr="00AC27FF">
        <w:rPr>
          <w:b/>
          <w:szCs w:val="24"/>
          <w:u w:val="single"/>
        </w:rPr>
        <w:t xml:space="preserve"> </w:t>
      </w:r>
    </w:p>
    <w:p w14:paraId="71EF4F16" w14:textId="77777777" w:rsidR="0005073E" w:rsidRPr="00AC27FF" w:rsidRDefault="0005073E" w:rsidP="0005073E">
      <w:pPr>
        <w:ind w:left="360" w:hanging="360"/>
        <w:rPr>
          <w:b/>
          <w:szCs w:val="24"/>
          <w:u w:val="single"/>
        </w:rPr>
      </w:pPr>
    </w:p>
    <w:p w14:paraId="04BA027F" w14:textId="77777777" w:rsidR="0005073E" w:rsidRPr="00AC27FF" w:rsidRDefault="0005073E" w:rsidP="0005073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20</w:t>
      </w:r>
      <w:r w:rsidRPr="00AC27FF">
        <w:rPr>
          <w:szCs w:val="24"/>
        </w:rPr>
        <w:t xml:space="preserve">.  </w:t>
      </w:r>
      <w:r>
        <w:rPr>
          <w:szCs w:val="24"/>
        </w:rPr>
        <w:t>Recipients of rural broadband experiment support</w:t>
      </w:r>
      <w:r w:rsidRPr="00AC27FF">
        <w:rPr>
          <w:szCs w:val="24"/>
        </w:rPr>
        <w:t xml:space="preserve"> </w:t>
      </w:r>
      <w:r>
        <w:rPr>
          <w:szCs w:val="24"/>
        </w:rPr>
        <w:t>must report this data and make these certifications</w:t>
      </w:r>
      <w:r w:rsidRPr="00AC27FF">
        <w:rPr>
          <w:szCs w:val="24"/>
        </w:rPr>
        <w:t>.</w:t>
      </w:r>
    </w:p>
    <w:p w14:paraId="6EFE6D38" w14:textId="77777777" w:rsidR="0005073E" w:rsidRPr="00AC27FF" w:rsidRDefault="0005073E" w:rsidP="0005073E">
      <w:pPr>
        <w:ind w:left="720" w:hanging="360"/>
        <w:rPr>
          <w:szCs w:val="24"/>
        </w:rPr>
      </w:pPr>
    </w:p>
    <w:p w14:paraId="31B0E831" w14:textId="77777777" w:rsidR="0005073E" w:rsidRPr="00AC27FF" w:rsidRDefault="0005073E" w:rsidP="0005073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w:t>
      </w:r>
      <w:r w:rsidRPr="00AC27FF">
        <w:rPr>
          <w:szCs w:val="24"/>
        </w:rPr>
        <w:t xml:space="preserve">nnually. </w:t>
      </w:r>
      <w:r>
        <w:rPr>
          <w:szCs w:val="24"/>
        </w:rPr>
        <w:t xml:space="preserve"> </w:t>
      </w:r>
      <w:r w:rsidRPr="00AC27FF">
        <w:rPr>
          <w:szCs w:val="24"/>
        </w:rPr>
        <w:br/>
        <w:t xml:space="preserve"> </w:t>
      </w:r>
    </w:p>
    <w:p w14:paraId="6AC87A89" w14:textId="77777777" w:rsidR="0005073E" w:rsidRDefault="0005073E" w:rsidP="0005073E">
      <w:pPr>
        <w:ind w:left="720" w:hanging="360"/>
        <w:rPr>
          <w:szCs w:val="24"/>
        </w:rPr>
      </w:pPr>
      <w:r w:rsidRPr="00AC27FF">
        <w:rPr>
          <w:szCs w:val="24"/>
        </w:rPr>
        <w:t xml:space="preserve">(3) </w:t>
      </w:r>
      <w:r w:rsidRPr="0053135F">
        <w:rPr>
          <w:szCs w:val="24"/>
          <w:u w:val="single"/>
        </w:rPr>
        <w:t>Total number of responses per respondent</w:t>
      </w:r>
      <w:r>
        <w:rPr>
          <w:szCs w:val="24"/>
        </w:rPr>
        <w:t xml:space="preserve">: Approximately 1.   </w:t>
      </w:r>
    </w:p>
    <w:p w14:paraId="2811D8B3" w14:textId="77777777" w:rsidR="0005073E" w:rsidRDefault="0005073E" w:rsidP="0005073E">
      <w:pPr>
        <w:ind w:left="720" w:hanging="360"/>
        <w:rPr>
          <w:szCs w:val="24"/>
        </w:rPr>
      </w:pPr>
    </w:p>
    <w:p w14:paraId="4FB3197A" w14:textId="77777777" w:rsidR="0005073E" w:rsidRDefault="0005073E" w:rsidP="0005073E">
      <w:pPr>
        <w:ind w:left="720" w:hanging="360"/>
        <w:rPr>
          <w:szCs w:val="24"/>
        </w:rPr>
      </w:pPr>
      <w:r>
        <w:rPr>
          <w:szCs w:val="24"/>
        </w:rPr>
        <w:t xml:space="preserve">(4) </w:t>
      </w:r>
      <w:r w:rsidRPr="0053135F">
        <w:rPr>
          <w:szCs w:val="24"/>
          <w:u w:val="single"/>
        </w:rPr>
        <w:t>Estimated time per response</w:t>
      </w:r>
      <w:r>
        <w:rPr>
          <w:szCs w:val="24"/>
        </w:rPr>
        <w:t>:  3 hours.</w:t>
      </w:r>
    </w:p>
    <w:p w14:paraId="24E53DFB" w14:textId="77777777" w:rsidR="0005073E" w:rsidRDefault="0005073E" w:rsidP="0005073E">
      <w:pPr>
        <w:ind w:left="720" w:hanging="360"/>
        <w:rPr>
          <w:szCs w:val="24"/>
        </w:rPr>
      </w:pPr>
    </w:p>
    <w:p w14:paraId="098785CD" w14:textId="77777777" w:rsidR="0005073E" w:rsidRDefault="0005073E" w:rsidP="0005073E">
      <w:pPr>
        <w:ind w:left="720" w:hanging="360"/>
        <w:rPr>
          <w:szCs w:val="24"/>
        </w:rPr>
      </w:pPr>
      <w:r w:rsidRPr="00423F95">
        <w:rPr>
          <w:szCs w:val="24"/>
        </w:rPr>
        <w:t>(5)</w:t>
      </w:r>
      <w:r>
        <w:rPr>
          <w:szCs w:val="24"/>
          <w:u w:val="single"/>
        </w:rPr>
        <w:t xml:space="preserve"> Total a</w:t>
      </w:r>
      <w:r w:rsidRPr="00AC27FF">
        <w:rPr>
          <w:szCs w:val="24"/>
          <w:u w:val="single"/>
        </w:rPr>
        <w:t>nnual hour burden</w:t>
      </w:r>
      <w:r>
        <w:rPr>
          <w:szCs w:val="24"/>
        </w:rPr>
        <w:t>:  60 hours.</w:t>
      </w:r>
    </w:p>
    <w:p w14:paraId="2F24C51E" w14:textId="77777777" w:rsidR="0005073E" w:rsidRDefault="0005073E" w:rsidP="0005073E">
      <w:pPr>
        <w:ind w:left="720" w:hanging="360"/>
        <w:rPr>
          <w:szCs w:val="24"/>
        </w:rPr>
      </w:pPr>
    </w:p>
    <w:p w14:paraId="30AAD9DB" w14:textId="77777777" w:rsidR="0005073E" w:rsidRPr="00AC27FF" w:rsidRDefault="0005073E" w:rsidP="0005073E">
      <w:pPr>
        <w:ind w:left="720" w:hanging="360"/>
        <w:rPr>
          <w:szCs w:val="24"/>
        </w:rPr>
      </w:pPr>
      <w:r>
        <w:rPr>
          <w:szCs w:val="24"/>
        </w:rPr>
        <w:t xml:space="preserve">      3</w:t>
      </w:r>
      <w:r w:rsidRPr="00AC27FF">
        <w:rPr>
          <w:szCs w:val="24"/>
        </w:rPr>
        <w:t xml:space="preserve"> hours per respondent for </w:t>
      </w:r>
      <w:r>
        <w:rPr>
          <w:szCs w:val="24"/>
        </w:rPr>
        <w:t>20</w:t>
      </w:r>
      <w:r w:rsidRPr="00AC27FF">
        <w:rPr>
          <w:szCs w:val="24"/>
        </w:rPr>
        <w:t xml:space="preserve"> carriers filing on an annual basis.  Total annual hour burden is calculated as follows:  </w:t>
      </w:r>
    </w:p>
    <w:p w14:paraId="257464C0" w14:textId="77777777" w:rsidR="0005073E" w:rsidRPr="00AC27FF" w:rsidRDefault="0005073E" w:rsidP="0005073E">
      <w:pPr>
        <w:ind w:left="720"/>
        <w:rPr>
          <w:szCs w:val="24"/>
        </w:rPr>
      </w:pPr>
    </w:p>
    <w:p w14:paraId="7D49EA72" w14:textId="77777777" w:rsidR="0005073E" w:rsidRPr="00AC27FF" w:rsidRDefault="0005073E" w:rsidP="0005073E">
      <w:pPr>
        <w:ind w:left="720"/>
        <w:rPr>
          <w:szCs w:val="24"/>
        </w:rPr>
      </w:pPr>
      <w:r>
        <w:rPr>
          <w:szCs w:val="24"/>
        </w:rPr>
        <w:t>20</w:t>
      </w:r>
      <w:r w:rsidRPr="00AC27FF">
        <w:rPr>
          <w:szCs w:val="24"/>
        </w:rPr>
        <w:t xml:space="preserve"> respondents x 1 </w:t>
      </w:r>
      <w:r>
        <w:rPr>
          <w:szCs w:val="24"/>
        </w:rPr>
        <w:t>certification</w:t>
      </w:r>
      <w:r w:rsidRPr="00AC27FF">
        <w:rPr>
          <w:szCs w:val="24"/>
        </w:rPr>
        <w:t xml:space="preserve"> per respondent = </w:t>
      </w:r>
      <w:r>
        <w:rPr>
          <w:szCs w:val="24"/>
        </w:rPr>
        <w:t>20 responses x 3</w:t>
      </w:r>
      <w:r w:rsidRPr="00AC27FF">
        <w:rPr>
          <w:szCs w:val="24"/>
        </w:rPr>
        <w:t xml:space="preserve"> hours = </w:t>
      </w:r>
      <w:r>
        <w:rPr>
          <w:b/>
          <w:szCs w:val="24"/>
        </w:rPr>
        <w:t>60</w:t>
      </w:r>
      <w:r w:rsidRPr="00AC27FF">
        <w:rPr>
          <w:b/>
          <w:szCs w:val="24"/>
        </w:rPr>
        <w:t xml:space="preserve"> total annual hours.</w:t>
      </w:r>
      <w:r w:rsidRPr="00AC27FF">
        <w:rPr>
          <w:szCs w:val="24"/>
        </w:rPr>
        <w:t xml:space="preserve">  </w:t>
      </w:r>
    </w:p>
    <w:p w14:paraId="17B4094F" w14:textId="77777777" w:rsidR="0005073E" w:rsidRPr="00AC27FF" w:rsidRDefault="0005073E" w:rsidP="0005073E">
      <w:pPr>
        <w:ind w:left="720" w:hanging="360"/>
        <w:rPr>
          <w:szCs w:val="24"/>
        </w:rPr>
      </w:pPr>
    </w:p>
    <w:p w14:paraId="70D5D2C5" w14:textId="77777777" w:rsidR="0005073E" w:rsidRPr="00AC27FF" w:rsidRDefault="0005073E" w:rsidP="0005073E">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 xml:space="preserve">2,400. </w:t>
      </w:r>
      <w:r w:rsidRPr="00AC27FF">
        <w:rPr>
          <w:szCs w:val="24"/>
        </w:rPr>
        <w:t>(</w:t>
      </w:r>
      <w:r>
        <w:rPr>
          <w:szCs w:val="24"/>
        </w:rPr>
        <w:t>60</w:t>
      </w:r>
      <w:r w:rsidRPr="00AC27FF">
        <w:rPr>
          <w:szCs w:val="24"/>
        </w:rPr>
        <w:t xml:space="preserve"> hours x $40/hr.).</w:t>
      </w:r>
    </w:p>
    <w:p w14:paraId="5603BCD0" w14:textId="77777777" w:rsidR="0005073E" w:rsidRPr="00AC27FF" w:rsidRDefault="0005073E" w:rsidP="0005073E">
      <w:pPr>
        <w:ind w:left="720" w:hanging="360"/>
        <w:rPr>
          <w:szCs w:val="24"/>
        </w:rPr>
      </w:pPr>
    </w:p>
    <w:p w14:paraId="686F4B1B" w14:textId="77777777" w:rsidR="0005073E" w:rsidRDefault="0005073E" w:rsidP="0005073E">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Pr>
          <w:szCs w:val="24"/>
        </w:rPr>
        <w:t>rural broadband experiment support recipient will take 3</w:t>
      </w:r>
      <w:r w:rsidRPr="00AC27FF">
        <w:rPr>
          <w:szCs w:val="24"/>
        </w:rPr>
        <w:t xml:space="preserve"> hours to gather and submit the </w:t>
      </w:r>
      <w:r>
        <w:rPr>
          <w:szCs w:val="24"/>
        </w:rPr>
        <w:t>community anchor institution data</w:t>
      </w:r>
      <w:r w:rsidRPr="00AC27FF">
        <w:rPr>
          <w:szCs w:val="24"/>
        </w:rPr>
        <w:t xml:space="preserve"> to the Commission</w:t>
      </w:r>
      <w:r>
        <w:rPr>
          <w:szCs w:val="24"/>
        </w:rPr>
        <w:t xml:space="preserve"> and make the required certification</w:t>
      </w:r>
      <w:r w:rsidRPr="00AC27FF">
        <w:rPr>
          <w:szCs w:val="24"/>
        </w:rPr>
        <w:t xml:space="preserve">: </w:t>
      </w:r>
    </w:p>
    <w:p w14:paraId="10A138F5" w14:textId="77777777" w:rsidR="0005073E" w:rsidRPr="00AC27FF" w:rsidRDefault="0005073E" w:rsidP="0005073E">
      <w:pPr>
        <w:ind w:left="720" w:hanging="360"/>
        <w:rPr>
          <w:szCs w:val="24"/>
        </w:rPr>
      </w:pPr>
    </w:p>
    <w:p w14:paraId="07F6851E" w14:textId="0E3CF5F2" w:rsidR="0005073E" w:rsidRPr="00AC27FF" w:rsidRDefault="0005073E" w:rsidP="00AC0977">
      <w:pPr>
        <w:ind w:left="720"/>
        <w:rPr>
          <w:szCs w:val="24"/>
        </w:rPr>
      </w:pPr>
      <w:r>
        <w:rPr>
          <w:szCs w:val="24"/>
        </w:rPr>
        <w:t>20 (responses) x 3</w:t>
      </w:r>
      <w:r w:rsidRPr="00AC27FF">
        <w:rPr>
          <w:szCs w:val="24"/>
        </w:rPr>
        <w:t xml:space="preserve"> (hours to pr</w:t>
      </w:r>
      <w:r>
        <w:rPr>
          <w:szCs w:val="24"/>
        </w:rPr>
        <w:t xml:space="preserve">epare </w:t>
      </w:r>
      <w:r w:rsidRPr="00F54D78">
        <w:rPr>
          <w:szCs w:val="24"/>
        </w:rPr>
        <w:t>certification</w:t>
      </w:r>
      <w:r>
        <w:rPr>
          <w:szCs w:val="24"/>
        </w:rPr>
        <w:t>) x $40/hr.</w:t>
      </w:r>
      <w:r w:rsidRPr="00AC27FF">
        <w:rPr>
          <w:szCs w:val="24"/>
        </w:rPr>
        <w:t xml:space="preserve"> = $</w:t>
      </w:r>
      <w:r>
        <w:rPr>
          <w:szCs w:val="24"/>
        </w:rPr>
        <w:t>2,400</w:t>
      </w:r>
      <w:r w:rsidRPr="00AC27FF">
        <w:rPr>
          <w:szCs w:val="24"/>
        </w:rPr>
        <w:t>.</w:t>
      </w:r>
    </w:p>
    <w:p w14:paraId="1191D74F" w14:textId="3664D39D" w:rsidR="00A02898" w:rsidRPr="00AC27FF" w:rsidRDefault="00A02898" w:rsidP="00D87D19">
      <w:pPr>
        <w:rPr>
          <w:szCs w:val="24"/>
        </w:rPr>
      </w:pPr>
    </w:p>
    <w:p w14:paraId="4AB9241D" w14:textId="4AED17D7" w:rsidR="00A02898" w:rsidRDefault="0005073E" w:rsidP="00A02898">
      <w:pPr>
        <w:ind w:left="360"/>
        <w:rPr>
          <w:b/>
          <w:szCs w:val="24"/>
          <w:u w:val="single"/>
        </w:rPr>
      </w:pPr>
      <w:bookmarkStart w:id="1" w:name="_Hlk500929786"/>
      <w:r>
        <w:rPr>
          <w:b/>
          <w:szCs w:val="24"/>
          <w:u w:val="single"/>
        </w:rPr>
        <w:t>o</w:t>
      </w:r>
      <w:r w:rsidR="00A02898" w:rsidRPr="00EE0B13">
        <w:rPr>
          <w:b/>
          <w:szCs w:val="24"/>
          <w:u w:val="single"/>
        </w:rPr>
        <w:t xml:space="preserve">. </w:t>
      </w:r>
      <w:r w:rsidR="00DB269B" w:rsidRPr="00EE0B13">
        <w:rPr>
          <w:b/>
          <w:szCs w:val="24"/>
          <w:u w:val="single"/>
        </w:rPr>
        <w:t>Newly Available Backhaul Reporting for Alaska Plan Participants</w:t>
      </w:r>
      <w:r w:rsidR="00A02898" w:rsidRPr="00EE0B13">
        <w:rPr>
          <w:b/>
          <w:szCs w:val="24"/>
          <w:u w:val="single"/>
        </w:rPr>
        <w:t xml:space="preserve"> (Form 481) (</w:t>
      </w:r>
      <w:r>
        <w:rPr>
          <w:b/>
          <w:szCs w:val="24"/>
          <w:u w:val="single"/>
        </w:rPr>
        <w:t>no revisions</w:t>
      </w:r>
      <w:r w:rsidR="00A02898" w:rsidRPr="00EE0B13">
        <w:rPr>
          <w:b/>
          <w:szCs w:val="24"/>
          <w:u w:val="single"/>
        </w:rPr>
        <w:t>):</w:t>
      </w:r>
      <w:r w:rsidR="00A02898" w:rsidRPr="00AC27FF">
        <w:rPr>
          <w:b/>
          <w:szCs w:val="24"/>
          <w:u w:val="single"/>
        </w:rPr>
        <w:t xml:space="preserve"> </w:t>
      </w:r>
    </w:p>
    <w:p w14:paraId="3BAB55E3" w14:textId="77777777" w:rsidR="00A02898" w:rsidRPr="00AC27FF" w:rsidRDefault="00A02898" w:rsidP="00A02898">
      <w:pPr>
        <w:ind w:left="360"/>
        <w:rPr>
          <w:b/>
          <w:szCs w:val="24"/>
          <w:u w:val="single"/>
        </w:rPr>
      </w:pPr>
    </w:p>
    <w:p w14:paraId="370AA7C7" w14:textId="4953F828" w:rsidR="00A02898" w:rsidRPr="00AC27FF" w:rsidRDefault="00A02898" w:rsidP="00A02898">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C834F6">
        <w:rPr>
          <w:szCs w:val="24"/>
        </w:rPr>
        <w:t xml:space="preserve">Approximately </w:t>
      </w:r>
      <w:r w:rsidR="00722C24">
        <w:rPr>
          <w:szCs w:val="24"/>
        </w:rPr>
        <w:t>21</w:t>
      </w:r>
      <w:r w:rsidR="00C834F6">
        <w:rPr>
          <w:szCs w:val="24"/>
        </w:rPr>
        <w:t xml:space="preserve"> rate-of-return carriers and competitive ETCs </w:t>
      </w:r>
      <w:r w:rsidR="00054F9E">
        <w:rPr>
          <w:szCs w:val="24"/>
        </w:rPr>
        <w:t xml:space="preserve">participating in the Alaska Plan </w:t>
      </w:r>
      <w:r w:rsidR="00C834F6">
        <w:rPr>
          <w:szCs w:val="24"/>
        </w:rPr>
        <w:t xml:space="preserve">will be required to </w:t>
      </w:r>
      <w:r w:rsidR="005304CF">
        <w:rPr>
          <w:szCs w:val="24"/>
        </w:rPr>
        <w:t>certify and submit information regarding the commercial availability of backhaul</w:t>
      </w:r>
      <w:r w:rsidRPr="00AC27FF">
        <w:rPr>
          <w:szCs w:val="24"/>
        </w:rPr>
        <w:t xml:space="preserve">.  </w:t>
      </w:r>
    </w:p>
    <w:p w14:paraId="2ED34D9E" w14:textId="77777777" w:rsidR="00A02898" w:rsidRPr="00AC27FF" w:rsidRDefault="00A02898" w:rsidP="00A02898">
      <w:pPr>
        <w:ind w:left="720" w:hanging="360"/>
        <w:rPr>
          <w:szCs w:val="24"/>
        </w:rPr>
      </w:pPr>
    </w:p>
    <w:p w14:paraId="7B557572" w14:textId="114229CC" w:rsidR="00A02898" w:rsidRPr="00AC27FF" w:rsidRDefault="00A02898" w:rsidP="00A02898">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00480E45">
        <w:rPr>
          <w:szCs w:val="24"/>
        </w:rPr>
        <w:t xml:space="preserve"> and occasionally</w:t>
      </w:r>
      <w:r>
        <w:rPr>
          <w:szCs w:val="24"/>
        </w:rPr>
        <w:t>.</w:t>
      </w:r>
      <w:r w:rsidRPr="00AC27FF">
        <w:rPr>
          <w:szCs w:val="24"/>
        </w:rPr>
        <w:t xml:space="preserve">  </w:t>
      </w:r>
    </w:p>
    <w:p w14:paraId="18878875" w14:textId="77777777" w:rsidR="00A02898" w:rsidRPr="00AC27FF" w:rsidRDefault="00A02898" w:rsidP="00A02898">
      <w:pPr>
        <w:ind w:left="720" w:hanging="360"/>
        <w:rPr>
          <w:szCs w:val="24"/>
        </w:rPr>
      </w:pPr>
    </w:p>
    <w:p w14:paraId="228AB5AA" w14:textId="5656DAB1" w:rsidR="00A02898" w:rsidRDefault="00A02898" w:rsidP="00A02898">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5304CF">
        <w:rPr>
          <w:szCs w:val="24"/>
        </w:rPr>
        <w:t xml:space="preserve">Approximately </w:t>
      </w:r>
      <w:r w:rsidR="005E1E17">
        <w:rPr>
          <w:szCs w:val="24"/>
        </w:rPr>
        <w:t>1</w:t>
      </w:r>
      <w:r>
        <w:rPr>
          <w:szCs w:val="24"/>
        </w:rPr>
        <w:t>.</w:t>
      </w:r>
    </w:p>
    <w:p w14:paraId="3E680756" w14:textId="77777777" w:rsidR="00A02898" w:rsidRDefault="00A02898" w:rsidP="00A02898">
      <w:pPr>
        <w:ind w:left="720" w:hanging="360"/>
        <w:rPr>
          <w:szCs w:val="24"/>
          <w:u w:val="single"/>
        </w:rPr>
      </w:pPr>
    </w:p>
    <w:p w14:paraId="37EE3A25" w14:textId="70E23725" w:rsidR="00A02898" w:rsidRPr="0046233F" w:rsidRDefault="00A02898" w:rsidP="00A02898">
      <w:pPr>
        <w:ind w:left="720" w:hanging="360"/>
      </w:pPr>
      <w:r w:rsidRPr="00423F95">
        <w:rPr>
          <w:szCs w:val="24"/>
        </w:rPr>
        <w:t xml:space="preserve">(4) </w:t>
      </w:r>
      <w:r>
        <w:rPr>
          <w:szCs w:val="24"/>
          <w:u w:val="single"/>
        </w:rPr>
        <w:t>Estimated time per response:</w:t>
      </w:r>
      <w:r w:rsidRPr="0046233F">
        <w:t xml:space="preserve">  </w:t>
      </w:r>
      <w:r w:rsidR="002814DB">
        <w:rPr>
          <w:szCs w:val="24"/>
        </w:rPr>
        <w:t>7</w:t>
      </w:r>
      <w:r w:rsidRPr="0046233F">
        <w:t xml:space="preserve"> hours. </w:t>
      </w:r>
    </w:p>
    <w:p w14:paraId="4939775B" w14:textId="77777777" w:rsidR="00A02898" w:rsidRDefault="00A02898" w:rsidP="00A02898">
      <w:pPr>
        <w:ind w:left="720" w:hanging="360"/>
        <w:rPr>
          <w:szCs w:val="24"/>
          <w:u w:val="single"/>
        </w:rPr>
      </w:pPr>
    </w:p>
    <w:p w14:paraId="3CA4B6B3" w14:textId="2575330E" w:rsidR="00A02898" w:rsidRDefault="00A02898" w:rsidP="00A02898">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2814DB">
        <w:rPr>
          <w:szCs w:val="24"/>
        </w:rPr>
        <w:t xml:space="preserve">147 </w:t>
      </w:r>
      <w:r>
        <w:rPr>
          <w:szCs w:val="24"/>
        </w:rPr>
        <w:t>hours.</w:t>
      </w:r>
    </w:p>
    <w:p w14:paraId="1601C64C" w14:textId="77777777" w:rsidR="00A02898" w:rsidRDefault="00A02898" w:rsidP="00A02898">
      <w:pPr>
        <w:ind w:left="720" w:hanging="360"/>
        <w:rPr>
          <w:szCs w:val="24"/>
        </w:rPr>
      </w:pPr>
    </w:p>
    <w:p w14:paraId="5D212035" w14:textId="1C34549D" w:rsidR="00A02898" w:rsidRPr="00AC27FF" w:rsidRDefault="00A02898" w:rsidP="00A02898">
      <w:pPr>
        <w:ind w:left="720" w:hanging="360"/>
        <w:rPr>
          <w:szCs w:val="24"/>
        </w:rPr>
      </w:pPr>
      <w:r>
        <w:rPr>
          <w:szCs w:val="24"/>
        </w:rPr>
        <w:t xml:space="preserve">      </w:t>
      </w:r>
      <w:r w:rsidR="002814DB">
        <w:rPr>
          <w:szCs w:val="24"/>
        </w:rPr>
        <w:t>7</w:t>
      </w:r>
      <w:r w:rsidRPr="00AC27FF">
        <w:rPr>
          <w:szCs w:val="24"/>
        </w:rPr>
        <w:t xml:space="preserve"> hours per respondent for </w:t>
      </w:r>
      <w:r w:rsidR="00450388">
        <w:rPr>
          <w:szCs w:val="24"/>
        </w:rPr>
        <w:t>21</w:t>
      </w:r>
      <w:r w:rsidRPr="00AC27FF">
        <w:rPr>
          <w:szCs w:val="24"/>
        </w:rPr>
        <w:t xml:space="preserve"> carriers filing on an annual basis.  Total annual hour burden is calculated as follows:  </w:t>
      </w:r>
    </w:p>
    <w:p w14:paraId="5ADD7FD9" w14:textId="77777777" w:rsidR="00A02898" w:rsidRPr="00AC27FF" w:rsidRDefault="00A02898" w:rsidP="00A02898">
      <w:pPr>
        <w:ind w:left="720"/>
        <w:rPr>
          <w:szCs w:val="24"/>
        </w:rPr>
      </w:pPr>
    </w:p>
    <w:p w14:paraId="7E7E8590" w14:textId="1257C041" w:rsidR="00A02898" w:rsidRPr="00AC27FF" w:rsidRDefault="00450388" w:rsidP="00A02898">
      <w:pPr>
        <w:ind w:left="720"/>
        <w:rPr>
          <w:szCs w:val="24"/>
        </w:rPr>
      </w:pPr>
      <w:r>
        <w:rPr>
          <w:szCs w:val="24"/>
        </w:rPr>
        <w:t>21</w:t>
      </w:r>
      <w:r w:rsidR="00DB269B">
        <w:rPr>
          <w:szCs w:val="24"/>
        </w:rPr>
        <w:t xml:space="preserve"> </w:t>
      </w:r>
      <w:r w:rsidR="00A02898" w:rsidRPr="00AC27FF">
        <w:rPr>
          <w:szCs w:val="24"/>
        </w:rPr>
        <w:t xml:space="preserve">respondents x </w:t>
      </w:r>
      <w:r>
        <w:rPr>
          <w:szCs w:val="24"/>
        </w:rPr>
        <w:t>1</w:t>
      </w:r>
      <w:r w:rsidR="00A02898" w:rsidRPr="00AC27FF">
        <w:rPr>
          <w:szCs w:val="24"/>
        </w:rPr>
        <w:t xml:space="preserve"> report per respondent = </w:t>
      </w:r>
      <w:r>
        <w:rPr>
          <w:szCs w:val="24"/>
        </w:rPr>
        <w:t>21</w:t>
      </w:r>
      <w:r w:rsidR="00A02898">
        <w:rPr>
          <w:szCs w:val="24"/>
        </w:rPr>
        <w:t xml:space="preserve"> responses x </w:t>
      </w:r>
      <w:r w:rsidR="002814DB">
        <w:rPr>
          <w:szCs w:val="24"/>
        </w:rPr>
        <w:t>7</w:t>
      </w:r>
      <w:r w:rsidR="00A02898" w:rsidRPr="00AC27FF">
        <w:rPr>
          <w:szCs w:val="24"/>
        </w:rPr>
        <w:t xml:space="preserve"> hours = </w:t>
      </w:r>
      <w:r w:rsidR="002814DB">
        <w:rPr>
          <w:b/>
          <w:szCs w:val="24"/>
        </w:rPr>
        <w:t>147</w:t>
      </w:r>
      <w:r w:rsidR="00A02898" w:rsidRPr="00AC27FF">
        <w:rPr>
          <w:b/>
          <w:szCs w:val="24"/>
        </w:rPr>
        <w:t xml:space="preserve"> total annual hours.</w:t>
      </w:r>
      <w:r w:rsidR="00A02898" w:rsidRPr="00AC27FF">
        <w:rPr>
          <w:szCs w:val="24"/>
        </w:rPr>
        <w:t xml:space="preserve">  </w:t>
      </w:r>
    </w:p>
    <w:p w14:paraId="56D6EE6E" w14:textId="77777777" w:rsidR="00A02898" w:rsidRPr="00AC27FF" w:rsidRDefault="00A02898" w:rsidP="00A02898">
      <w:pPr>
        <w:ind w:left="720" w:hanging="360"/>
        <w:rPr>
          <w:szCs w:val="24"/>
        </w:rPr>
      </w:pPr>
    </w:p>
    <w:p w14:paraId="0E85DB63" w14:textId="55C6B378" w:rsidR="00A02898" w:rsidRPr="00AC27FF" w:rsidRDefault="00A02898" w:rsidP="00A02898">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Pr>
          <w:szCs w:val="24"/>
        </w:rPr>
        <w:t xml:space="preserve"> </w:t>
      </w:r>
      <w:r w:rsidR="002814DB">
        <w:rPr>
          <w:szCs w:val="24"/>
        </w:rPr>
        <w:t>5,880</w:t>
      </w:r>
      <w:r w:rsidR="00450388">
        <w:rPr>
          <w:szCs w:val="24"/>
        </w:rPr>
        <w:t xml:space="preserve"> </w:t>
      </w:r>
      <w:r w:rsidRPr="00AC27FF">
        <w:rPr>
          <w:szCs w:val="24"/>
        </w:rPr>
        <w:t>(</w:t>
      </w:r>
      <w:r w:rsidR="002814DB">
        <w:rPr>
          <w:szCs w:val="24"/>
        </w:rPr>
        <w:t>147</w:t>
      </w:r>
      <w:r w:rsidRPr="00AC27FF">
        <w:rPr>
          <w:szCs w:val="24"/>
        </w:rPr>
        <w:t xml:space="preserve"> </w:t>
      </w:r>
      <w:r>
        <w:rPr>
          <w:szCs w:val="24"/>
        </w:rPr>
        <w:t>hours x $40/hour</w:t>
      </w:r>
      <w:r w:rsidRPr="00AC27FF">
        <w:rPr>
          <w:szCs w:val="24"/>
        </w:rPr>
        <w:t>).</w:t>
      </w:r>
    </w:p>
    <w:p w14:paraId="403E2E3F" w14:textId="77777777" w:rsidR="00A02898" w:rsidRPr="00AC27FF" w:rsidRDefault="00A02898" w:rsidP="00A02898">
      <w:pPr>
        <w:ind w:left="720" w:hanging="360"/>
        <w:rPr>
          <w:szCs w:val="24"/>
        </w:rPr>
      </w:pPr>
    </w:p>
    <w:p w14:paraId="60197155" w14:textId="3E43899B" w:rsidR="00CB16C5" w:rsidRDefault="00A02898" w:rsidP="00A02898">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CB16C5">
        <w:rPr>
          <w:szCs w:val="24"/>
        </w:rPr>
        <w:t xml:space="preserve">We estimate that each Alaska Plan participant will take </w:t>
      </w:r>
      <w:r w:rsidR="002814DB">
        <w:rPr>
          <w:szCs w:val="24"/>
        </w:rPr>
        <w:t>7</w:t>
      </w:r>
      <w:r w:rsidR="00CB16C5">
        <w:rPr>
          <w:szCs w:val="24"/>
        </w:rPr>
        <w:t xml:space="preserve"> hours preparing and submitting the relevant information regarding commercial availability of backhaul</w:t>
      </w:r>
      <w:r w:rsidR="002814DB">
        <w:rPr>
          <w:szCs w:val="24"/>
        </w:rPr>
        <w:t xml:space="preserve"> and the relevant certification</w:t>
      </w:r>
      <w:r w:rsidR="00CB16C5">
        <w:rPr>
          <w:szCs w:val="24"/>
        </w:rPr>
        <w:t>:</w:t>
      </w:r>
    </w:p>
    <w:p w14:paraId="4C2CCF5C" w14:textId="77777777" w:rsidR="00CB16C5" w:rsidRDefault="00CB16C5" w:rsidP="00A02898">
      <w:pPr>
        <w:tabs>
          <w:tab w:val="left" w:pos="2250"/>
        </w:tabs>
        <w:ind w:left="720" w:hanging="360"/>
        <w:rPr>
          <w:szCs w:val="24"/>
        </w:rPr>
      </w:pPr>
    </w:p>
    <w:p w14:paraId="3C56A141" w14:textId="47882187" w:rsidR="00CB16C5" w:rsidRDefault="00CB16C5" w:rsidP="00A02898">
      <w:pPr>
        <w:tabs>
          <w:tab w:val="left" w:pos="2250"/>
        </w:tabs>
        <w:ind w:left="720" w:hanging="360"/>
        <w:rPr>
          <w:szCs w:val="24"/>
        </w:rPr>
      </w:pPr>
      <w:r>
        <w:rPr>
          <w:szCs w:val="24"/>
        </w:rPr>
        <w:tab/>
        <w:t xml:space="preserve">21 (responses) x </w:t>
      </w:r>
      <w:r w:rsidR="002814DB">
        <w:rPr>
          <w:szCs w:val="24"/>
        </w:rPr>
        <w:t>7</w:t>
      </w:r>
      <w:r>
        <w:rPr>
          <w:szCs w:val="24"/>
        </w:rPr>
        <w:t xml:space="preserve"> (hours to prepare and submit information) x $40/hr. = $</w:t>
      </w:r>
      <w:r w:rsidR="002814DB">
        <w:rPr>
          <w:szCs w:val="24"/>
        </w:rPr>
        <w:t>5,880</w:t>
      </w:r>
      <w:r w:rsidR="002814DB">
        <w:rPr>
          <w:szCs w:val="24"/>
        </w:rPr>
        <w:tab/>
      </w:r>
      <w:r>
        <w:rPr>
          <w:szCs w:val="24"/>
        </w:rPr>
        <w:t>.</w:t>
      </w:r>
    </w:p>
    <w:p w14:paraId="40A90802" w14:textId="77777777" w:rsidR="00DB269B" w:rsidRDefault="00DB269B" w:rsidP="00AC0977">
      <w:pPr>
        <w:tabs>
          <w:tab w:val="left" w:pos="2250"/>
        </w:tabs>
        <w:rPr>
          <w:szCs w:val="24"/>
        </w:rPr>
      </w:pPr>
    </w:p>
    <w:p w14:paraId="7282ECB7" w14:textId="1675D139" w:rsidR="00DB269B" w:rsidRDefault="0005073E" w:rsidP="00DB269B">
      <w:pPr>
        <w:ind w:left="360"/>
        <w:rPr>
          <w:b/>
          <w:szCs w:val="24"/>
          <w:u w:val="single"/>
        </w:rPr>
      </w:pPr>
      <w:r>
        <w:rPr>
          <w:b/>
          <w:szCs w:val="24"/>
          <w:u w:val="single"/>
        </w:rPr>
        <w:t>p</w:t>
      </w:r>
      <w:r w:rsidR="00DB269B" w:rsidRPr="00EE0B13">
        <w:rPr>
          <w:b/>
          <w:szCs w:val="24"/>
          <w:u w:val="single"/>
        </w:rPr>
        <w:t>. Capital Expenditure Documentation for Rate-of-Return</w:t>
      </w:r>
      <w:r w:rsidR="005127FE" w:rsidRPr="00EE0B13">
        <w:rPr>
          <w:b/>
          <w:szCs w:val="24"/>
          <w:u w:val="single"/>
        </w:rPr>
        <w:t xml:space="preserve"> and Competitive ETC</w:t>
      </w:r>
      <w:r w:rsidR="00DB269B" w:rsidRPr="00EE0B13">
        <w:rPr>
          <w:b/>
          <w:szCs w:val="24"/>
          <w:u w:val="single"/>
        </w:rPr>
        <w:t xml:space="preserve"> Alaska Plan Participants (</w:t>
      </w:r>
      <w:r>
        <w:rPr>
          <w:b/>
          <w:szCs w:val="24"/>
          <w:u w:val="single"/>
        </w:rPr>
        <w:t>no revisions</w:t>
      </w:r>
      <w:r w:rsidR="00DB269B" w:rsidRPr="00EE0B13">
        <w:rPr>
          <w:b/>
          <w:szCs w:val="24"/>
          <w:u w:val="single"/>
        </w:rPr>
        <w:t>):</w:t>
      </w:r>
      <w:r w:rsidR="00DB269B" w:rsidRPr="00AC27FF">
        <w:rPr>
          <w:b/>
          <w:szCs w:val="24"/>
          <w:u w:val="single"/>
        </w:rPr>
        <w:t xml:space="preserve"> </w:t>
      </w:r>
    </w:p>
    <w:p w14:paraId="23C02B3B" w14:textId="77777777" w:rsidR="00DB269B" w:rsidRPr="00AC27FF" w:rsidRDefault="00DB269B" w:rsidP="00DB269B">
      <w:pPr>
        <w:ind w:left="360"/>
        <w:rPr>
          <w:b/>
          <w:szCs w:val="24"/>
          <w:u w:val="single"/>
        </w:rPr>
      </w:pPr>
    </w:p>
    <w:p w14:paraId="1E474EED" w14:textId="6377731F" w:rsidR="00DB269B" w:rsidRPr="00AC27FF" w:rsidRDefault="00DB269B" w:rsidP="00DB269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5304CF">
        <w:rPr>
          <w:szCs w:val="24"/>
        </w:rPr>
        <w:t xml:space="preserve">Approximately </w:t>
      </w:r>
      <w:r w:rsidR="00B25AEA">
        <w:rPr>
          <w:szCs w:val="24"/>
        </w:rPr>
        <w:t>13</w:t>
      </w:r>
      <w:r w:rsidR="00054F9E">
        <w:rPr>
          <w:szCs w:val="24"/>
        </w:rPr>
        <w:t xml:space="preserve"> rate-of-return carriers and competitive ETCs participating in the Alaska Plan will be required to retain and provide information on capital and operating expenditures</w:t>
      </w:r>
      <w:r w:rsidRPr="00AC27FF">
        <w:rPr>
          <w:szCs w:val="24"/>
        </w:rPr>
        <w:t xml:space="preserve">.  </w:t>
      </w:r>
    </w:p>
    <w:p w14:paraId="30ABA16E" w14:textId="77777777" w:rsidR="00DB269B" w:rsidRPr="00AC27FF" w:rsidRDefault="00DB269B" w:rsidP="00DB269B">
      <w:pPr>
        <w:ind w:left="720" w:hanging="360"/>
        <w:rPr>
          <w:szCs w:val="24"/>
        </w:rPr>
      </w:pPr>
    </w:p>
    <w:p w14:paraId="435CCFCE" w14:textId="77777777" w:rsidR="00DB269B" w:rsidRPr="00AC27FF" w:rsidRDefault="00DB269B" w:rsidP="00DB269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5A9CD951" w14:textId="77777777" w:rsidR="00DB269B" w:rsidRPr="00AC27FF" w:rsidRDefault="00DB269B" w:rsidP="00DB269B">
      <w:pPr>
        <w:ind w:left="720" w:hanging="360"/>
        <w:rPr>
          <w:szCs w:val="24"/>
        </w:rPr>
      </w:pPr>
    </w:p>
    <w:p w14:paraId="4E49DD34" w14:textId="356D1C07" w:rsidR="00DB269B" w:rsidRDefault="00DB269B" w:rsidP="00DB269B">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852CE8">
        <w:rPr>
          <w:szCs w:val="24"/>
        </w:rPr>
        <w:t>Approximately 1</w:t>
      </w:r>
      <w:r>
        <w:rPr>
          <w:szCs w:val="24"/>
        </w:rPr>
        <w:t>.</w:t>
      </w:r>
    </w:p>
    <w:p w14:paraId="02B7F97F" w14:textId="77777777" w:rsidR="00DB269B" w:rsidRDefault="00DB269B" w:rsidP="00DB269B">
      <w:pPr>
        <w:ind w:left="720" w:hanging="360"/>
        <w:rPr>
          <w:szCs w:val="24"/>
          <w:u w:val="single"/>
        </w:rPr>
      </w:pPr>
    </w:p>
    <w:p w14:paraId="66EB3C4D" w14:textId="322045BC" w:rsidR="00DB269B" w:rsidRPr="0046233F" w:rsidRDefault="00DB269B" w:rsidP="00DB269B">
      <w:pPr>
        <w:ind w:left="720" w:hanging="360"/>
      </w:pPr>
      <w:r w:rsidRPr="00423F95">
        <w:rPr>
          <w:szCs w:val="24"/>
        </w:rPr>
        <w:t xml:space="preserve">(4) </w:t>
      </w:r>
      <w:r>
        <w:rPr>
          <w:szCs w:val="24"/>
          <w:u w:val="single"/>
        </w:rPr>
        <w:t>Estimated time per response:</w:t>
      </w:r>
      <w:r w:rsidRPr="0046233F">
        <w:t xml:space="preserve">  </w:t>
      </w:r>
      <w:r w:rsidR="00852CE8">
        <w:rPr>
          <w:szCs w:val="24"/>
        </w:rPr>
        <w:t>2</w:t>
      </w:r>
      <w:r w:rsidRPr="0046233F">
        <w:t xml:space="preserve"> hours. </w:t>
      </w:r>
    </w:p>
    <w:p w14:paraId="69753488" w14:textId="77777777" w:rsidR="00DB269B" w:rsidRDefault="00DB269B" w:rsidP="00DB269B">
      <w:pPr>
        <w:ind w:left="720" w:hanging="360"/>
        <w:rPr>
          <w:szCs w:val="24"/>
          <w:u w:val="single"/>
        </w:rPr>
      </w:pPr>
    </w:p>
    <w:p w14:paraId="506D3F17" w14:textId="3D83934B" w:rsidR="00DB269B" w:rsidRDefault="00DB269B" w:rsidP="00DB269B">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450388">
        <w:rPr>
          <w:szCs w:val="24"/>
        </w:rPr>
        <w:t>2</w:t>
      </w:r>
      <w:r w:rsidR="00BA2832">
        <w:rPr>
          <w:szCs w:val="24"/>
        </w:rPr>
        <w:t>6</w:t>
      </w:r>
      <w:r>
        <w:rPr>
          <w:szCs w:val="24"/>
        </w:rPr>
        <w:t xml:space="preserve"> hours.</w:t>
      </w:r>
    </w:p>
    <w:p w14:paraId="0A1A2E99" w14:textId="77777777" w:rsidR="00DB269B" w:rsidRDefault="00DB269B" w:rsidP="00DB269B">
      <w:pPr>
        <w:ind w:left="720" w:hanging="360"/>
        <w:rPr>
          <w:szCs w:val="24"/>
        </w:rPr>
      </w:pPr>
    </w:p>
    <w:p w14:paraId="297A63DF" w14:textId="788854B5" w:rsidR="00DB269B" w:rsidRPr="00AC27FF" w:rsidRDefault="00DB269B" w:rsidP="00DB269B">
      <w:pPr>
        <w:ind w:left="720" w:hanging="360"/>
        <w:rPr>
          <w:szCs w:val="24"/>
        </w:rPr>
      </w:pPr>
      <w:r>
        <w:rPr>
          <w:szCs w:val="24"/>
        </w:rPr>
        <w:t xml:space="preserve">      </w:t>
      </w:r>
      <w:r w:rsidR="00450388">
        <w:rPr>
          <w:szCs w:val="24"/>
        </w:rPr>
        <w:t>2</w:t>
      </w:r>
      <w:r w:rsidRPr="00AC27FF">
        <w:rPr>
          <w:szCs w:val="24"/>
        </w:rPr>
        <w:t xml:space="preserve"> hours per respondent for</w:t>
      </w:r>
      <w:r w:rsidR="00450388">
        <w:rPr>
          <w:szCs w:val="24"/>
        </w:rPr>
        <w:t xml:space="preserve"> </w:t>
      </w:r>
      <w:r w:rsidR="00B25AEA">
        <w:rPr>
          <w:szCs w:val="24"/>
        </w:rPr>
        <w:t>13</w:t>
      </w:r>
      <w:r w:rsidRPr="00AC27FF">
        <w:rPr>
          <w:szCs w:val="24"/>
        </w:rPr>
        <w:t xml:space="preserve"> carriers </w:t>
      </w:r>
      <w:r w:rsidR="00852CE8">
        <w:rPr>
          <w:szCs w:val="24"/>
        </w:rPr>
        <w:t>retaining documents</w:t>
      </w:r>
      <w:r w:rsidRPr="00AC27FF">
        <w:rPr>
          <w:szCs w:val="24"/>
        </w:rPr>
        <w:t xml:space="preserve"> on an annual basis.  Total annual hour burden is calculated as follows:  </w:t>
      </w:r>
    </w:p>
    <w:p w14:paraId="57563601" w14:textId="77777777" w:rsidR="00DB269B" w:rsidRPr="00AC27FF" w:rsidRDefault="00DB269B" w:rsidP="00DB269B">
      <w:pPr>
        <w:ind w:left="720"/>
        <w:rPr>
          <w:szCs w:val="24"/>
        </w:rPr>
      </w:pPr>
    </w:p>
    <w:p w14:paraId="2162B5F5" w14:textId="16D476C6" w:rsidR="00DB269B" w:rsidRPr="00AC27FF" w:rsidRDefault="00B25AEA" w:rsidP="00DB269B">
      <w:pPr>
        <w:ind w:left="720"/>
        <w:rPr>
          <w:szCs w:val="24"/>
        </w:rPr>
      </w:pPr>
      <w:r>
        <w:rPr>
          <w:szCs w:val="24"/>
        </w:rPr>
        <w:t>13</w:t>
      </w:r>
      <w:r w:rsidR="00DB269B">
        <w:rPr>
          <w:szCs w:val="24"/>
        </w:rPr>
        <w:t xml:space="preserve"> </w:t>
      </w:r>
      <w:r w:rsidR="00DB269B" w:rsidRPr="00AC27FF">
        <w:rPr>
          <w:szCs w:val="24"/>
        </w:rPr>
        <w:t xml:space="preserve">respondents x </w:t>
      </w:r>
      <w:r w:rsidR="00E5274E">
        <w:rPr>
          <w:szCs w:val="24"/>
        </w:rPr>
        <w:t>1</w:t>
      </w:r>
      <w:r w:rsidR="00DB269B" w:rsidRPr="00AC27FF">
        <w:rPr>
          <w:szCs w:val="24"/>
        </w:rPr>
        <w:t xml:space="preserve"> report per respondent = </w:t>
      </w:r>
      <w:r>
        <w:rPr>
          <w:szCs w:val="24"/>
        </w:rPr>
        <w:t>13</w:t>
      </w:r>
      <w:r w:rsidR="00DB269B">
        <w:rPr>
          <w:szCs w:val="24"/>
        </w:rPr>
        <w:t xml:space="preserve"> responses x </w:t>
      </w:r>
      <w:r w:rsidR="00E5274E">
        <w:rPr>
          <w:szCs w:val="24"/>
        </w:rPr>
        <w:t>2</w:t>
      </w:r>
      <w:r w:rsidR="00DB269B" w:rsidRPr="00AC27FF">
        <w:rPr>
          <w:szCs w:val="24"/>
        </w:rPr>
        <w:t xml:space="preserve"> hours =</w:t>
      </w:r>
      <w:r>
        <w:rPr>
          <w:b/>
          <w:szCs w:val="24"/>
        </w:rPr>
        <w:t>26</w:t>
      </w:r>
      <w:r w:rsidR="00DB269B" w:rsidRPr="00AC27FF">
        <w:rPr>
          <w:b/>
          <w:szCs w:val="24"/>
        </w:rPr>
        <w:t xml:space="preserve"> total annual hours.</w:t>
      </w:r>
      <w:r w:rsidR="00DB269B" w:rsidRPr="00AC27FF">
        <w:rPr>
          <w:szCs w:val="24"/>
        </w:rPr>
        <w:t xml:space="preserve">  </w:t>
      </w:r>
    </w:p>
    <w:p w14:paraId="62EB3990" w14:textId="77777777" w:rsidR="00DB269B" w:rsidRPr="00AC27FF" w:rsidRDefault="00DB269B" w:rsidP="00DB269B">
      <w:pPr>
        <w:ind w:left="720" w:hanging="360"/>
        <w:rPr>
          <w:szCs w:val="24"/>
        </w:rPr>
      </w:pPr>
    </w:p>
    <w:p w14:paraId="750C470A" w14:textId="6FDD3A08" w:rsidR="00DB269B" w:rsidRPr="00AC27FF" w:rsidRDefault="00DB269B" w:rsidP="00DB269B">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sidR="00B25AEA">
        <w:rPr>
          <w:szCs w:val="24"/>
        </w:rPr>
        <w:t>1,040</w:t>
      </w:r>
      <w:r>
        <w:rPr>
          <w:szCs w:val="24"/>
        </w:rPr>
        <w:t xml:space="preserve">. </w:t>
      </w:r>
      <w:r w:rsidRPr="00AC27FF">
        <w:rPr>
          <w:szCs w:val="24"/>
        </w:rPr>
        <w:t>(</w:t>
      </w:r>
      <w:r w:rsidR="00B25AEA">
        <w:rPr>
          <w:szCs w:val="24"/>
        </w:rPr>
        <w:t>26</w:t>
      </w:r>
      <w:r w:rsidRPr="00AC27FF">
        <w:rPr>
          <w:szCs w:val="24"/>
        </w:rPr>
        <w:t xml:space="preserve"> </w:t>
      </w:r>
      <w:r>
        <w:rPr>
          <w:szCs w:val="24"/>
        </w:rPr>
        <w:t>hours x $40/hour</w:t>
      </w:r>
      <w:r w:rsidRPr="00AC27FF">
        <w:rPr>
          <w:szCs w:val="24"/>
        </w:rPr>
        <w:t>).</w:t>
      </w:r>
    </w:p>
    <w:p w14:paraId="730E42E4" w14:textId="77777777" w:rsidR="00DB269B" w:rsidRPr="00AC27FF" w:rsidRDefault="00DB269B" w:rsidP="00DB269B">
      <w:pPr>
        <w:ind w:left="720" w:hanging="360"/>
        <w:rPr>
          <w:szCs w:val="24"/>
        </w:rPr>
      </w:pPr>
    </w:p>
    <w:p w14:paraId="44A4FED3" w14:textId="40E8269D" w:rsidR="00DB269B" w:rsidRDefault="00DB269B" w:rsidP="00235CFF">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852CE8">
        <w:rPr>
          <w:szCs w:val="24"/>
        </w:rPr>
        <w:t xml:space="preserve">We estimate that each carrier will spend at least 2 hours </w:t>
      </w:r>
      <w:r w:rsidR="002F6945">
        <w:rPr>
          <w:szCs w:val="24"/>
        </w:rPr>
        <w:t xml:space="preserve">to </w:t>
      </w:r>
      <w:r w:rsidR="00852CE8">
        <w:rPr>
          <w:szCs w:val="24"/>
        </w:rPr>
        <w:t>track</w:t>
      </w:r>
      <w:r w:rsidR="002F6945">
        <w:rPr>
          <w:szCs w:val="24"/>
        </w:rPr>
        <w:t xml:space="preserve"> and retain </w:t>
      </w:r>
      <w:r w:rsidR="00852CE8">
        <w:rPr>
          <w:szCs w:val="24"/>
        </w:rPr>
        <w:t xml:space="preserve">documentation.  </w:t>
      </w:r>
      <w:r w:rsidR="00B25AEA">
        <w:rPr>
          <w:szCs w:val="24"/>
        </w:rPr>
        <w:t>13</w:t>
      </w:r>
      <w:r w:rsidR="00852CE8">
        <w:rPr>
          <w:szCs w:val="24"/>
        </w:rPr>
        <w:t xml:space="preserve"> (responses) x 2 (hours to comply with document retention requirements) x $40 per hour = $</w:t>
      </w:r>
      <w:r w:rsidR="00B25AEA">
        <w:rPr>
          <w:szCs w:val="24"/>
        </w:rPr>
        <w:t>1,040</w:t>
      </w:r>
      <w:r w:rsidR="00852CE8">
        <w:rPr>
          <w:szCs w:val="24"/>
        </w:rPr>
        <w:t>.</w:t>
      </w:r>
      <w:r w:rsidR="00805CF5">
        <w:rPr>
          <w:szCs w:val="24"/>
        </w:rPr>
        <w:t xml:space="preserve">  The number of respondents is based on the combination of the rate-of-return carriers</w:t>
      </w:r>
      <w:r w:rsidR="00B76F02">
        <w:rPr>
          <w:szCs w:val="24"/>
        </w:rPr>
        <w:t xml:space="preserve"> and wireless affiliates having combined records</w:t>
      </w:r>
      <w:r w:rsidR="00805CF5">
        <w:rPr>
          <w:szCs w:val="24"/>
        </w:rPr>
        <w:t xml:space="preserve">. </w:t>
      </w:r>
      <w:bookmarkEnd w:id="1"/>
    </w:p>
    <w:p w14:paraId="222586CB" w14:textId="217C94D9" w:rsidR="00715C0B" w:rsidRPr="00D87D19" w:rsidRDefault="00715C0B" w:rsidP="00D87D19">
      <w:pPr>
        <w:tabs>
          <w:tab w:val="left" w:pos="-720"/>
        </w:tabs>
        <w:suppressAutoHyphens/>
        <w:rPr>
          <w:b/>
          <w:u w:val="single"/>
        </w:rPr>
      </w:pPr>
    </w:p>
    <w:p w14:paraId="43E535CF" w14:textId="38B4E0AF" w:rsidR="00703281" w:rsidRPr="00AC27FF" w:rsidRDefault="005E2F4B" w:rsidP="00703281">
      <w:pPr>
        <w:ind w:left="360"/>
        <w:rPr>
          <w:b/>
          <w:szCs w:val="24"/>
          <w:u w:val="single"/>
        </w:rPr>
      </w:pPr>
      <w:r>
        <w:rPr>
          <w:b/>
          <w:szCs w:val="24"/>
          <w:u w:val="single"/>
        </w:rPr>
        <w:t>q</w:t>
      </w:r>
      <w:r w:rsidR="00703281" w:rsidRPr="00AC27FF">
        <w:rPr>
          <w:b/>
          <w:szCs w:val="24"/>
          <w:u w:val="single"/>
        </w:rPr>
        <w:t>. Residential Rate Updates</w:t>
      </w:r>
      <w:r w:rsidR="00703281" w:rsidRPr="00E209F0">
        <w:rPr>
          <w:b/>
          <w:szCs w:val="24"/>
        </w:rPr>
        <w:t xml:space="preserve"> </w:t>
      </w:r>
      <w:r w:rsidR="00703281" w:rsidRPr="00AC27FF">
        <w:rPr>
          <w:b/>
          <w:szCs w:val="24"/>
          <w:u w:val="single"/>
        </w:rPr>
        <w:t>(no revisions)</w:t>
      </w:r>
      <w:r w:rsidR="00703281" w:rsidRPr="00AC27FF">
        <w:rPr>
          <w:b/>
          <w:szCs w:val="24"/>
        </w:rPr>
        <w:t>:</w:t>
      </w:r>
    </w:p>
    <w:p w14:paraId="4B4E1BD8" w14:textId="77777777" w:rsidR="00703281" w:rsidRPr="00AC27FF" w:rsidRDefault="00703281" w:rsidP="00703281">
      <w:pPr>
        <w:ind w:left="360"/>
        <w:rPr>
          <w:b/>
          <w:szCs w:val="24"/>
          <w:u w:val="single"/>
        </w:rPr>
      </w:pPr>
    </w:p>
    <w:p w14:paraId="0E8EF88D"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Fewer than 20 carriers that have rates falling below the rate floor and make adjustments to their rates in the course of the year will file an update.  </w:t>
      </w:r>
    </w:p>
    <w:p w14:paraId="1DE1ECDA" w14:textId="77777777" w:rsidR="00703281" w:rsidRPr="00AC27FF" w:rsidRDefault="00703281" w:rsidP="00703281">
      <w:pPr>
        <w:ind w:left="720" w:hanging="360"/>
        <w:rPr>
          <w:szCs w:val="24"/>
        </w:rPr>
      </w:pPr>
    </w:p>
    <w:p w14:paraId="7F482070"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On occasion.   </w:t>
      </w:r>
    </w:p>
    <w:p w14:paraId="0D116034" w14:textId="77777777" w:rsidR="00703281" w:rsidRPr="00AC27FF" w:rsidRDefault="00703281" w:rsidP="00703281">
      <w:pPr>
        <w:ind w:left="720" w:hanging="360"/>
        <w:rPr>
          <w:szCs w:val="24"/>
        </w:rPr>
      </w:pPr>
    </w:p>
    <w:p w14:paraId="6EA45393" w14:textId="77777777" w:rsidR="00703281" w:rsidRDefault="00703281" w:rsidP="00703281">
      <w:pPr>
        <w:ind w:left="720" w:hanging="360"/>
        <w:rPr>
          <w:szCs w:val="24"/>
        </w:rPr>
      </w:pPr>
      <w:r w:rsidRPr="00AC27FF">
        <w:rPr>
          <w:szCs w:val="24"/>
        </w:rPr>
        <w:t xml:space="preserve">(3) </w:t>
      </w:r>
      <w:r w:rsidRPr="000B1458">
        <w:rPr>
          <w:szCs w:val="24"/>
          <w:u w:val="single"/>
        </w:rPr>
        <w:t>Total number of responses per respondent</w:t>
      </w:r>
      <w:r>
        <w:rPr>
          <w:szCs w:val="24"/>
        </w:rPr>
        <w:t>:  Approximately 1.</w:t>
      </w:r>
      <w:r w:rsidRPr="00AC27FF">
        <w:rPr>
          <w:szCs w:val="24"/>
        </w:rPr>
        <w:t xml:space="preserve"> </w:t>
      </w:r>
    </w:p>
    <w:p w14:paraId="31272072" w14:textId="77777777" w:rsidR="00703281" w:rsidRDefault="00703281" w:rsidP="00703281">
      <w:pPr>
        <w:ind w:left="720" w:hanging="360"/>
        <w:rPr>
          <w:szCs w:val="24"/>
        </w:rPr>
      </w:pPr>
    </w:p>
    <w:p w14:paraId="45147A93" w14:textId="77777777" w:rsidR="00703281" w:rsidRPr="000B1458" w:rsidRDefault="00703281" w:rsidP="00703281">
      <w:pPr>
        <w:ind w:left="720" w:hanging="360"/>
        <w:rPr>
          <w:szCs w:val="24"/>
        </w:rPr>
      </w:pPr>
      <w:r w:rsidRPr="000B1458">
        <w:rPr>
          <w:szCs w:val="24"/>
        </w:rPr>
        <w:t xml:space="preserve">(4) </w:t>
      </w:r>
      <w:r w:rsidRPr="000B1458">
        <w:rPr>
          <w:szCs w:val="24"/>
          <w:u w:val="single"/>
        </w:rPr>
        <w:t>Estimated time per response</w:t>
      </w:r>
      <w:r w:rsidRPr="000B1458">
        <w:rPr>
          <w:szCs w:val="24"/>
        </w:rPr>
        <w:t>:  4 hours.</w:t>
      </w:r>
    </w:p>
    <w:p w14:paraId="3DAF25FB" w14:textId="77777777" w:rsidR="00703281" w:rsidRDefault="00703281" w:rsidP="00703281">
      <w:pPr>
        <w:ind w:left="720" w:hanging="360"/>
        <w:rPr>
          <w:szCs w:val="24"/>
          <w:u w:val="single"/>
        </w:rPr>
      </w:pPr>
    </w:p>
    <w:p w14:paraId="0350DA17" w14:textId="77777777" w:rsidR="00703281" w:rsidRDefault="00703281" w:rsidP="00703281">
      <w:pPr>
        <w:ind w:left="720" w:hanging="360"/>
        <w:rPr>
          <w:szCs w:val="24"/>
        </w:rPr>
      </w:pPr>
      <w:r w:rsidRPr="000B1458">
        <w:rPr>
          <w:szCs w:val="24"/>
        </w:rPr>
        <w:t xml:space="preserve">(5) </w:t>
      </w:r>
      <w:r w:rsidRPr="000B1458">
        <w:rPr>
          <w:szCs w:val="24"/>
          <w:u w:val="single"/>
        </w:rPr>
        <w:t>Total annual hour burden</w:t>
      </w:r>
      <w:r w:rsidRPr="00AC27FF">
        <w:rPr>
          <w:szCs w:val="24"/>
        </w:rPr>
        <w:t xml:space="preserve">:  </w:t>
      </w:r>
      <w:r>
        <w:rPr>
          <w:szCs w:val="24"/>
        </w:rPr>
        <w:t>80 hours.</w:t>
      </w:r>
    </w:p>
    <w:p w14:paraId="4FCB57E8" w14:textId="77777777" w:rsidR="00703281" w:rsidRDefault="00703281" w:rsidP="00703281">
      <w:pPr>
        <w:ind w:left="720" w:hanging="360"/>
        <w:rPr>
          <w:szCs w:val="24"/>
        </w:rPr>
      </w:pPr>
    </w:p>
    <w:p w14:paraId="46F837EC" w14:textId="77777777" w:rsidR="00703281" w:rsidRPr="00AC27FF" w:rsidRDefault="00703281" w:rsidP="00703281">
      <w:pPr>
        <w:ind w:left="720" w:hanging="360"/>
        <w:rPr>
          <w:szCs w:val="24"/>
        </w:rPr>
      </w:pPr>
      <w:r>
        <w:rPr>
          <w:szCs w:val="24"/>
        </w:rPr>
        <w:t xml:space="preserve">      </w:t>
      </w:r>
      <w:r w:rsidRPr="00050DAD">
        <w:rPr>
          <w:szCs w:val="24"/>
        </w:rPr>
        <w:t xml:space="preserve">4 hours per respondent for 20 respondents filing occasionally.  Total annual hour burden is: 20 respondents x 1 report per respondent = 20 responses x 4 hours = </w:t>
      </w:r>
      <w:r w:rsidRPr="00050DAD">
        <w:rPr>
          <w:b/>
          <w:szCs w:val="24"/>
        </w:rPr>
        <w:t>80 hours</w:t>
      </w:r>
      <w:r w:rsidRPr="00050DAD">
        <w:rPr>
          <w:szCs w:val="24"/>
        </w:rPr>
        <w:t>.</w:t>
      </w:r>
    </w:p>
    <w:p w14:paraId="3B864502" w14:textId="77777777" w:rsidR="00703281" w:rsidRPr="00AC27FF" w:rsidRDefault="00703281" w:rsidP="00703281">
      <w:pPr>
        <w:ind w:left="720" w:hanging="360"/>
        <w:rPr>
          <w:szCs w:val="24"/>
        </w:rPr>
      </w:pPr>
    </w:p>
    <w:p w14:paraId="29122343"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sidRPr="00AC27FF">
        <w:rPr>
          <w:szCs w:val="24"/>
          <w:u w:val="single"/>
        </w:rPr>
        <w:t xml:space="preserve">Total estimate of </w:t>
      </w:r>
      <w:r>
        <w:rPr>
          <w:szCs w:val="24"/>
          <w:u w:val="single"/>
        </w:rPr>
        <w:t xml:space="preserve">in-house </w:t>
      </w:r>
      <w:r w:rsidRPr="00AC27FF">
        <w:rPr>
          <w:szCs w:val="24"/>
          <w:u w:val="single"/>
        </w:rPr>
        <w:t>cost to respondents</w:t>
      </w:r>
      <w:r w:rsidRPr="00AC27FF">
        <w:rPr>
          <w:szCs w:val="24"/>
        </w:rPr>
        <w:t>:  $3,200.  (80 hours x $40/hour.).</w:t>
      </w:r>
    </w:p>
    <w:p w14:paraId="37DF8A65" w14:textId="77777777" w:rsidR="00703281" w:rsidRPr="00AC27FF" w:rsidRDefault="00703281" w:rsidP="00703281">
      <w:pPr>
        <w:ind w:left="720" w:hanging="360"/>
        <w:rPr>
          <w:szCs w:val="24"/>
        </w:rPr>
      </w:pPr>
    </w:p>
    <w:p w14:paraId="2F1B7C2E" w14:textId="0EB8BBC8" w:rsidR="00C66EA8" w:rsidRDefault="00703281" w:rsidP="00E62396">
      <w:pPr>
        <w:ind w:left="720" w:hanging="360"/>
        <w:rPr>
          <w:b/>
          <w:szCs w:val="24"/>
          <w:u w:val="single"/>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carrier that files a residential rate update will spend at least 4 hours reporting its rates</w:t>
      </w:r>
      <w:r>
        <w:rPr>
          <w:color w:val="000000"/>
          <w:szCs w:val="24"/>
        </w:rPr>
        <w:t>.  20 (</w:t>
      </w:r>
      <w:r w:rsidRPr="00AC27FF">
        <w:rPr>
          <w:color w:val="000000"/>
          <w:szCs w:val="24"/>
        </w:rPr>
        <w:t>respon</w:t>
      </w:r>
      <w:r>
        <w:rPr>
          <w:color w:val="000000"/>
          <w:szCs w:val="24"/>
        </w:rPr>
        <w:t>ses</w:t>
      </w:r>
      <w:r w:rsidRPr="00AC27FF">
        <w:rPr>
          <w:color w:val="000000"/>
          <w:szCs w:val="24"/>
        </w:rPr>
        <w:t xml:space="preserve">) x 4 (hours to gather and report rates) x </w:t>
      </w:r>
      <w:r w:rsidRPr="00AC27FF">
        <w:rPr>
          <w:szCs w:val="24"/>
        </w:rPr>
        <w:t xml:space="preserve">$40/hr. </w:t>
      </w:r>
      <w:r w:rsidRPr="00AC27FF">
        <w:rPr>
          <w:color w:val="000000"/>
          <w:szCs w:val="24"/>
        </w:rPr>
        <w:t>= $3,200</w:t>
      </w:r>
      <w:r w:rsidR="00857798" w:rsidRPr="00A63F44">
        <w:rPr>
          <w:b/>
          <w:szCs w:val="24"/>
        </w:rPr>
        <w:t>.</w:t>
      </w:r>
    </w:p>
    <w:p w14:paraId="2F1B7C4E" w14:textId="77777777" w:rsidR="00F6689E" w:rsidRPr="00AC27FF" w:rsidRDefault="00F6689E" w:rsidP="00F6689E">
      <w:pPr>
        <w:ind w:left="360" w:hanging="360"/>
        <w:rPr>
          <w:szCs w:val="24"/>
        </w:rPr>
      </w:pPr>
    </w:p>
    <w:p w14:paraId="537BEA50" w14:textId="0CB76190" w:rsidR="00703281" w:rsidRPr="00AC27FF" w:rsidRDefault="0005073E" w:rsidP="00703281">
      <w:pPr>
        <w:ind w:left="360"/>
        <w:rPr>
          <w:b/>
          <w:szCs w:val="24"/>
          <w:u w:val="single"/>
        </w:rPr>
      </w:pPr>
      <w:r>
        <w:rPr>
          <w:b/>
          <w:szCs w:val="24"/>
          <w:u w:val="single"/>
        </w:rPr>
        <w:t>r</w:t>
      </w:r>
      <w:r w:rsidR="00703281" w:rsidRPr="00AC27FF">
        <w:rPr>
          <w:b/>
          <w:szCs w:val="24"/>
          <w:u w:val="single"/>
        </w:rPr>
        <w:t>. State Certification Letter Under 254(e)</w:t>
      </w:r>
      <w:r w:rsidR="00703281" w:rsidRPr="00E209F0">
        <w:rPr>
          <w:b/>
          <w:szCs w:val="24"/>
        </w:rPr>
        <w:t xml:space="preserve"> </w:t>
      </w:r>
      <w:r w:rsidR="00703281" w:rsidRPr="00AC27FF">
        <w:rPr>
          <w:b/>
          <w:szCs w:val="24"/>
          <w:u w:val="single"/>
        </w:rPr>
        <w:t>(</w:t>
      </w:r>
      <w:r w:rsidR="00703281">
        <w:rPr>
          <w:b/>
          <w:szCs w:val="24"/>
          <w:u w:val="single"/>
        </w:rPr>
        <w:t>no revisions</w:t>
      </w:r>
      <w:r w:rsidR="00703281" w:rsidRPr="00AC27FF">
        <w:rPr>
          <w:b/>
          <w:szCs w:val="24"/>
          <w:u w:val="single"/>
        </w:rPr>
        <w:t>)</w:t>
      </w:r>
      <w:r w:rsidR="00703281" w:rsidRPr="00AC27FF">
        <w:rPr>
          <w:b/>
          <w:szCs w:val="24"/>
        </w:rPr>
        <w:t>:</w:t>
      </w:r>
    </w:p>
    <w:p w14:paraId="53D8D574" w14:textId="77777777" w:rsidR="00703281" w:rsidRPr="00AC27FF" w:rsidRDefault="00703281" w:rsidP="00703281">
      <w:pPr>
        <w:ind w:left="360" w:hanging="360"/>
        <w:rPr>
          <w:b/>
          <w:szCs w:val="24"/>
          <w:u w:val="single"/>
        </w:rPr>
      </w:pPr>
    </w:p>
    <w:p w14:paraId="4081AD8A"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6</w:t>
      </w:r>
      <w:r>
        <w:rPr>
          <w:szCs w:val="24"/>
        </w:rPr>
        <w:t>1</w:t>
      </w:r>
      <w:r w:rsidRPr="003D4D58">
        <w:rPr>
          <w:szCs w:val="24"/>
        </w:rPr>
        <w:t xml:space="preserve"> </w:t>
      </w:r>
      <w:r w:rsidRPr="00AC27FF">
        <w:rPr>
          <w:szCs w:val="24"/>
        </w:rPr>
        <w:t xml:space="preserve">respondents.  (51 states, plus approximately </w:t>
      </w:r>
      <w:r>
        <w:rPr>
          <w:szCs w:val="24"/>
        </w:rPr>
        <w:t>10</w:t>
      </w:r>
      <w:r w:rsidRPr="00AC27FF">
        <w:rPr>
          <w:szCs w:val="24"/>
        </w:rPr>
        <w:t xml:space="preserve"> carriers will have to file this certification).</w:t>
      </w:r>
    </w:p>
    <w:p w14:paraId="49EB5E46" w14:textId="77777777" w:rsidR="00703281" w:rsidRPr="00AC27FF" w:rsidRDefault="00703281" w:rsidP="00703281">
      <w:pPr>
        <w:ind w:left="720" w:hanging="360"/>
        <w:rPr>
          <w:szCs w:val="24"/>
        </w:rPr>
      </w:pPr>
    </w:p>
    <w:p w14:paraId="658C86C8"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14:paraId="5B1BA150" w14:textId="77777777" w:rsidR="00703281" w:rsidRPr="00AC27FF" w:rsidRDefault="00703281" w:rsidP="00703281">
      <w:pPr>
        <w:ind w:left="720" w:hanging="360"/>
        <w:rPr>
          <w:szCs w:val="24"/>
        </w:rPr>
      </w:pPr>
    </w:p>
    <w:p w14:paraId="4E08612A" w14:textId="77777777" w:rsidR="00703281" w:rsidRDefault="00703281" w:rsidP="00703281">
      <w:pPr>
        <w:ind w:left="720" w:hanging="360"/>
        <w:rPr>
          <w:szCs w:val="24"/>
        </w:rPr>
      </w:pPr>
      <w:r w:rsidRPr="00AC27FF">
        <w:rPr>
          <w:szCs w:val="24"/>
        </w:rPr>
        <w:t xml:space="preserve">(3) </w:t>
      </w:r>
      <w:r w:rsidRPr="001A1CF1">
        <w:rPr>
          <w:szCs w:val="24"/>
          <w:u w:val="single"/>
        </w:rPr>
        <w:t>Total number of responses per respondent</w:t>
      </w:r>
      <w:r>
        <w:rPr>
          <w:szCs w:val="24"/>
        </w:rPr>
        <w:t>:  Approximately 1.</w:t>
      </w:r>
    </w:p>
    <w:p w14:paraId="32845FB3" w14:textId="77777777" w:rsidR="00703281" w:rsidRDefault="00703281" w:rsidP="00703281">
      <w:pPr>
        <w:ind w:left="720" w:hanging="360"/>
        <w:rPr>
          <w:szCs w:val="24"/>
        </w:rPr>
      </w:pPr>
    </w:p>
    <w:p w14:paraId="1B582EE5" w14:textId="77777777" w:rsidR="00703281" w:rsidRDefault="00703281" w:rsidP="00703281">
      <w:pPr>
        <w:ind w:left="720" w:hanging="360"/>
        <w:rPr>
          <w:szCs w:val="24"/>
        </w:rPr>
      </w:pPr>
      <w:r>
        <w:rPr>
          <w:szCs w:val="24"/>
        </w:rPr>
        <w:t xml:space="preserve">(4) </w:t>
      </w:r>
      <w:r w:rsidRPr="001A1CF1">
        <w:rPr>
          <w:szCs w:val="24"/>
          <w:u w:val="single"/>
        </w:rPr>
        <w:t>Estimated time per response</w:t>
      </w:r>
      <w:r>
        <w:rPr>
          <w:szCs w:val="24"/>
        </w:rPr>
        <w:t>:  3 hours.</w:t>
      </w:r>
    </w:p>
    <w:p w14:paraId="210BCB01" w14:textId="77777777" w:rsidR="00703281" w:rsidRDefault="00703281" w:rsidP="00703281">
      <w:pPr>
        <w:ind w:left="720" w:hanging="360"/>
        <w:rPr>
          <w:szCs w:val="24"/>
        </w:rPr>
      </w:pPr>
    </w:p>
    <w:p w14:paraId="5C77A799" w14:textId="77777777" w:rsidR="00703281" w:rsidRDefault="00703281" w:rsidP="00703281">
      <w:pPr>
        <w:ind w:left="720" w:hanging="360"/>
        <w:rPr>
          <w:szCs w:val="24"/>
        </w:rPr>
      </w:pPr>
      <w:r w:rsidRPr="001A1CF1">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18</w:t>
      </w:r>
      <w:r w:rsidRPr="00F54D78">
        <w:rPr>
          <w:szCs w:val="24"/>
        </w:rPr>
        <w:t xml:space="preserve">3 hours. </w:t>
      </w:r>
    </w:p>
    <w:p w14:paraId="7565884C" w14:textId="77777777" w:rsidR="00703281" w:rsidRDefault="00703281" w:rsidP="00703281">
      <w:pPr>
        <w:ind w:left="720" w:hanging="360"/>
        <w:rPr>
          <w:szCs w:val="24"/>
        </w:rPr>
      </w:pPr>
    </w:p>
    <w:p w14:paraId="532AC524" w14:textId="77777777" w:rsidR="00703281" w:rsidRPr="00AC27FF" w:rsidRDefault="00703281" w:rsidP="00703281">
      <w:pPr>
        <w:ind w:left="720" w:hanging="358"/>
        <w:rPr>
          <w:b/>
          <w:szCs w:val="24"/>
        </w:rPr>
      </w:pPr>
      <w:r w:rsidRPr="00F54D78">
        <w:rPr>
          <w:szCs w:val="24"/>
        </w:rPr>
        <w:t xml:space="preserve">Total annual hour burden is:  61 respondents x 1 certification per respondent = 61 responses x 3 hours = </w:t>
      </w:r>
      <w:r w:rsidRPr="00F54D78">
        <w:rPr>
          <w:b/>
          <w:szCs w:val="24"/>
        </w:rPr>
        <w:t>183 hours.</w:t>
      </w:r>
    </w:p>
    <w:p w14:paraId="2AD9E7E5" w14:textId="77777777" w:rsidR="00703281" w:rsidRPr="00AC27FF" w:rsidRDefault="00703281" w:rsidP="00703281">
      <w:pPr>
        <w:ind w:left="720" w:hanging="360"/>
        <w:rPr>
          <w:szCs w:val="24"/>
        </w:rPr>
      </w:pPr>
    </w:p>
    <w:p w14:paraId="04A212AA"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$7,</w:t>
      </w:r>
      <w:r>
        <w:rPr>
          <w:szCs w:val="24"/>
        </w:rPr>
        <w:t>32</w:t>
      </w:r>
      <w:r w:rsidRPr="00AC27FF">
        <w:rPr>
          <w:szCs w:val="24"/>
        </w:rPr>
        <w:t>0. (18</w:t>
      </w:r>
      <w:r>
        <w:rPr>
          <w:szCs w:val="24"/>
        </w:rPr>
        <w:t>3</w:t>
      </w:r>
      <w:r w:rsidRPr="00AC27FF">
        <w:rPr>
          <w:szCs w:val="24"/>
        </w:rPr>
        <w:t xml:space="preserve"> hours x $40/hr.).</w:t>
      </w:r>
    </w:p>
    <w:p w14:paraId="58B2A866" w14:textId="77777777" w:rsidR="00703281" w:rsidRPr="00AC27FF" w:rsidRDefault="00703281" w:rsidP="00703281">
      <w:pPr>
        <w:ind w:left="720" w:hanging="360"/>
        <w:rPr>
          <w:szCs w:val="24"/>
        </w:rPr>
      </w:pPr>
    </w:p>
    <w:p w14:paraId="58F32413" w14:textId="495C568F" w:rsidR="00703281" w:rsidRPr="00AC27FF"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respondent will spend 3 hours complying with this requirement.  6</w:t>
      </w:r>
      <w:r>
        <w:rPr>
          <w:szCs w:val="24"/>
        </w:rPr>
        <w:t>1 (</w:t>
      </w:r>
      <w:r w:rsidRPr="00AC27FF">
        <w:rPr>
          <w:szCs w:val="24"/>
        </w:rPr>
        <w:t>respon</w:t>
      </w:r>
      <w:r>
        <w:rPr>
          <w:szCs w:val="24"/>
        </w:rPr>
        <w:t>ses</w:t>
      </w:r>
      <w:r w:rsidRPr="00AC27FF">
        <w:rPr>
          <w:szCs w:val="24"/>
        </w:rPr>
        <w:t>) x 3 (hours to</w:t>
      </w:r>
      <w:r w:rsidR="004D18B2">
        <w:rPr>
          <w:szCs w:val="24"/>
        </w:rPr>
        <w:t xml:space="preserve"> confirm compliance and</w:t>
      </w:r>
      <w:r w:rsidRPr="00AC27FF">
        <w:rPr>
          <w:szCs w:val="24"/>
        </w:rPr>
        <w:t xml:space="preserve"> prepare certification letter) x $40/hr. = $7,</w:t>
      </w:r>
      <w:r>
        <w:rPr>
          <w:szCs w:val="24"/>
        </w:rPr>
        <w:t>32</w:t>
      </w:r>
      <w:r w:rsidRPr="00AC27FF">
        <w:rPr>
          <w:szCs w:val="24"/>
        </w:rPr>
        <w:t xml:space="preserve">0.  </w:t>
      </w:r>
    </w:p>
    <w:p w14:paraId="340F74F2" w14:textId="77777777" w:rsidR="00703281" w:rsidRPr="00AC27FF" w:rsidRDefault="00703281" w:rsidP="004026BA">
      <w:pPr>
        <w:ind w:left="360" w:hanging="360"/>
        <w:rPr>
          <w:b/>
          <w:szCs w:val="24"/>
          <w:u w:val="single"/>
        </w:rPr>
      </w:pPr>
    </w:p>
    <w:p w14:paraId="50063BAF" w14:textId="4C9E3596" w:rsidR="00703281" w:rsidRPr="00AC27FF" w:rsidRDefault="0005073E" w:rsidP="00703281">
      <w:pPr>
        <w:ind w:left="360"/>
        <w:rPr>
          <w:b/>
          <w:szCs w:val="24"/>
          <w:u w:val="single"/>
        </w:rPr>
      </w:pPr>
      <w:r>
        <w:rPr>
          <w:b/>
          <w:szCs w:val="24"/>
          <w:u w:val="single"/>
        </w:rPr>
        <w:t>s</w:t>
      </w:r>
      <w:r w:rsidR="00703281">
        <w:rPr>
          <w:b/>
          <w:szCs w:val="24"/>
          <w:u w:val="single"/>
        </w:rPr>
        <w:t>.</w:t>
      </w:r>
      <w:r w:rsidR="00703281" w:rsidRPr="00AC27FF">
        <w:rPr>
          <w:b/>
          <w:szCs w:val="24"/>
          <w:u w:val="single"/>
        </w:rPr>
        <w:t xml:space="preserve"> Support in Competitive Study Areas:  (FCC Form 525)</w:t>
      </w:r>
      <w:r w:rsidR="00703281" w:rsidRPr="00E209F0">
        <w:rPr>
          <w:b/>
          <w:szCs w:val="24"/>
        </w:rPr>
        <w:t xml:space="preserve"> </w:t>
      </w:r>
      <w:r w:rsidR="00703281" w:rsidRPr="00AC27FF">
        <w:rPr>
          <w:b/>
          <w:szCs w:val="24"/>
          <w:u w:val="single"/>
        </w:rPr>
        <w:t>(</w:t>
      </w:r>
      <w:r>
        <w:rPr>
          <w:b/>
          <w:szCs w:val="24"/>
          <w:u w:val="single"/>
        </w:rPr>
        <w:t>no revisions</w:t>
      </w:r>
      <w:r w:rsidR="00703281" w:rsidRPr="00AC27FF">
        <w:rPr>
          <w:b/>
          <w:szCs w:val="24"/>
          <w:u w:val="single"/>
        </w:rPr>
        <w:t>)</w:t>
      </w:r>
      <w:r w:rsidR="00703281" w:rsidRPr="00AC27FF">
        <w:rPr>
          <w:b/>
          <w:szCs w:val="24"/>
        </w:rPr>
        <w:t>:</w:t>
      </w:r>
    </w:p>
    <w:p w14:paraId="1A2C8543" w14:textId="77777777" w:rsidR="00703281" w:rsidRPr="00AC27FF" w:rsidRDefault="00703281" w:rsidP="00703281">
      <w:pPr>
        <w:ind w:left="360" w:hanging="360"/>
        <w:rPr>
          <w:b/>
          <w:szCs w:val="24"/>
          <w:u w:val="single"/>
        </w:rPr>
      </w:pPr>
    </w:p>
    <w:p w14:paraId="39012944" w14:textId="101BA4F4"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1. </w:t>
      </w:r>
      <w:r w:rsidR="00664696">
        <w:rPr>
          <w:szCs w:val="24"/>
        </w:rPr>
        <w:t>O</w:t>
      </w:r>
      <w:r w:rsidRPr="00AC27FF">
        <w:rPr>
          <w:szCs w:val="24"/>
        </w:rPr>
        <w:t>ne tribally owned competitive ETC will have to submit line count data quarterly.</w:t>
      </w:r>
      <w:r w:rsidR="00664696">
        <w:rPr>
          <w:szCs w:val="24"/>
        </w:rPr>
        <w:t xml:space="preserve">  </w:t>
      </w:r>
      <w:r w:rsidR="00927ED6">
        <w:rPr>
          <w:szCs w:val="24"/>
        </w:rPr>
        <w:t xml:space="preserve"> Competitive ETCs participating in the Alaska Plan are no longer subject to this requirement.</w:t>
      </w:r>
    </w:p>
    <w:p w14:paraId="7C98EBF1" w14:textId="77777777" w:rsidR="00703281" w:rsidRPr="00AC27FF" w:rsidRDefault="00703281" w:rsidP="00703281">
      <w:pPr>
        <w:ind w:left="360" w:hanging="360"/>
        <w:rPr>
          <w:szCs w:val="24"/>
        </w:rPr>
      </w:pPr>
      <w:r w:rsidRPr="00AC27FF">
        <w:rPr>
          <w:szCs w:val="24"/>
        </w:rPr>
        <w:tab/>
      </w:r>
    </w:p>
    <w:p w14:paraId="11A07F61"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Quarterly reporting requirement.  Each carrier must file line count data with USAC upon competitive entry in rural carrier study areas. </w:t>
      </w:r>
    </w:p>
    <w:p w14:paraId="55436568" w14:textId="77777777" w:rsidR="00703281" w:rsidRPr="00AC27FF" w:rsidRDefault="00703281" w:rsidP="00703281">
      <w:pPr>
        <w:ind w:left="360" w:hanging="360"/>
        <w:rPr>
          <w:szCs w:val="24"/>
        </w:rPr>
      </w:pPr>
      <w:r w:rsidRPr="00AC27FF">
        <w:rPr>
          <w:szCs w:val="24"/>
        </w:rPr>
        <w:tab/>
      </w:r>
    </w:p>
    <w:p w14:paraId="15963754" w14:textId="77777777" w:rsidR="00703281" w:rsidRDefault="00703281" w:rsidP="00703281">
      <w:pPr>
        <w:ind w:left="720" w:hanging="360"/>
        <w:rPr>
          <w:szCs w:val="24"/>
        </w:rPr>
      </w:pPr>
      <w:r w:rsidRPr="00AC27FF">
        <w:rPr>
          <w:szCs w:val="24"/>
        </w:rPr>
        <w:t>(3)</w:t>
      </w:r>
      <w:r>
        <w:rPr>
          <w:szCs w:val="24"/>
        </w:rPr>
        <w:t xml:space="preserve"> </w:t>
      </w:r>
      <w:r w:rsidRPr="001A1CF1">
        <w:rPr>
          <w:szCs w:val="24"/>
          <w:u w:val="single"/>
        </w:rPr>
        <w:t>Total number of responses per respondent</w:t>
      </w:r>
      <w:r>
        <w:rPr>
          <w:szCs w:val="24"/>
        </w:rPr>
        <w:t xml:space="preserve">: Approximately 4. </w:t>
      </w:r>
      <w:r w:rsidRPr="00AC27FF">
        <w:rPr>
          <w:szCs w:val="24"/>
        </w:rPr>
        <w:t xml:space="preserve"> </w:t>
      </w:r>
    </w:p>
    <w:p w14:paraId="3ED53E40" w14:textId="77777777" w:rsidR="00703281" w:rsidRDefault="00703281" w:rsidP="00703281">
      <w:pPr>
        <w:ind w:left="720" w:hanging="360"/>
        <w:rPr>
          <w:szCs w:val="24"/>
        </w:rPr>
      </w:pPr>
    </w:p>
    <w:p w14:paraId="15C1E196" w14:textId="77777777" w:rsidR="00703281" w:rsidRPr="001A1CF1" w:rsidRDefault="00703281" w:rsidP="00703281">
      <w:pPr>
        <w:ind w:left="720" w:hanging="360"/>
        <w:rPr>
          <w:szCs w:val="24"/>
        </w:rPr>
      </w:pPr>
      <w:r w:rsidRPr="001A1CF1">
        <w:rPr>
          <w:szCs w:val="24"/>
        </w:rPr>
        <w:t xml:space="preserve">(4) </w:t>
      </w:r>
      <w:r w:rsidRPr="001A1CF1">
        <w:rPr>
          <w:szCs w:val="24"/>
          <w:u w:val="single"/>
        </w:rPr>
        <w:t>Estimated time per response</w:t>
      </w:r>
      <w:r w:rsidRPr="001A1CF1">
        <w:rPr>
          <w:szCs w:val="24"/>
        </w:rPr>
        <w:t>:  6 hours.</w:t>
      </w:r>
    </w:p>
    <w:p w14:paraId="49F80425" w14:textId="77777777" w:rsidR="00703281" w:rsidRDefault="00703281" w:rsidP="00703281">
      <w:pPr>
        <w:ind w:left="720" w:hanging="360"/>
        <w:rPr>
          <w:szCs w:val="24"/>
          <w:u w:val="single"/>
        </w:rPr>
      </w:pPr>
    </w:p>
    <w:p w14:paraId="4AC3D250" w14:textId="0F93DF9D" w:rsidR="00703281" w:rsidRDefault="00703281" w:rsidP="00703281">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sidR="00927ED6">
        <w:rPr>
          <w:szCs w:val="24"/>
        </w:rPr>
        <w:t xml:space="preserve">24 </w:t>
      </w:r>
      <w:r w:rsidRPr="00AC27FF">
        <w:rPr>
          <w:szCs w:val="24"/>
        </w:rPr>
        <w:t xml:space="preserve">hours.  </w:t>
      </w:r>
    </w:p>
    <w:p w14:paraId="55681CDB" w14:textId="77777777" w:rsidR="00703281" w:rsidRDefault="00703281" w:rsidP="00703281">
      <w:pPr>
        <w:ind w:left="720" w:hanging="360"/>
        <w:rPr>
          <w:szCs w:val="24"/>
        </w:rPr>
      </w:pPr>
    </w:p>
    <w:p w14:paraId="1627D694" w14:textId="177BC460" w:rsidR="00703281" w:rsidRPr="00615254" w:rsidRDefault="00703281" w:rsidP="00703281">
      <w:pPr>
        <w:ind w:left="720" w:hanging="360"/>
        <w:rPr>
          <w:szCs w:val="24"/>
          <w:u w:val="single"/>
        </w:rPr>
      </w:pPr>
      <w:r>
        <w:rPr>
          <w:szCs w:val="24"/>
        </w:rPr>
        <w:t xml:space="preserve">      </w:t>
      </w:r>
      <w:r w:rsidRPr="00F54D78">
        <w:rPr>
          <w:szCs w:val="24"/>
        </w:rPr>
        <w:t xml:space="preserve">Total annual hour burden is: 1 respondent x 4 reports per respondent </w:t>
      </w:r>
      <w:r w:rsidRPr="00F54D78">
        <w:rPr>
          <w:b/>
          <w:szCs w:val="24"/>
        </w:rPr>
        <w:t xml:space="preserve">= </w:t>
      </w:r>
      <w:r w:rsidR="00927ED6">
        <w:rPr>
          <w:szCs w:val="24"/>
        </w:rPr>
        <w:t>4</w:t>
      </w:r>
      <w:r w:rsidRPr="00F54D78">
        <w:rPr>
          <w:szCs w:val="24"/>
        </w:rPr>
        <w:t xml:space="preserve"> responses x 6 hours = </w:t>
      </w:r>
      <w:r w:rsidR="00927ED6">
        <w:rPr>
          <w:b/>
          <w:szCs w:val="24"/>
        </w:rPr>
        <w:t>24</w:t>
      </w:r>
      <w:r w:rsidRPr="00F54D78">
        <w:rPr>
          <w:b/>
          <w:szCs w:val="24"/>
        </w:rPr>
        <w:t xml:space="preserve"> hours.</w:t>
      </w:r>
    </w:p>
    <w:p w14:paraId="115F9727" w14:textId="77777777" w:rsidR="00703281" w:rsidRPr="00AC27FF" w:rsidRDefault="00703281" w:rsidP="00703281">
      <w:pPr>
        <w:ind w:left="360" w:hanging="360"/>
        <w:rPr>
          <w:szCs w:val="24"/>
        </w:rPr>
      </w:pPr>
    </w:p>
    <w:p w14:paraId="1B366D2A" w14:textId="5E282011"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sidR="00927ED6">
        <w:rPr>
          <w:szCs w:val="24"/>
        </w:rPr>
        <w:t>960</w:t>
      </w:r>
      <w:r w:rsidRPr="00AC27FF">
        <w:rPr>
          <w:szCs w:val="24"/>
        </w:rPr>
        <w:t>. (</w:t>
      </w:r>
      <w:r w:rsidR="00927ED6">
        <w:rPr>
          <w:szCs w:val="24"/>
        </w:rPr>
        <w:t>24</w:t>
      </w:r>
      <w:r w:rsidRPr="00AC27FF">
        <w:rPr>
          <w:szCs w:val="24"/>
        </w:rPr>
        <w:t xml:space="preserve"> hours x $40/hr.).</w:t>
      </w:r>
    </w:p>
    <w:p w14:paraId="1206AE5D" w14:textId="77777777" w:rsidR="00703281" w:rsidRPr="00AC27FF" w:rsidRDefault="00703281" w:rsidP="00703281">
      <w:pPr>
        <w:ind w:left="720" w:hanging="360"/>
        <w:rPr>
          <w:szCs w:val="24"/>
        </w:rPr>
      </w:pPr>
    </w:p>
    <w:p w14:paraId="255BF1EA" w14:textId="3FA0C249" w:rsidR="00703281" w:rsidRPr="00AC27FF"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1 competitive ETCs will submit line count data quarterly x 6 hours to complete x $40/hr. when preparing the worksheet.  </w:t>
      </w:r>
      <w:r w:rsidR="00927ED6">
        <w:rPr>
          <w:szCs w:val="24"/>
        </w:rPr>
        <w:t>4</w:t>
      </w:r>
      <w:r>
        <w:rPr>
          <w:szCs w:val="24"/>
        </w:rPr>
        <w:t xml:space="preserve"> (responses) x </w:t>
      </w:r>
      <w:r w:rsidRPr="00AC27FF">
        <w:rPr>
          <w:szCs w:val="24"/>
        </w:rPr>
        <w:t xml:space="preserve">6 </w:t>
      </w:r>
      <w:r>
        <w:rPr>
          <w:szCs w:val="24"/>
        </w:rPr>
        <w:t xml:space="preserve">(hours to prepare line count data worksheet) </w:t>
      </w:r>
      <w:r w:rsidRPr="00AC27FF">
        <w:rPr>
          <w:szCs w:val="24"/>
        </w:rPr>
        <w:t>x $40/hour = $</w:t>
      </w:r>
      <w:r w:rsidR="00927ED6">
        <w:rPr>
          <w:szCs w:val="24"/>
        </w:rPr>
        <w:t>960</w:t>
      </w:r>
      <w:r w:rsidRPr="00AC27FF">
        <w:rPr>
          <w:szCs w:val="24"/>
        </w:rPr>
        <w:t xml:space="preserve">.  </w:t>
      </w:r>
    </w:p>
    <w:p w14:paraId="740AFADA" w14:textId="0EE29919" w:rsidR="00703281" w:rsidRDefault="00703281" w:rsidP="004026BA">
      <w:pPr>
        <w:tabs>
          <w:tab w:val="left" w:pos="-720"/>
        </w:tabs>
        <w:suppressAutoHyphens/>
        <w:rPr>
          <w:szCs w:val="24"/>
        </w:rPr>
      </w:pPr>
    </w:p>
    <w:p w14:paraId="271AEF5E" w14:textId="6C7A9B53" w:rsidR="00703281" w:rsidRPr="00AC27FF" w:rsidRDefault="0005073E" w:rsidP="00703281">
      <w:pPr>
        <w:ind w:left="720" w:hanging="360"/>
        <w:rPr>
          <w:b/>
          <w:szCs w:val="24"/>
        </w:rPr>
      </w:pPr>
      <w:r>
        <w:rPr>
          <w:b/>
          <w:szCs w:val="24"/>
          <w:u w:val="single"/>
        </w:rPr>
        <w:t>t</w:t>
      </w:r>
      <w:r w:rsidR="00703281" w:rsidRPr="00AC27FF">
        <w:rPr>
          <w:b/>
          <w:szCs w:val="24"/>
          <w:u w:val="single"/>
        </w:rPr>
        <w:t>. Safety Valve</w:t>
      </w:r>
      <w:r w:rsidR="00703281" w:rsidRPr="00E209F0">
        <w:rPr>
          <w:b/>
          <w:szCs w:val="24"/>
        </w:rPr>
        <w:t xml:space="preserve"> </w:t>
      </w:r>
      <w:r w:rsidR="00703281" w:rsidRPr="00AC27FF">
        <w:rPr>
          <w:b/>
          <w:szCs w:val="24"/>
          <w:u w:val="single"/>
        </w:rPr>
        <w:t>(no revisions)</w:t>
      </w:r>
      <w:r w:rsidR="00703281" w:rsidRPr="00AC27FF">
        <w:rPr>
          <w:b/>
          <w:szCs w:val="24"/>
        </w:rPr>
        <w:t>:</w:t>
      </w:r>
    </w:p>
    <w:p w14:paraId="4F5DA28B" w14:textId="77777777" w:rsidR="00703281" w:rsidRPr="00AC27FF" w:rsidRDefault="00703281" w:rsidP="00703281">
      <w:pPr>
        <w:ind w:left="720" w:hanging="360"/>
        <w:rPr>
          <w:szCs w:val="24"/>
        </w:rPr>
      </w:pPr>
      <w:r w:rsidRPr="00AC27FF">
        <w:rPr>
          <w:szCs w:val="24"/>
        </w:rPr>
        <w:tab/>
      </w:r>
    </w:p>
    <w:p w14:paraId="56318D94"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25 rural carriers will have to file a notice.</w:t>
      </w:r>
    </w:p>
    <w:p w14:paraId="461153DC" w14:textId="77777777" w:rsidR="00703281" w:rsidRPr="00AC27FF" w:rsidRDefault="00703281" w:rsidP="00703281">
      <w:pPr>
        <w:ind w:left="720" w:hanging="360"/>
        <w:rPr>
          <w:szCs w:val="24"/>
        </w:rPr>
      </w:pPr>
    </w:p>
    <w:p w14:paraId="21CB0ABF"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On occasion reporting requirement and third party disclosure requirement.  Rural carriers shall provide written notice to USAC when their index year has been established for purposes of calculating eligibility for safety valve support.</w:t>
      </w:r>
    </w:p>
    <w:p w14:paraId="0568037A" w14:textId="77777777" w:rsidR="00703281" w:rsidRPr="00AC27FF" w:rsidRDefault="00703281" w:rsidP="00703281">
      <w:pPr>
        <w:ind w:left="720" w:hanging="360"/>
        <w:rPr>
          <w:szCs w:val="24"/>
        </w:rPr>
      </w:pPr>
    </w:p>
    <w:p w14:paraId="025A1ABE" w14:textId="77777777" w:rsidR="00703281" w:rsidRDefault="00703281" w:rsidP="00703281">
      <w:pPr>
        <w:ind w:left="721" w:hanging="361"/>
        <w:rPr>
          <w:szCs w:val="24"/>
        </w:rPr>
      </w:pPr>
      <w:r>
        <w:rPr>
          <w:szCs w:val="24"/>
        </w:rPr>
        <w:t xml:space="preserve">(3) </w:t>
      </w:r>
      <w:r w:rsidRPr="001A1CF1">
        <w:rPr>
          <w:szCs w:val="24"/>
          <w:u w:val="single"/>
        </w:rPr>
        <w:t>Total number of responses per respondent</w:t>
      </w:r>
      <w:r>
        <w:rPr>
          <w:szCs w:val="24"/>
        </w:rPr>
        <w:t xml:space="preserve">:  Approximately 1. </w:t>
      </w:r>
    </w:p>
    <w:p w14:paraId="55C0A012" w14:textId="77777777" w:rsidR="00703281" w:rsidRDefault="00703281" w:rsidP="00703281">
      <w:pPr>
        <w:ind w:left="720" w:hanging="360"/>
        <w:rPr>
          <w:szCs w:val="24"/>
        </w:rPr>
      </w:pPr>
    </w:p>
    <w:p w14:paraId="59C9C375" w14:textId="77777777" w:rsidR="00703281" w:rsidRPr="001A1CF1" w:rsidRDefault="00703281" w:rsidP="00703281">
      <w:pPr>
        <w:ind w:left="720" w:hanging="360"/>
        <w:rPr>
          <w:szCs w:val="24"/>
        </w:rPr>
      </w:pPr>
      <w:r w:rsidRPr="001A1CF1">
        <w:rPr>
          <w:szCs w:val="24"/>
        </w:rPr>
        <w:t xml:space="preserve">(4) </w:t>
      </w:r>
      <w:r w:rsidRPr="001A1CF1">
        <w:rPr>
          <w:szCs w:val="24"/>
          <w:u w:val="single"/>
        </w:rPr>
        <w:t>Estimated time per response</w:t>
      </w:r>
      <w:r w:rsidRPr="001A1CF1">
        <w:rPr>
          <w:szCs w:val="24"/>
        </w:rPr>
        <w:t>:  .5 hours.</w:t>
      </w:r>
    </w:p>
    <w:p w14:paraId="2C5C4615" w14:textId="77777777" w:rsidR="00703281" w:rsidRDefault="00703281" w:rsidP="00703281">
      <w:pPr>
        <w:ind w:left="720" w:hanging="360"/>
        <w:rPr>
          <w:szCs w:val="24"/>
          <w:u w:val="single"/>
        </w:rPr>
      </w:pPr>
    </w:p>
    <w:p w14:paraId="6AF960A7" w14:textId="77777777" w:rsidR="00703281" w:rsidRDefault="00703281" w:rsidP="00703281">
      <w:pPr>
        <w:ind w:left="720" w:hanging="360"/>
        <w:rPr>
          <w:szCs w:val="24"/>
        </w:rPr>
      </w:pPr>
      <w:r w:rsidRPr="001A1CF1">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13 hours.</w:t>
      </w:r>
      <w:r w:rsidRPr="00F54D78">
        <w:rPr>
          <w:szCs w:val="24"/>
        </w:rPr>
        <w:t xml:space="preserve">  </w:t>
      </w:r>
    </w:p>
    <w:p w14:paraId="7BFDDC61" w14:textId="77777777" w:rsidR="00703281" w:rsidRDefault="00703281" w:rsidP="00703281">
      <w:pPr>
        <w:ind w:left="720" w:hanging="360"/>
        <w:rPr>
          <w:szCs w:val="24"/>
        </w:rPr>
      </w:pPr>
    </w:p>
    <w:p w14:paraId="54FC5CDD" w14:textId="77777777" w:rsidR="00703281" w:rsidRPr="00AC27FF" w:rsidRDefault="00703281" w:rsidP="00A63F44">
      <w:pPr>
        <w:ind w:left="720" w:hanging="351"/>
        <w:rPr>
          <w:szCs w:val="24"/>
        </w:rPr>
      </w:pPr>
      <w:r w:rsidRPr="00F54D78">
        <w:rPr>
          <w:szCs w:val="24"/>
        </w:rPr>
        <w:t xml:space="preserve">Total annual hour burden is: 25 respondents x 1 notice per respondent = 25 responses x .5 hours = 13 hours (rounded up). </w:t>
      </w:r>
    </w:p>
    <w:p w14:paraId="70836C37" w14:textId="77777777" w:rsidR="00703281" w:rsidRPr="00AC27FF" w:rsidRDefault="00703281" w:rsidP="00703281">
      <w:pPr>
        <w:ind w:left="720" w:hanging="360"/>
        <w:rPr>
          <w:szCs w:val="24"/>
        </w:rPr>
      </w:pPr>
    </w:p>
    <w:p w14:paraId="7CDB6354"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52</w:t>
      </w:r>
      <w:r w:rsidRPr="00AA1230">
        <w:rPr>
          <w:szCs w:val="24"/>
        </w:rPr>
        <w:t>0.</w:t>
      </w:r>
      <w:r w:rsidRPr="00AC27FF">
        <w:rPr>
          <w:szCs w:val="24"/>
        </w:rPr>
        <w:t xml:space="preserve"> (1</w:t>
      </w:r>
      <w:r>
        <w:rPr>
          <w:szCs w:val="24"/>
        </w:rPr>
        <w:t>3</w:t>
      </w:r>
      <w:r w:rsidRPr="00AC27FF">
        <w:rPr>
          <w:szCs w:val="24"/>
        </w:rPr>
        <w:t xml:space="preserve"> hours</w:t>
      </w:r>
      <w:r>
        <w:rPr>
          <w:szCs w:val="24"/>
        </w:rPr>
        <w:t xml:space="preserve"> </w:t>
      </w:r>
      <w:r w:rsidRPr="00AC27FF">
        <w:rPr>
          <w:szCs w:val="24"/>
        </w:rPr>
        <w:t>x $40/hr.).</w:t>
      </w:r>
    </w:p>
    <w:p w14:paraId="077E7658" w14:textId="77777777" w:rsidR="00703281" w:rsidRPr="00AC27FF" w:rsidRDefault="00703281" w:rsidP="00703281">
      <w:pPr>
        <w:ind w:left="720" w:hanging="360"/>
        <w:rPr>
          <w:szCs w:val="24"/>
        </w:rPr>
      </w:pPr>
    </w:p>
    <w:p w14:paraId="198EC5F1" w14:textId="564C91B8" w:rsidR="00703281"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carrier will spend .5 hour drafting a notice to USAC indicating when their index year has been established for purposes of calculating eligibility for safet</w:t>
      </w:r>
      <w:r>
        <w:rPr>
          <w:szCs w:val="24"/>
        </w:rPr>
        <w:t xml:space="preserve">y valve support.  </w:t>
      </w:r>
      <w:r w:rsidRPr="00F54D78">
        <w:rPr>
          <w:szCs w:val="24"/>
        </w:rPr>
        <w:t xml:space="preserve">25 (responses) x .5 (hours to prepare notice) = 13 (rounded up) x $40/hr. = $520.  </w:t>
      </w:r>
    </w:p>
    <w:p w14:paraId="527F351B" w14:textId="77777777" w:rsidR="00703281" w:rsidRPr="00AC27FF" w:rsidRDefault="00703281" w:rsidP="00703281">
      <w:pPr>
        <w:ind w:left="720" w:hanging="360"/>
        <w:rPr>
          <w:szCs w:val="24"/>
        </w:rPr>
      </w:pPr>
    </w:p>
    <w:p w14:paraId="3B23FE60" w14:textId="36A5A535" w:rsidR="00703281" w:rsidRPr="00AC27FF" w:rsidRDefault="0005073E" w:rsidP="00703281">
      <w:pPr>
        <w:ind w:left="360"/>
        <w:rPr>
          <w:b/>
          <w:szCs w:val="24"/>
          <w:u w:val="single"/>
        </w:rPr>
      </w:pPr>
      <w:r>
        <w:rPr>
          <w:b/>
          <w:szCs w:val="24"/>
          <w:u w:val="single"/>
        </w:rPr>
        <w:t>u</w:t>
      </w:r>
      <w:r w:rsidR="00703281" w:rsidRPr="00AC27FF">
        <w:rPr>
          <w:b/>
          <w:szCs w:val="24"/>
          <w:u w:val="single"/>
        </w:rPr>
        <w:t>. Local End User Rates and State Regulated Fees</w:t>
      </w:r>
      <w:r w:rsidR="00703281" w:rsidRPr="00E209F0">
        <w:rPr>
          <w:b/>
          <w:szCs w:val="24"/>
        </w:rPr>
        <w:t xml:space="preserve"> </w:t>
      </w:r>
      <w:r w:rsidR="00703281" w:rsidRPr="00AC27FF">
        <w:rPr>
          <w:b/>
          <w:szCs w:val="24"/>
          <w:u w:val="single"/>
        </w:rPr>
        <w:t>(no revisions)</w:t>
      </w:r>
      <w:r w:rsidR="00703281" w:rsidRPr="00AC27FF">
        <w:rPr>
          <w:b/>
          <w:szCs w:val="24"/>
        </w:rPr>
        <w:t>:</w:t>
      </w:r>
    </w:p>
    <w:p w14:paraId="6EE27034" w14:textId="77777777" w:rsidR="00703281" w:rsidRPr="00AC27FF" w:rsidRDefault="00703281" w:rsidP="00703281">
      <w:pPr>
        <w:ind w:left="360"/>
        <w:rPr>
          <w:b/>
          <w:szCs w:val="24"/>
          <w:u w:val="single"/>
        </w:rPr>
      </w:pPr>
    </w:p>
    <w:p w14:paraId="7FF77818"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Fewer than 1,434 companies (1,141 rate-of-return carriers and 293 price cap carriers) will have to report local end user rates and state regulated fees.</w:t>
      </w:r>
    </w:p>
    <w:p w14:paraId="53C71EA3" w14:textId="77777777" w:rsidR="00703281" w:rsidRPr="00AC27FF" w:rsidRDefault="00703281" w:rsidP="00703281">
      <w:pPr>
        <w:ind w:left="720" w:hanging="360"/>
        <w:rPr>
          <w:szCs w:val="24"/>
        </w:rPr>
      </w:pPr>
    </w:p>
    <w:p w14:paraId="18EF3F0A"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carrier must file the Rate Floor Data Collection Form with USAC.  Among other information, the form contains all </w:t>
      </w:r>
      <w:r w:rsidRPr="00AC27FF">
        <w:rPr>
          <w:color w:val="000000"/>
          <w:szCs w:val="24"/>
        </w:rPr>
        <w:t>local end user rates that fall below a specified urban rate floor and the number of lines associated with each rate</w:t>
      </w:r>
      <w:r w:rsidRPr="00AC27FF">
        <w:rPr>
          <w:szCs w:val="24"/>
        </w:rPr>
        <w:t>.  Mid-year updates are permitted.</w:t>
      </w:r>
    </w:p>
    <w:p w14:paraId="2D5224B9" w14:textId="77777777" w:rsidR="00703281" w:rsidRPr="00AC27FF" w:rsidRDefault="00703281" w:rsidP="00703281">
      <w:pPr>
        <w:ind w:left="720" w:hanging="360"/>
        <w:rPr>
          <w:szCs w:val="24"/>
        </w:rPr>
      </w:pPr>
    </w:p>
    <w:p w14:paraId="435788A0" w14:textId="77777777" w:rsidR="00703281" w:rsidRDefault="00703281" w:rsidP="00703281">
      <w:pPr>
        <w:ind w:left="720" w:hanging="360"/>
        <w:rPr>
          <w:szCs w:val="24"/>
        </w:rPr>
      </w:pPr>
      <w:r w:rsidRPr="00AC27FF">
        <w:rPr>
          <w:szCs w:val="24"/>
        </w:rPr>
        <w:t xml:space="preserve">(3) </w:t>
      </w:r>
      <w:r w:rsidRPr="001A1CF1">
        <w:rPr>
          <w:szCs w:val="24"/>
          <w:u w:val="single"/>
        </w:rPr>
        <w:t>Total number of responses per respondent</w:t>
      </w:r>
      <w:r>
        <w:rPr>
          <w:szCs w:val="24"/>
        </w:rPr>
        <w:t>:  Approximately 1.</w:t>
      </w:r>
    </w:p>
    <w:p w14:paraId="10213D8A" w14:textId="77777777" w:rsidR="00703281" w:rsidRDefault="00703281" w:rsidP="00703281">
      <w:pPr>
        <w:ind w:left="720" w:hanging="360"/>
        <w:rPr>
          <w:szCs w:val="24"/>
        </w:rPr>
      </w:pPr>
    </w:p>
    <w:p w14:paraId="6642A1AF" w14:textId="77777777" w:rsidR="00703281" w:rsidRDefault="00703281" w:rsidP="00703281">
      <w:pPr>
        <w:ind w:left="720" w:hanging="360"/>
        <w:rPr>
          <w:szCs w:val="24"/>
          <w:u w:val="single"/>
        </w:rPr>
      </w:pPr>
      <w:r w:rsidRPr="001A1CF1">
        <w:rPr>
          <w:szCs w:val="24"/>
        </w:rPr>
        <w:t xml:space="preserve">(4) </w:t>
      </w:r>
      <w:r w:rsidRPr="001A1CF1">
        <w:rPr>
          <w:szCs w:val="24"/>
          <w:u w:val="single"/>
        </w:rPr>
        <w:t>Estimated time per response</w:t>
      </w:r>
      <w:r w:rsidRPr="001A1CF1">
        <w:rPr>
          <w:szCs w:val="24"/>
        </w:rPr>
        <w:t>:  4 hours</w:t>
      </w:r>
      <w:r>
        <w:rPr>
          <w:szCs w:val="24"/>
        </w:rPr>
        <w:t>.</w:t>
      </w:r>
      <w:r>
        <w:rPr>
          <w:szCs w:val="24"/>
          <w:u w:val="single"/>
        </w:rPr>
        <w:t xml:space="preserve"> </w:t>
      </w:r>
    </w:p>
    <w:p w14:paraId="2541AC83" w14:textId="77777777" w:rsidR="00703281" w:rsidRDefault="00703281" w:rsidP="00703281">
      <w:pPr>
        <w:ind w:left="720" w:hanging="360"/>
        <w:rPr>
          <w:szCs w:val="24"/>
          <w:u w:val="single"/>
        </w:rPr>
      </w:pPr>
    </w:p>
    <w:p w14:paraId="6383F3AE" w14:textId="77777777" w:rsidR="00703281" w:rsidRDefault="00703281" w:rsidP="00703281">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Pr>
          <w:szCs w:val="24"/>
        </w:rPr>
        <w:t xml:space="preserve">5,736 hours. </w:t>
      </w:r>
    </w:p>
    <w:p w14:paraId="58284F19" w14:textId="77777777" w:rsidR="00703281" w:rsidRDefault="00703281" w:rsidP="00703281">
      <w:pPr>
        <w:ind w:left="720" w:hanging="360"/>
        <w:rPr>
          <w:szCs w:val="24"/>
        </w:rPr>
      </w:pPr>
    </w:p>
    <w:p w14:paraId="1D6F59B6" w14:textId="77777777" w:rsidR="00703281" w:rsidRPr="00AC27FF" w:rsidRDefault="00703281" w:rsidP="00703281">
      <w:pPr>
        <w:ind w:left="720" w:hanging="360"/>
        <w:rPr>
          <w:szCs w:val="24"/>
        </w:rPr>
      </w:pPr>
      <w:r>
        <w:rPr>
          <w:szCs w:val="24"/>
        </w:rPr>
        <w:t xml:space="preserve">      </w:t>
      </w:r>
      <w:r w:rsidRPr="00AC27FF">
        <w:rPr>
          <w:szCs w:val="24"/>
        </w:rPr>
        <w:t xml:space="preserve">4 hours per respondent for 1,434 respondents filing on an annual basis.  </w:t>
      </w:r>
      <w:r w:rsidRPr="00F54D78">
        <w:rPr>
          <w:szCs w:val="24"/>
        </w:rPr>
        <w:t xml:space="preserve">Total annual hour burden is: 1,434 respondents x 1 report per respondent = 1,434 responses x 4 hours = </w:t>
      </w:r>
      <w:r w:rsidRPr="00F54D78">
        <w:rPr>
          <w:b/>
          <w:szCs w:val="24"/>
        </w:rPr>
        <w:t>5,736 hours</w:t>
      </w:r>
      <w:r w:rsidRPr="00F54D78">
        <w:rPr>
          <w:szCs w:val="24"/>
        </w:rPr>
        <w:t>.</w:t>
      </w:r>
    </w:p>
    <w:p w14:paraId="53D1569C" w14:textId="77777777" w:rsidR="00703281" w:rsidRPr="00AC27FF" w:rsidRDefault="00703281" w:rsidP="00703281">
      <w:pPr>
        <w:ind w:left="720" w:hanging="360"/>
        <w:rPr>
          <w:szCs w:val="24"/>
        </w:rPr>
      </w:pPr>
    </w:p>
    <w:p w14:paraId="20F4810E"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$229,440.  (5,736 hours x $40/hour.).</w:t>
      </w:r>
    </w:p>
    <w:p w14:paraId="5F07BC84" w14:textId="77777777" w:rsidR="00703281" w:rsidRPr="00AC27FF" w:rsidRDefault="00703281" w:rsidP="00703281">
      <w:pPr>
        <w:ind w:left="720" w:hanging="360"/>
        <w:rPr>
          <w:szCs w:val="24"/>
        </w:rPr>
      </w:pPr>
    </w:p>
    <w:p w14:paraId="36837D37" w14:textId="083520AE" w:rsidR="00703281"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will spend at least 4 hours filtering </w:t>
      </w:r>
      <w:r w:rsidRPr="00AC27FF">
        <w:rPr>
          <w:color w:val="000000"/>
          <w:szCs w:val="24"/>
        </w:rPr>
        <w:t xml:space="preserve">and tabulating </w:t>
      </w:r>
      <w:r w:rsidRPr="00AC27FF">
        <w:rPr>
          <w:szCs w:val="24"/>
        </w:rPr>
        <w:t xml:space="preserve">end user rates for each line </w:t>
      </w:r>
      <w:r w:rsidRPr="00AC27FF">
        <w:rPr>
          <w:color w:val="000000"/>
          <w:szCs w:val="24"/>
        </w:rPr>
        <w:t>that falls below a specified urban rate floor and indicating the specific line associated wi</w:t>
      </w:r>
      <w:r>
        <w:rPr>
          <w:color w:val="000000"/>
          <w:szCs w:val="24"/>
        </w:rPr>
        <w:t>th each rate.  1,434 (</w:t>
      </w:r>
      <w:r w:rsidRPr="00AC27FF">
        <w:rPr>
          <w:color w:val="000000"/>
          <w:szCs w:val="24"/>
        </w:rPr>
        <w:t>respon</w:t>
      </w:r>
      <w:r>
        <w:rPr>
          <w:color w:val="000000"/>
          <w:szCs w:val="24"/>
        </w:rPr>
        <w:t>ses</w:t>
      </w:r>
      <w:r w:rsidRPr="00AC27FF">
        <w:rPr>
          <w:color w:val="000000"/>
          <w:szCs w:val="24"/>
        </w:rPr>
        <w:t xml:space="preserve">) x 4 (hours to tabulate end user rates for each line and to prepare the relevant reporting documents) x </w:t>
      </w:r>
      <w:r w:rsidRPr="00AC27FF">
        <w:rPr>
          <w:szCs w:val="24"/>
        </w:rPr>
        <w:t>$40/hr.</w:t>
      </w:r>
      <w:r w:rsidRPr="00AC27FF">
        <w:rPr>
          <w:color w:val="000000"/>
          <w:szCs w:val="24"/>
        </w:rPr>
        <w:t xml:space="preserve"> = $229,440.      </w:t>
      </w:r>
      <w:r w:rsidRPr="00AC27FF">
        <w:rPr>
          <w:szCs w:val="24"/>
        </w:rPr>
        <w:t xml:space="preserve"> </w:t>
      </w:r>
    </w:p>
    <w:p w14:paraId="46D80A44" w14:textId="47C00251" w:rsidR="00703281" w:rsidRPr="00AC27FF" w:rsidRDefault="00703281" w:rsidP="004026BA">
      <w:pPr>
        <w:rPr>
          <w:szCs w:val="24"/>
        </w:rPr>
      </w:pPr>
      <w:r w:rsidRPr="00AC27FF">
        <w:rPr>
          <w:szCs w:val="24"/>
        </w:rPr>
        <w:t xml:space="preserve"> </w:t>
      </w:r>
    </w:p>
    <w:p w14:paraId="00D90986" w14:textId="0BBFA505" w:rsidR="00703281" w:rsidRPr="00AC27FF" w:rsidRDefault="0005073E" w:rsidP="00703281">
      <w:pPr>
        <w:ind w:left="360"/>
        <w:rPr>
          <w:b/>
          <w:szCs w:val="24"/>
        </w:rPr>
      </w:pPr>
      <w:r>
        <w:rPr>
          <w:b/>
          <w:szCs w:val="24"/>
          <w:u w:val="single"/>
        </w:rPr>
        <w:t>v</w:t>
      </w:r>
      <w:r w:rsidR="00703281" w:rsidRPr="00AC27FF">
        <w:rPr>
          <w:b/>
          <w:szCs w:val="24"/>
          <w:u w:val="single"/>
        </w:rPr>
        <w:t>. Recordkeeping Requirements</w:t>
      </w:r>
      <w:r w:rsidR="00703281" w:rsidRPr="00E209F0">
        <w:rPr>
          <w:b/>
          <w:szCs w:val="24"/>
        </w:rPr>
        <w:t xml:space="preserve"> </w:t>
      </w:r>
      <w:r w:rsidR="00703281" w:rsidRPr="00AC27FF">
        <w:rPr>
          <w:b/>
          <w:szCs w:val="24"/>
          <w:u w:val="single"/>
        </w:rPr>
        <w:t>(no revisions)</w:t>
      </w:r>
      <w:r w:rsidR="00703281" w:rsidRPr="00AC27FF">
        <w:rPr>
          <w:b/>
          <w:szCs w:val="24"/>
        </w:rPr>
        <w:t>:</w:t>
      </w:r>
    </w:p>
    <w:p w14:paraId="214F0D88" w14:textId="77777777" w:rsidR="00703281" w:rsidRPr="00AC27FF" w:rsidRDefault="00703281" w:rsidP="00703281">
      <w:pPr>
        <w:ind w:left="360"/>
        <w:rPr>
          <w:b/>
          <w:szCs w:val="24"/>
          <w:u w:val="single"/>
        </w:rPr>
      </w:pPr>
    </w:p>
    <w:p w14:paraId="70C6E88E"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Approximately 1,857 telephone companies.</w:t>
      </w:r>
    </w:p>
    <w:p w14:paraId="19D4863D" w14:textId="77777777" w:rsidR="00703281" w:rsidRPr="00AC27FF" w:rsidRDefault="00703281" w:rsidP="00703281">
      <w:pPr>
        <w:ind w:left="1080" w:right="-450"/>
        <w:rPr>
          <w:szCs w:val="24"/>
        </w:rPr>
      </w:pPr>
    </w:p>
    <w:p w14:paraId="092E8A96"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5987475A" w14:textId="77777777" w:rsidR="00703281" w:rsidRPr="00AC27FF" w:rsidRDefault="00703281" w:rsidP="00703281">
      <w:pPr>
        <w:ind w:left="1080" w:right="-450"/>
        <w:rPr>
          <w:szCs w:val="24"/>
        </w:rPr>
      </w:pPr>
    </w:p>
    <w:p w14:paraId="35C91DA4" w14:textId="77777777" w:rsidR="00703281" w:rsidRDefault="00703281" w:rsidP="00703281">
      <w:pPr>
        <w:ind w:left="720" w:hanging="360"/>
        <w:rPr>
          <w:szCs w:val="24"/>
        </w:rPr>
      </w:pPr>
      <w:r w:rsidRPr="00AC27FF">
        <w:rPr>
          <w:szCs w:val="24"/>
        </w:rPr>
        <w:t>(3)</w:t>
      </w:r>
      <w:r>
        <w:rPr>
          <w:szCs w:val="24"/>
        </w:rPr>
        <w:t xml:space="preserve"> </w:t>
      </w:r>
      <w:r w:rsidRPr="001A1CF1">
        <w:rPr>
          <w:szCs w:val="24"/>
          <w:u w:val="single"/>
        </w:rPr>
        <w:t>Total number of responses per respondent</w:t>
      </w:r>
      <w:r>
        <w:rPr>
          <w:szCs w:val="24"/>
        </w:rPr>
        <w:t>:  Approximately 1.</w:t>
      </w:r>
      <w:r w:rsidRPr="00AC27FF">
        <w:rPr>
          <w:szCs w:val="24"/>
        </w:rPr>
        <w:t xml:space="preserve">  </w:t>
      </w:r>
    </w:p>
    <w:p w14:paraId="7F82DD2A" w14:textId="77777777" w:rsidR="00703281" w:rsidRDefault="00703281" w:rsidP="00703281">
      <w:pPr>
        <w:ind w:left="720" w:hanging="360"/>
        <w:rPr>
          <w:szCs w:val="24"/>
        </w:rPr>
      </w:pPr>
    </w:p>
    <w:p w14:paraId="5A6B8420" w14:textId="77777777" w:rsidR="00703281" w:rsidRDefault="00703281" w:rsidP="00703281">
      <w:pPr>
        <w:ind w:left="720" w:hanging="360"/>
        <w:rPr>
          <w:szCs w:val="24"/>
        </w:rPr>
      </w:pPr>
      <w:r>
        <w:rPr>
          <w:szCs w:val="24"/>
        </w:rPr>
        <w:t xml:space="preserve">(4) </w:t>
      </w:r>
      <w:r w:rsidRPr="001A1CF1">
        <w:rPr>
          <w:szCs w:val="24"/>
          <w:u w:val="single"/>
        </w:rPr>
        <w:t>Estimated time per response</w:t>
      </w:r>
      <w:r>
        <w:rPr>
          <w:szCs w:val="24"/>
        </w:rPr>
        <w:t>: 2 hours.</w:t>
      </w:r>
    </w:p>
    <w:p w14:paraId="69B8A0CE" w14:textId="77777777" w:rsidR="00703281" w:rsidRDefault="00703281" w:rsidP="00703281">
      <w:pPr>
        <w:ind w:left="720" w:hanging="360"/>
        <w:rPr>
          <w:szCs w:val="24"/>
        </w:rPr>
      </w:pPr>
    </w:p>
    <w:p w14:paraId="6AFDEF3A" w14:textId="77777777" w:rsidR="00703281" w:rsidRDefault="00703281" w:rsidP="00703281">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Pr>
          <w:szCs w:val="24"/>
        </w:rPr>
        <w:t xml:space="preserve">3,714 hours. </w:t>
      </w:r>
    </w:p>
    <w:p w14:paraId="2ACF6F98" w14:textId="77777777" w:rsidR="00703281" w:rsidRDefault="00703281" w:rsidP="00703281">
      <w:pPr>
        <w:ind w:left="720" w:hanging="360"/>
        <w:rPr>
          <w:szCs w:val="24"/>
        </w:rPr>
      </w:pPr>
    </w:p>
    <w:p w14:paraId="72F8E6DE" w14:textId="77777777" w:rsidR="00703281" w:rsidRPr="00AC27FF" w:rsidRDefault="00703281" w:rsidP="00703281">
      <w:pPr>
        <w:ind w:left="720" w:hanging="360"/>
        <w:rPr>
          <w:szCs w:val="24"/>
        </w:rPr>
      </w:pPr>
      <w:r>
        <w:rPr>
          <w:szCs w:val="24"/>
        </w:rPr>
        <w:t xml:space="preserve">      </w:t>
      </w:r>
      <w:r w:rsidRPr="00F54D78">
        <w:rPr>
          <w:szCs w:val="24"/>
        </w:rPr>
        <w:t xml:space="preserve">2 hours per respondent for 1,857 respondents retaining documents on an annual basis.  Total annual hour burden is: 1,857 respondents x 1 submission per respondent = 1,857 responses x 2 hours = </w:t>
      </w:r>
      <w:r w:rsidRPr="00F54D78">
        <w:rPr>
          <w:b/>
          <w:szCs w:val="24"/>
        </w:rPr>
        <w:t>3,714 hours</w:t>
      </w:r>
      <w:r w:rsidRPr="00F54D78">
        <w:rPr>
          <w:szCs w:val="24"/>
        </w:rPr>
        <w:t>.</w:t>
      </w:r>
    </w:p>
    <w:p w14:paraId="51BDCBE2" w14:textId="77777777" w:rsidR="00703281" w:rsidRPr="00AC27FF" w:rsidRDefault="00703281" w:rsidP="00703281">
      <w:pPr>
        <w:ind w:left="-720" w:right="-450"/>
        <w:rPr>
          <w:szCs w:val="24"/>
        </w:rPr>
      </w:pPr>
    </w:p>
    <w:p w14:paraId="7943730B" w14:textId="77777777" w:rsidR="00703281" w:rsidRPr="00AC27FF" w:rsidRDefault="00703281" w:rsidP="00703281">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Total estimate of in-house</w:t>
      </w:r>
      <w:r w:rsidRPr="00AC27FF">
        <w:rPr>
          <w:szCs w:val="24"/>
          <w:u w:val="single"/>
        </w:rPr>
        <w:t xml:space="preserve"> cost to respondents:</w:t>
      </w:r>
      <w:r w:rsidRPr="00AC27FF">
        <w:rPr>
          <w:b/>
          <w:szCs w:val="24"/>
        </w:rPr>
        <w:t xml:space="preserve">  </w:t>
      </w:r>
      <w:r w:rsidRPr="00AC27FF">
        <w:rPr>
          <w:szCs w:val="24"/>
        </w:rPr>
        <w:t>$148,560</w:t>
      </w:r>
      <w:r>
        <w:rPr>
          <w:szCs w:val="24"/>
        </w:rPr>
        <w:t>.</w:t>
      </w:r>
      <w:r w:rsidRPr="00AC27FF">
        <w:rPr>
          <w:szCs w:val="24"/>
        </w:rPr>
        <w:t xml:space="preserve"> (3,714 hours x $40/hour.).</w:t>
      </w:r>
    </w:p>
    <w:p w14:paraId="2BA153F3" w14:textId="77777777" w:rsidR="00703281" w:rsidRPr="00AC27FF" w:rsidRDefault="00703281" w:rsidP="00703281">
      <w:pPr>
        <w:ind w:left="720" w:hanging="360"/>
        <w:rPr>
          <w:b/>
          <w:szCs w:val="24"/>
        </w:rPr>
      </w:pPr>
    </w:p>
    <w:p w14:paraId="671E5AEE" w14:textId="77777777" w:rsidR="00703281" w:rsidRPr="00AC27FF" w:rsidRDefault="00703281" w:rsidP="00703281">
      <w:pPr>
        <w:ind w:left="720" w:hanging="360"/>
        <w:rPr>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at least 2 hours tracking document retention periods</w:t>
      </w:r>
      <w:r w:rsidRPr="00AC27FF">
        <w:rPr>
          <w:color w:val="000000"/>
          <w:szCs w:val="24"/>
        </w:rPr>
        <w:t>.  1,857 (respon</w:t>
      </w:r>
      <w:r>
        <w:rPr>
          <w:color w:val="000000"/>
          <w:szCs w:val="24"/>
        </w:rPr>
        <w:t>ses</w:t>
      </w:r>
      <w:r w:rsidRPr="00AC27FF">
        <w:rPr>
          <w:color w:val="000000"/>
          <w:szCs w:val="24"/>
        </w:rPr>
        <w:t>) x 2 (hours to comply with document retention requirements) x</w:t>
      </w:r>
      <w:r>
        <w:rPr>
          <w:color w:val="000000"/>
          <w:szCs w:val="24"/>
        </w:rPr>
        <w:t xml:space="preserve"> $40 per hour</w:t>
      </w:r>
      <w:r w:rsidRPr="00AC27FF">
        <w:rPr>
          <w:color w:val="000000"/>
          <w:szCs w:val="24"/>
        </w:rPr>
        <w:t xml:space="preserve"> = $148,560.</w:t>
      </w:r>
    </w:p>
    <w:p w14:paraId="2F1B7D81" w14:textId="77777777" w:rsidR="00FA50F6" w:rsidRPr="00D87D19" w:rsidRDefault="00FA50F6" w:rsidP="00D87D19">
      <w:pPr>
        <w:rPr>
          <w:color w:val="000000"/>
        </w:rPr>
      </w:pPr>
    </w:p>
    <w:p w14:paraId="2F1B7DED" w14:textId="4CEA0522" w:rsidR="00DE165B" w:rsidRPr="00AC27FF" w:rsidRDefault="00DE165B">
      <w:pPr>
        <w:tabs>
          <w:tab w:val="left" w:pos="-720"/>
          <w:tab w:val="left" w:pos="7611"/>
        </w:tabs>
        <w:suppressAutoHyphens/>
        <w:spacing w:line="240" w:lineRule="atLeast"/>
        <w:rPr>
          <w:b/>
          <w:szCs w:val="24"/>
        </w:rPr>
      </w:pPr>
      <w:r w:rsidRPr="00AC27FF">
        <w:rPr>
          <w:b/>
          <w:szCs w:val="24"/>
        </w:rPr>
        <w:t>The estimated respondents and responses and burden hours are listed below:</w:t>
      </w:r>
      <w:r w:rsidR="007119C3">
        <w:rPr>
          <w:b/>
          <w:szCs w:val="24"/>
        </w:rPr>
        <w:t xml:space="preserve"> </w:t>
      </w:r>
    </w:p>
    <w:tbl>
      <w:tblPr>
        <w:tblW w:w="10815" w:type="dxa"/>
        <w:tblInd w:w="93" w:type="dxa"/>
        <w:tblLayout w:type="fixed"/>
        <w:tblLook w:val="0000" w:firstRow="0" w:lastRow="0" w:firstColumn="0" w:lastColumn="0" w:noHBand="0" w:noVBand="0"/>
      </w:tblPr>
      <w:tblGrid>
        <w:gridCol w:w="2265"/>
        <w:gridCol w:w="1620"/>
        <w:gridCol w:w="1350"/>
        <w:gridCol w:w="1350"/>
        <w:gridCol w:w="1440"/>
        <w:gridCol w:w="1080"/>
        <w:gridCol w:w="1710"/>
      </w:tblGrid>
      <w:tr w:rsidR="003A650B" w:rsidRPr="00AC27FF" w14:paraId="2F1B7DFC" w14:textId="77777777" w:rsidTr="00D87D19">
        <w:trPr>
          <w:cantSplit/>
          <w:trHeight w:val="1380"/>
        </w:trPr>
        <w:tc>
          <w:tcPr>
            <w:tcW w:w="2265" w:type="dxa"/>
            <w:shd w:val="clear" w:color="auto" w:fill="auto"/>
            <w:vAlign w:val="center"/>
          </w:tcPr>
          <w:p w14:paraId="2F1B7DEE" w14:textId="65A8E49E" w:rsidR="003A650B" w:rsidRPr="00AC27FF" w:rsidRDefault="003A650B" w:rsidP="00235CFF">
            <w:pPr>
              <w:rPr>
                <w:b/>
                <w:bCs/>
                <w:szCs w:val="24"/>
              </w:rPr>
            </w:pPr>
          </w:p>
          <w:p w14:paraId="2F1B7DEF" w14:textId="53396288" w:rsidR="00715C0B" w:rsidRPr="00AC27FF" w:rsidRDefault="003A650B" w:rsidP="00974CC4">
            <w:pPr>
              <w:rPr>
                <w:b/>
                <w:bCs/>
                <w:szCs w:val="24"/>
              </w:rPr>
            </w:pPr>
            <w:r w:rsidRPr="00AC27FF">
              <w:rPr>
                <w:b/>
                <w:bCs/>
                <w:szCs w:val="24"/>
              </w:rPr>
              <w:t>Information Collection Requirements</w:t>
            </w:r>
          </w:p>
        </w:tc>
        <w:tc>
          <w:tcPr>
            <w:tcW w:w="1620" w:type="dxa"/>
            <w:shd w:val="clear" w:color="auto" w:fill="auto"/>
            <w:vAlign w:val="center"/>
          </w:tcPr>
          <w:p w14:paraId="2F1B7DF0" w14:textId="77777777" w:rsidR="003A650B" w:rsidRPr="00AC27FF" w:rsidRDefault="003A650B" w:rsidP="00D87D19">
            <w:pPr>
              <w:rPr>
                <w:b/>
                <w:bCs/>
                <w:szCs w:val="24"/>
              </w:rPr>
            </w:pPr>
          </w:p>
          <w:p w14:paraId="2F1B7DF1" w14:textId="77777777" w:rsidR="003A650B" w:rsidRPr="00AC27FF" w:rsidRDefault="003A650B" w:rsidP="00D87D19">
            <w:pPr>
              <w:rPr>
                <w:b/>
                <w:bCs/>
                <w:szCs w:val="24"/>
              </w:rPr>
            </w:pPr>
            <w:r w:rsidRPr="00AC27FF">
              <w:rPr>
                <w:b/>
                <w:bCs/>
                <w:szCs w:val="24"/>
              </w:rPr>
              <w:t>Number of Respondents</w:t>
            </w:r>
          </w:p>
        </w:tc>
        <w:tc>
          <w:tcPr>
            <w:tcW w:w="1350" w:type="dxa"/>
            <w:vAlign w:val="center"/>
          </w:tcPr>
          <w:p w14:paraId="2F1B7DF2" w14:textId="77777777" w:rsidR="003A650B" w:rsidRPr="00AC27FF" w:rsidRDefault="003A650B" w:rsidP="00D87D19">
            <w:pPr>
              <w:rPr>
                <w:b/>
                <w:bCs/>
                <w:szCs w:val="24"/>
              </w:rPr>
            </w:pPr>
          </w:p>
        </w:tc>
        <w:tc>
          <w:tcPr>
            <w:tcW w:w="1350" w:type="dxa"/>
            <w:shd w:val="clear" w:color="auto" w:fill="auto"/>
            <w:vAlign w:val="center"/>
          </w:tcPr>
          <w:p w14:paraId="2F1B7DF3" w14:textId="77777777" w:rsidR="003A650B" w:rsidRPr="00AC27FF" w:rsidRDefault="003A650B" w:rsidP="00D87D19">
            <w:pPr>
              <w:rPr>
                <w:b/>
                <w:bCs/>
                <w:szCs w:val="24"/>
              </w:rPr>
            </w:pPr>
          </w:p>
          <w:p w14:paraId="2F1B7DF4" w14:textId="77777777" w:rsidR="003A650B" w:rsidRPr="00AC27FF" w:rsidRDefault="003A650B" w:rsidP="00D87D19">
            <w:pPr>
              <w:rPr>
                <w:b/>
                <w:bCs/>
                <w:szCs w:val="24"/>
              </w:rPr>
            </w:pPr>
            <w:r w:rsidRPr="00AC27FF">
              <w:rPr>
                <w:b/>
                <w:bCs/>
                <w:szCs w:val="24"/>
              </w:rPr>
              <w:t>Number of Responses</w:t>
            </w:r>
          </w:p>
          <w:p w14:paraId="2F1B7DF5" w14:textId="77777777" w:rsidR="003A650B" w:rsidRPr="00AC27FF" w:rsidRDefault="003A650B" w:rsidP="00D87D19">
            <w:pPr>
              <w:rPr>
                <w:b/>
                <w:bCs/>
                <w:szCs w:val="24"/>
              </w:rPr>
            </w:pPr>
            <w:r w:rsidRPr="00AC27FF">
              <w:rPr>
                <w:b/>
                <w:bCs/>
                <w:szCs w:val="24"/>
              </w:rPr>
              <w:t>Per Year</w:t>
            </w:r>
          </w:p>
        </w:tc>
        <w:tc>
          <w:tcPr>
            <w:tcW w:w="1440" w:type="dxa"/>
            <w:shd w:val="clear" w:color="auto" w:fill="auto"/>
            <w:vAlign w:val="center"/>
          </w:tcPr>
          <w:p w14:paraId="2F1B7DF6" w14:textId="77777777" w:rsidR="003A650B" w:rsidRPr="00AC27FF" w:rsidRDefault="003A650B" w:rsidP="00D87D19">
            <w:pPr>
              <w:rPr>
                <w:b/>
                <w:bCs/>
                <w:szCs w:val="24"/>
              </w:rPr>
            </w:pPr>
          </w:p>
          <w:p w14:paraId="2F1B7DF7" w14:textId="65013BB6" w:rsidR="003A650B" w:rsidRPr="00AC27FF" w:rsidRDefault="0046244E" w:rsidP="00D87D19">
            <w:pPr>
              <w:rPr>
                <w:b/>
                <w:bCs/>
                <w:szCs w:val="24"/>
              </w:rPr>
            </w:pPr>
            <w:r>
              <w:rPr>
                <w:b/>
                <w:bCs/>
                <w:szCs w:val="24"/>
              </w:rPr>
              <w:t xml:space="preserve">Estimated  Time </w:t>
            </w:r>
            <w:r w:rsidR="003A650B" w:rsidRPr="00AC27FF">
              <w:rPr>
                <w:b/>
                <w:bCs/>
                <w:szCs w:val="24"/>
              </w:rPr>
              <w:t>per</w:t>
            </w:r>
            <w:r>
              <w:rPr>
                <w:b/>
                <w:bCs/>
                <w:szCs w:val="24"/>
              </w:rPr>
              <w:t xml:space="preserve"> </w:t>
            </w:r>
            <w:r w:rsidR="003A650B" w:rsidRPr="00AC27FF">
              <w:rPr>
                <w:b/>
                <w:bCs/>
                <w:szCs w:val="24"/>
              </w:rPr>
              <w:t>Response (hours)</w:t>
            </w:r>
          </w:p>
        </w:tc>
        <w:tc>
          <w:tcPr>
            <w:tcW w:w="1080" w:type="dxa"/>
            <w:shd w:val="clear" w:color="auto" w:fill="auto"/>
            <w:vAlign w:val="center"/>
          </w:tcPr>
          <w:p w14:paraId="2F1B7DF8" w14:textId="77777777" w:rsidR="003A650B" w:rsidRPr="00AC27FF" w:rsidRDefault="003A650B" w:rsidP="00D87D19">
            <w:pPr>
              <w:rPr>
                <w:b/>
                <w:bCs/>
                <w:szCs w:val="24"/>
              </w:rPr>
            </w:pPr>
          </w:p>
          <w:p w14:paraId="2F1B7DF9" w14:textId="77777777" w:rsidR="003A650B" w:rsidRPr="00AC27FF" w:rsidRDefault="003A650B" w:rsidP="00D87D19">
            <w:pPr>
              <w:rPr>
                <w:b/>
                <w:bCs/>
                <w:szCs w:val="24"/>
              </w:rPr>
            </w:pPr>
            <w:r w:rsidRPr="00AC27FF">
              <w:rPr>
                <w:b/>
                <w:bCs/>
                <w:szCs w:val="24"/>
              </w:rPr>
              <w:t>Total Burden Hours</w:t>
            </w:r>
          </w:p>
        </w:tc>
        <w:tc>
          <w:tcPr>
            <w:tcW w:w="1710" w:type="dxa"/>
            <w:shd w:val="clear" w:color="auto" w:fill="auto"/>
            <w:vAlign w:val="center"/>
          </w:tcPr>
          <w:p w14:paraId="2F1B7DFA" w14:textId="77777777" w:rsidR="003A650B" w:rsidRPr="00AC27FF" w:rsidRDefault="003A650B" w:rsidP="00D87D19">
            <w:pPr>
              <w:rPr>
                <w:b/>
                <w:bCs/>
                <w:szCs w:val="24"/>
              </w:rPr>
            </w:pPr>
          </w:p>
          <w:p w14:paraId="2F1B7DFB" w14:textId="77777777" w:rsidR="003A650B" w:rsidRPr="00AC27FF" w:rsidRDefault="007A2719" w:rsidP="00D87D19">
            <w:pPr>
              <w:rPr>
                <w:b/>
                <w:bCs/>
                <w:szCs w:val="24"/>
              </w:rPr>
            </w:pPr>
            <w:r>
              <w:rPr>
                <w:b/>
                <w:bCs/>
                <w:szCs w:val="24"/>
              </w:rPr>
              <w:t>In-house</w:t>
            </w:r>
            <w:r w:rsidR="003A650B" w:rsidRPr="00AC27FF">
              <w:rPr>
                <w:b/>
                <w:bCs/>
                <w:szCs w:val="24"/>
              </w:rPr>
              <w:t xml:space="preserve"> Cost</w:t>
            </w:r>
            <w:r w:rsidR="003A650B">
              <w:rPr>
                <w:b/>
                <w:bCs/>
                <w:szCs w:val="24"/>
              </w:rPr>
              <w:t xml:space="preserve"> to Respondents</w:t>
            </w:r>
          </w:p>
        </w:tc>
      </w:tr>
      <w:tr w:rsidR="00E80B90" w:rsidRPr="00AC27FF" w14:paraId="627209F8" w14:textId="77777777" w:rsidTr="00D87D19">
        <w:trPr>
          <w:cantSplit/>
          <w:trHeight w:val="255"/>
        </w:trPr>
        <w:tc>
          <w:tcPr>
            <w:tcW w:w="2265" w:type="dxa"/>
            <w:shd w:val="clear" w:color="auto" w:fill="auto"/>
            <w:vAlign w:val="center"/>
          </w:tcPr>
          <w:p w14:paraId="20E5C606" w14:textId="6F3BB72E" w:rsidR="00E80B90" w:rsidRDefault="00E80B90" w:rsidP="00235CFF">
            <w:pPr>
              <w:rPr>
                <w:b/>
                <w:bCs/>
                <w:szCs w:val="24"/>
                <w:u w:val="single"/>
              </w:rPr>
            </w:pPr>
            <w:r>
              <w:rPr>
                <w:b/>
                <w:bCs/>
                <w:szCs w:val="24"/>
                <w:u w:val="single"/>
              </w:rPr>
              <w:t xml:space="preserve">a. </w:t>
            </w:r>
            <w:r w:rsidRPr="00EE0B13">
              <w:rPr>
                <w:b/>
                <w:szCs w:val="24"/>
                <w:u w:val="single"/>
              </w:rPr>
              <w:t xml:space="preserve">Reporting of </w:t>
            </w:r>
            <w:r>
              <w:rPr>
                <w:b/>
                <w:szCs w:val="24"/>
                <w:u w:val="single"/>
              </w:rPr>
              <w:t>Cost Consultant Information for Rate-of-Return Carriers</w:t>
            </w:r>
          </w:p>
        </w:tc>
        <w:tc>
          <w:tcPr>
            <w:tcW w:w="1620" w:type="dxa"/>
            <w:shd w:val="clear" w:color="auto" w:fill="auto"/>
            <w:vAlign w:val="center"/>
          </w:tcPr>
          <w:p w14:paraId="29EA88C8" w14:textId="60EF5F76" w:rsidR="00E80B90" w:rsidRDefault="00E80B90" w:rsidP="00D87D19">
            <w:pPr>
              <w:rPr>
                <w:b/>
                <w:szCs w:val="24"/>
              </w:rPr>
            </w:pPr>
            <w:r>
              <w:rPr>
                <w:b/>
                <w:szCs w:val="24"/>
              </w:rPr>
              <w:t>1,141</w:t>
            </w:r>
          </w:p>
        </w:tc>
        <w:tc>
          <w:tcPr>
            <w:tcW w:w="1350" w:type="dxa"/>
            <w:vAlign w:val="center"/>
          </w:tcPr>
          <w:p w14:paraId="258E27C4" w14:textId="77777777" w:rsidR="00E80B90" w:rsidRDefault="00E80B90" w:rsidP="00D87D19">
            <w:pPr>
              <w:rPr>
                <w:b/>
                <w:szCs w:val="24"/>
              </w:rPr>
            </w:pPr>
          </w:p>
        </w:tc>
        <w:tc>
          <w:tcPr>
            <w:tcW w:w="1350" w:type="dxa"/>
            <w:shd w:val="clear" w:color="auto" w:fill="auto"/>
            <w:vAlign w:val="center"/>
          </w:tcPr>
          <w:p w14:paraId="59984C24" w14:textId="1A1AA31F" w:rsidR="00E80B90" w:rsidRDefault="00E80B90" w:rsidP="00D87D19">
            <w:pPr>
              <w:rPr>
                <w:b/>
                <w:szCs w:val="24"/>
              </w:rPr>
            </w:pPr>
            <w:r>
              <w:rPr>
                <w:b/>
                <w:szCs w:val="24"/>
              </w:rPr>
              <w:t>1</w:t>
            </w:r>
          </w:p>
        </w:tc>
        <w:tc>
          <w:tcPr>
            <w:tcW w:w="1440" w:type="dxa"/>
            <w:shd w:val="clear" w:color="auto" w:fill="auto"/>
            <w:vAlign w:val="center"/>
          </w:tcPr>
          <w:p w14:paraId="42ADD4EC" w14:textId="5A2E2687" w:rsidR="00E80B90" w:rsidRDefault="00E80B90" w:rsidP="00D87D19">
            <w:pPr>
              <w:rPr>
                <w:b/>
                <w:szCs w:val="24"/>
              </w:rPr>
            </w:pPr>
            <w:r>
              <w:rPr>
                <w:b/>
                <w:szCs w:val="24"/>
              </w:rPr>
              <w:t>0.1</w:t>
            </w:r>
          </w:p>
        </w:tc>
        <w:tc>
          <w:tcPr>
            <w:tcW w:w="1080" w:type="dxa"/>
            <w:shd w:val="clear" w:color="auto" w:fill="auto"/>
            <w:vAlign w:val="center"/>
          </w:tcPr>
          <w:p w14:paraId="21CE4564" w14:textId="1E2373D9" w:rsidR="00E80B90" w:rsidRDefault="00E80B90" w:rsidP="00D87D19">
            <w:pPr>
              <w:rPr>
                <w:b/>
                <w:szCs w:val="24"/>
              </w:rPr>
            </w:pPr>
            <w:r>
              <w:rPr>
                <w:b/>
                <w:szCs w:val="24"/>
              </w:rPr>
              <w:t>114</w:t>
            </w:r>
          </w:p>
        </w:tc>
        <w:tc>
          <w:tcPr>
            <w:tcW w:w="1710" w:type="dxa"/>
            <w:shd w:val="clear" w:color="auto" w:fill="auto"/>
            <w:vAlign w:val="center"/>
          </w:tcPr>
          <w:p w14:paraId="0148D723" w14:textId="512006BA" w:rsidR="00E80B90" w:rsidRPr="00AC27FF" w:rsidRDefault="00E80B90" w:rsidP="00D87D19">
            <w:pPr>
              <w:rPr>
                <w:b/>
                <w:szCs w:val="24"/>
              </w:rPr>
            </w:pPr>
            <w:r>
              <w:rPr>
                <w:b/>
                <w:szCs w:val="24"/>
              </w:rPr>
              <w:t>$4,564</w:t>
            </w:r>
          </w:p>
        </w:tc>
      </w:tr>
      <w:tr w:rsidR="00E80B90" w:rsidRPr="00AC27FF" w14:paraId="1DFEE0E2" w14:textId="77777777" w:rsidTr="00D87D19">
        <w:trPr>
          <w:cantSplit/>
          <w:trHeight w:val="255"/>
        </w:trPr>
        <w:tc>
          <w:tcPr>
            <w:tcW w:w="2265" w:type="dxa"/>
            <w:shd w:val="clear" w:color="auto" w:fill="auto"/>
            <w:vAlign w:val="center"/>
          </w:tcPr>
          <w:p w14:paraId="13A4B5D7" w14:textId="3DACC574" w:rsidR="00E80B90" w:rsidRPr="00AC27FF" w:rsidRDefault="00E80B90" w:rsidP="00235CFF">
            <w:pPr>
              <w:rPr>
                <w:b/>
                <w:bCs/>
                <w:szCs w:val="24"/>
                <w:u w:val="single"/>
              </w:rPr>
            </w:pPr>
            <w:r w:rsidRPr="00AC27FF">
              <w:rPr>
                <w:b/>
                <w:bCs/>
                <w:szCs w:val="24"/>
                <w:u w:val="single"/>
              </w:rPr>
              <w:br/>
            </w:r>
            <w:r>
              <w:rPr>
                <w:b/>
                <w:bCs/>
                <w:szCs w:val="24"/>
                <w:u w:val="single"/>
              </w:rPr>
              <w:t>b</w:t>
            </w:r>
            <w:r w:rsidRPr="00AC27FF">
              <w:rPr>
                <w:b/>
                <w:bCs/>
                <w:szCs w:val="24"/>
                <w:u w:val="single"/>
              </w:rPr>
              <w:t xml:space="preserve">. </w:t>
            </w:r>
            <w:r>
              <w:rPr>
                <w:b/>
                <w:bCs/>
                <w:szCs w:val="24"/>
                <w:u w:val="single"/>
              </w:rPr>
              <w:t>Annual Reporting Requirements for All Funding Recipients</w:t>
            </w:r>
          </w:p>
        </w:tc>
        <w:tc>
          <w:tcPr>
            <w:tcW w:w="1620" w:type="dxa"/>
            <w:shd w:val="clear" w:color="auto" w:fill="auto"/>
            <w:vAlign w:val="center"/>
          </w:tcPr>
          <w:p w14:paraId="30E0A3E4" w14:textId="77777777" w:rsidR="00E80B90" w:rsidRPr="00AC27FF" w:rsidRDefault="00E80B90" w:rsidP="00D87D19">
            <w:pPr>
              <w:rPr>
                <w:b/>
                <w:szCs w:val="24"/>
              </w:rPr>
            </w:pPr>
            <w:r>
              <w:rPr>
                <w:b/>
                <w:szCs w:val="24"/>
              </w:rPr>
              <w:t>1,877</w:t>
            </w:r>
          </w:p>
        </w:tc>
        <w:tc>
          <w:tcPr>
            <w:tcW w:w="1350" w:type="dxa"/>
            <w:vAlign w:val="center"/>
          </w:tcPr>
          <w:p w14:paraId="34FC30CE" w14:textId="77777777" w:rsidR="00E80B90" w:rsidRPr="00AC27FF" w:rsidRDefault="00E80B90" w:rsidP="00D87D19">
            <w:pPr>
              <w:rPr>
                <w:b/>
                <w:szCs w:val="24"/>
              </w:rPr>
            </w:pPr>
          </w:p>
        </w:tc>
        <w:tc>
          <w:tcPr>
            <w:tcW w:w="1350" w:type="dxa"/>
            <w:shd w:val="clear" w:color="auto" w:fill="auto"/>
            <w:vAlign w:val="center"/>
          </w:tcPr>
          <w:p w14:paraId="49E9138B" w14:textId="77777777" w:rsidR="00E80B90" w:rsidRPr="00AC27FF" w:rsidRDefault="00E80B90" w:rsidP="00D87D19">
            <w:pPr>
              <w:rPr>
                <w:b/>
                <w:szCs w:val="24"/>
              </w:rPr>
            </w:pPr>
            <w:r>
              <w:rPr>
                <w:b/>
                <w:szCs w:val="24"/>
              </w:rPr>
              <w:t>1</w:t>
            </w:r>
          </w:p>
        </w:tc>
        <w:tc>
          <w:tcPr>
            <w:tcW w:w="1440" w:type="dxa"/>
            <w:shd w:val="clear" w:color="auto" w:fill="auto"/>
            <w:vAlign w:val="center"/>
          </w:tcPr>
          <w:p w14:paraId="0D9FAAFE" w14:textId="77777777" w:rsidR="00E80B90" w:rsidRPr="00AC27FF" w:rsidRDefault="00E80B90" w:rsidP="00D87D19">
            <w:pPr>
              <w:rPr>
                <w:b/>
                <w:szCs w:val="24"/>
              </w:rPr>
            </w:pPr>
            <w:r>
              <w:rPr>
                <w:b/>
                <w:szCs w:val="24"/>
              </w:rPr>
              <w:t>5</w:t>
            </w:r>
          </w:p>
        </w:tc>
        <w:tc>
          <w:tcPr>
            <w:tcW w:w="1080" w:type="dxa"/>
            <w:shd w:val="clear" w:color="auto" w:fill="auto"/>
            <w:vAlign w:val="center"/>
          </w:tcPr>
          <w:p w14:paraId="416F908A" w14:textId="77777777" w:rsidR="00E80B90" w:rsidRPr="00AC27FF" w:rsidRDefault="00E80B90" w:rsidP="00D87D19">
            <w:pPr>
              <w:rPr>
                <w:b/>
                <w:szCs w:val="24"/>
              </w:rPr>
            </w:pPr>
            <w:r>
              <w:rPr>
                <w:b/>
                <w:szCs w:val="24"/>
              </w:rPr>
              <w:t>9,385</w:t>
            </w:r>
          </w:p>
        </w:tc>
        <w:tc>
          <w:tcPr>
            <w:tcW w:w="1710" w:type="dxa"/>
            <w:shd w:val="clear" w:color="auto" w:fill="auto"/>
            <w:vAlign w:val="center"/>
          </w:tcPr>
          <w:p w14:paraId="7008D5CC" w14:textId="77777777" w:rsidR="00E80B90" w:rsidRPr="00AC27FF" w:rsidRDefault="00E80B90" w:rsidP="00D87D19">
            <w:pPr>
              <w:rPr>
                <w:b/>
                <w:szCs w:val="24"/>
              </w:rPr>
            </w:pPr>
            <w:r w:rsidRPr="00AC27FF">
              <w:rPr>
                <w:b/>
                <w:szCs w:val="24"/>
              </w:rPr>
              <w:t>$</w:t>
            </w:r>
            <w:r>
              <w:rPr>
                <w:b/>
                <w:szCs w:val="24"/>
              </w:rPr>
              <w:t>375,400</w:t>
            </w:r>
          </w:p>
        </w:tc>
      </w:tr>
      <w:tr w:rsidR="00E80B90" w:rsidRPr="00AC27FF" w14:paraId="6F3FF1B3" w14:textId="77777777" w:rsidTr="00D87D19">
        <w:trPr>
          <w:cantSplit/>
          <w:trHeight w:val="255"/>
        </w:trPr>
        <w:tc>
          <w:tcPr>
            <w:tcW w:w="2265" w:type="dxa"/>
            <w:shd w:val="clear" w:color="auto" w:fill="auto"/>
            <w:vAlign w:val="center"/>
          </w:tcPr>
          <w:p w14:paraId="54CBF0A2" w14:textId="77777777" w:rsidR="00E80B90" w:rsidRDefault="00E80B90" w:rsidP="00235CFF">
            <w:pPr>
              <w:rPr>
                <w:b/>
                <w:szCs w:val="24"/>
                <w:u w:val="single"/>
              </w:rPr>
            </w:pPr>
          </w:p>
          <w:p w14:paraId="2EDB6080" w14:textId="539D4813" w:rsidR="00E80B90" w:rsidRPr="00AC27FF" w:rsidRDefault="00E80B90" w:rsidP="00974CC4">
            <w:pPr>
              <w:rPr>
                <w:b/>
                <w:szCs w:val="24"/>
                <w:u w:val="single"/>
              </w:rPr>
            </w:pPr>
            <w:r>
              <w:rPr>
                <w:b/>
                <w:szCs w:val="24"/>
                <w:u w:val="single"/>
              </w:rPr>
              <w:t>c</w:t>
            </w:r>
            <w:r w:rsidRPr="00AC27FF">
              <w:rPr>
                <w:b/>
                <w:szCs w:val="24"/>
                <w:u w:val="single"/>
              </w:rPr>
              <w:t xml:space="preserve">. </w:t>
            </w:r>
            <w:r>
              <w:rPr>
                <w:b/>
                <w:szCs w:val="24"/>
                <w:u w:val="single"/>
              </w:rPr>
              <w:t>Capital Operating Expense Data for Phase II Model-Based Support Recipients</w:t>
            </w:r>
          </w:p>
        </w:tc>
        <w:tc>
          <w:tcPr>
            <w:tcW w:w="1620" w:type="dxa"/>
            <w:shd w:val="clear" w:color="auto" w:fill="auto"/>
            <w:vAlign w:val="center"/>
          </w:tcPr>
          <w:p w14:paraId="3111ECB0" w14:textId="53E2F437" w:rsidR="00E80B90" w:rsidRPr="00AC27FF" w:rsidRDefault="00E80B90" w:rsidP="00D87D19">
            <w:pPr>
              <w:rPr>
                <w:b/>
                <w:szCs w:val="24"/>
              </w:rPr>
            </w:pPr>
            <w:r>
              <w:rPr>
                <w:b/>
                <w:szCs w:val="24"/>
              </w:rPr>
              <w:t>9</w:t>
            </w:r>
          </w:p>
        </w:tc>
        <w:tc>
          <w:tcPr>
            <w:tcW w:w="1350" w:type="dxa"/>
            <w:vAlign w:val="center"/>
          </w:tcPr>
          <w:p w14:paraId="17B1DBC7" w14:textId="77777777" w:rsidR="00E80B90" w:rsidRPr="00AC27FF" w:rsidRDefault="00E80B90" w:rsidP="00D87D19">
            <w:pPr>
              <w:rPr>
                <w:b/>
                <w:szCs w:val="24"/>
              </w:rPr>
            </w:pPr>
          </w:p>
        </w:tc>
        <w:tc>
          <w:tcPr>
            <w:tcW w:w="1350" w:type="dxa"/>
            <w:shd w:val="clear" w:color="auto" w:fill="auto"/>
            <w:vAlign w:val="center"/>
          </w:tcPr>
          <w:p w14:paraId="1D4931D8" w14:textId="77777777" w:rsidR="00E80B90" w:rsidRPr="00AC27FF" w:rsidRDefault="00E80B90" w:rsidP="00D87D19">
            <w:pPr>
              <w:rPr>
                <w:b/>
                <w:szCs w:val="24"/>
              </w:rPr>
            </w:pPr>
            <w:r>
              <w:rPr>
                <w:b/>
                <w:szCs w:val="24"/>
              </w:rPr>
              <w:t>1</w:t>
            </w:r>
          </w:p>
        </w:tc>
        <w:tc>
          <w:tcPr>
            <w:tcW w:w="1440" w:type="dxa"/>
            <w:shd w:val="clear" w:color="auto" w:fill="auto"/>
            <w:vAlign w:val="center"/>
          </w:tcPr>
          <w:p w14:paraId="1C09E910" w14:textId="44BFD0B9" w:rsidR="00E80B90" w:rsidRPr="00AC27FF" w:rsidRDefault="00E80B90" w:rsidP="00D87D19">
            <w:pPr>
              <w:rPr>
                <w:b/>
                <w:szCs w:val="24"/>
              </w:rPr>
            </w:pPr>
            <w:r>
              <w:rPr>
                <w:b/>
                <w:szCs w:val="24"/>
              </w:rPr>
              <w:t>1</w:t>
            </w:r>
          </w:p>
        </w:tc>
        <w:tc>
          <w:tcPr>
            <w:tcW w:w="1080" w:type="dxa"/>
            <w:shd w:val="clear" w:color="auto" w:fill="auto"/>
            <w:vAlign w:val="center"/>
          </w:tcPr>
          <w:p w14:paraId="433ECA21" w14:textId="0DB734E2" w:rsidR="00E80B90" w:rsidRPr="00AC27FF" w:rsidRDefault="00E80B90" w:rsidP="00D87D19">
            <w:pPr>
              <w:rPr>
                <w:b/>
                <w:szCs w:val="24"/>
              </w:rPr>
            </w:pPr>
            <w:r>
              <w:rPr>
                <w:b/>
                <w:szCs w:val="24"/>
              </w:rPr>
              <w:t>9</w:t>
            </w:r>
          </w:p>
        </w:tc>
        <w:tc>
          <w:tcPr>
            <w:tcW w:w="1710" w:type="dxa"/>
            <w:shd w:val="clear" w:color="auto" w:fill="auto"/>
            <w:vAlign w:val="center"/>
          </w:tcPr>
          <w:p w14:paraId="5ADD1A1F" w14:textId="48747640" w:rsidR="00E80B90" w:rsidRPr="00AC27FF" w:rsidRDefault="00E80B90" w:rsidP="00D87D19">
            <w:pPr>
              <w:rPr>
                <w:b/>
                <w:szCs w:val="24"/>
              </w:rPr>
            </w:pPr>
            <w:r w:rsidRPr="00AC27FF">
              <w:rPr>
                <w:b/>
                <w:szCs w:val="24"/>
              </w:rPr>
              <w:t>$</w:t>
            </w:r>
            <w:r>
              <w:rPr>
                <w:b/>
                <w:szCs w:val="24"/>
              </w:rPr>
              <w:t>360</w:t>
            </w:r>
          </w:p>
        </w:tc>
      </w:tr>
      <w:tr w:rsidR="00E80B90" w:rsidRPr="00AC27FF" w14:paraId="29735820" w14:textId="77777777" w:rsidTr="00D87D19">
        <w:trPr>
          <w:cantSplit/>
          <w:trHeight w:val="1200"/>
        </w:trPr>
        <w:tc>
          <w:tcPr>
            <w:tcW w:w="2265" w:type="dxa"/>
            <w:shd w:val="clear" w:color="auto" w:fill="auto"/>
            <w:vAlign w:val="center"/>
          </w:tcPr>
          <w:p w14:paraId="2C57896E" w14:textId="77777777" w:rsidR="00E80B90" w:rsidRDefault="00E80B90" w:rsidP="00235CFF">
            <w:pPr>
              <w:rPr>
                <w:b/>
                <w:bCs/>
                <w:szCs w:val="24"/>
                <w:u w:val="single"/>
              </w:rPr>
            </w:pPr>
          </w:p>
          <w:p w14:paraId="354005D2" w14:textId="28406523" w:rsidR="00E80B90" w:rsidRPr="00D87D19" w:rsidRDefault="00E80B90" w:rsidP="00974CC4">
            <w:pPr>
              <w:rPr>
                <w:b/>
              </w:rPr>
            </w:pPr>
            <w:r>
              <w:rPr>
                <w:b/>
                <w:bCs/>
                <w:szCs w:val="24"/>
                <w:u w:val="single"/>
              </w:rPr>
              <w:t>d</w:t>
            </w:r>
            <w:r w:rsidRPr="00C25A16">
              <w:rPr>
                <w:b/>
                <w:bCs/>
                <w:szCs w:val="24"/>
                <w:u w:val="single"/>
              </w:rPr>
              <w:t>. E-Rate Certification for Phase II Model-Based Support Recipients and Rate-of-Return Carrier High-Cost Recipients</w:t>
            </w:r>
          </w:p>
        </w:tc>
        <w:tc>
          <w:tcPr>
            <w:tcW w:w="1620" w:type="dxa"/>
            <w:shd w:val="clear" w:color="auto" w:fill="auto"/>
            <w:vAlign w:val="center"/>
          </w:tcPr>
          <w:p w14:paraId="742C205A" w14:textId="4974C0DD" w:rsidR="00E80B90" w:rsidRPr="00AC27FF" w:rsidRDefault="00E80B90" w:rsidP="00D87D19">
            <w:pPr>
              <w:rPr>
                <w:b/>
                <w:szCs w:val="24"/>
              </w:rPr>
            </w:pPr>
            <w:r>
              <w:rPr>
                <w:b/>
                <w:szCs w:val="24"/>
              </w:rPr>
              <w:t>1,150</w:t>
            </w:r>
          </w:p>
        </w:tc>
        <w:tc>
          <w:tcPr>
            <w:tcW w:w="1350" w:type="dxa"/>
            <w:vAlign w:val="center"/>
          </w:tcPr>
          <w:p w14:paraId="5BE21F72" w14:textId="77777777" w:rsidR="00E80B90" w:rsidRPr="00AC27FF" w:rsidRDefault="00E80B90" w:rsidP="00D87D19">
            <w:pPr>
              <w:rPr>
                <w:b/>
                <w:szCs w:val="24"/>
              </w:rPr>
            </w:pPr>
          </w:p>
        </w:tc>
        <w:tc>
          <w:tcPr>
            <w:tcW w:w="1350" w:type="dxa"/>
            <w:shd w:val="clear" w:color="auto" w:fill="auto"/>
            <w:vAlign w:val="center"/>
          </w:tcPr>
          <w:p w14:paraId="0CDD30E8" w14:textId="77777777" w:rsidR="00E80B90" w:rsidRPr="00AC27FF" w:rsidRDefault="00E80B90" w:rsidP="00D87D19">
            <w:pPr>
              <w:rPr>
                <w:b/>
                <w:szCs w:val="24"/>
              </w:rPr>
            </w:pPr>
            <w:r>
              <w:rPr>
                <w:b/>
                <w:szCs w:val="24"/>
              </w:rPr>
              <w:t>1</w:t>
            </w:r>
          </w:p>
        </w:tc>
        <w:tc>
          <w:tcPr>
            <w:tcW w:w="1440" w:type="dxa"/>
            <w:shd w:val="clear" w:color="auto" w:fill="auto"/>
            <w:vAlign w:val="center"/>
          </w:tcPr>
          <w:p w14:paraId="1CA9FB9E" w14:textId="1F17AD43" w:rsidR="00E80B90" w:rsidRPr="00AC27FF" w:rsidRDefault="00E80B90" w:rsidP="00D87D19">
            <w:pPr>
              <w:rPr>
                <w:b/>
                <w:szCs w:val="24"/>
              </w:rPr>
            </w:pPr>
            <w:r>
              <w:rPr>
                <w:b/>
                <w:szCs w:val="24"/>
              </w:rPr>
              <w:t>2</w:t>
            </w:r>
          </w:p>
        </w:tc>
        <w:tc>
          <w:tcPr>
            <w:tcW w:w="1080" w:type="dxa"/>
            <w:shd w:val="clear" w:color="auto" w:fill="auto"/>
            <w:vAlign w:val="center"/>
          </w:tcPr>
          <w:p w14:paraId="40268CE1" w14:textId="6A5EA80C" w:rsidR="00E80B90" w:rsidRPr="00AC27FF" w:rsidRDefault="00E80B90" w:rsidP="00D87D19">
            <w:pPr>
              <w:rPr>
                <w:b/>
                <w:szCs w:val="24"/>
              </w:rPr>
            </w:pPr>
            <w:r>
              <w:rPr>
                <w:b/>
                <w:szCs w:val="24"/>
              </w:rPr>
              <w:t>2,300</w:t>
            </w:r>
          </w:p>
        </w:tc>
        <w:tc>
          <w:tcPr>
            <w:tcW w:w="1710" w:type="dxa"/>
            <w:shd w:val="clear" w:color="auto" w:fill="auto"/>
            <w:vAlign w:val="center"/>
          </w:tcPr>
          <w:p w14:paraId="21F75B39" w14:textId="4C61C3DA" w:rsidR="00E80B90" w:rsidRPr="00AC27FF" w:rsidRDefault="00E80B90" w:rsidP="00D87D19">
            <w:pPr>
              <w:rPr>
                <w:b/>
                <w:szCs w:val="24"/>
              </w:rPr>
            </w:pPr>
            <w:r w:rsidRPr="00AC27FF">
              <w:rPr>
                <w:b/>
                <w:szCs w:val="24"/>
              </w:rPr>
              <w:t>$</w:t>
            </w:r>
            <w:r>
              <w:rPr>
                <w:b/>
                <w:szCs w:val="24"/>
              </w:rPr>
              <w:t>92,000</w:t>
            </w:r>
          </w:p>
        </w:tc>
      </w:tr>
      <w:tr w:rsidR="00E80B90" w:rsidRPr="00AC27FF" w14:paraId="7BFC77A9" w14:textId="77777777" w:rsidTr="00D87D19">
        <w:trPr>
          <w:cantSplit/>
          <w:trHeight w:val="1215"/>
        </w:trPr>
        <w:tc>
          <w:tcPr>
            <w:tcW w:w="2265" w:type="dxa"/>
            <w:shd w:val="clear" w:color="auto" w:fill="auto"/>
            <w:vAlign w:val="center"/>
          </w:tcPr>
          <w:p w14:paraId="7EADF978" w14:textId="77777777" w:rsidR="00E80B90" w:rsidRDefault="00E80B90" w:rsidP="00235CFF">
            <w:pPr>
              <w:rPr>
                <w:b/>
                <w:bCs/>
                <w:szCs w:val="24"/>
                <w:u w:val="single"/>
              </w:rPr>
            </w:pPr>
          </w:p>
          <w:p w14:paraId="7348743D" w14:textId="07CA76AB" w:rsidR="00E80B90" w:rsidRPr="006055E9" w:rsidRDefault="00E80B90" w:rsidP="00974CC4">
            <w:pPr>
              <w:rPr>
                <w:b/>
                <w:bCs/>
                <w:szCs w:val="24"/>
                <w:u w:val="single"/>
              </w:rPr>
            </w:pPr>
            <w:r>
              <w:rPr>
                <w:b/>
                <w:bCs/>
                <w:szCs w:val="24"/>
                <w:u w:val="single"/>
              </w:rPr>
              <w:t>e</w:t>
            </w:r>
            <w:r w:rsidRPr="00AC27FF">
              <w:rPr>
                <w:b/>
                <w:bCs/>
                <w:szCs w:val="24"/>
                <w:u w:val="single"/>
              </w:rPr>
              <w:t xml:space="preserve">. </w:t>
            </w:r>
            <w:r>
              <w:rPr>
                <w:b/>
                <w:bCs/>
                <w:szCs w:val="24"/>
                <w:u w:val="single"/>
              </w:rPr>
              <w:t>Connect America Fund Phase II Requirements</w:t>
            </w:r>
          </w:p>
        </w:tc>
        <w:tc>
          <w:tcPr>
            <w:tcW w:w="1620" w:type="dxa"/>
            <w:shd w:val="clear" w:color="auto" w:fill="auto"/>
            <w:vAlign w:val="center"/>
          </w:tcPr>
          <w:p w14:paraId="3DA04DE8" w14:textId="77777777" w:rsidR="00E80B90" w:rsidRPr="00AC27FF" w:rsidRDefault="00E80B90" w:rsidP="00D87D19">
            <w:pPr>
              <w:rPr>
                <w:b/>
                <w:szCs w:val="24"/>
              </w:rPr>
            </w:pPr>
            <w:r>
              <w:rPr>
                <w:b/>
                <w:szCs w:val="24"/>
              </w:rPr>
              <w:t>9</w:t>
            </w:r>
          </w:p>
        </w:tc>
        <w:tc>
          <w:tcPr>
            <w:tcW w:w="1350" w:type="dxa"/>
            <w:vAlign w:val="center"/>
          </w:tcPr>
          <w:p w14:paraId="49D99FF6" w14:textId="4B53B6C9" w:rsidR="00E80B90" w:rsidRDefault="00E80B90" w:rsidP="00D87D19">
            <w:pPr>
              <w:rPr>
                <w:b/>
                <w:szCs w:val="24"/>
              </w:rPr>
            </w:pPr>
          </w:p>
        </w:tc>
        <w:tc>
          <w:tcPr>
            <w:tcW w:w="1350" w:type="dxa"/>
            <w:shd w:val="clear" w:color="auto" w:fill="auto"/>
            <w:vAlign w:val="center"/>
          </w:tcPr>
          <w:p w14:paraId="3CDA82AC" w14:textId="77777777" w:rsidR="00E80B90" w:rsidRPr="00F41E78" w:rsidRDefault="00E80B90" w:rsidP="00D87D19">
            <w:pPr>
              <w:rPr>
                <w:b/>
              </w:rPr>
            </w:pPr>
            <w:r>
              <w:rPr>
                <w:b/>
              </w:rPr>
              <w:t>1</w:t>
            </w:r>
          </w:p>
        </w:tc>
        <w:tc>
          <w:tcPr>
            <w:tcW w:w="1440" w:type="dxa"/>
            <w:shd w:val="clear" w:color="auto" w:fill="auto"/>
            <w:vAlign w:val="center"/>
          </w:tcPr>
          <w:p w14:paraId="25D3E650" w14:textId="77777777" w:rsidR="00E80B90" w:rsidRPr="00C01F34" w:rsidRDefault="00E80B90" w:rsidP="00D87D19">
            <w:pPr>
              <w:rPr>
                <w:b/>
                <w:szCs w:val="24"/>
              </w:rPr>
            </w:pPr>
            <w:r>
              <w:rPr>
                <w:b/>
                <w:szCs w:val="24"/>
              </w:rPr>
              <w:t>2</w:t>
            </w:r>
          </w:p>
        </w:tc>
        <w:tc>
          <w:tcPr>
            <w:tcW w:w="1080" w:type="dxa"/>
            <w:shd w:val="clear" w:color="auto" w:fill="auto"/>
            <w:vAlign w:val="center"/>
          </w:tcPr>
          <w:p w14:paraId="4D375F22" w14:textId="77777777" w:rsidR="00E80B90" w:rsidRPr="00AC27FF" w:rsidRDefault="00E80B90" w:rsidP="00D87D19">
            <w:pPr>
              <w:rPr>
                <w:b/>
                <w:szCs w:val="24"/>
              </w:rPr>
            </w:pPr>
            <w:r>
              <w:rPr>
                <w:b/>
                <w:szCs w:val="24"/>
              </w:rPr>
              <w:t>18</w:t>
            </w:r>
          </w:p>
        </w:tc>
        <w:tc>
          <w:tcPr>
            <w:tcW w:w="1710" w:type="dxa"/>
            <w:shd w:val="clear" w:color="auto" w:fill="auto"/>
            <w:vAlign w:val="center"/>
          </w:tcPr>
          <w:p w14:paraId="60496D8C" w14:textId="77777777" w:rsidR="00E80B90" w:rsidRPr="00AC27FF" w:rsidRDefault="00E80B90" w:rsidP="00D87D19">
            <w:pPr>
              <w:rPr>
                <w:b/>
                <w:szCs w:val="24"/>
              </w:rPr>
            </w:pPr>
            <w:r w:rsidRPr="00AC27FF">
              <w:rPr>
                <w:b/>
                <w:szCs w:val="24"/>
              </w:rPr>
              <w:t>$</w:t>
            </w:r>
            <w:r>
              <w:rPr>
                <w:b/>
                <w:szCs w:val="24"/>
              </w:rPr>
              <w:t>720</w:t>
            </w:r>
          </w:p>
        </w:tc>
      </w:tr>
      <w:tr w:rsidR="00E80B90" w:rsidRPr="00AC27FF" w14:paraId="5B3A3D8A" w14:textId="77777777" w:rsidTr="00D87D19">
        <w:trPr>
          <w:cantSplit/>
          <w:trHeight w:val="423"/>
        </w:trPr>
        <w:tc>
          <w:tcPr>
            <w:tcW w:w="2265" w:type="dxa"/>
            <w:shd w:val="clear" w:color="auto" w:fill="auto"/>
            <w:vAlign w:val="center"/>
          </w:tcPr>
          <w:p w14:paraId="1F878C80" w14:textId="77777777" w:rsidR="00E80B90" w:rsidRDefault="00E80B90" w:rsidP="00235CFF">
            <w:pPr>
              <w:rPr>
                <w:b/>
                <w:bCs/>
                <w:szCs w:val="24"/>
                <w:u w:val="single"/>
              </w:rPr>
            </w:pPr>
          </w:p>
        </w:tc>
        <w:tc>
          <w:tcPr>
            <w:tcW w:w="1620" w:type="dxa"/>
            <w:shd w:val="clear" w:color="auto" w:fill="auto"/>
            <w:vAlign w:val="center"/>
          </w:tcPr>
          <w:p w14:paraId="2E25D8F4" w14:textId="77777777" w:rsidR="00E80B90" w:rsidRDefault="00E80B90" w:rsidP="00D87D19">
            <w:pPr>
              <w:rPr>
                <w:b/>
                <w:szCs w:val="24"/>
              </w:rPr>
            </w:pPr>
          </w:p>
        </w:tc>
        <w:tc>
          <w:tcPr>
            <w:tcW w:w="1350" w:type="dxa"/>
            <w:vAlign w:val="center"/>
          </w:tcPr>
          <w:p w14:paraId="7D00C2EE" w14:textId="77777777" w:rsidR="00E80B90" w:rsidRDefault="00E80B90" w:rsidP="00D87D19">
            <w:pPr>
              <w:rPr>
                <w:b/>
                <w:szCs w:val="24"/>
              </w:rPr>
            </w:pPr>
          </w:p>
        </w:tc>
        <w:tc>
          <w:tcPr>
            <w:tcW w:w="1350" w:type="dxa"/>
            <w:shd w:val="clear" w:color="auto" w:fill="auto"/>
            <w:vAlign w:val="center"/>
          </w:tcPr>
          <w:p w14:paraId="214330CE" w14:textId="77777777" w:rsidR="00E80B90" w:rsidRPr="00C01F34" w:rsidRDefault="00E80B90" w:rsidP="00235CFF">
            <w:pPr>
              <w:rPr>
                <w:b/>
                <w:szCs w:val="24"/>
              </w:rPr>
            </w:pPr>
          </w:p>
        </w:tc>
        <w:tc>
          <w:tcPr>
            <w:tcW w:w="1440" w:type="dxa"/>
            <w:shd w:val="clear" w:color="auto" w:fill="auto"/>
            <w:vAlign w:val="center"/>
          </w:tcPr>
          <w:p w14:paraId="29B40A8E" w14:textId="77777777" w:rsidR="00E80B90" w:rsidRDefault="00E80B90" w:rsidP="00D87D19">
            <w:pPr>
              <w:rPr>
                <w:b/>
                <w:szCs w:val="24"/>
              </w:rPr>
            </w:pPr>
          </w:p>
        </w:tc>
        <w:tc>
          <w:tcPr>
            <w:tcW w:w="1080" w:type="dxa"/>
            <w:shd w:val="clear" w:color="auto" w:fill="auto"/>
            <w:vAlign w:val="center"/>
          </w:tcPr>
          <w:p w14:paraId="7B05BA81" w14:textId="77777777" w:rsidR="00E80B90" w:rsidRDefault="00E80B90" w:rsidP="00D87D19">
            <w:pPr>
              <w:rPr>
                <w:b/>
                <w:szCs w:val="24"/>
              </w:rPr>
            </w:pPr>
          </w:p>
        </w:tc>
        <w:tc>
          <w:tcPr>
            <w:tcW w:w="1710" w:type="dxa"/>
            <w:shd w:val="clear" w:color="auto" w:fill="auto"/>
            <w:vAlign w:val="center"/>
          </w:tcPr>
          <w:p w14:paraId="25D0EDA9" w14:textId="77777777" w:rsidR="00E80B90" w:rsidRPr="00AC27FF" w:rsidRDefault="00E80B90" w:rsidP="00D87D19">
            <w:pPr>
              <w:rPr>
                <w:b/>
                <w:szCs w:val="24"/>
              </w:rPr>
            </w:pPr>
          </w:p>
        </w:tc>
      </w:tr>
      <w:tr w:rsidR="00E80B90" w:rsidRPr="00AC27FF" w14:paraId="214198D4" w14:textId="77777777" w:rsidTr="00D87D19">
        <w:trPr>
          <w:cantSplit/>
          <w:trHeight w:val="480"/>
        </w:trPr>
        <w:tc>
          <w:tcPr>
            <w:tcW w:w="2265" w:type="dxa"/>
            <w:shd w:val="clear" w:color="auto" w:fill="auto"/>
            <w:vAlign w:val="center"/>
          </w:tcPr>
          <w:p w14:paraId="174C02AB" w14:textId="334402DD" w:rsidR="00E80B90" w:rsidRPr="00AC27FF" w:rsidRDefault="00E80B90" w:rsidP="00235CFF">
            <w:pPr>
              <w:rPr>
                <w:b/>
                <w:bCs/>
                <w:szCs w:val="24"/>
                <w:u w:val="single"/>
              </w:rPr>
            </w:pPr>
            <w:r>
              <w:rPr>
                <w:b/>
                <w:bCs/>
                <w:szCs w:val="24"/>
                <w:u w:val="single"/>
              </w:rPr>
              <w:t>f</w:t>
            </w:r>
            <w:r w:rsidRPr="00AC27FF">
              <w:rPr>
                <w:b/>
                <w:bCs/>
                <w:szCs w:val="24"/>
                <w:u w:val="single"/>
              </w:rPr>
              <w:t xml:space="preserve">. </w:t>
            </w:r>
            <w:r>
              <w:rPr>
                <w:b/>
                <w:bCs/>
                <w:szCs w:val="24"/>
                <w:u w:val="single"/>
              </w:rPr>
              <w:t>Rate-of-Return Carrier Requirements</w:t>
            </w:r>
          </w:p>
        </w:tc>
        <w:tc>
          <w:tcPr>
            <w:tcW w:w="1620" w:type="dxa"/>
            <w:shd w:val="clear" w:color="auto" w:fill="auto"/>
            <w:vAlign w:val="center"/>
          </w:tcPr>
          <w:p w14:paraId="5A0F2340" w14:textId="77777777" w:rsidR="00E80B90" w:rsidRPr="00AC27FF" w:rsidRDefault="00E80B90" w:rsidP="00D87D19">
            <w:pPr>
              <w:rPr>
                <w:b/>
                <w:szCs w:val="24"/>
              </w:rPr>
            </w:pPr>
            <w:r>
              <w:rPr>
                <w:b/>
                <w:szCs w:val="24"/>
              </w:rPr>
              <w:t>1,141</w:t>
            </w:r>
          </w:p>
        </w:tc>
        <w:tc>
          <w:tcPr>
            <w:tcW w:w="1350" w:type="dxa"/>
            <w:vAlign w:val="center"/>
          </w:tcPr>
          <w:p w14:paraId="11C832E2" w14:textId="532E9E1E" w:rsidR="00E80B90" w:rsidRDefault="00E80B90" w:rsidP="00D87D19">
            <w:pPr>
              <w:rPr>
                <w:b/>
                <w:szCs w:val="24"/>
              </w:rPr>
            </w:pPr>
          </w:p>
        </w:tc>
        <w:tc>
          <w:tcPr>
            <w:tcW w:w="1350" w:type="dxa"/>
            <w:shd w:val="clear" w:color="auto" w:fill="auto"/>
            <w:vAlign w:val="center"/>
          </w:tcPr>
          <w:p w14:paraId="4854B967" w14:textId="77777777" w:rsidR="00E80B90" w:rsidRPr="00C01F34" w:rsidRDefault="00E80B90" w:rsidP="00D87D19">
            <w:pPr>
              <w:rPr>
                <w:b/>
                <w:szCs w:val="24"/>
              </w:rPr>
            </w:pPr>
            <w:r>
              <w:rPr>
                <w:b/>
                <w:szCs w:val="24"/>
              </w:rPr>
              <w:t>1</w:t>
            </w:r>
          </w:p>
        </w:tc>
        <w:tc>
          <w:tcPr>
            <w:tcW w:w="1440" w:type="dxa"/>
            <w:shd w:val="clear" w:color="auto" w:fill="auto"/>
            <w:vAlign w:val="center"/>
          </w:tcPr>
          <w:p w14:paraId="7559922F" w14:textId="77777777" w:rsidR="00E80B90" w:rsidRPr="00C01F34" w:rsidRDefault="00E80B90" w:rsidP="00D87D19">
            <w:pPr>
              <w:rPr>
                <w:b/>
                <w:szCs w:val="24"/>
              </w:rPr>
            </w:pPr>
            <w:r>
              <w:rPr>
                <w:b/>
                <w:szCs w:val="24"/>
              </w:rPr>
              <w:t>3</w:t>
            </w:r>
          </w:p>
        </w:tc>
        <w:tc>
          <w:tcPr>
            <w:tcW w:w="1080" w:type="dxa"/>
            <w:shd w:val="clear" w:color="auto" w:fill="auto"/>
            <w:vAlign w:val="center"/>
          </w:tcPr>
          <w:p w14:paraId="084A1940" w14:textId="77777777" w:rsidR="00E80B90" w:rsidRPr="00AC27FF" w:rsidRDefault="00E80B90" w:rsidP="00D87D19">
            <w:pPr>
              <w:rPr>
                <w:b/>
                <w:szCs w:val="24"/>
              </w:rPr>
            </w:pPr>
            <w:r>
              <w:rPr>
                <w:b/>
                <w:szCs w:val="24"/>
              </w:rPr>
              <w:t>3,423</w:t>
            </w:r>
          </w:p>
        </w:tc>
        <w:tc>
          <w:tcPr>
            <w:tcW w:w="1710" w:type="dxa"/>
            <w:shd w:val="clear" w:color="auto" w:fill="auto"/>
            <w:vAlign w:val="center"/>
          </w:tcPr>
          <w:p w14:paraId="1DB76F9D" w14:textId="77777777" w:rsidR="00E80B90" w:rsidRPr="00AC27FF" w:rsidRDefault="00E80B90" w:rsidP="00D87D19">
            <w:pPr>
              <w:rPr>
                <w:b/>
                <w:szCs w:val="24"/>
              </w:rPr>
            </w:pPr>
            <w:r w:rsidRPr="00AC27FF">
              <w:rPr>
                <w:b/>
                <w:szCs w:val="24"/>
              </w:rPr>
              <w:t>$</w:t>
            </w:r>
            <w:r>
              <w:rPr>
                <w:b/>
                <w:szCs w:val="24"/>
              </w:rPr>
              <w:t>136,920</w:t>
            </w:r>
          </w:p>
        </w:tc>
      </w:tr>
      <w:tr w:rsidR="00715C0B" w:rsidRPr="00AC27FF" w14:paraId="2A024559" w14:textId="77777777" w:rsidTr="00D87D19">
        <w:trPr>
          <w:cantSplit/>
          <w:trHeight w:val="480"/>
        </w:trPr>
        <w:tc>
          <w:tcPr>
            <w:tcW w:w="2265" w:type="dxa"/>
            <w:shd w:val="clear" w:color="auto" w:fill="auto"/>
            <w:vAlign w:val="center"/>
          </w:tcPr>
          <w:p w14:paraId="38E8EEA5" w14:textId="77777777" w:rsidR="00715C0B" w:rsidRDefault="00715C0B" w:rsidP="00235CFF">
            <w:pPr>
              <w:rPr>
                <w:b/>
                <w:bCs/>
                <w:szCs w:val="24"/>
                <w:u w:val="single"/>
              </w:rPr>
            </w:pPr>
          </w:p>
          <w:p w14:paraId="5B17FDA4" w14:textId="658834D2" w:rsidR="00715C0B" w:rsidRPr="00AC27FF" w:rsidRDefault="00715C0B" w:rsidP="00974CC4">
            <w:pPr>
              <w:rPr>
                <w:b/>
                <w:bCs/>
                <w:szCs w:val="24"/>
                <w:u w:val="single"/>
              </w:rPr>
            </w:pPr>
            <w:r>
              <w:rPr>
                <w:b/>
                <w:bCs/>
                <w:szCs w:val="24"/>
                <w:u w:val="single"/>
              </w:rPr>
              <w:t>g</w:t>
            </w:r>
            <w:r w:rsidRPr="00AC27FF">
              <w:rPr>
                <w:b/>
                <w:bCs/>
                <w:szCs w:val="24"/>
                <w:u w:val="single"/>
              </w:rPr>
              <w:t xml:space="preserve">. </w:t>
            </w:r>
            <w:r>
              <w:rPr>
                <w:b/>
                <w:bCs/>
                <w:szCs w:val="24"/>
                <w:u w:val="single"/>
              </w:rPr>
              <w:t>Reasonably Comparable Rates Certification for Broadband</w:t>
            </w:r>
          </w:p>
        </w:tc>
        <w:tc>
          <w:tcPr>
            <w:tcW w:w="1620" w:type="dxa"/>
            <w:shd w:val="clear" w:color="auto" w:fill="auto"/>
            <w:vAlign w:val="center"/>
          </w:tcPr>
          <w:p w14:paraId="426A6447" w14:textId="77777777" w:rsidR="00715C0B" w:rsidRPr="00AC27FF" w:rsidRDefault="00715C0B" w:rsidP="00D87D19">
            <w:pPr>
              <w:rPr>
                <w:b/>
                <w:szCs w:val="24"/>
              </w:rPr>
            </w:pPr>
            <w:r>
              <w:rPr>
                <w:b/>
                <w:szCs w:val="24"/>
              </w:rPr>
              <w:t>1,182</w:t>
            </w:r>
          </w:p>
        </w:tc>
        <w:tc>
          <w:tcPr>
            <w:tcW w:w="1350" w:type="dxa"/>
            <w:vAlign w:val="center"/>
          </w:tcPr>
          <w:p w14:paraId="0695E09F" w14:textId="77777777" w:rsidR="00715C0B" w:rsidRDefault="00715C0B" w:rsidP="00D87D19">
            <w:pPr>
              <w:rPr>
                <w:b/>
                <w:szCs w:val="24"/>
              </w:rPr>
            </w:pPr>
          </w:p>
        </w:tc>
        <w:tc>
          <w:tcPr>
            <w:tcW w:w="1350" w:type="dxa"/>
            <w:shd w:val="clear" w:color="auto" w:fill="auto"/>
            <w:vAlign w:val="center"/>
          </w:tcPr>
          <w:p w14:paraId="3ED6EBA9" w14:textId="77777777" w:rsidR="00715C0B" w:rsidRPr="00C01F34" w:rsidRDefault="00715C0B" w:rsidP="00D87D19">
            <w:pPr>
              <w:rPr>
                <w:b/>
                <w:szCs w:val="24"/>
              </w:rPr>
            </w:pPr>
            <w:r>
              <w:rPr>
                <w:b/>
                <w:szCs w:val="24"/>
              </w:rPr>
              <w:t>1</w:t>
            </w:r>
          </w:p>
        </w:tc>
        <w:tc>
          <w:tcPr>
            <w:tcW w:w="1440" w:type="dxa"/>
            <w:shd w:val="clear" w:color="auto" w:fill="auto"/>
            <w:vAlign w:val="center"/>
          </w:tcPr>
          <w:p w14:paraId="561B7933" w14:textId="77777777" w:rsidR="00715C0B" w:rsidRPr="00C01F34" w:rsidRDefault="00715C0B" w:rsidP="00D87D19">
            <w:pPr>
              <w:rPr>
                <w:b/>
                <w:szCs w:val="24"/>
              </w:rPr>
            </w:pPr>
            <w:r>
              <w:rPr>
                <w:b/>
                <w:szCs w:val="24"/>
              </w:rPr>
              <w:t>4</w:t>
            </w:r>
          </w:p>
        </w:tc>
        <w:tc>
          <w:tcPr>
            <w:tcW w:w="1080" w:type="dxa"/>
            <w:shd w:val="clear" w:color="auto" w:fill="auto"/>
            <w:vAlign w:val="center"/>
          </w:tcPr>
          <w:p w14:paraId="77058C50" w14:textId="77777777" w:rsidR="00715C0B" w:rsidRPr="00AC27FF" w:rsidRDefault="00715C0B" w:rsidP="00D87D19">
            <w:pPr>
              <w:rPr>
                <w:b/>
                <w:szCs w:val="24"/>
              </w:rPr>
            </w:pPr>
            <w:r>
              <w:rPr>
                <w:b/>
                <w:szCs w:val="24"/>
              </w:rPr>
              <w:t>4,728</w:t>
            </w:r>
          </w:p>
        </w:tc>
        <w:tc>
          <w:tcPr>
            <w:tcW w:w="1710" w:type="dxa"/>
            <w:shd w:val="clear" w:color="auto" w:fill="auto"/>
            <w:vAlign w:val="center"/>
          </w:tcPr>
          <w:p w14:paraId="2AE4E3C2" w14:textId="77777777" w:rsidR="00715C0B" w:rsidRPr="00AC27FF" w:rsidRDefault="00715C0B" w:rsidP="00D87D19">
            <w:pPr>
              <w:rPr>
                <w:b/>
                <w:szCs w:val="24"/>
              </w:rPr>
            </w:pPr>
            <w:r w:rsidRPr="00AC27FF">
              <w:rPr>
                <w:b/>
                <w:szCs w:val="24"/>
              </w:rPr>
              <w:t>$</w:t>
            </w:r>
            <w:r>
              <w:rPr>
                <w:b/>
                <w:szCs w:val="24"/>
              </w:rPr>
              <w:t>189,120</w:t>
            </w:r>
          </w:p>
        </w:tc>
      </w:tr>
      <w:tr w:rsidR="00715C0B" w:rsidRPr="00AC27FF" w14:paraId="47ED1325" w14:textId="77777777" w:rsidTr="00D87D19">
        <w:trPr>
          <w:cantSplit/>
          <w:trHeight w:val="255"/>
        </w:trPr>
        <w:tc>
          <w:tcPr>
            <w:tcW w:w="2265" w:type="dxa"/>
            <w:shd w:val="clear" w:color="auto" w:fill="auto"/>
            <w:vAlign w:val="center"/>
          </w:tcPr>
          <w:p w14:paraId="55B94C5D" w14:textId="32ACCA53" w:rsidR="00715C0B" w:rsidRPr="00D87D19" w:rsidRDefault="00715C0B" w:rsidP="00235CFF">
            <w:pPr>
              <w:rPr>
                <w:b/>
                <w:u w:val="single"/>
              </w:rPr>
            </w:pPr>
            <w:r w:rsidRPr="00AC27FF">
              <w:rPr>
                <w:b/>
                <w:bCs/>
                <w:szCs w:val="24"/>
                <w:u w:val="single"/>
              </w:rPr>
              <w:br/>
            </w:r>
            <w:r>
              <w:rPr>
                <w:b/>
                <w:bCs/>
                <w:szCs w:val="24"/>
                <w:u w:val="single"/>
              </w:rPr>
              <w:t>h</w:t>
            </w:r>
            <w:r w:rsidRPr="00AC27FF">
              <w:rPr>
                <w:b/>
                <w:bCs/>
                <w:szCs w:val="24"/>
                <w:u w:val="single"/>
              </w:rPr>
              <w:t xml:space="preserve">. </w:t>
            </w:r>
            <w:r>
              <w:rPr>
                <w:b/>
                <w:bCs/>
                <w:szCs w:val="24"/>
                <w:u w:val="single"/>
              </w:rPr>
              <w:t>Carriers Lacking Terrestrial Backhaul Certification</w:t>
            </w:r>
          </w:p>
        </w:tc>
        <w:tc>
          <w:tcPr>
            <w:tcW w:w="1620" w:type="dxa"/>
            <w:shd w:val="clear" w:color="auto" w:fill="auto"/>
            <w:vAlign w:val="center"/>
          </w:tcPr>
          <w:p w14:paraId="40B3744F" w14:textId="77777777" w:rsidR="00715C0B" w:rsidRPr="00AC27FF" w:rsidRDefault="00715C0B" w:rsidP="00D87D19">
            <w:pPr>
              <w:rPr>
                <w:b/>
                <w:szCs w:val="24"/>
              </w:rPr>
            </w:pPr>
            <w:r>
              <w:rPr>
                <w:b/>
                <w:szCs w:val="24"/>
              </w:rPr>
              <w:t>20</w:t>
            </w:r>
          </w:p>
        </w:tc>
        <w:tc>
          <w:tcPr>
            <w:tcW w:w="1350" w:type="dxa"/>
            <w:vAlign w:val="center"/>
          </w:tcPr>
          <w:p w14:paraId="3F81E373" w14:textId="77777777" w:rsidR="00715C0B" w:rsidRPr="00AC27FF" w:rsidRDefault="00715C0B" w:rsidP="00D87D19">
            <w:pPr>
              <w:rPr>
                <w:b/>
                <w:szCs w:val="24"/>
              </w:rPr>
            </w:pPr>
          </w:p>
        </w:tc>
        <w:tc>
          <w:tcPr>
            <w:tcW w:w="1350" w:type="dxa"/>
            <w:shd w:val="clear" w:color="auto" w:fill="auto"/>
            <w:vAlign w:val="center"/>
          </w:tcPr>
          <w:p w14:paraId="74FF8A11" w14:textId="77777777" w:rsidR="00715C0B" w:rsidRPr="00AC27FF" w:rsidRDefault="00715C0B" w:rsidP="00D87D19">
            <w:pPr>
              <w:rPr>
                <w:b/>
                <w:szCs w:val="24"/>
              </w:rPr>
            </w:pPr>
            <w:r>
              <w:rPr>
                <w:b/>
                <w:szCs w:val="24"/>
              </w:rPr>
              <w:t>1</w:t>
            </w:r>
          </w:p>
        </w:tc>
        <w:tc>
          <w:tcPr>
            <w:tcW w:w="1440" w:type="dxa"/>
            <w:shd w:val="clear" w:color="auto" w:fill="auto"/>
            <w:vAlign w:val="center"/>
          </w:tcPr>
          <w:p w14:paraId="0A609F79" w14:textId="77777777" w:rsidR="00715C0B" w:rsidRPr="00AC27FF" w:rsidRDefault="00715C0B" w:rsidP="00D87D19">
            <w:pPr>
              <w:rPr>
                <w:b/>
                <w:szCs w:val="24"/>
              </w:rPr>
            </w:pPr>
            <w:r>
              <w:rPr>
                <w:b/>
                <w:szCs w:val="24"/>
              </w:rPr>
              <w:t>15</w:t>
            </w:r>
          </w:p>
        </w:tc>
        <w:tc>
          <w:tcPr>
            <w:tcW w:w="1080" w:type="dxa"/>
            <w:shd w:val="clear" w:color="auto" w:fill="auto"/>
            <w:vAlign w:val="center"/>
          </w:tcPr>
          <w:p w14:paraId="37D28AA6" w14:textId="77777777" w:rsidR="00715C0B" w:rsidRPr="00AC27FF" w:rsidRDefault="00715C0B" w:rsidP="00D87D19">
            <w:pPr>
              <w:rPr>
                <w:b/>
                <w:szCs w:val="24"/>
              </w:rPr>
            </w:pPr>
            <w:r>
              <w:rPr>
                <w:b/>
                <w:szCs w:val="24"/>
              </w:rPr>
              <w:t>300</w:t>
            </w:r>
          </w:p>
        </w:tc>
        <w:tc>
          <w:tcPr>
            <w:tcW w:w="1710" w:type="dxa"/>
            <w:shd w:val="clear" w:color="auto" w:fill="auto"/>
            <w:vAlign w:val="center"/>
          </w:tcPr>
          <w:p w14:paraId="231DC3CB" w14:textId="77777777" w:rsidR="00715C0B" w:rsidRPr="00AC27FF" w:rsidRDefault="00715C0B" w:rsidP="00D87D19">
            <w:pPr>
              <w:rPr>
                <w:b/>
                <w:szCs w:val="24"/>
              </w:rPr>
            </w:pPr>
            <w:r w:rsidRPr="00AC27FF">
              <w:rPr>
                <w:b/>
                <w:szCs w:val="24"/>
              </w:rPr>
              <w:t>$</w:t>
            </w:r>
            <w:r>
              <w:rPr>
                <w:b/>
                <w:szCs w:val="24"/>
              </w:rPr>
              <w:t>12,000</w:t>
            </w:r>
          </w:p>
        </w:tc>
      </w:tr>
      <w:tr w:rsidR="00715C0B" w:rsidRPr="00AC27FF" w14:paraId="0577BD31" w14:textId="77777777" w:rsidTr="00AC0977">
        <w:trPr>
          <w:cantSplit/>
          <w:trHeight w:val="720"/>
        </w:trPr>
        <w:tc>
          <w:tcPr>
            <w:tcW w:w="2265" w:type="dxa"/>
            <w:shd w:val="clear" w:color="auto" w:fill="auto"/>
            <w:vAlign w:val="center"/>
          </w:tcPr>
          <w:p w14:paraId="78D341D1" w14:textId="77777777" w:rsidR="00715C0B" w:rsidRDefault="00715C0B" w:rsidP="00235CFF">
            <w:pPr>
              <w:rPr>
                <w:b/>
                <w:bCs/>
                <w:szCs w:val="24"/>
                <w:u w:val="single"/>
              </w:rPr>
            </w:pPr>
          </w:p>
          <w:p w14:paraId="5B90ED1B" w14:textId="3A0939AE" w:rsidR="00715C0B" w:rsidRPr="00AC27FF" w:rsidRDefault="00715C0B" w:rsidP="00974CC4">
            <w:pPr>
              <w:rPr>
                <w:b/>
                <w:szCs w:val="24"/>
              </w:rPr>
            </w:pPr>
            <w:r>
              <w:rPr>
                <w:b/>
                <w:bCs/>
                <w:szCs w:val="24"/>
                <w:u w:val="single"/>
              </w:rPr>
              <w:t>i</w:t>
            </w:r>
            <w:r w:rsidRPr="00AC27FF">
              <w:rPr>
                <w:b/>
                <w:bCs/>
                <w:szCs w:val="24"/>
                <w:u w:val="single"/>
              </w:rPr>
              <w:t xml:space="preserve">. </w:t>
            </w:r>
            <w:r>
              <w:rPr>
                <w:b/>
                <w:bCs/>
                <w:szCs w:val="24"/>
                <w:u w:val="single"/>
              </w:rPr>
              <w:t>Tribal Engagement Reporting</w:t>
            </w:r>
          </w:p>
        </w:tc>
        <w:tc>
          <w:tcPr>
            <w:tcW w:w="1620" w:type="dxa"/>
            <w:shd w:val="clear" w:color="auto" w:fill="auto"/>
            <w:vAlign w:val="center"/>
          </w:tcPr>
          <w:p w14:paraId="61E4FA26" w14:textId="77777777" w:rsidR="00715C0B" w:rsidRPr="00AC27FF" w:rsidRDefault="00715C0B" w:rsidP="00AC0977">
            <w:pPr>
              <w:rPr>
                <w:b/>
                <w:szCs w:val="24"/>
              </w:rPr>
            </w:pPr>
            <w:r>
              <w:rPr>
                <w:b/>
                <w:szCs w:val="24"/>
              </w:rPr>
              <w:t>300</w:t>
            </w:r>
          </w:p>
        </w:tc>
        <w:tc>
          <w:tcPr>
            <w:tcW w:w="1350" w:type="dxa"/>
            <w:vAlign w:val="center"/>
          </w:tcPr>
          <w:p w14:paraId="285D7FBD" w14:textId="77777777" w:rsidR="00715C0B" w:rsidRPr="00AC27FF" w:rsidRDefault="00715C0B" w:rsidP="00AC0977">
            <w:pPr>
              <w:rPr>
                <w:b/>
                <w:szCs w:val="24"/>
              </w:rPr>
            </w:pPr>
          </w:p>
        </w:tc>
        <w:tc>
          <w:tcPr>
            <w:tcW w:w="1350" w:type="dxa"/>
            <w:shd w:val="clear" w:color="auto" w:fill="auto"/>
            <w:vAlign w:val="center"/>
          </w:tcPr>
          <w:p w14:paraId="25FA39C6" w14:textId="77777777" w:rsidR="00715C0B" w:rsidRPr="00AC27FF" w:rsidRDefault="00715C0B" w:rsidP="00AC0977">
            <w:pPr>
              <w:rPr>
                <w:b/>
                <w:szCs w:val="24"/>
              </w:rPr>
            </w:pPr>
            <w:r>
              <w:rPr>
                <w:b/>
                <w:szCs w:val="24"/>
              </w:rPr>
              <w:t>1</w:t>
            </w:r>
          </w:p>
        </w:tc>
        <w:tc>
          <w:tcPr>
            <w:tcW w:w="1440" w:type="dxa"/>
            <w:shd w:val="clear" w:color="auto" w:fill="auto"/>
            <w:vAlign w:val="center"/>
          </w:tcPr>
          <w:p w14:paraId="0B8718AE" w14:textId="77777777" w:rsidR="00715C0B" w:rsidRPr="00AC27FF" w:rsidRDefault="00715C0B" w:rsidP="00AC0977">
            <w:pPr>
              <w:rPr>
                <w:b/>
                <w:szCs w:val="24"/>
              </w:rPr>
            </w:pPr>
            <w:r>
              <w:rPr>
                <w:b/>
                <w:szCs w:val="24"/>
              </w:rPr>
              <w:t>4</w:t>
            </w:r>
          </w:p>
        </w:tc>
        <w:tc>
          <w:tcPr>
            <w:tcW w:w="1080" w:type="dxa"/>
            <w:shd w:val="clear" w:color="auto" w:fill="auto"/>
            <w:vAlign w:val="center"/>
          </w:tcPr>
          <w:p w14:paraId="58CA8415" w14:textId="77777777" w:rsidR="00715C0B" w:rsidRPr="00AC27FF" w:rsidRDefault="00715C0B" w:rsidP="00AC0977">
            <w:pPr>
              <w:rPr>
                <w:b/>
                <w:szCs w:val="24"/>
              </w:rPr>
            </w:pPr>
            <w:r>
              <w:rPr>
                <w:b/>
                <w:szCs w:val="24"/>
              </w:rPr>
              <w:t>1,200</w:t>
            </w:r>
          </w:p>
        </w:tc>
        <w:tc>
          <w:tcPr>
            <w:tcW w:w="1710" w:type="dxa"/>
            <w:shd w:val="clear" w:color="auto" w:fill="auto"/>
            <w:vAlign w:val="center"/>
          </w:tcPr>
          <w:p w14:paraId="6C39EE4C" w14:textId="77777777" w:rsidR="00715C0B" w:rsidRPr="00AC27FF" w:rsidRDefault="00715C0B" w:rsidP="00AC0977">
            <w:pPr>
              <w:rPr>
                <w:b/>
                <w:szCs w:val="24"/>
              </w:rPr>
            </w:pPr>
            <w:r w:rsidRPr="00AC27FF">
              <w:rPr>
                <w:b/>
                <w:szCs w:val="24"/>
              </w:rPr>
              <w:t>$</w:t>
            </w:r>
            <w:r>
              <w:rPr>
                <w:b/>
                <w:szCs w:val="24"/>
              </w:rPr>
              <w:t>48,000</w:t>
            </w:r>
          </w:p>
        </w:tc>
      </w:tr>
      <w:tr w:rsidR="00715C0B" w:rsidRPr="00AC27FF" w14:paraId="12581162" w14:textId="77777777" w:rsidTr="00AC0977">
        <w:trPr>
          <w:cantSplit/>
          <w:trHeight w:val="255"/>
        </w:trPr>
        <w:tc>
          <w:tcPr>
            <w:tcW w:w="2265" w:type="dxa"/>
            <w:shd w:val="clear" w:color="auto" w:fill="auto"/>
            <w:vAlign w:val="center"/>
          </w:tcPr>
          <w:p w14:paraId="17078F19" w14:textId="77777777" w:rsidR="00715C0B" w:rsidRDefault="00715C0B" w:rsidP="00235CFF">
            <w:pPr>
              <w:rPr>
                <w:b/>
                <w:bCs/>
                <w:szCs w:val="24"/>
                <w:u w:val="single"/>
              </w:rPr>
            </w:pPr>
          </w:p>
          <w:p w14:paraId="18096230" w14:textId="19C980A4" w:rsidR="00715C0B" w:rsidRPr="00AC27FF" w:rsidRDefault="00715C0B" w:rsidP="00974CC4">
            <w:pPr>
              <w:rPr>
                <w:b/>
                <w:szCs w:val="24"/>
              </w:rPr>
            </w:pPr>
            <w:r>
              <w:rPr>
                <w:b/>
                <w:bCs/>
                <w:szCs w:val="24"/>
                <w:u w:val="single"/>
              </w:rPr>
              <w:t>j</w:t>
            </w:r>
            <w:r w:rsidRPr="00AC27FF">
              <w:rPr>
                <w:b/>
                <w:bCs/>
                <w:szCs w:val="24"/>
                <w:u w:val="single"/>
              </w:rPr>
              <w:t xml:space="preserve">. </w:t>
            </w:r>
            <w:r>
              <w:rPr>
                <w:b/>
                <w:bCs/>
                <w:szCs w:val="24"/>
                <w:u w:val="single"/>
              </w:rPr>
              <w:t>Price Cap Carrier Frozen High Cost Support Certification</w:t>
            </w:r>
          </w:p>
        </w:tc>
        <w:tc>
          <w:tcPr>
            <w:tcW w:w="1620" w:type="dxa"/>
            <w:shd w:val="clear" w:color="auto" w:fill="auto"/>
            <w:vAlign w:val="center"/>
          </w:tcPr>
          <w:p w14:paraId="3B089671" w14:textId="77777777" w:rsidR="00715C0B" w:rsidRPr="00AC27FF" w:rsidRDefault="00715C0B" w:rsidP="00AC0977">
            <w:pPr>
              <w:rPr>
                <w:b/>
                <w:szCs w:val="24"/>
              </w:rPr>
            </w:pPr>
            <w:r>
              <w:rPr>
                <w:b/>
                <w:szCs w:val="24"/>
              </w:rPr>
              <w:t>293</w:t>
            </w:r>
          </w:p>
        </w:tc>
        <w:tc>
          <w:tcPr>
            <w:tcW w:w="1350" w:type="dxa"/>
            <w:vAlign w:val="center"/>
          </w:tcPr>
          <w:p w14:paraId="53804012" w14:textId="77777777" w:rsidR="00715C0B" w:rsidRPr="00AC27FF" w:rsidRDefault="00715C0B" w:rsidP="00AC0977">
            <w:pPr>
              <w:rPr>
                <w:b/>
                <w:szCs w:val="24"/>
              </w:rPr>
            </w:pPr>
          </w:p>
        </w:tc>
        <w:tc>
          <w:tcPr>
            <w:tcW w:w="1350" w:type="dxa"/>
            <w:shd w:val="clear" w:color="auto" w:fill="auto"/>
            <w:vAlign w:val="center"/>
          </w:tcPr>
          <w:p w14:paraId="7A26D644" w14:textId="77777777" w:rsidR="00715C0B" w:rsidRPr="00AC27FF" w:rsidRDefault="00715C0B" w:rsidP="00AC0977">
            <w:pPr>
              <w:rPr>
                <w:b/>
                <w:szCs w:val="24"/>
              </w:rPr>
            </w:pPr>
            <w:r>
              <w:rPr>
                <w:b/>
                <w:szCs w:val="24"/>
              </w:rPr>
              <w:t>1</w:t>
            </w:r>
          </w:p>
        </w:tc>
        <w:tc>
          <w:tcPr>
            <w:tcW w:w="1440" w:type="dxa"/>
            <w:shd w:val="clear" w:color="auto" w:fill="auto"/>
            <w:vAlign w:val="center"/>
          </w:tcPr>
          <w:p w14:paraId="3EF6E5D7" w14:textId="77777777" w:rsidR="00715C0B" w:rsidRPr="00AC27FF" w:rsidRDefault="00715C0B" w:rsidP="00AC0977">
            <w:pPr>
              <w:rPr>
                <w:b/>
                <w:szCs w:val="24"/>
              </w:rPr>
            </w:pPr>
            <w:r>
              <w:rPr>
                <w:b/>
                <w:szCs w:val="24"/>
              </w:rPr>
              <w:t>15</w:t>
            </w:r>
          </w:p>
        </w:tc>
        <w:tc>
          <w:tcPr>
            <w:tcW w:w="1080" w:type="dxa"/>
            <w:shd w:val="clear" w:color="auto" w:fill="auto"/>
            <w:vAlign w:val="center"/>
          </w:tcPr>
          <w:p w14:paraId="20DC3BC1" w14:textId="77777777" w:rsidR="00715C0B" w:rsidRPr="00AC27FF" w:rsidRDefault="00715C0B" w:rsidP="00AC0977">
            <w:pPr>
              <w:rPr>
                <w:b/>
                <w:szCs w:val="24"/>
              </w:rPr>
            </w:pPr>
            <w:r>
              <w:rPr>
                <w:b/>
                <w:szCs w:val="24"/>
              </w:rPr>
              <w:t>4,395</w:t>
            </w:r>
          </w:p>
        </w:tc>
        <w:tc>
          <w:tcPr>
            <w:tcW w:w="1710" w:type="dxa"/>
            <w:shd w:val="clear" w:color="auto" w:fill="auto"/>
            <w:vAlign w:val="center"/>
          </w:tcPr>
          <w:p w14:paraId="3BED1C00" w14:textId="77777777" w:rsidR="00715C0B" w:rsidRPr="00AC27FF" w:rsidRDefault="00715C0B" w:rsidP="00AC0977">
            <w:pPr>
              <w:rPr>
                <w:b/>
                <w:szCs w:val="24"/>
              </w:rPr>
            </w:pPr>
            <w:r>
              <w:rPr>
                <w:b/>
                <w:szCs w:val="24"/>
              </w:rPr>
              <w:t>$175,800</w:t>
            </w:r>
          </w:p>
        </w:tc>
      </w:tr>
      <w:tr w:rsidR="00715C0B" w:rsidRPr="00AC27FF" w14:paraId="6B0144ED" w14:textId="77777777" w:rsidTr="00AC0977">
        <w:trPr>
          <w:cantSplit/>
          <w:trHeight w:val="255"/>
        </w:trPr>
        <w:tc>
          <w:tcPr>
            <w:tcW w:w="2265" w:type="dxa"/>
            <w:shd w:val="clear" w:color="auto" w:fill="auto"/>
            <w:vAlign w:val="center"/>
          </w:tcPr>
          <w:p w14:paraId="3FDA4BB3" w14:textId="77777777" w:rsidR="00715C0B" w:rsidRDefault="00715C0B" w:rsidP="00235CFF">
            <w:pPr>
              <w:rPr>
                <w:b/>
                <w:bCs/>
                <w:szCs w:val="24"/>
                <w:u w:val="single"/>
              </w:rPr>
            </w:pPr>
          </w:p>
          <w:p w14:paraId="3496F934" w14:textId="0C8159A4" w:rsidR="00715C0B" w:rsidRPr="00AC27FF" w:rsidRDefault="00715C0B" w:rsidP="00974CC4">
            <w:pPr>
              <w:rPr>
                <w:b/>
                <w:szCs w:val="24"/>
              </w:rPr>
            </w:pPr>
            <w:r>
              <w:rPr>
                <w:b/>
                <w:bCs/>
                <w:szCs w:val="24"/>
                <w:u w:val="single"/>
              </w:rPr>
              <w:t>k</w:t>
            </w:r>
            <w:r w:rsidRPr="00AC27FF">
              <w:rPr>
                <w:b/>
                <w:bCs/>
                <w:szCs w:val="24"/>
                <w:u w:val="single"/>
              </w:rPr>
              <w:t xml:space="preserve">. </w:t>
            </w:r>
            <w:r>
              <w:rPr>
                <w:b/>
                <w:bCs/>
                <w:szCs w:val="24"/>
                <w:u w:val="single"/>
              </w:rPr>
              <w:t>Price Cap Carrier High-Cost Support for Access Charges Certification</w:t>
            </w:r>
          </w:p>
        </w:tc>
        <w:tc>
          <w:tcPr>
            <w:tcW w:w="1620" w:type="dxa"/>
            <w:shd w:val="clear" w:color="auto" w:fill="auto"/>
            <w:vAlign w:val="center"/>
          </w:tcPr>
          <w:p w14:paraId="1EE31E4D" w14:textId="77777777" w:rsidR="00715C0B" w:rsidRPr="00AC27FF" w:rsidRDefault="00715C0B" w:rsidP="00AC0977">
            <w:pPr>
              <w:rPr>
                <w:b/>
                <w:szCs w:val="24"/>
              </w:rPr>
            </w:pPr>
            <w:r>
              <w:rPr>
                <w:b/>
                <w:szCs w:val="24"/>
              </w:rPr>
              <w:t>293</w:t>
            </w:r>
          </w:p>
        </w:tc>
        <w:tc>
          <w:tcPr>
            <w:tcW w:w="1350" w:type="dxa"/>
            <w:vAlign w:val="center"/>
          </w:tcPr>
          <w:p w14:paraId="0A0E44B8" w14:textId="77777777" w:rsidR="00715C0B" w:rsidRPr="00AC27FF" w:rsidRDefault="00715C0B" w:rsidP="00AC0977">
            <w:pPr>
              <w:rPr>
                <w:b/>
                <w:szCs w:val="24"/>
              </w:rPr>
            </w:pPr>
          </w:p>
        </w:tc>
        <w:tc>
          <w:tcPr>
            <w:tcW w:w="1350" w:type="dxa"/>
            <w:shd w:val="clear" w:color="auto" w:fill="auto"/>
            <w:vAlign w:val="center"/>
          </w:tcPr>
          <w:p w14:paraId="606F0B07" w14:textId="77777777" w:rsidR="00715C0B" w:rsidRPr="00AC27FF" w:rsidRDefault="00715C0B" w:rsidP="00AC0977">
            <w:pPr>
              <w:rPr>
                <w:b/>
                <w:szCs w:val="24"/>
              </w:rPr>
            </w:pPr>
            <w:r>
              <w:rPr>
                <w:b/>
                <w:szCs w:val="24"/>
              </w:rPr>
              <w:t>1</w:t>
            </w:r>
          </w:p>
        </w:tc>
        <w:tc>
          <w:tcPr>
            <w:tcW w:w="1440" w:type="dxa"/>
            <w:shd w:val="clear" w:color="auto" w:fill="auto"/>
            <w:vAlign w:val="center"/>
          </w:tcPr>
          <w:p w14:paraId="1F06F0A0" w14:textId="77777777" w:rsidR="00715C0B" w:rsidRPr="00AC27FF" w:rsidRDefault="00715C0B" w:rsidP="00AC0977">
            <w:pPr>
              <w:rPr>
                <w:b/>
                <w:szCs w:val="24"/>
              </w:rPr>
            </w:pPr>
            <w:r>
              <w:rPr>
                <w:b/>
                <w:szCs w:val="24"/>
              </w:rPr>
              <w:t>15</w:t>
            </w:r>
          </w:p>
        </w:tc>
        <w:tc>
          <w:tcPr>
            <w:tcW w:w="1080" w:type="dxa"/>
            <w:shd w:val="clear" w:color="auto" w:fill="auto"/>
            <w:vAlign w:val="center"/>
          </w:tcPr>
          <w:p w14:paraId="6849DEDF" w14:textId="77777777" w:rsidR="00715C0B" w:rsidRPr="00AC27FF" w:rsidRDefault="00715C0B" w:rsidP="00AC0977">
            <w:pPr>
              <w:rPr>
                <w:b/>
                <w:szCs w:val="24"/>
              </w:rPr>
            </w:pPr>
            <w:r>
              <w:rPr>
                <w:b/>
                <w:szCs w:val="24"/>
              </w:rPr>
              <w:t>4,395</w:t>
            </w:r>
          </w:p>
        </w:tc>
        <w:tc>
          <w:tcPr>
            <w:tcW w:w="1710" w:type="dxa"/>
            <w:shd w:val="clear" w:color="auto" w:fill="auto"/>
            <w:vAlign w:val="center"/>
          </w:tcPr>
          <w:p w14:paraId="74F80C6A" w14:textId="77777777" w:rsidR="00715C0B" w:rsidRPr="00AC27FF" w:rsidRDefault="00715C0B" w:rsidP="00AC0977">
            <w:pPr>
              <w:rPr>
                <w:b/>
                <w:szCs w:val="24"/>
              </w:rPr>
            </w:pPr>
            <w:r w:rsidRPr="00AC27FF">
              <w:rPr>
                <w:b/>
                <w:szCs w:val="24"/>
              </w:rPr>
              <w:t>$</w:t>
            </w:r>
            <w:r>
              <w:rPr>
                <w:b/>
                <w:szCs w:val="24"/>
              </w:rPr>
              <w:t>175,800</w:t>
            </w:r>
          </w:p>
        </w:tc>
      </w:tr>
      <w:tr w:rsidR="00715C0B" w:rsidRPr="00AC27FF" w14:paraId="39FC6C33" w14:textId="77777777" w:rsidTr="00AC0977">
        <w:trPr>
          <w:cantSplit/>
          <w:trHeight w:val="255"/>
        </w:trPr>
        <w:tc>
          <w:tcPr>
            <w:tcW w:w="2265" w:type="dxa"/>
            <w:shd w:val="clear" w:color="auto" w:fill="auto"/>
            <w:vAlign w:val="center"/>
          </w:tcPr>
          <w:p w14:paraId="01AC2317" w14:textId="77777777" w:rsidR="00715C0B" w:rsidRDefault="00715C0B" w:rsidP="00235CFF">
            <w:pPr>
              <w:rPr>
                <w:b/>
                <w:bCs/>
                <w:szCs w:val="24"/>
                <w:u w:val="single"/>
              </w:rPr>
            </w:pPr>
          </w:p>
          <w:p w14:paraId="43CAECCB" w14:textId="718F8C71" w:rsidR="00715C0B" w:rsidRPr="00AC27FF" w:rsidRDefault="00715C0B" w:rsidP="00974CC4">
            <w:pPr>
              <w:rPr>
                <w:b/>
                <w:szCs w:val="24"/>
              </w:rPr>
            </w:pPr>
            <w:r>
              <w:rPr>
                <w:b/>
                <w:bCs/>
                <w:szCs w:val="24"/>
                <w:u w:val="single"/>
              </w:rPr>
              <w:t>l</w:t>
            </w:r>
            <w:r w:rsidRPr="00AC27FF">
              <w:rPr>
                <w:b/>
                <w:bCs/>
                <w:szCs w:val="24"/>
                <w:u w:val="single"/>
              </w:rPr>
              <w:t xml:space="preserve">. </w:t>
            </w:r>
            <w:r>
              <w:rPr>
                <w:b/>
                <w:bCs/>
                <w:szCs w:val="24"/>
                <w:u w:val="single"/>
              </w:rPr>
              <w:t>Privately Held Rate-of-Return Carrier Financial Information</w:t>
            </w:r>
          </w:p>
        </w:tc>
        <w:tc>
          <w:tcPr>
            <w:tcW w:w="1620" w:type="dxa"/>
            <w:shd w:val="clear" w:color="auto" w:fill="auto"/>
            <w:vAlign w:val="center"/>
          </w:tcPr>
          <w:p w14:paraId="5AEAED81" w14:textId="77777777" w:rsidR="00715C0B" w:rsidRPr="00AC27FF" w:rsidRDefault="00715C0B" w:rsidP="00AC0977">
            <w:pPr>
              <w:rPr>
                <w:b/>
                <w:szCs w:val="24"/>
              </w:rPr>
            </w:pPr>
            <w:r>
              <w:rPr>
                <w:b/>
                <w:szCs w:val="24"/>
              </w:rPr>
              <w:t>625</w:t>
            </w:r>
          </w:p>
        </w:tc>
        <w:tc>
          <w:tcPr>
            <w:tcW w:w="1350" w:type="dxa"/>
            <w:vAlign w:val="center"/>
          </w:tcPr>
          <w:p w14:paraId="01A662D5" w14:textId="77777777" w:rsidR="00715C0B" w:rsidRPr="00AC27FF" w:rsidRDefault="00715C0B" w:rsidP="00AC0977">
            <w:pPr>
              <w:rPr>
                <w:b/>
                <w:szCs w:val="24"/>
              </w:rPr>
            </w:pPr>
          </w:p>
        </w:tc>
        <w:tc>
          <w:tcPr>
            <w:tcW w:w="1350" w:type="dxa"/>
            <w:shd w:val="clear" w:color="auto" w:fill="auto"/>
            <w:vAlign w:val="center"/>
          </w:tcPr>
          <w:p w14:paraId="672A273F" w14:textId="77777777" w:rsidR="00715C0B" w:rsidRPr="00AC27FF" w:rsidRDefault="00715C0B" w:rsidP="00AC0977">
            <w:pPr>
              <w:rPr>
                <w:b/>
                <w:szCs w:val="24"/>
              </w:rPr>
            </w:pPr>
            <w:r>
              <w:rPr>
                <w:b/>
                <w:szCs w:val="24"/>
              </w:rPr>
              <w:t>1</w:t>
            </w:r>
          </w:p>
        </w:tc>
        <w:tc>
          <w:tcPr>
            <w:tcW w:w="1440" w:type="dxa"/>
            <w:shd w:val="clear" w:color="auto" w:fill="auto"/>
            <w:vAlign w:val="center"/>
          </w:tcPr>
          <w:p w14:paraId="5730799F" w14:textId="77777777" w:rsidR="00715C0B" w:rsidRPr="00AC27FF" w:rsidRDefault="00715C0B" w:rsidP="00AC0977">
            <w:pPr>
              <w:rPr>
                <w:b/>
                <w:szCs w:val="24"/>
              </w:rPr>
            </w:pPr>
            <w:r>
              <w:rPr>
                <w:b/>
                <w:szCs w:val="24"/>
              </w:rPr>
              <w:t>15</w:t>
            </w:r>
          </w:p>
        </w:tc>
        <w:tc>
          <w:tcPr>
            <w:tcW w:w="1080" w:type="dxa"/>
            <w:shd w:val="clear" w:color="auto" w:fill="auto"/>
            <w:vAlign w:val="center"/>
          </w:tcPr>
          <w:p w14:paraId="79B6B6FA" w14:textId="77777777" w:rsidR="00715C0B" w:rsidRPr="00AC27FF" w:rsidRDefault="00715C0B" w:rsidP="00AC0977">
            <w:pPr>
              <w:rPr>
                <w:b/>
                <w:szCs w:val="24"/>
              </w:rPr>
            </w:pPr>
            <w:r>
              <w:rPr>
                <w:b/>
              </w:rPr>
              <w:t>9,375</w:t>
            </w:r>
          </w:p>
        </w:tc>
        <w:tc>
          <w:tcPr>
            <w:tcW w:w="1710" w:type="dxa"/>
            <w:shd w:val="clear" w:color="auto" w:fill="auto"/>
            <w:vAlign w:val="center"/>
          </w:tcPr>
          <w:p w14:paraId="71969C70" w14:textId="77777777" w:rsidR="00715C0B" w:rsidRPr="00AC27FF" w:rsidRDefault="00715C0B" w:rsidP="00AC0977">
            <w:pPr>
              <w:rPr>
                <w:b/>
                <w:szCs w:val="24"/>
              </w:rPr>
            </w:pPr>
            <w:r w:rsidRPr="00AC27FF">
              <w:rPr>
                <w:b/>
                <w:szCs w:val="24"/>
              </w:rPr>
              <w:t>$</w:t>
            </w:r>
            <w:r>
              <w:rPr>
                <w:b/>
                <w:szCs w:val="24"/>
              </w:rPr>
              <w:t>375,000</w:t>
            </w:r>
          </w:p>
        </w:tc>
      </w:tr>
      <w:tr w:rsidR="00715C0B" w:rsidRPr="00AC27FF" w14:paraId="04A33CFC" w14:textId="77777777" w:rsidTr="00AC0977">
        <w:trPr>
          <w:cantSplit/>
          <w:trHeight w:val="480"/>
        </w:trPr>
        <w:tc>
          <w:tcPr>
            <w:tcW w:w="2265" w:type="dxa"/>
            <w:shd w:val="clear" w:color="auto" w:fill="auto"/>
            <w:vAlign w:val="center"/>
          </w:tcPr>
          <w:p w14:paraId="52DFB54B" w14:textId="77777777" w:rsidR="00715C0B" w:rsidRDefault="00715C0B" w:rsidP="00235CFF">
            <w:pPr>
              <w:rPr>
                <w:b/>
                <w:bCs/>
                <w:szCs w:val="24"/>
                <w:u w:val="single"/>
              </w:rPr>
            </w:pPr>
          </w:p>
          <w:p w14:paraId="6B3ADEAD" w14:textId="3A5380F0" w:rsidR="00715C0B" w:rsidRPr="00AC27FF" w:rsidRDefault="00715C0B" w:rsidP="00974CC4">
            <w:pPr>
              <w:rPr>
                <w:b/>
                <w:bCs/>
                <w:szCs w:val="24"/>
                <w:u w:val="single"/>
              </w:rPr>
            </w:pPr>
            <w:r>
              <w:rPr>
                <w:b/>
                <w:bCs/>
                <w:szCs w:val="24"/>
                <w:u w:val="single"/>
              </w:rPr>
              <w:t>m</w:t>
            </w:r>
            <w:r w:rsidRPr="00AC27FF">
              <w:rPr>
                <w:b/>
                <w:bCs/>
                <w:szCs w:val="24"/>
                <w:u w:val="single"/>
              </w:rPr>
              <w:t xml:space="preserve">. </w:t>
            </w:r>
            <w:r>
              <w:rPr>
                <w:b/>
                <w:bCs/>
                <w:szCs w:val="24"/>
                <w:u w:val="single"/>
              </w:rPr>
              <w:t>Reporting of New Locations by Connect America Fund-Broadband Loop Support (CAF-BLS) Recipients</w:t>
            </w:r>
          </w:p>
        </w:tc>
        <w:tc>
          <w:tcPr>
            <w:tcW w:w="1620" w:type="dxa"/>
            <w:shd w:val="clear" w:color="auto" w:fill="auto"/>
            <w:vAlign w:val="center"/>
          </w:tcPr>
          <w:p w14:paraId="4C7D95BF" w14:textId="77777777" w:rsidR="00715C0B" w:rsidRPr="00AC27FF" w:rsidRDefault="00715C0B" w:rsidP="00AC0977">
            <w:pPr>
              <w:rPr>
                <w:b/>
                <w:szCs w:val="24"/>
              </w:rPr>
            </w:pPr>
            <w:r>
              <w:rPr>
                <w:b/>
                <w:szCs w:val="24"/>
              </w:rPr>
              <w:t>485</w:t>
            </w:r>
          </w:p>
        </w:tc>
        <w:tc>
          <w:tcPr>
            <w:tcW w:w="1350" w:type="dxa"/>
            <w:vAlign w:val="center"/>
          </w:tcPr>
          <w:p w14:paraId="08E6A6D1" w14:textId="77777777" w:rsidR="00715C0B" w:rsidRDefault="00715C0B" w:rsidP="00AC0977">
            <w:pPr>
              <w:rPr>
                <w:b/>
                <w:szCs w:val="24"/>
              </w:rPr>
            </w:pPr>
          </w:p>
        </w:tc>
        <w:tc>
          <w:tcPr>
            <w:tcW w:w="1350" w:type="dxa"/>
            <w:shd w:val="clear" w:color="auto" w:fill="auto"/>
            <w:vAlign w:val="center"/>
          </w:tcPr>
          <w:p w14:paraId="139A5F05" w14:textId="77777777" w:rsidR="00715C0B" w:rsidRPr="00F41E78" w:rsidRDefault="00715C0B" w:rsidP="00AC0977">
            <w:pPr>
              <w:rPr>
                <w:b/>
              </w:rPr>
            </w:pPr>
            <w:r w:rsidRPr="00F41E78">
              <w:rPr>
                <w:b/>
              </w:rPr>
              <w:t>1</w:t>
            </w:r>
          </w:p>
        </w:tc>
        <w:tc>
          <w:tcPr>
            <w:tcW w:w="1440" w:type="dxa"/>
            <w:shd w:val="clear" w:color="auto" w:fill="auto"/>
            <w:vAlign w:val="center"/>
          </w:tcPr>
          <w:p w14:paraId="243BF40C" w14:textId="77777777" w:rsidR="00715C0B" w:rsidRPr="00C01F34" w:rsidRDefault="00715C0B" w:rsidP="00AC0977">
            <w:pPr>
              <w:rPr>
                <w:b/>
                <w:szCs w:val="24"/>
              </w:rPr>
            </w:pPr>
            <w:r>
              <w:rPr>
                <w:b/>
                <w:szCs w:val="24"/>
              </w:rPr>
              <w:t>3</w:t>
            </w:r>
          </w:p>
        </w:tc>
        <w:tc>
          <w:tcPr>
            <w:tcW w:w="1080" w:type="dxa"/>
            <w:shd w:val="clear" w:color="auto" w:fill="auto"/>
            <w:vAlign w:val="center"/>
          </w:tcPr>
          <w:p w14:paraId="2B0E30CD" w14:textId="77777777" w:rsidR="00715C0B" w:rsidRPr="00AC27FF" w:rsidRDefault="00715C0B" w:rsidP="00AC0977">
            <w:pPr>
              <w:rPr>
                <w:b/>
                <w:szCs w:val="24"/>
              </w:rPr>
            </w:pPr>
            <w:r>
              <w:rPr>
                <w:b/>
                <w:szCs w:val="24"/>
              </w:rPr>
              <w:t>1,455</w:t>
            </w:r>
          </w:p>
        </w:tc>
        <w:tc>
          <w:tcPr>
            <w:tcW w:w="1710" w:type="dxa"/>
            <w:shd w:val="clear" w:color="auto" w:fill="auto"/>
            <w:vAlign w:val="center"/>
          </w:tcPr>
          <w:p w14:paraId="5A72E40A" w14:textId="77777777" w:rsidR="00715C0B" w:rsidRPr="00AC27FF" w:rsidRDefault="00715C0B" w:rsidP="00AC0977">
            <w:pPr>
              <w:rPr>
                <w:b/>
                <w:szCs w:val="24"/>
              </w:rPr>
            </w:pPr>
            <w:r w:rsidRPr="00AC27FF">
              <w:rPr>
                <w:b/>
                <w:szCs w:val="24"/>
              </w:rPr>
              <w:t>$</w:t>
            </w:r>
            <w:r>
              <w:rPr>
                <w:b/>
                <w:szCs w:val="24"/>
              </w:rPr>
              <w:t>58,200</w:t>
            </w:r>
          </w:p>
        </w:tc>
      </w:tr>
      <w:tr w:rsidR="00715C0B" w:rsidRPr="00AC27FF" w14:paraId="105B86D0" w14:textId="77777777" w:rsidTr="00D87D19">
        <w:trPr>
          <w:cantSplit/>
          <w:trHeight w:val="255"/>
        </w:trPr>
        <w:tc>
          <w:tcPr>
            <w:tcW w:w="2265" w:type="dxa"/>
            <w:shd w:val="clear" w:color="auto" w:fill="auto"/>
            <w:vAlign w:val="center"/>
          </w:tcPr>
          <w:p w14:paraId="6122F3B6" w14:textId="77777777" w:rsidR="00715C0B" w:rsidRDefault="00715C0B" w:rsidP="00235CFF">
            <w:pPr>
              <w:rPr>
                <w:b/>
                <w:bCs/>
                <w:szCs w:val="24"/>
                <w:u w:val="single"/>
              </w:rPr>
            </w:pPr>
          </w:p>
          <w:p w14:paraId="14EC66A9" w14:textId="355F45B7" w:rsidR="00715C0B" w:rsidRPr="00AC27FF" w:rsidRDefault="00715C0B" w:rsidP="00974CC4">
            <w:pPr>
              <w:rPr>
                <w:szCs w:val="24"/>
              </w:rPr>
            </w:pPr>
            <w:r>
              <w:rPr>
                <w:b/>
                <w:bCs/>
                <w:szCs w:val="24"/>
                <w:u w:val="single"/>
              </w:rPr>
              <w:t>n</w:t>
            </w:r>
            <w:r w:rsidRPr="00AC27FF">
              <w:rPr>
                <w:b/>
                <w:bCs/>
                <w:szCs w:val="24"/>
                <w:u w:val="single"/>
              </w:rPr>
              <w:t xml:space="preserve">. </w:t>
            </w:r>
            <w:r>
              <w:rPr>
                <w:b/>
                <w:bCs/>
                <w:szCs w:val="24"/>
                <w:u w:val="single"/>
              </w:rPr>
              <w:t>Additional Annual Reporting for Rural Broadband Experiments</w:t>
            </w:r>
          </w:p>
        </w:tc>
        <w:tc>
          <w:tcPr>
            <w:tcW w:w="1620" w:type="dxa"/>
            <w:shd w:val="clear" w:color="auto" w:fill="auto"/>
            <w:vAlign w:val="center"/>
          </w:tcPr>
          <w:p w14:paraId="4C2B1731" w14:textId="77777777" w:rsidR="00715C0B" w:rsidRPr="00AC27FF" w:rsidRDefault="00715C0B" w:rsidP="00D87D19">
            <w:pPr>
              <w:rPr>
                <w:b/>
                <w:szCs w:val="24"/>
              </w:rPr>
            </w:pPr>
            <w:r>
              <w:rPr>
                <w:b/>
                <w:szCs w:val="24"/>
              </w:rPr>
              <w:t>20</w:t>
            </w:r>
          </w:p>
        </w:tc>
        <w:tc>
          <w:tcPr>
            <w:tcW w:w="1350" w:type="dxa"/>
            <w:vAlign w:val="center"/>
          </w:tcPr>
          <w:p w14:paraId="2C259CAD" w14:textId="77777777" w:rsidR="00715C0B" w:rsidRPr="00AC27FF" w:rsidRDefault="00715C0B" w:rsidP="00D87D19">
            <w:pPr>
              <w:rPr>
                <w:b/>
                <w:szCs w:val="24"/>
              </w:rPr>
            </w:pPr>
          </w:p>
        </w:tc>
        <w:tc>
          <w:tcPr>
            <w:tcW w:w="1350" w:type="dxa"/>
            <w:shd w:val="clear" w:color="auto" w:fill="auto"/>
            <w:vAlign w:val="center"/>
          </w:tcPr>
          <w:p w14:paraId="39F86593" w14:textId="77777777" w:rsidR="00715C0B" w:rsidRPr="00C01F34" w:rsidRDefault="00715C0B" w:rsidP="00D87D19">
            <w:pPr>
              <w:rPr>
                <w:b/>
                <w:szCs w:val="24"/>
              </w:rPr>
            </w:pPr>
            <w:r>
              <w:rPr>
                <w:b/>
                <w:szCs w:val="24"/>
              </w:rPr>
              <w:t>1</w:t>
            </w:r>
          </w:p>
        </w:tc>
        <w:tc>
          <w:tcPr>
            <w:tcW w:w="1440" w:type="dxa"/>
            <w:shd w:val="clear" w:color="auto" w:fill="auto"/>
            <w:vAlign w:val="center"/>
          </w:tcPr>
          <w:p w14:paraId="095D923F" w14:textId="77777777" w:rsidR="00715C0B" w:rsidRPr="00C01F34" w:rsidRDefault="00715C0B" w:rsidP="00D87D19">
            <w:pPr>
              <w:rPr>
                <w:b/>
                <w:szCs w:val="24"/>
              </w:rPr>
            </w:pPr>
            <w:r>
              <w:rPr>
                <w:b/>
                <w:szCs w:val="24"/>
              </w:rPr>
              <w:t>3</w:t>
            </w:r>
          </w:p>
        </w:tc>
        <w:tc>
          <w:tcPr>
            <w:tcW w:w="1080" w:type="dxa"/>
            <w:shd w:val="clear" w:color="auto" w:fill="auto"/>
            <w:vAlign w:val="center"/>
          </w:tcPr>
          <w:p w14:paraId="65C02631" w14:textId="77777777" w:rsidR="00715C0B" w:rsidRPr="00AC27FF" w:rsidRDefault="00715C0B" w:rsidP="00D87D19">
            <w:pPr>
              <w:rPr>
                <w:b/>
                <w:szCs w:val="24"/>
              </w:rPr>
            </w:pPr>
            <w:r>
              <w:rPr>
                <w:b/>
                <w:szCs w:val="24"/>
              </w:rPr>
              <w:t>60</w:t>
            </w:r>
          </w:p>
        </w:tc>
        <w:tc>
          <w:tcPr>
            <w:tcW w:w="1710" w:type="dxa"/>
            <w:shd w:val="clear" w:color="auto" w:fill="auto"/>
            <w:vAlign w:val="center"/>
          </w:tcPr>
          <w:p w14:paraId="1786258E" w14:textId="77777777" w:rsidR="00715C0B" w:rsidRPr="00AC27FF" w:rsidRDefault="00715C0B" w:rsidP="00D87D19">
            <w:pPr>
              <w:rPr>
                <w:b/>
                <w:szCs w:val="24"/>
              </w:rPr>
            </w:pPr>
            <w:r w:rsidRPr="00AC27FF">
              <w:rPr>
                <w:b/>
                <w:szCs w:val="24"/>
              </w:rPr>
              <w:t>$</w:t>
            </w:r>
            <w:r>
              <w:rPr>
                <w:b/>
                <w:szCs w:val="24"/>
              </w:rPr>
              <w:t>2,400</w:t>
            </w:r>
          </w:p>
        </w:tc>
      </w:tr>
      <w:tr w:rsidR="00715C0B" w:rsidRPr="00AC27FF" w14:paraId="25B4178C" w14:textId="77777777" w:rsidTr="00D87D19">
        <w:trPr>
          <w:cantSplit/>
          <w:trHeight w:val="255"/>
        </w:trPr>
        <w:tc>
          <w:tcPr>
            <w:tcW w:w="2265" w:type="dxa"/>
            <w:shd w:val="clear" w:color="auto" w:fill="auto"/>
            <w:vAlign w:val="center"/>
          </w:tcPr>
          <w:p w14:paraId="6D044875" w14:textId="77777777" w:rsidR="00715C0B" w:rsidRPr="00AC27FF" w:rsidRDefault="00715C0B" w:rsidP="00235CFF">
            <w:pPr>
              <w:rPr>
                <w:b/>
                <w:bCs/>
                <w:szCs w:val="24"/>
                <w:u w:val="single"/>
              </w:rPr>
            </w:pPr>
          </w:p>
        </w:tc>
        <w:tc>
          <w:tcPr>
            <w:tcW w:w="1620" w:type="dxa"/>
            <w:shd w:val="clear" w:color="auto" w:fill="auto"/>
            <w:vAlign w:val="center"/>
          </w:tcPr>
          <w:p w14:paraId="585C9E6C" w14:textId="77777777" w:rsidR="00715C0B" w:rsidRPr="00AC27FF" w:rsidRDefault="00715C0B" w:rsidP="00D87D19">
            <w:pPr>
              <w:rPr>
                <w:b/>
                <w:szCs w:val="24"/>
              </w:rPr>
            </w:pPr>
          </w:p>
        </w:tc>
        <w:tc>
          <w:tcPr>
            <w:tcW w:w="1350" w:type="dxa"/>
            <w:vAlign w:val="center"/>
          </w:tcPr>
          <w:p w14:paraId="7436810E" w14:textId="77777777" w:rsidR="00715C0B" w:rsidRPr="00AC27FF" w:rsidRDefault="00715C0B" w:rsidP="00D87D19">
            <w:pPr>
              <w:rPr>
                <w:b/>
                <w:szCs w:val="24"/>
              </w:rPr>
            </w:pPr>
          </w:p>
        </w:tc>
        <w:tc>
          <w:tcPr>
            <w:tcW w:w="1350" w:type="dxa"/>
            <w:shd w:val="clear" w:color="auto" w:fill="auto"/>
            <w:vAlign w:val="center"/>
          </w:tcPr>
          <w:p w14:paraId="6A01DE89" w14:textId="77777777" w:rsidR="00715C0B" w:rsidRPr="00AC27FF" w:rsidRDefault="00715C0B" w:rsidP="00D87D19">
            <w:pPr>
              <w:rPr>
                <w:b/>
                <w:szCs w:val="24"/>
              </w:rPr>
            </w:pPr>
          </w:p>
        </w:tc>
        <w:tc>
          <w:tcPr>
            <w:tcW w:w="1440" w:type="dxa"/>
            <w:shd w:val="clear" w:color="auto" w:fill="auto"/>
            <w:vAlign w:val="center"/>
          </w:tcPr>
          <w:p w14:paraId="64C30FB3" w14:textId="77777777" w:rsidR="00715C0B" w:rsidRPr="00AC27FF" w:rsidRDefault="00715C0B" w:rsidP="00D87D19">
            <w:pPr>
              <w:rPr>
                <w:b/>
                <w:szCs w:val="24"/>
              </w:rPr>
            </w:pPr>
          </w:p>
        </w:tc>
        <w:tc>
          <w:tcPr>
            <w:tcW w:w="1080" w:type="dxa"/>
            <w:shd w:val="clear" w:color="auto" w:fill="auto"/>
            <w:vAlign w:val="center"/>
          </w:tcPr>
          <w:p w14:paraId="2A3E2F61" w14:textId="77777777" w:rsidR="00715C0B" w:rsidRPr="00AC27FF" w:rsidRDefault="00715C0B" w:rsidP="00D87D19">
            <w:pPr>
              <w:rPr>
                <w:b/>
                <w:szCs w:val="24"/>
              </w:rPr>
            </w:pPr>
          </w:p>
        </w:tc>
        <w:tc>
          <w:tcPr>
            <w:tcW w:w="1710" w:type="dxa"/>
            <w:shd w:val="clear" w:color="auto" w:fill="auto"/>
            <w:vAlign w:val="center"/>
          </w:tcPr>
          <w:p w14:paraId="2EAC5E8D" w14:textId="77777777" w:rsidR="00715C0B" w:rsidRPr="00AC27FF" w:rsidRDefault="00715C0B" w:rsidP="00D87D19">
            <w:pPr>
              <w:rPr>
                <w:b/>
                <w:szCs w:val="24"/>
              </w:rPr>
            </w:pPr>
          </w:p>
        </w:tc>
      </w:tr>
      <w:tr w:rsidR="003A650B" w:rsidRPr="00AC27FF" w14:paraId="2F1B7E04" w14:textId="77777777" w:rsidTr="00D87D19">
        <w:trPr>
          <w:cantSplit/>
          <w:trHeight w:val="255"/>
        </w:trPr>
        <w:tc>
          <w:tcPr>
            <w:tcW w:w="2265" w:type="dxa"/>
            <w:shd w:val="clear" w:color="auto" w:fill="auto"/>
            <w:vAlign w:val="center"/>
          </w:tcPr>
          <w:p w14:paraId="12FCE5AC" w14:textId="5125C364" w:rsidR="00857798" w:rsidRPr="00235CFF" w:rsidRDefault="00857798" w:rsidP="00235CFF">
            <w:pPr>
              <w:rPr>
                <w:b/>
                <w:bCs/>
                <w:szCs w:val="24"/>
                <w:u w:val="single"/>
              </w:rPr>
            </w:pPr>
          </w:p>
          <w:p w14:paraId="2F1B7DFD" w14:textId="2A1B4199" w:rsidR="006055E9" w:rsidRPr="00974CC4" w:rsidRDefault="00715C0B" w:rsidP="00235CFF">
            <w:pPr>
              <w:rPr>
                <w:b/>
                <w:bCs/>
                <w:szCs w:val="24"/>
                <w:u w:val="single"/>
              </w:rPr>
            </w:pPr>
            <w:r>
              <w:rPr>
                <w:b/>
                <w:bCs/>
                <w:szCs w:val="24"/>
                <w:u w:val="single"/>
              </w:rPr>
              <w:t>o</w:t>
            </w:r>
            <w:r w:rsidR="003A650B" w:rsidRPr="00235CFF">
              <w:rPr>
                <w:b/>
                <w:bCs/>
                <w:szCs w:val="24"/>
                <w:u w:val="single"/>
              </w:rPr>
              <w:t xml:space="preserve">. </w:t>
            </w:r>
            <w:r w:rsidR="00D05505" w:rsidRPr="00235CFF">
              <w:rPr>
                <w:b/>
                <w:bCs/>
                <w:szCs w:val="24"/>
                <w:u w:val="single"/>
              </w:rPr>
              <w:t>Newly Available Backhaul Reporting for Alaska Plan Participants</w:t>
            </w:r>
          </w:p>
        </w:tc>
        <w:tc>
          <w:tcPr>
            <w:tcW w:w="1620" w:type="dxa"/>
            <w:shd w:val="clear" w:color="auto" w:fill="auto"/>
            <w:vAlign w:val="center"/>
          </w:tcPr>
          <w:p w14:paraId="2F1B7DFE" w14:textId="72B04D1E" w:rsidR="003A650B" w:rsidRPr="00AC27FF" w:rsidRDefault="00D05505" w:rsidP="00D87D19">
            <w:pPr>
              <w:rPr>
                <w:b/>
                <w:szCs w:val="24"/>
              </w:rPr>
            </w:pPr>
            <w:r>
              <w:rPr>
                <w:b/>
                <w:szCs w:val="24"/>
              </w:rPr>
              <w:t>21</w:t>
            </w:r>
          </w:p>
        </w:tc>
        <w:tc>
          <w:tcPr>
            <w:tcW w:w="1350" w:type="dxa"/>
            <w:vAlign w:val="center"/>
          </w:tcPr>
          <w:p w14:paraId="2F1B7DFF" w14:textId="77777777" w:rsidR="003A650B" w:rsidRDefault="003A650B" w:rsidP="00D87D19">
            <w:pPr>
              <w:rPr>
                <w:b/>
                <w:szCs w:val="24"/>
              </w:rPr>
            </w:pPr>
          </w:p>
        </w:tc>
        <w:tc>
          <w:tcPr>
            <w:tcW w:w="1350" w:type="dxa"/>
            <w:shd w:val="clear" w:color="auto" w:fill="auto"/>
            <w:vAlign w:val="center"/>
          </w:tcPr>
          <w:p w14:paraId="2F1B7E00" w14:textId="7FEBE3D4" w:rsidR="003A650B" w:rsidRPr="00AC27FF" w:rsidRDefault="00D05505" w:rsidP="00D87D19">
            <w:pPr>
              <w:rPr>
                <w:b/>
                <w:szCs w:val="24"/>
              </w:rPr>
            </w:pPr>
            <w:r>
              <w:rPr>
                <w:b/>
                <w:szCs w:val="24"/>
              </w:rPr>
              <w:t>1</w:t>
            </w:r>
          </w:p>
        </w:tc>
        <w:tc>
          <w:tcPr>
            <w:tcW w:w="1440" w:type="dxa"/>
            <w:shd w:val="clear" w:color="auto" w:fill="auto"/>
            <w:vAlign w:val="center"/>
          </w:tcPr>
          <w:p w14:paraId="2F1B7E01" w14:textId="708B5D20" w:rsidR="003A650B" w:rsidRPr="00AC27FF" w:rsidRDefault="002814DB" w:rsidP="00D87D19">
            <w:pPr>
              <w:rPr>
                <w:b/>
                <w:szCs w:val="24"/>
              </w:rPr>
            </w:pPr>
            <w:r>
              <w:rPr>
                <w:b/>
                <w:szCs w:val="24"/>
              </w:rPr>
              <w:t>7</w:t>
            </w:r>
          </w:p>
        </w:tc>
        <w:tc>
          <w:tcPr>
            <w:tcW w:w="1080" w:type="dxa"/>
            <w:shd w:val="clear" w:color="auto" w:fill="auto"/>
            <w:vAlign w:val="center"/>
          </w:tcPr>
          <w:p w14:paraId="2F1B7E02" w14:textId="2D807DC0" w:rsidR="003A650B" w:rsidRPr="00AC27FF" w:rsidRDefault="002814DB" w:rsidP="00D87D19">
            <w:pPr>
              <w:rPr>
                <w:b/>
                <w:szCs w:val="24"/>
              </w:rPr>
            </w:pPr>
            <w:r>
              <w:rPr>
                <w:b/>
                <w:szCs w:val="24"/>
              </w:rPr>
              <w:t>147</w:t>
            </w:r>
          </w:p>
        </w:tc>
        <w:tc>
          <w:tcPr>
            <w:tcW w:w="1710" w:type="dxa"/>
            <w:shd w:val="clear" w:color="auto" w:fill="auto"/>
            <w:vAlign w:val="center"/>
          </w:tcPr>
          <w:p w14:paraId="2F1B7E03" w14:textId="35650299" w:rsidR="003A650B" w:rsidRPr="00AC27FF" w:rsidRDefault="003A650B" w:rsidP="00D87D19">
            <w:pPr>
              <w:rPr>
                <w:b/>
                <w:szCs w:val="24"/>
              </w:rPr>
            </w:pPr>
            <w:r w:rsidRPr="00AC27FF">
              <w:rPr>
                <w:b/>
                <w:szCs w:val="24"/>
              </w:rPr>
              <w:t>$</w:t>
            </w:r>
            <w:r w:rsidR="002814DB">
              <w:rPr>
                <w:b/>
                <w:szCs w:val="24"/>
              </w:rPr>
              <w:t>5,880</w:t>
            </w:r>
          </w:p>
        </w:tc>
      </w:tr>
      <w:tr w:rsidR="006055E9" w:rsidRPr="00AC27FF" w14:paraId="7370D57F" w14:textId="77777777" w:rsidTr="00D87D19">
        <w:trPr>
          <w:cantSplit/>
          <w:trHeight w:val="360"/>
        </w:trPr>
        <w:tc>
          <w:tcPr>
            <w:tcW w:w="2265" w:type="dxa"/>
            <w:shd w:val="clear" w:color="auto" w:fill="auto"/>
            <w:vAlign w:val="center"/>
          </w:tcPr>
          <w:p w14:paraId="5767D871" w14:textId="77777777" w:rsidR="006055E9" w:rsidRDefault="006055E9" w:rsidP="00235CFF">
            <w:pPr>
              <w:rPr>
                <w:b/>
                <w:bCs/>
                <w:szCs w:val="24"/>
                <w:u w:val="single"/>
              </w:rPr>
            </w:pPr>
          </w:p>
        </w:tc>
        <w:tc>
          <w:tcPr>
            <w:tcW w:w="1620" w:type="dxa"/>
            <w:shd w:val="clear" w:color="auto" w:fill="auto"/>
            <w:vAlign w:val="center"/>
          </w:tcPr>
          <w:p w14:paraId="45E75B90" w14:textId="77777777" w:rsidR="006055E9" w:rsidRDefault="006055E9" w:rsidP="00D87D19">
            <w:pPr>
              <w:rPr>
                <w:b/>
                <w:szCs w:val="24"/>
              </w:rPr>
            </w:pPr>
          </w:p>
        </w:tc>
        <w:tc>
          <w:tcPr>
            <w:tcW w:w="1350" w:type="dxa"/>
            <w:vAlign w:val="center"/>
          </w:tcPr>
          <w:p w14:paraId="57B08E75" w14:textId="77777777" w:rsidR="006055E9" w:rsidRDefault="006055E9" w:rsidP="00D87D19">
            <w:pPr>
              <w:rPr>
                <w:b/>
                <w:szCs w:val="24"/>
              </w:rPr>
            </w:pPr>
          </w:p>
        </w:tc>
        <w:tc>
          <w:tcPr>
            <w:tcW w:w="1350" w:type="dxa"/>
            <w:shd w:val="clear" w:color="auto" w:fill="auto"/>
            <w:vAlign w:val="center"/>
          </w:tcPr>
          <w:p w14:paraId="2B5614F8" w14:textId="77777777" w:rsidR="006055E9" w:rsidRDefault="006055E9" w:rsidP="00D87D19">
            <w:pPr>
              <w:rPr>
                <w:b/>
              </w:rPr>
            </w:pPr>
          </w:p>
        </w:tc>
        <w:tc>
          <w:tcPr>
            <w:tcW w:w="1440" w:type="dxa"/>
            <w:shd w:val="clear" w:color="auto" w:fill="auto"/>
            <w:vAlign w:val="center"/>
          </w:tcPr>
          <w:p w14:paraId="206F283E" w14:textId="77777777" w:rsidR="006055E9" w:rsidRDefault="006055E9" w:rsidP="00D87D19">
            <w:pPr>
              <w:rPr>
                <w:b/>
                <w:szCs w:val="24"/>
              </w:rPr>
            </w:pPr>
          </w:p>
        </w:tc>
        <w:tc>
          <w:tcPr>
            <w:tcW w:w="1080" w:type="dxa"/>
            <w:shd w:val="clear" w:color="auto" w:fill="auto"/>
            <w:vAlign w:val="center"/>
          </w:tcPr>
          <w:p w14:paraId="63678433" w14:textId="77777777" w:rsidR="006055E9" w:rsidRDefault="006055E9" w:rsidP="00D87D19">
            <w:pPr>
              <w:rPr>
                <w:b/>
                <w:szCs w:val="24"/>
              </w:rPr>
            </w:pPr>
          </w:p>
        </w:tc>
        <w:tc>
          <w:tcPr>
            <w:tcW w:w="1710" w:type="dxa"/>
            <w:shd w:val="clear" w:color="auto" w:fill="auto"/>
            <w:vAlign w:val="center"/>
          </w:tcPr>
          <w:p w14:paraId="154782C7" w14:textId="77777777" w:rsidR="006055E9" w:rsidRDefault="006055E9" w:rsidP="00D87D19">
            <w:pPr>
              <w:rPr>
                <w:b/>
                <w:szCs w:val="24"/>
              </w:rPr>
            </w:pPr>
          </w:p>
        </w:tc>
      </w:tr>
      <w:tr w:rsidR="00B73C4B" w:rsidRPr="00AC27FF" w14:paraId="1BDDC0A1" w14:textId="77777777" w:rsidTr="00D87D19">
        <w:trPr>
          <w:cantSplit/>
          <w:trHeight w:val="1800"/>
        </w:trPr>
        <w:tc>
          <w:tcPr>
            <w:tcW w:w="2265" w:type="dxa"/>
            <w:shd w:val="clear" w:color="auto" w:fill="auto"/>
            <w:vAlign w:val="center"/>
          </w:tcPr>
          <w:p w14:paraId="598976DF" w14:textId="17FC8629" w:rsidR="00E22768" w:rsidRDefault="00E22768" w:rsidP="00235CFF">
            <w:pPr>
              <w:rPr>
                <w:b/>
                <w:bCs/>
                <w:szCs w:val="24"/>
                <w:u w:val="single"/>
              </w:rPr>
            </w:pPr>
          </w:p>
          <w:p w14:paraId="4BA68153" w14:textId="502A8F79" w:rsidR="00715C0B" w:rsidRPr="00D87D19" w:rsidRDefault="00715C0B" w:rsidP="00974CC4">
            <w:pPr>
              <w:rPr>
                <w:b/>
                <w:u w:val="single"/>
              </w:rPr>
            </w:pPr>
            <w:r>
              <w:rPr>
                <w:b/>
                <w:bCs/>
                <w:szCs w:val="24"/>
                <w:u w:val="single"/>
              </w:rPr>
              <w:t>p</w:t>
            </w:r>
            <w:r w:rsidR="00B73C4B">
              <w:rPr>
                <w:b/>
                <w:bCs/>
                <w:szCs w:val="24"/>
                <w:u w:val="single"/>
              </w:rPr>
              <w:t xml:space="preserve">. </w:t>
            </w:r>
            <w:r w:rsidR="005C6BC0">
              <w:rPr>
                <w:b/>
                <w:bCs/>
                <w:szCs w:val="24"/>
                <w:u w:val="single"/>
              </w:rPr>
              <w:t>Capital Expenditure Documentation for Rate-of-Return and Competitive ETC Alaska Plan Participants</w:t>
            </w:r>
          </w:p>
        </w:tc>
        <w:tc>
          <w:tcPr>
            <w:tcW w:w="1620" w:type="dxa"/>
            <w:shd w:val="clear" w:color="auto" w:fill="auto"/>
            <w:vAlign w:val="center"/>
          </w:tcPr>
          <w:p w14:paraId="4DBC2BA3" w14:textId="0BCEFF22" w:rsidR="00B73C4B" w:rsidRDefault="005C6BC0" w:rsidP="00D87D19">
            <w:pPr>
              <w:rPr>
                <w:b/>
                <w:szCs w:val="24"/>
              </w:rPr>
            </w:pPr>
            <w:r>
              <w:rPr>
                <w:b/>
                <w:szCs w:val="24"/>
              </w:rPr>
              <w:t>13</w:t>
            </w:r>
          </w:p>
        </w:tc>
        <w:tc>
          <w:tcPr>
            <w:tcW w:w="1350" w:type="dxa"/>
            <w:vAlign w:val="center"/>
          </w:tcPr>
          <w:p w14:paraId="46E2E7ED" w14:textId="77777777" w:rsidR="00B73C4B" w:rsidRDefault="00B73C4B" w:rsidP="00D87D19">
            <w:pPr>
              <w:rPr>
                <w:b/>
                <w:szCs w:val="24"/>
              </w:rPr>
            </w:pPr>
          </w:p>
        </w:tc>
        <w:tc>
          <w:tcPr>
            <w:tcW w:w="1350" w:type="dxa"/>
            <w:shd w:val="clear" w:color="auto" w:fill="auto"/>
            <w:vAlign w:val="center"/>
          </w:tcPr>
          <w:p w14:paraId="09E85587" w14:textId="405B2F3D" w:rsidR="00B73C4B" w:rsidRPr="00F41E78" w:rsidRDefault="005C6BC0" w:rsidP="00D87D19">
            <w:pPr>
              <w:rPr>
                <w:b/>
              </w:rPr>
            </w:pPr>
            <w:r>
              <w:rPr>
                <w:b/>
              </w:rPr>
              <w:t>1</w:t>
            </w:r>
          </w:p>
        </w:tc>
        <w:tc>
          <w:tcPr>
            <w:tcW w:w="1440" w:type="dxa"/>
            <w:shd w:val="clear" w:color="auto" w:fill="auto"/>
            <w:vAlign w:val="center"/>
          </w:tcPr>
          <w:p w14:paraId="3125DB22" w14:textId="05301619" w:rsidR="00B73C4B" w:rsidRPr="00C01F34" w:rsidRDefault="005C6BC0" w:rsidP="00D87D19">
            <w:pPr>
              <w:rPr>
                <w:b/>
                <w:szCs w:val="24"/>
              </w:rPr>
            </w:pPr>
            <w:r>
              <w:rPr>
                <w:b/>
                <w:szCs w:val="24"/>
              </w:rPr>
              <w:t>2</w:t>
            </w:r>
          </w:p>
        </w:tc>
        <w:tc>
          <w:tcPr>
            <w:tcW w:w="1080" w:type="dxa"/>
            <w:shd w:val="clear" w:color="auto" w:fill="auto"/>
            <w:vAlign w:val="center"/>
          </w:tcPr>
          <w:p w14:paraId="14547EF2" w14:textId="1F1E7D97" w:rsidR="00B73C4B" w:rsidRDefault="005C6BC0" w:rsidP="00D87D19">
            <w:pPr>
              <w:rPr>
                <w:b/>
                <w:szCs w:val="24"/>
              </w:rPr>
            </w:pPr>
            <w:r>
              <w:rPr>
                <w:b/>
                <w:szCs w:val="24"/>
              </w:rPr>
              <w:t>26</w:t>
            </w:r>
          </w:p>
        </w:tc>
        <w:tc>
          <w:tcPr>
            <w:tcW w:w="1710" w:type="dxa"/>
            <w:shd w:val="clear" w:color="auto" w:fill="auto"/>
            <w:vAlign w:val="center"/>
          </w:tcPr>
          <w:p w14:paraId="27980399" w14:textId="6FC4D335" w:rsidR="00B73C4B" w:rsidRDefault="00B73C4B" w:rsidP="00AC0977">
            <w:pPr>
              <w:rPr>
                <w:b/>
                <w:szCs w:val="24"/>
              </w:rPr>
            </w:pPr>
            <w:r>
              <w:rPr>
                <w:b/>
                <w:szCs w:val="24"/>
              </w:rPr>
              <w:t>$</w:t>
            </w:r>
            <w:r w:rsidR="005C6BC0">
              <w:rPr>
                <w:b/>
                <w:szCs w:val="24"/>
              </w:rPr>
              <w:t>1,040</w:t>
            </w:r>
          </w:p>
          <w:p w14:paraId="0896CA5B" w14:textId="40736FE2" w:rsidR="00715C0B" w:rsidRPr="00AC27FF" w:rsidRDefault="00715C0B" w:rsidP="00D87D19">
            <w:pPr>
              <w:rPr>
                <w:b/>
                <w:szCs w:val="24"/>
              </w:rPr>
            </w:pPr>
          </w:p>
        </w:tc>
      </w:tr>
      <w:tr w:rsidR="00715C0B" w:rsidRPr="00AC27FF" w14:paraId="1A406C79" w14:textId="77777777" w:rsidTr="00D87D19">
        <w:trPr>
          <w:cantSplit/>
          <w:trHeight w:val="510"/>
        </w:trPr>
        <w:tc>
          <w:tcPr>
            <w:tcW w:w="2265" w:type="dxa"/>
            <w:shd w:val="clear" w:color="auto" w:fill="auto"/>
            <w:vAlign w:val="center"/>
          </w:tcPr>
          <w:p w14:paraId="4A6A5602" w14:textId="385494DB" w:rsidR="00715C0B" w:rsidRDefault="00715C0B" w:rsidP="00235CFF">
            <w:pPr>
              <w:rPr>
                <w:b/>
                <w:bCs/>
                <w:szCs w:val="24"/>
                <w:u w:val="single"/>
              </w:rPr>
            </w:pPr>
          </w:p>
          <w:p w14:paraId="56BDB888" w14:textId="106A5A40" w:rsidR="00715C0B" w:rsidRPr="00AC27FF" w:rsidRDefault="00715C0B" w:rsidP="00974CC4">
            <w:pPr>
              <w:rPr>
                <w:b/>
                <w:szCs w:val="24"/>
              </w:rPr>
            </w:pPr>
            <w:r>
              <w:rPr>
                <w:b/>
                <w:bCs/>
                <w:szCs w:val="24"/>
                <w:u w:val="single"/>
              </w:rPr>
              <w:t>q</w:t>
            </w:r>
            <w:r w:rsidRPr="00AC27FF">
              <w:rPr>
                <w:b/>
                <w:bCs/>
                <w:szCs w:val="24"/>
                <w:u w:val="single"/>
              </w:rPr>
              <w:t xml:space="preserve">. </w:t>
            </w:r>
            <w:r>
              <w:rPr>
                <w:b/>
                <w:bCs/>
                <w:szCs w:val="24"/>
                <w:u w:val="single"/>
              </w:rPr>
              <w:t>Residential Rate Updates</w:t>
            </w:r>
          </w:p>
        </w:tc>
        <w:tc>
          <w:tcPr>
            <w:tcW w:w="1620" w:type="dxa"/>
            <w:shd w:val="clear" w:color="auto" w:fill="auto"/>
            <w:vAlign w:val="center"/>
          </w:tcPr>
          <w:p w14:paraId="475D1C76" w14:textId="77777777" w:rsidR="00715C0B" w:rsidRPr="00AC27FF" w:rsidRDefault="00715C0B" w:rsidP="00D87D19">
            <w:pPr>
              <w:rPr>
                <w:b/>
                <w:szCs w:val="24"/>
              </w:rPr>
            </w:pPr>
            <w:r>
              <w:rPr>
                <w:b/>
                <w:szCs w:val="24"/>
              </w:rPr>
              <w:t>20</w:t>
            </w:r>
          </w:p>
        </w:tc>
        <w:tc>
          <w:tcPr>
            <w:tcW w:w="1350" w:type="dxa"/>
            <w:vAlign w:val="center"/>
          </w:tcPr>
          <w:p w14:paraId="5A19B9A6" w14:textId="77777777" w:rsidR="00715C0B" w:rsidRPr="00AC27FF" w:rsidRDefault="00715C0B" w:rsidP="00D87D19">
            <w:pPr>
              <w:rPr>
                <w:b/>
                <w:szCs w:val="24"/>
              </w:rPr>
            </w:pPr>
          </w:p>
        </w:tc>
        <w:tc>
          <w:tcPr>
            <w:tcW w:w="1350" w:type="dxa"/>
            <w:shd w:val="clear" w:color="auto" w:fill="auto"/>
            <w:vAlign w:val="center"/>
          </w:tcPr>
          <w:p w14:paraId="27F40CE4" w14:textId="77777777" w:rsidR="00715C0B" w:rsidRPr="00AC27FF" w:rsidRDefault="00715C0B" w:rsidP="00D87D19">
            <w:pPr>
              <w:rPr>
                <w:b/>
                <w:szCs w:val="24"/>
              </w:rPr>
            </w:pPr>
            <w:r>
              <w:rPr>
                <w:b/>
                <w:szCs w:val="24"/>
              </w:rPr>
              <w:t>1</w:t>
            </w:r>
          </w:p>
        </w:tc>
        <w:tc>
          <w:tcPr>
            <w:tcW w:w="1440" w:type="dxa"/>
            <w:shd w:val="clear" w:color="auto" w:fill="auto"/>
            <w:vAlign w:val="center"/>
          </w:tcPr>
          <w:p w14:paraId="589F5CC5" w14:textId="77777777" w:rsidR="00715C0B" w:rsidRPr="00AC27FF" w:rsidRDefault="00715C0B" w:rsidP="00D87D19">
            <w:pPr>
              <w:rPr>
                <w:b/>
                <w:szCs w:val="24"/>
              </w:rPr>
            </w:pPr>
            <w:r>
              <w:rPr>
                <w:b/>
                <w:szCs w:val="24"/>
              </w:rPr>
              <w:t>4</w:t>
            </w:r>
          </w:p>
        </w:tc>
        <w:tc>
          <w:tcPr>
            <w:tcW w:w="1080" w:type="dxa"/>
            <w:shd w:val="clear" w:color="auto" w:fill="auto"/>
            <w:vAlign w:val="center"/>
          </w:tcPr>
          <w:p w14:paraId="74B6D884" w14:textId="77777777" w:rsidR="00715C0B" w:rsidRPr="00AC27FF" w:rsidRDefault="00715C0B" w:rsidP="00D87D19">
            <w:pPr>
              <w:rPr>
                <w:b/>
                <w:szCs w:val="24"/>
              </w:rPr>
            </w:pPr>
            <w:r>
              <w:rPr>
                <w:b/>
                <w:szCs w:val="24"/>
              </w:rPr>
              <w:t>80</w:t>
            </w:r>
          </w:p>
        </w:tc>
        <w:tc>
          <w:tcPr>
            <w:tcW w:w="1710" w:type="dxa"/>
            <w:shd w:val="clear" w:color="auto" w:fill="auto"/>
            <w:vAlign w:val="center"/>
          </w:tcPr>
          <w:p w14:paraId="259D2FD3" w14:textId="77777777" w:rsidR="00715C0B" w:rsidRPr="00AC27FF" w:rsidRDefault="00715C0B" w:rsidP="00D87D19">
            <w:pPr>
              <w:rPr>
                <w:b/>
                <w:szCs w:val="24"/>
              </w:rPr>
            </w:pPr>
            <w:r w:rsidRPr="00AC27FF">
              <w:rPr>
                <w:b/>
                <w:szCs w:val="24"/>
              </w:rPr>
              <w:t>$</w:t>
            </w:r>
            <w:r>
              <w:rPr>
                <w:b/>
                <w:szCs w:val="24"/>
              </w:rPr>
              <w:t>3,200</w:t>
            </w:r>
          </w:p>
        </w:tc>
      </w:tr>
      <w:tr w:rsidR="00715C0B" w:rsidRPr="00AC27FF" w14:paraId="40E72E5E" w14:textId="77777777" w:rsidTr="00D87D19">
        <w:trPr>
          <w:cantSplit/>
          <w:trHeight w:val="270"/>
        </w:trPr>
        <w:tc>
          <w:tcPr>
            <w:tcW w:w="2265" w:type="dxa"/>
            <w:vAlign w:val="center"/>
          </w:tcPr>
          <w:p w14:paraId="348E27FD" w14:textId="77777777" w:rsidR="00715C0B" w:rsidRPr="00AC27FF" w:rsidRDefault="00715C0B" w:rsidP="00235CFF">
            <w:pPr>
              <w:rPr>
                <w:b/>
                <w:szCs w:val="24"/>
              </w:rPr>
            </w:pPr>
          </w:p>
        </w:tc>
        <w:tc>
          <w:tcPr>
            <w:tcW w:w="1620" w:type="dxa"/>
            <w:shd w:val="clear" w:color="auto" w:fill="auto"/>
            <w:vAlign w:val="center"/>
          </w:tcPr>
          <w:p w14:paraId="4CA0DA12" w14:textId="77777777" w:rsidR="00715C0B" w:rsidRPr="00AC27FF" w:rsidRDefault="00715C0B" w:rsidP="00D87D19">
            <w:pPr>
              <w:rPr>
                <w:b/>
                <w:szCs w:val="24"/>
              </w:rPr>
            </w:pPr>
          </w:p>
        </w:tc>
        <w:tc>
          <w:tcPr>
            <w:tcW w:w="1350" w:type="dxa"/>
            <w:vAlign w:val="center"/>
          </w:tcPr>
          <w:p w14:paraId="51DAB11D" w14:textId="77777777" w:rsidR="00715C0B" w:rsidRPr="00AC27FF" w:rsidRDefault="00715C0B" w:rsidP="00D87D19">
            <w:pPr>
              <w:rPr>
                <w:b/>
                <w:szCs w:val="24"/>
              </w:rPr>
            </w:pPr>
          </w:p>
        </w:tc>
        <w:tc>
          <w:tcPr>
            <w:tcW w:w="1350" w:type="dxa"/>
            <w:shd w:val="clear" w:color="auto" w:fill="auto"/>
            <w:vAlign w:val="center"/>
          </w:tcPr>
          <w:p w14:paraId="4DC997CD" w14:textId="77777777" w:rsidR="00715C0B" w:rsidRPr="00AC27FF" w:rsidRDefault="00715C0B" w:rsidP="00D87D19">
            <w:pPr>
              <w:rPr>
                <w:b/>
                <w:szCs w:val="24"/>
              </w:rPr>
            </w:pPr>
          </w:p>
        </w:tc>
        <w:tc>
          <w:tcPr>
            <w:tcW w:w="1440" w:type="dxa"/>
            <w:shd w:val="clear" w:color="auto" w:fill="auto"/>
            <w:vAlign w:val="center"/>
          </w:tcPr>
          <w:p w14:paraId="49D16D63" w14:textId="77777777" w:rsidR="00715C0B" w:rsidRPr="00AC27FF" w:rsidRDefault="00715C0B" w:rsidP="00D87D19">
            <w:pPr>
              <w:rPr>
                <w:b/>
                <w:szCs w:val="24"/>
              </w:rPr>
            </w:pPr>
          </w:p>
        </w:tc>
        <w:tc>
          <w:tcPr>
            <w:tcW w:w="1080" w:type="dxa"/>
            <w:shd w:val="clear" w:color="auto" w:fill="auto"/>
            <w:vAlign w:val="center"/>
          </w:tcPr>
          <w:p w14:paraId="025E479C" w14:textId="77777777" w:rsidR="00715C0B" w:rsidRPr="00AC27FF" w:rsidRDefault="00715C0B" w:rsidP="00D87D19">
            <w:pPr>
              <w:rPr>
                <w:b/>
                <w:szCs w:val="24"/>
              </w:rPr>
            </w:pPr>
          </w:p>
        </w:tc>
        <w:tc>
          <w:tcPr>
            <w:tcW w:w="1710" w:type="dxa"/>
            <w:shd w:val="clear" w:color="auto" w:fill="auto"/>
            <w:vAlign w:val="center"/>
          </w:tcPr>
          <w:p w14:paraId="75EDDA93" w14:textId="77777777" w:rsidR="00715C0B" w:rsidRPr="00AC27FF" w:rsidRDefault="00715C0B" w:rsidP="00D87D19">
            <w:pPr>
              <w:rPr>
                <w:b/>
                <w:szCs w:val="24"/>
              </w:rPr>
            </w:pPr>
          </w:p>
        </w:tc>
      </w:tr>
      <w:tr w:rsidR="00715C0B" w:rsidRPr="00AC27FF" w14:paraId="3143116C" w14:textId="77777777" w:rsidTr="00D87D19">
        <w:trPr>
          <w:cantSplit/>
          <w:trHeight w:val="270"/>
        </w:trPr>
        <w:tc>
          <w:tcPr>
            <w:tcW w:w="2265" w:type="dxa"/>
            <w:vAlign w:val="center"/>
          </w:tcPr>
          <w:p w14:paraId="6D72E6F5" w14:textId="77777777" w:rsidR="00715C0B" w:rsidRDefault="00715C0B" w:rsidP="00235CFF">
            <w:pPr>
              <w:rPr>
                <w:b/>
                <w:bCs/>
                <w:szCs w:val="24"/>
                <w:u w:val="single"/>
              </w:rPr>
            </w:pPr>
          </w:p>
          <w:p w14:paraId="6C132D3A" w14:textId="1FDF631D" w:rsidR="00715C0B" w:rsidRPr="00AC27FF" w:rsidRDefault="00715C0B" w:rsidP="00974CC4">
            <w:pPr>
              <w:rPr>
                <w:b/>
                <w:szCs w:val="24"/>
              </w:rPr>
            </w:pPr>
            <w:r>
              <w:rPr>
                <w:b/>
                <w:bCs/>
                <w:szCs w:val="24"/>
                <w:u w:val="single"/>
              </w:rPr>
              <w:t>r</w:t>
            </w:r>
            <w:r w:rsidRPr="00AC27FF">
              <w:rPr>
                <w:b/>
                <w:bCs/>
                <w:szCs w:val="24"/>
                <w:u w:val="single"/>
              </w:rPr>
              <w:t xml:space="preserve">. </w:t>
            </w:r>
            <w:r>
              <w:rPr>
                <w:b/>
                <w:bCs/>
                <w:szCs w:val="24"/>
                <w:u w:val="single"/>
              </w:rPr>
              <w:t>State Certification Letter Under 254(e)</w:t>
            </w:r>
          </w:p>
        </w:tc>
        <w:tc>
          <w:tcPr>
            <w:tcW w:w="1620" w:type="dxa"/>
            <w:shd w:val="clear" w:color="auto" w:fill="auto"/>
            <w:vAlign w:val="center"/>
          </w:tcPr>
          <w:p w14:paraId="36BAFD63" w14:textId="77777777" w:rsidR="00715C0B" w:rsidRPr="00AC27FF" w:rsidRDefault="00715C0B" w:rsidP="00D87D19">
            <w:pPr>
              <w:rPr>
                <w:b/>
                <w:szCs w:val="24"/>
              </w:rPr>
            </w:pPr>
            <w:r>
              <w:rPr>
                <w:b/>
                <w:szCs w:val="24"/>
              </w:rPr>
              <w:t>61</w:t>
            </w:r>
          </w:p>
        </w:tc>
        <w:tc>
          <w:tcPr>
            <w:tcW w:w="1350" w:type="dxa"/>
            <w:vAlign w:val="center"/>
          </w:tcPr>
          <w:p w14:paraId="3E97876C" w14:textId="77777777" w:rsidR="00715C0B" w:rsidRPr="00AC27FF" w:rsidRDefault="00715C0B" w:rsidP="00D87D19">
            <w:pPr>
              <w:rPr>
                <w:b/>
                <w:szCs w:val="24"/>
              </w:rPr>
            </w:pPr>
          </w:p>
        </w:tc>
        <w:tc>
          <w:tcPr>
            <w:tcW w:w="1350" w:type="dxa"/>
            <w:shd w:val="clear" w:color="auto" w:fill="auto"/>
            <w:vAlign w:val="center"/>
          </w:tcPr>
          <w:p w14:paraId="56330683" w14:textId="77777777" w:rsidR="00715C0B" w:rsidRPr="00AC27FF" w:rsidRDefault="00715C0B" w:rsidP="00D87D19">
            <w:pPr>
              <w:rPr>
                <w:b/>
                <w:szCs w:val="24"/>
              </w:rPr>
            </w:pPr>
            <w:r>
              <w:rPr>
                <w:b/>
                <w:szCs w:val="24"/>
              </w:rPr>
              <w:t>1</w:t>
            </w:r>
          </w:p>
        </w:tc>
        <w:tc>
          <w:tcPr>
            <w:tcW w:w="1440" w:type="dxa"/>
            <w:shd w:val="clear" w:color="auto" w:fill="auto"/>
            <w:vAlign w:val="center"/>
          </w:tcPr>
          <w:p w14:paraId="7E8DA5FB" w14:textId="77777777" w:rsidR="00715C0B" w:rsidRPr="00AC27FF" w:rsidRDefault="00715C0B" w:rsidP="00D87D19">
            <w:pPr>
              <w:rPr>
                <w:b/>
                <w:szCs w:val="24"/>
              </w:rPr>
            </w:pPr>
            <w:r>
              <w:rPr>
                <w:b/>
                <w:szCs w:val="24"/>
              </w:rPr>
              <w:t>3</w:t>
            </w:r>
          </w:p>
        </w:tc>
        <w:tc>
          <w:tcPr>
            <w:tcW w:w="1080" w:type="dxa"/>
            <w:shd w:val="clear" w:color="auto" w:fill="auto"/>
            <w:vAlign w:val="center"/>
          </w:tcPr>
          <w:p w14:paraId="1B257896" w14:textId="77777777" w:rsidR="00715C0B" w:rsidRPr="00AC27FF" w:rsidRDefault="00715C0B" w:rsidP="00D87D19">
            <w:pPr>
              <w:rPr>
                <w:b/>
                <w:szCs w:val="24"/>
              </w:rPr>
            </w:pPr>
            <w:r>
              <w:rPr>
                <w:b/>
                <w:szCs w:val="24"/>
              </w:rPr>
              <w:t>183</w:t>
            </w:r>
          </w:p>
        </w:tc>
        <w:tc>
          <w:tcPr>
            <w:tcW w:w="1710" w:type="dxa"/>
            <w:shd w:val="clear" w:color="auto" w:fill="auto"/>
            <w:vAlign w:val="center"/>
          </w:tcPr>
          <w:p w14:paraId="078FC346" w14:textId="77777777" w:rsidR="00715C0B" w:rsidRPr="00AC27FF" w:rsidRDefault="00715C0B" w:rsidP="00D87D19">
            <w:pPr>
              <w:rPr>
                <w:b/>
                <w:szCs w:val="24"/>
              </w:rPr>
            </w:pPr>
            <w:r w:rsidRPr="00AC27FF">
              <w:rPr>
                <w:b/>
                <w:szCs w:val="24"/>
              </w:rPr>
              <w:t>$</w:t>
            </w:r>
            <w:r>
              <w:rPr>
                <w:b/>
                <w:szCs w:val="24"/>
              </w:rPr>
              <w:t>7,320</w:t>
            </w:r>
          </w:p>
        </w:tc>
      </w:tr>
      <w:tr w:rsidR="00715C0B" w:rsidRPr="00AC27FF" w14:paraId="659C7DBA" w14:textId="77777777" w:rsidTr="00D87D19">
        <w:trPr>
          <w:cantSplit/>
          <w:trHeight w:val="270"/>
        </w:trPr>
        <w:tc>
          <w:tcPr>
            <w:tcW w:w="2265" w:type="dxa"/>
            <w:shd w:val="clear" w:color="auto" w:fill="auto"/>
            <w:vAlign w:val="center"/>
          </w:tcPr>
          <w:p w14:paraId="75003087" w14:textId="77777777" w:rsidR="00715C0B" w:rsidRPr="00615254" w:rsidRDefault="00715C0B" w:rsidP="00235CFF">
            <w:pPr>
              <w:rPr>
                <w:b/>
                <w:u w:val="single"/>
              </w:rPr>
            </w:pPr>
          </w:p>
        </w:tc>
        <w:tc>
          <w:tcPr>
            <w:tcW w:w="1620" w:type="dxa"/>
            <w:shd w:val="clear" w:color="auto" w:fill="auto"/>
            <w:vAlign w:val="center"/>
          </w:tcPr>
          <w:p w14:paraId="23529225" w14:textId="77777777" w:rsidR="00715C0B" w:rsidRPr="00AC27FF" w:rsidRDefault="00715C0B" w:rsidP="00D87D19">
            <w:pPr>
              <w:rPr>
                <w:b/>
                <w:szCs w:val="24"/>
              </w:rPr>
            </w:pPr>
          </w:p>
        </w:tc>
        <w:tc>
          <w:tcPr>
            <w:tcW w:w="1350" w:type="dxa"/>
            <w:vAlign w:val="center"/>
          </w:tcPr>
          <w:p w14:paraId="31BD6CE2" w14:textId="77777777" w:rsidR="00715C0B" w:rsidRPr="00AC27FF" w:rsidRDefault="00715C0B" w:rsidP="00D87D19">
            <w:pPr>
              <w:rPr>
                <w:b/>
                <w:szCs w:val="24"/>
              </w:rPr>
            </w:pPr>
          </w:p>
        </w:tc>
        <w:tc>
          <w:tcPr>
            <w:tcW w:w="1350" w:type="dxa"/>
            <w:shd w:val="clear" w:color="auto" w:fill="auto"/>
            <w:vAlign w:val="center"/>
          </w:tcPr>
          <w:p w14:paraId="4B06F2F7" w14:textId="77777777" w:rsidR="00715C0B" w:rsidRPr="00AC27FF" w:rsidRDefault="00715C0B" w:rsidP="00D87D19">
            <w:pPr>
              <w:rPr>
                <w:b/>
                <w:szCs w:val="24"/>
              </w:rPr>
            </w:pPr>
          </w:p>
        </w:tc>
        <w:tc>
          <w:tcPr>
            <w:tcW w:w="1440" w:type="dxa"/>
            <w:shd w:val="clear" w:color="auto" w:fill="auto"/>
            <w:vAlign w:val="center"/>
          </w:tcPr>
          <w:p w14:paraId="64A3D7E7" w14:textId="77777777" w:rsidR="00715C0B" w:rsidRPr="00AC27FF" w:rsidRDefault="00715C0B" w:rsidP="00D87D19">
            <w:pPr>
              <w:rPr>
                <w:b/>
                <w:szCs w:val="24"/>
              </w:rPr>
            </w:pPr>
          </w:p>
        </w:tc>
        <w:tc>
          <w:tcPr>
            <w:tcW w:w="1080" w:type="dxa"/>
            <w:shd w:val="clear" w:color="auto" w:fill="auto"/>
            <w:vAlign w:val="center"/>
          </w:tcPr>
          <w:p w14:paraId="7C9EA184" w14:textId="77777777" w:rsidR="00715C0B" w:rsidRPr="00AC27FF" w:rsidRDefault="00715C0B" w:rsidP="00D87D19">
            <w:pPr>
              <w:rPr>
                <w:b/>
                <w:szCs w:val="24"/>
              </w:rPr>
            </w:pPr>
          </w:p>
        </w:tc>
        <w:tc>
          <w:tcPr>
            <w:tcW w:w="1710" w:type="dxa"/>
            <w:shd w:val="clear" w:color="auto" w:fill="auto"/>
            <w:vAlign w:val="center"/>
          </w:tcPr>
          <w:p w14:paraId="6CA734AB" w14:textId="77777777" w:rsidR="00715C0B" w:rsidRPr="00AC27FF" w:rsidRDefault="00715C0B" w:rsidP="00D87D19">
            <w:pPr>
              <w:rPr>
                <w:b/>
                <w:szCs w:val="24"/>
              </w:rPr>
            </w:pPr>
          </w:p>
        </w:tc>
      </w:tr>
      <w:tr w:rsidR="00715C0B" w:rsidRPr="00AC27FF" w:rsidDel="00DD5AE0" w14:paraId="67BBD52A" w14:textId="77777777" w:rsidTr="00D87D19">
        <w:trPr>
          <w:cantSplit/>
          <w:trHeight w:val="270"/>
        </w:trPr>
        <w:tc>
          <w:tcPr>
            <w:tcW w:w="2265" w:type="dxa"/>
            <w:shd w:val="clear" w:color="auto" w:fill="auto"/>
            <w:vAlign w:val="center"/>
          </w:tcPr>
          <w:p w14:paraId="3F904148" w14:textId="77777777" w:rsidR="00715C0B" w:rsidRDefault="00715C0B" w:rsidP="00235CFF">
            <w:pPr>
              <w:rPr>
                <w:b/>
                <w:bCs/>
                <w:szCs w:val="24"/>
                <w:u w:val="single"/>
              </w:rPr>
            </w:pPr>
          </w:p>
          <w:p w14:paraId="1C253289" w14:textId="57EA02EF" w:rsidR="00715C0B" w:rsidRPr="00AC27FF" w:rsidDel="00DD5AE0" w:rsidRDefault="00715C0B" w:rsidP="00974CC4">
            <w:pPr>
              <w:rPr>
                <w:b/>
                <w:bCs/>
                <w:szCs w:val="24"/>
              </w:rPr>
            </w:pPr>
            <w:r>
              <w:rPr>
                <w:b/>
                <w:bCs/>
                <w:szCs w:val="24"/>
                <w:u w:val="single"/>
              </w:rPr>
              <w:t>s</w:t>
            </w:r>
            <w:r w:rsidRPr="00AC27FF">
              <w:rPr>
                <w:b/>
                <w:bCs/>
                <w:szCs w:val="24"/>
                <w:u w:val="single"/>
              </w:rPr>
              <w:t xml:space="preserve">. </w:t>
            </w:r>
            <w:r>
              <w:rPr>
                <w:b/>
                <w:bCs/>
                <w:szCs w:val="24"/>
                <w:u w:val="single"/>
              </w:rPr>
              <w:t>Support in Competitive Study Areas (FCC Form 525)</w:t>
            </w:r>
          </w:p>
        </w:tc>
        <w:tc>
          <w:tcPr>
            <w:tcW w:w="1620" w:type="dxa"/>
            <w:vAlign w:val="center"/>
          </w:tcPr>
          <w:p w14:paraId="5A108144" w14:textId="77777777" w:rsidR="00715C0B" w:rsidRPr="00AC27FF" w:rsidRDefault="00715C0B" w:rsidP="00D87D19">
            <w:pPr>
              <w:rPr>
                <w:b/>
                <w:bCs/>
                <w:szCs w:val="24"/>
              </w:rPr>
            </w:pPr>
            <w:r>
              <w:rPr>
                <w:b/>
                <w:szCs w:val="24"/>
              </w:rPr>
              <w:t>1</w:t>
            </w:r>
          </w:p>
        </w:tc>
        <w:tc>
          <w:tcPr>
            <w:tcW w:w="1350" w:type="dxa"/>
            <w:vAlign w:val="center"/>
          </w:tcPr>
          <w:p w14:paraId="463C0331" w14:textId="77777777" w:rsidR="00715C0B" w:rsidRPr="00AC27FF" w:rsidRDefault="00715C0B" w:rsidP="00D87D19">
            <w:pPr>
              <w:rPr>
                <w:b/>
                <w:szCs w:val="24"/>
              </w:rPr>
            </w:pPr>
          </w:p>
        </w:tc>
        <w:tc>
          <w:tcPr>
            <w:tcW w:w="1350" w:type="dxa"/>
            <w:vAlign w:val="center"/>
          </w:tcPr>
          <w:p w14:paraId="07534173" w14:textId="77777777" w:rsidR="00715C0B" w:rsidRPr="00AC27FF" w:rsidRDefault="00715C0B" w:rsidP="00D87D19">
            <w:pPr>
              <w:rPr>
                <w:b/>
                <w:bCs/>
                <w:szCs w:val="24"/>
              </w:rPr>
            </w:pPr>
            <w:r>
              <w:rPr>
                <w:b/>
                <w:szCs w:val="24"/>
              </w:rPr>
              <w:t>4</w:t>
            </w:r>
          </w:p>
        </w:tc>
        <w:tc>
          <w:tcPr>
            <w:tcW w:w="1440" w:type="dxa"/>
            <w:vAlign w:val="center"/>
          </w:tcPr>
          <w:p w14:paraId="200299AB" w14:textId="77777777" w:rsidR="00715C0B" w:rsidRPr="00AC27FF" w:rsidRDefault="00715C0B" w:rsidP="00D87D19">
            <w:pPr>
              <w:rPr>
                <w:b/>
                <w:bCs/>
                <w:szCs w:val="24"/>
              </w:rPr>
            </w:pPr>
            <w:r>
              <w:rPr>
                <w:b/>
                <w:szCs w:val="24"/>
              </w:rPr>
              <w:t>6</w:t>
            </w:r>
          </w:p>
        </w:tc>
        <w:tc>
          <w:tcPr>
            <w:tcW w:w="1080" w:type="dxa"/>
            <w:shd w:val="clear" w:color="auto" w:fill="auto"/>
            <w:vAlign w:val="center"/>
          </w:tcPr>
          <w:p w14:paraId="1ECDF423" w14:textId="77777777" w:rsidR="00715C0B" w:rsidRPr="00AC27FF" w:rsidDel="00DD5AE0" w:rsidRDefault="00715C0B" w:rsidP="00D87D19">
            <w:pPr>
              <w:rPr>
                <w:b/>
                <w:bCs/>
                <w:szCs w:val="24"/>
              </w:rPr>
            </w:pPr>
            <w:r>
              <w:rPr>
                <w:b/>
                <w:szCs w:val="24"/>
              </w:rPr>
              <w:t>24</w:t>
            </w:r>
          </w:p>
        </w:tc>
        <w:tc>
          <w:tcPr>
            <w:tcW w:w="1710" w:type="dxa"/>
            <w:shd w:val="clear" w:color="auto" w:fill="auto"/>
            <w:vAlign w:val="center"/>
          </w:tcPr>
          <w:p w14:paraId="5E1BB356" w14:textId="77777777" w:rsidR="00715C0B" w:rsidRPr="00AC27FF" w:rsidDel="00DD5AE0" w:rsidRDefault="00715C0B" w:rsidP="00D87D19">
            <w:pPr>
              <w:rPr>
                <w:b/>
                <w:bCs/>
                <w:szCs w:val="24"/>
              </w:rPr>
            </w:pPr>
            <w:r w:rsidRPr="00AC27FF">
              <w:rPr>
                <w:b/>
                <w:szCs w:val="24"/>
              </w:rPr>
              <w:t>$</w:t>
            </w:r>
            <w:r>
              <w:rPr>
                <w:b/>
                <w:szCs w:val="24"/>
              </w:rPr>
              <w:t>960</w:t>
            </w:r>
          </w:p>
        </w:tc>
      </w:tr>
      <w:tr w:rsidR="00715C0B" w:rsidRPr="00AC27FF" w14:paraId="019C778A" w14:textId="77777777" w:rsidTr="00D87D19">
        <w:trPr>
          <w:cantSplit/>
          <w:trHeight w:val="270"/>
        </w:trPr>
        <w:tc>
          <w:tcPr>
            <w:tcW w:w="2265" w:type="dxa"/>
            <w:shd w:val="clear" w:color="auto" w:fill="auto"/>
            <w:vAlign w:val="center"/>
          </w:tcPr>
          <w:p w14:paraId="2BED8DD1" w14:textId="77777777" w:rsidR="00715C0B" w:rsidRPr="00AC27FF" w:rsidRDefault="00715C0B" w:rsidP="00235CFF">
            <w:pPr>
              <w:rPr>
                <w:b/>
                <w:bCs/>
                <w:szCs w:val="24"/>
                <w:u w:val="single"/>
              </w:rPr>
            </w:pPr>
          </w:p>
        </w:tc>
        <w:tc>
          <w:tcPr>
            <w:tcW w:w="1620" w:type="dxa"/>
            <w:vAlign w:val="center"/>
          </w:tcPr>
          <w:p w14:paraId="5366516F" w14:textId="77777777" w:rsidR="00715C0B" w:rsidRPr="00AC27FF" w:rsidRDefault="00715C0B" w:rsidP="00D87D19">
            <w:pPr>
              <w:rPr>
                <w:b/>
                <w:szCs w:val="24"/>
              </w:rPr>
            </w:pPr>
          </w:p>
        </w:tc>
        <w:tc>
          <w:tcPr>
            <w:tcW w:w="1350" w:type="dxa"/>
            <w:vAlign w:val="center"/>
          </w:tcPr>
          <w:p w14:paraId="174EE63E" w14:textId="77777777" w:rsidR="00715C0B" w:rsidRDefault="00715C0B" w:rsidP="00D87D19">
            <w:pPr>
              <w:rPr>
                <w:b/>
                <w:szCs w:val="24"/>
              </w:rPr>
            </w:pPr>
          </w:p>
        </w:tc>
        <w:tc>
          <w:tcPr>
            <w:tcW w:w="1350" w:type="dxa"/>
            <w:vAlign w:val="center"/>
          </w:tcPr>
          <w:p w14:paraId="48E3A6F9" w14:textId="77777777" w:rsidR="00715C0B" w:rsidRDefault="00715C0B" w:rsidP="00D87D19">
            <w:pPr>
              <w:rPr>
                <w:b/>
                <w:szCs w:val="24"/>
              </w:rPr>
            </w:pPr>
          </w:p>
        </w:tc>
        <w:tc>
          <w:tcPr>
            <w:tcW w:w="1440" w:type="dxa"/>
            <w:vAlign w:val="center"/>
          </w:tcPr>
          <w:p w14:paraId="60897F1D" w14:textId="77777777" w:rsidR="00715C0B" w:rsidRPr="00AC27FF" w:rsidRDefault="00715C0B" w:rsidP="00D87D19">
            <w:pPr>
              <w:rPr>
                <w:b/>
                <w:szCs w:val="24"/>
              </w:rPr>
            </w:pPr>
          </w:p>
        </w:tc>
        <w:tc>
          <w:tcPr>
            <w:tcW w:w="1080" w:type="dxa"/>
            <w:shd w:val="clear" w:color="auto" w:fill="auto"/>
            <w:vAlign w:val="center"/>
          </w:tcPr>
          <w:p w14:paraId="15DE6184" w14:textId="77777777" w:rsidR="00715C0B" w:rsidRDefault="00715C0B" w:rsidP="00D87D19">
            <w:pPr>
              <w:rPr>
                <w:b/>
                <w:szCs w:val="24"/>
              </w:rPr>
            </w:pPr>
          </w:p>
        </w:tc>
        <w:tc>
          <w:tcPr>
            <w:tcW w:w="1710" w:type="dxa"/>
            <w:shd w:val="clear" w:color="auto" w:fill="auto"/>
            <w:vAlign w:val="center"/>
          </w:tcPr>
          <w:p w14:paraId="0F4FC099" w14:textId="77777777" w:rsidR="00715C0B" w:rsidRPr="00AC27FF" w:rsidRDefault="00715C0B" w:rsidP="00D87D19">
            <w:pPr>
              <w:rPr>
                <w:b/>
                <w:szCs w:val="24"/>
              </w:rPr>
            </w:pPr>
          </w:p>
        </w:tc>
      </w:tr>
      <w:tr w:rsidR="00715C0B" w:rsidRPr="00AC27FF" w:rsidDel="00DD5AE0" w14:paraId="7C605A28" w14:textId="77777777" w:rsidTr="00D87D19">
        <w:trPr>
          <w:cantSplit/>
          <w:trHeight w:val="270"/>
        </w:trPr>
        <w:tc>
          <w:tcPr>
            <w:tcW w:w="2265" w:type="dxa"/>
            <w:shd w:val="clear" w:color="auto" w:fill="auto"/>
            <w:vAlign w:val="center"/>
          </w:tcPr>
          <w:p w14:paraId="6AA2A752" w14:textId="77777777" w:rsidR="00715C0B" w:rsidRPr="00AC27FF" w:rsidRDefault="00715C0B" w:rsidP="00235CFF">
            <w:pPr>
              <w:rPr>
                <w:b/>
                <w:bCs/>
                <w:szCs w:val="24"/>
                <w:u w:val="single"/>
              </w:rPr>
            </w:pPr>
          </w:p>
          <w:p w14:paraId="7CF9EBD9" w14:textId="477F7BE4" w:rsidR="00715C0B" w:rsidRPr="00AC27FF" w:rsidDel="00DD5AE0" w:rsidRDefault="00715C0B" w:rsidP="00974CC4">
            <w:pPr>
              <w:rPr>
                <w:b/>
                <w:bCs/>
                <w:szCs w:val="24"/>
              </w:rPr>
            </w:pPr>
            <w:r>
              <w:rPr>
                <w:b/>
                <w:bCs/>
                <w:szCs w:val="24"/>
                <w:u w:val="single"/>
              </w:rPr>
              <w:t>t</w:t>
            </w:r>
            <w:r w:rsidRPr="00AC27FF">
              <w:rPr>
                <w:b/>
                <w:bCs/>
                <w:szCs w:val="24"/>
                <w:u w:val="single"/>
              </w:rPr>
              <w:t xml:space="preserve">. </w:t>
            </w:r>
            <w:r>
              <w:rPr>
                <w:b/>
                <w:bCs/>
                <w:szCs w:val="24"/>
                <w:u w:val="single"/>
              </w:rPr>
              <w:t>Safety Valve</w:t>
            </w:r>
          </w:p>
        </w:tc>
        <w:tc>
          <w:tcPr>
            <w:tcW w:w="1620" w:type="dxa"/>
            <w:vAlign w:val="center"/>
          </w:tcPr>
          <w:p w14:paraId="1AD9E131" w14:textId="77777777" w:rsidR="00715C0B" w:rsidRPr="00AC27FF" w:rsidRDefault="00715C0B" w:rsidP="00D87D19">
            <w:pPr>
              <w:rPr>
                <w:b/>
                <w:bCs/>
                <w:szCs w:val="24"/>
              </w:rPr>
            </w:pPr>
            <w:r>
              <w:rPr>
                <w:b/>
                <w:szCs w:val="24"/>
              </w:rPr>
              <w:t>25</w:t>
            </w:r>
          </w:p>
        </w:tc>
        <w:tc>
          <w:tcPr>
            <w:tcW w:w="1350" w:type="dxa"/>
            <w:vAlign w:val="center"/>
          </w:tcPr>
          <w:p w14:paraId="33A0C3EF" w14:textId="77777777" w:rsidR="00715C0B" w:rsidRDefault="00715C0B" w:rsidP="00D87D19">
            <w:pPr>
              <w:rPr>
                <w:b/>
                <w:szCs w:val="24"/>
              </w:rPr>
            </w:pPr>
          </w:p>
        </w:tc>
        <w:tc>
          <w:tcPr>
            <w:tcW w:w="1350" w:type="dxa"/>
            <w:vAlign w:val="center"/>
          </w:tcPr>
          <w:p w14:paraId="398964F7" w14:textId="77777777" w:rsidR="00715C0B" w:rsidRPr="00AC27FF" w:rsidRDefault="00715C0B" w:rsidP="00D87D19">
            <w:pPr>
              <w:rPr>
                <w:b/>
                <w:bCs/>
                <w:szCs w:val="24"/>
              </w:rPr>
            </w:pPr>
            <w:r>
              <w:rPr>
                <w:b/>
                <w:szCs w:val="24"/>
              </w:rPr>
              <w:t>1</w:t>
            </w:r>
          </w:p>
        </w:tc>
        <w:tc>
          <w:tcPr>
            <w:tcW w:w="1440" w:type="dxa"/>
            <w:vAlign w:val="center"/>
          </w:tcPr>
          <w:p w14:paraId="66F339F6" w14:textId="77777777" w:rsidR="00715C0B" w:rsidRPr="00AC27FF" w:rsidRDefault="00715C0B" w:rsidP="00D87D19">
            <w:pPr>
              <w:rPr>
                <w:b/>
                <w:bCs/>
                <w:szCs w:val="24"/>
              </w:rPr>
            </w:pPr>
            <w:r>
              <w:rPr>
                <w:b/>
                <w:szCs w:val="24"/>
              </w:rPr>
              <w:t>0.5</w:t>
            </w:r>
          </w:p>
        </w:tc>
        <w:tc>
          <w:tcPr>
            <w:tcW w:w="1080" w:type="dxa"/>
            <w:shd w:val="clear" w:color="auto" w:fill="auto"/>
            <w:vAlign w:val="center"/>
          </w:tcPr>
          <w:p w14:paraId="1C03713B" w14:textId="77777777" w:rsidR="00715C0B" w:rsidRPr="00AC27FF" w:rsidDel="00DD5AE0" w:rsidRDefault="00715C0B" w:rsidP="00D87D19">
            <w:pPr>
              <w:rPr>
                <w:b/>
                <w:bCs/>
                <w:szCs w:val="24"/>
              </w:rPr>
            </w:pPr>
            <w:r>
              <w:rPr>
                <w:b/>
                <w:szCs w:val="24"/>
              </w:rPr>
              <w:t>13</w:t>
            </w:r>
          </w:p>
        </w:tc>
        <w:tc>
          <w:tcPr>
            <w:tcW w:w="1710" w:type="dxa"/>
            <w:shd w:val="clear" w:color="auto" w:fill="auto"/>
            <w:vAlign w:val="center"/>
          </w:tcPr>
          <w:p w14:paraId="4B1B9643" w14:textId="77777777" w:rsidR="00715C0B" w:rsidRPr="00AC27FF" w:rsidDel="00DD5AE0" w:rsidRDefault="00715C0B" w:rsidP="00D87D19">
            <w:pPr>
              <w:rPr>
                <w:b/>
                <w:bCs/>
                <w:szCs w:val="24"/>
              </w:rPr>
            </w:pPr>
            <w:r w:rsidRPr="00AC27FF">
              <w:rPr>
                <w:b/>
                <w:szCs w:val="24"/>
              </w:rPr>
              <w:t>$</w:t>
            </w:r>
            <w:r>
              <w:rPr>
                <w:b/>
                <w:szCs w:val="24"/>
              </w:rPr>
              <w:t>520</w:t>
            </w:r>
          </w:p>
        </w:tc>
      </w:tr>
      <w:tr w:rsidR="00715C0B" w:rsidRPr="00AC27FF" w14:paraId="79C0E702" w14:textId="77777777" w:rsidTr="00D87D19">
        <w:trPr>
          <w:cantSplit/>
          <w:trHeight w:val="270"/>
        </w:trPr>
        <w:tc>
          <w:tcPr>
            <w:tcW w:w="2265" w:type="dxa"/>
            <w:shd w:val="clear" w:color="auto" w:fill="auto"/>
            <w:vAlign w:val="center"/>
          </w:tcPr>
          <w:p w14:paraId="176FBE39" w14:textId="77777777" w:rsidR="00715C0B" w:rsidRPr="00AC27FF" w:rsidRDefault="00715C0B" w:rsidP="00235CFF">
            <w:pPr>
              <w:rPr>
                <w:b/>
                <w:bCs/>
                <w:szCs w:val="24"/>
                <w:u w:val="single"/>
              </w:rPr>
            </w:pPr>
          </w:p>
        </w:tc>
        <w:tc>
          <w:tcPr>
            <w:tcW w:w="1620" w:type="dxa"/>
            <w:vAlign w:val="center"/>
          </w:tcPr>
          <w:p w14:paraId="34E156C4" w14:textId="77777777" w:rsidR="00715C0B" w:rsidRPr="00AC27FF" w:rsidRDefault="00715C0B" w:rsidP="00D87D19">
            <w:pPr>
              <w:rPr>
                <w:b/>
                <w:szCs w:val="24"/>
              </w:rPr>
            </w:pPr>
          </w:p>
        </w:tc>
        <w:tc>
          <w:tcPr>
            <w:tcW w:w="1350" w:type="dxa"/>
            <w:vAlign w:val="center"/>
          </w:tcPr>
          <w:p w14:paraId="43CA70AC" w14:textId="77777777" w:rsidR="00715C0B" w:rsidRPr="00AC27FF" w:rsidRDefault="00715C0B" w:rsidP="00D87D19">
            <w:pPr>
              <w:rPr>
                <w:b/>
                <w:szCs w:val="24"/>
              </w:rPr>
            </w:pPr>
          </w:p>
        </w:tc>
        <w:tc>
          <w:tcPr>
            <w:tcW w:w="1350" w:type="dxa"/>
            <w:vAlign w:val="center"/>
          </w:tcPr>
          <w:p w14:paraId="48515DA9" w14:textId="77777777" w:rsidR="00715C0B" w:rsidRPr="00AC27FF" w:rsidRDefault="00715C0B" w:rsidP="00D87D19">
            <w:pPr>
              <w:rPr>
                <w:b/>
                <w:szCs w:val="24"/>
              </w:rPr>
            </w:pPr>
          </w:p>
        </w:tc>
        <w:tc>
          <w:tcPr>
            <w:tcW w:w="1440" w:type="dxa"/>
            <w:vAlign w:val="center"/>
          </w:tcPr>
          <w:p w14:paraId="7482FACD" w14:textId="77777777" w:rsidR="00715C0B" w:rsidRPr="00AC27FF" w:rsidRDefault="00715C0B" w:rsidP="00D87D19">
            <w:pPr>
              <w:rPr>
                <w:b/>
                <w:szCs w:val="24"/>
              </w:rPr>
            </w:pPr>
          </w:p>
        </w:tc>
        <w:tc>
          <w:tcPr>
            <w:tcW w:w="1080" w:type="dxa"/>
            <w:shd w:val="clear" w:color="auto" w:fill="auto"/>
            <w:vAlign w:val="center"/>
          </w:tcPr>
          <w:p w14:paraId="5FDC8594" w14:textId="77777777" w:rsidR="00715C0B" w:rsidRPr="00AC27FF" w:rsidRDefault="00715C0B" w:rsidP="00D87D19">
            <w:pPr>
              <w:rPr>
                <w:b/>
                <w:szCs w:val="24"/>
              </w:rPr>
            </w:pPr>
          </w:p>
        </w:tc>
        <w:tc>
          <w:tcPr>
            <w:tcW w:w="1710" w:type="dxa"/>
            <w:shd w:val="clear" w:color="auto" w:fill="auto"/>
            <w:vAlign w:val="center"/>
          </w:tcPr>
          <w:p w14:paraId="29FD6964" w14:textId="77777777" w:rsidR="00715C0B" w:rsidRPr="00AC27FF" w:rsidRDefault="00715C0B" w:rsidP="00D87D19">
            <w:pPr>
              <w:rPr>
                <w:b/>
                <w:szCs w:val="24"/>
              </w:rPr>
            </w:pPr>
          </w:p>
        </w:tc>
      </w:tr>
      <w:tr w:rsidR="00715C0B" w:rsidRPr="00AC27FF" w14:paraId="05258DEB" w14:textId="77777777" w:rsidTr="00D87D19">
        <w:trPr>
          <w:cantSplit/>
          <w:trHeight w:val="270"/>
        </w:trPr>
        <w:tc>
          <w:tcPr>
            <w:tcW w:w="2265" w:type="dxa"/>
            <w:shd w:val="clear" w:color="auto" w:fill="auto"/>
            <w:vAlign w:val="center"/>
          </w:tcPr>
          <w:p w14:paraId="786B3514" w14:textId="00C0B758" w:rsidR="00715C0B" w:rsidRPr="00AC27FF" w:rsidRDefault="00715C0B" w:rsidP="00235CFF">
            <w:pPr>
              <w:rPr>
                <w:b/>
                <w:bCs/>
                <w:szCs w:val="24"/>
                <w:u w:val="single"/>
              </w:rPr>
            </w:pPr>
            <w:r>
              <w:rPr>
                <w:b/>
                <w:bCs/>
                <w:szCs w:val="24"/>
                <w:u w:val="single"/>
              </w:rPr>
              <w:t>u</w:t>
            </w:r>
            <w:r w:rsidRPr="00AC27FF">
              <w:rPr>
                <w:b/>
                <w:bCs/>
                <w:szCs w:val="24"/>
                <w:u w:val="single"/>
              </w:rPr>
              <w:t xml:space="preserve">. </w:t>
            </w:r>
            <w:r>
              <w:rPr>
                <w:b/>
                <w:bCs/>
                <w:szCs w:val="24"/>
                <w:u w:val="single"/>
              </w:rPr>
              <w:t>Local End User Rates and State Regulated Fees</w:t>
            </w:r>
          </w:p>
        </w:tc>
        <w:tc>
          <w:tcPr>
            <w:tcW w:w="1620" w:type="dxa"/>
            <w:vAlign w:val="center"/>
          </w:tcPr>
          <w:p w14:paraId="43E03C1F" w14:textId="77777777" w:rsidR="00715C0B" w:rsidRPr="00AC27FF" w:rsidRDefault="00715C0B" w:rsidP="00D87D19">
            <w:pPr>
              <w:rPr>
                <w:b/>
                <w:szCs w:val="24"/>
              </w:rPr>
            </w:pPr>
            <w:r>
              <w:rPr>
                <w:b/>
                <w:szCs w:val="24"/>
              </w:rPr>
              <w:t>1,434</w:t>
            </w:r>
          </w:p>
        </w:tc>
        <w:tc>
          <w:tcPr>
            <w:tcW w:w="1350" w:type="dxa"/>
            <w:vAlign w:val="center"/>
          </w:tcPr>
          <w:p w14:paraId="0C6F54D8" w14:textId="77777777" w:rsidR="00715C0B" w:rsidRPr="00AC27FF" w:rsidRDefault="00715C0B" w:rsidP="00D87D19">
            <w:pPr>
              <w:rPr>
                <w:b/>
                <w:szCs w:val="24"/>
              </w:rPr>
            </w:pPr>
          </w:p>
        </w:tc>
        <w:tc>
          <w:tcPr>
            <w:tcW w:w="1350" w:type="dxa"/>
            <w:vAlign w:val="center"/>
          </w:tcPr>
          <w:p w14:paraId="2616A54F" w14:textId="77777777" w:rsidR="00715C0B" w:rsidRPr="00AC27FF" w:rsidRDefault="00715C0B" w:rsidP="00D87D19">
            <w:pPr>
              <w:rPr>
                <w:b/>
                <w:bCs/>
                <w:szCs w:val="24"/>
              </w:rPr>
            </w:pPr>
            <w:r>
              <w:rPr>
                <w:b/>
                <w:szCs w:val="24"/>
              </w:rPr>
              <w:t>1</w:t>
            </w:r>
          </w:p>
        </w:tc>
        <w:tc>
          <w:tcPr>
            <w:tcW w:w="1440" w:type="dxa"/>
            <w:vAlign w:val="center"/>
          </w:tcPr>
          <w:p w14:paraId="4DD07C13" w14:textId="77777777" w:rsidR="00715C0B" w:rsidRPr="00AC27FF" w:rsidRDefault="00715C0B" w:rsidP="00D87D19">
            <w:pPr>
              <w:rPr>
                <w:b/>
                <w:szCs w:val="24"/>
              </w:rPr>
            </w:pPr>
            <w:r>
              <w:rPr>
                <w:b/>
                <w:szCs w:val="24"/>
              </w:rPr>
              <w:t>4</w:t>
            </w:r>
          </w:p>
        </w:tc>
        <w:tc>
          <w:tcPr>
            <w:tcW w:w="1080" w:type="dxa"/>
            <w:shd w:val="clear" w:color="auto" w:fill="auto"/>
            <w:vAlign w:val="center"/>
          </w:tcPr>
          <w:p w14:paraId="5234BD78" w14:textId="77777777" w:rsidR="00715C0B" w:rsidRPr="00AC27FF" w:rsidRDefault="00715C0B" w:rsidP="00D87D19">
            <w:pPr>
              <w:rPr>
                <w:b/>
                <w:szCs w:val="24"/>
              </w:rPr>
            </w:pPr>
            <w:r>
              <w:rPr>
                <w:b/>
                <w:szCs w:val="24"/>
              </w:rPr>
              <w:t>5,736</w:t>
            </w:r>
          </w:p>
        </w:tc>
        <w:tc>
          <w:tcPr>
            <w:tcW w:w="1710" w:type="dxa"/>
            <w:shd w:val="clear" w:color="auto" w:fill="auto"/>
            <w:vAlign w:val="center"/>
          </w:tcPr>
          <w:p w14:paraId="4C5572E5" w14:textId="77777777" w:rsidR="00715C0B" w:rsidRPr="00AC27FF" w:rsidRDefault="00715C0B" w:rsidP="00D87D19">
            <w:pPr>
              <w:rPr>
                <w:b/>
                <w:szCs w:val="24"/>
              </w:rPr>
            </w:pPr>
            <w:r w:rsidRPr="00AC27FF">
              <w:rPr>
                <w:b/>
                <w:szCs w:val="24"/>
              </w:rPr>
              <w:t>$</w:t>
            </w:r>
            <w:r>
              <w:rPr>
                <w:b/>
                <w:szCs w:val="24"/>
              </w:rPr>
              <w:t>229,440</w:t>
            </w:r>
          </w:p>
        </w:tc>
      </w:tr>
      <w:tr w:rsidR="00715C0B" w:rsidRPr="00AC27FF" w14:paraId="1DBAF7AA" w14:textId="77777777" w:rsidTr="00D87D19">
        <w:trPr>
          <w:cantSplit/>
          <w:trHeight w:val="270"/>
        </w:trPr>
        <w:tc>
          <w:tcPr>
            <w:tcW w:w="2265" w:type="dxa"/>
            <w:shd w:val="clear" w:color="auto" w:fill="auto"/>
            <w:vAlign w:val="center"/>
          </w:tcPr>
          <w:p w14:paraId="0CC211DE" w14:textId="77777777" w:rsidR="00715C0B" w:rsidRPr="00AC27FF" w:rsidRDefault="00715C0B" w:rsidP="00235CFF">
            <w:pPr>
              <w:rPr>
                <w:b/>
                <w:bCs/>
                <w:szCs w:val="24"/>
                <w:u w:val="single"/>
              </w:rPr>
            </w:pPr>
          </w:p>
        </w:tc>
        <w:tc>
          <w:tcPr>
            <w:tcW w:w="1620" w:type="dxa"/>
            <w:vAlign w:val="center"/>
          </w:tcPr>
          <w:p w14:paraId="0C342C8C" w14:textId="77777777" w:rsidR="00715C0B" w:rsidRPr="00AC27FF" w:rsidRDefault="00715C0B" w:rsidP="00D87D19">
            <w:pPr>
              <w:rPr>
                <w:b/>
                <w:szCs w:val="24"/>
              </w:rPr>
            </w:pPr>
          </w:p>
        </w:tc>
        <w:tc>
          <w:tcPr>
            <w:tcW w:w="1350" w:type="dxa"/>
            <w:vAlign w:val="center"/>
          </w:tcPr>
          <w:p w14:paraId="489DA17E" w14:textId="77777777" w:rsidR="00715C0B" w:rsidRPr="00AC27FF" w:rsidRDefault="00715C0B" w:rsidP="00D87D19">
            <w:pPr>
              <w:rPr>
                <w:b/>
                <w:szCs w:val="24"/>
              </w:rPr>
            </w:pPr>
          </w:p>
        </w:tc>
        <w:tc>
          <w:tcPr>
            <w:tcW w:w="1350" w:type="dxa"/>
            <w:vAlign w:val="center"/>
          </w:tcPr>
          <w:p w14:paraId="6249462C" w14:textId="77777777" w:rsidR="00715C0B" w:rsidRPr="00AC27FF" w:rsidRDefault="00715C0B" w:rsidP="00D87D19">
            <w:pPr>
              <w:rPr>
                <w:b/>
                <w:szCs w:val="24"/>
              </w:rPr>
            </w:pPr>
          </w:p>
        </w:tc>
        <w:tc>
          <w:tcPr>
            <w:tcW w:w="1440" w:type="dxa"/>
            <w:vAlign w:val="center"/>
          </w:tcPr>
          <w:p w14:paraId="3015F94D" w14:textId="77777777" w:rsidR="00715C0B" w:rsidRPr="00AC27FF" w:rsidRDefault="00715C0B" w:rsidP="00D87D19">
            <w:pPr>
              <w:rPr>
                <w:b/>
                <w:szCs w:val="24"/>
              </w:rPr>
            </w:pPr>
          </w:p>
        </w:tc>
        <w:tc>
          <w:tcPr>
            <w:tcW w:w="1080" w:type="dxa"/>
            <w:shd w:val="clear" w:color="auto" w:fill="auto"/>
            <w:vAlign w:val="center"/>
          </w:tcPr>
          <w:p w14:paraId="5609C75A" w14:textId="77777777" w:rsidR="00715C0B" w:rsidRPr="00AC27FF" w:rsidRDefault="00715C0B" w:rsidP="00D87D19">
            <w:pPr>
              <w:rPr>
                <w:b/>
                <w:szCs w:val="24"/>
              </w:rPr>
            </w:pPr>
          </w:p>
        </w:tc>
        <w:tc>
          <w:tcPr>
            <w:tcW w:w="1710" w:type="dxa"/>
            <w:shd w:val="clear" w:color="auto" w:fill="auto"/>
            <w:vAlign w:val="center"/>
          </w:tcPr>
          <w:p w14:paraId="5031B35E" w14:textId="77777777" w:rsidR="00715C0B" w:rsidRPr="00AC27FF" w:rsidRDefault="00715C0B" w:rsidP="00D87D19">
            <w:pPr>
              <w:rPr>
                <w:b/>
                <w:szCs w:val="24"/>
              </w:rPr>
            </w:pPr>
          </w:p>
        </w:tc>
      </w:tr>
      <w:tr w:rsidR="00715C0B" w:rsidRPr="00AC27FF" w14:paraId="2B850F9C" w14:textId="77777777" w:rsidTr="00D87D19">
        <w:trPr>
          <w:cantSplit/>
          <w:trHeight w:val="270"/>
        </w:trPr>
        <w:tc>
          <w:tcPr>
            <w:tcW w:w="2265" w:type="dxa"/>
            <w:shd w:val="clear" w:color="auto" w:fill="auto"/>
            <w:vAlign w:val="center"/>
          </w:tcPr>
          <w:p w14:paraId="28BBF86B" w14:textId="7C465274" w:rsidR="00715C0B" w:rsidRPr="00AC27FF" w:rsidRDefault="00715C0B" w:rsidP="00235CFF">
            <w:pPr>
              <w:rPr>
                <w:b/>
                <w:bCs/>
                <w:szCs w:val="24"/>
                <w:u w:val="single"/>
              </w:rPr>
            </w:pPr>
            <w:r>
              <w:rPr>
                <w:b/>
                <w:bCs/>
                <w:szCs w:val="24"/>
                <w:u w:val="single"/>
              </w:rPr>
              <w:t>v</w:t>
            </w:r>
            <w:r w:rsidRPr="00AC27FF">
              <w:rPr>
                <w:b/>
                <w:bCs/>
                <w:szCs w:val="24"/>
                <w:u w:val="single"/>
              </w:rPr>
              <w:t xml:space="preserve">. </w:t>
            </w:r>
            <w:r>
              <w:rPr>
                <w:b/>
                <w:bCs/>
                <w:szCs w:val="24"/>
                <w:u w:val="single"/>
              </w:rPr>
              <w:t>Recordkeeping Requirements</w:t>
            </w:r>
          </w:p>
        </w:tc>
        <w:tc>
          <w:tcPr>
            <w:tcW w:w="1620" w:type="dxa"/>
            <w:vAlign w:val="center"/>
          </w:tcPr>
          <w:p w14:paraId="4E35FB89" w14:textId="77777777" w:rsidR="00715C0B" w:rsidRPr="00AC27FF" w:rsidRDefault="00715C0B" w:rsidP="00D87D19">
            <w:pPr>
              <w:rPr>
                <w:b/>
                <w:szCs w:val="24"/>
              </w:rPr>
            </w:pPr>
            <w:r>
              <w:rPr>
                <w:b/>
                <w:szCs w:val="24"/>
              </w:rPr>
              <w:t>1,857</w:t>
            </w:r>
          </w:p>
        </w:tc>
        <w:tc>
          <w:tcPr>
            <w:tcW w:w="1350" w:type="dxa"/>
            <w:vAlign w:val="center"/>
          </w:tcPr>
          <w:p w14:paraId="07FF885F" w14:textId="77777777" w:rsidR="00715C0B" w:rsidRPr="00AC27FF" w:rsidRDefault="00715C0B" w:rsidP="00D87D19">
            <w:pPr>
              <w:rPr>
                <w:b/>
                <w:szCs w:val="24"/>
              </w:rPr>
            </w:pPr>
          </w:p>
        </w:tc>
        <w:tc>
          <w:tcPr>
            <w:tcW w:w="1350" w:type="dxa"/>
            <w:vAlign w:val="center"/>
          </w:tcPr>
          <w:p w14:paraId="711F5091" w14:textId="77777777" w:rsidR="00715C0B" w:rsidRPr="00AC27FF" w:rsidRDefault="00715C0B" w:rsidP="00D87D19">
            <w:pPr>
              <w:rPr>
                <w:b/>
                <w:szCs w:val="24"/>
              </w:rPr>
            </w:pPr>
            <w:r>
              <w:rPr>
                <w:b/>
                <w:szCs w:val="24"/>
              </w:rPr>
              <w:t>1</w:t>
            </w:r>
          </w:p>
        </w:tc>
        <w:tc>
          <w:tcPr>
            <w:tcW w:w="1440" w:type="dxa"/>
            <w:vAlign w:val="center"/>
          </w:tcPr>
          <w:p w14:paraId="5962C362" w14:textId="77777777" w:rsidR="00715C0B" w:rsidRPr="00AC27FF" w:rsidRDefault="00715C0B" w:rsidP="00D87D19">
            <w:pPr>
              <w:rPr>
                <w:b/>
                <w:szCs w:val="24"/>
              </w:rPr>
            </w:pPr>
            <w:r>
              <w:rPr>
                <w:b/>
                <w:szCs w:val="24"/>
              </w:rPr>
              <w:t>2</w:t>
            </w:r>
          </w:p>
        </w:tc>
        <w:tc>
          <w:tcPr>
            <w:tcW w:w="1080" w:type="dxa"/>
            <w:shd w:val="clear" w:color="auto" w:fill="auto"/>
            <w:vAlign w:val="center"/>
          </w:tcPr>
          <w:p w14:paraId="3CEE786B" w14:textId="77777777" w:rsidR="00715C0B" w:rsidRPr="00AC27FF" w:rsidRDefault="00715C0B" w:rsidP="00D87D19">
            <w:pPr>
              <w:rPr>
                <w:b/>
                <w:szCs w:val="24"/>
              </w:rPr>
            </w:pPr>
            <w:r>
              <w:rPr>
                <w:b/>
                <w:szCs w:val="24"/>
              </w:rPr>
              <w:t>3,714</w:t>
            </w:r>
          </w:p>
        </w:tc>
        <w:tc>
          <w:tcPr>
            <w:tcW w:w="1710" w:type="dxa"/>
            <w:shd w:val="clear" w:color="auto" w:fill="auto"/>
            <w:vAlign w:val="center"/>
          </w:tcPr>
          <w:p w14:paraId="238E7757" w14:textId="77777777" w:rsidR="00715C0B" w:rsidRPr="00AC27FF" w:rsidRDefault="00715C0B" w:rsidP="00D87D19">
            <w:pPr>
              <w:rPr>
                <w:b/>
                <w:szCs w:val="24"/>
              </w:rPr>
            </w:pPr>
            <w:r w:rsidRPr="00AC27FF">
              <w:rPr>
                <w:b/>
                <w:szCs w:val="24"/>
              </w:rPr>
              <w:t>$</w:t>
            </w:r>
            <w:r>
              <w:rPr>
                <w:b/>
                <w:szCs w:val="24"/>
              </w:rPr>
              <w:t>148,560</w:t>
            </w:r>
          </w:p>
        </w:tc>
      </w:tr>
      <w:tr w:rsidR="004B4346" w:rsidRPr="00AC27FF" w14:paraId="2F1B80B7" w14:textId="77777777" w:rsidTr="00D87D19">
        <w:trPr>
          <w:cantSplit/>
          <w:trHeight w:val="270"/>
        </w:trPr>
        <w:tc>
          <w:tcPr>
            <w:tcW w:w="2265" w:type="dxa"/>
            <w:shd w:val="clear" w:color="auto" w:fill="auto"/>
            <w:vAlign w:val="bottom"/>
          </w:tcPr>
          <w:p w14:paraId="2F1B80B0" w14:textId="6905D99E" w:rsidR="004B4346" w:rsidRPr="00AC27FF" w:rsidRDefault="004B4346" w:rsidP="004B4346">
            <w:pPr>
              <w:rPr>
                <w:b/>
                <w:bCs/>
                <w:szCs w:val="24"/>
                <w:u w:val="single"/>
              </w:rPr>
            </w:pPr>
          </w:p>
        </w:tc>
        <w:tc>
          <w:tcPr>
            <w:tcW w:w="1620" w:type="dxa"/>
            <w:vAlign w:val="bottom"/>
          </w:tcPr>
          <w:p w14:paraId="2F1B80B1" w14:textId="207A79B0" w:rsidR="004B4346" w:rsidRPr="00AC27FF" w:rsidRDefault="004B4346" w:rsidP="004B4346">
            <w:pPr>
              <w:jc w:val="center"/>
              <w:rPr>
                <w:b/>
                <w:szCs w:val="24"/>
              </w:rPr>
            </w:pPr>
          </w:p>
        </w:tc>
        <w:tc>
          <w:tcPr>
            <w:tcW w:w="1350" w:type="dxa"/>
          </w:tcPr>
          <w:p w14:paraId="2F1B80B2" w14:textId="77777777" w:rsidR="004B4346" w:rsidRPr="00AC27FF" w:rsidRDefault="004B4346" w:rsidP="004B4346">
            <w:pPr>
              <w:jc w:val="center"/>
              <w:rPr>
                <w:b/>
                <w:szCs w:val="24"/>
              </w:rPr>
            </w:pPr>
          </w:p>
        </w:tc>
        <w:tc>
          <w:tcPr>
            <w:tcW w:w="1350" w:type="dxa"/>
            <w:vAlign w:val="bottom"/>
          </w:tcPr>
          <w:p w14:paraId="2F1B80B3" w14:textId="159B0F03" w:rsidR="004B4346" w:rsidRPr="00AC27FF" w:rsidRDefault="004B4346" w:rsidP="004B4346">
            <w:pPr>
              <w:jc w:val="center"/>
              <w:rPr>
                <w:b/>
                <w:szCs w:val="24"/>
              </w:rPr>
            </w:pPr>
          </w:p>
        </w:tc>
        <w:tc>
          <w:tcPr>
            <w:tcW w:w="1440" w:type="dxa"/>
            <w:vAlign w:val="bottom"/>
          </w:tcPr>
          <w:p w14:paraId="2F1B80B4" w14:textId="789B90CC" w:rsidR="004B4346" w:rsidRPr="00AC27FF" w:rsidRDefault="004B4346" w:rsidP="004B4346">
            <w:pPr>
              <w:jc w:val="center"/>
              <w:rPr>
                <w:b/>
                <w:szCs w:val="24"/>
              </w:rPr>
            </w:pPr>
          </w:p>
        </w:tc>
        <w:tc>
          <w:tcPr>
            <w:tcW w:w="1080" w:type="dxa"/>
            <w:shd w:val="clear" w:color="auto" w:fill="auto"/>
            <w:vAlign w:val="bottom"/>
          </w:tcPr>
          <w:p w14:paraId="2F1B80B5" w14:textId="030ED07C" w:rsidR="004B4346" w:rsidRPr="00AC27FF" w:rsidRDefault="004B4346" w:rsidP="004B4346">
            <w:pPr>
              <w:jc w:val="center"/>
              <w:rPr>
                <w:b/>
                <w:szCs w:val="24"/>
              </w:rPr>
            </w:pPr>
          </w:p>
        </w:tc>
        <w:tc>
          <w:tcPr>
            <w:tcW w:w="1710" w:type="dxa"/>
            <w:shd w:val="clear" w:color="auto" w:fill="auto"/>
            <w:vAlign w:val="bottom"/>
          </w:tcPr>
          <w:p w14:paraId="2F1B80B6" w14:textId="1DD5BB95" w:rsidR="004B4346" w:rsidRPr="00AC27FF" w:rsidRDefault="004B4346" w:rsidP="004B4346">
            <w:pPr>
              <w:jc w:val="center"/>
              <w:rPr>
                <w:b/>
                <w:szCs w:val="24"/>
              </w:rPr>
            </w:pPr>
          </w:p>
        </w:tc>
      </w:tr>
      <w:tr w:rsidR="004B4346" w:rsidRPr="00AC27FF" w14:paraId="23FCA7E8" w14:textId="77777777" w:rsidTr="00D87D19">
        <w:trPr>
          <w:cantSplit/>
          <w:trHeight w:val="270"/>
        </w:trPr>
        <w:tc>
          <w:tcPr>
            <w:tcW w:w="2265" w:type="dxa"/>
            <w:shd w:val="clear" w:color="auto" w:fill="auto"/>
            <w:vAlign w:val="bottom"/>
          </w:tcPr>
          <w:p w14:paraId="35A1A5AD" w14:textId="77777777" w:rsidR="004B4346" w:rsidRPr="00D87D19" w:rsidRDefault="004B4346" w:rsidP="004B4346">
            <w:pPr>
              <w:rPr>
                <w:b/>
                <w:u w:val="single"/>
              </w:rPr>
            </w:pPr>
          </w:p>
        </w:tc>
        <w:tc>
          <w:tcPr>
            <w:tcW w:w="1620" w:type="dxa"/>
            <w:vAlign w:val="bottom"/>
          </w:tcPr>
          <w:p w14:paraId="155DAFAC" w14:textId="77777777" w:rsidR="004B4346" w:rsidRPr="00627855" w:rsidRDefault="004B4346" w:rsidP="004B4346">
            <w:pPr>
              <w:jc w:val="center"/>
              <w:rPr>
                <w:b/>
                <w:bCs/>
                <w:szCs w:val="24"/>
              </w:rPr>
            </w:pPr>
          </w:p>
        </w:tc>
        <w:tc>
          <w:tcPr>
            <w:tcW w:w="1350" w:type="dxa"/>
            <w:vAlign w:val="bottom"/>
          </w:tcPr>
          <w:p w14:paraId="46291A72" w14:textId="77777777" w:rsidR="004B4346" w:rsidRPr="00627855" w:rsidRDefault="004B4346" w:rsidP="00D87D19">
            <w:pPr>
              <w:tabs>
                <w:tab w:val="left" w:pos="480"/>
              </w:tabs>
              <w:rPr>
                <w:b/>
                <w:bCs/>
                <w:szCs w:val="24"/>
              </w:rPr>
            </w:pPr>
          </w:p>
        </w:tc>
        <w:tc>
          <w:tcPr>
            <w:tcW w:w="1350" w:type="dxa"/>
            <w:vAlign w:val="bottom"/>
          </w:tcPr>
          <w:p w14:paraId="31E873C3" w14:textId="77777777" w:rsidR="004B4346" w:rsidRPr="00627855" w:rsidRDefault="004B4346" w:rsidP="004B4346">
            <w:pPr>
              <w:jc w:val="center"/>
              <w:rPr>
                <w:b/>
                <w:bCs/>
                <w:szCs w:val="24"/>
              </w:rPr>
            </w:pPr>
          </w:p>
        </w:tc>
        <w:tc>
          <w:tcPr>
            <w:tcW w:w="1440" w:type="dxa"/>
            <w:vAlign w:val="bottom"/>
          </w:tcPr>
          <w:p w14:paraId="3DADCC58" w14:textId="77777777" w:rsidR="004B4346" w:rsidRDefault="004B4346" w:rsidP="004B4346">
            <w:pPr>
              <w:jc w:val="center"/>
              <w:rPr>
                <w:b/>
                <w:bCs/>
                <w:szCs w:val="24"/>
              </w:rPr>
            </w:pPr>
          </w:p>
        </w:tc>
        <w:tc>
          <w:tcPr>
            <w:tcW w:w="1080" w:type="dxa"/>
            <w:shd w:val="clear" w:color="auto" w:fill="auto"/>
            <w:vAlign w:val="bottom"/>
          </w:tcPr>
          <w:p w14:paraId="4F8510E7" w14:textId="77777777" w:rsidR="004B4346" w:rsidRDefault="004B4346" w:rsidP="004B4346">
            <w:pPr>
              <w:jc w:val="center"/>
              <w:rPr>
                <w:b/>
                <w:bCs/>
                <w:szCs w:val="24"/>
              </w:rPr>
            </w:pPr>
          </w:p>
        </w:tc>
        <w:tc>
          <w:tcPr>
            <w:tcW w:w="1710" w:type="dxa"/>
            <w:shd w:val="clear" w:color="auto" w:fill="auto"/>
            <w:vAlign w:val="bottom"/>
          </w:tcPr>
          <w:p w14:paraId="3EE64BF4" w14:textId="77777777" w:rsidR="004B4346" w:rsidRPr="00C25A16" w:rsidRDefault="004B4346" w:rsidP="004B4346">
            <w:pPr>
              <w:jc w:val="center"/>
              <w:rPr>
                <w:b/>
                <w:bCs/>
                <w:szCs w:val="24"/>
              </w:rPr>
            </w:pPr>
          </w:p>
        </w:tc>
      </w:tr>
      <w:tr w:rsidR="004B4346" w:rsidRPr="00AC27FF" w14:paraId="1023925F" w14:textId="77777777" w:rsidTr="00D87D19">
        <w:trPr>
          <w:cantSplit/>
          <w:trHeight w:val="270"/>
        </w:trPr>
        <w:tc>
          <w:tcPr>
            <w:tcW w:w="2265" w:type="dxa"/>
            <w:shd w:val="clear" w:color="auto" w:fill="auto"/>
            <w:vAlign w:val="bottom"/>
          </w:tcPr>
          <w:p w14:paraId="0AAE0B48" w14:textId="1BDAD966" w:rsidR="004B4346" w:rsidRDefault="004B4346" w:rsidP="004B4346">
            <w:pPr>
              <w:rPr>
                <w:b/>
                <w:bCs/>
                <w:szCs w:val="24"/>
              </w:rPr>
            </w:pPr>
            <w:r>
              <w:rPr>
                <w:b/>
                <w:bCs/>
                <w:szCs w:val="24"/>
              </w:rPr>
              <w:t>TOTALS:</w:t>
            </w:r>
          </w:p>
        </w:tc>
        <w:tc>
          <w:tcPr>
            <w:tcW w:w="1620" w:type="dxa"/>
            <w:vAlign w:val="bottom"/>
          </w:tcPr>
          <w:p w14:paraId="51F37BCF" w14:textId="77777777" w:rsidR="004B4346" w:rsidRPr="00AC27FF" w:rsidRDefault="004B4346" w:rsidP="004B4346">
            <w:pPr>
              <w:jc w:val="center"/>
              <w:rPr>
                <w:b/>
                <w:bCs/>
                <w:szCs w:val="24"/>
              </w:rPr>
            </w:pPr>
          </w:p>
        </w:tc>
        <w:tc>
          <w:tcPr>
            <w:tcW w:w="1350" w:type="dxa"/>
          </w:tcPr>
          <w:p w14:paraId="04E185F3" w14:textId="77777777" w:rsidR="004B4346" w:rsidRPr="00AC27FF" w:rsidRDefault="004B4346" w:rsidP="004B4346">
            <w:pPr>
              <w:jc w:val="center"/>
              <w:rPr>
                <w:b/>
                <w:bCs/>
                <w:szCs w:val="24"/>
              </w:rPr>
            </w:pPr>
          </w:p>
        </w:tc>
        <w:tc>
          <w:tcPr>
            <w:tcW w:w="1350" w:type="dxa"/>
            <w:vAlign w:val="bottom"/>
          </w:tcPr>
          <w:p w14:paraId="5ADC7545" w14:textId="77777777" w:rsidR="004B4346" w:rsidRPr="00AC27FF" w:rsidRDefault="004B4346" w:rsidP="004B4346">
            <w:pPr>
              <w:jc w:val="center"/>
              <w:rPr>
                <w:b/>
                <w:bCs/>
                <w:szCs w:val="24"/>
              </w:rPr>
            </w:pPr>
          </w:p>
        </w:tc>
        <w:tc>
          <w:tcPr>
            <w:tcW w:w="1440" w:type="dxa"/>
            <w:vAlign w:val="bottom"/>
          </w:tcPr>
          <w:p w14:paraId="568BC888" w14:textId="77777777" w:rsidR="004B4346" w:rsidRPr="00AC27FF" w:rsidRDefault="004B4346" w:rsidP="004B4346">
            <w:pPr>
              <w:jc w:val="center"/>
              <w:rPr>
                <w:b/>
                <w:bCs/>
                <w:szCs w:val="24"/>
              </w:rPr>
            </w:pPr>
          </w:p>
        </w:tc>
        <w:tc>
          <w:tcPr>
            <w:tcW w:w="1080" w:type="dxa"/>
            <w:shd w:val="clear" w:color="auto" w:fill="auto"/>
            <w:vAlign w:val="bottom"/>
          </w:tcPr>
          <w:p w14:paraId="4B98FBE5" w14:textId="77777777" w:rsidR="004B4346" w:rsidRPr="00AC27FF" w:rsidRDefault="004B4346" w:rsidP="004B4346">
            <w:pPr>
              <w:jc w:val="center"/>
              <w:rPr>
                <w:b/>
                <w:szCs w:val="24"/>
              </w:rPr>
            </w:pPr>
          </w:p>
        </w:tc>
        <w:tc>
          <w:tcPr>
            <w:tcW w:w="1710" w:type="dxa"/>
            <w:shd w:val="clear" w:color="auto" w:fill="auto"/>
            <w:vAlign w:val="bottom"/>
          </w:tcPr>
          <w:p w14:paraId="47046F03" w14:textId="77777777" w:rsidR="004B4346" w:rsidRPr="00AC27FF" w:rsidRDefault="004B4346" w:rsidP="004B4346">
            <w:pPr>
              <w:jc w:val="center"/>
              <w:rPr>
                <w:b/>
                <w:bCs/>
                <w:szCs w:val="24"/>
              </w:rPr>
            </w:pPr>
          </w:p>
        </w:tc>
      </w:tr>
    </w:tbl>
    <w:p w14:paraId="2F1B8178" w14:textId="77777777" w:rsidR="00DE165B" w:rsidRPr="00AC27FF" w:rsidRDefault="00DE165B">
      <w:pPr>
        <w:tabs>
          <w:tab w:val="left" w:pos="-720"/>
          <w:tab w:val="left" w:pos="7611"/>
        </w:tabs>
        <w:suppressAutoHyphens/>
        <w:spacing w:line="240" w:lineRule="atLeast"/>
        <w:rPr>
          <w:b/>
          <w:szCs w:val="24"/>
        </w:rPr>
      </w:pPr>
    </w:p>
    <w:p w14:paraId="2F1B8179" w14:textId="0A08057D"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Respondents:  </w:t>
      </w:r>
      <w:r w:rsidR="006D3892" w:rsidRPr="00AC27FF">
        <w:rPr>
          <w:b/>
          <w:szCs w:val="24"/>
        </w:rPr>
        <w:t>1,</w:t>
      </w:r>
      <w:r w:rsidR="00132D00">
        <w:rPr>
          <w:b/>
          <w:szCs w:val="24"/>
        </w:rPr>
        <w:t>877</w:t>
      </w:r>
      <w:r w:rsidR="006D3892" w:rsidRPr="00AC27FF">
        <w:rPr>
          <w:b/>
          <w:szCs w:val="24"/>
        </w:rPr>
        <w:t xml:space="preserve"> </w:t>
      </w:r>
      <w:r w:rsidR="00E05221" w:rsidRPr="00AC27FF">
        <w:rPr>
          <w:b/>
          <w:szCs w:val="24"/>
        </w:rPr>
        <w:t xml:space="preserve">unique </w:t>
      </w:r>
      <w:r w:rsidR="00207A39" w:rsidRPr="00AC27FF">
        <w:rPr>
          <w:b/>
          <w:szCs w:val="24"/>
        </w:rPr>
        <w:t>respondents filing multiple times.</w:t>
      </w:r>
    </w:p>
    <w:p w14:paraId="2F1B817A" w14:textId="77777777" w:rsidR="00DE165B" w:rsidRPr="00AC27FF" w:rsidRDefault="00DE165B" w:rsidP="00D87D19">
      <w:pPr>
        <w:tabs>
          <w:tab w:val="left" w:pos="-720"/>
          <w:tab w:val="left" w:pos="7611"/>
        </w:tabs>
        <w:suppressAutoHyphens/>
        <w:spacing w:line="240" w:lineRule="atLeast"/>
        <w:rPr>
          <w:b/>
          <w:szCs w:val="24"/>
        </w:rPr>
      </w:pPr>
    </w:p>
    <w:p w14:paraId="2F1B817B" w14:textId="6B3DE0AA"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Responses Annually:  </w:t>
      </w:r>
      <w:r w:rsidR="00224BE9">
        <w:rPr>
          <w:b/>
          <w:szCs w:val="24"/>
        </w:rPr>
        <w:t>1</w:t>
      </w:r>
      <w:r w:rsidR="00715C0B">
        <w:rPr>
          <w:b/>
          <w:szCs w:val="24"/>
        </w:rPr>
        <w:t>1,977</w:t>
      </w:r>
    </w:p>
    <w:p w14:paraId="2F1B817C" w14:textId="77777777" w:rsidR="00DE165B" w:rsidRPr="00AC27FF" w:rsidRDefault="00DE165B">
      <w:pPr>
        <w:tabs>
          <w:tab w:val="left" w:pos="-720"/>
          <w:tab w:val="left" w:pos="7611"/>
        </w:tabs>
        <w:suppressAutoHyphens/>
        <w:spacing w:line="240" w:lineRule="atLeast"/>
        <w:ind w:left="360"/>
        <w:rPr>
          <w:b/>
          <w:szCs w:val="24"/>
        </w:rPr>
      </w:pPr>
    </w:p>
    <w:p w14:paraId="2F1B817D" w14:textId="53B3F01E" w:rsidR="00DE165B" w:rsidRPr="00AC27FF" w:rsidRDefault="00DE165B">
      <w:pPr>
        <w:tabs>
          <w:tab w:val="left" w:pos="-720"/>
          <w:tab w:val="left" w:pos="7611"/>
        </w:tabs>
        <w:suppressAutoHyphens/>
        <w:spacing w:line="240" w:lineRule="atLeast"/>
        <w:ind w:left="360"/>
        <w:rPr>
          <w:b/>
          <w:szCs w:val="24"/>
        </w:rPr>
      </w:pPr>
      <w:r w:rsidRPr="00AC27FF">
        <w:rPr>
          <w:b/>
          <w:szCs w:val="24"/>
        </w:rPr>
        <w:t>Total Annual Hourly Burden for requirements (a) – (</w:t>
      </w:r>
      <w:r w:rsidR="00715C0B">
        <w:rPr>
          <w:b/>
          <w:szCs w:val="24"/>
        </w:rPr>
        <w:t>v</w:t>
      </w:r>
      <w:r w:rsidRPr="00AC27FF">
        <w:rPr>
          <w:b/>
          <w:szCs w:val="24"/>
        </w:rPr>
        <w:t xml:space="preserve">):  </w:t>
      </w:r>
      <w:r w:rsidR="00715C0B">
        <w:rPr>
          <w:b/>
          <w:szCs w:val="24"/>
        </w:rPr>
        <w:t>51,080</w:t>
      </w:r>
    </w:p>
    <w:p w14:paraId="2F1B817E" w14:textId="77777777" w:rsidR="00DE165B" w:rsidRPr="00AC27FF" w:rsidRDefault="00DE165B">
      <w:pPr>
        <w:tabs>
          <w:tab w:val="left" w:pos="-720"/>
          <w:tab w:val="left" w:pos="7611"/>
        </w:tabs>
        <w:suppressAutoHyphens/>
        <w:spacing w:line="240" w:lineRule="atLeast"/>
        <w:ind w:left="360"/>
        <w:rPr>
          <w:b/>
          <w:szCs w:val="24"/>
        </w:rPr>
      </w:pPr>
    </w:p>
    <w:p w14:paraId="2F1B8180" w14:textId="24148B4D" w:rsidR="00DE165B" w:rsidRDefault="00DE165B" w:rsidP="008564C9">
      <w:pPr>
        <w:tabs>
          <w:tab w:val="left" w:pos="-720"/>
          <w:tab w:val="left" w:pos="7611"/>
        </w:tabs>
        <w:suppressAutoHyphens/>
        <w:spacing w:line="240" w:lineRule="atLeast"/>
        <w:ind w:left="360"/>
        <w:rPr>
          <w:b/>
          <w:szCs w:val="24"/>
        </w:rPr>
      </w:pPr>
      <w:r w:rsidRPr="00AC27FF">
        <w:rPr>
          <w:b/>
          <w:szCs w:val="24"/>
        </w:rPr>
        <w:t xml:space="preserve">Total Annual </w:t>
      </w:r>
      <w:r w:rsidR="007A2719">
        <w:rPr>
          <w:b/>
          <w:szCs w:val="24"/>
        </w:rPr>
        <w:t>In-house</w:t>
      </w:r>
      <w:r w:rsidRPr="00AC27FF">
        <w:rPr>
          <w:b/>
          <w:szCs w:val="24"/>
        </w:rPr>
        <w:t xml:space="preserve"> Costs</w:t>
      </w:r>
      <w:r w:rsidR="00065350">
        <w:rPr>
          <w:b/>
          <w:szCs w:val="24"/>
        </w:rPr>
        <w:t xml:space="preserve"> to respondents</w:t>
      </w:r>
      <w:r w:rsidRPr="00AC27FF">
        <w:rPr>
          <w:b/>
          <w:szCs w:val="24"/>
        </w:rPr>
        <w:t xml:space="preserve">:  </w:t>
      </w:r>
      <w:r w:rsidR="00B702EC" w:rsidRPr="000B1458">
        <w:rPr>
          <w:b/>
          <w:szCs w:val="24"/>
        </w:rPr>
        <w:t>$</w:t>
      </w:r>
      <w:r w:rsidR="004B4346">
        <w:rPr>
          <w:b/>
          <w:szCs w:val="24"/>
        </w:rPr>
        <w:t>2,</w:t>
      </w:r>
      <w:r w:rsidR="004B0508">
        <w:rPr>
          <w:b/>
          <w:szCs w:val="24"/>
        </w:rPr>
        <w:t>043,204</w:t>
      </w:r>
    </w:p>
    <w:p w14:paraId="23B9BCC7" w14:textId="77777777" w:rsidR="00B56457" w:rsidRPr="00AC27FF" w:rsidRDefault="00B56457" w:rsidP="008564C9">
      <w:pPr>
        <w:tabs>
          <w:tab w:val="left" w:pos="-720"/>
          <w:tab w:val="left" w:pos="7611"/>
        </w:tabs>
        <w:suppressAutoHyphens/>
        <w:spacing w:line="240" w:lineRule="atLeast"/>
        <w:ind w:left="360"/>
        <w:rPr>
          <w:b/>
          <w:szCs w:val="24"/>
        </w:rPr>
      </w:pPr>
    </w:p>
    <w:p w14:paraId="2F1B8181" w14:textId="7C93A6F7" w:rsidR="00DE165B" w:rsidRPr="00AC27FF" w:rsidRDefault="00DE165B">
      <w:pPr>
        <w:ind w:left="360" w:hanging="360"/>
        <w:rPr>
          <w:szCs w:val="24"/>
        </w:rPr>
      </w:pPr>
      <w:r w:rsidRPr="00AC27FF">
        <w:rPr>
          <w:szCs w:val="24"/>
        </w:rPr>
        <w:t xml:space="preserve">13. </w:t>
      </w:r>
      <w:r w:rsidRPr="00AC27FF">
        <w:rPr>
          <w:i/>
          <w:szCs w:val="24"/>
        </w:rPr>
        <w:t xml:space="preserve"> Estimates for the cost burden of the collection to respondents.  </w:t>
      </w:r>
      <w:r w:rsidRPr="00AC27FF">
        <w:rPr>
          <w:szCs w:val="24"/>
        </w:rPr>
        <w:t xml:space="preserve">There are no outside contracting costs for this information collection.  See the last column in the chart in item 12 above for the estimated </w:t>
      </w:r>
      <w:r w:rsidR="007A2719">
        <w:rPr>
          <w:szCs w:val="24"/>
        </w:rPr>
        <w:t>in-house</w:t>
      </w:r>
      <w:r w:rsidRPr="00AC27FF">
        <w:rPr>
          <w:szCs w:val="24"/>
        </w:rPr>
        <w:t xml:space="preserve"> costs</w:t>
      </w:r>
      <w:r w:rsidR="00065350">
        <w:rPr>
          <w:szCs w:val="24"/>
        </w:rPr>
        <w:t xml:space="preserve"> </w:t>
      </w:r>
      <w:r w:rsidR="00D42064">
        <w:rPr>
          <w:szCs w:val="24"/>
        </w:rPr>
        <w:t xml:space="preserve">to </w:t>
      </w:r>
      <w:r w:rsidR="00065350">
        <w:rPr>
          <w:szCs w:val="24"/>
        </w:rPr>
        <w:t>respondents</w:t>
      </w:r>
      <w:r w:rsidRPr="00AC27FF">
        <w:rPr>
          <w:szCs w:val="24"/>
        </w:rPr>
        <w:t>.</w:t>
      </w:r>
    </w:p>
    <w:p w14:paraId="2F1B8182" w14:textId="77777777" w:rsidR="00DE165B" w:rsidRPr="00AC27FF" w:rsidRDefault="00DE165B">
      <w:pPr>
        <w:ind w:left="360" w:hanging="360"/>
        <w:rPr>
          <w:i/>
          <w:szCs w:val="24"/>
        </w:rPr>
      </w:pPr>
    </w:p>
    <w:p w14:paraId="2F1B8183" w14:textId="77777777" w:rsidR="00DE165B" w:rsidRPr="00AC27FF" w:rsidRDefault="00DE165B" w:rsidP="00DE165B">
      <w:pPr>
        <w:ind w:left="360" w:hanging="360"/>
        <w:rPr>
          <w:szCs w:val="24"/>
        </w:rPr>
      </w:pPr>
      <w:r w:rsidRPr="00AC27FF">
        <w:rPr>
          <w:szCs w:val="24"/>
        </w:rPr>
        <w:t xml:space="preserve">14.  </w:t>
      </w:r>
      <w:r w:rsidRPr="00AC27FF">
        <w:rPr>
          <w:i/>
          <w:szCs w:val="24"/>
        </w:rPr>
        <w:t xml:space="preserve">Estimates of the cost burden to the Commission.  </w:t>
      </w:r>
      <w:r w:rsidRPr="00AC27FF">
        <w:rPr>
          <w:szCs w:val="24"/>
        </w:rPr>
        <w:t>There will be few, if any, costs to the Commission because notice and enforcement requirements are already part of Commission duties.  Moreover, there will be minimal cost to the federal government since an outside party will administer this program.</w:t>
      </w:r>
      <w:bookmarkStart w:id="2" w:name="OLE_LINK1"/>
      <w:bookmarkStart w:id="3" w:name="OLE_LINK2"/>
    </w:p>
    <w:p w14:paraId="2F1B8184" w14:textId="77777777" w:rsidR="00DE165B" w:rsidRPr="00AC27FF" w:rsidRDefault="00DE165B" w:rsidP="00DE165B">
      <w:pPr>
        <w:ind w:left="360"/>
        <w:rPr>
          <w:iCs/>
          <w:color w:val="000000"/>
          <w:szCs w:val="24"/>
        </w:rPr>
      </w:pPr>
    </w:p>
    <w:p w14:paraId="4CF566A7" w14:textId="0E1C7CC8" w:rsidR="00813AB5" w:rsidRPr="007119C3" w:rsidRDefault="00DE165B" w:rsidP="00813AB5">
      <w:pPr>
        <w:ind w:left="360" w:hanging="360"/>
        <w:rPr>
          <w:iCs/>
          <w:highlight w:val="cyan"/>
        </w:rPr>
      </w:pPr>
      <w:r w:rsidRPr="00AC27FF">
        <w:rPr>
          <w:iCs/>
          <w:color w:val="000000"/>
          <w:szCs w:val="24"/>
        </w:rPr>
        <w:t xml:space="preserve">15.  </w:t>
      </w:r>
      <w:r w:rsidRPr="00AC27FF">
        <w:rPr>
          <w:i/>
          <w:iCs/>
          <w:color w:val="000000"/>
          <w:szCs w:val="24"/>
        </w:rPr>
        <w:t>Program changes or adjustments.</w:t>
      </w:r>
      <w:r w:rsidRPr="00AC27FF">
        <w:rPr>
          <w:iCs/>
          <w:color w:val="000000"/>
          <w:szCs w:val="24"/>
        </w:rPr>
        <w:t xml:space="preserve"> </w:t>
      </w:r>
      <w:r w:rsidRPr="007A20E4">
        <w:rPr>
          <w:i/>
          <w:iCs/>
          <w:szCs w:val="24"/>
        </w:rPr>
        <w:t xml:space="preserve"> </w:t>
      </w:r>
      <w:r w:rsidR="00B63BE0" w:rsidRPr="00EE0B13">
        <w:rPr>
          <w:iCs/>
          <w:szCs w:val="24"/>
        </w:rPr>
        <w:t>T</w:t>
      </w:r>
      <w:r w:rsidR="00B63BE0">
        <w:rPr>
          <w:iCs/>
          <w:szCs w:val="24"/>
        </w:rPr>
        <w:t xml:space="preserve">he Commission is reporting program changes to this information collection as a result of </w:t>
      </w:r>
      <w:r w:rsidR="004B0508">
        <w:rPr>
          <w:iCs/>
          <w:szCs w:val="24"/>
        </w:rPr>
        <w:t xml:space="preserve">one </w:t>
      </w:r>
      <w:r w:rsidR="006E6967">
        <w:rPr>
          <w:iCs/>
          <w:szCs w:val="24"/>
        </w:rPr>
        <w:t xml:space="preserve">new requirement associated with </w:t>
      </w:r>
      <w:r w:rsidR="004B0508">
        <w:rPr>
          <w:iCs/>
          <w:szCs w:val="24"/>
        </w:rPr>
        <w:t xml:space="preserve">the </w:t>
      </w:r>
      <w:r w:rsidR="004B0508">
        <w:rPr>
          <w:i/>
          <w:iCs/>
          <w:szCs w:val="24"/>
        </w:rPr>
        <w:t>2018 Rate-of-Return Order</w:t>
      </w:r>
      <w:r w:rsidR="00FC1302" w:rsidRPr="00EE0B13">
        <w:rPr>
          <w:iCs/>
        </w:rPr>
        <w:t xml:space="preserve">.  </w:t>
      </w:r>
      <w:r w:rsidR="004B0508">
        <w:rPr>
          <w:iCs/>
        </w:rPr>
        <w:t xml:space="preserve">The new requirement adds minimal burdens to this information collection; however, several requirements have also been moved from this collection </w:t>
      </w:r>
      <w:r w:rsidR="006D52AE">
        <w:rPr>
          <w:iCs/>
        </w:rPr>
        <w:t xml:space="preserve">pursuant to </w:t>
      </w:r>
      <w:r w:rsidR="004B0508">
        <w:rPr>
          <w:iCs/>
        </w:rPr>
        <w:t xml:space="preserve">the last revision.  </w:t>
      </w:r>
      <w:r w:rsidR="00813AB5" w:rsidRPr="00EE0B13">
        <w:rPr>
          <w:iCs/>
        </w:rPr>
        <w:t xml:space="preserve">The estimated total </w:t>
      </w:r>
      <w:r w:rsidR="00A67A79" w:rsidRPr="00EE0B13">
        <w:rPr>
          <w:iCs/>
        </w:rPr>
        <w:t xml:space="preserve">number of respondents, total annual responses and </w:t>
      </w:r>
      <w:r w:rsidR="00813AB5" w:rsidRPr="00EE0B13">
        <w:rPr>
          <w:iCs/>
        </w:rPr>
        <w:t xml:space="preserve">annual burden hours have </w:t>
      </w:r>
      <w:r w:rsidR="00FC1302" w:rsidRPr="00EE0B13">
        <w:rPr>
          <w:iCs/>
        </w:rPr>
        <w:t xml:space="preserve">therefore </w:t>
      </w:r>
      <w:r w:rsidR="00813AB5" w:rsidRPr="00EE0B13">
        <w:rPr>
          <w:iCs/>
        </w:rPr>
        <w:t xml:space="preserve">been </w:t>
      </w:r>
      <w:r w:rsidR="00263064" w:rsidRPr="00EE0B13">
        <w:rPr>
          <w:iCs/>
        </w:rPr>
        <w:t xml:space="preserve">reduced </w:t>
      </w:r>
      <w:r w:rsidR="00813AB5" w:rsidRPr="00EE0B13">
        <w:rPr>
          <w:iCs/>
        </w:rPr>
        <w:t>under this OMB control number.</w:t>
      </w:r>
    </w:p>
    <w:p w14:paraId="4BF80D8F" w14:textId="77777777" w:rsidR="00813AB5" w:rsidRPr="007119C3" w:rsidRDefault="00813AB5" w:rsidP="00813AB5">
      <w:pPr>
        <w:ind w:left="360" w:hanging="360"/>
        <w:rPr>
          <w:iCs/>
          <w:highlight w:val="cyan"/>
        </w:rPr>
      </w:pPr>
    </w:p>
    <w:p w14:paraId="40BEF5A8" w14:textId="676A3794" w:rsidR="00154DBF" w:rsidRDefault="00813AB5" w:rsidP="0046233F">
      <w:pPr>
        <w:ind w:left="360"/>
        <w:rPr>
          <w:iCs/>
        </w:rPr>
      </w:pPr>
      <w:r w:rsidRPr="00EE0B13">
        <w:rPr>
          <w:iCs/>
        </w:rPr>
        <w:t xml:space="preserve">The </w:t>
      </w:r>
      <w:r w:rsidR="00A67A79" w:rsidRPr="00EE0B13">
        <w:rPr>
          <w:iCs/>
        </w:rPr>
        <w:t xml:space="preserve">total number of respondents </w:t>
      </w:r>
      <w:r w:rsidR="004B0508">
        <w:rPr>
          <w:iCs/>
        </w:rPr>
        <w:t xml:space="preserve">remains the same at </w:t>
      </w:r>
      <w:r w:rsidR="00A67A79" w:rsidRPr="00EE0B13">
        <w:rPr>
          <w:iCs/>
        </w:rPr>
        <w:t>1,</w:t>
      </w:r>
      <w:r w:rsidR="00391D50" w:rsidRPr="00EE0B13">
        <w:rPr>
          <w:iCs/>
        </w:rPr>
        <w:t>877</w:t>
      </w:r>
      <w:r w:rsidR="003A4FFB" w:rsidRPr="00EE0B13">
        <w:rPr>
          <w:iCs/>
        </w:rPr>
        <w:t>;</w:t>
      </w:r>
      <w:r w:rsidR="00A67A79" w:rsidRPr="00EE0B13">
        <w:rPr>
          <w:iCs/>
        </w:rPr>
        <w:t xml:space="preserve"> the total annual response</w:t>
      </w:r>
      <w:r w:rsidR="00FC3695" w:rsidRPr="00EE0B13">
        <w:rPr>
          <w:iCs/>
        </w:rPr>
        <w:t>s</w:t>
      </w:r>
      <w:r w:rsidR="00A67A79" w:rsidRPr="00EE0B13">
        <w:rPr>
          <w:iCs/>
        </w:rPr>
        <w:t xml:space="preserve"> </w:t>
      </w:r>
      <w:r w:rsidR="004B0508">
        <w:rPr>
          <w:iCs/>
        </w:rPr>
        <w:t>decreased</w:t>
      </w:r>
      <w:r w:rsidR="00A67A79" w:rsidRPr="00EE0B13">
        <w:rPr>
          <w:iCs/>
        </w:rPr>
        <w:t xml:space="preserve"> </w:t>
      </w:r>
      <w:r w:rsidR="00263064" w:rsidRPr="00EE0B13">
        <w:rPr>
          <w:iCs/>
        </w:rPr>
        <w:t>from 14,</w:t>
      </w:r>
      <w:r w:rsidR="004B0508">
        <w:rPr>
          <w:iCs/>
        </w:rPr>
        <w:t>335</w:t>
      </w:r>
      <w:r w:rsidR="00263064" w:rsidRPr="00EE0B13">
        <w:rPr>
          <w:iCs/>
        </w:rPr>
        <w:t xml:space="preserve"> to </w:t>
      </w:r>
      <w:r w:rsidR="004B0508">
        <w:rPr>
          <w:iCs/>
        </w:rPr>
        <w:t>11,977</w:t>
      </w:r>
      <w:r w:rsidR="00391D50" w:rsidRPr="00EE0B13">
        <w:rPr>
          <w:iCs/>
        </w:rPr>
        <w:t xml:space="preserve"> </w:t>
      </w:r>
      <w:r w:rsidR="00263064" w:rsidRPr="00EE0B13">
        <w:rPr>
          <w:iCs/>
        </w:rPr>
        <w:t>(</w:t>
      </w:r>
      <w:r w:rsidR="004B0508">
        <w:rPr>
          <w:iCs/>
        </w:rPr>
        <w:t>-2,358</w:t>
      </w:r>
      <w:r w:rsidR="00263064" w:rsidRPr="00EE0B13">
        <w:rPr>
          <w:iCs/>
        </w:rPr>
        <w:t>)</w:t>
      </w:r>
      <w:r w:rsidR="003A4FFB" w:rsidRPr="00EE0B13">
        <w:rPr>
          <w:iCs/>
        </w:rPr>
        <w:t>;</w:t>
      </w:r>
      <w:r w:rsidR="00263064" w:rsidRPr="00EE0B13">
        <w:rPr>
          <w:iCs/>
        </w:rPr>
        <w:t xml:space="preserve"> and the </w:t>
      </w:r>
      <w:r w:rsidRPr="00EE0B13">
        <w:rPr>
          <w:iCs/>
        </w:rPr>
        <w:t xml:space="preserve">total </w:t>
      </w:r>
      <w:r w:rsidR="00263064" w:rsidRPr="00EE0B13">
        <w:rPr>
          <w:iCs/>
        </w:rPr>
        <w:t xml:space="preserve">annual </w:t>
      </w:r>
      <w:r w:rsidRPr="00EE0B13">
        <w:rPr>
          <w:iCs/>
        </w:rPr>
        <w:t xml:space="preserve">burden </w:t>
      </w:r>
      <w:r w:rsidR="00263064" w:rsidRPr="00EE0B13">
        <w:rPr>
          <w:iCs/>
        </w:rPr>
        <w:t xml:space="preserve">hours decreased from </w:t>
      </w:r>
      <w:r w:rsidR="004B0508">
        <w:rPr>
          <w:iCs/>
        </w:rPr>
        <w:t>63,486</w:t>
      </w:r>
      <w:r w:rsidR="00263064" w:rsidRPr="00EE0B13">
        <w:rPr>
          <w:iCs/>
        </w:rPr>
        <w:t xml:space="preserve"> to </w:t>
      </w:r>
      <w:r w:rsidR="004B0508">
        <w:rPr>
          <w:iCs/>
        </w:rPr>
        <w:t>51,080</w:t>
      </w:r>
      <w:r w:rsidR="00263064" w:rsidRPr="00EE0B13">
        <w:rPr>
          <w:iCs/>
        </w:rPr>
        <w:t xml:space="preserve"> (-</w:t>
      </w:r>
      <w:r w:rsidR="004B0508">
        <w:rPr>
          <w:iCs/>
        </w:rPr>
        <w:t>12,40</w:t>
      </w:r>
      <w:r w:rsidR="00D035C0">
        <w:rPr>
          <w:iCs/>
        </w:rPr>
        <w:t>6</w:t>
      </w:r>
      <w:r w:rsidR="00FC3695" w:rsidRPr="00EE0B13">
        <w:rPr>
          <w:iCs/>
        </w:rPr>
        <w:t>)</w:t>
      </w:r>
      <w:r w:rsidR="003A4FFB" w:rsidRPr="00EE0B13">
        <w:rPr>
          <w:iCs/>
        </w:rPr>
        <w:t>.</w:t>
      </w:r>
      <w:r w:rsidRPr="00EE0B13">
        <w:rPr>
          <w:iCs/>
        </w:rPr>
        <w:t xml:space="preserve"> </w:t>
      </w:r>
    </w:p>
    <w:p w14:paraId="2F1B818A" w14:textId="77777777" w:rsidR="002308F6" w:rsidRPr="00AC27FF" w:rsidRDefault="002308F6" w:rsidP="002308F6">
      <w:pPr>
        <w:ind w:left="360" w:hanging="360"/>
        <w:rPr>
          <w:bCs/>
          <w:color w:val="000000"/>
          <w:szCs w:val="24"/>
        </w:rPr>
      </w:pPr>
    </w:p>
    <w:bookmarkEnd w:id="2"/>
    <w:bookmarkEnd w:id="3"/>
    <w:p w14:paraId="2F1B818B" w14:textId="714834DB" w:rsidR="00DE165B" w:rsidRPr="00AC27FF" w:rsidRDefault="00DE165B">
      <w:pPr>
        <w:ind w:left="360" w:hanging="360"/>
        <w:rPr>
          <w:szCs w:val="24"/>
        </w:rPr>
      </w:pPr>
      <w:r w:rsidRPr="00AC27FF">
        <w:rPr>
          <w:szCs w:val="24"/>
        </w:rPr>
        <w:t xml:space="preserve">16.  </w:t>
      </w:r>
      <w:r w:rsidRPr="00AC27FF">
        <w:rPr>
          <w:i/>
          <w:szCs w:val="24"/>
        </w:rPr>
        <w:t xml:space="preserve">Collections of information whose results will be published.  </w:t>
      </w:r>
      <w:r w:rsidR="00A85B3C" w:rsidRPr="00AC27FF">
        <w:rPr>
          <w:szCs w:val="24"/>
        </w:rPr>
        <w:t xml:space="preserve">The </w:t>
      </w:r>
      <w:r w:rsidRPr="00AC27FF">
        <w:rPr>
          <w:szCs w:val="24"/>
        </w:rPr>
        <w:t xml:space="preserve">Commission plans </w:t>
      </w:r>
      <w:r w:rsidR="00396933" w:rsidRPr="00AC27FF">
        <w:rPr>
          <w:szCs w:val="24"/>
        </w:rPr>
        <w:t xml:space="preserve">to make </w:t>
      </w:r>
      <w:r w:rsidR="007A6458" w:rsidRPr="00AC27FF">
        <w:rPr>
          <w:szCs w:val="24"/>
        </w:rPr>
        <w:t xml:space="preserve">some </w:t>
      </w:r>
      <w:r w:rsidR="00FC2F05">
        <w:rPr>
          <w:szCs w:val="24"/>
        </w:rPr>
        <w:t>non-</w:t>
      </w:r>
      <w:r w:rsidR="0079611C">
        <w:rPr>
          <w:szCs w:val="24"/>
        </w:rPr>
        <w:t>proprietary information</w:t>
      </w:r>
      <w:r w:rsidR="00FC2F05">
        <w:rPr>
          <w:szCs w:val="24"/>
        </w:rPr>
        <w:t xml:space="preserve"> </w:t>
      </w:r>
      <w:r w:rsidR="007A6458" w:rsidRPr="00AC27FF">
        <w:rPr>
          <w:szCs w:val="24"/>
        </w:rPr>
        <w:t xml:space="preserve">available </w:t>
      </w:r>
      <w:r w:rsidR="00396933" w:rsidRPr="00AC27FF">
        <w:rPr>
          <w:szCs w:val="24"/>
        </w:rPr>
        <w:t>publicly</w:t>
      </w:r>
      <w:r w:rsidR="00FC2F05">
        <w:rPr>
          <w:szCs w:val="24"/>
        </w:rPr>
        <w:t xml:space="preserve">, including </w:t>
      </w:r>
      <w:r w:rsidR="0079611C">
        <w:rPr>
          <w:szCs w:val="24"/>
        </w:rPr>
        <w:t xml:space="preserve">information </w:t>
      </w:r>
      <w:r w:rsidR="00FC2F05">
        <w:rPr>
          <w:szCs w:val="24"/>
        </w:rPr>
        <w:t xml:space="preserve">included in recipients’ </w:t>
      </w:r>
      <w:r w:rsidR="007A6458" w:rsidRPr="00AC27FF">
        <w:rPr>
          <w:szCs w:val="24"/>
        </w:rPr>
        <w:t>annual reports</w:t>
      </w:r>
      <w:r w:rsidR="00534806">
        <w:rPr>
          <w:szCs w:val="24"/>
        </w:rPr>
        <w:t>.</w:t>
      </w:r>
    </w:p>
    <w:p w14:paraId="2F1B818C" w14:textId="77777777" w:rsidR="00DE165B" w:rsidRPr="00AC27FF" w:rsidRDefault="00DE165B">
      <w:pPr>
        <w:ind w:left="360" w:hanging="360"/>
        <w:rPr>
          <w:szCs w:val="24"/>
        </w:rPr>
      </w:pPr>
    </w:p>
    <w:p w14:paraId="2F1B818D" w14:textId="26734B34" w:rsidR="00DE165B" w:rsidRPr="00AC27FF" w:rsidRDefault="00DE165B">
      <w:pPr>
        <w:ind w:left="360" w:hanging="360"/>
        <w:rPr>
          <w:szCs w:val="24"/>
        </w:rPr>
      </w:pPr>
      <w:r w:rsidRPr="00AC27FF">
        <w:rPr>
          <w:szCs w:val="24"/>
        </w:rPr>
        <w:t xml:space="preserve">17.  </w:t>
      </w:r>
      <w:r w:rsidRPr="00AC27FF">
        <w:rPr>
          <w:i/>
          <w:szCs w:val="24"/>
        </w:rPr>
        <w:t xml:space="preserve">Display of expiration date for OMB approval of information collection.  </w:t>
      </w:r>
      <w:r w:rsidRPr="00AC27FF">
        <w:rPr>
          <w:szCs w:val="24"/>
        </w:rPr>
        <w:t xml:space="preserve">The Commission seeks </w:t>
      </w:r>
      <w:r w:rsidR="00D842A6" w:rsidRPr="00AC27FF">
        <w:rPr>
          <w:szCs w:val="24"/>
        </w:rPr>
        <w:t xml:space="preserve">continued </w:t>
      </w:r>
      <w:r w:rsidRPr="00AC27FF">
        <w:rPr>
          <w:szCs w:val="24"/>
        </w:rPr>
        <w:t xml:space="preserve">approval to not display the </w:t>
      </w:r>
      <w:r w:rsidR="00D842A6" w:rsidRPr="00AC27FF">
        <w:rPr>
          <w:szCs w:val="24"/>
        </w:rPr>
        <w:t xml:space="preserve">OMB </w:t>
      </w:r>
      <w:r w:rsidRPr="00AC27FF">
        <w:rPr>
          <w:szCs w:val="24"/>
        </w:rPr>
        <w:t xml:space="preserve">expiration </w:t>
      </w:r>
      <w:r w:rsidR="00AE3C5E" w:rsidRPr="00AC27FF">
        <w:rPr>
          <w:szCs w:val="24"/>
        </w:rPr>
        <w:t>date on</w:t>
      </w:r>
      <w:r w:rsidRPr="00AC27FF">
        <w:rPr>
          <w:szCs w:val="24"/>
        </w:rPr>
        <w:t xml:space="preserve"> </w:t>
      </w:r>
      <w:r w:rsidR="009C6E56" w:rsidRPr="00AC27FF">
        <w:rPr>
          <w:szCs w:val="24"/>
        </w:rPr>
        <w:t xml:space="preserve">FCC Form </w:t>
      </w:r>
      <w:r w:rsidR="00651D18" w:rsidRPr="00AC27FF">
        <w:rPr>
          <w:szCs w:val="24"/>
        </w:rPr>
        <w:t>481</w:t>
      </w:r>
      <w:r w:rsidR="006F1D7D" w:rsidRPr="00AC27FF">
        <w:rPr>
          <w:szCs w:val="24"/>
        </w:rPr>
        <w:t xml:space="preserve"> </w:t>
      </w:r>
      <w:r w:rsidR="00203F4B">
        <w:rPr>
          <w:szCs w:val="24"/>
        </w:rPr>
        <w:t xml:space="preserve">and </w:t>
      </w:r>
      <w:r w:rsidR="000B1458">
        <w:rPr>
          <w:szCs w:val="24"/>
        </w:rPr>
        <w:t xml:space="preserve">FCC Form 525.  </w:t>
      </w:r>
      <w:r w:rsidRPr="00AC27FF">
        <w:rPr>
          <w:szCs w:val="24"/>
        </w:rPr>
        <w:t xml:space="preserve">The Commission will use an edition date in lieu of an OMB expiration date.  </w:t>
      </w:r>
      <w:r w:rsidR="006D52AE" w:rsidRPr="006D52AE">
        <w:rPr>
          <w:szCs w:val="24"/>
        </w:rPr>
        <w:t xml:space="preserve">This will prevent the Commission from having to repeatedly update the expiration date on the forms each time this collection is submitted to OMB for review and approval.  </w:t>
      </w:r>
      <w:r w:rsidR="004F6113">
        <w:rPr>
          <w:szCs w:val="24"/>
        </w:rPr>
        <w:t>T</w:t>
      </w:r>
      <w:r w:rsidRPr="00AC27FF">
        <w:rPr>
          <w:szCs w:val="24"/>
        </w:rPr>
        <w:t>he Commission publishes a list of all OMB-approved information collections, including this one, in 47 C</w:t>
      </w:r>
      <w:r w:rsidR="00781163" w:rsidRPr="00AC27FF">
        <w:rPr>
          <w:szCs w:val="24"/>
        </w:rPr>
        <w:t>.</w:t>
      </w:r>
      <w:r w:rsidRPr="00AC27FF">
        <w:rPr>
          <w:szCs w:val="24"/>
        </w:rPr>
        <w:t>F</w:t>
      </w:r>
      <w:r w:rsidR="00781163" w:rsidRPr="00AC27FF">
        <w:rPr>
          <w:szCs w:val="24"/>
        </w:rPr>
        <w:t>.</w:t>
      </w:r>
      <w:r w:rsidRPr="00AC27FF">
        <w:rPr>
          <w:szCs w:val="24"/>
        </w:rPr>
        <w:t>R</w:t>
      </w:r>
      <w:r w:rsidR="00781163" w:rsidRPr="00AC27FF">
        <w:rPr>
          <w:szCs w:val="24"/>
        </w:rPr>
        <w:t>. §</w:t>
      </w:r>
      <w:r w:rsidRPr="00AC27FF">
        <w:rPr>
          <w:szCs w:val="24"/>
        </w:rPr>
        <w:t xml:space="preserve"> 0.408.</w:t>
      </w:r>
    </w:p>
    <w:p w14:paraId="2F1B818E" w14:textId="77777777" w:rsidR="00DE165B" w:rsidRPr="00AC27FF" w:rsidRDefault="00DE165B">
      <w:pPr>
        <w:ind w:left="360" w:hanging="360"/>
        <w:rPr>
          <w:szCs w:val="24"/>
        </w:rPr>
      </w:pPr>
    </w:p>
    <w:p w14:paraId="2F1B818F" w14:textId="2D85CD8B" w:rsidR="00DE165B" w:rsidRPr="00612242" w:rsidRDefault="00DE165B" w:rsidP="00612242">
      <w:pPr>
        <w:pStyle w:val="ParaNum"/>
        <w:numPr>
          <w:ilvl w:val="0"/>
          <w:numId w:val="0"/>
        </w:numPr>
        <w:ind w:left="360" w:hanging="360"/>
        <w:rPr>
          <w:szCs w:val="24"/>
        </w:rPr>
      </w:pPr>
      <w:r w:rsidRPr="00AC27FF">
        <w:rPr>
          <w:szCs w:val="24"/>
        </w:rPr>
        <w:t xml:space="preserve">18.  </w:t>
      </w:r>
      <w:r w:rsidRPr="00AC27FF">
        <w:rPr>
          <w:i/>
          <w:szCs w:val="24"/>
        </w:rPr>
        <w:t>Exceptions to certification statement for Pape</w:t>
      </w:r>
      <w:r w:rsidR="00A1371A">
        <w:rPr>
          <w:i/>
          <w:szCs w:val="24"/>
        </w:rPr>
        <w:t>rwork Reduction Act submissions</w:t>
      </w:r>
      <w:r w:rsidRPr="00AC27FF">
        <w:rPr>
          <w:szCs w:val="24"/>
        </w:rPr>
        <w:t xml:space="preserve">.  </w:t>
      </w:r>
      <w:r w:rsidR="00612242">
        <w:rPr>
          <w:szCs w:val="24"/>
        </w:rPr>
        <w:t xml:space="preserve"> </w:t>
      </w:r>
      <w:r w:rsidR="007119C3" w:rsidRPr="00AC27FF">
        <w:rPr>
          <w:szCs w:val="24"/>
        </w:rPr>
        <w:t xml:space="preserve">There are no exceptions to the certification statement.  </w:t>
      </w:r>
    </w:p>
    <w:p w14:paraId="2F1B8190" w14:textId="77777777" w:rsidR="00DE165B" w:rsidRPr="00AC27FF" w:rsidRDefault="00DE165B">
      <w:pPr>
        <w:ind w:left="360" w:hanging="360"/>
        <w:rPr>
          <w:b/>
          <w:szCs w:val="24"/>
        </w:rPr>
      </w:pPr>
      <w:r w:rsidRPr="00AC27FF">
        <w:rPr>
          <w:b/>
          <w:szCs w:val="24"/>
        </w:rPr>
        <w:t xml:space="preserve">B.  </w:t>
      </w:r>
      <w:r w:rsidRPr="00AC27FF">
        <w:rPr>
          <w:b/>
          <w:szCs w:val="24"/>
          <w:u w:val="single"/>
        </w:rPr>
        <w:t>Collections of Information Employing Statistical Methods</w:t>
      </w:r>
      <w:r w:rsidRPr="00AC27FF">
        <w:rPr>
          <w:b/>
          <w:szCs w:val="24"/>
        </w:rPr>
        <w:t>:</w:t>
      </w:r>
    </w:p>
    <w:p w14:paraId="2F1B8191" w14:textId="77777777" w:rsidR="00DE165B" w:rsidRPr="00AC27FF" w:rsidRDefault="00DE165B">
      <w:pPr>
        <w:ind w:left="360" w:hanging="360"/>
        <w:rPr>
          <w:szCs w:val="24"/>
        </w:rPr>
      </w:pPr>
    </w:p>
    <w:p w14:paraId="2F1B8192" w14:textId="77777777" w:rsidR="00DE165B" w:rsidRPr="00AC27FF" w:rsidRDefault="00DE165B">
      <w:pPr>
        <w:ind w:left="360"/>
        <w:rPr>
          <w:szCs w:val="24"/>
        </w:rPr>
      </w:pPr>
      <w:r w:rsidRPr="00AC27FF">
        <w:rPr>
          <w:szCs w:val="24"/>
        </w:rPr>
        <w:t>The Commission does not anticipate that the collection of information will employ statistical methods.</w:t>
      </w:r>
    </w:p>
    <w:sectPr w:rsidR="00DE165B" w:rsidRPr="00AC27FF" w:rsidSect="00DE165B">
      <w:headerReference w:type="default" r:id="rId10"/>
      <w:footerReference w:type="even" r:id="rId11"/>
      <w:footerReference w:type="defaul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F0583" w14:textId="77777777" w:rsidR="005E22A5" w:rsidRDefault="005E22A5">
      <w:r>
        <w:separator/>
      </w:r>
    </w:p>
    <w:p w14:paraId="05933402" w14:textId="77777777" w:rsidR="005E22A5" w:rsidRDefault="005E22A5"/>
  </w:endnote>
  <w:endnote w:type="continuationSeparator" w:id="0">
    <w:p w14:paraId="344FECE3" w14:textId="77777777" w:rsidR="005E22A5" w:rsidRDefault="005E22A5">
      <w:r>
        <w:continuationSeparator/>
      </w:r>
    </w:p>
    <w:p w14:paraId="793F87B8" w14:textId="77777777" w:rsidR="005E22A5" w:rsidRDefault="005E22A5"/>
  </w:endnote>
  <w:endnote w:type="continuationNotice" w:id="1">
    <w:p w14:paraId="4FABB561" w14:textId="77777777" w:rsidR="005E22A5" w:rsidRDefault="005E2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9F" w14:textId="77777777" w:rsidR="00CE0978" w:rsidRDefault="00CE0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B81A0" w14:textId="77777777" w:rsidR="00CE0978" w:rsidRDefault="00CE0978">
    <w:pPr>
      <w:pStyle w:val="Footer"/>
    </w:pPr>
  </w:p>
  <w:p w14:paraId="2F1B81A1" w14:textId="77777777" w:rsidR="00CE0978" w:rsidRDefault="00CE09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A2" w14:textId="11314097" w:rsidR="00CE0978" w:rsidRDefault="00CE0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3AEB">
      <w:rPr>
        <w:rStyle w:val="PageNumber"/>
        <w:noProof/>
      </w:rPr>
      <w:t>2</w:t>
    </w:r>
    <w:r>
      <w:rPr>
        <w:rStyle w:val="PageNumber"/>
      </w:rPr>
      <w:fldChar w:fldCharType="end"/>
    </w:r>
  </w:p>
  <w:p w14:paraId="2F1B81A3" w14:textId="77777777" w:rsidR="00CE0978" w:rsidRDefault="00CE0978">
    <w:pPr>
      <w:pStyle w:val="Footer"/>
    </w:pPr>
  </w:p>
  <w:p w14:paraId="2F1B81A4" w14:textId="77777777" w:rsidR="00CE0978" w:rsidRDefault="00CE09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A5" w14:textId="6D575B48" w:rsidR="00CE0978" w:rsidRDefault="00CE0978">
    <w:pPr>
      <w:pStyle w:val="Footer"/>
      <w:jc w:val="center"/>
    </w:pPr>
    <w:r>
      <w:fldChar w:fldCharType="begin"/>
    </w:r>
    <w:r>
      <w:instrText xml:space="preserve"> PAGE   \* MERGEFORMAT </w:instrText>
    </w:r>
    <w:r>
      <w:fldChar w:fldCharType="separate"/>
    </w:r>
    <w:r w:rsidR="00573AEB">
      <w:rPr>
        <w:noProof/>
      </w:rPr>
      <w:t>1</w:t>
    </w:r>
    <w:r>
      <w:rPr>
        <w:noProof/>
      </w:rPr>
      <w:fldChar w:fldCharType="end"/>
    </w:r>
  </w:p>
  <w:p w14:paraId="2F1B81A6" w14:textId="77777777" w:rsidR="00CE0978" w:rsidRPr="002B27E0" w:rsidRDefault="00CE0978">
    <w:pPr>
      <w:pStyle w:val="Footer"/>
      <w:rPr>
        <w:b/>
        <w:i/>
        <w:sz w:val="20"/>
      </w:rPr>
    </w:pPr>
  </w:p>
  <w:p w14:paraId="2F1B81A7" w14:textId="77777777" w:rsidR="00CE0978" w:rsidRDefault="00CE09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A578" w14:textId="77777777" w:rsidR="005E22A5" w:rsidRDefault="005E22A5">
      <w:r>
        <w:separator/>
      </w:r>
    </w:p>
    <w:p w14:paraId="7535C096" w14:textId="77777777" w:rsidR="005E22A5" w:rsidRDefault="005E22A5"/>
  </w:footnote>
  <w:footnote w:type="continuationSeparator" w:id="0">
    <w:p w14:paraId="2EEA098E" w14:textId="77777777" w:rsidR="005E22A5" w:rsidRDefault="005E22A5">
      <w:r>
        <w:continuationSeparator/>
      </w:r>
    </w:p>
    <w:p w14:paraId="637D63F3" w14:textId="77777777" w:rsidR="005E22A5" w:rsidRDefault="005E22A5"/>
  </w:footnote>
  <w:footnote w:type="continuationNotice" w:id="1">
    <w:p w14:paraId="5D27CB10" w14:textId="77777777" w:rsidR="005E22A5" w:rsidRDefault="005E22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9D" w14:textId="77777777" w:rsidR="00CE0978" w:rsidRDefault="00CE0978">
    <w:pPr>
      <w:pStyle w:val="Header"/>
      <w:tabs>
        <w:tab w:val="clear" w:pos="8640"/>
        <w:tab w:val="right" w:pos="9360"/>
      </w:tabs>
    </w:pPr>
    <w:r>
      <w:tab/>
    </w:r>
  </w:p>
  <w:p w14:paraId="2F1B819E" w14:textId="77777777" w:rsidR="00CE0978" w:rsidRDefault="00CE09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nsid w:val="254C002B"/>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A10D1"/>
    <w:multiLevelType w:val="hybridMultilevel"/>
    <w:tmpl w:val="23E0C810"/>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9">
    <w:nsid w:val="61BD580B"/>
    <w:multiLevelType w:val="hybridMultilevel"/>
    <w:tmpl w:val="438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12">
    <w:nsid w:val="6F0D155C"/>
    <w:multiLevelType w:val="hybridMultilevel"/>
    <w:tmpl w:val="37844CEE"/>
    <w:lvl w:ilvl="0" w:tplc="F000D5D8">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
  </w:num>
  <w:num w:numId="5">
    <w:abstractNumId w:val="13"/>
  </w:num>
  <w:num w:numId="6">
    <w:abstractNumId w:val="6"/>
  </w:num>
  <w:num w:numId="7">
    <w:abstractNumId w:val="3"/>
  </w:num>
  <w:num w:numId="8">
    <w:abstractNumId w:val="11"/>
  </w:num>
  <w:num w:numId="9">
    <w:abstractNumId w:val="10"/>
  </w:num>
  <w:num w:numId="10">
    <w:abstractNumId w:val="7"/>
  </w:num>
  <w:num w:numId="11">
    <w:abstractNumId w:val="4"/>
  </w:num>
  <w:num w:numId="12">
    <w:abstractNumId w:val="5"/>
  </w:num>
  <w:num w:numId="13">
    <w:abstractNumId w:val="12"/>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D9"/>
    <w:rsid w:val="00000C6C"/>
    <w:rsid w:val="00002177"/>
    <w:rsid w:val="000035DD"/>
    <w:rsid w:val="000037B2"/>
    <w:rsid w:val="00003830"/>
    <w:rsid w:val="00003DB6"/>
    <w:rsid w:val="00005FD0"/>
    <w:rsid w:val="000066A1"/>
    <w:rsid w:val="0000691A"/>
    <w:rsid w:val="00010CE5"/>
    <w:rsid w:val="00013A04"/>
    <w:rsid w:val="00015087"/>
    <w:rsid w:val="00015C39"/>
    <w:rsid w:val="00017713"/>
    <w:rsid w:val="0002202B"/>
    <w:rsid w:val="000238B8"/>
    <w:rsid w:val="000264F2"/>
    <w:rsid w:val="0003214E"/>
    <w:rsid w:val="0003394F"/>
    <w:rsid w:val="00035068"/>
    <w:rsid w:val="00037206"/>
    <w:rsid w:val="00037AA9"/>
    <w:rsid w:val="00037EC2"/>
    <w:rsid w:val="0004165B"/>
    <w:rsid w:val="000419C4"/>
    <w:rsid w:val="00041B60"/>
    <w:rsid w:val="00043B1B"/>
    <w:rsid w:val="000454B6"/>
    <w:rsid w:val="0004615A"/>
    <w:rsid w:val="000461AC"/>
    <w:rsid w:val="00046EE4"/>
    <w:rsid w:val="00047A51"/>
    <w:rsid w:val="00047EC2"/>
    <w:rsid w:val="0005073E"/>
    <w:rsid w:val="00050C07"/>
    <w:rsid w:val="00050DAD"/>
    <w:rsid w:val="000529C1"/>
    <w:rsid w:val="000545A5"/>
    <w:rsid w:val="00054D7F"/>
    <w:rsid w:val="00054F9E"/>
    <w:rsid w:val="00056524"/>
    <w:rsid w:val="00057850"/>
    <w:rsid w:val="00062296"/>
    <w:rsid w:val="00062663"/>
    <w:rsid w:val="000636D9"/>
    <w:rsid w:val="00064CB4"/>
    <w:rsid w:val="00065350"/>
    <w:rsid w:val="00065B68"/>
    <w:rsid w:val="00065C9C"/>
    <w:rsid w:val="00066820"/>
    <w:rsid w:val="00067A28"/>
    <w:rsid w:val="00070B1B"/>
    <w:rsid w:val="0007230F"/>
    <w:rsid w:val="00072F33"/>
    <w:rsid w:val="00075048"/>
    <w:rsid w:val="000767A9"/>
    <w:rsid w:val="000768EC"/>
    <w:rsid w:val="00077334"/>
    <w:rsid w:val="00081BF2"/>
    <w:rsid w:val="0008421F"/>
    <w:rsid w:val="00084739"/>
    <w:rsid w:val="00086823"/>
    <w:rsid w:val="00087EE2"/>
    <w:rsid w:val="00090A77"/>
    <w:rsid w:val="00091649"/>
    <w:rsid w:val="000916CF"/>
    <w:rsid w:val="00091FB9"/>
    <w:rsid w:val="00093B34"/>
    <w:rsid w:val="00093E90"/>
    <w:rsid w:val="00095F3D"/>
    <w:rsid w:val="00096E1B"/>
    <w:rsid w:val="000A1267"/>
    <w:rsid w:val="000A1757"/>
    <w:rsid w:val="000A1882"/>
    <w:rsid w:val="000A1DA4"/>
    <w:rsid w:val="000A4532"/>
    <w:rsid w:val="000A4772"/>
    <w:rsid w:val="000A48A7"/>
    <w:rsid w:val="000A5AC2"/>
    <w:rsid w:val="000A60CA"/>
    <w:rsid w:val="000A65C2"/>
    <w:rsid w:val="000A6B22"/>
    <w:rsid w:val="000A70D5"/>
    <w:rsid w:val="000B0900"/>
    <w:rsid w:val="000B1076"/>
    <w:rsid w:val="000B11BC"/>
    <w:rsid w:val="000B1458"/>
    <w:rsid w:val="000B270E"/>
    <w:rsid w:val="000B2BA0"/>
    <w:rsid w:val="000B2CB9"/>
    <w:rsid w:val="000B2F8A"/>
    <w:rsid w:val="000B3406"/>
    <w:rsid w:val="000B4429"/>
    <w:rsid w:val="000B4AA0"/>
    <w:rsid w:val="000B63F8"/>
    <w:rsid w:val="000C06CA"/>
    <w:rsid w:val="000C0F75"/>
    <w:rsid w:val="000C1792"/>
    <w:rsid w:val="000C1B2C"/>
    <w:rsid w:val="000C302B"/>
    <w:rsid w:val="000C315A"/>
    <w:rsid w:val="000C3593"/>
    <w:rsid w:val="000C3F80"/>
    <w:rsid w:val="000C4A6A"/>
    <w:rsid w:val="000C5514"/>
    <w:rsid w:val="000C6116"/>
    <w:rsid w:val="000C6CFF"/>
    <w:rsid w:val="000C76C8"/>
    <w:rsid w:val="000C7F1A"/>
    <w:rsid w:val="000D039E"/>
    <w:rsid w:val="000D1F66"/>
    <w:rsid w:val="000D2F87"/>
    <w:rsid w:val="000D5000"/>
    <w:rsid w:val="000D5C35"/>
    <w:rsid w:val="000D7470"/>
    <w:rsid w:val="000D7609"/>
    <w:rsid w:val="000E1E8F"/>
    <w:rsid w:val="000E2BD7"/>
    <w:rsid w:val="000E3991"/>
    <w:rsid w:val="000E3A01"/>
    <w:rsid w:val="000E4DA3"/>
    <w:rsid w:val="000F0453"/>
    <w:rsid w:val="000F0582"/>
    <w:rsid w:val="000F07D9"/>
    <w:rsid w:val="000F124A"/>
    <w:rsid w:val="000F1A48"/>
    <w:rsid w:val="000F34AD"/>
    <w:rsid w:val="000F4C64"/>
    <w:rsid w:val="000F5F32"/>
    <w:rsid w:val="000F60C8"/>
    <w:rsid w:val="000F7114"/>
    <w:rsid w:val="000F752C"/>
    <w:rsid w:val="000F7FB6"/>
    <w:rsid w:val="00100A93"/>
    <w:rsid w:val="00102AEC"/>
    <w:rsid w:val="00102E17"/>
    <w:rsid w:val="001032C3"/>
    <w:rsid w:val="001038C4"/>
    <w:rsid w:val="001045CC"/>
    <w:rsid w:val="0010575D"/>
    <w:rsid w:val="001079DF"/>
    <w:rsid w:val="00110716"/>
    <w:rsid w:val="00110EFB"/>
    <w:rsid w:val="00110FE6"/>
    <w:rsid w:val="0011146D"/>
    <w:rsid w:val="00113390"/>
    <w:rsid w:val="001176AA"/>
    <w:rsid w:val="001204A6"/>
    <w:rsid w:val="0012147C"/>
    <w:rsid w:val="00122186"/>
    <w:rsid w:val="00123C97"/>
    <w:rsid w:val="00125FC6"/>
    <w:rsid w:val="0012738C"/>
    <w:rsid w:val="001279B5"/>
    <w:rsid w:val="001312A4"/>
    <w:rsid w:val="00132D00"/>
    <w:rsid w:val="00132F80"/>
    <w:rsid w:val="001342A8"/>
    <w:rsid w:val="00135B10"/>
    <w:rsid w:val="00135C9A"/>
    <w:rsid w:val="0014278B"/>
    <w:rsid w:val="0014314F"/>
    <w:rsid w:val="0014388C"/>
    <w:rsid w:val="00143EB5"/>
    <w:rsid w:val="00144114"/>
    <w:rsid w:val="00146DB0"/>
    <w:rsid w:val="00147E90"/>
    <w:rsid w:val="001508ED"/>
    <w:rsid w:val="00151375"/>
    <w:rsid w:val="001531ED"/>
    <w:rsid w:val="00153382"/>
    <w:rsid w:val="00153FEC"/>
    <w:rsid w:val="00154BCE"/>
    <w:rsid w:val="00154DBF"/>
    <w:rsid w:val="00160E36"/>
    <w:rsid w:val="0016105A"/>
    <w:rsid w:val="00161324"/>
    <w:rsid w:val="001616DC"/>
    <w:rsid w:val="0016196C"/>
    <w:rsid w:val="00161F08"/>
    <w:rsid w:val="001620B5"/>
    <w:rsid w:val="0016325B"/>
    <w:rsid w:val="00163866"/>
    <w:rsid w:val="001657A8"/>
    <w:rsid w:val="00165F1C"/>
    <w:rsid w:val="001661D9"/>
    <w:rsid w:val="00166658"/>
    <w:rsid w:val="001725D5"/>
    <w:rsid w:val="00172C3C"/>
    <w:rsid w:val="00177DBE"/>
    <w:rsid w:val="00177DC9"/>
    <w:rsid w:val="00180F5F"/>
    <w:rsid w:val="00182D8C"/>
    <w:rsid w:val="00183F24"/>
    <w:rsid w:val="001861A5"/>
    <w:rsid w:val="001876CC"/>
    <w:rsid w:val="00190724"/>
    <w:rsid w:val="00190B62"/>
    <w:rsid w:val="00191B76"/>
    <w:rsid w:val="00191D44"/>
    <w:rsid w:val="001959D9"/>
    <w:rsid w:val="00196A14"/>
    <w:rsid w:val="00197BD9"/>
    <w:rsid w:val="001A0664"/>
    <w:rsid w:val="001A0A60"/>
    <w:rsid w:val="001A1047"/>
    <w:rsid w:val="001A119B"/>
    <w:rsid w:val="001A1A7C"/>
    <w:rsid w:val="001A1CF1"/>
    <w:rsid w:val="001A3D0C"/>
    <w:rsid w:val="001A5905"/>
    <w:rsid w:val="001A5CF4"/>
    <w:rsid w:val="001A60A2"/>
    <w:rsid w:val="001B3F53"/>
    <w:rsid w:val="001B587C"/>
    <w:rsid w:val="001B639A"/>
    <w:rsid w:val="001B6921"/>
    <w:rsid w:val="001B6EEC"/>
    <w:rsid w:val="001C00A5"/>
    <w:rsid w:val="001C0193"/>
    <w:rsid w:val="001C4066"/>
    <w:rsid w:val="001C44AA"/>
    <w:rsid w:val="001D07ED"/>
    <w:rsid w:val="001D31DE"/>
    <w:rsid w:val="001D4E03"/>
    <w:rsid w:val="001E01B1"/>
    <w:rsid w:val="001E0F03"/>
    <w:rsid w:val="001E1F58"/>
    <w:rsid w:val="001E2F7A"/>
    <w:rsid w:val="001E376F"/>
    <w:rsid w:val="001E45C0"/>
    <w:rsid w:val="001E54E6"/>
    <w:rsid w:val="001E5D64"/>
    <w:rsid w:val="001E6526"/>
    <w:rsid w:val="001F0F65"/>
    <w:rsid w:val="001F106E"/>
    <w:rsid w:val="001F14A8"/>
    <w:rsid w:val="001F2BCB"/>
    <w:rsid w:val="001F69AE"/>
    <w:rsid w:val="001F6AEC"/>
    <w:rsid w:val="001F6B10"/>
    <w:rsid w:val="00200370"/>
    <w:rsid w:val="00200976"/>
    <w:rsid w:val="00201A42"/>
    <w:rsid w:val="0020225C"/>
    <w:rsid w:val="00202C8E"/>
    <w:rsid w:val="00203F4B"/>
    <w:rsid w:val="00204DC8"/>
    <w:rsid w:val="00205C71"/>
    <w:rsid w:val="00206F18"/>
    <w:rsid w:val="002072E4"/>
    <w:rsid w:val="00207A39"/>
    <w:rsid w:val="00210CF3"/>
    <w:rsid w:val="00212375"/>
    <w:rsid w:val="002137D9"/>
    <w:rsid w:val="002154AE"/>
    <w:rsid w:val="00216578"/>
    <w:rsid w:val="002218EE"/>
    <w:rsid w:val="00221CD7"/>
    <w:rsid w:val="00223AF1"/>
    <w:rsid w:val="00224BE9"/>
    <w:rsid w:val="00224E0B"/>
    <w:rsid w:val="002254FA"/>
    <w:rsid w:val="002271B2"/>
    <w:rsid w:val="0023019B"/>
    <w:rsid w:val="00230208"/>
    <w:rsid w:val="00230549"/>
    <w:rsid w:val="002308F6"/>
    <w:rsid w:val="002327B2"/>
    <w:rsid w:val="00233BBD"/>
    <w:rsid w:val="00235034"/>
    <w:rsid w:val="0023596B"/>
    <w:rsid w:val="00235CFF"/>
    <w:rsid w:val="0023637F"/>
    <w:rsid w:val="00236650"/>
    <w:rsid w:val="0023706C"/>
    <w:rsid w:val="00237327"/>
    <w:rsid w:val="002406DB"/>
    <w:rsid w:val="00241AA5"/>
    <w:rsid w:val="00241B89"/>
    <w:rsid w:val="002423D2"/>
    <w:rsid w:val="00244EA3"/>
    <w:rsid w:val="00245D37"/>
    <w:rsid w:val="002464E2"/>
    <w:rsid w:val="00246837"/>
    <w:rsid w:val="00247052"/>
    <w:rsid w:val="00247D00"/>
    <w:rsid w:val="00247EEB"/>
    <w:rsid w:val="00253DD2"/>
    <w:rsid w:val="0025420F"/>
    <w:rsid w:val="00254CB8"/>
    <w:rsid w:val="00257F2A"/>
    <w:rsid w:val="00260F34"/>
    <w:rsid w:val="00263064"/>
    <w:rsid w:val="002648B7"/>
    <w:rsid w:val="002656DA"/>
    <w:rsid w:val="00270185"/>
    <w:rsid w:val="00270242"/>
    <w:rsid w:val="002711AC"/>
    <w:rsid w:val="00271637"/>
    <w:rsid w:val="00272F56"/>
    <w:rsid w:val="0027358D"/>
    <w:rsid w:val="00277366"/>
    <w:rsid w:val="00277FB3"/>
    <w:rsid w:val="0028016E"/>
    <w:rsid w:val="0028061C"/>
    <w:rsid w:val="00280B68"/>
    <w:rsid w:val="002811C8"/>
    <w:rsid w:val="002814DB"/>
    <w:rsid w:val="002820E3"/>
    <w:rsid w:val="0028257F"/>
    <w:rsid w:val="0028294D"/>
    <w:rsid w:val="00282C7C"/>
    <w:rsid w:val="0028440F"/>
    <w:rsid w:val="002859E8"/>
    <w:rsid w:val="00285C02"/>
    <w:rsid w:val="00290D54"/>
    <w:rsid w:val="00291514"/>
    <w:rsid w:val="00291BF4"/>
    <w:rsid w:val="002926E5"/>
    <w:rsid w:val="00292B18"/>
    <w:rsid w:val="00297690"/>
    <w:rsid w:val="002A000B"/>
    <w:rsid w:val="002A04F3"/>
    <w:rsid w:val="002A378D"/>
    <w:rsid w:val="002A6D07"/>
    <w:rsid w:val="002B178D"/>
    <w:rsid w:val="002B1B25"/>
    <w:rsid w:val="002B2F68"/>
    <w:rsid w:val="002B3209"/>
    <w:rsid w:val="002B38C1"/>
    <w:rsid w:val="002B4E8A"/>
    <w:rsid w:val="002B7798"/>
    <w:rsid w:val="002C0E3A"/>
    <w:rsid w:val="002C55B8"/>
    <w:rsid w:val="002C6F0C"/>
    <w:rsid w:val="002D49AC"/>
    <w:rsid w:val="002D6DBE"/>
    <w:rsid w:val="002D7323"/>
    <w:rsid w:val="002E099A"/>
    <w:rsid w:val="002E248C"/>
    <w:rsid w:val="002E2D20"/>
    <w:rsid w:val="002E30C6"/>
    <w:rsid w:val="002E41FD"/>
    <w:rsid w:val="002E4386"/>
    <w:rsid w:val="002E5333"/>
    <w:rsid w:val="002E6229"/>
    <w:rsid w:val="002E6667"/>
    <w:rsid w:val="002F039B"/>
    <w:rsid w:val="002F0E10"/>
    <w:rsid w:val="002F2275"/>
    <w:rsid w:val="002F2B98"/>
    <w:rsid w:val="002F2C3D"/>
    <w:rsid w:val="002F3250"/>
    <w:rsid w:val="002F66AE"/>
    <w:rsid w:val="002F6945"/>
    <w:rsid w:val="00301D92"/>
    <w:rsid w:val="00304B4C"/>
    <w:rsid w:val="003057F1"/>
    <w:rsid w:val="003058F8"/>
    <w:rsid w:val="0030624B"/>
    <w:rsid w:val="00306376"/>
    <w:rsid w:val="00307FCD"/>
    <w:rsid w:val="003106C7"/>
    <w:rsid w:val="00311ADE"/>
    <w:rsid w:val="0031421F"/>
    <w:rsid w:val="00314240"/>
    <w:rsid w:val="0031598F"/>
    <w:rsid w:val="00315CF9"/>
    <w:rsid w:val="00316E12"/>
    <w:rsid w:val="003207DB"/>
    <w:rsid w:val="00321999"/>
    <w:rsid w:val="00326803"/>
    <w:rsid w:val="00330FF3"/>
    <w:rsid w:val="00332AAA"/>
    <w:rsid w:val="003345F2"/>
    <w:rsid w:val="003349C3"/>
    <w:rsid w:val="00334F40"/>
    <w:rsid w:val="00335AA2"/>
    <w:rsid w:val="00335C0B"/>
    <w:rsid w:val="00337349"/>
    <w:rsid w:val="00341F4C"/>
    <w:rsid w:val="00342DE8"/>
    <w:rsid w:val="003432FD"/>
    <w:rsid w:val="00350322"/>
    <w:rsid w:val="0035107B"/>
    <w:rsid w:val="00351E83"/>
    <w:rsid w:val="003525BB"/>
    <w:rsid w:val="00353C24"/>
    <w:rsid w:val="00355D7D"/>
    <w:rsid w:val="00360E2A"/>
    <w:rsid w:val="00370915"/>
    <w:rsid w:val="00370F07"/>
    <w:rsid w:val="00374373"/>
    <w:rsid w:val="0037466B"/>
    <w:rsid w:val="00374F05"/>
    <w:rsid w:val="003774D3"/>
    <w:rsid w:val="00381A34"/>
    <w:rsid w:val="0038311B"/>
    <w:rsid w:val="003839F8"/>
    <w:rsid w:val="00391D50"/>
    <w:rsid w:val="00392F16"/>
    <w:rsid w:val="00392F32"/>
    <w:rsid w:val="00393887"/>
    <w:rsid w:val="00394384"/>
    <w:rsid w:val="00394616"/>
    <w:rsid w:val="00396933"/>
    <w:rsid w:val="003972DA"/>
    <w:rsid w:val="003A0580"/>
    <w:rsid w:val="003A08A3"/>
    <w:rsid w:val="003A0E0B"/>
    <w:rsid w:val="003A1059"/>
    <w:rsid w:val="003A223D"/>
    <w:rsid w:val="003A26DF"/>
    <w:rsid w:val="003A44D0"/>
    <w:rsid w:val="003A4FFB"/>
    <w:rsid w:val="003A650B"/>
    <w:rsid w:val="003B1C7D"/>
    <w:rsid w:val="003B2688"/>
    <w:rsid w:val="003B5D52"/>
    <w:rsid w:val="003B688B"/>
    <w:rsid w:val="003B7ACC"/>
    <w:rsid w:val="003C20A9"/>
    <w:rsid w:val="003C2A9B"/>
    <w:rsid w:val="003C378C"/>
    <w:rsid w:val="003C7E09"/>
    <w:rsid w:val="003D3062"/>
    <w:rsid w:val="003D3B8F"/>
    <w:rsid w:val="003D3D3D"/>
    <w:rsid w:val="003D3E3D"/>
    <w:rsid w:val="003D4A4D"/>
    <w:rsid w:val="003D4D58"/>
    <w:rsid w:val="003D531B"/>
    <w:rsid w:val="003D57EE"/>
    <w:rsid w:val="003D581D"/>
    <w:rsid w:val="003D6C04"/>
    <w:rsid w:val="003D73A8"/>
    <w:rsid w:val="003D75B4"/>
    <w:rsid w:val="003D7EC0"/>
    <w:rsid w:val="003E06DA"/>
    <w:rsid w:val="003E0883"/>
    <w:rsid w:val="003E1D74"/>
    <w:rsid w:val="003E20FC"/>
    <w:rsid w:val="003E26A9"/>
    <w:rsid w:val="003E33C9"/>
    <w:rsid w:val="003E4207"/>
    <w:rsid w:val="003E7837"/>
    <w:rsid w:val="003F0174"/>
    <w:rsid w:val="003F1E42"/>
    <w:rsid w:val="003F2B4C"/>
    <w:rsid w:val="003F3EF5"/>
    <w:rsid w:val="003F469C"/>
    <w:rsid w:val="003F56E2"/>
    <w:rsid w:val="003F575F"/>
    <w:rsid w:val="003F5C9F"/>
    <w:rsid w:val="003F7F6B"/>
    <w:rsid w:val="0040092A"/>
    <w:rsid w:val="00402118"/>
    <w:rsid w:val="004026BA"/>
    <w:rsid w:val="0040338B"/>
    <w:rsid w:val="00403CAC"/>
    <w:rsid w:val="0040413C"/>
    <w:rsid w:val="00405350"/>
    <w:rsid w:val="00405D06"/>
    <w:rsid w:val="0040798A"/>
    <w:rsid w:val="00410345"/>
    <w:rsid w:val="00410AED"/>
    <w:rsid w:val="0041168F"/>
    <w:rsid w:val="00412962"/>
    <w:rsid w:val="00414081"/>
    <w:rsid w:val="00416C56"/>
    <w:rsid w:val="004177CC"/>
    <w:rsid w:val="00420676"/>
    <w:rsid w:val="004217E0"/>
    <w:rsid w:val="00422652"/>
    <w:rsid w:val="004229B2"/>
    <w:rsid w:val="00423F95"/>
    <w:rsid w:val="00425A64"/>
    <w:rsid w:val="004264AD"/>
    <w:rsid w:val="00430E1B"/>
    <w:rsid w:val="004313F4"/>
    <w:rsid w:val="004324C4"/>
    <w:rsid w:val="00432C1A"/>
    <w:rsid w:val="0043349C"/>
    <w:rsid w:val="00433576"/>
    <w:rsid w:val="0043519E"/>
    <w:rsid w:val="00435498"/>
    <w:rsid w:val="00435B53"/>
    <w:rsid w:val="00437F9D"/>
    <w:rsid w:val="0044063E"/>
    <w:rsid w:val="0044259E"/>
    <w:rsid w:val="004429DC"/>
    <w:rsid w:val="0044365C"/>
    <w:rsid w:val="00444D43"/>
    <w:rsid w:val="00445B30"/>
    <w:rsid w:val="00445E68"/>
    <w:rsid w:val="00447485"/>
    <w:rsid w:val="004501BD"/>
    <w:rsid w:val="00450388"/>
    <w:rsid w:val="004509E6"/>
    <w:rsid w:val="00452D3D"/>
    <w:rsid w:val="00455D69"/>
    <w:rsid w:val="00456387"/>
    <w:rsid w:val="0046190B"/>
    <w:rsid w:val="0046213E"/>
    <w:rsid w:val="0046233F"/>
    <w:rsid w:val="0046244E"/>
    <w:rsid w:val="00462CE6"/>
    <w:rsid w:val="004656BF"/>
    <w:rsid w:val="00465E99"/>
    <w:rsid w:val="00465F21"/>
    <w:rsid w:val="00467630"/>
    <w:rsid w:val="00467AC6"/>
    <w:rsid w:val="00467F2F"/>
    <w:rsid w:val="00470733"/>
    <w:rsid w:val="00471144"/>
    <w:rsid w:val="004728B8"/>
    <w:rsid w:val="0047379D"/>
    <w:rsid w:val="0047410A"/>
    <w:rsid w:val="0047467D"/>
    <w:rsid w:val="00474CCB"/>
    <w:rsid w:val="00474F0F"/>
    <w:rsid w:val="0047558C"/>
    <w:rsid w:val="00476682"/>
    <w:rsid w:val="00477969"/>
    <w:rsid w:val="00477E6B"/>
    <w:rsid w:val="00480E45"/>
    <w:rsid w:val="00481432"/>
    <w:rsid w:val="00482409"/>
    <w:rsid w:val="00482FD4"/>
    <w:rsid w:val="00483ACB"/>
    <w:rsid w:val="00483F90"/>
    <w:rsid w:val="00484D71"/>
    <w:rsid w:val="00486A1C"/>
    <w:rsid w:val="004907E6"/>
    <w:rsid w:val="00491779"/>
    <w:rsid w:val="00491ED7"/>
    <w:rsid w:val="0049214D"/>
    <w:rsid w:val="00492AD2"/>
    <w:rsid w:val="00493852"/>
    <w:rsid w:val="00493B0B"/>
    <w:rsid w:val="00497CFE"/>
    <w:rsid w:val="004A18D3"/>
    <w:rsid w:val="004A21CF"/>
    <w:rsid w:val="004A52E3"/>
    <w:rsid w:val="004A6865"/>
    <w:rsid w:val="004A689E"/>
    <w:rsid w:val="004A6CFF"/>
    <w:rsid w:val="004B0508"/>
    <w:rsid w:val="004B0E06"/>
    <w:rsid w:val="004B1D1A"/>
    <w:rsid w:val="004B2834"/>
    <w:rsid w:val="004B2CDE"/>
    <w:rsid w:val="004B4346"/>
    <w:rsid w:val="004B4FB5"/>
    <w:rsid w:val="004B5800"/>
    <w:rsid w:val="004B6747"/>
    <w:rsid w:val="004C04CC"/>
    <w:rsid w:val="004C143D"/>
    <w:rsid w:val="004C335D"/>
    <w:rsid w:val="004C35A8"/>
    <w:rsid w:val="004C43B6"/>
    <w:rsid w:val="004C4FB0"/>
    <w:rsid w:val="004C55F4"/>
    <w:rsid w:val="004C56C0"/>
    <w:rsid w:val="004C5783"/>
    <w:rsid w:val="004C5888"/>
    <w:rsid w:val="004C6D7B"/>
    <w:rsid w:val="004C72E7"/>
    <w:rsid w:val="004C7989"/>
    <w:rsid w:val="004D0664"/>
    <w:rsid w:val="004D15D9"/>
    <w:rsid w:val="004D18B2"/>
    <w:rsid w:val="004D6060"/>
    <w:rsid w:val="004D6923"/>
    <w:rsid w:val="004D6B94"/>
    <w:rsid w:val="004D7B24"/>
    <w:rsid w:val="004D7FD8"/>
    <w:rsid w:val="004E04B8"/>
    <w:rsid w:val="004E0E19"/>
    <w:rsid w:val="004E3879"/>
    <w:rsid w:val="004E38F7"/>
    <w:rsid w:val="004E46C3"/>
    <w:rsid w:val="004E4F7D"/>
    <w:rsid w:val="004E59B6"/>
    <w:rsid w:val="004E7924"/>
    <w:rsid w:val="004F06F6"/>
    <w:rsid w:val="004F2B56"/>
    <w:rsid w:val="004F5F86"/>
    <w:rsid w:val="004F6113"/>
    <w:rsid w:val="005007F9"/>
    <w:rsid w:val="00500A53"/>
    <w:rsid w:val="00502E50"/>
    <w:rsid w:val="00503D2E"/>
    <w:rsid w:val="00503EDE"/>
    <w:rsid w:val="005045FE"/>
    <w:rsid w:val="00505A63"/>
    <w:rsid w:val="00510FF3"/>
    <w:rsid w:val="00511650"/>
    <w:rsid w:val="00512067"/>
    <w:rsid w:val="005127FE"/>
    <w:rsid w:val="00513F33"/>
    <w:rsid w:val="00514C0B"/>
    <w:rsid w:val="00515695"/>
    <w:rsid w:val="00516280"/>
    <w:rsid w:val="0052014D"/>
    <w:rsid w:val="005210A0"/>
    <w:rsid w:val="00523570"/>
    <w:rsid w:val="005243C2"/>
    <w:rsid w:val="00525F7C"/>
    <w:rsid w:val="00526A5C"/>
    <w:rsid w:val="00526EC8"/>
    <w:rsid w:val="005304C9"/>
    <w:rsid w:val="005304CF"/>
    <w:rsid w:val="00530808"/>
    <w:rsid w:val="0053135F"/>
    <w:rsid w:val="00531C87"/>
    <w:rsid w:val="00533027"/>
    <w:rsid w:val="005336D1"/>
    <w:rsid w:val="00534806"/>
    <w:rsid w:val="0053546B"/>
    <w:rsid w:val="005356AB"/>
    <w:rsid w:val="005373B5"/>
    <w:rsid w:val="005419C5"/>
    <w:rsid w:val="005435FB"/>
    <w:rsid w:val="0054369D"/>
    <w:rsid w:val="005440F5"/>
    <w:rsid w:val="00545108"/>
    <w:rsid w:val="005469D9"/>
    <w:rsid w:val="00546BA5"/>
    <w:rsid w:val="00546C80"/>
    <w:rsid w:val="00550C6D"/>
    <w:rsid w:val="005543B2"/>
    <w:rsid w:val="00554552"/>
    <w:rsid w:val="005545B6"/>
    <w:rsid w:val="00554E32"/>
    <w:rsid w:val="00554F54"/>
    <w:rsid w:val="00555F19"/>
    <w:rsid w:val="00560ACA"/>
    <w:rsid w:val="005628A9"/>
    <w:rsid w:val="00562DCD"/>
    <w:rsid w:val="00562DE7"/>
    <w:rsid w:val="00562FDB"/>
    <w:rsid w:val="005702C0"/>
    <w:rsid w:val="005709E6"/>
    <w:rsid w:val="00570FD8"/>
    <w:rsid w:val="005722DA"/>
    <w:rsid w:val="00573AEB"/>
    <w:rsid w:val="00574988"/>
    <w:rsid w:val="00575A40"/>
    <w:rsid w:val="005762AB"/>
    <w:rsid w:val="0057681F"/>
    <w:rsid w:val="00576C2E"/>
    <w:rsid w:val="00576F39"/>
    <w:rsid w:val="0057728A"/>
    <w:rsid w:val="005800FF"/>
    <w:rsid w:val="005802F4"/>
    <w:rsid w:val="00580DE5"/>
    <w:rsid w:val="00581601"/>
    <w:rsid w:val="00582E13"/>
    <w:rsid w:val="00582E97"/>
    <w:rsid w:val="005830BB"/>
    <w:rsid w:val="005835CD"/>
    <w:rsid w:val="00584081"/>
    <w:rsid w:val="005847D2"/>
    <w:rsid w:val="00586D22"/>
    <w:rsid w:val="00587359"/>
    <w:rsid w:val="005877B5"/>
    <w:rsid w:val="00587B1F"/>
    <w:rsid w:val="00587CCF"/>
    <w:rsid w:val="00590A97"/>
    <w:rsid w:val="00593A8E"/>
    <w:rsid w:val="00593EE7"/>
    <w:rsid w:val="0059449A"/>
    <w:rsid w:val="00595A3E"/>
    <w:rsid w:val="00596B63"/>
    <w:rsid w:val="00597160"/>
    <w:rsid w:val="005A0465"/>
    <w:rsid w:val="005A1FD2"/>
    <w:rsid w:val="005A41E7"/>
    <w:rsid w:val="005A4490"/>
    <w:rsid w:val="005A47AD"/>
    <w:rsid w:val="005A6DC9"/>
    <w:rsid w:val="005A7E6F"/>
    <w:rsid w:val="005B1459"/>
    <w:rsid w:val="005B165A"/>
    <w:rsid w:val="005B38E8"/>
    <w:rsid w:val="005B428B"/>
    <w:rsid w:val="005B61C5"/>
    <w:rsid w:val="005B6512"/>
    <w:rsid w:val="005C523A"/>
    <w:rsid w:val="005C5B63"/>
    <w:rsid w:val="005C5DD4"/>
    <w:rsid w:val="005C6BC0"/>
    <w:rsid w:val="005C71B9"/>
    <w:rsid w:val="005C7F97"/>
    <w:rsid w:val="005D17B8"/>
    <w:rsid w:val="005D1A6D"/>
    <w:rsid w:val="005D1B20"/>
    <w:rsid w:val="005D1BCB"/>
    <w:rsid w:val="005D3379"/>
    <w:rsid w:val="005D390A"/>
    <w:rsid w:val="005D3EC6"/>
    <w:rsid w:val="005D54AE"/>
    <w:rsid w:val="005E1465"/>
    <w:rsid w:val="005E1B48"/>
    <w:rsid w:val="005E1E17"/>
    <w:rsid w:val="005E22A5"/>
    <w:rsid w:val="005E237D"/>
    <w:rsid w:val="005E2F4B"/>
    <w:rsid w:val="005E3FA7"/>
    <w:rsid w:val="005E4117"/>
    <w:rsid w:val="005E74BC"/>
    <w:rsid w:val="005F09EB"/>
    <w:rsid w:val="005F1644"/>
    <w:rsid w:val="005F1711"/>
    <w:rsid w:val="005F17FB"/>
    <w:rsid w:val="005F46BA"/>
    <w:rsid w:val="005F6F76"/>
    <w:rsid w:val="006003DB"/>
    <w:rsid w:val="00601931"/>
    <w:rsid w:val="006051E2"/>
    <w:rsid w:val="006055E9"/>
    <w:rsid w:val="0060616D"/>
    <w:rsid w:val="00610D49"/>
    <w:rsid w:val="006114EB"/>
    <w:rsid w:val="00611907"/>
    <w:rsid w:val="0061199E"/>
    <w:rsid w:val="006120E3"/>
    <w:rsid w:val="00612242"/>
    <w:rsid w:val="0061281D"/>
    <w:rsid w:val="006130B9"/>
    <w:rsid w:val="00613F6B"/>
    <w:rsid w:val="00614E9B"/>
    <w:rsid w:val="00615254"/>
    <w:rsid w:val="006156C2"/>
    <w:rsid w:val="00615EC1"/>
    <w:rsid w:val="006162C6"/>
    <w:rsid w:val="0062039E"/>
    <w:rsid w:val="00622617"/>
    <w:rsid w:val="006236F3"/>
    <w:rsid w:val="0062425A"/>
    <w:rsid w:val="006255BF"/>
    <w:rsid w:val="00625884"/>
    <w:rsid w:val="00627122"/>
    <w:rsid w:val="00627855"/>
    <w:rsid w:val="0062799C"/>
    <w:rsid w:val="00627BDB"/>
    <w:rsid w:val="00630EA8"/>
    <w:rsid w:val="006354AA"/>
    <w:rsid w:val="00636827"/>
    <w:rsid w:val="006378A8"/>
    <w:rsid w:val="0063798F"/>
    <w:rsid w:val="00637A22"/>
    <w:rsid w:val="00640C51"/>
    <w:rsid w:val="00641E14"/>
    <w:rsid w:val="00643632"/>
    <w:rsid w:val="00644DA4"/>
    <w:rsid w:val="00644E2D"/>
    <w:rsid w:val="00647C09"/>
    <w:rsid w:val="0065025B"/>
    <w:rsid w:val="006516FD"/>
    <w:rsid w:val="00651D18"/>
    <w:rsid w:val="00651E88"/>
    <w:rsid w:val="00654AAE"/>
    <w:rsid w:val="00656B33"/>
    <w:rsid w:val="0066304C"/>
    <w:rsid w:val="006638D5"/>
    <w:rsid w:val="00663F1F"/>
    <w:rsid w:val="00664696"/>
    <w:rsid w:val="00664A20"/>
    <w:rsid w:val="00666615"/>
    <w:rsid w:val="0066661E"/>
    <w:rsid w:val="00670A84"/>
    <w:rsid w:val="006736C7"/>
    <w:rsid w:val="00674AF8"/>
    <w:rsid w:val="00674DC4"/>
    <w:rsid w:val="00680540"/>
    <w:rsid w:val="006819E8"/>
    <w:rsid w:val="00683C31"/>
    <w:rsid w:val="00685CCF"/>
    <w:rsid w:val="0068620E"/>
    <w:rsid w:val="00690579"/>
    <w:rsid w:val="0069114E"/>
    <w:rsid w:val="006921F5"/>
    <w:rsid w:val="006944E9"/>
    <w:rsid w:val="00694C2D"/>
    <w:rsid w:val="00694C7B"/>
    <w:rsid w:val="00697479"/>
    <w:rsid w:val="006979D1"/>
    <w:rsid w:val="00697E38"/>
    <w:rsid w:val="006A0E11"/>
    <w:rsid w:val="006A104B"/>
    <w:rsid w:val="006A27E9"/>
    <w:rsid w:val="006A2FD8"/>
    <w:rsid w:val="006A30DC"/>
    <w:rsid w:val="006A48D8"/>
    <w:rsid w:val="006A495D"/>
    <w:rsid w:val="006A53B2"/>
    <w:rsid w:val="006A5444"/>
    <w:rsid w:val="006A685B"/>
    <w:rsid w:val="006A6F54"/>
    <w:rsid w:val="006A704B"/>
    <w:rsid w:val="006B1526"/>
    <w:rsid w:val="006B19D7"/>
    <w:rsid w:val="006B46A7"/>
    <w:rsid w:val="006B5250"/>
    <w:rsid w:val="006B6DB3"/>
    <w:rsid w:val="006C026F"/>
    <w:rsid w:val="006C0451"/>
    <w:rsid w:val="006C0600"/>
    <w:rsid w:val="006C1AAE"/>
    <w:rsid w:val="006C32A2"/>
    <w:rsid w:val="006C330A"/>
    <w:rsid w:val="006C35CF"/>
    <w:rsid w:val="006C51AE"/>
    <w:rsid w:val="006D07E3"/>
    <w:rsid w:val="006D21FF"/>
    <w:rsid w:val="006D241F"/>
    <w:rsid w:val="006D2764"/>
    <w:rsid w:val="006D2872"/>
    <w:rsid w:val="006D3022"/>
    <w:rsid w:val="006D3892"/>
    <w:rsid w:val="006D40CE"/>
    <w:rsid w:val="006D52AE"/>
    <w:rsid w:val="006D73E2"/>
    <w:rsid w:val="006E0252"/>
    <w:rsid w:val="006E1ACB"/>
    <w:rsid w:val="006E272E"/>
    <w:rsid w:val="006E5CF9"/>
    <w:rsid w:val="006E60E0"/>
    <w:rsid w:val="006E6967"/>
    <w:rsid w:val="006F03D5"/>
    <w:rsid w:val="006F04F6"/>
    <w:rsid w:val="006F1505"/>
    <w:rsid w:val="006F1D7D"/>
    <w:rsid w:val="006F2FFF"/>
    <w:rsid w:val="006F427A"/>
    <w:rsid w:val="006F4B46"/>
    <w:rsid w:val="006F53A3"/>
    <w:rsid w:val="006F58AA"/>
    <w:rsid w:val="006F63CA"/>
    <w:rsid w:val="006F66D6"/>
    <w:rsid w:val="006F75CC"/>
    <w:rsid w:val="006F7967"/>
    <w:rsid w:val="007008F1"/>
    <w:rsid w:val="00703281"/>
    <w:rsid w:val="007034F1"/>
    <w:rsid w:val="00703732"/>
    <w:rsid w:val="007062D6"/>
    <w:rsid w:val="007063C5"/>
    <w:rsid w:val="00707740"/>
    <w:rsid w:val="00707AEE"/>
    <w:rsid w:val="007119C3"/>
    <w:rsid w:val="00712CD8"/>
    <w:rsid w:val="00715C0B"/>
    <w:rsid w:val="00716702"/>
    <w:rsid w:val="00716E52"/>
    <w:rsid w:val="00717901"/>
    <w:rsid w:val="0072156D"/>
    <w:rsid w:val="0072200D"/>
    <w:rsid w:val="0072262D"/>
    <w:rsid w:val="00722C24"/>
    <w:rsid w:val="007243C0"/>
    <w:rsid w:val="00724A19"/>
    <w:rsid w:val="0072511A"/>
    <w:rsid w:val="0072522E"/>
    <w:rsid w:val="007254A4"/>
    <w:rsid w:val="00725FA8"/>
    <w:rsid w:val="00726452"/>
    <w:rsid w:val="00726CFE"/>
    <w:rsid w:val="00730831"/>
    <w:rsid w:val="0073224D"/>
    <w:rsid w:val="0073365A"/>
    <w:rsid w:val="007337F8"/>
    <w:rsid w:val="00735DFC"/>
    <w:rsid w:val="00740E88"/>
    <w:rsid w:val="00744127"/>
    <w:rsid w:val="007451AB"/>
    <w:rsid w:val="0074560C"/>
    <w:rsid w:val="00745D0A"/>
    <w:rsid w:val="00752DF5"/>
    <w:rsid w:val="00753965"/>
    <w:rsid w:val="007565C7"/>
    <w:rsid w:val="00756917"/>
    <w:rsid w:val="007608E3"/>
    <w:rsid w:val="007608F1"/>
    <w:rsid w:val="00760C9B"/>
    <w:rsid w:val="00761BBF"/>
    <w:rsid w:val="00763516"/>
    <w:rsid w:val="00765D83"/>
    <w:rsid w:val="0076609D"/>
    <w:rsid w:val="0076755B"/>
    <w:rsid w:val="00770F96"/>
    <w:rsid w:val="00771517"/>
    <w:rsid w:val="0077165E"/>
    <w:rsid w:val="00772432"/>
    <w:rsid w:val="00772B3A"/>
    <w:rsid w:val="007753FB"/>
    <w:rsid w:val="007754FD"/>
    <w:rsid w:val="0077644A"/>
    <w:rsid w:val="00777835"/>
    <w:rsid w:val="00781163"/>
    <w:rsid w:val="007815AB"/>
    <w:rsid w:val="00782585"/>
    <w:rsid w:val="00784FA2"/>
    <w:rsid w:val="007850C0"/>
    <w:rsid w:val="00785FC9"/>
    <w:rsid w:val="00790527"/>
    <w:rsid w:val="00792135"/>
    <w:rsid w:val="007943F6"/>
    <w:rsid w:val="00794AAE"/>
    <w:rsid w:val="00795485"/>
    <w:rsid w:val="00795A7F"/>
    <w:rsid w:val="00795F8B"/>
    <w:rsid w:val="0079611C"/>
    <w:rsid w:val="0079649A"/>
    <w:rsid w:val="0079761B"/>
    <w:rsid w:val="00797FC3"/>
    <w:rsid w:val="007A11F9"/>
    <w:rsid w:val="007A1963"/>
    <w:rsid w:val="007A20E4"/>
    <w:rsid w:val="007A2176"/>
    <w:rsid w:val="007A2719"/>
    <w:rsid w:val="007A2FAA"/>
    <w:rsid w:val="007A6458"/>
    <w:rsid w:val="007A69D7"/>
    <w:rsid w:val="007A779B"/>
    <w:rsid w:val="007B27C8"/>
    <w:rsid w:val="007B27DE"/>
    <w:rsid w:val="007B33AD"/>
    <w:rsid w:val="007B3C46"/>
    <w:rsid w:val="007B4A71"/>
    <w:rsid w:val="007B4AA2"/>
    <w:rsid w:val="007B4FBB"/>
    <w:rsid w:val="007B561C"/>
    <w:rsid w:val="007C0C02"/>
    <w:rsid w:val="007C0E04"/>
    <w:rsid w:val="007C1FEF"/>
    <w:rsid w:val="007C3E95"/>
    <w:rsid w:val="007C5B4E"/>
    <w:rsid w:val="007C734C"/>
    <w:rsid w:val="007C7874"/>
    <w:rsid w:val="007C7DC2"/>
    <w:rsid w:val="007D0ADF"/>
    <w:rsid w:val="007D2397"/>
    <w:rsid w:val="007D2E87"/>
    <w:rsid w:val="007D731B"/>
    <w:rsid w:val="007E0CFE"/>
    <w:rsid w:val="007E1751"/>
    <w:rsid w:val="007E17BB"/>
    <w:rsid w:val="007E2DEA"/>
    <w:rsid w:val="007E3AA8"/>
    <w:rsid w:val="007E471E"/>
    <w:rsid w:val="007E779D"/>
    <w:rsid w:val="007F0297"/>
    <w:rsid w:val="007F108C"/>
    <w:rsid w:val="007F1864"/>
    <w:rsid w:val="007F3507"/>
    <w:rsid w:val="007F406C"/>
    <w:rsid w:val="007F5FC9"/>
    <w:rsid w:val="007F6720"/>
    <w:rsid w:val="007F6AC0"/>
    <w:rsid w:val="007F6C87"/>
    <w:rsid w:val="007F7152"/>
    <w:rsid w:val="00801148"/>
    <w:rsid w:val="00803E1E"/>
    <w:rsid w:val="008042FD"/>
    <w:rsid w:val="00805CF5"/>
    <w:rsid w:val="0080723C"/>
    <w:rsid w:val="00812C3B"/>
    <w:rsid w:val="00812FB2"/>
    <w:rsid w:val="00813AB5"/>
    <w:rsid w:val="008140B2"/>
    <w:rsid w:val="00815885"/>
    <w:rsid w:val="00815895"/>
    <w:rsid w:val="008163B4"/>
    <w:rsid w:val="0081730B"/>
    <w:rsid w:val="00820AF0"/>
    <w:rsid w:val="008211F5"/>
    <w:rsid w:val="008223DF"/>
    <w:rsid w:val="008225AA"/>
    <w:rsid w:val="00822CCB"/>
    <w:rsid w:val="00823477"/>
    <w:rsid w:val="00824019"/>
    <w:rsid w:val="00824732"/>
    <w:rsid w:val="00825687"/>
    <w:rsid w:val="00825AFA"/>
    <w:rsid w:val="00826408"/>
    <w:rsid w:val="0083097B"/>
    <w:rsid w:val="008327B6"/>
    <w:rsid w:val="00833282"/>
    <w:rsid w:val="00833C02"/>
    <w:rsid w:val="00833E56"/>
    <w:rsid w:val="00834784"/>
    <w:rsid w:val="0084080B"/>
    <w:rsid w:val="00842B40"/>
    <w:rsid w:val="0084329A"/>
    <w:rsid w:val="00846FA4"/>
    <w:rsid w:val="00847039"/>
    <w:rsid w:val="008512C3"/>
    <w:rsid w:val="008523FD"/>
    <w:rsid w:val="00852423"/>
    <w:rsid w:val="00852CE8"/>
    <w:rsid w:val="00854B93"/>
    <w:rsid w:val="008555D4"/>
    <w:rsid w:val="008564C9"/>
    <w:rsid w:val="00856CA0"/>
    <w:rsid w:val="00857798"/>
    <w:rsid w:val="00857C8A"/>
    <w:rsid w:val="0086079B"/>
    <w:rsid w:val="0086193D"/>
    <w:rsid w:val="008636BC"/>
    <w:rsid w:val="008648DA"/>
    <w:rsid w:val="00864CC8"/>
    <w:rsid w:val="00865D7A"/>
    <w:rsid w:val="00866012"/>
    <w:rsid w:val="00866144"/>
    <w:rsid w:val="00866B0E"/>
    <w:rsid w:val="00866D5C"/>
    <w:rsid w:val="00871394"/>
    <w:rsid w:val="008718C0"/>
    <w:rsid w:val="008721A0"/>
    <w:rsid w:val="00874DD4"/>
    <w:rsid w:val="00875C69"/>
    <w:rsid w:val="00876B16"/>
    <w:rsid w:val="008771EF"/>
    <w:rsid w:val="008801FA"/>
    <w:rsid w:val="0088198C"/>
    <w:rsid w:val="00881A97"/>
    <w:rsid w:val="008830DB"/>
    <w:rsid w:val="00883D27"/>
    <w:rsid w:val="00885F8E"/>
    <w:rsid w:val="00887B56"/>
    <w:rsid w:val="00890875"/>
    <w:rsid w:val="00891750"/>
    <w:rsid w:val="00892BDC"/>
    <w:rsid w:val="00892EEF"/>
    <w:rsid w:val="00893A3E"/>
    <w:rsid w:val="0089577B"/>
    <w:rsid w:val="0089673C"/>
    <w:rsid w:val="00897B4F"/>
    <w:rsid w:val="008A2B6D"/>
    <w:rsid w:val="008A2EC4"/>
    <w:rsid w:val="008A501C"/>
    <w:rsid w:val="008A7CF5"/>
    <w:rsid w:val="008B064F"/>
    <w:rsid w:val="008B1317"/>
    <w:rsid w:val="008B14F9"/>
    <w:rsid w:val="008B3925"/>
    <w:rsid w:val="008B4492"/>
    <w:rsid w:val="008B4BD6"/>
    <w:rsid w:val="008B4FCB"/>
    <w:rsid w:val="008B53FA"/>
    <w:rsid w:val="008B5E91"/>
    <w:rsid w:val="008B679A"/>
    <w:rsid w:val="008B7425"/>
    <w:rsid w:val="008C0395"/>
    <w:rsid w:val="008C104B"/>
    <w:rsid w:val="008C1D92"/>
    <w:rsid w:val="008C4D8C"/>
    <w:rsid w:val="008C5A6F"/>
    <w:rsid w:val="008C6CE8"/>
    <w:rsid w:val="008D125B"/>
    <w:rsid w:val="008D1574"/>
    <w:rsid w:val="008D1CA8"/>
    <w:rsid w:val="008D2C8A"/>
    <w:rsid w:val="008D48FE"/>
    <w:rsid w:val="008D5B7C"/>
    <w:rsid w:val="008D741F"/>
    <w:rsid w:val="008D7434"/>
    <w:rsid w:val="008E075B"/>
    <w:rsid w:val="008E09DC"/>
    <w:rsid w:val="008E29AF"/>
    <w:rsid w:val="008E46B6"/>
    <w:rsid w:val="008E4F20"/>
    <w:rsid w:val="008E63B4"/>
    <w:rsid w:val="008E7A0F"/>
    <w:rsid w:val="008E7CBF"/>
    <w:rsid w:val="008F109C"/>
    <w:rsid w:val="008F1631"/>
    <w:rsid w:val="008F1840"/>
    <w:rsid w:val="008F1D0E"/>
    <w:rsid w:val="008F4BDC"/>
    <w:rsid w:val="008F6EE3"/>
    <w:rsid w:val="008F7087"/>
    <w:rsid w:val="008F7B0C"/>
    <w:rsid w:val="00901DFE"/>
    <w:rsid w:val="009033AE"/>
    <w:rsid w:val="0090379D"/>
    <w:rsid w:val="00905169"/>
    <w:rsid w:val="00906180"/>
    <w:rsid w:val="009073D7"/>
    <w:rsid w:val="00907A97"/>
    <w:rsid w:val="00907B2B"/>
    <w:rsid w:val="00907CD0"/>
    <w:rsid w:val="00911AE1"/>
    <w:rsid w:val="0091293E"/>
    <w:rsid w:val="00915166"/>
    <w:rsid w:val="009166A2"/>
    <w:rsid w:val="00920DE7"/>
    <w:rsid w:val="00921E13"/>
    <w:rsid w:val="00922AE2"/>
    <w:rsid w:val="0092405F"/>
    <w:rsid w:val="00925792"/>
    <w:rsid w:val="009278A7"/>
    <w:rsid w:val="00927ED6"/>
    <w:rsid w:val="0093019F"/>
    <w:rsid w:val="0093086B"/>
    <w:rsid w:val="00931062"/>
    <w:rsid w:val="00934F42"/>
    <w:rsid w:val="00935D6A"/>
    <w:rsid w:val="009361C9"/>
    <w:rsid w:val="00936B4D"/>
    <w:rsid w:val="0093772C"/>
    <w:rsid w:val="00937762"/>
    <w:rsid w:val="00940218"/>
    <w:rsid w:val="00941AC0"/>
    <w:rsid w:val="00942401"/>
    <w:rsid w:val="00943F0B"/>
    <w:rsid w:val="0094485E"/>
    <w:rsid w:val="00946BC9"/>
    <w:rsid w:val="009546CC"/>
    <w:rsid w:val="00955853"/>
    <w:rsid w:val="00960604"/>
    <w:rsid w:val="009611EF"/>
    <w:rsid w:val="00961440"/>
    <w:rsid w:val="00961B0E"/>
    <w:rsid w:val="009635BC"/>
    <w:rsid w:val="0096502C"/>
    <w:rsid w:val="00966908"/>
    <w:rsid w:val="00970902"/>
    <w:rsid w:val="009710B2"/>
    <w:rsid w:val="00971206"/>
    <w:rsid w:val="009716CE"/>
    <w:rsid w:val="00972B51"/>
    <w:rsid w:val="009731D9"/>
    <w:rsid w:val="0097458E"/>
    <w:rsid w:val="00974CC4"/>
    <w:rsid w:val="00974DC7"/>
    <w:rsid w:val="00974FBC"/>
    <w:rsid w:val="00975148"/>
    <w:rsid w:val="009754FD"/>
    <w:rsid w:val="009755BA"/>
    <w:rsid w:val="00977574"/>
    <w:rsid w:val="0097783A"/>
    <w:rsid w:val="00985859"/>
    <w:rsid w:val="00986332"/>
    <w:rsid w:val="009872D6"/>
    <w:rsid w:val="009876E6"/>
    <w:rsid w:val="00990C1E"/>
    <w:rsid w:val="00991E9F"/>
    <w:rsid w:val="0099227C"/>
    <w:rsid w:val="009925D9"/>
    <w:rsid w:val="00994894"/>
    <w:rsid w:val="009952F1"/>
    <w:rsid w:val="00995CC3"/>
    <w:rsid w:val="00997C03"/>
    <w:rsid w:val="009A18DE"/>
    <w:rsid w:val="009A1A5B"/>
    <w:rsid w:val="009A21AB"/>
    <w:rsid w:val="009A252D"/>
    <w:rsid w:val="009A2564"/>
    <w:rsid w:val="009A2D3F"/>
    <w:rsid w:val="009A37BA"/>
    <w:rsid w:val="009A4612"/>
    <w:rsid w:val="009A5CCB"/>
    <w:rsid w:val="009A5D1B"/>
    <w:rsid w:val="009A630A"/>
    <w:rsid w:val="009A6B4C"/>
    <w:rsid w:val="009B01E1"/>
    <w:rsid w:val="009B0D42"/>
    <w:rsid w:val="009B1994"/>
    <w:rsid w:val="009B364A"/>
    <w:rsid w:val="009B48BA"/>
    <w:rsid w:val="009B57A5"/>
    <w:rsid w:val="009B5B54"/>
    <w:rsid w:val="009B69CF"/>
    <w:rsid w:val="009B6CA7"/>
    <w:rsid w:val="009C10DA"/>
    <w:rsid w:val="009C6B56"/>
    <w:rsid w:val="009C6E56"/>
    <w:rsid w:val="009D071E"/>
    <w:rsid w:val="009D0BBE"/>
    <w:rsid w:val="009D129C"/>
    <w:rsid w:val="009D334B"/>
    <w:rsid w:val="009D550C"/>
    <w:rsid w:val="009D5707"/>
    <w:rsid w:val="009D59AC"/>
    <w:rsid w:val="009D633A"/>
    <w:rsid w:val="009D6351"/>
    <w:rsid w:val="009D75A7"/>
    <w:rsid w:val="009E1FAB"/>
    <w:rsid w:val="009E2800"/>
    <w:rsid w:val="009E2A89"/>
    <w:rsid w:val="009E4052"/>
    <w:rsid w:val="009E45B5"/>
    <w:rsid w:val="009E4EF6"/>
    <w:rsid w:val="009E5430"/>
    <w:rsid w:val="009E5C07"/>
    <w:rsid w:val="009E6BC3"/>
    <w:rsid w:val="009E7302"/>
    <w:rsid w:val="009F1349"/>
    <w:rsid w:val="009F2464"/>
    <w:rsid w:val="009F2B84"/>
    <w:rsid w:val="009F3D7D"/>
    <w:rsid w:val="009F501B"/>
    <w:rsid w:val="009F5CC4"/>
    <w:rsid w:val="009F5F6C"/>
    <w:rsid w:val="00A0083C"/>
    <w:rsid w:val="00A022B1"/>
    <w:rsid w:val="00A022DE"/>
    <w:rsid w:val="00A02898"/>
    <w:rsid w:val="00A02ACF"/>
    <w:rsid w:val="00A02C6D"/>
    <w:rsid w:val="00A03256"/>
    <w:rsid w:val="00A06853"/>
    <w:rsid w:val="00A10A73"/>
    <w:rsid w:val="00A10D37"/>
    <w:rsid w:val="00A1371A"/>
    <w:rsid w:val="00A13CFF"/>
    <w:rsid w:val="00A14F42"/>
    <w:rsid w:val="00A15AC6"/>
    <w:rsid w:val="00A16E30"/>
    <w:rsid w:val="00A17120"/>
    <w:rsid w:val="00A20338"/>
    <w:rsid w:val="00A225D3"/>
    <w:rsid w:val="00A23475"/>
    <w:rsid w:val="00A24089"/>
    <w:rsid w:val="00A261F0"/>
    <w:rsid w:val="00A325C8"/>
    <w:rsid w:val="00A32D3A"/>
    <w:rsid w:val="00A341A0"/>
    <w:rsid w:val="00A363EF"/>
    <w:rsid w:val="00A405D6"/>
    <w:rsid w:val="00A40DAF"/>
    <w:rsid w:val="00A40DC6"/>
    <w:rsid w:val="00A41610"/>
    <w:rsid w:val="00A422C5"/>
    <w:rsid w:val="00A44C35"/>
    <w:rsid w:val="00A45210"/>
    <w:rsid w:val="00A45457"/>
    <w:rsid w:val="00A456F1"/>
    <w:rsid w:val="00A45AED"/>
    <w:rsid w:val="00A47649"/>
    <w:rsid w:val="00A47C01"/>
    <w:rsid w:val="00A54A73"/>
    <w:rsid w:val="00A56DB0"/>
    <w:rsid w:val="00A63F44"/>
    <w:rsid w:val="00A654CC"/>
    <w:rsid w:val="00A65C42"/>
    <w:rsid w:val="00A66B0C"/>
    <w:rsid w:val="00A67A79"/>
    <w:rsid w:val="00A7040B"/>
    <w:rsid w:val="00A70FC9"/>
    <w:rsid w:val="00A71262"/>
    <w:rsid w:val="00A717DB"/>
    <w:rsid w:val="00A717E5"/>
    <w:rsid w:val="00A72944"/>
    <w:rsid w:val="00A7402A"/>
    <w:rsid w:val="00A7470A"/>
    <w:rsid w:val="00A8015A"/>
    <w:rsid w:val="00A80315"/>
    <w:rsid w:val="00A807A3"/>
    <w:rsid w:val="00A82D7A"/>
    <w:rsid w:val="00A830E2"/>
    <w:rsid w:val="00A84412"/>
    <w:rsid w:val="00A85B3C"/>
    <w:rsid w:val="00A872F0"/>
    <w:rsid w:val="00A918C6"/>
    <w:rsid w:val="00A9209D"/>
    <w:rsid w:val="00A922A6"/>
    <w:rsid w:val="00A945F0"/>
    <w:rsid w:val="00A94B0E"/>
    <w:rsid w:val="00A94DB4"/>
    <w:rsid w:val="00A95842"/>
    <w:rsid w:val="00A95E26"/>
    <w:rsid w:val="00AA0438"/>
    <w:rsid w:val="00AA06F5"/>
    <w:rsid w:val="00AA1230"/>
    <w:rsid w:val="00AA14A5"/>
    <w:rsid w:val="00AA1749"/>
    <w:rsid w:val="00AA1F15"/>
    <w:rsid w:val="00AA39DC"/>
    <w:rsid w:val="00AA4610"/>
    <w:rsid w:val="00AB071A"/>
    <w:rsid w:val="00AB0AFB"/>
    <w:rsid w:val="00AB2C87"/>
    <w:rsid w:val="00AB3104"/>
    <w:rsid w:val="00AB329C"/>
    <w:rsid w:val="00AB3CA8"/>
    <w:rsid w:val="00AB4774"/>
    <w:rsid w:val="00AB5014"/>
    <w:rsid w:val="00AB507F"/>
    <w:rsid w:val="00AB6721"/>
    <w:rsid w:val="00AB6F6E"/>
    <w:rsid w:val="00AC0977"/>
    <w:rsid w:val="00AC23C5"/>
    <w:rsid w:val="00AC27FF"/>
    <w:rsid w:val="00AC2E65"/>
    <w:rsid w:val="00AC35CA"/>
    <w:rsid w:val="00AC3647"/>
    <w:rsid w:val="00AC430B"/>
    <w:rsid w:val="00AC7D05"/>
    <w:rsid w:val="00AD174A"/>
    <w:rsid w:val="00AD1B4B"/>
    <w:rsid w:val="00AD2234"/>
    <w:rsid w:val="00AD25AE"/>
    <w:rsid w:val="00AD4021"/>
    <w:rsid w:val="00AD6B23"/>
    <w:rsid w:val="00AD7DD8"/>
    <w:rsid w:val="00AD7FA2"/>
    <w:rsid w:val="00AE3522"/>
    <w:rsid w:val="00AE3C5E"/>
    <w:rsid w:val="00AE438A"/>
    <w:rsid w:val="00AE5175"/>
    <w:rsid w:val="00AE5AD4"/>
    <w:rsid w:val="00AE61BD"/>
    <w:rsid w:val="00AE64C1"/>
    <w:rsid w:val="00AE68A6"/>
    <w:rsid w:val="00AE75C0"/>
    <w:rsid w:val="00AE79D7"/>
    <w:rsid w:val="00AF0578"/>
    <w:rsid w:val="00AF0FA9"/>
    <w:rsid w:val="00AF18C6"/>
    <w:rsid w:val="00AF39B5"/>
    <w:rsid w:val="00AF3B4F"/>
    <w:rsid w:val="00AF5BB4"/>
    <w:rsid w:val="00AF6549"/>
    <w:rsid w:val="00AF7723"/>
    <w:rsid w:val="00B005EF"/>
    <w:rsid w:val="00B00C0D"/>
    <w:rsid w:val="00B04B47"/>
    <w:rsid w:val="00B063A3"/>
    <w:rsid w:val="00B065B9"/>
    <w:rsid w:val="00B11E0A"/>
    <w:rsid w:val="00B11E86"/>
    <w:rsid w:val="00B12B89"/>
    <w:rsid w:val="00B13545"/>
    <w:rsid w:val="00B2232C"/>
    <w:rsid w:val="00B23EAD"/>
    <w:rsid w:val="00B2528B"/>
    <w:rsid w:val="00B25AEA"/>
    <w:rsid w:val="00B2670C"/>
    <w:rsid w:val="00B313D9"/>
    <w:rsid w:val="00B34CD9"/>
    <w:rsid w:val="00B3601A"/>
    <w:rsid w:val="00B371DA"/>
    <w:rsid w:val="00B37CBE"/>
    <w:rsid w:val="00B4132C"/>
    <w:rsid w:val="00B42415"/>
    <w:rsid w:val="00B42DEB"/>
    <w:rsid w:val="00B43738"/>
    <w:rsid w:val="00B44D2C"/>
    <w:rsid w:val="00B4630C"/>
    <w:rsid w:val="00B4747A"/>
    <w:rsid w:val="00B47A2D"/>
    <w:rsid w:val="00B55755"/>
    <w:rsid w:val="00B56253"/>
    <w:rsid w:val="00B56457"/>
    <w:rsid w:val="00B60AEE"/>
    <w:rsid w:val="00B62E3D"/>
    <w:rsid w:val="00B62E7B"/>
    <w:rsid w:val="00B630D7"/>
    <w:rsid w:val="00B63AEA"/>
    <w:rsid w:val="00B63BE0"/>
    <w:rsid w:val="00B65D6D"/>
    <w:rsid w:val="00B664AE"/>
    <w:rsid w:val="00B66FA8"/>
    <w:rsid w:val="00B702EC"/>
    <w:rsid w:val="00B71225"/>
    <w:rsid w:val="00B73C4B"/>
    <w:rsid w:val="00B74697"/>
    <w:rsid w:val="00B76F02"/>
    <w:rsid w:val="00B77403"/>
    <w:rsid w:val="00B776AB"/>
    <w:rsid w:val="00B7783D"/>
    <w:rsid w:val="00B821F0"/>
    <w:rsid w:val="00B824AA"/>
    <w:rsid w:val="00B82D60"/>
    <w:rsid w:val="00B8410D"/>
    <w:rsid w:val="00B902BB"/>
    <w:rsid w:val="00B902D7"/>
    <w:rsid w:val="00B907D2"/>
    <w:rsid w:val="00B918D6"/>
    <w:rsid w:val="00B925DA"/>
    <w:rsid w:val="00B92BE6"/>
    <w:rsid w:val="00B936AB"/>
    <w:rsid w:val="00B94736"/>
    <w:rsid w:val="00B94FEF"/>
    <w:rsid w:val="00B956CF"/>
    <w:rsid w:val="00B95BE7"/>
    <w:rsid w:val="00B95ECC"/>
    <w:rsid w:val="00B9699C"/>
    <w:rsid w:val="00BA0234"/>
    <w:rsid w:val="00BA1FE2"/>
    <w:rsid w:val="00BA2832"/>
    <w:rsid w:val="00BA2835"/>
    <w:rsid w:val="00BA53C6"/>
    <w:rsid w:val="00BA792C"/>
    <w:rsid w:val="00BA7F79"/>
    <w:rsid w:val="00BB1DC3"/>
    <w:rsid w:val="00BB39E0"/>
    <w:rsid w:val="00BB43B6"/>
    <w:rsid w:val="00BB54B6"/>
    <w:rsid w:val="00BB5DAC"/>
    <w:rsid w:val="00BB6534"/>
    <w:rsid w:val="00BB6D9B"/>
    <w:rsid w:val="00BB6F2A"/>
    <w:rsid w:val="00BC087C"/>
    <w:rsid w:val="00BC1551"/>
    <w:rsid w:val="00BC4EAC"/>
    <w:rsid w:val="00BC50CA"/>
    <w:rsid w:val="00BC5E08"/>
    <w:rsid w:val="00BC7F74"/>
    <w:rsid w:val="00BD0FD1"/>
    <w:rsid w:val="00BE2CFE"/>
    <w:rsid w:val="00BE2F68"/>
    <w:rsid w:val="00BE4942"/>
    <w:rsid w:val="00BE5C66"/>
    <w:rsid w:val="00BE66D1"/>
    <w:rsid w:val="00BF0591"/>
    <w:rsid w:val="00BF06C2"/>
    <w:rsid w:val="00BF0D26"/>
    <w:rsid w:val="00BF0FF1"/>
    <w:rsid w:val="00BF14C8"/>
    <w:rsid w:val="00BF79C8"/>
    <w:rsid w:val="00C00C7B"/>
    <w:rsid w:val="00C010C2"/>
    <w:rsid w:val="00C010E8"/>
    <w:rsid w:val="00C01480"/>
    <w:rsid w:val="00C01756"/>
    <w:rsid w:val="00C01F34"/>
    <w:rsid w:val="00C02ED9"/>
    <w:rsid w:val="00C03510"/>
    <w:rsid w:val="00C04876"/>
    <w:rsid w:val="00C054E3"/>
    <w:rsid w:val="00C06686"/>
    <w:rsid w:val="00C06B84"/>
    <w:rsid w:val="00C06F9B"/>
    <w:rsid w:val="00C0703F"/>
    <w:rsid w:val="00C07263"/>
    <w:rsid w:val="00C1040B"/>
    <w:rsid w:val="00C10439"/>
    <w:rsid w:val="00C11D52"/>
    <w:rsid w:val="00C12985"/>
    <w:rsid w:val="00C12C55"/>
    <w:rsid w:val="00C12C57"/>
    <w:rsid w:val="00C14A4C"/>
    <w:rsid w:val="00C165E0"/>
    <w:rsid w:val="00C17417"/>
    <w:rsid w:val="00C2076C"/>
    <w:rsid w:val="00C255FA"/>
    <w:rsid w:val="00C25A16"/>
    <w:rsid w:val="00C26C6F"/>
    <w:rsid w:val="00C34FE3"/>
    <w:rsid w:val="00C40A62"/>
    <w:rsid w:val="00C4212E"/>
    <w:rsid w:val="00C42405"/>
    <w:rsid w:val="00C43745"/>
    <w:rsid w:val="00C4507E"/>
    <w:rsid w:val="00C4734D"/>
    <w:rsid w:val="00C50B54"/>
    <w:rsid w:val="00C616D8"/>
    <w:rsid w:val="00C61F5E"/>
    <w:rsid w:val="00C6382F"/>
    <w:rsid w:val="00C63927"/>
    <w:rsid w:val="00C66C15"/>
    <w:rsid w:val="00C66EA8"/>
    <w:rsid w:val="00C71A1A"/>
    <w:rsid w:val="00C729E3"/>
    <w:rsid w:val="00C72B8A"/>
    <w:rsid w:val="00C731D8"/>
    <w:rsid w:val="00C7567A"/>
    <w:rsid w:val="00C76401"/>
    <w:rsid w:val="00C76930"/>
    <w:rsid w:val="00C80B2E"/>
    <w:rsid w:val="00C80EDC"/>
    <w:rsid w:val="00C81D7E"/>
    <w:rsid w:val="00C826AF"/>
    <w:rsid w:val="00C834F6"/>
    <w:rsid w:val="00C8678C"/>
    <w:rsid w:val="00C868A7"/>
    <w:rsid w:val="00C8694D"/>
    <w:rsid w:val="00C873C6"/>
    <w:rsid w:val="00C903CB"/>
    <w:rsid w:val="00C92090"/>
    <w:rsid w:val="00C9322C"/>
    <w:rsid w:val="00C9331D"/>
    <w:rsid w:val="00C94894"/>
    <w:rsid w:val="00C95DC7"/>
    <w:rsid w:val="00C97593"/>
    <w:rsid w:val="00CA04B8"/>
    <w:rsid w:val="00CA159A"/>
    <w:rsid w:val="00CA1D23"/>
    <w:rsid w:val="00CA2964"/>
    <w:rsid w:val="00CA3230"/>
    <w:rsid w:val="00CA3264"/>
    <w:rsid w:val="00CA5107"/>
    <w:rsid w:val="00CA62D8"/>
    <w:rsid w:val="00CA65A8"/>
    <w:rsid w:val="00CA685F"/>
    <w:rsid w:val="00CA7105"/>
    <w:rsid w:val="00CA7FF6"/>
    <w:rsid w:val="00CB133C"/>
    <w:rsid w:val="00CB155C"/>
    <w:rsid w:val="00CB16C5"/>
    <w:rsid w:val="00CB1900"/>
    <w:rsid w:val="00CB205F"/>
    <w:rsid w:val="00CB5209"/>
    <w:rsid w:val="00CB5A33"/>
    <w:rsid w:val="00CB72AB"/>
    <w:rsid w:val="00CC03B8"/>
    <w:rsid w:val="00CC22DB"/>
    <w:rsid w:val="00CC3763"/>
    <w:rsid w:val="00CC4A01"/>
    <w:rsid w:val="00CC6992"/>
    <w:rsid w:val="00CC6F0A"/>
    <w:rsid w:val="00CD1C2D"/>
    <w:rsid w:val="00CD72FB"/>
    <w:rsid w:val="00CD7F9C"/>
    <w:rsid w:val="00CE0978"/>
    <w:rsid w:val="00CE4B1B"/>
    <w:rsid w:val="00CE6997"/>
    <w:rsid w:val="00CE78CD"/>
    <w:rsid w:val="00CE790B"/>
    <w:rsid w:val="00CF02A0"/>
    <w:rsid w:val="00CF163E"/>
    <w:rsid w:val="00CF17BB"/>
    <w:rsid w:val="00CF2145"/>
    <w:rsid w:val="00CF2953"/>
    <w:rsid w:val="00CF3E5B"/>
    <w:rsid w:val="00CF4295"/>
    <w:rsid w:val="00CF4D95"/>
    <w:rsid w:val="00CF5DA9"/>
    <w:rsid w:val="00CF62FB"/>
    <w:rsid w:val="00CF7158"/>
    <w:rsid w:val="00D02205"/>
    <w:rsid w:val="00D035C0"/>
    <w:rsid w:val="00D03D88"/>
    <w:rsid w:val="00D047ED"/>
    <w:rsid w:val="00D05505"/>
    <w:rsid w:val="00D05ADA"/>
    <w:rsid w:val="00D123C3"/>
    <w:rsid w:val="00D126B7"/>
    <w:rsid w:val="00D137BE"/>
    <w:rsid w:val="00D13EAE"/>
    <w:rsid w:val="00D15A72"/>
    <w:rsid w:val="00D163EF"/>
    <w:rsid w:val="00D20905"/>
    <w:rsid w:val="00D21983"/>
    <w:rsid w:val="00D237D3"/>
    <w:rsid w:val="00D24FE8"/>
    <w:rsid w:val="00D264E9"/>
    <w:rsid w:val="00D27DBB"/>
    <w:rsid w:val="00D27DD4"/>
    <w:rsid w:val="00D31572"/>
    <w:rsid w:val="00D31A0A"/>
    <w:rsid w:val="00D35C0A"/>
    <w:rsid w:val="00D36895"/>
    <w:rsid w:val="00D3754F"/>
    <w:rsid w:val="00D375C7"/>
    <w:rsid w:val="00D42064"/>
    <w:rsid w:val="00D426A6"/>
    <w:rsid w:val="00D42F73"/>
    <w:rsid w:val="00D44024"/>
    <w:rsid w:val="00D45277"/>
    <w:rsid w:val="00D46BC0"/>
    <w:rsid w:val="00D46E24"/>
    <w:rsid w:val="00D476A9"/>
    <w:rsid w:val="00D50976"/>
    <w:rsid w:val="00D50FFF"/>
    <w:rsid w:val="00D51BFF"/>
    <w:rsid w:val="00D51FF4"/>
    <w:rsid w:val="00D52930"/>
    <w:rsid w:val="00D543CB"/>
    <w:rsid w:val="00D553BD"/>
    <w:rsid w:val="00D5548B"/>
    <w:rsid w:val="00D55996"/>
    <w:rsid w:val="00D55B2E"/>
    <w:rsid w:val="00D56624"/>
    <w:rsid w:val="00D62B4A"/>
    <w:rsid w:val="00D641D2"/>
    <w:rsid w:val="00D64664"/>
    <w:rsid w:val="00D65095"/>
    <w:rsid w:val="00D6665D"/>
    <w:rsid w:val="00D666C4"/>
    <w:rsid w:val="00D66ACF"/>
    <w:rsid w:val="00D67022"/>
    <w:rsid w:val="00D70492"/>
    <w:rsid w:val="00D729BF"/>
    <w:rsid w:val="00D73A36"/>
    <w:rsid w:val="00D73AE5"/>
    <w:rsid w:val="00D75589"/>
    <w:rsid w:val="00D8084A"/>
    <w:rsid w:val="00D80C17"/>
    <w:rsid w:val="00D83F85"/>
    <w:rsid w:val="00D842A6"/>
    <w:rsid w:val="00D84681"/>
    <w:rsid w:val="00D87D19"/>
    <w:rsid w:val="00D9241A"/>
    <w:rsid w:val="00D94263"/>
    <w:rsid w:val="00D943AE"/>
    <w:rsid w:val="00D94C61"/>
    <w:rsid w:val="00D9575E"/>
    <w:rsid w:val="00D96E23"/>
    <w:rsid w:val="00DA0929"/>
    <w:rsid w:val="00DA2B0B"/>
    <w:rsid w:val="00DA2C84"/>
    <w:rsid w:val="00DA3284"/>
    <w:rsid w:val="00DA3386"/>
    <w:rsid w:val="00DA49FE"/>
    <w:rsid w:val="00DA5AFB"/>
    <w:rsid w:val="00DA66F0"/>
    <w:rsid w:val="00DB269B"/>
    <w:rsid w:val="00DB38FD"/>
    <w:rsid w:val="00DB59AE"/>
    <w:rsid w:val="00DB5E2C"/>
    <w:rsid w:val="00DB6B62"/>
    <w:rsid w:val="00DB74FE"/>
    <w:rsid w:val="00DC0F6C"/>
    <w:rsid w:val="00DC229F"/>
    <w:rsid w:val="00DC2499"/>
    <w:rsid w:val="00DC3547"/>
    <w:rsid w:val="00DC486F"/>
    <w:rsid w:val="00DC67CF"/>
    <w:rsid w:val="00DC7BBC"/>
    <w:rsid w:val="00DD0637"/>
    <w:rsid w:val="00DD0767"/>
    <w:rsid w:val="00DD0CA8"/>
    <w:rsid w:val="00DD1EBF"/>
    <w:rsid w:val="00DD20DB"/>
    <w:rsid w:val="00DD3490"/>
    <w:rsid w:val="00DD6744"/>
    <w:rsid w:val="00DD6B98"/>
    <w:rsid w:val="00DD7690"/>
    <w:rsid w:val="00DD7B7F"/>
    <w:rsid w:val="00DE165B"/>
    <w:rsid w:val="00DE1838"/>
    <w:rsid w:val="00DE1929"/>
    <w:rsid w:val="00DE2B73"/>
    <w:rsid w:val="00DE3945"/>
    <w:rsid w:val="00DE62F1"/>
    <w:rsid w:val="00DE65C5"/>
    <w:rsid w:val="00DE6880"/>
    <w:rsid w:val="00DF0DCD"/>
    <w:rsid w:val="00DF1FAB"/>
    <w:rsid w:val="00DF211C"/>
    <w:rsid w:val="00DF6571"/>
    <w:rsid w:val="00DF7CA5"/>
    <w:rsid w:val="00DF7D6F"/>
    <w:rsid w:val="00E00867"/>
    <w:rsid w:val="00E008B3"/>
    <w:rsid w:val="00E0316B"/>
    <w:rsid w:val="00E03878"/>
    <w:rsid w:val="00E03B7D"/>
    <w:rsid w:val="00E05221"/>
    <w:rsid w:val="00E05D78"/>
    <w:rsid w:val="00E05E86"/>
    <w:rsid w:val="00E0747B"/>
    <w:rsid w:val="00E077E7"/>
    <w:rsid w:val="00E07DAA"/>
    <w:rsid w:val="00E13028"/>
    <w:rsid w:val="00E13952"/>
    <w:rsid w:val="00E157F9"/>
    <w:rsid w:val="00E16017"/>
    <w:rsid w:val="00E171F5"/>
    <w:rsid w:val="00E17912"/>
    <w:rsid w:val="00E17986"/>
    <w:rsid w:val="00E2004C"/>
    <w:rsid w:val="00E2099B"/>
    <w:rsid w:val="00E209F0"/>
    <w:rsid w:val="00E22768"/>
    <w:rsid w:val="00E24EF8"/>
    <w:rsid w:val="00E253C9"/>
    <w:rsid w:val="00E25D55"/>
    <w:rsid w:val="00E2756F"/>
    <w:rsid w:val="00E30234"/>
    <w:rsid w:val="00E37516"/>
    <w:rsid w:val="00E4124E"/>
    <w:rsid w:val="00E4240A"/>
    <w:rsid w:val="00E446CD"/>
    <w:rsid w:val="00E45499"/>
    <w:rsid w:val="00E4560D"/>
    <w:rsid w:val="00E45C2E"/>
    <w:rsid w:val="00E45D65"/>
    <w:rsid w:val="00E47045"/>
    <w:rsid w:val="00E47936"/>
    <w:rsid w:val="00E51571"/>
    <w:rsid w:val="00E51FF8"/>
    <w:rsid w:val="00E5274E"/>
    <w:rsid w:val="00E52B91"/>
    <w:rsid w:val="00E53501"/>
    <w:rsid w:val="00E5623F"/>
    <w:rsid w:val="00E574CB"/>
    <w:rsid w:val="00E602BB"/>
    <w:rsid w:val="00E602F9"/>
    <w:rsid w:val="00E60BC3"/>
    <w:rsid w:val="00E61693"/>
    <w:rsid w:val="00E62396"/>
    <w:rsid w:val="00E6329F"/>
    <w:rsid w:val="00E64845"/>
    <w:rsid w:val="00E6642B"/>
    <w:rsid w:val="00E6681B"/>
    <w:rsid w:val="00E67B2C"/>
    <w:rsid w:val="00E71ECB"/>
    <w:rsid w:val="00E72932"/>
    <w:rsid w:val="00E737B9"/>
    <w:rsid w:val="00E757AC"/>
    <w:rsid w:val="00E75FD6"/>
    <w:rsid w:val="00E77F27"/>
    <w:rsid w:val="00E80B90"/>
    <w:rsid w:val="00E81662"/>
    <w:rsid w:val="00E83780"/>
    <w:rsid w:val="00E860E6"/>
    <w:rsid w:val="00E86C21"/>
    <w:rsid w:val="00E87552"/>
    <w:rsid w:val="00E87C46"/>
    <w:rsid w:val="00E92B6E"/>
    <w:rsid w:val="00E92DD1"/>
    <w:rsid w:val="00E94B9C"/>
    <w:rsid w:val="00E953BE"/>
    <w:rsid w:val="00E95864"/>
    <w:rsid w:val="00E96C66"/>
    <w:rsid w:val="00E96FA0"/>
    <w:rsid w:val="00EA0C41"/>
    <w:rsid w:val="00EA0EB3"/>
    <w:rsid w:val="00EA1B7D"/>
    <w:rsid w:val="00EA2554"/>
    <w:rsid w:val="00EA42EA"/>
    <w:rsid w:val="00EA4FB6"/>
    <w:rsid w:val="00EA663F"/>
    <w:rsid w:val="00EA7166"/>
    <w:rsid w:val="00EB0C7E"/>
    <w:rsid w:val="00EB1B68"/>
    <w:rsid w:val="00EB1D1B"/>
    <w:rsid w:val="00EB5407"/>
    <w:rsid w:val="00EB682D"/>
    <w:rsid w:val="00EB7A27"/>
    <w:rsid w:val="00EC07C6"/>
    <w:rsid w:val="00EC09A3"/>
    <w:rsid w:val="00EC0BE0"/>
    <w:rsid w:val="00EC166B"/>
    <w:rsid w:val="00EC1D4E"/>
    <w:rsid w:val="00EC23B6"/>
    <w:rsid w:val="00EC4F16"/>
    <w:rsid w:val="00EC64E4"/>
    <w:rsid w:val="00EC7D96"/>
    <w:rsid w:val="00ED0A7C"/>
    <w:rsid w:val="00ED0A9D"/>
    <w:rsid w:val="00ED2B4D"/>
    <w:rsid w:val="00ED45C6"/>
    <w:rsid w:val="00ED4C04"/>
    <w:rsid w:val="00ED570C"/>
    <w:rsid w:val="00ED6066"/>
    <w:rsid w:val="00ED6A5A"/>
    <w:rsid w:val="00ED7E19"/>
    <w:rsid w:val="00ED7F7D"/>
    <w:rsid w:val="00EE0B13"/>
    <w:rsid w:val="00EE407F"/>
    <w:rsid w:val="00EE63D8"/>
    <w:rsid w:val="00EF14B9"/>
    <w:rsid w:val="00EF45B8"/>
    <w:rsid w:val="00EF4A0A"/>
    <w:rsid w:val="00EF5806"/>
    <w:rsid w:val="00F01DEB"/>
    <w:rsid w:val="00F02065"/>
    <w:rsid w:val="00F03FA7"/>
    <w:rsid w:val="00F07869"/>
    <w:rsid w:val="00F10360"/>
    <w:rsid w:val="00F113EE"/>
    <w:rsid w:val="00F1220B"/>
    <w:rsid w:val="00F1408F"/>
    <w:rsid w:val="00F14694"/>
    <w:rsid w:val="00F14869"/>
    <w:rsid w:val="00F14CFB"/>
    <w:rsid w:val="00F14F56"/>
    <w:rsid w:val="00F22FD4"/>
    <w:rsid w:val="00F23DFB"/>
    <w:rsid w:val="00F23FE5"/>
    <w:rsid w:val="00F24945"/>
    <w:rsid w:val="00F3009E"/>
    <w:rsid w:val="00F3016C"/>
    <w:rsid w:val="00F306CF"/>
    <w:rsid w:val="00F32905"/>
    <w:rsid w:val="00F34266"/>
    <w:rsid w:val="00F34628"/>
    <w:rsid w:val="00F349D4"/>
    <w:rsid w:val="00F350F8"/>
    <w:rsid w:val="00F35B66"/>
    <w:rsid w:val="00F369F7"/>
    <w:rsid w:val="00F40E3C"/>
    <w:rsid w:val="00F41222"/>
    <w:rsid w:val="00F41E78"/>
    <w:rsid w:val="00F42D0D"/>
    <w:rsid w:val="00F46C51"/>
    <w:rsid w:val="00F53A13"/>
    <w:rsid w:val="00F54719"/>
    <w:rsid w:val="00F54D78"/>
    <w:rsid w:val="00F5500E"/>
    <w:rsid w:val="00F565ED"/>
    <w:rsid w:val="00F60E74"/>
    <w:rsid w:val="00F62AAD"/>
    <w:rsid w:val="00F62BED"/>
    <w:rsid w:val="00F6487F"/>
    <w:rsid w:val="00F6689E"/>
    <w:rsid w:val="00F70659"/>
    <w:rsid w:val="00F73F9E"/>
    <w:rsid w:val="00F768BD"/>
    <w:rsid w:val="00F815D7"/>
    <w:rsid w:val="00F827DA"/>
    <w:rsid w:val="00F832EC"/>
    <w:rsid w:val="00F855A9"/>
    <w:rsid w:val="00F85A90"/>
    <w:rsid w:val="00F870E0"/>
    <w:rsid w:val="00F905C3"/>
    <w:rsid w:val="00F90A17"/>
    <w:rsid w:val="00F9134A"/>
    <w:rsid w:val="00F94B14"/>
    <w:rsid w:val="00F970D3"/>
    <w:rsid w:val="00F97DE7"/>
    <w:rsid w:val="00FA0F59"/>
    <w:rsid w:val="00FA3B11"/>
    <w:rsid w:val="00FA50F6"/>
    <w:rsid w:val="00FA5D76"/>
    <w:rsid w:val="00FA6604"/>
    <w:rsid w:val="00FA67EF"/>
    <w:rsid w:val="00FA6C8E"/>
    <w:rsid w:val="00FA770C"/>
    <w:rsid w:val="00FB2C47"/>
    <w:rsid w:val="00FB346E"/>
    <w:rsid w:val="00FB3612"/>
    <w:rsid w:val="00FB3EE5"/>
    <w:rsid w:val="00FB5EC0"/>
    <w:rsid w:val="00FB5FB6"/>
    <w:rsid w:val="00FB6955"/>
    <w:rsid w:val="00FB748A"/>
    <w:rsid w:val="00FB75F7"/>
    <w:rsid w:val="00FB7D3B"/>
    <w:rsid w:val="00FC0A6D"/>
    <w:rsid w:val="00FC102C"/>
    <w:rsid w:val="00FC1302"/>
    <w:rsid w:val="00FC15EE"/>
    <w:rsid w:val="00FC18BE"/>
    <w:rsid w:val="00FC2421"/>
    <w:rsid w:val="00FC2E73"/>
    <w:rsid w:val="00FC2F05"/>
    <w:rsid w:val="00FC3695"/>
    <w:rsid w:val="00FC3AC4"/>
    <w:rsid w:val="00FC4A52"/>
    <w:rsid w:val="00FC593A"/>
    <w:rsid w:val="00FC5BB6"/>
    <w:rsid w:val="00FC60DF"/>
    <w:rsid w:val="00FC6FCA"/>
    <w:rsid w:val="00FC790C"/>
    <w:rsid w:val="00FD38D3"/>
    <w:rsid w:val="00FD4DD4"/>
    <w:rsid w:val="00FD66E4"/>
    <w:rsid w:val="00FE2145"/>
    <w:rsid w:val="00FE2676"/>
    <w:rsid w:val="00FE2D17"/>
    <w:rsid w:val="00FE4D1E"/>
    <w:rsid w:val="00FE623B"/>
    <w:rsid w:val="00FE653D"/>
    <w:rsid w:val="00FF00D3"/>
    <w:rsid w:val="00FF04CC"/>
    <w:rsid w:val="00FF157F"/>
    <w:rsid w:val="00FF1C60"/>
    <w:rsid w:val="00FF1D16"/>
    <w:rsid w:val="00FF1D37"/>
    <w:rsid w:val="00FF36BC"/>
    <w:rsid w:val="00FF43EE"/>
    <w:rsid w:val="00FF6342"/>
    <w:rsid w:val="00FF6590"/>
    <w:rsid w:val="00FF6B6C"/>
    <w:rsid w:val="00FF6D7F"/>
    <w:rsid w:val="00FF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F6"/>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 w:type="character" w:customStyle="1" w:styleId="CommentTextChar">
    <w:name w:val="Comment Text Char"/>
    <w:basedOn w:val="DefaultParagraphFont"/>
    <w:link w:val="CommentText"/>
    <w:semiHidden/>
    <w:rsid w:val="006F0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F6"/>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 w:type="character" w:customStyle="1" w:styleId="CommentTextChar">
    <w:name w:val="Comment Text Char"/>
    <w:basedOn w:val="DefaultParagraphFont"/>
    <w:link w:val="CommentText"/>
    <w:semiHidden/>
    <w:rsid w:val="006F0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47690011">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523325225">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orms.universalservice.org/usaclogin/login.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543C-FB73-4F19-BAD7-46BDAAC4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9394</Words>
  <Characters>53547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62816</CharactersWithSpaces>
  <SharedDoc>false</SharedDoc>
  <HLinks>
    <vt:vector size="6" baseType="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SYSTEM</cp:lastModifiedBy>
  <cp:revision>2</cp:revision>
  <cp:lastPrinted>2018-12-31T15:40:00Z</cp:lastPrinted>
  <dcterms:created xsi:type="dcterms:W3CDTF">2019-05-10T17:00:00Z</dcterms:created>
  <dcterms:modified xsi:type="dcterms:W3CDTF">2019-05-10T17:00:00Z</dcterms:modified>
</cp:coreProperties>
</file>