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C3A3C" w14:textId="77777777" w:rsidR="00534B6B" w:rsidRPr="000E6DB4" w:rsidRDefault="00534B6B" w:rsidP="00A1613D">
      <w:pPr>
        <w:suppressAutoHyphens/>
        <w:jc w:val="center"/>
        <w:rPr>
          <w:rFonts w:ascii="Times New Roman" w:hAnsi="Times New Roman"/>
          <w:b/>
        </w:rPr>
      </w:pPr>
      <w:bookmarkStart w:id="0" w:name="_GoBack"/>
      <w:bookmarkEnd w:id="0"/>
      <w:r w:rsidRPr="000E6DB4">
        <w:rPr>
          <w:rFonts w:ascii="Times New Roman" w:hAnsi="Times New Roman"/>
          <w:b/>
        </w:rPr>
        <w:t xml:space="preserve">SUPPORTING STATEMENT FOR </w:t>
      </w:r>
      <w:r w:rsidR="00BC6BC6" w:rsidRPr="000E6DB4">
        <w:rPr>
          <w:rFonts w:ascii="Times New Roman" w:hAnsi="Times New Roman"/>
          <w:b/>
        </w:rPr>
        <w:t>AMENDMENT TO</w:t>
      </w:r>
      <w:r w:rsidRPr="000E6DB4">
        <w:rPr>
          <w:rFonts w:ascii="Times New Roman" w:hAnsi="Times New Roman"/>
          <w:b/>
        </w:rPr>
        <w:t xml:space="preserve"> INFORMATION COLLECTIONS</w:t>
      </w:r>
    </w:p>
    <w:p w14:paraId="6872DA6C" w14:textId="77777777" w:rsidR="00BC6BC6" w:rsidRPr="000E6DB4" w:rsidRDefault="00BC6BC6" w:rsidP="00A1613D">
      <w:pPr>
        <w:suppressAutoHyphens/>
        <w:jc w:val="center"/>
        <w:rPr>
          <w:rFonts w:ascii="Times New Roman" w:hAnsi="Times New Roman"/>
          <w:b/>
        </w:rPr>
      </w:pPr>
    </w:p>
    <w:p w14:paraId="35B297F9" w14:textId="1F7CEA79" w:rsidR="00CB1026" w:rsidRDefault="00CB1026" w:rsidP="00534B6B">
      <w:pPr>
        <w:tabs>
          <w:tab w:val="center" w:pos="4680"/>
        </w:tabs>
        <w:suppressAutoHyphens/>
        <w:spacing w:after="240"/>
        <w:jc w:val="center"/>
        <w:rPr>
          <w:rFonts w:ascii="Times New Roman" w:hAnsi="Times New Roman"/>
          <w:b/>
          <w:u w:val="single"/>
        </w:rPr>
      </w:pPr>
      <w:r>
        <w:rPr>
          <w:rFonts w:ascii="Times New Roman" w:hAnsi="Times New Roman"/>
          <w:b/>
          <w:u w:val="single"/>
        </w:rPr>
        <w:t>Confirmation, Portfolio Reconciliation, Portfolio Compression, and Swap Trading Relationship Documentation</w:t>
      </w:r>
    </w:p>
    <w:p w14:paraId="19325E24" w14:textId="1522BCB1" w:rsidR="00A1613D" w:rsidRPr="003765F9" w:rsidRDefault="00CB1026" w:rsidP="00534B6B">
      <w:pPr>
        <w:tabs>
          <w:tab w:val="center" w:pos="4680"/>
        </w:tabs>
        <w:suppressAutoHyphens/>
        <w:spacing w:after="240"/>
        <w:jc w:val="center"/>
        <w:rPr>
          <w:rFonts w:ascii="Times New Roman" w:hAnsi="Times New Roman"/>
          <w:b/>
          <w:u w:val="single"/>
        </w:rPr>
      </w:pPr>
      <w:r>
        <w:rPr>
          <w:rFonts w:ascii="Times New Roman" w:hAnsi="Times New Roman"/>
          <w:b/>
          <w:u w:val="single"/>
        </w:rPr>
        <w:t>(</w:t>
      </w:r>
      <w:r w:rsidR="00D02480" w:rsidRPr="003765F9">
        <w:rPr>
          <w:rFonts w:ascii="Times New Roman" w:hAnsi="Times New Roman"/>
          <w:b/>
          <w:u w:val="single"/>
        </w:rPr>
        <w:t>Uncleared Margin No-Deal Brexit Representation Requirement</w:t>
      </w:r>
      <w:r>
        <w:rPr>
          <w:rFonts w:ascii="Times New Roman" w:hAnsi="Times New Roman"/>
          <w:b/>
          <w:u w:val="single"/>
        </w:rPr>
        <w:t>)</w:t>
      </w:r>
    </w:p>
    <w:p w14:paraId="3C525D0D" w14:textId="77777777" w:rsidR="00534B6B" w:rsidRPr="000E6DB4" w:rsidRDefault="00534B6B" w:rsidP="00534B6B">
      <w:pPr>
        <w:tabs>
          <w:tab w:val="center" w:pos="4680"/>
        </w:tabs>
        <w:suppressAutoHyphens/>
        <w:spacing w:after="240"/>
        <w:jc w:val="center"/>
        <w:rPr>
          <w:rFonts w:ascii="Times New Roman" w:hAnsi="Times New Roman"/>
          <w:b/>
        </w:rPr>
      </w:pPr>
      <w:r w:rsidRPr="003765F9">
        <w:rPr>
          <w:rFonts w:ascii="Times New Roman" w:hAnsi="Times New Roman"/>
          <w:b/>
        </w:rPr>
        <w:t xml:space="preserve">OMB CONTROL NUMBER </w:t>
      </w:r>
      <w:r w:rsidR="00B26DF3" w:rsidRPr="003765F9">
        <w:rPr>
          <w:rFonts w:ascii="Times New Roman" w:hAnsi="Times New Roman"/>
          <w:b/>
        </w:rPr>
        <w:t>3038</w:t>
      </w:r>
      <w:r w:rsidR="008D4548" w:rsidRPr="003765F9">
        <w:rPr>
          <w:rFonts w:ascii="Times New Roman" w:hAnsi="Times New Roman"/>
          <w:b/>
        </w:rPr>
        <w:t>-</w:t>
      </w:r>
      <w:r w:rsidR="0054134E" w:rsidRPr="003765F9">
        <w:rPr>
          <w:rFonts w:ascii="Times New Roman" w:hAnsi="Times New Roman"/>
          <w:b/>
        </w:rPr>
        <w:t>00</w:t>
      </w:r>
      <w:r w:rsidR="00D02480" w:rsidRPr="003765F9">
        <w:rPr>
          <w:rFonts w:ascii="Times New Roman" w:hAnsi="Times New Roman"/>
          <w:b/>
        </w:rPr>
        <w:t>88</w:t>
      </w:r>
    </w:p>
    <w:p w14:paraId="3EC88A9F" w14:textId="77777777" w:rsidR="00534B6B" w:rsidRPr="003765F9" w:rsidRDefault="00534B6B" w:rsidP="00534B6B">
      <w:pPr>
        <w:pStyle w:val="Heading1"/>
        <w:keepNext w:val="0"/>
        <w:spacing w:after="240"/>
        <w:rPr>
          <w:rFonts w:ascii="Times New Roman" w:hAnsi="Times New Roman"/>
          <w:szCs w:val="24"/>
        </w:rPr>
      </w:pPr>
      <w:r w:rsidRPr="003765F9">
        <w:rPr>
          <w:rFonts w:ascii="Times New Roman" w:hAnsi="Times New Roman"/>
          <w:szCs w:val="24"/>
        </w:rPr>
        <w:t>Justification</w:t>
      </w:r>
    </w:p>
    <w:p w14:paraId="2E7AD9DE" w14:textId="77777777" w:rsidR="00534B6B" w:rsidRPr="003765F9" w:rsidRDefault="00534B6B" w:rsidP="00534B6B">
      <w:pPr>
        <w:tabs>
          <w:tab w:val="left" w:pos="-720"/>
          <w:tab w:val="left" w:pos="0"/>
        </w:tabs>
        <w:spacing w:after="240"/>
        <w:rPr>
          <w:rFonts w:ascii="Times New Roman" w:hAnsi="Times New Roman"/>
        </w:rPr>
      </w:pPr>
      <w:r w:rsidRPr="003765F9">
        <w:rPr>
          <w:rFonts w:ascii="Times New Roman" w:hAnsi="Times New Roman"/>
          <w:b/>
        </w:rPr>
        <w:t>1.</w:t>
      </w:r>
      <w:r w:rsidRPr="003765F9">
        <w:rPr>
          <w:rFonts w:ascii="Times New Roman" w:hAnsi="Times New Roman"/>
          <w:b/>
        </w:rPr>
        <w:tab/>
        <w:t>Explain the circumstances that make the coll</w:t>
      </w:r>
      <w:r w:rsidR="00893A29" w:rsidRPr="003765F9">
        <w:rPr>
          <w:rFonts w:ascii="Times New Roman" w:hAnsi="Times New Roman"/>
          <w:b/>
        </w:rPr>
        <w:t>ection of information necessary</w:t>
      </w:r>
      <w:r w:rsidRPr="003765F9">
        <w:rPr>
          <w:rFonts w:ascii="Times New Roman" w:hAnsi="Times New Roman"/>
          <w:b/>
        </w:rPr>
        <w:t>.  Identify any legal or administrative requirements that necessitate the collection.  Attach a copy of the appropriate section of each statute and regulation mandating or authorizing the collection of information.</w:t>
      </w:r>
    </w:p>
    <w:p w14:paraId="3A04E6E6" w14:textId="77777777" w:rsidR="006E7D98" w:rsidRPr="003765F9" w:rsidRDefault="00BE4B4A" w:rsidP="001E2B2C">
      <w:pPr>
        <w:spacing w:after="240"/>
        <w:ind w:firstLine="720"/>
        <w:rPr>
          <w:rFonts w:ascii="Times New Roman" w:hAnsi="Times New Roman"/>
          <w:color w:val="000000"/>
        </w:rPr>
      </w:pPr>
      <w:r w:rsidRPr="003765F9">
        <w:rPr>
          <w:rFonts w:ascii="Times New Roman" w:hAnsi="Times New Roman"/>
          <w:color w:val="000000"/>
        </w:rPr>
        <w:t>Pursuant to the</w:t>
      </w:r>
      <w:r w:rsidR="00D02480" w:rsidRPr="003765F9">
        <w:rPr>
          <w:rFonts w:ascii="Times New Roman" w:hAnsi="Times New Roman"/>
          <w:color w:val="000000"/>
        </w:rPr>
        <w:t xml:space="preserve"> authority</w:t>
      </w:r>
      <w:r w:rsidRPr="003765F9">
        <w:rPr>
          <w:rFonts w:ascii="Times New Roman" w:hAnsi="Times New Roman"/>
          <w:color w:val="000000"/>
        </w:rPr>
        <w:t xml:space="preserve"> granted to it by Section 731 of Title VII of the Dodd-Frank Wall Street Reform and Consumer Protection Act (Dodd-Frank Act, Pub L. No. 111-203, 124 Stat. 1376 (2010))</w:t>
      </w:r>
      <w:r w:rsidR="00D02480" w:rsidRPr="003765F9">
        <w:rPr>
          <w:rFonts w:ascii="Times New Roman" w:hAnsi="Times New Roman"/>
          <w:color w:val="000000"/>
        </w:rPr>
        <w:t xml:space="preserve">, the </w:t>
      </w:r>
      <w:r w:rsidRPr="003765F9">
        <w:rPr>
          <w:rFonts w:ascii="Times New Roman" w:hAnsi="Times New Roman"/>
          <w:bCs/>
        </w:rPr>
        <w:t>Commodi</w:t>
      </w:r>
      <w:r w:rsidR="00C76F2E" w:rsidRPr="003765F9">
        <w:rPr>
          <w:rFonts w:ascii="Times New Roman" w:hAnsi="Times New Roman"/>
          <w:bCs/>
        </w:rPr>
        <w:t>ty Futures Trading Commission (Commission or CFTC</w:t>
      </w:r>
      <w:r w:rsidRPr="003765F9">
        <w:rPr>
          <w:rFonts w:ascii="Times New Roman" w:hAnsi="Times New Roman"/>
          <w:bCs/>
        </w:rPr>
        <w:t>)</w:t>
      </w:r>
      <w:r w:rsidR="001E2B2C" w:rsidRPr="003765F9">
        <w:rPr>
          <w:rFonts w:ascii="Times New Roman" w:hAnsi="Times New Roman"/>
          <w:color w:val="000000"/>
        </w:rPr>
        <w:t xml:space="preserve"> promulgated regulation</w:t>
      </w:r>
      <w:r w:rsidR="00D02480" w:rsidRPr="003765F9">
        <w:rPr>
          <w:rFonts w:ascii="Times New Roman" w:hAnsi="Times New Roman"/>
          <w:color w:val="000000"/>
        </w:rPr>
        <w:t xml:space="preserve"> 23.50</w:t>
      </w:r>
      <w:r w:rsidR="006E7D98" w:rsidRPr="003765F9">
        <w:rPr>
          <w:rFonts w:ascii="Times New Roman" w:hAnsi="Times New Roman"/>
          <w:color w:val="000000"/>
        </w:rPr>
        <w:t>4</w:t>
      </w:r>
      <w:r w:rsidR="00D02480" w:rsidRPr="003765F9">
        <w:rPr>
          <w:rFonts w:ascii="Times New Roman" w:hAnsi="Times New Roman"/>
          <w:color w:val="000000"/>
        </w:rPr>
        <w:t xml:space="preserve">, </w:t>
      </w:r>
      <w:r w:rsidRPr="003765F9">
        <w:rPr>
          <w:rFonts w:ascii="Times New Roman" w:hAnsi="Times New Roman"/>
          <w:color w:val="000000"/>
        </w:rPr>
        <w:t xml:space="preserve">among others.  This regulation </w:t>
      </w:r>
      <w:r w:rsidR="00D02480" w:rsidRPr="003765F9">
        <w:rPr>
          <w:rFonts w:ascii="Times New Roman" w:hAnsi="Times New Roman"/>
          <w:color w:val="000000"/>
        </w:rPr>
        <w:t>obligate</w:t>
      </w:r>
      <w:r w:rsidR="006E7D98" w:rsidRPr="003765F9">
        <w:rPr>
          <w:rFonts w:ascii="Times New Roman" w:hAnsi="Times New Roman"/>
          <w:color w:val="000000"/>
        </w:rPr>
        <w:t>s</w:t>
      </w:r>
      <w:r w:rsidR="00D02480" w:rsidRPr="003765F9">
        <w:rPr>
          <w:rFonts w:ascii="Times New Roman" w:hAnsi="Times New Roman"/>
          <w:color w:val="000000"/>
        </w:rPr>
        <w:t xml:space="preserve"> swap dealers (SDs) and major swap participants (MSPs) to develop and retain written swap trading relationship documentation</w:t>
      </w:r>
      <w:r w:rsidR="006E7D98" w:rsidRPr="003765F9">
        <w:rPr>
          <w:rFonts w:ascii="Times New Roman" w:hAnsi="Times New Roman"/>
          <w:color w:val="000000"/>
        </w:rPr>
        <w:t xml:space="preserve">, which is essential </w:t>
      </w:r>
      <w:r w:rsidR="00D02480" w:rsidRPr="003765F9">
        <w:rPr>
          <w:rFonts w:ascii="Times New Roman" w:hAnsi="Times New Roman"/>
          <w:color w:val="000000"/>
        </w:rPr>
        <w:t>to ensuring that SDs and MSPs document their swaps</w:t>
      </w:r>
      <w:r w:rsidR="006E7D98" w:rsidRPr="003765F9">
        <w:rPr>
          <w:rFonts w:ascii="Times New Roman" w:hAnsi="Times New Roman"/>
          <w:color w:val="000000"/>
        </w:rPr>
        <w:t>.</w:t>
      </w:r>
    </w:p>
    <w:p w14:paraId="691AE9CE" w14:textId="018DDD64" w:rsidR="001E2B2C" w:rsidRPr="003765F9" w:rsidRDefault="00BE4B4A" w:rsidP="003765F9">
      <w:pPr>
        <w:ind w:firstLine="720"/>
        <w:rPr>
          <w:rFonts w:ascii="Times New Roman" w:hAnsi="Times New Roman"/>
          <w:bCs/>
        </w:rPr>
      </w:pPr>
      <w:r w:rsidRPr="003765F9">
        <w:rPr>
          <w:rFonts w:ascii="Times New Roman" w:hAnsi="Times New Roman"/>
          <w:bCs/>
        </w:rPr>
        <w:t>The United Kingdom (UK</w:t>
      </w:r>
      <w:r w:rsidR="001E2B2C" w:rsidRPr="003765F9">
        <w:rPr>
          <w:rFonts w:ascii="Times New Roman" w:hAnsi="Times New Roman"/>
          <w:bCs/>
        </w:rPr>
        <w:t>) has provided formal notice of its intention to withdraw from the Eu</w:t>
      </w:r>
      <w:r w:rsidRPr="000E6DB4">
        <w:rPr>
          <w:rFonts w:ascii="Times New Roman" w:hAnsi="Times New Roman"/>
          <w:bCs/>
        </w:rPr>
        <w:t>ropean Union (</w:t>
      </w:r>
      <w:r w:rsidRPr="00495A26">
        <w:rPr>
          <w:rFonts w:ascii="Times New Roman" w:hAnsi="Times New Roman"/>
          <w:bCs/>
        </w:rPr>
        <w:t>EU</w:t>
      </w:r>
      <w:r w:rsidR="001E2B2C" w:rsidRPr="003765F9">
        <w:rPr>
          <w:rFonts w:ascii="Times New Roman" w:hAnsi="Times New Roman"/>
          <w:bCs/>
        </w:rPr>
        <w:t>)</w:t>
      </w:r>
      <w:r w:rsidR="00823ECF">
        <w:rPr>
          <w:rFonts w:ascii="Times New Roman" w:hAnsi="Times New Roman"/>
          <w:bCs/>
        </w:rPr>
        <w:t>.</w:t>
      </w:r>
      <w:r w:rsidR="001E2B2C" w:rsidRPr="003765F9">
        <w:rPr>
          <w:rFonts w:ascii="Times New Roman" w:hAnsi="Times New Roman"/>
          <w:bCs/>
        </w:rPr>
        <w:t xml:space="preserve">  This withdrawal may </w:t>
      </w:r>
      <w:r w:rsidR="00823ECF">
        <w:rPr>
          <w:rFonts w:ascii="Times New Roman" w:hAnsi="Times New Roman"/>
          <w:bCs/>
        </w:rPr>
        <w:t xml:space="preserve">happen as soon as April 12, 2019 and may </w:t>
      </w:r>
      <w:r w:rsidR="001E2B2C" w:rsidRPr="003765F9">
        <w:rPr>
          <w:rFonts w:ascii="Times New Roman" w:hAnsi="Times New Roman"/>
          <w:bCs/>
        </w:rPr>
        <w:t>transpire without a negotiated agreement between the UK and EU</w:t>
      </w:r>
      <w:r w:rsidRPr="000E6DB4">
        <w:rPr>
          <w:rFonts w:ascii="Times New Roman" w:hAnsi="Times New Roman"/>
          <w:bCs/>
        </w:rPr>
        <w:t xml:space="preserve"> (</w:t>
      </w:r>
      <w:r w:rsidRPr="00495A26">
        <w:rPr>
          <w:rFonts w:ascii="Times New Roman" w:hAnsi="Times New Roman"/>
          <w:bCs/>
        </w:rPr>
        <w:t>No-deal Brexit</w:t>
      </w:r>
      <w:r w:rsidR="001E2B2C" w:rsidRPr="003765F9">
        <w:rPr>
          <w:rFonts w:ascii="Times New Roman" w:hAnsi="Times New Roman"/>
          <w:bCs/>
        </w:rPr>
        <w:t xml:space="preserve">).  To the extent this event occurs, affected </w:t>
      </w:r>
      <w:r w:rsidRPr="000E6DB4">
        <w:rPr>
          <w:rFonts w:ascii="Times New Roman" w:hAnsi="Times New Roman"/>
          <w:bCs/>
        </w:rPr>
        <w:t>SDs</w:t>
      </w:r>
      <w:r w:rsidR="001E2B2C" w:rsidRPr="003765F9">
        <w:rPr>
          <w:rFonts w:ascii="Times New Roman" w:hAnsi="Times New Roman"/>
          <w:bCs/>
        </w:rPr>
        <w:t xml:space="preserve"> and </w:t>
      </w:r>
      <w:r w:rsidRPr="000E6DB4">
        <w:rPr>
          <w:rFonts w:ascii="Times New Roman" w:hAnsi="Times New Roman"/>
          <w:bCs/>
        </w:rPr>
        <w:t>MSPs</w:t>
      </w:r>
      <w:r w:rsidR="001E2B2C" w:rsidRPr="003765F9">
        <w:rPr>
          <w:rFonts w:ascii="Times New Roman" w:hAnsi="Times New Roman"/>
          <w:bCs/>
        </w:rPr>
        <w:t xml:space="preserve"> may be involved in transfers of certain uncleared swaps, including uncleared swaps that were entered into before the relevant compliance dates under the CFTC Margin Rule</w:t>
      </w:r>
      <w:r w:rsidR="001E2B2C" w:rsidRPr="003765F9">
        <w:rPr>
          <w:rStyle w:val="FootnoteReference"/>
          <w:rFonts w:ascii="Times New Roman" w:hAnsi="Times New Roman"/>
          <w:bCs/>
        </w:rPr>
        <w:footnoteReference w:id="2"/>
      </w:r>
      <w:r w:rsidR="001E2B2C" w:rsidRPr="003765F9">
        <w:rPr>
          <w:rFonts w:ascii="Times New Roman" w:hAnsi="Times New Roman"/>
          <w:bCs/>
        </w:rPr>
        <w:t xml:space="preserve"> or the Prudential Margin Rule and that, therefore, may not be subject to such rules, in whole or in part.  </w:t>
      </w:r>
    </w:p>
    <w:p w14:paraId="48888563" w14:textId="77777777" w:rsidR="001E2B2C" w:rsidRPr="003765F9" w:rsidRDefault="001E2B2C" w:rsidP="001E2B2C">
      <w:pPr>
        <w:rPr>
          <w:rFonts w:ascii="Times New Roman" w:hAnsi="Times New Roman"/>
          <w:bCs/>
        </w:rPr>
      </w:pPr>
    </w:p>
    <w:p w14:paraId="387202FA" w14:textId="77777777" w:rsidR="001E2B2C" w:rsidRPr="003765F9" w:rsidRDefault="001E2B2C" w:rsidP="001E2B2C">
      <w:pPr>
        <w:spacing w:after="240"/>
        <w:ind w:firstLine="720"/>
        <w:rPr>
          <w:rFonts w:ascii="Times New Roman" w:hAnsi="Times New Roman"/>
          <w:color w:val="000000"/>
        </w:rPr>
      </w:pPr>
      <w:r w:rsidRPr="003765F9">
        <w:rPr>
          <w:rFonts w:ascii="Times New Roman" w:hAnsi="Times New Roman"/>
          <w:bCs/>
        </w:rPr>
        <w:t xml:space="preserve">The </w:t>
      </w:r>
      <w:r w:rsidR="00BE4B4A" w:rsidRPr="000E6DB4">
        <w:rPr>
          <w:rFonts w:ascii="Times New Roman" w:hAnsi="Times New Roman"/>
          <w:bCs/>
        </w:rPr>
        <w:t xml:space="preserve">Commission </w:t>
      </w:r>
      <w:r w:rsidRPr="003765F9">
        <w:rPr>
          <w:rFonts w:ascii="Times New Roman" w:hAnsi="Times New Roman"/>
          <w:bCs/>
        </w:rPr>
        <w:t xml:space="preserve">is adopting an interim final rule </w:t>
      </w:r>
      <w:r w:rsidR="00C76F2E" w:rsidRPr="000E6DB4">
        <w:rPr>
          <w:rFonts w:ascii="Times New Roman" w:hAnsi="Times New Roman"/>
          <w:bCs/>
        </w:rPr>
        <w:t>(</w:t>
      </w:r>
      <w:r w:rsidR="00C76F2E" w:rsidRPr="00495A26">
        <w:rPr>
          <w:rFonts w:ascii="Times New Roman" w:hAnsi="Times New Roman"/>
          <w:bCs/>
        </w:rPr>
        <w:t>Final Rule</w:t>
      </w:r>
      <w:r w:rsidRPr="003765F9">
        <w:rPr>
          <w:rFonts w:ascii="Times New Roman" w:hAnsi="Times New Roman"/>
          <w:bCs/>
        </w:rPr>
        <w:t>) amending the CFTC Margin Rule such that the date used for purposes of determining whether an uncleared swap was entered into prior to an applicable compliance date will not change under the CFTC Margin Rule if the swap is transferred, and thereby amended, in accordance with the terms of the Final Rule in respect of any such transfer.  In doing so, the Final Rule, subject to its requirements, allows an uncleared swap to retain its legacy status when transferred in connection with a No-deal Brexit.</w:t>
      </w:r>
      <w:r w:rsidRPr="000E6DB4">
        <w:rPr>
          <w:rFonts w:ascii="Times New Roman" w:hAnsi="Times New Roman"/>
          <w:bCs/>
        </w:rPr>
        <w:t xml:space="preserve">  As </w:t>
      </w:r>
      <w:r w:rsidR="005525B0">
        <w:rPr>
          <w:rFonts w:ascii="Times New Roman" w:hAnsi="Times New Roman"/>
          <w:bCs/>
        </w:rPr>
        <w:t>a condition to the relief in the Final Rule, in certain cases</w:t>
      </w:r>
      <w:r w:rsidRPr="000E6DB4">
        <w:rPr>
          <w:rFonts w:ascii="Times New Roman" w:hAnsi="Times New Roman"/>
          <w:bCs/>
        </w:rPr>
        <w:t>, the Commission requires</w:t>
      </w:r>
      <w:r w:rsidRPr="003765F9">
        <w:rPr>
          <w:rFonts w:ascii="Times New Roman" w:hAnsi="Times New Roman"/>
          <w:bCs/>
        </w:rPr>
        <w:t xml:space="preserve"> that the </w:t>
      </w:r>
      <w:r w:rsidRPr="003765F9">
        <w:rPr>
          <w:rFonts w:ascii="Times New Roman" w:hAnsi="Times New Roman"/>
          <w:bCs/>
        </w:rPr>
        <w:lastRenderedPageBreak/>
        <w:t>transferor of a legacy swap make certain representations to the SD or MSP that is a party to the swap</w:t>
      </w:r>
      <w:r w:rsidR="00C76F2E" w:rsidRPr="003765F9">
        <w:rPr>
          <w:rFonts w:ascii="Times New Roman" w:hAnsi="Times New Roman"/>
          <w:bCs/>
        </w:rPr>
        <w:t xml:space="preserve"> in the swap trading relationship documentation relating to such transfer</w:t>
      </w:r>
      <w:r w:rsidRPr="003765F9">
        <w:rPr>
          <w:rFonts w:ascii="Times New Roman" w:hAnsi="Times New Roman"/>
          <w:bCs/>
        </w:rPr>
        <w:t>.</w:t>
      </w:r>
    </w:p>
    <w:p w14:paraId="08E90CC3" w14:textId="77777777" w:rsidR="00B21457" w:rsidRPr="003765F9" w:rsidRDefault="00B21457" w:rsidP="00C2402A">
      <w:pPr>
        <w:ind w:firstLine="720"/>
        <w:rPr>
          <w:rFonts w:ascii="Times New Roman" w:hAnsi="Times New Roman"/>
        </w:rPr>
      </w:pPr>
    </w:p>
    <w:p w14:paraId="6F9B4371" w14:textId="77777777" w:rsidR="00B0621A" w:rsidRPr="003765F9" w:rsidRDefault="00B0621A" w:rsidP="00B0621A">
      <w:pPr>
        <w:spacing w:after="240"/>
        <w:ind w:firstLine="720"/>
        <w:rPr>
          <w:rFonts w:ascii="Times New Roman" w:hAnsi="Times New Roman"/>
        </w:rPr>
      </w:pPr>
    </w:p>
    <w:p w14:paraId="32774581" w14:textId="77777777" w:rsidR="00534B6B" w:rsidRPr="003765F9" w:rsidRDefault="00534B6B" w:rsidP="00534B6B">
      <w:pPr>
        <w:tabs>
          <w:tab w:val="left" w:pos="-720"/>
        </w:tabs>
        <w:spacing w:after="240"/>
        <w:rPr>
          <w:rFonts w:ascii="Times New Roman" w:hAnsi="Times New Roman"/>
          <w:b/>
        </w:rPr>
      </w:pPr>
      <w:r w:rsidRPr="003765F9">
        <w:rPr>
          <w:rFonts w:ascii="Times New Roman" w:hAnsi="Times New Roman"/>
          <w:b/>
        </w:rPr>
        <w:t>2.</w:t>
      </w:r>
      <w:r w:rsidRPr="003765F9">
        <w:rPr>
          <w:rFonts w:ascii="Times New Roman" w:hAnsi="Times New Roman"/>
          <w:b/>
        </w:rPr>
        <w:tab/>
        <w:t>Indicate how, by who</w:t>
      </w:r>
      <w:r w:rsidR="00EB6A33" w:rsidRPr="003765F9">
        <w:rPr>
          <w:rFonts w:ascii="Times New Roman" w:hAnsi="Times New Roman"/>
          <w:b/>
        </w:rPr>
        <w:t>m, and for what purpose the data</w:t>
      </w:r>
      <w:r w:rsidRPr="003765F9">
        <w:rPr>
          <w:rFonts w:ascii="Times New Roman" w:hAnsi="Times New Roman"/>
          <w:b/>
        </w:rPr>
        <w:t xml:space="preserve"> would be used.  Except for a new collection, indicate the actual use the agency has made of the information received from the current collection.</w:t>
      </w:r>
    </w:p>
    <w:p w14:paraId="24B23EA8" w14:textId="77777777" w:rsidR="00164429" w:rsidRDefault="008A73BF" w:rsidP="00534B6B">
      <w:pPr>
        <w:keepNext/>
        <w:tabs>
          <w:tab w:val="left" w:pos="-720"/>
          <w:tab w:val="left" w:pos="0"/>
        </w:tabs>
        <w:spacing w:after="240"/>
        <w:rPr>
          <w:rFonts w:ascii="Times New Roman" w:hAnsi="Times New Roman"/>
          <w:color w:val="000000"/>
        </w:rPr>
      </w:pPr>
      <w:r>
        <w:rPr>
          <w:rFonts w:ascii="Times New Roman" w:hAnsi="Times New Roman"/>
          <w:color w:val="000000"/>
        </w:rPr>
        <w:tab/>
      </w:r>
      <w:r w:rsidR="00D02480" w:rsidRPr="003765F9">
        <w:rPr>
          <w:rFonts w:ascii="Times New Roman" w:hAnsi="Times New Roman"/>
          <w:color w:val="000000"/>
        </w:rPr>
        <w:t>Commission staff will use the information required to be preserved when conducting the Commission’s examination and oversight program with respect to the affected registrants.</w:t>
      </w:r>
    </w:p>
    <w:p w14:paraId="651A6FDF" w14:textId="77777777" w:rsidR="00534B6B" w:rsidRPr="003765F9" w:rsidRDefault="00534B6B" w:rsidP="00534B6B">
      <w:pPr>
        <w:keepNext/>
        <w:tabs>
          <w:tab w:val="left" w:pos="-720"/>
          <w:tab w:val="left" w:pos="0"/>
        </w:tabs>
        <w:spacing w:after="240"/>
        <w:rPr>
          <w:rFonts w:ascii="Times New Roman" w:hAnsi="Times New Roman"/>
          <w:b/>
        </w:rPr>
      </w:pPr>
      <w:r w:rsidRPr="003765F9">
        <w:rPr>
          <w:rFonts w:ascii="Times New Roman" w:hAnsi="Times New Roman"/>
          <w:b/>
        </w:rPr>
        <w:t>3.</w:t>
      </w:r>
      <w:r w:rsidRPr="003765F9">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242AABC" w14:textId="77777777" w:rsidR="00D02480" w:rsidRPr="003765F9" w:rsidRDefault="008A73BF" w:rsidP="00D02480">
      <w:pPr>
        <w:tabs>
          <w:tab w:val="left" w:pos="-720"/>
          <w:tab w:val="left" w:pos="0"/>
        </w:tabs>
        <w:spacing w:after="240"/>
        <w:jc w:val="both"/>
        <w:rPr>
          <w:rFonts w:ascii="Times New Roman" w:hAnsi="Times New Roman"/>
        </w:rPr>
      </w:pPr>
      <w:r>
        <w:rPr>
          <w:rFonts w:ascii="Times New Roman" w:hAnsi="Times New Roman"/>
        </w:rPr>
        <w:tab/>
      </w:r>
      <w:r w:rsidR="00D02480" w:rsidRPr="003765F9">
        <w:rPr>
          <w:rFonts w:ascii="Times New Roman" w:hAnsi="Times New Roman"/>
        </w:rPr>
        <w:t xml:space="preserve">The regulations require that recordkeeping generally be performed in accordance with Commission regulation 1.31, which permits the use of electronic </w:t>
      </w:r>
      <w:r w:rsidR="00815B17" w:rsidRPr="003765F9">
        <w:rPr>
          <w:rFonts w:ascii="Times New Roman" w:hAnsi="Times New Roman"/>
        </w:rPr>
        <w:t>regulatory records</w:t>
      </w:r>
      <w:r w:rsidR="00D02480" w:rsidRPr="003765F9">
        <w:rPr>
          <w:rFonts w:ascii="Times New Roman" w:hAnsi="Times New Roman"/>
        </w:rPr>
        <w:t>.</w:t>
      </w:r>
    </w:p>
    <w:p w14:paraId="129CB748" w14:textId="77777777" w:rsidR="00534B6B" w:rsidRPr="003765F9" w:rsidRDefault="00534B6B" w:rsidP="00F10855">
      <w:pPr>
        <w:tabs>
          <w:tab w:val="left" w:pos="-720"/>
          <w:tab w:val="left" w:pos="0"/>
        </w:tabs>
        <w:spacing w:after="240"/>
        <w:rPr>
          <w:rFonts w:ascii="Times New Roman" w:hAnsi="Times New Roman"/>
        </w:rPr>
      </w:pPr>
      <w:r w:rsidRPr="003765F9">
        <w:rPr>
          <w:rFonts w:ascii="Times New Roman" w:hAnsi="Times New Roman"/>
          <w:b/>
        </w:rPr>
        <w:t>4.</w:t>
      </w:r>
      <w:r w:rsidRPr="003765F9">
        <w:rPr>
          <w:rFonts w:ascii="Times New Roman" w:hAnsi="Times New Roman"/>
          <w:b/>
        </w:rPr>
        <w:tab/>
        <w:t>Describe efforts to identify duplication.  Show specifically why any similar information already available cannot be used or modified for use for the purposes described in Item 2 above.</w:t>
      </w:r>
      <w:r w:rsidRPr="003765F9">
        <w:rPr>
          <w:rFonts w:ascii="Times New Roman" w:hAnsi="Times New Roman"/>
        </w:rPr>
        <w:tab/>
      </w:r>
    </w:p>
    <w:p w14:paraId="212FF57D" w14:textId="77777777" w:rsidR="00E95423" w:rsidRPr="003765F9" w:rsidRDefault="00E45980" w:rsidP="00E95423">
      <w:pPr>
        <w:tabs>
          <w:tab w:val="left" w:pos="-720"/>
        </w:tabs>
        <w:spacing w:after="240"/>
        <w:jc w:val="both"/>
        <w:rPr>
          <w:rFonts w:ascii="Times New Roman" w:hAnsi="Times New Roman"/>
        </w:rPr>
      </w:pPr>
      <w:r w:rsidRPr="003765F9">
        <w:rPr>
          <w:rFonts w:ascii="Times New Roman" w:hAnsi="Times New Roman"/>
        </w:rPr>
        <w:tab/>
      </w:r>
      <w:r w:rsidR="00E95423" w:rsidRPr="000E6DB4">
        <w:rPr>
          <w:rFonts w:ascii="Times New Roman" w:hAnsi="Times New Roman"/>
        </w:rPr>
        <w:t xml:space="preserve">The information </w:t>
      </w:r>
      <w:r w:rsidR="00645C22" w:rsidRPr="00495A26">
        <w:rPr>
          <w:rFonts w:ascii="Times New Roman" w:hAnsi="Times New Roman"/>
        </w:rPr>
        <w:t>required under the</w:t>
      </w:r>
      <w:r w:rsidR="00C76F2E" w:rsidRPr="00495A26">
        <w:rPr>
          <w:rFonts w:ascii="Times New Roman" w:hAnsi="Times New Roman"/>
        </w:rPr>
        <w:t xml:space="preserve"> </w:t>
      </w:r>
      <w:r w:rsidR="003327F5" w:rsidRPr="003765F9">
        <w:rPr>
          <w:rFonts w:ascii="Times New Roman" w:hAnsi="Times New Roman"/>
        </w:rPr>
        <w:t>Final Rule</w:t>
      </w:r>
      <w:r w:rsidR="00645C22" w:rsidRPr="003765F9">
        <w:rPr>
          <w:rFonts w:ascii="Times New Roman" w:hAnsi="Times New Roman"/>
        </w:rPr>
        <w:t xml:space="preserve"> </w:t>
      </w:r>
      <w:r w:rsidR="00E95423" w:rsidRPr="003765F9">
        <w:rPr>
          <w:rFonts w:ascii="Times New Roman" w:hAnsi="Times New Roman"/>
        </w:rPr>
        <w:t>is not already collected by the Commission for any other purpose, collected by any other agency, or available for public disclosure through any other source.</w:t>
      </w:r>
    </w:p>
    <w:p w14:paraId="47E975F4" w14:textId="77777777" w:rsidR="00534B6B" w:rsidRPr="003765F9" w:rsidRDefault="00534B6B" w:rsidP="00534B6B">
      <w:pPr>
        <w:tabs>
          <w:tab w:val="left" w:pos="-720"/>
          <w:tab w:val="left" w:pos="0"/>
        </w:tabs>
        <w:spacing w:after="240"/>
        <w:rPr>
          <w:rFonts w:ascii="Times New Roman" w:hAnsi="Times New Roman"/>
          <w:b/>
        </w:rPr>
      </w:pPr>
      <w:r w:rsidRPr="003765F9">
        <w:rPr>
          <w:rFonts w:ascii="Times New Roman" w:hAnsi="Times New Roman"/>
          <w:b/>
        </w:rPr>
        <w:t>5.</w:t>
      </w:r>
      <w:r w:rsidRPr="003765F9">
        <w:rPr>
          <w:rFonts w:ascii="Times New Roman" w:hAnsi="Times New Roman"/>
          <w:b/>
        </w:rPr>
        <w:tab/>
        <w:t>If the collection of information involves small business or other small entities (Item 5 of OMB From 83-I), describe the methods used to minimize burden.</w:t>
      </w:r>
    </w:p>
    <w:p w14:paraId="625EFEA9" w14:textId="77777777" w:rsidR="00D02480" w:rsidRPr="003765F9" w:rsidRDefault="00534B6B" w:rsidP="00D02480">
      <w:pPr>
        <w:tabs>
          <w:tab w:val="left" w:pos="-720"/>
        </w:tabs>
        <w:spacing w:after="240"/>
        <w:jc w:val="both"/>
        <w:rPr>
          <w:rFonts w:ascii="Times New Roman" w:hAnsi="Times New Roman"/>
        </w:rPr>
      </w:pPr>
      <w:r w:rsidRPr="003765F9">
        <w:rPr>
          <w:rFonts w:ascii="Times New Roman" w:hAnsi="Times New Roman"/>
        </w:rPr>
        <w:tab/>
      </w:r>
      <w:r w:rsidR="00D02480" w:rsidRPr="003765F9">
        <w:rPr>
          <w:rFonts w:ascii="Times New Roman" w:hAnsi="Times New Roman"/>
        </w:rPr>
        <w:t>The collection of the required information does not involve any smal</w:t>
      </w:r>
      <w:r w:rsidR="00566AA3" w:rsidRPr="003765F9">
        <w:rPr>
          <w:rFonts w:ascii="Times New Roman" w:hAnsi="Times New Roman"/>
        </w:rPr>
        <w:t>l businesses or small entities.  The Final Rule only affects certain SDs and MSPs and their covered counterparties, all of which are required to be E</w:t>
      </w:r>
      <w:r w:rsidR="008A73BF">
        <w:rPr>
          <w:rFonts w:ascii="Times New Roman" w:hAnsi="Times New Roman"/>
        </w:rPr>
        <w:t>ligible Contract Participants (E</w:t>
      </w:r>
      <w:r w:rsidR="00566AA3" w:rsidRPr="003765F9">
        <w:rPr>
          <w:rFonts w:ascii="Times New Roman" w:hAnsi="Times New Roman"/>
        </w:rPr>
        <w:t>CPs</w:t>
      </w:r>
      <w:r w:rsidR="008A73BF">
        <w:rPr>
          <w:rFonts w:ascii="Times New Roman" w:hAnsi="Times New Roman"/>
        </w:rPr>
        <w:t>)</w:t>
      </w:r>
      <w:r w:rsidR="00566AA3" w:rsidRPr="003765F9">
        <w:rPr>
          <w:rFonts w:ascii="Times New Roman" w:hAnsi="Times New Roman"/>
        </w:rPr>
        <w:t>.  The Commission has previously determined that SDs, MSPs, and ECPs are not small entities for purposes of the R</w:t>
      </w:r>
      <w:r w:rsidR="00C76F2E" w:rsidRPr="000E6DB4">
        <w:rPr>
          <w:rFonts w:ascii="Times New Roman" w:hAnsi="Times New Roman"/>
        </w:rPr>
        <w:t>egulatory Flexibility Act</w:t>
      </w:r>
      <w:r w:rsidR="00566AA3" w:rsidRPr="003765F9">
        <w:rPr>
          <w:rFonts w:ascii="Times New Roman" w:hAnsi="Times New Roman"/>
        </w:rPr>
        <w:t>.</w:t>
      </w:r>
      <w:r w:rsidR="00566AA3" w:rsidRPr="003765F9">
        <w:rPr>
          <w:rStyle w:val="FootnoteReference"/>
          <w:rFonts w:ascii="Times New Roman" w:hAnsi="Times New Roman"/>
        </w:rPr>
        <w:footnoteReference w:id="3"/>
      </w:r>
    </w:p>
    <w:p w14:paraId="715C7E3F" w14:textId="77777777" w:rsidR="00534B6B" w:rsidRPr="003765F9" w:rsidRDefault="00534B6B" w:rsidP="00F10855">
      <w:pPr>
        <w:tabs>
          <w:tab w:val="left" w:pos="-720"/>
          <w:tab w:val="left" w:pos="0"/>
        </w:tabs>
        <w:spacing w:after="240"/>
        <w:rPr>
          <w:rFonts w:ascii="Times New Roman" w:hAnsi="Times New Roman"/>
        </w:rPr>
      </w:pPr>
      <w:r w:rsidRPr="003765F9">
        <w:rPr>
          <w:rFonts w:ascii="Times New Roman" w:hAnsi="Times New Roman"/>
          <w:b/>
        </w:rPr>
        <w:t>6.</w:t>
      </w:r>
      <w:r w:rsidRPr="003765F9">
        <w:rPr>
          <w:rFonts w:ascii="Times New Roman" w:hAnsi="Times New Roman"/>
          <w:b/>
        </w:rPr>
        <w:tab/>
        <w:t>Describe the consequence to the Federal Program or policy activities if the collection were conducted less frequently as well as any technical or legal obstacles to reducing burden.</w:t>
      </w:r>
      <w:r w:rsidRPr="003765F9">
        <w:rPr>
          <w:rFonts w:ascii="Times New Roman" w:hAnsi="Times New Roman"/>
        </w:rPr>
        <w:tab/>
      </w:r>
    </w:p>
    <w:p w14:paraId="04642376" w14:textId="77777777" w:rsidR="00D02480" w:rsidRPr="003765F9" w:rsidRDefault="00D02480" w:rsidP="007353C0">
      <w:pPr>
        <w:widowControl w:val="0"/>
        <w:autoSpaceDE w:val="0"/>
        <w:autoSpaceDN w:val="0"/>
        <w:adjustRightInd w:val="0"/>
        <w:ind w:firstLine="720"/>
        <w:jc w:val="both"/>
        <w:rPr>
          <w:rFonts w:ascii="Times New Roman" w:hAnsi="Times New Roman"/>
          <w:color w:val="000000"/>
        </w:rPr>
      </w:pPr>
      <w:r w:rsidRPr="003765F9">
        <w:rPr>
          <w:rFonts w:ascii="Times New Roman" w:hAnsi="Times New Roman"/>
          <w:color w:val="000000"/>
        </w:rPr>
        <w:t xml:space="preserve">Failure to maintain the records required by the regulations would adversely affect the Commission’s ability to ensure the affected registrants’ compliance with their obligations under the </w:t>
      </w:r>
      <w:r w:rsidR="00955BC4" w:rsidRPr="000E6DB4">
        <w:rPr>
          <w:rFonts w:ascii="Times New Roman" w:hAnsi="Times New Roman"/>
          <w:color w:val="000000"/>
        </w:rPr>
        <w:t>Commodity Exchange Act (</w:t>
      </w:r>
      <w:r w:rsidR="00955BC4" w:rsidRPr="00495A26">
        <w:rPr>
          <w:rFonts w:ascii="Times New Roman" w:hAnsi="Times New Roman"/>
          <w:color w:val="000000"/>
        </w:rPr>
        <w:t xml:space="preserve">CEA or Act) </w:t>
      </w:r>
      <w:r w:rsidRPr="003765F9">
        <w:rPr>
          <w:rFonts w:ascii="Times New Roman" w:hAnsi="Times New Roman"/>
          <w:color w:val="000000"/>
        </w:rPr>
        <w:t>and Commission regulations</w:t>
      </w:r>
      <w:r w:rsidR="00C76F2E" w:rsidRPr="000E6DB4">
        <w:rPr>
          <w:rFonts w:ascii="Times New Roman" w:hAnsi="Times New Roman"/>
          <w:color w:val="000000"/>
        </w:rPr>
        <w:t>.</w:t>
      </w:r>
    </w:p>
    <w:p w14:paraId="10B120FD" w14:textId="77777777" w:rsidR="00E95423" w:rsidRPr="003765F9" w:rsidRDefault="00E95423" w:rsidP="00534B6B">
      <w:pPr>
        <w:tabs>
          <w:tab w:val="left" w:pos="-720"/>
        </w:tabs>
        <w:spacing w:after="240"/>
        <w:rPr>
          <w:rFonts w:ascii="Times New Roman" w:hAnsi="Times New Roman"/>
        </w:rPr>
      </w:pPr>
    </w:p>
    <w:p w14:paraId="764B4972" w14:textId="77777777" w:rsidR="00534B6B" w:rsidRPr="003765F9" w:rsidRDefault="00534B6B" w:rsidP="00534B6B">
      <w:pPr>
        <w:tabs>
          <w:tab w:val="left" w:pos="-720"/>
          <w:tab w:val="left" w:pos="0"/>
        </w:tabs>
        <w:spacing w:after="240"/>
        <w:rPr>
          <w:rFonts w:ascii="Times New Roman" w:hAnsi="Times New Roman"/>
          <w:b/>
        </w:rPr>
      </w:pPr>
      <w:r w:rsidRPr="003765F9">
        <w:rPr>
          <w:rFonts w:ascii="Times New Roman" w:hAnsi="Times New Roman"/>
          <w:b/>
        </w:rPr>
        <w:t>7.</w:t>
      </w:r>
      <w:r w:rsidRPr="003765F9">
        <w:rPr>
          <w:rFonts w:ascii="Times New Roman" w:hAnsi="Times New Roman"/>
          <w:b/>
        </w:rPr>
        <w:tab/>
        <w:t>Explain any special circumstances that require the collection to be conducted in a manner:</w:t>
      </w:r>
    </w:p>
    <w:p w14:paraId="414D9BD1" w14:textId="77777777" w:rsidR="0088759B" w:rsidRPr="003765F9" w:rsidRDefault="00534B6B" w:rsidP="0088759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765F9">
        <w:rPr>
          <w:rFonts w:ascii="Times New Roman" w:hAnsi="Times New Roman"/>
          <w:b/>
        </w:rPr>
        <w:t>requiring respondents to report information to the agency more often than quarterly;</w:t>
      </w:r>
    </w:p>
    <w:p w14:paraId="595F6F13" w14:textId="77777777" w:rsidR="0088759B" w:rsidRPr="003765F9" w:rsidRDefault="00152105" w:rsidP="0088759B">
      <w:pPr>
        <w:tabs>
          <w:tab w:val="left" w:pos="-720"/>
          <w:tab w:val="left" w:pos="0"/>
          <w:tab w:val="left" w:pos="720"/>
        </w:tabs>
        <w:spacing w:after="240"/>
        <w:ind w:left="1080"/>
        <w:rPr>
          <w:rFonts w:ascii="Times New Roman" w:hAnsi="Times New Roman"/>
        </w:rPr>
      </w:pPr>
      <w:r w:rsidRPr="003765F9">
        <w:rPr>
          <w:rFonts w:ascii="Times New Roman" w:hAnsi="Times New Roman"/>
        </w:rPr>
        <w:t>T</w:t>
      </w:r>
      <w:r w:rsidR="00495A26" w:rsidRPr="003765F9">
        <w:rPr>
          <w:rFonts w:ascii="Times New Roman" w:hAnsi="Times New Roman"/>
        </w:rPr>
        <w:t>he</w:t>
      </w:r>
      <w:r w:rsidRPr="003765F9">
        <w:rPr>
          <w:rFonts w:ascii="Times New Roman" w:hAnsi="Times New Roman"/>
        </w:rPr>
        <w:t xml:space="preserve"> Final Rule does not contain reporting obligations.</w:t>
      </w:r>
    </w:p>
    <w:p w14:paraId="3D35170D" w14:textId="77777777" w:rsidR="00534B6B" w:rsidRPr="003765F9"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765F9">
        <w:rPr>
          <w:rFonts w:ascii="Times New Roman" w:hAnsi="Times New Roman"/>
          <w:b/>
        </w:rPr>
        <w:t>requiring respondents to prepare a written response to a collection of information in fewer than 30 days after receipt of it:</w:t>
      </w:r>
    </w:p>
    <w:p w14:paraId="38C21DD2" w14:textId="77777777" w:rsidR="008A73BF" w:rsidRPr="007353C0" w:rsidRDefault="00152105" w:rsidP="007353C0">
      <w:pPr>
        <w:tabs>
          <w:tab w:val="left" w:pos="-720"/>
          <w:tab w:val="left" w:pos="0"/>
          <w:tab w:val="left" w:pos="720"/>
        </w:tabs>
        <w:spacing w:after="240"/>
        <w:ind w:left="1080"/>
        <w:rPr>
          <w:rFonts w:ascii="Times New Roman" w:hAnsi="Times New Roman"/>
          <w:b/>
        </w:rPr>
      </w:pPr>
      <w:r w:rsidRPr="003765F9">
        <w:rPr>
          <w:rFonts w:ascii="Times New Roman" w:hAnsi="Times New Roman"/>
        </w:rPr>
        <w:t>The Final Rule does not contain reporting obligations.</w:t>
      </w:r>
    </w:p>
    <w:p w14:paraId="09FEE1CD" w14:textId="77777777" w:rsidR="00534B6B" w:rsidRPr="003765F9"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765F9">
        <w:rPr>
          <w:rFonts w:ascii="Times New Roman" w:hAnsi="Times New Roman"/>
          <w:b/>
        </w:rPr>
        <w:t>requiring respondents to submit more tha</w:t>
      </w:r>
      <w:r w:rsidR="00AA12EF" w:rsidRPr="003765F9">
        <w:rPr>
          <w:rFonts w:ascii="Times New Roman" w:hAnsi="Times New Roman"/>
          <w:b/>
        </w:rPr>
        <w:t>n</w:t>
      </w:r>
      <w:r w:rsidRPr="003765F9">
        <w:rPr>
          <w:rFonts w:ascii="Times New Roman" w:hAnsi="Times New Roman"/>
          <w:b/>
        </w:rPr>
        <w:t xml:space="preserve"> an original and two copies of any document;</w:t>
      </w:r>
    </w:p>
    <w:p w14:paraId="12292727" w14:textId="77777777" w:rsidR="008A73BF" w:rsidRPr="007353C0" w:rsidRDefault="00152105"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765F9">
        <w:rPr>
          <w:rFonts w:ascii="Times New Roman" w:hAnsi="Times New Roman"/>
        </w:rPr>
        <w:t>The Final Rule does not contain reporting obligations.</w:t>
      </w:r>
    </w:p>
    <w:p w14:paraId="4FCFC70D" w14:textId="77777777" w:rsidR="00534B6B" w:rsidRPr="003765F9"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765F9">
        <w:rPr>
          <w:rFonts w:ascii="Times New Roman" w:hAnsi="Times New Roman"/>
          <w:b/>
        </w:rPr>
        <w:t>requiring respondents to retain records other than health, medical, government contract, grant-in-aid, or tax records, for more than three years;</w:t>
      </w:r>
    </w:p>
    <w:p w14:paraId="71142D4A" w14:textId="77777777" w:rsidR="00BC520E" w:rsidRPr="003765F9" w:rsidRDefault="00495A26" w:rsidP="00D66F44">
      <w:pPr>
        <w:tabs>
          <w:tab w:val="left" w:pos="-720"/>
          <w:tab w:val="left" w:pos="0"/>
          <w:tab w:val="left" w:pos="720"/>
        </w:tabs>
        <w:spacing w:after="240"/>
        <w:ind w:left="1080"/>
        <w:rPr>
          <w:rFonts w:ascii="Times New Roman" w:hAnsi="Times New Roman"/>
        </w:rPr>
      </w:pPr>
      <w:r>
        <w:rPr>
          <w:rFonts w:ascii="Times New Roman" w:hAnsi="Times New Roman"/>
        </w:rPr>
        <w:t xml:space="preserve">Swap trading relationship documentation is required to be maintained pursuant to </w:t>
      </w:r>
      <w:r w:rsidR="00152105" w:rsidRPr="00495A26">
        <w:rPr>
          <w:rFonts w:ascii="Times New Roman" w:hAnsi="Times New Roman"/>
        </w:rPr>
        <w:t>Commission regulation 23.203 (and, by extension, Commission regulation 1.31)</w:t>
      </w:r>
      <w:r>
        <w:rPr>
          <w:rFonts w:ascii="Times New Roman" w:hAnsi="Times New Roman"/>
        </w:rPr>
        <w:t xml:space="preserve">.  Commission regulation 1.31 </w:t>
      </w:r>
      <w:r w:rsidR="00815B17" w:rsidRPr="00495A26">
        <w:rPr>
          <w:rFonts w:ascii="Times New Roman" w:hAnsi="Times New Roman"/>
        </w:rPr>
        <w:t xml:space="preserve">expressly requires that books and records required to be kept by the CEA or Commission regulations be retained for certain specified periods.  Other than with respect to oral communications, the shortest of these periods is five years from the date of creation.  </w:t>
      </w:r>
    </w:p>
    <w:p w14:paraId="2E1A5B7B" w14:textId="77777777" w:rsidR="00534B6B" w:rsidRPr="003765F9"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765F9">
        <w:rPr>
          <w:rFonts w:ascii="Times New Roman" w:hAnsi="Times New Roman"/>
          <w:b/>
        </w:rPr>
        <w:t xml:space="preserve">in connection with a statistical survey, that is not designed to produce valid and reliable results that can be generalized to the universe of study; </w:t>
      </w:r>
    </w:p>
    <w:p w14:paraId="4434513B" w14:textId="77777777" w:rsidR="0061595D" w:rsidRPr="003765F9" w:rsidRDefault="0061595D" w:rsidP="0061595D">
      <w:pPr>
        <w:tabs>
          <w:tab w:val="left" w:pos="-720"/>
          <w:tab w:val="left" w:pos="0"/>
          <w:tab w:val="left" w:pos="720"/>
        </w:tabs>
        <w:spacing w:after="240"/>
        <w:ind w:left="1080"/>
        <w:rPr>
          <w:rFonts w:ascii="Times New Roman" w:hAnsi="Times New Roman"/>
        </w:rPr>
      </w:pPr>
      <w:r w:rsidRPr="003765F9">
        <w:rPr>
          <w:rFonts w:ascii="Times New Roman" w:hAnsi="Times New Roman"/>
        </w:rPr>
        <w:t>No statistical surveys are involved.</w:t>
      </w:r>
    </w:p>
    <w:p w14:paraId="261D0C38" w14:textId="77777777" w:rsidR="00534B6B" w:rsidRPr="003765F9"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765F9">
        <w:rPr>
          <w:rFonts w:ascii="Times New Roman" w:hAnsi="Times New Roman"/>
          <w:b/>
        </w:rPr>
        <w:t>requiring the use of a statistical data classification that has not been reviewed and approved by OMB;</w:t>
      </w:r>
    </w:p>
    <w:p w14:paraId="436A7445" w14:textId="77777777" w:rsidR="0061595D" w:rsidRPr="003765F9" w:rsidRDefault="0061595D" w:rsidP="0061595D">
      <w:pPr>
        <w:tabs>
          <w:tab w:val="left" w:pos="-720"/>
          <w:tab w:val="left" w:pos="0"/>
          <w:tab w:val="left" w:pos="720"/>
        </w:tabs>
        <w:spacing w:after="240"/>
        <w:ind w:left="1080"/>
        <w:rPr>
          <w:rFonts w:ascii="Times New Roman" w:hAnsi="Times New Roman"/>
        </w:rPr>
      </w:pPr>
      <w:r w:rsidRPr="003765F9">
        <w:rPr>
          <w:rFonts w:ascii="Times New Roman" w:hAnsi="Times New Roman"/>
        </w:rPr>
        <w:t>The requirements do not involve use of any statistical data classification.</w:t>
      </w:r>
    </w:p>
    <w:p w14:paraId="65FB502F" w14:textId="77777777" w:rsidR="00534B6B" w:rsidRPr="003765F9"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765F9">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75400219" w14:textId="77777777" w:rsidR="00F51ACE" w:rsidRPr="003765F9" w:rsidRDefault="00F51ACE" w:rsidP="00F51ACE">
      <w:pPr>
        <w:tabs>
          <w:tab w:val="left" w:pos="-720"/>
          <w:tab w:val="left" w:pos="0"/>
          <w:tab w:val="left" w:pos="720"/>
        </w:tabs>
        <w:spacing w:after="240"/>
        <w:ind w:left="1080"/>
        <w:rPr>
          <w:rFonts w:ascii="Times New Roman" w:hAnsi="Times New Roman"/>
        </w:rPr>
      </w:pPr>
      <w:r w:rsidRPr="003765F9">
        <w:rPr>
          <w:rFonts w:ascii="Times New Roman" w:hAnsi="Times New Roman"/>
        </w:rPr>
        <w:t>The requirements do not involve a pledge of confidentiality regarding the collection of data.</w:t>
      </w:r>
    </w:p>
    <w:p w14:paraId="339D6FEB" w14:textId="77777777" w:rsidR="00D320F0" w:rsidRPr="003765F9"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765F9">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14:paraId="39DB675C" w14:textId="77777777" w:rsidR="008A73BF" w:rsidRDefault="008A73BF" w:rsidP="00016868">
      <w:pPr>
        <w:tabs>
          <w:tab w:val="left" w:pos="-720"/>
          <w:tab w:val="left" w:pos="0"/>
        </w:tabs>
        <w:spacing w:after="240"/>
        <w:rPr>
          <w:rFonts w:ascii="Times New Roman" w:hAnsi="Times New Roman"/>
        </w:rPr>
      </w:pPr>
      <w:r>
        <w:rPr>
          <w:rFonts w:ascii="Times New Roman" w:hAnsi="Times New Roman"/>
        </w:rPr>
        <w:tab/>
      </w:r>
      <w:r w:rsidR="00152105" w:rsidRPr="003765F9">
        <w:rPr>
          <w:rFonts w:ascii="Times New Roman" w:hAnsi="Times New Roman"/>
        </w:rPr>
        <w:t>This question does not apply.  In any event, the Commission has promulgated regulations to protect the confidentiality of any information collected from respondents.  Such regulations are set forth in 17 CFR Part 145.</w:t>
      </w:r>
    </w:p>
    <w:p w14:paraId="3118F7DC" w14:textId="77777777" w:rsidR="003327F5" w:rsidRPr="003765F9" w:rsidRDefault="00534B6B" w:rsidP="00016868">
      <w:pPr>
        <w:tabs>
          <w:tab w:val="left" w:pos="-720"/>
          <w:tab w:val="left" w:pos="0"/>
        </w:tabs>
        <w:spacing w:after="240"/>
        <w:rPr>
          <w:rFonts w:ascii="Times New Roman" w:hAnsi="Times New Roman"/>
        </w:rPr>
      </w:pPr>
      <w:r w:rsidRPr="003765F9">
        <w:rPr>
          <w:rFonts w:ascii="Times New Roman" w:hAnsi="Times New Roman"/>
          <w:b/>
        </w:rPr>
        <w:t>8.</w:t>
      </w:r>
      <w:r w:rsidRPr="003765F9">
        <w:rPr>
          <w:rFonts w:ascii="Times New Roman" w:hAnsi="Times New Roman"/>
          <w:b/>
        </w:rPr>
        <w:tab/>
        <w:t xml:space="preserve">If applicable, provide a copy and identify the date and page number of publication in the </w:t>
      </w:r>
      <w:r w:rsidRPr="003765F9">
        <w:rPr>
          <w:rFonts w:ascii="Times New Roman" w:hAnsi="Times New Roman"/>
          <w:b/>
          <w:i/>
        </w:rPr>
        <w:t>Federal Register</w:t>
      </w:r>
      <w:r w:rsidRPr="003765F9">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3765F9">
        <w:rPr>
          <w:rFonts w:ascii="Times New Roman" w:hAnsi="Times New Roman"/>
        </w:rPr>
        <w:tab/>
      </w:r>
    </w:p>
    <w:p w14:paraId="25E978AF" w14:textId="66013CD6" w:rsidR="003327F5" w:rsidRPr="003765F9" w:rsidRDefault="007C198C" w:rsidP="0087260C">
      <w:pPr>
        <w:pStyle w:val="TOC6"/>
        <w:tabs>
          <w:tab w:val="left" w:pos="-720"/>
          <w:tab w:val="left" w:pos="0"/>
        </w:tabs>
        <w:spacing w:after="240"/>
        <w:ind w:left="0" w:firstLine="0"/>
        <w:jc w:val="both"/>
        <w:rPr>
          <w:rFonts w:ascii="Times New Roman" w:hAnsi="Times New Roman"/>
          <w:szCs w:val="24"/>
        </w:rPr>
      </w:pPr>
      <w:r w:rsidRPr="003765F9">
        <w:rPr>
          <w:rFonts w:ascii="Times New Roman" w:hAnsi="Times New Roman"/>
          <w:szCs w:val="24"/>
        </w:rPr>
        <w:t xml:space="preserve">            </w:t>
      </w:r>
      <w:r w:rsidR="00412770">
        <w:rPr>
          <w:rFonts w:ascii="Times New Roman" w:hAnsi="Times New Roman"/>
          <w:szCs w:val="24"/>
        </w:rPr>
        <w:t xml:space="preserve">Concurrent with the </w:t>
      </w:r>
      <w:r w:rsidR="00B131F5">
        <w:rPr>
          <w:rFonts w:ascii="Times New Roman" w:hAnsi="Times New Roman"/>
          <w:szCs w:val="24"/>
        </w:rPr>
        <w:t xml:space="preserve">publication of the </w:t>
      </w:r>
      <w:r w:rsidR="00412770">
        <w:rPr>
          <w:rFonts w:ascii="Times New Roman" w:hAnsi="Times New Roman"/>
          <w:szCs w:val="24"/>
        </w:rPr>
        <w:t>Final Rule</w:t>
      </w:r>
      <w:r w:rsidR="00B131F5">
        <w:rPr>
          <w:rFonts w:ascii="Times New Roman" w:hAnsi="Times New Roman"/>
          <w:szCs w:val="24"/>
        </w:rPr>
        <w:t xml:space="preserve"> in the </w:t>
      </w:r>
      <w:r w:rsidR="00B131F5" w:rsidRPr="00A80621">
        <w:rPr>
          <w:rFonts w:ascii="Times New Roman" w:hAnsi="Times New Roman"/>
          <w:b/>
          <w:szCs w:val="24"/>
        </w:rPr>
        <w:t>Federal Register</w:t>
      </w:r>
      <w:r w:rsidR="00B131F5">
        <w:rPr>
          <w:rFonts w:ascii="Times New Roman" w:hAnsi="Times New Roman"/>
          <w:szCs w:val="24"/>
        </w:rPr>
        <w:t xml:space="preserve"> (</w:t>
      </w:r>
      <w:r w:rsidR="00B131F5" w:rsidRPr="00B131F5">
        <w:rPr>
          <w:rFonts w:ascii="Times New Roman" w:hAnsi="Times New Roman"/>
          <w:szCs w:val="24"/>
        </w:rPr>
        <w:t>Margin Requirements for Uncleared Swaps for Swap Dealers and Major Swap Participants</w:t>
      </w:r>
      <w:r w:rsidR="00412770">
        <w:rPr>
          <w:rFonts w:ascii="Times New Roman" w:hAnsi="Times New Roman"/>
          <w:szCs w:val="24"/>
        </w:rPr>
        <w:t xml:space="preserve">, </w:t>
      </w:r>
      <w:r w:rsidR="00B131F5">
        <w:rPr>
          <w:rFonts w:ascii="Times New Roman" w:hAnsi="Times New Roman"/>
          <w:szCs w:val="24"/>
        </w:rPr>
        <w:t xml:space="preserve">84 FR 12065 (Apr. 1, 2019)), </w:t>
      </w:r>
      <w:r w:rsidR="00412770">
        <w:rPr>
          <w:rFonts w:ascii="Times New Roman" w:hAnsi="Times New Roman"/>
        </w:rPr>
        <w:t xml:space="preserve">the Commission posted a notice in the </w:t>
      </w:r>
      <w:r w:rsidR="00412770" w:rsidRPr="00A80621">
        <w:rPr>
          <w:rFonts w:ascii="Times New Roman" w:hAnsi="Times New Roman"/>
          <w:b/>
        </w:rPr>
        <w:t>Federal Register</w:t>
      </w:r>
      <w:r w:rsidR="00B131F5">
        <w:rPr>
          <w:rFonts w:ascii="Times New Roman" w:hAnsi="Times New Roman"/>
        </w:rPr>
        <w:t xml:space="preserve"> </w:t>
      </w:r>
      <w:r w:rsidR="00412770">
        <w:rPr>
          <w:rFonts w:ascii="Times New Roman" w:hAnsi="Times New Roman"/>
        </w:rPr>
        <w:t>soliciting comments on this co</w:t>
      </w:r>
      <w:r w:rsidR="00412770" w:rsidRPr="003E1569">
        <w:rPr>
          <w:rFonts w:ascii="Times New Roman" w:hAnsi="Times New Roman"/>
        </w:rPr>
        <w:t xml:space="preserve">llection </w:t>
      </w:r>
      <w:r w:rsidR="00412770">
        <w:rPr>
          <w:rFonts w:ascii="Times New Roman" w:hAnsi="Times New Roman"/>
        </w:rPr>
        <w:t>of information (</w:t>
      </w:r>
      <w:r w:rsidR="00B131F5">
        <w:rPr>
          <w:rFonts w:ascii="Times New Roman" w:hAnsi="Times New Roman"/>
        </w:rPr>
        <w:t>84 FR 12233 (Apr. 1, 2019)).</w:t>
      </w:r>
    </w:p>
    <w:p w14:paraId="08C7892D" w14:textId="77777777" w:rsidR="00534B6B" w:rsidRPr="00495A26" w:rsidRDefault="00534B6B" w:rsidP="0087260C">
      <w:pPr>
        <w:pStyle w:val="TOC6"/>
        <w:tabs>
          <w:tab w:val="clear" w:pos="9360"/>
          <w:tab w:val="left" w:pos="-720"/>
          <w:tab w:val="left" w:pos="0"/>
        </w:tabs>
        <w:suppressAutoHyphens w:val="0"/>
        <w:spacing w:after="240"/>
        <w:ind w:left="0" w:firstLine="0"/>
        <w:rPr>
          <w:rFonts w:ascii="Times New Roman" w:hAnsi="Times New Roman"/>
          <w:b/>
          <w:szCs w:val="24"/>
        </w:rPr>
      </w:pPr>
      <w:r w:rsidRPr="000E6DB4">
        <w:rPr>
          <w:rFonts w:ascii="Times New Roman" w:hAnsi="Times New Roman"/>
          <w:b/>
          <w:szCs w:val="24"/>
        </w:rPr>
        <w:tab/>
        <w:t>Describe efforts to consult with persons outside the agency to obtain their views on the availability of data, frequency of collection, the clarity of instructions and recordkeeping disclo</w:t>
      </w:r>
      <w:r w:rsidRPr="00495A26">
        <w:rPr>
          <w:rFonts w:ascii="Times New Roman" w:hAnsi="Times New Roman"/>
          <w:b/>
          <w:szCs w:val="24"/>
        </w:rPr>
        <w:t>sure, or reporting format (if any, and on the data elements to be recorded, disclosed, or reported.</w:t>
      </w:r>
    </w:p>
    <w:p w14:paraId="69E62E48" w14:textId="77777777" w:rsidR="00E95423" w:rsidRPr="007E6C96" w:rsidRDefault="00534B6B" w:rsidP="00286171">
      <w:pPr>
        <w:pStyle w:val="EndnoteText"/>
        <w:tabs>
          <w:tab w:val="left" w:pos="-720"/>
        </w:tabs>
        <w:spacing w:after="240"/>
        <w:rPr>
          <w:rFonts w:ascii="Times New Roman" w:hAnsi="Times New Roman"/>
          <w:szCs w:val="24"/>
        </w:rPr>
      </w:pPr>
      <w:r w:rsidRPr="007E6C96">
        <w:rPr>
          <w:rFonts w:ascii="Times New Roman" w:hAnsi="Times New Roman"/>
          <w:szCs w:val="24"/>
        </w:rPr>
        <w:tab/>
      </w:r>
      <w:r w:rsidR="00772F9C" w:rsidRPr="007E6C96">
        <w:rPr>
          <w:rFonts w:ascii="Times New Roman" w:hAnsi="Times New Roman"/>
          <w:szCs w:val="24"/>
        </w:rPr>
        <w:t>As set forth above, the Commission affirmatively sought comments on the information collection requirements described herein.</w:t>
      </w:r>
      <w:r w:rsidR="00D7045C" w:rsidRPr="007E6C96">
        <w:rPr>
          <w:rFonts w:ascii="Times New Roman" w:hAnsi="Times New Roman"/>
          <w:szCs w:val="24"/>
        </w:rPr>
        <w:t xml:space="preserve"> </w:t>
      </w:r>
    </w:p>
    <w:p w14:paraId="3E8A5D11" w14:textId="77777777" w:rsidR="00534B6B" w:rsidRPr="007E6C96" w:rsidRDefault="00534B6B" w:rsidP="00534B6B">
      <w:pPr>
        <w:tabs>
          <w:tab w:val="left" w:pos="-720"/>
          <w:tab w:val="left" w:pos="0"/>
        </w:tabs>
        <w:spacing w:after="240"/>
        <w:rPr>
          <w:rFonts w:ascii="Times New Roman" w:hAnsi="Times New Roman"/>
          <w:b/>
        </w:rPr>
      </w:pPr>
      <w:r w:rsidRPr="007E6C96">
        <w:rPr>
          <w:rFonts w:ascii="Times New Roman" w:hAnsi="Times New Roman"/>
          <w:b/>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D213801" w14:textId="77777777" w:rsidR="00534B6B" w:rsidRPr="007E6C96" w:rsidRDefault="00534B6B" w:rsidP="00534B6B">
      <w:pPr>
        <w:tabs>
          <w:tab w:val="left" w:pos="-720"/>
        </w:tabs>
        <w:spacing w:after="240"/>
        <w:rPr>
          <w:rFonts w:ascii="Times New Roman" w:hAnsi="Times New Roman"/>
        </w:rPr>
      </w:pPr>
      <w:r w:rsidRPr="007E6C96">
        <w:rPr>
          <w:rFonts w:ascii="Times New Roman" w:hAnsi="Times New Roman"/>
        </w:rPr>
        <w:tab/>
        <w:t>Not applicable.</w:t>
      </w:r>
      <w:r w:rsidR="001278DD" w:rsidRPr="007E6C96">
        <w:rPr>
          <w:rFonts w:ascii="Times New Roman" w:hAnsi="Times New Roman"/>
        </w:rPr>
        <w:t xml:space="preserve">  No such circumstances are anticipated.</w:t>
      </w:r>
    </w:p>
    <w:p w14:paraId="5E6E6E9B" w14:textId="77777777" w:rsidR="00534B6B" w:rsidRPr="007E6C96" w:rsidRDefault="00534B6B" w:rsidP="00534B6B">
      <w:pPr>
        <w:tabs>
          <w:tab w:val="left" w:pos="-720"/>
          <w:tab w:val="left" w:pos="0"/>
        </w:tabs>
        <w:spacing w:after="240"/>
        <w:rPr>
          <w:rFonts w:ascii="Times New Roman" w:hAnsi="Times New Roman"/>
          <w:b/>
        </w:rPr>
      </w:pPr>
      <w:r w:rsidRPr="007E6C96">
        <w:rPr>
          <w:rFonts w:ascii="Times New Roman" w:hAnsi="Times New Roman"/>
          <w:b/>
        </w:rPr>
        <w:t>9.</w:t>
      </w:r>
      <w:r w:rsidRPr="007E6C96">
        <w:rPr>
          <w:rFonts w:ascii="Times New Roman" w:hAnsi="Times New Roman"/>
          <w:b/>
        </w:rPr>
        <w:tab/>
        <w:t>Explain any decision to provide any payment or gift to respondents, other than re</w:t>
      </w:r>
      <w:r w:rsidR="00B16CDD" w:rsidRPr="007E6C96">
        <w:rPr>
          <w:rFonts w:ascii="Times New Roman" w:hAnsi="Times New Roman"/>
          <w:b/>
        </w:rPr>
        <w:t>mun</w:t>
      </w:r>
      <w:r w:rsidRPr="007E6C96">
        <w:rPr>
          <w:rFonts w:ascii="Times New Roman" w:hAnsi="Times New Roman"/>
          <w:b/>
        </w:rPr>
        <w:t>eration of contractors or grantees.</w:t>
      </w:r>
    </w:p>
    <w:p w14:paraId="4D960DE5" w14:textId="77777777" w:rsidR="00E95423" w:rsidRPr="007E6C96" w:rsidRDefault="00534B6B" w:rsidP="00E95423">
      <w:pPr>
        <w:tabs>
          <w:tab w:val="left" w:pos="-720"/>
        </w:tabs>
        <w:spacing w:after="240"/>
        <w:rPr>
          <w:rFonts w:ascii="Times New Roman" w:hAnsi="Times New Roman"/>
        </w:rPr>
      </w:pPr>
      <w:r w:rsidRPr="007E6C96">
        <w:rPr>
          <w:rFonts w:ascii="Times New Roman" w:hAnsi="Times New Roman"/>
        </w:rPr>
        <w:tab/>
      </w:r>
      <w:r w:rsidR="001278DD" w:rsidRPr="007E6C96">
        <w:rPr>
          <w:rFonts w:ascii="Times New Roman" w:hAnsi="Times New Roman"/>
        </w:rPr>
        <w:t>This question d</w:t>
      </w:r>
      <w:r w:rsidRPr="007E6C96">
        <w:rPr>
          <w:rFonts w:ascii="Times New Roman" w:hAnsi="Times New Roman"/>
        </w:rPr>
        <w:t>oes not apply.</w:t>
      </w:r>
      <w:r w:rsidR="00E95423" w:rsidRPr="007E6C96">
        <w:rPr>
          <w:rFonts w:ascii="Times New Roman" w:hAnsi="Times New Roman"/>
        </w:rPr>
        <w:t xml:space="preserve">  </w:t>
      </w:r>
    </w:p>
    <w:p w14:paraId="109FDF03" w14:textId="77777777" w:rsidR="00534B6B" w:rsidRPr="007E6C96" w:rsidRDefault="00534B6B" w:rsidP="00534B6B">
      <w:pPr>
        <w:tabs>
          <w:tab w:val="left" w:pos="-720"/>
        </w:tabs>
        <w:spacing w:after="240"/>
        <w:rPr>
          <w:rFonts w:ascii="Times New Roman" w:hAnsi="Times New Roman"/>
          <w:b/>
        </w:rPr>
      </w:pPr>
      <w:r w:rsidRPr="007E6C96">
        <w:rPr>
          <w:rFonts w:ascii="Times New Roman" w:hAnsi="Times New Roman"/>
          <w:b/>
        </w:rPr>
        <w:t>10.</w:t>
      </w:r>
      <w:r w:rsidRPr="007E6C96">
        <w:rPr>
          <w:rFonts w:ascii="Times New Roman" w:hAnsi="Times New Roman"/>
          <w:b/>
        </w:rPr>
        <w:tab/>
        <w:t>Describe any assurance of confidentiality provided to respondents and the basis for the assurance in statute, regulations, or agency policy.</w:t>
      </w:r>
    </w:p>
    <w:p w14:paraId="603B413E" w14:textId="77777777" w:rsidR="00E95423" w:rsidRPr="003765F9" w:rsidRDefault="004467D4" w:rsidP="00E95423">
      <w:pPr>
        <w:tabs>
          <w:tab w:val="left" w:pos="-720"/>
          <w:tab w:val="left" w:pos="0"/>
          <w:tab w:val="left" w:pos="720"/>
        </w:tabs>
        <w:spacing w:after="240"/>
        <w:jc w:val="both"/>
        <w:rPr>
          <w:rFonts w:ascii="Times New Roman" w:hAnsi="Times New Roman"/>
        </w:rPr>
      </w:pPr>
      <w:r w:rsidRPr="007E6C96">
        <w:rPr>
          <w:rFonts w:ascii="Times New Roman" w:hAnsi="Times New Roman"/>
        </w:rPr>
        <w:tab/>
      </w:r>
      <w:r w:rsidR="00152105" w:rsidRPr="003765F9">
        <w:rPr>
          <w:rFonts w:ascii="Times New Roman" w:hAnsi="Times New Roman"/>
        </w:rPr>
        <w:t>The Commission does not provide respondents with an assurance of confidentiality beyond that provided by applicable law.  The Commission fully complies with section 8(a)(1) of the CEA, which strictly prohibits the Commission, unless specifically authorized by the CEA, from making public “data and information that would separately disclose the business transactions or market public positions of any person and trade secrets or names of customers.”  The Commission has procedures to protect the confidentiality of a respondent’s data. These are set forth in the Commission’s regulations at part 145</w:t>
      </w:r>
      <w:r w:rsidR="008A73BF">
        <w:rPr>
          <w:rFonts w:ascii="Times New Roman" w:hAnsi="Times New Roman"/>
        </w:rPr>
        <w:t>.</w:t>
      </w:r>
    </w:p>
    <w:p w14:paraId="5C42C87B" w14:textId="77777777" w:rsidR="00534B6B" w:rsidRPr="003765F9" w:rsidRDefault="00534B6B" w:rsidP="00534B6B">
      <w:pPr>
        <w:tabs>
          <w:tab w:val="left" w:pos="-720"/>
        </w:tabs>
        <w:spacing w:after="240"/>
        <w:rPr>
          <w:rFonts w:ascii="Times New Roman" w:hAnsi="Times New Roman"/>
          <w:b/>
        </w:rPr>
      </w:pPr>
      <w:r w:rsidRPr="003765F9">
        <w:rPr>
          <w:rFonts w:ascii="Times New Roman" w:hAnsi="Times New Roman"/>
          <w:b/>
        </w:rPr>
        <w:t>11.</w:t>
      </w:r>
      <w:r w:rsidRPr="003765F9">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911F22D" w14:textId="77777777" w:rsidR="00534B6B" w:rsidRPr="003765F9" w:rsidRDefault="00534B6B" w:rsidP="00534B6B">
      <w:pPr>
        <w:tabs>
          <w:tab w:val="left" w:pos="-720"/>
        </w:tabs>
        <w:spacing w:after="240"/>
        <w:rPr>
          <w:rFonts w:ascii="Times New Roman" w:hAnsi="Times New Roman"/>
        </w:rPr>
      </w:pPr>
      <w:r w:rsidRPr="003765F9">
        <w:rPr>
          <w:rFonts w:ascii="Times New Roman" w:hAnsi="Times New Roman"/>
        </w:rPr>
        <w:tab/>
      </w:r>
      <w:r w:rsidR="00D673D1" w:rsidRPr="003765F9">
        <w:rPr>
          <w:rFonts w:ascii="Times New Roman" w:hAnsi="Times New Roman"/>
        </w:rPr>
        <w:t xml:space="preserve">This question does not apply.  </w:t>
      </w:r>
      <w:r w:rsidRPr="003765F9">
        <w:rPr>
          <w:rFonts w:ascii="Times New Roman" w:hAnsi="Times New Roman"/>
        </w:rPr>
        <w:t xml:space="preserve">None of the </w:t>
      </w:r>
      <w:r w:rsidR="00D673D1" w:rsidRPr="003765F9">
        <w:rPr>
          <w:rFonts w:ascii="Times New Roman" w:hAnsi="Times New Roman"/>
        </w:rPr>
        <w:t>required information is</w:t>
      </w:r>
      <w:r w:rsidRPr="003765F9">
        <w:rPr>
          <w:rFonts w:ascii="Times New Roman" w:hAnsi="Times New Roman"/>
        </w:rPr>
        <w:t xml:space="preserve"> sensitive, as that term is used in Question 11.</w:t>
      </w:r>
    </w:p>
    <w:p w14:paraId="10845382" w14:textId="77777777" w:rsidR="00534B6B" w:rsidRPr="003765F9" w:rsidRDefault="00534B6B" w:rsidP="00534B6B">
      <w:pPr>
        <w:tabs>
          <w:tab w:val="left" w:pos="-720"/>
          <w:tab w:val="left" w:pos="0"/>
        </w:tabs>
        <w:spacing w:after="240"/>
        <w:rPr>
          <w:rFonts w:ascii="Times New Roman" w:hAnsi="Times New Roman"/>
          <w:b/>
        </w:rPr>
      </w:pPr>
      <w:r w:rsidRPr="003765F9">
        <w:rPr>
          <w:rFonts w:ascii="Times New Roman" w:hAnsi="Times New Roman"/>
          <w:b/>
        </w:rPr>
        <w:t>12.</w:t>
      </w:r>
      <w:r w:rsidRPr="003765F9">
        <w:rPr>
          <w:rFonts w:ascii="Times New Roman" w:hAnsi="Times New Roman"/>
          <w:b/>
        </w:rPr>
        <w:tab/>
        <w:t>Provide estimates of the hour burden of the collection of information.  The Statement should:</w:t>
      </w:r>
    </w:p>
    <w:p w14:paraId="3F846DAE" w14:textId="77777777" w:rsidR="00534B6B" w:rsidRPr="003765F9"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765F9">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67082AD" w14:textId="77777777" w:rsidR="00534B6B" w:rsidRPr="003765F9"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765F9">
        <w:rPr>
          <w:rFonts w:ascii="Times New Roman" w:hAnsi="Times New Roman"/>
          <w:b/>
        </w:rPr>
        <w:t>If the request for approval covers more than one form, provide separate hour burden estimates for each form and aggregate the hour burdens in Item 13 of OMB Form 83-I.</w:t>
      </w:r>
    </w:p>
    <w:p w14:paraId="35521837" w14:textId="77777777" w:rsidR="00534B6B" w:rsidRPr="003765F9"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765F9">
        <w:rPr>
          <w:rFonts w:ascii="Times New Roman" w:hAnsi="Times New Roman"/>
          <w:b/>
        </w:rPr>
        <w:t>Provide estimates of annualized cost to respondents for the hours burdens for collections of information, identifying and using appropriate wage rate categories.  The cost of contracting ou</w:t>
      </w:r>
      <w:r w:rsidR="00A16743" w:rsidRPr="003765F9">
        <w:rPr>
          <w:rFonts w:ascii="Times New Roman" w:hAnsi="Times New Roman"/>
          <w:b/>
        </w:rPr>
        <w:t>t</w:t>
      </w:r>
      <w:r w:rsidRPr="003765F9">
        <w:rPr>
          <w:rFonts w:ascii="Times New Roman" w:hAnsi="Times New Roman"/>
          <w:b/>
        </w:rPr>
        <w:t xml:space="preserve"> or paying outside parties for information collection activities should not be included here.  Instead, this cost should be included in Item 13.</w:t>
      </w:r>
    </w:p>
    <w:p w14:paraId="2977C901" w14:textId="77777777" w:rsidR="0006013A" w:rsidRPr="003765F9" w:rsidRDefault="008A73BF" w:rsidP="00534B6B">
      <w:pPr>
        <w:tabs>
          <w:tab w:val="left" w:pos="-720"/>
        </w:tabs>
        <w:spacing w:after="240"/>
        <w:rPr>
          <w:rFonts w:ascii="Times New Roman" w:hAnsi="Times New Roman"/>
        </w:rPr>
      </w:pPr>
      <w:r>
        <w:rPr>
          <w:rFonts w:ascii="Times New Roman" w:hAnsi="Times New Roman"/>
        </w:rPr>
        <w:tab/>
      </w:r>
      <w:r w:rsidR="00396118" w:rsidRPr="003765F9">
        <w:rPr>
          <w:rFonts w:ascii="Times New Roman" w:hAnsi="Times New Roman"/>
        </w:rPr>
        <w:t>See Attachment A.</w:t>
      </w:r>
    </w:p>
    <w:p w14:paraId="7366E8BA" w14:textId="77777777" w:rsidR="0006013A" w:rsidRPr="003765F9" w:rsidRDefault="0006013A" w:rsidP="003765F9">
      <w:pPr>
        <w:widowControl w:val="0"/>
        <w:ind w:firstLine="720"/>
        <w:jc w:val="both"/>
        <w:rPr>
          <w:rFonts w:ascii="Times New Roman" w:hAnsi="Times New Roman"/>
        </w:rPr>
      </w:pPr>
      <w:r w:rsidRPr="00495A26">
        <w:rPr>
          <w:rFonts w:ascii="Times New Roman" w:hAnsi="Times New Roman"/>
        </w:rPr>
        <w:t xml:space="preserve">The annualized costs per affected registrant and in the aggregate were determined using an average salary of $100.00 per hour.  The Commission believes that this is an appropriate salary estimate for purposes of this regulation.  </w:t>
      </w:r>
    </w:p>
    <w:p w14:paraId="4DFB1EB5" w14:textId="77777777" w:rsidR="0006013A" w:rsidRPr="003765F9" w:rsidRDefault="0006013A" w:rsidP="0006013A">
      <w:pPr>
        <w:widowControl w:val="0"/>
        <w:jc w:val="both"/>
        <w:rPr>
          <w:rFonts w:ascii="Times New Roman" w:hAnsi="Times New Roman"/>
        </w:rPr>
      </w:pPr>
    </w:p>
    <w:p w14:paraId="35D5D840" w14:textId="77777777" w:rsidR="0006013A" w:rsidRPr="00495A26" w:rsidRDefault="0006013A" w:rsidP="003765F9">
      <w:pPr>
        <w:widowControl w:val="0"/>
        <w:ind w:firstLine="720"/>
        <w:jc w:val="both"/>
        <w:rPr>
          <w:rFonts w:ascii="Times New Roman" w:hAnsi="Times New Roman"/>
        </w:rPr>
      </w:pPr>
      <w:r w:rsidRPr="00495A26">
        <w:rPr>
          <w:rFonts w:ascii="Times New Roman" w:hAnsi="Times New Roman"/>
        </w:rPr>
        <w:t>In support of this determination, the Commission notes that the salary estimate is based upon May 201</w:t>
      </w:r>
      <w:r w:rsidRPr="003765F9">
        <w:rPr>
          <w:rFonts w:ascii="Times New Roman" w:hAnsi="Times New Roman"/>
        </w:rPr>
        <w:t>7 Bureau of Labor Statistics’ findings of National Occupation Employment and Wage Estimates, United States</w:t>
      </w:r>
      <w:r w:rsidRPr="000E6DB4">
        <w:rPr>
          <w:rStyle w:val="FootnoteReference"/>
          <w:rFonts w:ascii="Times New Roman" w:hAnsi="Times New Roman"/>
        </w:rPr>
        <w:footnoteReference w:id="4"/>
      </w:r>
      <w:r w:rsidRPr="000E6DB4">
        <w:rPr>
          <w:rFonts w:ascii="Times New Roman" w:hAnsi="Times New Roman"/>
        </w:rPr>
        <w:t>, including the mean hourly wage of an employee under occupation code 23-1011, “Lawyers</w:t>
      </w:r>
      <w:r w:rsidRPr="00495A26">
        <w:rPr>
          <w:rFonts w:ascii="Times New Roman" w:hAnsi="Times New Roman"/>
        </w:rPr>
        <w:t>,” that is employed by the “Securities, Commodity Contracts, and Other Financial Investments and Related Activities Industry,” which is $94.20; the mean hourly wage of an employee under occupation code 11-3031, “Financial Managers,” in the same industry, w</w:t>
      </w:r>
      <w:r w:rsidRPr="003765F9">
        <w:rPr>
          <w:rFonts w:ascii="Times New Roman" w:hAnsi="Times New Roman"/>
        </w:rPr>
        <w:t>hich is $97.82; and the mean hourly wage of an employee under occupation code-13-1041, “Compliance Officers” in the same industry, which is $43.27.  The Commission also notes that, the Commission took the foregoing data and then increased its hourly wage estimate in recognition of the fact that some respondents may be large financial institutions whose employees’ salaries may exceed the mean wage.  The Commission also observes that the Securities Industry and Financial Markets Association’s Report on “Management &amp; Professional Earnings in the Securities Industry – 2013” estimates the average wage of a compliance attorney or compliance staffer (including chief compliance officers and directors of compliance) in the United States at only $53.71 per hour.  The Commission recognizes that some respondents may hire outside counsel with expertise in the various regulatory areas covered by the</w:t>
      </w:r>
      <w:r w:rsidR="00495A26">
        <w:rPr>
          <w:rFonts w:ascii="Times New Roman" w:hAnsi="Times New Roman"/>
        </w:rPr>
        <w:t xml:space="preserve"> Final Rule</w:t>
      </w:r>
      <w:r w:rsidRPr="00495A26">
        <w:rPr>
          <w:rFonts w:ascii="Times New Roman" w:hAnsi="Times New Roman"/>
        </w:rPr>
        <w:t xml:space="preserve"> and that outside counsel may be able to leverage its expertise to substantially reduce the number of hours needed to fulfill a requested assignment.  While the Commission is uncertain about the billing rates that these respondents may pay for outside counsel, the Commission believes that such counsel may bill at a rate of several hundred dollars per hour.  Any determination to use outside counsel, however, is at the discretion of the respondent.</w:t>
      </w:r>
    </w:p>
    <w:p w14:paraId="67D5E890" w14:textId="77777777" w:rsidR="00DA4721" w:rsidRPr="003765F9" w:rsidRDefault="00396118" w:rsidP="00534B6B">
      <w:pPr>
        <w:tabs>
          <w:tab w:val="left" w:pos="-720"/>
        </w:tabs>
        <w:spacing w:after="240"/>
        <w:rPr>
          <w:rFonts w:ascii="Times New Roman" w:hAnsi="Times New Roman"/>
        </w:rPr>
      </w:pPr>
      <w:r w:rsidRPr="003765F9">
        <w:rPr>
          <w:rFonts w:ascii="Times New Roman" w:hAnsi="Times New Roman"/>
        </w:rPr>
        <w:t xml:space="preserve">  </w:t>
      </w:r>
      <w:r w:rsidR="0010375A" w:rsidRPr="003765F9">
        <w:rPr>
          <w:rFonts w:ascii="Times New Roman" w:hAnsi="Times New Roman"/>
        </w:rPr>
        <w:t xml:space="preserve">  </w:t>
      </w:r>
    </w:p>
    <w:p w14:paraId="1447C9F0" w14:textId="77777777" w:rsidR="00534B6B" w:rsidRPr="003765F9" w:rsidRDefault="00534B6B" w:rsidP="00897DB1">
      <w:pPr>
        <w:tabs>
          <w:tab w:val="left" w:pos="-720"/>
        </w:tabs>
        <w:spacing w:after="240"/>
        <w:rPr>
          <w:rFonts w:ascii="Times New Roman" w:hAnsi="Times New Roman"/>
          <w:b/>
        </w:rPr>
      </w:pPr>
      <w:r w:rsidRPr="003765F9">
        <w:rPr>
          <w:rFonts w:ascii="Times New Roman" w:hAnsi="Times New Roman"/>
          <w:b/>
        </w:rPr>
        <w:t>13.</w:t>
      </w:r>
      <w:r w:rsidRPr="003765F9">
        <w:rPr>
          <w:rFonts w:ascii="Times New Roman" w:hAnsi="Times New Roman"/>
          <w:b/>
        </w:rPr>
        <w:tab/>
        <w:t>Provide an estimate of the total annual cost burden to respondents or recordkeepers resulting fr</w:t>
      </w:r>
      <w:r w:rsidR="00295FD0" w:rsidRPr="003765F9">
        <w:rPr>
          <w:rFonts w:ascii="Times New Roman" w:hAnsi="Times New Roman"/>
          <w:b/>
        </w:rPr>
        <w:t>o</w:t>
      </w:r>
      <w:r w:rsidRPr="003765F9">
        <w:rPr>
          <w:rFonts w:ascii="Times New Roman" w:hAnsi="Times New Roman"/>
          <w:b/>
        </w:rPr>
        <w:t>m the collection of information.  (Do not include the cost of any hour burden shown in Items 12 and 14).</w:t>
      </w:r>
    </w:p>
    <w:p w14:paraId="211AA5B3" w14:textId="77777777" w:rsidR="00534B6B" w:rsidRPr="003765F9"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765F9">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6538FA2" w14:textId="77777777" w:rsidR="00534B6B" w:rsidRPr="003765F9"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765F9">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1EB9F7E5" w14:textId="77777777" w:rsidR="00534B6B" w:rsidRPr="003765F9"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765F9">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F67CEF3" w14:textId="77777777" w:rsidR="00E95423" w:rsidRPr="00495A26" w:rsidRDefault="00534B6B" w:rsidP="00A1613D">
      <w:pPr>
        <w:tabs>
          <w:tab w:val="left" w:pos="-720"/>
        </w:tabs>
        <w:spacing w:after="240"/>
        <w:rPr>
          <w:rFonts w:ascii="Times New Roman" w:hAnsi="Times New Roman"/>
        </w:rPr>
      </w:pPr>
      <w:r w:rsidRPr="003765F9">
        <w:rPr>
          <w:rFonts w:ascii="Times New Roman" w:hAnsi="Times New Roman"/>
        </w:rPr>
        <w:tab/>
      </w:r>
      <w:r w:rsidR="00152105" w:rsidRPr="003765F9">
        <w:rPr>
          <w:rFonts w:ascii="Times New Roman" w:hAnsi="Times New Roman"/>
        </w:rPr>
        <w:t xml:space="preserve">The information collections required by the </w:t>
      </w:r>
      <w:r w:rsidR="00495A26">
        <w:rPr>
          <w:rFonts w:ascii="Times New Roman" w:hAnsi="Times New Roman"/>
        </w:rPr>
        <w:t>Final Rule does</w:t>
      </w:r>
      <w:r w:rsidR="00152105" w:rsidRPr="003765F9">
        <w:rPr>
          <w:rFonts w:ascii="Times New Roman" w:hAnsi="Times New Roman"/>
        </w:rPr>
        <w:t xml:space="preserve"> not involve any capital or start-up capital, operations or maintenance costs as </w:t>
      </w:r>
      <w:r w:rsidR="00495A26" w:rsidRPr="00495A26">
        <w:rPr>
          <w:rFonts w:ascii="Times New Roman" w:hAnsi="Times New Roman"/>
        </w:rPr>
        <w:t>the Commission anticipates that</w:t>
      </w:r>
      <w:r w:rsidR="00152105" w:rsidRPr="003765F9">
        <w:rPr>
          <w:rFonts w:ascii="Times New Roman" w:hAnsi="Times New Roman"/>
        </w:rPr>
        <w:t xml:space="preserve"> these costs have already been incurred by the </w:t>
      </w:r>
      <w:r w:rsidR="00495A26">
        <w:rPr>
          <w:rFonts w:ascii="Times New Roman" w:hAnsi="Times New Roman"/>
        </w:rPr>
        <w:t>affected</w:t>
      </w:r>
      <w:r w:rsidR="00152105" w:rsidRPr="003765F9">
        <w:rPr>
          <w:rFonts w:ascii="Times New Roman" w:hAnsi="Times New Roman"/>
        </w:rPr>
        <w:t xml:space="preserve"> </w:t>
      </w:r>
      <w:r w:rsidR="008A73BF">
        <w:rPr>
          <w:rFonts w:ascii="Times New Roman" w:hAnsi="Times New Roman"/>
        </w:rPr>
        <w:t>respondents</w:t>
      </w:r>
      <w:r w:rsidR="00152105" w:rsidRPr="003765F9">
        <w:rPr>
          <w:rFonts w:ascii="Times New Roman" w:hAnsi="Times New Roman"/>
        </w:rPr>
        <w:t xml:space="preserve"> and are part of customary or usual business practices.</w:t>
      </w:r>
    </w:p>
    <w:p w14:paraId="2C7B3A69" w14:textId="77777777" w:rsidR="00534B6B" w:rsidRPr="003765F9" w:rsidRDefault="00534B6B" w:rsidP="00534B6B">
      <w:pPr>
        <w:tabs>
          <w:tab w:val="left" w:pos="-720"/>
        </w:tabs>
        <w:spacing w:after="240"/>
        <w:rPr>
          <w:rFonts w:ascii="Times New Roman" w:hAnsi="Times New Roman"/>
          <w:b/>
        </w:rPr>
      </w:pPr>
      <w:r w:rsidRPr="003765F9">
        <w:rPr>
          <w:rFonts w:ascii="Times New Roman" w:hAnsi="Times New Roman"/>
          <w:b/>
        </w:rPr>
        <w:t>14.</w:t>
      </w:r>
      <w:r w:rsidRPr="003765F9">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0E7CAAD6" w14:textId="77777777" w:rsidR="00534B6B" w:rsidRPr="003765F9" w:rsidRDefault="00534B6B" w:rsidP="00534B6B">
      <w:pPr>
        <w:tabs>
          <w:tab w:val="left" w:pos="-720"/>
        </w:tabs>
        <w:spacing w:after="240"/>
        <w:rPr>
          <w:rFonts w:ascii="Times New Roman" w:hAnsi="Times New Roman"/>
        </w:rPr>
      </w:pPr>
      <w:r w:rsidRPr="003765F9">
        <w:rPr>
          <w:rFonts w:ascii="Times New Roman" w:hAnsi="Times New Roman"/>
        </w:rPr>
        <w:tab/>
      </w:r>
      <w:r w:rsidR="00152105" w:rsidRPr="003765F9">
        <w:rPr>
          <w:rFonts w:ascii="Times New Roman" w:hAnsi="Times New Roman"/>
        </w:rPr>
        <w:t xml:space="preserve">The </w:t>
      </w:r>
      <w:r w:rsidR="00495A26">
        <w:rPr>
          <w:rFonts w:ascii="Times New Roman" w:hAnsi="Times New Roman"/>
        </w:rPr>
        <w:t>Final Rule does</w:t>
      </w:r>
      <w:r w:rsidR="00152105" w:rsidRPr="00495A26">
        <w:rPr>
          <w:rFonts w:ascii="Times New Roman" w:hAnsi="Times New Roman"/>
        </w:rPr>
        <w:t xml:space="preserve"> not impose any additional costs to the Federal Government.</w:t>
      </w:r>
    </w:p>
    <w:p w14:paraId="5FB27B4D" w14:textId="77777777" w:rsidR="00534B6B" w:rsidRPr="003765F9" w:rsidRDefault="00534B6B" w:rsidP="00534B6B">
      <w:pPr>
        <w:tabs>
          <w:tab w:val="left" w:pos="-720"/>
          <w:tab w:val="left" w:pos="0"/>
        </w:tabs>
        <w:spacing w:after="240"/>
        <w:rPr>
          <w:rFonts w:ascii="Times New Roman" w:hAnsi="Times New Roman"/>
          <w:b/>
        </w:rPr>
      </w:pPr>
      <w:r w:rsidRPr="003765F9">
        <w:rPr>
          <w:rFonts w:ascii="Times New Roman" w:hAnsi="Times New Roman"/>
          <w:b/>
        </w:rPr>
        <w:t>15.</w:t>
      </w:r>
      <w:r w:rsidRPr="003765F9">
        <w:rPr>
          <w:rFonts w:ascii="Times New Roman" w:hAnsi="Times New Roman"/>
          <w:b/>
        </w:rPr>
        <w:tab/>
        <w:t>Explain the reasons for any program changes or adjustments reported in Items 13 or 14 of the OMB Form 83-I.</w:t>
      </w:r>
    </w:p>
    <w:p w14:paraId="5D313594" w14:textId="77777777" w:rsidR="00975F61" w:rsidRDefault="00534B6B" w:rsidP="00534B6B">
      <w:pPr>
        <w:tabs>
          <w:tab w:val="left" w:pos="-720"/>
          <w:tab w:val="left" w:pos="0"/>
        </w:tabs>
        <w:spacing w:after="240"/>
        <w:rPr>
          <w:rFonts w:ascii="Times New Roman" w:hAnsi="Times New Roman"/>
        </w:rPr>
      </w:pPr>
      <w:r w:rsidRPr="003765F9">
        <w:rPr>
          <w:rFonts w:ascii="Times New Roman" w:hAnsi="Times New Roman"/>
        </w:rPr>
        <w:tab/>
      </w:r>
      <w:r w:rsidR="007E6C96" w:rsidRPr="007E6C96">
        <w:rPr>
          <w:rFonts w:ascii="Times New Roman" w:hAnsi="Times New Roman"/>
          <w:bCs/>
        </w:rPr>
        <w:t xml:space="preserve"> </w:t>
      </w:r>
      <w:r w:rsidR="005525B0">
        <w:rPr>
          <w:rFonts w:ascii="Times New Roman" w:hAnsi="Times New Roman"/>
          <w:bCs/>
        </w:rPr>
        <w:t>As a condition to the relief in the Final Rule, in certain cases,</w:t>
      </w:r>
      <w:r w:rsidR="007E6C96" w:rsidRPr="000E6DB4">
        <w:rPr>
          <w:rFonts w:ascii="Times New Roman" w:hAnsi="Times New Roman"/>
          <w:bCs/>
        </w:rPr>
        <w:t xml:space="preserve"> the Commission requires</w:t>
      </w:r>
      <w:r w:rsidR="007E6C96" w:rsidRPr="00AE66F5">
        <w:rPr>
          <w:rFonts w:ascii="Times New Roman" w:hAnsi="Times New Roman"/>
          <w:bCs/>
        </w:rPr>
        <w:t xml:space="preserve"> that the transferor of a legacy swap make certain representations to the SD or MSP that is a party to the swap in the swap trading relationship documentation relating to such transfer.</w:t>
      </w:r>
      <w:r w:rsidR="007E6C96">
        <w:rPr>
          <w:rFonts w:ascii="Times New Roman" w:hAnsi="Times New Roman"/>
        </w:rPr>
        <w:t xml:space="preserve">  The Commission is revising the burden of this OMB number to reflect th</w:t>
      </w:r>
      <w:r w:rsidR="005525B0">
        <w:rPr>
          <w:rFonts w:ascii="Times New Roman" w:hAnsi="Times New Roman"/>
        </w:rPr>
        <w:t>e inclusion of this</w:t>
      </w:r>
      <w:r w:rsidR="007E6C96">
        <w:rPr>
          <w:rFonts w:ascii="Times New Roman" w:hAnsi="Times New Roman"/>
        </w:rPr>
        <w:t xml:space="preserve"> requirement</w:t>
      </w:r>
      <w:r w:rsidR="005525B0">
        <w:rPr>
          <w:rFonts w:ascii="Times New Roman" w:hAnsi="Times New Roman"/>
        </w:rPr>
        <w:t xml:space="preserve"> in the Final Rule</w:t>
      </w:r>
      <w:r w:rsidR="00EC5D4C">
        <w:rPr>
          <w:rFonts w:ascii="Times New Roman" w:hAnsi="Times New Roman"/>
        </w:rPr>
        <w:t>.</w:t>
      </w:r>
      <w:r w:rsidR="005875B4" w:rsidRPr="007E6C96">
        <w:rPr>
          <w:rFonts w:ascii="Times New Roman" w:hAnsi="Times New Roman"/>
        </w:rPr>
        <w:t xml:space="preserve">  </w:t>
      </w:r>
    </w:p>
    <w:p w14:paraId="43E14B3A" w14:textId="77777777" w:rsidR="00534B6B" w:rsidRPr="003765F9" w:rsidRDefault="00534B6B" w:rsidP="00534B6B">
      <w:pPr>
        <w:tabs>
          <w:tab w:val="left" w:pos="-720"/>
          <w:tab w:val="left" w:pos="0"/>
        </w:tabs>
        <w:spacing w:after="240"/>
        <w:rPr>
          <w:rFonts w:ascii="Times New Roman" w:hAnsi="Times New Roman"/>
          <w:b/>
        </w:rPr>
      </w:pPr>
      <w:r w:rsidRPr="003765F9">
        <w:rPr>
          <w:rFonts w:ascii="Times New Roman" w:hAnsi="Times New Roman"/>
          <w:b/>
        </w:rPr>
        <w:t>16.</w:t>
      </w:r>
      <w:r w:rsidRPr="003765F9">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350FCF74" w14:textId="77777777" w:rsidR="00534B6B" w:rsidRPr="003765F9" w:rsidRDefault="00534B6B" w:rsidP="00534B6B">
      <w:pPr>
        <w:tabs>
          <w:tab w:val="left" w:pos="-720"/>
        </w:tabs>
        <w:spacing w:after="240"/>
        <w:rPr>
          <w:rFonts w:ascii="Times New Roman" w:hAnsi="Times New Roman"/>
        </w:rPr>
      </w:pPr>
      <w:r w:rsidRPr="003765F9">
        <w:rPr>
          <w:rFonts w:ascii="Times New Roman" w:hAnsi="Times New Roman"/>
        </w:rPr>
        <w:tab/>
        <w:t>This question does not apply.</w:t>
      </w:r>
    </w:p>
    <w:p w14:paraId="3A9677BF" w14:textId="77777777" w:rsidR="00534B6B" w:rsidRPr="003765F9" w:rsidRDefault="00534B6B" w:rsidP="00534B6B">
      <w:pPr>
        <w:tabs>
          <w:tab w:val="left" w:pos="-720"/>
          <w:tab w:val="left" w:pos="0"/>
        </w:tabs>
        <w:spacing w:after="240"/>
        <w:rPr>
          <w:rFonts w:ascii="Times New Roman" w:hAnsi="Times New Roman"/>
          <w:b/>
        </w:rPr>
      </w:pPr>
      <w:r w:rsidRPr="003765F9">
        <w:rPr>
          <w:rFonts w:ascii="Times New Roman" w:hAnsi="Times New Roman"/>
          <w:b/>
        </w:rPr>
        <w:t>17.</w:t>
      </w:r>
      <w:r w:rsidRPr="003765F9">
        <w:rPr>
          <w:rFonts w:ascii="Times New Roman" w:hAnsi="Times New Roman"/>
          <w:b/>
        </w:rPr>
        <w:tab/>
        <w:t>If seeking approval to not display the expiration date for OMB approval of the information collection, explain the reasons that display would be inappropriate.</w:t>
      </w:r>
    </w:p>
    <w:p w14:paraId="397CB5BA" w14:textId="77777777" w:rsidR="00534B6B" w:rsidRPr="003765F9" w:rsidRDefault="00534B6B" w:rsidP="00534B6B">
      <w:pPr>
        <w:tabs>
          <w:tab w:val="left" w:pos="-720"/>
        </w:tabs>
        <w:spacing w:after="240"/>
        <w:rPr>
          <w:rFonts w:ascii="Times New Roman" w:hAnsi="Times New Roman"/>
        </w:rPr>
      </w:pPr>
      <w:r w:rsidRPr="003765F9">
        <w:rPr>
          <w:rFonts w:ascii="Times New Roman" w:hAnsi="Times New Roman"/>
        </w:rPr>
        <w:tab/>
        <w:t>This question does not apply.</w:t>
      </w:r>
    </w:p>
    <w:p w14:paraId="00546429" w14:textId="77777777" w:rsidR="00534B6B" w:rsidRPr="003765F9" w:rsidRDefault="00534B6B" w:rsidP="00534B6B">
      <w:pPr>
        <w:keepNext/>
        <w:tabs>
          <w:tab w:val="left" w:pos="-720"/>
          <w:tab w:val="left" w:pos="0"/>
        </w:tabs>
        <w:spacing w:after="240"/>
        <w:rPr>
          <w:rFonts w:ascii="Times New Roman" w:hAnsi="Times New Roman"/>
          <w:b/>
        </w:rPr>
      </w:pPr>
      <w:r w:rsidRPr="003765F9">
        <w:rPr>
          <w:rFonts w:ascii="Times New Roman" w:hAnsi="Times New Roman"/>
          <w:b/>
        </w:rPr>
        <w:t>18.</w:t>
      </w:r>
      <w:r w:rsidRPr="003765F9">
        <w:rPr>
          <w:rFonts w:ascii="Times New Roman" w:hAnsi="Times New Roman"/>
          <w:b/>
        </w:rPr>
        <w:tab/>
        <w:t>Explain each exception to the certification statement identified in Item 19, "Certification for Paperwork Reduction Act Submissions," of OMB Form 83-I.</w:t>
      </w:r>
    </w:p>
    <w:p w14:paraId="4093263A" w14:textId="77777777" w:rsidR="00B26DF3" w:rsidRPr="003765F9" w:rsidRDefault="00534B6B" w:rsidP="00534B6B">
      <w:pPr>
        <w:tabs>
          <w:tab w:val="left" w:pos="-720"/>
        </w:tabs>
        <w:spacing w:after="240"/>
        <w:rPr>
          <w:rFonts w:ascii="Times New Roman" w:hAnsi="Times New Roman"/>
        </w:rPr>
      </w:pPr>
      <w:r w:rsidRPr="003765F9">
        <w:rPr>
          <w:rFonts w:ascii="Times New Roman" w:hAnsi="Times New Roman"/>
        </w:rPr>
        <w:tab/>
        <w:t>This question does not apply.</w:t>
      </w:r>
    </w:p>
    <w:p w14:paraId="682E54CA" w14:textId="77777777" w:rsidR="00B26DF3" w:rsidRPr="003765F9" w:rsidRDefault="00B26DF3" w:rsidP="0099405B">
      <w:pPr>
        <w:tabs>
          <w:tab w:val="left" w:pos="-720"/>
        </w:tabs>
        <w:spacing w:after="120"/>
        <w:jc w:val="center"/>
        <w:rPr>
          <w:rFonts w:ascii="Times New Roman" w:hAnsi="Times New Roman"/>
          <w:b/>
        </w:rPr>
      </w:pPr>
      <w:r w:rsidRPr="003765F9">
        <w:rPr>
          <w:rFonts w:ascii="Times New Roman" w:hAnsi="Times New Roman"/>
        </w:rPr>
        <w:br w:type="page"/>
      </w:r>
      <w:r w:rsidRPr="003765F9">
        <w:rPr>
          <w:rFonts w:ascii="Times New Roman" w:hAnsi="Times New Roman"/>
          <w:b/>
        </w:rPr>
        <w:t>Attachment A</w:t>
      </w:r>
    </w:p>
    <w:p w14:paraId="5477A9D1" w14:textId="77777777" w:rsidR="00B26DF3" w:rsidRPr="003765F9" w:rsidRDefault="00152105" w:rsidP="00B26DF3">
      <w:pPr>
        <w:pStyle w:val="Title"/>
        <w:spacing w:after="240"/>
        <w:rPr>
          <w:sz w:val="24"/>
          <w:szCs w:val="24"/>
        </w:rPr>
      </w:pPr>
      <w:r w:rsidRPr="003765F9">
        <w:rPr>
          <w:sz w:val="24"/>
          <w:szCs w:val="24"/>
        </w:rPr>
        <w:t>Uncleared Margin No-Deal Brexit Representation Requirement</w:t>
      </w:r>
    </w:p>
    <w:p w14:paraId="0DBA8800" w14:textId="77777777" w:rsidR="00B26DF3" w:rsidRPr="003765F9" w:rsidRDefault="00B26DF3" w:rsidP="0099405B">
      <w:pPr>
        <w:pStyle w:val="Title"/>
        <w:spacing w:after="240"/>
        <w:rPr>
          <w:sz w:val="24"/>
          <w:szCs w:val="24"/>
        </w:rPr>
      </w:pPr>
      <w:r w:rsidRPr="003765F9">
        <w:rPr>
          <w:sz w:val="24"/>
          <w:szCs w:val="24"/>
        </w:rPr>
        <w:t>OMB Collection File 3038-</w:t>
      </w:r>
      <w:r w:rsidR="007771AE" w:rsidRPr="003765F9">
        <w:rPr>
          <w:sz w:val="24"/>
          <w:szCs w:val="24"/>
        </w:rPr>
        <w:t>00</w:t>
      </w:r>
      <w:r w:rsidR="00152105" w:rsidRPr="003765F9">
        <w:rPr>
          <w:sz w:val="24"/>
          <w:szCs w:val="24"/>
        </w:rPr>
        <w:t>88</w:t>
      </w:r>
    </w:p>
    <w:p w14:paraId="48003002" w14:textId="77777777" w:rsidR="0010375A" w:rsidRPr="003765F9" w:rsidRDefault="00A158E3" w:rsidP="007F39B7">
      <w:pPr>
        <w:ind w:firstLine="720"/>
        <w:rPr>
          <w:rFonts w:ascii="Times New Roman" w:hAnsi="Times New Roman"/>
        </w:rPr>
      </w:pPr>
      <w:r w:rsidRPr="003765F9">
        <w:rPr>
          <w:rFonts w:ascii="Times New Roman" w:hAnsi="Times New Roman"/>
        </w:rPr>
        <w:t>The Commission estimate</w:t>
      </w:r>
      <w:r w:rsidR="00C0038C" w:rsidRPr="003765F9">
        <w:rPr>
          <w:rFonts w:ascii="Times New Roman" w:hAnsi="Times New Roman"/>
        </w:rPr>
        <w:t>s</w:t>
      </w:r>
      <w:r w:rsidR="0095437A" w:rsidRPr="003765F9">
        <w:rPr>
          <w:rFonts w:ascii="Times New Roman" w:hAnsi="Times New Roman"/>
        </w:rPr>
        <w:t xml:space="preserve"> </w:t>
      </w:r>
      <w:r w:rsidR="00C0038C" w:rsidRPr="003765F9">
        <w:rPr>
          <w:rFonts w:ascii="Times New Roman" w:hAnsi="Times New Roman"/>
        </w:rPr>
        <w:t>t</w:t>
      </w:r>
      <w:r w:rsidR="00AA138C" w:rsidRPr="003765F9">
        <w:rPr>
          <w:rFonts w:ascii="Times New Roman" w:hAnsi="Times New Roman"/>
        </w:rPr>
        <w:t xml:space="preserve">he </w:t>
      </w:r>
      <w:r w:rsidR="0010375A" w:rsidRPr="003765F9">
        <w:rPr>
          <w:rFonts w:ascii="Times New Roman" w:hAnsi="Times New Roman"/>
        </w:rPr>
        <w:t xml:space="preserve">aggregate additional </w:t>
      </w:r>
      <w:r w:rsidR="00DD58A3" w:rsidRPr="003765F9">
        <w:rPr>
          <w:rFonts w:ascii="Times New Roman" w:hAnsi="Times New Roman"/>
        </w:rPr>
        <w:t xml:space="preserve">hours </w:t>
      </w:r>
      <w:r w:rsidR="00AA138C" w:rsidRPr="003765F9">
        <w:rPr>
          <w:rFonts w:ascii="Times New Roman" w:hAnsi="Times New Roman"/>
        </w:rPr>
        <w:t>burden associated with th</w:t>
      </w:r>
      <w:r w:rsidR="0010375A" w:rsidRPr="003765F9">
        <w:rPr>
          <w:rFonts w:ascii="Times New Roman" w:hAnsi="Times New Roman"/>
        </w:rPr>
        <w:t xml:space="preserve">e </w:t>
      </w:r>
      <w:r w:rsidR="00AA138C" w:rsidRPr="003765F9">
        <w:rPr>
          <w:rFonts w:ascii="Times New Roman" w:hAnsi="Times New Roman"/>
        </w:rPr>
        <w:t xml:space="preserve">information collection </w:t>
      </w:r>
      <w:r w:rsidR="0010375A" w:rsidRPr="003765F9">
        <w:rPr>
          <w:rFonts w:ascii="Times New Roman" w:hAnsi="Times New Roman"/>
        </w:rPr>
        <w:t xml:space="preserve">in the </w:t>
      </w:r>
      <w:r w:rsidR="003327F5" w:rsidRPr="003765F9">
        <w:rPr>
          <w:rFonts w:ascii="Times New Roman" w:hAnsi="Times New Roman"/>
        </w:rPr>
        <w:t>Final Rule</w:t>
      </w:r>
      <w:r w:rsidR="0010375A" w:rsidRPr="003765F9">
        <w:rPr>
          <w:rFonts w:ascii="Times New Roman" w:hAnsi="Times New Roman"/>
        </w:rPr>
        <w:t xml:space="preserve"> </w:t>
      </w:r>
      <w:r w:rsidR="00AA138C" w:rsidRPr="003765F9">
        <w:rPr>
          <w:rFonts w:ascii="Times New Roman" w:hAnsi="Times New Roman"/>
        </w:rPr>
        <w:t xml:space="preserve">is </w:t>
      </w:r>
      <w:r w:rsidR="00832FE6">
        <w:rPr>
          <w:rFonts w:ascii="Times New Roman" w:hAnsi="Times New Roman"/>
        </w:rPr>
        <w:t>1,404</w:t>
      </w:r>
      <w:r w:rsidR="00832FE6" w:rsidRPr="003765F9">
        <w:rPr>
          <w:rFonts w:ascii="Times New Roman" w:hAnsi="Times New Roman"/>
        </w:rPr>
        <w:t xml:space="preserve"> </w:t>
      </w:r>
      <w:r w:rsidR="00AA138C" w:rsidRPr="003765F9">
        <w:rPr>
          <w:rFonts w:ascii="Times New Roman" w:hAnsi="Times New Roman"/>
        </w:rPr>
        <w:t>hours</w:t>
      </w:r>
      <w:r w:rsidR="00DA4721" w:rsidRPr="003765F9">
        <w:rPr>
          <w:rFonts w:ascii="Times New Roman" w:hAnsi="Times New Roman"/>
        </w:rPr>
        <w:t xml:space="preserve">.  This burden results from </w:t>
      </w:r>
      <w:r w:rsidR="007B064A">
        <w:rPr>
          <w:rFonts w:ascii="Times New Roman" w:hAnsi="Times New Roman"/>
        </w:rPr>
        <w:t>SDs and MSPs</w:t>
      </w:r>
      <w:r w:rsidR="007B064A" w:rsidRPr="003765F9">
        <w:rPr>
          <w:rFonts w:ascii="Times New Roman" w:hAnsi="Times New Roman"/>
        </w:rPr>
        <w:t xml:space="preserve"> </w:t>
      </w:r>
      <w:r w:rsidR="00152105" w:rsidRPr="003765F9">
        <w:rPr>
          <w:rFonts w:ascii="Times New Roman" w:hAnsi="Times New Roman"/>
        </w:rPr>
        <w:t xml:space="preserve">including </w:t>
      </w:r>
      <w:r w:rsidR="007B064A" w:rsidRPr="003765F9">
        <w:rPr>
          <w:rFonts w:ascii="Times New Roman" w:hAnsi="Times New Roman"/>
        </w:rPr>
        <w:t xml:space="preserve">the representation </w:t>
      </w:r>
      <w:r w:rsidR="00927DA4">
        <w:rPr>
          <w:rFonts w:ascii="Times New Roman" w:hAnsi="Times New Roman"/>
        </w:rPr>
        <w:t>in</w:t>
      </w:r>
      <w:r w:rsidR="007B064A" w:rsidRPr="003765F9">
        <w:rPr>
          <w:rFonts w:ascii="Times New Roman" w:hAnsi="Times New Roman"/>
        </w:rPr>
        <w:t xml:space="preserve"> Commission regulation 23.161(d)(2)(ii)(B)</w:t>
      </w:r>
      <w:r w:rsidR="007B064A">
        <w:rPr>
          <w:rFonts w:ascii="Times New Roman" w:hAnsi="Times New Roman"/>
        </w:rPr>
        <w:t xml:space="preserve"> </w:t>
      </w:r>
      <w:r w:rsidR="00152105" w:rsidRPr="003765F9">
        <w:rPr>
          <w:rFonts w:ascii="Times New Roman" w:hAnsi="Times New Roman"/>
        </w:rPr>
        <w:t xml:space="preserve">in their </w:t>
      </w:r>
      <w:r w:rsidR="0044146C" w:rsidRPr="003765F9">
        <w:rPr>
          <w:rFonts w:ascii="Times New Roman" w:hAnsi="Times New Roman"/>
        </w:rPr>
        <w:t xml:space="preserve">swap trading relationship documentation </w:t>
      </w:r>
      <w:r w:rsidR="007E6C96">
        <w:rPr>
          <w:rFonts w:ascii="Times New Roman" w:hAnsi="Times New Roman"/>
        </w:rPr>
        <w:t>relating to the transfer of legacy swaps</w:t>
      </w:r>
      <w:r w:rsidR="0044146C" w:rsidRPr="003765F9">
        <w:rPr>
          <w:rFonts w:ascii="Times New Roman" w:hAnsi="Times New Roman"/>
        </w:rPr>
        <w:t>.</w:t>
      </w:r>
      <w:r w:rsidR="00DA4721" w:rsidRPr="003765F9">
        <w:rPr>
          <w:rFonts w:ascii="Times New Roman" w:hAnsi="Times New Roman"/>
        </w:rPr>
        <w:t xml:space="preserve"> </w:t>
      </w:r>
      <w:r w:rsidR="00897DB1" w:rsidRPr="003765F9">
        <w:rPr>
          <w:rFonts w:ascii="Times New Roman" w:hAnsi="Times New Roman"/>
        </w:rPr>
        <w:t xml:space="preserve"> </w:t>
      </w:r>
      <w:r w:rsidR="00DA4721" w:rsidRPr="003765F9">
        <w:rPr>
          <w:rFonts w:ascii="Times New Roman" w:hAnsi="Times New Roman"/>
        </w:rPr>
        <w:t xml:space="preserve"> </w:t>
      </w:r>
      <w:r w:rsidR="001E6D60" w:rsidRPr="003765F9" w:rsidDel="0010375A">
        <w:rPr>
          <w:rFonts w:ascii="Times New Roman" w:hAnsi="Times New Roman"/>
        </w:rPr>
        <w:t xml:space="preserve"> </w:t>
      </w:r>
      <w:r w:rsidR="00481D80" w:rsidRPr="003765F9">
        <w:rPr>
          <w:rFonts w:ascii="Times New Roman" w:hAnsi="Times New Roman"/>
        </w:rPr>
        <w:t xml:space="preserve">  </w:t>
      </w:r>
    </w:p>
    <w:p w14:paraId="4A3E858E" w14:textId="77777777" w:rsidR="0044146C" w:rsidRPr="007353C0" w:rsidRDefault="0044146C" w:rsidP="002340D9">
      <w:pPr>
        <w:ind w:firstLine="720"/>
        <w:rPr>
          <w:rFonts w:ascii="Times New Roman" w:hAnsi="Times New Roman"/>
          <w:sz w:val="16"/>
          <w:szCs w:val="16"/>
        </w:rPr>
      </w:pPr>
    </w:p>
    <w:tbl>
      <w:tblPr>
        <w:tblpPr w:leftFromText="180" w:rightFromText="180" w:vertAnchor="text" w:horzAnchor="page" w:tblpXSpec="center" w:tblpY="209"/>
        <w:tblW w:w="52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2"/>
        <w:gridCol w:w="973"/>
        <w:gridCol w:w="1035"/>
        <w:gridCol w:w="946"/>
        <w:gridCol w:w="946"/>
        <w:gridCol w:w="946"/>
        <w:gridCol w:w="946"/>
        <w:gridCol w:w="946"/>
        <w:gridCol w:w="942"/>
        <w:gridCol w:w="950"/>
      </w:tblGrid>
      <w:tr w:rsidR="003F77A6" w:rsidRPr="007353C0" w14:paraId="6591A9B4" w14:textId="77777777" w:rsidTr="007353C0">
        <w:trPr>
          <w:trHeight w:val="1700"/>
          <w:jc w:val="center"/>
        </w:trPr>
        <w:tc>
          <w:tcPr>
            <w:tcW w:w="1451" w:type="dxa"/>
          </w:tcPr>
          <w:p w14:paraId="5B9687B4" w14:textId="77777777" w:rsidR="0044146C" w:rsidRPr="007353C0" w:rsidRDefault="0044146C" w:rsidP="003F77A6">
            <w:pPr>
              <w:jc w:val="center"/>
              <w:rPr>
                <w:rFonts w:ascii="Times New Roman" w:hAnsi="Times New Roman"/>
                <w:sz w:val="16"/>
                <w:szCs w:val="16"/>
              </w:rPr>
            </w:pPr>
            <w:r w:rsidRPr="007353C0">
              <w:rPr>
                <w:rFonts w:ascii="Times New Roman" w:hAnsi="Times New Roman"/>
                <w:sz w:val="16"/>
                <w:szCs w:val="16"/>
              </w:rPr>
              <w:t>Requirement</w:t>
            </w:r>
          </w:p>
        </w:tc>
        <w:tc>
          <w:tcPr>
            <w:tcW w:w="973" w:type="dxa"/>
          </w:tcPr>
          <w:p w14:paraId="38E0EC8B" w14:textId="77777777" w:rsidR="0044146C" w:rsidRPr="007353C0" w:rsidRDefault="0044146C" w:rsidP="003F77A6">
            <w:pPr>
              <w:jc w:val="center"/>
              <w:rPr>
                <w:rFonts w:ascii="Times New Roman" w:hAnsi="Times New Roman"/>
                <w:sz w:val="16"/>
                <w:szCs w:val="16"/>
              </w:rPr>
            </w:pPr>
            <w:r w:rsidRPr="007353C0">
              <w:rPr>
                <w:rFonts w:ascii="Times New Roman" w:hAnsi="Times New Roman"/>
                <w:sz w:val="16"/>
                <w:szCs w:val="16"/>
              </w:rPr>
              <w:t>Estimated Number of Registrants Per Year</w:t>
            </w:r>
          </w:p>
        </w:tc>
        <w:tc>
          <w:tcPr>
            <w:tcW w:w="1035" w:type="dxa"/>
          </w:tcPr>
          <w:p w14:paraId="27DF5668" w14:textId="77777777" w:rsidR="0044146C" w:rsidRPr="007353C0" w:rsidRDefault="0044146C" w:rsidP="003F77A6">
            <w:pPr>
              <w:jc w:val="center"/>
              <w:rPr>
                <w:rFonts w:ascii="Times New Roman" w:hAnsi="Times New Roman"/>
                <w:sz w:val="16"/>
                <w:szCs w:val="16"/>
              </w:rPr>
            </w:pPr>
            <w:r w:rsidRPr="007353C0">
              <w:rPr>
                <w:rFonts w:ascii="Times New Roman" w:hAnsi="Times New Roman"/>
                <w:sz w:val="16"/>
                <w:szCs w:val="16"/>
              </w:rPr>
              <w:t>Frequency of Response</w:t>
            </w:r>
          </w:p>
        </w:tc>
        <w:tc>
          <w:tcPr>
            <w:tcW w:w="946" w:type="dxa"/>
          </w:tcPr>
          <w:p w14:paraId="3E029951" w14:textId="77777777" w:rsidR="0044146C" w:rsidRPr="007353C0" w:rsidRDefault="00832FE6" w:rsidP="003F77A6">
            <w:pPr>
              <w:jc w:val="center"/>
              <w:rPr>
                <w:rFonts w:ascii="Times New Roman" w:hAnsi="Times New Roman"/>
                <w:sz w:val="16"/>
                <w:szCs w:val="16"/>
              </w:rPr>
            </w:pPr>
            <w:r>
              <w:rPr>
                <w:rFonts w:ascii="Times New Roman" w:hAnsi="Times New Roman"/>
                <w:sz w:val="16"/>
                <w:szCs w:val="16"/>
              </w:rPr>
              <w:t xml:space="preserve">Estimated </w:t>
            </w:r>
            <w:r w:rsidR="0044146C" w:rsidRPr="007353C0">
              <w:rPr>
                <w:rFonts w:ascii="Times New Roman" w:hAnsi="Times New Roman"/>
                <w:sz w:val="16"/>
                <w:szCs w:val="16"/>
              </w:rPr>
              <w:t>Number of Responses Per Registrant</w:t>
            </w:r>
          </w:p>
          <w:p w14:paraId="04C0817C" w14:textId="77777777" w:rsidR="0044146C" w:rsidRPr="007353C0" w:rsidRDefault="0044146C" w:rsidP="003F77A6">
            <w:pPr>
              <w:jc w:val="center"/>
              <w:rPr>
                <w:rFonts w:ascii="Times New Roman" w:hAnsi="Times New Roman"/>
                <w:sz w:val="16"/>
                <w:szCs w:val="16"/>
              </w:rPr>
            </w:pPr>
            <w:r w:rsidRPr="007353C0">
              <w:rPr>
                <w:rFonts w:ascii="Times New Roman" w:hAnsi="Times New Roman"/>
                <w:sz w:val="16"/>
                <w:szCs w:val="16"/>
              </w:rPr>
              <w:t>Annually</w:t>
            </w:r>
          </w:p>
        </w:tc>
        <w:tc>
          <w:tcPr>
            <w:tcW w:w="946" w:type="dxa"/>
          </w:tcPr>
          <w:p w14:paraId="68342958" w14:textId="77777777" w:rsidR="0044146C" w:rsidRPr="007353C0" w:rsidRDefault="0044146C" w:rsidP="003F77A6">
            <w:pPr>
              <w:jc w:val="center"/>
              <w:rPr>
                <w:rFonts w:ascii="Times New Roman" w:hAnsi="Times New Roman"/>
                <w:sz w:val="16"/>
                <w:szCs w:val="16"/>
              </w:rPr>
            </w:pPr>
            <w:r w:rsidRPr="007353C0">
              <w:rPr>
                <w:rFonts w:ascii="Times New Roman" w:hAnsi="Times New Roman"/>
                <w:sz w:val="16"/>
                <w:szCs w:val="16"/>
              </w:rPr>
              <w:t>Aggregate</w:t>
            </w:r>
          </w:p>
          <w:p w14:paraId="3422F0C2" w14:textId="77777777" w:rsidR="0044146C" w:rsidRPr="007353C0" w:rsidRDefault="0044146C" w:rsidP="003F77A6">
            <w:pPr>
              <w:jc w:val="center"/>
              <w:rPr>
                <w:rFonts w:ascii="Times New Roman" w:hAnsi="Times New Roman"/>
                <w:sz w:val="16"/>
                <w:szCs w:val="16"/>
              </w:rPr>
            </w:pPr>
            <w:r w:rsidRPr="007353C0">
              <w:rPr>
                <w:rFonts w:ascii="Times New Roman" w:hAnsi="Times New Roman"/>
                <w:sz w:val="16"/>
                <w:szCs w:val="16"/>
              </w:rPr>
              <w:t>Number of  Responses</w:t>
            </w:r>
          </w:p>
          <w:p w14:paraId="3B7B0982" w14:textId="77777777" w:rsidR="0044146C" w:rsidRPr="007353C0" w:rsidRDefault="0044146C" w:rsidP="003F77A6">
            <w:pPr>
              <w:jc w:val="center"/>
              <w:rPr>
                <w:rFonts w:ascii="Times New Roman" w:hAnsi="Times New Roman"/>
                <w:sz w:val="16"/>
                <w:szCs w:val="16"/>
              </w:rPr>
            </w:pPr>
            <w:r w:rsidRPr="007353C0">
              <w:rPr>
                <w:rFonts w:ascii="Times New Roman" w:hAnsi="Times New Roman"/>
                <w:sz w:val="16"/>
                <w:szCs w:val="16"/>
              </w:rPr>
              <w:t>Annually</w:t>
            </w:r>
          </w:p>
          <w:p w14:paraId="7A28A18E" w14:textId="77777777" w:rsidR="0044146C" w:rsidRPr="007353C0" w:rsidRDefault="0044146C" w:rsidP="003F77A6">
            <w:pPr>
              <w:jc w:val="center"/>
              <w:rPr>
                <w:rFonts w:ascii="Times New Roman" w:hAnsi="Times New Roman"/>
                <w:sz w:val="16"/>
                <w:szCs w:val="16"/>
              </w:rPr>
            </w:pPr>
          </w:p>
        </w:tc>
        <w:tc>
          <w:tcPr>
            <w:tcW w:w="946" w:type="dxa"/>
          </w:tcPr>
          <w:p w14:paraId="03CAC2EB" w14:textId="77777777" w:rsidR="0044146C" w:rsidRPr="007353C0" w:rsidRDefault="0044146C" w:rsidP="003F77A6">
            <w:pPr>
              <w:jc w:val="center"/>
              <w:rPr>
                <w:rFonts w:ascii="Times New Roman" w:hAnsi="Times New Roman"/>
                <w:sz w:val="16"/>
                <w:szCs w:val="16"/>
              </w:rPr>
            </w:pPr>
            <w:r w:rsidRPr="007353C0">
              <w:rPr>
                <w:rFonts w:ascii="Times New Roman" w:hAnsi="Times New Roman"/>
                <w:sz w:val="16"/>
                <w:szCs w:val="16"/>
              </w:rPr>
              <w:t>Estimated Average Number of Hours Per Response</w:t>
            </w:r>
          </w:p>
          <w:p w14:paraId="14A46E4A" w14:textId="77777777" w:rsidR="0044146C" w:rsidRPr="007353C0" w:rsidRDefault="0044146C" w:rsidP="003F77A6">
            <w:pPr>
              <w:jc w:val="center"/>
              <w:rPr>
                <w:rFonts w:ascii="Times New Roman" w:hAnsi="Times New Roman"/>
                <w:sz w:val="16"/>
                <w:szCs w:val="16"/>
              </w:rPr>
            </w:pPr>
          </w:p>
        </w:tc>
        <w:tc>
          <w:tcPr>
            <w:tcW w:w="946" w:type="dxa"/>
          </w:tcPr>
          <w:p w14:paraId="0327DA36" w14:textId="77777777" w:rsidR="0044146C" w:rsidRPr="007353C0" w:rsidRDefault="0044146C" w:rsidP="003F77A6">
            <w:pPr>
              <w:jc w:val="center"/>
              <w:rPr>
                <w:rFonts w:ascii="Times New Roman" w:hAnsi="Times New Roman"/>
                <w:sz w:val="16"/>
                <w:szCs w:val="16"/>
              </w:rPr>
            </w:pPr>
            <w:r w:rsidRPr="007353C0">
              <w:rPr>
                <w:rFonts w:ascii="Times New Roman" w:hAnsi="Times New Roman"/>
                <w:sz w:val="16"/>
                <w:szCs w:val="16"/>
              </w:rPr>
              <w:t>Estimated Annual Hour Burden Per Registrant</w:t>
            </w:r>
          </w:p>
          <w:p w14:paraId="2AEB0E7A" w14:textId="77777777" w:rsidR="0044146C" w:rsidRPr="007353C0" w:rsidRDefault="0044146C" w:rsidP="003F77A6">
            <w:pPr>
              <w:jc w:val="center"/>
              <w:rPr>
                <w:rFonts w:ascii="Times New Roman" w:hAnsi="Times New Roman"/>
                <w:sz w:val="16"/>
                <w:szCs w:val="16"/>
              </w:rPr>
            </w:pPr>
          </w:p>
        </w:tc>
        <w:tc>
          <w:tcPr>
            <w:tcW w:w="946" w:type="dxa"/>
          </w:tcPr>
          <w:p w14:paraId="16973564" w14:textId="77777777" w:rsidR="0044146C" w:rsidRPr="007353C0" w:rsidRDefault="0044146C" w:rsidP="003F77A6">
            <w:pPr>
              <w:jc w:val="center"/>
              <w:rPr>
                <w:rFonts w:ascii="Times New Roman" w:hAnsi="Times New Roman"/>
                <w:sz w:val="16"/>
                <w:szCs w:val="16"/>
              </w:rPr>
            </w:pPr>
            <w:r w:rsidRPr="007353C0">
              <w:rPr>
                <w:rFonts w:ascii="Times New Roman" w:hAnsi="Times New Roman"/>
                <w:sz w:val="16"/>
                <w:szCs w:val="16"/>
              </w:rPr>
              <w:t>Estimated Aggregate Hour Burden</w:t>
            </w:r>
          </w:p>
        </w:tc>
        <w:tc>
          <w:tcPr>
            <w:tcW w:w="942" w:type="dxa"/>
          </w:tcPr>
          <w:p w14:paraId="41E80A5B" w14:textId="77777777" w:rsidR="0044146C" w:rsidRPr="007353C0" w:rsidRDefault="0044146C" w:rsidP="003F77A6">
            <w:pPr>
              <w:jc w:val="center"/>
              <w:rPr>
                <w:rFonts w:ascii="Times New Roman" w:hAnsi="Times New Roman"/>
                <w:sz w:val="16"/>
                <w:szCs w:val="16"/>
              </w:rPr>
            </w:pPr>
            <w:r w:rsidRPr="007353C0">
              <w:rPr>
                <w:rFonts w:ascii="Times New Roman" w:hAnsi="Times New Roman"/>
                <w:sz w:val="16"/>
                <w:szCs w:val="16"/>
              </w:rPr>
              <w:t>Estimated Annual Cost Per Registrant</w:t>
            </w:r>
            <w:r w:rsidRPr="007353C0">
              <w:rPr>
                <w:rFonts w:ascii="Times New Roman" w:hAnsi="Times New Roman"/>
                <w:sz w:val="16"/>
                <w:szCs w:val="16"/>
                <w:vertAlign w:val="superscript"/>
              </w:rPr>
              <w:footnoteReference w:id="5"/>
            </w:r>
          </w:p>
          <w:p w14:paraId="7DE21467" w14:textId="77777777" w:rsidR="0044146C" w:rsidRPr="007353C0" w:rsidRDefault="0044146C" w:rsidP="003F77A6">
            <w:pPr>
              <w:jc w:val="center"/>
              <w:rPr>
                <w:rFonts w:ascii="Times New Roman" w:hAnsi="Times New Roman"/>
                <w:sz w:val="16"/>
                <w:szCs w:val="16"/>
              </w:rPr>
            </w:pPr>
          </w:p>
        </w:tc>
        <w:tc>
          <w:tcPr>
            <w:tcW w:w="950" w:type="dxa"/>
          </w:tcPr>
          <w:p w14:paraId="6535C155" w14:textId="77777777" w:rsidR="0044146C" w:rsidRPr="007353C0" w:rsidRDefault="0044146C" w:rsidP="003F77A6">
            <w:pPr>
              <w:jc w:val="center"/>
              <w:rPr>
                <w:rFonts w:ascii="Times New Roman" w:hAnsi="Times New Roman"/>
                <w:sz w:val="16"/>
                <w:szCs w:val="16"/>
              </w:rPr>
            </w:pPr>
            <w:r w:rsidRPr="007353C0">
              <w:rPr>
                <w:rFonts w:ascii="Times New Roman" w:hAnsi="Times New Roman"/>
                <w:sz w:val="16"/>
                <w:szCs w:val="16"/>
              </w:rPr>
              <w:t>Estimated Aggregate Annual Cost</w:t>
            </w:r>
          </w:p>
          <w:p w14:paraId="5A46B4C4" w14:textId="77777777" w:rsidR="0044146C" w:rsidRPr="007353C0" w:rsidRDefault="0044146C" w:rsidP="003F77A6">
            <w:pPr>
              <w:jc w:val="center"/>
              <w:rPr>
                <w:rFonts w:ascii="Times New Roman" w:hAnsi="Times New Roman"/>
                <w:sz w:val="16"/>
                <w:szCs w:val="16"/>
              </w:rPr>
            </w:pPr>
          </w:p>
        </w:tc>
      </w:tr>
      <w:tr w:rsidR="003F77A6" w:rsidRPr="007353C0" w14:paraId="6115A9AF" w14:textId="77777777" w:rsidTr="007353C0">
        <w:trPr>
          <w:trHeight w:val="1700"/>
          <w:jc w:val="center"/>
        </w:trPr>
        <w:tc>
          <w:tcPr>
            <w:tcW w:w="1451" w:type="dxa"/>
          </w:tcPr>
          <w:p w14:paraId="20284AD0" w14:textId="77777777" w:rsidR="007E6C96" w:rsidRPr="007353C0" w:rsidRDefault="007E6C96" w:rsidP="003F77A6">
            <w:pPr>
              <w:rPr>
                <w:rFonts w:ascii="Times New Roman" w:hAnsi="Times New Roman"/>
                <w:sz w:val="16"/>
                <w:szCs w:val="16"/>
              </w:rPr>
            </w:pPr>
            <w:r w:rsidRPr="007353C0">
              <w:rPr>
                <w:rFonts w:ascii="Times New Roman" w:hAnsi="Times New Roman"/>
                <w:sz w:val="16"/>
                <w:szCs w:val="16"/>
              </w:rPr>
              <w:t>23.161(d)</w:t>
            </w:r>
            <w:r w:rsidR="00796FC4">
              <w:rPr>
                <w:rFonts w:ascii="Times New Roman" w:hAnsi="Times New Roman"/>
                <w:sz w:val="16"/>
                <w:szCs w:val="16"/>
              </w:rPr>
              <w:t>(2)(ii)(B)</w:t>
            </w:r>
          </w:p>
          <w:p w14:paraId="44CAE108" w14:textId="77777777" w:rsidR="0044146C" w:rsidRPr="007353C0" w:rsidRDefault="0044146C" w:rsidP="007353C0">
            <w:pPr>
              <w:rPr>
                <w:rFonts w:ascii="Times New Roman" w:hAnsi="Times New Roman"/>
                <w:b/>
                <w:sz w:val="16"/>
                <w:szCs w:val="16"/>
              </w:rPr>
            </w:pPr>
          </w:p>
        </w:tc>
        <w:tc>
          <w:tcPr>
            <w:tcW w:w="973" w:type="dxa"/>
          </w:tcPr>
          <w:p w14:paraId="3627D715" w14:textId="77777777" w:rsidR="0044146C" w:rsidRPr="007353C0" w:rsidRDefault="00832FE6" w:rsidP="003F77A6">
            <w:pPr>
              <w:rPr>
                <w:rFonts w:ascii="Times New Roman" w:hAnsi="Times New Roman"/>
                <w:sz w:val="16"/>
                <w:szCs w:val="16"/>
              </w:rPr>
            </w:pPr>
            <w:r>
              <w:rPr>
                <w:rFonts w:ascii="Times New Roman" w:hAnsi="Times New Roman"/>
                <w:sz w:val="16"/>
                <w:szCs w:val="16"/>
              </w:rPr>
              <w:t>52</w:t>
            </w:r>
            <w:r>
              <w:rPr>
                <w:rStyle w:val="FootnoteReference"/>
                <w:rFonts w:ascii="Times New Roman" w:hAnsi="Times New Roman"/>
                <w:sz w:val="16"/>
                <w:szCs w:val="16"/>
              </w:rPr>
              <w:footnoteReference w:id="6"/>
            </w:r>
          </w:p>
        </w:tc>
        <w:tc>
          <w:tcPr>
            <w:tcW w:w="1035" w:type="dxa"/>
          </w:tcPr>
          <w:p w14:paraId="31731F0A" w14:textId="77777777" w:rsidR="0044146C" w:rsidRPr="007353C0" w:rsidRDefault="0044146C" w:rsidP="003F77A6">
            <w:pPr>
              <w:rPr>
                <w:rFonts w:ascii="Times New Roman" w:hAnsi="Times New Roman"/>
                <w:sz w:val="16"/>
                <w:szCs w:val="16"/>
              </w:rPr>
            </w:pPr>
            <w:r w:rsidRPr="007353C0">
              <w:rPr>
                <w:rFonts w:ascii="Times New Roman" w:hAnsi="Times New Roman"/>
                <w:sz w:val="16"/>
                <w:szCs w:val="16"/>
              </w:rPr>
              <w:t>At least once per counterparty</w:t>
            </w:r>
          </w:p>
        </w:tc>
        <w:tc>
          <w:tcPr>
            <w:tcW w:w="946" w:type="dxa"/>
          </w:tcPr>
          <w:p w14:paraId="287A9761" w14:textId="77777777" w:rsidR="0044146C" w:rsidRPr="007353C0" w:rsidRDefault="0044146C" w:rsidP="003F77A6">
            <w:pPr>
              <w:rPr>
                <w:rFonts w:ascii="Times New Roman" w:hAnsi="Times New Roman"/>
                <w:sz w:val="16"/>
                <w:szCs w:val="16"/>
              </w:rPr>
            </w:pPr>
            <w:r w:rsidRPr="007353C0">
              <w:rPr>
                <w:rFonts w:ascii="Times New Roman" w:hAnsi="Times New Roman"/>
                <w:sz w:val="16"/>
                <w:szCs w:val="16"/>
              </w:rPr>
              <w:t>540</w:t>
            </w:r>
          </w:p>
        </w:tc>
        <w:tc>
          <w:tcPr>
            <w:tcW w:w="946" w:type="dxa"/>
          </w:tcPr>
          <w:p w14:paraId="020E286D" w14:textId="77777777" w:rsidR="0044146C" w:rsidRDefault="00832FE6" w:rsidP="003F77A6">
            <w:pPr>
              <w:rPr>
                <w:rFonts w:ascii="Times New Roman" w:hAnsi="Times New Roman"/>
                <w:sz w:val="16"/>
                <w:szCs w:val="16"/>
              </w:rPr>
            </w:pPr>
            <w:r>
              <w:rPr>
                <w:rFonts w:ascii="Times New Roman" w:hAnsi="Times New Roman"/>
                <w:sz w:val="16"/>
                <w:szCs w:val="16"/>
              </w:rPr>
              <w:t>28,080</w:t>
            </w:r>
          </w:p>
          <w:p w14:paraId="74319C4F" w14:textId="77777777" w:rsidR="00832FE6" w:rsidRPr="007353C0" w:rsidRDefault="00832FE6" w:rsidP="003F77A6">
            <w:pPr>
              <w:rPr>
                <w:rFonts w:ascii="Times New Roman" w:hAnsi="Times New Roman"/>
                <w:sz w:val="16"/>
                <w:szCs w:val="16"/>
              </w:rPr>
            </w:pPr>
            <w:r>
              <w:rPr>
                <w:rFonts w:ascii="Times New Roman" w:hAnsi="Times New Roman"/>
                <w:sz w:val="16"/>
                <w:szCs w:val="16"/>
              </w:rPr>
              <w:t>[52 x 540]</w:t>
            </w:r>
          </w:p>
        </w:tc>
        <w:tc>
          <w:tcPr>
            <w:tcW w:w="946" w:type="dxa"/>
          </w:tcPr>
          <w:p w14:paraId="2E46842E" w14:textId="77777777" w:rsidR="0044146C" w:rsidRPr="007353C0" w:rsidRDefault="001B45F9" w:rsidP="003F77A6">
            <w:pPr>
              <w:rPr>
                <w:rFonts w:ascii="Times New Roman" w:hAnsi="Times New Roman"/>
                <w:sz w:val="16"/>
                <w:szCs w:val="16"/>
              </w:rPr>
            </w:pPr>
            <w:r w:rsidRPr="007353C0">
              <w:rPr>
                <w:rFonts w:ascii="Times New Roman" w:hAnsi="Times New Roman"/>
                <w:sz w:val="16"/>
                <w:szCs w:val="16"/>
              </w:rPr>
              <w:t>.0</w:t>
            </w:r>
            <w:r w:rsidR="00832FE6">
              <w:rPr>
                <w:rFonts w:ascii="Times New Roman" w:hAnsi="Times New Roman"/>
                <w:sz w:val="16"/>
                <w:szCs w:val="16"/>
              </w:rPr>
              <w:t>5 hours</w:t>
            </w:r>
          </w:p>
        </w:tc>
        <w:tc>
          <w:tcPr>
            <w:tcW w:w="946" w:type="dxa"/>
          </w:tcPr>
          <w:p w14:paraId="62499E51" w14:textId="77777777" w:rsidR="0044146C" w:rsidRDefault="001B45F9" w:rsidP="007353C0">
            <w:pPr>
              <w:rPr>
                <w:rFonts w:ascii="Times New Roman" w:hAnsi="Times New Roman"/>
                <w:sz w:val="16"/>
                <w:szCs w:val="16"/>
              </w:rPr>
            </w:pPr>
            <w:r w:rsidRPr="007353C0">
              <w:rPr>
                <w:rFonts w:ascii="Times New Roman" w:hAnsi="Times New Roman"/>
                <w:sz w:val="16"/>
                <w:szCs w:val="16"/>
              </w:rPr>
              <w:t xml:space="preserve"> </w:t>
            </w:r>
            <w:r w:rsidR="00832FE6">
              <w:rPr>
                <w:rFonts w:ascii="Times New Roman" w:hAnsi="Times New Roman"/>
                <w:sz w:val="16"/>
                <w:szCs w:val="16"/>
              </w:rPr>
              <w:t>27</w:t>
            </w:r>
            <w:r w:rsidR="007676F5" w:rsidRPr="007353C0">
              <w:rPr>
                <w:rFonts w:ascii="Times New Roman" w:hAnsi="Times New Roman"/>
                <w:sz w:val="16"/>
                <w:szCs w:val="16"/>
              </w:rPr>
              <w:t xml:space="preserve"> </w:t>
            </w:r>
            <w:r w:rsidR="0044146C" w:rsidRPr="007353C0">
              <w:rPr>
                <w:rFonts w:ascii="Times New Roman" w:hAnsi="Times New Roman"/>
                <w:sz w:val="16"/>
                <w:szCs w:val="16"/>
              </w:rPr>
              <w:t>hours</w:t>
            </w:r>
          </w:p>
          <w:p w14:paraId="3D4B7FD0" w14:textId="77777777" w:rsidR="00832FE6" w:rsidRPr="007353C0" w:rsidRDefault="00832FE6" w:rsidP="007353C0">
            <w:pPr>
              <w:rPr>
                <w:rFonts w:ascii="Times New Roman" w:hAnsi="Times New Roman"/>
                <w:sz w:val="16"/>
                <w:szCs w:val="16"/>
              </w:rPr>
            </w:pPr>
            <w:r>
              <w:rPr>
                <w:rFonts w:ascii="Times New Roman" w:hAnsi="Times New Roman"/>
                <w:sz w:val="16"/>
                <w:szCs w:val="16"/>
              </w:rPr>
              <w:t xml:space="preserve">[540 x .05 hours] </w:t>
            </w:r>
          </w:p>
        </w:tc>
        <w:tc>
          <w:tcPr>
            <w:tcW w:w="946" w:type="dxa"/>
          </w:tcPr>
          <w:p w14:paraId="1473281B" w14:textId="77777777" w:rsidR="0044146C" w:rsidRDefault="00832FE6" w:rsidP="003F77A6">
            <w:pPr>
              <w:rPr>
                <w:rFonts w:ascii="Times New Roman" w:hAnsi="Times New Roman"/>
                <w:sz w:val="16"/>
                <w:szCs w:val="16"/>
              </w:rPr>
            </w:pPr>
            <w:r>
              <w:rPr>
                <w:rFonts w:ascii="Times New Roman" w:hAnsi="Times New Roman"/>
                <w:sz w:val="16"/>
                <w:szCs w:val="16"/>
              </w:rPr>
              <w:t>1,404</w:t>
            </w:r>
            <w:r w:rsidR="0044146C" w:rsidRPr="007353C0">
              <w:rPr>
                <w:rFonts w:ascii="Times New Roman" w:hAnsi="Times New Roman"/>
                <w:sz w:val="16"/>
                <w:szCs w:val="16"/>
              </w:rPr>
              <w:t xml:space="preserve"> hours</w:t>
            </w:r>
          </w:p>
          <w:p w14:paraId="20D6499C" w14:textId="77777777" w:rsidR="00832FE6" w:rsidRPr="007353C0" w:rsidRDefault="00832FE6" w:rsidP="003F77A6">
            <w:pPr>
              <w:rPr>
                <w:rFonts w:ascii="Times New Roman" w:hAnsi="Times New Roman"/>
                <w:sz w:val="16"/>
                <w:szCs w:val="16"/>
              </w:rPr>
            </w:pPr>
            <w:r>
              <w:rPr>
                <w:rFonts w:ascii="Times New Roman" w:hAnsi="Times New Roman"/>
                <w:sz w:val="16"/>
                <w:szCs w:val="16"/>
              </w:rPr>
              <w:t>[28,080 * .05 hours]</w:t>
            </w:r>
          </w:p>
        </w:tc>
        <w:tc>
          <w:tcPr>
            <w:tcW w:w="942" w:type="dxa"/>
          </w:tcPr>
          <w:p w14:paraId="57D2A92E" w14:textId="77777777" w:rsidR="0044146C" w:rsidRPr="007353C0" w:rsidRDefault="0044146C" w:rsidP="003F77A6">
            <w:pPr>
              <w:rPr>
                <w:rFonts w:ascii="Times New Roman" w:hAnsi="Times New Roman"/>
                <w:sz w:val="16"/>
                <w:szCs w:val="16"/>
              </w:rPr>
            </w:pPr>
            <w:r w:rsidRPr="007353C0">
              <w:rPr>
                <w:rFonts w:ascii="Times New Roman" w:hAnsi="Times New Roman"/>
                <w:sz w:val="16"/>
                <w:szCs w:val="16"/>
              </w:rPr>
              <w:t>$</w:t>
            </w:r>
            <w:r w:rsidR="00832FE6">
              <w:rPr>
                <w:rFonts w:ascii="Times New Roman" w:hAnsi="Times New Roman"/>
                <w:sz w:val="16"/>
                <w:szCs w:val="16"/>
              </w:rPr>
              <w:t>2,700</w:t>
            </w:r>
          </w:p>
          <w:p w14:paraId="47B13CCD" w14:textId="77777777" w:rsidR="0044146C" w:rsidRPr="007353C0" w:rsidRDefault="0044146C" w:rsidP="007353C0">
            <w:pPr>
              <w:rPr>
                <w:rFonts w:ascii="Times New Roman" w:hAnsi="Times New Roman"/>
                <w:sz w:val="16"/>
                <w:szCs w:val="16"/>
              </w:rPr>
            </w:pPr>
            <w:r w:rsidRPr="007353C0">
              <w:rPr>
                <w:rFonts w:ascii="Times New Roman" w:hAnsi="Times New Roman"/>
                <w:sz w:val="16"/>
                <w:szCs w:val="16"/>
              </w:rPr>
              <w:t>[</w:t>
            </w:r>
            <w:r w:rsidR="00832FE6">
              <w:rPr>
                <w:rFonts w:ascii="Times New Roman" w:hAnsi="Times New Roman"/>
                <w:sz w:val="16"/>
                <w:szCs w:val="16"/>
              </w:rPr>
              <w:t>27</w:t>
            </w:r>
            <w:r w:rsidRPr="007353C0">
              <w:rPr>
                <w:rFonts w:ascii="Times New Roman" w:hAnsi="Times New Roman"/>
                <w:sz w:val="16"/>
                <w:szCs w:val="16"/>
              </w:rPr>
              <w:t xml:space="preserve"> hours x $100]</w:t>
            </w:r>
          </w:p>
        </w:tc>
        <w:tc>
          <w:tcPr>
            <w:tcW w:w="950" w:type="dxa"/>
          </w:tcPr>
          <w:p w14:paraId="75765E4F" w14:textId="77777777" w:rsidR="0044146C" w:rsidRPr="007353C0" w:rsidRDefault="0044146C" w:rsidP="003F77A6">
            <w:pPr>
              <w:rPr>
                <w:rFonts w:ascii="Times New Roman" w:hAnsi="Times New Roman"/>
                <w:sz w:val="16"/>
                <w:szCs w:val="16"/>
              </w:rPr>
            </w:pPr>
            <w:r w:rsidRPr="007353C0">
              <w:rPr>
                <w:rFonts w:ascii="Times New Roman" w:hAnsi="Times New Roman"/>
                <w:sz w:val="16"/>
                <w:szCs w:val="16"/>
              </w:rPr>
              <w:t>$</w:t>
            </w:r>
            <w:r w:rsidR="00832FE6">
              <w:rPr>
                <w:rFonts w:ascii="Times New Roman" w:hAnsi="Times New Roman"/>
                <w:sz w:val="16"/>
                <w:szCs w:val="16"/>
              </w:rPr>
              <w:t>140,400</w:t>
            </w:r>
          </w:p>
          <w:p w14:paraId="590CF4BC" w14:textId="77777777" w:rsidR="0044146C" w:rsidRPr="007353C0" w:rsidRDefault="0044146C" w:rsidP="007353C0">
            <w:pPr>
              <w:rPr>
                <w:rFonts w:ascii="Times New Roman" w:hAnsi="Times New Roman"/>
                <w:sz w:val="16"/>
                <w:szCs w:val="16"/>
              </w:rPr>
            </w:pPr>
            <w:r w:rsidRPr="007353C0">
              <w:rPr>
                <w:rFonts w:ascii="Times New Roman" w:hAnsi="Times New Roman"/>
                <w:sz w:val="16"/>
                <w:szCs w:val="16"/>
              </w:rPr>
              <w:t>[1</w:t>
            </w:r>
            <w:r w:rsidR="00832FE6">
              <w:rPr>
                <w:rFonts w:ascii="Times New Roman" w:hAnsi="Times New Roman"/>
                <w:sz w:val="16"/>
                <w:szCs w:val="16"/>
              </w:rPr>
              <w:t>,404</w:t>
            </w:r>
            <w:r w:rsidRPr="007353C0">
              <w:rPr>
                <w:rFonts w:ascii="Times New Roman" w:hAnsi="Times New Roman"/>
                <w:sz w:val="16"/>
                <w:szCs w:val="16"/>
              </w:rPr>
              <w:t xml:space="preserve"> x </w:t>
            </w:r>
            <w:r w:rsidR="00832FE6">
              <w:rPr>
                <w:rFonts w:ascii="Times New Roman" w:hAnsi="Times New Roman"/>
                <w:sz w:val="16"/>
                <w:szCs w:val="16"/>
              </w:rPr>
              <w:t>$100</w:t>
            </w:r>
            <w:r w:rsidRPr="007353C0">
              <w:rPr>
                <w:rFonts w:ascii="Times New Roman" w:hAnsi="Times New Roman"/>
                <w:sz w:val="16"/>
                <w:szCs w:val="16"/>
              </w:rPr>
              <w:t>]</w:t>
            </w:r>
          </w:p>
        </w:tc>
      </w:tr>
    </w:tbl>
    <w:p w14:paraId="171B932A" w14:textId="77777777" w:rsidR="008F0945" w:rsidRPr="003765F9" w:rsidRDefault="008F0945" w:rsidP="007353C0">
      <w:pPr>
        <w:ind w:firstLine="720"/>
        <w:rPr>
          <w:rFonts w:ascii="Times New Roman" w:hAnsi="Times New Roman"/>
        </w:rPr>
      </w:pPr>
    </w:p>
    <w:sectPr w:rsidR="008F0945" w:rsidRPr="003765F9" w:rsidSect="00AD72CD">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C505E" w14:textId="77777777" w:rsidR="00DE7745" w:rsidRDefault="00DE7745" w:rsidP="000F5E97">
      <w:r>
        <w:separator/>
      </w:r>
    </w:p>
  </w:endnote>
  <w:endnote w:type="continuationSeparator" w:id="0">
    <w:p w14:paraId="6CDF3A50" w14:textId="77777777" w:rsidR="00DE7745" w:rsidRDefault="00DE7745" w:rsidP="000F5E97">
      <w:r>
        <w:continuationSeparator/>
      </w:r>
    </w:p>
  </w:endnote>
  <w:endnote w:type="continuationNotice" w:id="1">
    <w:p w14:paraId="64D3C934" w14:textId="77777777" w:rsidR="00DE7745" w:rsidRDefault="00DE7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23C48" w14:textId="77777777" w:rsidR="002431FB" w:rsidRPr="002431FB" w:rsidRDefault="002431FB">
    <w:pPr>
      <w:pStyle w:val="Footer"/>
      <w:jc w:val="center"/>
      <w:rPr>
        <w:rFonts w:ascii="Times New Roman" w:hAnsi="Times New Roman"/>
      </w:rPr>
    </w:pPr>
    <w:r w:rsidRPr="002431FB">
      <w:rPr>
        <w:rFonts w:ascii="Times New Roman" w:hAnsi="Times New Roman"/>
      </w:rPr>
      <w:fldChar w:fldCharType="begin"/>
    </w:r>
    <w:r w:rsidRPr="002431FB">
      <w:rPr>
        <w:rFonts w:ascii="Times New Roman" w:hAnsi="Times New Roman"/>
      </w:rPr>
      <w:instrText xml:space="preserve"> PAGE   \* MERGEFORMAT </w:instrText>
    </w:r>
    <w:r w:rsidRPr="002431FB">
      <w:rPr>
        <w:rFonts w:ascii="Times New Roman" w:hAnsi="Times New Roman"/>
      </w:rPr>
      <w:fldChar w:fldCharType="separate"/>
    </w:r>
    <w:r w:rsidR="00360582">
      <w:rPr>
        <w:rFonts w:ascii="Times New Roman" w:hAnsi="Times New Roman"/>
        <w:noProof/>
      </w:rPr>
      <w:t>1</w:t>
    </w:r>
    <w:r w:rsidRPr="002431FB">
      <w:rPr>
        <w:rFonts w:ascii="Times New Roman" w:hAnsi="Times New Roman"/>
        <w:noProof/>
      </w:rPr>
      <w:fldChar w:fldCharType="end"/>
    </w:r>
  </w:p>
  <w:p w14:paraId="25FF7910" w14:textId="77777777" w:rsidR="002431FB" w:rsidRDefault="002431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0B56A" w14:textId="77777777" w:rsidR="00DE7745" w:rsidRDefault="00DE7745" w:rsidP="000F5E97">
      <w:r>
        <w:separator/>
      </w:r>
    </w:p>
  </w:footnote>
  <w:footnote w:type="continuationSeparator" w:id="0">
    <w:p w14:paraId="76A18072" w14:textId="77777777" w:rsidR="00DE7745" w:rsidRDefault="00DE7745" w:rsidP="000F5E97">
      <w:r>
        <w:continuationSeparator/>
      </w:r>
    </w:p>
  </w:footnote>
  <w:footnote w:type="continuationNotice" w:id="1">
    <w:p w14:paraId="7660878E" w14:textId="77777777" w:rsidR="00DE7745" w:rsidRDefault="00DE7745"/>
  </w:footnote>
  <w:footnote w:id="2">
    <w:p w14:paraId="17E97E03" w14:textId="77777777" w:rsidR="001E2B2C" w:rsidRPr="00832FE6" w:rsidRDefault="001E2B2C" w:rsidP="001E2B2C">
      <w:pPr>
        <w:pStyle w:val="FootnoteText"/>
        <w:rPr>
          <w:rFonts w:ascii="Times New Roman" w:hAnsi="Times New Roman"/>
        </w:rPr>
      </w:pPr>
      <w:r w:rsidRPr="00832FE6">
        <w:rPr>
          <w:rStyle w:val="FootnoteReference"/>
          <w:rFonts w:ascii="Times New Roman" w:hAnsi="Times New Roman"/>
        </w:rPr>
        <w:footnoteRef/>
      </w:r>
      <w:r w:rsidRPr="00832FE6">
        <w:rPr>
          <w:rFonts w:ascii="Times New Roman" w:hAnsi="Times New Roman"/>
        </w:rPr>
        <w:t xml:space="preserve"> </w:t>
      </w:r>
      <w:r w:rsidR="00772172" w:rsidRPr="00832FE6">
        <w:rPr>
          <w:rFonts w:ascii="Times New Roman" w:hAnsi="Times New Roman"/>
        </w:rPr>
        <w:t xml:space="preserve">Margin Requirements for Uncleared Swaps for Swap Dealers and Major Swap Participants, 81 FR 636 (Jan. 6, 2016) (CFTC Margin Rule).  The CFTC Margin Rule, which became effective April 1, 2016, is codified in part 23 of the Commission’s regulations.  17 CFR 23.150 - 23.159, 23.161.  The Board of Governors of the Federal Reserve System, the Federal Deposit Insurance Corporation, the Office of the Comptroller of the Currency, the Farm Credit Administration, and the Federal Housing Finance Agency published final margin requirements in November 2015.  </w:t>
      </w:r>
      <w:r w:rsidR="00772172" w:rsidRPr="007353C0">
        <w:rPr>
          <w:rFonts w:ascii="Times New Roman" w:hAnsi="Times New Roman"/>
          <w:i/>
        </w:rPr>
        <w:t>See</w:t>
      </w:r>
      <w:r w:rsidR="00772172" w:rsidRPr="00832FE6">
        <w:rPr>
          <w:rFonts w:ascii="Times New Roman" w:hAnsi="Times New Roman"/>
        </w:rPr>
        <w:t xml:space="preserve"> Margin and Capital Requirements for Covered Swap Entities, 80 FR 74840 (Nov. 30, 2015) (Prudential Margin Rule)</w:t>
      </w:r>
      <w:r w:rsidR="00772172">
        <w:rPr>
          <w:rFonts w:ascii="Times New Roman" w:hAnsi="Times New Roman"/>
        </w:rPr>
        <w:t>.</w:t>
      </w:r>
    </w:p>
  </w:footnote>
  <w:footnote w:id="3">
    <w:p w14:paraId="73940510" w14:textId="77777777" w:rsidR="00566AA3" w:rsidRPr="007353C0" w:rsidRDefault="00566AA3" w:rsidP="00566AA3">
      <w:pPr>
        <w:pStyle w:val="FootnoteText"/>
        <w:spacing w:after="120"/>
        <w:rPr>
          <w:rFonts w:ascii="Times New Roman" w:hAnsi="Times New Roman"/>
        </w:rPr>
      </w:pPr>
      <w:r w:rsidRPr="007353C0">
        <w:rPr>
          <w:rStyle w:val="FootnoteReference"/>
          <w:rFonts w:ascii="Times New Roman" w:hAnsi="Times New Roman"/>
        </w:rPr>
        <w:footnoteRef/>
      </w:r>
      <w:r w:rsidRPr="007353C0">
        <w:rPr>
          <w:rFonts w:ascii="Times New Roman" w:hAnsi="Times New Roman"/>
        </w:rPr>
        <w:t xml:space="preserve"> </w:t>
      </w:r>
      <w:r w:rsidRPr="007353C0">
        <w:rPr>
          <w:rFonts w:ascii="Times New Roman" w:hAnsi="Times New Roman"/>
          <w:i/>
        </w:rPr>
        <w:t>See</w:t>
      </w:r>
      <w:r w:rsidRPr="007353C0">
        <w:rPr>
          <w:rFonts w:ascii="Times New Roman" w:hAnsi="Times New Roman"/>
        </w:rPr>
        <w:t xml:space="preserve"> Registration of Swap Dealers and Major Swap Participants, 77 FR 2613, 2620 (Jan. 19, 2012) (SDs and MSPs) and Opting Out of Segregation, 66 FR 20740, 20743 (April 25, 2001) (ECPs).</w:t>
      </w:r>
    </w:p>
  </w:footnote>
  <w:footnote w:id="4">
    <w:p w14:paraId="10933E10" w14:textId="77777777" w:rsidR="0006013A" w:rsidRPr="007353C0" w:rsidRDefault="0006013A" w:rsidP="0006013A">
      <w:pPr>
        <w:pStyle w:val="FootnoteText"/>
        <w:rPr>
          <w:rFonts w:ascii="Times New Roman" w:hAnsi="Times New Roman"/>
        </w:rPr>
      </w:pPr>
      <w:r w:rsidRPr="007353C0">
        <w:rPr>
          <w:rStyle w:val="FootnoteReference"/>
          <w:rFonts w:ascii="Times New Roman" w:hAnsi="Times New Roman"/>
        </w:rPr>
        <w:footnoteRef/>
      </w:r>
      <w:r w:rsidRPr="007353C0">
        <w:rPr>
          <w:rFonts w:ascii="Times New Roman" w:hAnsi="Times New Roman"/>
        </w:rPr>
        <w:t xml:space="preserve"> </w:t>
      </w:r>
      <w:r w:rsidRPr="007353C0">
        <w:rPr>
          <w:rFonts w:ascii="Times New Roman" w:hAnsi="Times New Roman"/>
          <w:i/>
          <w:u w:val="single"/>
        </w:rPr>
        <w:t>See</w:t>
      </w:r>
      <w:r w:rsidRPr="007353C0">
        <w:rPr>
          <w:rFonts w:ascii="Times New Roman" w:hAnsi="Times New Roman"/>
        </w:rPr>
        <w:t xml:space="preserve"> </w:t>
      </w:r>
      <w:r w:rsidRPr="007353C0">
        <w:rPr>
          <w:rFonts w:ascii="Times New Roman" w:hAnsi="Times New Roman"/>
          <w:iCs/>
          <w:u w:val="single"/>
        </w:rPr>
        <w:t>http://www.bls.gov/oes/current/oes_nat.htm.</w:t>
      </w:r>
    </w:p>
  </w:footnote>
  <w:footnote w:id="5">
    <w:p w14:paraId="7BC09A0A" w14:textId="77777777" w:rsidR="0044146C" w:rsidRPr="007353C0" w:rsidRDefault="0044146C" w:rsidP="0044146C">
      <w:pPr>
        <w:pStyle w:val="FootnoteText"/>
        <w:rPr>
          <w:rFonts w:ascii="Times New Roman" w:hAnsi="Times New Roman"/>
          <w:b/>
        </w:rPr>
      </w:pPr>
      <w:r w:rsidRPr="007353C0">
        <w:rPr>
          <w:rStyle w:val="FootnoteReference"/>
          <w:rFonts w:ascii="Times New Roman" w:hAnsi="Times New Roman"/>
        </w:rPr>
        <w:footnoteRef/>
      </w:r>
      <w:r w:rsidRPr="007353C0">
        <w:rPr>
          <w:rFonts w:ascii="Times New Roman" w:hAnsi="Times New Roman"/>
        </w:rPr>
        <w:t xml:space="preserve"> As explained in detail in the response to Question 12, the Commission has used an hourly wage rate of $100 for burden hours.  </w:t>
      </w:r>
      <w:r w:rsidR="00EC5D4C">
        <w:rPr>
          <w:rFonts w:ascii="Times New Roman" w:hAnsi="Times New Roman"/>
        </w:rPr>
        <w:t xml:space="preserve">The </w:t>
      </w:r>
      <w:r w:rsidR="00832FE6">
        <w:rPr>
          <w:rFonts w:ascii="Times New Roman" w:hAnsi="Times New Roman"/>
        </w:rPr>
        <w:t xml:space="preserve">Commission is assuming for purposes of </w:t>
      </w:r>
      <w:r w:rsidR="00EC5D4C">
        <w:rPr>
          <w:rFonts w:ascii="Times New Roman" w:hAnsi="Times New Roman"/>
        </w:rPr>
        <w:t>its estimate</w:t>
      </w:r>
      <w:r w:rsidR="00832FE6">
        <w:rPr>
          <w:rFonts w:ascii="Times New Roman" w:hAnsi="Times New Roman"/>
        </w:rPr>
        <w:t xml:space="preserve"> that the registrant, as opposed to its counterparty,</w:t>
      </w:r>
      <w:r w:rsidR="007D4382">
        <w:rPr>
          <w:rFonts w:ascii="Times New Roman" w:hAnsi="Times New Roman"/>
        </w:rPr>
        <w:t xml:space="preserve"> will incur this</w:t>
      </w:r>
      <w:r w:rsidR="00832FE6">
        <w:rPr>
          <w:rFonts w:ascii="Times New Roman" w:hAnsi="Times New Roman"/>
        </w:rPr>
        <w:t xml:space="preserve"> cost</w:t>
      </w:r>
      <w:r w:rsidR="007D4382">
        <w:rPr>
          <w:rFonts w:ascii="Times New Roman" w:hAnsi="Times New Roman"/>
        </w:rPr>
        <w:t>.</w:t>
      </w:r>
      <w:r w:rsidR="00832FE6">
        <w:rPr>
          <w:rFonts w:ascii="Times New Roman" w:hAnsi="Times New Roman"/>
        </w:rPr>
        <w:t xml:space="preserve"> </w:t>
      </w:r>
      <w:r w:rsidR="007353C0">
        <w:rPr>
          <w:rFonts w:ascii="Times New Roman" w:hAnsi="Times New Roman"/>
        </w:rPr>
        <w:br/>
      </w:r>
    </w:p>
  </w:footnote>
  <w:footnote w:id="6">
    <w:p w14:paraId="26E2749C" w14:textId="77777777" w:rsidR="00832FE6" w:rsidRPr="007353C0" w:rsidRDefault="00832FE6">
      <w:pPr>
        <w:pStyle w:val="FootnoteText"/>
        <w:rPr>
          <w:rFonts w:ascii="Times New Roman" w:hAnsi="Times New Roman"/>
        </w:rPr>
      </w:pPr>
      <w:r w:rsidRPr="007353C0">
        <w:rPr>
          <w:rStyle w:val="FootnoteReference"/>
          <w:rFonts w:ascii="Times New Roman" w:hAnsi="Times New Roman"/>
        </w:rPr>
        <w:footnoteRef/>
      </w:r>
      <w:r w:rsidRPr="007353C0">
        <w:rPr>
          <w:rFonts w:ascii="Times New Roman" w:hAnsi="Times New Roman"/>
        </w:rPr>
        <w:t xml:space="preserve"> This is the Commission’s estimate of the number of registrants who are subject to the CFTC Margin Rule and, thus, may include the representation in Commission regulation 23.161(d)(2)(ii)(B) in their transfer documentation relating to a legacy swap.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4B6B"/>
    <w:rsid w:val="000033F1"/>
    <w:rsid w:val="000035C3"/>
    <w:rsid w:val="00016868"/>
    <w:rsid w:val="000175EB"/>
    <w:rsid w:val="00022B4E"/>
    <w:rsid w:val="00022B65"/>
    <w:rsid w:val="000232F0"/>
    <w:rsid w:val="0002390B"/>
    <w:rsid w:val="000277A5"/>
    <w:rsid w:val="00030EBB"/>
    <w:rsid w:val="000341C4"/>
    <w:rsid w:val="00057324"/>
    <w:rsid w:val="00057576"/>
    <w:rsid w:val="000600B6"/>
    <w:rsid w:val="0006013A"/>
    <w:rsid w:val="000605D8"/>
    <w:rsid w:val="00063FBB"/>
    <w:rsid w:val="00065329"/>
    <w:rsid w:val="000671BD"/>
    <w:rsid w:val="00070037"/>
    <w:rsid w:val="00073B70"/>
    <w:rsid w:val="00074D46"/>
    <w:rsid w:val="00081341"/>
    <w:rsid w:val="00082D30"/>
    <w:rsid w:val="00082E9F"/>
    <w:rsid w:val="000835F6"/>
    <w:rsid w:val="0008745D"/>
    <w:rsid w:val="000939F0"/>
    <w:rsid w:val="000A4158"/>
    <w:rsid w:val="000A4E4B"/>
    <w:rsid w:val="000B26DF"/>
    <w:rsid w:val="000B37A1"/>
    <w:rsid w:val="000C30AD"/>
    <w:rsid w:val="000D1C5F"/>
    <w:rsid w:val="000E216C"/>
    <w:rsid w:val="000E60AA"/>
    <w:rsid w:val="000E63E3"/>
    <w:rsid w:val="000E6DB4"/>
    <w:rsid w:val="000E6F66"/>
    <w:rsid w:val="000E7317"/>
    <w:rsid w:val="000F413A"/>
    <w:rsid w:val="000F43CF"/>
    <w:rsid w:val="000F5E97"/>
    <w:rsid w:val="000F7C4A"/>
    <w:rsid w:val="00100FFF"/>
    <w:rsid w:val="0010375A"/>
    <w:rsid w:val="00107565"/>
    <w:rsid w:val="00122BE3"/>
    <w:rsid w:val="00124A68"/>
    <w:rsid w:val="001278DD"/>
    <w:rsid w:val="00132FB8"/>
    <w:rsid w:val="001346D2"/>
    <w:rsid w:val="0013795F"/>
    <w:rsid w:val="0015188C"/>
    <w:rsid w:val="0015194E"/>
    <w:rsid w:val="00152105"/>
    <w:rsid w:val="001525B7"/>
    <w:rsid w:val="00156729"/>
    <w:rsid w:val="001567A2"/>
    <w:rsid w:val="001625CC"/>
    <w:rsid w:val="00164429"/>
    <w:rsid w:val="00165DD9"/>
    <w:rsid w:val="0016662F"/>
    <w:rsid w:val="0016738E"/>
    <w:rsid w:val="00171C64"/>
    <w:rsid w:val="00173613"/>
    <w:rsid w:val="001737C1"/>
    <w:rsid w:val="00173E2B"/>
    <w:rsid w:val="0017660A"/>
    <w:rsid w:val="0017723B"/>
    <w:rsid w:val="001811B1"/>
    <w:rsid w:val="00182FBB"/>
    <w:rsid w:val="00184A5F"/>
    <w:rsid w:val="00187502"/>
    <w:rsid w:val="00190146"/>
    <w:rsid w:val="001928B4"/>
    <w:rsid w:val="00192BF1"/>
    <w:rsid w:val="00193363"/>
    <w:rsid w:val="00196D55"/>
    <w:rsid w:val="001A1542"/>
    <w:rsid w:val="001A21D2"/>
    <w:rsid w:val="001A315C"/>
    <w:rsid w:val="001A6F8A"/>
    <w:rsid w:val="001B1D9B"/>
    <w:rsid w:val="001B4047"/>
    <w:rsid w:val="001B45F9"/>
    <w:rsid w:val="001B47D9"/>
    <w:rsid w:val="001C06D6"/>
    <w:rsid w:val="001D0FB2"/>
    <w:rsid w:val="001D1FAF"/>
    <w:rsid w:val="001E0D04"/>
    <w:rsid w:val="001E2B2C"/>
    <w:rsid w:val="001E50BB"/>
    <w:rsid w:val="001E6D60"/>
    <w:rsid w:val="001F2F04"/>
    <w:rsid w:val="001F4DED"/>
    <w:rsid w:val="00200C77"/>
    <w:rsid w:val="002037F6"/>
    <w:rsid w:val="00206095"/>
    <w:rsid w:val="0021606B"/>
    <w:rsid w:val="002255E1"/>
    <w:rsid w:val="002331B0"/>
    <w:rsid w:val="002340D9"/>
    <w:rsid w:val="00234AC6"/>
    <w:rsid w:val="00236E22"/>
    <w:rsid w:val="002372FE"/>
    <w:rsid w:val="00241951"/>
    <w:rsid w:val="002431FB"/>
    <w:rsid w:val="002469B1"/>
    <w:rsid w:val="00247D20"/>
    <w:rsid w:val="00256058"/>
    <w:rsid w:val="0026008A"/>
    <w:rsid w:val="00260815"/>
    <w:rsid w:val="0026473C"/>
    <w:rsid w:val="00266723"/>
    <w:rsid w:val="00276B3D"/>
    <w:rsid w:val="002801C3"/>
    <w:rsid w:val="00280D72"/>
    <w:rsid w:val="00286171"/>
    <w:rsid w:val="00295FD0"/>
    <w:rsid w:val="00296AC1"/>
    <w:rsid w:val="002A23A9"/>
    <w:rsid w:val="002A3DCA"/>
    <w:rsid w:val="002B486C"/>
    <w:rsid w:val="002C013D"/>
    <w:rsid w:val="002C5C6A"/>
    <w:rsid w:val="002D3E29"/>
    <w:rsid w:val="002D50DC"/>
    <w:rsid w:val="002D69B6"/>
    <w:rsid w:val="002E1502"/>
    <w:rsid w:val="002F1336"/>
    <w:rsid w:val="002F1530"/>
    <w:rsid w:val="002F2092"/>
    <w:rsid w:val="002F498B"/>
    <w:rsid w:val="002F6270"/>
    <w:rsid w:val="002F7400"/>
    <w:rsid w:val="00301835"/>
    <w:rsid w:val="0030293E"/>
    <w:rsid w:val="00305E2C"/>
    <w:rsid w:val="00315A5F"/>
    <w:rsid w:val="00315A79"/>
    <w:rsid w:val="003168A3"/>
    <w:rsid w:val="0033019B"/>
    <w:rsid w:val="00331671"/>
    <w:rsid w:val="003327F5"/>
    <w:rsid w:val="00346CCF"/>
    <w:rsid w:val="00355CD8"/>
    <w:rsid w:val="00360582"/>
    <w:rsid w:val="00362C39"/>
    <w:rsid w:val="00372F94"/>
    <w:rsid w:val="003742D1"/>
    <w:rsid w:val="003765F9"/>
    <w:rsid w:val="00380D74"/>
    <w:rsid w:val="00383EE8"/>
    <w:rsid w:val="00386537"/>
    <w:rsid w:val="00387DE0"/>
    <w:rsid w:val="00390223"/>
    <w:rsid w:val="003909C8"/>
    <w:rsid w:val="003916EB"/>
    <w:rsid w:val="00395196"/>
    <w:rsid w:val="00396118"/>
    <w:rsid w:val="003A04C2"/>
    <w:rsid w:val="003A65CB"/>
    <w:rsid w:val="003B60A5"/>
    <w:rsid w:val="003C4C87"/>
    <w:rsid w:val="003D32C7"/>
    <w:rsid w:val="003D4314"/>
    <w:rsid w:val="003D49DE"/>
    <w:rsid w:val="003D597E"/>
    <w:rsid w:val="003E0A76"/>
    <w:rsid w:val="003E256B"/>
    <w:rsid w:val="003F0037"/>
    <w:rsid w:val="003F17F6"/>
    <w:rsid w:val="003F308D"/>
    <w:rsid w:val="003F4662"/>
    <w:rsid w:val="003F7037"/>
    <w:rsid w:val="003F77A6"/>
    <w:rsid w:val="004016DB"/>
    <w:rsid w:val="004024C0"/>
    <w:rsid w:val="00405023"/>
    <w:rsid w:val="004056E1"/>
    <w:rsid w:val="00412770"/>
    <w:rsid w:val="004134B4"/>
    <w:rsid w:val="00415146"/>
    <w:rsid w:val="00420535"/>
    <w:rsid w:val="004267C2"/>
    <w:rsid w:val="00427241"/>
    <w:rsid w:val="00434045"/>
    <w:rsid w:val="0044146C"/>
    <w:rsid w:val="004435EB"/>
    <w:rsid w:val="00443786"/>
    <w:rsid w:val="0044398D"/>
    <w:rsid w:val="00446161"/>
    <w:rsid w:val="004467D4"/>
    <w:rsid w:val="00455D69"/>
    <w:rsid w:val="00457CD5"/>
    <w:rsid w:val="00461BE7"/>
    <w:rsid w:val="004650C1"/>
    <w:rsid w:val="00481D80"/>
    <w:rsid w:val="00484030"/>
    <w:rsid w:val="00484368"/>
    <w:rsid w:val="0048658D"/>
    <w:rsid w:val="00492081"/>
    <w:rsid w:val="0049540F"/>
    <w:rsid w:val="00495A26"/>
    <w:rsid w:val="004A282C"/>
    <w:rsid w:val="004A3B8F"/>
    <w:rsid w:val="004B7C1F"/>
    <w:rsid w:val="004C1386"/>
    <w:rsid w:val="004C4EBD"/>
    <w:rsid w:val="004C6EA1"/>
    <w:rsid w:val="004C7A01"/>
    <w:rsid w:val="004D2594"/>
    <w:rsid w:val="004D36F7"/>
    <w:rsid w:val="004D39F3"/>
    <w:rsid w:val="004D6909"/>
    <w:rsid w:val="004E2B3C"/>
    <w:rsid w:val="004E3805"/>
    <w:rsid w:val="004E4A62"/>
    <w:rsid w:val="004E77DC"/>
    <w:rsid w:val="004F44F9"/>
    <w:rsid w:val="004F5BCC"/>
    <w:rsid w:val="004F5F97"/>
    <w:rsid w:val="004F77C5"/>
    <w:rsid w:val="00500BDE"/>
    <w:rsid w:val="00503C27"/>
    <w:rsid w:val="0050450D"/>
    <w:rsid w:val="0051332A"/>
    <w:rsid w:val="00514F4E"/>
    <w:rsid w:val="0051680D"/>
    <w:rsid w:val="00517B58"/>
    <w:rsid w:val="00523520"/>
    <w:rsid w:val="00524271"/>
    <w:rsid w:val="0052481F"/>
    <w:rsid w:val="00525E95"/>
    <w:rsid w:val="0052625D"/>
    <w:rsid w:val="00526447"/>
    <w:rsid w:val="00530AD3"/>
    <w:rsid w:val="00530E7B"/>
    <w:rsid w:val="00534983"/>
    <w:rsid w:val="00534B6B"/>
    <w:rsid w:val="0054134E"/>
    <w:rsid w:val="00542723"/>
    <w:rsid w:val="00542854"/>
    <w:rsid w:val="00546541"/>
    <w:rsid w:val="005525B0"/>
    <w:rsid w:val="00556B45"/>
    <w:rsid w:val="00563950"/>
    <w:rsid w:val="005652AC"/>
    <w:rsid w:val="00565921"/>
    <w:rsid w:val="00566A28"/>
    <w:rsid w:val="00566AA3"/>
    <w:rsid w:val="00570C0A"/>
    <w:rsid w:val="00574C2F"/>
    <w:rsid w:val="00576890"/>
    <w:rsid w:val="00580C5E"/>
    <w:rsid w:val="00583E5B"/>
    <w:rsid w:val="00586F7E"/>
    <w:rsid w:val="005875B4"/>
    <w:rsid w:val="00591252"/>
    <w:rsid w:val="00592165"/>
    <w:rsid w:val="0059221E"/>
    <w:rsid w:val="00596D53"/>
    <w:rsid w:val="005A4D99"/>
    <w:rsid w:val="005A56CC"/>
    <w:rsid w:val="005B0BE6"/>
    <w:rsid w:val="005B27BA"/>
    <w:rsid w:val="005B5435"/>
    <w:rsid w:val="005C0DD3"/>
    <w:rsid w:val="005C479A"/>
    <w:rsid w:val="005C51C4"/>
    <w:rsid w:val="005C5E18"/>
    <w:rsid w:val="005C764A"/>
    <w:rsid w:val="005D0314"/>
    <w:rsid w:val="005D1AFD"/>
    <w:rsid w:val="005D3FD5"/>
    <w:rsid w:val="005E536C"/>
    <w:rsid w:val="005F113F"/>
    <w:rsid w:val="005F12C0"/>
    <w:rsid w:val="005F1658"/>
    <w:rsid w:val="005F4138"/>
    <w:rsid w:val="005F449F"/>
    <w:rsid w:val="005F6628"/>
    <w:rsid w:val="00602973"/>
    <w:rsid w:val="0060418F"/>
    <w:rsid w:val="006046B6"/>
    <w:rsid w:val="00606A7E"/>
    <w:rsid w:val="006101E5"/>
    <w:rsid w:val="0061595D"/>
    <w:rsid w:val="0062259E"/>
    <w:rsid w:val="00624DC7"/>
    <w:rsid w:val="00625474"/>
    <w:rsid w:val="00634796"/>
    <w:rsid w:val="006352CC"/>
    <w:rsid w:val="006371A5"/>
    <w:rsid w:val="0064375A"/>
    <w:rsid w:val="00645C22"/>
    <w:rsid w:val="006500E8"/>
    <w:rsid w:val="00653915"/>
    <w:rsid w:val="00660E17"/>
    <w:rsid w:val="00664257"/>
    <w:rsid w:val="00675296"/>
    <w:rsid w:val="00677F55"/>
    <w:rsid w:val="00691297"/>
    <w:rsid w:val="00692A25"/>
    <w:rsid w:val="006A05A1"/>
    <w:rsid w:val="006A0902"/>
    <w:rsid w:val="006A3336"/>
    <w:rsid w:val="006A6FCF"/>
    <w:rsid w:val="006B29D9"/>
    <w:rsid w:val="006C002A"/>
    <w:rsid w:val="006C1D44"/>
    <w:rsid w:val="006C3EB5"/>
    <w:rsid w:val="006C5EE1"/>
    <w:rsid w:val="006D0492"/>
    <w:rsid w:val="006D2880"/>
    <w:rsid w:val="006D38A6"/>
    <w:rsid w:val="006D4EA5"/>
    <w:rsid w:val="006D759D"/>
    <w:rsid w:val="006E3F07"/>
    <w:rsid w:val="006E4578"/>
    <w:rsid w:val="006E5ADD"/>
    <w:rsid w:val="006E756C"/>
    <w:rsid w:val="006E7D98"/>
    <w:rsid w:val="006F4F75"/>
    <w:rsid w:val="006F6771"/>
    <w:rsid w:val="006F7274"/>
    <w:rsid w:val="006F72A7"/>
    <w:rsid w:val="007003B8"/>
    <w:rsid w:val="00701D5C"/>
    <w:rsid w:val="00714F2C"/>
    <w:rsid w:val="0072782D"/>
    <w:rsid w:val="007303F4"/>
    <w:rsid w:val="007353C0"/>
    <w:rsid w:val="007448AF"/>
    <w:rsid w:val="0074513D"/>
    <w:rsid w:val="007456F6"/>
    <w:rsid w:val="0074603F"/>
    <w:rsid w:val="007536D5"/>
    <w:rsid w:val="00753B6E"/>
    <w:rsid w:val="00755C4A"/>
    <w:rsid w:val="00756626"/>
    <w:rsid w:val="007600AF"/>
    <w:rsid w:val="007602AC"/>
    <w:rsid w:val="007616A9"/>
    <w:rsid w:val="007676F5"/>
    <w:rsid w:val="00772172"/>
    <w:rsid w:val="00772F9C"/>
    <w:rsid w:val="00773D3F"/>
    <w:rsid w:val="00773F48"/>
    <w:rsid w:val="00775781"/>
    <w:rsid w:val="007771AE"/>
    <w:rsid w:val="00793467"/>
    <w:rsid w:val="00794BD7"/>
    <w:rsid w:val="00796330"/>
    <w:rsid w:val="00796FC4"/>
    <w:rsid w:val="007A2C4F"/>
    <w:rsid w:val="007A49AE"/>
    <w:rsid w:val="007B064A"/>
    <w:rsid w:val="007B2CE3"/>
    <w:rsid w:val="007C198C"/>
    <w:rsid w:val="007D053F"/>
    <w:rsid w:val="007D270C"/>
    <w:rsid w:val="007D4382"/>
    <w:rsid w:val="007E4F9C"/>
    <w:rsid w:val="007E6C96"/>
    <w:rsid w:val="007F2D28"/>
    <w:rsid w:val="007F39B7"/>
    <w:rsid w:val="007F5475"/>
    <w:rsid w:val="007F58B4"/>
    <w:rsid w:val="00803774"/>
    <w:rsid w:val="00807DB0"/>
    <w:rsid w:val="00810F14"/>
    <w:rsid w:val="008159FE"/>
    <w:rsid w:val="00815B17"/>
    <w:rsid w:val="00816B04"/>
    <w:rsid w:val="008207B9"/>
    <w:rsid w:val="00823ECF"/>
    <w:rsid w:val="00831354"/>
    <w:rsid w:val="008316E5"/>
    <w:rsid w:val="00832FE6"/>
    <w:rsid w:val="00834DD7"/>
    <w:rsid w:val="00847761"/>
    <w:rsid w:val="008519D2"/>
    <w:rsid w:val="0085370C"/>
    <w:rsid w:val="00853A10"/>
    <w:rsid w:val="00860CE6"/>
    <w:rsid w:val="008627E8"/>
    <w:rsid w:val="00863A6C"/>
    <w:rsid w:val="00864576"/>
    <w:rsid w:val="008653FD"/>
    <w:rsid w:val="00866362"/>
    <w:rsid w:val="0087260C"/>
    <w:rsid w:val="00876379"/>
    <w:rsid w:val="008827E0"/>
    <w:rsid w:val="00882E1C"/>
    <w:rsid w:val="0088362B"/>
    <w:rsid w:val="0088759B"/>
    <w:rsid w:val="0088767B"/>
    <w:rsid w:val="00893A29"/>
    <w:rsid w:val="00897DB1"/>
    <w:rsid w:val="008A05DA"/>
    <w:rsid w:val="008A1115"/>
    <w:rsid w:val="008A4669"/>
    <w:rsid w:val="008A4C27"/>
    <w:rsid w:val="008A5D5E"/>
    <w:rsid w:val="008A73BF"/>
    <w:rsid w:val="008B4817"/>
    <w:rsid w:val="008C1109"/>
    <w:rsid w:val="008C3257"/>
    <w:rsid w:val="008C3CA7"/>
    <w:rsid w:val="008D0546"/>
    <w:rsid w:val="008D4548"/>
    <w:rsid w:val="008D761A"/>
    <w:rsid w:val="008E3461"/>
    <w:rsid w:val="008E7AF8"/>
    <w:rsid w:val="008F0602"/>
    <w:rsid w:val="008F0945"/>
    <w:rsid w:val="008F1930"/>
    <w:rsid w:val="008F7E0C"/>
    <w:rsid w:val="009025A4"/>
    <w:rsid w:val="0090336A"/>
    <w:rsid w:val="0090417E"/>
    <w:rsid w:val="00911EE7"/>
    <w:rsid w:val="00912A9E"/>
    <w:rsid w:val="0092012D"/>
    <w:rsid w:val="009220A1"/>
    <w:rsid w:val="00924694"/>
    <w:rsid w:val="0092581A"/>
    <w:rsid w:val="00925FF4"/>
    <w:rsid w:val="00927DA4"/>
    <w:rsid w:val="00932277"/>
    <w:rsid w:val="00934C3A"/>
    <w:rsid w:val="009367E2"/>
    <w:rsid w:val="0094314C"/>
    <w:rsid w:val="00943BB2"/>
    <w:rsid w:val="00944106"/>
    <w:rsid w:val="00945C50"/>
    <w:rsid w:val="0095437A"/>
    <w:rsid w:val="00955BC4"/>
    <w:rsid w:val="0095732F"/>
    <w:rsid w:val="009635F1"/>
    <w:rsid w:val="00964BFD"/>
    <w:rsid w:val="0097283B"/>
    <w:rsid w:val="00975F61"/>
    <w:rsid w:val="00986B86"/>
    <w:rsid w:val="0099405B"/>
    <w:rsid w:val="00995D04"/>
    <w:rsid w:val="009A24BB"/>
    <w:rsid w:val="009A585D"/>
    <w:rsid w:val="009B29D2"/>
    <w:rsid w:val="009B5165"/>
    <w:rsid w:val="009C0842"/>
    <w:rsid w:val="009D187B"/>
    <w:rsid w:val="009D3A33"/>
    <w:rsid w:val="009D4963"/>
    <w:rsid w:val="009D4A4F"/>
    <w:rsid w:val="009E20E0"/>
    <w:rsid w:val="009E411F"/>
    <w:rsid w:val="009E774F"/>
    <w:rsid w:val="009F5BE2"/>
    <w:rsid w:val="00A0346E"/>
    <w:rsid w:val="00A05E23"/>
    <w:rsid w:val="00A06BBC"/>
    <w:rsid w:val="00A06CDC"/>
    <w:rsid w:val="00A11B9C"/>
    <w:rsid w:val="00A123D6"/>
    <w:rsid w:val="00A158E3"/>
    <w:rsid w:val="00A1613D"/>
    <w:rsid w:val="00A16743"/>
    <w:rsid w:val="00A20639"/>
    <w:rsid w:val="00A2079E"/>
    <w:rsid w:val="00A23539"/>
    <w:rsid w:val="00A23BD7"/>
    <w:rsid w:val="00A31CC4"/>
    <w:rsid w:val="00A45371"/>
    <w:rsid w:val="00A45957"/>
    <w:rsid w:val="00A47D54"/>
    <w:rsid w:val="00A50199"/>
    <w:rsid w:val="00A53958"/>
    <w:rsid w:val="00A61170"/>
    <w:rsid w:val="00A61F7A"/>
    <w:rsid w:val="00A776A9"/>
    <w:rsid w:val="00A802B2"/>
    <w:rsid w:val="00A80621"/>
    <w:rsid w:val="00A80D36"/>
    <w:rsid w:val="00A8414C"/>
    <w:rsid w:val="00A8752C"/>
    <w:rsid w:val="00A87E91"/>
    <w:rsid w:val="00A938FE"/>
    <w:rsid w:val="00A95253"/>
    <w:rsid w:val="00AA0461"/>
    <w:rsid w:val="00AA12EF"/>
    <w:rsid w:val="00AA138C"/>
    <w:rsid w:val="00AB0BBC"/>
    <w:rsid w:val="00AC00CC"/>
    <w:rsid w:val="00AC1D40"/>
    <w:rsid w:val="00AD1B32"/>
    <w:rsid w:val="00AD6953"/>
    <w:rsid w:val="00AD716A"/>
    <w:rsid w:val="00AD72CD"/>
    <w:rsid w:val="00AE4C42"/>
    <w:rsid w:val="00AE609D"/>
    <w:rsid w:val="00AF4A73"/>
    <w:rsid w:val="00B02F17"/>
    <w:rsid w:val="00B05FA4"/>
    <w:rsid w:val="00B0621A"/>
    <w:rsid w:val="00B131F5"/>
    <w:rsid w:val="00B14DF4"/>
    <w:rsid w:val="00B165A8"/>
    <w:rsid w:val="00B16CDD"/>
    <w:rsid w:val="00B206A6"/>
    <w:rsid w:val="00B21457"/>
    <w:rsid w:val="00B22DD7"/>
    <w:rsid w:val="00B22FB7"/>
    <w:rsid w:val="00B23301"/>
    <w:rsid w:val="00B24F98"/>
    <w:rsid w:val="00B26DF3"/>
    <w:rsid w:val="00B31D59"/>
    <w:rsid w:val="00B36E33"/>
    <w:rsid w:val="00B44963"/>
    <w:rsid w:val="00B47C83"/>
    <w:rsid w:val="00B509A4"/>
    <w:rsid w:val="00B50EEE"/>
    <w:rsid w:val="00B66F38"/>
    <w:rsid w:val="00B67914"/>
    <w:rsid w:val="00B71926"/>
    <w:rsid w:val="00B72015"/>
    <w:rsid w:val="00B77137"/>
    <w:rsid w:val="00B800F8"/>
    <w:rsid w:val="00B82BCC"/>
    <w:rsid w:val="00B839EF"/>
    <w:rsid w:val="00B873D6"/>
    <w:rsid w:val="00B90175"/>
    <w:rsid w:val="00B9636E"/>
    <w:rsid w:val="00BA1F83"/>
    <w:rsid w:val="00BA7889"/>
    <w:rsid w:val="00BB41BF"/>
    <w:rsid w:val="00BB4C1A"/>
    <w:rsid w:val="00BC38B9"/>
    <w:rsid w:val="00BC3BBE"/>
    <w:rsid w:val="00BC4975"/>
    <w:rsid w:val="00BC520E"/>
    <w:rsid w:val="00BC5447"/>
    <w:rsid w:val="00BC6BC6"/>
    <w:rsid w:val="00BC7318"/>
    <w:rsid w:val="00BD4837"/>
    <w:rsid w:val="00BD48BD"/>
    <w:rsid w:val="00BE1714"/>
    <w:rsid w:val="00BE4B4A"/>
    <w:rsid w:val="00BF20CC"/>
    <w:rsid w:val="00BF54BE"/>
    <w:rsid w:val="00BF703F"/>
    <w:rsid w:val="00C0038C"/>
    <w:rsid w:val="00C035F6"/>
    <w:rsid w:val="00C13A1C"/>
    <w:rsid w:val="00C15037"/>
    <w:rsid w:val="00C15061"/>
    <w:rsid w:val="00C2325B"/>
    <w:rsid w:val="00C2402A"/>
    <w:rsid w:val="00C327D4"/>
    <w:rsid w:val="00C33FC9"/>
    <w:rsid w:val="00C37E53"/>
    <w:rsid w:val="00C424BC"/>
    <w:rsid w:val="00C4280C"/>
    <w:rsid w:val="00C4283A"/>
    <w:rsid w:val="00C4606F"/>
    <w:rsid w:val="00C50F6D"/>
    <w:rsid w:val="00C50FAC"/>
    <w:rsid w:val="00C5632B"/>
    <w:rsid w:val="00C60B24"/>
    <w:rsid w:val="00C6498B"/>
    <w:rsid w:val="00C649A2"/>
    <w:rsid w:val="00C649BE"/>
    <w:rsid w:val="00C747F8"/>
    <w:rsid w:val="00C76F2E"/>
    <w:rsid w:val="00C80D26"/>
    <w:rsid w:val="00C83F82"/>
    <w:rsid w:val="00C902A1"/>
    <w:rsid w:val="00C9351C"/>
    <w:rsid w:val="00CB0347"/>
    <w:rsid w:val="00CB1026"/>
    <w:rsid w:val="00CB24FF"/>
    <w:rsid w:val="00CB350E"/>
    <w:rsid w:val="00CB6056"/>
    <w:rsid w:val="00CB7148"/>
    <w:rsid w:val="00CD47D1"/>
    <w:rsid w:val="00CD542F"/>
    <w:rsid w:val="00CD72FD"/>
    <w:rsid w:val="00CE2847"/>
    <w:rsid w:val="00CF7673"/>
    <w:rsid w:val="00CF7C78"/>
    <w:rsid w:val="00D02480"/>
    <w:rsid w:val="00D02591"/>
    <w:rsid w:val="00D03F7B"/>
    <w:rsid w:val="00D04857"/>
    <w:rsid w:val="00D05B93"/>
    <w:rsid w:val="00D14348"/>
    <w:rsid w:val="00D145A7"/>
    <w:rsid w:val="00D20989"/>
    <w:rsid w:val="00D21740"/>
    <w:rsid w:val="00D24617"/>
    <w:rsid w:val="00D320F0"/>
    <w:rsid w:val="00D344F9"/>
    <w:rsid w:val="00D37558"/>
    <w:rsid w:val="00D40FE0"/>
    <w:rsid w:val="00D41450"/>
    <w:rsid w:val="00D4197D"/>
    <w:rsid w:val="00D443F5"/>
    <w:rsid w:val="00D52101"/>
    <w:rsid w:val="00D55CAE"/>
    <w:rsid w:val="00D56D12"/>
    <w:rsid w:val="00D65B0E"/>
    <w:rsid w:val="00D66F44"/>
    <w:rsid w:val="00D673D1"/>
    <w:rsid w:val="00D67916"/>
    <w:rsid w:val="00D7045C"/>
    <w:rsid w:val="00D719D5"/>
    <w:rsid w:val="00D77105"/>
    <w:rsid w:val="00D8025D"/>
    <w:rsid w:val="00D9298D"/>
    <w:rsid w:val="00D93BA9"/>
    <w:rsid w:val="00DA38A1"/>
    <w:rsid w:val="00DA4721"/>
    <w:rsid w:val="00DA5853"/>
    <w:rsid w:val="00DB03AA"/>
    <w:rsid w:val="00DB2157"/>
    <w:rsid w:val="00DB58C6"/>
    <w:rsid w:val="00DC2B99"/>
    <w:rsid w:val="00DC522E"/>
    <w:rsid w:val="00DD2AB2"/>
    <w:rsid w:val="00DD58A3"/>
    <w:rsid w:val="00DD5CD7"/>
    <w:rsid w:val="00DE297F"/>
    <w:rsid w:val="00DE32F4"/>
    <w:rsid w:val="00DE7745"/>
    <w:rsid w:val="00DE78A7"/>
    <w:rsid w:val="00DF35CF"/>
    <w:rsid w:val="00E013D8"/>
    <w:rsid w:val="00E02CB9"/>
    <w:rsid w:val="00E05D75"/>
    <w:rsid w:val="00E06E5F"/>
    <w:rsid w:val="00E11EED"/>
    <w:rsid w:val="00E12865"/>
    <w:rsid w:val="00E1421F"/>
    <w:rsid w:val="00E17DE8"/>
    <w:rsid w:val="00E22E82"/>
    <w:rsid w:val="00E2335E"/>
    <w:rsid w:val="00E236E5"/>
    <w:rsid w:val="00E240FB"/>
    <w:rsid w:val="00E268D0"/>
    <w:rsid w:val="00E308BE"/>
    <w:rsid w:val="00E313D8"/>
    <w:rsid w:val="00E33EDE"/>
    <w:rsid w:val="00E36FCD"/>
    <w:rsid w:val="00E37388"/>
    <w:rsid w:val="00E417BB"/>
    <w:rsid w:val="00E42631"/>
    <w:rsid w:val="00E45980"/>
    <w:rsid w:val="00E51D99"/>
    <w:rsid w:val="00E54A26"/>
    <w:rsid w:val="00E55422"/>
    <w:rsid w:val="00E605B7"/>
    <w:rsid w:val="00E639DE"/>
    <w:rsid w:val="00E66420"/>
    <w:rsid w:val="00E6788F"/>
    <w:rsid w:val="00E90F3F"/>
    <w:rsid w:val="00E93DA6"/>
    <w:rsid w:val="00E944C1"/>
    <w:rsid w:val="00E95423"/>
    <w:rsid w:val="00EA260E"/>
    <w:rsid w:val="00EA3CF9"/>
    <w:rsid w:val="00EA505E"/>
    <w:rsid w:val="00EB4997"/>
    <w:rsid w:val="00EB6A33"/>
    <w:rsid w:val="00EB7F98"/>
    <w:rsid w:val="00EC0E5E"/>
    <w:rsid w:val="00EC0E78"/>
    <w:rsid w:val="00EC2551"/>
    <w:rsid w:val="00EC2A0B"/>
    <w:rsid w:val="00EC4420"/>
    <w:rsid w:val="00EC5D4C"/>
    <w:rsid w:val="00EC7005"/>
    <w:rsid w:val="00ED0361"/>
    <w:rsid w:val="00ED5858"/>
    <w:rsid w:val="00ED609B"/>
    <w:rsid w:val="00ED7EF8"/>
    <w:rsid w:val="00EE04E5"/>
    <w:rsid w:val="00EE2608"/>
    <w:rsid w:val="00EE42E2"/>
    <w:rsid w:val="00EE44CA"/>
    <w:rsid w:val="00EE4E0D"/>
    <w:rsid w:val="00EE677F"/>
    <w:rsid w:val="00EE7872"/>
    <w:rsid w:val="00EE7B22"/>
    <w:rsid w:val="00EE7D31"/>
    <w:rsid w:val="00EF1ADC"/>
    <w:rsid w:val="00F006C2"/>
    <w:rsid w:val="00F007FD"/>
    <w:rsid w:val="00F10855"/>
    <w:rsid w:val="00F12BA6"/>
    <w:rsid w:val="00F14880"/>
    <w:rsid w:val="00F21D61"/>
    <w:rsid w:val="00F24E01"/>
    <w:rsid w:val="00F264B6"/>
    <w:rsid w:val="00F30711"/>
    <w:rsid w:val="00F31702"/>
    <w:rsid w:val="00F31CF8"/>
    <w:rsid w:val="00F35EB1"/>
    <w:rsid w:val="00F3672F"/>
    <w:rsid w:val="00F36F82"/>
    <w:rsid w:val="00F37412"/>
    <w:rsid w:val="00F45CC6"/>
    <w:rsid w:val="00F50479"/>
    <w:rsid w:val="00F517AE"/>
    <w:rsid w:val="00F51ACE"/>
    <w:rsid w:val="00F52D41"/>
    <w:rsid w:val="00F570E2"/>
    <w:rsid w:val="00F57BE5"/>
    <w:rsid w:val="00F62252"/>
    <w:rsid w:val="00F6587A"/>
    <w:rsid w:val="00F66818"/>
    <w:rsid w:val="00F706E4"/>
    <w:rsid w:val="00F71B1F"/>
    <w:rsid w:val="00F80680"/>
    <w:rsid w:val="00F83D3B"/>
    <w:rsid w:val="00F85FEA"/>
    <w:rsid w:val="00F86BB6"/>
    <w:rsid w:val="00F86F2A"/>
    <w:rsid w:val="00F87370"/>
    <w:rsid w:val="00F878DB"/>
    <w:rsid w:val="00F91BB4"/>
    <w:rsid w:val="00F940C0"/>
    <w:rsid w:val="00F973FB"/>
    <w:rsid w:val="00F978BB"/>
    <w:rsid w:val="00FA07DA"/>
    <w:rsid w:val="00FA07DF"/>
    <w:rsid w:val="00FA0F5C"/>
    <w:rsid w:val="00FA241F"/>
    <w:rsid w:val="00FB22C0"/>
    <w:rsid w:val="00FB404A"/>
    <w:rsid w:val="00FB79EF"/>
    <w:rsid w:val="00FC5158"/>
    <w:rsid w:val="00FC59D7"/>
    <w:rsid w:val="00FC64FD"/>
    <w:rsid w:val="00FD0FBE"/>
    <w:rsid w:val="00FD7617"/>
    <w:rsid w:val="00FE6D02"/>
    <w:rsid w:val="00FF01C2"/>
    <w:rsid w:val="00FF0D39"/>
    <w:rsid w:val="00FF4046"/>
    <w:rsid w:val="00FF6071"/>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qFormat/>
    <w:rsid w:val="00534B6B"/>
    <w:pPr>
      <w:keepNext/>
      <w:outlineLvl w:val="0"/>
    </w:pPr>
    <w:rPr>
      <w:b/>
      <w:szCs w:val="20"/>
    </w:rPr>
  </w:style>
  <w:style w:type="paragraph" w:styleId="Heading2">
    <w:name w:val="heading 2"/>
    <w:basedOn w:val="Normal"/>
    <w:next w:val="Normal"/>
    <w:link w:val="Heading2Char"/>
    <w:semiHidden/>
    <w:unhideWhenUsed/>
    <w:qFormat/>
    <w:rsid w:val="00B26DF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34B6B"/>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qFormat/>
    <w:rsid w:val="000F5E97"/>
    <w:rPr>
      <w:sz w:val="20"/>
      <w:szCs w:val="20"/>
    </w:rPr>
  </w:style>
  <w:style w:type="character" w:customStyle="1" w:styleId="FootnoteTextChar">
    <w:name w:val="Footnote Text Char"/>
    <w:aliases w:val="ft Char,fn Char,Footnote Text Char Char Char Char Char Char Char Char Char Char Char Char Char Char Char Char Char Char,Footnote Text Char1 Char"/>
    <w:link w:val="FootnoteText"/>
    <w:uiPriority w:val="99"/>
    <w:rsid w:val="000F5E97"/>
    <w:rPr>
      <w:rFonts w:ascii="Arial" w:hAnsi="Arial"/>
    </w:rPr>
  </w:style>
  <w:style w:type="character" w:styleId="FootnoteReference">
    <w:name w:val="footnote reference"/>
    <w:aliases w:val="Style 19,Style 16,fr,Style 35,12,Nota,Footnote symbol,Footnote,Appel note de bas de p,BVI fnr,SUPERS,Footnote Reference Superscript,(Footnote Reference),Footnote reference number,note TESI,EN Footnote Reference,Voetnootverwijzing"/>
    <w:uiPriority w:val="99"/>
    <w:qFormat/>
    <w:rsid w:val="000F5E97"/>
    <w:rPr>
      <w:vertAlign w:val="superscript"/>
    </w:rPr>
  </w:style>
  <w:style w:type="character" w:customStyle="1" w:styleId="Heading2Char">
    <w:name w:val="Heading 2 Char"/>
    <w:link w:val="Heading2"/>
    <w:semiHidden/>
    <w:rsid w:val="00B26DF3"/>
    <w:rPr>
      <w:rFonts w:ascii="Cambria" w:eastAsia="Times New Roman" w:hAnsi="Cambria" w:cs="Times New Roman"/>
      <w:b/>
      <w:bCs/>
      <w:i/>
      <w:iCs/>
      <w:sz w:val="28"/>
      <w:szCs w:val="28"/>
    </w:rPr>
  </w:style>
  <w:style w:type="paragraph" w:styleId="Title">
    <w:name w:val="Title"/>
    <w:basedOn w:val="Normal"/>
    <w:link w:val="TitleChar"/>
    <w:qFormat/>
    <w:rsid w:val="00B26DF3"/>
    <w:pPr>
      <w:jc w:val="center"/>
    </w:pPr>
    <w:rPr>
      <w:rFonts w:ascii="Times New Roman" w:hAnsi="Times New Roman"/>
      <w:b/>
      <w:sz w:val="40"/>
      <w:szCs w:val="20"/>
    </w:rPr>
  </w:style>
  <w:style w:type="character" w:customStyle="1" w:styleId="TitleChar">
    <w:name w:val="Title Char"/>
    <w:link w:val="Title"/>
    <w:rsid w:val="00B26DF3"/>
    <w:rPr>
      <w:b/>
      <w:sz w:val="40"/>
    </w:rPr>
  </w:style>
  <w:style w:type="character" w:styleId="CommentReference">
    <w:name w:val="annotation reference"/>
    <w:uiPriority w:val="99"/>
    <w:rsid w:val="00924694"/>
    <w:rPr>
      <w:sz w:val="16"/>
      <w:szCs w:val="16"/>
    </w:rPr>
  </w:style>
  <w:style w:type="character" w:styleId="EndnoteReference">
    <w:name w:val="endnote reference"/>
    <w:rsid w:val="007600AF"/>
    <w:rPr>
      <w:vertAlign w:val="superscript"/>
    </w:rPr>
  </w:style>
  <w:style w:type="paragraph" w:styleId="CommentText">
    <w:name w:val="annotation text"/>
    <w:basedOn w:val="Normal"/>
    <w:link w:val="CommentTextChar"/>
    <w:uiPriority w:val="99"/>
    <w:unhideWhenUsed/>
    <w:rsid w:val="00B23301"/>
    <w:pPr>
      <w:overflowPunct w:val="0"/>
      <w:autoSpaceDE w:val="0"/>
      <w:autoSpaceDN w:val="0"/>
      <w:adjustRightInd w:val="0"/>
      <w:textAlignment w:val="baseline"/>
    </w:pPr>
    <w:rPr>
      <w:rFonts w:ascii="Times New Roman" w:hAnsi="Times New Roman"/>
      <w:sz w:val="20"/>
      <w:szCs w:val="20"/>
    </w:rPr>
  </w:style>
  <w:style w:type="character" w:customStyle="1" w:styleId="CommentTextChar">
    <w:name w:val="Comment Text Char"/>
    <w:basedOn w:val="DefaultParagraphFont"/>
    <w:link w:val="CommentText"/>
    <w:uiPriority w:val="99"/>
    <w:rsid w:val="00B23301"/>
  </w:style>
  <w:style w:type="paragraph" w:styleId="BalloonText">
    <w:name w:val="Balloon Text"/>
    <w:basedOn w:val="Normal"/>
    <w:link w:val="BalloonTextChar"/>
    <w:rsid w:val="00B23301"/>
    <w:rPr>
      <w:rFonts w:ascii="Tahoma" w:hAnsi="Tahoma" w:cs="Tahoma"/>
      <w:sz w:val="16"/>
      <w:szCs w:val="16"/>
    </w:rPr>
  </w:style>
  <w:style w:type="character" w:customStyle="1" w:styleId="BalloonTextChar">
    <w:name w:val="Balloon Text Char"/>
    <w:link w:val="BalloonText"/>
    <w:rsid w:val="00B23301"/>
    <w:rPr>
      <w:rFonts w:ascii="Tahoma" w:hAnsi="Tahoma" w:cs="Tahoma"/>
      <w:sz w:val="16"/>
      <w:szCs w:val="16"/>
    </w:rPr>
  </w:style>
  <w:style w:type="paragraph" w:styleId="CommentSubject">
    <w:name w:val="annotation subject"/>
    <w:basedOn w:val="CommentText"/>
    <w:next w:val="CommentText"/>
    <w:link w:val="CommentSubjectChar"/>
    <w:rsid w:val="00331671"/>
    <w:pPr>
      <w:overflowPunct/>
      <w:autoSpaceDE/>
      <w:autoSpaceDN/>
      <w:adjustRightInd/>
      <w:textAlignment w:val="auto"/>
    </w:pPr>
    <w:rPr>
      <w:rFonts w:ascii="Arial" w:hAnsi="Arial"/>
      <w:b/>
      <w:bCs/>
    </w:rPr>
  </w:style>
  <w:style w:type="character" w:customStyle="1" w:styleId="CommentSubjectChar">
    <w:name w:val="Comment Subject Char"/>
    <w:link w:val="CommentSubject"/>
    <w:rsid w:val="00331671"/>
    <w:rPr>
      <w:rFonts w:ascii="Arial" w:hAnsi="Arial"/>
      <w:b/>
      <w:bCs/>
    </w:rPr>
  </w:style>
  <w:style w:type="paragraph" w:styleId="Header">
    <w:name w:val="header"/>
    <w:basedOn w:val="Normal"/>
    <w:link w:val="HeaderChar"/>
    <w:uiPriority w:val="99"/>
    <w:rsid w:val="00331671"/>
    <w:pPr>
      <w:tabs>
        <w:tab w:val="center" w:pos="4680"/>
        <w:tab w:val="right" w:pos="9360"/>
      </w:tabs>
    </w:pPr>
  </w:style>
  <w:style w:type="character" w:customStyle="1" w:styleId="HeaderChar">
    <w:name w:val="Header Char"/>
    <w:link w:val="Header"/>
    <w:uiPriority w:val="99"/>
    <w:rsid w:val="00331671"/>
    <w:rPr>
      <w:rFonts w:ascii="Arial" w:hAnsi="Arial"/>
      <w:sz w:val="24"/>
      <w:szCs w:val="24"/>
    </w:rPr>
  </w:style>
  <w:style w:type="paragraph" w:styleId="Footer">
    <w:name w:val="footer"/>
    <w:basedOn w:val="Normal"/>
    <w:link w:val="FooterChar"/>
    <w:uiPriority w:val="99"/>
    <w:rsid w:val="00331671"/>
    <w:pPr>
      <w:tabs>
        <w:tab w:val="center" w:pos="4680"/>
        <w:tab w:val="right" w:pos="9360"/>
      </w:tabs>
    </w:pPr>
  </w:style>
  <w:style w:type="character" w:customStyle="1" w:styleId="FooterChar">
    <w:name w:val="Footer Char"/>
    <w:link w:val="Footer"/>
    <w:uiPriority w:val="99"/>
    <w:rsid w:val="00331671"/>
    <w:rPr>
      <w:rFonts w:ascii="Arial" w:hAnsi="Arial"/>
      <w:sz w:val="24"/>
      <w:szCs w:val="24"/>
    </w:rPr>
  </w:style>
  <w:style w:type="character" w:styleId="Hyperlink">
    <w:name w:val="Hyperlink"/>
    <w:uiPriority w:val="99"/>
    <w:unhideWhenUsed/>
    <w:rsid w:val="00B67914"/>
    <w:rPr>
      <w:color w:val="0000FF"/>
      <w:u w:val="single"/>
    </w:rPr>
  </w:style>
  <w:style w:type="paragraph" w:customStyle="1" w:styleId="Default">
    <w:name w:val="Default"/>
    <w:rsid w:val="00B0621A"/>
    <w:pPr>
      <w:widowControl w:val="0"/>
      <w:autoSpaceDE w:val="0"/>
      <w:autoSpaceDN w:val="0"/>
      <w:adjustRightInd w:val="0"/>
    </w:pPr>
    <w:rPr>
      <w:rFonts w:ascii="Optimum" w:hAnsi="Optimum" w:cs="Optimum"/>
      <w:color w:val="000000"/>
      <w:sz w:val="24"/>
      <w:szCs w:val="24"/>
    </w:rPr>
  </w:style>
  <w:style w:type="table" w:styleId="TableGrid">
    <w:name w:val="Table Grid"/>
    <w:basedOn w:val="TableNormal"/>
    <w:rsid w:val="00434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qFormat/>
    <w:rsid w:val="00534B6B"/>
    <w:pPr>
      <w:keepNext/>
      <w:outlineLvl w:val="0"/>
    </w:pPr>
    <w:rPr>
      <w:b/>
      <w:szCs w:val="20"/>
    </w:rPr>
  </w:style>
  <w:style w:type="paragraph" w:styleId="Heading2">
    <w:name w:val="heading 2"/>
    <w:basedOn w:val="Normal"/>
    <w:next w:val="Normal"/>
    <w:link w:val="Heading2Char"/>
    <w:semiHidden/>
    <w:unhideWhenUsed/>
    <w:qFormat/>
    <w:rsid w:val="00B26DF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34B6B"/>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qFormat/>
    <w:rsid w:val="000F5E97"/>
    <w:rPr>
      <w:sz w:val="20"/>
      <w:szCs w:val="20"/>
    </w:rPr>
  </w:style>
  <w:style w:type="character" w:customStyle="1" w:styleId="FootnoteTextChar">
    <w:name w:val="Footnote Text Char"/>
    <w:aliases w:val="ft Char,fn Char,Footnote Text Char Char Char Char Char Char Char Char Char Char Char Char Char Char Char Char Char Char,Footnote Text Char1 Char"/>
    <w:link w:val="FootnoteText"/>
    <w:uiPriority w:val="99"/>
    <w:rsid w:val="000F5E97"/>
    <w:rPr>
      <w:rFonts w:ascii="Arial" w:hAnsi="Arial"/>
    </w:rPr>
  </w:style>
  <w:style w:type="character" w:styleId="FootnoteReference">
    <w:name w:val="footnote reference"/>
    <w:aliases w:val="Style 19,Style 16,fr,Style 35,12,Nota,Footnote symbol,Footnote,Appel note de bas de p,BVI fnr,SUPERS,Footnote Reference Superscript,(Footnote Reference),Footnote reference number,note TESI,EN Footnote Reference,Voetnootverwijzing"/>
    <w:uiPriority w:val="99"/>
    <w:qFormat/>
    <w:rsid w:val="000F5E97"/>
    <w:rPr>
      <w:vertAlign w:val="superscript"/>
    </w:rPr>
  </w:style>
  <w:style w:type="character" w:customStyle="1" w:styleId="Heading2Char">
    <w:name w:val="Heading 2 Char"/>
    <w:link w:val="Heading2"/>
    <w:semiHidden/>
    <w:rsid w:val="00B26DF3"/>
    <w:rPr>
      <w:rFonts w:ascii="Cambria" w:eastAsia="Times New Roman" w:hAnsi="Cambria" w:cs="Times New Roman"/>
      <w:b/>
      <w:bCs/>
      <w:i/>
      <w:iCs/>
      <w:sz w:val="28"/>
      <w:szCs w:val="28"/>
    </w:rPr>
  </w:style>
  <w:style w:type="paragraph" w:styleId="Title">
    <w:name w:val="Title"/>
    <w:basedOn w:val="Normal"/>
    <w:link w:val="TitleChar"/>
    <w:qFormat/>
    <w:rsid w:val="00B26DF3"/>
    <w:pPr>
      <w:jc w:val="center"/>
    </w:pPr>
    <w:rPr>
      <w:rFonts w:ascii="Times New Roman" w:hAnsi="Times New Roman"/>
      <w:b/>
      <w:sz w:val="40"/>
      <w:szCs w:val="20"/>
    </w:rPr>
  </w:style>
  <w:style w:type="character" w:customStyle="1" w:styleId="TitleChar">
    <w:name w:val="Title Char"/>
    <w:link w:val="Title"/>
    <w:rsid w:val="00B26DF3"/>
    <w:rPr>
      <w:b/>
      <w:sz w:val="40"/>
    </w:rPr>
  </w:style>
  <w:style w:type="character" w:styleId="CommentReference">
    <w:name w:val="annotation reference"/>
    <w:uiPriority w:val="99"/>
    <w:rsid w:val="00924694"/>
    <w:rPr>
      <w:sz w:val="16"/>
      <w:szCs w:val="16"/>
    </w:rPr>
  </w:style>
  <w:style w:type="character" w:styleId="EndnoteReference">
    <w:name w:val="endnote reference"/>
    <w:rsid w:val="007600AF"/>
    <w:rPr>
      <w:vertAlign w:val="superscript"/>
    </w:rPr>
  </w:style>
  <w:style w:type="paragraph" w:styleId="CommentText">
    <w:name w:val="annotation text"/>
    <w:basedOn w:val="Normal"/>
    <w:link w:val="CommentTextChar"/>
    <w:uiPriority w:val="99"/>
    <w:unhideWhenUsed/>
    <w:rsid w:val="00B23301"/>
    <w:pPr>
      <w:overflowPunct w:val="0"/>
      <w:autoSpaceDE w:val="0"/>
      <w:autoSpaceDN w:val="0"/>
      <w:adjustRightInd w:val="0"/>
      <w:textAlignment w:val="baseline"/>
    </w:pPr>
    <w:rPr>
      <w:rFonts w:ascii="Times New Roman" w:hAnsi="Times New Roman"/>
      <w:sz w:val="20"/>
      <w:szCs w:val="20"/>
    </w:rPr>
  </w:style>
  <w:style w:type="character" w:customStyle="1" w:styleId="CommentTextChar">
    <w:name w:val="Comment Text Char"/>
    <w:basedOn w:val="DefaultParagraphFont"/>
    <w:link w:val="CommentText"/>
    <w:uiPriority w:val="99"/>
    <w:rsid w:val="00B23301"/>
  </w:style>
  <w:style w:type="paragraph" w:styleId="BalloonText">
    <w:name w:val="Balloon Text"/>
    <w:basedOn w:val="Normal"/>
    <w:link w:val="BalloonTextChar"/>
    <w:rsid w:val="00B23301"/>
    <w:rPr>
      <w:rFonts w:ascii="Tahoma" w:hAnsi="Tahoma" w:cs="Tahoma"/>
      <w:sz w:val="16"/>
      <w:szCs w:val="16"/>
    </w:rPr>
  </w:style>
  <w:style w:type="character" w:customStyle="1" w:styleId="BalloonTextChar">
    <w:name w:val="Balloon Text Char"/>
    <w:link w:val="BalloonText"/>
    <w:rsid w:val="00B23301"/>
    <w:rPr>
      <w:rFonts w:ascii="Tahoma" w:hAnsi="Tahoma" w:cs="Tahoma"/>
      <w:sz w:val="16"/>
      <w:szCs w:val="16"/>
    </w:rPr>
  </w:style>
  <w:style w:type="paragraph" w:styleId="CommentSubject">
    <w:name w:val="annotation subject"/>
    <w:basedOn w:val="CommentText"/>
    <w:next w:val="CommentText"/>
    <w:link w:val="CommentSubjectChar"/>
    <w:rsid w:val="00331671"/>
    <w:pPr>
      <w:overflowPunct/>
      <w:autoSpaceDE/>
      <w:autoSpaceDN/>
      <w:adjustRightInd/>
      <w:textAlignment w:val="auto"/>
    </w:pPr>
    <w:rPr>
      <w:rFonts w:ascii="Arial" w:hAnsi="Arial"/>
      <w:b/>
      <w:bCs/>
    </w:rPr>
  </w:style>
  <w:style w:type="character" w:customStyle="1" w:styleId="CommentSubjectChar">
    <w:name w:val="Comment Subject Char"/>
    <w:link w:val="CommentSubject"/>
    <w:rsid w:val="00331671"/>
    <w:rPr>
      <w:rFonts w:ascii="Arial" w:hAnsi="Arial"/>
      <w:b/>
      <w:bCs/>
    </w:rPr>
  </w:style>
  <w:style w:type="paragraph" w:styleId="Header">
    <w:name w:val="header"/>
    <w:basedOn w:val="Normal"/>
    <w:link w:val="HeaderChar"/>
    <w:uiPriority w:val="99"/>
    <w:rsid w:val="00331671"/>
    <w:pPr>
      <w:tabs>
        <w:tab w:val="center" w:pos="4680"/>
        <w:tab w:val="right" w:pos="9360"/>
      </w:tabs>
    </w:pPr>
  </w:style>
  <w:style w:type="character" w:customStyle="1" w:styleId="HeaderChar">
    <w:name w:val="Header Char"/>
    <w:link w:val="Header"/>
    <w:uiPriority w:val="99"/>
    <w:rsid w:val="00331671"/>
    <w:rPr>
      <w:rFonts w:ascii="Arial" w:hAnsi="Arial"/>
      <w:sz w:val="24"/>
      <w:szCs w:val="24"/>
    </w:rPr>
  </w:style>
  <w:style w:type="paragraph" w:styleId="Footer">
    <w:name w:val="footer"/>
    <w:basedOn w:val="Normal"/>
    <w:link w:val="FooterChar"/>
    <w:uiPriority w:val="99"/>
    <w:rsid w:val="00331671"/>
    <w:pPr>
      <w:tabs>
        <w:tab w:val="center" w:pos="4680"/>
        <w:tab w:val="right" w:pos="9360"/>
      </w:tabs>
    </w:pPr>
  </w:style>
  <w:style w:type="character" w:customStyle="1" w:styleId="FooterChar">
    <w:name w:val="Footer Char"/>
    <w:link w:val="Footer"/>
    <w:uiPriority w:val="99"/>
    <w:rsid w:val="00331671"/>
    <w:rPr>
      <w:rFonts w:ascii="Arial" w:hAnsi="Arial"/>
      <w:sz w:val="24"/>
      <w:szCs w:val="24"/>
    </w:rPr>
  </w:style>
  <w:style w:type="character" w:styleId="Hyperlink">
    <w:name w:val="Hyperlink"/>
    <w:uiPriority w:val="99"/>
    <w:unhideWhenUsed/>
    <w:rsid w:val="00B67914"/>
    <w:rPr>
      <w:color w:val="0000FF"/>
      <w:u w:val="single"/>
    </w:rPr>
  </w:style>
  <w:style w:type="paragraph" w:customStyle="1" w:styleId="Default">
    <w:name w:val="Default"/>
    <w:rsid w:val="00B0621A"/>
    <w:pPr>
      <w:widowControl w:val="0"/>
      <w:autoSpaceDE w:val="0"/>
      <w:autoSpaceDN w:val="0"/>
      <w:adjustRightInd w:val="0"/>
    </w:pPr>
    <w:rPr>
      <w:rFonts w:ascii="Optimum" w:hAnsi="Optimum" w:cs="Optimum"/>
      <w:color w:val="000000"/>
      <w:sz w:val="24"/>
      <w:szCs w:val="24"/>
    </w:rPr>
  </w:style>
  <w:style w:type="table" w:styleId="TableGrid">
    <w:name w:val="Table Grid"/>
    <w:basedOn w:val="TableNormal"/>
    <w:rsid w:val="00434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957798">
      <w:bodyDiv w:val="1"/>
      <w:marLeft w:val="0"/>
      <w:marRight w:val="0"/>
      <w:marTop w:val="0"/>
      <w:marBottom w:val="0"/>
      <w:divBdr>
        <w:top w:val="none" w:sz="0" w:space="0" w:color="auto"/>
        <w:left w:val="none" w:sz="0" w:space="0" w:color="auto"/>
        <w:bottom w:val="none" w:sz="0" w:space="0" w:color="auto"/>
        <w:right w:val="none" w:sz="0" w:space="0" w:color="auto"/>
      </w:divBdr>
    </w:div>
    <w:div w:id="484443441">
      <w:bodyDiv w:val="1"/>
      <w:marLeft w:val="0"/>
      <w:marRight w:val="0"/>
      <w:marTop w:val="0"/>
      <w:marBottom w:val="0"/>
      <w:divBdr>
        <w:top w:val="none" w:sz="0" w:space="0" w:color="auto"/>
        <w:left w:val="none" w:sz="0" w:space="0" w:color="auto"/>
        <w:bottom w:val="none" w:sz="0" w:space="0" w:color="auto"/>
        <w:right w:val="none" w:sz="0" w:space="0" w:color="auto"/>
      </w:divBdr>
    </w:div>
    <w:div w:id="1197888996">
      <w:bodyDiv w:val="1"/>
      <w:marLeft w:val="0"/>
      <w:marRight w:val="0"/>
      <w:marTop w:val="0"/>
      <w:marBottom w:val="0"/>
      <w:divBdr>
        <w:top w:val="none" w:sz="0" w:space="0" w:color="auto"/>
        <w:left w:val="none" w:sz="0" w:space="0" w:color="auto"/>
        <w:bottom w:val="none" w:sz="0" w:space="0" w:color="auto"/>
        <w:right w:val="none" w:sz="0" w:space="0" w:color="auto"/>
      </w:divBdr>
    </w:div>
    <w:div w:id="1676616039">
      <w:bodyDiv w:val="1"/>
      <w:marLeft w:val="0"/>
      <w:marRight w:val="0"/>
      <w:marTop w:val="0"/>
      <w:marBottom w:val="0"/>
      <w:divBdr>
        <w:top w:val="none" w:sz="0" w:space="0" w:color="auto"/>
        <w:left w:val="none" w:sz="0" w:space="0" w:color="auto"/>
        <w:bottom w:val="none" w:sz="0" w:space="0" w:color="auto"/>
        <w:right w:val="none" w:sz="0" w:space="0" w:color="auto"/>
      </w:divBdr>
    </w:div>
    <w:div w:id="196237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16C15-E4C9-47A1-9283-047F9AD8D9F9}">
  <ds:schemaRefs>
    <ds:schemaRef ds:uri="http://schemas.microsoft.com/sharepoint/v3/contenttype/forms"/>
  </ds:schemaRefs>
</ds:datastoreItem>
</file>

<file path=customXml/itemProps2.xml><?xml version="1.0" encoding="utf-8"?>
<ds:datastoreItem xmlns:ds="http://schemas.openxmlformats.org/officeDocument/2006/customXml" ds:itemID="{279BF8B7-3661-4BF7-BF4F-6AE173EB5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76EE1D-725E-4368-BC73-9373A1C0ED2E}">
  <ds:schemaRef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0433DA5-FAF9-4565-A747-3657DABB4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2813</Words>
  <Characters>16038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18814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SYSTEM</cp:lastModifiedBy>
  <cp:revision>2</cp:revision>
  <cp:lastPrinted>2019-03-14T14:25:00Z</cp:lastPrinted>
  <dcterms:created xsi:type="dcterms:W3CDTF">2019-04-01T16:58:00Z</dcterms:created>
  <dcterms:modified xsi:type="dcterms:W3CDTF">2019-04-01T16:58:00Z</dcterms:modified>
</cp:coreProperties>
</file>