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0F1" w:rsidRPr="002340F1" w:rsidRDefault="00427EF9" w:rsidP="00427EF9">
      <w:pPr>
        <w:jc w:val="center"/>
        <w:rPr>
          <w:b/>
          <w:sz w:val="32"/>
          <w:szCs w:val="32"/>
        </w:rPr>
      </w:pPr>
      <w:bookmarkStart w:id="0" w:name="_GoBack"/>
      <w:bookmarkEnd w:id="0"/>
      <w:r w:rsidRPr="002340F1">
        <w:rPr>
          <w:b/>
          <w:sz w:val="32"/>
          <w:szCs w:val="32"/>
        </w:rPr>
        <w:t xml:space="preserve">Request for a Non-Substantive Change </w:t>
      </w:r>
    </w:p>
    <w:p w:rsidR="001162E5" w:rsidRPr="002340F1" w:rsidRDefault="00427EF9" w:rsidP="00427EF9">
      <w:pPr>
        <w:jc w:val="center"/>
        <w:rPr>
          <w:b/>
          <w:sz w:val="32"/>
          <w:szCs w:val="32"/>
        </w:rPr>
      </w:pPr>
      <w:r w:rsidRPr="002340F1">
        <w:rPr>
          <w:b/>
          <w:sz w:val="32"/>
          <w:szCs w:val="32"/>
        </w:rPr>
        <w:t>to an Existing Approved Information Collection</w:t>
      </w:r>
    </w:p>
    <w:p w:rsidR="00D3542D" w:rsidRDefault="00AB6AF0" w:rsidP="00AB6AF0">
      <w:pPr>
        <w:jc w:val="center"/>
        <w:rPr>
          <w:b/>
        </w:rPr>
      </w:pPr>
      <w:r>
        <w:t xml:space="preserve">(EPA ICR No. </w:t>
      </w:r>
      <w:r w:rsidR="006C54F4">
        <w:t>2567.0</w:t>
      </w:r>
      <w:r w:rsidR="00D464F1">
        <w:t>3</w:t>
      </w:r>
      <w:r w:rsidR="006C54F4">
        <w:t>; OMB Control No. 2070-0207</w:t>
      </w:r>
      <w:r>
        <w:t>)</w:t>
      </w:r>
    </w:p>
    <w:p w:rsidR="00B810E3" w:rsidRDefault="00B810E3">
      <w:pPr>
        <w:rPr>
          <w:b/>
        </w:rPr>
      </w:pPr>
    </w:p>
    <w:p w:rsidR="00301217" w:rsidRDefault="00E3194B" w:rsidP="00B810E3">
      <w:pPr>
        <w:outlineLvl w:val="0"/>
        <w:rPr>
          <w:b/>
          <w:sz w:val="28"/>
          <w:szCs w:val="28"/>
        </w:rPr>
      </w:pPr>
      <w:bookmarkStart w:id="1" w:name="_Toc258935214"/>
      <w:r>
        <w:rPr>
          <w:b/>
          <w:sz w:val="28"/>
          <w:szCs w:val="28"/>
        </w:rPr>
        <w:t xml:space="preserve">I. </w:t>
      </w:r>
      <w:r w:rsidR="00301217">
        <w:rPr>
          <w:b/>
          <w:sz w:val="28"/>
          <w:szCs w:val="28"/>
        </w:rPr>
        <w:t>Introduction</w:t>
      </w:r>
      <w:bookmarkEnd w:id="1"/>
    </w:p>
    <w:p w:rsidR="00301217" w:rsidRDefault="00301217" w:rsidP="00301217">
      <w:pPr>
        <w:rPr>
          <w:i/>
        </w:rPr>
      </w:pPr>
    </w:p>
    <w:p w:rsidR="00301217" w:rsidRPr="00203D61" w:rsidRDefault="00301217" w:rsidP="00B810E3">
      <w:pPr>
        <w:outlineLvl w:val="1"/>
        <w:rPr>
          <w:b/>
          <w:i/>
        </w:rPr>
      </w:pPr>
      <w:bookmarkStart w:id="2" w:name="_Toc258935215"/>
      <w:r w:rsidRPr="00203D61">
        <w:rPr>
          <w:b/>
          <w:i/>
        </w:rPr>
        <w:t>Why is EPA Requesting a Non-Substantive Change?</w:t>
      </w:r>
      <w:bookmarkEnd w:id="2"/>
    </w:p>
    <w:p w:rsidR="00301217" w:rsidRDefault="00D464F1" w:rsidP="002029A9">
      <w:pPr>
        <w:rPr>
          <w:b/>
        </w:rPr>
      </w:pPr>
      <w:r>
        <w:t>In its Terms of Clearance for the existing, approved ICR, entitled “</w:t>
      </w:r>
      <w:r w:rsidRPr="00E9072B">
        <w:t>Collection of Information for TSCA Mercury Inventory Reporting Rule</w:t>
      </w:r>
      <w:r>
        <w:t xml:space="preserve">,” OMB directed EPA to </w:t>
      </w:r>
      <w:r w:rsidRPr="00D464F1">
        <w:t>“revise the collection with the guidance documents and training materials when available.”</w:t>
      </w:r>
      <w:r>
        <w:t xml:space="preserve"> In accordance with the Terms of Clearance, </w:t>
      </w:r>
      <w:r w:rsidR="006A0562">
        <w:t xml:space="preserve">EPA is requesting </w:t>
      </w:r>
      <w:r w:rsidR="0056195A">
        <w:t xml:space="preserve">OMB approval for a </w:t>
      </w:r>
      <w:r w:rsidR="006A0562">
        <w:t xml:space="preserve">non-substantive change </w:t>
      </w:r>
      <w:r w:rsidR="0056195A">
        <w:t xml:space="preserve">to revise the currently approved collection with available guidance documents. </w:t>
      </w:r>
      <w:r w:rsidR="002029A9">
        <w:t>EPA is not otherwise modifying the information collection requirements or paperwork burden estimates.</w:t>
      </w:r>
      <w:r w:rsidR="002029A9">
        <w:rPr>
          <w:b/>
        </w:rPr>
        <w:t xml:space="preserve"> </w:t>
      </w:r>
    </w:p>
    <w:p w:rsidR="002029A9" w:rsidRDefault="002029A9" w:rsidP="00B810E3">
      <w:pPr>
        <w:outlineLvl w:val="0"/>
        <w:rPr>
          <w:b/>
          <w:sz w:val="28"/>
          <w:szCs w:val="28"/>
        </w:rPr>
      </w:pPr>
    </w:p>
    <w:p w:rsidR="002029A9" w:rsidRDefault="002029A9" w:rsidP="002029A9">
      <w:pPr>
        <w:outlineLvl w:val="0"/>
        <w:rPr>
          <w:b/>
          <w:sz w:val="28"/>
          <w:szCs w:val="28"/>
        </w:rPr>
      </w:pPr>
      <w:r>
        <w:rPr>
          <w:b/>
          <w:sz w:val="28"/>
          <w:szCs w:val="28"/>
        </w:rPr>
        <w:t xml:space="preserve">II. </w:t>
      </w:r>
      <w:r w:rsidRPr="002340F1">
        <w:rPr>
          <w:b/>
          <w:sz w:val="28"/>
          <w:szCs w:val="28"/>
        </w:rPr>
        <w:t>Description of Non-</w:t>
      </w:r>
      <w:r>
        <w:rPr>
          <w:b/>
          <w:sz w:val="28"/>
          <w:szCs w:val="28"/>
        </w:rPr>
        <w:t>S</w:t>
      </w:r>
      <w:r w:rsidRPr="002340F1">
        <w:rPr>
          <w:b/>
          <w:sz w:val="28"/>
          <w:szCs w:val="28"/>
        </w:rPr>
        <w:t>ubstantive Changes</w:t>
      </w:r>
    </w:p>
    <w:p w:rsidR="002029A9" w:rsidRDefault="002029A9" w:rsidP="002029A9">
      <w:pPr>
        <w:rPr>
          <w:i/>
        </w:rPr>
      </w:pPr>
    </w:p>
    <w:p w:rsidR="002029A9" w:rsidRPr="00203D61" w:rsidRDefault="002029A9" w:rsidP="002029A9">
      <w:pPr>
        <w:outlineLvl w:val="1"/>
        <w:rPr>
          <w:b/>
          <w:i/>
        </w:rPr>
      </w:pPr>
      <w:r w:rsidRPr="00203D61">
        <w:rPr>
          <w:b/>
          <w:i/>
        </w:rPr>
        <w:t>What Information Collection Request (ICR) is EPA changing?</w:t>
      </w:r>
    </w:p>
    <w:p w:rsidR="002029A9" w:rsidRDefault="002029A9" w:rsidP="002029A9">
      <w:pPr>
        <w:rPr>
          <w:b/>
        </w:rPr>
      </w:pPr>
    </w:p>
    <w:tbl>
      <w:tblPr>
        <w:tblW w:w="0" w:type="auto"/>
        <w:tblInd w:w="708" w:type="dxa"/>
        <w:tblLook w:val="01E0" w:firstRow="1" w:lastRow="1" w:firstColumn="1" w:lastColumn="1" w:noHBand="0" w:noVBand="0"/>
      </w:tblPr>
      <w:tblGrid>
        <w:gridCol w:w="1800"/>
        <w:gridCol w:w="7068"/>
      </w:tblGrid>
      <w:tr w:rsidR="002029A9" w:rsidTr="009D7708">
        <w:trPr>
          <w:trHeight w:val="432"/>
        </w:trPr>
        <w:tc>
          <w:tcPr>
            <w:tcW w:w="1800" w:type="dxa"/>
          </w:tcPr>
          <w:p w:rsidR="002029A9" w:rsidRDefault="002029A9" w:rsidP="009D7708">
            <w:pPr>
              <w:spacing w:after="120"/>
              <w:jc w:val="right"/>
            </w:pPr>
            <w:r w:rsidRPr="000416B8">
              <w:rPr>
                <w:b/>
              </w:rPr>
              <w:t>ICR Title:</w:t>
            </w:r>
          </w:p>
        </w:tc>
        <w:tc>
          <w:tcPr>
            <w:tcW w:w="7068" w:type="dxa"/>
            <w:vAlign w:val="center"/>
          </w:tcPr>
          <w:p w:rsidR="002029A9" w:rsidRDefault="00E9072B" w:rsidP="009D7708">
            <w:pPr>
              <w:spacing w:after="120"/>
            </w:pPr>
            <w:r w:rsidRPr="00E9072B">
              <w:t>Collection of Information for TSCA Mercury Inventory Reporting Rule</w:t>
            </w:r>
          </w:p>
        </w:tc>
      </w:tr>
      <w:tr w:rsidR="002029A9" w:rsidTr="009D7708">
        <w:trPr>
          <w:trHeight w:val="432"/>
        </w:trPr>
        <w:tc>
          <w:tcPr>
            <w:tcW w:w="1800" w:type="dxa"/>
          </w:tcPr>
          <w:p w:rsidR="002029A9" w:rsidRDefault="002029A9" w:rsidP="009D7708">
            <w:pPr>
              <w:spacing w:after="120"/>
              <w:jc w:val="right"/>
            </w:pPr>
            <w:r w:rsidRPr="000416B8">
              <w:rPr>
                <w:b/>
              </w:rPr>
              <w:t>ICR Numbers:</w:t>
            </w:r>
          </w:p>
        </w:tc>
        <w:tc>
          <w:tcPr>
            <w:tcW w:w="7068" w:type="dxa"/>
          </w:tcPr>
          <w:p w:rsidR="002029A9" w:rsidRDefault="006C54F4" w:rsidP="009D7708">
            <w:pPr>
              <w:spacing w:after="120"/>
            </w:pPr>
            <w:r>
              <w:t>EPA ICR No. 2567.02</w:t>
            </w:r>
            <w:r w:rsidR="002029A9">
              <w:t xml:space="preserve">; </w:t>
            </w:r>
            <w:r w:rsidR="002029A9" w:rsidRPr="006C54F4">
              <w:t>OMB Contr</w:t>
            </w:r>
            <w:r>
              <w:t>ol No. 2070-0207</w:t>
            </w:r>
            <w:r w:rsidR="0056195A">
              <w:t>; ICR Reference No. 201806-2070-003</w:t>
            </w:r>
          </w:p>
        </w:tc>
      </w:tr>
    </w:tbl>
    <w:p w:rsidR="002029A9" w:rsidRDefault="002029A9" w:rsidP="002029A9"/>
    <w:p w:rsidR="002029A9" w:rsidRPr="00203D61" w:rsidRDefault="002029A9" w:rsidP="002029A9">
      <w:pPr>
        <w:outlineLvl w:val="1"/>
        <w:rPr>
          <w:b/>
          <w:i/>
        </w:rPr>
      </w:pPr>
      <w:r w:rsidRPr="00203D61">
        <w:rPr>
          <w:b/>
          <w:i/>
        </w:rPr>
        <w:t>What is the current status of this ICR?</w:t>
      </w:r>
    </w:p>
    <w:p w:rsidR="002029A9" w:rsidRDefault="002029A9" w:rsidP="002029A9">
      <w:r w:rsidRPr="0009025C">
        <w:t>This ICR is currently approved</w:t>
      </w:r>
      <w:r>
        <w:t xml:space="preserve"> through </w:t>
      </w:r>
      <w:r w:rsidR="006B3C9E">
        <w:t>October 31</w:t>
      </w:r>
      <w:r w:rsidR="006C54F4">
        <w:t>, 2021</w:t>
      </w:r>
      <w:r>
        <w:t>.</w:t>
      </w:r>
      <w:r w:rsidR="00D464F1">
        <w:t xml:space="preserve"> </w:t>
      </w:r>
    </w:p>
    <w:p w:rsidR="002029A9" w:rsidRDefault="002029A9" w:rsidP="00B810E3">
      <w:pPr>
        <w:outlineLvl w:val="0"/>
        <w:rPr>
          <w:b/>
          <w:sz w:val="28"/>
          <w:szCs w:val="28"/>
        </w:rPr>
      </w:pPr>
    </w:p>
    <w:p w:rsidR="002029A9" w:rsidRPr="00203D61" w:rsidRDefault="002029A9" w:rsidP="002029A9">
      <w:pPr>
        <w:outlineLvl w:val="1"/>
        <w:rPr>
          <w:b/>
        </w:rPr>
      </w:pPr>
      <w:r w:rsidRPr="00203D61">
        <w:rPr>
          <w:b/>
          <w:i/>
        </w:rPr>
        <w:t xml:space="preserve">What are the changes that EPA is making to this </w:t>
      </w:r>
      <w:r w:rsidR="00EF3BB7" w:rsidRPr="00203D61">
        <w:rPr>
          <w:b/>
          <w:i/>
        </w:rPr>
        <w:t>collection of information</w:t>
      </w:r>
      <w:r w:rsidRPr="00203D61">
        <w:rPr>
          <w:b/>
          <w:i/>
        </w:rPr>
        <w:t>?</w:t>
      </w:r>
    </w:p>
    <w:p w:rsidR="00925BBB" w:rsidRPr="00AC2D09" w:rsidRDefault="002029A9" w:rsidP="00B73FA3">
      <w:r w:rsidRPr="00AC2D09">
        <w:t xml:space="preserve">EPA </w:t>
      </w:r>
      <w:r w:rsidR="00226D55">
        <w:t xml:space="preserve">has </w:t>
      </w:r>
      <w:r w:rsidR="00F60448" w:rsidRPr="00AC2D09">
        <w:t>complet</w:t>
      </w:r>
      <w:r w:rsidR="00226D55">
        <w:t xml:space="preserve">ed </w:t>
      </w:r>
      <w:r w:rsidR="00F60448" w:rsidRPr="00AC2D09">
        <w:t xml:space="preserve">outreach </w:t>
      </w:r>
      <w:r w:rsidR="00ED4AAC" w:rsidRPr="00AC2D09">
        <w:t xml:space="preserve">materials </w:t>
      </w:r>
      <w:r w:rsidR="00226D55">
        <w:t xml:space="preserve">referenced in the rule and responses to public comments. </w:t>
      </w:r>
      <w:r w:rsidR="00833698" w:rsidRPr="00AC2D09">
        <w:t>T</w:t>
      </w:r>
      <w:r w:rsidR="00CA1526" w:rsidRPr="00AC2D09">
        <w:t>he compliance guide and frequent questions summarize and translate language from the preamble of the final rule (</w:t>
      </w:r>
      <w:hyperlink r:id="rId8" w:history="1">
        <w:r w:rsidR="009B5B82" w:rsidRPr="00550E2A">
          <w:rPr>
            <w:rStyle w:val="Hyperlink"/>
          </w:rPr>
          <w:t>https://www.regulations.gov/document?D=EPA-HQ-OPPT-2017-0421-0099</w:t>
        </w:r>
      </w:hyperlink>
      <w:r w:rsidR="00CA1526" w:rsidRPr="0090493E">
        <w:t>)</w:t>
      </w:r>
      <w:r w:rsidR="00CA1526" w:rsidRPr="00AC2D09">
        <w:t xml:space="preserve"> and EPA responses to public comments (</w:t>
      </w:r>
      <w:hyperlink r:id="rId9" w:history="1">
        <w:r w:rsidR="009B5B82" w:rsidRPr="00550E2A">
          <w:rPr>
            <w:rStyle w:val="Hyperlink"/>
          </w:rPr>
          <w:t>https://www.regulations.gov/document?D=EPA-HQ-OPPT-2017-0421-0102</w:t>
        </w:r>
      </w:hyperlink>
      <w:r w:rsidR="00CA1526" w:rsidRPr="00447875">
        <w:t>)</w:t>
      </w:r>
      <w:r w:rsidR="0023311B" w:rsidRPr="00AC2D09">
        <w:t xml:space="preserve"> to help potential submitters, including small businesses, determine whether or not they are subject to EPA’s mercury inventory reporting requirements</w:t>
      </w:r>
      <w:r w:rsidR="00B84220">
        <w:t xml:space="preserve"> and provide other useful information</w:t>
      </w:r>
      <w:r w:rsidR="0023311B" w:rsidRPr="00AC2D09">
        <w:t>.</w:t>
      </w:r>
      <w:r w:rsidR="00833698" w:rsidRPr="00AC2D09">
        <w:t xml:space="preserve"> </w:t>
      </w:r>
      <w:r w:rsidR="00AC2D09">
        <w:t>Both reso</w:t>
      </w:r>
      <w:r w:rsidR="00AC2D09" w:rsidRPr="00AC2D09">
        <w:t>urces will be available on the EPA</w:t>
      </w:r>
      <w:r w:rsidR="00AC2D09">
        <w:t>’s mercury website.</w:t>
      </w:r>
    </w:p>
    <w:p w:rsidR="00925BBB" w:rsidRPr="00AC2D09" w:rsidRDefault="00925BBB" w:rsidP="00B73FA3"/>
    <w:p w:rsidR="00925BBB" w:rsidRPr="00AC2D09" w:rsidRDefault="0023311B" w:rsidP="00925BBB">
      <w:r w:rsidRPr="00AC2D09">
        <w:t xml:space="preserve">The compliance guide, in particular, </w:t>
      </w:r>
      <w:r w:rsidR="00925BBB" w:rsidRPr="00AC2D09">
        <w:t>explains the requirements for manufacturers and importers to report information about the supply, use, and trade of mercury to EPA. The guide provides an overview of the legal requirements and an explanation of how the Agency intends to use the information it collects. Diagrams and examples are provided to help companies in determining whether they must report information about mercury to EPA. Based on business activities, companies that must report will find the applicable list of reporting requirements, as well as reporting and recordkeeping timelines, explanations of key terms, and links to additional resources to support reporting under the rule.</w:t>
      </w:r>
    </w:p>
    <w:p w:rsidR="00925BBB" w:rsidRPr="00AC2D09" w:rsidRDefault="009D7708" w:rsidP="009D7708">
      <w:pPr>
        <w:tabs>
          <w:tab w:val="left" w:pos="5520"/>
        </w:tabs>
      </w:pPr>
      <w:r>
        <w:lastRenderedPageBreak/>
        <w:tab/>
      </w:r>
    </w:p>
    <w:p w:rsidR="0023311B" w:rsidRPr="00833698" w:rsidRDefault="0023311B" w:rsidP="00B73FA3">
      <w:pPr>
        <w:rPr>
          <w:sz w:val="23"/>
          <w:szCs w:val="23"/>
          <w:u w:val="single"/>
        </w:rPr>
      </w:pPr>
      <w:r w:rsidRPr="00AC2D09">
        <w:t xml:space="preserve">The frequent questions mirror the compliance </w:t>
      </w:r>
      <w:r w:rsidR="00833698" w:rsidRPr="00AC2D09">
        <w:t>guide but are presen</w:t>
      </w:r>
      <w:r w:rsidR="00833698">
        <w:t xml:space="preserve">ted as </w:t>
      </w:r>
      <w:r>
        <w:t>condensed summaries of key points in the guide.</w:t>
      </w:r>
    </w:p>
    <w:p w:rsidR="00833698" w:rsidRDefault="00833698" w:rsidP="00203D61">
      <w:pPr>
        <w:rPr>
          <w:b/>
          <w:i/>
        </w:rPr>
      </w:pPr>
    </w:p>
    <w:p w:rsidR="00203D61" w:rsidRPr="00203D61" w:rsidRDefault="00203D61" w:rsidP="00203D61">
      <w:pPr>
        <w:rPr>
          <w:b/>
          <w:i/>
        </w:rPr>
      </w:pPr>
      <w:r w:rsidRPr="00203D61">
        <w:rPr>
          <w:b/>
          <w:i/>
        </w:rPr>
        <w:t xml:space="preserve">Did EPA consult with stakeholders about this </w:t>
      </w:r>
      <w:r>
        <w:rPr>
          <w:b/>
          <w:i/>
        </w:rPr>
        <w:t>approach</w:t>
      </w:r>
      <w:r w:rsidRPr="00203D61">
        <w:rPr>
          <w:b/>
          <w:i/>
        </w:rPr>
        <w:t>?</w:t>
      </w:r>
    </w:p>
    <w:p w:rsidR="00203D61" w:rsidRDefault="0023311B" w:rsidP="00203D61">
      <w:r>
        <w:t>The Agency developed the compliance guide and frequent questions in response to public comments on the rule. When developing</w:t>
      </w:r>
      <w:r w:rsidR="009F38CF">
        <w:t xml:space="preserve"> these materials, EPA based the </w:t>
      </w:r>
      <w:r>
        <w:t>content and presentation on similar materials developed for chemical substance rulemakings published by the Office of Chemical S</w:t>
      </w:r>
      <w:r w:rsidR="008D14E8">
        <w:t>afety and Pollution Prevention</w:t>
      </w:r>
      <w:r w:rsidR="00203D61">
        <w:t>.</w:t>
      </w:r>
    </w:p>
    <w:p w:rsidR="00203D61" w:rsidRDefault="00203D61" w:rsidP="00203D61"/>
    <w:p w:rsidR="00203D61" w:rsidRPr="00203D61" w:rsidRDefault="00203D61" w:rsidP="00203D61">
      <w:pPr>
        <w:rPr>
          <w:b/>
          <w:i/>
        </w:rPr>
      </w:pPr>
      <w:r w:rsidRPr="00203D61">
        <w:rPr>
          <w:b/>
          <w:i/>
        </w:rPr>
        <w:t xml:space="preserve">Will this change impact the annual ICR burden estimate? </w:t>
      </w:r>
    </w:p>
    <w:p w:rsidR="00762ADD" w:rsidRDefault="0023311B" w:rsidP="00203D61">
      <w:r>
        <w:t xml:space="preserve">No. </w:t>
      </w:r>
      <w:r w:rsidR="00203D61">
        <w:t>The current ICR annual burden will not change</w:t>
      </w:r>
      <w:r w:rsidR="00A622B2">
        <w:t xml:space="preserve">. </w:t>
      </w:r>
      <w:r w:rsidR="00833698">
        <w:t>It is not mandatory to use the compliance guide or frequent questions in the course of complying with the repo</w:t>
      </w:r>
      <w:r w:rsidR="00661042">
        <w:t xml:space="preserve">rting requirements, nor does the content they present </w:t>
      </w:r>
      <w:r w:rsidR="00833698">
        <w:t xml:space="preserve">rise to </w:t>
      </w:r>
      <w:r w:rsidR="00B84220">
        <w:t xml:space="preserve">the </w:t>
      </w:r>
      <w:r w:rsidR="00833698">
        <w:t xml:space="preserve">level of </w:t>
      </w:r>
      <w:r w:rsidR="00B84220">
        <w:t xml:space="preserve">step-by-step </w:t>
      </w:r>
      <w:r w:rsidR="00833698">
        <w:t>instruction</w:t>
      </w:r>
      <w:r w:rsidR="00CE1DC5">
        <w:t>s</w:t>
      </w:r>
      <w:r w:rsidR="00833698">
        <w:t xml:space="preserve"> </w:t>
      </w:r>
      <w:r w:rsidR="00B84220">
        <w:t xml:space="preserve">for required to establish an account and enter data </w:t>
      </w:r>
      <w:r w:rsidR="00833698">
        <w:t>provided in the user guide for the Mercury Electronic Reporting application, which was already considered in estimating the burd</w:t>
      </w:r>
      <w:r w:rsidR="00903AD8">
        <w:t xml:space="preserve">en and cost of the collection. </w:t>
      </w:r>
      <w:r w:rsidR="00B84220" w:rsidRPr="00B84220">
        <w:t>The compliance guide and frequent questions present the same material contained in the rule and response to public comments</w:t>
      </w:r>
      <w:r w:rsidR="00B84220">
        <w:t>,</w:t>
      </w:r>
      <w:r w:rsidR="00B84220" w:rsidRPr="00B84220">
        <w:t xml:space="preserve"> but with simpler, more user-friendly language and visuals as a handy reference to make compliance quicker and easier.</w:t>
      </w:r>
      <w:r w:rsidR="00B84220">
        <w:t xml:space="preserve"> </w:t>
      </w:r>
      <w:r w:rsidR="00A622B2">
        <w:t>Thus, the</w:t>
      </w:r>
      <w:r w:rsidR="00A622B2" w:rsidRPr="00903AD8">
        <w:t xml:space="preserve"> average for total burden hours per the three-year reporting cycle </w:t>
      </w:r>
      <w:r w:rsidR="00A622B2">
        <w:t xml:space="preserve">remains </w:t>
      </w:r>
      <w:r w:rsidR="00A622B2" w:rsidRPr="00903AD8">
        <w:t>32.25 hours per year</w:t>
      </w:r>
      <w:r w:rsidR="00A622B2">
        <w:t xml:space="preserve">, with a </w:t>
      </w:r>
      <w:r w:rsidR="00A622B2" w:rsidRPr="00A622B2">
        <w:t>typical respondent burden for compliance determination</w:t>
      </w:r>
      <w:r w:rsidR="00A622B2">
        <w:t xml:space="preserve"> (e.g., </w:t>
      </w:r>
      <w:r w:rsidR="00A622B2" w:rsidRPr="00A622B2">
        <w:t>reading the rule, understanding the various reporting and administrative requirements, and determining the manner in which the reporting requirements will be met</w:t>
      </w:r>
      <w:r w:rsidR="00A622B2">
        <w:t>)</w:t>
      </w:r>
      <w:r w:rsidR="00A622B2" w:rsidRPr="00A622B2">
        <w:t xml:space="preserve"> </w:t>
      </w:r>
      <w:r w:rsidR="00A622B2">
        <w:t>of 2.5 hours.</w:t>
      </w:r>
    </w:p>
    <w:p w:rsidR="00833698" w:rsidRDefault="00833698" w:rsidP="00203D61"/>
    <w:p w:rsidR="00762ADD" w:rsidRDefault="00762ADD" w:rsidP="00762ADD">
      <w:pPr>
        <w:rPr>
          <w:b/>
          <w:i/>
        </w:rPr>
      </w:pPr>
      <w:r w:rsidRPr="00762ADD">
        <w:rPr>
          <w:b/>
          <w:i/>
        </w:rPr>
        <w:t xml:space="preserve">What is the expected non-paperwork impact of </w:t>
      </w:r>
      <w:r>
        <w:rPr>
          <w:b/>
          <w:i/>
        </w:rPr>
        <w:t>this</w:t>
      </w:r>
      <w:r w:rsidR="00925BBB">
        <w:rPr>
          <w:b/>
          <w:i/>
        </w:rPr>
        <w:t xml:space="preserve"> change</w:t>
      </w:r>
      <w:r w:rsidRPr="00762ADD">
        <w:rPr>
          <w:b/>
          <w:i/>
        </w:rPr>
        <w:t>?</w:t>
      </w:r>
    </w:p>
    <w:p w:rsidR="00925BBB" w:rsidRDefault="00925BBB" w:rsidP="00762ADD">
      <w:bookmarkStart w:id="3" w:name="_Hlk2250514"/>
      <w:r>
        <w:t xml:space="preserve">As discussed in the </w:t>
      </w:r>
      <w:r w:rsidR="00CE1DC5">
        <w:t xml:space="preserve">preamble to the final rule, </w:t>
      </w:r>
      <w:r w:rsidR="00CE1DC5" w:rsidRPr="00CE1DC5">
        <w:t>EPA requested public comment on what kinds of information would be particularly importan</w:t>
      </w:r>
      <w:r w:rsidR="00CE1DC5">
        <w:t xml:space="preserve">t to address for small entities. The compliance guide and frequent questions were developed </w:t>
      </w:r>
      <w:r w:rsidR="00AC7ADF">
        <w:t xml:space="preserve">to assist </w:t>
      </w:r>
      <w:r w:rsidR="00AC7ADF" w:rsidRPr="00AC7ADF">
        <w:t xml:space="preserve">any potential </w:t>
      </w:r>
      <w:r w:rsidR="00AC7ADF">
        <w:t>reporters</w:t>
      </w:r>
      <w:r w:rsidR="00AC7ADF" w:rsidRPr="00AC2D09">
        <w:t xml:space="preserve"> </w:t>
      </w:r>
      <w:r w:rsidR="00CE1DC5">
        <w:t>in response to comments received</w:t>
      </w:r>
      <w:bookmarkEnd w:id="3"/>
      <w:r w:rsidR="00CE1DC5">
        <w:t xml:space="preserve">, which ranged from requests to define terms to explanations and examples of reporting scenarios for specific manufacturing scenarios. </w:t>
      </w:r>
      <w:r>
        <w:t>Through examples, tables, flow charts, and diagrams to explain who must report and what information is required, as well as how and when a potential reporter would need to submit information to EPA, these materials are intended to lessen the burden on potential reporters. Similarly, a list of existing resources related to mercury, the inventory, and the reporting requirements is intended to connect potential reporters to additional information or EPA staff that can be of assistance</w:t>
      </w:r>
      <w:r w:rsidR="003335AC">
        <w:t xml:space="preserve"> to help reduce the time and resources required </w:t>
      </w:r>
      <w:r w:rsidR="00DB34A9">
        <w:t>to submit information to the Agency</w:t>
      </w:r>
      <w:r>
        <w:t>.</w:t>
      </w:r>
    </w:p>
    <w:p w:rsidR="00762ADD" w:rsidRDefault="00762ADD" w:rsidP="00203D61"/>
    <w:sectPr w:rsidR="00762ADD" w:rsidSect="00EF3BB7">
      <w:headerReference w:type="default" r:id="rId10"/>
      <w:footerReference w:type="default" r:id="rId11"/>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870" w:rsidRDefault="00A63870">
      <w:r>
        <w:separator/>
      </w:r>
    </w:p>
  </w:endnote>
  <w:endnote w:type="continuationSeparator" w:id="0">
    <w:p w:rsidR="00A63870" w:rsidRDefault="00A6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21F" w:rsidRPr="0016521F" w:rsidRDefault="0016521F" w:rsidP="0016521F">
    <w:pPr>
      <w:jc w:val="right"/>
    </w:pPr>
    <w:r>
      <w:t xml:space="preserve">Page </w:t>
    </w:r>
    <w:r>
      <w:fldChar w:fldCharType="begin"/>
    </w:r>
    <w:r>
      <w:instrText xml:space="preserve"> PAGE </w:instrText>
    </w:r>
    <w:r>
      <w:fldChar w:fldCharType="separate"/>
    </w:r>
    <w:r w:rsidR="00224711">
      <w:rPr>
        <w:noProof/>
      </w:rPr>
      <w:t>1</w:t>
    </w:r>
    <w:r>
      <w:fldChar w:fldCharType="end"/>
    </w:r>
    <w:r>
      <w:t xml:space="preserve"> of </w:t>
    </w:r>
    <w:r w:rsidR="00224711">
      <w:fldChar w:fldCharType="begin"/>
    </w:r>
    <w:r w:rsidR="00224711">
      <w:instrText xml:space="preserve"> NUMPAGES  </w:instrText>
    </w:r>
    <w:r w:rsidR="00224711">
      <w:fldChar w:fldCharType="separate"/>
    </w:r>
    <w:r w:rsidR="00224711">
      <w:rPr>
        <w:noProof/>
      </w:rPr>
      <w:t>2</w:t>
    </w:r>
    <w:r w:rsidR="002247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870" w:rsidRDefault="00A63870">
      <w:r>
        <w:separator/>
      </w:r>
    </w:p>
  </w:footnote>
  <w:footnote w:type="continuationSeparator" w:id="0">
    <w:p w:rsidR="00A63870" w:rsidRDefault="00A63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892" w:rsidRDefault="003A7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674AA"/>
    <w:multiLevelType w:val="hybridMultilevel"/>
    <w:tmpl w:val="82D23476"/>
    <w:lvl w:ilvl="0" w:tplc="FDF67E2C">
      <w:start w:val="1"/>
      <w:numFmt w:val="bullet"/>
      <w:lvlText w:val=""/>
      <w:lvlJc w:val="left"/>
      <w:pPr>
        <w:tabs>
          <w:tab w:val="num" w:pos="1440"/>
        </w:tabs>
        <w:ind w:left="1440" w:hanging="360"/>
      </w:pPr>
      <w:rPr>
        <w:rFonts w:ascii="Symbol" w:hAnsi="Symbol" w:cs="Times New Roman"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E3263C4"/>
    <w:multiLevelType w:val="hybridMultilevel"/>
    <w:tmpl w:val="3796D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BA719D"/>
    <w:multiLevelType w:val="hybridMultilevel"/>
    <w:tmpl w:val="3522D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1C82D72"/>
    <w:multiLevelType w:val="hybridMultilevel"/>
    <w:tmpl w:val="6C6A7C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FE50C2"/>
    <w:multiLevelType w:val="hybridMultilevel"/>
    <w:tmpl w:val="E7C4E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F9"/>
    <w:rsid w:val="00006A7A"/>
    <w:rsid w:val="00007884"/>
    <w:rsid w:val="00010014"/>
    <w:rsid w:val="00013B16"/>
    <w:rsid w:val="0003532A"/>
    <w:rsid w:val="000361B2"/>
    <w:rsid w:val="00041318"/>
    <w:rsid w:val="000416B8"/>
    <w:rsid w:val="0004462F"/>
    <w:rsid w:val="00050F26"/>
    <w:rsid w:val="0006004D"/>
    <w:rsid w:val="000610DE"/>
    <w:rsid w:val="00073694"/>
    <w:rsid w:val="00073A7B"/>
    <w:rsid w:val="00077978"/>
    <w:rsid w:val="00081C40"/>
    <w:rsid w:val="00085545"/>
    <w:rsid w:val="000924ED"/>
    <w:rsid w:val="00096C8B"/>
    <w:rsid w:val="000C55B0"/>
    <w:rsid w:val="000C5FC9"/>
    <w:rsid w:val="000C7E83"/>
    <w:rsid w:val="000D6122"/>
    <w:rsid w:val="000D791C"/>
    <w:rsid w:val="000E234E"/>
    <w:rsid w:val="000E2546"/>
    <w:rsid w:val="000F225A"/>
    <w:rsid w:val="00102167"/>
    <w:rsid w:val="00102689"/>
    <w:rsid w:val="00103983"/>
    <w:rsid w:val="00103E22"/>
    <w:rsid w:val="00115209"/>
    <w:rsid w:val="001162E5"/>
    <w:rsid w:val="00117937"/>
    <w:rsid w:val="00117F56"/>
    <w:rsid w:val="00141806"/>
    <w:rsid w:val="00151F4D"/>
    <w:rsid w:val="00154101"/>
    <w:rsid w:val="0016521F"/>
    <w:rsid w:val="001907F5"/>
    <w:rsid w:val="00197E8F"/>
    <w:rsid w:val="001A7AD1"/>
    <w:rsid w:val="001B4F67"/>
    <w:rsid w:val="001C0633"/>
    <w:rsid w:val="001C3331"/>
    <w:rsid w:val="001D3208"/>
    <w:rsid w:val="001F35D6"/>
    <w:rsid w:val="001F563C"/>
    <w:rsid w:val="001F6CD6"/>
    <w:rsid w:val="002029A9"/>
    <w:rsid w:val="00203D61"/>
    <w:rsid w:val="0020567E"/>
    <w:rsid w:val="0021159C"/>
    <w:rsid w:val="00215092"/>
    <w:rsid w:val="00215C6E"/>
    <w:rsid w:val="00224711"/>
    <w:rsid w:val="00226D55"/>
    <w:rsid w:val="0023311B"/>
    <w:rsid w:val="002340F1"/>
    <w:rsid w:val="00234D23"/>
    <w:rsid w:val="00252B3A"/>
    <w:rsid w:val="00272F83"/>
    <w:rsid w:val="00287D5C"/>
    <w:rsid w:val="0029490C"/>
    <w:rsid w:val="002A3601"/>
    <w:rsid w:val="002A5024"/>
    <w:rsid w:val="002A77F3"/>
    <w:rsid w:val="002B0552"/>
    <w:rsid w:val="002C3A80"/>
    <w:rsid w:val="002C4AC1"/>
    <w:rsid w:val="002C557D"/>
    <w:rsid w:val="002C56EE"/>
    <w:rsid w:val="002E0DDB"/>
    <w:rsid w:val="002E3103"/>
    <w:rsid w:val="002E586E"/>
    <w:rsid w:val="002E5CE1"/>
    <w:rsid w:val="002E68A3"/>
    <w:rsid w:val="003008B8"/>
    <w:rsid w:val="00301217"/>
    <w:rsid w:val="0031183F"/>
    <w:rsid w:val="00311E13"/>
    <w:rsid w:val="0031663D"/>
    <w:rsid w:val="00321D5D"/>
    <w:rsid w:val="003335AC"/>
    <w:rsid w:val="0033513F"/>
    <w:rsid w:val="00341A41"/>
    <w:rsid w:val="00354BF5"/>
    <w:rsid w:val="00357520"/>
    <w:rsid w:val="0036389B"/>
    <w:rsid w:val="0037506C"/>
    <w:rsid w:val="003812E2"/>
    <w:rsid w:val="00385965"/>
    <w:rsid w:val="003876D8"/>
    <w:rsid w:val="00392B6C"/>
    <w:rsid w:val="003A1E13"/>
    <w:rsid w:val="003A4438"/>
    <w:rsid w:val="003A7892"/>
    <w:rsid w:val="003B0041"/>
    <w:rsid w:val="003C185A"/>
    <w:rsid w:val="003C3F44"/>
    <w:rsid w:val="003D28D5"/>
    <w:rsid w:val="003D32CF"/>
    <w:rsid w:val="003D6FBA"/>
    <w:rsid w:val="003E50C1"/>
    <w:rsid w:val="003E794E"/>
    <w:rsid w:val="003F2EEA"/>
    <w:rsid w:val="003F50E4"/>
    <w:rsid w:val="00400EB6"/>
    <w:rsid w:val="0040154F"/>
    <w:rsid w:val="00404AE1"/>
    <w:rsid w:val="0040706D"/>
    <w:rsid w:val="004249F2"/>
    <w:rsid w:val="00427EF9"/>
    <w:rsid w:val="0043328B"/>
    <w:rsid w:val="00435ED3"/>
    <w:rsid w:val="00442621"/>
    <w:rsid w:val="00444398"/>
    <w:rsid w:val="004443B4"/>
    <w:rsid w:val="00447875"/>
    <w:rsid w:val="0045744C"/>
    <w:rsid w:val="00490A8B"/>
    <w:rsid w:val="00492D3C"/>
    <w:rsid w:val="004B45D6"/>
    <w:rsid w:val="004C3C73"/>
    <w:rsid w:val="004C516B"/>
    <w:rsid w:val="004D71FD"/>
    <w:rsid w:val="004E394A"/>
    <w:rsid w:val="004E41E0"/>
    <w:rsid w:val="005004DF"/>
    <w:rsid w:val="00514841"/>
    <w:rsid w:val="00516946"/>
    <w:rsid w:val="00520745"/>
    <w:rsid w:val="005222B6"/>
    <w:rsid w:val="00523844"/>
    <w:rsid w:val="005270CE"/>
    <w:rsid w:val="00527C84"/>
    <w:rsid w:val="00531F33"/>
    <w:rsid w:val="005339E3"/>
    <w:rsid w:val="00536125"/>
    <w:rsid w:val="0053683E"/>
    <w:rsid w:val="00546796"/>
    <w:rsid w:val="0055252F"/>
    <w:rsid w:val="00552AAF"/>
    <w:rsid w:val="0056195A"/>
    <w:rsid w:val="00573A65"/>
    <w:rsid w:val="00573EFC"/>
    <w:rsid w:val="0057737F"/>
    <w:rsid w:val="00577721"/>
    <w:rsid w:val="00587608"/>
    <w:rsid w:val="0059154B"/>
    <w:rsid w:val="00591B0C"/>
    <w:rsid w:val="005936F2"/>
    <w:rsid w:val="00593B27"/>
    <w:rsid w:val="00595FC2"/>
    <w:rsid w:val="005A5A3B"/>
    <w:rsid w:val="005B5A02"/>
    <w:rsid w:val="005B5FF6"/>
    <w:rsid w:val="005C042A"/>
    <w:rsid w:val="005E13B8"/>
    <w:rsid w:val="005E3A40"/>
    <w:rsid w:val="005E537D"/>
    <w:rsid w:val="005F210D"/>
    <w:rsid w:val="00607AB4"/>
    <w:rsid w:val="006106B0"/>
    <w:rsid w:val="006118D8"/>
    <w:rsid w:val="006168EC"/>
    <w:rsid w:val="00623721"/>
    <w:rsid w:val="006320C4"/>
    <w:rsid w:val="0063471C"/>
    <w:rsid w:val="00640674"/>
    <w:rsid w:val="00642030"/>
    <w:rsid w:val="006424DF"/>
    <w:rsid w:val="00642A40"/>
    <w:rsid w:val="00645C90"/>
    <w:rsid w:val="00646036"/>
    <w:rsid w:val="00657764"/>
    <w:rsid w:val="00661042"/>
    <w:rsid w:val="006671CD"/>
    <w:rsid w:val="00674BD6"/>
    <w:rsid w:val="006A00FD"/>
    <w:rsid w:val="006A0562"/>
    <w:rsid w:val="006B3C9E"/>
    <w:rsid w:val="006C54F4"/>
    <w:rsid w:val="006D5F99"/>
    <w:rsid w:val="006D67E4"/>
    <w:rsid w:val="006E1F21"/>
    <w:rsid w:val="006F198F"/>
    <w:rsid w:val="00700691"/>
    <w:rsid w:val="00706681"/>
    <w:rsid w:val="00712C55"/>
    <w:rsid w:val="007267DF"/>
    <w:rsid w:val="00733C94"/>
    <w:rsid w:val="00762ADD"/>
    <w:rsid w:val="007649E5"/>
    <w:rsid w:val="00775602"/>
    <w:rsid w:val="00790C9D"/>
    <w:rsid w:val="00795399"/>
    <w:rsid w:val="007A09B9"/>
    <w:rsid w:val="007A3EBA"/>
    <w:rsid w:val="007B6CD8"/>
    <w:rsid w:val="007C1EFC"/>
    <w:rsid w:val="007D2073"/>
    <w:rsid w:val="007E42B1"/>
    <w:rsid w:val="007E5B8C"/>
    <w:rsid w:val="007F0DE8"/>
    <w:rsid w:val="00804784"/>
    <w:rsid w:val="00805DA0"/>
    <w:rsid w:val="00810D07"/>
    <w:rsid w:val="00817DB9"/>
    <w:rsid w:val="00821AFD"/>
    <w:rsid w:val="00821D9D"/>
    <w:rsid w:val="00823D7D"/>
    <w:rsid w:val="008302AC"/>
    <w:rsid w:val="00833698"/>
    <w:rsid w:val="008470D5"/>
    <w:rsid w:val="00852DE5"/>
    <w:rsid w:val="00860269"/>
    <w:rsid w:val="00863B00"/>
    <w:rsid w:val="00870E72"/>
    <w:rsid w:val="00880747"/>
    <w:rsid w:val="00884A61"/>
    <w:rsid w:val="00897870"/>
    <w:rsid w:val="008A156C"/>
    <w:rsid w:val="008A271E"/>
    <w:rsid w:val="008A2C36"/>
    <w:rsid w:val="008A5B25"/>
    <w:rsid w:val="008C4669"/>
    <w:rsid w:val="008D14E8"/>
    <w:rsid w:val="008F0C2F"/>
    <w:rsid w:val="008F4669"/>
    <w:rsid w:val="00903AD8"/>
    <w:rsid w:val="0090493E"/>
    <w:rsid w:val="00920702"/>
    <w:rsid w:val="00924142"/>
    <w:rsid w:val="00925BBB"/>
    <w:rsid w:val="00933D91"/>
    <w:rsid w:val="00940893"/>
    <w:rsid w:val="00956497"/>
    <w:rsid w:val="0098077D"/>
    <w:rsid w:val="00985042"/>
    <w:rsid w:val="0099415B"/>
    <w:rsid w:val="009A1B82"/>
    <w:rsid w:val="009A5C6D"/>
    <w:rsid w:val="009B0C32"/>
    <w:rsid w:val="009B5B82"/>
    <w:rsid w:val="009C0EC7"/>
    <w:rsid w:val="009C30DB"/>
    <w:rsid w:val="009D12D3"/>
    <w:rsid w:val="009D7708"/>
    <w:rsid w:val="009E3CFE"/>
    <w:rsid w:val="009E5E44"/>
    <w:rsid w:val="009E62DC"/>
    <w:rsid w:val="009E7890"/>
    <w:rsid w:val="009F0CAA"/>
    <w:rsid w:val="009F38CF"/>
    <w:rsid w:val="009F6401"/>
    <w:rsid w:val="00A03DC5"/>
    <w:rsid w:val="00A040C2"/>
    <w:rsid w:val="00A05B4D"/>
    <w:rsid w:val="00A06F58"/>
    <w:rsid w:val="00A073C5"/>
    <w:rsid w:val="00A20F5E"/>
    <w:rsid w:val="00A45149"/>
    <w:rsid w:val="00A622B2"/>
    <w:rsid w:val="00A63870"/>
    <w:rsid w:val="00A76A6D"/>
    <w:rsid w:val="00A813E4"/>
    <w:rsid w:val="00A82A86"/>
    <w:rsid w:val="00A864E0"/>
    <w:rsid w:val="00A86DDE"/>
    <w:rsid w:val="00A92140"/>
    <w:rsid w:val="00AA3A5B"/>
    <w:rsid w:val="00AB6863"/>
    <w:rsid w:val="00AB6AF0"/>
    <w:rsid w:val="00AB6DB1"/>
    <w:rsid w:val="00AC2D09"/>
    <w:rsid w:val="00AC304A"/>
    <w:rsid w:val="00AC542D"/>
    <w:rsid w:val="00AC7ADF"/>
    <w:rsid w:val="00AD17B2"/>
    <w:rsid w:val="00AD34E7"/>
    <w:rsid w:val="00AD6A3D"/>
    <w:rsid w:val="00B03414"/>
    <w:rsid w:val="00B11F7B"/>
    <w:rsid w:val="00B27C74"/>
    <w:rsid w:val="00B32B6B"/>
    <w:rsid w:val="00B37E64"/>
    <w:rsid w:val="00B5194C"/>
    <w:rsid w:val="00B57B5B"/>
    <w:rsid w:val="00B62DEF"/>
    <w:rsid w:val="00B6338E"/>
    <w:rsid w:val="00B658A0"/>
    <w:rsid w:val="00B66CAF"/>
    <w:rsid w:val="00B73FA3"/>
    <w:rsid w:val="00B76BBA"/>
    <w:rsid w:val="00B77794"/>
    <w:rsid w:val="00B810E3"/>
    <w:rsid w:val="00B84220"/>
    <w:rsid w:val="00B85C97"/>
    <w:rsid w:val="00BA6E19"/>
    <w:rsid w:val="00BA714F"/>
    <w:rsid w:val="00BC04ED"/>
    <w:rsid w:val="00BC7712"/>
    <w:rsid w:val="00BD15B0"/>
    <w:rsid w:val="00BD79AC"/>
    <w:rsid w:val="00BF7553"/>
    <w:rsid w:val="00C0629A"/>
    <w:rsid w:val="00C207D4"/>
    <w:rsid w:val="00C22476"/>
    <w:rsid w:val="00C34D8F"/>
    <w:rsid w:val="00C476F0"/>
    <w:rsid w:val="00C547B2"/>
    <w:rsid w:val="00C658E7"/>
    <w:rsid w:val="00C724FE"/>
    <w:rsid w:val="00C74BA4"/>
    <w:rsid w:val="00C849CA"/>
    <w:rsid w:val="00C84A04"/>
    <w:rsid w:val="00CA1526"/>
    <w:rsid w:val="00CA45B1"/>
    <w:rsid w:val="00CB3A75"/>
    <w:rsid w:val="00CC5EFF"/>
    <w:rsid w:val="00CC65EC"/>
    <w:rsid w:val="00CD0BD2"/>
    <w:rsid w:val="00CE00BD"/>
    <w:rsid w:val="00CE1DC5"/>
    <w:rsid w:val="00CE5A18"/>
    <w:rsid w:val="00CE5A3D"/>
    <w:rsid w:val="00CF1839"/>
    <w:rsid w:val="00D02781"/>
    <w:rsid w:val="00D07AB4"/>
    <w:rsid w:val="00D11FDF"/>
    <w:rsid w:val="00D15558"/>
    <w:rsid w:val="00D1598B"/>
    <w:rsid w:val="00D26314"/>
    <w:rsid w:val="00D3542D"/>
    <w:rsid w:val="00D464F1"/>
    <w:rsid w:val="00D6211F"/>
    <w:rsid w:val="00D6296D"/>
    <w:rsid w:val="00D73AEE"/>
    <w:rsid w:val="00D76766"/>
    <w:rsid w:val="00D86DB3"/>
    <w:rsid w:val="00D9308A"/>
    <w:rsid w:val="00D935B0"/>
    <w:rsid w:val="00D95757"/>
    <w:rsid w:val="00DB330B"/>
    <w:rsid w:val="00DB3427"/>
    <w:rsid w:val="00DB34A9"/>
    <w:rsid w:val="00DC453E"/>
    <w:rsid w:val="00DC4644"/>
    <w:rsid w:val="00DC4F65"/>
    <w:rsid w:val="00DD0842"/>
    <w:rsid w:val="00DD0F18"/>
    <w:rsid w:val="00DD4608"/>
    <w:rsid w:val="00DD6724"/>
    <w:rsid w:val="00DF0B5B"/>
    <w:rsid w:val="00DF5230"/>
    <w:rsid w:val="00E056CD"/>
    <w:rsid w:val="00E107B4"/>
    <w:rsid w:val="00E3194B"/>
    <w:rsid w:val="00E41013"/>
    <w:rsid w:val="00E42B98"/>
    <w:rsid w:val="00E45AA4"/>
    <w:rsid w:val="00E479E4"/>
    <w:rsid w:val="00E5217D"/>
    <w:rsid w:val="00E61E38"/>
    <w:rsid w:val="00E63FBB"/>
    <w:rsid w:val="00E75B64"/>
    <w:rsid w:val="00E8209C"/>
    <w:rsid w:val="00E83644"/>
    <w:rsid w:val="00E83A32"/>
    <w:rsid w:val="00E879EE"/>
    <w:rsid w:val="00E9072B"/>
    <w:rsid w:val="00EA597D"/>
    <w:rsid w:val="00EC3EA0"/>
    <w:rsid w:val="00ED4AAC"/>
    <w:rsid w:val="00EE77B2"/>
    <w:rsid w:val="00EF3BB7"/>
    <w:rsid w:val="00EF6C93"/>
    <w:rsid w:val="00F03F35"/>
    <w:rsid w:val="00F06C65"/>
    <w:rsid w:val="00F074E9"/>
    <w:rsid w:val="00F16371"/>
    <w:rsid w:val="00F20F58"/>
    <w:rsid w:val="00F24908"/>
    <w:rsid w:val="00F268DB"/>
    <w:rsid w:val="00F27DE8"/>
    <w:rsid w:val="00F34BCC"/>
    <w:rsid w:val="00F37287"/>
    <w:rsid w:val="00F40353"/>
    <w:rsid w:val="00F4262C"/>
    <w:rsid w:val="00F46819"/>
    <w:rsid w:val="00F52E28"/>
    <w:rsid w:val="00F5776E"/>
    <w:rsid w:val="00F60448"/>
    <w:rsid w:val="00F737AC"/>
    <w:rsid w:val="00F8759D"/>
    <w:rsid w:val="00FA2F7B"/>
    <w:rsid w:val="00FB0345"/>
    <w:rsid w:val="00FB2C4A"/>
    <w:rsid w:val="00FC788D"/>
    <w:rsid w:val="00FD500C"/>
    <w:rsid w:val="00FD6D43"/>
    <w:rsid w:val="00FE0C7C"/>
    <w:rsid w:val="00FE1133"/>
    <w:rsid w:val="00FE1B07"/>
    <w:rsid w:val="00FE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rsid w:val="00BD15B0"/>
    <w:rPr>
      <w:color w:val="0000FF"/>
      <w:u w:val="single"/>
    </w:rPr>
  </w:style>
  <w:style w:type="character" w:styleId="FollowedHyperlink">
    <w:name w:val="FollowedHyperlink"/>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 w:type="character" w:customStyle="1" w:styleId="UnresolvedMention">
    <w:name w:val="Unresolved Mention"/>
    <w:uiPriority w:val="99"/>
    <w:semiHidden/>
    <w:unhideWhenUsed/>
    <w:rsid w:val="009B5B8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B810E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0E234E"/>
    <w:rPr>
      <w:sz w:val="20"/>
      <w:szCs w:val="20"/>
    </w:rPr>
  </w:style>
  <w:style w:type="character" w:styleId="FootnoteReference">
    <w:name w:val="footnote reference"/>
    <w:semiHidden/>
    <w:rsid w:val="000E234E"/>
    <w:rPr>
      <w:vertAlign w:val="superscript"/>
    </w:rPr>
  </w:style>
  <w:style w:type="paragraph" w:styleId="Header">
    <w:name w:val="header"/>
    <w:basedOn w:val="Normal"/>
    <w:rsid w:val="009E62DC"/>
    <w:pPr>
      <w:tabs>
        <w:tab w:val="center" w:pos="4320"/>
        <w:tab w:val="right" w:pos="8640"/>
      </w:tabs>
    </w:pPr>
  </w:style>
  <w:style w:type="paragraph" w:styleId="Footer">
    <w:name w:val="footer"/>
    <w:basedOn w:val="Normal"/>
    <w:rsid w:val="009E62DC"/>
    <w:pPr>
      <w:tabs>
        <w:tab w:val="center" w:pos="4320"/>
        <w:tab w:val="right" w:pos="8640"/>
      </w:tabs>
    </w:pPr>
  </w:style>
  <w:style w:type="paragraph" w:styleId="BalloonText">
    <w:name w:val="Balloon Text"/>
    <w:basedOn w:val="Normal"/>
    <w:semiHidden/>
    <w:rsid w:val="00C724FE"/>
    <w:rPr>
      <w:rFonts w:ascii="Tahoma" w:hAnsi="Tahoma" w:cs="Tahoma"/>
      <w:sz w:val="16"/>
      <w:szCs w:val="16"/>
    </w:rPr>
  </w:style>
  <w:style w:type="character" w:styleId="CommentReference">
    <w:name w:val="annotation reference"/>
    <w:semiHidden/>
    <w:rsid w:val="00B76BBA"/>
    <w:rPr>
      <w:sz w:val="16"/>
      <w:szCs w:val="16"/>
    </w:rPr>
  </w:style>
  <w:style w:type="paragraph" w:styleId="CommentText">
    <w:name w:val="annotation text"/>
    <w:basedOn w:val="Normal"/>
    <w:semiHidden/>
    <w:rsid w:val="00B76BBA"/>
    <w:rPr>
      <w:sz w:val="20"/>
      <w:szCs w:val="20"/>
    </w:rPr>
  </w:style>
  <w:style w:type="paragraph" w:styleId="CommentSubject">
    <w:name w:val="annotation subject"/>
    <w:basedOn w:val="CommentText"/>
    <w:next w:val="CommentText"/>
    <w:semiHidden/>
    <w:rsid w:val="00B76BBA"/>
    <w:rPr>
      <w:b/>
      <w:bCs/>
    </w:rPr>
  </w:style>
  <w:style w:type="character" w:styleId="Hyperlink">
    <w:name w:val="Hyperlink"/>
    <w:rsid w:val="00BD15B0"/>
    <w:rPr>
      <w:color w:val="0000FF"/>
      <w:u w:val="single"/>
    </w:rPr>
  </w:style>
  <w:style w:type="character" w:styleId="FollowedHyperlink">
    <w:name w:val="FollowedHyperlink"/>
    <w:rsid w:val="00BD15B0"/>
    <w:rPr>
      <w:color w:val="606420"/>
      <w:u w:val="single"/>
    </w:rPr>
  </w:style>
  <w:style w:type="paragraph" w:styleId="z-TopofForm">
    <w:name w:val="HTML Top of Form"/>
    <w:basedOn w:val="Normal"/>
    <w:next w:val="Normal"/>
    <w:hidden/>
    <w:rsid w:val="00B6338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B6338E"/>
    <w:pPr>
      <w:pBdr>
        <w:top w:val="single" w:sz="6" w:space="1" w:color="auto"/>
      </w:pBdr>
      <w:jc w:val="center"/>
    </w:pPr>
    <w:rPr>
      <w:rFonts w:ascii="Arial" w:hAnsi="Arial" w:cs="Arial"/>
      <w:vanish/>
      <w:sz w:val="16"/>
      <w:szCs w:val="16"/>
    </w:rPr>
  </w:style>
  <w:style w:type="paragraph" w:styleId="TOC1">
    <w:name w:val="toc 1"/>
    <w:basedOn w:val="Normal"/>
    <w:next w:val="Normal"/>
    <w:autoRedefine/>
    <w:semiHidden/>
    <w:rsid w:val="00B810E3"/>
  </w:style>
  <w:style w:type="paragraph" w:styleId="TOC2">
    <w:name w:val="toc 2"/>
    <w:basedOn w:val="Normal"/>
    <w:next w:val="Normal"/>
    <w:autoRedefine/>
    <w:semiHidden/>
    <w:rsid w:val="00B810E3"/>
    <w:pPr>
      <w:ind w:left="240"/>
    </w:pPr>
  </w:style>
  <w:style w:type="paragraph" w:styleId="TOC3">
    <w:name w:val="toc 3"/>
    <w:basedOn w:val="Normal"/>
    <w:next w:val="Normal"/>
    <w:autoRedefine/>
    <w:semiHidden/>
    <w:rsid w:val="00B810E3"/>
    <w:pPr>
      <w:ind w:left="480"/>
    </w:pPr>
  </w:style>
  <w:style w:type="paragraph" w:styleId="ListParagraph">
    <w:name w:val="List Paragraph"/>
    <w:basedOn w:val="Normal"/>
    <w:uiPriority w:val="34"/>
    <w:qFormat/>
    <w:rsid w:val="00762ADD"/>
    <w:pPr>
      <w:ind w:left="720"/>
      <w:contextualSpacing/>
    </w:pPr>
    <w:rPr>
      <w:rFonts w:eastAsia="Calibri"/>
    </w:rPr>
  </w:style>
  <w:style w:type="character" w:customStyle="1" w:styleId="UnresolvedMention">
    <w:name w:val="Unresolved Mention"/>
    <w:uiPriority w:val="99"/>
    <w:semiHidden/>
    <w:unhideWhenUsed/>
    <w:rsid w:val="009B5B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5349">
      <w:bodyDiv w:val="1"/>
      <w:marLeft w:val="0"/>
      <w:marRight w:val="0"/>
      <w:marTop w:val="0"/>
      <w:marBottom w:val="0"/>
      <w:divBdr>
        <w:top w:val="none" w:sz="0" w:space="0" w:color="auto"/>
        <w:left w:val="none" w:sz="0" w:space="0" w:color="auto"/>
        <w:bottom w:val="none" w:sz="0" w:space="0" w:color="auto"/>
        <w:right w:val="none" w:sz="0" w:space="0" w:color="auto"/>
      </w:divBdr>
    </w:div>
    <w:div w:id="373968803">
      <w:bodyDiv w:val="1"/>
      <w:marLeft w:val="0"/>
      <w:marRight w:val="0"/>
      <w:marTop w:val="0"/>
      <w:marBottom w:val="0"/>
      <w:divBdr>
        <w:top w:val="none" w:sz="0" w:space="0" w:color="auto"/>
        <w:left w:val="none" w:sz="0" w:space="0" w:color="auto"/>
        <w:bottom w:val="none" w:sz="0" w:space="0" w:color="auto"/>
        <w:right w:val="none" w:sz="0" w:space="0" w:color="auto"/>
      </w:divBdr>
    </w:div>
    <w:div w:id="563952759">
      <w:bodyDiv w:val="1"/>
      <w:marLeft w:val="0"/>
      <w:marRight w:val="0"/>
      <w:marTop w:val="0"/>
      <w:marBottom w:val="0"/>
      <w:divBdr>
        <w:top w:val="none" w:sz="0" w:space="0" w:color="auto"/>
        <w:left w:val="none" w:sz="0" w:space="0" w:color="auto"/>
        <w:bottom w:val="none" w:sz="0" w:space="0" w:color="auto"/>
        <w:right w:val="none" w:sz="0" w:space="0" w:color="auto"/>
      </w:divBdr>
    </w:div>
    <w:div w:id="882792194">
      <w:bodyDiv w:val="1"/>
      <w:marLeft w:val="0"/>
      <w:marRight w:val="0"/>
      <w:marTop w:val="0"/>
      <w:marBottom w:val="0"/>
      <w:divBdr>
        <w:top w:val="none" w:sz="0" w:space="0" w:color="auto"/>
        <w:left w:val="none" w:sz="0" w:space="0" w:color="auto"/>
        <w:bottom w:val="none" w:sz="0" w:space="0" w:color="auto"/>
        <w:right w:val="none" w:sz="0" w:space="0" w:color="auto"/>
      </w:divBdr>
    </w:div>
    <w:div w:id="1049233445">
      <w:bodyDiv w:val="1"/>
      <w:marLeft w:val="0"/>
      <w:marRight w:val="0"/>
      <w:marTop w:val="0"/>
      <w:marBottom w:val="0"/>
      <w:divBdr>
        <w:top w:val="none" w:sz="0" w:space="0" w:color="auto"/>
        <w:left w:val="none" w:sz="0" w:space="0" w:color="auto"/>
        <w:bottom w:val="none" w:sz="0" w:space="0" w:color="auto"/>
        <w:right w:val="none" w:sz="0" w:space="0" w:color="auto"/>
      </w:divBdr>
    </w:div>
    <w:div w:id="1213809000">
      <w:bodyDiv w:val="1"/>
      <w:marLeft w:val="0"/>
      <w:marRight w:val="0"/>
      <w:marTop w:val="0"/>
      <w:marBottom w:val="0"/>
      <w:divBdr>
        <w:top w:val="none" w:sz="0" w:space="0" w:color="auto"/>
        <w:left w:val="none" w:sz="0" w:space="0" w:color="auto"/>
        <w:bottom w:val="none" w:sz="0" w:space="0" w:color="auto"/>
        <w:right w:val="none" w:sz="0" w:space="0" w:color="auto"/>
      </w:divBdr>
    </w:div>
    <w:div w:id="1914587845">
      <w:bodyDiv w:val="1"/>
      <w:marLeft w:val="0"/>
      <w:marRight w:val="0"/>
      <w:marTop w:val="0"/>
      <w:marBottom w:val="0"/>
      <w:divBdr>
        <w:top w:val="none" w:sz="0" w:space="0" w:color="auto"/>
        <w:left w:val="none" w:sz="0" w:space="0" w:color="auto"/>
        <w:bottom w:val="none" w:sz="0" w:space="0" w:color="auto"/>
        <w:right w:val="none" w:sz="0" w:space="0" w:color="auto"/>
      </w:divBdr>
      <w:divsChild>
        <w:div w:id="1018388746">
          <w:marLeft w:val="0"/>
          <w:marRight w:val="0"/>
          <w:marTop w:val="0"/>
          <w:marBottom w:val="0"/>
          <w:divBdr>
            <w:top w:val="none" w:sz="0" w:space="0" w:color="auto"/>
            <w:left w:val="none" w:sz="0" w:space="0" w:color="auto"/>
            <w:bottom w:val="none" w:sz="0" w:space="0" w:color="auto"/>
            <w:right w:val="none" w:sz="0" w:space="0" w:color="auto"/>
          </w:divBdr>
          <w:divsChild>
            <w:div w:id="10523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EPA-HQ-OPPT-2017-0421-009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EPA-HQ-OPPT-2017-0421-0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Request for a Non-Substantive Change to an Existing Approved Information Collection</vt:lpstr>
    </vt:vector>
  </TitlesOfParts>
  <Company>EPA</Company>
  <LinksUpToDate>false</LinksUpToDate>
  <CharactersWithSpaces>5352</CharactersWithSpaces>
  <SharedDoc>false</SharedDoc>
  <HLinks>
    <vt:vector size="18" baseType="variant">
      <vt:variant>
        <vt:i4>5308481</vt:i4>
      </vt:variant>
      <vt:variant>
        <vt:i4>6</vt:i4>
      </vt:variant>
      <vt:variant>
        <vt:i4>0</vt:i4>
      </vt:variant>
      <vt:variant>
        <vt:i4>5</vt:i4>
      </vt:variant>
      <vt:variant>
        <vt:lpwstr>https://www.regulations.gov/document?D=EPA-HQ-OPPT-2017-0421-0102</vt:lpwstr>
      </vt:variant>
      <vt:variant>
        <vt:lpwstr/>
      </vt:variant>
      <vt:variant>
        <vt:i4>5767232</vt:i4>
      </vt:variant>
      <vt:variant>
        <vt:i4>3</vt:i4>
      </vt:variant>
      <vt:variant>
        <vt:i4>0</vt:i4>
      </vt:variant>
      <vt:variant>
        <vt:i4>5</vt:i4>
      </vt:variant>
      <vt:variant>
        <vt:lpwstr>https://www.regulations.gov/document?D=EPA-HQ-OPPT-2017-0421-0099</vt:lpwstr>
      </vt:variant>
      <vt:variant>
        <vt:lpwstr/>
      </vt:variant>
      <vt:variant>
        <vt:i4>5308481</vt:i4>
      </vt:variant>
      <vt:variant>
        <vt:i4>0</vt:i4>
      </vt:variant>
      <vt:variant>
        <vt:i4>0</vt:i4>
      </vt:variant>
      <vt:variant>
        <vt:i4>5</vt:i4>
      </vt:variant>
      <vt:variant>
        <vt:lpwstr>https://www.regulations.gov/document?D=EPA-HQ-OPPT-2017-0421-0101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Non-Substantive Change to an Existing Approved Information Collection</dc:title>
  <dc:subject/>
  <dc:creator>Peter Smith</dc:creator>
  <cp:keywords/>
  <cp:lastModifiedBy>SYSTEM</cp:lastModifiedBy>
  <cp:revision>2</cp:revision>
  <cp:lastPrinted>2010-04-07T14:57:00Z</cp:lastPrinted>
  <dcterms:created xsi:type="dcterms:W3CDTF">2019-03-12T19:04:00Z</dcterms:created>
  <dcterms:modified xsi:type="dcterms:W3CDTF">2019-03-12T19:04:00Z</dcterms:modified>
</cp:coreProperties>
</file>