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0290D56" w:rsidR="00A2604E" w:rsidRDefault="00A2604E" w:rsidP="00A2604E">
      <w:pPr>
        <w:jc w:val="center"/>
      </w:pPr>
      <w:r w:rsidRPr="00AC750B">
        <w:t xml:space="preserve">[Docket No. </w:t>
      </w:r>
      <w:r w:rsidR="0031268C">
        <w:t>IC19-10-000</w:t>
      </w:r>
      <w:r w:rsidRPr="00AC750B">
        <w:t>]</w:t>
      </w:r>
    </w:p>
    <w:p w14:paraId="37A99FB4" w14:textId="77777777" w:rsidR="00A2604E" w:rsidRDefault="00A2604E" w:rsidP="00A2604E"/>
    <w:p w14:paraId="0160830D" w14:textId="21F18837" w:rsidR="00A2604E" w:rsidRDefault="00A2604E" w:rsidP="00A2604E">
      <w:pPr>
        <w:jc w:val="center"/>
      </w:pPr>
      <w:r>
        <w:t>COMMISSION INFORMATION COLLECTION ACTIVITIES (</w:t>
      </w:r>
      <w:r w:rsidR="0031268C">
        <w:t>FERC-912</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41132CFB" w:rsidR="006E10F4" w:rsidRDefault="007C36C8" w:rsidP="007C36C8">
      <w:pPr>
        <w:jc w:val="center"/>
      </w:pPr>
      <w:r w:rsidRPr="007C36C8">
        <w:t>(April 3, 2019)</w:t>
      </w:r>
    </w:p>
    <w:p w14:paraId="17B162B1" w14:textId="77777777" w:rsidR="007C36C8" w:rsidRPr="007C36C8" w:rsidRDefault="007C36C8" w:rsidP="007C36C8"/>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759D0DEB"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31268C">
        <w:t>FERC-912</w:t>
      </w:r>
      <w:r w:rsidR="002E0351" w:rsidRPr="00A713D0">
        <w:t xml:space="preserve"> </w:t>
      </w:r>
      <w:r w:rsidR="00A713D0">
        <w:t>(</w:t>
      </w:r>
      <w:r w:rsidR="0031268C" w:rsidRPr="0031268C">
        <w:t>PURPA Section 210(m) Notification Requirements Applicable to Cogeneration and Small Power Production Facilities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r w:rsidR="00BA0FBC" w:rsidRPr="00C81A97">
        <w:t xml:space="preserve">On </w:t>
      </w:r>
      <w:r w:rsidR="0031268C">
        <w:t>January 31</w:t>
      </w:r>
      <w:r w:rsidR="0095311D" w:rsidRPr="00C81A97">
        <w:t>, 201</w:t>
      </w:r>
      <w:r w:rsidR="0031268C">
        <w:t>9</w:t>
      </w:r>
      <w:r w:rsidR="00BA0FBC" w:rsidRPr="00C81A97">
        <w:t>, t</w:t>
      </w:r>
      <w:r w:rsidR="00642602" w:rsidRPr="00C81A97">
        <w:t xml:space="preserve">he Commission published a Notice in the Federal Register in Docket No. </w:t>
      </w:r>
      <w:r w:rsidR="0031268C">
        <w:t>IC19-10-000</w:t>
      </w:r>
      <w:r w:rsidR="00642602" w:rsidRPr="00C81A97">
        <w:t xml:space="preserve"> requesting public comments.  </w:t>
      </w:r>
      <w:r w:rsidR="00485A51" w:rsidRPr="00C81A97">
        <w:t xml:space="preserve">The </w:t>
      </w:r>
      <w:r w:rsidR="00485A51" w:rsidRPr="00A86D9E">
        <w:t xml:space="preserve">Commission received </w:t>
      </w:r>
      <w:r w:rsidR="00F00150">
        <w:t>no</w:t>
      </w:r>
      <w:r w:rsidR="00F00150" w:rsidRPr="00A86D9E">
        <w:t xml:space="preserve"> </w:t>
      </w:r>
      <w:r w:rsidR="00C81A97">
        <w:t xml:space="preserve">public </w:t>
      </w:r>
      <w:r w:rsidR="00485A51" w:rsidRPr="00A86D9E">
        <w:t>comment</w:t>
      </w:r>
      <w:r w:rsidR="00F00150">
        <w:t xml:space="preserve">s and is noting that in </w:t>
      </w:r>
      <w:r w:rsidR="00C81A97" w:rsidRPr="00A86D9E">
        <w:t xml:space="preserve">the </w:t>
      </w:r>
      <w:r w:rsidR="00023EA9">
        <w:t xml:space="preserve">related </w:t>
      </w:r>
      <w:r w:rsidR="00C81A97" w:rsidRPr="00A86D9E">
        <w:t>submittal to OMB</w:t>
      </w:r>
      <w:r w:rsidR="007C6AC2" w:rsidRPr="00A86D9E">
        <w:t>.</w:t>
      </w:r>
    </w:p>
    <w:p w14:paraId="442CCE36" w14:textId="51615687"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36C8" w:rsidRPr="00F11631">
        <w:rPr>
          <w:b/>
        </w:rPr>
        <w:t xml:space="preserve">Insert Date </w:t>
      </w:r>
      <w:r w:rsidR="007C1916" w:rsidRPr="00F11631">
        <w:rPr>
          <w:b/>
          <w:caps/>
        </w:rPr>
        <w:t xml:space="preserve">30 </w:t>
      </w:r>
      <w:r w:rsidR="007C36C8" w:rsidRPr="00F11631">
        <w:rPr>
          <w:b/>
        </w:rPr>
        <w:t xml:space="preserve">days after </w:t>
      </w:r>
      <w:r w:rsidR="007C36C8">
        <w:rPr>
          <w:b/>
        </w:rPr>
        <w:t xml:space="preserve">date of </w:t>
      </w:r>
      <w:r w:rsidR="007C36C8" w:rsidRPr="00F11631">
        <w:rPr>
          <w:b/>
        </w:rPr>
        <w:t>publication in the Federal Register</w:t>
      </w:r>
      <w:r w:rsidR="007C1916" w:rsidRPr="00F11631">
        <w:rPr>
          <w:b/>
          <w:caps/>
        </w:rPr>
        <w:t>]</w:t>
      </w:r>
      <w:r w:rsidR="00B65A09" w:rsidRPr="00F11631">
        <w:rPr>
          <w:b/>
          <w:caps/>
        </w:rPr>
        <w:t>.</w:t>
      </w:r>
      <w:r w:rsidR="00B65A09" w:rsidRPr="00F11631">
        <w:rPr>
          <w:caps/>
        </w:rPr>
        <w:t xml:space="preserve">  </w:t>
      </w:r>
    </w:p>
    <w:p w14:paraId="05EFC9C8" w14:textId="2BBC2261" w:rsidR="007C1916" w:rsidRPr="007C1916" w:rsidRDefault="007C1916" w:rsidP="007C1916">
      <w:pPr>
        <w:spacing w:line="480" w:lineRule="auto"/>
      </w:pPr>
      <w:r w:rsidRPr="007C1916">
        <w:rPr>
          <w:b/>
        </w:rPr>
        <w:t>ADDRESSES:</w:t>
      </w:r>
      <w:r w:rsidRPr="007C1916">
        <w:t xml:space="preserve">  Comments filed with OMB, identified by OMB Control No. </w:t>
      </w:r>
      <w:r w:rsidR="002F24E8" w:rsidRPr="002F24E8">
        <w:t>1902-0225</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40F1CBF4" w:rsidR="007C1916" w:rsidRPr="007C1916" w:rsidRDefault="007C1916" w:rsidP="007C1916">
      <w:pPr>
        <w:spacing w:line="480" w:lineRule="auto"/>
      </w:pPr>
      <w:r w:rsidRPr="007C1916">
        <w:t xml:space="preserve">A copy of the comments should also be sent to the Commission, in Docket No. </w:t>
      </w:r>
      <w:r w:rsidR="0031268C">
        <w:t>IC19-10-000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CC7BE8" w14:textId="77777777" w:rsidR="00713986" w:rsidRDefault="00713986" w:rsidP="00713986">
      <w:pPr>
        <w:spacing w:line="480" w:lineRule="auto"/>
        <w:rPr>
          <w:i/>
        </w:rPr>
      </w:pPr>
      <w:r>
        <w:rPr>
          <w:i/>
        </w:rPr>
        <w:t xml:space="preserve">Title: </w:t>
      </w:r>
      <w:r>
        <w:t>FERC-912,</w:t>
      </w:r>
      <w:r w:rsidRPr="006765C9">
        <w:t xml:space="preserve"> </w:t>
      </w:r>
      <w:r w:rsidRPr="00337D1F">
        <w:t>PURPA Section 210(m) Notification Requirements Applicable to Cogeneration and Small Power Production Facilities</w:t>
      </w:r>
    </w:p>
    <w:p w14:paraId="37BA4A0D" w14:textId="77777777" w:rsidR="00713986" w:rsidRDefault="00713986" w:rsidP="00713986">
      <w:pPr>
        <w:spacing w:line="480" w:lineRule="auto"/>
      </w:pPr>
      <w:r>
        <w:rPr>
          <w:i/>
        </w:rPr>
        <w:lastRenderedPageBreak/>
        <w:t>OMB Control No.:</w:t>
      </w:r>
      <w:r w:rsidRPr="00F50EDA">
        <w:t xml:space="preserve"> </w:t>
      </w:r>
      <w:r>
        <w:t>1902-0237</w:t>
      </w:r>
    </w:p>
    <w:p w14:paraId="002C811C" w14:textId="740248D4" w:rsidR="00AA4050" w:rsidRPr="00B5364C" w:rsidRDefault="00AA4050" w:rsidP="00AA4050">
      <w:pPr>
        <w:spacing w:line="480" w:lineRule="auto"/>
      </w:pPr>
      <w:r>
        <w:rPr>
          <w:i/>
        </w:rPr>
        <w:t>Type of Request:</w:t>
      </w:r>
      <w:r>
        <w:t xml:space="preserve"> Three-year extension of the </w:t>
      </w:r>
      <w:r w:rsidR="0031268C">
        <w:t>FERC-912</w:t>
      </w:r>
      <w:r>
        <w:t xml:space="preserve"> information collection requirements with no changes to the current reporting </w:t>
      </w:r>
      <w:r w:rsidR="002F24E8">
        <w:t xml:space="preserve">and recordkeeping </w:t>
      </w:r>
      <w:r>
        <w:t xml:space="preserve">requirements. </w:t>
      </w:r>
    </w:p>
    <w:p w14:paraId="76EE4426" w14:textId="77777777" w:rsidR="00AF1050" w:rsidRDefault="00B01B16" w:rsidP="00AF1050">
      <w:pPr>
        <w:spacing w:line="480" w:lineRule="auto"/>
      </w:pPr>
      <w:r>
        <w:rPr>
          <w:i/>
        </w:rPr>
        <w:t xml:space="preserve">Abstract: </w:t>
      </w:r>
      <w:r w:rsidR="001E6510">
        <w:rPr>
          <w:i/>
        </w:rPr>
        <w:t xml:space="preserve"> </w:t>
      </w:r>
      <w:r w:rsidR="00AF1050">
        <w:t>On 8/8/2005, the Energy Policy Act of 2005 (EPAct 2005)</w:t>
      </w:r>
      <w:r w:rsidR="00AF1050" w:rsidRPr="0012558A">
        <w:rPr>
          <w:rStyle w:val="FootnoteReference"/>
        </w:rPr>
        <w:footnoteReference w:id="1"/>
      </w:r>
      <w:r w:rsidR="00AF1050">
        <w:t xml:space="preserve"> was signed into law.  Section 1253(a) of EPAct 2005 amends Section 210 of the Public Utility Regulatory Policies Act of 1978 (PURPA) by adding subsection “(m),” that provides, based on a specified showing, for the termination and subsequent reinstatement of an electric utility’s obligation to purchase from, and sell energy and capacity to, qualifying facilities (QFs).  18 CFR 292.309–292.313 are the implementing regulations, and provide procedures for:</w:t>
      </w:r>
    </w:p>
    <w:p w14:paraId="2DB94C3C" w14:textId="77777777" w:rsidR="00AF1050" w:rsidRDefault="00AF1050" w:rsidP="00AF1050">
      <w:pPr>
        <w:numPr>
          <w:ilvl w:val="0"/>
          <w:numId w:val="3"/>
        </w:numPr>
        <w:spacing w:line="480" w:lineRule="auto"/>
      </w:pPr>
      <w:r>
        <w:t>An electric utility to file an application for the termination of its obligation to purchase energy and capacity from, or sell to, a QF;</w:t>
      </w:r>
      <w:r w:rsidRPr="0012558A">
        <w:rPr>
          <w:rStyle w:val="FootnoteReference"/>
        </w:rPr>
        <w:footnoteReference w:id="2"/>
      </w:r>
      <w:r>
        <w:t xml:space="preserve"> and</w:t>
      </w:r>
    </w:p>
    <w:p w14:paraId="38AE58F6" w14:textId="77777777" w:rsidR="00AF1050" w:rsidRDefault="00AF1050" w:rsidP="00AF1050">
      <w:pPr>
        <w:numPr>
          <w:ilvl w:val="0"/>
          <w:numId w:val="3"/>
        </w:numPr>
        <w:spacing w:line="480" w:lineRule="auto"/>
      </w:pPr>
      <w:r>
        <w:t>An affected entity or person to subsequently apply to the Commission for an order reinstating the electric utility’s obligation to purchase energy and capacity from, or sell to, a QF.</w:t>
      </w:r>
      <w:r w:rsidRPr="0012558A">
        <w:rPr>
          <w:rStyle w:val="FootnoteReference"/>
        </w:rPr>
        <w:footnoteReference w:id="3"/>
      </w:r>
    </w:p>
    <w:p w14:paraId="4440C660" w14:textId="52606335" w:rsidR="00C728C5" w:rsidRPr="006E10F4" w:rsidRDefault="002F24E8" w:rsidP="00AF1050">
      <w:pPr>
        <w:spacing w:line="480" w:lineRule="auto"/>
        <w:rPr>
          <w:szCs w:val="26"/>
        </w:rPr>
      </w:pPr>
      <w:r w:rsidRPr="003D25C9">
        <w:rPr>
          <w:bCs/>
          <w:i/>
        </w:rPr>
        <w:t xml:space="preserve">Type of Respondent: </w:t>
      </w:r>
      <w:r w:rsidR="00AF1050" w:rsidRPr="00AF1050">
        <w:rPr>
          <w:bCs/>
        </w:rPr>
        <w:t xml:space="preserve">Electric utilities, principally. </w:t>
      </w:r>
    </w:p>
    <w:p w14:paraId="42D25125" w14:textId="4152D258" w:rsidR="00577F67" w:rsidRPr="00951926" w:rsidRDefault="00D42209" w:rsidP="00005C83">
      <w:pPr>
        <w:tabs>
          <w:tab w:val="left" w:pos="-1440"/>
        </w:tabs>
        <w:spacing w:line="480" w:lineRule="auto"/>
        <w:rPr>
          <w:szCs w:val="26"/>
        </w:rPr>
      </w:pPr>
      <w:r w:rsidRPr="004E2C78">
        <w:rPr>
          <w:i/>
        </w:rPr>
        <w:t>Estimate of Annual Burden</w:t>
      </w:r>
      <w:r w:rsidR="00B90A22" w:rsidRPr="000B1832">
        <w:rPr>
          <w:i/>
        </w:rPr>
        <w:t>:</w:t>
      </w:r>
      <w:r w:rsidRPr="0012558A">
        <w:rPr>
          <w:rStyle w:val="FootnoteReference"/>
        </w:rPr>
        <w:footnoteReference w:id="4"/>
      </w:r>
      <w:r w:rsidRPr="003D25C9">
        <w:t xml:space="preserve"> </w:t>
      </w:r>
      <w:r w:rsidR="00B90A22">
        <w:t xml:space="preserve"> </w:t>
      </w:r>
      <w:r w:rsidR="00577F67" w:rsidRPr="00951926">
        <w:rPr>
          <w:szCs w:val="26"/>
        </w:rPr>
        <w:t>The Commission estimates the annual burden and cost, as follows.</w:t>
      </w:r>
      <w:r w:rsidR="00577F67" w:rsidRPr="0012558A">
        <w:rPr>
          <w:rStyle w:val="FootnoteReference"/>
        </w:rPr>
        <w:footnoteReference w:id="5"/>
      </w:r>
    </w:p>
    <w:p w14:paraId="197FDD26" w14:textId="77777777" w:rsidR="00577F67" w:rsidRPr="00951926" w:rsidRDefault="00577F67" w:rsidP="00577F67">
      <w:pPr>
        <w:rPr>
          <w:szCs w:val="26"/>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530"/>
        <w:gridCol w:w="1530"/>
        <w:gridCol w:w="1392"/>
        <w:gridCol w:w="1323"/>
        <w:gridCol w:w="1530"/>
        <w:gridCol w:w="1515"/>
      </w:tblGrid>
      <w:tr w:rsidR="00577F67" w:rsidRPr="00AB4425" w14:paraId="7B09C98C" w14:textId="77777777" w:rsidTr="00AB4425">
        <w:trPr>
          <w:trHeight w:val="347"/>
          <w:jc w:val="center"/>
        </w:trPr>
        <w:tc>
          <w:tcPr>
            <w:tcW w:w="10435" w:type="dxa"/>
            <w:gridSpan w:val="7"/>
            <w:shd w:val="clear" w:color="auto" w:fill="D9D9D9"/>
            <w:vAlign w:val="bottom"/>
          </w:tcPr>
          <w:p w14:paraId="5953B313" w14:textId="0DB1593B" w:rsidR="00577F67" w:rsidRPr="009537B1" w:rsidRDefault="00577F67" w:rsidP="0069241B">
            <w:pPr>
              <w:jc w:val="center"/>
              <w:rPr>
                <w:sz w:val="24"/>
              </w:rPr>
            </w:pPr>
            <w:r w:rsidRPr="009537B1">
              <w:rPr>
                <w:b/>
                <w:smallCaps/>
                <w:sz w:val="24"/>
              </w:rPr>
              <w:t>FERC-912</w:t>
            </w:r>
            <w:r w:rsidR="00A323CC">
              <w:rPr>
                <w:b/>
                <w:smallCaps/>
                <w:sz w:val="24"/>
              </w:rPr>
              <w:t xml:space="preserve">, </w:t>
            </w:r>
            <w:r w:rsidR="00A323CC" w:rsidRPr="00A323CC">
              <w:rPr>
                <w:b/>
                <w:smallCaps/>
                <w:sz w:val="24"/>
              </w:rPr>
              <w:t xml:space="preserve">PURPA Section </w:t>
            </w:r>
            <w:r w:rsidR="0069241B" w:rsidRPr="00A323CC">
              <w:rPr>
                <w:b/>
                <w:smallCaps/>
                <w:sz w:val="24"/>
              </w:rPr>
              <w:t>210(</w:t>
            </w:r>
            <w:r w:rsidR="0069241B">
              <w:rPr>
                <w:b/>
                <w:smallCaps/>
                <w:sz w:val="24"/>
              </w:rPr>
              <w:t>m</w:t>
            </w:r>
            <w:r w:rsidR="0069241B" w:rsidRPr="00A323CC">
              <w:rPr>
                <w:b/>
                <w:smallCaps/>
                <w:sz w:val="24"/>
              </w:rPr>
              <w:t xml:space="preserve">) </w:t>
            </w:r>
            <w:r w:rsidR="00A323CC" w:rsidRPr="00A323CC">
              <w:rPr>
                <w:b/>
                <w:smallCaps/>
                <w:sz w:val="24"/>
              </w:rPr>
              <w:t xml:space="preserve">Notification Requirements Applicable </w:t>
            </w:r>
            <w:r w:rsidR="0069241B" w:rsidRPr="00A323CC">
              <w:rPr>
                <w:b/>
                <w:smallCaps/>
                <w:sz w:val="24"/>
              </w:rPr>
              <w:t xml:space="preserve">To </w:t>
            </w:r>
            <w:r w:rsidR="00A323CC" w:rsidRPr="00A323CC">
              <w:rPr>
                <w:b/>
                <w:smallCaps/>
                <w:sz w:val="24"/>
              </w:rPr>
              <w:t xml:space="preserve">Cogeneration </w:t>
            </w:r>
            <w:r w:rsidR="0069241B">
              <w:rPr>
                <w:b/>
                <w:smallCaps/>
                <w:sz w:val="24"/>
              </w:rPr>
              <w:t>a</w:t>
            </w:r>
            <w:r w:rsidR="0069241B" w:rsidRPr="00A323CC">
              <w:rPr>
                <w:b/>
                <w:smallCaps/>
                <w:sz w:val="24"/>
              </w:rPr>
              <w:t xml:space="preserve">nd </w:t>
            </w:r>
            <w:r w:rsidR="00A323CC" w:rsidRPr="00A323CC">
              <w:rPr>
                <w:b/>
                <w:smallCaps/>
                <w:sz w:val="24"/>
              </w:rPr>
              <w:t>Small Power Production Facilities</w:t>
            </w:r>
          </w:p>
        </w:tc>
      </w:tr>
      <w:tr w:rsidR="00577F67" w:rsidRPr="00AB4425" w14:paraId="09C2B635" w14:textId="77777777" w:rsidTr="00AB4425">
        <w:trPr>
          <w:trHeight w:val="638"/>
          <w:jc w:val="center"/>
        </w:trPr>
        <w:tc>
          <w:tcPr>
            <w:tcW w:w="1615" w:type="dxa"/>
            <w:shd w:val="clear" w:color="auto" w:fill="D9D9D9"/>
            <w:vAlign w:val="bottom"/>
          </w:tcPr>
          <w:p w14:paraId="41860468" w14:textId="77777777" w:rsidR="00577F67" w:rsidRPr="00AB4425" w:rsidRDefault="00577F67" w:rsidP="00A463D8">
            <w:pPr>
              <w:jc w:val="center"/>
              <w:rPr>
                <w:b/>
                <w:sz w:val="24"/>
              </w:rPr>
            </w:pPr>
          </w:p>
        </w:tc>
        <w:tc>
          <w:tcPr>
            <w:tcW w:w="1530" w:type="dxa"/>
            <w:shd w:val="clear" w:color="auto" w:fill="D9D9D9"/>
            <w:vAlign w:val="bottom"/>
          </w:tcPr>
          <w:p w14:paraId="4D63F00F" w14:textId="77777777" w:rsidR="00577F67" w:rsidRPr="00AB4425" w:rsidRDefault="00577F67" w:rsidP="00A463D8">
            <w:pPr>
              <w:jc w:val="center"/>
              <w:rPr>
                <w:b/>
                <w:sz w:val="24"/>
              </w:rPr>
            </w:pPr>
            <w:r w:rsidRPr="00AB4425">
              <w:rPr>
                <w:b/>
                <w:sz w:val="24"/>
              </w:rPr>
              <w:t>Number of Respondents</w:t>
            </w:r>
          </w:p>
          <w:p w14:paraId="48985190" w14:textId="77777777" w:rsidR="00577F67" w:rsidRPr="00AB4425" w:rsidRDefault="00577F67" w:rsidP="00A463D8">
            <w:pPr>
              <w:jc w:val="center"/>
              <w:rPr>
                <w:b/>
                <w:sz w:val="24"/>
              </w:rPr>
            </w:pPr>
            <w:r w:rsidRPr="00AB4425">
              <w:rPr>
                <w:b/>
                <w:sz w:val="24"/>
              </w:rPr>
              <w:t>(1)</w:t>
            </w:r>
          </w:p>
        </w:tc>
        <w:tc>
          <w:tcPr>
            <w:tcW w:w="1530" w:type="dxa"/>
            <w:shd w:val="clear" w:color="auto" w:fill="D9D9D9"/>
            <w:vAlign w:val="bottom"/>
          </w:tcPr>
          <w:p w14:paraId="167DE75E" w14:textId="77777777" w:rsidR="00577F67" w:rsidRPr="00AB4425" w:rsidRDefault="00577F67" w:rsidP="00A463D8">
            <w:pPr>
              <w:jc w:val="center"/>
              <w:rPr>
                <w:b/>
                <w:sz w:val="24"/>
              </w:rPr>
            </w:pPr>
            <w:r w:rsidRPr="00AB4425">
              <w:rPr>
                <w:b/>
                <w:sz w:val="24"/>
              </w:rPr>
              <w:t>Number of Responses Per Respondent</w:t>
            </w:r>
          </w:p>
          <w:p w14:paraId="7721C3C2" w14:textId="77777777" w:rsidR="00577F67" w:rsidRPr="00AB4425" w:rsidRDefault="00577F67" w:rsidP="00A463D8">
            <w:pPr>
              <w:jc w:val="center"/>
              <w:rPr>
                <w:b/>
                <w:sz w:val="24"/>
              </w:rPr>
            </w:pPr>
            <w:r w:rsidRPr="00AB4425">
              <w:rPr>
                <w:b/>
                <w:sz w:val="24"/>
              </w:rPr>
              <w:t>(2)</w:t>
            </w:r>
          </w:p>
        </w:tc>
        <w:tc>
          <w:tcPr>
            <w:tcW w:w="1392" w:type="dxa"/>
            <w:shd w:val="clear" w:color="auto" w:fill="D9D9D9"/>
            <w:vAlign w:val="bottom"/>
          </w:tcPr>
          <w:p w14:paraId="655FD5AC" w14:textId="77777777" w:rsidR="00577F67" w:rsidRPr="00AB4425" w:rsidRDefault="00577F67" w:rsidP="00A463D8">
            <w:pPr>
              <w:jc w:val="center"/>
              <w:rPr>
                <w:b/>
                <w:sz w:val="24"/>
              </w:rPr>
            </w:pPr>
            <w:r w:rsidRPr="00AB4425">
              <w:rPr>
                <w:b/>
                <w:sz w:val="24"/>
              </w:rPr>
              <w:t>Total Number of Responses</w:t>
            </w:r>
          </w:p>
          <w:p w14:paraId="28950C6A" w14:textId="77777777" w:rsidR="00577F67" w:rsidRPr="00AB4425" w:rsidRDefault="00577F67" w:rsidP="00A463D8">
            <w:pPr>
              <w:ind w:left="72"/>
              <w:jc w:val="center"/>
              <w:rPr>
                <w:b/>
                <w:sz w:val="24"/>
              </w:rPr>
            </w:pPr>
            <w:r w:rsidRPr="00AB4425">
              <w:rPr>
                <w:b/>
                <w:sz w:val="24"/>
              </w:rPr>
              <w:t>(1) x (2) = (3)</w:t>
            </w:r>
          </w:p>
        </w:tc>
        <w:tc>
          <w:tcPr>
            <w:tcW w:w="1323" w:type="dxa"/>
            <w:shd w:val="clear" w:color="auto" w:fill="D9D9D9"/>
            <w:vAlign w:val="bottom"/>
          </w:tcPr>
          <w:p w14:paraId="790A0BAE" w14:textId="77777777" w:rsidR="00577F67" w:rsidRPr="00AB4425" w:rsidRDefault="00577F67" w:rsidP="00A463D8">
            <w:pPr>
              <w:jc w:val="center"/>
              <w:rPr>
                <w:b/>
                <w:sz w:val="24"/>
              </w:rPr>
            </w:pPr>
            <w:r w:rsidRPr="00AB4425">
              <w:rPr>
                <w:b/>
                <w:sz w:val="24"/>
              </w:rPr>
              <w:t>Average Burden Hrs. &amp; Average Cost per Response ($)</w:t>
            </w:r>
          </w:p>
          <w:p w14:paraId="116F15DD" w14:textId="77777777" w:rsidR="00577F67" w:rsidRPr="00AB4425" w:rsidRDefault="00577F67" w:rsidP="00A463D8">
            <w:pPr>
              <w:jc w:val="center"/>
              <w:rPr>
                <w:b/>
                <w:sz w:val="24"/>
              </w:rPr>
            </w:pPr>
            <w:r w:rsidRPr="00AB4425">
              <w:rPr>
                <w:b/>
                <w:sz w:val="24"/>
              </w:rPr>
              <w:t>(4)</w:t>
            </w:r>
          </w:p>
        </w:tc>
        <w:tc>
          <w:tcPr>
            <w:tcW w:w="1530" w:type="dxa"/>
            <w:shd w:val="clear" w:color="auto" w:fill="D9D9D9"/>
            <w:vAlign w:val="bottom"/>
          </w:tcPr>
          <w:p w14:paraId="6DA6784E" w14:textId="77777777" w:rsidR="00577F67" w:rsidRPr="00AB4425" w:rsidRDefault="00577F67" w:rsidP="00A463D8">
            <w:pPr>
              <w:jc w:val="center"/>
              <w:rPr>
                <w:b/>
                <w:sz w:val="24"/>
              </w:rPr>
            </w:pPr>
            <w:r w:rsidRPr="00AB4425">
              <w:rPr>
                <w:b/>
                <w:sz w:val="24"/>
              </w:rPr>
              <w:t>Total Annual Burden Hrs. &amp; Total Annual Cost ($)</w:t>
            </w:r>
          </w:p>
          <w:p w14:paraId="26622AF2" w14:textId="77777777" w:rsidR="00577F67" w:rsidRPr="00AB4425" w:rsidRDefault="00577F67" w:rsidP="00A463D8">
            <w:pPr>
              <w:jc w:val="center"/>
              <w:rPr>
                <w:b/>
                <w:sz w:val="24"/>
              </w:rPr>
            </w:pPr>
            <w:r w:rsidRPr="00AB4425">
              <w:rPr>
                <w:b/>
                <w:sz w:val="24"/>
              </w:rPr>
              <w:t>(3) x (4) = (5)</w:t>
            </w:r>
          </w:p>
        </w:tc>
        <w:tc>
          <w:tcPr>
            <w:tcW w:w="1515" w:type="dxa"/>
            <w:shd w:val="clear" w:color="auto" w:fill="D9D9D9"/>
            <w:vAlign w:val="bottom"/>
          </w:tcPr>
          <w:p w14:paraId="1F163AE4" w14:textId="77777777" w:rsidR="00577F67" w:rsidRPr="00AB4425" w:rsidRDefault="00577F67" w:rsidP="00A463D8">
            <w:pPr>
              <w:jc w:val="center"/>
              <w:rPr>
                <w:b/>
                <w:sz w:val="24"/>
              </w:rPr>
            </w:pPr>
            <w:r w:rsidRPr="00AB4425">
              <w:rPr>
                <w:b/>
                <w:sz w:val="24"/>
              </w:rPr>
              <w:t>Cost per Respondent ($)</w:t>
            </w:r>
          </w:p>
          <w:p w14:paraId="32DE006A" w14:textId="77777777" w:rsidR="00577F67" w:rsidRPr="00AB4425" w:rsidRDefault="00577F67" w:rsidP="00A463D8">
            <w:pPr>
              <w:jc w:val="center"/>
              <w:rPr>
                <w:b/>
                <w:sz w:val="24"/>
              </w:rPr>
            </w:pPr>
            <w:r w:rsidRPr="00AB4425">
              <w:rPr>
                <w:b/>
                <w:sz w:val="24"/>
              </w:rPr>
              <w:t>(5)</w:t>
            </w:r>
            <w:r w:rsidRPr="00AB4425">
              <w:rPr>
                <w:rFonts w:eastAsia="Calibri"/>
                <w:b/>
                <w:sz w:val="24"/>
              </w:rPr>
              <w:t xml:space="preserve"> ÷ (1) = (6)</w:t>
            </w:r>
          </w:p>
        </w:tc>
      </w:tr>
      <w:tr w:rsidR="00577F67" w:rsidRPr="00AB4425" w14:paraId="549DB4F9" w14:textId="77777777" w:rsidTr="00AB1FF1">
        <w:trPr>
          <w:jc w:val="center"/>
        </w:trPr>
        <w:tc>
          <w:tcPr>
            <w:tcW w:w="1615" w:type="dxa"/>
            <w:vAlign w:val="center"/>
          </w:tcPr>
          <w:p w14:paraId="0DD4BE9D" w14:textId="77777777" w:rsidR="00577F67" w:rsidRPr="00AB4425" w:rsidRDefault="00577F67" w:rsidP="00AB4425">
            <w:pPr>
              <w:rPr>
                <w:sz w:val="24"/>
              </w:rPr>
            </w:pPr>
            <w:r w:rsidRPr="00AB4425">
              <w:rPr>
                <w:sz w:val="24"/>
              </w:rPr>
              <w:t>Termination of obligation to purchase</w:t>
            </w:r>
          </w:p>
        </w:tc>
        <w:tc>
          <w:tcPr>
            <w:tcW w:w="1530" w:type="dxa"/>
            <w:vAlign w:val="bottom"/>
          </w:tcPr>
          <w:p w14:paraId="35A138B8" w14:textId="77777777" w:rsidR="00577F67" w:rsidRPr="00AB4425" w:rsidRDefault="00577F67" w:rsidP="00AB4425">
            <w:pPr>
              <w:spacing w:line="276" w:lineRule="auto"/>
              <w:jc w:val="right"/>
              <w:rPr>
                <w:sz w:val="24"/>
              </w:rPr>
            </w:pPr>
            <w:r w:rsidRPr="00AB4425">
              <w:rPr>
                <w:sz w:val="24"/>
              </w:rPr>
              <w:t>7</w:t>
            </w:r>
          </w:p>
        </w:tc>
        <w:tc>
          <w:tcPr>
            <w:tcW w:w="1530" w:type="dxa"/>
            <w:vAlign w:val="bottom"/>
          </w:tcPr>
          <w:p w14:paraId="0509C0B7" w14:textId="77777777" w:rsidR="00577F67" w:rsidRPr="00AB4425" w:rsidRDefault="00577F67" w:rsidP="00AB4425">
            <w:pPr>
              <w:spacing w:line="276" w:lineRule="auto"/>
              <w:jc w:val="right"/>
              <w:rPr>
                <w:sz w:val="24"/>
              </w:rPr>
            </w:pPr>
            <w:r w:rsidRPr="00AB4425">
              <w:rPr>
                <w:sz w:val="24"/>
              </w:rPr>
              <w:t>1</w:t>
            </w:r>
          </w:p>
        </w:tc>
        <w:tc>
          <w:tcPr>
            <w:tcW w:w="1392" w:type="dxa"/>
            <w:vAlign w:val="bottom"/>
          </w:tcPr>
          <w:p w14:paraId="6232E619" w14:textId="77777777" w:rsidR="00577F67" w:rsidRPr="00AB4425" w:rsidRDefault="00577F67" w:rsidP="00AB4425">
            <w:pPr>
              <w:spacing w:line="276" w:lineRule="auto"/>
              <w:jc w:val="right"/>
              <w:rPr>
                <w:sz w:val="24"/>
              </w:rPr>
            </w:pPr>
            <w:r w:rsidRPr="00AB4425">
              <w:rPr>
                <w:sz w:val="24"/>
              </w:rPr>
              <w:t>7</w:t>
            </w:r>
          </w:p>
        </w:tc>
        <w:tc>
          <w:tcPr>
            <w:tcW w:w="1323" w:type="dxa"/>
            <w:vAlign w:val="bottom"/>
          </w:tcPr>
          <w:p w14:paraId="55B24112" w14:textId="77777777" w:rsidR="00577F67" w:rsidRPr="00AB4425" w:rsidRDefault="00577F67" w:rsidP="00AB4425">
            <w:pPr>
              <w:spacing w:line="276" w:lineRule="auto"/>
              <w:jc w:val="right"/>
              <w:rPr>
                <w:sz w:val="24"/>
              </w:rPr>
            </w:pPr>
            <w:r w:rsidRPr="00AB4425">
              <w:rPr>
                <w:sz w:val="24"/>
              </w:rPr>
              <w:t>12 hrs.; $948</w:t>
            </w:r>
          </w:p>
        </w:tc>
        <w:tc>
          <w:tcPr>
            <w:tcW w:w="1530" w:type="dxa"/>
            <w:vAlign w:val="bottom"/>
          </w:tcPr>
          <w:p w14:paraId="32773046" w14:textId="77777777" w:rsidR="00577F67" w:rsidRPr="00AB4425" w:rsidRDefault="00577F67" w:rsidP="00AB4425">
            <w:pPr>
              <w:spacing w:line="276" w:lineRule="auto"/>
              <w:jc w:val="right"/>
              <w:rPr>
                <w:sz w:val="24"/>
              </w:rPr>
            </w:pPr>
            <w:r w:rsidRPr="00AB4425">
              <w:rPr>
                <w:sz w:val="24"/>
              </w:rPr>
              <w:t>84 hrs.; $6,636</w:t>
            </w:r>
          </w:p>
        </w:tc>
        <w:tc>
          <w:tcPr>
            <w:tcW w:w="1515" w:type="dxa"/>
            <w:vAlign w:val="bottom"/>
          </w:tcPr>
          <w:p w14:paraId="2183B404" w14:textId="77777777" w:rsidR="00577F67" w:rsidRPr="00AB4425" w:rsidRDefault="00577F67" w:rsidP="00AB4425">
            <w:pPr>
              <w:spacing w:line="276" w:lineRule="auto"/>
              <w:jc w:val="right"/>
              <w:rPr>
                <w:sz w:val="24"/>
              </w:rPr>
            </w:pPr>
            <w:r w:rsidRPr="00AB4425">
              <w:rPr>
                <w:sz w:val="24"/>
              </w:rPr>
              <w:t>$948</w:t>
            </w:r>
          </w:p>
        </w:tc>
      </w:tr>
      <w:tr w:rsidR="00577F67" w:rsidRPr="00AB4425" w14:paraId="2AD9330F" w14:textId="77777777" w:rsidTr="00AB1FF1">
        <w:trPr>
          <w:jc w:val="center"/>
        </w:trPr>
        <w:tc>
          <w:tcPr>
            <w:tcW w:w="1615" w:type="dxa"/>
            <w:vAlign w:val="center"/>
          </w:tcPr>
          <w:p w14:paraId="4134A526" w14:textId="77777777" w:rsidR="00577F67" w:rsidRPr="00AB4425" w:rsidRDefault="00577F67" w:rsidP="00AB4425">
            <w:pPr>
              <w:rPr>
                <w:sz w:val="24"/>
              </w:rPr>
            </w:pPr>
            <w:r w:rsidRPr="00AB4425">
              <w:rPr>
                <w:sz w:val="24"/>
              </w:rPr>
              <w:t>Reinstatement of obligations to purchase</w:t>
            </w:r>
          </w:p>
        </w:tc>
        <w:tc>
          <w:tcPr>
            <w:tcW w:w="1530" w:type="dxa"/>
            <w:vAlign w:val="bottom"/>
          </w:tcPr>
          <w:p w14:paraId="1BB083D7" w14:textId="77777777" w:rsidR="00577F67" w:rsidRPr="00AB4425" w:rsidRDefault="00577F67" w:rsidP="00AB4425">
            <w:pPr>
              <w:spacing w:line="276" w:lineRule="auto"/>
              <w:jc w:val="right"/>
              <w:rPr>
                <w:sz w:val="24"/>
              </w:rPr>
            </w:pPr>
            <w:r w:rsidRPr="00AB4425">
              <w:rPr>
                <w:sz w:val="24"/>
              </w:rPr>
              <w:t>0</w:t>
            </w:r>
          </w:p>
        </w:tc>
        <w:tc>
          <w:tcPr>
            <w:tcW w:w="1530" w:type="dxa"/>
            <w:vAlign w:val="bottom"/>
          </w:tcPr>
          <w:p w14:paraId="5DBE8B32" w14:textId="77777777" w:rsidR="00577F67" w:rsidRPr="00AB4425" w:rsidRDefault="00577F67" w:rsidP="00AB4425">
            <w:pPr>
              <w:spacing w:line="276" w:lineRule="auto"/>
              <w:jc w:val="right"/>
              <w:rPr>
                <w:sz w:val="24"/>
              </w:rPr>
            </w:pPr>
            <w:r w:rsidRPr="00AB4425">
              <w:rPr>
                <w:sz w:val="24"/>
              </w:rPr>
              <w:t>0</w:t>
            </w:r>
          </w:p>
        </w:tc>
        <w:tc>
          <w:tcPr>
            <w:tcW w:w="1392" w:type="dxa"/>
            <w:vAlign w:val="bottom"/>
          </w:tcPr>
          <w:p w14:paraId="71EEF0ED" w14:textId="77777777" w:rsidR="00577F67" w:rsidRPr="00AB4425" w:rsidRDefault="00577F67" w:rsidP="00AB4425">
            <w:pPr>
              <w:spacing w:line="276" w:lineRule="auto"/>
              <w:jc w:val="right"/>
              <w:rPr>
                <w:sz w:val="24"/>
              </w:rPr>
            </w:pPr>
            <w:r w:rsidRPr="00AB4425">
              <w:rPr>
                <w:sz w:val="24"/>
              </w:rPr>
              <w:t>0</w:t>
            </w:r>
          </w:p>
        </w:tc>
        <w:tc>
          <w:tcPr>
            <w:tcW w:w="1323" w:type="dxa"/>
            <w:vAlign w:val="bottom"/>
          </w:tcPr>
          <w:p w14:paraId="769DA649" w14:textId="3BAF3399" w:rsidR="00577F67" w:rsidRPr="00AB4425" w:rsidRDefault="00577F67" w:rsidP="00AB4425">
            <w:pPr>
              <w:spacing w:line="276" w:lineRule="auto"/>
              <w:jc w:val="right"/>
              <w:rPr>
                <w:sz w:val="24"/>
              </w:rPr>
            </w:pPr>
            <w:r w:rsidRPr="00AB4425">
              <w:rPr>
                <w:sz w:val="24"/>
              </w:rPr>
              <w:t>0 hrs.; $0</w:t>
            </w:r>
          </w:p>
        </w:tc>
        <w:tc>
          <w:tcPr>
            <w:tcW w:w="1530" w:type="dxa"/>
            <w:vAlign w:val="bottom"/>
          </w:tcPr>
          <w:p w14:paraId="190137D5" w14:textId="121CE187" w:rsidR="00577F67" w:rsidRPr="00AB4425" w:rsidRDefault="00577F67" w:rsidP="00AB4425">
            <w:pPr>
              <w:spacing w:line="276" w:lineRule="auto"/>
              <w:jc w:val="right"/>
              <w:rPr>
                <w:sz w:val="24"/>
              </w:rPr>
            </w:pPr>
            <w:r w:rsidRPr="00AB4425">
              <w:rPr>
                <w:sz w:val="24"/>
              </w:rPr>
              <w:t>0 hrs.; $0</w:t>
            </w:r>
          </w:p>
        </w:tc>
        <w:tc>
          <w:tcPr>
            <w:tcW w:w="1515" w:type="dxa"/>
            <w:vAlign w:val="bottom"/>
          </w:tcPr>
          <w:p w14:paraId="5EC79CDA" w14:textId="77777777" w:rsidR="00577F67" w:rsidRPr="00AB4425" w:rsidRDefault="00577F67" w:rsidP="00AB4425">
            <w:pPr>
              <w:spacing w:line="276" w:lineRule="auto"/>
              <w:jc w:val="right"/>
              <w:rPr>
                <w:sz w:val="24"/>
              </w:rPr>
            </w:pPr>
            <w:r w:rsidRPr="00AB4425">
              <w:rPr>
                <w:sz w:val="24"/>
              </w:rPr>
              <w:t>$0</w:t>
            </w:r>
          </w:p>
        </w:tc>
      </w:tr>
      <w:tr w:rsidR="00577F67" w:rsidRPr="00AB4425" w14:paraId="56EF6FB3" w14:textId="77777777" w:rsidTr="00AB1FF1">
        <w:trPr>
          <w:jc w:val="center"/>
        </w:trPr>
        <w:tc>
          <w:tcPr>
            <w:tcW w:w="1615" w:type="dxa"/>
            <w:vAlign w:val="center"/>
          </w:tcPr>
          <w:p w14:paraId="69889473" w14:textId="77777777" w:rsidR="00577F67" w:rsidRPr="00AB4425" w:rsidRDefault="00577F67" w:rsidP="00AB4425">
            <w:pPr>
              <w:rPr>
                <w:sz w:val="24"/>
              </w:rPr>
            </w:pPr>
            <w:r w:rsidRPr="00AB4425">
              <w:rPr>
                <w:sz w:val="24"/>
              </w:rPr>
              <w:t>Termination of obligation to sell</w:t>
            </w:r>
          </w:p>
        </w:tc>
        <w:tc>
          <w:tcPr>
            <w:tcW w:w="1530" w:type="dxa"/>
            <w:vAlign w:val="bottom"/>
          </w:tcPr>
          <w:p w14:paraId="37B3DCFD" w14:textId="77777777" w:rsidR="00577F67" w:rsidRPr="00AB4425" w:rsidRDefault="00577F67" w:rsidP="00AB4425">
            <w:pPr>
              <w:spacing w:line="276" w:lineRule="auto"/>
              <w:jc w:val="right"/>
              <w:rPr>
                <w:sz w:val="24"/>
              </w:rPr>
            </w:pPr>
            <w:r w:rsidRPr="00AB4425">
              <w:rPr>
                <w:sz w:val="24"/>
              </w:rPr>
              <w:t>2</w:t>
            </w:r>
          </w:p>
        </w:tc>
        <w:tc>
          <w:tcPr>
            <w:tcW w:w="1530" w:type="dxa"/>
            <w:vAlign w:val="bottom"/>
          </w:tcPr>
          <w:p w14:paraId="0A31AE41" w14:textId="77777777" w:rsidR="00577F67" w:rsidRPr="00AB4425" w:rsidRDefault="00577F67" w:rsidP="00AB4425">
            <w:pPr>
              <w:spacing w:line="276" w:lineRule="auto"/>
              <w:jc w:val="right"/>
              <w:rPr>
                <w:sz w:val="24"/>
              </w:rPr>
            </w:pPr>
            <w:r w:rsidRPr="00AB4425">
              <w:rPr>
                <w:sz w:val="24"/>
              </w:rPr>
              <w:t>1</w:t>
            </w:r>
          </w:p>
        </w:tc>
        <w:tc>
          <w:tcPr>
            <w:tcW w:w="1392" w:type="dxa"/>
            <w:vAlign w:val="bottom"/>
          </w:tcPr>
          <w:p w14:paraId="2EF6AD02" w14:textId="77777777" w:rsidR="00577F67" w:rsidRPr="00AB4425" w:rsidRDefault="00577F67" w:rsidP="00AB4425">
            <w:pPr>
              <w:spacing w:line="276" w:lineRule="auto"/>
              <w:jc w:val="right"/>
              <w:rPr>
                <w:sz w:val="24"/>
              </w:rPr>
            </w:pPr>
            <w:r w:rsidRPr="00AB4425">
              <w:rPr>
                <w:sz w:val="24"/>
              </w:rPr>
              <w:t>2</w:t>
            </w:r>
          </w:p>
        </w:tc>
        <w:tc>
          <w:tcPr>
            <w:tcW w:w="1323" w:type="dxa"/>
            <w:vAlign w:val="bottom"/>
          </w:tcPr>
          <w:p w14:paraId="485804CF" w14:textId="77777777" w:rsidR="00577F67" w:rsidRPr="00AB4425" w:rsidRDefault="00577F67" w:rsidP="00AB4425">
            <w:pPr>
              <w:spacing w:line="276" w:lineRule="auto"/>
              <w:jc w:val="right"/>
              <w:rPr>
                <w:sz w:val="24"/>
              </w:rPr>
            </w:pPr>
            <w:r w:rsidRPr="00AB4425">
              <w:rPr>
                <w:sz w:val="24"/>
              </w:rPr>
              <w:t>8 hrs.; $632</w:t>
            </w:r>
          </w:p>
        </w:tc>
        <w:tc>
          <w:tcPr>
            <w:tcW w:w="1530" w:type="dxa"/>
            <w:vAlign w:val="bottom"/>
          </w:tcPr>
          <w:p w14:paraId="73BD664B" w14:textId="77777777" w:rsidR="00577F67" w:rsidRPr="00AB4425" w:rsidRDefault="00577F67" w:rsidP="00AB4425">
            <w:pPr>
              <w:spacing w:line="276" w:lineRule="auto"/>
              <w:jc w:val="right"/>
              <w:rPr>
                <w:sz w:val="24"/>
              </w:rPr>
            </w:pPr>
            <w:r w:rsidRPr="00AB4425">
              <w:rPr>
                <w:sz w:val="24"/>
              </w:rPr>
              <w:t>16 hrs.; $1,264</w:t>
            </w:r>
          </w:p>
        </w:tc>
        <w:tc>
          <w:tcPr>
            <w:tcW w:w="1515" w:type="dxa"/>
            <w:vAlign w:val="bottom"/>
          </w:tcPr>
          <w:p w14:paraId="440A3711" w14:textId="77777777" w:rsidR="00577F67" w:rsidRPr="00AB4425" w:rsidRDefault="00577F67" w:rsidP="00AB4425">
            <w:pPr>
              <w:spacing w:line="276" w:lineRule="auto"/>
              <w:jc w:val="right"/>
              <w:rPr>
                <w:sz w:val="24"/>
              </w:rPr>
            </w:pPr>
            <w:r w:rsidRPr="00AB4425">
              <w:rPr>
                <w:sz w:val="24"/>
              </w:rPr>
              <w:t>$632</w:t>
            </w:r>
          </w:p>
        </w:tc>
      </w:tr>
      <w:tr w:rsidR="00577F67" w:rsidRPr="00AB4425" w14:paraId="4E82EC3F" w14:textId="77777777" w:rsidTr="00AB1FF1">
        <w:trPr>
          <w:jc w:val="center"/>
        </w:trPr>
        <w:tc>
          <w:tcPr>
            <w:tcW w:w="1615" w:type="dxa"/>
            <w:vAlign w:val="center"/>
          </w:tcPr>
          <w:p w14:paraId="3A9D0EC7" w14:textId="77777777" w:rsidR="00577F67" w:rsidRPr="00AB4425" w:rsidRDefault="00577F67" w:rsidP="00AB4425">
            <w:pPr>
              <w:rPr>
                <w:sz w:val="24"/>
              </w:rPr>
            </w:pPr>
            <w:r w:rsidRPr="00AB4425">
              <w:rPr>
                <w:sz w:val="24"/>
              </w:rPr>
              <w:t>Reinstatement of obligation to sell</w:t>
            </w:r>
          </w:p>
        </w:tc>
        <w:tc>
          <w:tcPr>
            <w:tcW w:w="1530" w:type="dxa"/>
            <w:vAlign w:val="bottom"/>
          </w:tcPr>
          <w:p w14:paraId="364CBF96" w14:textId="77777777" w:rsidR="00577F67" w:rsidRPr="00AB4425" w:rsidRDefault="00577F67" w:rsidP="00AB4425">
            <w:pPr>
              <w:spacing w:line="276" w:lineRule="auto"/>
              <w:jc w:val="right"/>
              <w:rPr>
                <w:sz w:val="24"/>
              </w:rPr>
            </w:pPr>
            <w:r w:rsidRPr="00AB4425">
              <w:rPr>
                <w:sz w:val="24"/>
              </w:rPr>
              <w:t>0</w:t>
            </w:r>
          </w:p>
        </w:tc>
        <w:tc>
          <w:tcPr>
            <w:tcW w:w="1530" w:type="dxa"/>
            <w:vAlign w:val="bottom"/>
          </w:tcPr>
          <w:p w14:paraId="395EA86C" w14:textId="77777777" w:rsidR="00577F67" w:rsidRPr="00AB4425" w:rsidRDefault="00577F67" w:rsidP="00AB4425">
            <w:pPr>
              <w:spacing w:line="276" w:lineRule="auto"/>
              <w:jc w:val="right"/>
              <w:rPr>
                <w:sz w:val="24"/>
              </w:rPr>
            </w:pPr>
            <w:r w:rsidRPr="00AB4425">
              <w:rPr>
                <w:sz w:val="24"/>
              </w:rPr>
              <w:t>0</w:t>
            </w:r>
          </w:p>
        </w:tc>
        <w:tc>
          <w:tcPr>
            <w:tcW w:w="1392" w:type="dxa"/>
            <w:vAlign w:val="bottom"/>
          </w:tcPr>
          <w:p w14:paraId="7F700348" w14:textId="77777777" w:rsidR="00577F67" w:rsidRPr="00AB4425" w:rsidRDefault="00577F67" w:rsidP="00AB4425">
            <w:pPr>
              <w:spacing w:line="276" w:lineRule="auto"/>
              <w:jc w:val="right"/>
              <w:rPr>
                <w:sz w:val="24"/>
              </w:rPr>
            </w:pPr>
            <w:r w:rsidRPr="00AB4425">
              <w:rPr>
                <w:sz w:val="24"/>
              </w:rPr>
              <w:t>0</w:t>
            </w:r>
          </w:p>
        </w:tc>
        <w:tc>
          <w:tcPr>
            <w:tcW w:w="1323" w:type="dxa"/>
            <w:vAlign w:val="bottom"/>
          </w:tcPr>
          <w:p w14:paraId="073AEF60" w14:textId="65F6F9B4" w:rsidR="00577F67" w:rsidRPr="00AB4425" w:rsidRDefault="00577F67" w:rsidP="00AB4425">
            <w:pPr>
              <w:spacing w:line="276" w:lineRule="auto"/>
              <w:jc w:val="right"/>
              <w:rPr>
                <w:sz w:val="24"/>
              </w:rPr>
            </w:pPr>
            <w:r w:rsidRPr="00AB4425">
              <w:rPr>
                <w:sz w:val="24"/>
              </w:rPr>
              <w:t>0 hrs.; $0</w:t>
            </w:r>
          </w:p>
        </w:tc>
        <w:tc>
          <w:tcPr>
            <w:tcW w:w="1530" w:type="dxa"/>
            <w:vAlign w:val="bottom"/>
          </w:tcPr>
          <w:p w14:paraId="7AFDE00E" w14:textId="6E28AE10" w:rsidR="00577F67" w:rsidRPr="00AB4425" w:rsidRDefault="00577F67" w:rsidP="00AB4425">
            <w:pPr>
              <w:spacing w:line="276" w:lineRule="auto"/>
              <w:jc w:val="right"/>
              <w:rPr>
                <w:sz w:val="24"/>
              </w:rPr>
            </w:pPr>
            <w:r w:rsidRPr="00AB4425">
              <w:rPr>
                <w:sz w:val="24"/>
              </w:rPr>
              <w:t>0 hrs.; $0</w:t>
            </w:r>
          </w:p>
        </w:tc>
        <w:tc>
          <w:tcPr>
            <w:tcW w:w="1515" w:type="dxa"/>
            <w:vAlign w:val="bottom"/>
          </w:tcPr>
          <w:p w14:paraId="78898367" w14:textId="77777777" w:rsidR="00577F67" w:rsidRPr="00AB4425" w:rsidRDefault="00577F67" w:rsidP="00AB4425">
            <w:pPr>
              <w:spacing w:line="276" w:lineRule="auto"/>
              <w:jc w:val="right"/>
              <w:rPr>
                <w:sz w:val="24"/>
              </w:rPr>
            </w:pPr>
            <w:r w:rsidRPr="00AB4425">
              <w:rPr>
                <w:sz w:val="24"/>
              </w:rPr>
              <w:t>$0</w:t>
            </w:r>
          </w:p>
        </w:tc>
      </w:tr>
      <w:tr w:rsidR="00577F67" w:rsidRPr="00AB4425" w14:paraId="1E9CB282" w14:textId="77777777" w:rsidTr="00AB1FF1">
        <w:trPr>
          <w:trHeight w:val="443"/>
          <w:jc w:val="center"/>
        </w:trPr>
        <w:tc>
          <w:tcPr>
            <w:tcW w:w="1615" w:type="dxa"/>
            <w:vAlign w:val="center"/>
          </w:tcPr>
          <w:p w14:paraId="0FAE0109" w14:textId="77777777" w:rsidR="00577F67" w:rsidRPr="00AB4425" w:rsidRDefault="00577F67" w:rsidP="00AB4425">
            <w:pPr>
              <w:rPr>
                <w:b/>
                <w:sz w:val="24"/>
              </w:rPr>
            </w:pPr>
            <w:r w:rsidRPr="00AB4425">
              <w:rPr>
                <w:b/>
                <w:sz w:val="24"/>
              </w:rPr>
              <w:t>Total</w:t>
            </w:r>
          </w:p>
        </w:tc>
        <w:tc>
          <w:tcPr>
            <w:tcW w:w="5775" w:type="dxa"/>
            <w:gridSpan w:val="4"/>
            <w:vAlign w:val="bottom"/>
          </w:tcPr>
          <w:p w14:paraId="216A6913" w14:textId="77777777" w:rsidR="00577F67" w:rsidRPr="00AB4425" w:rsidRDefault="00577F67" w:rsidP="00AB4425">
            <w:pPr>
              <w:jc w:val="right"/>
              <w:rPr>
                <w:b/>
                <w:sz w:val="24"/>
              </w:rPr>
            </w:pPr>
          </w:p>
        </w:tc>
        <w:tc>
          <w:tcPr>
            <w:tcW w:w="1530" w:type="dxa"/>
            <w:vAlign w:val="bottom"/>
          </w:tcPr>
          <w:p w14:paraId="0A4DB73A" w14:textId="77777777" w:rsidR="00577F67" w:rsidRPr="00AB4425" w:rsidRDefault="00577F67" w:rsidP="00AB4425">
            <w:pPr>
              <w:jc w:val="right"/>
              <w:rPr>
                <w:sz w:val="24"/>
              </w:rPr>
            </w:pPr>
            <w:r w:rsidRPr="00AB4425">
              <w:rPr>
                <w:sz w:val="24"/>
              </w:rPr>
              <w:t>100 hrs.; $7,900</w:t>
            </w:r>
          </w:p>
        </w:tc>
        <w:tc>
          <w:tcPr>
            <w:tcW w:w="1515" w:type="dxa"/>
            <w:vAlign w:val="bottom"/>
          </w:tcPr>
          <w:p w14:paraId="627ADDD2" w14:textId="77777777" w:rsidR="00577F67" w:rsidRPr="00AB4425" w:rsidRDefault="00577F67" w:rsidP="00AB4425">
            <w:pPr>
              <w:jc w:val="right"/>
              <w:rPr>
                <w:sz w:val="24"/>
              </w:rPr>
            </w:pPr>
            <w:r w:rsidRPr="00AB4425">
              <w:rPr>
                <w:sz w:val="24"/>
              </w:rPr>
              <w:t>$1,580</w:t>
            </w:r>
          </w:p>
        </w:tc>
      </w:tr>
    </w:tbl>
    <w:p w14:paraId="08448E2D" w14:textId="18233A22" w:rsidR="00D42209" w:rsidRDefault="00D42209" w:rsidP="00AF1050">
      <w:pPr>
        <w:spacing w:line="480" w:lineRule="auto"/>
        <w:rPr>
          <w:szCs w:val="26"/>
        </w:rPr>
      </w:pPr>
    </w:p>
    <w:p w14:paraId="6ED19215" w14:textId="17CF66AB"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47D348B" w14:textId="301BCFB8" w:rsidR="00F11631" w:rsidRDefault="00F11631" w:rsidP="00F11631"/>
    <w:p w14:paraId="35FC998A" w14:textId="03A86165" w:rsidR="001453F5" w:rsidRDefault="001453F5" w:rsidP="00F11631"/>
    <w:p w14:paraId="6DAD1975" w14:textId="17094437" w:rsidR="001453F5" w:rsidRDefault="001453F5" w:rsidP="00F11631"/>
    <w:p w14:paraId="598AC094" w14:textId="1F59AA88" w:rsidR="001453F5" w:rsidRDefault="001453F5" w:rsidP="00F11631"/>
    <w:p w14:paraId="4DEFD874" w14:textId="6708CCDD" w:rsidR="001453F5" w:rsidRPr="001453F5" w:rsidRDefault="001453F5" w:rsidP="001453F5">
      <w:pPr>
        <w:ind w:firstLine="2606"/>
        <w:jc w:val="center"/>
      </w:pPr>
      <w:r w:rsidRPr="001453F5">
        <w:t>Nathaniel J. Davis, Sr.,</w:t>
      </w:r>
    </w:p>
    <w:p w14:paraId="7AF4678E" w14:textId="57A817B8" w:rsidR="001453F5" w:rsidRPr="001453F5" w:rsidRDefault="001453F5" w:rsidP="001453F5">
      <w:pPr>
        <w:ind w:firstLine="2606"/>
        <w:jc w:val="center"/>
      </w:pPr>
      <w:r w:rsidRPr="001453F5">
        <w:t>Deputy Secretary.</w:t>
      </w:r>
    </w:p>
    <w:p w14:paraId="1AD574B8" w14:textId="77777777" w:rsidR="001453F5" w:rsidRDefault="001453F5" w:rsidP="00F11631"/>
    <w:sectPr w:rsidR="001453F5"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1397B3EE" w14:textId="5336F47E" w:rsidR="00AF1050" w:rsidRDefault="00AF1050" w:rsidP="00AF1050">
      <w:pPr>
        <w:pStyle w:val="FootnoteText"/>
        <w:rPr>
          <w:sz w:val="26"/>
          <w:szCs w:val="26"/>
        </w:rPr>
      </w:pPr>
      <w:r w:rsidRPr="00B90A22">
        <w:rPr>
          <w:rStyle w:val="FootnoteReference"/>
        </w:rPr>
        <w:footnoteRef/>
      </w:r>
      <w:r>
        <w:rPr>
          <w:b/>
          <w:sz w:val="26"/>
          <w:szCs w:val="26"/>
        </w:rPr>
        <w:t xml:space="preserve"> </w:t>
      </w:r>
      <w:r>
        <w:rPr>
          <w:sz w:val="26"/>
          <w:szCs w:val="26"/>
        </w:rPr>
        <w:t>Public Law 109-58, 119 Stat. 594 (2005)</w:t>
      </w:r>
      <w:r w:rsidR="00B90A22">
        <w:rPr>
          <w:sz w:val="26"/>
          <w:szCs w:val="26"/>
        </w:rPr>
        <w:t>.</w:t>
      </w:r>
    </w:p>
  </w:footnote>
  <w:footnote w:id="2">
    <w:p w14:paraId="3DDE6DC7" w14:textId="77777777" w:rsidR="00AF1050" w:rsidRDefault="00AF1050" w:rsidP="00AF1050">
      <w:pPr>
        <w:pStyle w:val="FootnoteText"/>
        <w:rPr>
          <w:b/>
          <w:sz w:val="26"/>
          <w:szCs w:val="26"/>
        </w:rPr>
      </w:pPr>
      <w:r w:rsidRPr="00B90A22">
        <w:rPr>
          <w:rStyle w:val="FootnoteReference"/>
        </w:rPr>
        <w:footnoteRef/>
      </w:r>
      <w:r>
        <w:rPr>
          <w:sz w:val="26"/>
          <w:szCs w:val="26"/>
        </w:rPr>
        <w:t xml:space="preserve"> 18 CFR 292.310 and 292.312.</w:t>
      </w:r>
    </w:p>
  </w:footnote>
  <w:footnote w:id="3">
    <w:p w14:paraId="19264D9A" w14:textId="77777777" w:rsidR="00AF1050" w:rsidRDefault="00AF1050" w:rsidP="00AF1050">
      <w:pPr>
        <w:pStyle w:val="FootnoteText"/>
        <w:tabs>
          <w:tab w:val="left" w:pos="6090"/>
        </w:tabs>
        <w:rPr>
          <w:b/>
          <w:sz w:val="26"/>
          <w:szCs w:val="26"/>
        </w:rPr>
      </w:pPr>
      <w:r w:rsidRPr="00B90A22">
        <w:rPr>
          <w:rStyle w:val="FootnoteReference"/>
        </w:rPr>
        <w:footnoteRef/>
      </w:r>
      <w:r>
        <w:rPr>
          <w:b/>
          <w:sz w:val="26"/>
          <w:szCs w:val="26"/>
        </w:rPr>
        <w:t xml:space="preserve"> </w:t>
      </w:r>
      <w:r>
        <w:rPr>
          <w:sz w:val="26"/>
          <w:szCs w:val="26"/>
        </w:rPr>
        <w:t>18 CFR 292.311 and 292.313.</w:t>
      </w:r>
    </w:p>
  </w:footnote>
  <w:footnote w:id="4">
    <w:p w14:paraId="490F12D6" w14:textId="77777777" w:rsidR="00D42209" w:rsidRPr="008E145A" w:rsidRDefault="00D42209" w:rsidP="00D4220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5">
    <w:p w14:paraId="7C78EA4F" w14:textId="41C15CCA" w:rsidR="00577F67" w:rsidRPr="00951926" w:rsidRDefault="00577F67" w:rsidP="00577F67">
      <w:pPr>
        <w:pStyle w:val="FootnoteText"/>
        <w:rPr>
          <w:sz w:val="26"/>
          <w:szCs w:val="26"/>
        </w:rPr>
      </w:pPr>
      <w:r w:rsidRPr="00951926">
        <w:rPr>
          <w:rStyle w:val="FootnoteReference"/>
        </w:rPr>
        <w:footnoteRef/>
      </w:r>
      <w:r w:rsidRPr="00951926">
        <w:rPr>
          <w:sz w:val="26"/>
          <w:szCs w:val="26"/>
        </w:rPr>
        <w:t xml:space="preserve"> The Commission staff believes the FERC FTE </w:t>
      </w:r>
      <w:r>
        <w:rPr>
          <w:sz w:val="26"/>
          <w:szCs w:val="26"/>
        </w:rPr>
        <w:t xml:space="preserve">(full-time equivalent) </w:t>
      </w:r>
      <w:r w:rsidRPr="00951926">
        <w:rPr>
          <w:sz w:val="26"/>
          <w:szCs w:val="26"/>
        </w:rPr>
        <w:t>average salary plus benefits is representative of wages for the industry respondents. The FERC 2018 average salary plus benefits for one FERC FTE is $164,820/year (or $79</w:t>
      </w:r>
      <w:r w:rsidR="009537B1">
        <w:rPr>
          <w:sz w:val="26"/>
          <w:szCs w:val="26"/>
        </w:rPr>
        <w:t>.00</w:t>
      </w:r>
      <w:r w:rsidRPr="00951926">
        <w:rPr>
          <w:sz w:val="26"/>
          <w:szCs w:val="26"/>
        </w:rPr>
        <w:t xml:space="preserve">/hour).  </w:t>
      </w:r>
      <w:r>
        <w:rPr>
          <w:sz w:val="26"/>
          <w:szCs w:val="26"/>
        </w:rPr>
        <w:t>(</w:t>
      </w:r>
      <w:r w:rsidRPr="00951926">
        <w:rPr>
          <w:sz w:val="26"/>
          <w:szCs w:val="26"/>
        </w:rPr>
        <w:t xml:space="preserve">This is an update to the </w:t>
      </w:r>
      <w:r>
        <w:rPr>
          <w:sz w:val="26"/>
          <w:szCs w:val="26"/>
        </w:rPr>
        <w:t xml:space="preserve">cost </w:t>
      </w:r>
      <w:r w:rsidRPr="00951926">
        <w:rPr>
          <w:sz w:val="26"/>
          <w:szCs w:val="26"/>
        </w:rPr>
        <w:t>figure</w:t>
      </w:r>
      <w:r>
        <w:rPr>
          <w:sz w:val="26"/>
          <w:szCs w:val="26"/>
        </w:rPr>
        <w:t>s</w:t>
      </w:r>
      <w:r w:rsidRPr="00951926">
        <w:rPr>
          <w:sz w:val="26"/>
          <w:szCs w:val="26"/>
        </w:rPr>
        <w:t xml:space="preserve"> used in the 60-day Notice.</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A79DC42" w:rsidR="00810D18" w:rsidRDefault="00810D18" w:rsidP="00810D18">
    <w:pPr>
      <w:pStyle w:val="Header"/>
    </w:pPr>
    <w:r>
      <w:t xml:space="preserve">Docket No. </w:t>
    </w:r>
    <w:r w:rsidR="0031268C">
      <w:t>IC19-10-000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63D8">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05C83"/>
    <w:rsid w:val="000122E1"/>
    <w:rsid w:val="00023EA9"/>
    <w:rsid w:val="000241AE"/>
    <w:rsid w:val="000459B6"/>
    <w:rsid w:val="00056C5D"/>
    <w:rsid w:val="00062427"/>
    <w:rsid w:val="000A0250"/>
    <w:rsid w:val="000A7E68"/>
    <w:rsid w:val="000B1832"/>
    <w:rsid w:val="000E2568"/>
    <w:rsid w:val="0012558A"/>
    <w:rsid w:val="001453F5"/>
    <w:rsid w:val="0015578A"/>
    <w:rsid w:val="00156BBB"/>
    <w:rsid w:val="001600DF"/>
    <w:rsid w:val="00171725"/>
    <w:rsid w:val="00181BF7"/>
    <w:rsid w:val="001A6AD6"/>
    <w:rsid w:val="001B78B8"/>
    <w:rsid w:val="001E6510"/>
    <w:rsid w:val="00224BF2"/>
    <w:rsid w:val="0027452E"/>
    <w:rsid w:val="00293D56"/>
    <w:rsid w:val="002B7AA8"/>
    <w:rsid w:val="002D5237"/>
    <w:rsid w:val="002E0351"/>
    <w:rsid w:val="002F24E8"/>
    <w:rsid w:val="002F697A"/>
    <w:rsid w:val="00305F95"/>
    <w:rsid w:val="003060F0"/>
    <w:rsid w:val="00311D90"/>
    <w:rsid w:val="00312661"/>
    <w:rsid w:val="0031268C"/>
    <w:rsid w:val="003149BC"/>
    <w:rsid w:val="00316521"/>
    <w:rsid w:val="0034195C"/>
    <w:rsid w:val="00347056"/>
    <w:rsid w:val="00361371"/>
    <w:rsid w:val="00363638"/>
    <w:rsid w:val="003673EC"/>
    <w:rsid w:val="00376525"/>
    <w:rsid w:val="003960E0"/>
    <w:rsid w:val="003A1A72"/>
    <w:rsid w:val="003A3189"/>
    <w:rsid w:val="003C3E7A"/>
    <w:rsid w:val="003C7BC3"/>
    <w:rsid w:val="003E44AD"/>
    <w:rsid w:val="0040718A"/>
    <w:rsid w:val="00443282"/>
    <w:rsid w:val="0045734B"/>
    <w:rsid w:val="004759C4"/>
    <w:rsid w:val="00485A51"/>
    <w:rsid w:val="0049480F"/>
    <w:rsid w:val="00497956"/>
    <w:rsid w:val="004C70C8"/>
    <w:rsid w:val="004C77EF"/>
    <w:rsid w:val="004D27A2"/>
    <w:rsid w:val="004D39C0"/>
    <w:rsid w:val="004F26DA"/>
    <w:rsid w:val="00513DA8"/>
    <w:rsid w:val="00514B50"/>
    <w:rsid w:val="00516493"/>
    <w:rsid w:val="0054073B"/>
    <w:rsid w:val="0054746C"/>
    <w:rsid w:val="00577F67"/>
    <w:rsid w:val="00585F73"/>
    <w:rsid w:val="005A0148"/>
    <w:rsid w:val="005A2F24"/>
    <w:rsid w:val="005A3F56"/>
    <w:rsid w:val="005B4DA4"/>
    <w:rsid w:val="005C6D4E"/>
    <w:rsid w:val="005D16A1"/>
    <w:rsid w:val="005E6D8A"/>
    <w:rsid w:val="005F3DAA"/>
    <w:rsid w:val="005F726F"/>
    <w:rsid w:val="006057B8"/>
    <w:rsid w:val="006128A5"/>
    <w:rsid w:val="006144F3"/>
    <w:rsid w:val="00634374"/>
    <w:rsid w:val="00637F43"/>
    <w:rsid w:val="00642602"/>
    <w:rsid w:val="00644A1B"/>
    <w:rsid w:val="00647ABC"/>
    <w:rsid w:val="00650FA1"/>
    <w:rsid w:val="006536D8"/>
    <w:rsid w:val="00654BA4"/>
    <w:rsid w:val="00680D78"/>
    <w:rsid w:val="0069241B"/>
    <w:rsid w:val="00695E65"/>
    <w:rsid w:val="006963BC"/>
    <w:rsid w:val="006A34AE"/>
    <w:rsid w:val="006A423E"/>
    <w:rsid w:val="006C6B0C"/>
    <w:rsid w:val="006E10F4"/>
    <w:rsid w:val="006E75AA"/>
    <w:rsid w:val="006E7CBB"/>
    <w:rsid w:val="00713986"/>
    <w:rsid w:val="00714F57"/>
    <w:rsid w:val="00727C5E"/>
    <w:rsid w:val="00741C80"/>
    <w:rsid w:val="0075009F"/>
    <w:rsid w:val="00782ACA"/>
    <w:rsid w:val="007B588C"/>
    <w:rsid w:val="007C1916"/>
    <w:rsid w:val="007C2C38"/>
    <w:rsid w:val="007C36C8"/>
    <w:rsid w:val="007C6AC2"/>
    <w:rsid w:val="007C729C"/>
    <w:rsid w:val="007F019D"/>
    <w:rsid w:val="00803CA2"/>
    <w:rsid w:val="00807CAC"/>
    <w:rsid w:val="00810D18"/>
    <w:rsid w:val="008115BF"/>
    <w:rsid w:val="00812B30"/>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8F63D8"/>
    <w:rsid w:val="009179E9"/>
    <w:rsid w:val="00926C59"/>
    <w:rsid w:val="00937284"/>
    <w:rsid w:val="00940C0F"/>
    <w:rsid w:val="0095311D"/>
    <w:rsid w:val="009537B1"/>
    <w:rsid w:val="00954CCB"/>
    <w:rsid w:val="009744C8"/>
    <w:rsid w:val="00981886"/>
    <w:rsid w:val="00990FEC"/>
    <w:rsid w:val="009A1B08"/>
    <w:rsid w:val="009A6E91"/>
    <w:rsid w:val="009B4450"/>
    <w:rsid w:val="009C25C4"/>
    <w:rsid w:val="009C4A13"/>
    <w:rsid w:val="009D6FB8"/>
    <w:rsid w:val="009E5557"/>
    <w:rsid w:val="009E66F8"/>
    <w:rsid w:val="009F7DE3"/>
    <w:rsid w:val="00A038F9"/>
    <w:rsid w:val="00A243CC"/>
    <w:rsid w:val="00A2604E"/>
    <w:rsid w:val="00A323CC"/>
    <w:rsid w:val="00A43A4A"/>
    <w:rsid w:val="00A507F0"/>
    <w:rsid w:val="00A664DF"/>
    <w:rsid w:val="00A713D0"/>
    <w:rsid w:val="00A72814"/>
    <w:rsid w:val="00A759B3"/>
    <w:rsid w:val="00A82A29"/>
    <w:rsid w:val="00A8690F"/>
    <w:rsid w:val="00A86D9E"/>
    <w:rsid w:val="00AA4050"/>
    <w:rsid w:val="00AA516A"/>
    <w:rsid w:val="00AA5B0E"/>
    <w:rsid w:val="00AB1FF1"/>
    <w:rsid w:val="00AB4425"/>
    <w:rsid w:val="00AC750B"/>
    <w:rsid w:val="00AC77B8"/>
    <w:rsid w:val="00AD4128"/>
    <w:rsid w:val="00AE1F12"/>
    <w:rsid w:val="00AE3A78"/>
    <w:rsid w:val="00AE4155"/>
    <w:rsid w:val="00AE4B7C"/>
    <w:rsid w:val="00AF1050"/>
    <w:rsid w:val="00AF349B"/>
    <w:rsid w:val="00B01B16"/>
    <w:rsid w:val="00B22DCB"/>
    <w:rsid w:val="00B447D7"/>
    <w:rsid w:val="00B46F03"/>
    <w:rsid w:val="00B5066A"/>
    <w:rsid w:val="00B56882"/>
    <w:rsid w:val="00B65A09"/>
    <w:rsid w:val="00B76A1F"/>
    <w:rsid w:val="00B82F8C"/>
    <w:rsid w:val="00B90A22"/>
    <w:rsid w:val="00BA0FBC"/>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728C5"/>
    <w:rsid w:val="00C77EF7"/>
    <w:rsid w:val="00C81A97"/>
    <w:rsid w:val="00C820F1"/>
    <w:rsid w:val="00C91512"/>
    <w:rsid w:val="00CA6636"/>
    <w:rsid w:val="00CA6D76"/>
    <w:rsid w:val="00CB70B4"/>
    <w:rsid w:val="00CD37C7"/>
    <w:rsid w:val="00CD500C"/>
    <w:rsid w:val="00CD57EB"/>
    <w:rsid w:val="00CD5C97"/>
    <w:rsid w:val="00CD786C"/>
    <w:rsid w:val="00CE3598"/>
    <w:rsid w:val="00CF4753"/>
    <w:rsid w:val="00CF71E0"/>
    <w:rsid w:val="00D0083B"/>
    <w:rsid w:val="00D06EBA"/>
    <w:rsid w:val="00D42209"/>
    <w:rsid w:val="00D44183"/>
    <w:rsid w:val="00D9761F"/>
    <w:rsid w:val="00DA529F"/>
    <w:rsid w:val="00DC5017"/>
    <w:rsid w:val="00DD2ED3"/>
    <w:rsid w:val="00DD7F1B"/>
    <w:rsid w:val="00E024B6"/>
    <w:rsid w:val="00E129AF"/>
    <w:rsid w:val="00E13A02"/>
    <w:rsid w:val="00E34382"/>
    <w:rsid w:val="00E41DB9"/>
    <w:rsid w:val="00E762BB"/>
    <w:rsid w:val="00E77B33"/>
    <w:rsid w:val="00E8661B"/>
    <w:rsid w:val="00EA689F"/>
    <w:rsid w:val="00EF2866"/>
    <w:rsid w:val="00EF33BE"/>
    <w:rsid w:val="00F00150"/>
    <w:rsid w:val="00F0383C"/>
    <w:rsid w:val="00F11631"/>
    <w:rsid w:val="00F24AB0"/>
    <w:rsid w:val="00F309CB"/>
    <w:rsid w:val="00F44A0E"/>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577F67"/>
    <w:rPr>
      <w:sz w:val="24"/>
    </w:rPr>
  </w:style>
  <w:style w:type="paragraph" w:customStyle="1" w:styleId="Default">
    <w:name w:val="Default"/>
    <w:rsid w:val="009537B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577F67"/>
    <w:rPr>
      <w:sz w:val="24"/>
    </w:rPr>
  </w:style>
  <w:style w:type="paragraph" w:customStyle="1" w:styleId="Default">
    <w:name w:val="Default"/>
    <w:rsid w:val="009537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912</_x0031__x002e__x0020_Collection_x0020_Number>
    <Date xmlns="d6eefc7d-9817-4fa6-84d5-3bc009be21b8">2019-04-03T00:00:00-04:00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IC19-10</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58A5718-F23D-4B9A-8078-74D7BEE25C66}">
  <ds:schemaRefs>
    <ds:schemaRef ds:uri="http://schemas.microsoft.com/office/2006/metadata/customXsn"/>
  </ds:schemaRefs>
</ds:datastoreItem>
</file>

<file path=customXml/itemProps3.xml><?xml version="1.0" encoding="utf-8"?>
<ds:datastoreItem xmlns:ds="http://schemas.openxmlformats.org/officeDocument/2006/customXml" ds:itemID="{6F3169CA-E698-4919-8291-80FACF88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purl.org/dc/elements/1.1/"/>
    <ds:schemaRef ds:uri="d6eefc7d-9817-4fa6-84d5-3bc009be21b8"/>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6.xml><?xml version="1.0" encoding="utf-8"?>
<ds:datastoreItem xmlns:ds="http://schemas.openxmlformats.org/officeDocument/2006/customXml" ds:itemID="{72A9E54A-C204-4790-A3F8-64ABC658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2019-04-08T13:04:00Z</dcterms:created>
  <dcterms:modified xsi:type="dcterms:W3CDTF">2019-04-08T13:04:00Z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