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7AF9775F" w:rsidR="00A2604E" w:rsidRDefault="00A2604E" w:rsidP="00A2604E">
      <w:pPr>
        <w:jc w:val="center"/>
      </w:pPr>
      <w:r w:rsidRPr="00AC750B">
        <w:t xml:space="preserve">[Docket No. </w:t>
      </w:r>
      <w:r w:rsidR="00105EF3">
        <w:t>IC19-18-000</w:t>
      </w:r>
      <w:r w:rsidRPr="00AC750B">
        <w:t>]</w:t>
      </w:r>
    </w:p>
    <w:p w14:paraId="37A99FB4" w14:textId="77777777" w:rsidR="00A2604E" w:rsidRDefault="00A2604E" w:rsidP="00A2604E"/>
    <w:p w14:paraId="0160830D" w14:textId="4F656B46" w:rsidR="00A2604E" w:rsidRDefault="00A2604E" w:rsidP="00A2604E">
      <w:pPr>
        <w:jc w:val="center"/>
      </w:pPr>
      <w:r>
        <w:t>COMMISSION INFORMATION COLLECTION ACTIVITIES (</w:t>
      </w:r>
      <w:r w:rsidR="00105EF3">
        <w:t>FERC-740</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24B1CDE6" w:rsidR="006E10F4" w:rsidRDefault="00E628F0" w:rsidP="00E628F0">
      <w:pPr>
        <w:jc w:val="center"/>
      </w:pPr>
      <w:r w:rsidRPr="00E628F0">
        <w:t>(May 22, 2019)</w:t>
      </w:r>
    </w:p>
    <w:p w14:paraId="5434A4DB" w14:textId="77777777" w:rsidR="00E628F0" w:rsidRPr="00E628F0" w:rsidRDefault="00E628F0" w:rsidP="00E628F0"/>
    <w:p w14:paraId="2B06BEDA" w14:textId="77777777" w:rsidR="00A2604E" w:rsidRDefault="00A2604E" w:rsidP="00A2604E">
      <w:r w:rsidRPr="00130E98">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130E98">
        <w:rPr>
          <w:u w:val="single"/>
        </w:rPr>
        <w:t>ACTION</w:t>
      </w:r>
      <w:r w:rsidRPr="00CE64F2">
        <w:rPr>
          <w:b/>
        </w:rPr>
        <w:t>:</w:t>
      </w:r>
      <w:r>
        <w:t xml:space="preserve">  Notice of information collection and request for comments.</w:t>
      </w:r>
    </w:p>
    <w:p w14:paraId="124637F9" w14:textId="5E0EF370" w:rsidR="00A2604E" w:rsidRPr="00762C42" w:rsidRDefault="00A2604E" w:rsidP="00F8646E">
      <w:pPr>
        <w:spacing w:line="480" w:lineRule="auto"/>
      </w:pPr>
      <w:r w:rsidRPr="00130E98">
        <w:rPr>
          <w:u w:val="single"/>
        </w:rPr>
        <w:t>SUMMARY</w:t>
      </w:r>
      <w:r w:rsidRPr="00CE64F2">
        <w:rPr>
          <w:b/>
        </w:rPr>
        <w:t>:</w:t>
      </w:r>
      <w:r>
        <w:t xml:space="preserve">  In compliance with the requirements of the Paperwork Reduction Act of 1995, the Federal Energy Regulatory Commission (Commission or FERC) is soliciting public comment on the currently approved information collection </w:t>
      </w:r>
      <w:r w:rsidR="00105EF3">
        <w:t>FERC-740</w:t>
      </w:r>
      <w:r w:rsidR="002E0351" w:rsidRPr="00A713D0">
        <w:t xml:space="preserve"> </w:t>
      </w:r>
      <w:r w:rsidR="00A713D0">
        <w:t>(</w:t>
      </w:r>
      <w:r w:rsidR="00105EF3" w:rsidRPr="00105EF3">
        <w:t>Availability of E-Tag Information to Commission Staff</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r w:rsidR="00BA0FBC" w:rsidRPr="00C81A97">
        <w:t xml:space="preserve">On </w:t>
      </w:r>
      <w:r w:rsidR="00105EF3">
        <w:t>March 22, 2019</w:t>
      </w:r>
      <w:r w:rsidR="00BA0FBC" w:rsidRPr="00C81A97">
        <w:t>, t</w:t>
      </w:r>
      <w:r w:rsidR="00642602" w:rsidRPr="00C81A97">
        <w:t xml:space="preserve">he </w:t>
      </w:r>
      <w:r w:rsidR="00642602" w:rsidRPr="00762C42">
        <w:t xml:space="preserve">Commission published a Notice in the Federal Register </w:t>
      </w:r>
      <w:r w:rsidR="00C028E0" w:rsidRPr="00762C42">
        <w:t xml:space="preserve">(84 FR 10820) </w:t>
      </w:r>
      <w:r w:rsidR="00642602" w:rsidRPr="00762C42">
        <w:t xml:space="preserve">in Docket No. </w:t>
      </w:r>
      <w:r w:rsidR="00105EF3" w:rsidRPr="00762C42">
        <w:t>IC19-18-000</w:t>
      </w:r>
      <w:r w:rsidR="00642602" w:rsidRPr="00762C42">
        <w:t xml:space="preserve"> requesting public comments.  </w:t>
      </w:r>
      <w:r w:rsidR="00485A51" w:rsidRPr="00762C42">
        <w:t xml:space="preserve">The Commission received </w:t>
      </w:r>
      <w:r w:rsidR="00105EF3" w:rsidRPr="00762C42">
        <w:t>no public comments</w:t>
      </w:r>
      <w:r w:rsidR="007C6AC2" w:rsidRPr="00762C42">
        <w:t>.</w:t>
      </w:r>
    </w:p>
    <w:p w14:paraId="442CCE36" w14:textId="4EBC3054" w:rsidR="007C1916" w:rsidRPr="007C1916" w:rsidRDefault="00A2604E" w:rsidP="007C1916">
      <w:pPr>
        <w:spacing w:line="480" w:lineRule="auto"/>
      </w:pPr>
      <w:r w:rsidRPr="00130E98">
        <w:rPr>
          <w:u w:val="single"/>
        </w:rPr>
        <w:t>DATES</w:t>
      </w:r>
      <w:r w:rsidRPr="00762C42">
        <w:rPr>
          <w:b/>
        </w:rPr>
        <w:t>:</w:t>
      </w:r>
      <w:r w:rsidRPr="00762C42">
        <w:t xml:space="preserve">  Comments on the collection of information are due </w:t>
      </w:r>
      <w:bookmarkStart w:id="1" w:name="OLE_LINK1"/>
      <w:r w:rsidR="007C1916" w:rsidRPr="00762C42">
        <w:rPr>
          <w:b/>
        </w:rPr>
        <w:t>[</w:t>
      </w:r>
      <w:r w:rsidR="007C1916" w:rsidRPr="00762C42">
        <w:rPr>
          <w:b/>
          <w:caps/>
        </w:rPr>
        <w:t>Insert Date 30</w:t>
      </w:r>
      <w:r w:rsidR="007C1916" w:rsidRPr="00F11631">
        <w:rPr>
          <w:b/>
          <w:caps/>
        </w:rPr>
        <w:t xml:space="preserve">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4DBAAA6A" w:rsidR="007C1916" w:rsidRPr="007C1916" w:rsidRDefault="007C1916" w:rsidP="007C1916">
      <w:pPr>
        <w:spacing w:line="480" w:lineRule="auto"/>
      </w:pPr>
      <w:r w:rsidRPr="00130E98">
        <w:rPr>
          <w:u w:val="single"/>
        </w:rPr>
        <w:t>ADDRESSES</w:t>
      </w:r>
      <w:r w:rsidRPr="007C1916">
        <w:rPr>
          <w:b/>
        </w:rPr>
        <w:t>:</w:t>
      </w:r>
      <w:r w:rsidRPr="007C1916">
        <w:t xml:space="preserve">  Comments filed with OMB, identified by OMB Control No. </w:t>
      </w:r>
      <w:r w:rsidR="00105EF3">
        <w:t>1902-0254</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0D289401" w:rsidR="007C1916" w:rsidRPr="007C1916" w:rsidRDefault="007C1916" w:rsidP="007C1916">
      <w:pPr>
        <w:spacing w:line="480" w:lineRule="auto"/>
      </w:pPr>
      <w:r w:rsidRPr="007C1916">
        <w:lastRenderedPageBreak/>
        <w:t xml:space="preserve">A copy of the comments should also be sent to the Commission, in Docket No. </w:t>
      </w:r>
      <w:r w:rsidR="00105EF3">
        <w:t>IC19-18-000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130E98">
        <w:rPr>
          <w:u w:val="single"/>
        </w:rPr>
        <w:t>FOR FURTHER INFORMATION</w:t>
      </w:r>
      <w:r w:rsidR="00B56882" w:rsidRPr="00130E98">
        <w:rPr>
          <w:u w:val="single"/>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30E98">
        <w:rPr>
          <w:u w:val="single"/>
        </w:rPr>
        <w:t>SUPPLEMENTARY INFORMATION</w:t>
      </w:r>
      <w:r w:rsidRPr="001C3703">
        <w:rPr>
          <w:b/>
        </w:rPr>
        <w:t>:</w:t>
      </w:r>
      <w:r>
        <w:t xml:space="preserve">  </w:t>
      </w:r>
    </w:p>
    <w:p w14:paraId="1828F029" w14:textId="26F6857E" w:rsidR="00AA4050" w:rsidRDefault="00AA4050" w:rsidP="00A11F38">
      <w:pPr>
        <w:spacing w:line="480" w:lineRule="auto"/>
        <w:rPr>
          <w:i/>
        </w:rPr>
      </w:pPr>
      <w:r>
        <w:rPr>
          <w:i/>
        </w:rPr>
        <w:t xml:space="preserve">Title: </w:t>
      </w:r>
      <w:r w:rsidR="009E5557">
        <w:t>FERC–</w:t>
      </w:r>
      <w:r w:rsidR="00A11F38">
        <w:t>740</w:t>
      </w:r>
      <w:r w:rsidR="009E5557">
        <w:t xml:space="preserve">, </w:t>
      </w:r>
      <w:r w:rsidR="00A11F38">
        <w:t>Availability of E-Tag Information to Commission Staff</w:t>
      </w:r>
      <w:r w:rsidR="00A8690F">
        <w:t>.</w:t>
      </w:r>
    </w:p>
    <w:p w14:paraId="75921495" w14:textId="58826178" w:rsidR="00AA4050" w:rsidRDefault="00AA4050" w:rsidP="00AA4050">
      <w:pPr>
        <w:spacing w:line="480" w:lineRule="auto"/>
      </w:pPr>
      <w:r>
        <w:rPr>
          <w:i/>
        </w:rPr>
        <w:t>OMB Control No.:</w:t>
      </w:r>
      <w:r w:rsidRPr="00F50EDA">
        <w:t xml:space="preserve"> </w:t>
      </w:r>
      <w:r w:rsidR="00105EF3">
        <w:t>1902-0254</w:t>
      </w:r>
    </w:p>
    <w:p w14:paraId="002C811C" w14:textId="1CE218CE" w:rsidR="00AA4050" w:rsidRPr="00B5364C" w:rsidRDefault="00AA4050" w:rsidP="00AA4050">
      <w:pPr>
        <w:spacing w:line="480" w:lineRule="auto"/>
      </w:pPr>
      <w:r>
        <w:rPr>
          <w:i/>
        </w:rPr>
        <w:t>Type of Request:</w:t>
      </w:r>
      <w:r>
        <w:t xml:space="preserve"> Three-year extension of the </w:t>
      </w:r>
      <w:r w:rsidR="00105EF3">
        <w:t>FERC-740</w:t>
      </w:r>
      <w:r>
        <w:t xml:space="preserve"> information collection requirements with no changes to the current reporting </w:t>
      </w:r>
      <w:r w:rsidR="002F24E8">
        <w:t xml:space="preserve">and recordkeeping </w:t>
      </w:r>
      <w:r>
        <w:t xml:space="preserve">requirements. </w:t>
      </w:r>
    </w:p>
    <w:p w14:paraId="5DC2554E" w14:textId="77777777" w:rsidR="00A11F38" w:rsidRDefault="00A11F38" w:rsidP="005C71B2">
      <w:pPr>
        <w:tabs>
          <w:tab w:val="left" w:pos="-1440"/>
        </w:tabs>
        <w:spacing w:line="480" w:lineRule="auto"/>
      </w:pPr>
      <w:r>
        <w:rPr>
          <w:i/>
        </w:rPr>
        <w:lastRenderedPageBreak/>
        <w:t xml:space="preserve">Abstract:  </w:t>
      </w:r>
      <w:r>
        <w:rPr>
          <w:szCs w:val="26"/>
        </w:rPr>
        <w:t>In Order 771,</w:t>
      </w:r>
      <w:r>
        <w:rPr>
          <w:rStyle w:val="FootnoteReference"/>
        </w:rPr>
        <w:footnoteReference w:id="1"/>
      </w:r>
      <w:r>
        <w:rPr>
          <w:szCs w:val="26"/>
        </w:rPr>
        <w:t xml:space="preserve"> the FERC-740 information collection (providing Commission staff access to e-Tag data) was implemented to </w:t>
      </w:r>
      <w:r>
        <w:t>provide the Commission, Market Monitoring Units, Regional Transmission Organizations, and Independent System Operators with information that allows them to perform market surveillance and analysis more effectively.  The e-Tag information is necessary to understand the use of the interconnected electricity grid, particularly transactions occurring at interchanges.  Due to the nature of the electric grid, an individual transaction’s impact on an interchange cannot be assessed adequately in all cases without information from all connected systems, which is included in the e-Tags.  The details of the physical path of a transaction included in the e-Tags helps the Commission to monitor, in particular, interchange transactions more effectively, detect and prevent price manipulation over interchanges, and improve the efficient and orderly use of the transmission grid.  For example, the e-Tag data allows the Commission to identify transmission reservations as they go from one market to another and link the market participants involved in that transaction.</w:t>
      </w:r>
    </w:p>
    <w:p w14:paraId="034F761E" w14:textId="525ED0F3" w:rsidR="00A11F38" w:rsidRDefault="00A11F38" w:rsidP="005C71B2">
      <w:pPr>
        <w:tabs>
          <w:tab w:val="num" w:pos="720"/>
        </w:tabs>
        <w:autoSpaceDE w:val="0"/>
        <w:autoSpaceDN w:val="0"/>
        <w:adjustRightInd w:val="0"/>
        <w:spacing w:line="480" w:lineRule="auto"/>
      </w:pPr>
      <w:r>
        <w:tab/>
        <w:t>Order No. 771 provided the Commission access to e-Tags by requiring that Purchasing-Selling Entities</w:t>
      </w:r>
      <w:r>
        <w:rPr>
          <w:rStyle w:val="FootnoteReference"/>
        </w:rPr>
        <w:footnoteReference w:id="2"/>
      </w:r>
      <w:r>
        <w:t xml:space="preserve"> (PSEs) and Balancing Authorities (BAs), list the Commission on the "CC" list of e-Tags so that the Commission can receive a copy of the e-Tags (the "'CC' list requirement").   The Commission accesses the e-Tags by contracting with a commercial vendor, OATI</w:t>
      </w:r>
      <w:r w:rsidR="00050AC1">
        <w:t>, that collects all e-Tags on which FERC is identified as a "CC" list recipient in a secure database to which FERC staff has access</w:t>
      </w:r>
      <w:r>
        <w:t>.</w:t>
      </w:r>
    </w:p>
    <w:p w14:paraId="1A731C24" w14:textId="24902B37" w:rsidR="00A11F38" w:rsidRDefault="00A11F38" w:rsidP="005C71B2">
      <w:pPr>
        <w:spacing w:line="480" w:lineRule="auto"/>
      </w:pPr>
      <w:r>
        <w:tab/>
        <w:t>In early 2014, the North American Energy Standards Board (NAESB) incorporated the “CC” list requirement on e-Tags as part of the tagging process.</w:t>
      </w:r>
      <w:r>
        <w:rPr>
          <w:rStyle w:val="FootnoteReference"/>
        </w:rPr>
        <w:footnoteReference w:id="3"/>
      </w:r>
      <w:r>
        <w:t xml:space="preserve">  Even before NAESB added the FERC requirement to the tagging standards, the "CC" list requirement</w:t>
      </w:r>
      <w:r w:rsidR="00B07507">
        <w:t xml:space="preserve">, with exemptions for e-Tags between non-U.S. BAs that do not go through </w:t>
      </w:r>
      <w:r w:rsidR="00353D84">
        <w:t>any</w:t>
      </w:r>
      <w:r w:rsidR="00B07507">
        <w:t xml:space="preserve"> U.S. BAs,</w:t>
      </w:r>
      <w:r>
        <w:t xml:space="preserve"> had already been programmed into the industry standard tagging software so as to make the inclusion of FERC in the "CC" list </w:t>
      </w:r>
      <w:r w:rsidR="00353D84">
        <w:t xml:space="preserve">of any new e-Tag </w:t>
      </w:r>
      <w:r>
        <w:t xml:space="preserve">automatic, where appropriate.   </w:t>
      </w:r>
    </w:p>
    <w:p w14:paraId="4D0B503F" w14:textId="0321AB31" w:rsidR="00A11F38" w:rsidRPr="00300233" w:rsidRDefault="00A11F38" w:rsidP="005C71B2">
      <w:pPr>
        <w:spacing w:line="480" w:lineRule="auto"/>
        <w:ind w:firstLine="720"/>
        <w:rPr>
          <w:sz w:val="24"/>
        </w:rPr>
      </w:pPr>
      <w:r>
        <w:t xml:space="preserve">The Commission expects that PSEs and BAs will continue to use existing, automated procedures to create and validate the e-Tags in a way that </w:t>
      </w:r>
      <w:r w:rsidR="00B07507">
        <w:t xml:space="preserve">automatically </w:t>
      </w:r>
      <w:r>
        <w:t>provides the Commission with access to them.  In the rare event that a new</w:t>
      </w:r>
      <w:r w:rsidR="00B07507">
        <w:t>ly formed</w:t>
      </w:r>
      <w:r w:rsidR="00802E9C">
        <w:t>.</w:t>
      </w:r>
      <w:r>
        <w:t xml:space="preserve"> </w:t>
      </w:r>
      <w:r w:rsidR="00802E9C">
        <w:t xml:space="preserve">non-U.S. </w:t>
      </w:r>
      <w:r>
        <w:t xml:space="preserve">BA would need to alert e-Tag administrators that certain tags it generates qualify for exemption under the Commission’s regulations (e.g., transmissions from a new non-U.S. BA into another non-U.S. BA using a path that does not go through a U.S. BA), this administrative function would be expected to require less than an hour of effort total from both the BA and an e-Tag administrator to include the BA on the exemption list.  New exempt BAs occur less frequently than every year, but for the purpose of estimation we will conservatively assume one appears each year </w:t>
      </w:r>
      <w:r w:rsidRPr="00300233">
        <w:t>creating an additional burden</w:t>
      </w:r>
      <w:r>
        <w:t xml:space="preserve"> and cost</w:t>
      </w:r>
      <w:r w:rsidRPr="00300233">
        <w:t xml:space="preserve"> associated with the Commission’s FERC-740 of </w:t>
      </w:r>
      <w:r>
        <w:t xml:space="preserve">one hour and </w:t>
      </w:r>
      <w:r w:rsidRPr="00300233">
        <w:t>$6</w:t>
      </w:r>
      <w:r w:rsidRPr="00922ED4">
        <w:t>5.68</w:t>
      </w:r>
      <w:r w:rsidRPr="00300233">
        <w:t>.</w:t>
      </w:r>
      <w:r w:rsidRPr="00300233">
        <w:rPr>
          <w:rStyle w:val="FootnoteReference"/>
        </w:rPr>
        <w:footnoteReference w:id="4"/>
      </w:r>
      <w:r w:rsidRPr="00300233">
        <w:rPr>
          <w:sz w:val="24"/>
        </w:rPr>
        <w:t xml:space="preserve"> </w:t>
      </w:r>
    </w:p>
    <w:p w14:paraId="46125016" w14:textId="77777777" w:rsidR="00A11F38" w:rsidRPr="00922ED4" w:rsidRDefault="00A11F38" w:rsidP="005C71B2">
      <w:pPr>
        <w:spacing w:line="480" w:lineRule="auto"/>
      </w:pPr>
      <w:r w:rsidRPr="00922ED4">
        <w:rPr>
          <w:i/>
        </w:rPr>
        <w:t>Type of Respondents:</w:t>
      </w:r>
      <w:r w:rsidRPr="00922ED4">
        <w:t xml:space="preserve">  Purchasing-Selling Entities and Balancing Authorities</w:t>
      </w:r>
    </w:p>
    <w:p w14:paraId="4797359B" w14:textId="77777777" w:rsidR="00A11F38" w:rsidRDefault="00A11F38" w:rsidP="00A11F38">
      <w:pPr>
        <w:spacing w:line="480" w:lineRule="auto"/>
      </w:pPr>
      <w:r w:rsidRPr="00922ED4">
        <w:rPr>
          <w:i/>
        </w:rPr>
        <w:t>Estimate of</w:t>
      </w:r>
      <w:r>
        <w:rPr>
          <w:i/>
        </w:rPr>
        <w:t xml:space="preserve"> Annual Burden:</w:t>
      </w:r>
      <w:r>
        <w:rPr>
          <w:rStyle w:val="FootnoteReference"/>
          <w:i/>
        </w:rPr>
        <w:footnoteReference w:id="5"/>
      </w:r>
      <w:r>
        <w:rPr>
          <w:i/>
        </w:rPr>
        <w:t xml:space="preserve"> </w:t>
      </w:r>
      <w:r>
        <w:t>The Commission estimates the burden and cost for FERC-740 as follows based on the distinct e-Tags submitted to the Commission in 2017 (the most recent full year available).</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338"/>
        <w:gridCol w:w="1433"/>
        <w:gridCol w:w="1161"/>
        <w:gridCol w:w="1253"/>
        <w:gridCol w:w="1613"/>
        <w:gridCol w:w="1258"/>
      </w:tblGrid>
      <w:tr w:rsidR="00A11F38" w14:paraId="230D7B3C" w14:textId="77777777" w:rsidTr="005C71B2">
        <w:trPr>
          <w:cantSplit/>
        </w:trPr>
        <w:tc>
          <w:tcPr>
            <w:tcW w:w="79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D9AC003" w14:textId="77777777" w:rsidR="00A11F38" w:rsidRDefault="00A11F38" w:rsidP="005C71B2">
            <w:pPr>
              <w:jc w:val="center"/>
              <w:rPr>
                <w:rFonts w:eastAsia="Calibri"/>
                <w:b/>
                <w:sz w:val="20"/>
                <w:szCs w:val="20"/>
              </w:rPr>
            </w:pPr>
            <w:r>
              <w:rPr>
                <w:rFonts w:eastAsia="Calibri"/>
                <w:b/>
                <w:sz w:val="20"/>
                <w:szCs w:val="20"/>
              </w:rPr>
              <w:t>FERC-740</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4C519E4" w14:textId="77777777" w:rsidR="00A11F38" w:rsidRDefault="00A11F38" w:rsidP="005C71B2">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4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7F21C2" w14:textId="77777777" w:rsidR="00A11F38" w:rsidRDefault="00A11F38" w:rsidP="005C71B2">
            <w:pPr>
              <w:jc w:val="center"/>
              <w:rPr>
                <w:rFonts w:eastAsia="Calibri"/>
                <w:b/>
                <w:sz w:val="20"/>
                <w:szCs w:val="20"/>
              </w:rPr>
            </w:pPr>
            <w:r>
              <w:rPr>
                <w:rFonts w:eastAsia="Calibri"/>
                <w:b/>
                <w:sz w:val="20"/>
                <w:szCs w:val="20"/>
              </w:rPr>
              <w:t>Annual Number of Responses per Respondent</w:t>
            </w:r>
          </w:p>
          <w:p w14:paraId="403EF8D3" w14:textId="77777777" w:rsidR="00A11F38" w:rsidRDefault="00A11F38" w:rsidP="005C71B2">
            <w:pPr>
              <w:jc w:val="center"/>
              <w:rPr>
                <w:rFonts w:eastAsia="Calibri"/>
                <w:b/>
                <w:sz w:val="20"/>
                <w:szCs w:val="20"/>
              </w:rPr>
            </w:pPr>
            <w:r>
              <w:rPr>
                <w:rFonts w:eastAsia="Calibri"/>
                <w:b/>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ADC9F7A" w14:textId="77777777" w:rsidR="00A11F38" w:rsidRDefault="00A11F38" w:rsidP="005C71B2">
            <w:pPr>
              <w:jc w:val="center"/>
              <w:rPr>
                <w:rFonts w:eastAsia="Calibri"/>
                <w:b/>
                <w:sz w:val="20"/>
                <w:szCs w:val="20"/>
              </w:rPr>
            </w:pPr>
            <w:r>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CDEE995" w14:textId="77777777" w:rsidR="00A11F38" w:rsidRDefault="00A11F38" w:rsidP="005C71B2">
            <w:pPr>
              <w:jc w:val="center"/>
              <w:rPr>
                <w:rFonts w:eastAsia="Calibri"/>
                <w:b/>
                <w:sz w:val="20"/>
                <w:szCs w:val="20"/>
              </w:rPr>
            </w:pPr>
            <w:r>
              <w:rPr>
                <w:rFonts w:eastAsia="Calibri"/>
                <w:b/>
                <w:sz w:val="20"/>
                <w:szCs w:val="20"/>
              </w:rPr>
              <w:t>Average Burden Hours &amp; Cost Per Response</w:t>
            </w:r>
          </w:p>
          <w:p w14:paraId="5EB3BFEF" w14:textId="77777777" w:rsidR="00A11F38" w:rsidRDefault="00A11F38" w:rsidP="005C71B2">
            <w:pPr>
              <w:jc w:val="center"/>
              <w:rPr>
                <w:rFonts w:eastAsia="Calibri"/>
                <w:b/>
                <w:sz w:val="20"/>
                <w:szCs w:val="20"/>
              </w:rPr>
            </w:pPr>
            <w:r>
              <w:rPr>
                <w:rFonts w:eastAsia="Calibri"/>
                <w:b/>
                <w:sz w:val="20"/>
                <w:szCs w:val="20"/>
              </w:rPr>
              <w:t>(4)</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0D7269E" w14:textId="77777777" w:rsidR="00A11F38" w:rsidRDefault="00A11F38" w:rsidP="005C71B2">
            <w:pPr>
              <w:jc w:val="center"/>
              <w:rPr>
                <w:rFonts w:eastAsia="Calibri"/>
                <w:b/>
                <w:sz w:val="20"/>
                <w:szCs w:val="20"/>
              </w:rPr>
            </w:pPr>
            <w:r>
              <w:rPr>
                <w:rFonts w:eastAsia="Calibri"/>
                <w:b/>
                <w:sz w:val="20"/>
                <w:szCs w:val="20"/>
              </w:rPr>
              <w:t>Total Annual Burden Hours &amp; Total Annual Cost</w:t>
            </w:r>
          </w:p>
          <w:p w14:paraId="48F1395D" w14:textId="77777777" w:rsidR="00A11F38" w:rsidRDefault="00A11F38" w:rsidP="005C71B2">
            <w:pPr>
              <w:jc w:val="center"/>
              <w:rPr>
                <w:rFonts w:eastAsia="Calibri"/>
                <w:b/>
                <w:sz w:val="20"/>
                <w:szCs w:val="20"/>
              </w:rPr>
            </w:pPr>
            <w:r>
              <w:rPr>
                <w:rFonts w:eastAsia="Calibri"/>
                <w:b/>
                <w:sz w:val="20"/>
                <w:szCs w:val="20"/>
              </w:rPr>
              <w:t>(3)*(4)=(5)</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3286F0" w14:textId="77777777" w:rsidR="00A11F38" w:rsidRDefault="00A11F38" w:rsidP="005C71B2">
            <w:pPr>
              <w:jc w:val="center"/>
              <w:rPr>
                <w:rFonts w:eastAsia="Calibri"/>
                <w:b/>
                <w:sz w:val="20"/>
                <w:szCs w:val="20"/>
              </w:rPr>
            </w:pPr>
            <w:r>
              <w:rPr>
                <w:rFonts w:eastAsia="Calibri"/>
                <w:b/>
                <w:sz w:val="20"/>
                <w:szCs w:val="20"/>
              </w:rPr>
              <w:t>Cost per Respondent</w:t>
            </w:r>
          </w:p>
          <w:p w14:paraId="526FA371" w14:textId="77777777" w:rsidR="00A11F38" w:rsidRDefault="00A11F38" w:rsidP="005C71B2">
            <w:pPr>
              <w:jc w:val="center"/>
              <w:rPr>
                <w:rFonts w:eastAsia="Calibri"/>
                <w:b/>
                <w:sz w:val="20"/>
                <w:szCs w:val="20"/>
              </w:rPr>
            </w:pPr>
            <w:r>
              <w:rPr>
                <w:rFonts w:eastAsia="Calibri"/>
                <w:b/>
                <w:sz w:val="20"/>
                <w:szCs w:val="20"/>
              </w:rPr>
              <w:t xml:space="preserve"> ($)</w:t>
            </w:r>
          </w:p>
          <w:p w14:paraId="1FDE025D" w14:textId="77777777" w:rsidR="00A11F38" w:rsidRDefault="00A11F38" w:rsidP="005C71B2">
            <w:pPr>
              <w:jc w:val="center"/>
              <w:rPr>
                <w:rFonts w:eastAsia="Calibri"/>
                <w:b/>
                <w:sz w:val="20"/>
                <w:szCs w:val="20"/>
              </w:rPr>
            </w:pPr>
            <w:r>
              <w:rPr>
                <w:rFonts w:eastAsia="Calibri"/>
                <w:b/>
                <w:sz w:val="20"/>
                <w:szCs w:val="20"/>
              </w:rPr>
              <w:t>(5)÷(1)</w:t>
            </w:r>
          </w:p>
        </w:tc>
      </w:tr>
      <w:tr w:rsidR="00A11F38" w14:paraId="5A9502B1" w14:textId="77777777" w:rsidTr="005C71B2">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573D7148" w14:textId="77777777" w:rsidR="00A11F38" w:rsidRDefault="00A11F38" w:rsidP="005C71B2">
            <w:pPr>
              <w:rPr>
                <w:rFonts w:eastAsia="Calibri"/>
                <w:sz w:val="20"/>
                <w:szCs w:val="20"/>
              </w:rPr>
            </w:pPr>
            <w:r>
              <w:rPr>
                <w:rFonts w:eastAsia="Calibri"/>
                <w:sz w:val="20"/>
                <w:szCs w:val="20"/>
              </w:rPr>
              <w:t>Purchasing-Selling Entities (e-Tag Authors)</w:t>
            </w:r>
          </w:p>
        </w:tc>
        <w:tc>
          <w:tcPr>
            <w:tcW w:w="699" w:type="pct"/>
            <w:tcBorders>
              <w:top w:val="single" w:sz="4" w:space="0" w:color="auto"/>
              <w:left w:val="single" w:sz="4" w:space="0" w:color="auto"/>
              <w:bottom w:val="single" w:sz="4" w:space="0" w:color="auto"/>
              <w:right w:val="single" w:sz="4" w:space="0" w:color="auto"/>
            </w:tcBorders>
            <w:vAlign w:val="bottom"/>
            <w:hideMark/>
          </w:tcPr>
          <w:p w14:paraId="6B2FB1BE" w14:textId="77777777" w:rsidR="00A11F38" w:rsidRDefault="00A11F38" w:rsidP="005C71B2">
            <w:pPr>
              <w:jc w:val="right"/>
              <w:rPr>
                <w:rFonts w:eastAsia="Calibri"/>
                <w:sz w:val="20"/>
                <w:szCs w:val="20"/>
              </w:rPr>
            </w:pPr>
            <w:r>
              <w:rPr>
                <w:rFonts w:eastAsia="Calibri"/>
                <w:sz w:val="20"/>
                <w:szCs w:val="20"/>
              </w:rPr>
              <w:t>355</w:t>
            </w:r>
          </w:p>
        </w:tc>
        <w:tc>
          <w:tcPr>
            <w:tcW w:w="748" w:type="pct"/>
            <w:tcBorders>
              <w:top w:val="single" w:sz="4" w:space="0" w:color="auto"/>
              <w:left w:val="single" w:sz="4" w:space="0" w:color="auto"/>
              <w:bottom w:val="single" w:sz="4" w:space="0" w:color="auto"/>
              <w:right w:val="single" w:sz="4" w:space="0" w:color="auto"/>
            </w:tcBorders>
            <w:vAlign w:val="bottom"/>
            <w:hideMark/>
          </w:tcPr>
          <w:p w14:paraId="1FC2B705" w14:textId="77777777" w:rsidR="00A11F38" w:rsidRDefault="00A11F38" w:rsidP="005C71B2">
            <w:pPr>
              <w:jc w:val="right"/>
              <w:rPr>
                <w:rFonts w:eastAsia="Calibri"/>
                <w:sz w:val="20"/>
                <w:szCs w:val="20"/>
              </w:rPr>
            </w:pPr>
            <w:r>
              <w:rPr>
                <w:rFonts w:eastAsia="Calibri"/>
                <w:sz w:val="20"/>
                <w:szCs w:val="20"/>
              </w:rPr>
              <w:t>4,482 (rounded)</w:t>
            </w:r>
          </w:p>
        </w:tc>
        <w:tc>
          <w:tcPr>
            <w:tcW w:w="606" w:type="pct"/>
            <w:tcBorders>
              <w:top w:val="single" w:sz="4" w:space="0" w:color="auto"/>
              <w:left w:val="single" w:sz="4" w:space="0" w:color="auto"/>
              <w:bottom w:val="single" w:sz="4" w:space="0" w:color="auto"/>
              <w:right w:val="single" w:sz="4" w:space="0" w:color="auto"/>
            </w:tcBorders>
            <w:vAlign w:val="bottom"/>
            <w:hideMark/>
          </w:tcPr>
          <w:p w14:paraId="0BF3EB00" w14:textId="77777777" w:rsidR="00A11F38" w:rsidRDefault="00A11F38" w:rsidP="005C71B2">
            <w:pPr>
              <w:jc w:val="right"/>
              <w:rPr>
                <w:rFonts w:eastAsia="Calibri"/>
                <w:sz w:val="20"/>
                <w:szCs w:val="20"/>
              </w:rPr>
            </w:pPr>
            <w:r>
              <w:rPr>
                <w:rFonts w:eastAsia="Calibri"/>
                <w:sz w:val="20"/>
                <w:szCs w:val="20"/>
              </w:rPr>
              <w:t>1,591,208</w:t>
            </w:r>
          </w:p>
        </w:tc>
        <w:tc>
          <w:tcPr>
            <w:tcW w:w="654" w:type="pct"/>
            <w:tcBorders>
              <w:top w:val="single" w:sz="4" w:space="0" w:color="auto"/>
              <w:left w:val="single" w:sz="4" w:space="0" w:color="auto"/>
              <w:bottom w:val="single" w:sz="4" w:space="0" w:color="auto"/>
              <w:right w:val="single" w:sz="4" w:space="0" w:color="auto"/>
            </w:tcBorders>
            <w:vAlign w:val="bottom"/>
            <w:hideMark/>
          </w:tcPr>
          <w:p w14:paraId="278B0A9C" w14:textId="77777777" w:rsidR="00A11F38" w:rsidRDefault="00A11F38" w:rsidP="005C71B2">
            <w:pPr>
              <w:jc w:val="right"/>
              <w:rPr>
                <w:rFonts w:eastAsia="Calibri"/>
                <w:sz w:val="20"/>
                <w:szCs w:val="20"/>
              </w:rPr>
            </w:pPr>
            <w:r w:rsidRPr="002B59B2">
              <w:rPr>
                <w:rFonts w:eastAsia="Calibri"/>
                <w:sz w:val="20"/>
                <w:szCs w:val="20"/>
              </w:rPr>
              <w:t>Automatic, so 0 burden and cost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1C22D193" w14:textId="77777777" w:rsidR="00A11F38" w:rsidRDefault="00A11F38" w:rsidP="005C71B2">
            <w:pPr>
              <w:jc w:val="right"/>
              <w:rPr>
                <w:rFonts w:eastAsia="Calibri"/>
                <w:sz w:val="20"/>
                <w:szCs w:val="20"/>
              </w:rPr>
            </w:pPr>
            <w:r w:rsidRPr="002B59B2">
              <w:rPr>
                <w:rFonts w:eastAsia="Calibri"/>
                <w:sz w:val="20"/>
                <w:szCs w:val="20"/>
              </w:rPr>
              <w:t>Automatic, so 0 burden and cost</w:t>
            </w:r>
          </w:p>
        </w:tc>
        <w:tc>
          <w:tcPr>
            <w:tcW w:w="657" w:type="pct"/>
            <w:tcBorders>
              <w:top w:val="single" w:sz="4" w:space="0" w:color="auto"/>
              <w:left w:val="single" w:sz="4" w:space="0" w:color="auto"/>
              <w:bottom w:val="single" w:sz="4" w:space="0" w:color="auto"/>
              <w:right w:val="single" w:sz="4" w:space="0" w:color="auto"/>
            </w:tcBorders>
            <w:vAlign w:val="bottom"/>
            <w:hideMark/>
          </w:tcPr>
          <w:p w14:paraId="7ECEB224" w14:textId="77777777" w:rsidR="00A11F38" w:rsidRDefault="00A11F38" w:rsidP="005C71B2">
            <w:pPr>
              <w:jc w:val="right"/>
              <w:rPr>
                <w:rFonts w:eastAsia="Calibri"/>
                <w:sz w:val="20"/>
                <w:szCs w:val="20"/>
              </w:rPr>
            </w:pPr>
            <w:r w:rsidRPr="002B59B2">
              <w:rPr>
                <w:rFonts w:eastAsia="Calibri"/>
                <w:sz w:val="20"/>
                <w:szCs w:val="20"/>
              </w:rPr>
              <w:t>Automatic, so 0 burden and cost</w:t>
            </w:r>
          </w:p>
        </w:tc>
      </w:tr>
      <w:tr w:rsidR="00A11F38" w:rsidRPr="00922ED4" w14:paraId="076FD6F7" w14:textId="77777777" w:rsidTr="005C71B2">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219524A2" w14:textId="77777777" w:rsidR="00A11F38" w:rsidRDefault="00A11F38" w:rsidP="005C71B2">
            <w:pPr>
              <w:rPr>
                <w:rFonts w:eastAsia="Calibri"/>
                <w:sz w:val="20"/>
                <w:szCs w:val="20"/>
              </w:rPr>
            </w:pPr>
            <w:r>
              <w:rPr>
                <w:rFonts w:eastAsia="Calibri"/>
                <w:sz w:val="20"/>
                <w:szCs w:val="20"/>
              </w:rPr>
              <w:t>Balancing Authorities</w:t>
            </w:r>
          </w:p>
        </w:tc>
        <w:tc>
          <w:tcPr>
            <w:tcW w:w="699" w:type="pct"/>
            <w:tcBorders>
              <w:top w:val="single" w:sz="4" w:space="0" w:color="auto"/>
              <w:left w:val="single" w:sz="4" w:space="0" w:color="auto"/>
              <w:bottom w:val="single" w:sz="4" w:space="0" w:color="auto"/>
              <w:right w:val="single" w:sz="4" w:space="0" w:color="auto"/>
            </w:tcBorders>
            <w:vAlign w:val="bottom"/>
            <w:hideMark/>
          </w:tcPr>
          <w:p w14:paraId="71AB16A4" w14:textId="77777777" w:rsidR="00A11F38" w:rsidRDefault="00A11F38" w:rsidP="005C71B2">
            <w:pPr>
              <w:jc w:val="right"/>
              <w:rPr>
                <w:rFonts w:eastAsia="Calibri"/>
                <w:sz w:val="20"/>
                <w:szCs w:val="20"/>
              </w:rPr>
            </w:pPr>
            <w:r>
              <w:rPr>
                <w:rFonts w:eastAsia="Calibri"/>
                <w:sz w:val="20"/>
                <w:szCs w:val="20"/>
              </w:rPr>
              <w:t>81</w:t>
            </w:r>
          </w:p>
        </w:tc>
        <w:tc>
          <w:tcPr>
            <w:tcW w:w="748" w:type="pct"/>
            <w:tcBorders>
              <w:top w:val="single" w:sz="4" w:space="0" w:color="auto"/>
              <w:left w:val="single" w:sz="4" w:space="0" w:color="auto"/>
              <w:bottom w:val="single" w:sz="4" w:space="0" w:color="auto"/>
              <w:right w:val="single" w:sz="4" w:space="0" w:color="auto"/>
            </w:tcBorders>
            <w:vAlign w:val="bottom"/>
            <w:hideMark/>
          </w:tcPr>
          <w:p w14:paraId="4B908FD5" w14:textId="77777777" w:rsidR="00A11F38" w:rsidRDefault="00A11F38" w:rsidP="005C71B2">
            <w:pPr>
              <w:jc w:val="right"/>
              <w:rPr>
                <w:rFonts w:eastAsia="Calibri"/>
                <w:sz w:val="20"/>
                <w:szCs w:val="20"/>
              </w:rPr>
            </w:pPr>
            <w:r>
              <w:rPr>
                <w:rFonts w:eastAsia="Calibri"/>
                <w:sz w:val="20"/>
                <w:szCs w:val="20"/>
              </w:rPr>
              <w:t>19,645 (rounded)</w:t>
            </w:r>
          </w:p>
        </w:tc>
        <w:tc>
          <w:tcPr>
            <w:tcW w:w="606" w:type="pct"/>
            <w:tcBorders>
              <w:top w:val="single" w:sz="4" w:space="0" w:color="auto"/>
              <w:left w:val="single" w:sz="4" w:space="0" w:color="auto"/>
              <w:bottom w:val="single" w:sz="4" w:space="0" w:color="auto"/>
              <w:right w:val="single" w:sz="4" w:space="0" w:color="auto"/>
            </w:tcBorders>
            <w:vAlign w:val="bottom"/>
            <w:hideMark/>
          </w:tcPr>
          <w:p w14:paraId="03EABAC5" w14:textId="77777777" w:rsidR="00A11F38" w:rsidRDefault="00A11F38" w:rsidP="005C71B2">
            <w:pPr>
              <w:jc w:val="right"/>
              <w:rPr>
                <w:rFonts w:eastAsia="Calibri"/>
                <w:sz w:val="20"/>
                <w:szCs w:val="20"/>
              </w:rPr>
            </w:pPr>
            <w:r>
              <w:rPr>
                <w:rFonts w:eastAsia="Calibri"/>
                <w:sz w:val="20"/>
                <w:szCs w:val="20"/>
              </w:rPr>
              <w:t>1,591,208</w:t>
            </w:r>
          </w:p>
        </w:tc>
        <w:tc>
          <w:tcPr>
            <w:tcW w:w="654" w:type="pct"/>
            <w:tcBorders>
              <w:top w:val="single" w:sz="4" w:space="0" w:color="auto"/>
              <w:left w:val="single" w:sz="4" w:space="0" w:color="auto"/>
              <w:bottom w:val="single" w:sz="4" w:space="0" w:color="auto"/>
              <w:right w:val="single" w:sz="4" w:space="0" w:color="auto"/>
            </w:tcBorders>
            <w:vAlign w:val="bottom"/>
            <w:hideMark/>
          </w:tcPr>
          <w:p w14:paraId="5F0BC99E" w14:textId="77777777" w:rsidR="00A11F38" w:rsidRPr="00300233" w:rsidRDefault="00A11F38" w:rsidP="005C71B2">
            <w:pPr>
              <w:jc w:val="right"/>
              <w:rPr>
                <w:rFonts w:eastAsia="Calibri"/>
                <w:sz w:val="20"/>
                <w:szCs w:val="20"/>
              </w:rPr>
            </w:pPr>
            <w:r>
              <w:rPr>
                <w:rFonts w:eastAsia="Calibri"/>
                <w:sz w:val="20"/>
                <w:szCs w:val="20"/>
              </w:rPr>
              <w:t>Automatic, so 0 burden and cost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62429920" w14:textId="77777777" w:rsidR="00A11F38" w:rsidRPr="00922ED4" w:rsidRDefault="00A11F38" w:rsidP="005C71B2">
            <w:pPr>
              <w:jc w:val="right"/>
              <w:rPr>
                <w:rFonts w:eastAsia="Calibri"/>
                <w:sz w:val="20"/>
                <w:szCs w:val="20"/>
              </w:rPr>
            </w:pPr>
            <w:r w:rsidRPr="002B59B2">
              <w:rPr>
                <w:rFonts w:eastAsia="Calibri"/>
                <w:sz w:val="20"/>
                <w:szCs w:val="20"/>
              </w:rPr>
              <w:t>Automatic, so 0 burden and cost</w:t>
            </w:r>
          </w:p>
        </w:tc>
        <w:tc>
          <w:tcPr>
            <w:tcW w:w="657" w:type="pct"/>
            <w:tcBorders>
              <w:top w:val="single" w:sz="4" w:space="0" w:color="auto"/>
              <w:left w:val="single" w:sz="4" w:space="0" w:color="auto"/>
              <w:bottom w:val="single" w:sz="4" w:space="0" w:color="auto"/>
              <w:right w:val="single" w:sz="4" w:space="0" w:color="auto"/>
            </w:tcBorders>
            <w:vAlign w:val="bottom"/>
            <w:hideMark/>
          </w:tcPr>
          <w:p w14:paraId="2FF93B97" w14:textId="77777777" w:rsidR="00A11F38" w:rsidRPr="00922ED4" w:rsidRDefault="00A11F38" w:rsidP="005C71B2">
            <w:pPr>
              <w:jc w:val="right"/>
              <w:rPr>
                <w:rFonts w:eastAsia="Calibri"/>
                <w:sz w:val="20"/>
                <w:szCs w:val="20"/>
              </w:rPr>
            </w:pPr>
            <w:r w:rsidRPr="002B59B2">
              <w:rPr>
                <w:rFonts w:eastAsia="Calibri"/>
                <w:sz w:val="20"/>
                <w:szCs w:val="20"/>
              </w:rPr>
              <w:t>Automatic, so 0 burden and cost</w:t>
            </w:r>
          </w:p>
        </w:tc>
      </w:tr>
      <w:tr w:rsidR="00A11F38" w:rsidRPr="00922ED4" w14:paraId="7493066E" w14:textId="77777777" w:rsidTr="005C71B2">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689683AA" w14:textId="77777777" w:rsidR="00A11F38" w:rsidRDefault="00A11F38" w:rsidP="005C71B2">
            <w:pPr>
              <w:rPr>
                <w:rFonts w:eastAsia="Calibri"/>
                <w:sz w:val="20"/>
                <w:szCs w:val="20"/>
              </w:rPr>
            </w:pPr>
            <w:r>
              <w:rPr>
                <w:rFonts w:eastAsia="Calibri"/>
                <w:sz w:val="20"/>
                <w:szCs w:val="20"/>
              </w:rPr>
              <w:t>New Balancing Authority [as noted above]</w:t>
            </w:r>
          </w:p>
        </w:tc>
        <w:tc>
          <w:tcPr>
            <w:tcW w:w="699" w:type="pct"/>
            <w:tcBorders>
              <w:top w:val="single" w:sz="4" w:space="0" w:color="auto"/>
              <w:left w:val="single" w:sz="4" w:space="0" w:color="auto"/>
              <w:bottom w:val="single" w:sz="4" w:space="0" w:color="auto"/>
              <w:right w:val="single" w:sz="4" w:space="0" w:color="auto"/>
            </w:tcBorders>
            <w:vAlign w:val="bottom"/>
            <w:hideMark/>
          </w:tcPr>
          <w:p w14:paraId="71460AF7" w14:textId="77777777" w:rsidR="00A11F38" w:rsidRDefault="00A11F38" w:rsidP="005C71B2">
            <w:pPr>
              <w:jc w:val="right"/>
              <w:rPr>
                <w:rFonts w:eastAsia="Calibri"/>
                <w:sz w:val="20"/>
                <w:szCs w:val="20"/>
              </w:rPr>
            </w:pPr>
            <w:r>
              <w:rPr>
                <w:rFonts w:eastAsia="Calibri"/>
                <w:sz w:val="20"/>
                <w:szCs w:val="20"/>
              </w:rPr>
              <w:t>1</w:t>
            </w:r>
          </w:p>
        </w:tc>
        <w:tc>
          <w:tcPr>
            <w:tcW w:w="748" w:type="pct"/>
            <w:tcBorders>
              <w:top w:val="single" w:sz="4" w:space="0" w:color="auto"/>
              <w:left w:val="single" w:sz="4" w:space="0" w:color="auto"/>
              <w:bottom w:val="single" w:sz="4" w:space="0" w:color="auto"/>
              <w:right w:val="single" w:sz="4" w:space="0" w:color="auto"/>
            </w:tcBorders>
            <w:vAlign w:val="bottom"/>
            <w:hideMark/>
          </w:tcPr>
          <w:p w14:paraId="271F8963" w14:textId="77777777" w:rsidR="00A11F38" w:rsidRDefault="00A11F38" w:rsidP="005C71B2">
            <w:pPr>
              <w:jc w:val="right"/>
              <w:rPr>
                <w:rFonts w:eastAsia="Calibri"/>
                <w:sz w:val="20"/>
                <w:szCs w:val="20"/>
              </w:rPr>
            </w:pPr>
            <w:r>
              <w:rPr>
                <w:rFonts w:eastAsia="Calibri"/>
                <w:sz w:val="20"/>
                <w:szCs w:val="20"/>
              </w:rPr>
              <w:t>1</w:t>
            </w:r>
          </w:p>
        </w:tc>
        <w:tc>
          <w:tcPr>
            <w:tcW w:w="606" w:type="pct"/>
            <w:tcBorders>
              <w:top w:val="single" w:sz="4" w:space="0" w:color="auto"/>
              <w:left w:val="single" w:sz="4" w:space="0" w:color="auto"/>
              <w:bottom w:val="single" w:sz="4" w:space="0" w:color="auto"/>
              <w:right w:val="single" w:sz="4" w:space="0" w:color="auto"/>
            </w:tcBorders>
            <w:vAlign w:val="bottom"/>
            <w:hideMark/>
          </w:tcPr>
          <w:p w14:paraId="7FE664EA" w14:textId="77777777" w:rsidR="00A11F38" w:rsidRDefault="00A11F38" w:rsidP="005C71B2">
            <w:pPr>
              <w:jc w:val="right"/>
              <w:rPr>
                <w:rFonts w:eastAsia="Calibri"/>
                <w:sz w:val="20"/>
                <w:szCs w:val="20"/>
              </w:rPr>
            </w:pPr>
            <w:r>
              <w:rPr>
                <w:rFonts w:eastAsia="Calibri"/>
                <w:sz w:val="20"/>
                <w:szCs w:val="20"/>
              </w:rPr>
              <w:t>1</w:t>
            </w:r>
          </w:p>
        </w:tc>
        <w:tc>
          <w:tcPr>
            <w:tcW w:w="654" w:type="pct"/>
            <w:tcBorders>
              <w:top w:val="single" w:sz="4" w:space="0" w:color="auto"/>
              <w:left w:val="single" w:sz="4" w:space="0" w:color="auto"/>
              <w:bottom w:val="single" w:sz="4" w:space="0" w:color="auto"/>
              <w:right w:val="single" w:sz="4" w:space="0" w:color="auto"/>
            </w:tcBorders>
            <w:vAlign w:val="bottom"/>
            <w:hideMark/>
          </w:tcPr>
          <w:p w14:paraId="44BA6FED" w14:textId="77777777" w:rsidR="00A11F38" w:rsidRPr="00300233" w:rsidRDefault="00A11F38" w:rsidP="005C71B2">
            <w:pPr>
              <w:jc w:val="right"/>
              <w:rPr>
                <w:rFonts w:eastAsia="Calibri"/>
                <w:sz w:val="20"/>
                <w:szCs w:val="20"/>
              </w:rPr>
            </w:pPr>
            <w:r w:rsidRPr="00300233">
              <w:rPr>
                <w:rFonts w:eastAsia="Calibri"/>
                <w:sz w:val="20"/>
                <w:szCs w:val="20"/>
              </w:rPr>
              <w:t xml:space="preserve">1 hr.; </w:t>
            </w:r>
            <w:r>
              <w:rPr>
                <w:rFonts w:eastAsia="Calibri"/>
                <w:sz w:val="20"/>
                <w:szCs w:val="20"/>
              </w:rPr>
              <w:t xml:space="preserve"> </w:t>
            </w:r>
            <w:r w:rsidRPr="00300233">
              <w:rPr>
                <w:rFonts w:eastAsia="Calibri"/>
                <w:sz w:val="20"/>
                <w:szCs w:val="20"/>
              </w:rPr>
              <w:t>$</w:t>
            </w:r>
            <w:r w:rsidRPr="00922ED4">
              <w:rPr>
                <w:rFonts w:eastAsia="Calibri"/>
                <w:sz w:val="20"/>
                <w:szCs w:val="20"/>
              </w:rPr>
              <w:t>65.68</w:t>
            </w:r>
          </w:p>
        </w:tc>
        <w:tc>
          <w:tcPr>
            <w:tcW w:w="842" w:type="pct"/>
            <w:tcBorders>
              <w:top w:val="single" w:sz="4" w:space="0" w:color="auto"/>
              <w:left w:val="single" w:sz="4" w:space="0" w:color="auto"/>
              <w:bottom w:val="single" w:sz="4" w:space="0" w:color="auto"/>
              <w:right w:val="single" w:sz="4" w:space="0" w:color="auto"/>
            </w:tcBorders>
            <w:vAlign w:val="bottom"/>
            <w:hideMark/>
          </w:tcPr>
          <w:p w14:paraId="3F64A7F2" w14:textId="77777777" w:rsidR="00A11F38" w:rsidRPr="00300233" w:rsidRDefault="00A11F38" w:rsidP="005C71B2">
            <w:pPr>
              <w:jc w:val="right"/>
              <w:rPr>
                <w:rFonts w:eastAsia="Calibri"/>
                <w:sz w:val="20"/>
                <w:szCs w:val="20"/>
              </w:rPr>
            </w:pPr>
            <w:r w:rsidRPr="00922ED4">
              <w:rPr>
                <w:rFonts w:eastAsia="Calibri"/>
                <w:sz w:val="20"/>
                <w:szCs w:val="20"/>
              </w:rPr>
              <w:t>1 hr.; $65.68</w:t>
            </w:r>
            <w:r w:rsidRPr="00300233">
              <w:rPr>
                <w:rFonts w:eastAsia="Calibri"/>
                <w:sz w:val="20"/>
                <w:szCs w:val="20"/>
              </w:rPr>
              <w:t xml:space="preserve"> </w:t>
            </w:r>
          </w:p>
        </w:tc>
        <w:tc>
          <w:tcPr>
            <w:tcW w:w="657" w:type="pct"/>
            <w:tcBorders>
              <w:top w:val="single" w:sz="4" w:space="0" w:color="auto"/>
              <w:left w:val="single" w:sz="4" w:space="0" w:color="auto"/>
              <w:bottom w:val="single" w:sz="4" w:space="0" w:color="auto"/>
              <w:right w:val="single" w:sz="4" w:space="0" w:color="auto"/>
            </w:tcBorders>
            <w:vAlign w:val="bottom"/>
            <w:hideMark/>
          </w:tcPr>
          <w:p w14:paraId="138BC862" w14:textId="77777777" w:rsidR="00A11F38" w:rsidRPr="00300233" w:rsidRDefault="00A11F38" w:rsidP="005C71B2">
            <w:pPr>
              <w:jc w:val="right"/>
              <w:rPr>
                <w:rFonts w:eastAsia="Calibri"/>
                <w:sz w:val="20"/>
                <w:szCs w:val="20"/>
              </w:rPr>
            </w:pPr>
            <w:r w:rsidRPr="00300233">
              <w:rPr>
                <w:rFonts w:eastAsia="Calibri"/>
                <w:sz w:val="20"/>
                <w:szCs w:val="20"/>
              </w:rPr>
              <w:t>$</w:t>
            </w:r>
            <w:r w:rsidRPr="00922ED4">
              <w:rPr>
                <w:rFonts w:eastAsia="Calibri"/>
                <w:sz w:val="20"/>
                <w:szCs w:val="20"/>
              </w:rPr>
              <w:t>65.68</w:t>
            </w:r>
          </w:p>
        </w:tc>
      </w:tr>
      <w:tr w:rsidR="00A11F38" w:rsidRPr="00922ED4" w14:paraId="5873B252" w14:textId="77777777" w:rsidTr="005C71B2">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476A97F5" w14:textId="77777777" w:rsidR="00A11F38" w:rsidRDefault="00A11F38" w:rsidP="005C71B2">
            <w:pPr>
              <w:rPr>
                <w:rFonts w:eastAsia="Calibri"/>
                <w:b/>
                <w:sz w:val="20"/>
                <w:szCs w:val="20"/>
              </w:rPr>
            </w:pPr>
            <w:r>
              <w:rPr>
                <w:rFonts w:eastAsia="Calibri"/>
                <w:b/>
                <w:sz w:val="20"/>
                <w:szCs w:val="20"/>
              </w:rPr>
              <w:t>Total</w:t>
            </w:r>
          </w:p>
        </w:tc>
        <w:tc>
          <w:tcPr>
            <w:tcW w:w="27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F545E5B" w14:textId="77777777" w:rsidR="00A11F38" w:rsidRPr="00300233" w:rsidRDefault="00A11F38" w:rsidP="005C71B2">
            <w:pPr>
              <w:jc w:val="right"/>
              <w:rPr>
                <w:rFonts w:eastAsia="Calibri"/>
                <w:sz w:val="20"/>
                <w:szCs w:val="20"/>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42B4A66B" w14:textId="77777777" w:rsidR="00A11F38" w:rsidRPr="00300233" w:rsidRDefault="00A11F38" w:rsidP="005C71B2">
            <w:pPr>
              <w:jc w:val="right"/>
              <w:rPr>
                <w:rFonts w:eastAsia="Calibri"/>
                <w:sz w:val="20"/>
                <w:szCs w:val="20"/>
              </w:rPr>
            </w:pPr>
            <w:r w:rsidRPr="00922ED4">
              <w:rPr>
                <w:rFonts w:eastAsia="Calibri"/>
                <w:sz w:val="20"/>
                <w:szCs w:val="20"/>
              </w:rPr>
              <w:t>1 hr.; $65.68</w:t>
            </w:r>
          </w:p>
        </w:tc>
        <w:tc>
          <w:tcPr>
            <w:tcW w:w="657" w:type="pct"/>
            <w:tcBorders>
              <w:top w:val="single" w:sz="4" w:space="0" w:color="auto"/>
              <w:left w:val="single" w:sz="4" w:space="0" w:color="auto"/>
              <w:bottom w:val="single" w:sz="4" w:space="0" w:color="auto"/>
              <w:right w:val="single" w:sz="4" w:space="0" w:color="auto"/>
            </w:tcBorders>
            <w:vAlign w:val="bottom"/>
            <w:hideMark/>
          </w:tcPr>
          <w:p w14:paraId="27613D26" w14:textId="77777777" w:rsidR="00A11F38" w:rsidRPr="00300233" w:rsidRDefault="00A11F38" w:rsidP="005C71B2">
            <w:pPr>
              <w:jc w:val="right"/>
              <w:rPr>
                <w:rFonts w:eastAsia="Calibri"/>
                <w:sz w:val="20"/>
                <w:szCs w:val="20"/>
              </w:rPr>
            </w:pPr>
            <w:r w:rsidRPr="00300233">
              <w:rPr>
                <w:rFonts w:eastAsia="Calibri"/>
                <w:sz w:val="20"/>
                <w:szCs w:val="20"/>
              </w:rPr>
              <w:t>$6</w:t>
            </w:r>
            <w:r w:rsidRPr="00922ED4">
              <w:rPr>
                <w:rFonts w:eastAsia="Calibri"/>
                <w:sz w:val="20"/>
                <w:szCs w:val="20"/>
              </w:rPr>
              <w:t>5.68</w:t>
            </w:r>
          </w:p>
        </w:tc>
      </w:tr>
    </w:tbl>
    <w:p w14:paraId="54A2E553" w14:textId="77777777" w:rsidR="00D42209" w:rsidRDefault="00D42209" w:rsidP="00D42209">
      <w:pPr>
        <w:spacing w:after="160" w:line="259" w:lineRule="auto"/>
      </w:pPr>
    </w:p>
    <w:p w14:paraId="6ED19215" w14:textId="17CF66AB"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137CE" w14:textId="77777777" w:rsidR="003069E4" w:rsidRDefault="003069E4" w:rsidP="00B01B16">
      <w:r>
        <w:separator/>
      </w:r>
    </w:p>
  </w:endnote>
  <w:endnote w:type="continuationSeparator" w:id="0">
    <w:p w14:paraId="06698B87" w14:textId="77777777" w:rsidR="003069E4" w:rsidRDefault="003069E4"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EA961" w14:textId="77777777" w:rsidR="003069E4" w:rsidRDefault="003069E4" w:rsidP="00B01B16">
      <w:r>
        <w:separator/>
      </w:r>
    </w:p>
  </w:footnote>
  <w:footnote w:type="continuationSeparator" w:id="0">
    <w:p w14:paraId="3E8CEAEA" w14:textId="77777777" w:rsidR="003069E4" w:rsidRDefault="003069E4" w:rsidP="00B01B16">
      <w:r>
        <w:continuationSeparator/>
      </w:r>
    </w:p>
  </w:footnote>
  <w:footnote w:id="1">
    <w:p w14:paraId="0EF05E71" w14:textId="77777777" w:rsidR="00A11F38" w:rsidRPr="002769F2" w:rsidRDefault="00A11F38" w:rsidP="00A11F38">
      <w:pPr>
        <w:pStyle w:val="FootnoteText"/>
        <w:rPr>
          <w:sz w:val="26"/>
          <w:szCs w:val="26"/>
        </w:rPr>
      </w:pPr>
      <w:r w:rsidRPr="002769F2">
        <w:rPr>
          <w:rStyle w:val="FootnoteReference"/>
        </w:rPr>
        <w:footnoteRef/>
      </w:r>
      <w:r w:rsidRPr="002769F2">
        <w:rPr>
          <w:sz w:val="26"/>
          <w:szCs w:val="26"/>
        </w:rPr>
        <w:t xml:space="preserve"> Order 771 was issued in Docket No. RM11-12 (77 FR 76367, 12/28/2012). </w:t>
      </w:r>
    </w:p>
  </w:footnote>
  <w:footnote w:id="2">
    <w:p w14:paraId="3663D471" w14:textId="77777777" w:rsidR="00A11F38" w:rsidRPr="002769F2" w:rsidRDefault="00A11F38" w:rsidP="00A11F38">
      <w:pPr>
        <w:pStyle w:val="FootnoteText"/>
        <w:rPr>
          <w:sz w:val="26"/>
          <w:szCs w:val="26"/>
        </w:rPr>
      </w:pPr>
      <w:r w:rsidRPr="002769F2">
        <w:rPr>
          <w:rStyle w:val="FootnoteReference"/>
        </w:rPr>
        <w:footnoteRef/>
      </w:r>
      <w:r w:rsidRPr="002769F2">
        <w:rPr>
          <w:sz w:val="26"/>
          <w:szCs w:val="26"/>
        </w:rPr>
        <w:t xml:space="preserve"> A Purchasing-Selling Entity is the entity that purchases or sells, and takes title to, energy, capacity, and Interconnected Operations Services.  Purchasing-Selling Entities may be affiliated or unaffiliated merchants and may or may not own generating facilities.  Purchasing-Selling Entities are typically E-Tag Authors.</w:t>
      </w:r>
    </w:p>
  </w:footnote>
  <w:footnote w:id="3">
    <w:p w14:paraId="2ED9C027" w14:textId="77777777" w:rsidR="00A11F38" w:rsidRPr="002769F2" w:rsidRDefault="00A11F38" w:rsidP="00A11F38">
      <w:pPr>
        <w:pStyle w:val="FootnoteText"/>
        <w:rPr>
          <w:sz w:val="26"/>
          <w:szCs w:val="26"/>
        </w:rPr>
      </w:pPr>
      <w:r w:rsidRPr="002769F2">
        <w:rPr>
          <w:rStyle w:val="FootnoteReference"/>
        </w:rPr>
        <w:footnoteRef/>
      </w:r>
      <w:r w:rsidRPr="002769F2">
        <w:rPr>
          <w:sz w:val="26"/>
          <w:szCs w:val="26"/>
        </w:rPr>
        <w:t xml:space="preserve"> </w:t>
      </w:r>
      <w:r w:rsidRPr="002769F2">
        <w:rPr>
          <w:i/>
          <w:sz w:val="26"/>
          <w:szCs w:val="26"/>
        </w:rPr>
        <w:t>NAESB Electronic Tagging Functional Specifications, Version 1.8.2.</w:t>
      </w:r>
      <w:r w:rsidRPr="002769F2">
        <w:rPr>
          <w:sz w:val="26"/>
          <w:szCs w:val="26"/>
        </w:rPr>
        <w:t xml:space="preserve"> </w:t>
      </w:r>
    </w:p>
  </w:footnote>
  <w:footnote w:id="4">
    <w:p w14:paraId="47BF19A8" w14:textId="7028BDFD" w:rsidR="00A11F38" w:rsidRPr="002769F2" w:rsidRDefault="00A11F38" w:rsidP="00A11F38">
      <w:pPr>
        <w:pStyle w:val="FootnoteText"/>
        <w:rPr>
          <w:sz w:val="26"/>
          <w:szCs w:val="26"/>
        </w:rPr>
      </w:pPr>
      <w:r w:rsidRPr="002769F2">
        <w:rPr>
          <w:rStyle w:val="FootnoteReference"/>
        </w:rPr>
        <w:footnoteRef/>
      </w:r>
      <w:r w:rsidRPr="002769F2">
        <w:rPr>
          <w:sz w:val="26"/>
          <w:szCs w:val="26"/>
        </w:rPr>
        <w:t xml:space="preserve"> The estimated hourly cost (wages plus benefits) provided in this section is based on the figures for May 2017 posted by the Bureau of Labor Statistics for the Utilities sector (available at https://www.bls.gov/oes/current/naics2_22.htm), assuming</w:t>
      </w:r>
      <w:r w:rsidR="007C544E">
        <w:rPr>
          <w:sz w:val="26"/>
          <w:szCs w:val="26"/>
        </w:rPr>
        <w:t xml:space="preserve"> (a) </w:t>
      </w:r>
      <w:r w:rsidRPr="002769F2">
        <w:rPr>
          <w:sz w:val="26"/>
          <w:szCs w:val="26"/>
        </w:rPr>
        <w:t>15 minutes legal (code 23-0000), at $143.68/hour</w:t>
      </w:r>
      <w:r w:rsidR="007C544E">
        <w:rPr>
          <w:sz w:val="26"/>
          <w:szCs w:val="26"/>
        </w:rPr>
        <w:t xml:space="preserve">, and (b) </w:t>
      </w:r>
      <w:r w:rsidRPr="002769F2">
        <w:rPr>
          <w:sz w:val="26"/>
          <w:szCs w:val="26"/>
        </w:rPr>
        <w:t>45 minutes information and record clerk (code 43-4199), at $39.68/hour.</w:t>
      </w:r>
    </w:p>
  </w:footnote>
  <w:footnote w:id="5">
    <w:p w14:paraId="09482BFC" w14:textId="77777777" w:rsidR="00A11F38" w:rsidRPr="002769F2" w:rsidRDefault="00A11F38" w:rsidP="00A11F38">
      <w:pPr>
        <w:pStyle w:val="FootnoteText"/>
        <w:rPr>
          <w:sz w:val="26"/>
          <w:szCs w:val="26"/>
        </w:rPr>
      </w:pPr>
      <w:r w:rsidRPr="002769F2">
        <w:rPr>
          <w:rStyle w:val="FootnoteReference"/>
        </w:rPr>
        <w:footnoteRef/>
      </w:r>
      <w:r w:rsidRPr="002769F2">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Part 1320.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6DDFB62C" w:rsidR="00810D18" w:rsidRDefault="00810D18" w:rsidP="00810D18">
    <w:pPr>
      <w:pStyle w:val="Header"/>
    </w:pPr>
    <w:r>
      <w:t xml:space="preserve">Docket No. </w:t>
    </w:r>
    <w:r w:rsidR="00105EF3">
      <w:t>IC19-18-000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3ABE">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59B6"/>
    <w:rsid w:val="00050AC1"/>
    <w:rsid w:val="00056C5D"/>
    <w:rsid w:val="00062427"/>
    <w:rsid w:val="000A0250"/>
    <w:rsid w:val="000A7E68"/>
    <w:rsid w:val="000B3ABE"/>
    <w:rsid w:val="000C1912"/>
    <w:rsid w:val="000E2568"/>
    <w:rsid w:val="001010B8"/>
    <w:rsid w:val="00105EF3"/>
    <w:rsid w:val="00130E98"/>
    <w:rsid w:val="0015578A"/>
    <w:rsid w:val="00156BBB"/>
    <w:rsid w:val="001600DF"/>
    <w:rsid w:val="00171725"/>
    <w:rsid w:val="00181BF7"/>
    <w:rsid w:val="001A6AD6"/>
    <w:rsid w:val="001B78B8"/>
    <w:rsid w:val="001E6510"/>
    <w:rsid w:val="00224BF2"/>
    <w:rsid w:val="0027452E"/>
    <w:rsid w:val="00293D56"/>
    <w:rsid w:val="002B7AA8"/>
    <w:rsid w:val="002D5237"/>
    <w:rsid w:val="002E0351"/>
    <w:rsid w:val="002F24E8"/>
    <w:rsid w:val="002F697A"/>
    <w:rsid w:val="003060F0"/>
    <w:rsid w:val="003069E4"/>
    <w:rsid w:val="00311D90"/>
    <w:rsid w:val="003149BC"/>
    <w:rsid w:val="003316DE"/>
    <w:rsid w:val="0034195C"/>
    <w:rsid w:val="00347056"/>
    <w:rsid w:val="00353D84"/>
    <w:rsid w:val="00361371"/>
    <w:rsid w:val="00363638"/>
    <w:rsid w:val="003673EC"/>
    <w:rsid w:val="00376525"/>
    <w:rsid w:val="003960E0"/>
    <w:rsid w:val="003A1A72"/>
    <w:rsid w:val="003A3189"/>
    <w:rsid w:val="003C3E7A"/>
    <w:rsid w:val="003C7BC3"/>
    <w:rsid w:val="003E44AD"/>
    <w:rsid w:val="0040718A"/>
    <w:rsid w:val="0042358C"/>
    <w:rsid w:val="00443282"/>
    <w:rsid w:val="0045734B"/>
    <w:rsid w:val="004759C4"/>
    <w:rsid w:val="00485A51"/>
    <w:rsid w:val="0049480F"/>
    <w:rsid w:val="004C70C8"/>
    <w:rsid w:val="004C77EF"/>
    <w:rsid w:val="004D27A2"/>
    <w:rsid w:val="004F26DA"/>
    <w:rsid w:val="00513DA8"/>
    <w:rsid w:val="00514B50"/>
    <w:rsid w:val="00516493"/>
    <w:rsid w:val="0054073B"/>
    <w:rsid w:val="0054746C"/>
    <w:rsid w:val="00585F73"/>
    <w:rsid w:val="005A0148"/>
    <w:rsid w:val="005A2F24"/>
    <w:rsid w:val="005A3F56"/>
    <w:rsid w:val="005B4DA4"/>
    <w:rsid w:val="005C6D4E"/>
    <w:rsid w:val="005C71B2"/>
    <w:rsid w:val="005D16A1"/>
    <w:rsid w:val="005E6D8A"/>
    <w:rsid w:val="005F3DAA"/>
    <w:rsid w:val="005F726F"/>
    <w:rsid w:val="006128A5"/>
    <w:rsid w:val="006144F3"/>
    <w:rsid w:val="006168A6"/>
    <w:rsid w:val="00634374"/>
    <w:rsid w:val="00637F43"/>
    <w:rsid w:val="00642602"/>
    <w:rsid w:val="00644A1B"/>
    <w:rsid w:val="00650FA1"/>
    <w:rsid w:val="006536D8"/>
    <w:rsid w:val="00654BA4"/>
    <w:rsid w:val="00680D78"/>
    <w:rsid w:val="00695E65"/>
    <w:rsid w:val="006963BC"/>
    <w:rsid w:val="006A34AE"/>
    <w:rsid w:val="006A423E"/>
    <w:rsid w:val="006C6B0C"/>
    <w:rsid w:val="006E10F4"/>
    <w:rsid w:val="006E75AA"/>
    <w:rsid w:val="006E7CBB"/>
    <w:rsid w:val="00714F57"/>
    <w:rsid w:val="00727C5E"/>
    <w:rsid w:val="00741C80"/>
    <w:rsid w:val="0075009F"/>
    <w:rsid w:val="00762C42"/>
    <w:rsid w:val="00782ACA"/>
    <w:rsid w:val="0078795F"/>
    <w:rsid w:val="007B588C"/>
    <w:rsid w:val="007C1916"/>
    <w:rsid w:val="007C544E"/>
    <w:rsid w:val="007C6AC2"/>
    <w:rsid w:val="007C729C"/>
    <w:rsid w:val="00802E9C"/>
    <w:rsid w:val="00803CA2"/>
    <w:rsid w:val="00806DF9"/>
    <w:rsid w:val="00807CAC"/>
    <w:rsid w:val="00810D18"/>
    <w:rsid w:val="008115BF"/>
    <w:rsid w:val="00812B30"/>
    <w:rsid w:val="0081740E"/>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900CF7"/>
    <w:rsid w:val="009179E9"/>
    <w:rsid w:val="00937284"/>
    <w:rsid w:val="00940C0F"/>
    <w:rsid w:val="0095311D"/>
    <w:rsid w:val="0095433E"/>
    <w:rsid w:val="00954CCB"/>
    <w:rsid w:val="009744C8"/>
    <w:rsid w:val="00981886"/>
    <w:rsid w:val="00990FEC"/>
    <w:rsid w:val="009A1B08"/>
    <w:rsid w:val="009A6E91"/>
    <w:rsid w:val="009B4450"/>
    <w:rsid w:val="009C25C4"/>
    <w:rsid w:val="009C4A13"/>
    <w:rsid w:val="009E5557"/>
    <w:rsid w:val="009E66F8"/>
    <w:rsid w:val="009F7DE3"/>
    <w:rsid w:val="00A038F9"/>
    <w:rsid w:val="00A11F38"/>
    <w:rsid w:val="00A2604E"/>
    <w:rsid w:val="00A43A4A"/>
    <w:rsid w:val="00A46582"/>
    <w:rsid w:val="00A507F0"/>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07507"/>
    <w:rsid w:val="00B22DCB"/>
    <w:rsid w:val="00B447D7"/>
    <w:rsid w:val="00B46F03"/>
    <w:rsid w:val="00B5066A"/>
    <w:rsid w:val="00B56882"/>
    <w:rsid w:val="00B56B54"/>
    <w:rsid w:val="00B65A09"/>
    <w:rsid w:val="00B72C7A"/>
    <w:rsid w:val="00B76A1F"/>
    <w:rsid w:val="00B82F8C"/>
    <w:rsid w:val="00BA0FBC"/>
    <w:rsid w:val="00BA5479"/>
    <w:rsid w:val="00BB7D82"/>
    <w:rsid w:val="00BC200B"/>
    <w:rsid w:val="00BD74AE"/>
    <w:rsid w:val="00BE3FE7"/>
    <w:rsid w:val="00BF29D8"/>
    <w:rsid w:val="00BF2D74"/>
    <w:rsid w:val="00BF38BC"/>
    <w:rsid w:val="00BF4CC8"/>
    <w:rsid w:val="00C028E0"/>
    <w:rsid w:val="00C1124F"/>
    <w:rsid w:val="00C37BFF"/>
    <w:rsid w:val="00C51458"/>
    <w:rsid w:val="00C53580"/>
    <w:rsid w:val="00C55838"/>
    <w:rsid w:val="00C728C5"/>
    <w:rsid w:val="00C77EF7"/>
    <w:rsid w:val="00C81A97"/>
    <w:rsid w:val="00C820F1"/>
    <w:rsid w:val="00C91512"/>
    <w:rsid w:val="00CA6636"/>
    <w:rsid w:val="00CA6D76"/>
    <w:rsid w:val="00CC428E"/>
    <w:rsid w:val="00CD37C7"/>
    <w:rsid w:val="00CD57EB"/>
    <w:rsid w:val="00CD5C97"/>
    <w:rsid w:val="00CD786C"/>
    <w:rsid w:val="00CE3598"/>
    <w:rsid w:val="00CF4753"/>
    <w:rsid w:val="00CF71E0"/>
    <w:rsid w:val="00D0083B"/>
    <w:rsid w:val="00D42209"/>
    <w:rsid w:val="00D44183"/>
    <w:rsid w:val="00D96BCF"/>
    <w:rsid w:val="00D9761F"/>
    <w:rsid w:val="00DA529F"/>
    <w:rsid w:val="00DC5017"/>
    <w:rsid w:val="00DD2ED3"/>
    <w:rsid w:val="00DD7F1B"/>
    <w:rsid w:val="00E024B6"/>
    <w:rsid w:val="00E13A02"/>
    <w:rsid w:val="00E34382"/>
    <w:rsid w:val="00E41DB9"/>
    <w:rsid w:val="00E628F0"/>
    <w:rsid w:val="00E762BB"/>
    <w:rsid w:val="00E77B33"/>
    <w:rsid w:val="00E8661B"/>
    <w:rsid w:val="00EA689F"/>
    <w:rsid w:val="00EF2866"/>
    <w:rsid w:val="00EF33BE"/>
    <w:rsid w:val="00F0383C"/>
    <w:rsid w:val="00F10B2F"/>
    <w:rsid w:val="00F11631"/>
    <w:rsid w:val="00F24AB0"/>
    <w:rsid w:val="00F309CB"/>
    <w:rsid w:val="00F44A0E"/>
    <w:rsid w:val="00F67C27"/>
    <w:rsid w:val="00F7642D"/>
    <w:rsid w:val="00F8646E"/>
    <w:rsid w:val="00F9675E"/>
    <w:rsid w:val="00FB283A"/>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740</_x0031__x002e__x0020_Collection_x0020_Number>
    <Date xmlns="d6eefc7d-9817-4fa6-84d5-3bc009be21b8">2019-05-22T00:00:00-04:00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IC19-18</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60702FB0-2C7D-4590-9294-918DCA4BC1F2}">
  <ds:schemaRefs>
    <ds:schemaRef ds:uri="http://schemas.microsoft.com/office/2006/metadata/customXsn"/>
  </ds:schemaRefs>
</ds:datastoreItem>
</file>

<file path=customXml/itemProps5.xml><?xml version="1.0" encoding="utf-8"?>
<ds:datastoreItem xmlns:ds="http://schemas.openxmlformats.org/officeDocument/2006/customXml" ds:itemID="{49EC99F0-3857-44BD-8562-13AE0ED9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C07885-42D6-4C70-98DD-D91A1C72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2019-05-22T18:09:00Z</dcterms:created>
  <dcterms:modified xsi:type="dcterms:W3CDTF">2019-05-22T18:09:00Z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