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7BD" w:rsidP="003B37BD" w:rsidRDefault="003B37BD" w14:paraId="0B5ED0E2" w14:textId="777777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Supporting Statement</w:t>
      </w:r>
    </w:p>
    <w:p w:rsidR="003B37BD" w:rsidP="003B37BD" w:rsidRDefault="003B37BD" w14:paraId="4F8037D5" w14:textId="7777777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FERC-550, Oil Pipeline Rate - Tariff Filings</w:t>
      </w:r>
    </w:p>
    <w:p w:rsidR="003B37BD" w:rsidP="003B37BD" w:rsidRDefault="003B37BD" w14:paraId="04EAB608" w14:textId="77777777">
      <w:pPr>
        <w:spacing w:after="0" w:line="240" w:lineRule="auto"/>
        <w:jc w:val="center"/>
        <w:rPr>
          <w:rFonts w:ascii="Times New Roman" w:hAnsi="Times New Roman" w:cs="Times New Roman"/>
          <w:sz w:val="26"/>
          <w:szCs w:val="26"/>
        </w:rPr>
      </w:pPr>
    </w:p>
    <w:p w:rsidR="003B37BD" w:rsidP="003B37BD" w:rsidRDefault="003B37BD" w14:paraId="3B56079B"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Federal Energy Regulatory Commission (Commission or FERC) requests that the Office of Management and Budget (OMB) review and approve </w:t>
      </w:r>
      <w:r w:rsidRPr="00143F84">
        <w:rPr>
          <w:rFonts w:ascii="Times New Roman" w:hAnsi="Times New Roman" w:cs="Times New Roman"/>
          <w:bCs/>
          <w:sz w:val="26"/>
          <w:szCs w:val="26"/>
        </w:rPr>
        <w:t>FERC</w:t>
      </w:r>
      <w:r w:rsidRPr="00143F84">
        <w:rPr>
          <w:rFonts w:ascii="Times New Roman" w:hAnsi="Times New Roman" w:cs="Times New Roman"/>
          <w:bCs/>
          <w:sz w:val="26"/>
          <w:szCs w:val="26"/>
        </w:rPr>
        <w:noBreakHyphen/>
        <w:t>550, Oil Pipeline Rates – Tariff Filings,</w:t>
      </w:r>
      <w:r>
        <w:rPr>
          <w:rFonts w:ascii="Times New Roman" w:hAnsi="Times New Roman" w:cs="Times New Roman"/>
          <w:sz w:val="26"/>
          <w:szCs w:val="26"/>
        </w:rPr>
        <w:t xml:space="preserve"> for a three-year period.  FERC-550 (OMB Control No. 1902-0089) is an existing Commission data collection, with no changes to the reporting requirements.</w:t>
      </w:r>
    </w:p>
    <w:p w:rsidR="003B37BD" w:rsidP="003B37BD" w:rsidRDefault="003B37BD" w14:paraId="6E6E8FB6" w14:textId="77777777">
      <w:pPr>
        <w:spacing w:after="0" w:line="240" w:lineRule="auto"/>
        <w:rPr>
          <w:rFonts w:ascii="Times New Roman" w:hAnsi="Times New Roman" w:cs="Times New Roman"/>
          <w:sz w:val="26"/>
          <w:szCs w:val="26"/>
        </w:rPr>
      </w:pPr>
    </w:p>
    <w:p w:rsidR="003B37BD" w:rsidP="003B37BD" w:rsidRDefault="003B37BD" w14:paraId="228C211F" w14:textId="77777777">
      <w:pPr>
        <w:spacing w:after="0" w:line="240" w:lineRule="auto"/>
        <w:rPr>
          <w:rFonts w:ascii="Times New Roman" w:hAnsi="Times New Roman" w:cs="Times New Roman"/>
          <w:sz w:val="26"/>
          <w:szCs w:val="26"/>
        </w:rPr>
      </w:pPr>
    </w:p>
    <w:p w:rsidR="003B37BD" w:rsidP="003B37BD" w:rsidRDefault="003B37BD" w14:paraId="74DF5A3B"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CIRCUMSTANCES THAT MAKE THE COLLECTION OF INFORMATION NECESSARY</w:t>
      </w:r>
    </w:p>
    <w:p w:rsidR="003B37BD" w:rsidP="003B37BD" w:rsidRDefault="003B37BD" w14:paraId="37957D93" w14:textId="77777777">
      <w:pPr>
        <w:spacing w:after="0" w:line="240" w:lineRule="auto"/>
        <w:rPr>
          <w:rFonts w:ascii="Times New Roman" w:hAnsi="Times New Roman" w:cs="Times New Roman"/>
          <w:sz w:val="26"/>
          <w:szCs w:val="26"/>
        </w:rPr>
      </w:pPr>
    </w:p>
    <w:p w:rsidR="003B37BD" w:rsidP="003B37BD" w:rsidRDefault="003B37BD" w14:paraId="7CFF38DB"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Commission's regulatory jurisdiction</w:t>
      </w:r>
      <w:r>
        <w:rPr>
          <w:rStyle w:val="FootnoteReference"/>
          <w:rFonts w:ascii="Times New Roman" w:hAnsi="Times New Roman" w:cs="Times New Roman"/>
          <w:sz w:val="26"/>
          <w:szCs w:val="26"/>
        </w:rPr>
        <w:footnoteReference w:id="1"/>
      </w:r>
      <w:r>
        <w:rPr>
          <w:rFonts w:ascii="Times New Roman" w:hAnsi="Times New Roman" w:cs="Times New Roman"/>
          <w:sz w:val="26"/>
          <w:szCs w:val="26"/>
        </w:rPr>
        <w:t xml:space="preserve"> over oil pipelines includes:</w:t>
      </w:r>
    </w:p>
    <w:p w:rsidR="003B37BD" w:rsidP="003B37BD" w:rsidRDefault="003B37BD" w14:paraId="66351C32" w14:textId="77777777">
      <w:pPr>
        <w:numPr>
          <w:ilvl w:val="0"/>
          <w:numId w:val="3"/>
        </w:numPr>
        <w:spacing w:after="0" w:line="240" w:lineRule="auto"/>
        <w:rPr>
          <w:rFonts w:ascii="Times New Roman" w:hAnsi="Times New Roman" w:cs="Times New Roman"/>
          <w:b/>
          <w:sz w:val="26"/>
          <w:szCs w:val="26"/>
        </w:rPr>
      </w:pPr>
      <w:r>
        <w:rPr>
          <w:rFonts w:ascii="Times New Roman" w:hAnsi="Times New Roman" w:cs="Times New Roman"/>
          <w:sz w:val="26"/>
          <w:szCs w:val="26"/>
        </w:rPr>
        <w:t xml:space="preserve">the regulation of rates and practices of oil pipeline companies engaged in interstate transportation; </w:t>
      </w:r>
    </w:p>
    <w:p w:rsidR="003B37BD" w:rsidP="003B37BD" w:rsidRDefault="003B37BD" w14:paraId="1E87A712" w14:textId="77777777">
      <w:pPr>
        <w:numPr>
          <w:ilvl w:val="0"/>
          <w:numId w:val="3"/>
        </w:numPr>
        <w:spacing w:after="0" w:line="240" w:lineRule="auto"/>
        <w:rPr>
          <w:rFonts w:ascii="Times New Roman" w:hAnsi="Times New Roman" w:cs="Times New Roman"/>
          <w:b/>
          <w:sz w:val="26"/>
          <w:szCs w:val="26"/>
        </w:rPr>
      </w:pPr>
      <w:r>
        <w:rPr>
          <w:rFonts w:ascii="Times New Roman" w:hAnsi="Times New Roman" w:cs="Times New Roman"/>
          <w:sz w:val="26"/>
          <w:szCs w:val="26"/>
        </w:rPr>
        <w:t xml:space="preserve">the establishment of equal service conditions to provide shippers with equal access to pipeline transportation; and </w:t>
      </w:r>
    </w:p>
    <w:p w:rsidR="003B37BD" w:rsidP="003B37BD" w:rsidRDefault="003B37BD" w14:paraId="55212F82" w14:textId="77777777">
      <w:pPr>
        <w:numPr>
          <w:ilvl w:val="0"/>
          <w:numId w:val="3"/>
        </w:numPr>
        <w:spacing w:after="0" w:line="240" w:lineRule="auto"/>
        <w:rPr>
          <w:rFonts w:ascii="Times New Roman" w:hAnsi="Times New Roman" w:cs="Times New Roman"/>
          <w:b/>
          <w:sz w:val="26"/>
          <w:szCs w:val="26"/>
        </w:rPr>
      </w:pPr>
      <w:r>
        <w:rPr>
          <w:rFonts w:ascii="Times New Roman" w:hAnsi="Times New Roman" w:cs="Times New Roman"/>
          <w:sz w:val="26"/>
          <w:szCs w:val="26"/>
        </w:rPr>
        <w:t xml:space="preserve">the establishment of reasonable rates for transporting petroleum and petroleum products by pipeline. </w:t>
      </w:r>
    </w:p>
    <w:p w:rsidR="003B37BD" w:rsidP="003B37BD" w:rsidRDefault="003B37BD" w14:paraId="7528837D" w14:textId="77777777">
      <w:pPr>
        <w:spacing w:after="0" w:line="240" w:lineRule="auto"/>
        <w:rPr>
          <w:rFonts w:ascii="Times New Roman" w:hAnsi="Times New Roman" w:cs="Times New Roman"/>
          <w:sz w:val="26"/>
          <w:szCs w:val="26"/>
        </w:rPr>
      </w:pPr>
    </w:p>
    <w:p w:rsidR="003B37BD" w:rsidP="003B37BD" w:rsidRDefault="003B37BD" w14:paraId="2E493684" w14:textId="614A6D2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Order No. 561 (issued 10/22/1993 in Docket No. RM93-11) revised the Commission’s “regulations of oil pipelines in order to implement the requirements of Title XVIII of the Energy Policy Act of 1992.  The revisions provide a simplified and generally applicable method for regulating oil pipeline rates by use of an index for setting rate ceilings for such rates.  In certain circumstances, an oil pipeline would be permitted to establish rates using a traditional cost of service or other methods of ratemaking.”  As discussed further in Order No. 650 (issued 8/27/2004 in Docket </w:t>
      </w:r>
      <w:r w:rsidR="00E52E1C">
        <w:rPr>
          <w:rFonts w:ascii="Times New Roman" w:hAnsi="Times New Roman" w:cs="Times New Roman"/>
          <w:sz w:val="26"/>
          <w:szCs w:val="26"/>
        </w:rPr>
        <w:t xml:space="preserve">No. </w:t>
      </w:r>
      <w:r>
        <w:rPr>
          <w:rFonts w:ascii="Times New Roman" w:hAnsi="Times New Roman" w:cs="Times New Roman"/>
          <w:sz w:val="26"/>
          <w:szCs w:val="26"/>
        </w:rPr>
        <w:t>RM93-11-002), “[a]</w:t>
      </w:r>
      <w:proofErr w:type="spellStart"/>
      <w:r>
        <w:rPr>
          <w:rFonts w:ascii="Times New Roman" w:hAnsi="Times New Roman" w:cs="Times New Roman"/>
          <w:sz w:val="26"/>
          <w:szCs w:val="26"/>
        </w:rPr>
        <w:t>mong</w:t>
      </w:r>
      <w:proofErr w:type="spellEnd"/>
      <w:r>
        <w:rPr>
          <w:rFonts w:ascii="Times New Roman" w:hAnsi="Times New Roman" w:cs="Times New Roman"/>
          <w:sz w:val="26"/>
          <w:szCs w:val="26"/>
        </w:rPr>
        <w:t xml:space="preserve"> other things, Order No. 561 established a price cap for oil pipeline rates, to be adjusted annually based upon changes in the Producer Price Index for Finished Goods (published each May by the U.S. Department of Labor, Bureau of Labor Statistics) minus one percent (PPI-1).  Order No. 561 recognized that its responsibilities under the Interstate Commerce Act,</w:t>
      </w:r>
      <w:r>
        <w:rPr>
          <w:rStyle w:val="FootnoteReference"/>
          <w:rFonts w:ascii="Times New Roman" w:hAnsi="Times New Roman" w:cs="Times New Roman"/>
          <w:sz w:val="26"/>
          <w:szCs w:val="26"/>
        </w:rPr>
        <w:footnoteReference w:id="2"/>
      </w:r>
      <w:r>
        <w:rPr>
          <w:rFonts w:ascii="Times New Roman" w:hAnsi="Times New Roman" w:cs="Times New Roman"/>
          <w:sz w:val="26"/>
          <w:szCs w:val="26"/>
        </w:rPr>
        <w:t xml:space="preserve"> to both shippers and pipelines, required monitoring of the relationship between the change in the </w:t>
      </w:r>
      <w:r>
        <w:rPr>
          <w:rFonts w:ascii="Times New Roman" w:hAnsi="Times New Roman" w:cs="Times New Roman"/>
          <w:sz w:val="26"/>
          <w:szCs w:val="26"/>
        </w:rPr>
        <w:lastRenderedPageBreak/>
        <w:t>selected index and the actual cost changes experienced by the industry.  Therefore, the Commission stated that it would review the choice of index every 5 years.</w:t>
      </w:r>
      <w:r>
        <w:rPr>
          <w:rStyle w:val="FootnoteReference"/>
          <w:rFonts w:ascii="Times New Roman" w:hAnsi="Times New Roman" w:cs="Times New Roman"/>
          <w:sz w:val="26"/>
          <w:szCs w:val="26"/>
        </w:rPr>
        <w:footnoteReference w:id="3"/>
      </w:r>
      <w:r>
        <w:rPr>
          <w:rFonts w:ascii="Times New Roman" w:hAnsi="Times New Roman" w:cs="Times New Roman"/>
          <w:sz w:val="26"/>
          <w:szCs w:val="26"/>
        </w:rPr>
        <w:t>”</w:t>
      </w:r>
    </w:p>
    <w:p w:rsidR="003B37BD" w:rsidP="003B37BD" w:rsidRDefault="003B37BD" w14:paraId="49BD3334" w14:textId="77777777">
      <w:pPr>
        <w:spacing w:after="0" w:line="240" w:lineRule="auto"/>
        <w:rPr>
          <w:rFonts w:ascii="Times New Roman" w:hAnsi="Times New Roman" w:cs="Times New Roman"/>
          <w:sz w:val="26"/>
          <w:szCs w:val="26"/>
        </w:rPr>
      </w:pPr>
    </w:p>
    <w:p w:rsidR="003B37BD" w:rsidP="003B37BD" w:rsidRDefault="003B37BD" w14:paraId="7A623624"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filing requirements for oil pipeline tariffs and rates</w:t>
      </w:r>
      <w:r>
        <w:rPr>
          <w:rFonts w:ascii="Times New Roman" w:hAnsi="Times New Roman" w:cs="Times New Roman"/>
          <w:sz w:val="26"/>
          <w:szCs w:val="26"/>
          <w:vertAlign w:val="superscript"/>
        </w:rPr>
        <w:footnoteReference w:id="4"/>
      </w:r>
      <w:r>
        <w:rPr>
          <w:rFonts w:ascii="Times New Roman" w:hAnsi="Times New Roman" w:cs="Times New Roman"/>
          <w:sz w:val="26"/>
          <w:szCs w:val="26"/>
        </w:rPr>
        <w:t xml:space="preserve"> under the FERC-550 data collection provide the Commission with the information it needs to analyze the rates, practices, and service conditions of oil pipelines.  As a result, the Commission can implement statutory directives for the federal regulation of these carriers.  Major statutory and rate-making milestones in the Commission’s regulation of oil pipelines rates (“</w:t>
      </w:r>
      <w:r>
        <w:rPr>
          <w:rFonts w:ascii="Times New Roman" w:hAnsi="Times New Roman" w:cs="Times New Roman"/>
          <w:i/>
          <w:sz w:val="26"/>
          <w:szCs w:val="26"/>
        </w:rPr>
        <w:t>Historical Background of Oil Pipeline Ratemaking</w:t>
      </w:r>
      <w:r>
        <w:rPr>
          <w:rFonts w:ascii="Times New Roman" w:hAnsi="Times New Roman" w:cs="Times New Roman"/>
          <w:sz w:val="26"/>
          <w:szCs w:val="26"/>
        </w:rPr>
        <w:t xml:space="preserve">”) are included in reginfo.gov and ROCIS under “Supplementary Documents” and posted at </w:t>
      </w:r>
      <w:hyperlink w:history="1" r:id="rId13">
        <w:r>
          <w:rPr>
            <w:rStyle w:val="Hyperlink"/>
            <w:rFonts w:ascii="Times New Roman" w:hAnsi="Times New Roman" w:cs="Times New Roman"/>
            <w:sz w:val="26"/>
            <w:szCs w:val="26"/>
          </w:rPr>
          <w:t>http://www.ferc.gov/industries/oil.asp</w:t>
        </w:r>
      </w:hyperlink>
      <w:r>
        <w:rPr>
          <w:rFonts w:ascii="Times New Roman" w:hAnsi="Times New Roman" w:cs="Times New Roman"/>
          <w:sz w:val="26"/>
          <w:szCs w:val="26"/>
        </w:rPr>
        <w:t>.</w:t>
      </w:r>
    </w:p>
    <w:p w:rsidR="003B37BD" w:rsidP="003B37BD" w:rsidRDefault="003B37BD" w14:paraId="24C404A2" w14:textId="77777777">
      <w:pPr>
        <w:spacing w:after="0" w:line="240" w:lineRule="auto"/>
        <w:rPr>
          <w:rFonts w:ascii="Times New Roman" w:hAnsi="Times New Roman" w:cs="Times New Roman"/>
          <w:sz w:val="26"/>
          <w:szCs w:val="26"/>
        </w:rPr>
      </w:pPr>
    </w:p>
    <w:p w:rsidR="003B37BD" w:rsidP="003B37BD" w:rsidRDefault="003B37BD" w14:paraId="0EF27094"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 xml:space="preserve">HOW, BY WHOM, AND FOR WHAT PURPOSE THE INFORMATION IS TO BE USED AND THE CONSEQUENCES OF NOT COLLECTING </w:t>
      </w:r>
      <w:proofErr w:type="gramStart"/>
      <w:r>
        <w:rPr>
          <w:rFonts w:ascii="Times New Roman" w:hAnsi="Times New Roman" w:cs="Times New Roman"/>
          <w:b/>
          <w:sz w:val="26"/>
          <w:szCs w:val="26"/>
        </w:rPr>
        <w:t>THE  INFORMATION</w:t>
      </w:r>
      <w:proofErr w:type="gramEnd"/>
    </w:p>
    <w:p w:rsidR="003B37BD" w:rsidP="003B37BD" w:rsidRDefault="003B37BD" w14:paraId="05D59A50" w14:textId="77777777">
      <w:pPr>
        <w:spacing w:after="0" w:line="240" w:lineRule="auto"/>
        <w:rPr>
          <w:rFonts w:ascii="Times New Roman" w:hAnsi="Times New Roman" w:cs="Times New Roman"/>
          <w:sz w:val="26"/>
          <w:szCs w:val="26"/>
        </w:rPr>
      </w:pPr>
    </w:p>
    <w:p w:rsidR="003B37BD" w:rsidP="003B37BD" w:rsidRDefault="003B37BD" w14:paraId="6E8D998B" w14:textId="24EB8DA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Commission uses information provided through the FERC-550 collection to analyze proposed </w:t>
      </w:r>
      <w:r w:rsidR="003A7291">
        <w:rPr>
          <w:rFonts w:ascii="Times New Roman" w:hAnsi="Times New Roman" w:cs="Times New Roman"/>
          <w:sz w:val="26"/>
          <w:szCs w:val="26"/>
        </w:rPr>
        <w:t xml:space="preserve">changes to: 1) </w:t>
      </w:r>
      <w:r>
        <w:rPr>
          <w:rFonts w:ascii="Times New Roman" w:hAnsi="Times New Roman" w:cs="Times New Roman"/>
          <w:sz w:val="26"/>
          <w:szCs w:val="26"/>
        </w:rPr>
        <w:t xml:space="preserve">tariffs, </w:t>
      </w:r>
      <w:r w:rsidR="00D01566">
        <w:rPr>
          <w:rFonts w:ascii="Times New Roman" w:hAnsi="Times New Roman" w:cs="Times New Roman"/>
          <w:sz w:val="26"/>
          <w:szCs w:val="26"/>
        </w:rPr>
        <w:t xml:space="preserve">2) </w:t>
      </w:r>
      <w:r>
        <w:rPr>
          <w:rFonts w:ascii="Times New Roman" w:hAnsi="Times New Roman" w:cs="Times New Roman"/>
          <w:sz w:val="26"/>
          <w:szCs w:val="26"/>
        </w:rPr>
        <w:t xml:space="preserve">rates, </w:t>
      </w:r>
      <w:r w:rsidR="00D01566">
        <w:rPr>
          <w:rFonts w:ascii="Times New Roman" w:hAnsi="Times New Roman" w:cs="Times New Roman"/>
          <w:sz w:val="26"/>
          <w:szCs w:val="26"/>
        </w:rPr>
        <w:t xml:space="preserve">3) </w:t>
      </w:r>
      <w:r>
        <w:rPr>
          <w:rFonts w:ascii="Times New Roman" w:hAnsi="Times New Roman" w:cs="Times New Roman"/>
          <w:sz w:val="26"/>
          <w:szCs w:val="26"/>
        </w:rPr>
        <w:t xml:space="preserve">fares, </w:t>
      </w:r>
      <w:r w:rsidR="00D01566">
        <w:rPr>
          <w:rFonts w:ascii="Times New Roman" w:hAnsi="Times New Roman" w:cs="Times New Roman"/>
          <w:sz w:val="26"/>
          <w:szCs w:val="26"/>
        </w:rPr>
        <w:t xml:space="preserve">4) </w:t>
      </w:r>
      <w:r>
        <w:rPr>
          <w:rFonts w:ascii="Times New Roman" w:hAnsi="Times New Roman" w:cs="Times New Roman"/>
          <w:sz w:val="26"/>
          <w:szCs w:val="26"/>
        </w:rPr>
        <w:t>and charges of oil pipelines and other carriers in connection with the transportation of crude oil and petroleum products.  The Commission uses this information to determine whether the proposed tariffs and rates are just and reasonable.  If the FERC-550 information were not collected, the Commission could not determine whether the proposed rates of oil pipelines are just and reasonable.</w:t>
      </w:r>
    </w:p>
    <w:p w:rsidR="003B37BD" w:rsidP="003B37BD" w:rsidRDefault="003B37BD" w14:paraId="49486953" w14:textId="77777777">
      <w:pPr>
        <w:spacing w:after="0" w:line="240" w:lineRule="auto"/>
        <w:rPr>
          <w:rFonts w:ascii="Times New Roman" w:hAnsi="Times New Roman" w:cs="Times New Roman"/>
          <w:sz w:val="26"/>
          <w:szCs w:val="26"/>
        </w:rPr>
      </w:pPr>
    </w:p>
    <w:p w:rsidR="003B37BD" w:rsidP="003B37BD" w:rsidRDefault="003B37BD" w14:paraId="79FD6A7E"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DESCRIBE ANY CONSIDERATION OF THE USE OF IMPROVED INFORMATION TECHNOLOGY TO REDUCE THE BURDEN AND TECHNICAL OR LEGAL OBSTACLES TO REDUCING BURDEN</w:t>
      </w:r>
    </w:p>
    <w:p w:rsidR="003B37BD" w:rsidP="003B37BD" w:rsidRDefault="003B37BD" w14:paraId="09EB5FB5" w14:textId="77777777">
      <w:pPr>
        <w:spacing w:after="0" w:line="240" w:lineRule="auto"/>
        <w:rPr>
          <w:rFonts w:ascii="Times New Roman" w:hAnsi="Times New Roman" w:cs="Times New Roman"/>
          <w:sz w:val="26"/>
          <w:szCs w:val="26"/>
        </w:rPr>
      </w:pPr>
    </w:p>
    <w:p w:rsidR="003B37BD" w:rsidP="003B37BD" w:rsidRDefault="003B37BD" w14:paraId="25C36704" w14:textId="4177029E">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FERC-550 applicants can use the </w:t>
      </w:r>
      <w:proofErr w:type="spellStart"/>
      <w:r>
        <w:rPr>
          <w:rFonts w:ascii="Times New Roman" w:hAnsi="Times New Roman" w:eastAsia="Times New Roman" w:cs="Times New Roman"/>
          <w:sz w:val="26"/>
          <w:szCs w:val="26"/>
        </w:rPr>
        <w:t>eFiling</w:t>
      </w:r>
      <w:proofErr w:type="spellEnd"/>
      <w:r>
        <w:rPr>
          <w:rFonts w:ascii="Times New Roman" w:hAnsi="Times New Roman" w:eastAsia="Times New Roman" w:cs="Times New Roman"/>
          <w:sz w:val="26"/>
          <w:szCs w:val="26"/>
        </w:rPr>
        <w:t xml:space="preserve"> system to </w:t>
      </w:r>
      <w:r w:rsidR="00E52E1C">
        <w:rPr>
          <w:rFonts w:ascii="Times New Roman" w:hAnsi="Times New Roman" w:eastAsia="Times New Roman" w:cs="Times New Roman"/>
          <w:sz w:val="26"/>
          <w:szCs w:val="26"/>
        </w:rPr>
        <w:t xml:space="preserve">submit </w:t>
      </w:r>
      <w:r>
        <w:rPr>
          <w:rFonts w:ascii="Times New Roman" w:hAnsi="Times New Roman" w:eastAsia="Times New Roman" w:cs="Times New Roman"/>
          <w:sz w:val="26"/>
          <w:szCs w:val="26"/>
        </w:rPr>
        <w:t xml:space="preserve">the required information to the Commission.  </w:t>
      </w:r>
      <w:r w:rsidR="00371AB0">
        <w:rPr>
          <w:rFonts w:ascii="Times New Roman" w:hAnsi="Times New Roman" w:eastAsia="Times New Roman" w:cs="Times New Roman"/>
          <w:sz w:val="26"/>
          <w:szCs w:val="26"/>
        </w:rPr>
        <w:t xml:space="preserve">FERC estimates that 100% of respondents file their applications electronically. </w:t>
      </w:r>
      <w:r>
        <w:rPr>
          <w:rFonts w:ascii="Times New Roman" w:hAnsi="Times New Roman" w:eastAsia="Times New Roman" w:cs="Times New Roman"/>
          <w:sz w:val="26"/>
          <w:szCs w:val="26"/>
        </w:rPr>
        <w:t xml:space="preserve">Applicants should visit the </w:t>
      </w:r>
      <w:proofErr w:type="spellStart"/>
      <w:r>
        <w:rPr>
          <w:rFonts w:ascii="Times New Roman" w:hAnsi="Times New Roman" w:eastAsia="Times New Roman" w:cs="Times New Roman"/>
          <w:sz w:val="26"/>
          <w:szCs w:val="26"/>
        </w:rPr>
        <w:t>eFiling</w:t>
      </w:r>
      <w:proofErr w:type="spellEnd"/>
      <w:r>
        <w:rPr>
          <w:rFonts w:ascii="Times New Roman" w:hAnsi="Times New Roman" w:eastAsia="Times New Roman" w:cs="Times New Roman"/>
          <w:sz w:val="26"/>
          <w:szCs w:val="26"/>
        </w:rPr>
        <w:t xml:space="preserve"> website </w:t>
      </w:r>
      <w:hyperlink w:history="1" r:id="rId14">
        <w:r>
          <w:rPr>
            <w:rStyle w:val="Hyperlink"/>
            <w:rFonts w:ascii="Times New Roman" w:hAnsi="Times New Roman" w:eastAsia="Times New Roman" w:cs="Times New Roman"/>
            <w:sz w:val="26"/>
            <w:szCs w:val="26"/>
          </w:rPr>
          <w:t>(http://www.ferc.gov/docs-filing/efiling.asp</w:t>
        </w:r>
      </w:hyperlink>
      <w:r>
        <w:rPr>
          <w:rFonts w:ascii="Times New Roman" w:hAnsi="Times New Roman" w:eastAsia="Times New Roman" w:cs="Times New Roman"/>
          <w:sz w:val="26"/>
          <w:szCs w:val="26"/>
        </w:rPr>
        <w:t>) to find information on what file formats are acceptable.</w:t>
      </w:r>
    </w:p>
    <w:p w:rsidR="003B37BD" w:rsidP="003B37BD" w:rsidRDefault="003B37BD" w14:paraId="5453CA23" w14:textId="77777777">
      <w:pPr>
        <w:spacing w:after="0" w:line="240" w:lineRule="auto"/>
        <w:rPr>
          <w:rFonts w:ascii="Times New Roman" w:hAnsi="Times New Roman" w:cs="Times New Roman"/>
          <w:sz w:val="26"/>
          <w:szCs w:val="26"/>
        </w:rPr>
      </w:pPr>
    </w:p>
    <w:p w:rsidR="003B37BD" w:rsidP="003B37BD" w:rsidRDefault="003B37BD" w14:paraId="2D7E77B5"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3B37BD" w:rsidP="003B37BD" w:rsidRDefault="003B37BD" w14:paraId="67C3302C" w14:textId="77777777">
      <w:pPr>
        <w:spacing w:after="0" w:line="240" w:lineRule="auto"/>
        <w:rPr>
          <w:rFonts w:ascii="Times New Roman" w:hAnsi="Times New Roman" w:cs="Times New Roman"/>
          <w:sz w:val="26"/>
          <w:szCs w:val="26"/>
        </w:rPr>
      </w:pPr>
    </w:p>
    <w:p w:rsidR="003B37BD" w:rsidP="003B37BD" w:rsidRDefault="003B37BD" w14:paraId="461BE485" w14:textId="6C142240">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lastRenderedPageBreak/>
        <w:t xml:space="preserve">Filing requirements are periodically reviewed as OMB review dates arise or as the Commission may deem necessary in carrying out its regulatory responsibilities under the Act to alleviate duplication.  All Commission information collections are subject to analysis by Commission staff and are examined for redundancy.  </w:t>
      </w:r>
      <w:r w:rsidR="00F759DC">
        <w:rPr>
          <w:rFonts w:ascii="Times New Roman" w:hAnsi="Times New Roman" w:eastAsia="Times New Roman" w:cs="Times New Roman"/>
          <w:sz w:val="26"/>
          <w:szCs w:val="26"/>
        </w:rPr>
        <w:t xml:space="preserve">The specific information for FERC-550 as listed in Question 2 </w:t>
      </w:r>
      <w:r w:rsidR="00C00D5E">
        <w:rPr>
          <w:rFonts w:ascii="Times New Roman" w:hAnsi="Times New Roman" w:eastAsia="Times New Roman" w:cs="Times New Roman"/>
          <w:sz w:val="26"/>
          <w:szCs w:val="26"/>
        </w:rPr>
        <w:t xml:space="preserve">are </w:t>
      </w:r>
      <w:r w:rsidR="00F759DC">
        <w:rPr>
          <w:rFonts w:ascii="Times New Roman" w:hAnsi="Times New Roman" w:eastAsia="Times New Roman" w:cs="Times New Roman"/>
          <w:sz w:val="26"/>
          <w:szCs w:val="26"/>
        </w:rPr>
        <w:t>recorded and can be examined for redu</w:t>
      </w:r>
      <w:r w:rsidR="00C00D5E">
        <w:rPr>
          <w:rFonts w:ascii="Times New Roman" w:hAnsi="Times New Roman" w:eastAsia="Times New Roman" w:cs="Times New Roman"/>
          <w:sz w:val="26"/>
          <w:szCs w:val="26"/>
        </w:rPr>
        <w:t>n</w:t>
      </w:r>
      <w:r w:rsidR="00F759DC">
        <w:rPr>
          <w:rFonts w:ascii="Times New Roman" w:hAnsi="Times New Roman" w:eastAsia="Times New Roman" w:cs="Times New Roman"/>
          <w:sz w:val="26"/>
          <w:szCs w:val="26"/>
        </w:rPr>
        <w:t>d</w:t>
      </w:r>
      <w:r w:rsidR="00C00D5E">
        <w:rPr>
          <w:rFonts w:ascii="Times New Roman" w:hAnsi="Times New Roman" w:eastAsia="Times New Roman" w:cs="Times New Roman"/>
          <w:sz w:val="26"/>
          <w:szCs w:val="26"/>
        </w:rPr>
        <w:t xml:space="preserve">ancy, if necessary. </w:t>
      </w:r>
    </w:p>
    <w:p w:rsidR="003B37BD" w:rsidP="003B37BD" w:rsidRDefault="003B37BD" w14:paraId="371AA8AB" w14:textId="77777777">
      <w:pPr>
        <w:spacing w:after="0" w:line="240" w:lineRule="auto"/>
        <w:rPr>
          <w:rFonts w:ascii="Times New Roman" w:hAnsi="Times New Roman" w:cs="Times New Roman"/>
          <w:sz w:val="26"/>
          <w:szCs w:val="26"/>
        </w:rPr>
      </w:pPr>
    </w:p>
    <w:p w:rsidR="003B37BD" w:rsidP="003B37BD" w:rsidRDefault="003B37BD" w14:paraId="14C5869C"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METHODS USED TO MINIMIZE THE BURDEN IN COLLECTION OF INFORMATION INVOLVING SMALL ENTITIES</w:t>
      </w:r>
    </w:p>
    <w:p w:rsidR="003B37BD" w:rsidP="003B37BD" w:rsidRDefault="003B37BD" w14:paraId="78C9C405" w14:textId="77777777">
      <w:pPr>
        <w:pStyle w:val="FERCparanumber"/>
        <w:numPr>
          <w:ilvl w:val="0"/>
          <w:numId w:val="0"/>
        </w:numPr>
        <w:tabs>
          <w:tab w:val="left" w:pos="720"/>
        </w:tabs>
        <w:rPr>
          <w:rFonts w:eastAsiaTheme="minorHAnsi"/>
          <w:szCs w:val="26"/>
        </w:rPr>
      </w:pPr>
    </w:p>
    <w:p w:rsidR="003B37BD" w:rsidP="003B37BD" w:rsidRDefault="003B37BD" w14:paraId="6F71DA3E" w14:textId="39FD0248">
      <w:pPr>
        <w:pStyle w:val="FERCparanumber"/>
        <w:numPr>
          <w:ilvl w:val="0"/>
          <w:numId w:val="0"/>
        </w:numPr>
        <w:tabs>
          <w:tab w:val="left" w:pos="720"/>
        </w:tabs>
        <w:rPr>
          <w:color w:val="000000" w:themeColor="text1"/>
          <w:szCs w:val="26"/>
        </w:rPr>
      </w:pPr>
      <w:r>
        <w:rPr>
          <w:szCs w:val="26"/>
        </w:rPr>
        <w:t xml:space="preserve">None of the oil pipeline companies required to file the FERC-550 qualify for the Small Business Administration definition of “small entity.”  </w:t>
      </w:r>
    </w:p>
    <w:p w:rsidR="003B37BD" w:rsidP="003B37BD" w:rsidRDefault="003B37BD" w14:paraId="7DCE620C" w14:textId="77777777">
      <w:pPr>
        <w:spacing w:after="0" w:line="240" w:lineRule="auto"/>
        <w:rPr>
          <w:rFonts w:ascii="Times New Roman" w:hAnsi="Times New Roman" w:cs="Times New Roman"/>
          <w:sz w:val="26"/>
          <w:szCs w:val="26"/>
        </w:rPr>
      </w:pPr>
    </w:p>
    <w:p w:rsidR="003B37BD" w:rsidP="003B37BD" w:rsidRDefault="003B37BD" w14:paraId="71946B5B"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CONSEQUENCE TO FEDERAL PROGRAM IF COLLECTION WERE CONDUCTED LESS FREQUENTLY</w:t>
      </w:r>
    </w:p>
    <w:p w:rsidR="003B37BD" w:rsidP="003B37BD" w:rsidRDefault="003B37BD" w14:paraId="65E76BC8" w14:textId="77777777">
      <w:pPr>
        <w:spacing w:after="0" w:line="240" w:lineRule="auto"/>
        <w:rPr>
          <w:rFonts w:ascii="Times New Roman" w:hAnsi="Times New Roman" w:cs="Times New Roman"/>
          <w:sz w:val="26"/>
          <w:szCs w:val="26"/>
        </w:rPr>
      </w:pPr>
    </w:p>
    <w:p w:rsidR="003B37BD" w:rsidP="003B37BD" w:rsidRDefault="003B37BD" w14:paraId="7A1EBCE2"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Commission collects the FERC-550 information when oil pipelines propose to change or establish tariffs and rates.  There is no set timeframe or filing cycle for submittal of the FERC-550.  The information arrives when a pipeline seeks Commission review of proposed tariffs and rates.  As described previously, the Commission needs the FERC-550 data for its oil ratemaking work.  If the FERC-550 data were not collected as part of a rate change filing, the Commission would be unable to fulfill its statutory mandate.  </w:t>
      </w:r>
    </w:p>
    <w:p w:rsidR="003B37BD" w:rsidP="003B37BD" w:rsidRDefault="003B37BD" w14:paraId="08411328" w14:textId="77777777">
      <w:pPr>
        <w:spacing w:after="0" w:line="240" w:lineRule="auto"/>
        <w:rPr>
          <w:rFonts w:ascii="Times New Roman" w:hAnsi="Times New Roman" w:cs="Times New Roman"/>
          <w:sz w:val="26"/>
          <w:szCs w:val="26"/>
        </w:rPr>
      </w:pPr>
    </w:p>
    <w:p w:rsidR="003B37BD" w:rsidP="003B37BD" w:rsidRDefault="003B37BD" w14:paraId="43888C1F"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EXPLAIN ANY SPECIAL CIRCUMSTANCES RELATING TO THE INFORMATION COLLECTION</w:t>
      </w:r>
    </w:p>
    <w:p w:rsidR="003B37BD" w:rsidP="003B37BD" w:rsidRDefault="003B37BD" w14:paraId="687449A4" w14:textId="77777777">
      <w:pPr>
        <w:spacing w:after="0" w:line="240" w:lineRule="auto"/>
        <w:rPr>
          <w:rFonts w:ascii="Times New Roman" w:hAnsi="Times New Roman" w:cs="Times New Roman"/>
          <w:sz w:val="26"/>
          <w:szCs w:val="26"/>
        </w:rPr>
      </w:pPr>
    </w:p>
    <w:p w:rsidR="003B37BD" w:rsidP="003B37BD" w:rsidRDefault="003B37BD" w14:paraId="503A0440"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Under some </w:t>
      </w:r>
      <w:proofErr w:type="gramStart"/>
      <w:r>
        <w:rPr>
          <w:rFonts w:ascii="Times New Roman" w:hAnsi="Times New Roman" w:cs="Times New Roman"/>
          <w:sz w:val="26"/>
          <w:szCs w:val="26"/>
        </w:rPr>
        <w:t>circumstances</w:t>
      </w:r>
      <w:proofErr w:type="gramEnd"/>
      <w:r>
        <w:rPr>
          <w:rFonts w:ascii="Times New Roman" w:hAnsi="Times New Roman" w:cs="Times New Roman"/>
          <w:sz w:val="26"/>
          <w:szCs w:val="26"/>
        </w:rPr>
        <w:t xml:space="preserve"> filers may be required to submit information regarding their tariffs on a more than quarterly basis.  These are not reoccurring filings but are event driven (i.e., based on a pipeline business decision or something about a </w:t>
      </w:r>
      <w:proofErr w:type="gramStart"/>
      <w:r>
        <w:rPr>
          <w:rFonts w:ascii="Times New Roman" w:hAnsi="Times New Roman" w:cs="Times New Roman"/>
          <w:sz w:val="26"/>
          <w:szCs w:val="26"/>
        </w:rPr>
        <w:t>particular tariff</w:t>
      </w:r>
      <w:proofErr w:type="gramEnd"/>
      <w:r>
        <w:rPr>
          <w:rFonts w:ascii="Times New Roman" w:hAnsi="Times New Roman" w:cs="Times New Roman"/>
          <w:sz w:val="26"/>
          <w:szCs w:val="26"/>
        </w:rPr>
        <w:t xml:space="preserve"> changes).  The Commission uses information provided through the FERC-550 collection to analyze proposed tariffs, rates, fares, and charges of oil pipelines and other carriers in connection with the transportation of crude oil and petroleum products.  The Commission uses this information to determine whether the proposed tariffs and rates are just and reasonable.  Updated tariffs allow the Commission to fulfill its statutory obligations related to regulating oil pipelines.  </w:t>
      </w:r>
    </w:p>
    <w:p w:rsidR="003B37BD" w:rsidP="003B37BD" w:rsidRDefault="003B37BD" w14:paraId="5CC1E5C3" w14:textId="77777777">
      <w:pPr>
        <w:spacing w:after="0" w:line="240" w:lineRule="auto"/>
        <w:rPr>
          <w:rFonts w:ascii="Times New Roman" w:hAnsi="Times New Roman" w:cs="Times New Roman"/>
          <w:sz w:val="26"/>
          <w:szCs w:val="26"/>
        </w:rPr>
      </w:pPr>
    </w:p>
    <w:p w:rsidR="003B37BD" w:rsidP="003B37BD" w:rsidRDefault="003B37BD" w14:paraId="159853DE"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DESCRIBE EFFORTS TO CONSULT OUTSIDE THE AGENCY: SUMMARIZE PUBLIC COMMENTS AND THE AGENCY’S RESPONSE</w:t>
      </w:r>
    </w:p>
    <w:p w:rsidR="003B37BD" w:rsidP="003B37BD" w:rsidRDefault="003B37BD" w14:paraId="0FD61FF4" w14:textId="77777777">
      <w:pPr>
        <w:pStyle w:val="ListParagraph"/>
        <w:spacing w:after="0" w:line="240" w:lineRule="auto"/>
        <w:ind w:left="360"/>
        <w:rPr>
          <w:rFonts w:ascii="Times New Roman" w:hAnsi="Times New Roman" w:cs="Times New Roman"/>
          <w:b/>
          <w:sz w:val="26"/>
          <w:szCs w:val="26"/>
        </w:rPr>
      </w:pPr>
    </w:p>
    <w:p w:rsidR="009766D0" w:rsidP="009766D0" w:rsidRDefault="003B37BD" w14:paraId="73BC2E24" w14:textId="44865809">
      <w:pPr>
        <w:spacing w:after="0" w:line="240" w:lineRule="auto"/>
        <w:rPr>
          <w:rFonts w:ascii="Times New Roman" w:hAnsi="Times New Roman" w:cs="Times New Roman"/>
          <w:sz w:val="26"/>
          <w:szCs w:val="26"/>
        </w:rPr>
      </w:pPr>
      <w:r>
        <w:rPr>
          <w:rFonts w:ascii="Times New Roman" w:hAnsi="Times New Roman" w:eastAsia="Times New Roman" w:cs="Times New Roman"/>
          <w:sz w:val="26"/>
          <w:szCs w:val="26"/>
        </w:rPr>
        <w:lastRenderedPageBreak/>
        <w:t>In accordance with OMB requirements, the Commission published a 60-day notice</w:t>
      </w:r>
      <w:r>
        <w:rPr>
          <w:rFonts w:ascii="Times New Roman" w:hAnsi="Times New Roman" w:eastAsia="Times New Roman" w:cs="Times New Roman"/>
          <w:sz w:val="26"/>
          <w:szCs w:val="26"/>
          <w:vertAlign w:val="superscript"/>
        </w:rPr>
        <w:footnoteReference w:id="5"/>
      </w:r>
      <w:r>
        <w:rPr>
          <w:rFonts w:ascii="Times New Roman" w:hAnsi="Times New Roman" w:eastAsia="Times New Roman" w:cs="Times New Roman"/>
          <w:sz w:val="26"/>
          <w:szCs w:val="26"/>
        </w:rPr>
        <w:t xml:space="preserve"> to the public regarding this information collection on 07/30/2019.  Within the public notice the Commission will note that it would be requesting a three-year extension of the public reporting burden with no change to the existing requirements concerning the collection of data.  No comments were received in the 60-day notice.</w:t>
      </w:r>
      <w:r w:rsidR="009766D0">
        <w:rPr>
          <w:rFonts w:ascii="Times New Roman" w:hAnsi="Times New Roman" w:cs="Times New Roman"/>
          <w:sz w:val="26"/>
          <w:szCs w:val="26"/>
        </w:rPr>
        <w:t xml:space="preserve"> </w:t>
      </w:r>
      <w:r>
        <w:rPr>
          <w:rFonts w:ascii="Times New Roman" w:hAnsi="Times New Roman" w:cs="Times New Roman"/>
          <w:sz w:val="26"/>
          <w:szCs w:val="26"/>
        </w:rPr>
        <w:t>The Commission is also publishing a 30-day Notice for public comment.</w:t>
      </w:r>
      <w:r w:rsidR="009766D0">
        <w:rPr>
          <w:rFonts w:ascii="Times New Roman" w:hAnsi="Times New Roman" w:cs="Times New Roman"/>
          <w:sz w:val="26"/>
          <w:szCs w:val="26"/>
        </w:rPr>
        <w:t xml:space="preserve"> </w:t>
      </w:r>
    </w:p>
    <w:p w:rsidRPr="009766D0" w:rsidR="009766D0" w:rsidP="009766D0" w:rsidRDefault="009766D0" w14:paraId="51920DB3" w14:textId="77777777">
      <w:pPr>
        <w:spacing w:after="0" w:line="240" w:lineRule="auto"/>
        <w:rPr>
          <w:rFonts w:ascii="Times New Roman" w:hAnsi="Times New Roman" w:cs="Times New Roman"/>
          <w:sz w:val="26"/>
          <w:szCs w:val="26"/>
        </w:rPr>
      </w:pPr>
    </w:p>
    <w:p w:rsidR="003B37BD" w:rsidP="003B37BD" w:rsidRDefault="009766D0" w14:paraId="39544975" w14:textId="597F1E13">
      <w:pPr>
        <w:spacing w:after="0" w:line="240" w:lineRule="auto"/>
        <w:rPr>
          <w:rFonts w:ascii="Times New Roman" w:hAnsi="Times New Roman" w:cs="Times New Roman"/>
          <w:sz w:val="26"/>
          <w:szCs w:val="26"/>
        </w:rPr>
      </w:pPr>
      <w:r w:rsidRPr="009766D0">
        <w:rPr>
          <w:rFonts w:ascii="Times New Roman" w:hAnsi="Times New Roman" w:cs="Times New Roman"/>
          <w:sz w:val="26"/>
          <w:szCs w:val="26"/>
        </w:rPr>
        <w:t xml:space="preserve">FERC did not </w:t>
      </w:r>
      <w:r w:rsidR="008C6174">
        <w:rPr>
          <w:rFonts w:ascii="Times New Roman" w:hAnsi="Times New Roman" w:cs="Times New Roman"/>
          <w:sz w:val="26"/>
          <w:szCs w:val="26"/>
        </w:rPr>
        <w:t xml:space="preserve">conduct additional outreach to industry </w:t>
      </w:r>
      <w:r w:rsidR="00A92586">
        <w:rPr>
          <w:rFonts w:ascii="Times New Roman" w:hAnsi="Times New Roman" w:cs="Times New Roman"/>
          <w:sz w:val="26"/>
          <w:szCs w:val="26"/>
        </w:rPr>
        <w:t>other than the 60-day and 30-day comment periods.</w:t>
      </w:r>
      <w:bookmarkStart w:name="_GoBack" w:id="0"/>
      <w:bookmarkEnd w:id="0"/>
    </w:p>
    <w:p w:rsidR="003B37BD" w:rsidP="003B37BD" w:rsidRDefault="003B37BD" w14:paraId="7192D8F4" w14:textId="77777777">
      <w:pPr>
        <w:spacing w:after="0" w:line="240" w:lineRule="auto"/>
        <w:rPr>
          <w:rFonts w:ascii="Times New Roman" w:hAnsi="Times New Roman" w:cs="Times New Roman"/>
          <w:sz w:val="26"/>
          <w:szCs w:val="26"/>
        </w:rPr>
      </w:pPr>
    </w:p>
    <w:p w:rsidR="003B37BD" w:rsidP="003B37BD" w:rsidRDefault="003B37BD" w14:paraId="299A0579"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EXPLAIN ANY PAYMENT OR GIFTS TO RESPONDENTS</w:t>
      </w:r>
    </w:p>
    <w:p w:rsidR="003B37BD" w:rsidP="003B37BD" w:rsidRDefault="003B37BD" w14:paraId="14D0BE1D" w14:textId="77777777">
      <w:pPr>
        <w:spacing w:after="0" w:line="240" w:lineRule="auto"/>
        <w:rPr>
          <w:rFonts w:ascii="Times New Roman" w:hAnsi="Times New Roman" w:cs="Times New Roman"/>
          <w:sz w:val="26"/>
          <w:szCs w:val="26"/>
        </w:rPr>
      </w:pPr>
    </w:p>
    <w:p w:rsidR="003B37BD" w:rsidP="003B37BD" w:rsidRDefault="003B37BD" w14:paraId="271A1922"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Commission makes no payments or gifts to respondents as part of this collection.</w:t>
      </w:r>
    </w:p>
    <w:p w:rsidR="003B37BD" w:rsidP="003B37BD" w:rsidRDefault="003B37BD" w14:paraId="2F42E27A" w14:textId="77777777">
      <w:pPr>
        <w:spacing w:after="0" w:line="240" w:lineRule="auto"/>
        <w:rPr>
          <w:rFonts w:ascii="Times New Roman" w:hAnsi="Times New Roman" w:cs="Times New Roman"/>
          <w:sz w:val="26"/>
          <w:szCs w:val="26"/>
        </w:rPr>
      </w:pPr>
    </w:p>
    <w:p w:rsidR="003B37BD" w:rsidP="003B37BD" w:rsidRDefault="003B37BD" w14:paraId="33F733D8"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DESCRIBE ANY ASSURANCE OF CONFIDENTIALITY PROVIDED TO RESPONDENTS</w:t>
      </w:r>
    </w:p>
    <w:p w:rsidR="003B37BD" w:rsidP="003B37BD" w:rsidRDefault="003B37BD" w14:paraId="2D8CB0EC" w14:textId="77777777">
      <w:pPr>
        <w:pStyle w:val="ListParagraph"/>
        <w:spacing w:after="0" w:line="240" w:lineRule="auto"/>
        <w:ind w:left="360"/>
        <w:rPr>
          <w:rFonts w:ascii="Times New Roman" w:hAnsi="Times New Roman" w:cs="Times New Roman"/>
          <w:b/>
          <w:sz w:val="26"/>
          <w:szCs w:val="26"/>
        </w:rPr>
      </w:pPr>
    </w:p>
    <w:p w:rsidR="003B37BD" w:rsidP="006344C0" w:rsidRDefault="003B37BD" w14:paraId="096C2435" w14:textId="70EC1AC6">
      <w:pPr>
        <w:spacing w:after="0" w:line="240" w:lineRule="auto"/>
        <w:rPr>
          <w:rFonts w:ascii="Times New Roman" w:hAnsi="Times New Roman" w:eastAsia="Times New Roman" w:cs="Times New Roman"/>
          <w:sz w:val="26"/>
          <w:szCs w:val="26"/>
        </w:rPr>
      </w:pPr>
      <w:r>
        <w:rPr>
          <w:rFonts w:ascii="Times New Roman" w:hAnsi="Times New Roman" w:cs="Times New Roman"/>
          <w:sz w:val="26"/>
          <w:szCs w:val="26"/>
        </w:rPr>
        <w:t>The Commission does not consider the information collected in FERC-550 filings to be confidential</w:t>
      </w:r>
      <w:r w:rsidRPr="006344C0">
        <w:rPr>
          <w:rFonts w:ascii="Times New Roman" w:hAnsi="Times New Roman" w:cs="Times New Roman"/>
          <w:sz w:val="26"/>
          <w:szCs w:val="26"/>
        </w:rPr>
        <w:t xml:space="preserve">.  </w:t>
      </w:r>
      <w:r w:rsidRPr="00143F84">
        <w:rPr>
          <w:rFonts w:ascii="Times New Roman" w:hAnsi="Times New Roman" w:eastAsia="Times New Roman" w:cs="Times New Roman"/>
          <w:sz w:val="26"/>
          <w:szCs w:val="26"/>
        </w:rPr>
        <w:t>However, an applicant may request non-public treatment of privileged information or Critical Energy</w:t>
      </w:r>
      <w:r w:rsidR="001D432D">
        <w:rPr>
          <w:rFonts w:ascii="Times New Roman" w:hAnsi="Times New Roman" w:eastAsia="Times New Roman" w:cs="Times New Roman"/>
          <w:sz w:val="26"/>
          <w:szCs w:val="26"/>
        </w:rPr>
        <w:t>/Electric</w:t>
      </w:r>
      <w:r w:rsidRPr="00143F84">
        <w:rPr>
          <w:rFonts w:ascii="Times New Roman" w:hAnsi="Times New Roman" w:eastAsia="Times New Roman" w:cs="Times New Roman"/>
          <w:sz w:val="26"/>
          <w:szCs w:val="26"/>
        </w:rPr>
        <w:t xml:space="preserve"> Infrastructure Information (CEII) </w:t>
      </w:r>
      <w:r w:rsidR="009766D0">
        <w:rPr>
          <w:rFonts w:ascii="Times New Roman" w:hAnsi="Times New Roman" w:eastAsia="Times New Roman" w:cs="Times New Roman"/>
          <w:sz w:val="26"/>
          <w:szCs w:val="26"/>
        </w:rPr>
        <w:t>that meets the specified criteria at</w:t>
      </w:r>
      <w:r w:rsidRPr="00143F84">
        <w:rPr>
          <w:rFonts w:ascii="Times New Roman" w:hAnsi="Times New Roman" w:eastAsia="Times New Roman" w:cs="Times New Roman"/>
          <w:sz w:val="26"/>
          <w:szCs w:val="26"/>
        </w:rPr>
        <w:t xml:space="preserve"> 18 CFR 388.112</w:t>
      </w:r>
      <w:r w:rsidR="001D432D">
        <w:rPr>
          <w:rFonts w:ascii="Times New Roman" w:hAnsi="Times New Roman" w:eastAsia="Times New Roman" w:cs="Times New Roman"/>
          <w:sz w:val="26"/>
          <w:szCs w:val="26"/>
        </w:rPr>
        <w:t xml:space="preserve"> and 388.113</w:t>
      </w:r>
      <w:r w:rsidRPr="00143F84">
        <w:rPr>
          <w:rFonts w:ascii="Times New Roman" w:hAnsi="Times New Roman" w:eastAsia="Times New Roman" w:cs="Times New Roman"/>
          <w:sz w:val="26"/>
          <w:szCs w:val="26"/>
        </w:rPr>
        <w:t>.</w:t>
      </w:r>
    </w:p>
    <w:p w:rsidR="006344C0" w:rsidP="00143F84" w:rsidRDefault="006344C0" w14:paraId="5F8C0D45" w14:textId="77777777">
      <w:pPr>
        <w:spacing w:after="0" w:line="240" w:lineRule="auto"/>
        <w:rPr>
          <w:rFonts w:ascii="Times New Roman" w:hAnsi="Times New Roman" w:cs="Times New Roman"/>
          <w:sz w:val="26"/>
          <w:szCs w:val="26"/>
        </w:rPr>
      </w:pPr>
    </w:p>
    <w:p w:rsidR="003B37BD" w:rsidP="003B37BD" w:rsidRDefault="003B37BD" w14:paraId="14B5A9E6"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003B37BD" w:rsidP="003B37BD" w:rsidRDefault="003B37BD" w14:paraId="18438937" w14:textId="77777777">
      <w:pPr>
        <w:pStyle w:val="ListParagraph"/>
        <w:spacing w:after="0" w:line="240" w:lineRule="auto"/>
        <w:ind w:left="360"/>
        <w:rPr>
          <w:rFonts w:ascii="Times New Roman" w:hAnsi="Times New Roman" w:cs="Times New Roman"/>
          <w:b/>
          <w:sz w:val="26"/>
          <w:szCs w:val="26"/>
        </w:rPr>
      </w:pPr>
    </w:p>
    <w:p w:rsidR="003B37BD" w:rsidP="003B37BD" w:rsidRDefault="003B37BD" w14:paraId="71F3C058" w14:textId="43E0748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Commission does not consider any of the questions within the FERC-550 </w:t>
      </w:r>
      <w:r w:rsidR="006344C0">
        <w:rPr>
          <w:rFonts w:ascii="Times New Roman" w:hAnsi="Times New Roman" w:cs="Times New Roman"/>
          <w:sz w:val="26"/>
          <w:szCs w:val="26"/>
        </w:rPr>
        <w:t>to be</w:t>
      </w:r>
      <w:r>
        <w:rPr>
          <w:rFonts w:ascii="Times New Roman" w:hAnsi="Times New Roman" w:cs="Times New Roman"/>
          <w:sz w:val="26"/>
          <w:szCs w:val="26"/>
        </w:rPr>
        <w:t xml:space="preserve"> private.</w:t>
      </w:r>
    </w:p>
    <w:p w:rsidR="003B37BD" w:rsidP="003B37BD" w:rsidRDefault="003B37BD" w14:paraId="2F26E71B" w14:textId="77777777">
      <w:pPr>
        <w:spacing w:after="0" w:line="240" w:lineRule="auto"/>
        <w:rPr>
          <w:rFonts w:ascii="Times New Roman" w:hAnsi="Times New Roman" w:cs="Times New Roman"/>
          <w:sz w:val="26"/>
          <w:szCs w:val="26"/>
        </w:rPr>
      </w:pPr>
    </w:p>
    <w:p w:rsidR="003B37BD" w:rsidP="003B37BD" w:rsidRDefault="003B37BD" w14:paraId="027CC975"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ESTIMATED BURDEN OF COLLECTION OF INFORMATION</w:t>
      </w:r>
    </w:p>
    <w:p w:rsidR="003B37BD" w:rsidP="003B37BD" w:rsidRDefault="003B37BD" w14:paraId="08494E65" w14:textId="77777777">
      <w:pPr>
        <w:spacing w:after="0" w:line="240" w:lineRule="auto"/>
        <w:rPr>
          <w:rFonts w:ascii="Times New Roman" w:hAnsi="Times New Roman" w:cs="Times New Roman"/>
          <w:sz w:val="26"/>
          <w:szCs w:val="26"/>
        </w:rPr>
      </w:pPr>
    </w:p>
    <w:p w:rsidR="003B37BD" w:rsidP="003B37BD" w:rsidRDefault="003B37BD" w14:paraId="7F5137B4" w14:textId="77777777">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The Commission estimates the annual public reporting burden</w:t>
      </w:r>
      <w:r>
        <w:rPr>
          <w:rFonts w:ascii="Times New Roman" w:hAnsi="Times New Roman" w:eastAsia="Times New Roman" w:cs="Times New Roman"/>
          <w:b/>
          <w:sz w:val="26"/>
          <w:szCs w:val="26"/>
          <w:vertAlign w:val="superscript"/>
        </w:rPr>
        <w:footnoteReference w:id="6"/>
      </w:r>
      <w:r>
        <w:rPr>
          <w:rFonts w:ascii="Times New Roman" w:hAnsi="Times New Roman" w:eastAsia="Times New Roman" w:cs="Times New Roman"/>
          <w:sz w:val="26"/>
          <w:szCs w:val="26"/>
        </w:rPr>
        <w:t xml:space="preserve"> and cost</w:t>
      </w:r>
      <w:r>
        <w:rPr>
          <w:rFonts w:ascii="Times New Roman" w:hAnsi="Times New Roman" w:eastAsia="Times New Roman" w:cs="Times New Roman"/>
          <w:b/>
          <w:sz w:val="26"/>
          <w:szCs w:val="26"/>
          <w:vertAlign w:val="superscript"/>
        </w:rPr>
        <w:footnoteReference w:id="7"/>
      </w:r>
      <w:r>
        <w:rPr>
          <w:rFonts w:ascii="Times New Roman" w:hAnsi="Times New Roman" w:eastAsia="Times New Roman" w:cs="Times New Roman"/>
          <w:sz w:val="26"/>
          <w:szCs w:val="26"/>
        </w:rPr>
        <w:t xml:space="preserve"> for the FERC-550 information collection as follows:</w:t>
      </w:r>
    </w:p>
    <w:p w:rsidR="00903137" w:rsidP="003B37BD" w:rsidRDefault="00903137" w14:paraId="7B1D652F" w14:textId="721F88E0">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lastRenderedPageBreak/>
        <w:t>Table 1: Estimated Annual Respondents and Burdens for FERC-550</w:t>
      </w:r>
    </w:p>
    <w:tbl>
      <w:tblPr>
        <w:tblW w:w="530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32"/>
        <w:gridCol w:w="1531"/>
        <w:gridCol w:w="1474"/>
        <w:gridCol w:w="1286"/>
        <w:gridCol w:w="2233"/>
        <w:gridCol w:w="1755"/>
      </w:tblGrid>
      <w:tr w:rsidR="003B37BD" w:rsidTr="003B37BD" w14:paraId="5547EAC8" w14:textId="77777777">
        <w:trPr>
          <w:cantSplit/>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hideMark/>
          </w:tcPr>
          <w:p w:rsidR="003B37BD" w:rsidRDefault="003B37BD" w14:paraId="5F0EC928" w14:textId="77777777">
            <w:pPr>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FERC-550: Oil Pipelines Rates – Tariff Filings</w:t>
            </w:r>
          </w:p>
        </w:tc>
      </w:tr>
      <w:tr w:rsidR="007869BD" w:rsidTr="003B37BD" w14:paraId="18C6A1B0" w14:textId="77777777">
        <w:trPr>
          <w:cantSplit/>
        </w:trPr>
        <w:tc>
          <w:tcPr>
            <w:tcW w:w="76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3B37BD" w:rsidP="00143F84" w:rsidRDefault="007869BD" w14:paraId="4306E009" w14:textId="5BA1FF97">
            <w:pPr>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Average Annual </w:t>
            </w:r>
            <w:r w:rsidR="003B37BD">
              <w:rPr>
                <w:rFonts w:ascii="Times New Roman" w:hAnsi="Times New Roman" w:eastAsia="Times New Roman" w:cs="Times New Roman"/>
                <w:b/>
                <w:sz w:val="26"/>
                <w:szCs w:val="26"/>
              </w:rPr>
              <w:t>Number of Respondents</w:t>
            </w:r>
            <w:r w:rsidR="003B37BD">
              <w:rPr>
                <w:rFonts w:ascii="Times New Roman" w:hAnsi="Times New Roman" w:eastAsia="Times New Roman" w:cs="Times New Roman"/>
                <w:b/>
                <w:sz w:val="26"/>
                <w:szCs w:val="26"/>
              </w:rPr>
              <w:br/>
              <w:t>(1)</w:t>
            </w:r>
          </w:p>
        </w:tc>
        <w:tc>
          <w:tcPr>
            <w:tcW w:w="76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3B37BD" w:rsidP="00143F84" w:rsidRDefault="007869BD" w14:paraId="79CD89E4" w14:textId="295D2E42">
            <w:pPr>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Average </w:t>
            </w:r>
            <w:r w:rsidR="003B37BD">
              <w:rPr>
                <w:rFonts w:ascii="Times New Roman" w:hAnsi="Times New Roman" w:eastAsia="Times New Roman" w:cs="Times New Roman"/>
                <w:b/>
                <w:sz w:val="26"/>
                <w:szCs w:val="26"/>
              </w:rPr>
              <w:t>Annual Number of Responses per Respondent</w:t>
            </w:r>
          </w:p>
          <w:p w:rsidR="003B37BD" w:rsidP="00143F84" w:rsidRDefault="003B37BD" w14:paraId="5D2FDAC0" w14:textId="77777777">
            <w:pPr>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(2)</w:t>
            </w:r>
          </w:p>
        </w:tc>
        <w:tc>
          <w:tcPr>
            <w:tcW w:w="76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3B37BD" w:rsidP="00143F84" w:rsidRDefault="003B37BD" w14:paraId="0FE7D963" w14:textId="77777777">
            <w:pPr>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Total Number of Responses</w:t>
            </w:r>
            <w:r>
              <w:rPr>
                <w:rFonts w:ascii="Times New Roman" w:hAnsi="Times New Roman" w:eastAsia="Times New Roman" w:cs="Times New Roman"/>
                <w:b/>
                <w:sz w:val="26"/>
                <w:szCs w:val="26"/>
                <w:vertAlign w:val="superscript"/>
              </w:rPr>
              <w:footnoteReference w:id="8"/>
            </w:r>
            <w:r>
              <w:rPr>
                <w:rFonts w:ascii="Times New Roman" w:hAnsi="Times New Roman" w:eastAsia="Times New Roman" w:cs="Times New Roman"/>
                <w:b/>
                <w:sz w:val="26"/>
                <w:szCs w:val="26"/>
              </w:rPr>
              <w:t xml:space="preserve"> (</w:t>
            </w:r>
            <w:proofErr w:type="gramStart"/>
            <w:r>
              <w:rPr>
                <w:rFonts w:ascii="Times New Roman" w:hAnsi="Times New Roman" w:eastAsia="Times New Roman" w:cs="Times New Roman"/>
                <w:b/>
                <w:sz w:val="26"/>
                <w:szCs w:val="26"/>
              </w:rPr>
              <w:t>1)*</w:t>
            </w:r>
            <w:proofErr w:type="gramEnd"/>
            <w:r>
              <w:rPr>
                <w:rFonts w:ascii="Times New Roman" w:hAnsi="Times New Roman" w:eastAsia="Times New Roman" w:cs="Times New Roman"/>
                <w:b/>
                <w:sz w:val="26"/>
                <w:szCs w:val="26"/>
              </w:rPr>
              <w:t>(2)=(3)</w:t>
            </w:r>
          </w:p>
        </w:tc>
        <w:tc>
          <w:tcPr>
            <w:tcW w:w="66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3B37BD" w:rsidP="00143F84" w:rsidRDefault="003B37BD" w14:paraId="4C8B5214" w14:textId="77777777">
            <w:pPr>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Average Burden Hrs. &amp; Cost ($) Per Response</w:t>
            </w:r>
          </w:p>
          <w:p w:rsidR="003B37BD" w:rsidP="00143F84" w:rsidRDefault="003B37BD" w14:paraId="17D89C10" w14:textId="77777777">
            <w:pPr>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(4)</w:t>
            </w:r>
          </w:p>
        </w:tc>
        <w:tc>
          <w:tcPr>
            <w:tcW w:w="114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3B37BD" w:rsidP="00143F84" w:rsidRDefault="003B37BD" w14:paraId="6BE7E0A2" w14:textId="77777777">
            <w:pPr>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Total Annual Burden Hours &amp; Total Annual Cost ($)</w:t>
            </w:r>
          </w:p>
          <w:p w:rsidR="003B37BD" w:rsidP="00143F84" w:rsidRDefault="003B37BD" w14:paraId="39A1AA5A" w14:textId="77777777">
            <w:pPr>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w:t>
            </w:r>
            <w:proofErr w:type="gramStart"/>
            <w:r>
              <w:rPr>
                <w:rFonts w:ascii="Times New Roman" w:hAnsi="Times New Roman" w:eastAsia="Times New Roman" w:cs="Times New Roman"/>
                <w:b/>
                <w:sz w:val="26"/>
                <w:szCs w:val="26"/>
              </w:rPr>
              <w:t>3)*</w:t>
            </w:r>
            <w:proofErr w:type="gramEnd"/>
            <w:r>
              <w:rPr>
                <w:rFonts w:ascii="Times New Roman" w:hAnsi="Times New Roman" w:eastAsia="Times New Roman" w:cs="Times New Roman"/>
                <w:b/>
                <w:sz w:val="26"/>
                <w:szCs w:val="26"/>
              </w:rPr>
              <w:t>(4)=(5)</w:t>
            </w:r>
          </w:p>
        </w:tc>
        <w:tc>
          <w:tcPr>
            <w:tcW w:w="90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3B37BD" w:rsidP="00143F84" w:rsidRDefault="003B37BD" w14:paraId="0A111025" w14:textId="77777777">
            <w:pPr>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Cost per </w:t>
            </w:r>
            <w:proofErr w:type="gramStart"/>
            <w:r>
              <w:rPr>
                <w:rFonts w:ascii="Times New Roman" w:hAnsi="Times New Roman" w:eastAsia="Times New Roman" w:cs="Times New Roman"/>
                <w:b/>
                <w:sz w:val="26"/>
                <w:szCs w:val="26"/>
              </w:rPr>
              <w:t>Respondent  (</w:t>
            </w:r>
            <w:proofErr w:type="gramEnd"/>
            <w:r>
              <w:rPr>
                <w:rFonts w:ascii="Times New Roman" w:hAnsi="Times New Roman" w:eastAsia="Times New Roman" w:cs="Times New Roman"/>
                <w:b/>
                <w:sz w:val="26"/>
                <w:szCs w:val="26"/>
              </w:rPr>
              <w:t>$)</w:t>
            </w:r>
          </w:p>
          <w:p w:rsidR="003B37BD" w:rsidP="00143F84" w:rsidRDefault="003B37BD" w14:paraId="4BA51FED" w14:textId="77777777">
            <w:pPr>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w:t>
            </w:r>
            <w:proofErr w:type="gramStart"/>
            <w:r>
              <w:rPr>
                <w:rFonts w:ascii="Times New Roman" w:hAnsi="Times New Roman" w:eastAsia="Times New Roman" w:cs="Times New Roman"/>
                <w:b/>
                <w:sz w:val="26"/>
                <w:szCs w:val="26"/>
              </w:rPr>
              <w:t>5)÷</w:t>
            </w:r>
            <w:proofErr w:type="gramEnd"/>
            <w:r>
              <w:rPr>
                <w:rFonts w:ascii="Times New Roman" w:hAnsi="Times New Roman" w:eastAsia="Times New Roman" w:cs="Times New Roman"/>
                <w:b/>
                <w:sz w:val="26"/>
                <w:szCs w:val="26"/>
              </w:rPr>
              <w:t>(1)</w:t>
            </w:r>
          </w:p>
        </w:tc>
      </w:tr>
      <w:tr w:rsidR="007869BD" w:rsidTr="009766D0" w14:paraId="7C935102" w14:textId="77777777">
        <w:trPr>
          <w:cantSplit/>
        </w:trPr>
        <w:tc>
          <w:tcPr>
            <w:tcW w:w="763" w:type="pct"/>
            <w:tcBorders>
              <w:top w:val="single" w:color="auto" w:sz="4" w:space="0"/>
              <w:left w:val="single" w:color="auto" w:sz="4" w:space="0"/>
              <w:bottom w:val="single" w:color="auto" w:sz="4" w:space="0"/>
              <w:right w:val="single" w:color="auto" w:sz="4" w:space="0"/>
            </w:tcBorders>
            <w:vAlign w:val="center"/>
          </w:tcPr>
          <w:p w:rsidR="003B37BD" w:rsidP="009766D0" w:rsidRDefault="003B37BD" w14:paraId="006A3C39" w14:textId="14E3227B">
            <w:pPr>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219</w:t>
            </w:r>
          </w:p>
        </w:tc>
        <w:tc>
          <w:tcPr>
            <w:tcW w:w="761" w:type="pct"/>
            <w:tcBorders>
              <w:top w:val="single" w:color="auto" w:sz="4" w:space="0"/>
              <w:left w:val="single" w:color="auto" w:sz="4" w:space="0"/>
              <w:bottom w:val="single" w:color="auto" w:sz="4" w:space="0"/>
              <w:right w:val="single" w:color="auto" w:sz="4" w:space="0"/>
            </w:tcBorders>
            <w:vAlign w:val="center"/>
            <w:hideMark/>
          </w:tcPr>
          <w:p w:rsidR="003B37BD" w:rsidP="009766D0" w:rsidRDefault="003B37BD" w14:paraId="06950252" w14:textId="77777777">
            <w:pPr>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3.24</w:t>
            </w:r>
          </w:p>
        </w:tc>
        <w:tc>
          <w:tcPr>
            <w:tcW w:w="762" w:type="pct"/>
            <w:tcBorders>
              <w:top w:val="single" w:color="auto" w:sz="4" w:space="0"/>
              <w:left w:val="single" w:color="auto" w:sz="4" w:space="0"/>
              <w:bottom w:val="single" w:color="auto" w:sz="4" w:space="0"/>
              <w:right w:val="single" w:color="auto" w:sz="4" w:space="0"/>
            </w:tcBorders>
            <w:vAlign w:val="center"/>
            <w:hideMark/>
          </w:tcPr>
          <w:p w:rsidR="003B37BD" w:rsidP="009766D0" w:rsidRDefault="003B37BD" w14:paraId="1D86AC54" w14:textId="77777777">
            <w:pPr>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710 </w:t>
            </w:r>
          </w:p>
        </w:tc>
        <w:tc>
          <w:tcPr>
            <w:tcW w:w="667" w:type="pct"/>
            <w:tcBorders>
              <w:top w:val="single" w:color="auto" w:sz="4" w:space="0"/>
              <w:left w:val="single" w:color="auto" w:sz="4" w:space="0"/>
              <w:bottom w:val="single" w:color="auto" w:sz="4" w:space="0"/>
              <w:right w:val="single" w:color="auto" w:sz="4" w:space="0"/>
            </w:tcBorders>
            <w:vAlign w:val="center"/>
            <w:hideMark/>
          </w:tcPr>
          <w:p w:rsidR="003B37BD" w:rsidP="009766D0" w:rsidRDefault="003B37BD" w14:paraId="528DDBC1" w14:textId="6908C5C0">
            <w:pPr>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7</w:t>
            </w:r>
            <w:r w:rsidR="00C469C1">
              <w:rPr>
                <w:rFonts w:ascii="Times New Roman" w:hAnsi="Times New Roman" w:eastAsia="Times New Roman" w:cs="Times New Roman"/>
                <w:sz w:val="26"/>
                <w:szCs w:val="26"/>
              </w:rPr>
              <w:t>.8</w:t>
            </w:r>
            <w:r>
              <w:rPr>
                <w:rFonts w:ascii="Times New Roman" w:hAnsi="Times New Roman" w:eastAsia="Times New Roman" w:cs="Times New Roman"/>
                <w:sz w:val="26"/>
                <w:szCs w:val="26"/>
              </w:rPr>
              <w:t xml:space="preserve"> hrs.;</w:t>
            </w:r>
          </w:p>
          <w:p w:rsidR="003B37BD" w:rsidP="00C469C1" w:rsidRDefault="003B37BD" w14:paraId="27344F5F" w14:textId="2CCBFF0A">
            <w:pPr>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w:t>
            </w:r>
            <w:r w:rsidR="00C469C1">
              <w:rPr>
                <w:rFonts w:ascii="Times New Roman" w:hAnsi="Times New Roman" w:eastAsia="Times New Roman" w:cs="Times New Roman"/>
                <w:sz w:val="26"/>
                <w:szCs w:val="26"/>
              </w:rPr>
              <w:t>624</w:t>
            </w:r>
          </w:p>
        </w:tc>
        <w:tc>
          <w:tcPr>
            <w:tcW w:w="1144" w:type="pct"/>
            <w:tcBorders>
              <w:top w:val="single" w:color="auto" w:sz="4" w:space="0"/>
              <w:left w:val="single" w:color="auto" w:sz="4" w:space="0"/>
              <w:bottom w:val="single" w:color="auto" w:sz="4" w:space="0"/>
              <w:right w:val="single" w:color="auto" w:sz="4" w:space="0"/>
            </w:tcBorders>
            <w:vAlign w:val="center"/>
            <w:hideMark/>
          </w:tcPr>
          <w:p w:rsidR="003B37BD" w:rsidP="00492096" w:rsidRDefault="00C469C1" w14:paraId="1CD5BFFD" w14:textId="2903E5B2">
            <w:pPr>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5,538</w:t>
            </w:r>
            <w:r w:rsidR="003B37BD">
              <w:rPr>
                <w:rFonts w:ascii="Times New Roman" w:hAnsi="Times New Roman" w:eastAsia="Times New Roman" w:cs="Times New Roman"/>
                <w:sz w:val="26"/>
                <w:szCs w:val="26"/>
              </w:rPr>
              <w:t xml:space="preserve"> hrs.;</w:t>
            </w:r>
          </w:p>
          <w:p w:rsidR="003B37BD" w:rsidP="00C469C1" w:rsidRDefault="003B37BD" w14:paraId="4F330388" w14:textId="43045E1E">
            <w:pPr>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w:t>
            </w:r>
            <w:r w:rsidR="00C469C1">
              <w:rPr>
                <w:rFonts w:ascii="Times New Roman" w:hAnsi="Times New Roman" w:eastAsia="Times New Roman" w:cs="Times New Roman"/>
                <w:sz w:val="26"/>
                <w:szCs w:val="26"/>
              </w:rPr>
              <w:t>443</w:t>
            </w:r>
            <w:r>
              <w:rPr>
                <w:rFonts w:ascii="Times New Roman" w:hAnsi="Times New Roman" w:eastAsia="Times New Roman" w:cs="Times New Roman"/>
                <w:sz w:val="26"/>
                <w:szCs w:val="26"/>
              </w:rPr>
              <w:t>,</w:t>
            </w:r>
            <w:r w:rsidR="00C469C1">
              <w:rPr>
                <w:rFonts w:ascii="Times New Roman" w:hAnsi="Times New Roman" w:eastAsia="Times New Roman" w:cs="Times New Roman"/>
                <w:sz w:val="26"/>
                <w:szCs w:val="26"/>
              </w:rPr>
              <w:t>040</w:t>
            </w:r>
          </w:p>
        </w:tc>
        <w:tc>
          <w:tcPr>
            <w:tcW w:w="904" w:type="pct"/>
            <w:tcBorders>
              <w:top w:val="single" w:color="auto" w:sz="4" w:space="0"/>
              <w:left w:val="single" w:color="auto" w:sz="4" w:space="0"/>
              <w:bottom w:val="single" w:color="auto" w:sz="4" w:space="0"/>
              <w:right w:val="single" w:color="auto" w:sz="4" w:space="0"/>
            </w:tcBorders>
            <w:vAlign w:val="center"/>
            <w:hideMark/>
          </w:tcPr>
          <w:p w:rsidR="003B37BD" w:rsidP="00C469C1" w:rsidRDefault="003B37BD" w14:paraId="731B6234" w14:textId="1D441978">
            <w:pPr>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w:t>
            </w:r>
            <w:r w:rsidR="00C469C1">
              <w:rPr>
                <w:rFonts w:ascii="Times New Roman" w:hAnsi="Times New Roman" w:eastAsia="Times New Roman" w:cs="Times New Roman"/>
                <w:sz w:val="26"/>
                <w:szCs w:val="26"/>
              </w:rPr>
              <w:t>2,023</w:t>
            </w:r>
          </w:p>
        </w:tc>
      </w:tr>
    </w:tbl>
    <w:p w:rsidR="003B37BD" w:rsidP="003B37BD" w:rsidRDefault="003B37BD" w14:paraId="6A65A9F7" w14:textId="77777777">
      <w:pPr>
        <w:spacing w:after="0" w:line="240" w:lineRule="auto"/>
        <w:rPr>
          <w:rFonts w:ascii="Times New Roman" w:hAnsi="Times New Roman" w:cs="Times New Roman"/>
          <w:sz w:val="26"/>
          <w:szCs w:val="26"/>
        </w:rPr>
      </w:pPr>
    </w:p>
    <w:p w:rsidR="003B37BD" w:rsidP="003B37BD" w:rsidRDefault="003B37BD" w14:paraId="5936487D"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ESTIMATE OF THE TOTAL ANNUAL COST BURDEN TO RESPONDENTS</w:t>
      </w:r>
    </w:p>
    <w:p w:rsidR="003B37BD" w:rsidP="003B37BD" w:rsidRDefault="003B37BD" w14:paraId="1287C27F" w14:textId="77777777">
      <w:pPr>
        <w:spacing w:after="0" w:line="240" w:lineRule="auto"/>
        <w:rPr>
          <w:rFonts w:ascii="Times New Roman" w:hAnsi="Times New Roman" w:cs="Times New Roman"/>
          <w:sz w:val="26"/>
          <w:szCs w:val="26"/>
        </w:rPr>
      </w:pPr>
    </w:p>
    <w:p w:rsidR="003B37BD" w:rsidP="003B37BD" w:rsidRDefault="003B37BD" w14:paraId="7D3D48DE"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non-labor start-up costs. All costs are related to burden hours and are addressed in Questions #12 and #15.</w:t>
      </w:r>
    </w:p>
    <w:p w:rsidR="003B37BD" w:rsidP="003B37BD" w:rsidRDefault="003B37BD" w14:paraId="33215879" w14:textId="77777777">
      <w:pPr>
        <w:spacing w:after="0" w:line="240" w:lineRule="auto"/>
        <w:rPr>
          <w:rFonts w:ascii="Times New Roman" w:hAnsi="Times New Roman" w:cs="Times New Roman"/>
          <w:sz w:val="26"/>
          <w:szCs w:val="26"/>
        </w:rPr>
      </w:pPr>
    </w:p>
    <w:p w:rsidR="003B37BD" w:rsidP="003B37BD" w:rsidRDefault="003B37BD" w14:paraId="214BDC1F"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ESTIMATED ANNUALIZED COST TO FEDERAL GOVERNMENT</w:t>
      </w:r>
    </w:p>
    <w:p w:rsidR="003B37BD" w:rsidP="003B37BD" w:rsidRDefault="003B37BD" w14:paraId="764853A5" w14:textId="77777777">
      <w:pPr>
        <w:spacing w:after="0" w:line="240" w:lineRule="auto"/>
        <w:rPr>
          <w:rFonts w:ascii="Times New Roman" w:hAnsi="Times New Roman" w:cs="Times New Roman"/>
          <w:sz w:val="26"/>
          <w:szCs w:val="26"/>
        </w:rPr>
      </w:pPr>
    </w:p>
    <w:p w:rsidR="003B37BD" w:rsidP="003B37BD" w:rsidRDefault="003B37BD" w14:paraId="4FBDDE98" w14:textId="0B9B6304">
      <w:pPr>
        <w:spacing w:after="0" w:line="240" w:lineRule="auto"/>
        <w:rPr>
          <w:rFonts w:ascii="Times New Roman" w:hAnsi="Times New Roman" w:cs="Times New Roman"/>
          <w:sz w:val="26"/>
          <w:szCs w:val="26"/>
        </w:rPr>
      </w:pPr>
      <w:r>
        <w:rPr>
          <w:rFonts w:ascii="Times New Roman" w:hAnsi="Times New Roman" w:cs="Times New Roman"/>
          <w:sz w:val="26"/>
          <w:szCs w:val="26"/>
        </w:rPr>
        <w:t>The estimate of the cost for ‘analysis and processing of filings</w:t>
      </w:r>
      <w:r w:rsidR="00B52BC0">
        <w:rPr>
          <w:rFonts w:ascii="Times New Roman" w:hAnsi="Times New Roman" w:cs="Times New Roman"/>
          <w:sz w:val="26"/>
          <w:szCs w:val="26"/>
        </w:rPr>
        <w:t>’</w:t>
      </w:r>
      <w:r>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is based on salaries and benefits for professional and clerical support.  This estimated cost represents staff analysis, decision-making, and review of any actual filings submitted in response to the information collection. </w:t>
      </w:r>
    </w:p>
    <w:p w:rsidR="003B37BD" w:rsidP="003B37BD" w:rsidRDefault="003B37BD" w14:paraId="42115E96" w14:textId="77777777">
      <w:pPr>
        <w:spacing w:after="0" w:line="240" w:lineRule="auto"/>
        <w:rPr>
          <w:rFonts w:ascii="Times New Roman" w:hAnsi="Times New Roman" w:cs="Times New Roman"/>
          <w:sz w:val="26"/>
          <w:szCs w:val="26"/>
        </w:rPr>
      </w:pPr>
    </w:p>
    <w:p w:rsidR="003B37BD" w:rsidP="003B37BD" w:rsidRDefault="003B37BD" w14:paraId="2F667384"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Paperwork Reduction Act of 1995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3B37BD" w:rsidP="003B37BD" w:rsidRDefault="003B37BD" w14:paraId="086A4C53" w14:textId="77777777">
      <w:pPr>
        <w:spacing w:after="0" w:line="240" w:lineRule="auto"/>
        <w:rPr>
          <w:rFonts w:ascii="Times New Roman" w:hAnsi="Times New Roman" w:cs="Times New Roman"/>
          <w:sz w:val="26"/>
          <w:szCs w:val="26"/>
        </w:rPr>
      </w:pPr>
    </w:p>
    <w:p w:rsidR="003B37BD" w:rsidP="003B37BD" w:rsidRDefault="003B37BD" w14:paraId="70FEB68F"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estimated annualized cost to the Federal Government is as follows:</w:t>
      </w:r>
    </w:p>
    <w:p w:rsidR="003B37BD" w:rsidP="003B37BD" w:rsidRDefault="003B37BD" w14:paraId="76AE84CE" w14:textId="60FA4F71">
      <w:pPr>
        <w:spacing w:after="0" w:line="240" w:lineRule="auto"/>
        <w:rPr>
          <w:rFonts w:ascii="Times New Roman" w:hAnsi="Times New Roman" w:cs="Times New Roman"/>
          <w:sz w:val="26"/>
          <w:szCs w:val="26"/>
        </w:rPr>
      </w:pPr>
    </w:p>
    <w:p w:rsidR="00903137" w:rsidP="003B37BD" w:rsidRDefault="00903137" w14:paraId="7DC6822E" w14:textId="79BEBBAD">
      <w:pPr>
        <w:spacing w:after="0" w:line="240" w:lineRule="auto"/>
        <w:rPr>
          <w:rFonts w:ascii="Times New Roman" w:hAnsi="Times New Roman" w:cs="Times New Roman"/>
          <w:sz w:val="26"/>
          <w:szCs w:val="26"/>
        </w:rPr>
      </w:pPr>
      <w:r>
        <w:rPr>
          <w:rFonts w:ascii="Times New Roman" w:hAnsi="Times New Roman" w:cs="Times New Roman"/>
          <w:sz w:val="26"/>
          <w:szCs w:val="26"/>
        </w:rPr>
        <w:t>Table 2: Estimated Annual Cost to the Federal Government of FERC-550</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38"/>
        <w:gridCol w:w="2953"/>
        <w:gridCol w:w="2965"/>
      </w:tblGrid>
      <w:tr w:rsidR="003B37BD" w:rsidTr="003B37BD" w14:paraId="6798B378" w14:textId="77777777">
        <w:tc>
          <w:tcPr>
            <w:tcW w:w="2938" w:type="dxa"/>
            <w:tcBorders>
              <w:top w:val="single" w:color="auto" w:sz="4" w:space="0"/>
              <w:left w:val="single" w:color="auto" w:sz="4" w:space="0"/>
              <w:bottom w:val="single" w:color="auto" w:sz="4" w:space="0"/>
              <w:right w:val="single" w:color="auto" w:sz="4" w:space="0"/>
            </w:tcBorders>
            <w:shd w:val="clear" w:color="auto" w:fill="CCCCCC"/>
          </w:tcPr>
          <w:p w:rsidR="003B37BD" w:rsidRDefault="003B37BD" w14:paraId="2029D297"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tc>
        <w:tc>
          <w:tcPr>
            <w:tcW w:w="2953" w:type="dxa"/>
            <w:tcBorders>
              <w:top w:val="single" w:color="auto" w:sz="4" w:space="0"/>
              <w:left w:val="single" w:color="auto" w:sz="4" w:space="0"/>
              <w:bottom w:val="single" w:color="auto" w:sz="4" w:space="0"/>
              <w:right w:val="single" w:color="auto" w:sz="4" w:space="0"/>
            </w:tcBorders>
            <w:shd w:val="clear" w:color="auto" w:fill="CCCCCC"/>
            <w:hideMark/>
          </w:tcPr>
          <w:p w:rsidR="003B37BD" w:rsidRDefault="003B37BD" w14:paraId="7F80B927" w14:textId="77777777">
            <w:pPr>
              <w:widowControl w:val="0"/>
              <w:autoSpaceDE w:val="0"/>
              <w:autoSpaceDN w:val="0"/>
              <w:adjustRightInd w:val="0"/>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Number of Employees (FTEs)</w:t>
            </w:r>
          </w:p>
        </w:tc>
        <w:tc>
          <w:tcPr>
            <w:tcW w:w="2965" w:type="dxa"/>
            <w:tcBorders>
              <w:top w:val="single" w:color="auto" w:sz="4" w:space="0"/>
              <w:left w:val="single" w:color="auto" w:sz="4" w:space="0"/>
              <w:bottom w:val="single" w:color="auto" w:sz="4" w:space="0"/>
              <w:right w:val="single" w:color="auto" w:sz="4" w:space="0"/>
            </w:tcBorders>
            <w:shd w:val="clear" w:color="auto" w:fill="CCCCCC"/>
            <w:hideMark/>
          </w:tcPr>
          <w:p w:rsidR="003B37BD" w:rsidRDefault="003B37BD" w14:paraId="084C0641" w14:textId="77777777">
            <w:pPr>
              <w:widowControl w:val="0"/>
              <w:autoSpaceDE w:val="0"/>
              <w:autoSpaceDN w:val="0"/>
              <w:adjustRightInd w:val="0"/>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Estimated Annual Federal Cost</w:t>
            </w:r>
          </w:p>
        </w:tc>
      </w:tr>
      <w:tr w:rsidR="003B37BD" w:rsidTr="003B37BD" w14:paraId="3D3545D8" w14:textId="77777777">
        <w:tc>
          <w:tcPr>
            <w:tcW w:w="2938" w:type="dxa"/>
            <w:tcBorders>
              <w:top w:val="single" w:color="auto" w:sz="4" w:space="0"/>
              <w:left w:val="single" w:color="auto" w:sz="4" w:space="0"/>
              <w:bottom w:val="single" w:color="auto" w:sz="4" w:space="0"/>
              <w:right w:val="single" w:color="auto" w:sz="4" w:space="0"/>
            </w:tcBorders>
            <w:hideMark/>
          </w:tcPr>
          <w:p w:rsidR="003B37BD" w:rsidRDefault="003B37BD" w14:paraId="6829E3D9"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lastRenderedPageBreak/>
              <w:t>Analysis and Processing of Filings</w:t>
            </w:r>
          </w:p>
        </w:tc>
        <w:tc>
          <w:tcPr>
            <w:tcW w:w="2953" w:type="dxa"/>
            <w:tcBorders>
              <w:top w:val="single" w:color="auto" w:sz="4" w:space="0"/>
              <w:left w:val="single" w:color="auto" w:sz="4" w:space="0"/>
              <w:bottom w:val="single" w:color="auto" w:sz="4" w:space="0"/>
              <w:right w:val="single" w:color="auto" w:sz="4" w:space="0"/>
            </w:tcBorders>
            <w:hideMark/>
          </w:tcPr>
          <w:p w:rsidR="003B37BD" w:rsidRDefault="003B37BD" w14:paraId="2A16F332"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8</w:t>
            </w:r>
          </w:p>
        </w:tc>
        <w:tc>
          <w:tcPr>
            <w:tcW w:w="2965" w:type="dxa"/>
            <w:tcBorders>
              <w:top w:val="single" w:color="auto" w:sz="4" w:space="0"/>
              <w:left w:val="single" w:color="auto" w:sz="4" w:space="0"/>
              <w:bottom w:val="single" w:color="auto" w:sz="4" w:space="0"/>
              <w:right w:val="single" w:color="auto" w:sz="4" w:space="0"/>
            </w:tcBorders>
            <w:hideMark/>
          </w:tcPr>
          <w:p w:rsidR="003B37BD" w:rsidRDefault="003B37BD" w14:paraId="4D7C8634"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$1,336,728</w:t>
            </w:r>
          </w:p>
        </w:tc>
      </w:tr>
      <w:tr w:rsidR="003B37BD" w:rsidTr="003B37BD" w14:paraId="55F562E6" w14:textId="77777777">
        <w:tc>
          <w:tcPr>
            <w:tcW w:w="2938" w:type="dxa"/>
            <w:tcBorders>
              <w:top w:val="single" w:color="auto" w:sz="4" w:space="0"/>
              <w:left w:val="single" w:color="auto" w:sz="4" w:space="0"/>
              <w:bottom w:val="single" w:color="auto" w:sz="4" w:space="0"/>
              <w:right w:val="single" w:color="auto" w:sz="4" w:space="0"/>
            </w:tcBorders>
            <w:hideMark/>
          </w:tcPr>
          <w:p w:rsidR="003B37BD" w:rsidRDefault="003B37BD" w14:paraId="3FC537DA" w14:textId="63323B63">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PRA</w:t>
            </w:r>
            <w:r>
              <w:rPr>
                <w:rFonts w:ascii="Times New Roman" w:hAnsi="Times New Roman" w:eastAsia="Times New Roman" w:cs="Times New Roman"/>
                <w:b/>
                <w:sz w:val="26"/>
                <w:szCs w:val="26"/>
                <w:vertAlign w:val="superscript"/>
              </w:rPr>
              <w:footnoteReference w:id="9"/>
            </w:r>
            <w:r>
              <w:rPr>
                <w:rFonts w:ascii="Times New Roman" w:hAnsi="Times New Roman" w:eastAsia="Times New Roman" w:cs="Times New Roman"/>
                <w:sz w:val="26"/>
                <w:szCs w:val="26"/>
                <w:vertAlign w:val="superscript"/>
              </w:rPr>
              <w:t xml:space="preserve"> </w:t>
            </w:r>
            <w:r>
              <w:rPr>
                <w:rFonts w:ascii="Times New Roman" w:hAnsi="Times New Roman" w:eastAsia="Times New Roman" w:cs="Times New Roman"/>
                <w:sz w:val="26"/>
                <w:szCs w:val="26"/>
              </w:rPr>
              <w:t>Administrative Cost</w:t>
            </w:r>
          </w:p>
        </w:tc>
        <w:tc>
          <w:tcPr>
            <w:tcW w:w="295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3B37BD" w:rsidRDefault="003B37BD" w14:paraId="0BFC6B82"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p>
        </w:tc>
        <w:tc>
          <w:tcPr>
            <w:tcW w:w="2965" w:type="dxa"/>
            <w:tcBorders>
              <w:top w:val="single" w:color="auto" w:sz="4" w:space="0"/>
              <w:left w:val="single" w:color="auto" w:sz="4" w:space="0"/>
              <w:bottom w:val="single" w:color="auto" w:sz="4" w:space="0"/>
              <w:right w:val="single" w:color="auto" w:sz="4" w:space="0"/>
            </w:tcBorders>
            <w:hideMark/>
          </w:tcPr>
          <w:p w:rsidR="003B37BD" w:rsidRDefault="003B37BD" w14:paraId="6DB50E60"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$4,832</w:t>
            </w:r>
          </w:p>
        </w:tc>
      </w:tr>
      <w:tr w:rsidR="003B37BD" w:rsidTr="003B37BD" w14:paraId="77467F01" w14:textId="77777777">
        <w:tc>
          <w:tcPr>
            <w:tcW w:w="2938" w:type="dxa"/>
            <w:tcBorders>
              <w:top w:val="single" w:color="auto" w:sz="4" w:space="0"/>
              <w:left w:val="single" w:color="auto" w:sz="4" w:space="0"/>
              <w:bottom w:val="single" w:color="auto" w:sz="4" w:space="0"/>
              <w:right w:val="single" w:color="auto" w:sz="4" w:space="0"/>
            </w:tcBorders>
            <w:hideMark/>
          </w:tcPr>
          <w:p w:rsidR="003B37BD" w:rsidRDefault="003B37BD" w14:paraId="41DFEC4B" w14:textId="77777777">
            <w:pPr>
              <w:widowControl w:val="0"/>
              <w:autoSpaceDE w:val="0"/>
              <w:autoSpaceDN w:val="0"/>
              <w:adjustRightInd w:val="0"/>
              <w:spacing w:after="0" w:line="24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t>FERC Total</w:t>
            </w:r>
          </w:p>
        </w:tc>
        <w:tc>
          <w:tcPr>
            <w:tcW w:w="295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3B37BD" w:rsidRDefault="003B37BD" w14:paraId="4678D1D0"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p>
        </w:tc>
        <w:tc>
          <w:tcPr>
            <w:tcW w:w="2965" w:type="dxa"/>
            <w:tcBorders>
              <w:top w:val="single" w:color="auto" w:sz="4" w:space="0"/>
              <w:left w:val="single" w:color="auto" w:sz="4" w:space="0"/>
              <w:bottom w:val="single" w:color="auto" w:sz="4" w:space="0"/>
              <w:right w:val="single" w:color="auto" w:sz="4" w:space="0"/>
            </w:tcBorders>
            <w:hideMark/>
          </w:tcPr>
          <w:p w:rsidR="003B37BD" w:rsidRDefault="003B37BD" w14:paraId="2415E6DD"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$1,341,560</w:t>
            </w:r>
          </w:p>
        </w:tc>
      </w:tr>
    </w:tbl>
    <w:p w:rsidR="003B37BD" w:rsidP="003B37BD" w:rsidRDefault="003B37BD" w14:paraId="66833795" w14:textId="77777777">
      <w:pPr>
        <w:spacing w:after="0" w:line="240" w:lineRule="auto"/>
        <w:rPr>
          <w:rFonts w:ascii="Times New Roman" w:hAnsi="Times New Roman" w:cs="Times New Roman"/>
          <w:sz w:val="26"/>
          <w:szCs w:val="26"/>
        </w:rPr>
      </w:pPr>
    </w:p>
    <w:p w:rsidR="003B37BD" w:rsidP="003B37BD" w:rsidRDefault="003B37BD" w14:paraId="52F83076"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REASONS FOR CHANGES IN BURDEN INCLUDING THE NEED FOR ANY INCREASE</w:t>
      </w:r>
    </w:p>
    <w:p w:rsidR="003B37BD" w:rsidP="003B37BD" w:rsidRDefault="003B37BD" w14:paraId="1667F6D6" w14:textId="77777777">
      <w:pPr>
        <w:spacing w:after="0" w:line="240" w:lineRule="auto"/>
      </w:pPr>
    </w:p>
    <w:p w:rsidR="0034082F" w:rsidP="003B37BD" w:rsidRDefault="003B37BD" w14:paraId="787FEC17" w14:textId="0B96C7CD">
      <w:pPr>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cs="Times New Roman"/>
          <w:sz w:val="26"/>
          <w:szCs w:val="26"/>
        </w:rPr>
        <w:t xml:space="preserve">The reporting requirements and estimated average burden hours per response have not changed.  </w:t>
      </w:r>
      <w:r w:rsidR="00A03004">
        <w:rPr>
          <w:rFonts w:ascii="Times New Roman" w:hAnsi="Times New Roman" w:cs="Times New Roman"/>
          <w:sz w:val="26"/>
          <w:szCs w:val="26"/>
        </w:rPr>
        <w:t>In Question 12, t</w:t>
      </w:r>
      <w:r>
        <w:rPr>
          <w:rFonts w:ascii="Times New Roman" w:hAnsi="Times New Roman" w:cs="Times New Roman"/>
          <w:sz w:val="26"/>
          <w:szCs w:val="26"/>
        </w:rPr>
        <w:t>he number</w:t>
      </w:r>
      <w:r w:rsidR="007869BD">
        <w:rPr>
          <w:rFonts w:ascii="Times New Roman" w:hAnsi="Times New Roman" w:cs="Times New Roman"/>
          <w:sz w:val="26"/>
          <w:szCs w:val="26"/>
        </w:rPr>
        <w:t>s</w:t>
      </w:r>
      <w:r>
        <w:rPr>
          <w:rFonts w:ascii="Times New Roman" w:hAnsi="Times New Roman" w:cs="Times New Roman"/>
          <w:sz w:val="26"/>
          <w:szCs w:val="26"/>
        </w:rPr>
        <w:t xml:space="preserve"> </w:t>
      </w:r>
      <w:r w:rsidR="007869BD">
        <w:rPr>
          <w:rFonts w:ascii="Times New Roman" w:hAnsi="Times New Roman" w:cs="Times New Roman"/>
          <w:sz w:val="26"/>
          <w:szCs w:val="26"/>
        </w:rPr>
        <w:t xml:space="preserve">for </w:t>
      </w:r>
      <w:r>
        <w:rPr>
          <w:rFonts w:ascii="Times New Roman" w:hAnsi="Times New Roman" w:cs="Times New Roman"/>
          <w:sz w:val="26"/>
          <w:szCs w:val="26"/>
        </w:rPr>
        <w:t xml:space="preserve">respondents </w:t>
      </w:r>
      <w:r w:rsidR="00A03004">
        <w:rPr>
          <w:rFonts w:ascii="Times New Roman" w:hAnsi="Times New Roman" w:cs="Times New Roman"/>
          <w:sz w:val="26"/>
          <w:szCs w:val="26"/>
        </w:rPr>
        <w:t>and responses</w:t>
      </w:r>
      <w:r w:rsidR="007869BD">
        <w:rPr>
          <w:rFonts w:ascii="Times New Roman" w:hAnsi="Times New Roman" w:cs="Times New Roman"/>
          <w:sz w:val="26"/>
          <w:szCs w:val="26"/>
        </w:rPr>
        <w:t xml:space="preserve"> </w:t>
      </w:r>
      <w:r w:rsidR="00A03004">
        <w:rPr>
          <w:rFonts w:ascii="Times New Roman" w:hAnsi="Times New Roman" w:cs="Times New Roman"/>
          <w:sz w:val="26"/>
          <w:szCs w:val="26"/>
        </w:rPr>
        <w:t xml:space="preserve">are </w:t>
      </w:r>
      <w:r>
        <w:rPr>
          <w:rFonts w:ascii="Times New Roman" w:hAnsi="Times New Roman" w:cs="Times New Roman"/>
          <w:sz w:val="26"/>
          <w:szCs w:val="26"/>
        </w:rPr>
        <w:t xml:space="preserve">based on </w:t>
      </w:r>
      <w:r w:rsidR="00A03004">
        <w:rPr>
          <w:rFonts w:ascii="Times New Roman" w:hAnsi="Times New Roman" w:cs="Times New Roman"/>
          <w:sz w:val="26"/>
          <w:szCs w:val="26"/>
        </w:rPr>
        <w:t xml:space="preserve">a </w:t>
      </w:r>
      <w:r>
        <w:rPr>
          <w:rFonts w:ascii="Times New Roman" w:hAnsi="Times New Roman" w:cs="Times New Roman"/>
          <w:sz w:val="26"/>
          <w:szCs w:val="26"/>
        </w:rPr>
        <w:t>th</w:t>
      </w:r>
      <w:r w:rsidR="00A03004">
        <w:rPr>
          <w:rFonts w:ascii="Times New Roman" w:hAnsi="Times New Roman" w:cs="Times New Roman"/>
          <w:sz w:val="26"/>
          <w:szCs w:val="26"/>
        </w:rPr>
        <w:t>ree-year average of the</w:t>
      </w:r>
      <w:r>
        <w:rPr>
          <w:rFonts w:ascii="Times New Roman" w:hAnsi="Times New Roman" w:cs="Times New Roman"/>
          <w:sz w:val="26"/>
          <w:szCs w:val="26"/>
        </w:rPr>
        <w:t xml:space="preserve"> number of actual </w:t>
      </w:r>
      <w:r w:rsidR="007869BD">
        <w:rPr>
          <w:rFonts w:ascii="Times New Roman" w:hAnsi="Times New Roman" w:cs="Times New Roman"/>
          <w:sz w:val="26"/>
          <w:szCs w:val="26"/>
        </w:rPr>
        <w:t xml:space="preserve">responses </w:t>
      </w:r>
      <w:r>
        <w:rPr>
          <w:rFonts w:ascii="Times New Roman" w:hAnsi="Times New Roman" w:cs="Times New Roman"/>
          <w:sz w:val="26"/>
          <w:szCs w:val="26"/>
        </w:rPr>
        <w:t xml:space="preserve">FERC received </w:t>
      </w:r>
      <w:r w:rsidR="00A03004">
        <w:rPr>
          <w:rFonts w:ascii="Times New Roman" w:hAnsi="Times New Roman" w:cs="Times New Roman"/>
          <w:sz w:val="26"/>
          <w:szCs w:val="26"/>
        </w:rPr>
        <w:t>from 2016-</w:t>
      </w:r>
      <w:r>
        <w:rPr>
          <w:rFonts w:ascii="Times New Roman" w:hAnsi="Times New Roman" w:cs="Times New Roman"/>
          <w:sz w:val="26"/>
          <w:szCs w:val="26"/>
        </w:rPr>
        <w:t xml:space="preserve">2018.  While the number of </w:t>
      </w:r>
      <w:r w:rsidR="007869BD">
        <w:rPr>
          <w:rFonts w:ascii="Times New Roman" w:hAnsi="Times New Roman" w:cs="Times New Roman"/>
          <w:sz w:val="26"/>
          <w:szCs w:val="26"/>
        </w:rPr>
        <w:t xml:space="preserve">responses </w:t>
      </w:r>
      <w:r>
        <w:rPr>
          <w:rFonts w:ascii="Times New Roman" w:hAnsi="Times New Roman" w:cs="Times New Roman"/>
          <w:sz w:val="26"/>
          <w:szCs w:val="26"/>
        </w:rPr>
        <w:t xml:space="preserve">fluctuates from year to year, recent data on the actual number of </w:t>
      </w:r>
      <w:r w:rsidR="007869BD">
        <w:rPr>
          <w:rFonts w:ascii="Times New Roman" w:hAnsi="Times New Roman" w:cs="Times New Roman"/>
          <w:sz w:val="26"/>
          <w:szCs w:val="26"/>
        </w:rPr>
        <w:t xml:space="preserve">responses </w:t>
      </w:r>
      <w:r w:rsidR="00A03004">
        <w:rPr>
          <w:rFonts w:ascii="Times New Roman" w:hAnsi="Times New Roman" w:cs="Times New Roman"/>
          <w:sz w:val="26"/>
          <w:szCs w:val="26"/>
        </w:rPr>
        <w:t>should be</w:t>
      </w:r>
      <w:r>
        <w:rPr>
          <w:rFonts w:ascii="Times New Roman" w:hAnsi="Times New Roman" w:cs="Times New Roman"/>
          <w:sz w:val="26"/>
          <w:szCs w:val="26"/>
        </w:rPr>
        <w:t xml:space="preserve"> representative of the number of </w:t>
      </w:r>
      <w:r w:rsidR="007869BD">
        <w:rPr>
          <w:rFonts w:ascii="Times New Roman" w:hAnsi="Times New Roman" w:cs="Times New Roman"/>
          <w:sz w:val="26"/>
          <w:szCs w:val="26"/>
        </w:rPr>
        <w:t xml:space="preserve">responses </w:t>
      </w:r>
      <w:r>
        <w:rPr>
          <w:rFonts w:ascii="Times New Roman" w:hAnsi="Times New Roman" w:cs="Times New Roman"/>
          <w:sz w:val="26"/>
          <w:szCs w:val="26"/>
        </w:rPr>
        <w:t>for the next three years</w:t>
      </w:r>
      <w:r w:rsidR="00A03004">
        <w:rPr>
          <w:rFonts w:ascii="Times New Roman" w:hAnsi="Times New Roman" w:cs="Times New Roman"/>
          <w:sz w:val="26"/>
          <w:szCs w:val="26"/>
        </w:rPr>
        <w:t>. T</w:t>
      </w:r>
      <w:r>
        <w:rPr>
          <w:rFonts w:ascii="Times New Roman" w:hAnsi="Times New Roman" w:cs="Times New Roman"/>
          <w:sz w:val="26"/>
          <w:szCs w:val="26"/>
        </w:rPr>
        <w:t xml:space="preserve">he Commission received a record number of </w:t>
      </w:r>
      <w:r w:rsidR="007869BD">
        <w:rPr>
          <w:rFonts w:ascii="Times New Roman" w:hAnsi="Times New Roman" w:cs="Times New Roman"/>
          <w:sz w:val="26"/>
          <w:szCs w:val="26"/>
        </w:rPr>
        <w:t xml:space="preserve">responses </w:t>
      </w:r>
      <w:r>
        <w:rPr>
          <w:rFonts w:ascii="Times New Roman" w:hAnsi="Times New Roman" w:cs="Times New Roman"/>
          <w:sz w:val="26"/>
          <w:szCs w:val="26"/>
        </w:rPr>
        <w:t>in 2018</w:t>
      </w:r>
      <w:r w:rsidR="00A03004">
        <w:rPr>
          <w:rFonts w:ascii="Times New Roman" w:hAnsi="Times New Roman" w:cs="Times New Roman"/>
          <w:sz w:val="26"/>
          <w:szCs w:val="26"/>
        </w:rPr>
        <w:t xml:space="preserve"> and will likely see high numbers of </w:t>
      </w:r>
      <w:r w:rsidR="007869BD">
        <w:rPr>
          <w:rFonts w:ascii="Times New Roman" w:hAnsi="Times New Roman" w:cs="Times New Roman"/>
          <w:sz w:val="26"/>
          <w:szCs w:val="26"/>
        </w:rPr>
        <w:t xml:space="preserve">responses </w:t>
      </w:r>
      <w:r w:rsidR="000131F0">
        <w:rPr>
          <w:rFonts w:ascii="Times New Roman" w:hAnsi="Times New Roman" w:cs="Times New Roman"/>
          <w:sz w:val="26"/>
          <w:szCs w:val="26"/>
        </w:rPr>
        <w:t xml:space="preserve">continue </w:t>
      </w:r>
      <w:r w:rsidR="00A03004">
        <w:rPr>
          <w:rFonts w:ascii="Times New Roman" w:hAnsi="Times New Roman" w:cs="Times New Roman"/>
          <w:sz w:val="26"/>
          <w:szCs w:val="26"/>
        </w:rPr>
        <w:t>in the next three years</w:t>
      </w:r>
      <w:r>
        <w:rPr>
          <w:rFonts w:ascii="Times New Roman" w:hAnsi="Times New Roman" w:cs="Times New Roman"/>
          <w:sz w:val="26"/>
          <w:szCs w:val="26"/>
        </w:rPr>
        <w:t xml:space="preserve">.  The decrease in </w:t>
      </w:r>
      <w:r w:rsidR="007869BD">
        <w:rPr>
          <w:rFonts w:ascii="Times New Roman" w:hAnsi="Times New Roman" w:cs="Times New Roman"/>
          <w:sz w:val="26"/>
          <w:szCs w:val="26"/>
        </w:rPr>
        <w:t xml:space="preserve">the average </w:t>
      </w:r>
      <w:r>
        <w:rPr>
          <w:rFonts w:ascii="Times New Roman" w:hAnsi="Times New Roman" w:cs="Times New Roman"/>
          <w:sz w:val="26"/>
          <w:szCs w:val="26"/>
        </w:rPr>
        <w:t xml:space="preserve">number of respondents is due to an actual </w:t>
      </w:r>
      <w:r w:rsidR="007869BD">
        <w:rPr>
          <w:rFonts w:ascii="Times New Roman" w:hAnsi="Times New Roman" w:cs="Times New Roman"/>
          <w:sz w:val="26"/>
          <w:szCs w:val="26"/>
        </w:rPr>
        <w:t xml:space="preserve">decrease in </w:t>
      </w:r>
      <w:r>
        <w:rPr>
          <w:rFonts w:ascii="Times New Roman" w:hAnsi="Times New Roman" w:cs="Times New Roman"/>
          <w:sz w:val="26"/>
          <w:szCs w:val="26"/>
        </w:rPr>
        <w:t>respondent</w:t>
      </w:r>
      <w:r w:rsidR="007869BD">
        <w:rPr>
          <w:rFonts w:ascii="Times New Roman" w:hAnsi="Times New Roman" w:cs="Times New Roman"/>
          <w:sz w:val="26"/>
          <w:szCs w:val="26"/>
        </w:rPr>
        <w:t xml:space="preserve"> count from 2016-2018</w:t>
      </w:r>
      <w:r>
        <w:rPr>
          <w:rFonts w:ascii="Times New Roman" w:hAnsi="Times New Roman" w:cs="Times New Roman"/>
          <w:sz w:val="26"/>
          <w:szCs w:val="26"/>
        </w:rPr>
        <w:t xml:space="preserve">. </w:t>
      </w:r>
      <w:r>
        <w:rPr>
          <w:rFonts w:ascii="Times New Roman" w:hAnsi="Times New Roman" w:eastAsia="Times New Roman" w:cs="Times New Roman"/>
          <w:sz w:val="26"/>
          <w:szCs w:val="26"/>
        </w:rPr>
        <w:t xml:space="preserve">Thus, the </w:t>
      </w:r>
      <w:r w:rsidR="007869BD">
        <w:rPr>
          <w:rFonts w:ascii="Times New Roman" w:hAnsi="Times New Roman" w:eastAsia="Times New Roman" w:cs="Times New Roman"/>
          <w:sz w:val="26"/>
          <w:szCs w:val="26"/>
        </w:rPr>
        <w:t xml:space="preserve">average </w:t>
      </w:r>
      <w:r>
        <w:rPr>
          <w:rFonts w:ascii="Times New Roman" w:hAnsi="Times New Roman" w:eastAsia="Times New Roman" w:cs="Times New Roman"/>
          <w:sz w:val="26"/>
          <w:szCs w:val="26"/>
        </w:rPr>
        <w:t xml:space="preserve">number of </w:t>
      </w:r>
      <w:r w:rsidR="007869BD">
        <w:rPr>
          <w:rFonts w:ascii="Times New Roman" w:hAnsi="Times New Roman" w:eastAsia="Times New Roman" w:cs="Times New Roman"/>
          <w:sz w:val="26"/>
          <w:szCs w:val="26"/>
        </w:rPr>
        <w:t xml:space="preserve">responses per year </w:t>
      </w:r>
      <w:r>
        <w:rPr>
          <w:rFonts w:ascii="Times New Roman" w:hAnsi="Times New Roman" w:eastAsia="Times New Roman" w:cs="Times New Roman"/>
          <w:sz w:val="26"/>
          <w:szCs w:val="26"/>
        </w:rPr>
        <w:t>decreased and the total estimated annual burden hours has also appropriately decreased due to actual filings.</w:t>
      </w:r>
    </w:p>
    <w:p w:rsidR="0034082F" w:rsidP="003B37BD" w:rsidRDefault="0034082F" w14:paraId="03AB2A94" w14:textId="77777777">
      <w:pPr>
        <w:autoSpaceDE w:val="0"/>
        <w:autoSpaceDN w:val="0"/>
        <w:adjustRightInd w:val="0"/>
        <w:spacing w:after="0" w:line="240" w:lineRule="auto"/>
        <w:rPr>
          <w:rFonts w:ascii="Times New Roman" w:hAnsi="Times New Roman" w:eastAsia="Times New Roman" w:cs="Times New Roman"/>
          <w:sz w:val="26"/>
          <w:szCs w:val="26"/>
        </w:rPr>
      </w:pPr>
    </w:p>
    <w:p w:rsidRPr="00680504" w:rsidR="00680504" w:rsidP="00680504" w:rsidRDefault="00680504" w14:paraId="37498C01" w14:textId="5CDABC07">
      <w:pPr>
        <w:rPr>
          <w:rFonts w:ascii="Times New Roman" w:hAnsi="Times New Roman" w:eastAsia="Times New Roman" w:cs="Times New Roman"/>
          <w:sz w:val="26"/>
          <w:szCs w:val="26"/>
        </w:rPr>
      </w:pPr>
      <w:r w:rsidRPr="00680504">
        <w:rPr>
          <w:rFonts w:ascii="Times New Roman" w:hAnsi="Times New Roman" w:eastAsia="Times New Roman" w:cs="Times New Roman"/>
          <w:sz w:val="26"/>
          <w:szCs w:val="26"/>
        </w:rPr>
        <w:t>The format, labels, and definitions of the table follow the ROCIS submission system’s “Information Collection Request Summary of Burden” for the metadata.</w:t>
      </w:r>
    </w:p>
    <w:p w:rsidR="00903137" w:rsidP="003B37BD" w:rsidRDefault="00903137" w14:paraId="5FE6C26A" w14:textId="28A4A1F7">
      <w:pPr>
        <w:spacing w:after="0" w:line="240" w:lineRule="auto"/>
        <w:rPr>
          <w:rFonts w:ascii="Times New Roman" w:hAnsi="Times New Roman" w:cs="Times New Roman"/>
          <w:sz w:val="26"/>
          <w:szCs w:val="26"/>
        </w:rPr>
      </w:pPr>
      <w:r>
        <w:rPr>
          <w:rFonts w:ascii="Times New Roman" w:hAnsi="Times New Roman" w:cs="Times New Roman"/>
          <w:sz w:val="26"/>
          <w:szCs w:val="26"/>
        </w:rPr>
        <w:t>Table 3: Change in Respon</w:t>
      </w:r>
      <w:r w:rsidR="00F759DC">
        <w:rPr>
          <w:rFonts w:ascii="Times New Roman" w:hAnsi="Times New Roman" w:cs="Times New Roman"/>
          <w:sz w:val="26"/>
          <w:szCs w:val="26"/>
        </w:rPr>
        <w:t>ses</w:t>
      </w:r>
      <w:r>
        <w:rPr>
          <w:rFonts w:ascii="Times New Roman" w:hAnsi="Times New Roman" w:cs="Times New Roman"/>
          <w:sz w:val="26"/>
          <w:szCs w:val="26"/>
        </w:rPr>
        <w:t xml:space="preserve"> and Burden Hours from Previous Collection </w:t>
      </w:r>
    </w:p>
    <w:tbl>
      <w:tblPr>
        <w:tblW w:w="1035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2"/>
        <w:gridCol w:w="1779"/>
        <w:gridCol w:w="1959"/>
        <w:gridCol w:w="1958"/>
        <w:gridCol w:w="1960"/>
      </w:tblGrid>
      <w:tr w:rsidR="003B37BD" w:rsidTr="003B37BD" w14:paraId="4B72A733" w14:textId="77777777">
        <w:trPr>
          <w:trHeight w:val="870"/>
        </w:trPr>
        <w:tc>
          <w:tcPr>
            <w:tcW w:w="2702"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3B37BD" w:rsidRDefault="003B37BD" w14:paraId="644BAEE9"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FERC-550</w:t>
            </w:r>
          </w:p>
        </w:tc>
        <w:tc>
          <w:tcPr>
            <w:tcW w:w="17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3B37BD" w:rsidRDefault="003B37BD" w14:paraId="4682165B"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Total Request</w:t>
            </w:r>
          </w:p>
        </w:tc>
        <w:tc>
          <w:tcPr>
            <w:tcW w:w="195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3B37BD" w:rsidRDefault="003B37BD" w14:paraId="07A0889D"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Previously Approved</w:t>
            </w:r>
          </w:p>
        </w:tc>
        <w:tc>
          <w:tcPr>
            <w:tcW w:w="1958"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3B37BD" w:rsidRDefault="003B37BD" w14:paraId="34A5A390"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Change due to Adjustment in Estimate</w:t>
            </w:r>
          </w:p>
        </w:tc>
        <w:tc>
          <w:tcPr>
            <w:tcW w:w="196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3B37BD" w:rsidRDefault="003B37BD" w14:paraId="51808B73" w14:textId="77777777">
            <w:pPr>
              <w:spacing w:after="0" w:line="240" w:lineRule="auto"/>
              <w:rPr>
                <w:rFonts w:ascii="Times New Roman" w:hAnsi="Times New Roman" w:cs="Times New Roman"/>
                <w:b/>
                <w:sz w:val="26"/>
                <w:szCs w:val="26"/>
              </w:rPr>
            </w:pPr>
            <w:r>
              <w:rPr>
                <w:rFonts w:ascii="Times New Roman" w:hAnsi="Times New Roman" w:cs="Times New Roman"/>
                <w:b/>
                <w:sz w:val="26"/>
                <w:szCs w:val="26"/>
              </w:rPr>
              <w:t>Change Due to Agency Discretion</w:t>
            </w:r>
          </w:p>
        </w:tc>
      </w:tr>
      <w:tr w:rsidR="003B37BD" w:rsidTr="00D861D6" w14:paraId="7CF6F1EC" w14:textId="77777777">
        <w:trPr>
          <w:trHeight w:val="591"/>
        </w:trPr>
        <w:tc>
          <w:tcPr>
            <w:tcW w:w="2702" w:type="dxa"/>
            <w:tcBorders>
              <w:top w:val="single" w:color="auto" w:sz="4" w:space="0"/>
              <w:left w:val="single" w:color="auto" w:sz="4" w:space="0"/>
              <w:bottom w:val="single" w:color="auto" w:sz="4" w:space="0"/>
              <w:right w:val="single" w:color="auto" w:sz="4" w:space="0"/>
            </w:tcBorders>
            <w:hideMark/>
          </w:tcPr>
          <w:p w:rsidR="003B37BD" w:rsidRDefault="003B37BD" w14:paraId="08852300"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Annual Number of Responses</w:t>
            </w:r>
          </w:p>
        </w:tc>
        <w:tc>
          <w:tcPr>
            <w:tcW w:w="1779" w:type="dxa"/>
            <w:tcBorders>
              <w:top w:val="single" w:color="auto" w:sz="4" w:space="0"/>
              <w:left w:val="single" w:color="auto" w:sz="4" w:space="0"/>
              <w:bottom w:val="single" w:color="auto" w:sz="4" w:space="0"/>
              <w:right w:val="single" w:color="auto" w:sz="4" w:space="0"/>
            </w:tcBorders>
            <w:vAlign w:val="center"/>
            <w:hideMark/>
          </w:tcPr>
          <w:p w:rsidR="003B37BD" w:rsidP="00903137" w:rsidRDefault="003B37BD" w14:paraId="769C77CF"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710</w:t>
            </w:r>
          </w:p>
        </w:tc>
        <w:tc>
          <w:tcPr>
            <w:tcW w:w="1959" w:type="dxa"/>
            <w:tcBorders>
              <w:top w:val="single" w:color="auto" w:sz="4" w:space="0"/>
              <w:left w:val="single" w:color="auto" w:sz="4" w:space="0"/>
              <w:bottom w:val="single" w:color="auto" w:sz="4" w:space="0"/>
              <w:right w:val="single" w:color="auto" w:sz="4" w:space="0"/>
            </w:tcBorders>
            <w:vAlign w:val="center"/>
            <w:hideMark/>
          </w:tcPr>
          <w:p w:rsidR="003B37BD" w:rsidP="00492096" w:rsidRDefault="003B37BD" w14:paraId="6BAD44F8"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765</w:t>
            </w:r>
          </w:p>
        </w:tc>
        <w:tc>
          <w:tcPr>
            <w:tcW w:w="1958" w:type="dxa"/>
            <w:tcBorders>
              <w:top w:val="single" w:color="auto" w:sz="4" w:space="0"/>
              <w:left w:val="single" w:color="auto" w:sz="4" w:space="0"/>
              <w:bottom w:val="single" w:color="auto" w:sz="4" w:space="0"/>
              <w:right w:val="single" w:color="auto" w:sz="4" w:space="0"/>
            </w:tcBorders>
            <w:vAlign w:val="center"/>
            <w:hideMark/>
          </w:tcPr>
          <w:p w:rsidR="003B37BD" w:rsidRDefault="003B37BD" w14:paraId="713BD933"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-55</w:t>
            </w:r>
          </w:p>
        </w:tc>
        <w:tc>
          <w:tcPr>
            <w:tcW w:w="1960" w:type="dxa"/>
            <w:tcBorders>
              <w:top w:val="single" w:color="auto" w:sz="4" w:space="0"/>
              <w:left w:val="single" w:color="auto" w:sz="4" w:space="0"/>
              <w:bottom w:val="single" w:color="auto" w:sz="4" w:space="0"/>
              <w:right w:val="single" w:color="auto" w:sz="4" w:space="0"/>
            </w:tcBorders>
            <w:vAlign w:val="center"/>
            <w:hideMark/>
          </w:tcPr>
          <w:p w:rsidR="003B37BD" w:rsidRDefault="00B52BC0" w14:paraId="20086427" w14:textId="3868C822">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0</w:t>
            </w:r>
          </w:p>
        </w:tc>
      </w:tr>
      <w:tr w:rsidR="003B37BD" w:rsidTr="00D861D6" w14:paraId="7F66C3C8" w14:textId="77777777">
        <w:trPr>
          <w:trHeight w:val="575"/>
        </w:trPr>
        <w:tc>
          <w:tcPr>
            <w:tcW w:w="2702" w:type="dxa"/>
            <w:tcBorders>
              <w:top w:val="single" w:color="auto" w:sz="4" w:space="0"/>
              <w:left w:val="single" w:color="auto" w:sz="4" w:space="0"/>
              <w:bottom w:val="single" w:color="auto" w:sz="4" w:space="0"/>
              <w:right w:val="single" w:color="auto" w:sz="4" w:space="0"/>
            </w:tcBorders>
            <w:hideMark/>
          </w:tcPr>
          <w:p w:rsidR="003B37BD" w:rsidRDefault="003B37BD" w14:paraId="28ABEF0F"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Annual Time Burden (Hr.)</w:t>
            </w:r>
          </w:p>
        </w:tc>
        <w:tc>
          <w:tcPr>
            <w:tcW w:w="1779" w:type="dxa"/>
            <w:tcBorders>
              <w:top w:val="single" w:color="auto" w:sz="4" w:space="0"/>
              <w:left w:val="single" w:color="auto" w:sz="4" w:space="0"/>
              <w:bottom w:val="single" w:color="auto" w:sz="4" w:space="0"/>
              <w:right w:val="single" w:color="auto" w:sz="4" w:space="0"/>
            </w:tcBorders>
            <w:vAlign w:val="center"/>
            <w:hideMark/>
          </w:tcPr>
          <w:p w:rsidR="003B37BD" w:rsidP="00903137" w:rsidRDefault="00C469C1" w14:paraId="66FEE3E5" w14:textId="4EE63DF2">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5,538</w:t>
            </w:r>
          </w:p>
        </w:tc>
        <w:tc>
          <w:tcPr>
            <w:tcW w:w="1959" w:type="dxa"/>
            <w:tcBorders>
              <w:top w:val="single" w:color="auto" w:sz="4" w:space="0"/>
              <w:left w:val="single" w:color="auto" w:sz="4" w:space="0"/>
              <w:bottom w:val="single" w:color="auto" w:sz="4" w:space="0"/>
              <w:right w:val="single" w:color="auto" w:sz="4" w:space="0"/>
            </w:tcBorders>
            <w:vAlign w:val="center"/>
            <w:hideMark/>
          </w:tcPr>
          <w:p w:rsidR="003B37BD" w:rsidP="00903137" w:rsidRDefault="003B37BD" w14:paraId="5B79B30A"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5,978</w:t>
            </w:r>
          </w:p>
        </w:tc>
        <w:tc>
          <w:tcPr>
            <w:tcW w:w="1958" w:type="dxa"/>
            <w:tcBorders>
              <w:top w:val="single" w:color="auto" w:sz="4" w:space="0"/>
              <w:left w:val="single" w:color="auto" w:sz="4" w:space="0"/>
              <w:bottom w:val="single" w:color="auto" w:sz="4" w:space="0"/>
              <w:right w:val="single" w:color="auto" w:sz="4" w:space="0"/>
            </w:tcBorders>
            <w:vAlign w:val="center"/>
            <w:hideMark/>
          </w:tcPr>
          <w:p w:rsidR="003B37BD" w:rsidP="00C469C1" w:rsidRDefault="003B37BD" w14:paraId="66D66138" w14:textId="396B714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C469C1">
              <w:rPr>
                <w:rFonts w:ascii="Times New Roman" w:hAnsi="Times New Roman" w:cs="Times New Roman"/>
                <w:sz w:val="26"/>
                <w:szCs w:val="26"/>
              </w:rPr>
              <w:t>440</w:t>
            </w:r>
          </w:p>
        </w:tc>
        <w:tc>
          <w:tcPr>
            <w:tcW w:w="1960" w:type="dxa"/>
            <w:tcBorders>
              <w:top w:val="single" w:color="auto" w:sz="4" w:space="0"/>
              <w:left w:val="single" w:color="auto" w:sz="4" w:space="0"/>
              <w:bottom w:val="single" w:color="auto" w:sz="4" w:space="0"/>
              <w:right w:val="single" w:color="auto" w:sz="4" w:space="0"/>
            </w:tcBorders>
            <w:vAlign w:val="center"/>
            <w:hideMark/>
          </w:tcPr>
          <w:p w:rsidR="003B37BD" w:rsidP="00903137" w:rsidRDefault="003B37BD" w14:paraId="495C9256"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3B37BD" w:rsidTr="00D861D6" w14:paraId="2E37313D" w14:textId="77777777">
        <w:trPr>
          <w:trHeight w:val="295"/>
        </w:trPr>
        <w:tc>
          <w:tcPr>
            <w:tcW w:w="2702" w:type="dxa"/>
            <w:tcBorders>
              <w:top w:val="single" w:color="auto" w:sz="4" w:space="0"/>
              <w:left w:val="single" w:color="auto" w:sz="4" w:space="0"/>
              <w:bottom w:val="single" w:color="auto" w:sz="4" w:space="0"/>
              <w:right w:val="single" w:color="auto" w:sz="4" w:space="0"/>
            </w:tcBorders>
            <w:hideMark/>
          </w:tcPr>
          <w:p w:rsidR="003B37BD" w:rsidRDefault="003B37BD" w14:paraId="2471C7FE"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Annual Cost Burden ($)</w:t>
            </w:r>
          </w:p>
        </w:tc>
        <w:tc>
          <w:tcPr>
            <w:tcW w:w="1779" w:type="dxa"/>
            <w:tcBorders>
              <w:top w:val="single" w:color="auto" w:sz="4" w:space="0"/>
              <w:left w:val="single" w:color="auto" w:sz="4" w:space="0"/>
              <w:bottom w:val="single" w:color="auto" w:sz="4" w:space="0"/>
              <w:right w:val="single" w:color="auto" w:sz="4" w:space="0"/>
            </w:tcBorders>
            <w:vAlign w:val="center"/>
            <w:hideMark/>
          </w:tcPr>
          <w:p w:rsidR="003B37BD" w:rsidP="00903137" w:rsidRDefault="003B37BD" w14:paraId="3C122A53"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959" w:type="dxa"/>
            <w:tcBorders>
              <w:top w:val="single" w:color="auto" w:sz="4" w:space="0"/>
              <w:left w:val="single" w:color="auto" w:sz="4" w:space="0"/>
              <w:bottom w:val="single" w:color="auto" w:sz="4" w:space="0"/>
              <w:right w:val="single" w:color="auto" w:sz="4" w:space="0"/>
            </w:tcBorders>
            <w:vAlign w:val="center"/>
            <w:hideMark/>
          </w:tcPr>
          <w:p w:rsidR="003B37BD" w:rsidP="00492096" w:rsidRDefault="003B37BD" w14:paraId="1FEE7DD5"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958" w:type="dxa"/>
            <w:tcBorders>
              <w:top w:val="single" w:color="auto" w:sz="4" w:space="0"/>
              <w:left w:val="single" w:color="auto" w:sz="4" w:space="0"/>
              <w:bottom w:val="single" w:color="auto" w:sz="4" w:space="0"/>
              <w:right w:val="single" w:color="auto" w:sz="4" w:space="0"/>
            </w:tcBorders>
            <w:vAlign w:val="center"/>
            <w:hideMark/>
          </w:tcPr>
          <w:p w:rsidR="003B37BD" w:rsidRDefault="003B37BD" w14:paraId="1B5E1964"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960" w:type="dxa"/>
            <w:tcBorders>
              <w:top w:val="single" w:color="auto" w:sz="4" w:space="0"/>
              <w:left w:val="single" w:color="auto" w:sz="4" w:space="0"/>
              <w:bottom w:val="single" w:color="auto" w:sz="4" w:space="0"/>
              <w:right w:val="single" w:color="auto" w:sz="4" w:space="0"/>
            </w:tcBorders>
            <w:vAlign w:val="center"/>
            <w:hideMark/>
          </w:tcPr>
          <w:p w:rsidR="003B37BD" w:rsidRDefault="003B37BD" w14:paraId="0400CFF9" w14:textId="7777777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bl>
    <w:p w:rsidR="003B37BD" w:rsidP="003B37BD" w:rsidRDefault="003B37BD" w14:paraId="1668CA54"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003B37BD" w:rsidP="003B37BD" w:rsidRDefault="003B37BD" w14:paraId="4D26B1D6"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TIME SCHEDULE FOR PUBLICATION OF DATA</w:t>
      </w:r>
    </w:p>
    <w:p w:rsidR="003B37BD" w:rsidP="003B37BD" w:rsidRDefault="003B37BD" w14:paraId="608136DB" w14:textId="77777777">
      <w:pPr>
        <w:spacing w:after="0" w:line="240" w:lineRule="auto"/>
        <w:rPr>
          <w:rFonts w:ascii="Times New Roman" w:hAnsi="Times New Roman" w:cs="Times New Roman"/>
          <w:sz w:val="26"/>
          <w:szCs w:val="26"/>
        </w:rPr>
      </w:pPr>
    </w:p>
    <w:p w:rsidR="003B37BD" w:rsidP="003B37BD" w:rsidRDefault="003B37BD" w14:paraId="582260C6"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Commission does not publish data associated with this collection.  Tariff filings are available publicly through the Commission’s </w:t>
      </w:r>
      <w:proofErr w:type="spellStart"/>
      <w:r>
        <w:rPr>
          <w:rFonts w:ascii="Times New Roman" w:hAnsi="Times New Roman" w:cs="Times New Roman"/>
          <w:sz w:val="26"/>
          <w:szCs w:val="26"/>
        </w:rPr>
        <w:t>eTariff</w:t>
      </w:r>
      <w:proofErr w:type="spellEnd"/>
      <w:r>
        <w:rPr>
          <w:rFonts w:ascii="Times New Roman" w:hAnsi="Times New Roman" w:cs="Times New Roman"/>
          <w:sz w:val="26"/>
          <w:szCs w:val="26"/>
        </w:rPr>
        <w:t xml:space="preserve"> system. </w:t>
      </w:r>
    </w:p>
    <w:p w:rsidR="003B37BD" w:rsidP="003B37BD" w:rsidRDefault="003B37BD" w14:paraId="7FDB89D8"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lastRenderedPageBreak/>
        <w:t>DISPLAY OF EXPIRATION DATE</w:t>
      </w:r>
    </w:p>
    <w:p w:rsidR="003B37BD" w:rsidP="003B37BD" w:rsidRDefault="003B37BD" w14:paraId="244419DC" w14:textId="77777777">
      <w:pPr>
        <w:spacing w:after="0" w:line="240" w:lineRule="auto"/>
        <w:rPr>
          <w:rFonts w:ascii="Times New Roman" w:hAnsi="Times New Roman" w:cs="Times New Roman"/>
          <w:sz w:val="26"/>
          <w:szCs w:val="26"/>
        </w:rPr>
      </w:pPr>
    </w:p>
    <w:p w:rsidR="003B37BD" w:rsidP="003B37BD" w:rsidRDefault="003B37BD" w14:paraId="63A0C019"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OMB expiration dates are posted on ferc.gov at </w:t>
      </w:r>
      <w:hyperlink w:history="1" r:id="rId15">
        <w:r>
          <w:rPr>
            <w:rStyle w:val="Hyperlink"/>
            <w:rFonts w:ascii="Times New Roman" w:hAnsi="Times New Roman" w:cs="Times New Roman"/>
            <w:sz w:val="26"/>
            <w:szCs w:val="26"/>
          </w:rPr>
          <w:t>http://www.ferc.gov/docs-filing/info-collections.asp</w:t>
        </w:r>
      </w:hyperlink>
      <w:r>
        <w:rPr>
          <w:rFonts w:ascii="Times New Roman" w:hAnsi="Times New Roman" w:cs="Times New Roman"/>
          <w:sz w:val="26"/>
          <w:szCs w:val="26"/>
        </w:rPr>
        <w:t xml:space="preserve">.  </w:t>
      </w:r>
    </w:p>
    <w:p w:rsidR="003B37BD" w:rsidP="003B37BD" w:rsidRDefault="003B37BD" w14:paraId="28F65B3F" w14:textId="77777777">
      <w:pPr>
        <w:spacing w:after="0" w:line="240" w:lineRule="auto"/>
        <w:rPr>
          <w:rFonts w:ascii="Times New Roman" w:hAnsi="Times New Roman" w:cs="Times New Roman"/>
          <w:sz w:val="26"/>
          <w:szCs w:val="26"/>
        </w:rPr>
      </w:pPr>
    </w:p>
    <w:p w:rsidR="003B37BD" w:rsidP="003B37BD" w:rsidRDefault="003B37BD" w14:paraId="0E174367" w14:textId="77777777">
      <w:pPr>
        <w:pStyle w:val="ListParagraph"/>
        <w:numPr>
          <w:ilvl w:val="0"/>
          <w:numId w:val="2"/>
        </w:numPr>
        <w:spacing w:after="0" w:line="240" w:lineRule="auto"/>
        <w:ind w:left="360"/>
        <w:rPr>
          <w:rFonts w:ascii="Times New Roman" w:hAnsi="Times New Roman" w:cs="Times New Roman"/>
          <w:b/>
          <w:sz w:val="26"/>
          <w:szCs w:val="26"/>
        </w:rPr>
      </w:pPr>
      <w:r>
        <w:rPr>
          <w:rFonts w:ascii="Times New Roman" w:hAnsi="Times New Roman" w:cs="Times New Roman"/>
          <w:b/>
          <w:sz w:val="26"/>
          <w:szCs w:val="26"/>
        </w:rPr>
        <w:t>EXCEPTIONS TO THE CERTIFICATION STATEMENT</w:t>
      </w:r>
    </w:p>
    <w:p w:rsidR="003B37BD" w:rsidP="003B37BD" w:rsidRDefault="003B37BD" w14:paraId="2D816CC8" w14:textId="77777777">
      <w:pPr>
        <w:spacing w:after="0" w:line="240" w:lineRule="auto"/>
        <w:rPr>
          <w:rFonts w:ascii="Times New Roman" w:hAnsi="Times New Roman" w:cs="Times New Roman"/>
          <w:b/>
          <w:sz w:val="26"/>
          <w:szCs w:val="26"/>
        </w:rPr>
      </w:pPr>
    </w:p>
    <w:p w:rsidR="003B37BD" w:rsidP="003B37BD" w:rsidRDefault="003B37BD" w14:paraId="59370E7E"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exceptions.</w:t>
      </w:r>
    </w:p>
    <w:p w:rsidR="00E704E3" w:rsidRDefault="00E704E3" w14:paraId="3033EFCF" w14:textId="77777777"/>
    <w:sectPr w:rsidR="00E704E3" w:rsidSect="0041341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97540" w14:textId="77777777" w:rsidR="00C16002" w:rsidRDefault="00C16002" w:rsidP="003B37BD">
      <w:pPr>
        <w:spacing w:after="0" w:line="240" w:lineRule="auto"/>
      </w:pPr>
      <w:r>
        <w:separator/>
      </w:r>
    </w:p>
  </w:endnote>
  <w:endnote w:type="continuationSeparator" w:id="0">
    <w:p w14:paraId="6A5EC030" w14:textId="77777777" w:rsidR="00C16002" w:rsidRDefault="00C16002" w:rsidP="003B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7E34C" w14:textId="77777777" w:rsidR="00D861D6" w:rsidRDefault="00D86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852730"/>
      <w:docPartObj>
        <w:docPartGallery w:val="Page Numbers (Bottom of Page)"/>
        <w:docPartUnique/>
      </w:docPartObj>
    </w:sdtPr>
    <w:sdtEndPr>
      <w:rPr>
        <w:noProof/>
      </w:rPr>
    </w:sdtEndPr>
    <w:sdtContent>
      <w:p w14:paraId="1D4E1527" w14:textId="51713212" w:rsidR="003B748B" w:rsidRDefault="003B748B">
        <w:pPr>
          <w:pStyle w:val="Footer"/>
          <w:jc w:val="right"/>
        </w:pPr>
        <w:r>
          <w:fldChar w:fldCharType="begin"/>
        </w:r>
        <w:r>
          <w:instrText xml:space="preserve"> PAGE   \* MERGEFORMAT </w:instrText>
        </w:r>
        <w:r>
          <w:fldChar w:fldCharType="separate"/>
        </w:r>
        <w:r w:rsidR="00C469C1">
          <w:rPr>
            <w:noProof/>
          </w:rPr>
          <w:t>8</w:t>
        </w:r>
        <w:r>
          <w:rPr>
            <w:noProof/>
          </w:rPr>
          <w:fldChar w:fldCharType="end"/>
        </w:r>
      </w:p>
    </w:sdtContent>
  </w:sdt>
  <w:p w14:paraId="4836C27B" w14:textId="77777777" w:rsidR="00673401" w:rsidRDefault="00673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5F30F" w14:textId="77777777" w:rsidR="00D861D6" w:rsidRDefault="00D86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9E24A" w14:textId="77777777" w:rsidR="00C16002" w:rsidRDefault="00C16002" w:rsidP="003B37BD">
      <w:pPr>
        <w:spacing w:after="0" w:line="240" w:lineRule="auto"/>
      </w:pPr>
      <w:r>
        <w:separator/>
      </w:r>
    </w:p>
  </w:footnote>
  <w:footnote w:type="continuationSeparator" w:id="0">
    <w:p w14:paraId="6F3D1C61" w14:textId="77777777" w:rsidR="00C16002" w:rsidRDefault="00C16002" w:rsidP="003B37BD">
      <w:pPr>
        <w:spacing w:after="0" w:line="240" w:lineRule="auto"/>
      </w:pPr>
      <w:r>
        <w:continuationSeparator/>
      </w:r>
    </w:p>
  </w:footnote>
  <w:footnote w:id="1">
    <w:p w14:paraId="3123E4D4" w14:textId="77777777" w:rsidR="003B37BD" w:rsidRDefault="003B37BD" w:rsidP="003B37BD">
      <w:pPr>
        <w:pStyle w:val="FootnoteText"/>
        <w:rPr>
          <w:sz w:val="26"/>
          <w:szCs w:val="26"/>
        </w:rPr>
      </w:pPr>
      <w:r>
        <w:rPr>
          <w:rStyle w:val="FootnoteReference"/>
          <w:sz w:val="26"/>
          <w:szCs w:val="26"/>
        </w:rPr>
        <w:footnoteRef/>
      </w:r>
      <w:r>
        <w:rPr>
          <w:sz w:val="26"/>
          <w:szCs w:val="26"/>
          <w:vertAlign w:val="superscript"/>
        </w:rPr>
        <w:t xml:space="preserve"> </w:t>
      </w:r>
      <w:r>
        <w:rPr>
          <w:sz w:val="26"/>
          <w:szCs w:val="26"/>
        </w:rPr>
        <w:t>In 1977, Congress transferred regulatory authority over oil pipelines to FERC.  Section 402 of the Department of Energy Organization Act transferred the ICC's (Interstate Commerce Commission) oil pipeline jurisdiction to FERC. Department of Energy Organization Act, Pub. L. No. 95-91, 91 Stat. 565, 584 (1977) (codified at 42 U.S.C. § 7172(b)), effectuated, Exec. Order No. 12,009, 42 Fed. Reg. 161,377 240 7-18-85 46,267 (Sept. 13, 1977), implemented, 42 Fed. Reg. 55,534 (Oct. 17, 1977).</w:t>
      </w:r>
    </w:p>
  </w:footnote>
  <w:footnote w:id="2">
    <w:p w14:paraId="490E5482" w14:textId="77777777" w:rsidR="003B37BD" w:rsidRDefault="003B37BD" w:rsidP="003B37BD">
      <w:pPr>
        <w:pStyle w:val="FootnoteText"/>
        <w:rPr>
          <w:sz w:val="26"/>
          <w:szCs w:val="26"/>
        </w:rPr>
      </w:pPr>
      <w:r>
        <w:rPr>
          <w:rStyle w:val="FootnoteReference"/>
          <w:sz w:val="26"/>
          <w:szCs w:val="26"/>
        </w:rPr>
        <w:footnoteRef/>
      </w:r>
      <w:r>
        <w:rPr>
          <w:sz w:val="26"/>
          <w:szCs w:val="26"/>
          <w:vertAlign w:val="superscript"/>
        </w:rPr>
        <w:t xml:space="preserve"> </w:t>
      </w:r>
      <w:r>
        <w:rPr>
          <w:sz w:val="26"/>
          <w:szCs w:val="26"/>
        </w:rPr>
        <w:t>49 U.S.C. app. 1 (1988).</w:t>
      </w:r>
    </w:p>
  </w:footnote>
  <w:footnote w:id="3">
    <w:p w14:paraId="45CCE19B" w14:textId="77777777" w:rsidR="003B37BD" w:rsidRDefault="003B37BD" w:rsidP="003B37BD">
      <w:pPr>
        <w:pStyle w:val="FootnoteText"/>
        <w:rPr>
          <w:sz w:val="26"/>
          <w:szCs w:val="26"/>
        </w:rPr>
      </w:pPr>
      <w:r>
        <w:rPr>
          <w:rStyle w:val="FootnoteReference"/>
          <w:sz w:val="26"/>
          <w:szCs w:val="26"/>
        </w:rPr>
        <w:footnoteRef/>
      </w:r>
      <w:r>
        <w:rPr>
          <w:sz w:val="26"/>
          <w:szCs w:val="26"/>
          <w:vertAlign w:val="superscript"/>
        </w:rPr>
        <w:t xml:space="preserve"> </w:t>
      </w:r>
      <w:r>
        <w:rPr>
          <w:sz w:val="26"/>
          <w:szCs w:val="26"/>
        </w:rPr>
        <w:t>Order No. 561, ¶ 30,985 at 30,952.</w:t>
      </w:r>
    </w:p>
  </w:footnote>
  <w:footnote w:id="4">
    <w:p w14:paraId="5FF7E41A" w14:textId="1F2B3A0A" w:rsidR="003B37BD" w:rsidRDefault="003B37BD" w:rsidP="003B37BD">
      <w:pPr>
        <w:pStyle w:val="FootnoteText"/>
      </w:pPr>
      <w:r>
        <w:rPr>
          <w:rStyle w:val="FootnoteReference"/>
        </w:rPr>
        <w:footnoteRef/>
      </w:r>
      <w:r>
        <w:rPr>
          <w:vertAlign w:val="superscript"/>
        </w:rPr>
        <w:t xml:space="preserve"> </w:t>
      </w:r>
      <w:r>
        <w:rPr>
          <w:sz w:val="26"/>
          <w:szCs w:val="26"/>
        </w:rPr>
        <w:t>18 Code of Federal Requirements (</w:t>
      </w:r>
      <w:r w:rsidR="00E52E1C">
        <w:rPr>
          <w:sz w:val="26"/>
          <w:szCs w:val="26"/>
        </w:rPr>
        <w:t>CFR)</w:t>
      </w:r>
      <w:r>
        <w:rPr>
          <w:sz w:val="26"/>
          <w:szCs w:val="26"/>
        </w:rPr>
        <w:t xml:space="preserve"> Parts 341-348.</w:t>
      </w:r>
    </w:p>
  </w:footnote>
  <w:footnote w:id="5">
    <w:p w14:paraId="3E2744A5" w14:textId="77777777" w:rsidR="003B37BD" w:rsidRDefault="003B37BD" w:rsidP="003B37BD">
      <w:pPr>
        <w:pStyle w:val="FootnoteText"/>
        <w:rPr>
          <w:sz w:val="24"/>
          <w:szCs w:val="24"/>
          <w:lang w:val="fr-FR"/>
        </w:rPr>
      </w:pPr>
      <w:r>
        <w:rPr>
          <w:sz w:val="24"/>
          <w:szCs w:val="24"/>
          <w:vertAlign w:val="superscript"/>
        </w:rPr>
        <w:footnoteRef/>
      </w:r>
      <w:r>
        <w:rPr>
          <w:sz w:val="24"/>
          <w:szCs w:val="24"/>
          <w:lang w:val="fr-FR"/>
        </w:rPr>
        <w:t xml:space="preserve"> 84 FR 36915 </w:t>
      </w:r>
    </w:p>
  </w:footnote>
  <w:footnote w:id="6">
    <w:p w14:paraId="03813115" w14:textId="03D42AFA" w:rsidR="003B37BD" w:rsidRDefault="003B37BD" w:rsidP="003B37BD">
      <w:pPr>
        <w:pStyle w:val="FootnoteText"/>
      </w:pPr>
      <w:r>
        <w:rPr>
          <w:rStyle w:val="FootnoteReference"/>
        </w:rPr>
        <w:footnoteRef/>
      </w:r>
      <w:r w:rsidR="009766D0">
        <w:rPr>
          <w:sz w:val="26"/>
          <w:szCs w:val="26"/>
        </w:rPr>
        <w:t xml:space="preserve"> </w:t>
      </w:r>
      <w:r>
        <w:rPr>
          <w:sz w:val="26"/>
          <w:szCs w:val="26"/>
        </w:rPr>
        <w:t>“Burden” is the total time, effort, or financial resources expended by persons to generate, maintain, retain, or disclose or provide information to or for a Federal agency.  For further explanation of what is included in the information collection burden, refer to 5 CFR § 1320.3.</w:t>
      </w:r>
    </w:p>
  </w:footnote>
  <w:footnote w:id="7">
    <w:p w14:paraId="0E449C84" w14:textId="38901B2A" w:rsidR="003B37BD" w:rsidRDefault="003B37BD" w:rsidP="003B37BD">
      <w:pPr>
        <w:pStyle w:val="FootnoteText"/>
      </w:pPr>
      <w:r>
        <w:rPr>
          <w:rStyle w:val="FootnoteReference"/>
        </w:rPr>
        <w:footnoteRef/>
      </w:r>
      <w:r>
        <w:rPr>
          <w:vertAlign w:val="superscript"/>
        </w:rPr>
        <w:t xml:space="preserve"> </w:t>
      </w:r>
      <w:r>
        <w:rPr>
          <w:sz w:val="26"/>
          <w:szCs w:val="26"/>
        </w:rPr>
        <w:t xml:space="preserve">The Commission staff thinks that the hourly cost (for wages and benefits) for industry staff completing the FERC-550 is similar to the cost of FERC </w:t>
      </w:r>
      <w:proofErr w:type="gramStart"/>
      <w:r>
        <w:rPr>
          <w:sz w:val="26"/>
          <w:szCs w:val="26"/>
        </w:rPr>
        <w:t>employees..</w:t>
      </w:r>
      <w:proofErr w:type="gramEnd"/>
      <w:r>
        <w:rPr>
          <w:sz w:val="26"/>
          <w:szCs w:val="26"/>
        </w:rPr>
        <w:t xml:space="preserve">  The cost figure is the FY2019 FERC average annual salary plus benefits ($167,091/year or $80/hour).</w:t>
      </w:r>
    </w:p>
  </w:footnote>
  <w:footnote w:id="8">
    <w:p w14:paraId="79353C08" w14:textId="77777777" w:rsidR="003B37BD" w:rsidRDefault="003B37BD" w:rsidP="003B37BD">
      <w:pPr>
        <w:pStyle w:val="FootnoteText"/>
      </w:pPr>
      <w:r w:rsidRPr="009766D0">
        <w:rPr>
          <w:rStyle w:val="FootnoteReference"/>
        </w:rPr>
        <w:footnoteRef/>
      </w:r>
      <w:r w:rsidRPr="00D861D6">
        <w:rPr>
          <w:rStyle w:val="FootnoteReference"/>
        </w:rPr>
        <w:t xml:space="preserve"> </w:t>
      </w:r>
      <w:r>
        <w:rPr>
          <w:sz w:val="26"/>
          <w:szCs w:val="26"/>
        </w:rPr>
        <w:t>This figure is rounded.</w:t>
      </w:r>
    </w:p>
  </w:footnote>
  <w:footnote w:id="9">
    <w:p w14:paraId="0A4CF512" w14:textId="77777777" w:rsidR="003B37BD" w:rsidRDefault="003B37BD" w:rsidP="003B37BD">
      <w:pPr>
        <w:pStyle w:val="FootnoteText"/>
        <w:rPr>
          <w:sz w:val="26"/>
          <w:szCs w:val="26"/>
        </w:rPr>
      </w:pPr>
      <w:r>
        <w:rPr>
          <w:rStyle w:val="FootnoteReference"/>
          <w:sz w:val="26"/>
          <w:szCs w:val="26"/>
        </w:rPr>
        <w:footnoteRef/>
      </w:r>
      <w:r>
        <w:rPr>
          <w:sz w:val="26"/>
          <w:szCs w:val="26"/>
          <w:vertAlign w:val="superscript"/>
        </w:rPr>
        <w:t xml:space="preserve"> </w:t>
      </w:r>
      <w:r>
        <w:rPr>
          <w:sz w:val="26"/>
          <w:szCs w:val="26"/>
        </w:rPr>
        <w:t>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4662" w14:textId="77777777" w:rsidR="00D861D6" w:rsidRDefault="00D86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9F2CA" w14:textId="5114D0AA" w:rsidR="0041341E" w:rsidRDefault="00673401">
    <w:pPr>
      <w:pStyle w:val="Header"/>
      <w:rPr>
        <w:rFonts w:ascii="Times New Roman" w:hAnsi="Times New Roman" w:cs="Times New Roman"/>
        <w:sz w:val="26"/>
        <w:szCs w:val="26"/>
      </w:rPr>
    </w:pPr>
    <w:r w:rsidRPr="00673401">
      <w:rPr>
        <w:rFonts w:ascii="Times New Roman" w:hAnsi="Times New Roman" w:cs="Times New Roman"/>
        <w:sz w:val="26"/>
        <w:szCs w:val="26"/>
      </w:rPr>
      <w:t>FERC-550 (OMB Control No. 1902-0089)</w:t>
    </w:r>
  </w:p>
  <w:p w14:paraId="2695F79B" w14:textId="11AB8AC9" w:rsidR="005213C0" w:rsidRDefault="005213C0">
    <w:pPr>
      <w:pStyle w:val="Header"/>
      <w:rPr>
        <w:rFonts w:ascii="Times New Roman" w:hAnsi="Times New Roman" w:cs="Times New Roman"/>
        <w:sz w:val="26"/>
        <w:szCs w:val="26"/>
      </w:rPr>
    </w:pPr>
    <w:r>
      <w:rPr>
        <w:rFonts w:ascii="Times New Roman" w:hAnsi="Times New Roman" w:cs="Times New Roman"/>
        <w:sz w:val="26"/>
        <w:szCs w:val="26"/>
      </w:rPr>
      <w:t>(Docket No. IC19-29)</w:t>
    </w:r>
  </w:p>
  <w:p w14:paraId="7CF80D85" w14:textId="14C2C572" w:rsidR="00680504" w:rsidRDefault="00680504">
    <w:pPr>
      <w:pStyle w:val="Header"/>
      <w:rPr>
        <w:rFonts w:ascii="Times New Roman" w:hAnsi="Times New Roman" w:cs="Times New Roman"/>
        <w:sz w:val="26"/>
        <w:szCs w:val="26"/>
      </w:rPr>
    </w:pPr>
    <w:r>
      <w:rPr>
        <w:rFonts w:ascii="Times New Roman" w:hAnsi="Times New Roman" w:cs="Times New Roman"/>
        <w:sz w:val="26"/>
        <w:szCs w:val="26"/>
      </w:rPr>
      <w:t>Updated 2/</w:t>
    </w:r>
    <w:r w:rsidR="00D861D6">
      <w:rPr>
        <w:rFonts w:ascii="Times New Roman" w:hAnsi="Times New Roman" w:cs="Times New Roman"/>
        <w:sz w:val="26"/>
        <w:szCs w:val="26"/>
      </w:rPr>
      <w:t>24</w:t>
    </w:r>
    <w:r>
      <w:rPr>
        <w:rFonts w:ascii="Times New Roman" w:hAnsi="Times New Roman" w:cs="Times New Roman"/>
        <w:sz w:val="26"/>
        <w:szCs w:val="26"/>
      </w:rPr>
      <w:t>/2020</w:t>
    </w:r>
  </w:p>
  <w:p w14:paraId="03AACD20" w14:textId="4A8C07AD" w:rsidR="00680504" w:rsidRDefault="00680504">
    <w:pPr>
      <w:pStyle w:val="Header"/>
      <w:rPr>
        <w:rFonts w:ascii="Times New Roman" w:hAnsi="Times New Roman" w:cs="Times New Roman"/>
        <w:sz w:val="26"/>
        <w:szCs w:val="26"/>
      </w:rPr>
    </w:pPr>
  </w:p>
  <w:p w14:paraId="790F583B" w14:textId="77777777" w:rsidR="00680504" w:rsidRDefault="006805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B101" w14:textId="77777777" w:rsidR="0041341E" w:rsidRDefault="0041341E" w:rsidP="0041341E">
    <w:pPr>
      <w:pStyle w:val="Header"/>
    </w:pPr>
    <w:r w:rsidRPr="00673401">
      <w:rPr>
        <w:rFonts w:ascii="Times New Roman" w:hAnsi="Times New Roman" w:cs="Times New Roman"/>
        <w:sz w:val="26"/>
        <w:szCs w:val="26"/>
      </w:rPr>
      <w:t>FERC-550 (OMB Control No. 1902-0089)</w:t>
    </w:r>
  </w:p>
  <w:p w14:paraId="34D9DC6B" w14:textId="77777777" w:rsidR="0041341E" w:rsidRPr="0041341E" w:rsidRDefault="0041341E" w:rsidP="00413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F3125"/>
    <w:multiLevelType w:val="hybridMultilevel"/>
    <w:tmpl w:val="11CE8E5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D200305"/>
    <w:multiLevelType w:val="hybridMultilevel"/>
    <w:tmpl w:val="F30E06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CC1895"/>
    <w:multiLevelType w:val="hybridMultilevel"/>
    <w:tmpl w:val="632C2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E4E4DD3"/>
    <w:multiLevelType w:val="hybridMultilevel"/>
    <w:tmpl w:val="6E32FC24"/>
    <w:lvl w:ilvl="0" w:tplc="BA3E5ED2">
      <w:start w:val="1"/>
      <w:numFmt w:val="decimal"/>
      <w:pStyle w:val="FERCparanumber"/>
      <w:lvlText w:val="%1."/>
      <w:lvlJc w:val="left"/>
      <w:pPr>
        <w:tabs>
          <w:tab w:val="num" w:pos="1980"/>
        </w:tabs>
        <w:ind w:left="1260" w:firstLine="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BD"/>
    <w:rsid w:val="000131F0"/>
    <w:rsid w:val="00143F84"/>
    <w:rsid w:val="00181B4B"/>
    <w:rsid w:val="001A0DBA"/>
    <w:rsid w:val="001D432D"/>
    <w:rsid w:val="00234611"/>
    <w:rsid w:val="003374C0"/>
    <w:rsid w:val="003405F3"/>
    <w:rsid w:val="0034082F"/>
    <w:rsid w:val="00371AB0"/>
    <w:rsid w:val="00377BFB"/>
    <w:rsid w:val="003A7291"/>
    <w:rsid w:val="003B37BD"/>
    <w:rsid w:val="003B748B"/>
    <w:rsid w:val="0041341E"/>
    <w:rsid w:val="00492096"/>
    <w:rsid w:val="00506EFB"/>
    <w:rsid w:val="005213C0"/>
    <w:rsid w:val="006344C0"/>
    <w:rsid w:val="00673401"/>
    <w:rsid w:val="00680504"/>
    <w:rsid w:val="006F5218"/>
    <w:rsid w:val="00720621"/>
    <w:rsid w:val="007869BD"/>
    <w:rsid w:val="007A251E"/>
    <w:rsid w:val="008773DC"/>
    <w:rsid w:val="008C6174"/>
    <w:rsid w:val="00903137"/>
    <w:rsid w:val="00904878"/>
    <w:rsid w:val="009766D0"/>
    <w:rsid w:val="00A03004"/>
    <w:rsid w:val="00A073F8"/>
    <w:rsid w:val="00A669E2"/>
    <w:rsid w:val="00A92586"/>
    <w:rsid w:val="00AB4DCD"/>
    <w:rsid w:val="00B32796"/>
    <w:rsid w:val="00B473C3"/>
    <w:rsid w:val="00B52BC0"/>
    <w:rsid w:val="00BC3679"/>
    <w:rsid w:val="00C00D5E"/>
    <w:rsid w:val="00C16002"/>
    <w:rsid w:val="00C16037"/>
    <w:rsid w:val="00C469C1"/>
    <w:rsid w:val="00C95FF7"/>
    <w:rsid w:val="00D01566"/>
    <w:rsid w:val="00D023D2"/>
    <w:rsid w:val="00D747DF"/>
    <w:rsid w:val="00D861D6"/>
    <w:rsid w:val="00D96D5F"/>
    <w:rsid w:val="00DC3BF7"/>
    <w:rsid w:val="00DE7B94"/>
    <w:rsid w:val="00E02233"/>
    <w:rsid w:val="00E52E1C"/>
    <w:rsid w:val="00E704E3"/>
    <w:rsid w:val="00E73311"/>
    <w:rsid w:val="00E75157"/>
    <w:rsid w:val="00F759DC"/>
    <w:rsid w:val="00F82B53"/>
    <w:rsid w:val="00F83751"/>
    <w:rsid w:val="00FB7F82"/>
    <w:rsid w:val="00FE5A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7A29F"/>
  <w15:docId w15:val="{787B3C31-33CB-4CF7-9C39-73D2683E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6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37BD"/>
    <w:rPr>
      <w:color w:val="0563C1" w:themeColor="hyperlink"/>
      <w:u w:val="single"/>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semiHidden/>
    <w:locked/>
    <w:rsid w:val="003B37BD"/>
    <w:rPr>
      <w:rFonts w:ascii="Times New Roman" w:eastAsia="Times New Roman" w:hAnsi="Times New Roman" w:cs="Times New Roman"/>
      <w:sz w:val="20"/>
      <w:szCs w:val="20"/>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semiHidden/>
    <w:unhideWhenUsed/>
    <w:qFormat/>
    <w:rsid w:val="003B37B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3B37BD"/>
    <w:rPr>
      <w:sz w:val="20"/>
      <w:szCs w:val="20"/>
    </w:rPr>
  </w:style>
  <w:style w:type="paragraph" w:styleId="ListParagraph">
    <w:name w:val="List Paragraph"/>
    <w:basedOn w:val="Normal"/>
    <w:uiPriority w:val="34"/>
    <w:qFormat/>
    <w:rsid w:val="003B37BD"/>
    <w:pPr>
      <w:ind w:left="720"/>
      <w:contextualSpacing/>
    </w:pPr>
  </w:style>
  <w:style w:type="paragraph" w:customStyle="1" w:styleId="FERCparanumber">
    <w:name w:val="FERC paranumber"/>
    <w:basedOn w:val="Normal"/>
    <w:rsid w:val="003B37BD"/>
    <w:pPr>
      <w:widowControl w:val="0"/>
      <w:numPr>
        <w:numId w:val="1"/>
      </w:numPr>
      <w:tabs>
        <w:tab w:val="num" w:pos="720"/>
      </w:tabs>
      <w:autoSpaceDE w:val="0"/>
      <w:autoSpaceDN w:val="0"/>
      <w:adjustRightInd w:val="0"/>
      <w:spacing w:after="0" w:line="240" w:lineRule="auto"/>
      <w:ind w:left="0"/>
    </w:pPr>
    <w:rPr>
      <w:rFonts w:ascii="Times New Roman" w:eastAsia="Times New Roman" w:hAnsi="Times New Roman" w:cs="Times New Roman"/>
      <w:sz w:val="26"/>
      <w:szCs w:val="24"/>
    </w:rPr>
  </w:style>
  <w:style w:type="character" w:styleId="FootnoteReference">
    <w:name w:val="footnote reference"/>
    <w:basedOn w:val="DefaultParagraphFont"/>
    <w:unhideWhenUsed/>
    <w:rsid w:val="009766D0"/>
    <w:rPr>
      <w:sz w:val="24"/>
      <w:szCs w:val="24"/>
      <w:vertAlign w:val="superscript"/>
    </w:rPr>
  </w:style>
  <w:style w:type="paragraph" w:styleId="Header">
    <w:name w:val="header"/>
    <w:basedOn w:val="Normal"/>
    <w:link w:val="HeaderChar"/>
    <w:uiPriority w:val="99"/>
    <w:unhideWhenUsed/>
    <w:rsid w:val="00673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401"/>
  </w:style>
  <w:style w:type="paragraph" w:styleId="Footer">
    <w:name w:val="footer"/>
    <w:basedOn w:val="Normal"/>
    <w:link w:val="FooterChar"/>
    <w:uiPriority w:val="99"/>
    <w:unhideWhenUsed/>
    <w:rsid w:val="00673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401"/>
  </w:style>
  <w:style w:type="character" w:styleId="CommentReference">
    <w:name w:val="annotation reference"/>
    <w:basedOn w:val="DefaultParagraphFont"/>
    <w:uiPriority w:val="99"/>
    <w:semiHidden/>
    <w:unhideWhenUsed/>
    <w:rsid w:val="00E52E1C"/>
    <w:rPr>
      <w:sz w:val="16"/>
      <w:szCs w:val="16"/>
    </w:rPr>
  </w:style>
  <w:style w:type="paragraph" w:styleId="CommentText">
    <w:name w:val="annotation text"/>
    <w:basedOn w:val="Normal"/>
    <w:link w:val="CommentTextChar"/>
    <w:uiPriority w:val="99"/>
    <w:semiHidden/>
    <w:unhideWhenUsed/>
    <w:rsid w:val="00E52E1C"/>
    <w:pPr>
      <w:spacing w:line="240" w:lineRule="auto"/>
    </w:pPr>
    <w:rPr>
      <w:sz w:val="20"/>
      <w:szCs w:val="20"/>
    </w:rPr>
  </w:style>
  <w:style w:type="character" w:customStyle="1" w:styleId="CommentTextChar">
    <w:name w:val="Comment Text Char"/>
    <w:basedOn w:val="DefaultParagraphFont"/>
    <w:link w:val="CommentText"/>
    <w:uiPriority w:val="99"/>
    <w:semiHidden/>
    <w:rsid w:val="00E52E1C"/>
    <w:rPr>
      <w:sz w:val="20"/>
      <w:szCs w:val="20"/>
    </w:rPr>
  </w:style>
  <w:style w:type="paragraph" w:styleId="CommentSubject">
    <w:name w:val="annotation subject"/>
    <w:basedOn w:val="CommentText"/>
    <w:next w:val="CommentText"/>
    <w:link w:val="CommentSubjectChar"/>
    <w:uiPriority w:val="99"/>
    <w:semiHidden/>
    <w:unhideWhenUsed/>
    <w:rsid w:val="00E52E1C"/>
    <w:rPr>
      <w:b/>
      <w:bCs/>
    </w:rPr>
  </w:style>
  <w:style w:type="character" w:customStyle="1" w:styleId="CommentSubjectChar">
    <w:name w:val="Comment Subject Char"/>
    <w:basedOn w:val="CommentTextChar"/>
    <w:link w:val="CommentSubject"/>
    <w:uiPriority w:val="99"/>
    <w:semiHidden/>
    <w:rsid w:val="00E52E1C"/>
    <w:rPr>
      <w:b/>
      <w:bCs/>
      <w:sz w:val="20"/>
      <w:szCs w:val="20"/>
    </w:rPr>
  </w:style>
  <w:style w:type="paragraph" w:styleId="BalloonText">
    <w:name w:val="Balloon Text"/>
    <w:basedOn w:val="Normal"/>
    <w:link w:val="BalloonTextChar"/>
    <w:uiPriority w:val="99"/>
    <w:semiHidden/>
    <w:unhideWhenUsed/>
    <w:rsid w:val="00E52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E1C"/>
    <w:rPr>
      <w:rFonts w:ascii="Segoe UI" w:hAnsi="Segoe UI" w:cs="Segoe UI"/>
      <w:sz w:val="18"/>
      <w:szCs w:val="18"/>
    </w:rPr>
  </w:style>
  <w:style w:type="paragraph" w:customStyle="1" w:styleId="Default">
    <w:name w:val="Default"/>
    <w:rsid w:val="00F837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63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industries/oil.as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550</_x0031__x002e__x0020_Collection_x0020_Number>
    <Date xmlns="d6eefc7d-9817-4fa6-84d5-3bc009be21b8">2020-02-10T05:00:00+00:00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IC19-29</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0A199-1854-4446-870F-FD4D7FFDC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6A775-7060-4CB6-ADDF-5ECD49E715E2}">
  <ds:schemaRef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B5374740-295B-43AD-AC88-77CF7631A1B4}">
  <ds:schemaRefs>
    <ds:schemaRef ds:uri="http://schemas.microsoft.com/sharepoint/v3/contenttype/forms"/>
  </ds:schemaRefs>
</ds:datastoreItem>
</file>

<file path=customXml/itemProps4.xml><?xml version="1.0" encoding="utf-8"?>
<ds:datastoreItem xmlns:ds="http://schemas.openxmlformats.org/officeDocument/2006/customXml" ds:itemID="{6228D07B-4109-43A2-A4A0-EEE15609BDCA}">
  <ds:schemaRefs>
    <ds:schemaRef ds:uri="Microsoft.SharePoint.Taxonomy.ContentTypeSync"/>
  </ds:schemaRefs>
</ds:datastoreItem>
</file>

<file path=customXml/itemProps5.xml><?xml version="1.0" encoding="utf-8"?>
<ds:datastoreItem xmlns:ds="http://schemas.openxmlformats.org/officeDocument/2006/customXml" ds:itemID="{C80C58BA-609D-4E4C-818C-0EC2B6A679D8}">
  <ds:schemaRefs>
    <ds:schemaRef ds:uri="http://schemas.microsoft.com/office/2006/metadata/customXsn"/>
  </ds:schemaRefs>
</ds:datastoreItem>
</file>

<file path=customXml/itemProps6.xml><?xml version="1.0" encoding="utf-8"?>
<ds:datastoreItem xmlns:ds="http://schemas.openxmlformats.org/officeDocument/2006/customXml" ds:itemID="{F32A3298-93A9-4ADD-A6C3-D4D991978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Oil Pipeline Rate - Tariff Filing</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 Pipeline Rate - Tariff Filing</dc:title>
  <dc:subject/>
  <dc:creator>Michele Chambers</dc:creator>
  <cp:keywords/>
  <dc:description/>
  <cp:lastModifiedBy>Michele Chambers</cp:lastModifiedBy>
  <cp:revision>3</cp:revision>
  <dcterms:created xsi:type="dcterms:W3CDTF">2020-02-24T19:52:00Z</dcterms:created>
  <dcterms:modified xsi:type="dcterms:W3CDTF">2020-02-24T20:13:00Z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