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833EE" w14:textId="77777777" w:rsidR="001C75B2" w:rsidRDefault="001C75B2" w:rsidP="008647BA">
      <w:pPr>
        <w:jc w:val="center"/>
      </w:pPr>
      <w:bookmarkStart w:id="0" w:name="_GoBack"/>
      <w:bookmarkEnd w:id="0"/>
      <w:r>
        <w:t>UNITED STATES OF AMERICA</w:t>
      </w:r>
    </w:p>
    <w:p w14:paraId="69DD23B9" w14:textId="77777777" w:rsidR="001C75B2" w:rsidRPr="00BB7ABF" w:rsidRDefault="001C75B2" w:rsidP="008647BA">
      <w:pPr>
        <w:jc w:val="center"/>
      </w:pPr>
      <w:r>
        <w:t xml:space="preserve">FEDERAL </w:t>
      </w:r>
      <w:r w:rsidRPr="00BB7ABF">
        <w:t>ENERGY REGULATORY COMMISSION</w:t>
      </w:r>
    </w:p>
    <w:p w14:paraId="63B0707B" w14:textId="77777777" w:rsidR="001C75B2" w:rsidRPr="00BB7ABF" w:rsidRDefault="001C75B2" w:rsidP="001C75B2"/>
    <w:p w14:paraId="02D81DB1" w14:textId="77777777" w:rsidR="001C75B2" w:rsidRPr="00BB7ABF" w:rsidRDefault="001C75B2" w:rsidP="008647BA">
      <w:pPr>
        <w:jc w:val="center"/>
      </w:pPr>
      <w:r w:rsidRPr="001916EE">
        <w:t>[Docket No. IC</w:t>
      </w:r>
      <w:r w:rsidR="001916EE" w:rsidRPr="001916EE">
        <w:t>19-29-000</w:t>
      </w:r>
      <w:r w:rsidRPr="001916EE">
        <w:t>]</w:t>
      </w:r>
    </w:p>
    <w:p w14:paraId="37F7BE35" w14:textId="77777777" w:rsidR="001C75B2" w:rsidRPr="00BB7ABF" w:rsidRDefault="001C75B2" w:rsidP="001C75B2"/>
    <w:p w14:paraId="3648C5DB" w14:textId="77777777" w:rsidR="007920A8" w:rsidRPr="00BB7ABF" w:rsidRDefault="001C75B2" w:rsidP="008024B2">
      <w:pPr>
        <w:jc w:val="center"/>
      </w:pPr>
      <w:r w:rsidRPr="00BB7ABF">
        <w:t xml:space="preserve">COMMISSION INFORMATION COLLECTION ACTIVITIES </w:t>
      </w:r>
    </w:p>
    <w:p w14:paraId="20DB41CB" w14:textId="77777777" w:rsidR="007920A8" w:rsidRPr="00BB7ABF" w:rsidRDefault="001C75B2" w:rsidP="008024B2">
      <w:pPr>
        <w:jc w:val="center"/>
      </w:pPr>
      <w:r w:rsidRPr="00BB7ABF">
        <w:t>(FERC</w:t>
      </w:r>
      <w:r w:rsidR="00BB7ABF" w:rsidRPr="00BB7ABF">
        <w:t xml:space="preserve"> -550</w:t>
      </w:r>
      <w:r w:rsidR="007920A8" w:rsidRPr="00BB7ABF">
        <w:t>)</w:t>
      </w:r>
      <w:r w:rsidR="00C910EC">
        <w:t>;</w:t>
      </w:r>
    </w:p>
    <w:p w14:paraId="1677DD6B" w14:textId="77777777" w:rsidR="001C75B2" w:rsidRPr="00BB7ABF" w:rsidRDefault="001C75B2" w:rsidP="008024B2">
      <w:pPr>
        <w:jc w:val="center"/>
      </w:pPr>
      <w:r w:rsidRPr="00BB7ABF">
        <w:t>COMMENT REQUEST</w:t>
      </w:r>
      <w:r w:rsidR="00B2244D" w:rsidRPr="00BB7ABF">
        <w:t xml:space="preserve"> </w:t>
      </w:r>
      <w:r w:rsidR="001E1F90">
        <w:t>EXTENSION</w:t>
      </w:r>
      <w:r w:rsidR="00B2244D" w:rsidRPr="00BB7ABF">
        <w:t xml:space="preserve"> </w:t>
      </w:r>
    </w:p>
    <w:p w14:paraId="0F760F17" w14:textId="77777777" w:rsidR="001C75B2" w:rsidRPr="00BB7ABF" w:rsidRDefault="001C75B2" w:rsidP="001C75B2"/>
    <w:p w14:paraId="3F2DA831" w14:textId="77777777" w:rsidR="001C75B2" w:rsidRDefault="008207EE" w:rsidP="008207EE">
      <w:pPr>
        <w:jc w:val="center"/>
      </w:pPr>
      <w:r w:rsidRPr="008207EE">
        <w:t>(July 23, 2019)</w:t>
      </w:r>
    </w:p>
    <w:p w14:paraId="559A3A8A" w14:textId="77777777" w:rsidR="008207EE" w:rsidRPr="008207EE" w:rsidRDefault="008207EE" w:rsidP="008207EE"/>
    <w:p w14:paraId="18C498B3" w14:textId="77777777" w:rsidR="001C75B2" w:rsidRDefault="008024B2" w:rsidP="00C0217E">
      <w:pPr>
        <w:spacing w:line="480" w:lineRule="auto"/>
      </w:pPr>
      <w:r w:rsidRPr="00C0217E">
        <w:rPr>
          <w:b/>
        </w:rPr>
        <w:t>AGENCY:</w:t>
      </w:r>
      <w:r>
        <w:t xml:space="preserve">  </w:t>
      </w:r>
      <w:r w:rsidR="001C75B2">
        <w:t>Federal Energy Regulatory Commission.</w:t>
      </w:r>
    </w:p>
    <w:p w14:paraId="4922D954" w14:textId="77777777" w:rsidR="001C75B2" w:rsidRDefault="008024B2" w:rsidP="00C0217E">
      <w:pPr>
        <w:spacing w:line="480" w:lineRule="auto"/>
      </w:pPr>
      <w:r w:rsidRPr="00C0217E">
        <w:rPr>
          <w:b/>
        </w:rPr>
        <w:t>ACTION:</w:t>
      </w:r>
      <w:r>
        <w:t xml:space="preserve">  </w:t>
      </w:r>
      <w:r w:rsidR="00B87F46">
        <w:t>C</w:t>
      </w:r>
      <w:r w:rsidR="00E94542">
        <w:t>omment request.</w:t>
      </w:r>
    </w:p>
    <w:p w14:paraId="58F83E3C" w14:textId="77777777" w:rsidR="001E1F90" w:rsidRDefault="001C75B2" w:rsidP="00C0217E">
      <w:pPr>
        <w:spacing w:line="480" w:lineRule="auto"/>
      </w:pPr>
      <w:r w:rsidRPr="00C0217E">
        <w:rPr>
          <w:b/>
        </w:rPr>
        <w:t>SUMMARY:</w:t>
      </w:r>
      <w:r>
        <w:t xml:space="preserve">  </w:t>
      </w:r>
      <w:r w:rsidR="001E1F90" w:rsidRPr="001E1F90">
        <w:rPr>
          <w:szCs w:val="26"/>
        </w:rPr>
        <w:t xml:space="preserve">In compliance with the requirements of the Paperwork Reduction Act of 1995, the Federal Energy Regulatory Commission (Commission or FERC) is soliciting public comment on the currently approved information collection, </w:t>
      </w:r>
      <w:r w:rsidR="001E1F90">
        <w:rPr>
          <w:szCs w:val="26"/>
        </w:rPr>
        <w:t>FERC-</w:t>
      </w:r>
      <w:r w:rsidR="00BB7ABF">
        <w:t xml:space="preserve">550 </w:t>
      </w:r>
      <w:r w:rsidR="00AD7313">
        <w:t>(</w:t>
      </w:r>
      <w:r w:rsidR="00BB7ABF">
        <w:t>Oi</w:t>
      </w:r>
      <w:r w:rsidR="00AD7313">
        <w:t>l Pipeline Rates-Tariff Filings)</w:t>
      </w:r>
      <w:r w:rsidR="00816FCC">
        <w:t xml:space="preserve">. </w:t>
      </w:r>
      <w:r w:rsidR="00AD7313">
        <w:t xml:space="preserve"> </w:t>
      </w:r>
      <w:r w:rsidR="00816FCC">
        <w:t>.</w:t>
      </w:r>
    </w:p>
    <w:p w14:paraId="46787204" w14:textId="77777777" w:rsidR="001E1F90" w:rsidRPr="001E1F90" w:rsidRDefault="001E1F90" w:rsidP="001E1F90">
      <w:pPr>
        <w:spacing w:line="480" w:lineRule="auto"/>
        <w:rPr>
          <w:szCs w:val="26"/>
        </w:rPr>
      </w:pPr>
      <w:r w:rsidRPr="001E1F90">
        <w:rPr>
          <w:b/>
          <w:szCs w:val="26"/>
        </w:rPr>
        <w:t xml:space="preserve">DATES: </w:t>
      </w:r>
      <w:r w:rsidRPr="001E1F90">
        <w:rPr>
          <w:szCs w:val="26"/>
        </w:rPr>
        <w:t xml:space="preserve"> Comments on the collection of information are due by </w:t>
      </w:r>
      <w:r w:rsidRPr="001E1F90">
        <w:rPr>
          <w:caps/>
          <w:szCs w:val="26"/>
        </w:rPr>
        <w:t>[</w:t>
      </w:r>
      <w:r w:rsidRPr="001E1F90">
        <w:rPr>
          <w:b/>
          <w:caps/>
          <w:szCs w:val="26"/>
        </w:rPr>
        <w:t>Insert date 60 days after publication in the Federal Register</w:t>
      </w:r>
      <w:r w:rsidRPr="001E1F90">
        <w:rPr>
          <w:caps/>
          <w:szCs w:val="26"/>
        </w:rPr>
        <w:t xml:space="preserve">].  </w:t>
      </w:r>
      <w:r w:rsidR="00816FCC">
        <w:rPr>
          <w:caps/>
          <w:szCs w:val="26"/>
        </w:rPr>
        <w:t xml:space="preserve"> </w:t>
      </w:r>
    </w:p>
    <w:p w14:paraId="15BAE4B7" w14:textId="77777777" w:rsidR="001E1F90" w:rsidRDefault="001E1F90" w:rsidP="00C0217E">
      <w:pPr>
        <w:spacing w:line="480" w:lineRule="auto"/>
      </w:pPr>
      <w:r w:rsidRPr="001E1F90">
        <w:rPr>
          <w:b/>
          <w:szCs w:val="26"/>
        </w:rPr>
        <w:t>ADDRESSES:</w:t>
      </w:r>
      <w:r w:rsidRPr="001E1F90">
        <w:rPr>
          <w:szCs w:val="26"/>
        </w:rPr>
        <w:t xml:space="preserve">  You may submit commen</w:t>
      </w:r>
      <w:r>
        <w:rPr>
          <w:szCs w:val="26"/>
        </w:rPr>
        <w:t xml:space="preserve">ts (identified by Docket No. </w:t>
      </w:r>
      <w:r w:rsidRPr="001916EE">
        <w:rPr>
          <w:szCs w:val="26"/>
        </w:rPr>
        <w:t>IC</w:t>
      </w:r>
      <w:r w:rsidR="001916EE">
        <w:rPr>
          <w:szCs w:val="26"/>
        </w:rPr>
        <w:t>19-29</w:t>
      </w:r>
      <w:r w:rsidRPr="001916EE">
        <w:rPr>
          <w:szCs w:val="26"/>
        </w:rPr>
        <w:t>-000</w:t>
      </w:r>
      <w:r w:rsidRPr="001E1F90">
        <w:rPr>
          <w:szCs w:val="26"/>
        </w:rPr>
        <w:t>) by either of the following methods:</w:t>
      </w:r>
    </w:p>
    <w:p w14:paraId="3DE4EB1D"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121C9EF0" w14:textId="77777777" w:rsidR="00775D65" w:rsidRDefault="00775D65" w:rsidP="00775D65">
      <w:pPr>
        <w:numPr>
          <w:ilvl w:val="0"/>
          <w:numId w:val="3"/>
        </w:numPr>
        <w:tabs>
          <w:tab w:val="clear" w:pos="1500"/>
          <w:tab w:val="num" w:pos="1080"/>
        </w:tabs>
        <w:spacing w:line="480" w:lineRule="auto"/>
        <w:ind w:left="1080"/>
      </w:pPr>
      <w:r>
        <w:t>Mail/Hand Delivery/Courier: Federal Energy Regulatory Commission, Secretary of the Commission, 888 First Street, NE, Washington, DC 20426.</w:t>
      </w:r>
    </w:p>
    <w:p w14:paraId="6F0A2A23" w14:textId="77777777"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xml:space="preserve">.  For user assistance </w:t>
      </w:r>
      <w:r>
        <w:lastRenderedPageBreak/>
        <w:t>contact FERC Online Support by e-mail at ferconlinesupport@ferc.gov, or by phone at:  (866) 208-3676 (toll-free), or (202) 502-8659 for TTY.</w:t>
      </w:r>
    </w:p>
    <w:p w14:paraId="73FF6F75"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2963C754" w14:textId="77777777" w:rsidR="001C75B2" w:rsidRDefault="001C75B2" w:rsidP="00C0217E">
      <w:pPr>
        <w:spacing w:line="480" w:lineRule="auto"/>
      </w:pPr>
      <w:r w:rsidRPr="00F04F4C">
        <w:rPr>
          <w:b/>
        </w:rPr>
        <w:t>FOR FURTHER INFORMATION:</w:t>
      </w:r>
      <w:r>
        <w:t xml:space="preserve">   </w:t>
      </w:r>
      <w:r w:rsidRPr="00F758A3">
        <w:t xml:space="preserve">Ellen Brown may be reached by e-mail at </w:t>
      </w:r>
      <w:hyperlink r:id="rId17" w:history="1">
        <w:r w:rsidR="00822C8E" w:rsidRPr="00F758A3">
          <w:rPr>
            <w:rStyle w:val="Hyperlink"/>
          </w:rPr>
          <w:t>DataClearance@FERC.gov</w:t>
        </w:r>
      </w:hyperlink>
      <w:r w:rsidRPr="00F758A3">
        <w:t>, by telephone at (202) 502-8663</w:t>
      </w:r>
      <w:r>
        <w:t xml:space="preserve">, and by fax at (202) 273-0873. </w:t>
      </w:r>
    </w:p>
    <w:p w14:paraId="73E2A3AD" w14:textId="77777777" w:rsidR="001E1F90" w:rsidRDefault="003820D6" w:rsidP="003820D6">
      <w:pPr>
        <w:spacing w:line="480" w:lineRule="auto"/>
      </w:pPr>
      <w:r w:rsidRPr="001C3703">
        <w:rPr>
          <w:b/>
        </w:rPr>
        <w:t>SUPPLEMENTARY INFORMATION:</w:t>
      </w:r>
      <w:r>
        <w:t xml:space="preserve"> </w:t>
      </w:r>
    </w:p>
    <w:p w14:paraId="58AE0C99" w14:textId="77777777" w:rsidR="00F758A3" w:rsidRPr="001E1F90" w:rsidRDefault="001E1F90" w:rsidP="00F758A3">
      <w:pPr>
        <w:spacing w:line="480" w:lineRule="auto"/>
      </w:pPr>
      <w:r w:rsidRPr="001E1F90">
        <w:rPr>
          <w:i/>
        </w:rPr>
        <w:t>Title</w:t>
      </w:r>
      <w:r>
        <w:t xml:space="preserve">: </w:t>
      </w:r>
      <w:r w:rsidR="00006AD4">
        <w:t xml:space="preserve">FERC-550, Oil Pipelines Rates </w:t>
      </w:r>
      <w:r w:rsidR="00006AD4" w:rsidRPr="00D84798">
        <w:t>-</w:t>
      </w:r>
      <w:r w:rsidR="00F758A3" w:rsidRPr="001E1F90">
        <w:t xml:space="preserve"> Tariff Filings</w:t>
      </w:r>
    </w:p>
    <w:p w14:paraId="28262106" w14:textId="77777777" w:rsidR="00F758A3" w:rsidRDefault="00F758A3" w:rsidP="00F758A3">
      <w:pPr>
        <w:spacing w:line="480" w:lineRule="auto"/>
      </w:pPr>
      <w:r>
        <w:rPr>
          <w:i/>
        </w:rPr>
        <w:t xml:space="preserve">OMB Control No.: </w:t>
      </w:r>
      <w:r>
        <w:t>1902-0089</w:t>
      </w:r>
    </w:p>
    <w:p w14:paraId="59CDBC0B" w14:textId="77777777" w:rsidR="001E1F90" w:rsidRPr="0098180D" w:rsidRDefault="001E1F90" w:rsidP="00F758A3">
      <w:pPr>
        <w:spacing w:line="480" w:lineRule="auto"/>
      </w:pPr>
      <w:r w:rsidRPr="001E1F90">
        <w:rPr>
          <w:i/>
        </w:rPr>
        <w:t>Type of Request</w:t>
      </w:r>
      <w:r>
        <w:t>:  Three-year extension of the FERC-550 information collection requirements with no changes to the current reporting requirements.</w:t>
      </w:r>
    </w:p>
    <w:p w14:paraId="44B3DC2B" w14:textId="77777777" w:rsidR="00F758A3" w:rsidRDefault="00F758A3" w:rsidP="00F758A3">
      <w:pPr>
        <w:spacing w:line="480" w:lineRule="auto"/>
      </w:pPr>
      <w:r>
        <w:rPr>
          <w:i/>
        </w:rPr>
        <w:t>Abstract:</w:t>
      </w:r>
      <w:r>
        <w:t xml:space="preserve"> FERC-550 is required to implement the sections of the Interstate Commerce Act (ICA) (49 U</w:t>
      </w:r>
      <w:r w:rsidR="008A7710">
        <w:t>.</w:t>
      </w:r>
      <w:r>
        <w:t>S</w:t>
      </w:r>
      <w:r w:rsidR="008A7710">
        <w:t>.</w:t>
      </w:r>
      <w:r>
        <w:t>C</w:t>
      </w:r>
      <w:r w:rsidR="008A7710">
        <w:t>.</w:t>
      </w:r>
      <w:r>
        <w:t xml:space="preserve"> §§ 1, et seq., 49 App. U</w:t>
      </w:r>
      <w:r w:rsidR="008A7710">
        <w:t>.</w:t>
      </w:r>
      <w:r>
        <w:t>S</w:t>
      </w:r>
      <w:r w:rsidR="008A7710">
        <w:t>.</w:t>
      </w:r>
      <w:r>
        <w:t>C</w:t>
      </w:r>
      <w:r w:rsidR="008A7710">
        <w:t>.</w:t>
      </w:r>
      <w:r>
        <w:t xml:space="preserve"> 1-85).  The Commission's regulatory jurisdiction over oil pipelines includes:</w:t>
      </w:r>
    </w:p>
    <w:p w14:paraId="43124639" w14:textId="77777777" w:rsidR="00F758A3" w:rsidRDefault="00F758A3" w:rsidP="00F758A3">
      <w:pPr>
        <w:spacing w:line="480" w:lineRule="auto"/>
        <w:ind w:left="360" w:hanging="360"/>
      </w:pPr>
      <w:r>
        <w:t>•</w:t>
      </w:r>
      <w:r>
        <w:tab/>
        <w:t xml:space="preserve">regulation of rates and practices of oil pipeline companies engaged in interstate transportation; </w:t>
      </w:r>
    </w:p>
    <w:p w14:paraId="2F1CC210" w14:textId="77777777" w:rsidR="00F758A3" w:rsidRDefault="00F758A3" w:rsidP="00F758A3">
      <w:pPr>
        <w:spacing w:line="480" w:lineRule="auto"/>
        <w:ind w:left="360" w:hanging="360"/>
      </w:pPr>
      <w:r>
        <w:t>•</w:t>
      </w:r>
      <w:r>
        <w:tab/>
        <w:t xml:space="preserve">establishment of equal service conditions to provide shippers with equal access to pipeline transportation; </w:t>
      </w:r>
    </w:p>
    <w:p w14:paraId="7D4DB2FB" w14:textId="77777777" w:rsidR="00F758A3" w:rsidRDefault="00F758A3" w:rsidP="00F758A3">
      <w:pPr>
        <w:spacing w:line="480" w:lineRule="auto"/>
        <w:ind w:left="360" w:hanging="360"/>
      </w:pPr>
      <w:r>
        <w:t>•</w:t>
      </w:r>
      <w:r>
        <w:tab/>
        <w:t>establishment of reasonable rates for transporting petroleum and petroleum products by pipeline.</w:t>
      </w:r>
    </w:p>
    <w:p w14:paraId="28D838DA" w14:textId="77777777" w:rsidR="00F758A3" w:rsidRPr="007869ED" w:rsidRDefault="00F758A3" w:rsidP="00F758A3">
      <w:pPr>
        <w:spacing w:line="480" w:lineRule="auto"/>
        <w:rPr>
          <w:szCs w:val="26"/>
        </w:rPr>
      </w:pPr>
      <w:r w:rsidRPr="00FA354B">
        <w:rPr>
          <w:szCs w:val="26"/>
        </w:rPr>
        <w:lastRenderedPageBreak/>
        <w:t>The filing requirements for oil pipeline tariffs and rates</w:t>
      </w:r>
      <w:r w:rsidRPr="00FA354B">
        <w:rPr>
          <w:szCs w:val="26"/>
          <w:vertAlign w:val="superscript"/>
        </w:rPr>
        <w:footnoteReference w:id="1"/>
      </w:r>
      <w:r w:rsidRPr="00FA354B">
        <w:rPr>
          <w:szCs w:val="26"/>
        </w:rPr>
        <w:t xml:space="preserve"> put in place by the FERC-550 data collection provide the Commission with the information it needs to analyze proposed tariffs, rates, fares, and charges of oil pipelines and other carriers in connection with the transportation of crude oil and petroleum products.  The Commission uses this information to determine whether the proposed tariffs and rates are just and reasonable.   </w:t>
      </w:r>
    </w:p>
    <w:p w14:paraId="0A09CBCE" w14:textId="77777777" w:rsidR="00F758A3" w:rsidRPr="0098180D" w:rsidRDefault="00F758A3" w:rsidP="00F758A3">
      <w:pPr>
        <w:spacing w:line="480" w:lineRule="auto"/>
      </w:pPr>
      <w:r>
        <w:rPr>
          <w:i/>
        </w:rPr>
        <w:t xml:space="preserve">Type of Respondent: </w:t>
      </w:r>
      <w:r>
        <w:t>Oil Pipelines</w:t>
      </w:r>
    </w:p>
    <w:p w14:paraId="34DC51B0" w14:textId="77777777" w:rsidR="00F758A3" w:rsidRDefault="00F758A3" w:rsidP="00F758A3">
      <w:pPr>
        <w:spacing w:line="480" w:lineRule="auto"/>
      </w:pPr>
      <w:r>
        <w:rPr>
          <w:i/>
        </w:rPr>
        <w:t>Estimate of Annual Burden</w:t>
      </w:r>
      <w:r w:rsidR="00866D16">
        <w:rPr>
          <w:rStyle w:val="FootnoteReference"/>
          <w:i/>
          <w:szCs w:val="26"/>
        </w:rPr>
        <w:footnoteReference w:id="2"/>
      </w:r>
      <w:r>
        <w:rPr>
          <w:i/>
        </w:rPr>
        <w:t xml:space="preserve">: </w:t>
      </w:r>
      <w:r>
        <w:t xml:space="preserve">The Commission estimates the annual public reporting burden and </w:t>
      </w:r>
      <w:r w:rsidRPr="002945A2">
        <w:t>cost</w:t>
      </w:r>
      <w:r w:rsidR="00662827">
        <w:rPr>
          <w:rStyle w:val="FootnoteReference"/>
          <w:szCs w:val="26"/>
        </w:rPr>
        <w:footnoteReference w:id="3"/>
      </w:r>
      <w:r w:rsidRPr="00770DC8">
        <w:t xml:space="preserve"> for</w:t>
      </w:r>
      <w:r>
        <w:t xml:space="preserve"> the FERC-550 information collection as follows:</w:t>
      </w:r>
    </w:p>
    <w:tbl>
      <w:tblPr>
        <w:tblW w:w="533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5"/>
        <w:gridCol w:w="1557"/>
        <w:gridCol w:w="1363"/>
        <w:gridCol w:w="2338"/>
        <w:gridCol w:w="1845"/>
      </w:tblGrid>
      <w:tr w:rsidR="004B2E7B" w:rsidRPr="004B2E7B" w14:paraId="60E88623" w14:textId="77777777" w:rsidTr="0086426B">
        <w:trPr>
          <w:cantSplit/>
        </w:trPr>
        <w:tc>
          <w:tcPr>
            <w:tcW w:w="5000" w:type="pct"/>
            <w:gridSpan w:val="6"/>
            <w:shd w:val="clear" w:color="auto" w:fill="D9D9D9"/>
          </w:tcPr>
          <w:p w14:paraId="03369B17"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FERC-5</w:t>
            </w:r>
            <w:r>
              <w:rPr>
                <w:b/>
                <w:sz w:val="20"/>
                <w:szCs w:val="20"/>
              </w:rPr>
              <w:t>50</w:t>
            </w:r>
            <w:r w:rsidRPr="004B2E7B">
              <w:rPr>
                <w:b/>
                <w:sz w:val="20"/>
                <w:szCs w:val="20"/>
              </w:rPr>
              <w:t xml:space="preserve">: </w:t>
            </w:r>
            <w:r>
              <w:rPr>
                <w:b/>
                <w:sz w:val="20"/>
                <w:szCs w:val="20"/>
              </w:rPr>
              <w:t>Oil Pipelines Rate</w:t>
            </w:r>
            <w:r w:rsidR="00662827">
              <w:rPr>
                <w:b/>
                <w:sz w:val="20"/>
                <w:szCs w:val="20"/>
              </w:rPr>
              <w:t>s</w:t>
            </w:r>
            <w:r>
              <w:rPr>
                <w:b/>
                <w:sz w:val="20"/>
                <w:szCs w:val="20"/>
              </w:rPr>
              <w:t xml:space="preserve"> – Tariff Filings</w:t>
            </w:r>
          </w:p>
        </w:tc>
      </w:tr>
      <w:tr w:rsidR="004B2E7B" w:rsidRPr="004B2E7B" w14:paraId="27A93766" w14:textId="77777777" w:rsidTr="0086426B">
        <w:trPr>
          <w:cantSplit/>
        </w:trPr>
        <w:tc>
          <w:tcPr>
            <w:tcW w:w="763" w:type="pct"/>
            <w:shd w:val="clear" w:color="auto" w:fill="D9D9D9"/>
            <w:vAlign w:val="bottom"/>
          </w:tcPr>
          <w:p w14:paraId="536EE32E"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Number of Respondents</w:t>
            </w:r>
            <w:r w:rsidRPr="004B2E7B">
              <w:rPr>
                <w:b/>
                <w:sz w:val="20"/>
                <w:szCs w:val="20"/>
              </w:rPr>
              <w:br/>
              <w:t>(1)</w:t>
            </w:r>
          </w:p>
        </w:tc>
        <w:tc>
          <w:tcPr>
            <w:tcW w:w="761" w:type="pct"/>
            <w:shd w:val="clear" w:color="auto" w:fill="D9D9D9"/>
            <w:vAlign w:val="bottom"/>
          </w:tcPr>
          <w:p w14:paraId="600E2CDB"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Annual Number of Responses per Respondent</w:t>
            </w:r>
          </w:p>
          <w:p w14:paraId="1ADBC2E6"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(2)</w:t>
            </w:r>
          </w:p>
        </w:tc>
        <w:tc>
          <w:tcPr>
            <w:tcW w:w="762" w:type="pct"/>
            <w:shd w:val="clear" w:color="auto" w:fill="D9D9D9"/>
            <w:vAlign w:val="bottom"/>
          </w:tcPr>
          <w:p w14:paraId="7BD0B643"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Total Number of Responses</w:t>
            </w:r>
            <w:r w:rsidR="00865A90" w:rsidRPr="004B2E7B">
              <w:rPr>
                <w:rStyle w:val="FootnoteReference"/>
                <w:szCs w:val="26"/>
              </w:rPr>
              <w:footnoteReference w:id="4"/>
            </w:r>
            <w:r w:rsidR="00865A90" w:rsidRPr="004B2E7B" w:rsidDel="00865A90">
              <w:rPr>
                <w:b/>
                <w:sz w:val="20"/>
                <w:szCs w:val="20"/>
              </w:rPr>
              <w:t xml:space="preserve"> </w:t>
            </w:r>
            <w:r w:rsidRPr="004B2E7B">
              <w:rPr>
                <w:b/>
                <w:sz w:val="20"/>
                <w:szCs w:val="20"/>
              </w:rPr>
              <w:t>(1)*(2)=(3)</w:t>
            </w:r>
          </w:p>
        </w:tc>
        <w:tc>
          <w:tcPr>
            <w:tcW w:w="667" w:type="pct"/>
            <w:shd w:val="clear" w:color="auto" w:fill="D9D9D9"/>
            <w:vAlign w:val="bottom"/>
          </w:tcPr>
          <w:p w14:paraId="10ED17D6"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 xml:space="preserve">Average Burden </w:t>
            </w:r>
            <w:r w:rsidR="00E93A55">
              <w:rPr>
                <w:b/>
                <w:sz w:val="20"/>
                <w:szCs w:val="20"/>
              </w:rPr>
              <w:t xml:space="preserve">Hrs. </w:t>
            </w:r>
            <w:r w:rsidRPr="004B2E7B">
              <w:rPr>
                <w:b/>
                <w:sz w:val="20"/>
                <w:szCs w:val="20"/>
              </w:rPr>
              <w:t xml:space="preserve">&amp; Cost </w:t>
            </w:r>
            <w:r w:rsidR="00E93A55">
              <w:rPr>
                <w:b/>
                <w:sz w:val="20"/>
                <w:szCs w:val="20"/>
              </w:rPr>
              <w:t xml:space="preserve">($) </w:t>
            </w:r>
            <w:r w:rsidRPr="004B2E7B">
              <w:rPr>
                <w:b/>
                <w:sz w:val="20"/>
                <w:szCs w:val="20"/>
              </w:rPr>
              <w:t>Per Response</w:t>
            </w:r>
          </w:p>
          <w:p w14:paraId="72B82B01"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(4)</w:t>
            </w:r>
          </w:p>
        </w:tc>
        <w:tc>
          <w:tcPr>
            <w:tcW w:w="1144" w:type="pct"/>
            <w:shd w:val="clear" w:color="auto" w:fill="D9D9D9"/>
            <w:vAlign w:val="bottom"/>
          </w:tcPr>
          <w:p w14:paraId="1E56C365"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Total Annual Burden Hours &amp; Total Annual Cost</w:t>
            </w:r>
            <w:r w:rsidR="00E93A55">
              <w:rPr>
                <w:b/>
                <w:sz w:val="20"/>
                <w:szCs w:val="20"/>
              </w:rPr>
              <w:t xml:space="preserve"> ($)</w:t>
            </w:r>
          </w:p>
          <w:p w14:paraId="0192C141"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(3)*(4)=(5)</w:t>
            </w:r>
          </w:p>
        </w:tc>
        <w:tc>
          <w:tcPr>
            <w:tcW w:w="904" w:type="pct"/>
            <w:shd w:val="clear" w:color="auto" w:fill="D9D9D9"/>
            <w:vAlign w:val="bottom"/>
          </w:tcPr>
          <w:p w14:paraId="760C79A1"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Cost per Respondent</w:t>
            </w:r>
            <w:r w:rsidR="00E93A55">
              <w:rPr>
                <w:b/>
                <w:sz w:val="20"/>
                <w:szCs w:val="20"/>
              </w:rPr>
              <w:t xml:space="preserve"> </w:t>
            </w:r>
            <w:r w:rsidRPr="004B2E7B">
              <w:rPr>
                <w:b/>
                <w:sz w:val="20"/>
                <w:szCs w:val="20"/>
              </w:rPr>
              <w:t xml:space="preserve"> ($)</w:t>
            </w:r>
          </w:p>
          <w:p w14:paraId="57A31D55" w14:textId="77777777" w:rsidR="004B2E7B" w:rsidRPr="004B2E7B" w:rsidRDefault="004B2E7B" w:rsidP="004B2E7B">
            <w:pPr>
              <w:widowControl w:val="0"/>
              <w:autoSpaceDE w:val="0"/>
              <w:autoSpaceDN w:val="0"/>
              <w:adjustRightInd w:val="0"/>
              <w:jc w:val="center"/>
              <w:rPr>
                <w:b/>
                <w:sz w:val="20"/>
                <w:szCs w:val="20"/>
              </w:rPr>
            </w:pPr>
            <w:r w:rsidRPr="004B2E7B">
              <w:rPr>
                <w:b/>
                <w:sz w:val="20"/>
                <w:szCs w:val="20"/>
              </w:rPr>
              <w:t>(5)÷(1)</w:t>
            </w:r>
          </w:p>
        </w:tc>
      </w:tr>
      <w:tr w:rsidR="004B2E7B" w:rsidRPr="004B2E7B" w14:paraId="5C518D57" w14:textId="77777777" w:rsidTr="0086426B">
        <w:trPr>
          <w:cantSplit/>
        </w:trPr>
        <w:tc>
          <w:tcPr>
            <w:tcW w:w="763" w:type="pct"/>
          </w:tcPr>
          <w:p w14:paraId="21BEFEA7" w14:textId="77777777" w:rsidR="004B2E7B" w:rsidRPr="004B2E7B" w:rsidRDefault="004B2E7B" w:rsidP="004B2E7B">
            <w:pPr>
              <w:widowControl w:val="0"/>
              <w:autoSpaceDE w:val="0"/>
              <w:autoSpaceDN w:val="0"/>
              <w:adjustRightInd w:val="0"/>
              <w:jc w:val="right"/>
              <w:rPr>
                <w:sz w:val="20"/>
                <w:szCs w:val="20"/>
              </w:rPr>
            </w:pPr>
            <w:r>
              <w:rPr>
                <w:sz w:val="20"/>
                <w:szCs w:val="20"/>
              </w:rPr>
              <w:t>219</w:t>
            </w:r>
          </w:p>
          <w:p w14:paraId="373C01CB" w14:textId="77777777" w:rsidR="004B2E7B" w:rsidRPr="004B2E7B" w:rsidRDefault="004B2E7B" w:rsidP="004B2E7B">
            <w:pPr>
              <w:widowControl w:val="0"/>
              <w:autoSpaceDE w:val="0"/>
              <w:autoSpaceDN w:val="0"/>
              <w:adjustRightInd w:val="0"/>
              <w:jc w:val="right"/>
              <w:rPr>
                <w:sz w:val="20"/>
                <w:szCs w:val="20"/>
              </w:rPr>
            </w:pPr>
          </w:p>
        </w:tc>
        <w:tc>
          <w:tcPr>
            <w:tcW w:w="761" w:type="pct"/>
          </w:tcPr>
          <w:p w14:paraId="141D9A45" w14:textId="77777777" w:rsidR="004B2E7B" w:rsidRPr="004B2E7B" w:rsidRDefault="004B2E7B" w:rsidP="004B2E7B">
            <w:pPr>
              <w:widowControl w:val="0"/>
              <w:autoSpaceDE w:val="0"/>
              <w:autoSpaceDN w:val="0"/>
              <w:adjustRightInd w:val="0"/>
              <w:jc w:val="right"/>
              <w:rPr>
                <w:sz w:val="20"/>
                <w:szCs w:val="20"/>
              </w:rPr>
            </w:pPr>
            <w:r>
              <w:rPr>
                <w:sz w:val="20"/>
                <w:szCs w:val="20"/>
              </w:rPr>
              <w:t>3.24</w:t>
            </w:r>
          </w:p>
        </w:tc>
        <w:tc>
          <w:tcPr>
            <w:tcW w:w="762" w:type="pct"/>
          </w:tcPr>
          <w:p w14:paraId="4EB41485" w14:textId="77777777" w:rsidR="004B2E7B" w:rsidRPr="004B2E7B" w:rsidRDefault="004B2E7B" w:rsidP="00E30D9A">
            <w:pPr>
              <w:widowControl w:val="0"/>
              <w:autoSpaceDE w:val="0"/>
              <w:autoSpaceDN w:val="0"/>
              <w:adjustRightInd w:val="0"/>
              <w:jc w:val="right"/>
              <w:rPr>
                <w:sz w:val="20"/>
                <w:szCs w:val="20"/>
              </w:rPr>
            </w:pPr>
            <w:r w:rsidRPr="004B2E7B">
              <w:rPr>
                <w:sz w:val="20"/>
                <w:szCs w:val="20"/>
              </w:rPr>
              <w:t xml:space="preserve">710 </w:t>
            </w:r>
          </w:p>
        </w:tc>
        <w:tc>
          <w:tcPr>
            <w:tcW w:w="667" w:type="pct"/>
          </w:tcPr>
          <w:p w14:paraId="6D8408C8" w14:textId="77777777" w:rsidR="004B2E7B" w:rsidRDefault="004B2E7B" w:rsidP="004B2E7B">
            <w:pPr>
              <w:widowControl w:val="0"/>
              <w:autoSpaceDE w:val="0"/>
              <w:autoSpaceDN w:val="0"/>
              <w:adjustRightInd w:val="0"/>
              <w:jc w:val="right"/>
              <w:rPr>
                <w:sz w:val="20"/>
                <w:szCs w:val="20"/>
              </w:rPr>
            </w:pPr>
            <w:r>
              <w:rPr>
                <w:sz w:val="20"/>
                <w:szCs w:val="20"/>
              </w:rPr>
              <w:t>7 hrs.;</w:t>
            </w:r>
          </w:p>
          <w:p w14:paraId="7D51D205" w14:textId="77777777" w:rsidR="00865A90" w:rsidRPr="004B2E7B" w:rsidRDefault="00865A90" w:rsidP="00E30D9A">
            <w:pPr>
              <w:widowControl w:val="0"/>
              <w:autoSpaceDE w:val="0"/>
              <w:autoSpaceDN w:val="0"/>
              <w:adjustRightInd w:val="0"/>
              <w:jc w:val="right"/>
              <w:rPr>
                <w:sz w:val="20"/>
                <w:szCs w:val="20"/>
              </w:rPr>
            </w:pPr>
            <w:r>
              <w:rPr>
                <w:sz w:val="20"/>
                <w:szCs w:val="20"/>
              </w:rPr>
              <w:t>$</w:t>
            </w:r>
            <w:r w:rsidR="00E30D9A">
              <w:rPr>
                <w:sz w:val="20"/>
                <w:szCs w:val="20"/>
              </w:rPr>
              <w:t>560</w:t>
            </w:r>
          </w:p>
        </w:tc>
        <w:tc>
          <w:tcPr>
            <w:tcW w:w="1144" w:type="pct"/>
          </w:tcPr>
          <w:p w14:paraId="46F30346" w14:textId="77777777" w:rsidR="004B2E7B" w:rsidRDefault="00865A90" w:rsidP="004B2E7B">
            <w:pPr>
              <w:widowControl w:val="0"/>
              <w:autoSpaceDE w:val="0"/>
              <w:autoSpaceDN w:val="0"/>
              <w:adjustRightInd w:val="0"/>
              <w:jc w:val="right"/>
              <w:rPr>
                <w:sz w:val="20"/>
                <w:szCs w:val="20"/>
              </w:rPr>
            </w:pPr>
            <w:r>
              <w:rPr>
                <w:sz w:val="20"/>
                <w:szCs w:val="20"/>
              </w:rPr>
              <w:t>4,970 hrs.;</w:t>
            </w:r>
          </w:p>
          <w:p w14:paraId="73D17F33" w14:textId="77777777" w:rsidR="00FE127D" w:rsidRPr="004B2E7B" w:rsidRDefault="00FE127D" w:rsidP="004B2E7B">
            <w:pPr>
              <w:widowControl w:val="0"/>
              <w:autoSpaceDE w:val="0"/>
              <w:autoSpaceDN w:val="0"/>
              <w:adjustRightInd w:val="0"/>
              <w:jc w:val="right"/>
              <w:rPr>
                <w:sz w:val="20"/>
                <w:szCs w:val="20"/>
              </w:rPr>
            </w:pPr>
            <w:r>
              <w:rPr>
                <w:sz w:val="20"/>
                <w:szCs w:val="20"/>
              </w:rPr>
              <w:t>$39</w:t>
            </w:r>
            <w:r w:rsidR="00E30D9A">
              <w:rPr>
                <w:sz w:val="20"/>
                <w:szCs w:val="20"/>
              </w:rPr>
              <w:t>7</w:t>
            </w:r>
            <w:r>
              <w:rPr>
                <w:sz w:val="20"/>
                <w:szCs w:val="20"/>
              </w:rPr>
              <w:t>,6</w:t>
            </w:r>
            <w:r w:rsidR="00E30D9A">
              <w:rPr>
                <w:sz w:val="20"/>
                <w:szCs w:val="20"/>
              </w:rPr>
              <w:t>0</w:t>
            </w:r>
            <w:r>
              <w:rPr>
                <w:sz w:val="20"/>
                <w:szCs w:val="20"/>
              </w:rPr>
              <w:t>0</w:t>
            </w:r>
          </w:p>
        </w:tc>
        <w:tc>
          <w:tcPr>
            <w:tcW w:w="904" w:type="pct"/>
          </w:tcPr>
          <w:p w14:paraId="4709C183" w14:textId="77777777" w:rsidR="004B2E7B" w:rsidRPr="004B2E7B" w:rsidRDefault="00FE127D" w:rsidP="00E30D9A">
            <w:pPr>
              <w:widowControl w:val="0"/>
              <w:autoSpaceDE w:val="0"/>
              <w:autoSpaceDN w:val="0"/>
              <w:adjustRightInd w:val="0"/>
              <w:jc w:val="right"/>
              <w:rPr>
                <w:sz w:val="20"/>
                <w:szCs w:val="20"/>
              </w:rPr>
            </w:pPr>
            <w:r>
              <w:rPr>
                <w:sz w:val="20"/>
                <w:szCs w:val="20"/>
              </w:rPr>
              <w:t>$</w:t>
            </w:r>
            <w:r w:rsidR="00E30D9A">
              <w:rPr>
                <w:sz w:val="20"/>
                <w:szCs w:val="20"/>
              </w:rPr>
              <w:t>1,815.52</w:t>
            </w:r>
          </w:p>
        </w:tc>
      </w:tr>
    </w:tbl>
    <w:p w14:paraId="3FA818C6" w14:textId="77777777" w:rsidR="004B2E7B" w:rsidRPr="004B2E7B" w:rsidRDefault="004B2E7B" w:rsidP="004B2E7B">
      <w:pPr>
        <w:autoSpaceDE w:val="0"/>
        <w:autoSpaceDN w:val="0"/>
        <w:adjustRightInd w:val="0"/>
        <w:rPr>
          <w:sz w:val="24"/>
        </w:rPr>
      </w:pPr>
    </w:p>
    <w:p w14:paraId="2ECB396D" w14:textId="77777777" w:rsidR="00F758A3" w:rsidRDefault="001E1F90" w:rsidP="001E1F90">
      <w:pPr>
        <w:spacing w:line="480" w:lineRule="auto"/>
        <w:rPr>
          <w:b/>
        </w:rPr>
      </w:pPr>
      <w:r w:rsidRPr="00C514F1">
        <w:t>Comments:</w:t>
      </w:r>
      <w:r>
        <w:rPr>
          <w:i/>
        </w:rPr>
        <w:t xml:space="preserve">  </w:t>
      </w:r>
      <w:r>
        <w:t xml:space="preserve">Comments are invited on:  (1) whether the collection of information </w:t>
      </w:r>
      <w:r w:rsidR="00006AD4">
        <w:t xml:space="preserve">is </w:t>
      </w:r>
      <w:r>
        <w:t xml:space="preserve">necessary for the proper performance of the functions of the Commission, including whether the information will have practical utility; (2) the accuracy of the agency's </w:t>
      </w:r>
      <w:r w:rsidR="00937020" w:rsidRPr="00D84798">
        <w:t>estimate</w:t>
      </w:r>
      <w:r w:rsidR="00937020">
        <w:t xml:space="preserve"> of</w:t>
      </w:r>
      <w:r>
        <w:t xml:space="preserve">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14:paraId="4566C7BD" w14:textId="77777777" w:rsidR="008207EE" w:rsidRDefault="008207EE" w:rsidP="000914E8"/>
    <w:p w14:paraId="13097FE5" w14:textId="77777777" w:rsidR="008207EE" w:rsidRPr="008207EE" w:rsidRDefault="008207EE" w:rsidP="008207EE">
      <w:pPr>
        <w:ind w:firstLine="2606"/>
        <w:jc w:val="center"/>
      </w:pPr>
      <w:r w:rsidRPr="008207EE">
        <w:t>Nathaniel J. Davis, Sr.,</w:t>
      </w:r>
    </w:p>
    <w:p w14:paraId="6E7C2CAF" w14:textId="77777777" w:rsidR="008207EE" w:rsidRPr="008207EE" w:rsidRDefault="008207EE" w:rsidP="008207EE">
      <w:pPr>
        <w:ind w:firstLine="2606"/>
        <w:jc w:val="center"/>
      </w:pPr>
      <w:r w:rsidRPr="008207EE">
        <w:t>Deputy Secretary.</w:t>
      </w:r>
    </w:p>
    <w:p w14:paraId="2CCB3421" w14:textId="77777777" w:rsidR="008207EE" w:rsidRDefault="008207EE" w:rsidP="000914E8"/>
    <w:sectPr w:rsidR="008207EE" w:rsidSect="00190EB5">
      <w:headerReference w:type="even" r:id="rId18"/>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BB303" w14:textId="77777777" w:rsidR="005F0EA0" w:rsidRDefault="005F0EA0">
      <w:r>
        <w:separator/>
      </w:r>
    </w:p>
  </w:endnote>
  <w:endnote w:type="continuationSeparator" w:id="0">
    <w:p w14:paraId="1687AD6D" w14:textId="77777777" w:rsidR="005F0EA0" w:rsidRDefault="005F0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176E9" w14:textId="77777777" w:rsidR="005F0EA0" w:rsidRDefault="005F0EA0">
      <w:r>
        <w:separator/>
      </w:r>
    </w:p>
  </w:footnote>
  <w:footnote w:type="continuationSeparator" w:id="0">
    <w:p w14:paraId="7D4A4E2A" w14:textId="77777777" w:rsidR="005F0EA0" w:rsidRDefault="005F0EA0">
      <w:r>
        <w:continuationSeparator/>
      </w:r>
    </w:p>
  </w:footnote>
  <w:footnote w:id="1">
    <w:p w14:paraId="22928462" w14:textId="77777777" w:rsidR="00F41E3E" w:rsidRDefault="00F758A3" w:rsidP="00F758A3">
      <w:pPr>
        <w:pStyle w:val="FootnoteText"/>
      </w:pPr>
      <w:r w:rsidRPr="00A509D0">
        <w:rPr>
          <w:rStyle w:val="FootnoteReference"/>
          <w:sz w:val="20"/>
        </w:rPr>
        <w:footnoteRef/>
      </w:r>
      <w:r w:rsidRPr="00A509D0">
        <w:rPr>
          <w:sz w:val="20"/>
          <w:vertAlign w:val="superscript"/>
        </w:rPr>
        <w:t xml:space="preserve"> </w:t>
      </w:r>
      <w:r w:rsidRPr="00866D16">
        <w:rPr>
          <w:sz w:val="26"/>
          <w:szCs w:val="26"/>
        </w:rPr>
        <w:t>18 C</w:t>
      </w:r>
      <w:r w:rsidR="00CB7471">
        <w:rPr>
          <w:sz w:val="26"/>
          <w:szCs w:val="26"/>
        </w:rPr>
        <w:t xml:space="preserve">ode of Federal Regulations (CFR) </w:t>
      </w:r>
      <w:r w:rsidRPr="00866D16">
        <w:rPr>
          <w:sz w:val="26"/>
          <w:szCs w:val="26"/>
        </w:rPr>
        <w:t>Parts 341-348.</w:t>
      </w:r>
    </w:p>
  </w:footnote>
  <w:footnote w:id="2">
    <w:p w14:paraId="69ED6D67" w14:textId="77777777" w:rsidR="00F41E3E" w:rsidRDefault="00866D16">
      <w:pPr>
        <w:pStyle w:val="FootnoteText"/>
      </w:pPr>
      <w:r>
        <w:rPr>
          <w:rStyle w:val="FootnoteReference"/>
          <w:szCs w:val="26"/>
        </w:rPr>
        <w:footnoteRef/>
      </w:r>
      <w:r w:rsidR="00E14528">
        <w:rPr>
          <w:sz w:val="26"/>
          <w:szCs w:val="26"/>
        </w:rPr>
        <w:t xml:space="preserve"> “</w:t>
      </w:r>
      <w:r w:rsidRPr="00866D16">
        <w:rPr>
          <w:sz w:val="26"/>
          <w:szCs w:val="26"/>
        </w:rPr>
        <w:t>Burden</w:t>
      </w:r>
      <w:r w:rsidR="00E14528">
        <w:rPr>
          <w:sz w:val="26"/>
          <w:szCs w:val="26"/>
        </w:rPr>
        <w:t>”</w:t>
      </w:r>
      <w:r w:rsidRPr="00866D16">
        <w:rPr>
          <w:sz w:val="26"/>
          <w:szCs w:val="26"/>
        </w:rPr>
        <w:t xml:space="preserve"> is the total time, effort, or financial resources expended by persons to generate, maintain, retain, or disclose or provide information to or for a Federal agency.  For further explanation of what is included in the information collection burden, refer to 5 CFR</w:t>
      </w:r>
      <w:r w:rsidR="00ED044C">
        <w:rPr>
          <w:sz w:val="26"/>
          <w:szCs w:val="26"/>
        </w:rPr>
        <w:t xml:space="preserve"> </w:t>
      </w:r>
      <w:r w:rsidR="00ED044C" w:rsidRPr="00D84798">
        <w:rPr>
          <w:sz w:val="26"/>
          <w:szCs w:val="26"/>
        </w:rPr>
        <w:t>§</w:t>
      </w:r>
      <w:r w:rsidRPr="00866D16">
        <w:rPr>
          <w:sz w:val="26"/>
          <w:szCs w:val="26"/>
        </w:rPr>
        <w:t xml:space="preserve"> 1320.3.</w:t>
      </w:r>
      <w:r>
        <w:t xml:space="preserve"> </w:t>
      </w:r>
    </w:p>
  </w:footnote>
  <w:footnote w:id="3">
    <w:p w14:paraId="548B0566" w14:textId="77777777" w:rsidR="00F41E3E" w:rsidRDefault="00662827">
      <w:pPr>
        <w:pStyle w:val="FootnoteText"/>
      </w:pPr>
      <w:r>
        <w:rPr>
          <w:rStyle w:val="FootnoteReference"/>
          <w:szCs w:val="26"/>
        </w:rPr>
        <w:footnoteRef/>
      </w:r>
      <w:r>
        <w:t xml:space="preserve"> </w:t>
      </w:r>
      <w:r w:rsidRPr="00C514F1">
        <w:rPr>
          <w:sz w:val="26"/>
          <w:szCs w:val="26"/>
        </w:rPr>
        <w:t xml:space="preserve">The Commission staff </w:t>
      </w:r>
      <w:r w:rsidR="00DE6E12" w:rsidRPr="00C514F1">
        <w:rPr>
          <w:sz w:val="26"/>
          <w:szCs w:val="26"/>
        </w:rPr>
        <w:t xml:space="preserve">thinks that the hourly cost (for wages </w:t>
      </w:r>
      <w:r w:rsidR="00E93A55" w:rsidRPr="00C514F1">
        <w:rPr>
          <w:sz w:val="26"/>
          <w:szCs w:val="26"/>
        </w:rPr>
        <w:t>and</w:t>
      </w:r>
      <w:r w:rsidR="00DE6E12" w:rsidRPr="00C514F1">
        <w:rPr>
          <w:sz w:val="26"/>
          <w:szCs w:val="26"/>
        </w:rPr>
        <w:t xml:space="preserve"> benefits) for industry staff completing</w:t>
      </w:r>
      <w:r w:rsidRPr="00C514F1">
        <w:rPr>
          <w:sz w:val="26"/>
          <w:szCs w:val="26"/>
        </w:rPr>
        <w:t xml:space="preserve"> the FERC-550 </w:t>
      </w:r>
      <w:r w:rsidR="00DE6E12" w:rsidRPr="00C514F1">
        <w:rPr>
          <w:sz w:val="26"/>
          <w:szCs w:val="26"/>
        </w:rPr>
        <w:t>is</w:t>
      </w:r>
      <w:r w:rsidRPr="00C514F1">
        <w:rPr>
          <w:sz w:val="26"/>
          <w:szCs w:val="26"/>
        </w:rPr>
        <w:t xml:space="preserve"> similar to the </w:t>
      </w:r>
      <w:r w:rsidR="00DE6E12" w:rsidRPr="00C514F1">
        <w:rPr>
          <w:sz w:val="26"/>
          <w:szCs w:val="26"/>
        </w:rPr>
        <w:t>cost</w:t>
      </w:r>
      <w:r w:rsidRPr="00C514F1">
        <w:rPr>
          <w:sz w:val="26"/>
          <w:szCs w:val="26"/>
        </w:rPr>
        <w:t xml:space="preserve"> of FERC employees.</w:t>
      </w:r>
      <w:r>
        <w:rPr>
          <w:sz w:val="26"/>
          <w:szCs w:val="26"/>
        </w:rPr>
        <w:t xml:space="preserve"> </w:t>
      </w:r>
      <w:r w:rsidR="00816FCC" w:rsidRPr="00A3163F">
        <w:rPr>
          <w:sz w:val="26"/>
          <w:szCs w:val="26"/>
        </w:rPr>
        <w:t>FERC staff estimates that industry costs for salary plus benefits are similar to Commission costs.  The cost figure is the FY201</w:t>
      </w:r>
      <w:r w:rsidR="00816FCC">
        <w:rPr>
          <w:sz w:val="26"/>
          <w:szCs w:val="26"/>
        </w:rPr>
        <w:t>9</w:t>
      </w:r>
      <w:r w:rsidR="00816FCC" w:rsidRPr="00A3163F">
        <w:rPr>
          <w:sz w:val="26"/>
          <w:szCs w:val="26"/>
        </w:rPr>
        <w:t xml:space="preserve"> FERC average annual salary plus benefits ($16</w:t>
      </w:r>
      <w:r w:rsidR="00816FCC">
        <w:rPr>
          <w:sz w:val="26"/>
          <w:szCs w:val="26"/>
        </w:rPr>
        <w:t>7</w:t>
      </w:r>
      <w:r w:rsidR="00816FCC" w:rsidRPr="00A3163F">
        <w:rPr>
          <w:sz w:val="26"/>
          <w:szCs w:val="26"/>
        </w:rPr>
        <w:t>,0</w:t>
      </w:r>
      <w:r w:rsidR="00816FCC">
        <w:rPr>
          <w:sz w:val="26"/>
          <w:szCs w:val="26"/>
        </w:rPr>
        <w:t>91</w:t>
      </w:r>
      <w:r w:rsidR="00816FCC" w:rsidRPr="00A3163F">
        <w:rPr>
          <w:sz w:val="26"/>
          <w:szCs w:val="26"/>
        </w:rPr>
        <w:t>/year or $</w:t>
      </w:r>
      <w:r w:rsidR="00816FCC">
        <w:rPr>
          <w:sz w:val="26"/>
          <w:szCs w:val="26"/>
        </w:rPr>
        <w:t>80</w:t>
      </w:r>
      <w:r w:rsidR="00816FCC" w:rsidRPr="00A3163F">
        <w:rPr>
          <w:sz w:val="26"/>
          <w:szCs w:val="26"/>
        </w:rPr>
        <w:t xml:space="preserve">/hour).  </w:t>
      </w:r>
    </w:p>
  </w:footnote>
  <w:footnote w:id="4">
    <w:p w14:paraId="745AF2FE" w14:textId="77777777" w:rsidR="00F41E3E" w:rsidRDefault="00865A90" w:rsidP="00865A90">
      <w:pPr>
        <w:pStyle w:val="FootnoteText"/>
      </w:pPr>
      <w:r w:rsidRPr="00E14528">
        <w:rPr>
          <w:rStyle w:val="FootnoteReference"/>
          <w:szCs w:val="26"/>
        </w:rPr>
        <w:footnoteRef/>
      </w:r>
      <w:r w:rsidRPr="001E0A63">
        <w:rPr>
          <w:sz w:val="26"/>
          <w:szCs w:val="26"/>
        </w:rPr>
        <w:t xml:space="preserve"> This figure is rounded.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B5CF2"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1A5">
      <w:rPr>
        <w:rStyle w:val="PageNumber"/>
        <w:noProof/>
      </w:rPr>
      <w:t>4</w:t>
    </w:r>
    <w:r>
      <w:rPr>
        <w:rStyle w:val="PageNumber"/>
      </w:rPr>
      <w:fldChar w:fldCharType="end"/>
    </w:r>
  </w:p>
  <w:p w14:paraId="24897C6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E91DE"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010A">
      <w:rPr>
        <w:rStyle w:val="PageNumber"/>
        <w:noProof/>
      </w:rPr>
      <w:t>2</w:t>
    </w:r>
    <w:r>
      <w:rPr>
        <w:rStyle w:val="PageNumber"/>
      </w:rPr>
      <w:fldChar w:fldCharType="end"/>
    </w:r>
  </w:p>
  <w:p w14:paraId="4B7EF047" w14:textId="77777777" w:rsidR="009A6D11" w:rsidRDefault="009A6D11" w:rsidP="0096632C">
    <w:pPr>
      <w:pStyle w:val="Header"/>
      <w:ind w:right="360"/>
    </w:pPr>
    <w:r>
      <w:t xml:space="preserve">Docket </w:t>
    </w:r>
    <w:r w:rsidRPr="00F758A3">
      <w:t xml:space="preserve">No. </w:t>
    </w:r>
    <w:r w:rsidR="00F758A3" w:rsidRPr="00F758A3">
      <w:t>IC1</w:t>
    </w:r>
    <w:r w:rsidR="00816FCC">
      <w:t>9</w:t>
    </w:r>
    <w:r w:rsidR="00F758A3" w:rsidRPr="00F758A3">
      <w:t>-</w:t>
    </w:r>
    <w:r w:rsidR="00816FCC">
      <w:t>29</w:t>
    </w:r>
    <w:r w:rsidRPr="00F758A3">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cs="Times New Roman"/>
        <w:b w:val="0"/>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2">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EE719D3"/>
    <w:multiLevelType w:val="hybridMultilevel"/>
    <w:tmpl w:val="B9A2F77C"/>
    <w:lvl w:ilvl="0" w:tplc="E4FAF836">
      <w:start w:val="1"/>
      <w:numFmt w:val="decimal"/>
      <w:pStyle w:val="FERCparanumber"/>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06AD4"/>
    <w:rsid w:val="00011BBD"/>
    <w:rsid w:val="00014E36"/>
    <w:rsid w:val="000253DB"/>
    <w:rsid w:val="00026396"/>
    <w:rsid w:val="000279F2"/>
    <w:rsid w:val="00036FEC"/>
    <w:rsid w:val="00041471"/>
    <w:rsid w:val="00043468"/>
    <w:rsid w:val="000436E9"/>
    <w:rsid w:val="0006335A"/>
    <w:rsid w:val="00072256"/>
    <w:rsid w:val="00072448"/>
    <w:rsid w:val="00080D5F"/>
    <w:rsid w:val="00081AAF"/>
    <w:rsid w:val="000838BE"/>
    <w:rsid w:val="000854B7"/>
    <w:rsid w:val="000914E8"/>
    <w:rsid w:val="00093E92"/>
    <w:rsid w:val="00095258"/>
    <w:rsid w:val="000A27CA"/>
    <w:rsid w:val="000A5308"/>
    <w:rsid w:val="000B5156"/>
    <w:rsid w:val="000B723A"/>
    <w:rsid w:val="000C56A4"/>
    <w:rsid w:val="000D126C"/>
    <w:rsid w:val="000D3639"/>
    <w:rsid w:val="000D5216"/>
    <w:rsid w:val="000F1BA8"/>
    <w:rsid w:val="000F3772"/>
    <w:rsid w:val="000F3E00"/>
    <w:rsid w:val="00103D50"/>
    <w:rsid w:val="001120B8"/>
    <w:rsid w:val="00114651"/>
    <w:rsid w:val="00114B14"/>
    <w:rsid w:val="00121C3B"/>
    <w:rsid w:val="001240FD"/>
    <w:rsid w:val="00125F00"/>
    <w:rsid w:val="00141742"/>
    <w:rsid w:val="00146422"/>
    <w:rsid w:val="00146600"/>
    <w:rsid w:val="00146B5E"/>
    <w:rsid w:val="001470C0"/>
    <w:rsid w:val="00150CA6"/>
    <w:rsid w:val="00157960"/>
    <w:rsid w:val="00166366"/>
    <w:rsid w:val="00172C34"/>
    <w:rsid w:val="00176D66"/>
    <w:rsid w:val="00181F00"/>
    <w:rsid w:val="00190EB5"/>
    <w:rsid w:val="001916EE"/>
    <w:rsid w:val="0019407A"/>
    <w:rsid w:val="0019691F"/>
    <w:rsid w:val="00197F14"/>
    <w:rsid w:val="001A29CA"/>
    <w:rsid w:val="001A4577"/>
    <w:rsid w:val="001A5E0A"/>
    <w:rsid w:val="001B40FA"/>
    <w:rsid w:val="001B49BD"/>
    <w:rsid w:val="001B5772"/>
    <w:rsid w:val="001B70AD"/>
    <w:rsid w:val="001C3324"/>
    <w:rsid w:val="001C3703"/>
    <w:rsid w:val="001C4D3A"/>
    <w:rsid w:val="001C5D46"/>
    <w:rsid w:val="001C75B2"/>
    <w:rsid w:val="001E0A63"/>
    <w:rsid w:val="001E1F90"/>
    <w:rsid w:val="001E3ECE"/>
    <w:rsid w:val="001E5EBE"/>
    <w:rsid w:val="001E69DB"/>
    <w:rsid w:val="001F0B06"/>
    <w:rsid w:val="001F0E50"/>
    <w:rsid w:val="001F223A"/>
    <w:rsid w:val="001F2664"/>
    <w:rsid w:val="001F47CB"/>
    <w:rsid w:val="00204D0F"/>
    <w:rsid w:val="002265E9"/>
    <w:rsid w:val="00236F02"/>
    <w:rsid w:val="00241BFD"/>
    <w:rsid w:val="00243FBB"/>
    <w:rsid w:val="00252CD0"/>
    <w:rsid w:val="0025598D"/>
    <w:rsid w:val="002609D0"/>
    <w:rsid w:val="002677D6"/>
    <w:rsid w:val="00267C30"/>
    <w:rsid w:val="0027211F"/>
    <w:rsid w:val="002838B1"/>
    <w:rsid w:val="00285E62"/>
    <w:rsid w:val="0028677A"/>
    <w:rsid w:val="002945A2"/>
    <w:rsid w:val="0029476E"/>
    <w:rsid w:val="00296592"/>
    <w:rsid w:val="002A6174"/>
    <w:rsid w:val="002B62A0"/>
    <w:rsid w:val="002C09C2"/>
    <w:rsid w:val="002C0ECB"/>
    <w:rsid w:val="002C23E9"/>
    <w:rsid w:val="002E2667"/>
    <w:rsid w:val="002E3314"/>
    <w:rsid w:val="002E4BAD"/>
    <w:rsid w:val="002F1283"/>
    <w:rsid w:val="002F1540"/>
    <w:rsid w:val="002F5FB8"/>
    <w:rsid w:val="00312335"/>
    <w:rsid w:val="003178F3"/>
    <w:rsid w:val="00317A96"/>
    <w:rsid w:val="00321EB8"/>
    <w:rsid w:val="00323139"/>
    <w:rsid w:val="00335092"/>
    <w:rsid w:val="00341866"/>
    <w:rsid w:val="00343098"/>
    <w:rsid w:val="00352A72"/>
    <w:rsid w:val="00356E26"/>
    <w:rsid w:val="003575F3"/>
    <w:rsid w:val="00366669"/>
    <w:rsid w:val="00370763"/>
    <w:rsid w:val="00374409"/>
    <w:rsid w:val="00381700"/>
    <w:rsid w:val="003820D6"/>
    <w:rsid w:val="00386BED"/>
    <w:rsid w:val="003A1D7A"/>
    <w:rsid w:val="003C1644"/>
    <w:rsid w:val="003C1A62"/>
    <w:rsid w:val="003C1F91"/>
    <w:rsid w:val="003D0480"/>
    <w:rsid w:val="003D6813"/>
    <w:rsid w:val="003F32A9"/>
    <w:rsid w:val="00414715"/>
    <w:rsid w:val="004230B0"/>
    <w:rsid w:val="00423C49"/>
    <w:rsid w:val="00424DEB"/>
    <w:rsid w:val="0042785C"/>
    <w:rsid w:val="00432C41"/>
    <w:rsid w:val="00435B2F"/>
    <w:rsid w:val="004361A5"/>
    <w:rsid w:val="0044362C"/>
    <w:rsid w:val="00445DDF"/>
    <w:rsid w:val="00453F74"/>
    <w:rsid w:val="00455A33"/>
    <w:rsid w:val="00462618"/>
    <w:rsid w:val="00470106"/>
    <w:rsid w:val="004721F3"/>
    <w:rsid w:val="0047321C"/>
    <w:rsid w:val="004757BF"/>
    <w:rsid w:val="004855F2"/>
    <w:rsid w:val="00487256"/>
    <w:rsid w:val="00490E50"/>
    <w:rsid w:val="004A51DF"/>
    <w:rsid w:val="004A6E59"/>
    <w:rsid w:val="004B08AC"/>
    <w:rsid w:val="004B208E"/>
    <w:rsid w:val="004B2E7B"/>
    <w:rsid w:val="004B58B3"/>
    <w:rsid w:val="004C3BB0"/>
    <w:rsid w:val="004D1EE5"/>
    <w:rsid w:val="004D4CD3"/>
    <w:rsid w:val="004D53C3"/>
    <w:rsid w:val="004D778A"/>
    <w:rsid w:val="004E74ED"/>
    <w:rsid w:val="004E7DC2"/>
    <w:rsid w:val="004F0E48"/>
    <w:rsid w:val="004F3E67"/>
    <w:rsid w:val="0050437A"/>
    <w:rsid w:val="0051386E"/>
    <w:rsid w:val="00515CA5"/>
    <w:rsid w:val="00517B18"/>
    <w:rsid w:val="00524B22"/>
    <w:rsid w:val="0053019B"/>
    <w:rsid w:val="00530BB4"/>
    <w:rsid w:val="005320C7"/>
    <w:rsid w:val="00534B97"/>
    <w:rsid w:val="0054477B"/>
    <w:rsid w:val="00551339"/>
    <w:rsid w:val="00551B13"/>
    <w:rsid w:val="005521E7"/>
    <w:rsid w:val="005535D4"/>
    <w:rsid w:val="00556AC8"/>
    <w:rsid w:val="005665D1"/>
    <w:rsid w:val="0057675D"/>
    <w:rsid w:val="0058734A"/>
    <w:rsid w:val="005916D2"/>
    <w:rsid w:val="00592AD7"/>
    <w:rsid w:val="00593FA6"/>
    <w:rsid w:val="00594550"/>
    <w:rsid w:val="005953A4"/>
    <w:rsid w:val="005A02C5"/>
    <w:rsid w:val="005A6D8E"/>
    <w:rsid w:val="005B0E46"/>
    <w:rsid w:val="005C7047"/>
    <w:rsid w:val="005D0272"/>
    <w:rsid w:val="005E08C1"/>
    <w:rsid w:val="005E6B6B"/>
    <w:rsid w:val="005F0479"/>
    <w:rsid w:val="005F0EA0"/>
    <w:rsid w:val="005F533D"/>
    <w:rsid w:val="006070B9"/>
    <w:rsid w:val="00617E46"/>
    <w:rsid w:val="0062025E"/>
    <w:rsid w:val="00625882"/>
    <w:rsid w:val="006276C9"/>
    <w:rsid w:val="006400D4"/>
    <w:rsid w:val="00644093"/>
    <w:rsid w:val="00654111"/>
    <w:rsid w:val="0065768D"/>
    <w:rsid w:val="006615E1"/>
    <w:rsid w:val="00662827"/>
    <w:rsid w:val="006809A0"/>
    <w:rsid w:val="0068483B"/>
    <w:rsid w:val="00684A7C"/>
    <w:rsid w:val="0069142C"/>
    <w:rsid w:val="00695504"/>
    <w:rsid w:val="006A2074"/>
    <w:rsid w:val="006A486A"/>
    <w:rsid w:val="006A4D89"/>
    <w:rsid w:val="006B4821"/>
    <w:rsid w:val="006C57B1"/>
    <w:rsid w:val="006D4F8F"/>
    <w:rsid w:val="006D549E"/>
    <w:rsid w:val="006E6000"/>
    <w:rsid w:val="006E7FB0"/>
    <w:rsid w:val="006F3CCA"/>
    <w:rsid w:val="006F4A80"/>
    <w:rsid w:val="006F53CD"/>
    <w:rsid w:val="006F77BE"/>
    <w:rsid w:val="0070048D"/>
    <w:rsid w:val="00703DFC"/>
    <w:rsid w:val="0070558B"/>
    <w:rsid w:val="00710A04"/>
    <w:rsid w:val="0071251E"/>
    <w:rsid w:val="00720B54"/>
    <w:rsid w:val="00720E07"/>
    <w:rsid w:val="00725908"/>
    <w:rsid w:val="0072643A"/>
    <w:rsid w:val="00764A91"/>
    <w:rsid w:val="0076589D"/>
    <w:rsid w:val="00766823"/>
    <w:rsid w:val="00770DC8"/>
    <w:rsid w:val="007726D7"/>
    <w:rsid w:val="00773856"/>
    <w:rsid w:val="00775D65"/>
    <w:rsid w:val="0078241C"/>
    <w:rsid w:val="0078689C"/>
    <w:rsid w:val="007869ED"/>
    <w:rsid w:val="007920A8"/>
    <w:rsid w:val="007957B9"/>
    <w:rsid w:val="007A46B4"/>
    <w:rsid w:val="007A5C4A"/>
    <w:rsid w:val="007B0015"/>
    <w:rsid w:val="007B03E0"/>
    <w:rsid w:val="007B37A0"/>
    <w:rsid w:val="007D2400"/>
    <w:rsid w:val="007D4A4A"/>
    <w:rsid w:val="007E52AC"/>
    <w:rsid w:val="007E6973"/>
    <w:rsid w:val="007E699A"/>
    <w:rsid w:val="007E7573"/>
    <w:rsid w:val="007F4F94"/>
    <w:rsid w:val="007F7E3C"/>
    <w:rsid w:val="008024B2"/>
    <w:rsid w:val="008029DB"/>
    <w:rsid w:val="00804E53"/>
    <w:rsid w:val="00816FCC"/>
    <w:rsid w:val="008207EE"/>
    <w:rsid w:val="00822C8E"/>
    <w:rsid w:val="00827DA2"/>
    <w:rsid w:val="0083270A"/>
    <w:rsid w:val="00834B9E"/>
    <w:rsid w:val="0083653C"/>
    <w:rsid w:val="00841CCE"/>
    <w:rsid w:val="00850377"/>
    <w:rsid w:val="00852671"/>
    <w:rsid w:val="00855434"/>
    <w:rsid w:val="0085560E"/>
    <w:rsid w:val="0086426B"/>
    <w:rsid w:val="008647BA"/>
    <w:rsid w:val="00865A90"/>
    <w:rsid w:val="00865E72"/>
    <w:rsid w:val="00866BB4"/>
    <w:rsid w:val="00866D16"/>
    <w:rsid w:val="0087254C"/>
    <w:rsid w:val="0088010A"/>
    <w:rsid w:val="008814F7"/>
    <w:rsid w:val="00891E91"/>
    <w:rsid w:val="00893FB3"/>
    <w:rsid w:val="008956A4"/>
    <w:rsid w:val="008A7710"/>
    <w:rsid w:val="008B5814"/>
    <w:rsid w:val="008D7DF2"/>
    <w:rsid w:val="008E4CB7"/>
    <w:rsid w:val="008F377C"/>
    <w:rsid w:val="008F4322"/>
    <w:rsid w:val="00902F5E"/>
    <w:rsid w:val="00905B69"/>
    <w:rsid w:val="00906BFB"/>
    <w:rsid w:val="009124A0"/>
    <w:rsid w:val="009131BC"/>
    <w:rsid w:val="0091686D"/>
    <w:rsid w:val="00924B80"/>
    <w:rsid w:val="00937020"/>
    <w:rsid w:val="00937BCD"/>
    <w:rsid w:val="00944ACD"/>
    <w:rsid w:val="00947748"/>
    <w:rsid w:val="00956FF9"/>
    <w:rsid w:val="00961DAE"/>
    <w:rsid w:val="0096632C"/>
    <w:rsid w:val="00967943"/>
    <w:rsid w:val="0097434D"/>
    <w:rsid w:val="00977E05"/>
    <w:rsid w:val="0098180D"/>
    <w:rsid w:val="00991D87"/>
    <w:rsid w:val="00994B38"/>
    <w:rsid w:val="009A61E8"/>
    <w:rsid w:val="009A6D11"/>
    <w:rsid w:val="009B7DFA"/>
    <w:rsid w:val="009C70B1"/>
    <w:rsid w:val="009E030D"/>
    <w:rsid w:val="009E1DA1"/>
    <w:rsid w:val="009F4AB4"/>
    <w:rsid w:val="009F71DC"/>
    <w:rsid w:val="00A0763E"/>
    <w:rsid w:val="00A15BF1"/>
    <w:rsid w:val="00A25450"/>
    <w:rsid w:val="00A3163F"/>
    <w:rsid w:val="00A34319"/>
    <w:rsid w:val="00A34518"/>
    <w:rsid w:val="00A35158"/>
    <w:rsid w:val="00A4355D"/>
    <w:rsid w:val="00A43DCA"/>
    <w:rsid w:val="00A509D0"/>
    <w:rsid w:val="00A51FCA"/>
    <w:rsid w:val="00A536DA"/>
    <w:rsid w:val="00A56980"/>
    <w:rsid w:val="00A60681"/>
    <w:rsid w:val="00A61E59"/>
    <w:rsid w:val="00A72F11"/>
    <w:rsid w:val="00A82567"/>
    <w:rsid w:val="00A96311"/>
    <w:rsid w:val="00A9631E"/>
    <w:rsid w:val="00AA2BC3"/>
    <w:rsid w:val="00AA452A"/>
    <w:rsid w:val="00AA7819"/>
    <w:rsid w:val="00AB0A99"/>
    <w:rsid w:val="00AB20D8"/>
    <w:rsid w:val="00AB58C3"/>
    <w:rsid w:val="00AC4CC5"/>
    <w:rsid w:val="00AC7480"/>
    <w:rsid w:val="00AD43DD"/>
    <w:rsid w:val="00AD7313"/>
    <w:rsid w:val="00AE0995"/>
    <w:rsid w:val="00AF06CA"/>
    <w:rsid w:val="00AF4F93"/>
    <w:rsid w:val="00AF64F8"/>
    <w:rsid w:val="00B018B9"/>
    <w:rsid w:val="00B12669"/>
    <w:rsid w:val="00B2244D"/>
    <w:rsid w:val="00B3254F"/>
    <w:rsid w:val="00B33628"/>
    <w:rsid w:val="00B337D1"/>
    <w:rsid w:val="00B4431A"/>
    <w:rsid w:val="00B460AF"/>
    <w:rsid w:val="00B60696"/>
    <w:rsid w:val="00B62B35"/>
    <w:rsid w:val="00B710EA"/>
    <w:rsid w:val="00B723B4"/>
    <w:rsid w:val="00B75595"/>
    <w:rsid w:val="00B806DB"/>
    <w:rsid w:val="00B81BC5"/>
    <w:rsid w:val="00B835C5"/>
    <w:rsid w:val="00B87F46"/>
    <w:rsid w:val="00B97BC8"/>
    <w:rsid w:val="00BA686F"/>
    <w:rsid w:val="00BB1C54"/>
    <w:rsid w:val="00BB7ABF"/>
    <w:rsid w:val="00BC1B93"/>
    <w:rsid w:val="00BD0A6B"/>
    <w:rsid w:val="00BD15D4"/>
    <w:rsid w:val="00BF08AD"/>
    <w:rsid w:val="00BF144D"/>
    <w:rsid w:val="00C01B8E"/>
    <w:rsid w:val="00C0217E"/>
    <w:rsid w:val="00C023B7"/>
    <w:rsid w:val="00C0487E"/>
    <w:rsid w:val="00C1080B"/>
    <w:rsid w:val="00C14CA1"/>
    <w:rsid w:val="00C209EA"/>
    <w:rsid w:val="00C20BA6"/>
    <w:rsid w:val="00C211B3"/>
    <w:rsid w:val="00C242CB"/>
    <w:rsid w:val="00C3310F"/>
    <w:rsid w:val="00C33BBC"/>
    <w:rsid w:val="00C41350"/>
    <w:rsid w:val="00C42453"/>
    <w:rsid w:val="00C446C7"/>
    <w:rsid w:val="00C45EBF"/>
    <w:rsid w:val="00C46380"/>
    <w:rsid w:val="00C4788A"/>
    <w:rsid w:val="00C514F1"/>
    <w:rsid w:val="00C63FEE"/>
    <w:rsid w:val="00C657DE"/>
    <w:rsid w:val="00C70D6C"/>
    <w:rsid w:val="00C71F08"/>
    <w:rsid w:val="00C804A1"/>
    <w:rsid w:val="00C856C1"/>
    <w:rsid w:val="00C910EC"/>
    <w:rsid w:val="00C930B4"/>
    <w:rsid w:val="00C936A0"/>
    <w:rsid w:val="00C950B8"/>
    <w:rsid w:val="00C9728E"/>
    <w:rsid w:val="00CA13E6"/>
    <w:rsid w:val="00CA5395"/>
    <w:rsid w:val="00CA582B"/>
    <w:rsid w:val="00CA5D25"/>
    <w:rsid w:val="00CB10EF"/>
    <w:rsid w:val="00CB7471"/>
    <w:rsid w:val="00CC084C"/>
    <w:rsid w:val="00CC2DF1"/>
    <w:rsid w:val="00CC312A"/>
    <w:rsid w:val="00CC5DDE"/>
    <w:rsid w:val="00CC74B4"/>
    <w:rsid w:val="00CD31E5"/>
    <w:rsid w:val="00CE0EF2"/>
    <w:rsid w:val="00CF0A7E"/>
    <w:rsid w:val="00CF5B9A"/>
    <w:rsid w:val="00D02D61"/>
    <w:rsid w:val="00D225FB"/>
    <w:rsid w:val="00D23599"/>
    <w:rsid w:val="00D33436"/>
    <w:rsid w:val="00D43998"/>
    <w:rsid w:val="00D47828"/>
    <w:rsid w:val="00D579BC"/>
    <w:rsid w:val="00D63246"/>
    <w:rsid w:val="00D63C82"/>
    <w:rsid w:val="00D67693"/>
    <w:rsid w:val="00D70310"/>
    <w:rsid w:val="00D77890"/>
    <w:rsid w:val="00D84798"/>
    <w:rsid w:val="00D87C24"/>
    <w:rsid w:val="00D90CBF"/>
    <w:rsid w:val="00D90F48"/>
    <w:rsid w:val="00D9166B"/>
    <w:rsid w:val="00D92CB4"/>
    <w:rsid w:val="00D93E95"/>
    <w:rsid w:val="00D94313"/>
    <w:rsid w:val="00DA6F3C"/>
    <w:rsid w:val="00DB44CE"/>
    <w:rsid w:val="00DC09DD"/>
    <w:rsid w:val="00DC0CCD"/>
    <w:rsid w:val="00DD02E8"/>
    <w:rsid w:val="00DD3E84"/>
    <w:rsid w:val="00DE6E12"/>
    <w:rsid w:val="00DF281F"/>
    <w:rsid w:val="00DF3DC8"/>
    <w:rsid w:val="00DF57D1"/>
    <w:rsid w:val="00E027CE"/>
    <w:rsid w:val="00E0745C"/>
    <w:rsid w:val="00E102DA"/>
    <w:rsid w:val="00E14528"/>
    <w:rsid w:val="00E2091C"/>
    <w:rsid w:val="00E257B4"/>
    <w:rsid w:val="00E30D9A"/>
    <w:rsid w:val="00E310B1"/>
    <w:rsid w:val="00E35ECB"/>
    <w:rsid w:val="00E36178"/>
    <w:rsid w:val="00E41246"/>
    <w:rsid w:val="00E4230F"/>
    <w:rsid w:val="00E436DC"/>
    <w:rsid w:val="00E43FF3"/>
    <w:rsid w:val="00E52021"/>
    <w:rsid w:val="00E521EB"/>
    <w:rsid w:val="00E57F5B"/>
    <w:rsid w:val="00E57FC8"/>
    <w:rsid w:val="00E60318"/>
    <w:rsid w:val="00E60D54"/>
    <w:rsid w:val="00E63ACC"/>
    <w:rsid w:val="00E6445A"/>
    <w:rsid w:val="00E6573E"/>
    <w:rsid w:val="00E92ACF"/>
    <w:rsid w:val="00E93A55"/>
    <w:rsid w:val="00E94542"/>
    <w:rsid w:val="00E9701C"/>
    <w:rsid w:val="00EA07A3"/>
    <w:rsid w:val="00EA26F9"/>
    <w:rsid w:val="00EA3F0A"/>
    <w:rsid w:val="00EA4BD0"/>
    <w:rsid w:val="00EA5739"/>
    <w:rsid w:val="00EB04D4"/>
    <w:rsid w:val="00EB48B0"/>
    <w:rsid w:val="00EB6628"/>
    <w:rsid w:val="00EB6EE6"/>
    <w:rsid w:val="00EC4610"/>
    <w:rsid w:val="00EC657E"/>
    <w:rsid w:val="00EC7372"/>
    <w:rsid w:val="00ED044C"/>
    <w:rsid w:val="00EE4F64"/>
    <w:rsid w:val="00EE5F32"/>
    <w:rsid w:val="00F02B46"/>
    <w:rsid w:val="00F04F4C"/>
    <w:rsid w:val="00F04F98"/>
    <w:rsid w:val="00F05061"/>
    <w:rsid w:val="00F133AE"/>
    <w:rsid w:val="00F137D5"/>
    <w:rsid w:val="00F15EB8"/>
    <w:rsid w:val="00F168B6"/>
    <w:rsid w:val="00F17D46"/>
    <w:rsid w:val="00F2283B"/>
    <w:rsid w:val="00F239CB"/>
    <w:rsid w:val="00F252DC"/>
    <w:rsid w:val="00F31331"/>
    <w:rsid w:val="00F33CC9"/>
    <w:rsid w:val="00F34211"/>
    <w:rsid w:val="00F41E3E"/>
    <w:rsid w:val="00F4212C"/>
    <w:rsid w:val="00F500B7"/>
    <w:rsid w:val="00F53556"/>
    <w:rsid w:val="00F567F0"/>
    <w:rsid w:val="00F619B0"/>
    <w:rsid w:val="00F62C6E"/>
    <w:rsid w:val="00F63C6E"/>
    <w:rsid w:val="00F72A15"/>
    <w:rsid w:val="00F730F8"/>
    <w:rsid w:val="00F75289"/>
    <w:rsid w:val="00F758A3"/>
    <w:rsid w:val="00F80272"/>
    <w:rsid w:val="00F903F2"/>
    <w:rsid w:val="00F94507"/>
    <w:rsid w:val="00FA14E7"/>
    <w:rsid w:val="00FA1560"/>
    <w:rsid w:val="00FA2A52"/>
    <w:rsid w:val="00FA354B"/>
    <w:rsid w:val="00FB1597"/>
    <w:rsid w:val="00FB5088"/>
    <w:rsid w:val="00FC5E3E"/>
    <w:rsid w:val="00FD3E49"/>
    <w:rsid w:val="00FE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AFE46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iPriority w:val="99"/>
    <w:rsid w:val="00487256"/>
    <w:rPr>
      <w:rFonts w:ascii="Times New Roman" w:hAnsi="Times New Roman"/>
      <w:b/>
      <w:sz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C0217E"/>
    <w:rPr>
      <w:sz w:val="22"/>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locked/>
    <w:rsid w:val="009A6D11"/>
    <w:rPr>
      <w:sz w:val="22"/>
    </w:rPr>
  </w:style>
  <w:style w:type="paragraph" w:styleId="Header">
    <w:name w:val="header"/>
    <w:basedOn w:val="Normal"/>
    <w:link w:val="HeaderChar"/>
    <w:uiPriority w:val="99"/>
    <w:rsid w:val="0096632C"/>
    <w:pPr>
      <w:tabs>
        <w:tab w:val="center" w:pos="4320"/>
        <w:tab w:val="right" w:pos="8640"/>
      </w:tabs>
    </w:pPr>
  </w:style>
  <w:style w:type="character" w:customStyle="1" w:styleId="HeaderChar">
    <w:name w:val="Header Char"/>
    <w:basedOn w:val="DefaultParagraphFont"/>
    <w:link w:val="Header"/>
    <w:uiPriority w:val="99"/>
    <w:semiHidden/>
    <w:rPr>
      <w:sz w:val="26"/>
      <w:szCs w:val="24"/>
    </w:rPr>
  </w:style>
  <w:style w:type="character" w:styleId="PageNumber">
    <w:name w:val="page number"/>
    <w:basedOn w:val="DefaultParagraphFont"/>
    <w:uiPriority w:val="99"/>
    <w:rsid w:val="0096632C"/>
    <w:rPr>
      <w:rFonts w:cs="Times New Roman"/>
    </w:rPr>
  </w:style>
  <w:style w:type="paragraph" w:styleId="Footer">
    <w:name w:val="footer"/>
    <w:basedOn w:val="Normal"/>
    <w:link w:val="FooterChar"/>
    <w:uiPriority w:val="99"/>
    <w:rsid w:val="00E57FC8"/>
    <w:pPr>
      <w:tabs>
        <w:tab w:val="center" w:pos="4320"/>
        <w:tab w:val="right" w:pos="8640"/>
      </w:tabs>
    </w:pPr>
  </w:style>
  <w:style w:type="character" w:customStyle="1" w:styleId="FooterChar">
    <w:name w:val="Footer Char"/>
    <w:basedOn w:val="DefaultParagraphFont"/>
    <w:link w:val="Footer"/>
    <w:uiPriority w:val="99"/>
    <w:semiHidden/>
    <w:rPr>
      <w:sz w:val="26"/>
      <w:szCs w:val="24"/>
    </w:rPr>
  </w:style>
  <w:style w:type="character" w:styleId="Hyperlink">
    <w:name w:val="Hyperlink"/>
    <w:basedOn w:val="DefaultParagraphFont"/>
    <w:uiPriority w:val="99"/>
    <w:rsid w:val="00822C8E"/>
    <w:rPr>
      <w:color w:val="0000FF"/>
      <w:u w:val="single"/>
    </w:rPr>
  </w:style>
  <w:style w:type="character" w:styleId="FollowedHyperlink">
    <w:name w:val="FollowedHyperlink"/>
    <w:basedOn w:val="DefaultParagraphFont"/>
    <w:uiPriority w:val="99"/>
    <w:rsid w:val="00FB1597"/>
    <w:rPr>
      <w:color w:val="800080"/>
      <w:u w:val="single"/>
    </w:rPr>
  </w:style>
  <w:style w:type="paragraph" w:styleId="BalloonText">
    <w:name w:val="Balloon Text"/>
    <w:basedOn w:val="Normal"/>
    <w:link w:val="BalloonTextChar"/>
    <w:uiPriority w:val="99"/>
    <w:semiHidden/>
    <w:rsid w:val="00121C3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sid w:val="00F168B6"/>
    <w:rPr>
      <w:sz w:val="16"/>
    </w:rPr>
  </w:style>
  <w:style w:type="paragraph" w:styleId="CommentText">
    <w:name w:val="annotation text"/>
    <w:basedOn w:val="Normal"/>
    <w:link w:val="CommentTextChar"/>
    <w:uiPriority w:val="99"/>
    <w:semiHidden/>
    <w:rsid w:val="00F168B6"/>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sid w:val="00F168B6"/>
    <w:rPr>
      <w:b/>
      <w:bCs/>
    </w:rPr>
  </w:style>
  <w:style w:type="character" w:customStyle="1" w:styleId="CommentSubjectChar">
    <w:name w:val="Comment Subject Char"/>
    <w:basedOn w:val="CommentTextChar"/>
    <w:link w:val="CommentSubject"/>
    <w:uiPriority w:val="99"/>
    <w:semiHidden/>
    <w:rPr>
      <w:b/>
      <w:bCs/>
    </w:rPr>
  </w:style>
  <w:style w:type="table" w:styleId="TableGrid">
    <w:name w:val="Table Grid"/>
    <w:basedOn w:val="TableNormal"/>
    <w:uiPriority w:val="39"/>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paragraph" w:styleId="EndnoteText">
    <w:name w:val="endnote text"/>
    <w:basedOn w:val="Normal"/>
    <w:link w:val="EndnoteTextChar"/>
    <w:uiPriority w:val="99"/>
    <w:rsid w:val="00C657DE"/>
    <w:rPr>
      <w:sz w:val="20"/>
      <w:szCs w:val="20"/>
    </w:rPr>
  </w:style>
  <w:style w:type="character" w:customStyle="1" w:styleId="EndnoteTextChar">
    <w:name w:val="Endnote Text Char"/>
    <w:basedOn w:val="DefaultParagraphFont"/>
    <w:link w:val="EndnoteText"/>
    <w:uiPriority w:val="99"/>
    <w:locked/>
    <w:rsid w:val="00C657DE"/>
    <w:rPr>
      <w:rFonts w:cs="Times New Roman"/>
    </w:rPr>
  </w:style>
  <w:style w:type="character" w:styleId="EndnoteReference">
    <w:name w:val="endnote reference"/>
    <w:basedOn w:val="DefaultParagraphFont"/>
    <w:uiPriority w:val="99"/>
    <w:rsid w:val="00C657D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iPriority w:val="99"/>
    <w:rsid w:val="00487256"/>
    <w:rPr>
      <w:rFonts w:ascii="Times New Roman" w:hAnsi="Times New Roman"/>
      <w:b/>
      <w:sz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iPriority w:val="99"/>
    <w:qFormat/>
    <w:rsid w:val="00C0217E"/>
    <w:rPr>
      <w:sz w:val="22"/>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link w:val="FootnoteText"/>
    <w:uiPriority w:val="99"/>
    <w:locked/>
    <w:rsid w:val="009A6D11"/>
    <w:rPr>
      <w:sz w:val="22"/>
    </w:rPr>
  </w:style>
  <w:style w:type="paragraph" w:styleId="Header">
    <w:name w:val="header"/>
    <w:basedOn w:val="Normal"/>
    <w:link w:val="HeaderChar"/>
    <w:uiPriority w:val="99"/>
    <w:rsid w:val="0096632C"/>
    <w:pPr>
      <w:tabs>
        <w:tab w:val="center" w:pos="4320"/>
        <w:tab w:val="right" w:pos="8640"/>
      </w:tabs>
    </w:pPr>
  </w:style>
  <w:style w:type="character" w:customStyle="1" w:styleId="HeaderChar">
    <w:name w:val="Header Char"/>
    <w:basedOn w:val="DefaultParagraphFont"/>
    <w:link w:val="Header"/>
    <w:uiPriority w:val="99"/>
    <w:semiHidden/>
    <w:rPr>
      <w:sz w:val="26"/>
      <w:szCs w:val="24"/>
    </w:rPr>
  </w:style>
  <w:style w:type="character" w:styleId="PageNumber">
    <w:name w:val="page number"/>
    <w:basedOn w:val="DefaultParagraphFont"/>
    <w:uiPriority w:val="99"/>
    <w:rsid w:val="0096632C"/>
    <w:rPr>
      <w:rFonts w:cs="Times New Roman"/>
    </w:rPr>
  </w:style>
  <w:style w:type="paragraph" w:styleId="Footer">
    <w:name w:val="footer"/>
    <w:basedOn w:val="Normal"/>
    <w:link w:val="FooterChar"/>
    <w:uiPriority w:val="99"/>
    <w:rsid w:val="00E57FC8"/>
    <w:pPr>
      <w:tabs>
        <w:tab w:val="center" w:pos="4320"/>
        <w:tab w:val="right" w:pos="8640"/>
      </w:tabs>
    </w:pPr>
  </w:style>
  <w:style w:type="character" w:customStyle="1" w:styleId="FooterChar">
    <w:name w:val="Footer Char"/>
    <w:basedOn w:val="DefaultParagraphFont"/>
    <w:link w:val="Footer"/>
    <w:uiPriority w:val="99"/>
    <w:semiHidden/>
    <w:rPr>
      <w:sz w:val="26"/>
      <w:szCs w:val="24"/>
    </w:rPr>
  </w:style>
  <w:style w:type="character" w:styleId="Hyperlink">
    <w:name w:val="Hyperlink"/>
    <w:basedOn w:val="DefaultParagraphFont"/>
    <w:uiPriority w:val="99"/>
    <w:rsid w:val="00822C8E"/>
    <w:rPr>
      <w:color w:val="0000FF"/>
      <w:u w:val="single"/>
    </w:rPr>
  </w:style>
  <w:style w:type="character" w:styleId="FollowedHyperlink">
    <w:name w:val="FollowedHyperlink"/>
    <w:basedOn w:val="DefaultParagraphFont"/>
    <w:uiPriority w:val="99"/>
    <w:rsid w:val="00FB1597"/>
    <w:rPr>
      <w:color w:val="800080"/>
      <w:u w:val="single"/>
    </w:rPr>
  </w:style>
  <w:style w:type="paragraph" w:styleId="BalloonText">
    <w:name w:val="Balloon Text"/>
    <w:basedOn w:val="Normal"/>
    <w:link w:val="BalloonTextChar"/>
    <w:uiPriority w:val="99"/>
    <w:semiHidden/>
    <w:rsid w:val="00121C3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rsid w:val="00F168B6"/>
    <w:rPr>
      <w:sz w:val="16"/>
    </w:rPr>
  </w:style>
  <w:style w:type="paragraph" w:styleId="CommentText">
    <w:name w:val="annotation text"/>
    <w:basedOn w:val="Normal"/>
    <w:link w:val="CommentTextChar"/>
    <w:uiPriority w:val="99"/>
    <w:semiHidden/>
    <w:rsid w:val="00F168B6"/>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rsid w:val="00F168B6"/>
    <w:rPr>
      <w:b/>
      <w:bCs/>
    </w:rPr>
  </w:style>
  <w:style w:type="character" w:customStyle="1" w:styleId="CommentSubjectChar">
    <w:name w:val="Comment Subject Char"/>
    <w:basedOn w:val="CommentTextChar"/>
    <w:link w:val="CommentSubject"/>
    <w:uiPriority w:val="99"/>
    <w:semiHidden/>
    <w:rPr>
      <w:b/>
      <w:bCs/>
    </w:rPr>
  </w:style>
  <w:style w:type="table" w:styleId="TableGrid">
    <w:name w:val="Table Grid"/>
    <w:basedOn w:val="TableNormal"/>
    <w:uiPriority w:val="39"/>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paragraph" w:styleId="EndnoteText">
    <w:name w:val="endnote text"/>
    <w:basedOn w:val="Normal"/>
    <w:link w:val="EndnoteTextChar"/>
    <w:uiPriority w:val="99"/>
    <w:rsid w:val="00C657DE"/>
    <w:rPr>
      <w:sz w:val="20"/>
      <w:szCs w:val="20"/>
    </w:rPr>
  </w:style>
  <w:style w:type="character" w:customStyle="1" w:styleId="EndnoteTextChar">
    <w:name w:val="Endnote Text Char"/>
    <w:basedOn w:val="DefaultParagraphFont"/>
    <w:link w:val="EndnoteText"/>
    <w:uiPriority w:val="99"/>
    <w:locked/>
    <w:rsid w:val="00C657DE"/>
    <w:rPr>
      <w:rFonts w:cs="Times New Roman"/>
    </w:rPr>
  </w:style>
  <w:style w:type="character" w:styleId="EndnoteReference">
    <w:name w:val="endnote reference"/>
    <w:basedOn w:val="DefaultParagraphFont"/>
    <w:uiPriority w:val="99"/>
    <w:rsid w:val="00C65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280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iling.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C52C-8619-4A4A-A53D-391F6733E7CB}">
  <ds:schemaRefs>
    <ds:schemaRef ds:uri="http://schemas.microsoft.com/sharepoint/v3/contenttype/forms"/>
  </ds:schemaRefs>
</ds:datastoreItem>
</file>

<file path=customXml/itemProps2.xml><?xml version="1.0" encoding="utf-8"?>
<ds:datastoreItem xmlns:ds="http://schemas.openxmlformats.org/officeDocument/2006/customXml" ds:itemID="{44B3AA4B-238C-4FA7-810A-06989A217985}">
  <ds:schemaRefs>
    <ds:schemaRef ds:uri="Microsoft.SharePoint.Taxonomy.ContentTypeSync"/>
  </ds:schemaRefs>
</ds:datastoreItem>
</file>

<file path=customXml/itemProps3.xml><?xml version="1.0" encoding="utf-8"?>
<ds:datastoreItem xmlns:ds="http://schemas.openxmlformats.org/officeDocument/2006/customXml" ds:itemID="{F7FEAE51-1A50-4474-AC3E-CA55BD670A70}">
  <ds:schemaRefs>
    <ds:schemaRef ds:uri="http://schemas.microsoft.com/office/2006/metadata/longProperties"/>
  </ds:schemaRefs>
</ds:datastoreItem>
</file>

<file path=customXml/itemProps4.xml><?xml version="1.0" encoding="utf-8"?>
<ds:datastoreItem xmlns:ds="http://schemas.openxmlformats.org/officeDocument/2006/customXml" ds:itemID="{C0200F5F-DA51-4668-8365-48BB1891451B}">
  <ds:schemaRefs>
    <ds:schemaRef ds:uri="http://schemas.microsoft.com/office/infopath/2007/PartnerControls"/>
    <ds:schemaRef ds:uri="http://purl.org/dc/dcmitype/"/>
    <ds:schemaRef ds:uri="5e8733a2-e908-454b-85cf-c9d17e1d0943"/>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05DD8886-5C32-475C-9D12-CAEF68F96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466818-5D5F-4573-9999-65933F04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2019-11-27T15:50:00Z</dcterms:created>
  <dcterms:modified xsi:type="dcterms:W3CDTF">2019-11-27T15:50:00Z</dcterms:modified>
  <cp:category/>
  <dc:identifier/>
  <cp:contentStatus/>
  <cp:version/>
</cp:coreProperties>
</file>