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D7B7" w14:textId="77777777" w:rsidR="00EE07DD" w:rsidRPr="001A153B" w:rsidRDefault="00EE07DD" w:rsidP="005E5E49">
      <w:pPr>
        <w:spacing w:after="0" w:line="276"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2F1AA100" w14:textId="77777777" w:rsidR="00417C7C" w:rsidRDefault="00417C7C" w:rsidP="005E5E49">
      <w:pPr>
        <w:spacing w:after="0" w:line="276" w:lineRule="auto"/>
        <w:jc w:val="center"/>
        <w:rPr>
          <w:rFonts w:ascii="Times New Roman" w:hAnsi="Times New Roman" w:cs="Times New Roman"/>
          <w:b/>
          <w:sz w:val="26"/>
          <w:szCs w:val="26"/>
        </w:rPr>
      </w:pPr>
      <w:r w:rsidRPr="00417C7C">
        <w:rPr>
          <w:rFonts w:ascii="Times New Roman" w:hAnsi="Times New Roman" w:cs="Times New Roman"/>
          <w:b/>
          <w:sz w:val="26"/>
          <w:szCs w:val="26"/>
        </w:rPr>
        <w:t xml:space="preserve">FERC-725K, Mandatory Reliability Standards for the SERC Region </w:t>
      </w:r>
    </w:p>
    <w:p w14:paraId="005FB4B7" w14:textId="2B9F5963" w:rsidR="00EE07DD" w:rsidRPr="00E7287B" w:rsidRDefault="00E7287B" w:rsidP="005E5E49">
      <w:pPr>
        <w:spacing w:after="0" w:line="276" w:lineRule="auto"/>
        <w:jc w:val="center"/>
        <w:rPr>
          <w:rFonts w:ascii="Times New Roman" w:hAnsi="Times New Roman" w:cs="Times New Roman"/>
          <w:sz w:val="26"/>
          <w:szCs w:val="26"/>
        </w:rPr>
      </w:pPr>
      <w:r w:rsidRPr="00E7287B">
        <w:rPr>
          <w:rFonts w:ascii="Times New Roman" w:hAnsi="Times New Roman" w:cs="Times New Roman"/>
          <w:sz w:val="26"/>
          <w:szCs w:val="26"/>
        </w:rPr>
        <w:t>(Three-year extension requested)</w:t>
      </w:r>
    </w:p>
    <w:p w14:paraId="51A0C6A3" w14:textId="77777777" w:rsidR="00EB7F94" w:rsidRDefault="00EB7F94" w:rsidP="005E5E49">
      <w:pPr>
        <w:spacing w:after="0" w:line="276" w:lineRule="auto"/>
        <w:rPr>
          <w:rFonts w:ascii="Times New Roman" w:hAnsi="Times New Roman" w:cs="Times New Roman"/>
          <w:sz w:val="26"/>
          <w:szCs w:val="26"/>
        </w:rPr>
      </w:pPr>
    </w:p>
    <w:p w14:paraId="1FF13103" w14:textId="202A1106" w:rsidR="00B77B3D" w:rsidRDefault="00E11F0D"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E7287B" w:rsidRPr="00E7287B">
        <w:rPr>
          <w:rFonts w:ascii="Times New Roman" w:hAnsi="Times New Roman" w:cs="Times New Roman"/>
          <w:sz w:val="26"/>
          <w:szCs w:val="26"/>
        </w:rPr>
        <w:t>The Federal Energy Regulatory Commission (FERC or Commission) requests that the Office of Management and Budget (OMB) review and renew the information coll</w:t>
      </w:r>
      <w:r w:rsidR="005E5E49">
        <w:rPr>
          <w:rFonts w:ascii="Times New Roman" w:hAnsi="Times New Roman" w:cs="Times New Roman"/>
          <w:sz w:val="26"/>
          <w:szCs w:val="26"/>
        </w:rPr>
        <w:t>ection requirements in FERC-725K under OMB Control No. 1902-0260</w:t>
      </w:r>
      <w:r w:rsidR="00E7287B" w:rsidRPr="00E7287B">
        <w:rPr>
          <w:rFonts w:ascii="Times New Roman" w:hAnsi="Times New Roman" w:cs="Times New Roman"/>
          <w:sz w:val="26"/>
          <w:szCs w:val="26"/>
        </w:rPr>
        <w:t>. The reporti</w:t>
      </w:r>
      <w:r w:rsidR="005E5E49">
        <w:rPr>
          <w:rFonts w:ascii="Times New Roman" w:hAnsi="Times New Roman" w:cs="Times New Roman"/>
          <w:sz w:val="26"/>
          <w:szCs w:val="26"/>
        </w:rPr>
        <w:t>ng requirements in the FERC-725K are</w:t>
      </w:r>
      <w:r w:rsidR="00E7287B" w:rsidRPr="00E7287B">
        <w:rPr>
          <w:rFonts w:ascii="Times New Roman" w:hAnsi="Times New Roman" w:cs="Times New Roman"/>
          <w:sz w:val="26"/>
          <w:szCs w:val="26"/>
        </w:rPr>
        <w:t xml:space="preserve"> contained in FERC’s regulations in 18 Code of Federal Regulations (CFR) Part 40.</w:t>
      </w:r>
    </w:p>
    <w:p w14:paraId="02F1F2BF" w14:textId="77777777" w:rsidR="007B29B4" w:rsidRPr="007B29B4" w:rsidRDefault="007B29B4" w:rsidP="005E5E49">
      <w:pPr>
        <w:spacing w:after="0" w:line="276" w:lineRule="auto"/>
        <w:ind w:left="720"/>
        <w:rPr>
          <w:rFonts w:ascii="Times New Roman" w:hAnsi="Times New Roman" w:cs="Times New Roman"/>
          <w:sz w:val="26"/>
          <w:szCs w:val="26"/>
        </w:rPr>
      </w:pPr>
    </w:p>
    <w:p w14:paraId="16FA34C6" w14:textId="77777777" w:rsidR="00EE07DD" w:rsidRPr="001A153B" w:rsidRDefault="00EE07DD" w:rsidP="005E5E49">
      <w:pPr>
        <w:numPr>
          <w:ilvl w:val="0"/>
          <w:numId w:val="2"/>
        </w:numPr>
        <w:spacing w:after="0" w:line="276"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17C749EE" w14:textId="77777777" w:rsidR="003D34F1" w:rsidRDefault="003D34F1" w:rsidP="005E5E49">
      <w:pPr>
        <w:spacing w:after="0" w:line="276" w:lineRule="auto"/>
        <w:rPr>
          <w:rFonts w:ascii="Times New Roman" w:hAnsi="Times New Roman" w:cs="Times New Roman"/>
          <w:b/>
          <w:sz w:val="26"/>
          <w:szCs w:val="26"/>
        </w:rPr>
      </w:pPr>
    </w:p>
    <w:p w14:paraId="536BEA34" w14:textId="77777777" w:rsidR="00EE07DD" w:rsidRPr="001A153B" w:rsidRDefault="00EE07DD" w:rsidP="005E5E49">
      <w:p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385EAB4A" w14:textId="08DBD80B" w:rsidR="005E5E49" w:rsidRPr="005E5E49" w:rsidRDefault="00E11F0D"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5E5E49" w:rsidRPr="005E5E49">
        <w:rPr>
          <w:rFonts w:ascii="Times New Roman" w:hAnsi="Times New Roman" w:cs="Times New Roman"/>
          <w:sz w:val="26"/>
          <w:szCs w:val="26"/>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ERO may enforce the Reliability Standards, subject to Commission oversight.  In 2006, the Commission certified the North American Electric Reliability Corporation (NERC) as the ERO pursuant to FPA section 215.</w:t>
      </w:r>
      <w:r w:rsidR="005E5E49" w:rsidRPr="005E5E49">
        <w:rPr>
          <w:rFonts w:ascii="Times New Roman" w:hAnsi="Times New Roman" w:cs="Times New Roman"/>
          <w:sz w:val="26"/>
          <w:szCs w:val="26"/>
          <w:vertAlign w:val="superscript"/>
        </w:rPr>
        <w:footnoteReference w:id="1"/>
      </w:r>
      <w:r w:rsidR="005E5E49" w:rsidRPr="005E5E49">
        <w:rPr>
          <w:rFonts w:ascii="Times New Roman" w:hAnsi="Times New Roman" w:cs="Times New Roman"/>
          <w:sz w:val="26"/>
          <w:szCs w:val="26"/>
          <w:vertAlign w:val="superscript"/>
        </w:rPr>
        <w:t xml:space="preserve"> </w:t>
      </w:r>
      <w:r w:rsidR="005E5E49" w:rsidRPr="005E5E49">
        <w:rPr>
          <w:rFonts w:ascii="Times New Roman" w:hAnsi="Times New Roman" w:cs="Times New Roman"/>
          <w:sz w:val="26"/>
          <w:szCs w:val="26"/>
        </w:rPr>
        <w:t xml:space="preserve"> </w:t>
      </w:r>
    </w:p>
    <w:p w14:paraId="22DDFA4B" w14:textId="77777777" w:rsidR="005E5E49" w:rsidRPr="005E5E49" w:rsidRDefault="005E5E49" w:rsidP="005E5E49">
      <w:pPr>
        <w:spacing w:after="0" w:line="276" w:lineRule="auto"/>
        <w:rPr>
          <w:rFonts w:ascii="Times New Roman" w:hAnsi="Times New Roman" w:cs="Times New Roman"/>
          <w:sz w:val="26"/>
          <w:szCs w:val="26"/>
        </w:rPr>
      </w:pPr>
    </w:p>
    <w:p w14:paraId="38D7E2DE" w14:textId="77777777" w:rsidR="005E5E49" w:rsidRPr="005E5E49" w:rsidRDefault="005E5E49" w:rsidP="005E5E49">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Reliability Standards that NERC proposes to the Commission may include Reliability Standards that a Regional Entity proposes to be effective in that region.</w:t>
      </w:r>
      <w:r w:rsidRPr="005E5E49">
        <w:rPr>
          <w:rFonts w:ascii="Times New Roman" w:hAnsi="Times New Roman" w:cs="Times New Roman"/>
          <w:b/>
          <w:sz w:val="26"/>
          <w:szCs w:val="26"/>
          <w:vertAlign w:val="superscript"/>
        </w:rPr>
        <w:footnoteReference w:id="2"/>
      </w:r>
      <w:r w:rsidRPr="005E5E49">
        <w:rPr>
          <w:rFonts w:ascii="Times New Roman" w:hAnsi="Times New Roman" w:cs="Times New Roman"/>
          <w:sz w:val="26"/>
          <w:szCs w:val="26"/>
        </w:rPr>
        <w:t xml:space="preserve">  In Order No. 672, the Commission noted that:</w:t>
      </w:r>
    </w:p>
    <w:p w14:paraId="4D272D66" w14:textId="77777777" w:rsidR="005E5E49" w:rsidRPr="005E5E49" w:rsidRDefault="005E5E49" w:rsidP="005E5E49">
      <w:pPr>
        <w:spacing w:after="0" w:line="276" w:lineRule="auto"/>
        <w:rPr>
          <w:rFonts w:ascii="Times New Roman" w:hAnsi="Times New Roman" w:cs="Times New Roman"/>
          <w:sz w:val="26"/>
          <w:szCs w:val="26"/>
        </w:rPr>
      </w:pPr>
    </w:p>
    <w:p w14:paraId="73057838" w14:textId="77777777" w:rsidR="005E5E49" w:rsidRPr="005E5E49" w:rsidRDefault="005E5E49" w:rsidP="005E5E49">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 xml:space="preserve">As a general matter, we will accept the following two types of regional differences, provided they are otherwise just, reasonable, not unduly discriminatory or preferential and in the public interest, as required under the statute:  </w:t>
      </w:r>
    </w:p>
    <w:p w14:paraId="33E1F834" w14:textId="77777777" w:rsidR="005E5E49" w:rsidRPr="005E5E49" w:rsidRDefault="005E5E49" w:rsidP="005E5E49">
      <w:pPr>
        <w:numPr>
          <w:ilvl w:val="0"/>
          <w:numId w:val="13"/>
        </w:num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 xml:space="preserve">a regional difference that is more stringent than the continent-wide Reliability Standard, including a regional difference that addresses matters that the continent-wide Reliability Standard does not; and </w:t>
      </w:r>
    </w:p>
    <w:p w14:paraId="7EFBA01B" w14:textId="77777777" w:rsidR="005E5E49" w:rsidRPr="005E5E49" w:rsidRDefault="005E5E49" w:rsidP="005E5E49">
      <w:pPr>
        <w:numPr>
          <w:ilvl w:val="0"/>
          <w:numId w:val="13"/>
        </w:numPr>
        <w:spacing w:after="0" w:line="276" w:lineRule="auto"/>
        <w:rPr>
          <w:rFonts w:ascii="Times New Roman" w:hAnsi="Times New Roman" w:cs="Times New Roman"/>
          <w:sz w:val="26"/>
          <w:szCs w:val="26"/>
        </w:rPr>
      </w:pPr>
      <w:r w:rsidRPr="005E5E49">
        <w:rPr>
          <w:rFonts w:ascii="Times New Roman" w:hAnsi="Times New Roman" w:cs="Times New Roman"/>
          <w:sz w:val="26"/>
          <w:szCs w:val="26"/>
        </w:rPr>
        <w:lastRenderedPageBreak/>
        <w:t>a regional Reliability Standard that is necessitated by a physical difference in the Bulk-Power System.</w:t>
      </w:r>
    </w:p>
    <w:p w14:paraId="163A1503" w14:textId="77777777" w:rsidR="005E5E49" w:rsidRPr="005E5E49" w:rsidRDefault="005E5E49" w:rsidP="005E5E49">
      <w:pPr>
        <w:spacing w:after="0" w:line="276" w:lineRule="auto"/>
        <w:rPr>
          <w:rFonts w:ascii="Times New Roman" w:hAnsi="Times New Roman" w:cs="Times New Roman"/>
          <w:sz w:val="26"/>
          <w:szCs w:val="26"/>
        </w:rPr>
      </w:pPr>
    </w:p>
    <w:p w14:paraId="4D44C877" w14:textId="77777777" w:rsidR="005E5E49" w:rsidRPr="005E5E49" w:rsidRDefault="005E5E49" w:rsidP="005E5E49">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When NERC reviews a regional Reliability Standard that would be applicable on an interconnection-wide basis and that has been proposed by a Regional Entity organized on an interconnection-wide basis, NERC must presume that the regional Reliability Standard is just, reasonable, not unduly discriminatory or preferential, and in the public interest.</w:t>
      </w:r>
      <w:r w:rsidRPr="005E5E49">
        <w:rPr>
          <w:rFonts w:ascii="Times New Roman" w:hAnsi="Times New Roman" w:cs="Times New Roman"/>
          <w:b/>
          <w:sz w:val="26"/>
          <w:szCs w:val="26"/>
          <w:vertAlign w:val="superscript"/>
        </w:rPr>
        <w:footnoteReference w:id="3"/>
      </w:r>
      <w:r w:rsidRPr="005E5E49">
        <w:rPr>
          <w:rFonts w:ascii="Times New Roman" w:hAnsi="Times New Roman" w:cs="Times New Roman"/>
          <w:sz w:val="26"/>
          <w:szCs w:val="26"/>
        </w:rPr>
        <w:t xml:space="preserve">  In turn, the Commission must give “due weight” to the technical expertise of NERC and of a Regional Entity organized on an interconnection-wide basis.</w:t>
      </w:r>
      <w:r w:rsidRPr="005E5E49">
        <w:rPr>
          <w:rFonts w:ascii="Times New Roman" w:hAnsi="Times New Roman" w:cs="Times New Roman"/>
          <w:b/>
          <w:sz w:val="26"/>
          <w:szCs w:val="26"/>
          <w:vertAlign w:val="superscript"/>
        </w:rPr>
        <w:footnoteReference w:id="4"/>
      </w:r>
    </w:p>
    <w:p w14:paraId="62CB55CB" w14:textId="77777777" w:rsidR="005E5E49" w:rsidRPr="005E5E49" w:rsidRDefault="005E5E49" w:rsidP="005E5E49">
      <w:pPr>
        <w:spacing w:after="0" w:line="276" w:lineRule="auto"/>
        <w:rPr>
          <w:rFonts w:ascii="Times New Roman" w:hAnsi="Times New Roman" w:cs="Times New Roman"/>
          <w:sz w:val="26"/>
          <w:szCs w:val="26"/>
        </w:rPr>
      </w:pPr>
    </w:p>
    <w:p w14:paraId="0E44D7EE" w14:textId="70FFA3F9" w:rsidR="00A77695" w:rsidRDefault="005E5E49" w:rsidP="005E5E49">
      <w:pPr>
        <w:spacing w:after="0" w:line="276" w:lineRule="auto"/>
        <w:rPr>
          <w:rFonts w:ascii="Times New Roman" w:hAnsi="Times New Roman" w:cs="Times New Roman"/>
          <w:sz w:val="26"/>
          <w:szCs w:val="26"/>
        </w:rPr>
      </w:pPr>
      <w:r w:rsidRPr="005E5E49">
        <w:rPr>
          <w:rFonts w:ascii="Times New Roman" w:hAnsi="Times New Roman" w:cs="Times New Roman"/>
          <w:sz w:val="26"/>
          <w:szCs w:val="26"/>
        </w:rPr>
        <w:tab/>
        <w:t>On April 19, 2007, the Commission accepted delegation agreements between NERC and each of the eight Regional Entities.</w:t>
      </w:r>
      <w:r w:rsidRPr="005E5E49">
        <w:rPr>
          <w:rFonts w:ascii="Times New Roman" w:hAnsi="Times New Roman" w:cs="Times New Roman"/>
          <w:b/>
          <w:sz w:val="26"/>
          <w:szCs w:val="26"/>
          <w:vertAlign w:val="superscript"/>
        </w:rPr>
        <w:footnoteReference w:id="5"/>
      </w:r>
      <w:r w:rsidRPr="005E5E49">
        <w:rPr>
          <w:rFonts w:ascii="Times New Roman" w:hAnsi="Times New Roman" w:cs="Times New Roman"/>
          <w:sz w:val="26"/>
          <w:szCs w:val="26"/>
        </w:rPr>
        <w:t xml:space="preserve">  In the order, the Commission accepted SERC as a Regional Entity organized on less than an interconnection-wide basis.  As a Regional Entity, SERC oversees Bulk-Power System reliability within the SERC Region, 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divided into five geographical sub-regions that are identified as Southeastern, Central, VACAR, Delta, and Gateway.</w:t>
      </w:r>
    </w:p>
    <w:p w14:paraId="021C84C8" w14:textId="77777777" w:rsidR="00EE07DD" w:rsidRPr="001A153B" w:rsidRDefault="00EE07DD" w:rsidP="005E5E49">
      <w:pPr>
        <w:spacing w:after="0" w:line="276" w:lineRule="auto"/>
        <w:rPr>
          <w:rFonts w:ascii="Times New Roman" w:hAnsi="Times New Roman" w:cs="Times New Roman"/>
          <w:sz w:val="26"/>
          <w:szCs w:val="26"/>
        </w:rPr>
      </w:pPr>
    </w:p>
    <w:p w14:paraId="1B1E8C6E"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7DFE0C09" w14:textId="77777777" w:rsidR="00EE07DD" w:rsidRPr="001A153B" w:rsidRDefault="00EE07DD" w:rsidP="005E5E49">
      <w:pPr>
        <w:spacing w:after="0" w:line="276" w:lineRule="auto"/>
        <w:rPr>
          <w:rFonts w:ascii="Times New Roman" w:hAnsi="Times New Roman" w:cs="Times New Roman"/>
          <w:b/>
          <w:sz w:val="26"/>
          <w:szCs w:val="26"/>
        </w:rPr>
      </w:pPr>
    </w:p>
    <w:p w14:paraId="4388954D" w14:textId="77777777" w:rsidR="005E5E49" w:rsidRPr="005E5E49" w:rsidRDefault="005E5E49" w:rsidP="005E5E49">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 xml:space="preserve">Prior to the enactment of Section 215 of the Federal Power Act, FERC had acted primarily as an economic regulator of the wholesale power markets and the interstate transmission grid.  In this regard, the Commission acted to promote a more reliable electric system by promoting regional coordination and planning of the interstate grid through regional independent system operators (ISOs) and regional transmission organizations (RTOs). </w:t>
      </w:r>
    </w:p>
    <w:p w14:paraId="69D48A47" w14:textId="77777777" w:rsidR="005E5E49" w:rsidRPr="005E5E49" w:rsidRDefault="005E5E49" w:rsidP="005E5E49">
      <w:pPr>
        <w:spacing w:after="0" w:line="276" w:lineRule="auto"/>
        <w:ind w:firstLine="720"/>
        <w:rPr>
          <w:rFonts w:ascii="Times New Roman" w:eastAsia="Calibri" w:hAnsi="Times New Roman" w:cs="Times New Roman"/>
          <w:sz w:val="26"/>
          <w:szCs w:val="26"/>
        </w:rPr>
      </w:pPr>
    </w:p>
    <w:p w14:paraId="19C9C7CC" w14:textId="0618B02F" w:rsidR="005E5E49" w:rsidRPr="005E5E49" w:rsidRDefault="005E5E49" w:rsidP="005E5E49">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The passage of the Energy Policy Act of 2005 added to the Commission’s efforts by giving it the authority to strengthen the reliability of the interstate electric transmission grid through the grant of new authority pursuant to Secti</w:t>
      </w:r>
      <w:r>
        <w:rPr>
          <w:rFonts w:ascii="Times New Roman" w:eastAsia="Calibri" w:hAnsi="Times New Roman" w:cs="Times New Roman"/>
          <w:sz w:val="26"/>
          <w:szCs w:val="26"/>
        </w:rPr>
        <w:t>on 215 of the FPA</w:t>
      </w:r>
      <w:r w:rsidRPr="005E5E49">
        <w:rPr>
          <w:rFonts w:ascii="Times New Roman" w:eastAsia="Calibri" w:hAnsi="Times New Roman" w:cs="Times New Roman"/>
          <w:sz w:val="26"/>
          <w:szCs w:val="26"/>
        </w:rPr>
        <w:t>.  The FPA</w:t>
      </w:r>
      <w:r>
        <w:rPr>
          <w:rFonts w:ascii="Times New Roman" w:eastAsia="Calibri" w:hAnsi="Times New Roman" w:cs="Times New Roman"/>
          <w:sz w:val="26"/>
          <w:szCs w:val="26"/>
        </w:rPr>
        <w:t xml:space="preserve"> establishes</w:t>
      </w:r>
      <w:r w:rsidRPr="005E5E49">
        <w:rPr>
          <w:rFonts w:ascii="Times New Roman" w:eastAsia="Calibri" w:hAnsi="Times New Roman" w:cs="Times New Roman"/>
          <w:sz w:val="26"/>
          <w:szCs w:val="26"/>
        </w:rPr>
        <w:t xml:space="preserve"> a system of mandatory Reliability Standards developed by the ERO, </w:t>
      </w:r>
      <w:r w:rsidR="00E11F0D">
        <w:rPr>
          <w:rFonts w:ascii="Times New Roman" w:eastAsia="Calibri" w:hAnsi="Times New Roman" w:cs="Times New Roman"/>
          <w:sz w:val="26"/>
          <w:szCs w:val="26"/>
        </w:rPr>
        <w:t>approv</w:t>
      </w:r>
      <w:r w:rsidR="00E11F0D" w:rsidRPr="005E5E49">
        <w:rPr>
          <w:rFonts w:ascii="Times New Roman" w:eastAsia="Calibri" w:hAnsi="Times New Roman" w:cs="Times New Roman"/>
          <w:sz w:val="26"/>
          <w:szCs w:val="26"/>
        </w:rPr>
        <w:t xml:space="preserve">ed </w:t>
      </w:r>
      <w:r w:rsidRPr="005E5E49">
        <w:rPr>
          <w:rFonts w:ascii="Times New Roman" w:eastAsia="Calibri" w:hAnsi="Times New Roman" w:cs="Times New Roman"/>
          <w:sz w:val="26"/>
          <w:szCs w:val="26"/>
        </w:rPr>
        <w:t xml:space="preserve">by FERC, and enforced by the ERO and Regional Entities.  </w:t>
      </w:r>
    </w:p>
    <w:p w14:paraId="6D029634" w14:textId="77777777" w:rsidR="005E5E49" w:rsidRPr="005E5E49" w:rsidRDefault="005E5E49" w:rsidP="005E5E49">
      <w:pPr>
        <w:spacing w:after="0" w:line="276" w:lineRule="auto"/>
        <w:ind w:firstLine="720"/>
        <w:rPr>
          <w:rFonts w:ascii="Times New Roman" w:eastAsia="Calibri" w:hAnsi="Times New Roman" w:cs="Times New Roman"/>
          <w:sz w:val="26"/>
          <w:szCs w:val="26"/>
        </w:rPr>
      </w:pPr>
    </w:p>
    <w:p w14:paraId="17493278" w14:textId="49AB880F" w:rsidR="005E5E49" w:rsidRPr="005E5E49" w:rsidRDefault="00962AEE" w:rsidP="005E5E49">
      <w:pPr>
        <w:spacing w:after="0" w:line="276"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R</w:t>
      </w:r>
      <w:r w:rsidR="005E5E49" w:rsidRPr="005E5E49">
        <w:rPr>
          <w:rFonts w:ascii="Times New Roman" w:eastAsia="Calibri" w:hAnsi="Times New Roman" w:cs="Times New Roman"/>
          <w:sz w:val="26"/>
          <w:szCs w:val="26"/>
        </w:rPr>
        <w:t>egional Reliability Standard PRC-006-SERC-</w:t>
      </w:r>
      <w:r w:rsidRPr="005E5E49">
        <w:rPr>
          <w:rFonts w:ascii="Times New Roman" w:eastAsia="Calibri" w:hAnsi="Times New Roman" w:cs="Times New Roman"/>
          <w:sz w:val="26"/>
          <w:szCs w:val="26"/>
        </w:rPr>
        <w:t>0</w:t>
      </w:r>
      <w:r>
        <w:rPr>
          <w:rFonts w:ascii="Times New Roman" w:eastAsia="Calibri" w:hAnsi="Times New Roman" w:cs="Times New Roman"/>
          <w:sz w:val="26"/>
          <w:szCs w:val="26"/>
        </w:rPr>
        <w:t>2</w:t>
      </w:r>
      <w:r w:rsidRPr="005E5E49">
        <w:rPr>
          <w:rFonts w:ascii="Times New Roman" w:eastAsia="Calibri" w:hAnsi="Times New Roman" w:cs="Times New Roman"/>
          <w:sz w:val="26"/>
          <w:szCs w:val="26"/>
        </w:rPr>
        <w:t xml:space="preserve"> </w:t>
      </w:r>
      <w:r w:rsidR="005E5E49" w:rsidRPr="005E5E49">
        <w:rPr>
          <w:rFonts w:ascii="Times New Roman" w:eastAsia="Calibri" w:hAnsi="Times New Roman" w:cs="Times New Roman"/>
          <w:sz w:val="26"/>
          <w:szCs w:val="26"/>
        </w:rPr>
        <w:t>was developed to be consistent with the NERC Automatic Underfrequency Load Shedding (UFLS) Reliability Standard PRC-006-</w:t>
      </w:r>
      <w:r>
        <w:rPr>
          <w:rFonts w:ascii="Times New Roman" w:eastAsia="Calibri" w:hAnsi="Times New Roman" w:cs="Times New Roman"/>
          <w:sz w:val="26"/>
          <w:szCs w:val="26"/>
        </w:rPr>
        <w:t>3</w:t>
      </w:r>
      <w:r w:rsidR="005E5E49" w:rsidRPr="005E5E49">
        <w:rPr>
          <w:rFonts w:ascii="Times New Roman" w:eastAsia="Calibri" w:hAnsi="Times New Roman" w:cs="Times New Roman"/>
          <w:sz w:val="26"/>
          <w:szCs w:val="26"/>
        </w:rPr>
        <w:t>.   Regional Reliability Standard PRC-006-SERC-</w:t>
      </w:r>
      <w:r>
        <w:rPr>
          <w:rFonts w:ascii="Times New Roman" w:eastAsia="Calibri" w:hAnsi="Times New Roman" w:cs="Times New Roman"/>
          <w:sz w:val="26"/>
          <w:szCs w:val="26"/>
        </w:rPr>
        <w:t>02</w:t>
      </w:r>
      <w:r w:rsidR="005E5E49" w:rsidRPr="005E5E49">
        <w:rPr>
          <w:rFonts w:ascii="Times New Roman" w:eastAsia="Calibri" w:hAnsi="Times New Roman" w:cs="Times New Roman"/>
          <w:sz w:val="26"/>
          <w:szCs w:val="26"/>
        </w:rPr>
        <w:t xml:space="preserve"> was designed to ensure that automatic UFLS protection schemes designed by planning coordinators and implemented by applicable distribution providers and transmission owners in the SERC Region are coordinated to effectively mitigate the consequences of an underfrequency event.  The regional Reliability Standard PRC-006-SERC-</w:t>
      </w:r>
      <w:r>
        <w:rPr>
          <w:rFonts w:ascii="Times New Roman" w:eastAsia="Calibri" w:hAnsi="Times New Roman" w:cs="Times New Roman"/>
          <w:sz w:val="26"/>
          <w:szCs w:val="26"/>
        </w:rPr>
        <w:t>02</w:t>
      </w:r>
      <w:r w:rsidR="005E5E49" w:rsidRPr="005E5E49">
        <w:rPr>
          <w:rFonts w:ascii="Times New Roman" w:eastAsia="Calibri" w:hAnsi="Times New Roman" w:cs="Times New Roman"/>
          <w:sz w:val="26"/>
          <w:szCs w:val="26"/>
        </w:rPr>
        <w:t xml:space="preserve"> added specificity not contained in the NERC UFLS Reliability Standard for UFLS schemes in the SERC Region.  Regional Reliability Standard PRC-006-SERC-</w:t>
      </w:r>
      <w:r>
        <w:rPr>
          <w:rFonts w:ascii="Times New Roman" w:eastAsia="Calibri" w:hAnsi="Times New Roman" w:cs="Times New Roman"/>
          <w:sz w:val="26"/>
          <w:szCs w:val="26"/>
        </w:rPr>
        <w:t>02</w:t>
      </w:r>
      <w:r w:rsidR="005E5E49" w:rsidRPr="005E5E49">
        <w:rPr>
          <w:rFonts w:ascii="Times New Roman" w:eastAsia="Calibri" w:hAnsi="Times New Roman" w:cs="Times New Roman"/>
          <w:sz w:val="26"/>
          <w:szCs w:val="26"/>
        </w:rPr>
        <w:t xml:space="preserve"> effectively mitigates (in conjunction with NERC Reliability Standard PRC-006-</w:t>
      </w:r>
      <w:r>
        <w:rPr>
          <w:rFonts w:ascii="Times New Roman" w:eastAsia="Calibri" w:hAnsi="Times New Roman" w:cs="Times New Roman"/>
          <w:sz w:val="26"/>
          <w:szCs w:val="26"/>
        </w:rPr>
        <w:t>3</w:t>
      </w:r>
      <w:r w:rsidR="005E5E49" w:rsidRPr="005E5E49">
        <w:rPr>
          <w:rFonts w:ascii="Times New Roman" w:eastAsia="Calibri" w:hAnsi="Times New Roman" w:cs="Times New Roman"/>
          <w:sz w:val="26"/>
          <w:szCs w:val="26"/>
        </w:rPr>
        <w:t>) the consequences of an underfrequency event while accommodating differences in system transmission and distribution topology among SERC planning coordinators resulting from historical design criteria, makeup of load demands, and generation resources.</w:t>
      </w:r>
    </w:p>
    <w:p w14:paraId="6E21D685" w14:textId="77777777" w:rsidR="005E5E49" w:rsidRPr="005E5E49" w:rsidRDefault="005E5E49" w:rsidP="005E5E49">
      <w:pPr>
        <w:spacing w:after="0" w:line="276" w:lineRule="auto"/>
        <w:ind w:firstLine="720"/>
        <w:rPr>
          <w:rFonts w:ascii="Times New Roman" w:eastAsia="Calibri" w:hAnsi="Times New Roman" w:cs="Times New Roman"/>
          <w:sz w:val="26"/>
          <w:szCs w:val="26"/>
        </w:rPr>
      </w:pPr>
    </w:p>
    <w:p w14:paraId="232F9D9C" w14:textId="77777777" w:rsidR="005E5E49" w:rsidRPr="005E5E49" w:rsidRDefault="005E5E49" w:rsidP="005E5E49">
      <w:pPr>
        <w:spacing w:after="0" w:line="276" w:lineRule="auto"/>
        <w:ind w:firstLine="720"/>
        <w:rPr>
          <w:rFonts w:ascii="Times New Roman" w:eastAsia="Calibri" w:hAnsi="Times New Roman" w:cs="Times New Roman"/>
          <w:sz w:val="26"/>
          <w:szCs w:val="26"/>
        </w:rPr>
      </w:pPr>
      <w:r w:rsidRPr="005E5E49">
        <w:rPr>
          <w:rFonts w:ascii="Times New Roman" w:eastAsia="Calibri" w:hAnsi="Times New Roman" w:cs="Times New Roman"/>
          <w:sz w:val="26"/>
          <w:szCs w:val="26"/>
        </w:rPr>
        <w:t>Under the regional Reliability Standard, the information is used to ensure compliance with requirements associated with underfrequency load shedding plans.  Without this information, it would be difficult to enforce compliance with the regional standard.  A lack of compliance with this regional standard may lead to uncontrolled failure of the Interconnection.</w:t>
      </w:r>
    </w:p>
    <w:p w14:paraId="7D4D2E53" w14:textId="77777777" w:rsidR="00EE07DD" w:rsidRPr="001A153B" w:rsidRDefault="00EE07DD" w:rsidP="005E5E49">
      <w:pPr>
        <w:spacing w:after="0" w:line="276" w:lineRule="auto"/>
        <w:rPr>
          <w:rFonts w:ascii="Times New Roman" w:hAnsi="Times New Roman" w:cs="Times New Roman"/>
          <w:sz w:val="26"/>
          <w:szCs w:val="26"/>
        </w:rPr>
      </w:pPr>
    </w:p>
    <w:p w14:paraId="14F73053"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6A059187" w14:textId="77777777" w:rsidR="004232B1" w:rsidRDefault="004232B1" w:rsidP="005E5E49">
      <w:pPr>
        <w:spacing w:after="0" w:line="276" w:lineRule="auto"/>
        <w:rPr>
          <w:rFonts w:ascii="Times New Roman" w:hAnsi="Times New Roman" w:cs="Times New Roman"/>
          <w:sz w:val="26"/>
          <w:szCs w:val="26"/>
        </w:rPr>
      </w:pPr>
    </w:p>
    <w:p w14:paraId="02A85E83" w14:textId="34555791" w:rsidR="00F45983" w:rsidRPr="00F45983" w:rsidRDefault="00E11F0D" w:rsidP="00F45983">
      <w:pPr>
        <w:spacing w:after="0" w:line="276" w:lineRule="auto"/>
        <w:ind w:firstLine="720"/>
        <w:rPr>
          <w:rFonts w:ascii="Times New Roman" w:eastAsia="Calibri" w:hAnsi="Times New Roman" w:cs="Times New Roman"/>
          <w:sz w:val="26"/>
          <w:szCs w:val="26"/>
        </w:rPr>
      </w:pPr>
      <w:r w:rsidRPr="00F45983">
        <w:rPr>
          <w:rFonts w:ascii="Times New Roman" w:eastAsia="Calibri" w:hAnsi="Times New Roman" w:cs="Times New Roman"/>
          <w:sz w:val="26"/>
          <w:szCs w:val="26"/>
        </w:rPr>
        <w:t>Th</w:t>
      </w:r>
      <w:r>
        <w:rPr>
          <w:rFonts w:ascii="Times New Roman" w:eastAsia="Calibri" w:hAnsi="Times New Roman" w:cs="Times New Roman"/>
          <w:sz w:val="26"/>
          <w:szCs w:val="26"/>
        </w:rPr>
        <w:t xml:space="preserve">is </w:t>
      </w:r>
      <w:r w:rsidR="00F45983" w:rsidRPr="00F45983">
        <w:rPr>
          <w:rFonts w:ascii="Times New Roman" w:eastAsia="Calibri" w:hAnsi="Times New Roman" w:cs="Times New Roman"/>
          <w:sz w:val="26"/>
          <w:szCs w:val="26"/>
        </w:rPr>
        <w:t>collection do</w:t>
      </w:r>
      <w:r>
        <w:rPr>
          <w:rFonts w:ascii="Times New Roman" w:eastAsia="Calibri" w:hAnsi="Times New Roman" w:cs="Times New Roman"/>
          <w:sz w:val="26"/>
          <w:szCs w:val="26"/>
        </w:rPr>
        <w:t>es</w:t>
      </w:r>
      <w:r w:rsidR="00F45983" w:rsidRPr="00F45983">
        <w:rPr>
          <w:rFonts w:ascii="Times New Roman" w:eastAsia="Calibri" w:hAnsi="Times New Roman" w:cs="Times New Roman"/>
          <w:sz w:val="26"/>
          <w:szCs w:val="26"/>
        </w:rPr>
        <w:t xml:space="preserve"> not require information to be filed with the Commission.  However, it does contain reporting and recordkeeping requirements such as creating and maintaining an UFLS program, for which using current technology is an option that may reduce burden compared to not using current technology.</w:t>
      </w:r>
    </w:p>
    <w:p w14:paraId="6C9EBE58" w14:textId="77777777" w:rsidR="004232B1" w:rsidRDefault="004232B1" w:rsidP="005E5E49">
      <w:pPr>
        <w:spacing w:after="0" w:line="276" w:lineRule="auto"/>
        <w:rPr>
          <w:rFonts w:ascii="Times New Roman" w:hAnsi="Times New Roman" w:cs="Times New Roman"/>
          <w:b/>
          <w:sz w:val="26"/>
          <w:szCs w:val="26"/>
        </w:rPr>
      </w:pPr>
    </w:p>
    <w:p w14:paraId="20F92025"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052EDC2" w14:textId="77777777" w:rsidR="00EE07DD" w:rsidRPr="001A153B" w:rsidRDefault="00EE07DD" w:rsidP="005E5E49">
      <w:pPr>
        <w:spacing w:after="0" w:line="276" w:lineRule="auto"/>
        <w:rPr>
          <w:rFonts w:ascii="Times New Roman" w:hAnsi="Times New Roman" w:cs="Times New Roman"/>
          <w:sz w:val="26"/>
          <w:szCs w:val="26"/>
        </w:rPr>
      </w:pPr>
    </w:p>
    <w:p w14:paraId="71DE4C3C" w14:textId="3C591F01" w:rsidR="00F45983" w:rsidRPr="00F45983" w:rsidRDefault="00F45983" w:rsidP="00F45983">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F45983">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005B1365">
        <w:rPr>
          <w:rFonts w:ascii="Times New Roman" w:hAnsi="Times New Roman" w:cs="Times New Roman"/>
          <w:sz w:val="26"/>
          <w:szCs w:val="26"/>
        </w:rPr>
        <w:t>OMB approved the reporting and recordkeeping requirements in national Reliability Standard PRC-006-2, which are the same as those in PRC-006-3, under FERC-725G, OMB Control No. 1902-0252.</w:t>
      </w:r>
      <w:r w:rsidRPr="00F45983">
        <w:rPr>
          <w:rFonts w:ascii="Times New Roman" w:hAnsi="Times New Roman" w:cs="Times New Roman"/>
          <w:sz w:val="26"/>
          <w:szCs w:val="26"/>
        </w:rPr>
        <w:t xml:space="preserve">  The information requirements in this regional Reliability Standard do not replace the requirements in the national Reliability Standard but instead apply an additional level of work to be completed by the respondents in the SERC Region.  The additional requirements in the regional Reliability Standard are unique</w:t>
      </w:r>
      <w:r w:rsidR="002E6E27">
        <w:rPr>
          <w:rFonts w:ascii="Times New Roman" w:hAnsi="Times New Roman" w:cs="Times New Roman"/>
          <w:sz w:val="26"/>
          <w:szCs w:val="26"/>
        </w:rPr>
        <w:t>,</w:t>
      </w:r>
      <w:r w:rsidRPr="00F45983">
        <w:rPr>
          <w:rFonts w:ascii="Times New Roman" w:hAnsi="Times New Roman" w:cs="Times New Roman"/>
          <w:sz w:val="26"/>
          <w:szCs w:val="26"/>
        </w:rPr>
        <w:t xml:space="preserve"> and the Commission does not know of any other source for similar information.</w:t>
      </w:r>
    </w:p>
    <w:p w14:paraId="0843F8BE" w14:textId="77777777" w:rsidR="00EE07DD" w:rsidRPr="001A153B" w:rsidRDefault="00EE07DD" w:rsidP="005E5E49">
      <w:pPr>
        <w:spacing w:after="0" w:line="276" w:lineRule="auto"/>
        <w:rPr>
          <w:rFonts w:ascii="Times New Roman" w:hAnsi="Times New Roman" w:cs="Times New Roman"/>
          <w:sz w:val="26"/>
          <w:szCs w:val="26"/>
        </w:rPr>
      </w:pPr>
    </w:p>
    <w:p w14:paraId="32AA3657"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46F36C9D" w14:textId="77777777" w:rsidR="00EE07DD" w:rsidRPr="001A153B" w:rsidRDefault="00EE07DD" w:rsidP="005E5E49">
      <w:pPr>
        <w:spacing w:after="0" w:line="276" w:lineRule="auto"/>
        <w:rPr>
          <w:rFonts w:ascii="Times New Roman" w:hAnsi="Times New Roman" w:cs="Times New Roman"/>
          <w:sz w:val="26"/>
          <w:szCs w:val="26"/>
        </w:rPr>
      </w:pPr>
    </w:p>
    <w:p w14:paraId="0142E8E3" w14:textId="2879C84C" w:rsidR="00F45983" w:rsidRDefault="00F45983" w:rsidP="005E5E49">
      <w:pPr>
        <w:spacing w:after="0" w:line="276" w:lineRule="auto"/>
        <w:rPr>
          <w:rFonts w:ascii="Times New Roman" w:hAnsi="Times New Roman" w:cs="Times New Roman"/>
          <w:sz w:val="26"/>
          <w:szCs w:val="26"/>
        </w:rPr>
      </w:pPr>
      <w:r>
        <w:rPr>
          <w:rFonts w:ascii="Times New Roman" w:hAnsi="Times New Roman" w:cs="Times New Roman"/>
          <w:bCs/>
          <w:sz w:val="26"/>
          <w:szCs w:val="26"/>
        </w:rPr>
        <w:tab/>
      </w:r>
      <w:r w:rsidRPr="00F45983">
        <w:rPr>
          <w:rFonts w:ascii="Times New Roman" w:hAnsi="Times New Roman" w:cs="Times New Roman"/>
          <w:bCs/>
          <w:sz w:val="26"/>
          <w:szCs w:val="26"/>
        </w:rPr>
        <w:t xml:space="preserve">The regional Reliability Standard does not contain express provisions for minimizing the burden of the requirements for small entities.  All the requirements in the regional Reliability Standard apply to every applicable entity, be it large or small.  </w:t>
      </w:r>
    </w:p>
    <w:p w14:paraId="7EECF90B" w14:textId="77777777" w:rsidR="00F45983" w:rsidRDefault="00F45983" w:rsidP="005E5E49">
      <w:pPr>
        <w:spacing w:after="0" w:line="276" w:lineRule="auto"/>
        <w:rPr>
          <w:rFonts w:ascii="Times New Roman" w:hAnsi="Times New Roman" w:cs="Times New Roman"/>
          <w:sz w:val="26"/>
          <w:szCs w:val="26"/>
        </w:rPr>
      </w:pPr>
    </w:p>
    <w:p w14:paraId="039AA80B" w14:textId="6305C60D" w:rsidR="00EE07DD" w:rsidRPr="001A153B" w:rsidRDefault="00F45983"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EE07DD"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5F2D5BC7" w14:textId="77777777" w:rsidR="00EE07DD" w:rsidRPr="001A153B" w:rsidRDefault="00EE07DD" w:rsidP="005E5E49">
      <w:pPr>
        <w:spacing w:after="0" w:line="276" w:lineRule="auto"/>
        <w:rPr>
          <w:rFonts w:ascii="Times New Roman" w:hAnsi="Times New Roman" w:cs="Times New Roman"/>
          <w:sz w:val="26"/>
          <w:szCs w:val="26"/>
        </w:rPr>
      </w:pPr>
    </w:p>
    <w:p w14:paraId="6A26BA75" w14:textId="6F8BD4A2" w:rsidR="00EE07DD" w:rsidRPr="001A153B" w:rsidRDefault="00F45983"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EE07DD" w:rsidRPr="001A153B">
        <w:rPr>
          <w:rFonts w:ascii="Times New Roman" w:hAnsi="Times New Roman" w:cs="Times New Roman"/>
          <w:sz w:val="26"/>
          <w:szCs w:val="26"/>
        </w:rPr>
        <w:t>Detailed information regarding these options is available in NERC’s Rules of Procedure at sections 507 and 508.</w:t>
      </w:r>
      <w:r w:rsidR="00EE07DD" w:rsidRPr="001A153B">
        <w:rPr>
          <w:rFonts w:ascii="Times New Roman" w:hAnsi="Times New Roman" w:cs="Times New Roman"/>
          <w:sz w:val="26"/>
          <w:szCs w:val="26"/>
          <w:vertAlign w:val="superscript"/>
        </w:rPr>
        <w:footnoteReference w:id="6"/>
      </w:r>
      <w:r w:rsidR="00EE07DD" w:rsidRPr="001A153B">
        <w:rPr>
          <w:rFonts w:ascii="Times New Roman" w:hAnsi="Times New Roman" w:cs="Times New Roman"/>
          <w:sz w:val="26"/>
          <w:szCs w:val="26"/>
          <w:vertAlign w:val="superscript"/>
        </w:rPr>
        <w:t xml:space="preserve"> </w:t>
      </w:r>
    </w:p>
    <w:p w14:paraId="6ACBFA2F" w14:textId="77777777" w:rsidR="00EE07DD" w:rsidRPr="001A153B" w:rsidRDefault="00EE07DD" w:rsidP="005E5E49">
      <w:pPr>
        <w:spacing w:after="0" w:line="276" w:lineRule="auto"/>
        <w:rPr>
          <w:rFonts w:ascii="Times New Roman" w:hAnsi="Times New Roman" w:cs="Times New Roman"/>
          <w:sz w:val="26"/>
          <w:szCs w:val="26"/>
        </w:rPr>
      </w:pPr>
    </w:p>
    <w:p w14:paraId="2E49DB8E"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6278A170" w14:textId="77777777" w:rsidR="00EE07DD" w:rsidRPr="001A153B" w:rsidRDefault="00EE07DD" w:rsidP="005E5E49">
      <w:pPr>
        <w:spacing w:after="0" w:line="276" w:lineRule="auto"/>
        <w:rPr>
          <w:rFonts w:ascii="Times New Roman" w:hAnsi="Times New Roman" w:cs="Times New Roman"/>
          <w:sz w:val="26"/>
          <w:szCs w:val="26"/>
        </w:rPr>
      </w:pPr>
    </w:p>
    <w:p w14:paraId="4C49432A" w14:textId="5302718A" w:rsidR="00D75DCE" w:rsidRDefault="00F45983"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00D75DCE" w:rsidRPr="00D75DCE">
        <w:rPr>
          <w:rFonts w:ascii="Times New Roman" w:hAnsi="Times New Roman" w:cs="Times New Roman"/>
          <w:sz w:val="26"/>
          <w:szCs w:val="26"/>
        </w:rPr>
        <w:t>These requirements are necessary for the reliable operation of the bulk electric system.  Any reduction in frequency may diminish the ability of NERC, Regional Entities, or FERC in maintaining reliability on the bulk electric system.</w:t>
      </w:r>
    </w:p>
    <w:p w14:paraId="2E1B26B8" w14:textId="77777777" w:rsidR="00F45983" w:rsidRDefault="00F45983" w:rsidP="005E5E49">
      <w:pPr>
        <w:spacing w:after="0" w:line="276" w:lineRule="auto"/>
        <w:rPr>
          <w:rFonts w:ascii="Times New Roman" w:hAnsi="Times New Roman" w:cs="Times New Roman"/>
          <w:sz w:val="26"/>
          <w:szCs w:val="26"/>
        </w:rPr>
      </w:pPr>
    </w:p>
    <w:p w14:paraId="62A9269A" w14:textId="2F8B9A90" w:rsidR="00F45983" w:rsidRPr="00D75DCE" w:rsidRDefault="00F45983"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ab/>
      </w:r>
      <w:r w:rsidRPr="00F45983">
        <w:rPr>
          <w:rFonts w:ascii="Times New Roman" w:hAnsi="Times New Roman" w:cs="Times New Roman"/>
          <w:sz w:val="26"/>
          <w:szCs w:val="26"/>
        </w:rPr>
        <w:t xml:space="preserve">As stated in response to #2 above, failure to comply with the information collection requirements may lead to an uncontrolled failure of the Interconnection.  Reducing the reporting/record retention frequency may increase the risk of such an uncontrolled failure.  </w:t>
      </w:r>
    </w:p>
    <w:p w14:paraId="5C27D152" w14:textId="77777777" w:rsidR="00830A5B" w:rsidRPr="001A153B" w:rsidRDefault="00830A5B" w:rsidP="005E5E49">
      <w:pPr>
        <w:spacing w:after="0" w:line="276" w:lineRule="auto"/>
        <w:rPr>
          <w:rFonts w:ascii="Times New Roman" w:hAnsi="Times New Roman" w:cs="Times New Roman"/>
          <w:sz w:val="26"/>
          <w:szCs w:val="26"/>
        </w:rPr>
      </w:pPr>
    </w:p>
    <w:p w14:paraId="7E962D2C"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624FF0E3" w14:textId="77777777" w:rsidR="00EE07DD" w:rsidRPr="001A153B" w:rsidRDefault="00EE07DD" w:rsidP="005E5E49">
      <w:pPr>
        <w:spacing w:after="0" w:line="276" w:lineRule="auto"/>
        <w:rPr>
          <w:rFonts w:ascii="Times New Roman" w:hAnsi="Times New Roman" w:cs="Times New Roman"/>
          <w:sz w:val="26"/>
          <w:szCs w:val="26"/>
        </w:rPr>
      </w:pPr>
    </w:p>
    <w:p w14:paraId="4481CAAC" w14:textId="2B4F3E3D" w:rsidR="00F45983" w:rsidRPr="00F45983" w:rsidRDefault="00F45983" w:rsidP="00F45983">
      <w:pPr>
        <w:spacing w:after="0" w:line="276" w:lineRule="auto"/>
        <w:rPr>
          <w:rFonts w:ascii="Times New Roman" w:eastAsia="Calibri" w:hAnsi="Times New Roman" w:cs="Times New Roman"/>
          <w:sz w:val="26"/>
          <w:szCs w:val="26"/>
        </w:rPr>
      </w:pPr>
      <w:r>
        <w:rPr>
          <w:rFonts w:ascii="Times New Roman" w:eastAsia="Calibri" w:hAnsi="Times New Roman" w:cs="Times New Roman"/>
          <w:sz w:val="24"/>
          <w:szCs w:val="24"/>
        </w:rPr>
        <w:tab/>
      </w:r>
      <w:r w:rsidRPr="00F45983">
        <w:rPr>
          <w:rFonts w:ascii="Times New Roman" w:eastAsia="Calibri" w:hAnsi="Times New Roman" w:cs="Times New Roman"/>
          <w:sz w:val="26"/>
          <w:szCs w:val="26"/>
        </w:rPr>
        <w:t>There are some special circumstances as described in 5 CFR 1320.5(d)(2) related to this information collection.</w:t>
      </w:r>
    </w:p>
    <w:p w14:paraId="4248FFED" w14:textId="77777777" w:rsidR="00F45983" w:rsidRPr="00F45983" w:rsidRDefault="00F45983" w:rsidP="00F45983">
      <w:pPr>
        <w:spacing w:after="0" w:line="276" w:lineRule="auto"/>
        <w:rPr>
          <w:rFonts w:ascii="Times New Roman" w:eastAsia="Calibri" w:hAnsi="Times New Roman" w:cs="Times New Roman"/>
          <w:sz w:val="26"/>
          <w:szCs w:val="26"/>
        </w:rPr>
      </w:pPr>
    </w:p>
    <w:p w14:paraId="058EFFF7" w14:textId="77777777" w:rsidR="00F45983" w:rsidRPr="00F45983" w:rsidRDefault="00F45983" w:rsidP="00F45983">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ab/>
        <w:t>Much of the requisite documentation to be maintained must be kept since the last compliance audit for a given entity.  Because compliance audits may occur more than 3 years apart, the records may be kept for a period that exceeds OMB guidelines in 5 CFR 1320.5(d)(2)(iv) that stipulates that records may not be retained for longer than three years.  The Commission did not prescribe a set data retention period to apply to all Reliability Standards because the circumstance of each Reliability Standard varies.  The regional standard and reporting and retention requirements were developed, vetted, and proposed by industry in the ERO’s standards development process.</w:t>
      </w:r>
    </w:p>
    <w:p w14:paraId="59FE6A8A" w14:textId="77777777" w:rsidR="00F45983" w:rsidRPr="00F45983" w:rsidRDefault="00F45983" w:rsidP="00F45983">
      <w:pPr>
        <w:spacing w:after="0" w:line="276" w:lineRule="auto"/>
        <w:rPr>
          <w:rFonts w:ascii="Times New Roman" w:eastAsia="Calibri" w:hAnsi="Times New Roman" w:cs="Times New Roman"/>
          <w:sz w:val="26"/>
          <w:szCs w:val="26"/>
        </w:rPr>
      </w:pPr>
    </w:p>
    <w:p w14:paraId="104A18BC" w14:textId="528B557D" w:rsidR="00F45983" w:rsidRPr="00F45983" w:rsidRDefault="00F45983" w:rsidP="00F45983">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ab/>
        <w:t>More specific language on data retention from the Reliability Standard PRC-006-SERC-</w:t>
      </w:r>
      <w:r w:rsidR="00962AEE">
        <w:rPr>
          <w:rFonts w:ascii="Times New Roman" w:eastAsia="Calibri" w:hAnsi="Times New Roman" w:cs="Times New Roman"/>
          <w:sz w:val="26"/>
          <w:szCs w:val="26"/>
        </w:rPr>
        <w:t>02</w:t>
      </w:r>
      <w:r w:rsidRPr="00F45983">
        <w:rPr>
          <w:rFonts w:ascii="Times New Roman" w:eastAsia="Calibri" w:hAnsi="Times New Roman" w:cs="Times New Roman"/>
          <w:sz w:val="26"/>
          <w:szCs w:val="26"/>
        </w:rPr>
        <w:t xml:space="preserve"> follows:</w:t>
      </w:r>
    </w:p>
    <w:p w14:paraId="05A3ADA8" w14:textId="465B73B4" w:rsidR="00F45983" w:rsidRPr="00F45983" w:rsidRDefault="00F45983" w:rsidP="00F45983">
      <w:pPr>
        <w:spacing w:after="0" w:line="276" w:lineRule="auto"/>
        <w:rPr>
          <w:rFonts w:ascii="Times New Roman" w:eastAsia="Calibri" w:hAnsi="Times New Roman" w:cs="Times New Roman"/>
          <w:sz w:val="26"/>
          <w:szCs w:val="26"/>
        </w:rPr>
      </w:pPr>
      <w:r w:rsidRPr="00F45983">
        <w:rPr>
          <w:rFonts w:ascii="Times New Roman" w:eastAsia="Calibri" w:hAnsi="Times New Roman" w:cs="Times New Roman"/>
          <w:sz w:val="26"/>
          <w:szCs w:val="26"/>
        </w:rPr>
        <w:t>Regional Reliability Standard PRC-006-SERC-</w:t>
      </w:r>
      <w:r w:rsidR="00962AEE">
        <w:rPr>
          <w:rFonts w:ascii="Times New Roman" w:eastAsia="Calibri" w:hAnsi="Times New Roman" w:cs="Times New Roman"/>
          <w:sz w:val="26"/>
          <w:szCs w:val="26"/>
        </w:rPr>
        <w:t>02</w:t>
      </w:r>
      <w:r w:rsidRPr="00F45983">
        <w:rPr>
          <w:rFonts w:ascii="Times New Roman" w:eastAsia="Calibri" w:hAnsi="Times New Roman" w:cs="Times New Roman"/>
          <w:sz w:val="26"/>
          <w:szCs w:val="26"/>
        </w:rPr>
        <w:t xml:space="preserve"> requires the following evidence retention:</w:t>
      </w:r>
    </w:p>
    <w:p w14:paraId="7349B2D6"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 xml:space="preserve">“Each Planning Coordinator, UFLS Entity and Generator Owner shall keep data or evidence to show compliance as identified below unless directed by SERC to retain specific evidence for a longer period of time as part of an investigation. </w:t>
      </w:r>
    </w:p>
    <w:p w14:paraId="6D5EAD68"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p>
    <w:p w14:paraId="642F5DC0"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Each Planning Coordinator, UFLS Entity and Generator Owner shall retain the current evidence of each Requirement and Measure as well as any evidence necessary to show compliance since the last compliance audit.</w:t>
      </w:r>
    </w:p>
    <w:p w14:paraId="082C690B"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p>
    <w:p w14:paraId="2AC679C1"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If a Planning Coordinator, UFLS Entity or Generator Owner is found noncompliant, it shall keep information related to the non-compliance until found compliant or for the retention period specified above, whichever is longer.</w:t>
      </w:r>
    </w:p>
    <w:p w14:paraId="1B39A1C7"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p>
    <w:p w14:paraId="0D001FC5" w14:textId="77777777" w:rsidR="00F45983" w:rsidRPr="00F45983" w:rsidRDefault="00F45983" w:rsidP="00F45983">
      <w:pPr>
        <w:spacing w:after="0" w:line="276" w:lineRule="auto"/>
        <w:ind w:left="720" w:right="2160"/>
        <w:jc w:val="both"/>
        <w:rPr>
          <w:rFonts w:ascii="Times New Roman" w:eastAsia="Calibri" w:hAnsi="Times New Roman" w:cs="Times New Roman"/>
          <w:sz w:val="26"/>
          <w:szCs w:val="26"/>
        </w:rPr>
      </w:pPr>
      <w:r w:rsidRPr="00F45983">
        <w:rPr>
          <w:rFonts w:ascii="Times New Roman" w:eastAsia="Calibri" w:hAnsi="Times New Roman" w:cs="Times New Roman"/>
          <w:sz w:val="26"/>
          <w:szCs w:val="26"/>
        </w:rPr>
        <w:t>The compliance enforcement authority shall keep the last audit records and all requested and submitted subsequent audit records.”</w:t>
      </w:r>
      <w:r w:rsidRPr="00F45983">
        <w:rPr>
          <w:rFonts w:ascii="Times New Roman" w:eastAsia="Calibri" w:hAnsi="Times New Roman" w:cs="Times New Roman"/>
          <w:sz w:val="26"/>
          <w:szCs w:val="26"/>
          <w:vertAlign w:val="superscript"/>
        </w:rPr>
        <w:footnoteReference w:id="7"/>
      </w:r>
    </w:p>
    <w:p w14:paraId="356293DF" w14:textId="77777777" w:rsidR="00EE07DD" w:rsidRPr="001A153B" w:rsidRDefault="00EE07DD" w:rsidP="005E5E49">
      <w:pPr>
        <w:spacing w:after="0" w:line="276" w:lineRule="auto"/>
        <w:rPr>
          <w:rFonts w:ascii="Times New Roman" w:hAnsi="Times New Roman" w:cs="Times New Roman"/>
          <w:sz w:val="26"/>
          <w:szCs w:val="26"/>
        </w:rPr>
      </w:pPr>
    </w:p>
    <w:p w14:paraId="21CF9A9F"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346B799D" w14:textId="77777777" w:rsidR="00EE07DD" w:rsidRPr="001A153B" w:rsidRDefault="00EE07DD" w:rsidP="005E5E49">
      <w:pPr>
        <w:spacing w:after="0" w:line="276" w:lineRule="auto"/>
        <w:rPr>
          <w:rFonts w:ascii="Times New Roman" w:hAnsi="Times New Roman" w:cs="Times New Roman"/>
          <w:sz w:val="26"/>
          <w:szCs w:val="26"/>
        </w:rPr>
      </w:pPr>
    </w:p>
    <w:p w14:paraId="1A254A30" w14:textId="465F1AD6" w:rsidR="008633A0" w:rsidRDefault="00F46F6D" w:rsidP="005E5E49">
      <w:pPr>
        <w:spacing w:after="0" w:line="276"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8"/>
      </w:r>
    </w:p>
    <w:p w14:paraId="499557BD" w14:textId="77777777" w:rsidR="00F45983" w:rsidRDefault="00F45983" w:rsidP="005E5E49">
      <w:pPr>
        <w:spacing w:after="0" w:line="276" w:lineRule="auto"/>
        <w:rPr>
          <w:rFonts w:ascii="Times New Roman" w:hAnsi="Times New Roman" w:cs="Times New Roman"/>
          <w:bCs/>
          <w:sz w:val="26"/>
          <w:szCs w:val="26"/>
        </w:rPr>
      </w:pPr>
    </w:p>
    <w:p w14:paraId="0153B8E4" w14:textId="65CD94B5" w:rsidR="00F45983" w:rsidRPr="008633A0" w:rsidRDefault="00F45983" w:rsidP="005E5E49">
      <w:pPr>
        <w:spacing w:after="0" w:line="276" w:lineRule="auto"/>
        <w:rPr>
          <w:rFonts w:ascii="Times New Roman" w:hAnsi="Times New Roman" w:cs="Times New Roman"/>
          <w:bCs/>
          <w:sz w:val="26"/>
          <w:szCs w:val="26"/>
        </w:rPr>
      </w:pPr>
      <w:r w:rsidRPr="00F45983">
        <w:rPr>
          <w:rFonts w:ascii="Times New Roman" w:hAnsi="Times New Roman" w:cs="Times New Roman"/>
          <w:bCs/>
          <w:sz w:val="26"/>
          <w:szCs w:val="26"/>
        </w:rPr>
        <w:t>In accordance with OMB requirements</w:t>
      </w:r>
      <w:r w:rsidRPr="00F45983">
        <w:rPr>
          <w:rFonts w:ascii="Times New Roman" w:hAnsi="Times New Roman" w:cs="Times New Roman"/>
          <w:b/>
          <w:bCs/>
          <w:sz w:val="26"/>
          <w:szCs w:val="26"/>
          <w:vertAlign w:val="superscript"/>
        </w:rPr>
        <w:footnoteReference w:id="9"/>
      </w:r>
      <w:r w:rsidRPr="00F45983">
        <w:rPr>
          <w:rFonts w:ascii="Times New Roman" w:hAnsi="Times New Roman" w:cs="Times New Roman"/>
          <w:bCs/>
          <w:sz w:val="26"/>
          <w:szCs w:val="26"/>
        </w:rPr>
        <w:t>, the Commission published a 60-day notice</w:t>
      </w:r>
      <w:r w:rsidRPr="00F45983">
        <w:rPr>
          <w:rFonts w:ascii="Times New Roman" w:hAnsi="Times New Roman" w:cs="Times New Roman"/>
          <w:bCs/>
          <w:sz w:val="26"/>
          <w:szCs w:val="26"/>
          <w:vertAlign w:val="superscript"/>
        </w:rPr>
        <w:footnoteReference w:id="10"/>
      </w:r>
      <w:r w:rsidRPr="00F45983">
        <w:rPr>
          <w:rFonts w:ascii="Times New Roman" w:hAnsi="Times New Roman" w:cs="Times New Roman"/>
          <w:bCs/>
          <w:sz w:val="26"/>
          <w:szCs w:val="26"/>
        </w:rPr>
        <w:t xml:space="preserve"> and a 30-day notice</w:t>
      </w:r>
      <w:r w:rsidRPr="00F45983">
        <w:rPr>
          <w:rFonts w:ascii="Times New Roman" w:hAnsi="Times New Roman" w:cs="Times New Roman"/>
          <w:b/>
          <w:bCs/>
          <w:sz w:val="26"/>
          <w:szCs w:val="26"/>
          <w:vertAlign w:val="superscript"/>
        </w:rPr>
        <w:footnoteReference w:id="11"/>
      </w:r>
      <w:r w:rsidRPr="00F45983">
        <w:rPr>
          <w:rFonts w:ascii="Times New Roman" w:hAnsi="Times New Roman" w:cs="Times New Roman"/>
          <w:bCs/>
          <w:sz w:val="26"/>
          <w:szCs w:val="26"/>
        </w:rPr>
        <w:t xml:space="preserve"> to the public regarding this information </w:t>
      </w:r>
      <w:r w:rsidR="00041CA6">
        <w:rPr>
          <w:rFonts w:ascii="Times New Roman" w:hAnsi="Times New Roman" w:cs="Times New Roman"/>
          <w:bCs/>
          <w:sz w:val="26"/>
          <w:szCs w:val="26"/>
        </w:rPr>
        <w:t>collection on 12/10</w:t>
      </w:r>
      <w:r w:rsidR="00945E1B">
        <w:rPr>
          <w:rFonts w:ascii="Times New Roman" w:hAnsi="Times New Roman" w:cs="Times New Roman"/>
          <w:bCs/>
          <w:sz w:val="26"/>
          <w:szCs w:val="26"/>
        </w:rPr>
        <w:t>/2018</w:t>
      </w:r>
      <w:r w:rsidRPr="00F45983">
        <w:rPr>
          <w:rFonts w:ascii="Times New Roman" w:hAnsi="Times New Roman" w:cs="Times New Roman"/>
          <w:bCs/>
          <w:sz w:val="26"/>
          <w:szCs w:val="26"/>
        </w:rPr>
        <w:t xml:space="preserve"> and </w:t>
      </w:r>
      <w:r w:rsidR="00945E1B">
        <w:rPr>
          <w:rFonts w:ascii="Times New Roman" w:hAnsi="Times New Roman" w:cs="Times New Roman"/>
          <w:bCs/>
          <w:sz w:val="26"/>
          <w:szCs w:val="26"/>
        </w:rPr>
        <w:t>3</w:t>
      </w:r>
      <w:r w:rsidR="00041CA6">
        <w:rPr>
          <w:rFonts w:ascii="Times New Roman" w:hAnsi="Times New Roman" w:cs="Times New Roman"/>
          <w:bCs/>
          <w:sz w:val="26"/>
          <w:szCs w:val="26"/>
        </w:rPr>
        <w:t>/19</w:t>
      </w:r>
      <w:r w:rsidR="00945E1B">
        <w:rPr>
          <w:rFonts w:ascii="Times New Roman" w:hAnsi="Times New Roman" w:cs="Times New Roman"/>
          <w:bCs/>
          <w:sz w:val="26"/>
          <w:szCs w:val="26"/>
        </w:rPr>
        <w:t>/2019</w:t>
      </w:r>
      <w:r w:rsidRPr="00F45983">
        <w:rPr>
          <w:rFonts w:ascii="Times New Roman" w:hAnsi="Times New Roman" w:cs="Times New Roman"/>
          <w:bCs/>
          <w:sz w:val="26"/>
          <w:szCs w:val="26"/>
        </w:rPr>
        <w:t xml:space="preserve"> respectively. In the public notices, the Commission noted that it would be requesting a three-year extension of the public reporting burden with no change to the existing requirements concerning the collection of data.  No comments were received</w:t>
      </w:r>
      <w:r w:rsidR="002E6E27">
        <w:rPr>
          <w:rFonts w:ascii="Times New Roman" w:hAnsi="Times New Roman" w:cs="Times New Roman"/>
          <w:bCs/>
          <w:sz w:val="26"/>
          <w:szCs w:val="26"/>
        </w:rPr>
        <w:t xml:space="preserve"> on the 60-day Notice</w:t>
      </w:r>
      <w:r w:rsidRPr="00F45983">
        <w:rPr>
          <w:rFonts w:ascii="Times New Roman" w:hAnsi="Times New Roman" w:cs="Times New Roman"/>
          <w:bCs/>
          <w:sz w:val="26"/>
          <w:szCs w:val="26"/>
        </w:rPr>
        <w:t>.</w:t>
      </w:r>
    </w:p>
    <w:p w14:paraId="239BD839" w14:textId="77777777" w:rsidR="003009CB" w:rsidRPr="001A153B" w:rsidRDefault="003009CB" w:rsidP="005E5E49">
      <w:pPr>
        <w:spacing w:after="0" w:line="276" w:lineRule="auto"/>
        <w:rPr>
          <w:rFonts w:ascii="Times New Roman" w:hAnsi="Times New Roman" w:cs="Times New Roman"/>
          <w:bCs/>
          <w:sz w:val="26"/>
          <w:szCs w:val="26"/>
        </w:rPr>
      </w:pPr>
    </w:p>
    <w:p w14:paraId="2CC2D2CF"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491E0958" w14:textId="77777777" w:rsidR="00EE07DD" w:rsidRPr="001A153B" w:rsidRDefault="00EE07DD" w:rsidP="005E5E49">
      <w:pPr>
        <w:spacing w:after="0" w:line="276" w:lineRule="auto"/>
        <w:rPr>
          <w:rFonts w:ascii="Times New Roman" w:hAnsi="Times New Roman" w:cs="Times New Roman"/>
          <w:sz w:val="26"/>
          <w:szCs w:val="26"/>
        </w:rPr>
      </w:pPr>
    </w:p>
    <w:p w14:paraId="20594D03" w14:textId="636FCC02"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th</w:t>
      </w:r>
      <w:r w:rsidR="002E6E27">
        <w:rPr>
          <w:rFonts w:ascii="Times New Roman" w:hAnsi="Times New Roman" w:cs="Times New Roman"/>
          <w:sz w:val="26"/>
          <w:szCs w:val="26"/>
        </w:rPr>
        <w:t>i</w:t>
      </w:r>
      <w:r w:rsidR="003009CB" w:rsidRPr="001A153B">
        <w:rPr>
          <w:rFonts w:ascii="Times New Roman" w:hAnsi="Times New Roman" w:cs="Times New Roman"/>
          <w:sz w:val="26"/>
          <w:szCs w:val="26"/>
        </w:rPr>
        <w:t xml:space="preserve">s </w:t>
      </w:r>
      <w:r w:rsidRPr="001A153B">
        <w:rPr>
          <w:rFonts w:ascii="Times New Roman" w:hAnsi="Times New Roman" w:cs="Times New Roman"/>
          <w:sz w:val="26"/>
          <w:szCs w:val="26"/>
        </w:rPr>
        <w:t>collection.</w:t>
      </w:r>
    </w:p>
    <w:p w14:paraId="1CEC2FFA" w14:textId="77777777" w:rsidR="00EE07DD" w:rsidRPr="001A153B" w:rsidRDefault="00EE07DD" w:rsidP="005E5E49">
      <w:pPr>
        <w:spacing w:after="0" w:line="276" w:lineRule="auto"/>
        <w:rPr>
          <w:rFonts w:ascii="Times New Roman" w:hAnsi="Times New Roman" w:cs="Times New Roman"/>
          <w:sz w:val="26"/>
          <w:szCs w:val="26"/>
        </w:rPr>
      </w:pPr>
    </w:p>
    <w:p w14:paraId="2BF95307"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6F2F8C8" w14:textId="77777777" w:rsidR="009B3AA9" w:rsidRDefault="009B3AA9" w:rsidP="005E5E49">
      <w:pPr>
        <w:spacing w:after="0" w:line="276" w:lineRule="auto"/>
        <w:rPr>
          <w:rFonts w:ascii="Times New Roman" w:hAnsi="Times New Roman" w:cs="Times New Roman"/>
          <w:sz w:val="26"/>
          <w:szCs w:val="26"/>
        </w:rPr>
      </w:pPr>
    </w:p>
    <w:p w14:paraId="023EBDD8" w14:textId="77777777" w:rsidR="003009CB" w:rsidRDefault="003009CB"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C05A8E3" w14:textId="77777777" w:rsidR="00F46F6D" w:rsidRPr="001A153B" w:rsidRDefault="00F46F6D" w:rsidP="005E5E49">
      <w:pPr>
        <w:spacing w:after="0" w:line="276" w:lineRule="auto"/>
        <w:rPr>
          <w:rFonts w:ascii="Times New Roman" w:hAnsi="Times New Roman" w:cs="Times New Roman"/>
          <w:sz w:val="26"/>
          <w:szCs w:val="26"/>
        </w:rPr>
      </w:pPr>
    </w:p>
    <w:p w14:paraId="402CE6C2" w14:textId="77777777" w:rsidR="00EE07DD" w:rsidRDefault="003009CB"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159D663D" w14:textId="77777777" w:rsidR="00F46F6D" w:rsidRPr="001A153B" w:rsidRDefault="00F46F6D" w:rsidP="005E5E49">
      <w:pPr>
        <w:spacing w:after="0" w:line="276" w:lineRule="auto"/>
        <w:rPr>
          <w:rFonts w:ascii="Times New Roman" w:hAnsi="Times New Roman" w:cs="Times New Roman"/>
          <w:sz w:val="26"/>
          <w:szCs w:val="26"/>
        </w:rPr>
      </w:pPr>
    </w:p>
    <w:p w14:paraId="5267E9C2" w14:textId="77777777" w:rsidR="00EE07DD" w:rsidRPr="001A153B" w:rsidRDefault="00EE07DD" w:rsidP="005E5E49">
      <w:pPr>
        <w:numPr>
          <w:ilvl w:val="0"/>
          <w:numId w:val="2"/>
        </w:numPr>
        <w:spacing w:after="0" w:line="276"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777F88C5" w14:textId="77777777" w:rsidR="00EE07DD" w:rsidRPr="001A153B" w:rsidRDefault="00EE07DD" w:rsidP="005E5E49">
      <w:pPr>
        <w:spacing w:after="0" w:line="276" w:lineRule="auto"/>
        <w:rPr>
          <w:rFonts w:ascii="Times New Roman" w:hAnsi="Times New Roman" w:cs="Times New Roman"/>
          <w:b/>
          <w:bCs/>
          <w:sz w:val="26"/>
          <w:szCs w:val="26"/>
        </w:rPr>
      </w:pPr>
    </w:p>
    <w:p w14:paraId="72AEF0D7" w14:textId="1CDAC53F" w:rsidR="00EE07DD" w:rsidRPr="001A153B" w:rsidRDefault="002E6E27"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w:t>
      </w:r>
      <w:r>
        <w:rPr>
          <w:rFonts w:ascii="Times New Roman" w:hAnsi="Times New Roman" w:cs="Times New Roman"/>
          <w:sz w:val="26"/>
          <w:szCs w:val="26"/>
        </w:rPr>
        <w:t>is</w:t>
      </w:r>
      <w:r w:rsidRPr="001A153B">
        <w:rPr>
          <w:rFonts w:ascii="Times New Roman" w:hAnsi="Times New Roman" w:cs="Times New Roman"/>
          <w:sz w:val="26"/>
          <w:szCs w:val="26"/>
        </w:rPr>
        <w:t xml:space="preserve"> </w:t>
      </w:r>
      <w:r w:rsidR="00EE07DD" w:rsidRPr="001A153B">
        <w:rPr>
          <w:rFonts w:ascii="Times New Roman" w:hAnsi="Times New Roman" w:cs="Times New Roman"/>
          <w:sz w:val="26"/>
          <w:szCs w:val="26"/>
        </w:rPr>
        <w:t>collection do</w:t>
      </w:r>
      <w:r>
        <w:rPr>
          <w:rFonts w:ascii="Times New Roman" w:hAnsi="Times New Roman" w:cs="Times New Roman"/>
          <w:sz w:val="26"/>
          <w:szCs w:val="26"/>
        </w:rPr>
        <w:t>es</w:t>
      </w:r>
      <w:r w:rsidR="00EE07DD" w:rsidRPr="001A153B">
        <w:rPr>
          <w:rFonts w:ascii="Times New Roman" w:hAnsi="Times New Roman" w:cs="Times New Roman"/>
          <w:sz w:val="26"/>
          <w:szCs w:val="26"/>
        </w:rPr>
        <w:t xml:space="preserve"> not contain any questions of a sensitive nature.  </w:t>
      </w:r>
    </w:p>
    <w:p w14:paraId="3C5A4AF0" w14:textId="77777777" w:rsidR="00EE07DD" w:rsidRPr="001A153B" w:rsidRDefault="00EE07DD" w:rsidP="005E5E49">
      <w:pPr>
        <w:spacing w:after="0" w:line="276" w:lineRule="auto"/>
        <w:rPr>
          <w:rFonts w:ascii="Times New Roman" w:hAnsi="Times New Roman" w:cs="Times New Roman"/>
          <w:sz w:val="26"/>
          <w:szCs w:val="26"/>
        </w:rPr>
      </w:pPr>
    </w:p>
    <w:p w14:paraId="6EF9A324"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79F480A1" w14:textId="77777777" w:rsidR="00EE07DD" w:rsidRPr="001A153B" w:rsidRDefault="00EE07DD" w:rsidP="005E5E49">
      <w:pPr>
        <w:spacing w:after="0" w:line="276" w:lineRule="auto"/>
        <w:rPr>
          <w:rFonts w:ascii="Times New Roman" w:hAnsi="Times New Roman" w:cs="Times New Roman"/>
          <w:sz w:val="26"/>
          <w:szCs w:val="26"/>
        </w:rPr>
      </w:pPr>
    </w:p>
    <w:p w14:paraId="7C70DE3C" w14:textId="5B810EC2" w:rsidR="001907FC" w:rsidRDefault="00EE07DD" w:rsidP="00945E1B">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following table provides the estimated annual burden and cost related to </w:t>
      </w:r>
      <w:r w:rsidR="00041CA6">
        <w:rPr>
          <w:rFonts w:ascii="Times New Roman" w:hAnsi="Times New Roman" w:cs="Times New Roman"/>
          <w:sz w:val="26"/>
          <w:szCs w:val="26"/>
        </w:rPr>
        <w:t>FERC-725K</w:t>
      </w:r>
      <w:r w:rsidR="002C460A">
        <w:rPr>
          <w:rFonts w:ascii="Times New Roman" w:hAnsi="Times New Roman" w:cs="Times New Roman"/>
          <w:sz w:val="26"/>
          <w:szCs w:val="26"/>
        </w:rPr>
        <w:t xml:space="preserve"> </w:t>
      </w:r>
      <w:r w:rsidRPr="001A153B">
        <w:rPr>
          <w:rFonts w:ascii="Times New Roman" w:hAnsi="Times New Roman" w:cs="Times New Roman"/>
          <w:sz w:val="26"/>
          <w:szCs w:val="26"/>
        </w:rPr>
        <w:t>info</w:t>
      </w:r>
      <w:r w:rsidR="001907FC">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p w14:paraId="6A85A255" w14:textId="77777777" w:rsidR="00945E1B" w:rsidRDefault="00945E1B" w:rsidP="00945E1B">
      <w:pPr>
        <w:spacing w:after="0" w:line="276" w:lineRule="auto"/>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945E1B" w:rsidRPr="00945E1B" w14:paraId="3802B4E8" w14:textId="77777777" w:rsidTr="00E85A14">
        <w:trPr>
          <w:cantSplit/>
        </w:trPr>
        <w:tc>
          <w:tcPr>
            <w:tcW w:w="5000" w:type="pct"/>
            <w:gridSpan w:val="7"/>
            <w:tcBorders>
              <w:bottom w:val="single" w:sz="4" w:space="0" w:color="auto"/>
            </w:tcBorders>
            <w:shd w:val="clear" w:color="auto" w:fill="D9D9D9"/>
          </w:tcPr>
          <w:p w14:paraId="39381822" w14:textId="07C85EF2"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FERC-725K: Mandatory Reliability Standards for the SERC Region</w:t>
            </w:r>
            <w:r w:rsidR="001F6968">
              <w:rPr>
                <w:rStyle w:val="FootnoteReference"/>
                <w:rFonts w:ascii="Times New Roman" w:eastAsia="Calibri" w:hAnsi="Times New Roman" w:cs="Times New Roman"/>
                <w:b/>
                <w:sz w:val="20"/>
                <w:szCs w:val="20"/>
              </w:rPr>
              <w:footnoteReference w:id="12"/>
            </w:r>
          </w:p>
        </w:tc>
      </w:tr>
      <w:tr w:rsidR="00945E1B" w:rsidRPr="00945E1B" w14:paraId="7C247846" w14:textId="77777777" w:rsidTr="00E85A14">
        <w:trPr>
          <w:cantSplit/>
        </w:trPr>
        <w:tc>
          <w:tcPr>
            <w:tcW w:w="878" w:type="pct"/>
            <w:shd w:val="clear" w:color="auto" w:fill="D9D9D9"/>
          </w:tcPr>
          <w:p w14:paraId="5AE2F8FA" w14:textId="77777777" w:rsidR="00945E1B" w:rsidRPr="00945E1B" w:rsidRDefault="00945E1B" w:rsidP="00945E1B">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507680B6"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Number of Respondents</w:t>
            </w:r>
            <w:r w:rsidRPr="00945E1B">
              <w:rPr>
                <w:rFonts w:ascii="Times New Roman" w:eastAsia="Calibri" w:hAnsi="Times New Roman" w:cs="Times New Roman"/>
                <w:b/>
                <w:sz w:val="20"/>
                <w:szCs w:val="20"/>
              </w:rPr>
              <w:br/>
              <w:t>(1)</w:t>
            </w:r>
          </w:p>
        </w:tc>
        <w:tc>
          <w:tcPr>
            <w:tcW w:w="746" w:type="pct"/>
            <w:shd w:val="clear" w:color="auto" w:fill="D9D9D9"/>
            <w:vAlign w:val="bottom"/>
          </w:tcPr>
          <w:p w14:paraId="6D34A38D"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Annual Number of Responses per Respondent</w:t>
            </w:r>
          </w:p>
          <w:p w14:paraId="17734579"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(2)</w:t>
            </w:r>
          </w:p>
        </w:tc>
        <w:tc>
          <w:tcPr>
            <w:tcW w:w="703" w:type="pct"/>
            <w:shd w:val="clear" w:color="auto" w:fill="D9D9D9"/>
            <w:vAlign w:val="bottom"/>
          </w:tcPr>
          <w:p w14:paraId="3C3CE024"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Total Number of Responses (1)*(2)=(3)</w:t>
            </w:r>
          </w:p>
        </w:tc>
        <w:tc>
          <w:tcPr>
            <w:tcW w:w="654" w:type="pct"/>
            <w:shd w:val="clear" w:color="auto" w:fill="D9D9D9"/>
            <w:vAlign w:val="bottom"/>
          </w:tcPr>
          <w:p w14:paraId="066F8CDD"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Average Burden Hrs. &amp; Cost Per Response</w:t>
            </w:r>
            <w:r w:rsidRPr="00945E1B">
              <w:rPr>
                <w:rFonts w:ascii="Times New Roman" w:eastAsia="Calibri" w:hAnsi="Times New Roman" w:cs="Times New Roman"/>
                <w:b/>
                <w:sz w:val="20"/>
                <w:szCs w:val="20"/>
                <w:vertAlign w:val="superscript"/>
              </w:rPr>
              <w:footnoteReference w:id="13"/>
            </w:r>
          </w:p>
          <w:p w14:paraId="007BAE37"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(4)</w:t>
            </w:r>
          </w:p>
        </w:tc>
        <w:tc>
          <w:tcPr>
            <w:tcW w:w="657" w:type="pct"/>
            <w:shd w:val="clear" w:color="auto" w:fill="D9D9D9"/>
            <w:vAlign w:val="bottom"/>
          </w:tcPr>
          <w:p w14:paraId="23D722BD"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Total Annual Burden Hours &amp; Total Annual Cost</w:t>
            </w:r>
          </w:p>
          <w:p w14:paraId="0F5C6D54"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(3)*(4)=(5)</w:t>
            </w:r>
          </w:p>
        </w:tc>
        <w:tc>
          <w:tcPr>
            <w:tcW w:w="616" w:type="pct"/>
            <w:shd w:val="clear" w:color="auto" w:fill="D9D9D9"/>
            <w:vAlign w:val="bottom"/>
          </w:tcPr>
          <w:p w14:paraId="67DAE520"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Cost per Respondent</w:t>
            </w:r>
          </w:p>
          <w:p w14:paraId="5394E842"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 xml:space="preserve"> ($)</w:t>
            </w:r>
          </w:p>
          <w:p w14:paraId="129F163A" w14:textId="77777777" w:rsidR="00945E1B" w:rsidRPr="00945E1B" w:rsidRDefault="00945E1B" w:rsidP="00945E1B">
            <w:pPr>
              <w:spacing w:after="0" w:line="240" w:lineRule="auto"/>
              <w:jc w:val="center"/>
              <w:rPr>
                <w:rFonts w:ascii="Times New Roman" w:eastAsia="Calibri" w:hAnsi="Times New Roman" w:cs="Times New Roman"/>
                <w:b/>
                <w:sz w:val="20"/>
                <w:szCs w:val="20"/>
              </w:rPr>
            </w:pPr>
            <w:r w:rsidRPr="00945E1B">
              <w:rPr>
                <w:rFonts w:ascii="Times New Roman" w:eastAsia="Calibri" w:hAnsi="Times New Roman" w:cs="Times New Roman"/>
                <w:b/>
                <w:sz w:val="20"/>
                <w:szCs w:val="20"/>
              </w:rPr>
              <w:t>(5)÷(1)</w:t>
            </w:r>
          </w:p>
        </w:tc>
      </w:tr>
      <w:tr w:rsidR="00945E1B" w:rsidRPr="00945E1B" w14:paraId="284F0FB8" w14:textId="77777777" w:rsidTr="00E85A14">
        <w:trPr>
          <w:cantSplit/>
        </w:trPr>
        <w:tc>
          <w:tcPr>
            <w:tcW w:w="878" w:type="pct"/>
          </w:tcPr>
          <w:p w14:paraId="1E270107" w14:textId="77777777" w:rsidR="00945E1B" w:rsidRPr="00945E1B" w:rsidRDefault="00945E1B" w:rsidP="00945E1B">
            <w:pPr>
              <w:spacing w:after="0" w:line="240" w:lineRule="auto"/>
              <w:rPr>
                <w:rFonts w:ascii="Times New Roman" w:eastAsia="Calibri" w:hAnsi="Times New Roman" w:cs="Times New Roman"/>
                <w:sz w:val="20"/>
                <w:szCs w:val="20"/>
              </w:rPr>
            </w:pPr>
            <w:r w:rsidRPr="00945E1B">
              <w:rPr>
                <w:rFonts w:ascii="Times New Roman" w:eastAsia="Calibri" w:hAnsi="Times New Roman" w:cs="Times New Roman"/>
                <w:sz w:val="20"/>
                <w:szCs w:val="20"/>
              </w:rPr>
              <w:t>PCs: Design and Document Automatic UFLS Program</w:t>
            </w:r>
          </w:p>
        </w:tc>
        <w:tc>
          <w:tcPr>
            <w:tcW w:w="746" w:type="pct"/>
          </w:tcPr>
          <w:p w14:paraId="595F3D16"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21</w:t>
            </w:r>
            <w:bookmarkStart w:id="1" w:name="_Ref431545279"/>
            <w:r w:rsidRPr="00945E1B">
              <w:rPr>
                <w:rFonts w:ascii="Times New Roman" w:eastAsia="Calibri" w:hAnsi="Times New Roman" w:cs="Times New Roman"/>
                <w:b/>
                <w:sz w:val="20"/>
                <w:szCs w:val="20"/>
                <w:vertAlign w:val="superscript"/>
              </w:rPr>
              <w:footnoteReference w:id="14"/>
            </w:r>
            <w:bookmarkEnd w:id="1"/>
          </w:p>
          <w:p w14:paraId="35B76323" w14:textId="77777777" w:rsidR="00945E1B" w:rsidRPr="00945E1B" w:rsidRDefault="00945E1B" w:rsidP="00945E1B">
            <w:pPr>
              <w:spacing w:after="0" w:line="240" w:lineRule="auto"/>
              <w:jc w:val="right"/>
              <w:rPr>
                <w:rFonts w:ascii="Times New Roman" w:eastAsia="Calibri" w:hAnsi="Times New Roman" w:cs="Times New Roman"/>
                <w:sz w:val="20"/>
                <w:szCs w:val="20"/>
              </w:rPr>
            </w:pPr>
          </w:p>
        </w:tc>
        <w:tc>
          <w:tcPr>
            <w:tcW w:w="746" w:type="pct"/>
          </w:tcPr>
          <w:p w14:paraId="57631001"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w:t>
            </w:r>
          </w:p>
        </w:tc>
        <w:tc>
          <w:tcPr>
            <w:tcW w:w="703" w:type="pct"/>
          </w:tcPr>
          <w:p w14:paraId="0E69CB7C"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21</w:t>
            </w:r>
          </w:p>
        </w:tc>
        <w:tc>
          <w:tcPr>
            <w:tcW w:w="654" w:type="pct"/>
          </w:tcPr>
          <w:p w14:paraId="0BB014B7"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 xml:space="preserve">8 hrs.; </w:t>
            </w:r>
          </w:p>
          <w:p w14:paraId="7D175A96"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$535.20</w:t>
            </w:r>
          </w:p>
        </w:tc>
        <w:tc>
          <w:tcPr>
            <w:tcW w:w="657" w:type="pct"/>
          </w:tcPr>
          <w:p w14:paraId="03FB2FD8"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 xml:space="preserve"> 168 hrs.; </w:t>
            </w:r>
          </w:p>
          <w:p w14:paraId="566734FA"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 xml:space="preserve">$11,239.20 </w:t>
            </w:r>
          </w:p>
        </w:tc>
        <w:tc>
          <w:tcPr>
            <w:tcW w:w="616" w:type="pct"/>
          </w:tcPr>
          <w:p w14:paraId="50684DE9"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 xml:space="preserve">$535.20 </w:t>
            </w:r>
          </w:p>
          <w:p w14:paraId="4C81BD7C" w14:textId="77777777" w:rsidR="00945E1B" w:rsidRPr="00945E1B" w:rsidRDefault="00945E1B" w:rsidP="00945E1B">
            <w:pPr>
              <w:spacing w:after="0" w:line="240" w:lineRule="auto"/>
              <w:jc w:val="right"/>
              <w:rPr>
                <w:rFonts w:ascii="Times New Roman" w:eastAsia="Calibri" w:hAnsi="Times New Roman" w:cs="Times New Roman"/>
                <w:sz w:val="20"/>
                <w:szCs w:val="20"/>
              </w:rPr>
            </w:pPr>
          </w:p>
        </w:tc>
      </w:tr>
      <w:tr w:rsidR="00945E1B" w:rsidRPr="00945E1B" w14:paraId="3BABAA59" w14:textId="77777777" w:rsidTr="00E85A14">
        <w:trPr>
          <w:cantSplit/>
        </w:trPr>
        <w:tc>
          <w:tcPr>
            <w:tcW w:w="878" w:type="pct"/>
          </w:tcPr>
          <w:p w14:paraId="7C1ADF3B" w14:textId="77777777" w:rsidR="00945E1B" w:rsidRPr="00945E1B" w:rsidRDefault="00945E1B" w:rsidP="00945E1B">
            <w:pPr>
              <w:spacing w:after="0" w:line="240" w:lineRule="auto"/>
              <w:rPr>
                <w:rFonts w:ascii="Times New Roman" w:eastAsia="Calibri" w:hAnsi="Times New Roman" w:cs="Times New Roman"/>
                <w:sz w:val="20"/>
                <w:szCs w:val="20"/>
              </w:rPr>
            </w:pPr>
            <w:r w:rsidRPr="00945E1B">
              <w:rPr>
                <w:rFonts w:ascii="Times New Roman" w:eastAsia="Calibri" w:hAnsi="Times New Roman" w:cs="Times New Roman"/>
                <w:sz w:val="20"/>
                <w:szCs w:val="20"/>
              </w:rPr>
              <w:t>PCs: Provide Documentation and Data to SERC</w:t>
            </w:r>
          </w:p>
        </w:tc>
        <w:tc>
          <w:tcPr>
            <w:tcW w:w="746" w:type="pct"/>
          </w:tcPr>
          <w:p w14:paraId="2DF2CF06"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21</w:t>
            </w:r>
            <w:r w:rsidRPr="00945E1B">
              <w:rPr>
                <w:rFonts w:ascii="Times New Roman" w:eastAsia="Calibri" w:hAnsi="Times New Roman" w:cs="Times New Roman"/>
                <w:b/>
                <w:sz w:val="20"/>
                <w:szCs w:val="20"/>
                <w:vertAlign w:val="superscript"/>
              </w:rPr>
              <w:fldChar w:fldCharType="begin"/>
            </w:r>
            <w:r w:rsidRPr="00945E1B">
              <w:rPr>
                <w:rFonts w:ascii="Times New Roman" w:eastAsia="Calibri" w:hAnsi="Times New Roman" w:cs="Times New Roman"/>
                <w:b/>
                <w:sz w:val="20"/>
                <w:szCs w:val="20"/>
                <w:vertAlign w:val="superscript"/>
              </w:rPr>
              <w:instrText xml:space="preserve"> NOTEREF _Ref431545279 \h  \* MERGEFORMAT </w:instrText>
            </w:r>
            <w:r w:rsidRPr="00945E1B">
              <w:rPr>
                <w:rFonts w:ascii="Times New Roman" w:eastAsia="Calibri" w:hAnsi="Times New Roman" w:cs="Times New Roman"/>
                <w:b/>
                <w:sz w:val="20"/>
                <w:szCs w:val="20"/>
                <w:vertAlign w:val="superscript"/>
              </w:rPr>
            </w:r>
            <w:r w:rsidRPr="00945E1B">
              <w:rPr>
                <w:rFonts w:ascii="Times New Roman" w:eastAsia="Calibri" w:hAnsi="Times New Roman" w:cs="Times New Roman"/>
                <w:b/>
                <w:sz w:val="20"/>
                <w:szCs w:val="20"/>
                <w:vertAlign w:val="superscript"/>
              </w:rPr>
              <w:fldChar w:fldCharType="separate"/>
            </w:r>
            <w:r w:rsidR="00962AEE">
              <w:rPr>
                <w:rFonts w:ascii="Times New Roman" w:eastAsia="Calibri" w:hAnsi="Times New Roman" w:cs="Times New Roman"/>
                <w:b/>
                <w:sz w:val="20"/>
                <w:szCs w:val="20"/>
                <w:vertAlign w:val="superscript"/>
              </w:rPr>
              <w:t>13</w:t>
            </w:r>
            <w:r w:rsidRPr="00945E1B">
              <w:rPr>
                <w:rFonts w:ascii="Times New Roman" w:eastAsia="Calibri" w:hAnsi="Times New Roman" w:cs="Times New Roman"/>
                <w:b/>
                <w:sz w:val="20"/>
                <w:szCs w:val="20"/>
                <w:vertAlign w:val="superscript"/>
              </w:rPr>
              <w:fldChar w:fldCharType="end"/>
            </w:r>
          </w:p>
        </w:tc>
        <w:tc>
          <w:tcPr>
            <w:tcW w:w="746" w:type="pct"/>
          </w:tcPr>
          <w:p w14:paraId="56FCE4EE"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w:t>
            </w:r>
          </w:p>
        </w:tc>
        <w:tc>
          <w:tcPr>
            <w:tcW w:w="703" w:type="pct"/>
          </w:tcPr>
          <w:p w14:paraId="3EE770CD"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21</w:t>
            </w:r>
          </w:p>
        </w:tc>
        <w:tc>
          <w:tcPr>
            <w:tcW w:w="654" w:type="pct"/>
          </w:tcPr>
          <w:p w14:paraId="4FDF495B"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 xml:space="preserve">16 hrs.; </w:t>
            </w:r>
          </w:p>
          <w:p w14:paraId="440DFC94"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$1,070.40</w:t>
            </w:r>
          </w:p>
        </w:tc>
        <w:tc>
          <w:tcPr>
            <w:tcW w:w="657" w:type="pct"/>
          </w:tcPr>
          <w:p w14:paraId="679F8F68"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336 hrs.;</w:t>
            </w:r>
          </w:p>
          <w:p w14:paraId="6F4D7A38"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$22,478.40</w:t>
            </w:r>
          </w:p>
        </w:tc>
        <w:tc>
          <w:tcPr>
            <w:tcW w:w="616" w:type="pct"/>
          </w:tcPr>
          <w:p w14:paraId="0A56B6B3"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$1,070.40</w:t>
            </w:r>
          </w:p>
        </w:tc>
      </w:tr>
      <w:tr w:rsidR="00945E1B" w:rsidRPr="00945E1B" w14:paraId="18703519" w14:textId="77777777" w:rsidTr="00E85A14">
        <w:trPr>
          <w:cantSplit/>
        </w:trPr>
        <w:tc>
          <w:tcPr>
            <w:tcW w:w="878" w:type="pct"/>
          </w:tcPr>
          <w:p w14:paraId="43B2F073" w14:textId="77777777" w:rsidR="00945E1B" w:rsidRPr="00945E1B" w:rsidRDefault="00945E1B" w:rsidP="00945E1B">
            <w:pPr>
              <w:spacing w:after="0" w:line="240" w:lineRule="auto"/>
              <w:rPr>
                <w:rFonts w:ascii="Times New Roman" w:eastAsia="Calibri" w:hAnsi="Times New Roman" w:cs="Times New Roman"/>
                <w:sz w:val="20"/>
                <w:szCs w:val="20"/>
              </w:rPr>
            </w:pPr>
            <w:r w:rsidRPr="00945E1B">
              <w:rPr>
                <w:rFonts w:ascii="Times New Roman" w:eastAsia="Calibri" w:hAnsi="Times New Roman" w:cs="Times New Roman"/>
                <w:sz w:val="20"/>
                <w:szCs w:val="20"/>
              </w:rPr>
              <w:t>GOs: Provide Documentation and Data to SERC</w:t>
            </w:r>
          </w:p>
        </w:tc>
        <w:tc>
          <w:tcPr>
            <w:tcW w:w="746" w:type="pct"/>
          </w:tcPr>
          <w:p w14:paraId="42BF36A2"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104</w:t>
            </w:r>
            <w:bookmarkStart w:id="2" w:name="_Ref431545288"/>
            <w:r w:rsidRPr="00945E1B">
              <w:rPr>
                <w:rFonts w:ascii="Times New Roman" w:eastAsia="Calibri" w:hAnsi="Times New Roman" w:cs="Times New Roman"/>
                <w:b/>
                <w:sz w:val="20"/>
                <w:szCs w:val="20"/>
                <w:vertAlign w:val="superscript"/>
              </w:rPr>
              <w:footnoteReference w:id="15"/>
            </w:r>
            <w:bookmarkEnd w:id="2"/>
          </w:p>
        </w:tc>
        <w:tc>
          <w:tcPr>
            <w:tcW w:w="746" w:type="pct"/>
          </w:tcPr>
          <w:p w14:paraId="3C9FA9F0"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w:t>
            </w:r>
          </w:p>
        </w:tc>
        <w:tc>
          <w:tcPr>
            <w:tcW w:w="703" w:type="pct"/>
          </w:tcPr>
          <w:p w14:paraId="544721CC"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104</w:t>
            </w:r>
          </w:p>
        </w:tc>
        <w:tc>
          <w:tcPr>
            <w:tcW w:w="654" w:type="pct"/>
          </w:tcPr>
          <w:p w14:paraId="47E85F22"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16 hrs.;</w:t>
            </w:r>
          </w:p>
          <w:p w14:paraId="389674E4"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$1,070.40</w:t>
            </w:r>
          </w:p>
        </w:tc>
        <w:tc>
          <w:tcPr>
            <w:tcW w:w="657" w:type="pct"/>
          </w:tcPr>
          <w:p w14:paraId="7F0F2AFD"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1,664 hrs.;</w:t>
            </w:r>
          </w:p>
          <w:p w14:paraId="03F115CA"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$111,321.60</w:t>
            </w:r>
          </w:p>
        </w:tc>
        <w:tc>
          <w:tcPr>
            <w:tcW w:w="616" w:type="pct"/>
          </w:tcPr>
          <w:p w14:paraId="52DD8CD2"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$1,070.40</w:t>
            </w:r>
          </w:p>
        </w:tc>
      </w:tr>
      <w:tr w:rsidR="00945E1B" w:rsidRPr="00945E1B" w14:paraId="11C39F1A" w14:textId="77777777" w:rsidTr="00E85A14">
        <w:trPr>
          <w:cantSplit/>
        </w:trPr>
        <w:tc>
          <w:tcPr>
            <w:tcW w:w="878" w:type="pct"/>
          </w:tcPr>
          <w:p w14:paraId="23B1CDA3" w14:textId="77777777" w:rsidR="00945E1B" w:rsidRPr="00945E1B" w:rsidRDefault="00945E1B" w:rsidP="00945E1B">
            <w:pPr>
              <w:spacing w:after="0" w:line="240" w:lineRule="auto"/>
              <w:rPr>
                <w:rFonts w:ascii="Times New Roman" w:eastAsia="Calibri" w:hAnsi="Times New Roman" w:cs="Times New Roman"/>
                <w:sz w:val="20"/>
                <w:szCs w:val="20"/>
              </w:rPr>
            </w:pPr>
            <w:r w:rsidRPr="00945E1B">
              <w:rPr>
                <w:rFonts w:ascii="Times New Roman" w:eastAsia="Calibri" w:hAnsi="Times New Roman" w:cs="Times New Roman"/>
                <w:sz w:val="20"/>
                <w:szCs w:val="20"/>
              </w:rPr>
              <w:t>GOs: Record Retention</w:t>
            </w:r>
          </w:p>
        </w:tc>
        <w:tc>
          <w:tcPr>
            <w:tcW w:w="746" w:type="pct"/>
          </w:tcPr>
          <w:p w14:paraId="772A999D"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104</w:t>
            </w:r>
            <w:r w:rsidRPr="00945E1B">
              <w:rPr>
                <w:rFonts w:ascii="Times New Roman" w:eastAsia="Calibri" w:hAnsi="Times New Roman" w:cs="Times New Roman"/>
                <w:b/>
                <w:sz w:val="20"/>
                <w:szCs w:val="20"/>
                <w:vertAlign w:val="superscript"/>
              </w:rPr>
              <w:fldChar w:fldCharType="begin"/>
            </w:r>
            <w:r w:rsidRPr="00945E1B">
              <w:rPr>
                <w:rFonts w:ascii="Times New Roman" w:eastAsia="Calibri" w:hAnsi="Times New Roman" w:cs="Times New Roman"/>
                <w:b/>
                <w:sz w:val="20"/>
                <w:szCs w:val="20"/>
                <w:vertAlign w:val="superscript"/>
              </w:rPr>
              <w:instrText xml:space="preserve"> NOTEREF _Ref431545288 \h  \* MERGEFORMAT </w:instrText>
            </w:r>
            <w:r w:rsidRPr="00945E1B">
              <w:rPr>
                <w:rFonts w:ascii="Times New Roman" w:eastAsia="Calibri" w:hAnsi="Times New Roman" w:cs="Times New Roman"/>
                <w:b/>
                <w:sz w:val="20"/>
                <w:szCs w:val="20"/>
                <w:vertAlign w:val="superscript"/>
              </w:rPr>
            </w:r>
            <w:r w:rsidRPr="00945E1B">
              <w:rPr>
                <w:rFonts w:ascii="Times New Roman" w:eastAsia="Calibri" w:hAnsi="Times New Roman" w:cs="Times New Roman"/>
                <w:b/>
                <w:sz w:val="20"/>
                <w:szCs w:val="20"/>
                <w:vertAlign w:val="superscript"/>
              </w:rPr>
              <w:fldChar w:fldCharType="separate"/>
            </w:r>
            <w:r w:rsidR="00962AEE">
              <w:rPr>
                <w:rFonts w:ascii="Times New Roman" w:eastAsia="Calibri" w:hAnsi="Times New Roman" w:cs="Times New Roman"/>
                <w:b/>
                <w:sz w:val="20"/>
                <w:szCs w:val="20"/>
                <w:vertAlign w:val="superscript"/>
              </w:rPr>
              <w:t>14</w:t>
            </w:r>
            <w:r w:rsidRPr="00945E1B">
              <w:rPr>
                <w:rFonts w:ascii="Times New Roman" w:eastAsia="Calibri" w:hAnsi="Times New Roman" w:cs="Times New Roman"/>
                <w:b/>
                <w:sz w:val="20"/>
                <w:szCs w:val="20"/>
                <w:vertAlign w:val="superscript"/>
              </w:rPr>
              <w:fldChar w:fldCharType="end"/>
            </w:r>
          </w:p>
        </w:tc>
        <w:tc>
          <w:tcPr>
            <w:tcW w:w="746" w:type="pct"/>
          </w:tcPr>
          <w:p w14:paraId="38540D1A"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w:t>
            </w:r>
          </w:p>
        </w:tc>
        <w:tc>
          <w:tcPr>
            <w:tcW w:w="703" w:type="pct"/>
          </w:tcPr>
          <w:p w14:paraId="0B877C09"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104</w:t>
            </w:r>
          </w:p>
        </w:tc>
        <w:tc>
          <w:tcPr>
            <w:tcW w:w="654" w:type="pct"/>
          </w:tcPr>
          <w:p w14:paraId="67AE13B9"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4 hrs.;</w:t>
            </w:r>
          </w:p>
          <w:p w14:paraId="1C3791BA"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$267.60</w:t>
            </w:r>
          </w:p>
        </w:tc>
        <w:tc>
          <w:tcPr>
            <w:tcW w:w="657" w:type="pct"/>
          </w:tcPr>
          <w:p w14:paraId="1ADE472B"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416 hrs.;</w:t>
            </w:r>
          </w:p>
          <w:p w14:paraId="5C5CF1BE"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$27,830.40</w:t>
            </w:r>
          </w:p>
        </w:tc>
        <w:tc>
          <w:tcPr>
            <w:tcW w:w="616" w:type="pct"/>
          </w:tcPr>
          <w:p w14:paraId="74B2FDE8" w14:textId="77777777" w:rsidR="00945E1B" w:rsidRPr="00945E1B" w:rsidRDefault="00945E1B" w:rsidP="00945E1B">
            <w:pPr>
              <w:spacing w:after="0" w:line="240" w:lineRule="auto"/>
              <w:jc w:val="right"/>
              <w:rPr>
                <w:rFonts w:ascii="Times New Roman" w:eastAsia="Calibri" w:hAnsi="Times New Roman" w:cs="Times New Roman"/>
                <w:sz w:val="20"/>
                <w:szCs w:val="20"/>
              </w:rPr>
            </w:pPr>
            <w:r w:rsidRPr="00945E1B">
              <w:rPr>
                <w:rFonts w:ascii="Times New Roman" w:eastAsia="Calibri" w:hAnsi="Times New Roman" w:cs="Times New Roman"/>
                <w:sz w:val="20"/>
                <w:szCs w:val="20"/>
              </w:rPr>
              <w:t>$267.60</w:t>
            </w:r>
          </w:p>
        </w:tc>
      </w:tr>
      <w:tr w:rsidR="00945E1B" w:rsidRPr="00945E1B" w14:paraId="7C413D09" w14:textId="77777777" w:rsidTr="00E85A14">
        <w:trPr>
          <w:cantSplit/>
          <w:trHeight w:val="485"/>
        </w:trPr>
        <w:tc>
          <w:tcPr>
            <w:tcW w:w="878" w:type="pct"/>
            <w:tcBorders>
              <w:bottom w:val="single" w:sz="4" w:space="0" w:color="auto"/>
            </w:tcBorders>
          </w:tcPr>
          <w:p w14:paraId="18BB58A0" w14:textId="77777777" w:rsidR="00945E1B" w:rsidRPr="00945E1B" w:rsidRDefault="00945E1B" w:rsidP="00945E1B">
            <w:pPr>
              <w:spacing w:after="0" w:line="240" w:lineRule="auto"/>
              <w:rPr>
                <w:rFonts w:ascii="Times New Roman" w:eastAsia="Calibri" w:hAnsi="Times New Roman" w:cs="Times New Roman"/>
                <w:b/>
                <w:sz w:val="20"/>
                <w:szCs w:val="20"/>
              </w:rPr>
            </w:pPr>
            <w:r w:rsidRPr="00945E1B">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6643C418" w14:textId="77777777" w:rsidR="00945E1B" w:rsidRPr="00945E1B" w:rsidRDefault="00945E1B" w:rsidP="00945E1B">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50C6C1FB" w14:textId="77777777" w:rsidR="00945E1B" w:rsidRPr="00945E1B" w:rsidRDefault="00945E1B" w:rsidP="00945E1B">
            <w:pPr>
              <w:spacing w:after="0" w:line="240" w:lineRule="auto"/>
              <w:jc w:val="right"/>
              <w:rPr>
                <w:rFonts w:ascii="Times New Roman" w:eastAsia="Calibri" w:hAnsi="Times New Roman" w:cs="Times New Roman"/>
                <w:b/>
                <w:sz w:val="20"/>
                <w:szCs w:val="20"/>
              </w:rPr>
            </w:pPr>
            <w:r w:rsidRPr="00945E1B">
              <w:rPr>
                <w:rFonts w:ascii="Times New Roman" w:eastAsia="Calibri" w:hAnsi="Times New Roman" w:cs="Times New Roman"/>
                <w:b/>
                <w:sz w:val="20"/>
                <w:szCs w:val="20"/>
              </w:rPr>
              <w:t>125</w:t>
            </w:r>
          </w:p>
        </w:tc>
        <w:tc>
          <w:tcPr>
            <w:tcW w:w="654" w:type="pct"/>
            <w:tcBorders>
              <w:bottom w:val="single" w:sz="4" w:space="0" w:color="auto"/>
            </w:tcBorders>
            <w:shd w:val="clear" w:color="auto" w:fill="D9D9D9"/>
          </w:tcPr>
          <w:p w14:paraId="740C9E49" w14:textId="77777777" w:rsidR="00945E1B" w:rsidRPr="00945E1B" w:rsidRDefault="00945E1B" w:rsidP="00945E1B">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23214A23" w14:textId="77777777" w:rsidR="00945E1B" w:rsidRPr="00945E1B" w:rsidRDefault="00945E1B" w:rsidP="00945E1B">
            <w:pPr>
              <w:spacing w:after="0" w:line="240" w:lineRule="auto"/>
              <w:jc w:val="right"/>
              <w:rPr>
                <w:rFonts w:ascii="Times New Roman" w:eastAsia="Calibri" w:hAnsi="Times New Roman" w:cs="Times New Roman"/>
                <w:b/>
                <w:sz w:val="20"/>
                <w:szCs w:val="20"/>
              </w:rPr>
            </w:pPr>
            <w:r w:rsidRPr="00945E1B">
              <w:rPr>
                <w:rFonts w:ascii="Times New Roman" w:eastAsia="Calibri" w:hAnsi="Times New Roman" w:cs="Times New Roman"/>
                <w:b/>
                <w:sz w:val="20"/>
                <w:szCs w:val="20"/>
              </w:rPr>
              <w:t>2,584 hrs.;</w:t>
            </w:r>
          </w:p>
          <w:p w14:paraId="4F25DEAE" w14:textId="77777777" w:rsidR="00945E1B" w:rsidRPr="00945E1B" w:rsidRDefault="00945E1B" w:rsidP="00945E1B">
            <w:pPr>
              <w:spacing w:after="0" w:line="240" w:lineRule="auto"/>
              <w:jc w:val="right"/>
              <w:rPr>
                <w:rFonts w:ascii="Times New Roman" w:eastAsia="Calibri" w:hAnsi="Times New Roman" w:cs="Times New Roman"/>
                <w:b/>
                <w:sz w:val="20"/>
                <w:szCs w:val="20"/>
              </w:rPr>
            </w:pPr>
            <w:r w:rsidRPr="00945E1B">
              <w:rPr>
                <w:rFonts w:ascii="Times New Roman" w:eastAsia="Calibri" w:hAnsi="Times New Roman" w:cs="Times New Roman"/>
                <w:b/>
                <w:sz w:val="20"/>
                <w:szCs w:val="20"/>
              </w:rPr>
              <w:t>$172,869.60</w:t>
            </w:r>
          </w:p>
        </w:tc>
        <w:tc>
          <w:tcPr>
            <w:tcW w:w="616" w:type="pct"/>
            <w:tcBorders>
              <w:bottom w:val="single" w:sz="4" w:space="0" w:color="auto"/>
            </w:tcBorders>
          </w:tcPr>
          <w:p w14:paraId="7ADC9B5D" w14:textId="77777777" w:rsidR="00945E1B" w:rsidRPr="00945E1B" w:rsidRDefault="00945E1B" w:rsidP="00945E1B">
            <w:pPr>
              <w:spacing w:after="0" w:line="240" w:lineRule="auto"/>
              <w:jc w:val="right"/>
              <w:rPr>
                <w:rFonts w:ascii="Times New Roman" w:eastAsia="Calibri" w:hAnsi="Times New Roman" w:cs="Times New Roman"/>
                <w:b/>
                <w:sz w:val="20"/>
                <w:szCs w:val="20"/>
              </w:rPr>
            </w:pPr>
            <w:r w:rsidRPr="00945E1B">
              <w:rPr>
                <w:rFonts w:ascii="Times New Roman" w:eastAsia="Calibri" w:hAnsi="Times New Roman" w:cs="Times New Roman"/>
                <w:b/>
                <w:sz w:val="20"/>
                <w:szCs w:val="20"/>
              </w:rPr>
              <w:t>$2,943.60</w:t>
            </w:r>
          </w:p>
        </w:tc>
      </w:tr>
    </w:tbl>
    <w:p w14:paraId="23B1974F" w14:textId="77777777" w:rsidR="00945E1B" w:rsidRPr="00945E1B" w:rsidRDefault="00945E1B" w:rsidP="00945E1B">
      <w:pPr>
        <w:spacing w:after="0" w:line="276" w:lineRule="auto"/>
        <w:rPr>
          <w:rFonts w:ascii="Times New Roman" w:hAnsi="Times New Roman" w:cs="Times New Roman"/>
          <w:sz w:val="26"/>
          <w:szCs w:val="26"/>
        </w:rPr>
      </w:pPr>
    </w:p>
    <w:p w14:paraId="253F5B2A" w14:textId="77777777" w:rsidR="00EE07DD" w:rsidRPr="00FB148F" w:rsidRDefault="00EE07DD" w:rsidP="005E5E49">
      <w:pPr>
        <w:numPr>
          <w:ilvl w:val="0"/>
          <w:numId w:val="2"/>
        </w:numPr>
        <w:spacing w:after="0" w:line="276"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0A9916BB" w14:textId="77777777" w:rsidR="00EE07DD" w:rsidRPr="00FB148F" w:rsidRDefault="00EE07DD" w:rsidP="005E5E49">
      <w:pPr>
        <w:spacing w:after="0" w:line="276" w:lineRule="auto"/>
        <w:ind w:left="360"/>
        <w:rPr>
          <w:rFonts w:ascii="Times New Roman" w:hAnsi="Times New Roman" w:cs="Times New Roman"/>
          <w:sz w:val="26"/>
          <w:szCs w:val="26"/>
        </w:rPr>
      </w:pPr>
    </w:p>
    <w:p w14:paraId="2257E201"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There are no start-up or other non-labor costs.</w:t>
      </w:r>
    </w:p>
    <w:p w14:paraId="2085F796" w14:textId="77777777" w:rsidR="00945E1B" w:rsidRPr="00945E1B" w:rsidRDefault="00945E1B" w:rsidP="00945E1B">
      <w:pPr>
        <w:spacing w:after="0" w:line="276" w:lineRule="auto"/>
        <w:rPr>
          <w:rFonts w:ascii="Times New Roman" w:hAnsi="Times New Roman" w:cs="Times New Roman"/>
          <w:sz w:val="26"/>
          <w:szCs w:val="26"/>
        </w:rPr>
      </w:pPr>
    </w:p>
    <w:p w14:paraId="4E780A4F"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Total Capital and Start-up cost: $0</w:t>
      </w:r>
    </w:p>
    <w:p w14:paraId="6E306A37"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Total Operation, Maintenance, and Purchase of Services: $0</w:t>
      </w:r>
    </w:p>
    <w:p w14:paraId="5267A0F0" w14:textId="77777777" w:rsidR="00945E1B" w:rsidRPr="00945E1B" w:rsidRDefault="00945E1B" w:rsidP="00945E1B">
      <w:pPr>
        <w:spacing w:after="0" w:line="276" w:lineRule="auto"/>
        <w:rPr>
          <w:rFonts w:ascii="Times New Roman" w:hAnsi="Times New Roman" w:cs="Times New Roman"/>
          <w:sz w:val="26"/>
          <w:szCs w:val="26"/>
        </w:rPr>
      </w:pPr>
    </w:p>
    <w:p w14:paraId="6C95F2D3"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All of the costs in the FERC-725K information collection are associated with burden hours (labor) and described in Questions #12 and #15 in this supporting statement.</w:t>
      </w:r>
    </w:p>
    <w:p w14:paraId="4369C45D" w14:textId="77777777" w:rsidR="00EE07DD" w:rsidRPr="001A153B" w:rsidRDefault="00EE07DD" w:rsidP="005E5E49">
      <w:pPr>
        <w:spacing w:after="0" w:line="276" w:lineRule="auto"/>
        <w:rPr>
          <w:rFonts w:ascii="Times New Roman" w:hAnsi="Times New Roman" w:cs="Times New Roman"/>
          <w:sz w:val="26"/>
          <w:szCs w:val="26"/>
        </w:rPr>
      </w:pPr>
    </w:p>
    <w:p w14:paraId="4B9EF89B"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2CB41D77" w14:textId="77777777" w:rsidR="00EE07DD" w:rsidRPr="001A153B" w:rsidRDefault="00EE07DD" w:rsidP="005E5E49">
      <w:pPr>
        <w:spacing w:after="0" w:line="276" w:lineRule="auto"/>
        <w:rPr>
          <w:rFonts w:ascii="Times New Roman" w:hAnsi="Times New Roman" w:cs="Times New Roman"/>
          <w:sz w:val="26"/>
          <w:szCs w:val="26"/>
        </w:rPr>
      </w:pPr>
    </w:p>
    <w:p w14:paraId="14DB18D4" w14:textId="77777777"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w:t>
      </w:r>
      <w:r w:rsidR="00F100E2">
        <w:rPr>
          <w:rFonts w:ascii="Times New Roman" w:hAnsi="Times New Roman" w:cs="Times New Roman"/>
          <w:sz w:val="26"/>
          <w:szCs w:val="26"/>
        </w:rPr>
        <w:t xml:space="preserve">information </w:t>
      </w:r>
      <w:r w:rsidRPr="001A153B">
        <w:rPr>
          <w:rFonts w:ascii="Times New Roman" w:hAnsi="Times New Roman" w:cs="Times New Roman"/>
          <w:sz w:val="26"/>
          <w:szCs w:val="26"/>
        </w:rPr>
        <w:t>collection (OMB Control No. 1902-0225) and is not par</w:t>
      </w:r>
      <w:r w:rsidR="00F100E2">
        <w:rPr>
          <w:rFonts w:ascii="Times New Roman" w:hAnsi="Times New Roman" w:cs="Times New Roman"/>
          <w:sz w:val="26"/>
          <w:szCs w:val="26"/>
        </w:rPr>
        <w:t xml:space="preserve">t of this request/ICR </w:t>
      </w:r>
      <w:r w:rsidRPr="001A153B">
        <w:rPr>
          <w:rFonts w:ascii="Times New Roman" w:hAnsi="Times New Roman" w:cs="Times New Roman"/>
          <w:sz w:val="26"/>
          <w:szCs w:val="26"/>
        </w:rPr>
        <w:t xml:space="preserve">package.  </w:t>
      </w:r>
    </w:p>
    <w:p w14:paraId="34543224" w14:textId="77777777" w:rsidR="00EE07DD" w:rsidRPr="001A153B" w:rsidRDefault="00EE07DD" w:rsidP="005E5E49">
      <w:pPr>
        <w:spacing w:after="0" w:line="276" w:lineRule="auto"/>
        <w:rPr>
          <w:rFonts w:ascii="Times New Roman" w:hAnsi="Times New Roman" w:cs="Times New Roman"/>
          <w:sz w:val="26"/>
          <w:szCs w:val="26"/>
        </w:rPr>
      </w:pPr>
    </w:p>
    <w:p w14:paraId="1D14609A" w14:textId="75DBFC28"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 PRA Administ</w:t>
      </w:r>
      <w:r w:rsidR="001F499B">
        <w:rPr>
          <w:rFonts w:ascii="Times New Roman" w:hAnsi="Times New Roman" w:cs="Times New Roman"/>
          <w:sz w:val="26"/>
          <w:szCs w:val="26"/>
        </w:rPr>
        <w:t>rative  Cost (estimate of $4,931</w:t>
      </w:r>
      <w:r w:rsidRPr="001A153B">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31CABF66" w14:textId="77777777" w:rsidR="00EE07DD" w:rsidRPr="001A153B" w:rsidRDefault="00EE07DD" w:rsidP="005E5E49">
      <w:pPr>
        <w:spacing w:after="0" w:line="276"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CB0A7F2"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A1D8286" w14:textId="77777777" w:rsidR="00EE07DD" w:rsidRPr="001A153B" w:rsidRDefault="00EE07DD" w:rsidP="00041CA6">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2519AE"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F572198"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786C7D0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0027E60E" w14:textId="77777777" w:rsidR="00EE07DD" w:rsidRPr="001A153B" w:rsidRDefault="00EE07DD" w:rsidP="00041CA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vAlign w:val="bottom"/>
            <w:hideMark/>
          </w:tcPr>
          <w:p w14:paraId="15B15339" w14:textId="77777777" w:rsidR="00EE07DD" w:rsidRPr="001A153B" w:rsidRDefault="00EE07DD" w:rsidP="00041CA6">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D264A9" w14:textId="77777777" w:rsidR="00EE07DD" w:rsidRPr="001A153B" w:rsidRDefault="00EE07DD" w:rsidP="00041CA6">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58ADFFFD"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504FBC2" w14:textId="79338A74" w:rsidR="00EE07DD" w:rsidRPr="001A153B" w:rsidRDefault="00945E1B" w:rsidP="00A57102">
            <w:pPr>
              <w:spacing w:after="0" w:line="240" w:lineRule="auto"/>
              <w:rPr>
                <w:rFonts w:ascii="Times New Roman" w:hAnsi="Times New Roman" w:cs="Times New Roman"/>
                <w:sz w:val="26"/>
                <w:szCs w:val="26"/>
              </w:rPr>
            </w:pPr>
            <w:r>
              <w:rPr>
                <w:rFonts w:ascii="Times New Roman" w:hAnsi="Times New Roman" w:cs="Times New Roman"/>
                <w:sz w:val="26"/>
                <w:szCs w:val="26"/>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B3B44AD" w14:textId="77777777" w:rsidR="00EE07DD" w:rsidRPr="001A153B" w:rsidRDefault="00EE07DD" w:rsidP="00041CA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BC67CCA" w14:textId="6F51C500" w:rsidR="00EE07DD" w:rsidRPr="001A153B" w:rsidRDefault="00EE07DD" w:rsidP="00041CA6">
            <w:pPr>
              <w:spacing w:after="0"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945E1B">
              <w:rPr>
                <w:rFonts w:ascii="Times New Roman" w:hAnsi="Times New Roman" w:cs="Times New Roman"/>
                <w:sz w:val="26"/>
                <w:szCs w:val="26"/>
              </w:rPr>
              <w:t>4,931</w:t>
            </w:r>
          </w:p>
        </w:tc>
      </w:tr>
      <w:tr w:rsidR="00EE07DD" w:rsidRPr="001A153B" w14:paraId="05041B5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6426600" w14:textId="77777777" w:rsidR="00EE07DD" w:rsidRPr="001A153B" w:rsidRDefault="00EE07DD" w:rsidP="00041CA6">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5C4FE6B7" w14:textId="77777777" w:rsidR="00EE07DD" w:rsidRPr="001A153B" w:rsidRDefault="00EE07DD" w:rsidP="00041CA6">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052D6B9" w14:textId="1B3083B6" w:rsidR="00EE07DD" w:rsidRPr="001A153B" w:rsidRDefault="00945E1B" w:rsidP="00041CA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$4,931</w:t>
            </w:r>
          </w:p>
        </w:tc>
      </w:tr>
    </w:tbl>
    <w:p w14:paraId="099907C3" w14:textId="77777777" w:rsidR="00EE07DD" w:rsidRPr="001A153B" w:rsidRDefault="00EE07DD" w:rsidP="005E5E49">
      <w:pPr>
        <w:spacing w:after="0" w:line="276" w:lineRule="auto"/>
        <w:rPr>
          <w:rFonts w:ascii="Times New Roman" w:hAnsi="Times New Roman" w:cs="Times New Roman"/>
          <w:sz w:val="26"/>
          <w:szCs w:val="26"/>
        </w:rPr>
      </w:pPr>
    </w:p>
    <w:p w14:paraId="4ECB8610"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70E2ECA3" w14:textId="77777777" w:rsidR="00EE07DD" w:rsidRPr="001A153B" w:rsidRDefault="00EE07DD" w:rsidP="005E5E49">
      <w:pPr>
        <w:spacing w:after="0" w:line="276" w:lineRule="auto"/>
        <w:rPr>
          <w:rFonts w:ascii="Times New Roman" w:hAnsi="Times New Roman" w:cs="Times New Roman"/>
          <w:b/>
          <w:sz w:val="26"/>
          <w:szCs w:val="26"/>
        </w:rPr>
      </w:pPr>
    </w:p>
    <w:p w14:paraId="70EECC00" w14:textId="49536D44"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 xml:space="preserve">There are no changes to reporting </w:t>
      </w:r>
      <w:r w:rsidR="00A57102">
        <w:rPr>
          <w:rFonts w:ascii="Times New Roman" w:hAnsi="Times New Roman" w:cs="Times New Roman"/>
          <w:sz w:val="26"/>
          <w:szCs w:val="26"/>
        </w:rPr>
        <w:t xml:space="preserve">or recordkeeping </w:t>
      </w:r>
      <w:r w:rsidRPr="00945E1B">
        <w:rPr>
          <w:rFonts w:ascii="Times New Roman" w:hAnsi="Times New Roman" w:cs="Times New Roman"/>
          <w:sz w:val="26"/>
          <w:szCs w:val="26"/>
        </w:rPr>
        <w:t>requirements</w:t>
      </w:r>
      <w:r w:rsidR="00A57102">
        <w:rPr>
          <w:rFonts w:ascii="Times New Roman" w:hAnsi="Times New Roman" w:cs="Times New Roman"/>
          <w:sz w:val="26"/>
          <w:szCs w:val="26"/>
        </w:rPr>
        <w:t xml:space="preserve"> and </w:t>
      </w:r>
      <w:r w:rsidRPr="00945E1B">
        <w:rPr>
          <w:rFonts w:ascii="Times New Roman" w:hAnsi="Times New Roman" w:cs="Times New Roman"/>
          <w:sz w:val="26"/>
          <w:szCs w:val="26"/>
        </w:rPr>
        <w:t xml:space="preserve"> no change to the burden estimate in the FERC-725K information collection.</w:t>
      </w:r>
    </w:p>
    <w:p w14:paraId="7EC22ED4" w14:textId="77777777" w:rsidR="00EE07DD" w:rsidRPr="001A153B" w:rsidRDefault="00EE07DD" w:rsidP="005E5E49">
      <w:pPr>
        <w:spacing w:after="0" w:line="276" w:lineRule="auto"/>
        <w:rPr>
          <w:rFonts w:ascii="Times New Roman" w:hAnsi="Times New Roman" w:cs="Times New Roman"/>
          <w:sz w:val="26"/>
          <w:szCs w:val="26"/>
        </w:rPr>
      </w:pPr>
    </w:p>
    <w:p w14:paraId="1C8BF4AA"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14:paraId="552537F4" w14:textId="77777777" w:rsidR="00965E15" w:rsidRDefault="00965E15" w:rsidP="005E5E49">
      <w:pPr>
        <w:spacing w:after="0" w:line="276"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6BFD0D23"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FE06AE1" w14:textId="48AA75DB" w:rsidR="00EE07DD" w:rsidRPr="001A153B" w:rsidRDefault="00945E1B" w:rsidP="00945E1B">
            <w:pPr>
              <w:spacing w:after="0" w:line="240" w:lineRule="auto"/>
              <w:rPr>
                <w:rFonts w:ascii="Times New Roman" w:hAnsi="Times New Roman" w:cs="Times New Roman"/>
                <w:b/>
                <w:sz w:val="26"/>
                <w:szCs w:val="26"/>
              </w:rPr>
            </w:pPr>
            <w:r>
              <w:rPr>
                <w:rFonts w:ascii="Times New Roman" w:hAnsi="Times New Roman" w:cs="Times New Roman"/>
                <w:b/>
                <w:sz w:val="26"/>
                <w:szCs w:val="26"/>
              </w:rPr>
              <w:t>FERC-725K</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70E80C"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82D194"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AEDD9A"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7837AF" w14:textId="77777777" w:rsidR="00EE07DD" w:rsidRPr="001A153B" w:rsidRDefault="00EE07DD" w:rsidP="00945E1B">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2291A558"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65EDEC60" w14:textId="77777777" w:rsidR="00EE07DD" w:rsidRPr="001A153B" w:rsidRDefault="00EE07DD" w:rsidP="00945E1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3921808" w14:textId="5CD0A5FB"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125</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B0E018" w14:textId="25EEDD1E"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125</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91D5DC" w14:textId="05B6BE4E"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7C603EF" w14:textId="3AC5DEDF"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EE07DD" w:rsidRPr="001A153B" w14:paraId="52175776"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80D951" w14:textId="77777777" w:rsidR="00EE07DD" w:rsidRPr="001A153B" w:rsidRDefault="00EE07DD" w:rsidP="00945E1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21DC2AF" w14:textId="3F72411B"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2,584</w:t>
            </w:r>
          </w:p>
        </w:tc>
        <w:tc>
          <w:tcPr>
            <w:tcW w:w="1620" w:type="dxa"/>
            <w:tcBorders>
              <w:top w:val="single" w:sz="4" w:space="0" w:color="auto"/>
              <w:left w:val="single" w:sz="4" w:space="0" w:color="auto"/>
              <w:bottom w:val="single" w:sz="4" w:space="0" w:color="auto"/>
              <w:right w:val="single" w:sz="4" w:space="0" w:color="auto"/>
            </w:tcBorders>
            <w:vAlign w:val="bottom"/>
          </w:tcPr>
          <w:p w14:paraId="1AC26747" w14:textId="47929B78"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2,584</w:t>
            </w:r>
          </w:p>
        </w:tc>
        <w:tc>
          <w:tcPr>
            <w:tcW w:w="1800" w:type="dxa"/>
            <w:tcBorders>
              <w:top w:val="single" w:sz="4" w:space="0" w:color="auto"/>
              <w:left w:val="single" w:sz="4" w:space="0" w:color="auto"/>
              <w:bottom w:val="single" w:sz="4" w:space="0" w:color="auto"/>
              <w:right w:val="single" w:sz="4" w:space="0" w:color="auto"/>
            </w:tcBorders>
            <w:vAlign w:val="bottom"/>
          </w:tcPr>
          <w:p w14:paraId="2F00CF02" w14:textId="1CDB439A"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D124CC1" w14:textId="4E3350A9"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EE07DD" w:rsidRPr="001A153B" w14:paraId="341CC373"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483316B" w14:textId="77777777" w:rsidR="00EE07DD" w:rsidRPr="001A153B" w:rsidRDefault="00EE07DD" w:rsidP="00945E1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80BB0C3" w14:textId="2B884C57"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388E8FB" w14:textId="005F2F0B"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5EAB3F" w14:textId="3AB52494"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8DC3CFE" w14:textId="5B844114" w:rsidR="00EE07DD" w:rsidRPr="001A153B" w:rsidRDefault="00945E1B" w:rsidP="00945E1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14:paraId="3F4392F6" w14:textId="77777777" w:rsidR="0076658D" w:rsidRDefault="0076658D" w:rsidP="005E5E49">
      <w:pPr>
        <w:spacing w:after="0" w:line="276" w:lineRule="auto"/>
        <w:rPr>
          <w:rFonts w:ascii="Times New Roman" w:hAnsi="Times New Roman" w:cs="Times New Roman"/>
          <w:sz w:val="26"/>
          <w:szCs w:val="26"/>
        </w:rPr>
      </w:pPr>
    </w:p>
    <w:p w14:paraId="1E69C388"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5A7EFBEA" w14:textId="77777777" w:rsidR="00EE07DD" w:rsidRPr="001A153B" w:rsidRDefault="00EE07DD" w:rsidP="005E5E49">
      <w:pPr>
        <w:spacing w:after="0" w:line="276" w:lineRule="auto"/>
        <w:rPr>
          <w:rFonts w:ascii="Times New Roman" w:hAnsi="Times New Roman" w:cs="Times New Roman"/>
          <w:sz w:val="26"/>
          <w:szCs w:val="26"/>
        </w:rPr>
      </w:pPr>
    </w:p>
    <w:p w14:paraId="54933319" w14:textId="77777777" w:rsidR="00EE07DD" w:rsidRPr="001A153B" w:rsidRDefault="00EE07DD" w:rsidP="005E5E49">
      <w:pPr>
        <w:spacing w:after="0" w:line="276"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2E1C1FEC" w14:textId="77777777" w:rsidR="00EE07DD" w:rsidRPr="001A153B" w:rsidRDefault="00EE07DD" w:rsidP="005E5E49">
      <w:pPr>
        <w:spacing w:after="0" w:line="276" w:lineRule="auto"/>
        <w:rPr>
          <w:rFonts w:ascii="Times New Roman" w:hAnsi="Times New Roman" w:cs="Times New Roman"/>
          <w:sz w:val="26"/>
          <w:szCs w:val="26"/>
        </w:rPr>
      </w:pPr>
    </w:p>
    <w:p w14:paraId="08017269"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3A8ED92C" w14:textId="77777777" w:rsidR="00EE07DD" w:rsidRPr="001A153B" w:rsidRDefault="00EE07DD" w:rsidP="005E5E49">
      <w:pPr>
        <w:spacing w:after="0" w:line="276" w:lineRule="auto"/>
        <w:rPr>
          <w:rFonts w:ascii="Times New Roman" w:hAnsi="Times New Roman" w:cs="Times New Roman"/>
          <w:sz w:val="26"/>
          <w:szCs w:val="26"/>
        </w:rPr>
      </w:pPr>
    </w:p>
    <w:p w14:paraId="771F942D" w14:textId="77777777" w:rsidR="00945E1B" w:rsidRPr="00945E1B" w:rsidRDefault="00945E1B" w:rsidP="00945E1B">
      <w:pPr>
        <w:spacing w:after="0" w:line="276" w:lineRule="auto"/>
        <w:rPr>
          <w:rFonts w:ascii="Times New Roman" w:hAnsi="Times New Roman" w:cs="Times New Roman"/>
          <w:sz w:val="26"/>
          <w:szCs w:val="26"/>
        </w:rPr>
      </w:pPr>
      <w:r w:rsidRPr="00945E1B">
        <w:rPr>
          <w:rFonts w:ascii="Times New Roman" w:hAnsi="Times New Roman" w:cs="Times New Roman"/>
          <w:sz w:val="26"/>
          <w:szCs w:val="26"/>
        </w:rPr>
        <w:t xml:space="preserve">The expiration dates are displayed in a table posted on ferc.gov at </w:t>
      </w:r>
      <w:hyperlink r:id="rId14" w:history="1">
        <w:r w:rsidRPr="00945E1B">
          <w:rPr>
            <w:rStyle w:val="Hyperlink"/>
            <w:sz w:val="26"/>
            <w:szCs w:val="26"/>
          </w:rPr>
          <w:t>http://www.ferc.gov/docs-filing/info-collections.asp</w:t>
        </w:r>
      </w:hyperlink>
      <w:r w:rsidRPr="00945E1B">
        <w:rPr>
          <w:rFonts w:ascii="Times New Roman" w:hAnsi="Times New Roman" w:cs="Times New Roman"/>
          <w:sz w:val="26"/>
          <w:szCs w:val="26"/>
        </w:rPr>
        <w:t>.</w:t>
      </w:r>
    </w:p>
    <w:p w14:paraId="29A2525F" w14:textId="77777777" w:rsidR="00EE07DD" w:rsidRPr="001A153B" w:rsidRDefault="00EE07DD" w:rsidP="005E5E49">
      <w:pPr>
        <w:spacing w:after="0" w:line="276" w:lineRule="auto"/>
        <w:rPr>
          <w:rFonts w:ascii="Times New Roman" w:hAnsi="Times New Roman" w:cs="Times New Roman"/>
          <w:sz w:val="26"/>
          <w:szCs w:val="26"/>
        </w:rPr>
      </w:pPr>
    </w:p>
    <w:p w14:paraId="533ED27D" w14:textId="77777777" w:rsidR="00EE07DD" w:rsidRPr="001A153B" w:rsidRDefault="00EE07DD" w:rsidP="005E5E49">
      <w:pPr>
        <w:numPr>
          <w:ilvl w:val="0"/>
          <w:numId w:val="2"/>
        </w:numPr>
        <w:spacing w:after="0" w:line="276"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2C1DE64B" w14:textId="77777777" w:rsidR="00EE07DD" w:rsidRPr="001A153B" w:rsidRDefault="00EE07DD" w:rsidP="005E5E49">
      <w:pPr>
        <w:spacing w:after="0" w:line="276" w:lineRule="auto"/>
        <w:rPr>
          <w:rFonts w:ascii="Times New Roman" w:hAnsi="Times New Roman" w:cs="Times New Roman"/>
          <w:b/>
          <w:sz w:val="26"/>
          <w:szCs w:val="26"/>
        </w:rPr>
      </w:pPr>
    </w:p>
    <w:p w14:paraId="12189FC5" w14:textId="114756EE" w:rsidR="00EE07DD" w:rsidRPr="001A153B" w:rsidRDefault="00945E1B" w:rsidP="005E5E49">
      <w:pPr>
        <w:spacing w:after="0" w:line="276" w:lineRule="auto"/>
        <w:rPr>
          <w:rFonts w:ascii="Times New Roman" w:hAnsi="Times New Roman" w:cs="Times New Roman"/>
          <w:sz w:val="26"/>
          <w:szCs w:val="26"/>
        </w:rPr>
      </w:pPr>
      <w:r>
        <w:rPr>
          <w:rFonts w:ascii="Times New Roman" w:hAnsi="Times New Roman" w:cs="Times New Roman"/>
          <w:sz w:val="26"/>
          <w:szCs w:val="26"/>
        </w:rPr>
        <w:t>There are no exceptions.</w:t>
      </w:r>
    </w:p>
    <w:sectPr w:rsidR="00EE07DD" w:rsidRPr="001A153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51E72" w14:textId="77777777" w:rsidR="00417C7C" w:rsidRDefault="00417C7C" w:rsidP="00EE07DD">
      <w:pPr>
        <w:spacing w:after="0" w:line="240" w:lineRule="auto"/>
      </w:pPr>
      <w:r>
        <w:separator/>
      </w:r>
    </w:p>
  </w:endnote>
  <w:endnote w:type="continuationSeparator" w:id="0">
    <w:p w14:paraId="401452BE" w14:textId="77777777" w:rsidR="00417C7C" w:rsidRDefault="00417C7C"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DED26F5" w14:textId="77777777" w:rsidR="00417C7C" w:rsidRDefault="00417C7C">
        <w:pPr>
          <w:pStyle w:val="Footer"/>
          <w:jc w:val="right"/>
        </w:pPr>
        <w:r>
          <w:fldChar w:fldCharType="begin"/>
        </w:r>
        <w:r>
          <w:instrText xml:space="preserve"> PAGE   \* MERGEFORMAT </w:instrText>
        </w:r>
        <w:r>
          <w:fldChar w:fldCharType="separate"/>
        </w:r>
        <w:r w:rsidR="00FB1D0C">
          <w:rPr>
            <w:noProof/>
          </w:rPr>
          <w:t>1</w:t>
        </w:r>
        <w:r>
          <w:rPr>
            <w:noProof/>
          </w:rPr>
          <w:fldChar w:fldCharType="end"/>
        </w:r>
      </w:p>
    </w:sdtContent>
  </w:sdt>
  <w:p w14:paraId="4DFC68BC" w14:textId="77777777" w:rsidR="00417C7C" w:rsidRDefault="00417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06403" w14:textId="77777777" w:rsidR="00417C7C" w:rsidRDefault="00417C7C" w:rsidP="00EE07DD">
      <w:pPr>
        <w:spacing w:after="0" w:line="240" w:lineRule="auto"/>
      </w:pPr>
      <w:r>
        <w:separator/>
      </w:r>
    </w:p>
  </w:footnote>
  <w:footnote w:type="continuationSeparator" w:id="0">
    <w:p w14:paraId="308E8CD2" w14:textId="77777777" w:rsidR="00417C7C" w:rsidRDefault="00417C7C" w:rsidP="00EE07DD">
      <w:pPr>
        <w:spacing w:after="0" w:line="240" w:lineRule="auto"/>
      </w:pPr>
      <w:r>
        <w:continuationSeparator/>
      </w:r>
    </w:p>
  </w:footnote>
  <w:footnote w:id="1">
    <w:p w14:paraId="04852BDF" w14:textId="77777777" w:rsidR="005E5E49" w:rsidRPr="00945E1B" w:rsidRDefault="005E5E49" w:rsidP="005E5E49">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w:t>
      </w:r>
      <w:r w:rsidRPr="00945E1B">
        <w:rPr>
          <w:rFonts w:ascii="Times New Roman" w:hAnsi="Times New Roman" w:cs="Times New Roman"/>
          <w:i/>
          <w:iCs/>
        </w:rPr>
        <w:t>North American Electric Reliability Corp.</w:t>
      </w:r>
      <w:r w:rsidRPr="00945E1B">
        <w:rPr>
          <w:rFonts w:ascii="Times New Roman" w:hAnsi="Times New Roman" w:cs="Times New Roman"/>
        </w:rPr>
        <w:t xml:space="preserve">, 116 FERC ¶ 61,062, </w:t>
      </w:r>
      <w:r w:rsidRPr="00945E1B">
        <w:rPr>
          <w:rFonts w:ascii="Times New Roman" w:hAnsi="Times New Roman" w:cs="Times New Roman"/>
          <w:i/>
          <w:iCs/>
        </w:rPr>
        <w:t>order on reh’g &amp; compliance</w:t>
      </w:r>
      <w:r w:rsidRPr="00945E1B">
        <w:rPr>
          <w:rFonts w:ascii="Times New Roman" w:hAnsi="Times New Roman" w:cs="Times New Roman"/>
        </w:rPr>
        <w:t xml:space="preserve">, 117 FERC ¶ 61,126 (2006), </w:t>
      </w:r>
      <w:r w:rsidRPr="00945E1B">
        <w:rPr>
          <w:rFonts w:ascii="Times New Roman" w:hAnsi="Times New Roman" w:cs="Times New Roman"/>
          <w:i/>
        </w:rPr>
        <w:t xml:space="preserve">aff’d </w:t>
      </w:r>
      <w:r w:rsidRPr="00945E1B">
        <w:rPr>
          <w:rFonts w:ascii="Times New Roman" w:hAnsi="Times New Roman" w:cs="Times New Roman"/>
          <w:i/>
          <w:iCs/>
        </w:rPr>
        <w:t>sub nom. Alcoa, Inc. v. FERC</w:t>
      </w:r>
      <w:r w:rsidRPr="00945E1B">
        <w:rPr>
          <w:rFonts w:ascii="Times New Roman" w:hAnsi="Times New Roman" w:cs="Times New Roman"/>
        </w:rPr>
        <w:t xml:space="preserve">, 564 F.3d 1342 (D.C. Cir. 2009).  </w:t>
      </w:r>
    </w:p>
  </w:footnote>
  <w:footnote w:id="2">
    <w:p w14:paraId="03F0AB82" w14:textId="77777777" w:rsidR="005E5E49" w:rsidRPr="00945E1B" w:rsidRDefault="005E5E49" w:rsidP="005E5E49">
      <w:pPr>
        <w:pStyle w:val="FootnoteText"/>
        <w:rPr>
          <w:rFonts w:ascii="Times New Roman" w:hAnsi="Times New Roman" w:cs="Times New Roman"/>
          <w:lang w:val="pt-B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pt-BR"/>
        </w:rPr>
        <w:t xml:space="preserve"> 16 U.S.C. </w:t>
      </w:r>
      <w:r w:rsidRPr="00945E1B">
        <w:rPr>
          <w:rFonts w:ascii="Times New Roman" w:hAnsi="Times New Roman" w:cs="Times New Roman"/>
          <w:lang w:val="es-ES"/>
        </w:rPr>
        <w:t xml:space="preserve">§ </w:t>
      </w:r>
      <w:r w:rsidRPr="00945E1B">
        <w:rPr>
          <w:rFonts w:ascii="Times New Roman" w:hAnsi="Times New Roman" w:cs="Times New Roman"/>
          <w:lang w:val="pt-BR"/>
        </w:rPr>
        <w:t xml:space="preserve">824o(e)(4).  </w:t>
      </w:r>
      <w:r w:rsidRPr="00945E1B">
        <w:rPr>
          <w:rFonts w:ascii="Times New Roman" w:hAnsi="Times New Roman" w:cs="Times New Roman"/>
        </w:rPr>
        <w:t xml:space="preserve">A Regional Entity is an entity that has been approved by the Commission to enforce Reliability Standards under delegated authority from the ERO.  </w:t>
      </w:r>
      <w:r w:rsidRPr="00945E1B">
        <w:rPr>
          <w:rFonts w:ascii="Times New Roman" w:hAnsi="Times New Roman" w:cs="Times New Roman"/>
          <w:i/>
          <w:lang w:val="pt-BR"/>
        </w:rPr>
        <w:t>See</w:t>
      </w:r>
      <w:r w:rsidRPr="00945E1B">
        <w:rPr>
          <w:rFonts w:ascii="Times New Roman" w:hAnsi="Times New Roman" w:cs="Times New Roman"/>
          <w:lang w:val="pt-BR"/>
        </w:rPr>
        <w:t xml:space="preserve"> 16 U.S.C. </w:t>
      </w:r>
      <w:r w:rsidRPr="00945E1B">
        <w:rPr>
          <w:rFonts w:ascii="Times New Roman" w:hAnsi="Times New Roman" w:cs="Times New Roman"/>
          <w:lang w:val="es-ES"/>
        </w:rPr>
        <w:t xml:space="preserve">§ </w:t>
      </w:r>
      <w:r w:rsidRPr="00945E1B">
        <w:rPr>
          <w:rFonts w:ascii="Times New Roman" w:hAnsi="Times New Roman" w:cs="Times New Roman"/>
          <w:lang w:val="pt-BR"/>
        </w:rPr>
        <w:t>824o(a)(7) and (e)(4).</w:t>
      </w:r>
    </w:p>
  </w:footnote>
  <w:footnote w:id="3">
    <w:p w14:paraId="42F0551F" w14:textId="77777777" w:rsidR="005E5E49" w:rsidRPr="00945E1B" w:rsidRDefault="005E5E49" w:rsidP="005E5E49">
      <w:pPr>
        <w:pStyle w:val="FootnoteText"/>
        <w:rPr>
          <w:rFonts w:ascii="Times New Roman" w:hAnsi="Times New Roman" w:cs="Times New Roman"/>
          <w:lang w:val="pt-B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pt-BR"/>
        </w:rPr>
        <w:t xml:space="preserve"> 16 U.S.C. </w:t>
      </w:r>
      <w:r w:rsidRPr="00945E1B">
        <w:rPr>
          <w:rFonts w:ascii="Times New Roman" w:hAnsi="Times New Roman" w:cs="Times New Roman"/>
          <w:lang w:val="es-ES"/>
        </w:rPr>
        <w:t xml:space="preserve">§ </w:t>
      </w:r>
      <w:r w:rsidRPr="00945E1B">
        <w:rPr>
          <w:rFonts w:ascii="Times New Roman" w:hAnsi="Times New Roman" w:cs="Times New Roman"/>
          <w:lang w:val="pt-BR"/>
        </w:rPr>
        <w:t>824o(d)(3).</w:t>
      </w:r>
    </w:p>
  </w:footnote>
  <w:footnote w:id="4">
    <w:p w14:paraId="18FE5743" w14:textId="77777777" w:rsidR="005E5E49" w:rsidRPr="00945E1B" w:rsidRDefault="005E5E49" w:rsidP="005E5E49">
      <w:pPr>
        <w:pStyle w:val="FootnoteText"/>
        <w:rPr>
          <w:rFonts w:ascii="Times New Roman" w:hAnsi="Times New Roman" w:cs="Times New Roman"/>
          <w:lang w:val="pt-B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pt-BR"/>
        </w:rPr>
        <w:t xml:space="preserve"> </w:t>
      </w:r>
      <w:r w:rsidRPr="00945E1B">
        <w:rPr>
          <w:rFonts w:ascii="Times New Roman" w:hAnsi="Times New Roman" w:cs="Times New Roman"/>
          <w:i/>
          <w:lang w:val="pt-BR"/>
        </w:rPr>
        <w:t>Id.</w:t>
      </w:r>
      <w:r w:rsidRPr="00945E1B">
        <w:rPr>
          <w:rFonts w:ascii="Times New Roman" w:hAnsi="Times New Roman" w:cs="Times New Roman"/>
          <w:lang w:val="pt-BR"/>
        </w:rPr>
        <w:t xml:space="preserve"> </w:t>
      </w:r>
      <w:r w:rsidRPr="00945E1B">
        <w:rPr>
          <w:rFonts w:ascii="Times New Roman" w:hAnsi="Times New Roman" w:cs="Times New Roman"/>
          <w:lang w:val="es-ES"/>
        </w:rPr>
        <w:t xml:space="preserve">§ </w:t>
      </w:r>
      <w:r w:rsidRPr="00945E1B">
        <w:rPr>
          <w:rFonts w:ascii="Times New Roman" w:hAnsi="Times New Roman" w:cs="Times New Roman"/>
          <w:lang w:val="pt-BR"/>
        </w:rPr>
        <w:t>824o(d)(2).</w:t>
      </w:r>
    </w:p>
  </w:footnote>
  <w:footnote w:id="5">
    <w:p w14:paraId="70666660" w14:textId="77777777" w:rsidR="005E5E49" w:rsidRPr="00945E1B" w:rsidRDefault="005E5E49" w:rsidP="005E5E49">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w:t>
      </w:r>
      <w:r w:rsidRPr="00945E1B">
        <w:rPr>
          <w:rFonts w:ascii="Times New Roman" w:hAnsi="Times New Roman" w:cs="Times New Roman"/>
          <w:i/>
        </w:rPr>
        <w:t>North American Electric Reliability Corp.</w:t>
      </w:r>
      <w:r w:rsidRPr="00945E1B">
        <w:rPr>
          <w:rFonts w:ascii="Times New Roman" w:hAnsi="Times New Roman" w:cs="Times New Roman"/>
        </w:rPr>
        <w:t xml:space="preserve">, 119 FERC ¶ 61,060 (2007). </w:t>
      </w:r>
    </w:p>
  </w:footnote>
  <w:footnote w:id="6">
    <w:p w14:paraId="1F426BF5" w14:textId="77777777" w:rsidR="00417C7C" w:rsidRPr="00945E1B" w:rsidRDefault="00417C7C" w:rsidP="00570228">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Details of the current ERO Reliability Standard processes are available on the NERC website at </w:t>
      </w:r>
      <w:hyperlink r:id="rId1" w:history="1">
        <w:r w:rsidRPr="00945E1B">
          <w:rPr>
            <w:rStyle w:val="Hyperlink"/>
          </w:rPr>
          <w:t>http://www.nerc.com/FilingsOrders/us/RuleOfProcedureDL/Appendix_3A_StandardProcessesManual_20130626.pdf</w:t>
        </w:r>
      </w:hyperlink>
      <w:r w:rsidRPr="00945E1B">
        <w:rPr>
          <w:rFonts w:ascii="Times New Roman" w:hAnsi="Times New Roman" w:cs="Times New Roman"/>
        </w:rPr>
        <w:t>.</w:t>
      </w:r>
    </w:p>
  </w:footnote>
  <w:footnote w:id="7">
    <w:p w14:paraId="58CF7F30" w14:textId="6436FE8D" w:rsidR="00F45983" w:rsidRPr="00945E1B" w:rsidRDefault="00F45983" w:rsidP="00F45983">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Page </w:t>
      </w:r>
      <w:r w:rsidR="00962AEE">
        <w:rPr>
          <w:rFonts w:ascii="Times New Roman" w:hAnsi="Times New Roman" w:cs="Times New Roman"/>
        </w:rPr>
        <w:t>6</w:t>
      </w:r>
      <w:r w:rsidRPr="00945E1B">
        <w:rPr>
          <w:rFonts w:ascii="Times New Roman" w:hAnsi="Times New Roman" w:cs="Times New Roman"/>
        </w:rPr>
        <w:t xml:space="preserve"> of 1</w:t>
      </w:r>
      <w:r w:rsidR="00962AEE">
        <w:rPr>
          <w:rFonts w:ascii="Times New Roman" w:hAnsi="Times New Roman" w:cs="Times New Roman"/>
        </w:rPr>
        <w:t>3</w:t>
      </w:r>
      <w:r w:rsidRPr="00945E1B">
        <w:rPr>
          <w:rFonts w:ascii="Times New Roman" w:hAnsi="Times New Roman" w:cs="Times New Roman"/>
        </w:rPr>
        <w:t xml:space="preserve"> of the PRC-006-SERC-0</w:t>
      </w:r>
      <w:r w:rsidR="00962AEE">
        <w:rPr>
          <w:rFonts w:ascii="Times New Roman" w:hAnsi="Times New Roman" w:cs="Times New Roman"/>
        </w:rPr>
        <w:t>2</w:t>
      </w:r>
      <w:r w:rsidRPr="00945E1B">
        <w:rPr>
          <w:rFonts w:ascii="Times New Roman" w:hAnsi="Times New Roman" w:cs="Times New Roman"/>
        </w:rPr>
        <w:t xml:space="preserve"> Reliability Standard (</w:t>
      </w:r>
      <w:r w:rsidR="00962AEE" w:rsidRPr="00962AEE">
        <w:rPr>
          <w:rStyle w:val="Hyperlink"/>
        </w:rPr>
        <w:t>https://www.nerc.com/pa/Stand/Reliability%20Standards/PRC-006-SERC-02.pdf</w:t>
      </w:r>
      <w:r w:rsidRPr="00945E1B">
        <w:rPr>
          <w:rFonts w:ascii="Times New Roman" w:hAnsi="Times New Roman" w:cs="Times New Roman"/>
        </w:rPr>
        <w:t>)</w:t>
      </w:r>
    </w:p>
  </w:footnote>
  <w:footnote w:id="8">
    <w:p w14:paraId="52344AFA" w14:textId="77777777" w:rsidR="00417C7C" w:rsidRPr="00945E1B" w:rsidRDefault="00417C7C" w:rsidP="00570228">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Details of the current ERO Reliability Standard processes are available on the NERC website at </w:t>
      </w:r>
      <w:hyperlink r:id="rId2" w:history="1">
        <w:r w:rsidRPr="00945E1B">
          <w:rPr>
            <w:rStyle w:val="Hyperlink"/>
          </w:rPr>
          <w:t>http://www.nerc.com/FilingsOrders/us/RuleOfProcedureDL/Appendix_3A_StandardProcessesManual_20130626.pdf</w:t>
        </w:r>
      </w:hyperlink>
      <w:r w:rsidRPr="00945E1B">
        <w:rPr>
          <w:rFonts w:ascii="Times New Roman" w:hAnsi="Times New Roman" w:cs="Times New Roman"/>
        </w:rPr>
        <w:t xml:space="preserve">. </w:t>
      </w:r>
    </w:p>
  </w:footnote>
  <w:footnote w:id="9">
    <w:p w14:paraId="4FD7EBB7" w14:textId="77777777" w:rsidR="00F45983" w:rsidRPr="00945E1B" w:rsidRDefault="00F45983" w:rsidP="00F45983">
      <w:pPr>
        <w:pStyle w:val="FootnoteText"/>
        <w:rPr>
          <w:rFonts w:ascii="Times New Roman" w:hAnsi="Times New Roman" w:cs="Times New Roman"/>
          <w:lang w:val="fr-F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fr-FR"/>
        </w:rPr>
        <w:t xml:space="preserve"> 5 CFR 1320.8(d)</w:t>
      </w:r>
    </w:p>
  </w:footnote>
  <w:footnote w:id="10">
    <w:p w14:paraId="297A9D3B" w14:textId="773EB26B" w:rsidR="00F45983" w:rsidRPr="00945E1B" w:rsidRDefault="00F45983" w:rsidP="00F45983">
      <w:pPr>
        <w:pStyle w:val="FootnoteText"/>
        <w:rPr>
          <w:rFonts w:ascii="Times New Roman" w:hAnsi="Times New Roman" w:cs="Times New Roman"/>
          <w:lang w:val="fr-F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fr-FR"/>
        </w:rPr>
        <w:t xml:space="preserve"> </w:t>
      </w:r>
      <w:r w:rsidR="00945E1B" w:rsidRPr="00945E1B">
        <w:rPr>
          <w:rFonts w:ascii="Times New Roman" w:hAnsi="Times New Roman" w:cs="Times New Roman"/>
          <w:lang w:val="fr-FR"/>
        </w:rPr>
        <w:t>83 FR</w:t>
      </w:r>
      <w:r w:rsidRPr="00945E1B">
        <w:rPr>
          <w:rFonts w:ascii="Times New Roman" w:hAnsi="Times New Roman" w:cs="Times New Roman"/>
          <w:lang w:val="fr-FR"/>
        </w:rPr>
        <w:t xml:space="preserve"> </w:t>
      </w:r>
      <w:r w:rsidR="00945E1B" w:rsidRPr="00945E1B">
        <w:rPr>
          <w:rFonts w:ascii="Times New Roman" w:hAnsi="Times New Roman" w:cs="Times New Roman"/>
          <w:lang w:val="fr-FR"/>
        </w:rPr>
        <w:t>63494</w:t>
      </w:r>
    </w:p>
  </w:footnote>
  <w:footnote w:id="11">
    <w:p w14:paraId="5FEE9A6D" w14:textId="211AE3A1" w:rsidR="00F45983" w:rsidRPr="00945E1B" w:rsidRDefault="00F45983" w:rsidP="00F45983">
      <w:pPr>
        <w:pStyle w:val="FootnoteText"/>
        <w:rPr>
          <w:rFonts w:ascii="Times New Roman" w:hAnsi="Times New Roman" w:cs="Times New Roman"/>
          <w:lang w:val="fr-FR"/>
        </w:rPr>
      </w:pPr>
      <w:r w:rsidRPr="00945E1B">
        <w:rPr>
          <w:rStyle w:val="FootnoteReference"/>
          <w:rFonts w:ascii="Times New Roman" w:hAnsi="Times New Roman" w:cs="Times New Roman"/>
          <w:vertAlign w:val="baseline"/>
        </w:rPr>
        <w:footnoteRef/>
      </w:r>
      <w:r w:rsidRPr="00945E1B">
        <w:rPr>
          <w:rFonts w:ascii="Times New Roman" w:hAnsi="Times New Roman" w:cs="Times New Roman"/>
          <w:lang w:val="fr-FR"/>
        </w:rPr>
        <w:t xml:space="preserve"> </w:t>
      </w:r>
      <w:r w:rsidR="00945E1B" w:rsidRPr="00945E1B">
        <w:rPr>
          <w:rFonts w:ascii="Times New Roman" w:hAnsi="Times New Roman" w:cs="Times New Roman"/>
          <w:lang w:val="fr-FR"/>
        </w:rPr>
        <w:t>84</w:t>
      </w:r>
      <w:r w:rsidRPr="00945E1B">
        <w:rPr>
          <w:rFonts w:ascii="Times New Roman" w:hAnsi="Times New Roman" w:cs="Times New Roman"/>
          <w:lang w:val="fr-FR"/>
        </w:rPr>
        <w:t xml:space="preserve"> FR </w:t>
      </w:r>
      <w:r w:rsidR="00945E1B" w:rsidRPr="00945E1B">
        <w:rPr>
          <w:rFonts w:ascii="Times New Roman" w:hAnsi="Times New Roman" w:cs="Times New Roman"/>
          <w:lang w:val="fr-FR"/>
        </w:rPr>
        <w:t>10055</w:t>
      </w:r>
    </w:p>
  </w:footnote>
  <w:footnote w:id="12">
    <w:p w14:paraId="2CEF0BB5" w14:textId="09D4AB95" w:rsidR="001F6968" w:rsidRPr="000F2F31" w:rsidRDefault="001F6968">
      <w:pPr>
        <w:pStyle w:val="FootnoteText"/>
        <w:rPr>
          <w:rFonts w:ascii="Times New Roman" w:hAnsi="Times New Roman" w:cs="Times New Roman"/>
        </w:rPr>
      </w:pPr>
      <w:r w:rsidRPr="000F2F31">
        <w:rPr>
          <w:rStyle w:val="FootnoteReference"/>
          <w:rFonts w:ascii="Times New Roman" w:hAnsi="Times New Roman" w:cs="Times New Roman"/>
          <w:vertAlign w:val="baseline"/>
        </w:rPr>
        <w:footnoteRef/>
      </w:r>
      <w:r w:rsidRPr="000F2F31">
        <w:rPr>
          <w:rFonts w:ascii="Times New Roman" w:hAnsi="Times New Roman" w:cs="Times New Roman"/>
        </w:rPr>
        <w:t xml:space="preserve"> PC=Planning Coordinators; GO=Generator Owners</w:t>
      </w:r>
    </w:p>
  </w:footnote>
  <w:footnote w:id="13">
    <w:p w14:paraId="6DCF8504" w14:textId="77777777" w:rsidR="00945E1B" w:rsidRPr="00945E1B" w:rsidRDefault="00945E1B" w:rsidP="00945E1B">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The estimated hourly cost (salary plus benefits) provided in this section is based on the salary figures (</w:t>
      </w:r>
      <w:hyperlink r:id="rId3" w:history="1">
        <w:r w:rsidRPr="00945E1B">
          <w:rPr>
            <w:rStyle w:val="Hyperlink"/>
          </w:rPr>
          <w:t>http://www.bls.gov/oes/current/naics2_22.htm</w:t>
        </w:r>
      </w:hyperlink>
      <w:r w:rsidRPr="00945E1B">
        <w:rPr>
          <w:rStyle w:val="Hyperlink"/>
        </w:rPr>
        <w:t>)</w:t>
      </w:r>
      <w:r w:rsidRPr="00945E1B">
        <w:rPr>
          <w:rFonts w:ascii="Times New Roman" w:hAnsi="Times New Roman" w:cs="Times New Roman"/>
        </w:rPr>
        <w:t xml:space="preserve"> and benefits (</w:t>
      </w:r>
      <w:hyperlink r:id="rId4" w:history="1">
        <w:r w:rsidRPr="00945E1B">
          <w:rPr>
            <w:rStyle w:val="Hyperlink"/>
          </w:rPr>
          <w:t>http://www.bls.gov/news.release/ecec.nr0.htm</w:t>
        </w:r>
      </w:hyperlink>
      <w:r w:rsidRPr="00945E1B">
        <w:rPr>
          <w:rStyle w:val="Hyperlink"/>
        </w:rPr>
        <w:t>)</w:t>
      </w:r>
      <w:r w:rsidRPr="00945E1B">
        <w:rPr>
          <w:rFonts w:ascii="Times New Roman" w:hAnsi="Times New Roman" w:cs="Times New Roman"/>
        </w:rPr>
        <w:t xml:space="preserve"> for May 2017 posted by the Bureau of Labor Statistics for the Utilities sector.  The hourly estimates for salary plus benefits are $66.90/hour based on the Engineering career (Occupation Code: 17-2071).</w:t>
      </w:r>
    </w:p>
  </w:footnote>
  <w:footnote w:id="14">
    <w:p w14:paraId="4D2EE94E" w14:textId="77777777" w:rsidR="00945E1B" w:rsidRPr="00945E1B" w:rsidRDefault="00945E1B" w:rsidP="00945E1B">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Both figures for PC respondents are not to be totaled. They represent the same set of respondents.</w:t>
      </w:r>
    </w:p>
  </w:footnote>
  <w:footnote w:id="15">
    <w:p w14:paraId="1BB9431C" w14:textId="77777777" w:rsidR="00945E1B" w:rsidRPr="00945E1B" w:rsidRDefault="00945E1B" w:rsidP="00945E1B">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Both figures for GO respondents are not to be totaled. They represent the same set of respondents.</w:t>
      </w:r>
    </w:p>
  </w:footnote>
  <w:footnote w:id="16">
    <w:p w14:paraId="53E02368" w14:textId="77777777" w:rsidR="00417C7C" w:rsidRPr="00945E1B" w:rsidRDefault="00417C7C" w:rsidP="00570228">
      <w:pPr>
        <w:pStyle w:val="FootnoteText"/>
        <w:rPr>
          <w:rFonts w:ascii="Times New Roman" w:hAnsi="Times New Roman" w:cs="Times New Roman"/>
        </w:rPr>
      </w:pPr>
      <w:r w:rsidRPr="00945E1B">
        <w:rPr>
          <w:rStyle w:val="FootnoteReference"/>
          <w:rFonts w:ascii="Times New Roman" w:hAnsi="Times New Roman" w:cs="Times New Roman"/>
          <w:vertAlign w:val="baseline"/>
        </w:rPr>
        <w:footnoteRef/>
      </w:r>
      <w:r w:rsidRPr="00945E1B">
        <w:rPr>
          <w:rFonts w:ascii="Times New Roman" w:hAnsi="Times New Roman" w:cs="Times New Roman"/>
        </w:rPr>
        <w:t xml:space="preserve"> Based upon FERC’s 2018 FTE average salary plus benefits ($164,520)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C772" w14:textId="20939D8D" w:rsidR="00417C7C" w:rsidRDefault="00E857E9">
    <w:pPr>
      <w:pStyle w:val="Header"/>
      <w:rPr>
        <w:rFonts w:ascii="Times New Roman" w:hAnsi="Times New Roman" w:cs="Times New Roman"/>
        <w:sz w:val="26"/>
        <w:szCs w:val="26"/>
      </w:rPr>
    </w:pPr>
    <w:r>
      <w:rPr>
        <w:rFonts w:ascii="Times New Roman" w:hAnsi="Times New Roman" w:cs="Times New Roman"/>
        <w:sz w:val="26"/>
        <w:szCs w:val="26"/>
      </w:rPr>
      <w:t xml:space="preserve">FERC-725K </w:t>
    </w:r>
    <w:r w:rsidR="00417C7C">
      <w:rPr>
        <w:rFonts w:ascii="Times New Roman" w:hAnsi="Times New Roman" w:cs="Times New Roman"/>
        <w:sz w:val="26"/>
        <w:szCs w:val="26"/>
      </w:rPr>
      <w:t>(OMB Control No. 1902-0260</w:t>
    </w:r>
    <w:r w:rsidR="00417C7C" w:rsidRPr="00DE4765">
      <w:rPr>
        <w:rFonts w:ascii="Times New Roman" w:hAnsi="Times New Roman" w:cs="Times New Roman"/>
        <w:sz w:val="26"/>
        <w:szCs w:val="2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8"/>
  </w:num>
  <w:num w:numId="6">
    <w:abstractNumId w:val="3"/>
  </w:num>
  <w:num w:numId="7">
    <w:abstractNumId w:val="4"/>
  </w:num>
  <w:num w:numId="8">
    <w:abstractNumId w:val="5"/>
  </w:num>
  <w:num w:numId="9">
    <w:abstractNumId w:val="10"/>
  </w:num>
  <w:num w:numId="10">
    <w:abstractNumId w:val="11"/>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171E"/>
    <w:rsid w:val="00041CA6"/>
    <w:rsid w:val="00043630"/>
    <w:rsid w:val="0006289C"/>
    <w:rsid w:val="00065504"/>
    <w:rsid w:val="000B196E"/>
    <w:rsid w:val="000C2AA0"/>
    <w:rsid w:val="000D2AEC"/>
    <w:rsid w:val="000D7513"/>
    <w:rsid w:val="000F2F31"/>
    <w:rsid w:val="0014043E"/>
    <w:rsid w:val="00160FEE"/>
    <w:rsid w:val="001907FC"/>
    <w:rsid w:val="001A153B"/>
    <w:rsid w:val="001B178A"/>
    <w:rsid w:val="001B2950"/>
    <w:rsid w:val="001F171A"/>
    <w:rsid w:val="001F499B"/>
    <w:rsid w:val="001F6968"/>
    <w:rsid w:val="00231271"/>
    <w:rsid w:val="00232F79"/>
    <w:rsid w:val="0024377F"/>
    <w:rsid w:val="0025702F"/>
    <w:rsid w:val="00261928"/>
    <w:rsid w:val="002A764D"/>
    <w:rsid w:val="002C460A"/>
    <w:rsid w:val="002C7D36"/>
    <w:rsid w:val="002E0CF6"/>
    <w:rsid w:val="002E6E27"/>
    <w:rsid w:val="002F6772"/>
    <w:rsid w:val="003009CB"/>
    <w:rsid w:val="003463E6"/>
    <w:rsid w:val="00347DBA"/>
    <w:rsid w:val="003608F6"/>
    <w:rsid w:val="003706A1"/>
    <w:rsid w:val="003C187C"/>
    <w:rsid w:val="003C1C29"/>
    <w:rsid w:val="003C3B80"/>
    <w:rsid w:val="003D34F1"/>
    <w:rsid w:val="003E4D3C"/>
    <w:rsid w:val="00417C7C"/>
    <w:rsid w:val="004232B1"/>
    <w:rsid w:val="00450F42"/>
    <w:rsid w:val="00460C6A"/>
    <w:rsid w:val="0047785C"/>
    <w:rsid w:val="0048671E"/>
    <w:rsid w:val="004B34A4"/>
    <w:rsid w:val="004C30FF"/>
    <w:rsid w:val="004D380D"/>
    <w:rsid w:val="004D7711"/>
    <w:rsid w:val="004F19B9"/>
    <w:rsid w:val="00520CC6"/>
    <w:rsid w:val="00545E7E"/>
    <w:rsid w:val="00570228"/>
    <w:rsid w:val="00587C53"/>
    <w:rsid w:val="00595138"/>
    <w:rsid w:val="005B1365"/>
    <w:rsid w:val="005C4E97"/>
    <w:rsid w:val="005E5E49"/>
    <w:rsid w:val="005F2368"/>
    <w:rsid w:val="006140AE"/>
    <w:rsid w:val="0061721D"/>
    <w:rsid w:val="0062150E"/>
    <w:rsid w:val="00632813"/>
    <w:rsid w:val="0064201D"/>
    <w:rsid w:val="00644588"/>
    <w:rsid w:val="0067266E"/>
    <w:rsid w:val="006D6BF7"/>
    <w:rsid w:val="006E39C1"/>
    <w:rsid w:val="007002ED"/>
    <w:rsid w:val="00716C63"/>
    <w:rsid w:val="00725449"/>
    <w:rsid w:val="00740F80"/>
    <w:rsid w:val="0076658D"/>
    <w:rsid w:val="00775575"/>
    <w:rsid w:val="007A668B"/>
    <w:rsid w:val="007B29B4"/>
    <w:rsid w:val="007C76D7"/>
    <w:rsid w:val="008041C5"/>
    <w:rsid w:val="00807167"/>
    <w:rsid w:val="00824371"/>
    <w:rsid w:val="00830A5B"/>
    <w:rsid w:val="00831BE0"/>
    <w:rsid w:val="00843FF1"/>
    <w:rsid w:val="008633A0"/>
    <w:rsid w:val="00872BDC"/>
    <w:rsid w:val="0087323D"/>
    <w:rsid w:val="008847C0"/>
    <w:rsid w:val="008A1D23"/>
    <w:rsid w:val="008B1AFF"/>
    <w:rsid w:val="008D5783"/>
    <w:rsid w:val="008E15F4"/>
    <w:rsid w:val="008E4006"/>
    <w:rsid w:val="00904875"/>
    <w:rsid w:val="00945E1B"/>
    <w:rsid w:val="0094713B"/>
    <w:rsid w:val="00947EBE"/>
    <w:rsid w:val="00962AEE"/>
    <w:rsid w:val="00965E15"/>
    <w:rsid w:val="009710D9"/>
    <w:rsid w:val="00971D82"/>
    <w:rsid w:val="009766BA"/>
    <w:rsid w:val="00991159"/>
    <w:rsid w:val="00995314"/>
    <w:rsid w:val="009A0BF6"/>
    <w:rsid w:val="009B3AA9"/>
    <w:rsid w:val="009B6241"/>
    <w:rsid w:val="009E03C9"/>
    <w:rsid w:val="00A075EF"/>
    <w:rsid w:val="00A113F6"/>
    <w:rsid w:val="00A56BAC"/>
    <w:rsid w:val="00A57102"/>
    <w:rsid w:val="00A77695"/>
    <w:rsid w:val="00A8777B"/>
    <w:rsid w:val="00AA0D88"/>
    <w:rsid w:val="00AA680A"/>
    <w:rsid w:val="00AD49EA"/>
    <w:rsid w:val="00AD72E6"/>
    <w:rsid w:val="00AD79C8"/>
    <w:rsid w:val="00AE5A7D"/>
    <w:rsid w:val="00AE649E"/>
    <w:rsid w:val="00B063B8"/>
    <w:rsid w:val="00B31120"/>
    <w:rsid w:val="00B608A6"/>
    <w:rsid w:val="00B65F92"/>
    <w:rsid w:val="00B72FAE"/>
    <w:rsid w:val="00B77B3D"/>
    <w:rsid w:val="00BA1856"/>
    <w:rsid w:val="00BB214B"/>
    <w:rsid w:val="00BC58F3"/>
    <w:rsid w:val="00BF49A0"/>
    <w:rsid w:val="00BF6782"/>
    <w:rsid w:val="00C002C5"/>
    <w:rsid w:val="00C3740A"/>
    <w:rsid w:val="00C46833"/>
    <w:rsid w:val="00C614CD"/>
    <w:rsid w:val="00C62C08"/>
    <w:rsid w:val="00CB5397"/>
    <w:rsid w:val="00CC4096"/>
    <w:rsid w:val="00CD7109"/>
    <w:rsid w:val="00D06456"/>
    <w:rsid w:val="00D203D1"/>
    <w:rsid w:val="00D21DD1"/>
    <w:rsid w:val="00D455B5"/>
    <w:rsid w:val="00D46460"/>
    <w:rsid w:val="00D568D4"/>
    <w:rsid w:val="00D642F8"/>
    <w:rsid w:val="00D752A4"/>
    <w:rsid w:val="00D75DCE"/>
    <w:rsid w:val="00D8690C"/>
    <w:rsid w:val="00DB24BD"/>
    <w:rsid w:val="00DB56DF"/>
    <w:rsid w:val="00DE4765"/>
    <w:rsid w:val="00DF55BB"/>
    <w:rsid w:val="00E11F0D"/>
    <w:rsid w:val="00E477E5"/>
    <w:rsid w:val="00E7287B"/>
    <w:rsid w:val="00E829BB"/>
    <w:rsid w:val="00E8521E"/>
    <w:rsid w:val="00E857E9"/>
    <w:rsid w:val="00EA32D8"/>
    <w:rsid w:val="00EB3B0A"/>
    <w:rsid w:val="00EB7F94"/>
    <w:rsid w:val="00ED5F9E"/>
    <w:rsid w:val="00EE07DD"/>
    <w:rsid w:val="00EF4A10"/>
    <w:rsid w:val="00EF775D"/>
    <w:rsid w:val="00F0276C"/>
    <w:rsid w:val="00F100E2"/>
    <w:rsid w:val="00F11EF0"/>
    <w:rsid w:val="00F12A94"/>
    <w:rsid w:val="00F304C0"/>
    <w:rsid w:val="00F45983"/>
    <w:rsid w:val="00F46F6D"/>
    <w:rsid w:val="00F81B09"/>
    <w:rsid w:val="00F8673D"/>
    <w:rsid w:val="00FB0AA5"/>
    <w:rsid w:val="00FB148F"/>
    <w:rsid w:val="00FB1D0C"/>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F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www.nerc.com/FilingsOrders/us/RuleOfProcedureDL/Appendix_3A_StandardProcessesManual_20130626.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725K</_x0031__x002e__x0020_Collection_x0020_Number>
    <Date xmlns="d6eefc7d-9817-4fa6-84d5-3bc009be21b8">2019-03-19T00:00:00-04:00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5995B-DA6B-4E16-A395-CABD895ECCE6}">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eefc7d-9817-4fa6-84d5-3bc009be21b8"/>
    <ds:schemaRef ds:uri="http://www.w3.org/XML/1998/namespace"/>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4.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5.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6.xml><?xml version="1.0" encoding="utf-8"?>
<ds:datastoreItem xmlns:ds="http://schemas.openxmlformats.org/officeDocument/2006/customXml" ds:itemID="{7FB82BF2-6DA2-47CB-B83C-BED03F68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FERC-725K supporting statement</vt:lpstr>
    </vt:vector>
  </TitlesOfParts>
  <Company>FERC</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FERC-725K supporting statement</dc:title>
  <dc:subject/>
  <dc:creator>Michele Chambers</dc:creator>
  <cp:keywords/>
  <dc:description/>
  <cp:lastModifiedBy>SYSTEM</cp:lastModifiedBy>
  <cp:revision>2</cp:revision>
  <cp:lastPrinted>2019-03-19T18:19:00Z</cp:lastPrinted>
  <dcterms:created xsi:type="dcterms:W3CDTF">2019-03-19T20:21:00Z</dcterms:created>
  <dcterms:modified xsi:type="dcterms:W3CDTF">2019-03-19T20:21:00Z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