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B03BE" w:rsidR="00FC7C44" w:rsidP="00BB3539" w:rsidRDefault="00FC7C44" w14:paraId="4A6AE5DC" w14:textId="77777777">
      <w:pPr>
        <w:spacing w:after="0" w:line="240" w:lineRule="auto"/>
        <w:rPr>
          <w:rFonts w:cstheme="minorHAnsi"/>
          <w:sz w:val="24"/>
          <w:szCs w:val="24"/>
        </w:rPr>
      </w:pPr>
    </w:p>
    <w:p w:rsidRPr="009B03BE" w:rsidR="00F5337E" w:rsidP="00BB3539" w:rsidRDefault="00F5337E" w14:paraId="5C83B52B" w14:textId="77777777">
      <w:pPr>
        <w:spacing w:after="0" w:line="240" w:lineRule="auto"/>
        <w:jc w:val="center"/>
        <w:rPr>
          <w:rFonts w:cstheme="minorHAnsi"/>
          <w:sz w:val="24"/>
          <w:szCs w:val="24"/>
        </w:rPr>
      </w:pPr>
    </w:p>
    <w:p w:rsidRPr="009B03BE" w:rsidR="00F5337E" w:rsidP="00BB3539" w:rsidRDefault="00F5337E" w14:paraId="43CA2962" w14:textId="77777777">
      <w:pPr>
        <w:spacing w:after="0" w:line="240" w:lineRule="auto"/>
        <w:jc w:val="center"/>
        <w:rPr>
          <w:rFonts w:cstheme="minorHAnsi"/>
          <w:sz w:val="32"/>
          <w:szCs w:val="24"/>
        </w:rPr>
      </w:pPr>
    </w:p>
    <w:p w:rsidRPr="009B03BE" w:rsidR="00F5337E" w:rsidP="00BB3539" w:rsidRDefault="00F5337E" w14:paraId="3DA26A9F" w14:textId="77777777">
      <w:pPr>
        <w:spacing w:after="0" w:line="240" w:lineRule="auto"/>
        <w:jc w:val="center"/>
        <w:rPr>
          <w:rFonts w:cstheme="minorHAnsi"/>
          <w:sz w:val="32"/>
          <w:szCs w:val="24"/>
        </w:rPr>
      </w:pPr>
    </w:p>
    <w:p w:rsidR="009A0274" w:rsidP="00BB3539" w:rsidRDefault="00CC5470" w14:paraId="2FE6399F" w14:textId="1CFB2BEA">
      <w:pPr>
        <w:spacing w:after="0" w:line="240" w:lineRule="auto"/>
        <w:jc w:val="center"/>
        <w:rPr>
          <w:rFonts w:cstheme="minorHAnsi"/>
          <w:sz w:val="48"/>
          <w:szCs w:val="48"/>
        </w:rPr>
      </w:pPr>
      <w:bookmarkStart w:name="_Hlk8677738" w:id="0"/>
      <w:r w:rsidRPr="009B03BE">
        <w:rPr>
          <w:rFonts w:cstheme="minorHAnsi"/>
          <w:sz w:val="48"/>
          <w:szCs w:val="48"/>
        </w:rPr>
        <w:t>Data Protection Toolkit</w:t>
      </w:r>
      <w:r w:rsidR="005D7B42">
        <w:rPr>
          <w:rFonts w:cstheme="minorHAnsi"/>
          <w:sz w:val="48"/>
          <w:szCs w:val="48"/>
        </w:rPr>
        <w:t xml:space="preserve"> </w:t>
      </w:r>
      <w:r w:rsidR="00BC5D83">
        <w:rPr>
          <w:rFonts w:cstheme="minorHAnsi"/>
          <w:sz w:val="48"/>
          <w:szCs w:val="48"/>
        </w:rPr>
        <w:t xml:space="preserve">(DPT) </w:t>
      </w:r>
      <w:r w:rsidR="005D7B42">
        <w:rPr>
          <w:rFonts w:cstheme="minorHAnsi"/>
          <w:sz w:val="48"/>
          <w:szCs w:val="48"/>
        </w:rPr>
        <w:t>Resource Collection</w:t>
      </w:r>
    </w:p>
    <w:p w:rsidR="005D7B42" w:rsidP="00BB3539" w:rsidRDefault="005D7B42" w14:paraId="7074021D" w14:textId="77777777">
      <w:pPr>
        <w:spacing w:after="0" w:line="240" w:lineRule="auto"/>
        <w:jc w:val="center"/>
        <w:rPr>
          <w:rFonts w:cstheme="minorHAnsi"/>
          <w:sz w:val="48"/>
          <w:szCs w:val="48"/>
        </w:rPr>
      </w:pPr>
    </w:p>
    <w:p w:rsidRPr="009B03BE" w:rsidR="005D7B42" w:rsidP="005D7B42" w:rsidRDefault="005D7B42" w14:paraId="6E0C5140" w14:textId="77777777">
      <w:pPr>
        <w:spacing w:after="0" w:line="240" w:lineRule="auto"/>
        <w:rPr>
          <w:rFonts w:cstheme="minorHAnsi"/>
          <w:sz w:val="48"/>
          <w:szCs w:val="48"/>
        </w:rPr>
      </w:pPr>
    </w:p>
    <w:bookmarkEnd w:id="0"/>
    <w:p w:rsidRPr="009B03BE" w:rsidR="00F5337E" w:rsidP="00BB3539" w:rsidRDefault="00F5337E" w14:paraId="18F50823" w14:textId="77777777">
      <w:pPr>
        <w:pStyle w:val="C1-CtrBoldHd"/>
        <w:spacing w:after="0" w:line="240" w:lineRule="auto"/>
        <w:rPr>
          <w:rFonts w:asciiTheme="minorHAnsi" w:hAnsiTheme="minorHAnsi" w:cstheme="minorHAnsi"/>
          <w:sz w:val="32"/>
          <w:szCs w:val="24"/>
        </w:rPr>
      </w:pPr>
    </w:p>
    <w:p w:rsidRPr="009B03BE" w:rsidR="00F5337E" w:rsidP="00BB3539" w:rsidRDefault="00F5337E" w14:paraId="0B45DB65" w14:textId="77777777">
      <w:pPr>
        <w:pStyle w:val="C1-CtrBoldHd"/>
        <w:spacing w:after="0" w:line="240" w:lineRule="auto"/>
        <w:rPr>
          <w:rFonts w:asciiTheme="minorHAnsi" w:hAnsiTheme="minorHAnsi" w:cstheme="minorHAnsi"/>
          <w:sz w:val="32"/>
          <w:szCs w:val="24"/>
        </w:rPr>
      </w:pPr>
    </w:p>
    <w:p w:rsidRPr="009B03BE" w:rsidR="00F5337E" w:rsidP="00BB3539" w:rsidRDefault="00F5337E" w14:paraId="11FE5968" w14:textId="77777777">
      <w:pPr>
        <w:pStyle w:val="C1-CtrBoldHd"/>
        <w:spacing w:after="0" w:line="240" w:lineRule="auto"/>
        <w:rPr>
          <w:rFonts w:asciiTheme="minorHAnsi" w:hAnsiTheme="minorHAnsi" w:cstheme="minorHAnsi"/>
          <w:sz w:val="32"/>
          <w:szCs w:val="24"/>
        </w:rPr>
      </w:pPr>
    </w:p>
    <w:p w:rsidRPr="009B03BE" w:rsidR="00F5337E" w:rsidP="00BB3539" w:rsidRDefault="00F5337E" w14:paraId="65B8A898" w14:textId="380E6DD6">
      <w:pPr>
        <w:spacing w:after="0" w:line="240" w:lineRule="auto"/>
        <w:jc w:val="center"/>
        <w:rPr>
          <w:rFonts w:cstheme="minorHAnsi"/>
          <w:b/>
          <w:sz w:val="52"/>
          <w:szCs w:val="52"/>
        </w:rPr>
      </w:pPr>
      <w:r w:rsidRPr="009B03BE">
        <w:rPr>
          <w:rFonts w:cstheme="minorHAnsi"/>
          <w:b/>
          <w:sz w:val="52"/>
          <w:szCs w:val="52"/>
        </w:rPr>
        <w:t>Volume I</w:t>
      </w:r>
    </w:p>
    <w:p w:rsidRPr="009B03BE" w:rsidR="00527CA9" w:rsidP="00BB3539" w:rsidRDefault="00F97B98" w14:paraId="35BE197F" w14:textId="462767DD">
      <w:pPr>
        <w:spacing w:after="0" w:line="240" w:lineRule="auto"/>
        <w:jc w:val="center"/>
        <w:rPr>
          <w:rFonts w:cstheme="minorHAnsi"/>
          <w:b/>
          <w:sz w:val="52"/>
          <w:szCs w:val="52"/>
        </w:rPr>
      </w:pPr>
      <w:r w:rsidRPr="009B03BE">
        <w:rPr>
          <w:rFonts w:cstheme="minorHAnsi"/>
          <w:b/>
          <w:sz w:val="52"/>
          <w:szCs w:val="52"/>
        </w:rPr>
        <w:t>Supporting Statement</w:t>
      </w:r>
    </w:p>
    <w:p w:rsidRPr="009B03BE" w:rsidR="00DB40B9" w:rsidP="00BB3539" w:rsidRDefault="00DB40B9" w14:paraId="6B8C16A4" w14:textId="5B826DE0">
      <w:pPr>
        <w:spacing w:after="0" w:line="240" w:lineRule="auto"/>
        <w:jc w:val="center"/>
        <w:rPr>
          <w:rFonts w:cstheme="minorHAnsi"/>
          <w:b/>
          <w:sz w:val="32"/>
        </w:rPr>
      </w:pPr>
    </w:p>
    <w:p w:rsidR="00DB40B9" w:rsidP="005D7B42" w:rsidRDefault="00DB40B9" w14:paraId="7B1441EA" w14:textId="77777777">
      <w:pPr>
        <w:spacing w:after="0" w:line="240" w:lineRule="auto"/>
        <w:rPr>
          <w:rFonts w:cstheme="minorHAnsi"/>
          <w:b/>
          <w:sz w:val="32"/>
        </w:rPr>
      </w:pPr>
    </w:p>
    <w:p w:rsidR="005D7B42" w:rsidP="00BB3539" w:rsidRDefault="005D7B42" w14:paraId="6995FBFC" w14:textId="77777777">
      <w:pPr>
        <w:spacing w:after="0" w:line="240" w:lineRule="auto"/>
        <w:jc w:val="center"/>
        <w:rPr>
          <w:rFonts w:cstheme="minorHAnsi"/>
          <w:b/>
          <w:sz w:val="32"/>
        </w:rPr>
      </w:pPr>
    </w:p>
    <w:p w:rsidRPr="009B03BE" w:rsidR="005D7B42" w:rsidP="00BB3539" w:rsidRDefault="005D7B42" w14:paraId="39F0D694" w14:textId="77777777">
      <w:pPr>
        <w:spacing w:after="0" w:line="240" w:lineRule="auto"/>
        <w:jc w:val="center"/>
        <w:rPr>
          <w:rFonts w:cstheme="minorHAnsi"/>
          <w:b/>
          <w:sz w:val="32"/>
        </w:rPr>
      </w:pPr>
    </w:p>
    <w:p w:rsidRPr="009B03BE" w:rsidR="00DB40B9" w:rsidP="00BB3539" w:rsidRDefault="00DB40B9" w14:paraId="3348A720" w14:textId="77777777">
      <w:pPr>
        <w:spacing w:after="0" w:line="240" w:lineRule="auto"/>
        <w:jc w:val="center"/>
        <w:rPr>
          <w:rFonts w:cstheme="minorHAnsi"/>
          <w:b/>
          <w:sz w:val="32"/>
        </w:rPr>
      </w:pPr>
    </w:p>
    <w:p w:rsidRPr="009B03BE" w:rsidR="00F97B98" w:rsidP="00BB3539" w:rsidRDefault="00CB70DF" w14:paraId="246DAB42" w14:textId="5C7EC46D">
      <w:pPr>
        <w:spacing w:after="0" w:line="240" w:lineRule="auto"/>
        <w:jc w:val="center"/>
        <w:rPr>
          <w:rFonts w:cstheme="minorHAnsi"/>
          <w:b/>
          <w:sz w:val="52"/>
          <w:szCs w:val="52"/>
        </w:rPr>
      </w:pPr>
      <w:r w:rsidRPr="009B03BE">
        <w:rPr>
          <w:rFonts w:cstheme="minorHAnsi"/>
          <w:b/>
          <w:sz w:val="32"/>
        </w:rPr>
        <w:t>OMB #1850-0803 v.</w:t>
      </w:r>
      <w:r w:rsidR="007A045C">
        <w:rPr>
          <w:rFonts w:cstheme="minorHAnsi"/>
          <w:b/>
          <w:sz w:val="32"/>
        </w:rPr>
        <w:t>26</w:t>
      </w:r>
      <w:r w:rsidR="00BC5D83">
        <w:rPr>
          <w:rFonts w:cstheme="minorHAnsi"/>
          <w:b/>
          <w:sz w:val="32"/>
        </w:rPr>
        <w:t>1</w:t>
      </w:r>
    </w:p>
    <w:p w:rsidRPr="009B03BE" w:rsidR="00F5337E" w:rsidP="00BB3539" w:rsidRDefault="00F5337E" w14:paraId="5DF51EF2" w14:textId="77777777">
      <w:pPr>
        <w:spacing w:after="0" w:line="240" w:lineRule="auto"/>
        <w:jc w:val="center"/>
        <w:rPr>
          <w:rFonts w:cstheme="minorHAnsi"/>
          <w:b/>
          <w:sz w:val="52"/>
          <w:szCs w:val="52"/>
        </w:rPr>
      </w:pPr>
    </w:p>
    <w:p w:rsidRPr="009B03BE" w:rsidR="00F5337E" w:rsidP="005D7B42" w:rsidRDefault="00F5337E" w14:paraId="5AFF9593" w14:textId="77777777">
      <w:pPr>
        <w:spacing w:after="0" w:line="240" w:lineRule="auto"/>
        <w:rPr>
          <w:rFonts w:cstheme="minorHAnsi"/>
          <w:sz w:val="32"/>
          <w:szCs w:val="24"/>
        </w:rPr>
      </w:pPr>
    </w:p>
    <w:p w:rsidRPr="009B03BE" w:rsidR="00F5337E" w:rsidP="00BB3539" w:rsidRDefault="00F5337E" w14:paraId="1A1A1EF1" w14:textId="77777777">
      <w:pPr>
        <w:spacing w:after="0" w:line="240" w:lineRule="auto"/>
        <w:jc w:val="center"/>
        <w:rPr>
          <w:rFonts w:cstheme="minorHAnsi"/>
          <w:sz w:val="32"/>
          <w:szCs w:val="24"/>
        </w:rPr>
      </w:pPr>
    </w:p>
    <w:p w:rsidRPr="009B03BE" w:rsidR="00F5337E" w:rsidP="00BB3539" w:rsidRDefault="00F5337E" w14:paraId="7721C4A9" w14:textId="77777777">
      <w:pPr>
        <w:spacing w:after="0" w:line="240" w:lineRule="auto"/>
        <w:jc w:val="center"/>
        <w:rPr>
          <w:rFonts w:cstheme="minorHAnsi"/>
          <w:sz w:val="32"/>
          <w:szCs w:val="24"/>
        </w:rPr>
      </w:pPr>
    </w:p>
    <w:p w:rsidRPr="009B03BE" w:rsidR="00F5337E" w:rsidP="00BB3539" w:rsidRDefault="00F5337E" w14:paraId="5AB5B478" w14:textId="77777777">
      <w:pPr>
        <w:spacing w:after="0" w:line="240" w:lineRule="auto"/>
        <w:jc w:val="center"/>
        <w:rPr>
          <w:rFonts w:cstheme="minorHAnsi"/>
          <w:sz w:val="32"/>
          <w:szCs w:val="24"/>
        </w:rPr>
      </w:pPr>
    </w:p>
    <w:p w:rsidRPr="009B03BE" w:rsidR="00F5337E" w:rsidP="00BB3539" w:rsidRDefault="00F5337E" w14:paraId="07D94BA5" w14:textId="77777777">
      <w:pPr>
        <w:spacing w:after="0" w:line="240" w:lineRule="auto"/>
        <w:jc w:val="center"/>
        <w:rPr>
          <w:rFonts w:cstheme="minorHAnsi"/>
          <w:sz w:val="32"/>
          <w:szCs w:val="32"/>
        </w:rPr>
      </w:pPr>
      <w:r w:rsidRPr="009B03BE">
        <w:rPr>
          <w:rFonts w:cstheme="minorHAnsi"/>
          <w:sz w:val="32"/>
          <w:szCs w:val="32"/>
        </w:rPr>
        <w:t>Submitted by</w:t>
      </w:r>
    </w:p>
    <w:p w:rsidRPr="009B03BE" w:rsidR="00F5337E" w:rsidP="00BB3539" w:rsidRDefault="00F5337E" w14:paraId="3637A992" w14:textId="42BD0944">
      <w:pPr>
        <w:spacing w:after="0" w:line="240" w:lineRule="auto"/>
        <w:jc w:val="center"/>
        <w:rPr>
          <w:rFonts w:cstheme="minorHAnsi"/>
          <w:sz w:val="32"/>
          <w:szCs w:val="32"/>
        </w:rPr>
      </w:pPr>
      <w:r w:rsidRPr="009B03BE">
        <w:rPr>
          <w:rFonts w:cstheme="minorHAnsi"/>
          <w:sz w:val="32"/>
          <w:szCs w:val="32"/>
        </w:rPr>
        <w:t>National Center for Education Statistics</w:t>
      </w:r>
      <w:r w:rsidRPr="009B03BE" w:rsidR="004F65E1">
        <w:rPr>
          <w:rFonts w:cstheme="minorHAnsi"/>
          <w:sz w:val="32"/>
          <w:szCs w:val="32"/>
        </w:rPr>
        <w:t xml:space="preserve"> (NCES)</w:t>
      </w:r>
    </w:p>
    <w:p w:rsidRPr="009B03BE" w:rsidR="00F5337E" w:rsidP="00BB3539" w:rsidRDefault="00F5337E" w14:paraId="10711B76" w14:textId="77777777">
      <w:pPr>
        <w:spacing w:after="0" w:line="240" w:lineRule="auto"/>
        <w:jc w:val="center"/>
        <w:rPr>
          <w:rFonts w:cstheme="minorHAnsi"/>
          <w:sz w:val="32"/>
          <w:szCs w:val="32"/>
        </w:rPr>
      </w:pPr>
      <w:r w:rsidRPr="009B03BE">
        <w:rPr>
          <w:rFonts w:cstheme="minorHAnsi"/>
          <w:sz w:val="32"/>
          <w:szCs w:val="32"/>
        </w:rPr>
        <w:t>U.S. Department of Education</w:t>
      </w:r>
    </w:p>
    <w:p w:rsidRPr="009B03BE" w:rsidR="00F5337E" w:rsidP="00BB3539" w:rsidRDefault="00F5337E" w14:paraId="5E37340A" w14:textId="77777777">
      <w:pPr>
        <w:spacing w:after="0" w:line="240" w:lineRule="auto"/>
        <w:jc w:val="center"/>
        <w:rPr>
          <w:rFonts w:cstheme="minorHAnsi"/>
          <w:sz w:val="24"/>
          <w:szCs w:val="24"/>
        </w:rPr>
      </w:pPr>
    </w:p>
    <w:p w:rsidRPr="009B03BE" w:rsidR="00F5337E" w:rsidP="00BB3539" w:rsidRDefault="00F5337E" w14:paraId="06D449FD" w14:textId="77777777">
      <w:pPr>
        <w:spacing w:after="0" w:line="240" w:lineRule="auto"/>
        <w:jc w:val="center"/>
        <w:rPr>
          <w:rFonts w:cstheme="minorHAnsi"/>
          <w:sz w:val="24"/>
          <w:szCs w:val="24"/>
        </w:rPr>
      </w:pPr>
    </w:p>
    <w:p w:rsidRPr="009B03BE" w:rsidR="00F5337E" w:rsidP="00BB3539" w:rsidRDefault="00F5337E" w14:paraId="19272709" w14:textId="77777777">
      <w:pPr>
        <w:spacing w:after="0" w:line="240" w:lineRule="auto"/>
        <w:jc w:val="center"/>
        <w:rPr>
          <w:rFonts w:cstheme="minorHAnsi"/>
          <w:sz w:val="24"/>
          <w:szCs w:val="24"/>
        </w:rPr>
      </w:pPr>
    </w:p>
    <w:p w:rsidRPr="009B03BE" w:rsidR="00F5337E" w:rsidP="00BB3539" w:rsidRDefault="00F5337E" w14:paraId="0E11399F" w14:textId="77777777">
      <w:pPr>
        <w:spacing w:after="0" w:line="240" w:lineRule="auto"/>
        <w:jc w:val="center"/>
        <w:rPr>
          <w:rFonts w:cstheme="minorHAnsi"/>
          <w:sz w:val="24"/>
          <w:szCs w:val="24"/>
        </w:rPr>
      </w:pPr>
    </w:p>
    <w:p w:rsidRPr="009B03BE" w:rsidR="00F5337E" w:rsidP="00BB3539" w:rsidRDefault="00F5337E" w14:paraId="45DC48D3" w14:textId="77777777">
      <w:pPr>
        <w:spacing w:after="0" w:line="240" w:lineRule="auto"/>
        <w:jc w:val="center"/>
        <w:rPr>
          <w:rFonts w:cstheme="minorHAnsi"/>
          <w:sz w:val="24"/>
          <w:szCs w:val="24"/>
        </w:rPr>
      </w:pPr>
    </w:p>
    <w:p w:rsidRPr="009B03BE" w:rsidR="00F5337E" w:rsidP="00BB3539" w:rsidRDefault="008F001B" w14:paraId="2EE2AC1B" w14:textId="5BB29D1C">
      <w:pPr>
        <w:spacing w:after="0" w:line="240" w:lineRule="auto"/>
        <w:jc w:val="center"/>
        <w:rPr>
          <w:rFonts w:cstheme="minorHAnsi"/>
          <w:sz w:val="32"/>
          <w:szCs w:val="32"/>
        </w:rPr>
      </w:pPr>
      <w:r>
        <w:rPr>
          <w:rFonts w:cstheme="minorHAnsi"/>
          <w:sz w:val="32"/>
          <w:szCs w:val="32"/>
        </w:rPr>
        <w:t>February</w:t>
      </w:r>
      <w:r w:rsidRPr="009B03BE" w:rsidR="0018214A">
        <w:rPr>
          <w:rFonts w:cstheme="minorHAnsi"/>
          <w:sz w:val="32"/>
          <w:szCs w:val="32"/>
        </w:rPr>
        <w:t xml:space="preserve"> </w:t>
      </w:r>
      <w:r w:rsidRPr="009B03BE" w:rsidR="00F5337E">
        <w:rPr>
          <w:rFonts w:cstheme="minorHAnsi"/>
          <w:sz w:val="32"/>
          <w:szCs w:val="32"/>
        </w:rPr>
        <w:t>20</w:t>
      </w:r>
      <w:r w:rsidRPr="009B03BE" w:rsidR="00CC5470">
        <w:rPr>
          <w:rFonts w:cstheme="minorHAnsi"/>
          <w:sz w:val="32"/>
          <w:szCs w:val="32"/>
        </w:rPr>
        <w:t>20</w:t>
      </w:r>
    </w:p>
    <w:p w:rsidR="00BB3539" w:rsidRDefault="00BB3539" w14:paraId="308AE6A5" w14:textId="77777777">
      <w:pPr>
        <w:rPr>
          <w:rFonts w:ascii="Times New Roman" w:hAnsi="Times New Roman" w:eastAsia="Times New Roman" w:cs="Times New Roman"/>
          <w:sz w:val="24"/>
          <w:szCs w:val="24"/>
          <w:u w:val="single"/>
        </w:rPr>
      </w:pPr>
      <w:r>
        <w:rPr>
          <w:rFonts w:ascii="Times New Roman" w:hAnsi="Times New Roman"/>
          <w:u w:val="single"/>
        </w:rPr>
        <w:br w:type="page"/>
      </w:r>
    </w:p>
    <w:sdt>
      <w:sdtPr>
        <w:rPr>
          <w:rFonts w:asciiTheme="minorHAnsi" w:hAnsiTheme="minorHAnsi" w:eastAsiaTheme="minorEastAsia" w:cstheme="minorBidi"/>
          <w:b w:val="0"/>
          <w:bCs w:val="0"/>
          <w:color w:val="auto"/>
          <w:sz w:val="22"/>
          <w:szCs w:val="22"/>
        </w:rPr>
        <w:id w:val="-1532498366"/>
        <w:docPartObj>
          <w:docPartGallery w:val="Table of Contents"/>
          <w:docPartUnique/>
        </w:docPartObj>
      </w:sdtPr>
      <w:sdtEndPr>
        <w:rPr>
          <w:rFonts w:ascii="Times New Roman" w:hAnsi="Times New Roman" w:cs="Times New Roman"/>
          <w:noProof/>
        </w:rPr>
      </w:sdtEndPr>
      <w:sdtContent>
        <w:p w:rsidR="009307DF" w:rsidRDefault="009307DF" w14:paraId="67C51153" w14:textId="77777777">
          <w:pPr>
            <w:pStyle w:val="TOCHeading"/>
            <w:rPr>
              <w:rFonts w:asciiTheme="minorHAnsi" w:hAnsiTheme="minorHAnsi" w:eastAsiaTheme="minorEastAsia" w:cstheme="minorBidi"/>
              <w:b w:val="0"/>
              <w:bCs w:val="0"/>
              <w:color w:val="auto"/>
              <w:sz w:val="22"/>
              <w:szCs w:val="22"/>
            </w:rPr>
          </w:pPr>
        </w:p>
        <w:p w:rsidRPr="00D27535" w:rsidR="00BB3539" w:rsidRDefault="00BB3539" w14:paraId="0FDA831C" w14:textId="18A75DC5">
          <w:pPr>
            <w:pStyle w:val="TOCHeading"/>
            <w:rPr>
              <w:rFonts w:asciiTheme="minorHAnsi" w:hAnsiTheme="minorHAnsi" w:cstheme="minorHAnsi"/>
              <w:sz w:val="36"/>
              <w:szCs w:val="36"/>
            </w:rPr>
          </w:pPr>
          <w:r w:rsidRPr="00D27535">
            <w:rPr>
              <w:rFonts w:asciiTheme="minorHAnsi" w:hAnsiTheme="minorHAnsi" w:cstheme="minorHAnsi"/>
              <w:sz w:val="36"/>
              <w:szCs w:val="36"/>
            </w:rPr>
            <w:t>Contents</w:t>
          </w:r>
        </w:p>
        <w:p w:rsidR="00B115B3" w:rsidRDefault="00BB3539" w14:paraId="1A02B66F" w14:textId="069D63AE">
          <w:pPr>
            <w:pStyle w:val="TOC2"/>
            <w:tabs>
              <w:tab w:val="right" w:leader="dot" w:pos="10214"/>
            </w:tabs>
            <w:rPr>
              <w:b w:val="0"/>
              <w:noProof/>
            </w:rPr>
          </w:pPr>
          <w:r w:rsidRPr="009F2FAB">
            <w:rPr>
              <w:rFonts w:ascii="Times New Roman" w:hAnsi="Times New Roman" w:cs="Times New Roman"/>
              <w:b w:val="0"/>
              <w:bCs/>
              <w:noProof/>
            </w:rPr>
            <w:fldChar w:fldCharType="begin"/>
          </w:r>
          <w:r w:rsidRPr="005F1145">
            <w:rPr>
              <w:rFonts w:ascii="Times New Roman" w:hAnsi="Times New Roman" w:cs="Times New Roman"/>
              <w:b w:val="0"/>
              <w:bCs/>
              <w:noProof/>
            </w:rPr>
            <w:instrText xml:space="preserve"> TOC \o "1-3" \h \z \u </w:instrText>
          </w:r>
          <w:r w:rsidRPr="009F2FAB">
            <w:rPr>
              <w:rFonts w:ascii="Times New Roman" w:hAnsi="Times New Roman" w:cs="Times New Roman"/>
              <w:b w:val="0"/>
              <w:bCs/>
              <w:noProof/>
            </w:rPr>
            <w:fldChar w:fldCharType="separate"/>
          </w:r>
          <w:hyperlink w:history="1" w:anchor="_Toc26981013">
            <w:r w:rsidRPr="00950F57" w:rsidR="00B115B3">
              <w:rPr>
                <w:rStyle w:val="Hyperlink"/>
                <w:noProof/>
              </w:rPr>
              <w:t>Submittal-Related Information</w:t>
            </w:r>
            <w:r w:rsidR="00B115B3">
              <w:rPr>
                <w:noProof/>
                <w:webHidden/>
              </w:rPr>
              <w:tab/>
            </w:r>
            <w:r w:rsidR="00B115B3">
              <w:rPr>
                <w:noProof/>
                <w:webHidden/>
              </w:rPr>
              <w:fldChar w:fldCharType="begin"/>
            </w:r>
            <w:r w:rsidR="00B115B3">
              <w:rPr>
                <w:noProof/>
                <w:webHidden/>
              </w:rPr>
              <w:instrText xml:space="preserve"> PAGEREF _Toc26981013 \h </w:instrText>
            </w:r>
            <w:r w:rsidR="00B115B3">
              <w:rPr>
                <w:noProof/>
                <w:webHidden/>
              </w:rPr>
            </w:r>
            <w:r w:rsidR="00B115B3">
              <w:rPr>
                <w:noProof/>
                <w:webHidden/>
              </w:rPr>
              <w:fldChar w:fldCharType="separate"/>
            </w:r>
            <w:r w:rsidR="008F001B">
              <w:rPr>
                <w:noProof/>
                <w:webHidden/>
              </w:rPr>
              <w:t>1</w:t>
            </w:r>
            <w:r w:rsidR="00B115B3">
              <w:rPr>
                <w:noProof/>
                <w:webHidden/>
              </w:rPr>
              <w:fldChar w:fldCharType="end"/>
            </w:r>
          </w:hyperlink>
        </w:p>
        <w:p w:rsidR="00B115B3" w:rsidRDefault="00D466C7" w14:paraId="751D6D47" w14:textId="2AC36F93">
          <w:pPr>
            <w:pStyle w:val="TOC2"/>
            <w:tabs>
              <w:tab w:val="right" w:leader="dot" w:pos="10214"/>
            </w:tabs>
            <w:rPr>
              <w:b w:val="0"/>
              <w:noProof/>
            </w:rPr>
          </w:pPr>
          <w:hyperlink w:history="1" w:anchor="_Toc26981014">
            <w:r w:rsidRPr="00950F57" w:rsidR="00B115B3">
              <w:rPr>
                <w:rStyle w:val="Hyperlink"/>
                <w:noProof/>
              </w:rPr>
              <w:t>1. Background and Study Rationale</w:t>
            </w:r>
            <w:r w:rsidR="00B115B3">
              <w:rPr>
                <w:noProof/>
                <w:webHidden/>
              </w:rPr>
              <w:tab/>
            </w:r>
            <w:r w:rsidR="00B115B3">
              <w:rPr>
                <w:noProof/>
                <w:webHidden/>
              </w:rPr>
              <w:fldChar w:fldCharType="begin"/>
            </w:r>
            <w:r w:rsidR="00B115B3">
              <w:rPr>
                <w:noProof/>
                <w:webHidden/>
              </w:rPr>
              <w:instrText xml:space="preserve"> PAGEREF _Toc26981014 \h </w:instrText>
            </w:r>
            <w:r w:rsidR="00B115B3">
              <w:rPr>
                <w:noProof/>
                <w:webHidden/>
              </w:rPr>
            </w:r>
            <w:r w:rsidR="00B115B3">
              <w:rPr>
                <w:noProof/>
                <w:webHidden/>
              </w:rPr>
              <w:fldChar w:fldCharType="separate"/>
            </w:r>
            <w:r w:rsidR="008F001B">
              <w:rPr>
                <w:noProof/>
                <w:webHidden/>
              </w:rPr>
              <w:t>1</w:t>
            </w:r>
            <w:r w:rsidR="00B115B3">
              <w:rPr>
                <w:noProof/>
                <w:webHidden/>
              </w:rPr>
              <w:fldChar w:fldCharType="end"/>
            </w:r>
          </w:hyperlink>
        </w:p>
        <w:p w:rsidR="00B115B3" w:rsidRDefault="00D466C7" w14:paraId="04F63C66" w14:textId="6C65E7DC">
          <w:pPr>
            <w:pStyle w:val="TOC2"/>
            <w:tabs>
              <w:tab w:val="right" w:leader="dot" w:pos="10214"/>
            </w:tabs>
            <w:rPr>
              <w:b w:val="0"/>
              <w:noProof/>
            </w:rPr>
          </w:pPr>
          <w:hyperlink w:history="1" w:anchor="_Toc26981015">
            <w:r w:rsidRPr="00950F57" w:rsidR="00B115B3">
              <w:rPr>
                <w:rStyle w:val="Hyperlink"/>
                <w:noProof/>
              </w:rPr>
              <w:t>2. Study Design and Sample Characteristics</w:t>
            </w:r>
            <w:r w:rsidR="00B115B3">
              <w:rPr>
                <w:noProof/>
                <w:webHidden/>
              </w:rPr>
              <w:tab/>
            </w:r>
            <w:r w:rsidR="00B115B3">
              <w:rPr>
                <w:noProof/>
                <w:webHidden/>
              </w:rPr>
              <w:fldChar w:fldCharType="begin"/>
            </w:r>
            <w:r w:rsidR="00B115B3">
              <w:rPr>
                <w:noProof/>
                <w:webHidden/>
              </w:rPr>
              <w:instrText xml:space="preserve"> PAGEREF _Toc26981015 \h </w:instrText>
            </w:r>
            <w:r w:rsidR="00B115B3">
              <w:rPr>
                <w:noProof/>
                <w:webHidden/>
              </w:rPr>
            </w:r>
            <w:r w:rsidR="00B115B3">
              <w:rPr>
                <w:noProof/>
                <w:webHidden/>
              </w:rPr>
              <w:fldChar w:fldCharType="separate"/>
            </w:r>
            <w:r w:rsidR="008F001B">
              <w:rPr>
                <w:noProof/>
                <w:webHidden/>
              </w:rPr>
              <w:t>2</w:t>
            </w:r>
            <w:r w:rsidR="00B115B3">
              <w:rPr>
                <w:noProof/>
                <w:webHidden/>
              </w:rPr>
              <w:fldChar w:fldCharType="end"/>
            </w:r>
          </w:hyperlink>
        </w:p>
        <w:p w:rsidR="00B115B3" w:rsidRDefault="00D466C7" w14:paraId="7577D56A" w14:textId="141DFD84">
          <w:pPr>
            <w:pStyle w:val="TOC2"/>
            <w:tabs>
              <w:tab w:val="right" w:leader="dot" w:pos="10214"/>
            </w:tabs>
            <w:rPr>
              <w:b w:val="0"/>
              <w:noProof/>
            </w:rPr>
          </w:pPr>
          <w:hyperlink w:history="1" w:anchor="_Toc26981016">
            <w:r w:rsidRPr="00950F57" w:rsidR="00B115B3">
              <w:rPr>
                <w:rStyle w:val="Hyperlink"/>
                <w:noProof/>
              </w:rPr>
              <w:t>3. Data Collection</w:t>
            </w:r>
            <w:r w:rsidR="00B115B3">
              <w:rPr>
                <w:noProof/>
                <w:webHidden/>
              </w:rPr>
              <w:tab/>
            </w:r>
            <w:r w:rsidR="00B115B3">
              <w:rPr>
                <w:noProof/>
                <w:webHidden/>
              </w:rPr>
              <w:fldChar w:fldCharType="begin"/>
            </w:r>
            <w:r w:rsidR="00B115B3">
              <w:rPr>
                <w:noProof/>
                <w:webHidden/>
              </w:rPr>
              <w:instrText xml:space="preserve"> PAGEREF _Toc26981016 \h </w:instrText>
            </w:r>
            <w:r w:rsidR="00B115B3">
              <w:rPr>
                <w:noProof/>
                <w:webHidden/>
              </w:rPr>
            </w:r>
            <w:r w:rsidR="00B115B3">
              <w:rPr>
                <w:noProof/>
                <w:webHidden/>
              </w:rPr>
              <w:fldChar w:fldCharType="separate"/>
            </w:r>
            <w:r w:rsidR="008F001B">
              <w:rPr>
                <w:noProof/>
                <w:webHidden/>
              </w:rPr>
              <w:t>2</w:t>
            </w:r>
            <w:r w:rsidR="00B115B3">
              <w:rPr>
                <w:noProof/>
                <w:webHidden/>
              </w:rPr>
              <w:fldChar w:fldCharType="end"/>
            </w:r>
          </w:hyperlink>
        </w:p>
        <w:p w:rsidR="00B115B3" w:rsidRDefault="00D466C7" w14:paraId="114344D6" w14:textId="4EE28A90">
          <w:pPr>
            <w:pStyle w:val="TOC3"/>
            <w:tabs>
              <w:tab w:val="right" w:leader="dot" w:pos="10214"/>
            </w:tabs>
            <w:rPr>
              <w:noProof/>
            </w:rPr>
          </w:pPr>
          <w:hyperlink w:history="1" w:anchor="_Toc26981017">
            <w:r w:rsidRPr="00950F57" w:rsidR="00B115B3">
              <w:rPr>
                <w:rStyle w:val="Hyperlink"/>
                <w:noProof/>
              </w:rPr>
              <w:t>3.1 Recruitment</w:t>
            </w:r>
            <w:r w:rsidR="00B115B3">
              <w:rPr>
                <w:noProof/>
                <w:webHidden/>
              </w:rPr>
              <w:tab/>
            </w:r>
            <w:r w:rsidR="00B115B3">
              <w:rPr>
                <w:noProof/>
                <w:webHidden/>
              </w:rPr>
              <w:fldChar w:fldCharType="begin"/>
            </w:r>
            <w:r w:rsidR="00B115B3">
              <w:rPr>
                <w:noProof/>
                <w:webHidden/>
              </w:rPr>
              <w:instrText xml:space="preserve"> PAGEREF _Toc26981017 \h </w:instrText>
            </w:r>
            <w:r w:rsidR="00B115B3">
              <w:rPr>
                <w:noProof/>
                <w:webHidden/>
              </w:rPr>
            </w:r>
            <w:r w:rsidR="00B115B3">
              <w:rPr>
                <w:noProof/>
                <w:webHidden/>
              </w:rPr>
              <w:fldChar w:fldCharType="separate"/>
            </w:r>
            <w:r w:rsidR="008F001B">
              <w:rPr>
                <w:noProof/>
                <w:webHidden/>
              </w:rPr>
              <w:t>2</w:t>
            </w:r>
            <w:r w:rsidR="00B115B3">
              <w:rPr>
                <w:noProof/>
                <w:webHidden/>
              </w:rPr>
              <w:fldChar w:fldCharType="end"/>
            </w:r>
          </w:hyperlink>
        </w:p>
        <w:p w:rsidR="00B115B3" w:rsidRDefault="00D466C7" w14:paraId="5CB48CFF" w14:textId="5D12E5E7">
          <w:pPr>
            <w:pStyle w:val="TOC3"/>
            <w:tabs>
              <w:tab w:val="right" w:leader="dot" w:pos="10214"/>
            </w:tabs>
            <w:rPr>
              <w:noProof/>
            </w:rPr>
          </w:pPr>
          <w:hyperlink w:history="1" w:anchor="_Toc26981018">
            <w:r w:rsidRPr="00950F57" w:rsidR="00B115B3">
              <w:rPr>
                <w:rStyle w:val="Hyperlink"/>
                <w:noProof/>
              </w:rPr>
              <w:t>3.2 Information Collection Methods</w:t>
            </w:r>
            <w:r w:rsidR="00B115B3">
              <w:rPr>
                <w:noProof/>
                <w:webHidden/>
              </w:rPr>
              <w:tab/>
            </w:r>
            <w:r w:rsidR="00B115B3">
              <w:rPr>
                <w:noProof/>
                <w:webHidden/>
              </w:rPr>
              <w:fldChar w:fldCharType="begin"/>
            </w:r>
            <w:r w:rsidR="00B115B3">
              <w:rPr>
                <w:noProof/>
                <w:webHidden/>
              </w:rPr>
              <w:instrText xml:space="preserve"> PAGEREF _Toc26981018 \h </w:instrText>
            </w:r>
            <w:r w:rsidR="00B115B3">
              <w:rPr>
                <w:noProof/>
                <w:webHidden/>
              </w:rPr>
            </w:r>
            <w:r w:rsidR="00B115B3">
              <w:rPr>
                <w:noProof/>
                <w:webHidden/>
              </w:rPr>
              <w:fldChar w:fldCharType="separate"/>
            </w:r>
            <w:r w:rsidR="008F001B">
              <w:rPr>
                <w:noProof/>
                <w:webHidden/>
              </w:rPr>
              <w:t>3</w:t>
            </w:r>
            <w:r w:rsidR="00B115B3">
              <w:rPr>
                <w:noProof/>
                <w:webHidden/>
              </w:rPr>
              <w:fldChar w:fldCharType="end"/>
            </w:r>
          </w:hyperlink>
        </w:p>
        <w:p w:rsidR="00B115B3" w:rsidRDefault="00D466C7" w14:paraId="159208E0" w14:textId="61A9072E">
          <w:pPr>
            <w:pStyle w:val="TOC2"/>
            <w:tabs>
              <w:tab w:val="right" w:leader="dot" w:pos="10214"/>
            </w:tabs>
            <w:rPr>
              <w:b w:val="0"/>
              <w:noProof/>
            </w:rPr>
          </w:pPr>
          <w:hyperlink w:history="1" w:anchor="_Toc26981019">
            <w:r w:rsidRPr="00950F57" w:rsidR="00B115B3">
              <w:rPr>
                <w:rStyle w:val="Hyperlink"/>
                <w:noProof/>
              </w:rPr>
              <w:t>4. Consultation Outside the Agency</w:t>
            </w:r>
            <w:r w:rsidR="00B115B3">
              <w:rPr>
                <w:noProof/>
                <w:webHidden/>
              </w:rPr>
              <w:tab/>
            </w:r>
            <w:r w:rsidR="00B115B3">
              <w:rPr>
                <w:noProof/>
                <w:webHidden/>
              </w:rPr>
              <w:fldChar w:fldCharType="begin"/>
            </w:r>
            <w:r w:rsidR="00B115B3">
              <w:rPr>
                <w:noProof/>
                <w:webHidden/>
              </w:rPr>
              <w:instrText xml:space="preserve"> PAGEREF _Toc26981019 \h </w:instrText>
            </w:r>
            <w:r w:rsidR="00B115B3">
              <w:rPr>
                <w:noProof/>
                <w:webHidden/>
              </w:rPr>
            </w:r>
            <w:r w:rsidR="00B115B3">
              <w:rPr>
                <w:noProof/>
                <w:webHidden/>
              </w:rPr>
              <w:fldChar w:fldCharType="separate"/>
            </w:r>
            <w:r w:rsidR="008F001B">
              <w:rPr>
                <w:noProof/>
                <w:webHidden/>
              </w:rPr>
              <w:t>3</w:t>
            </w:r>
            <w:r w:rsidR="00B115B3">
              <w:rPr>
                <w:noProof/>
                <w:webHidden/>
              </w:rPr>
              <w:fldChar w:fldCharType="end"/>
            </w:r>
          </w:hyperlink>
        </w:p>
        <w:p w:rsidR="00B115B3" w:rsidRDefault="00D466C7" w14:paraId="1E6B44FB" w14:textId="03FD0877">
          <w:pPr>
            <w:pStyle w:val="TOC2"/>
            <w:tabs>
              <w:tab w:val="right" w:leader="dot" w:pos="10214"/>
            </w:tabs>
            <w:rPr>
              <w:b w:val="0"/>
              <w:noProof/>
            </w:rPr>
          </w:pPr>
          <w:hyperlink w:history="1" w:anchor="_Toc26981020">
            <w:r w:rsidRPr="00950F57" w:rsidR="00B115B3">
              <w:rPr>
                <w:rStyle w:val="Hyperlink"/>
                <w:noProof/>
              </w:rPr>
              <w:t>5. Assurance of Confidentiality</w:t>
            </w:r>
            <w:r w:rsidR="00B115B3">
              <w:rPr>
                <w:noProof/>
                <w:webHidden/>
              </w:rPr>
              <w:tab/>
            </w:r>
            <w:r w:rsidR="00B115B3">
              <w:rPr>
                <w:noProof/>
                <w:webHidden/>
              </w:rPr>
              <w:fldChar w:fldCharType="begin"/>
            </w:r>
            <w:r w:rsidR="00B115B3">
              <w:rPr>
                <w:noProof/>
                <w:webHidden/>
              </w:rPr>
              <w:instrText xml:space="preserve"> PAGEREF _Toc26981020 \h </w:instrText>
            </w:r>
            <w:r w:rsidR="00B115B3">
              <w:rPr>
                <w:noProof/>
                <w:webHidden/>
              </w:rPr>
            </w:r>
            <w:r w:rsidR="00B115B3">
              <w:rPr>
                <w:noProof/>
                <w:webHidden/>
              </w:rPr>
              <w:fldChar w:fldCharType="separate"/>
            </w:r>
            <w:r w:rsidR="008F001B">
              <w:rPr>
                <w:noProof/>
                <w:webHidden/>
              </w:rPr>
              <w:t>3</w:t>
            </w:r>
            <w:r w:rsidR="00B115B3">
              <w:rPr>
                <w:noProof/>
                <w:webHidden/>
              </w:rPr>
              <w:fldChar w:fldCharType="end"/>
            </w:r>
          </w:hyperlink>
        </w:p>
        <w:p w:rsidR="00B115B3" w:rsidRDefault="00D466C7" w14:paraId="14420F3A" w14:textId="3189F550">
          <w:pPr>
            <w:pStyle w:val="TOC2"/>
            <w:tabs>
              <w:tab w:val="right" w:leader="dot" w:pos="10214"/>
            </w:tabs>
            <w:rPr>
              <w:b w:val="0"/>
              <w:noProof/>
            </w:rPr>
          </w:pPr>
          <w:hyperlink w:history="1" w:anchor="_Toc26981021">
            <w:r w:rsidRPr="00950F57" w:rsidR="00B115B3">
              <w:rPr>
                <w:rStyle w:val="Hyperlink"/>
                <w:noProof/>
              </w:rPr>
              <w:t>6. Estimate of Costs for Recruiting and Paying Respondents</w:t>
            </w:r>
            <w:r w:rsidR="00B115B3">
              <w:rPr>
                <w:noProof/>
                <w:webHidden/>
              </w:rPr>
              <w:tab/>
            </w:r>
            <w:r w:rsidR="00B115B3">
              <w:rPr>
                <w:noProof/>
                <w:webHidden/>
              </w:rPr>
              <w:fldChar w:fldCharType="begin"/>
            </w:r>
            <w:r w:rsidR="00B115B3">
              <w:rPr>
                <w:noProof/>
                <w:webHidden/>
              </w:rPr>
              <w:instrText xml:space="preserve"> PAGEREF _Toc26981021 \h </w:instrText>
            </w:r>
            <w:r w:rsidR="00B115B3">
              <w:rPr>
                <w:noProof/>
                <w:webHidden/>
              </w:rPr>
            </w:r>
            <w:r w:rsidR="00B115B3">
              <w:rPr>
                <w:noProof/>
                <w:webHidden/>
              </w:rPr>
              <w:fldChar w:fldCharType="separate"/>
            </w:r>
            <w:r w:rsidR="008F001B">
              <w:rPr>
                <w:noProof/>
                <w:webHidden/>
              </w:rPr>
              <w:t>3</w:t>
            </w:r>
            <w:r w:rsidR="00B115B3">
              <w:rPr>
                <w:noProof/>
                <w:webHidden/>
              </w:rPr>
              <w:fldChar w:fldCharType="end"/>
            </w:r>
          </w:hyperlink>
        </w:p>
        <w:p w:rsidR="00B115B3" w:rsidRDefault="00D466C7" w14:paraId="454EE6D5" w14:textId="747DB5D6">
          <w:pPr>
            <w:pStyle w:val="TOC2"/>
            <w:tabs>
              <w:tab w:val="right" w:leader="dot" w:pos="10214"/>
            </w:tabs>
            <w:rPr>
              <w:b w:val="0"/>
              <w:noProof/>
            </w:rPr>
          </w:pPr>
          <w:hyperlink w:history="1" w:anchor="_Toc26981022">
            <w:r w:rsidRPr="00950F57" w:rsidR="00B115B3">
              <w:rPr>
                <w:rStyle w:val="Hyperlink"/>
                <w:noProof/>
              </w:rPr>
              <w:t>7. Estimate of Hourly Burden</w:t>
            </w:r>
            <w:r w:rsidR="00B115B3">
              <w:rPr>
                <w:noProof/>
                <w:webHidden/>
              </w:rPr>
              <w:tab/>
            </w:r>
            <w:r w:rsidR="00B115B3">
              <w:rPr>
                <w:noProof/>
                <w:webHidden/>
              </w:rPr>
              <w:fldChar w:fldCharType="begin"/>
            </w:r>
            <w:r w:rsidR="00B115B3">
              <w:rPr>
                <w:noProof/>
                <w:webHidden/>
              </w:rPr>
              <w:instrText xml:space="preserve"> PAGEREF _Toc26981022 \h </w:instrText>
            </w:r>
            <w:r w:rsidR="00B115B3">
              <w:rPr>
                <w:noProof/>
                <w:webHidden/>
              </w:rPr>
            </w:r>
            <w:r w:rsidR="00B115B3">
              <w:rPr>
                <w:noProof/>
                <w:webHidden/>
              </w:rPr>
              <w:fldChar w:fldCharType="separate"/>
            </w:r>
            <w:r w:rsidR="008F001B">
              <w:rPr>
                <w:noProof/>
                <w:webHidden/>
              </w:rPr>
              <w:t>3</w:t>
            </w:r>
            <w:r w:rsidR="00B115B3">
              <w:rPr>
                <w:noProof/>
                <w:webHidden/>
              </w:rPr>
              <w:fldChar w:fldCharType="end"/>
            </w:r>
          </w:hyperlink>
        </w:p>
        <w:p w:rsidR="00B115B3" w:rsidRDefault="00D466C7" w14:paraId="7EFA4D25" w14:textId="5886F98B">
          <w:pPr>
            <w:pStyle w:val="TOC2"/>
            <w:tabs>
              <w:tab w:val="right" w:leader="dot" w:pos="10214"/>
            </w:tabs>
            <w:rPr>
              <w:b w:val="0"/>
              <w:noProof/>
            </w:rPr>
          </w:pPr>
          <w:hyperlink w:history="1" w:anchor="_Toc26981023">
            <w:r w:rsidRPr="00950F57" w:rsidR="00B115B3">
              <w:rPr>
                <w:rStyle w:val="Hyperlink"/>
                <w:noProof/>
              </w:rPr>
              <w:t>8. Schedule</w:t>
            </w:r>
            <w:r w:rsidR="00B115B3">
              <w:rPr>
                <w:noProof/>
                <w:webHidden/>
              </w:rPr>
              <w:tab/>
            </w:r>
            <w:r w:rsidR="00B115B3">
              <w:rPr>
                <w:noProof/>
                <w:webHidden/>
              </w:rPr>
              <w:fldChar w:fldCharType="begin"/>
            </w:r>
            <w:r w:rsidR="00B115B3">
              <w:rPr>
                <w:noProof/>
                <w:webHidden/>
              </w:rPr>
              <w:instrText xml:space="preserve"> PAGEREF _Toc26981023 \h </w:instrText>
            </w:r>
            <w:r w:rsidR="00B115B3">
              <w:rPr>
                <w:noProof/>
                <w:webHidden/>
              </w:rPr>
            </w:r>
            <w:r w:rsidR="00B115B3">
              <w:rPr>
                <w:noProof/>
                <w:webHidden/>
              </w:rPr>
              <w:fldChar w:fldCharType="separate"/>
            </w:r>
            <w:r w:rsidR="008F001B">
              <w:rPr>
                <w:noProof/>
                <w:webHidden/>
              </w:rPr>
              <w:t>4</w:t>
            </w:r>
            <w:r w:rsidR="00B115B3">
              <w:rPr>
                <w:noProof/>
                <w:webHidden/>
              </w:rPr>
              <w:fldChar w:fldCharType="end"/>
            </w:r>
          </w:hyperlink>
        </w:p>
        <w:p w:rsidR="00B115B3" w:rsidRDefault="00D466C7" w14:paraId="636E877D" w14:textId="7FEAB6C5">
          <w:pPr>
            <w:pStyle w:val="TOC2"/>
            <w:tabs>
              <w:tab w:val="right" w:leader="dot" w:pos="10214"/>
            </w:tabs>
            <w:rPr>
              <w:b w:val="0"/>
              <w:noProof/>
            </w:rPr>
          </w:pPr>
          <w:hyperlink w:history="1" w:anchor="_Toc26981024">
            <w:r w:rsidRPr="00950F57" w:rsidR="00B115B3">
              <w:rPr>
                <w:rStyle w:val="Hyperlink"/>
                <w:noProof/>
              </w:rPr>
              <w:t>9. Cost to the Federal Government</w:t>
            </w:r>
            <w:r w:rsidR="00B115B3">
              <w:rPr>
                <w:noProof/>
                <w:webHidden/>
              </w:rPr>
              <w:tab/>
            </w:r>
            <w:r w:rsidR="00B115B3">
              <w:rPr>
                <w:noProof/>
                <w:webHidden/>
              </w:rPr>
              <w:fldChar w:fldCharType="begin"/>
            </w:r>
            <w:r w:rsidR="00B115B3">
              <w:rPr>
                <w:noProof/>
                <w:webHidden/>
              </w:rPr>
              <w:instrText xml:space="preserve"> PAGEREF _Toc26981024 \h </w:instrText>
            </w:r>
            <w:r w:rsidR="00B115B3">
              <w:rPr>
                <w:noProof/>
                <w:webHidden/>
              </w:rPr>
            </w:r>
            <w:r w:rsidR="00B115B3">
              <w:rPr>
                <w:noProof/>
                <w:webHidden/>
              </w:rPr>
              <w:fldChar w:fldCharType="separate"/>
            </w:r>
            <w:r w:rsidR="008F001B">
              <w:rPr>
                <w:noProof/>
                <w:webHidden/>
              </w:rPr>
              <w:t>4</w:t>
            </w:r>
            <w:r w:rsidR="00B115B3">
              <w:rPr>
                <w:noProof/>
                <w:webHidden/>
              </w:rPr>
              <w:fldChar w:fldCharType="end"/>
            </w:r>
          </w:hyperlink>
        </w:p>
        <w:p w:rsidRPr="00CD46B4" w:rsidR="00BB3539" w:rsidRDefault="00BB3539" w14:paraId="4CE48111" w14:textId="6F858DA4">
          <w:pPr>
            <w:rPr>
              <w:rFonts w:ascii="Times New Roman" w:hAnsi="Times New Roman" w:cs="Times New Roman"/>
            </w:rPr>
          </w:pPr>
          <w:r w:rsidRPr="009F2FAB">
            <w:rPr>
              <w:rFonts w:ascii="Times New Roman" w:hAnsi="Times New Roman" w:cs="Times New Roman"/>
              <w:bCs/>
              <w:noProof/>
            </w:rPr>
            <w:fldChar w:fldCharType="end"/>
          </w:r>
        </w:p>
      </w:sdtContent>
    </w:sdt>
    <w:p w:rsidRPr="00CD46B4" w:rsidR="00BB3539" w:rsidP="00BB3539" w:rsidRDefault="00BB3539" w14:paraId="4CAE1C47" w14:textId="77777777">
      <w:pPr>
        <w:pStyle w:val="BodyText1"/>
        <w:keepNext/>
        <w:tabs>
          <w:tab w:val="left" w:pos="1152"/>
        </w:tabs>
        <w:spacing w:before="0" w:after="0" w:line="240" w:lineRule="auto"/>
        <w:outlineLvl w:val="0"/>
        <w:rPr>
          <w:rFonts w:ascii="Times New Roman" w:hAnsi="Times New Roman"/>
          <w:u w:val="single"/>
        </w:rPr>
      </w:pPr>
    </w:p>
    <w:p w:rsidRPr="00D27535" w:rsidR="00F5337E" w:rsidP="00D27535" w:rsidRDefault="009F2FAB" w14:paraId="3A07C8C3" w14:textId="1DB91383">
      <w:pPr>
        <w:pStyle w:val="Style2"/>
        <w:spacing w:before="480" w:after="0"/>
        <w:rPr>
          <w:rFonts w:cs="Times New Roman" w:asciiTheme="minorHAnsi" w:hAnsiTheme="minorHAnsi"/>
          <w:color w:val="365F91" w:themeColor="accent1" w:themeShade="BF"/>
          <w:sz w:val="36"/>
          <w:szCs w:val="36"/>
        </w:rPr>
      </w:pPr>
      <w:r w:rsidRPr="00D27535">
        <w:rPr>
          <w:rFonts w:cs="Times New Roman" w:asciiTheme="minorHAnsi" w:hAnsiTheme="minorHAnsi"/>
          <w:color w:val="365F91" w:themeColor="accent1" w:themeShade="BF"/>
          <w:sz w:val="36"/>
          <w:szCs w:val="36"/>
        </w:rPr>
        <w:t>A</w:t>
      </w:r>
      <w:r w:rsidR="00A61D93">
        <w:rPr>
          <w:rFonts w:cs="Times New Roman" w:asciiTheme="minorHAnsi" w:hAnsiTheme="minorHAnsi"/>
          <w:color w:val="365F91" w:themeColor="accent1" w:themeShade="BF"/>
          <w:sz w:val="36"/>
          <w:szCs w:val="36"/>
        </w:rPr>
        <w:t>ttachments</w:t>
      </w:r>
    </w:p>
    <w:p w:rsidRPr="00D27535" w:rsidR="006E5871" w:rsidP="006E5871" w:rsidRDefault="006E5871" w14:paraId="37A045B9" w14:textId="0FCE9195">
      <w:pPr>
        <w:spacing w:after="0"/>
        <w:rPr>
          <w:rFonts w:cs="Times New Roman"/>
          <w:b/>
          <w:bCs/>
        </w:rPr>
      </w:pPr>
      <w:r w:rsidRPr="00D27535">
        <w:rPr>
          <w:rFonts w:cs="Times New Roman"/>
          <w:b/>
          <w:bCs/>
        </w:rPr>
        <w:t>A</w:t>
      </w:r>
      <w:r w:rsidR="00A61D93">
        <w:rPr>
          <w:rFonts w:cs="Times New Roman"/>
          <w:b/>
          <w:bCs/>
        </w:rPr>
        <w:t>ttachment</w:t>
      </w:r>
      <w:r w:rsidRPr="00D27535">
        <w:rPr>
          <w:rFonts w:cs="Times New Roman"/>
          <w:b/>
          <w:bCs/>
        </w:rPr>
        <w:t xml:space="preserve"> </w:t>
      </w:r>
      <w:r w:rsidRPr="00D27535" w:rsidR="00E3152A">
        <w:rPr>
          <w:rFonts w:cs="Times New Roman"/>
          <w:b/>
          <w:bCs/>
        </w:rPr>
        <w:t>1</w:t>
      </w:r>
      <w:r w:rsidRPr="00D27535">
        <w:rPr>
          <w:rFonts w:cs="Times New Roman"/>
          <w:b/>
          <w:bCs/>
        </w:rPr>
        <w:t xml:space="preserve">: </w:t>
      </w:r>
      <w:r w:rsidRPr="00D27535" w:rsidR="00E3152A">
        <w:rPr>
          <w:rFonts w:cs="Times New Roman"/>
          <w:b/>
          <w:bCs/>
        </w:rPr>
        <w:t>Communication</w:t>
      </w:r>
      <w:r w:rsidRPr="00D27535" w:rsidR="000F70E0">
        <w:rPr>
          <w:rFonts w:cs="Times New Roman"/>
          <w:b/>
          <w:bCs/>
        </w:rPr>
        <w:t xml:space="preserve"> Materials</w:t>
      </w:r>
    </w:p>
    <w:p w:rsidRPr="006B049A" w:rsidR="00CC4E25" w:rsidP="000F70E0" w:rsidRDefault="009F2FAB" w14:paraId="6C6CD15C" w14:textId="7106D124">
      <w:pPr>
        <w:spacing w:after="0"/>
        <w:rPr>
          <w:rFonts w:cs="Times New Roman"/>
        </w:rPr>
      </w:pPr>
      <w:r w:rsidRPr="00D27535">
        <w:rPr>
          <w:rFonts w:cs="Times New Roman"/>
          <w:b/>
          <w:bCs/>
        </w:rPr>
        <w:t>A</w:t>
      </w:r>
      <w:r w:rsidR="00A61D93">
        <w:rPr>
          <w:rFonts w:cs="Times New Roman"/>
          <w:b/>
          <w:bCs/>
        </w:rPr>
        <w:t>ttachment</w:t>
      </w:r>
      <w:r w:rsidRPr="00D27535" w:rsidR="00F5337E">
        <w:rPr>
          <w:rFonts w:cs="Times New Roman"/>
          <w:b/>
          <w:bCs/>
        </w:rPr>
        <w:t xml:space="preserve"> </w:t>
      </w:r>
      <w:r w:rsidRPr="00D27535" w:rsidR="00E3152A">
        <w:rPr>
          <w:rFonts w:cs="Times New Roman"/>
          <w:b/>
          <w:bCs/>
        </w:rPr>
        <w:t>2</w:t>
      </w:r>
      <w:r w:rsidRPr="00D27535" w:rsidR="00F5337E">
        <w:rPr>
          <w:rFonts w:cs="Times New Roman"/>
          <w:b/>
          <w:bCs/>
        </w:rPr>
        <w:t xml:space="preserve">: </w:t>
      </w:r>
      <w:r w:rsidR="008F001B">
        <w:rPr>
          <w:rFonts w:cs="Times New Roman"/>
          <w:b/>
          <w:bCs/>
        </w:rPr>
        <w:t>Instrument</w:t>
      </w:r>
    </w:p>
    <w:p w:rsidRPr="000D4192" w:rsidR="000D4192" w:rsidP="005A771D" w:rsidRDefault="000D4192" w14:paraId="704E15A0" w14:textId="77777777">
      <w:pPr>
        <w:spacing w:after="0"/>
        <w:sectPr w:rsidRPr="000D4192" w:rsidR="000D4192" w:rsidSect="00470586">
          <w:headerReference w:type="default" r:id="rId12"/>
          <w:footerReference w:type="default" r:id="rId13"/>
          <w:pgSz w:w="12240" w:h="15840" w:code="1"/>
          <w:pgMar w:top="1008" w:right="1008" w:bottom="720" w:left="1008" w:header="432" w:footer="432" w:gutter="0"/>
          <w:pgNumType w:start="1"/>
          <w:cols w:space="720"/>
          <w:docGrid w:linePitch="360"/>
        </w:sectPr>
      </w:pPr>
      <w:bookmarkStart w:name="_Toc260729186" w:id="1"/>
      <w:bookmarkStart w:name="_Toc299121361" w:id="2"/>
    </w:p>
    <w:p w:rsidR="00527CA9" w:rsidP="00682B39" w:rsidRDefault="006F2454" w14:paraId="5F48F001" w14:textId="74A25987">
      <w:pPr>
        <w:pStyle w:val="Heading2"/>
        <w:rPr>
          <w:rFonts w:ascii="Times New Roman" w:hAnsi="Times New Roman" w:eastAsia="Times New Roman" w:cs="Times New Roman"/>
          <w:color w:val="000000" w:themeColor="text1"/>
          <w:sz w:val="24"/>
          <w:szCs w:val="24"/>
        </w:rPr>
      </w:pPr>
      <w:bookmarkStart w:name="_Toc26981013" w:id="3"/>
      <w:bookmarkEnd w:id="1"/>
      <w:bookmarkEnd w:id="2"/>
      <w:r w:rsidRPr="00E85A5E">
        <w:lastRenderedPageBreak/>
        <w:t>Submittal</w:t>
      </w:r>
      <w:r w:rsidR="0089150C">
        <w:t>-Related</w:t>
      </w:r>
      <w:r w:rsidRPr="00E85A5E">
        <w:t xml:space="preserve"> </w:t>
      </w:r>
      <w:r w:rsidR="00E85A5E">
        <w:t>Information</w:t>
      </w:r>
      <w:bookmarkEnd w:id="3"/>
    </w:p>
    <w:p w:rsidRPr="006B40B3" w:rsidR="00327E7A" w:rsidP="00BB3539" w:rsidRDefault="00E85A5E" w14:paraId="3C85E975" w14:textId="58E4DEEC">
      <w:pPr>
        <w:spacing w:after="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The</w:t>
      </w:r>
      <w:r w:rsidRPr="006B40B3" w:rsidR="008C2DE8">
        <w:rPr>
          <w:rFonts w:ascii="Calibri" w:hAnsi="Calibri" w:eastAsia="Times New Roman" w:cs="Times New Roman"/>
          <w:color w:val="000000" w:themeColor="text1"/>
        </w:rPr>
        <w:t xml:space="preserve"> following material is being submitted under the National Center for Education Statistics (NCES) generic clearance agreement (OMB# 1850-0803), which provides NCES the capability to improve data collection instruments by conducting testing</w:t>
      </w:r>
      <w:r w:rsidR="006558C6">
        <w:rPr>
          <w:rFonts w:ascii="Calibri" w:hAnsi="Calibri" w:eastAsia="Times New Roman" w:cs="Times New Roman"/>
          <w:color w:val="000000" w:themeColor="text1"/>
        </w:rPr>
        <w:t>—</w:t>
      </w:r>
      <w:r w:rsidRPr="006B40B3" w:rsidR="008C2DE8">
        <w:rPr>
          <w:rFonts w:ascii="Calibri" w:hAnsi="Calibri" w:eastAsia="Times New Roman" w:cs="Times New Roman"/>
          <w:color w:val="000000" w:themeColor="text1"/>
        </w:rPr>
        <w:t>such as usability tests, focus groups, and cognitive interviews</w:t>
      </w:r>
      <w:r w:rsidR="00E029B7">
        <w:rPr>
          <w:rFonts w:ascii="Calibri" w:hAnsi="Calibri" w:eastAsia="Times New Roman" w:cs="Times New Roman"/>
          <w:color w:val="000000" w:themeColor="text1"/>
        </w:rPr>
        <w:t>—</w:t>
      </w:r>
      <w:r w:rsidRPr="006B40B3" w:rsidR="008C2DE8">
        <w:rPr>
          <w:rFonts w:ascii="Calibri" w:hAnsi="Calibri" w:eastAsia="Times New Roman" w:cs="Times New Roman"/>
          <w:color w:val="000000" w:themeColor="text1"/>
        </w:rPr>
        <w:t>to improve methodologies, survey questions, and/or delivery methods.</w:t>
      </w:r>
    </w:p>
    <w:p w:rsidRPr="00E85A5E" w:rsidR="00BB3539" w:rsidP="006F2454" w:rsidRDefault="004F5865" w14:paraId="7D2D0090" w14:textId="4F2DB73C">
      <w:pPr>
        <w:pStyle w:val="Heading2"/>
        <w:spacing w:line="274" w:lineRule="auto"/>
      </w:pPr>
      <w:bookmarkStart w:name="_Toc26981014" w:id="4"/>
      <w:r>
        <w:t xml:space="preserve">1. </w:t>
      </w:r>
      <w:r w:rsidRPr="006F2454" w:rsidR="006F2454">
        <w:t xml:space="preserve">Background and </w:t>
      </w:r>
      <w:r w:rsidRPr="00E85A5E" w:rsidR="006F2454">
        <w:t>Study Rationale</w:t>
      </w:r>
      <w:bookmarkEnd w:id="4"/>
    </w:p>
    <w:p w:rsidRPr="00590876" w:rsidR="00661B7C" w:rsidP="00661B7C" w:rsidRDefault="00661B7C" w14:paraId="72D6A318" w14:textId="2395E175">
      <w:pPr>
        <w:spacing w:after="0" w:line="240" w:lineRule="auto"/>
        <w:rPr>
          <w:rFonts w:eastAsia="Times New Roman" w:cstheme="minorHAnsi"/>
          <w:color w:val="000000" w:themeColor="text1"/>
        </w:rPr>
      </w:pPr>
      <w:r>
        <w:rPr>
          <w:rFonts w:eastAsia="Times New Roman" w:cstheme="minorHAnsi"/>
          <w:color w:val="000000" w:themeColor="text1"/>
        </w:rPr>
        <w:t>The</w:t>
      </w:r>
      <w:r w:rsidRPr="00590876">
        <w:rPr>
          <w:rFonts w:eastAsia="Times New Roman" w:cstheme="minorHAnsi"/>
          <w:color w:val="000000" w:themeColor="text1"/>
        </w:rPr>
        <w:t xml:space="preserve"> Foundations for Evidence-Based Policymaking Act of 2018 (</w:t>
      </w:r>
      <w:r>
        <w:rPr>
          <w:rFonts w:eastAsia="Times New Roman" w:cstheme="minorHAnsi"/>
          <w:color w:val="000000" w:themeColor="text1"/>
        </w:rPr>
        <w:t>Public Law No: 115-435)</w:t>
      </w:r>
      <w:r w:rsidRPr="00590876">
        <w:rPr>
          <w:rFonts w:eastAsia="Times New Roman" w:cstheme="minorHAnsi"/>
          <w:color w:val="000000" w:themeColor="text1"/>
        </w:rPr>
        <w:t xml:space="preserve"> requires each</w:t>
      </w:r>
      <w:r w:rsidR="00BA2358">
        <w:rPr>
          <w:rFonts w:eastAsia="Times New Roman" w:cstheme="minorHAnsi"/>
          <w:color w:val="000000" w:themeColor="text1"/>
        </w:rPr>
        <w:t xml:space="preserve"> government</w:t>
      </w:r>
      <w:r w:rsidRPr="00590876">
        <w:rPr>
          <w:rFonts w:eastAsia="Times New Roman" w:cstheme="minorHAnsi"/>
          <w:color w:val="000000" w:themeColor="text1"/>
        </w:rPr>
        <w:t xml:space="preserve"> agency to develop an inventory that includes basic technical information to facilitate an improved understanding of available information resources and how to access them</w:t>
      </w:r>
      <w:r>
        <w:rPr>
          <w:rFonts w:eastAsia="Times New Roman" w:cstheme="minorHAnsi"/>
          <w:color w:val="000000" w:themeColor="text1"/>
        </w:rPr>
        <w:t xml:space="preserve">. </w:t>
      </w:r>
      <w:r w:rsidRPr="00590876">
        <w:rPr>
          <w:rFonts w:eastAsia="Times New Roman" w:cstheme="minorHAnsi"/>
          <w:color w:val="000000" w:themeColor="text1"/>
        </w:rPr>
        <w:t>Furthermore, the President’s Management Agenda (PMA) 2018-2021 includes data as one of the three key drivers for modernizing the Federal Government. Recognizing the critical importance of data to the U.S. economy, one of the PMA Cross-Agency Priority (CAP) Goals involves leveraging data as a strategic asset</w:t>
      </w:r>
      <w:r>
        <w:rPr>
          <w:rFonts w:eastAsia="Times New Roman" w:cstheme="minorHAnsi"/>
          <w:color w:val="000000" w:themeColor="text1"/>
        </w:rPr>
        <w:t xml:space="preserve">. </w:t>
      </w:r>
      <w:r w:rsidRPr="002B7C7B">
        <w:rPr>
          <w:rFonts w:eastAsia="Times New Roman" w:cstheme="minorHAnsi"/>
          <w:color w:val="000000" w:themeColor="text1"/>
        </w:rPr>
        <w:t>Development of the Data Protection Tool</w:t>
      </w:r>
      <w:r>
        <w:rPr>
          <w:rFonts w:eastAsia="Times New Roman" w:cstheme="minorHAnsi"/>
          <w:color w:val="000000" w:themeColor="text1"/>
        </w:rPr>
        <w:t>k</w:t>
      </w:r>
      <w:r w:rsidRPr="002B7C7B">
        <w:rPr>
          <w:rFonts w:eastAsia="Times New Roman" w:cstheme="minorHAnsi"/>
          <w:color w:val="000000" w:themeColor="text1"/>
        </w:rPr>
        <w:t xml:space="preserve">it is part of a U.S. Department of Education ESSIN Task Order </w:t>
      </w:r>
      <w:r w:rsidRPr="00180062">
        <w:rPr>
          <w:rFonts w:eastAsia="Times New Roman" w:cstheme="minorHAnsi"/>
          <w:color w:val="000000" w:themeColor="text1"/>
        </w:rPr>
        <w:t>36 to develop an automated tool that leverages agency Information Collection Review (ICR) processes and documentation under the Paperwork Reduction Act</w:t>
      </w:r>
      <w:r w:rsidRPr="00590876">
        <w:rPr>
          <w:rFonts w:eastAsia="Times New Roman" w:cstheme="minorHAnsi"/>
          <w:color w:val="000000" w:themeColor="text1"/>
        </w:rPr>
        <w:t xml:space="preserve"> (PRA) to populate metadata, or information about each dataset, on agency data inventories based on the tenets of a 2013 Executive Order and related Office of Management and Budget (OMB) guidance on m</w:t>
      </w:r>
      <w:r>
        <w:rPr>
          <w:rFonts w:eastAsia="Times New Roman" w:cstheme="minorHAnsi"/>
          <w:color w:val="000000" w:themeColor="text1"/>
        </w:rPr>
        <w:t xml:space="preserve">anaging Information as an asset. </w:t>
      </w:r>
      <w:r w:rsidRPr="00590876">
        <w:rPr>
          <w:rFonts w:eastAsia="Times New Roman" w:cstheme="minorHAnsi"/>
          <w:color w:val="000000" w:themeColor="text1"/>
        </w:rPr>
        <w:t xml:space="preserve">The work conducted as a result of the award will be performed for </w:t>
      </w:r>
      <w:r>
        <w:rPr>
          <w:rFonts w:eastAsia="Times New Roman" w:cstheme="minorHAnsi"/>
          <w:color w:val="000000" w:themeColor="text1"/>
        </w:rPr>
        <w:t>NCES</w:t>
      </w:r>
      <w:r w:rsidRPr="00180062">
        <w:rPr>
          <w:rFonts w:eastAsia="Times New Roman" w:cstheme="minorHAnsi"/>
          <w:color w:val="000000" w:themeColor="text1"/>
        </w:rPr>
        <w:t xml:space="preserve"> within the Institute of Education Sciences.</w:t>
      </w:r>
    </w:p>
    <w:p w:rsidR="003B25F1" w:rsidP="00180062" w:rsidRDefault="003B25F1" w14:paraId="06D1AD2A" w14:textId="77777777">
      <w:pPr>
        <w:spacing w:after="0" w:line="240" w:lineRule="auto"/>
        <w:rPr>
          <w:rFonts w:eastAsia="Times New Roman" w:cstheme="minorHAnsi"/>
          <w:color w:val="000000" w:themeColor="text1"/>
        </w:rPr>
      </w:pPr>
    </w:p>
    <w:p w:rsidRPr="00590876" w:rsidR="006A1497" w:rsidP="006A1497" w:rsidRDefault="006A1497" w14:paraId="7C8E2B0E" w14:textId="77777777">
      <w:pPr>
        <w:pStyle w:val="SanaBodyText"/>
        <w:spacing w:line="240" w:lineRule="auto"/>
        <w:ind w:firstLine="0"/>
        <w:rPr>
          <w:rFonts w:asciiTheme="minorHAnsi" w:hAnsiTheme="minorHAnsi" w:cstheme="minorHAnsi"/>
          <w:sz w:val="22"/>
          <w:szCs w:val="22"/>
        </w:rPr>
      </w:pPr>
      <w:r w:rsidRPr="00590876">
        <w:rPr>
          <w:rFonts w:asciiTheme="minorHAnsi" w:hAnsiTheme="minorHAnsi" w:cstheme="minorHAnsi"/>
          <w:sz w:val="22"/>
          <w:szCs w:val="22"/>
        </w:rPr>
        <w:t xml:space="preserve">Today, each agency that releases de-identified confidential data </w:t>
      </w:r>
      <w:r w:rsidRPr="00D55C16">
        <w:rPr>
          <w:rFonts w:asciiTheme="minorHAnsi" w:hAnsiTheme="minorHAnsi" w:cstheme="minorHAnsi"/>
          <w:sz w:val="22"/>
          <w:szCs w:val="22"/>
        </w:rPr>
        <w:t>must</w:t>
      </w:r>
      <w:r w:rsidRPr="00590876">
        <w:rPr>
          <w:rFonts w:asciiTheme="minorHAnsi" w:hAnsiTheme="minorHAnsi" w:cstheme="minorHAnsi"/>
          <w:sz w:val="22"/>
          <w:szCs w:val="22"/>
        </w:rPr>
        <w:t xml:space="preserve"> decide for itself how it will assess the risk of re-identification and the resulting potential for harm to individuals from misuse of individual information. Privacy experts are increasingly concerned about the “mosaic effect,” that is, the increased risk of re-identification due to the proliferation of electronic databases with records of individuals and enterprises and increases in computational power. The Commission on Evidence-Based Policymaking found that almost half of agencies releasing confidential data do not have a formal or documented method for measuring or mitigating the risk of re-identification. Even best-practice statistical agencies are struggling to keep pace given the growing risk due to the growing amount of information about individual people and businesses available publicly.</w:t>
      </w:r>
    </w:p>
    <w:p w:rsidRPr="00590876" w:rsidR="006A1497" w:rsidP="006A1497" w:rsidRDefault="006A1497" w14:paraId="7516A28E" w14:textId="77777777">
      <w:pPr>
        <w:pStyle w:val="SanaBodyText"/>
        <w:spacing w:line="240" w:lineRule="auto"/>
        <w:ind w:firstLine="0"/>
        <w:rPr>
          <w:rFonts w:asciiTheme="minorHAnsi" w:hAnsiTheme="minorHAnsi" w:cstheme="minorHAnsi"/>
          <w:sz w:val="22"/>
          <w:szCs w:val="22"/>
        </w:rPr>
      </w:pPr>
    </w:p>
    <w:p w:rsidRPr="00590876" w:rsidR="006A1497" w:rsidP="006A1497" w:rsidRDefault="006A1497" w14:paraId="00672623" w14:textId="77777777">
      <w:pPr>
        <w:pStyle w:val="SanaBodyText"/>
        <w:spacing w:line="240" w:lineRule="auto"/>
        <w:ind w:firstLine="0"/>
        <w:rPr>
          <w:rFonts w:asciiTheme="minorHAnsi" w:hAnsiTheme="minorHAnsi" w:cstheme="minorHAnsi"/>
          <w:sz w:val="22"/>
          <w:szCs w:val="22"/>
        </w:rPr>
      </w:pPr>
      <w:r w:rsidRPr="00590876">
        <w:rPr>
          <w:rFonts w:asciiTheme="minorHAnsi" w:hAnsiTheme="minorHAnsi" w:cstheme="minorHAnsi"/>
          <w:sz w:val="22"/>
          <w:szCs w:val="22"/>
        </w:rPr>
        <w:t>This task will build upon the work conducted to date by NCES by supporting the next phases of work associated with the development of a re-identification risk assessment toolkit for federal agencies that will include templates based on best practices for assessing, managing, and mitigating the risk that the identify of individuals or enterprises are re-identified from the release of confidential federal data.</w:t>
      </w:r>
    </w:p>
    <w:p w:rsidRPr="00590876" w:rsidR="006A1497" w:rsidP="006A1497" w:rsidRDefault="006A1497" w14:paraId="102ECCA2" w14:textId="77777777">
      <w:pPr>
        <w:pStyle w:val="SanaBodyText"/>
        <w:spacing w:line="240" w:lineRule="auto"/>
        <w:ind w:firstLine="0"/>
        <w:rPr>
          <w:rFonts w:asciiTheme="minorHAnsi" w:hAnsiTheme="minorHAnsi" w:cstheme="minorHAnsi"/>
          <w:sz w:val="22"/>
          <w:szCs w:val="22"/>
        </w:rPr>
      </w:pPr>
    </w:p>
    <w:p w:rsidRPr="00590876" w:rsidR="006A1497" w:rsidP="006A1497" w:rsidRDefault="006A1497" w14:paraId="6E6D1401" w14:textId="77777777">
      <w:pPr>
        <w:pStyle w:val="SanaBodyText"/>
        <w:spacing w:line="240" w:lineRule="auto"/>
        <w:ind w:firstLine="0"/>
        <w:rPr>
          <w:rFonts w:asciiTheme="minorHAnsi" w:hAnsiTheme="minorHAnsi" w:cstheme="minorHAnsi"/>
          <w:sz w:val="22"/>
          <w:szCs w:val="22"/>
        </w:rPr>
      </w:pPr>
      <w:r w:rsidRPr="00590876">
        <w:rPr>
          <w:rFonts w:asciiTheme="minorHAnsi" w:hAnsiTheme="minorHAnsi" w:cstheme="minorHAnsi"/>
          <w:sz w:val="22"/>
          <w:szCs w:val="22"/>
        </w:rPr>
        <w:t>The development of the toolkit will include additional discovery and synthesis of current federal best practices, developing the risk assessment framework and template(s), and developing and beginning to implement a dissemination and training strategy to help federal agencies adopt best practices—including developing a useful and user-friendly website with resources supporting risk assessment.</w:t>
      </w:r>
    </w:p>
    <w:p w:rsidRPr="00590876" w:rsidR="006A1497" w:rsidP="006A1497" w:rsidRDefault="006A1497" w14:paraId="69A55890" w14:textId="77777777">
      <w:pPr>
        <w:pStyle w:val="SanaBodyText"/>
        <w:spacing w:line="240" w:lineRule="auto"/>
        <w:ind w:firstLine="0"/>
        <w:rPr>
          <w:rFonts w:asciiTheme="minorHAnsi" w:hAnsiTheme="minorHAnsi" w:cstheme="minorHAnsi"/>
          <w:sz w:val="22"/>
          <w:szCs w:val="22"/>
        </w:rPr>
      </w:pPr>
    </w:p>
    <w:p w:rsidRPr="00590876" w:rsidR="006A1497" w:rsidP="006A1497" w:rsidRDefault="006A1497" w14:paraId="07437571" w14:textId="77777777">
      <w:pPr>
        <w:spacing w:after="0" w:line="240" w:lineRule="auto"/>
        <w:rPr>
          <w:rFonts w:cstheme="minorHAnsi"/>
        </w:rPr>
      </w:pPr>
      <w:r w:rsidRPr="00590876">
        <w:rPr>
          <w:rFonts w:cstheme="minorHAnsi"/>
        </w:rPr>
        <w:t>Anticipated activities that will occur within each of these tasks include but are not limited to:</w:t>
      </w:r>
    </w:p>
    <w:p w:rsidRPr="00590876" w:rsidR="006A1497" w:rsidP="006A1497" w:rsidRDefault="006A1497" w14:paraId="41FD1D75" w14:textId="77777777">
      <w:pPr>
        <w:pStyle w:val="ListParagraph"/>
        <w:numPr>
          <w:ilvl w:val="0"/>
          <w:numId w:val="46"/>
        </w:numPr>
        <w:spacing w:after="0" w:line="240" w:lineRule="auto"/>
        <w:contextualSpacing w:val="0"/>
        <w:rPr>
          <w:rFonts w:cstheme="minorHAnsi"/>
        </w:rPr>
      </w:pPr>
      <w:r w:rsidRPr="00590876">
        <w:rPr>
          <w:rFonts w:cstheme="minorHAnsi"/>
        </w:rPr>
        <w:t>Conducting research on risk assessment best practices including current methods of risk assessment, management, and mitigation</w:t>
      </w:r>
    </w:p>
    <w:p w:rsidRPr="00590876" w:rsidR="006A1497" w:rsidP="006A1497" w:rsidRDefault="006A1497" w14:paraId="265FEE31" w14:textId="77777777">
      <w:pPr>
        <w:pStyle w:val="ListParagraph"/>
        <w:numPr>
          <w:ilvl w:val="0"/>
          <w:numId w:val="46"/>
        </w:numPr>
        <w:spacing w:after="0" w:line="240" w:lineRule="auto"/>
        <w:contextualSpacing w:val="0"/>
        <w:rPr>
          <w:rFonts w:cstheme="minorHAnsi"/>
        </w:rPr>
      </w:pPr>
      <w:r w:rsidRPr="00590876">
        <w:rPr>
          <w:rFonts w:cstheme="minorHAnsi"/>
        </w:rPr>
        <w:t>Identifying alternative methods to support increased data sharing and user access</w:t>
      </w:r>
    </w:p>
    <w:p w:rsidRPr="0011578A" w:rsidR="006A1497" w:rsidP="006A1497" w:rsidRDefault="006A1497" w14:paraId="49419BBA" w14:textId="77777777">
      <w:pPr>
        <w:pStyle w:val="ListParagraph"/>
        <w:numPr>
          <w:ilvl w:val="0"/>
          <w:numId w:val="46"/>
        </w:numPr>
        <w:spacing w:after="0" w:line="240" w:lineRule="auto"/>
        <w:contextualSpacing w:val="0"/>
        <w:rPr>
          <w:rFonts w:cstheme="minorHAnsi"/>
        </w:rPr>
      </w:pPr>
      <w:r w:rsidRPr="00590876">
        <w:rPr>
          <w:rFonts w:cstheme="minorHAnsi"/>
        </w:rPr>
        <w:t>Facilitating the discovery of current federal best practices by working with a variety of stakeholders</w:t>
      </w:r>
    </w:p>
    <w:p w:rsidRPr="00590876" w:rsidR="006A1497" w:rsidP="006A1497" w:rsidRDefault="006A1497" w14:paraId="750004CF" w14:textId="77777777">
      <w:pPr>
        <w:pStyle w:val="ListParagraph"/>
        <w:numPr>
          <w:ilvl w:val="0"/>
          <w:numId w:val="46"/>
        </w:numPr>
        <w:spacing w:after="0" w:line="240" w:lineRule="auto"/>
        <w:contextualSpacing w:val="0"/>
        <w:rPr>
          <w:rFonts w:cstheme="minorHAnsi"/>
        </w:rPr>
      </w:pPr>
      <w:r w:rsidRPr="00590876">
        <w:rPr>
          <w:rFonts w:cstheme="minorHAnsi"/>
        </w:rPr>
        <w:t>Synthesizing findings and summarizing them for documentation and implementation</w:t>
      </w:r>
    </w:p>
    <w:p w:rsidRPr="00590876" w:rsidR="006A1497" w:rsidP="006A1497" w:rsidRDefault="006A1497" w14:paraId="1CC57C07" w14:textId="77777777">
      <w:pPr>
        <w:pStyle w:val="ListParagraph"/>
        <w:numPr>
          <w:ilvl w:val="0"/>
          <w:numId w:val="46"/>
        </w:numPr>
        <w:spacing w:after="0" w:line="240" w:lineRule="auto"/>
        <w:contextualSpacing w:val="0"/>
        <w:rPr>
          <w:rFonts w:cstheme="minorHAnsi"/>
        </w:rPr>
      </w:pPr>
      <w:r w:rsidRPr="00590876">
        <w:rPr>
          <w:rFonts w:cstheme="minorHAnsi"/>
        </w:rPr>
        <w:t>Developing risk assessment framework and template(s)</w:t>
      </w:r>
    </w:p>
    <w:p w:rsidRPr="00590876" w:rsidR="006A1497" w:rsidP="006A1497" w:rsidRDefault="006A1497" w14:paraId="5F33D1B6" w14:textId="77777777">
      <w:pPr>
        <w:pStyle w:val="ListParagraph"/>
        <w:numPr>
          <w:ilvl w:val="0"/>
          <w:numId w:val="46"/>
        </w:numPr>
        <w:spacing w:after="0" w:line="240" w:lineRule="auto"/>
        <w:contextualSpacing w:val="0"/>
        <w:rPr>
          <w:rFonts w:cstheme="minorHAnsi"/>
        </w:rPr>
      </w:pPr>
      <w:r w:rsidRPr="00590876">
        <w:rPr>
          <w:rFonts w:cstheme="minorHAnsi"/>
        </w:rPr>
        <w:t>Developing templates and tools that can be utilized by a variety of stakeholders</w:t>
      </w:r>
    </w:p>
    <w:p w:rsidRPr="00590876" w:rsidR="006A1497" w:rsidP="006A1497" w:rsidRDefault="006A1497" w14:paraId="620123A8" w14:textId="77777777">
      <w:pPr>
        <w:pStyle w:val="ListParagraph"/>
        <w:numPr>
          <w:ilvl w:val="0"/>
          <w:numId w:val="46"/>
        </w:numPr>
        <w:spacing w:after="0" w:line="240" w:lineRule="auto"/>
        <w:contextualSpacing w:val="0"/>
        <w:rPr>
          <w:rFonts w:cstheme="minorHAnsi"/>
        </w:rPr>
      </w:pPr>
      <w:r w:rsidRPr="00590876">
        <w:rPr>
          <w:rFonts w:cstheme="minorHAnsi"/>
        </w:rPr>
        <w:t>Compiling a resource library</w:t>
      </w:r>
    </w:p>
    <w:p w:rsidRPr="00590876" w:rsidR="006A1497" w:rsidP="006A1497" w:rsidRDefault="006A1497" w14:paraId="60C1DD7D" w14:textId="77777777">
      <w:pPr>
        <w:pStyle w:val="ListParagraph"/>
        <w:numPr>
          <w:ilvl w:val="0"/>
          <w:numId w:val="46"/>
        </w:numPr>
        <w:spacing w:after="0" w:line="240" w:lineRule="auto"/>
        <w:contextualSpacing w:val="0"/>
        <w:rPr>
          <w:rFonts w:cstheme="minorHAnsi"/>
        </w:rPr>
      </w:pPr>
      <w:r w:rsidRPr="00590876">
        <w:rPr>
          <w:rFonts w:cstheme="minorHAnsi"/>
        </w:rPr>
        <w:t>Developing a useful and user-friendly website</w:t>
      </w:r>
    </w:p>
    <w:p w:rsidRPr="00590876" w:rsidR="006A1497" w:rsidP="006A1497" w:rsidRDefault="006A1497" w14:paraId="085AEF1D" w14:textId="77777777">
      <w:pPr>
        <w:pStyle w:val="ListParagraph"/>
        <w:numPr>
          <w:ilvl w:val="0"/>
          <w:numId w:val="46"/>
        </w:numPr>
        <w:spacing w:after="0" w:line="240" w:lineRule="auto"/>
        <w:contextualSpacing w:val="0"/>
        <w:rPr>
          <w:rFonts w:cstheme="minorHAnsi"/>
        </w:rPr>
      </w:pPr>
      <w:r w:rsidRPr="00590876">
        <w:rPr>
          <w:rFonts w:cstheme="minorHAnsi"/>
        </w:rPr>
        <w:t>Developing a dissemination and training strategy to help federal agencies adopt best practices</w:t>
      </w:r>
    </w:p>
    <w:p w:rsidR="006A1497" w:rsidP="00180062" w:rsidRDefault="006A1497" w14:paraId="447AF0B3" w14:textId="77777777">
      <w:pPr>
        <w:spacing w:after="0" w:line="240" w:lineRule="auto"/>
        <w:rPr>
          <w:rFonts w:eastAsia="Times New Roman" w:cstheme="minorHAnsi"/>
          <w:color w:val="000000" w:themeColor="text1"/>
        </w:rPr>
      </w:pPr>
    </w:p>
    <w:p w:rsidRPr="00590876" w:rsidR="006A1497" w:rsidP="00180062" w:rsidRDefault="006A1497" w14:paraId="3B70D24D" w14:textId="77777777">
      <w:pPr>
        <w:spacing w:after="0" w:line="240" w:lineRule="auto"/>
        <w:rPr>
          <w:rFonts w:eastAsia="Times New Roman" w:cstheme="minorHAnsi"/>
          <w:color w:val="000000" w:themeColor="text1"/>
        </w:rPr>
      </w:pPr>
    </w:p>
    <w:p w:rsidRPr="00590876" w:rsidR="0009742B" w:rsidRDefault="003B25F1" w14:paraId="18F6CD66" w14:textId="3E34CAF4">
      <w:pPr>
        <w:spacing w:after="0" w:line="240" w:lineRule="auto"/>
        <w:rPr>
          <w:rFonts w:eastAsia="Times New Roman" w:cstheme="minorHAnsi"/>
          <w:color w:val="000000" w:themeColor="text1"/>
        </w:rPr>
      </w:pPr>
      <w:r w:rsidRPr="00590876">
        <w:rPr>
          <w:rFonts w:eastAsia="Times New Roman" w:cstheme="minorHAnsi"/>
          <w:color w:val="000000" w:themeColor="text1"/>
        </w:rPr>
        <w:lastRenderedPageBreak/>
        <w:t>NCES is the primary federal entity for collecting and analyzing data related to education in the U.S. and other nations. NCES is located within the U.S. Department of Education and the Institute of Education Sciences. NCES fulfills a Congressional mandate to collect, collate, analyze, and report complete statistics on the condition of American education; conduct and publish reports; and review and report on education activities internationally.</w:t>
      </w:r>
    </w:p>
    <w:p w:rsidRPr="00590876" w:rsidR="00C97C56" w:rsidRDefault="00C97C56" w14:paraId="64894D8C" w14:textId="0270EFCB">
      <w:pPr>
        <w:spacing w:after="0" w:line="240" w:lineRule="auto"/>
        <w:rPr>
          <w:rFonts w:eastAsia="Times New Roman" w:cstheme="minorHAnsi"/>
          <w:color w:val="000000" w:themeColor="text1"/>
        </w:rPr>
      </w:pPr>
    </w:p>
    <w:p w:rsidR="00C97C56" w:rsidP="002B7C7B" w:rsidRDefault="00587E3C" w14:paraId="7EF669AB" w14:textId="58EFDBC6">
      <w:pPr>
        <w:spacing w:after="0" w:line="240" w:lineRule="auto"/>
        <w:textAlignment w:val="top"/>
        <w:rPr>
          <w:rFonts w:cstheme="minorHAnsi"/>
        </w:rPr>
      </w:pPr>
      <w:r w:rsidRPr="00590876">
        <w:rPr>
          <w:rFonts w:eastAsia="Times New Roman" w:cstheme="minorHAnsi"/>
          <w:color w:val="000000"/>
        </w:rPr>
        <w:t xml:space="preserve">The NCES Statistical Standards and Data </w:t>
      </w:r>
      <w:r w:rsidRPr="00590876" w:rsidR="00C97C56">
        <w:rPr>
          <w:rFonts w:eastAsia="Times New Roman" w:cstheme="minorHAnsi"/>
          <w:color w:val="000000"/>
        </w:rPr>
        <w:t xml:space="preserve">Confidentiality Staff (SSDCS) provide methodological and statistical support to NCES, as well as to federal and nonfederal organizations that engage in statistical work in support of NCES' mission. SSDCS takes the lead in developing and maintaining the statistical and survey methodology standards that ensure the quality of statistical surveys, analyses and </w:t>
      </w:r>
      <w:r w:rsidRPr="00590876" w:rsidR="00C97C56">
        <w:rPr>
          <w:rFonts w:eastAsia="Times New Roman" w:cstheme="minorHAnsi"/>
        </w:rPr>
        <w:t xml:space="preserve">products </w:t>
      </w:r>
      <w:r w:rsidRPr="0011578A" w:rsidR="00C97C56">
        <w:rPr>
          <w:rFonts w:eastAsia="Times New Roman" w:cstheme="minorHAnsi"/>
        </w:rPr>
        <w:t>(</w:t>
      </w:r>
      <w:r w:rsidRPr="0011578A" w:rsidR="002B7C7B">
        <w:rPr>
          <w:rFonts w:cstheme="minorHAnsi"/>
        </w:rPr>
        <w:t>2012 NCES Statistical Standards</w:t>
      </w:r>
      <w:r w:rsidR="00931410">
        <w:rPr>
          <w:rFonts w:cstheme="minorHAnsi"/>
        </w:rPr>
        <w:t xml:space="preserve"> -</w:t>
      </w:r>
      <w:r w:rsidRPr="0011578A" w:rsidR="002B7C7B">
        <w:rPr>
          <w:rFonts w:cstheme="minorHAnsi"/>
          <w:u w:val="single"/>
        </w:rPr>
        <w:t xml:space="preserve"> </w:t>
      </w:r>
      <w:hyperlink w:history="1" r:id="rId14">
        <w:r w:rsidRPr="002B7C7B" w:rsidR="002B7C7B">
          <w:rPr>
            <w:rStyle w:val="Hyperlink"/>
            <w:rFonts w:cstheme="minorHAnsi"/>
          </w:rPr>
          <w:t>http://nces.ed.gov/statprog/2002/stdtoc.asp</w:t>
        </w:r>
      </w:hyperlink>
      <w:r w:rsidRPr="002B7C7B" w:rsidR="00C97C56">
        <w:rPr>
          <w:rFonts w:cstheme="minorHAnsi"/>
        </w:rPr>
        <w:t>)</w:t>
      </w:r>
      <w:r w:rsidRPr="002B7C7B" w:rsidR="00C97C56">
        <w:rPr>
          <w:rFonts w:eastAsia="Times New Roman" w:cstheme="minorHAnsi"/>
          <w:color w:val="000000"/>
        </w:rPr>
        <w:t>; consults and advises on the implementation of standards for all NCES projects; conduc</w:t>
      </w:r>
      <w:r w:rsidRPr="00180062" w:rsidR="00C97C56">
        <w:rPr>
          <w:rFonts w:eastAsia="Times New Roman" w:cstheme="minorHAnsi"/>
          <w:color w:val="000000"/>
        </w:rPr>
        <w:t xml:space="preserve">ts internal technical reviews for all NCES publications and products (see the NCES electronic publication catalog at </w:t>
      </w:r>
      <w:hyperlink w:history="1" r:id="rId15">
        <w:r w:rsidRPr="002B7C7B" w:rsidR="00C97C56">
          <w:rPr>
            <w:rStyle w:val="Hyperlink"/>
            <w:rFonts w:eastAsia="Times New Roman" w:cstheme="minorHAnsi"/>
          </w:rPr>
          <w:t>http://nces.ed.gov/pubsearch/</w:t>
        </w:r>
      </w:hyperlink>
      <w:r w:rsidRPr="002B7C7B" w:rsidR="00C97C56">
        <w:rPr>
          <w:rFonts w:eastAsia="Times New Roman" w:cstheme="minorHAnsi"/>
          <w:color w:val="000000"/>
        </w:rPr>
        <w:t xml:space="preserve"> for examples of existing NCES publications and products); and coordinates the revision of the NCES Statistical Standards. </w:t>
      </w:r>
      <w:r w:rsidRPr="00180062" w:rsidR="00C97C56">
        <w:rPr>
          <w:rFonts w:eastAsia="Times New Roman" w:cstheme="minorHAnsi"/>
          <w:color w:val="000000"/>
        </w:rPr>
        <w:t xml:space="preserve">SSDCS also monitors and administers confidentiality procedures (see </w:t>
      </w:r>
      <w:hyperlink w:history="1" r:id="rId16">
        <w:r w:rsidRPr="002B7C7B" w:rsidR="00C97C56">
          <w:rPr>
            <w:rStyle w:val="Hyperlink"/>
            <w:rFonts w:eastAsia="Times New Roman" w:cstheme="minorHAnsi"/>
          </w:rPr>
          <w:t>http://nces.ed.gov/statprog/confproc.asp</w:t>
        </w:r>
      </w:hyperlink>
      <w:r w:rsidRPr="002B7C7B" w:rsidR="00C97C56">
        <w:rPr>
          <w:rFonts w:eastAsia="Times New Roman" w:cstheme="minorHAnsi"/>
          <w:color w:val="000000"/>
        </w:rPr>
        <w:t xml:space="preserve"> for information on the NCES confidentiality program) and related restricted-use data licenses (see </w:t>
      </w:r>
      <w:hyperlink w:history="1" r:id="rId17">
        <w:r w:rsidRPr="002B7C7B" w:rsidR="00C97C56">
          <w:rPr>
            <w:rStyle w:val="Hyperlink"/>
            <w:rFonts w:eastAsia="Times New Roman" w:cstheme="minorHAnsi"/>
          </w:rPr>
          <w:t>http://nces.ed.gov/statprog/instruct.asp</w:t>
        </w:r>
      </w:hyperlink>
      <w:r w:rsidRPr="002B7C7B" w:rsidR="00C97C56">
        <w:rPr>
          <w:rFonts w:eastAsia="Times New Roman" w:cstheme="minorHAnsi"/>
          <w:color w:val="000000"/>
        </w:rPr>
        <w:t xml:space="preserve"> for information on the licensing process) for NCES data products. In addition, </w:t>
      </w:r>
      <w:r w:rsidRPr="00180062" w:rsidR="00C97C56">
        <w:rPr>
          <w:rFonts w:eastAsia="Times New Roman" w:cstheme="minorHAnsi"/>
          <w:color w:val="000000"/>
        </w:rPr>
        <w:t xml:space="preserve">SSDCS consults and advises on emerging statistical issues and initiates, and </w:t>
      </w:r>
      <w:r w:rsidRPr="00590876" w:rsidR="00C97C56">
        <w:rPr>
          <w:rFonts w:eastAsia="Times New Roman" w:cstheme="minorHAnsi"/>
          <w:color w:val="000000"/>
        </w:rPr>
        <w:t>monitors or participates in long-term statistical and methodological research projects</w:t>
      </w:r>
      <w:r w:rsidRPr="00191CB1" w:rsidR="00145586">
        <w:rPr>
          <w:rFonts w:eastAsia="Times New Roman" w:cstheme="minorHAnsi"/>
          <w:color w:val="000000"/>
        </w:rPr>
        <w:t>, making that group well-suited to carry out and coordinate the work for this project</w:t>
      </w:r>
      <w:r w:rsidRPr="00191CB1" w:rsidR="00C97C56">
        <w:rPr>
          <w:rFonts w:cstheme="minorHAnsi"/>
        </w:rPr>
        <w:t>.</w:t>
      </w:r>
    </w:p>
    <w:p w:rsidRPr="00590876" w:rsidR="00FD4835" w:rsidP="00590876" w:rsidRDefault="00FD4835" w14:paraId="603F619C" w14:textId="7A9084EB">
      <w:pPr>
        <w:spacing w:after="0" w:line="240" w:lineRule="auto"/>
        <w:textAlignment w:val="top"/>
        <w:rPr>
          <w:rFonts w:cstheme="minorHAnsi"/>
        </w:rPr>
      </w:pPr>
    </w:p>
    <w:p w:rsidR="007277B4" w:rsidP="0021035A" w:rsidRDefault="004F5865" w14:paraId="68B4AE9C" w14:textId="7508DD9A">
      <w:pPr>
        <w:pStyle w:val="Heading2"/>
        <w:spacing w:line="274" w:lineRule="auto"/>
      </w:pPr>
      <w:bookmarkStart w:name="_Toc26981015" w:id="5"/>
      <w:r>
        <w:t xml:space="preserve">2. </w:t>
      </w:r>
      <w:r w:rsidR="00DB0406">
        <w:t>S</w:t>
      </w:r>
      <w:r w:rsidR="007277B4">
        <w:t xml:space="preserve">tudy </w:t>
      </w:r>
      <w:r w:rsidRPr="00BB3539" w:rsidR="007277B4">
        <w:t>Desi</w:t>
      </w:r>
      <w:r w:rsidR="0065571A">
        <w:t>gn</w:t>
      </w:r>
      <w:r w:rsidR="002C6328">
        <w:t xml:space="preserve"> </w:t>
      </w:r>
      <w:r w:rsidR="009E3604">
        <w:t xml:space="preserve">and </w:t>
      </w:r>
      <w:r w:rsidR="00EF23EE">
        <w:t>Sample Characteristics</w:t>
      </w:r>
      <w:bookmarkEnd w:id="5"/>
    </w:p>
    <w:p w:rsidR="0021035A" w:rsidP="00E95D55" w:rsidRDefault="0021035A" w14:paraId="60D07FE7" w14:textId="4C41EC4C">
      <w:pPr>
        <w:widowControl w:val="0"/>
        <w:spacing w:after="0" w:line="240" w:lineRule="auto"/>
        <w:rPr>
          <w:rFonts w:eastAsia="Times New Roman" w:cs="Times New Roman"/>
          <w:color w:val="000000" w:themeColor="text1"/>
        </w:rPr>
      </w:pPr>
      <w:bookmarkStart w:name="_Toc496018144" w:id="6"/>
      <w:bookmarkStart w:name="_Ref498435512" w:id="7"/>
      <w:bookmarkStart w:name="_Ref498435526" w:id="8"/>
      <w:bookmarkStart w:name="_Ref498435676" w:id="9"/>
      <w:bookmarkStart w:name="_Toc505691067" w:id="10"/>
      <w:r>
        <w:rPr>
          <w:rFonts w:eastAsia="Times New Roman" w:cs="Times New Roman"/>
          <w:color w:val="000000" w:themeColor="text1"/>
        </w:rPr>
        <w:t xml:space="preserve">This study consists of the gathering of best practices from leaders in the field </w:t>
      </w:r>
      <w:r w:rsidR="00031A2A">
        <w:rPr>
          <w:rFonts w:eastAsia="Times New Roman" w:cs="Times New Roman"/>
          <w:color w:val="000000" w:themeColor="text1"/>
        </w:rPr>
        <w:t>of data confidentiality and disclosure avoidance</w:t>
      </w:r>
      <w:r w:rsidR="009B0769">
        <w:rPr>
          <w:rFonts w:eastAsia="Times New Roman" w:cs="Times New Roman"/>
          <w:color w:val="000000" w:themeColor="text1"/>
        </w:rPr>
        <w:t>,</w:t>
      </w:r>
      <w:r w:rsidR="00031A2A">
        <w:rPr>
          <w:rFonts w:eastAsia="Times New Roman" w:cs="Times New Roman"/>
          <w:color w:val="000000" w:themeColor="text1"/>
        </w:rPr>
        <w:t xml:space="preserve"> </w:t>
      </w:r>
      <w:r>
        <w:rPr>
          <w:rFonts w:eastAsia="Times New Roman" w:cs="Times New Roman"/>
          <w:color w:val="000000" w:themeColor="text1"/>
        </w:rPr>
        <w:t>whether th</w:t>
      </w:r>
      <w:r w:rsidR="00FC2B6D">
        <w:rPr>
          <w:rFonts w:eastAsia="Times New Roman" w:cs="Times New Roman"/>
          <w:color w:val="000000" w:themeColor="text1"/>
        </w:rPr>
        <w:t>ose leaders are</w:t>
      </w:r>
      <w:r>
        <w:rPr>
          <w:rFonts w:eastAsia="Times New Roman" w:cs="Times New Roman"/>
          <w:color w:val="000000" w:themeColor="text1"/>
        </w:rPr>
        <w:t xml:space="preserve"> inside </w:t>
      </w:r>
      <w:r w:rsidR="00FC2B6D">
        <w:rPr>
          <w:rFonts w:eastAsia="Times New Roman" w:cs="Times New Roman"/>
          <w:color w:val="000000" w:themeColor="text1"/>
        </w:rPr>
        <w:t xml:space="preserve">or </w:t>
      </w:r>
      <w:r>
        <w:rPr>
          <w:rFonts w:eastAsia="Times New Roman" w:cs="Times New Roman"/>
          <w:color w:val="000000" w:themeColor="text1"/>
        </w:rPr>
        <w:t xml:space="preserve">outside of the federal government. </w:t>
      </w:r>
      <w:r w:rsidR="0083538E">
        <w:rPr>
          <w:rFonts w:eastAsia="Times New Roman" w:cs="Times New Roman"/>
          <w:color w:val="000000" w:themeColor="text1"/>
        </w:rPr>
        <w:t xml:space="preserve">Initially, federal government employees knowledgeable in the data disclosure protection practices of their agency will be </w:t>
      </w:r>
      <w:r w:rsidR="000C1D0C">
        <w:rPr>
          <w:rFonts w:eastAsia="Times New Roman" w:cs="Times New Roman"/>
          <w:color w:val="000000" w:themeColor="text1"/>
        </w:rPr>
        <w:t xml:space="preserve">consulted. As the information is being collected from federal government employees, it is not subject to OMB-PRA. </w:t>
      </w:r>
      <w:r w:rsidR="005F5228">
        <w:rPr>
          <w:rFonts w:eastAsia="Times New Roman" w:cs="Times New Roman"/>
          <w:color w:val="000000" w:themeColor="text1"/>
        </w:rPr>
        <w:t>That collection</w:t>
      </w:r>
      <w:r w:rsidR="00790651">
        <w:rPr>
          <w:rFonts w:eastAsia="Times New Roman" w:cs="Times New Roman"/>
          <w:color w:val="000000" w:themeColor="text1"/>
        </w:rPr>
        <w:t xml:space="preserve">, which was sent to </w:t>
      </w:r>
      <w:r w:rsidR="00B75B47">
        <w:rPr>
          <w:rFonts w:eastAsia="Times New Roman" w:cs="Times New Roman"/>
          <w:color w:val="000000" w:themeColor="text1"/>
        </w:rPr>
        <w:t>I</w:t>
      </w:r>
      <w:r w:rsidR="00656F05">
        <w:rPr>
          <w:rFonts w:eastAsia="Times New Roman" w:cs="Times New Roman"/>
          <w:color w:val="000000" w:themeColor="text1"/>
        </w:rPr>
        <w:t>ntera</w:t>
      </w:r>
      <w:r w:rsidR="009539D6">
        <w:rPr>
          <w:rFonts w:eastAsia="Times New Roman" w:cs="Times New Roman"/>
          <w:color w:val="000000" w:themeColor="text1"/>
        </w:rPr>
        <w:t xml:space="preserve">gency </w:t>
      </w:r>
      <w:r w:rsidR="00B75B47">
        <w:rPr>
          <w:rFonts w:eastAsia="Times New Roman" w:cs="Times New Roman"/>
          <w:color w:val="000000" w:themeColor="text1"/>
        </w:rPr>
        <w:t>C</w:t>
      </w:r>
      <w:r w:rsidR="009539D6">
        <w:rPr>
          <w:rFonts w:eastAsia="Times New Roman" w:cs="Times New Roman"/>
          <w:color w:val="000000" w:themeColor="text1"/>
        </w:rPr>
        <w:t>ouncil on Statistical Policy (IC</w:t>
      </w:r>
      <w:r w:rsidR="00B75B47">
        <w:rPr>
          <w:rFonts w:eastAsia="Times New Roman" w:cs="Times New Roman"/>
          <w:color w:val="000000" w:themeColor="text1"/>
        </w:rPr>
        <w:t>SP</w:t>
      </w:r>
      <w:r w:rsidR="009539D6">
        <w:rPr>
          <w:rFonts w:eastAsia="Times New Roman" w:cs="Times New Roman"/>
          <w:color w:val="000000" w:themeColor="text1"/>
        </w:rPr>
        <w:t>)</w:t>
      </w:r>
      <w:r w:rsidR="00B75B47">
        <w:rPr>
          <w:rFonts w:eastAsia="Times New Roman" w:cs="Times New Roman"/>
          <w:color w:val="000000" w:themeColor="text1"/>
        </w:rPr>
        <w:t xml:space="preserve"> </w:t>
      </w:r>
      <w:r w:rsidR="00071E71">
        <w:rPr>
          <w:rFonts w:eastAsia="Times New Roman" w:cs="Times New Roman"/>
          <w:color w:val="000000" w:themeColor="text1"/>
        </w:rPr>
        <w:t xml:space="preserve">members </w:t>
      </w:r>
      <w:r w:rsidR="0044330C">
        <w:rPr>
          <w:rFonts w:eastAsia="Times New Roman" w:cs="Times New Roman"/>
          <w:color w:val="000000" w:themeColor="text1"/>
        </w:rPr>
        <w:t>via email on January 17, 2020</w:t>
      </w:r>
      <w:r w:rsidR="006B2F46">
        <w:rPr>
          <w:rFonts w:eastAsia="Times New Roman" w:cs="Times New Roman"/>
          <w:color w:val="000000" w:themeColor="text1"/>
        </w:rPr>
        <w:t>,</w:t>
      </w:r>
      <w:r w:rsidR="0044330C">
        <w:rPr>
          <w:rFonts w:eastAsia="Times New Roman" w:cs="Times New Roman"/>
          <w:color w:val="000000" w:themeColor="text1"/>
        </w:rPr>
        <w:t xml:space="preserve"> </w:t>
      </w:r>
      <w:r w:rsidR="005F5228">
        <w:rPr>
          <w:rFonts w:eastAsia="Times New Roman" w:cs="Times New Roman"/>
          <w:color w:val="000000" w:themeColor="text1"/>
        </w:rPr>
        <w:t xml:space="preserve">of best practices will serve as the </w:t>
      </w:r>
      <w:r w:rsidR="00507167">
        <w:rPr>
          <w:rFonts w:eastAsia="Times New Roman" w:cs="Times New Roman"/>
          <w:color w:val="000000" w:themeColor="text1"/>
        </w:rPr>
        <w:t>primary</w:t>
      </w:r>
      <w:r w:rsidR="0057232C">
        <w:rPr>
          <w:rFonts w:eastAsia="Times New Roman" w:cs="Times New Roman"/>
          <w:color w:val="000000" w:themeColor="text1"/>
        </w:rPr>
        <w:t xml:space="preserve"> source of information </w:t>
      </w:r>
      <w:r w:rsidR="00145586">
        <w:rPr>
          <w:rFonts w:eastAsia="Times New Roman" w:cs="Times New Roman"/>
          <w:color w:val="000000" w:themeColor="text1"/>
        </w:rPr>
        <w:t>used to build the</w:t>
      </w:r>
      <w:r w:rsidR="0057232C">
        <w:rPr>
          <w:rFonts w:eastAsia="Times New Roman" w:cs="Times New Roman"/>
          <w:color w:val="000000" w:themeColor="text1"/>
        </w:rPr>
        <w:t xml:space="preserve"> materials in the toolkit</w:t>
      </w:r>
      <w:r>
        <w:rPr>
          <w:rFonts w:eastAsia="Times New Roman" w:cs="Times New Roman"/>
          <w:color w:val="000000" w:themeColor="text1"/>
        </w:rPr>
        <w:t>.</w:t>
      </w:r>
      <w:r w:rsidR="0015160E">
        <w:rPr>
          <w:rFonts w:eastAsia="Times New Roman" w:cs="Times New Roman"/>
          <w:color w:val="000000" w:themeColor="text1"/>
        </w:rPr>
        <w:t xml:space="preserve"> </w:t>
      </w:r>
      <w:r w:rsidR="00221EEB">
        <w:rPr>
          <w:rFonts w:eastAsia="Times New Roman" w:cs="Times New Roman"/>
          <w:color w:val="000000" w:themeColor="text1"/>
        </w:rPr>
        <w:t>Agency heads were asked to</w:t>
      </w:r>
      <w:r w:rsidR="001745EB">
        <w:rPr>
          <w:rFonts w:eastAsia="Times New Roman" w:cs="Times New Roman"/>
          <w:color w:val="000000" w:themeColor="text1"/>
        </w:rPr>
        <w:t xml:space="preserve"> forward the data call to someone on their staff capable of</w:t>
      </w:r>
      <w:r w:rsidR="00221EEB">
        <w:rPr>
          <w:rFonts w:eastAsia="Times New Roman" w:cs="Times New Roman"/>
          <w:color w:val="000000" w:themeColor="text1"/>
        </w:rPr>
        <w:t xml:space="preserve"> </w:t>
      </w:r>
      <w:r w:rsidRPr="008F7989" w:rsidR="008F7989">
        <w:rPr>
          <w:rFonts w:eastAsia="Times New Roman" w:cs="Times New Roman"/>
          <w:color w:val="000000" w:themeColor="text1"/>
        </w:rPr>
        <w:t>coordinat</w:t>
      </w:r>
      <w:r w:rsidR="001745EB">
        <w:rPr>
          <w:rFonts w:eastAsia="Times New Roman" w:cs="Times New Roman"/>
          <w:color w:val="000000" w:themeColor="text1"/>
        </w:rPr>
        <w:t xml:space="preserve">ing their </w:t>
      </w:r>
      <w:r w:rsidRPr="008F7989" w:rsidR="008F7989">
        <w:rPr>
          <w:rFonts w:eastAsia="Times New Roman" w:cs="Times New Roman"/>
          <w:color w:val="000000" w:themeColor="text1"/>
        </w:rPr>
        <w:t xml:space="preserve">agency’s </w:t>
      </w:r>
      <w:r w:rsidR="00D22F68">
        <w:rPr>
          <w:rFonts w:eastAsia="Times New Roman" w:cs="Times New Roman"/>
          <w:color w:val="000000" w:themeColor="text1"/>
        </w:rPr>
        <w:t>response</w:t>
      </w:r>
      <w:r w:rsidR="004742AA">
        <w:rPr>
          <w:rFonts w:eastAsia="Times New Roman" w:cs="Times New Roman"/>
          <w:color w:val="000000" w:themeColor="text1"/>
        </w:rPr>
        <w:t xml:space="preserve"> by February 5, 2020.</w:t>
      </w:r>
      <w:r w:rsidR="00DC38D6">
        <w:rPr>
          <w:rFonts w:eastAsia="Times New Roman" w:cs="Times New Roman"/>
          <w:color w:val="000000" w:themeColor="text1"/>
        </w:rPr>
        <w:t xml:space="preserve"> </w:t>
      </w:r>
      <w:r w:rsidR="00031A2A">
        <w:rPr>
          <w:rFonts w:eastAsia="Times New Roman" w:cs="Times New Roman"/>
          <w:color w:val="000000" w:themeColor="text1"/>
        </w:rPr>
        <w:t xml:space="preserve">Following that </w:t>
      </w:r>
      <w:r w:rsidRPr="006D5202" w:rsidR="00031A2A">
        <w:rPr>
          <w:rFonts w:eastAsia="Times New Roman" w:cs="Times New Roman"/>
          <w:color w:val="000000" w:themeColor="text1"/>
        </w:rPr>
        <w:t>initial effort</w:t>
      </w:r>
      <w:r w:rsidR="00442FEF">
        <w:rPr>
          <w:rFonts w:eastAsia="Times New Roman" w:cs="Times New Roman"/>
          <w:color w:val="000000" w:themeColor="text1"/>
        </w:rPr>
        <w:t xml:space="preserve"> with federal employees</w:t>
      </w:r>
      <w:r w:rsidRPr="006D5202" w:rsidR="00031A2A">
        <w:rPr>
          <w:rFonts w:eastAsia="Times New Roman" w:cs="Times New Roman"/>
          <w:color w:val="000000" w:themeColor="text1"/>
        </w:rPr>
        <w:t>, this study attempt</w:t>
      </w:r>
      <w:r w:rsidR="00025BC6">
        <w:rPr>
          <w:rFonts w:eastAsia="Times New Roman" w:cs="Times New Roman"/>
          <w:color w:val="000000" w:themeColor="text1"/>
        </w:rPr>
        <w:t>s</w:t>
      </w:r>
      <w:r w:rsidRPr="006D5202" w:rsidR="00031A2A">
        <w:rPr>
          <w:rFonts w:eastAsia="Times New Roman" w:cs="Times New Roman"/>
          <w:color w:val="000000" w:themeColor="text1"/>
        </w:rPr>
        <w:t xml:space="preserve"> to obtain additional information from universities and </w:t>
      </w:r>
      <w:r w:rsidR="00442FEF">
        <w:rPr>
          <w:rFonts w:eastAsia="Times New Roman" w:cs="Times New Roman"/>
          <w:color w:val="000000" w:themeColor="text1"/>
        </w:rPr>
        <w:t>organizations/</w:t>
      </w:r>
      <w:r w:rsidRPr="006D5202" w:rsidR="00031A2A">
        <w:rPr>
          <w:rFonts w:eastAsia="Times New Roman" w:cs="Times New Roman"/>
          <w:color w:val="000000" w:themeColor="text1"/>
        </w:rPr>
        <w:t>businesses that deal with the collection and dissemination of data</w:t>
      </w:r>
      <w:r w:rsidR="00442FEF">
        <w:rPr>
          <w:rFonts w:eastAsia="Times New Roman" w:cs="Times New Roman"/>
          <w:color w:val="000000" w:themeColor="text1"/>
        </w:rPr>
        <w:t>, sometimes even assisting the federal government through contractual agreements</w:t>
      </w:r>
      <w:r w:rsidRPr="006D5202" w:rsidR="00031A2A">
        <w:rPr>
          <w:rFonts w:eastAsia="Times New Roman" w:cs="Times New Roman"/>
          <w:color w:val="000000" w:themeColor="text1"/>
        </w:rPr>
        <w:t>.</w:t>
      </w:r>
      <w:r w:rsidR="009A1B3C">
        <w:rPr>
          <w:rFonts w:eastAsia="Times New Roman" w:cs="Times New Roman"/>
          <w:color w:val="000000" w:themeColor="text1"/>
        </w:rPr>
        <w:t xml:space="preserve"> The information from bot</w:t>
      </w:r>
      <w:r w:rsidR="00A718AD">
        <w:rPr>
          <w:rFonts w:eastAsia="Times New Roman" w:cs="Times New Roman"/>
          <w:color w:val="000000" w:themeColor="text1"/>
        </w:rPr>
        <w:t xml:space="preserve">h of these collection efforts will be combined in an effort to </w:t>
      </w:r>
      <w:r w:rsidR="00774851">
        <w:rPr>
          <w:rFonts w:eastAsia="Times New Roman" w:cs="Times New Roman"/>
          <w:color w:val="000000" w:themeColor="text1"/>
        </w:rPr>
        <w:t xml:space="preserve">document the </w:t>
      </w:r>
      <w:r w:rsidRPr="008F7989" w:rsidR="00D22F68">
        <w:rPr>
          <w:rFonts w:eastAsia="Times New Roman" w:cs="Times New Roman"/>
          <w:color w:val="000000" w:themeColor="text1"/>
        </w:rPr>
        <w:t xml:space="preserve">policies, tools, templates, and other resources </w:t>
      </w:r>
      <w:r w:rsidR="00D22F68">
        <w:rPr>
          <w:rFonts w:eastAsia="Times New Roman" w:cs="Times New Roman"/>
          <w:color w:val="000000" w:themeColor="text1"/>
        </w:rPr>
        <w:t>used</w:t>
      </w:r>
      <w:r w:rsidRPr="008F7989" w:rsidR="00D22F68">
        <w:rPr>
          <w:rFonts w:eastAsia="Times New Roman" w:cs="Times New Roman"/>
          <w:color w:val="000000" w:themeColor="text1"/>
        </w:rPr>
        <w:t xml:space="preserve"> to protect privacy in public data releases and to promote responsible access to data for research and evidence-building</w:t>
      </w:r>
      <w:r w:rsidR="003000C9">
        <w:rPr>
          <w:rFonts w:eastAsia="Times New Roman" w:cs="Times New Roman"/>
          <w:color w:val="000000" w:themeColor="text1"/>
        </w:rPr>
        <w:t xml:space="preserve"> </w:t>
      </w:r>
      <w:r w:rsidR="006A6637">
        <w:rPr>
          <w:rFonts w:eastAsia="Times New Roman" w:cs="Times New Roman"/>
          <w:color w:val="000000" w:themeColor="text1"/>
        </w:rPr>
        <w:t xml:space="preserve">by the government and </w:t>
      </w:r>
      <w:r w:rsidR="00B94C9C">
        <w:rPr>
          <w:rFonts w:eastAsia="Times New Roman" w:cs="Times New Roman"/>
          <w:color w:val="000000" w:themeColor="text1"/>
        </w:rPr>
        <w:t>leaders in the field.</w:t>
      </w:r>
    </w:p>
    <w:p w:rsidR="0057232C" w:rsidP="00E95D55" w:rsidRDefault="0057232C" w14:paraId="26387836" w14:textId="188F4B7F">
      <w:pPr>
        <w:widowControl w:val="0"/>
        <w:spacing w:after="0" w:line="240" w:lineRule="auto"/>
        <w:rPr>
          <w:rFonts w:eastAsia="Times New Roman" w:cs="Times New Roman"/>
          <w:color w:val="000000" w:themeColor="text1"/>
        </w:rPr>
      </w:pPr>
    </w:p>
    <w:p w:rsidR="0057232C" w:rsidP="00E95D55" w:rsidRDefault="0057232C" w14:paraId="4C50022E" w14:textId="5FB949D8">
      <w:pPr>
        <w:widowControl w:val="0"/>
        <w:spacing w:after="0" w:line="240" w:lineRule="auto"/>
        <w:rPr>
          <w:rFonts w:eastAsia="Times New Roman" w:cs="Times New Roman"/>
          <w:color w:val="000000" w:themeColor="text1"/>
        </w:rPr>
      </w:pPr>
      <w:r>
        <w:t xml:space="preserve">The </w:t>
      </w:r>
      <w:r w:rsidRPr="00E15026" w:rsidR="00E15026">
        <w:t>Confidentiality and Data Access Committee (CDAC)</w:t>
      </w:r>
      <w:r w:rsidR="00E15026">
        <w:t xml:space="preserve"> of the </w:t>
      </w:r>
      <w:r>
        <w:t>Federal Committee on Statistical Methodology (FCSM) has identified individuals from universities and businesses who are the forefront of data confidentiality and disclosure avoidance.</w:t>
      </w:r>
      <w:r w:rsidR="00FC2B6D">
        <w:t xml:space="preserve"> These organizations and individuals </w:t>
      </w:r>
      <w:r w:rsidR="00C11311">
        <w:t xml:space="preserve">were selected in a non-random and non-statistical manner and </w:t>
      </w:r>
      <w:r w:rsidR="00FC2B6D">
        <w:t>have been recommended for participation because of their unique insight and depth of experience in the field.</w:t>
      </w:r>
      <w:r w:rsidR="009B0769">
        <w:t xml:space="preserve"> </w:t>
      </w:r>
      <w:r w:rsidR="00AE648F">
        <w:t xml:space="preserve">In total, there are 21 individuals (12 in the U.S. and nine internationally) that will be asked for input relating to existing resources for statistical confidentiality. </w:t>
      </w:r>
      <w:r w:rsidR="00954E8A">
        <w:t xml:space="preserve">Their role is to provide resources (links to materials, tools and manuals) via the data collection instrument discussed below. </w:t>
      </w:r>
      <w:r w:rsidR="00AE648F">
        <w:t>Among the 12 individuals w</w:t>
      </w:r>
      <w:r w:rsidR="009B0769">
        <w:t xml:space="preserve">ithin the U.S., there </w:t>
      </w:r>
      <w:r w:rsidR="00FD670B">
        <w:t>are</w:t>
      </w:r>
      <w:r w:rsidR="009B0769">
        <w:t xml:space="preserve"> </w:t>
      </w:r>
      <w:r w:rsidR="00FD670B">
        <w:t xml:space="preserve">five </w:t>
      </w:r>
      <w:r w:rsidR="009B0769">
        <w:t xml:space="preserve">individuals from </w:t>
      </w:r>
      <w:r w:rsidR="00442FEF">
        <w:t>federal contracting organizations/businesses</w:t>
      </w:r>
      <w:r w:rsidR="009B0769">
        <w:t xml:space="preserve"> that </w:t>
      </w:r>
      <w:r w:rsidR="006D59B7">
        <w:t xml:space="preserve">are practitioners in </w:t>
      </w:r>
      <w:r w:rsidR="009B0769">
        <w:t>statistical confidentiality</w:t>
      </w:r>
      <w:r w:rsidR="006D59B7">
        <w:t>. They</w:t>
      </w:r>
      <w:r w:rsidR="009B0769">
        <w:t xml:space="preserve"> partner with Federal agencies in the dissemination of Federal data.</w:t>
      </w:r>
      <w:r w:rsidR="006D59B7">
        <w:t xml:space="preserve"> The contractors may be able to provide insights into resources used during the implementation of Federal guidelines.</w:t>
      </w:r>
      <w:r w:rsidR="009B0769">
        <w:t xml:space="preserve"> </w:t>
      </w:r>
      <w:r w:rsidR="006D59B7">
        <w:t xml:space="preserve">There </w:t>
      </w:r>
      <w:r w:rsidR="00FD670B">
        <w:t>are</w:t>
      </w:r>
      <w:r w:rsidR="006D59B7">
        <w:t xml:space="preserve"> </w:t>
      </w:r>
      <w:r w:rsidR="009709D5">
        <w:t>s</w:t>
      </w:r>
      <w:r w:rsidR="006D59B7">
        <w:t>even</w:t>
      </w:r>
      <w:r w:rsidR="009B0769">
        <w:t xml:space="preserve"> university professors who have published journal articles on statistical confidentiality</w:t>
      </w:r>
      <w:r w:rsidR="006D59B7">
        <w:t xml:space="preserve"> and </w:t>
      </w:r>
      <w:r w:rsidR="009709D5">
        <w:t xml:space="preserve">are </w:t>
      </w:r>
      <w:r w:rsidR="006D59B7">
        <w:t>recognized as leaders in the field</w:t>
      </w:r>
      <w:r w:rsidR="009B0769">
        <w:t xml:space="preserve">.  Among the </w:t>
      </w:r>
      <w:r w:rsidR="00AE648F">
        <w:t xml:space="preserve">participants from </w:t>
      </w:r>
      <w:r w:rsidR="009B0769">
        <w:t xml:space="preserve">international community, </w:t>
      </w:r>
      <w:r w:rsidR="006D59B7">
        <w:t>six individuals</w:t>
      </w:r>
      <w:r w:rsidR="009709D5">
        <w:t xml:space="preserve"> </w:t>
      </w:r>
      <w:r w:rsidR="00FD670B">
        <w:t>are</w:t>
      </w:r>
      <w:r w:rsidR="009709D5">
        <w:t xml:space="preserve"> identified</w:t>
      </w:r>
      <w:r w:rsidR="006D59B7">
        <w:t xml:space="preserve"> from national statistical institutes or other organizations who have established guidelines, or developed automated tools, and three university professors </w:t>
      </w:r>
      <w:r w:rsidR="009709D5">
        <w:t xml:space="preserve">who </w:t>
      </w:r>
      <w:r w:rsidR="006D59B7">
        <w:t xml:space="preserve">have </w:t>
      </w:r>
      <w:r w:rsidR="009709D5">
        <w:t xml:space="preserve">publications and </w:t>
      </w:r>
      <w:r w:rsidR="006D59B7">
        <w:t>experience in dealing with data disclosure issues</w:t>
      </w:r>
      <w:r w:rsidR="00FD670B">
        <w:t xml:space="preserve"> have also been identified</w:t>
      </w:r>
      <w:r w:rsidR="006D59B7">
        <w:t xml:space="preserve">. </w:t>
      </w:r>
      <w:r w:rsidR="00AE648F">
        <w:t xml:space="preserve">Among the 21 individuals, seven are members of the American Statistical Association Privacy and Confidentiality committee. </w:t>
      </w:r>
    </w:p>
    <w:p w:rsidR="00527CA9" w:rsidP="00682B39" w:rsidRDefault="006C3723" w14:paraId="5C939101" w14:textId="1AE5CEDA">
      <w:pPr>
        <w:pStyle w:val="Heading2"/>
      </w:pPr>
      <w:bookmarkStart w:name="_Toc26981016" w:id="11"/>
      <w:bookmarkStart w:name="_Toc260729190" w:id="12"/>
      <w:bookmarkStart w:name="_Toc299121365" w:id="13"/>
      <w:bookmarkEnd w:id="6"/>
      <w:bookmarkEnd w:id="7"/>
      <w:bookmarkEnd w:id="8"/>
      <w:bookmarkEnd w:id="9"/>
      <w:bookmarkEnd w:id="10"/>
      <w:r>
        <w:lastRenderedPageBreak/>
        <w:t>3</w:t>
      </w:r>
      <w:r w:rsidR="0093275B">
        <w:t xml:space="preserve">. </w:t>
      </w:r>
      <w:r w:rsidR="00275C94">
        <w:t>Data Collection</w:t>
      </w:r>
      <w:bookmarkEnd w:id="11"/>
    </w:p>
    <w:p w:rsidR="00A01789" w:rsidP="0021035A" w:rsidRDefault="006C3723" w14:paraId="60071E68" w14:textId="0E6B731B">
      <w:pPr>
        <w:pStyle w:val="Heading3"/>
        <w:spacing w:line="274" w:lineRule="auto"/>
      </w:pPr>
      <w:bookmarkStart w:name="_Toc26981017" w:id="14"/>
      <w:r>
        <w:t>3</w:t>
      </w:r>
      <w:r w:rsidR="00275C94">
        <w:t>.1</w:t>
      </w:r>
      <w:r w:rsidR="00440BC1">
        <w:t xml:space="preserve"> </w:t>
      </w:r>
      <w:r w:rsidRPr="00BB3539" w:rsidR="00456D94">
        <w:t>Recruit</w:t>
      </w:r>
      <w:r w:rsidR="0040707F">
        <w:t>ment</w:t>
      </w:r>
      <w:bookmarkEnd w:id="14"/>
    </w:p>
    <w:p w:rsidR="0021035A" w:rsidP="0021035A" w:rsidRDefault="00FC2B6D" w14:paraId="4B2B9605" w14:textId="6D6B31E2">
      <w:pPr>
        <w:spacing w:after="0" w:line="240" w:lineRule="auto"/>
      </w:pPr>
      <w:r>
        <w:t>Initial r</w:t>
      </w:r>
      <w:r w:rsidR="00F663CB">
        <w:t xml:space="preserve">ecruitment </w:t>
      </w:r>
      <w:r w:rsidR="0011578A">
        <w:t>will consist of an email</w:t>
      </w:r>
      <w:r w:rsidR="00E3152A">
        <w:t>.</w:t>
      </w:r>
      <w:r w:rsidR="0011578A">
        <w:t xml:space="preserve"> </w:t>
      </w:r>
      <w:r w:rsidR="00620867">
        <w:t>Two</w:t>
      </w:r>
      <w:r w:rsidR="00E3152A">
        <w:t xml:space="preserve"> week</w:t>
      </w:r>
      <w:r w:rsidR="00620867">
        <w:t>s</w:t>
      </w:r>
      <w:r w:rsidR="00E3152A">
        <w:t xml:space="preserve"> after the initial email, if no response is received, a </w:t>
      </w:r>
      <w:r w:rsidR="0011578A">
        <w:t>follow</w:t>
      </w:r>
      <w:r w:rsidR="00E3152A">
        <w:t>-up</w:t>
      </w:r>
      <w:r w:rsidR="0011578A">
        <w:t xml:space="preserve"> </w:t>
      </w:r>
      <w:r w:rsidR="00620867">
        <w:t>email</w:t>
      </w:r>
      <w:r w:rsidR="00E3152A">
        <w:t xml:space="preserve"> will be </w:t>
      </w:r>
      <w:r w:rsidR="00620867">
        <w:t>sent</w:t>
      </w:r>
      <w:r>
        <w:t xml:space="preserve"> to the participant</w:t>
      </w:r>
      <w:r w:rsidR="0011578A">
        <w:t xml:space="preserve">. </w:t>
      </w:r>
      <w:r w:rsidR="00620867">
        <w:t xml:space="preserve">A week after the follow-up email, if no response is received, a final follow-up email will be sent to the participant. </w:t>
      </w:r>
      <w:r>
        <w:t>No additional follow-up is planned for non-participants.</w:t>
      </w:r>
    </w:p>
    <w:p w:rsidR="00E3152A" w:rsidP="0021035A" w:rsidRDefault="00E3152A" w14:paraId="307D0AC9" w14:textId="2890DED8">
      <w:pPr>
        <w:spacing w:after="0" w:line="240" w:lineRule="auto"/>
      </w:pPr>
    </w:p>
    <w:p w:rsidRPr="0021035A" w:rsidR="00E3152A" w:rsidP="0021035A" w:rsidRDefault="00E3152A" w14:paraId="58C1CE46" w14:textId="05689715">
      <w:pPr>
        <w:spacing w:after="0" w:line="240" w:lineRule="auto"/>
      </w:pPr>
      <w:r>
        <w:t xml:space="preserve">All </w:t>
      </w:r>
      <w:r w:rsidR="00620867">
        <w:t>communication</w:t>
      </w:r>
      <w:r>
        <w:t xml:space="preserve"> materials are included in Attachment 1.</w:t>
      </w:r>
    </w:p>
    <w:p w:rsidR="006C3723" w:rsidP="00682B39" w:rsidRDefault="006C3723" w14:paraId="0280DBB2" w14:textId="144B5C44">
      <w:pPr>
        <w:pStyle w:val="Heading3"/>
      </w:pPr>
      <w:bookmarkStart w:name="_Toc26981018" w:id="15"/>
      <w:bookmarkStart w:name="_Toc460297022" w:id="16"/>
      <w:r>
        <w:t>3</w:t>
      </w:r>
      <w:r w:rsidR="00275C94">
        <w:t>.2</w:t>
      </w:r>
      <w:r w:rsidR="00440BC1">
        <w:t xml:space="preserve"> </w:t>
      </w:r>
      <w:r w:rsidR="00507167">
        <w:t xml:space="preserve">Information Collection </w:t>
      </w:r>
      <w:r>
        <w:t>Methods</w:t>
      </w:r>
      <w:bookmarkEnd w:id="15"/>
    </w:p>
    <w:p w:rsidR="0021035A" w:rsidP="0021035A" w:rsidRDefault="00C11311" w14:paraId="0A1A140A" w14:textId="40B210E5">
      <w:pPr>
        <w:spacing w:after="0" w:line="240" w:lineRule="auto"/>
      </w:pPr>
      <w:r>
        <w:t>The information collection</w:t>
      </w:r>
      <w:r w:rsidR="009C11E9">
        <w:t xml:space="preserve"> materials</w:t>
      </w:r>
      <w:r>
        <w:t xml:space="preserve"> consist of </w:t>
      </w:r>
      <w:r w:rsidR="009C11E9">
        <w:t xml:space="preserve">a set of instructions, a glossary, </w:t>
      </w:r>
      <w:r>
        <w:t xml:space="preserve">a </w:t>
      </w:r>
      <w:r w:rsidR="006A323A">
        <w:t>reference guide</w:t>
      </w:r>
      <w:r w:rsidR="009C11E9">
        <w:t>, and the Request Form for Existing Resources</w:t>
      </w:r>
      <w:r w:rsidR="00093CA8">
        <w:t>. The</w:t>
      </w:r>
      <w:r>
        <w:t xml:space="preserve"> </w:t>
      </w:r>
      <w:r w:rsidR="006A323A">
        <w:t>reference guide</w:t>
      </w:r>
      <w:r>
        <w:t xml:space="preserve"> serves to remind the participant of the types of information that are being requested</w:t>
      </w:r>
      <w:r w:rsidR="00093CA8">
        <w:t>, while the</w:t>
      </w:r>
      <w:r w:rsidR="00B115B3">
        <w:t xml:space="preserve"> glossary of terms </w:t>
      </w:r>
      <w:r w:rsidR="00093CA8">
        <w:t>is meant to</w:t>
      </w:r>
      <w:r w:rsidR="00B115B3">
        <w:t xml:space="preserve"> ensure that the participants have the same understanding of terms as is intended.</w:t>
      </w:r>
      <w:r w:rsidR="00093CA8">
        <w:t xml:space="preserve"> Finally, the Request Form asks respondents t</w:t>
      </w:r>
      <w:r w:rsidR="009C11E9">
        <w:t>o provide URLs for any materials for which they are responsible. If they are not able to provide URLs, participants are instructed to attach the actual materials. If neither URLs nor documents are able to be provided, the participant is instructed to provide a summary of the information.</w:t>
      </w:r>
    </w:p>
    <w:p w:rsidR="009C11E9" w:rsidP="0021035A" w:rsidRDefault="009C11E9" w14:paraId="78699111" w14:textId="77777777">
      <w:pPr>
        <w:spacing w:after="0" w:line="240" w:lineRule="auto"/>
      </w:pPr>
    </w:p>
    <w:p w:rsidRPr="0021035A" w:rsidR="00C11311" w:rsidP="0021035A" w:rsidRDefault="00620867" w14:paraId="2347737D" w14:textId="0496310A">
      <w:pPr>
        <w:spacing w:after="0" w:line="240" w:lineRule="auto"/>
      </w:pPr>
      <w:r>
        <w:t xml:space="preserve">The </w:t>
      </w:r>
      <w:r w:rsidR="00093CA8">
        <w:t>full instrument</w:t>
      </w:r>
      <w:r>
        <w:t xml:space="preserve"> </w:t>
      </w:r>
      <w:r w:rsidR="00D669C8">
        <w:t>is</w:t>
      </w:r>
      <w:r w:rsidR="00C11311">
        <w:t xml:space="preserve"> included in Attachment 2.</w:t>
      </w:r>
    </w:p>
    <w:p w:rsidRPr="00BB3539" w:rsidR="00254EA2" w:rsidP="00254EA2" w:rsidRDefault="00054E3E" w14:paraId="03D393B0" w14:textId="48EC99F8">
      <w:pPr>
        <w:pStyle w:val="Heading2"/>
        <w:spacing w:line="274" w:lineRule="auto"/>
      </w:pPr>
      <w:bookmarkStart w:name="_Toc26981019" w:id="17"/>
      <w:r>
        <w:t>4</w:t>
      </w:r>
      <w:r w:rsidR="00254EA2">
        <w:t xml:space="preserve">. </w:t>
      </w:r>
      <w:r>
        <w:t xml:space="preserve">Consultation </w:t>
      </w:r>
      <w:r w:rsidR="006558C6">
        <w:t>O</w:t>
      </w:r>
      <w:r>
        <w:t>utside the Agency</w:t>
      </w:r>
      <w:bookmarkEnd w:id="17"/>
    </w:p>
    <w:p w:rsidR="00F91B9D" w:rsidP="00B115B3" w:rsidRDefault="00B115B3" w14:paraId="56EBA2D7" w14:textId="4CE2A027">
      <w:pPr>
        <w:widowControl w:val="0"/>
        <w:autoSpaceDE w:val="0"/>
        <w:autoSpaceDN w:val="0"/>
        <w:adjustRightInd w:val="0"/>
        <w:spacing w:after="120" w:line="21" w:lineRule="atLeast"/>
        <w:rPr>
          <w:rFonts w:ascii="Calibri" w:hAnsi="Calibri" w:cs="Calibri"/>
        </w:rPr>
      </w:pPr>
      <w:r>
        <w:rPr>
          <w:rFonts w:cstheme="minorHAnsi"/>
        </w:rPr>
        <w:t xml:space="preserve">Given the nature of this project, </w:t>
      </w:r>
      <w:r w:rsidRPr="0038117F" w:rsidR="006977E1">
        <w:rPr>
          <w:rFonts w:cstheme="minorHAnsi"/>
        </w:rPr>
        <w:t>N</w:t>
      </w:r>
      <w:r w:rsidRPr="00AF3C10" w:rsidR="006977E1">
        <w:rPr>
          <w:rFonts w:ascii="Calibri" w:hAnsi="Calibri" w:cs="Calibri"/>
        </w:rPr>
        <w:t xml:space="preserve">CES has been in consultation with </w:t>
      </w:r>
      <w:r>
        <w:rPr>
          <w:rFonts w:ascii="Calibri" w:hAnsi="Calibri" w:cs="Calibri"/>
        </w:rPr>
        <w:t>outside federal and non-federal organizations. Of particular note is the interaction with and direction of the FCSM. The FCSM is the driving force for this project and has been consulted at every stage of the process in defining the scope of the project as well as collaborating on all of the materials for this study.</w:t>
      </w:r>
    </w:p>
    <w:p w:rsidR="001271ED" w:rsidP="00B115B3" w:rsidRDefault="00EE4007" w14:paraId="54EF4685" w14:textId="3DE6412C">
      <w:pPr>
        <w:widowControl w:val="0"/>
        <w:autoSpaceDE w:val="0"/>
        <w:autoSpaceDN w:val="0"/>
        <w:adjustRightInd w:val="0"/>
        <w:spacing w:after="120" w:line="21" w:lineRule="atLeast"/>
        <w:rPr>
          <w:rFonts w:eastAsia="Times New Roman" w:cs="Times New Roman"/>
          <w:color w:val="000000" w:themeColor="text1"/>
        </w:rPr>
      </w:pPr>
      <w:r w:rsidRPr="00BC5D83">
        <w:rPr>
          <w:rFonts w:ascii="Calibri" w:hAnsi="Calibri" w:cs="Calibri"/>
        </w:rPr>
        <w:t xml:space="preserve">The project team </w:t>
      </w:r>
      <w:r w:rsidRPr="00BC5D83" w:rsidR="00601BC3">
        <w:rPr>
          <w:rFonts w:ascii="Calibri" w:hAnsi="Calibri" w:cs="Calibri"/>
        </w:rPr>
        <w:t xml:space="preserve">assembled for this effort </w:t>
      </w:r>
      <w:r w:rsidRPr="00BC5D83" w:rsidR="00743D5E">
        <w:rPr>
          <w:rFonts w:ascii="Calibri" w:hAnsi="Calibri" w:cs="Calibri"/>
        </w:rPr>
        <w:t>reflects the interagency collaborat</w:t>
      </w:r>
      <w:r w:rsidRPr="00BC5D83" w:rsidR="00A80CE7">
        <w:rPr>
          <w:rFonts w:ascii="Calibri" w:hAnsi="Calibri" w:cs="Calibri"/>
        </w:rPr>
        <w:t>ive of</w:t>
      </w:r>
      <w:r w:rsidRPr="00BC5D83" w:rsidR="00C72182">
        <w:rPr>
          <w:rFonts w:ascii="Calibri" w:hAnsi="Calibri" w:cs="Calibri"/>
        </w:rPr>
        <w:t xml:space="preserve"> the FCSM. Government representatives from both the Census Bureau and NCES</w:t>
      </w:r>
      <w:r w:rsidRPr="00BC5D83" w:rsidR="00A80CE7">
        <w:rPr>
          <w:rFonts w:ascii="Calibri" w:hAnsi="Calibri" w:cs="Calibri"/>
        </w:rPr>
        <w:t xml:space="preserve"> </w:t>
      </w:r>
      <w:r w:rsidR="00DE5C9A">
        <w:rPr>
          <w:rFonts w:ascii="Calibri" w:hAnsi="Calibri" w:cs="Calibri"/>
        </w:rPr>
        <w:t>bring</w:t>
      </w:r>
      <w:r w:rsidRPr="00BC5D83" w:rsidR="00A80CE7">
        <w:rPr>
          <w:rFonts w:ascii="Calibri" w:hAnsi="Calibri" w:cs="Calibri"/>
        </w:rPr>
        <w:t xml:space="preserve"> expertise in </w:t>
      </w:r>
      <w:r w:rsidR="00A80CE7">
        <w:rPr>
          <w:rFonts w:eastAsia="Times New Roman" w:cs="Times New Roman"/>
          <w:color w:val="000000" w:themeColor="text1"/>
        </w:rPr>
        <w:t>data confidentiality and disclosure avoidance</w:t>
      </w:r>
      <w:r w:rsidR="00446BBE">
        <w:rPr>
          <w:rFonts w:eastAsia="Times New Roman" w:cs="Times New Roman"/>
          <w:color w:val="000000" w:themeColor="text1"/>
        </w:rPr>
        <w:t>.  The contractor</w:t>
      </w:r>
      <w:r w:rsidR="00925C4E">
        <w:rPr>
          <w:rFonts w:eastAsia="Times New Roman" w:cs="Times New Roman"/>
          <w:color w:val="000000" w:themeColor="text1"/>
        </w:rPr>
        <w:t>s</w:t>
      </w:r>
      <w:r w:rsidR="00446BBE">
        <w:rPr>
          <w:rFonts w:eastAsia="Times New Roman" w:cs="Times New Roman"/>
          <w:color w:val="000000" w:themeColor="text1"/>
        </w:rPr>
        <w:t xml:space="preserve"> selected to support this effort also are recognized in the </w:t>
      </w:r>
      <w:r w:rsidR="00261F91">
        <w:rPr>
          <w:rFonts w:eastAsia="Times New Roman" w:cs="Times New Roman"/>
          <w:color w:val="000000" w:themeColor="text1"/>
        </w:rPr>
        <w:t xml:space="preserve">web solutions </w:t>
      </w:r>
      <w:r w:rsidR="00A777B7">
        <w:rPr>
          <w:rFonts w:eastAsia="Times New Roman" w:cs="Times New Roman"/>
          <w:color w:val="000000" w:themeColor="text1"/>
        </w:rPr>
        <w:t xml:space="preserve">and disclosure avoidance space.  </w:t>
      </w:r>
      <w:proofErr w:type="spellStart"/>
      <w:r w:rsidR="006C6CC6">
        <w:rPr>
          <w:rFonts w:eastAsia="Times New Roman" w:cs="Times New Roman"/>
          <w:color w:val="000000" w:themeColor="text1"/>
        </w:rPr>
        <w:t>Sanametrix</w:t>
      </w:r>
      <w:proofErr w:type="spellEnd"/>
      <w:r w:rsidR="006C6CC6">
        <w:rPr>
          <w:rFonts w:eastAsia="Times New Roman" w:cs="Times New Roman"/>
          <w:color w:val="000000" w:themeColor="text1"/>
        </w:rPr>
        <w:t xml:space="preserve"> has a proven track record in providing customized web data collection and dissemination for federal statistical agencies, particularly NCES</w:t>
      </w:r>
      <w:r w:rsidR="001271ED">
        <w:rPr>
          <w:rFonts w:eastAsia="Times New Roman" w:cs="Times New Roman"/>
          <w:color w:val="000000" w:themeColor="text1"/>
        </w:rPr>
        <w:t xml:space="preserve">.  </w:t>
      </w:r>
      <w:proofErr w:type="spellStart"/>
      <w:r w:rsidR="001271ED">
        <w:rPr>
          <w:rFonts w:eastAsia="Times New Roman" w:cs="Times New Roman"/>
          <w:color w:val="000000" w:themeColor="text1"/>
        </w:rPr>
        <w:t>Sanametri</w:t>
      </w:r>
      <w:r w:rsidR="00BC5D83">
        <w:rPr>
          <w:rFonts w:eastAsia="Times New Roman" w:cs="Times New Roman"/>
          <w:color w:val="000000" w:themeColor="text1"/>
        </w:rPr>
        <w:t>x</w:t>
      </w:r>
      <w:proofErr w:type="spellEnd"/>
      <w:r w:rsidR="00BC5D83">
        <w:rPr>
          <w:rFonts w:eastAsia="Times New Roman" w:cs="Times New Roman"/>
          <w:color w:val="000000" w:themeColor="text1"/>
        </w:rPr>
        <w:t xml:space="preserve"> subcontracting partner Westat</w:t>
      </w:r>
      <w:bookmarkStart w:name="_GoBack" w:id="18"/>
      <w:bookmarkEnd w:id="18"/>
      <w:r w:rsidR="001271ED">
        <w:rPr>
          <w:rFonts w:eastAsia="Times New Roman" w:cs="Times New Roman"/>
          <w:color w:val="000000" w:themeColor="text1"/>
        </w:rPr>
        <w:t xml:space="preserve"> </w:t>
      </w:r>
      <w:r w:rsidRPr="003732AB" w:rsidR="003732AB">
        <w:rPr>
          <w:rFonts w:eastAsia="Times New Roman" w:cs="Times New Roman"/>
          <w:color w:val="000000" w:themeColor="text1"/>
        </w:rPr>
        <w:t xml:space="preserve">has developed expertise in </w:t>
      </w:r>
      <w:r w:rsidR="003732AB">
        <w:rPr>
          <w:rFonts w:eastAsia="Times New Roman" w:cs="Times New Roman"/>
          <w:color w:val="000000" w:themeColor="text1"/>
        </w:rPr>
        <w:t>s</w:t>
      </w:r>
      <w:r w:rsidRPr="003732AB" w:rsidR="003732AB">
        <w:rPr>
          <w:rFonts w:eastAsia="Times New Roman" w:cs="Times New Roman"/>
          <w:color w:val="000000" w:themeColor="text1"/>
        </w:rPr>
        <w:t>tatistical</w:t>
      </w:r>
      <w:r w:rsidR="003732AB">
        <w:rPr>
          <w:rFonts w:eastAsia="Times New Roman" w:cs="Times New Roman"/>
          <w:color w:val="000000" w:themeColor="text1"/>
        </w:rPr>
        <w:t xml:space="preserve"> confidentiality</w:t>
      </w:r>
      <w:r w:rsidRPr="003732AB" w:rsidR="003732AB">
        <w:rPr>
          <w:rFonts w:eastAsia="Times New Roman" w:cs="Times New Roman"/>
          <w:color w:val="000000" w:themeColor="text1"/>
        </w:rPr>
        <w:t xml:space="preserve">, including disclosure risk analyses and applying </w:t>
      </w:r>
      <w:r w:rsidR="003732AB">
        <w:rPr>
          <w:rFonts w:eastAsia="Times New Roman" w:cs="Times New Roman"/>
          <w:color w:val="000000" w:themeColor="text1"/>
        </w:rPr>
        <w:t>confidentiality</w:t>
      </w:r>
      <w:r w:rsidRPr="003732AB" w:rsidR="003732AB">
        <w:rPr>
          <w:rFonts w:eastAsia="Times New Roman" w:cs="Times New Roman"/>
          <w:color w:val="000000" w:themeColor="text1"/>
        </w:rPr>
        <w:t xml:space="preserve"> treatments prior to </w:t>
      </w:r>
      <w:r w:rsidR="00F82AB5">
        <w:rPr>
          <w:rFonts w:eastAsia="Times New Roman" w:cs="Times New Roman"/>
          <w:color w:val="000000" w:themeColor="text1"/>
        </w:rPr>
        <w:t>delivering data to government agencies</w:t>
      </w:r>
      <w:r w:rsidR="001271ED">
        <w:rPr>
          <w:rFonts w:eastAsia="Times New Roman" w:cs="Times New Roman"/>
          <w:color w:val="000000" w:themeColor="text1"/>
        </w:rPr>
        <w:t>.</w:t>
      </w:r>
      <w:r w:rsidR="00DE5C9A">
        <w:rPr>
          <w:rFonts w:eastAsia="Times New Roman" w:cs="Times New Roman"/>
          <w:color w:val="000000" w:themeColor="text1"/>
        </w:rPr>
        <w:t xml:space="preserve"> The </w:t>
      </w:r>
      <w:proofErr w:type="spellStart"/>
      <w:r w:rsidR="00DE5C9A">
        <w:rPr>
          <w:rFonts w:eastAsia="Times New Roman" w:cs="Times New Roman"/>
          <w:color w:val="000000" w:themeColor="text1"/>
        </w:rPr>
        <w:t>Sanametrix</w:t>
      </w:r>
      <w:proofErr w:type="spellEnd"/>
      <w:r w:rsidR="00DE5C9A">
        <w:rPr>
          <w:rFonts w:eastAsia="Times New Roman" w:cs="Times New Roman"/>
          <w:color w:val="000000" w:themeColor="text1"/>
        </w:rPr>
        <w:t xml:space="preserve"> team will support this project from data collection </w:t>
      </w:r>
      <w:r w:rsidR="00AE37C1">
        <w:rPr>
          <w:rFonts w:eastAsia="Times New Roman" w:cs="Times New Roman"/>
          <w:color w:val="000000" w:themeColor="text1"/>
        </w:rPr>
        <w:t>through analysis and reporting via the Data Protection Toolkit.</w:t>
      </w:r>
    </w:p>
    <w:p w:rsidRPr="00BB3539" w:rsidR="00BB3539" w:rsidP="006B40B3" w:rsidRDefault="00054E3E" w14:paraId="24DAC182" w14:textId="0E75CFFE">
      <w:pPr>
        <w:pStyle w:val="Heading2"/>
        <w:spacing w:line="274" w:lineRule="auto"/>
      </w:pPr>
      <w:bookmarkStart w:name="_Toc26981020" w:id="19"/>
      <w:r>
        <w:t>5</w:t>
      </w:r>
      <w:r w:rsidR="005F1145">
        <w:t xml:space="preserve">. </w:t>
      </w:r>
      <w:r w:rsidRPr="00BB3539" w:rsidR="00BB3539">
        <w:t>Assurance of Confidentiality</w:t>
      </w:r>
      <w:bookmarkEnd w:id="19"/>
    </w:p>
    <w:p w:rsidRPr="000E6E4E" w:rsidR="00BB3539" w:rsidP="000E6E4E" w:rsidRDefault="00BB3539" w14:paraId="16610D6C" w14:textId="0EC7158A">
      <w:pPr>
        <w:widowControl w:val="0"/>
        <w:spacing w:after="0" w:line="240" w:lineRule="auto"/>
        <w:rPr>
          <w:rFonts w:ascii="Calibri" w:hAnsi="Calibri"/>
          <w:iCs/>
        </w:rPr>
      </w:pPr>
      <w:bookmarkStart w:name="_Toc299121374" w:id="20"/>
      <w:bookmarkStart w:name="_Toc300165576" w:id="21"/>
      <w:r w:rsidRPr="006B40B3">
        <w:rPr>
          <w:rFonts w:ascii="Calibri" w:hAnsi="Calibri" w:eastAsia="Times New Roman" w:cs="Times New Roman"/>
          <w:color w:val="000000" w:themeColor="text1"/>
        </w:rPr>
        <w:t xml:space="preserve">All </w:t>
      </w:r>
      <w:r w:rsidRPr="00DD2B76">
        <w:rPr>
          <w:rFonts w:ascii="Calibri" w:hAnsi="Calibri" w:eastAsia="Times New Roman" w:cs="Times New Roman"/>
          <w:color w:val="000000" w:themeColor="text1"/>
        </w:rPr>
        <w:t>participants will be assured that their participation is voluntary</w:t>
      </w:r>
      <w:r w:rsidR="00F663CB">
        <w:rPr>
          <w:rFonts w:ascii="Calibri" w:hAnsi="Calibri" w:eastAsia="Times New Roman" w:cs="Times New Roman"/>
          <w:color w:val="000000" w:themeColor="text1"/>
        </w:rPr>
        <w:t xml:space="preserve">. However, the purpose of this information collection is to </w:t>
      </w:r>
      <w:r w:rsidR="00736815">
        <w:rPr>
          <w:rFonts w:ascii="Calibri" w:hAnsi="Calibri" w:eastAsia="Times New Roman" w:cs="Times New Roman"/>
          <w:color w:val="000000" w:themeColor="text1"/>
        </w:rPr>
        <w:t>create a repository of best practices for data disclosure avoidance. As such, the information provided by participants will not be confidential. This lack of confidentiality will be communicated to the potential participants in all communications materials (see A</w:t>
      </w:r>
      <w:r w:rsidR="00A61D93">
        <w:rPr>
          <w:rFonts w:ascii="Calibri" w:hAnsi="Calibri" w:eastAsia="Times New Roman" w:cs="Times New Roman"/>
          <w:color w:val="000000" w:themeColor="text1"/>
        </w:rPr>
        <w:t>ttachment</w:t>
      </w:r>
      <w:r w:rsidR="00736815">
        <w:rPr>
          <w:rFonts w:ascii="Calibri" w:hAnsi="Calibri" w:eastAsia="Times New Roman" w:cs="Times New Roman"/>
          <w:color w:val="000000" w:themeColor="text1"/>
        </w:rPr>
        <w:t xml:space="preserve"> </w:t>
      </w:r>
      <w:r w:rsidR="00A61D93">
        <w:rPr>
          <w:rFonts w:ascii="Calibri" w:hAnsi="Calibri" w:eastAsia="Times New Roman" w:cs="Times New Roman"/>
          <w:color w:val="000000" w:themeColor="text1"/>
        </w:rPr>
        <w:t>1</w:t>
      </w:r>
      <w:r w:rsidR="00736815">
        <w:rPr>
          <w:rFonts w:ascii="Calibri" w:hAnsi="Calibri" w:eastAsia="Times New Roman" w:cs="Times New Roman"/>
          <w:color w:val="000000" w:themeColor="text1"/>
        </w:rPr>
        <w:t>).</w:t>
      </w:r>
    </w:p>
    <w:p w:rsidR="00BB3539" w:rsidP="00360933" w:rsidRDefault="00054E3E" w14:paraId="32D9424C" w14:textId="0F1BF23C">
      <w:pPr>
        <w:pStyle w:val="Heading2"/>
        <w:spacing w:line="274" w:lineRule="auto"/>
        <w:rPr>
          <w:rFonts w:ascii="Times New Roman" w:hAnsi="Times New Roman" w:cs="Times New Roman"/>
          <w:sz w:val="24"/>
          <w:szCs w:val="24"/>
        </w:rPr>
      </w:pPr>
      <w:bookmarkStart w:name="_Toc26981021" w:id="22"/>
      <w:bookmarkEnd w:id="20"/>
      <w:bookmarkEnd w:id="21"/>
      <w:r>
        <w:rPr>
          <w:bCs w:val="0"/>
        </w:rPr>
        <w:t>6</w:t>
      </w:r>
      <w:r w:rsidRPr="00360933" w:rsidR="0093275B">
        <w:rPr>
          <w:bCs w:val="0"/>
        </w:rPr>
        <w:t>.</w:t>
      </w:r>
      <w:r w:rsidR="0093275B">
        <w:t xml:space="preserve"> </w:t>
      </w:r>
      <w:r w:rsidRPr="00BB3539" w:rsidR="00BB3539">
        <w:t>Estimate of Costs for Recruiting and Paying Respondents</w:t>
      </w:r>
      <w:bookmarkEnd w:id="22"/>
    </w:p>
    <w:p w:rsidRPr="006B40B3" w:rsidR="00A01789" w:rsidP="00746E67" w:rsidRDefault="00031A2A" w14:paraId="02E32D97" w14:textId="5B5661F7">
      <w:pPr>
        <w:widowControl w:val="0"/>
        <w:spacing w:after="0" w:line="240" w:lineRule="auto"/>
        <w:rPr>
          <w:rFonts w:ascii="Calibri" w:hAnsi="Calibri" w:eastAsia="Times New Roman" w:cs="Times New Roman"/>
          <w:color w:val="000000" w:themeColor="text1"/>
        </w:rPr>
      </w:pPr>
      <w:r>
        <w:rPr>
          <w:rFonts w:ascii="Calibri" w:hAnsi="Calibri" w:eastAsia="Times New Roman" w:cs="Times New Roman"/>
          <w:color w:val="000000" w:themeColor="text1"/>
        </w:rPr>
        <w:t>No monetary or in-kind payments will be made for the purposes of recruitment or completed interviews</w:t>
      </w:r>
      <w:r w:rsidRPr="006B40B3" w:rsidR="006970F4">
        <w:rPr>
          <w:rFonts w:ascii="Calibri" w:hAnsi="Calibri" w:eastAsia="Times New Roman" w:cs="Times New Roman"/>
          <w:color w:val="000000" w:themeColor="text1"/>
        </w:rPr>
        <w:t>.</w:t>
      </w:r>
    </w:p>
    <w:p w:rsidRPr="00BB3539" w:rsidR="00391FB4" w:rsidP="00360933" w:rsidRDefault="00054E3E" w14:paraId="29A4B7EA" w14:textId="3E28A6F6">
      <w:pPr>
        <w:pStyle w:val="Heading2"/>
        <w:spacing w:line="274" w:lineRule="auto"/>
      </w:pPr>
      <w:bookmarkStart w:name="_Toc402190798" w:id="23"/>
      <w:bookmarkStart w:name="_Toc3561633" w:id="24"/>
      <w:bookmarkStart w:name="_Toc3565688" w:id="25"/>
      <w:bookmarkStart w:name="_Toc6332211" w:id="26"/>
      <w:bookmarkStart w:name="_Toc26981022" w:id="27"/>
      <w:bookmarkStart w:name="_Toc470703367" w:id="28"/>
      <w:bookmarkStart w:name="_Toc294859913" w:id="29"/>
      <w:bookmarkEnd w:id="12"/>
      <w:bookmarkEnd w:id="13"/>
      <w:bookmarkEnd w:id="16"/>
      <w:r>
        <w:rPr>
          <w:bCs w:val="0"/>
        </w:rPr>
        <w:t>7</w:t>
      </w:r>
      <w:r w:rsidRPr="00360933" w:rsidR="0093275B">
        <w:rPr>
          <w:bCs w:val="0"/>
        </w:rPr>
        <w:t>.</w:t>
      </w:r>
      <w:r w:rsidR="0093275B">
        <w:t xml:space="preserve"> </w:t>
      </w:r>
      <w:r w:rsidRPr="00BB3539" w:rsidR="00391FB4">
        <w:t>Estimate of Hour</w:t>
      </w:r>
      <w:r w:rsidR="00BE2283">
        <w:t>ly</w:t>
      </w:r>
      <w:r w:rsidRPr="00BB3539" w:rsidR="00391FB4">
        <w:t xml:space="preserve"> Burden</w:t>
      </w:r>
      <w:bookmarkEnd w:id="23"/>
      <w:bookmarkEnd w:id="24"/>
      <w:bookmarkEnd w:id="25"/>
      <w:bookmarkEnd w:id="26"/>
      <w:bookmarkEnd w:id="27"/>
    </w:p>
    <w:p w:rsidR="00405A11" w:rsidP="006B40B3" w:rsidRDefault="002A5AD5" w14:paraId="5193EFEE" w14:textId="61A83C31">
      <w:pPr>
        <w:widowControl w:val="0"/>
        <w:spacing w:after="120" w:line="21" w:lineRule="atLeast"/>
        <w:rPr>
          <w:rFonts w:ascii="Calibri" w:hAnsi="Calibri" w:eastAsia="Times New Roman" w:cs="Times New Roman"/>
          <w:color w:val="000000" w:themeColor="text1"/>
          <w:szCs w:val="24"/>
        </w:rPr>
      </w:pPr>
      <w:bookmarkStart w:name="_Hlk9501704" w:id="30"/>
      <w:r>
        <w:rPr>
          <w:rFonts w:ascii="Calibri" w:hAnsi="Calibri" w:eastAsia="Times New Roman" w:cs="Times New Roman"/>
          <w:color w:val="000000" w:themeColor="text1"/>
        </w:rPr>
        <w:t xml:space="preserve">The list provided by the FCSM </w:t>
      </w:r>
      <w:r w:rsidR="00574001">
        <w:rPr>
          <w:rFonts w:ascii="Calibri" w:hAnsi="Calibri" w:eastAsia="Times New Roman" w:cs="Times New Roman"/>
          <w:color w:val="000000" w:themeColor="text1"/>
        </w:rPr>
        <w:t>is a collection of</w:t>
      </w:r>
      <w:r>
        <w:rPr>
          <w:rFonts w:ascii="Calibri" w:hAnsi="Calibri" w:eastAsia="Times New Roman" w:cs="Times New Roman"/>
          <w:color w:val="000000" w:themeColor="text1"/>
        </w:rPr>
        <w:t xml:space="preserve"> </w:t>
      </w:r>
      <w:r w:rsidR="00574001">
        <w:rPr>
          <w:rFonts w:ascii="Calibri" w:hAnsi="Calibri" w:eastAsia="Times New Roman" w:cs="Times New Roman"/>
          <w:color w:val="000000" w:themeColor="text1"/>
        </w:rPr>
        <w:t xml:space="preserve">single </w:t>
      </w:r>
      <w:r>
        <w:rPr>
          <w:rFonts w:ascii="Calibri" w:hAnsi="Calibri" w:eastAsia="Times New Roman" w:cs="Times New Roman"/>
          <w:color w:val="000000" w:themeColor="text1"/>
        </w:rPr>
        <w:t>individual</w:t>
      </w:r>
      <w:r w:rsidR="00574001">
        <w:rPr>
          <w:rFonts w:ascii="Calibri" w:hAnsi="Calibri" w:eastAsia="Times New Roman" w:cs="Times New Roman"/>
          <w:color w:val="000000" w:themeColor="text1"/>
        </w:rPr>
        <w:t>s</w:t>
      </w:r>
      <w:r>
        <w:rPr>
          <w:rFonts w:ascii="Calibri" w:hAnsi="Calibri" w:eastAsia="Times New Roman" w:cs="Times New Roman"/>
          <w:color w:val="000000" w:themeColor="text1"/>
        </w:rPr>
        <w:t xml:space="preserve"> </w:t>
      </w:r>
      <w:r w:rsidR="00766443">
        <w:rPr>
          <w:rFonts w:ascii="Calibri" w:hAnsi="Calibri" w:eastAsia="Times New Roman" w:cs="Times New Roman"/>
          <w:color w:val="000000" w:themeColor="text1"/>
        </w:rPr>
        <w:t>from a total of</w:t>
      </w:r>
      <w:r>
        <w:rPr>
          <w:rFonts w:ascii="Calibri" w:hAnsi="Calibri" w:eastAsia="Times New Roman" w:cs="Times New Roman"/>
          <w:color w:val="000000" w:themeColor="text1"/>
        </w:rPr>
        <w:t xml:space="preserve"> 2</w:t>
      </w:r>
      <w:r w:rsidR="00AD7811">
        <w:rPr>
          <w:rFonts w:ascii="Calibri" w:hAnsi="Calibri" w:eastAsia="Times New Roman" w:cs="Times New Roman"/>
          <w:color w:val="000000" w:themeColor="text1"/>
        </w:rPr>
        <w:t>1</w:t>
      </w:r>
      <w:r>
        <w:rPr>
          <w:rFonts w:ascii="Calibri" w:hAnsi="Calibri" w:eastAsia="Times New Roman" w:cs="Times New Roman"/>
          <w:color w:val="000000" w:themeColor="text1"/>
        </w:rPr>
        <w:t xml:space="preserve"> entities. </w:t>
      </w:r>
      <w:r w:rsidR="00736815">
        <w:rPr>
          <w:rFonts w:ascii="Calibri" w:hAnsi="Calibri" w:eastAsia="Times New Roman" w:cs="Times New Roman"/>
          <w:color w:val="000000" w:themeColor="text1"/>
        </w:rPr>
        <w:t>It is estimated that it will take approximately 5 minutes to read the invitation and associated materials and decide whether or not to participate. It is further estimated that once having decided to participate, the information collection process will take approximately 20 minutes.</w:t>
      </w:r>
      <w:r w:rsidRPr="006B40B3" w:rsidR="00391FB4">
        <w:rPr>
          <w:rFonts w:ascii="Calibri" w:hAnsi="Calibri" w:eastAsia="Times New Roman" w:cs="Times New Roman"/>
          <w:color w:val="000000" w:themeColor="text1"/>
        </w:rPr>
        <w:t xml:space="preserve"> </w:t>
      </w:r>
      <w:r w:rsidR="00736815">
        <w:rPr>
          <w:rFonts w:ascii="Calibri" w:hAnsi="Calibri" w:eastAsia="Times New Roman" w:cs="Times New Roman"/>
          <w:color w:val="000000" w:themeColor="text1"/>
        </w:rPr>
        <w:t>Through email follow-up</w:t>
      </w:r>
      <w:r w:rsidR="006A323A">
        <w:rPr>
          <w:rFonts w:ascii="Calibri" w:hAnsi="Calibri" w:eastAsia="Times New Roman" w:cs="Times New Roman"/>
          <w:color w:val="000000" w:themeColor="text1"/>
        </w:rPr>
        <w:t xml:space="preserve"> efforts</w:t>
      </w:r>
      <w:r w:rsidR="00736815">
        <w:rPr>
          <w:rFonts w:ascii="Calibri" w:hAnsi="Calibri" w:eastAsia="Times New Roman" w:cs="Times New Roman"/>
          <w:color w:val="000000" w:themeColor="text1"/>
        </w:rPr>
        <w:t>, the estimated response rate is 4</w:t>
      </w:r>
      <w:r w:rsidR="00F651D4">
        <w:rPr>
          <w:rFonts w:ascii="Calibri" w:hAnsi="Calibri" w:eastAsia="Times New Roman" w:cs="Times New Roman"/>
          <w:color w:val="000000" w:themeColor="text1"/>
        </w:rPr>
        <w:t>8</w:t>
      </w:r>
      <w:r w:rsidR="00736815">
        <w:rPr>
          <w:rFonts w:ascii="Calibri" w:hAnsi="Calibri" w:eastAsia="Times New Roman" w:cs="Times New Roman"/>
          <w:color w:val="000000" w:themeColor="text1"/>
        </w:rPr>
        <w:t>%, resulting in approximately 10 completed information collection requests.</w:t>
      </w:r>
      <w:r w:rsidR="00405A11">
        <w:rPr>
          <w:rFonts w:ascii="Calibri" w:hAnsi="Calibri" w:eastAsia="Times New Roman" w:cs="Times New Roman"/>
          <w:color w:val="000000" w:themeColor="text1"/>
        </w:rPr>
        <w:t xml:space="preserve"> </w:t>
      </w:r>
      <w:bookmarkEnd w:id="30"/>
      <w:r w:rsidR="00405A11">
        <w:rPr>
          <w:rFonts w:ascii="Calibri" w:hAnsi="Calibri" w:eastAsia="Times New Roman" w:cs="Times New Roman"/>
          <w:color w:val="000000" w:themeColor="text1"/>
        </w:rPr>
        <w:t>T</w:t>
      </w:r>
      <w:r w:rsidRPr="00DA7000" w:rsidR="008A06C5">
        <w:rPr>
          <w:rFonts w:ascii="Calibri" w:hAnsi="Calibri" w:eastAsia="Times New Roman" w:cs="Times New Roman"/>
          <w:color w:val="000000" w:themeColor="text1"/>
          <w:szCs w:val="24"/>
        </w:rPr>
        <w:t xml:space="preserve">able 1 </w:t>
      </w:r>
      <w:r w:rsidR="00736815">
        <w:rPr>
          <w:rFonts w:ascii="Calibri" w:hAnsi="Calibri" w:eastAsia="Times New Roman" w:cs="Times New Roman"/>
          <w:color w:val="000000" w:themeColor="text1"/>
          <w:szCs w:val="24"/>
        </w:rPr>
        <w:t xml:space="preserve">below </w:t>
      </w:r>
      <w:r w:rsidRPr="00DA7000" w:rsidR="008A06C5">
        <w:rPr>
          <w:rFonts w:ascii="Calibri" w:hAnsi="Calibri" w:eastAsia="Times New Roman" w:cs="Times New Roman"/>
          <w:color w:val="000000" w:themeColor="text1"/>
          <w:szCs w:val="24"/>
        </w:rPr>
        <w:t xml:space="preserve">shows burden estimates </w:t>
      </w:r>
      <w:r w:rsidR="00DC3510">
        <w:rPr>
          <w:rFonts w:ascii="Calibri" w:hAnsi="Calibri" w:eastAsia="Times New Roman" w:cs="Times New Roman"/>
          <w:color w:val="000000" w:themeColor="text1"/>
          <w:szCs w:val="24"/>
        </w:rPr>
        <w:t xml:space="preserve">for </w:t>
      </w:r>
      <w:r w:rsidRPr="00DA7000" w:rsidR="008A06C5">
        <w:rPr>
          <w:rFonts w:ascii="Calibri" w:hAnsi="Calibri" w:eastAsia="Times New Roman" w:cs="Times New Roman"/>
          <w:color w:val="000000" w:themeColor="text1"/>
          <w:szCs w:val="24"/>
        </w:rPr>
        <w:t xml:space="preserve">(a) </w:t>
      </w:r>
      <w:r w:rsidR="00DC3510">
        <w:rPr>
          <w:rFonts w:ascii="Calibri" w:hAnsi="Calibri" w:eastAsia="Times New Roman" w:cs="Times New Roman"/>
          <w:color w:val="000000" w:themeColor="text1"/>
          <w:szCs w:val="24"/>
        </w:rPr>
        <w:t>recruiting participants</w:t>
      </w:r>
      <w:r w:rsidRPr="00DA7000" w:rsidR="008A06C5">
        <w:rPr>
          <w:rFonts w:ascii="Calibri" w:hAnsi="Calibri" w:eastAsia="Times New Roman" w:cs="Times New Roman"/>
          <w:color w:val="000000" w:themeColor="text1"/>
          <w:szCs w:val="24"/>
        </w:rPr>
        <w:t xml:space="preserve">; and (b) </w:t>
      </w:r>
      <w:r w:rsidR="00736815">
        <w:rPr>
          <w:rFonts w:ascii="Calibri" w:hAnsi="Calibri" w:eastAsia="Times New Roman" w:cs="Times New Roman"/>
          <w:color w:val="000000" w:themeColor="text1"/>
          <w:szCs w:val="24"/>
        </w:rPr>
        <w:t>providing the requested information</w:t>
      </w:r>
      <w:r w:rsidRPr="00DA7000" w:rsidR="008A06C5">
        <w:rPr>
          <w:rFonts w:ascii="Calibri" w:hAnsi="Calibri" w:eastAsia="Times New Roman" w:cs="Times New Roman"/>
          <w:color w:val="000000" w:themeColor="text1"/>
          <w:szCs w:val="24"/>
        </w:rPr>
        <w:t>.</w:t>
      </w:r>
    </w:p>
    <w:p w:rsidRPr="00507167" w:rsidR="00391FB4" w:rsidP="00BB3539" w:rsidRDefault="00391FB4" w14:paraId="6C1C85E5" w14:textId="6A9ADD9F">
      <w:pPr>
        <w:pStyle w:val="TableTitle"/>
        <w:spacing w:after="0" w:line="240" w:lineRule="auto"/>
        <w:rPr>
          <w:rFonts w:asciiTheme="minorHAnsi" w:hAnsiTheme="minorHAnsi" w:eastAsiaTheme="majorEastAsia" w:cstheme="minorHAnsi"/>
          <w:sz w:val="22"/>
          <w:szCs w:val="22"/>
        </w:rPr>
      </w:pPr>
      <w:bookmarkStart w:name="_Toc6332220" w:id="31"/>
      <w:r w:rsidRPr="00507167">
        <w:rPr>
          <w:rFonts w:asciiTheme="minorHAnsi" w:hAnsiTheme="minorHAnsi" w:eastAsiaTheme="majorEastAsia" w:cstheme="minorHAnsi"/>
          <w:sz w:val="22"/>
          <w:szCs w:val="22"/>
        </w:rPr>
        <w:lastRenderedPageBreak/>
        <w:t xml:space="preserve">Table 1. </w:t>
      </w:r>
      <w:r w:rsidRPr="00507167" w:rsidR="00DC3510">
        <w:rPr>
          <w:rFonts w:asciiTheme="minorHAnsi" w:hAnsiTheme="minorHAnsi" w:eastAsiaTheme="majorEastAsia" w:cstheme="minorHAnsi"/>
          <w:sz w:val="22"/>
          <w:szCs w:val="22"/>
        </w:rPr>
        <w:t xml:space="preserve">Estimate </w:t>
      </w:r>
      <w:r w:rsidRPr="00507167">
        <w:rPr>
          <w:rFonts w:asciiTheme="minorHAnsi" w:hAnsiTheme="minorHAnsi" w:eastAsiaTheme="majorEastAsia" w:cstheme="minorHAnsi"/>
          <w:sz w:val="22"/>
          <w:szCs w:val="22"/>
        </w:rPr>
        <w:t xml:space="preserve">of hourly burden for </w:t>
      </w:r>
      <w:bookmarkEnd w:id="31"/>
      <w:r w:rsidRPr="00507167" w:rsidR="00766443">
        <w:rPr>
          <w:rFonts w:asciiTheme="minorHAnsi" w:hAnsiTheme="minorHAnsi" w:eastAsiaTheme="majorEastAsia" w:cstheme="minorHAnsi"/>
          <w:sz w:val="22"/>
          <w:szCs w:val="22"/>
        </w:rPr>
        <w:t xml:space="preserve">Data Toolkit Information </w:t>
      </w:r>
      <w:r w:rsidRPr="00507167" w:rsidR="00507167">
        <w:rPr>
          <w:rFonts w:asciiTheme="minorHAnsi" w:hAnsiTheme="minorHAnsi" w:eastAsiaTheme="majorEastAsia" w:cstheme="minorHAnsi"/>
          <w:sz w:val="22"/>
          <w:szCs w:val="22"/>
        </w:rPr>
        <w:t>Collection</w:t>
      </w:r>
    </w:p>
    <w:tbl>
      <w:tblPr>
        <w:tblStyle w:val="AIRBlueTable"/>
        <w:tblW w:w="5000" w:type="pct"/>
        <w:tblLayout w:type="fixed"/>
        <w:tblLook w:val="01E0" w:firstRow="1" w:lastRow="1" w:firstColumn="1" w:lastColumn="1" w:noHBand="0" w:noVBand="0"/>
      </w:tblPr>
      <w:tblGrid>
        <w:gridCol w:w="4153"/>
        <w:gridCol w:w="1648"/>
        <w:gridCol w:w="1648"/>
        <w:gridCol w:w="1680"/>
        <w:gridCol w:w="1613"/>
      </w:tblGrid>
      <w:tr w:rsidRPr="00507167" w:rsidR="00BF13A9" w:rsidTr="002A5AD5" w14:paraId="7BB47103" w14:textId="77777777">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933" w:type="pct"/>
            <w:tcBorders>
              <w:right w:val="single" w:color="FFFFFF" w:themeColor="background1" w:sz="4" w:space="0"/>
            </w:tcBorders>
            <w:shd w:val="clear" w:color="auto" w:fill="002060"/>
            <w:vAlign w:val="bottom"/>
            <w:hideMark/>
          </w:tcPr>
          <w:p w:rsidRPr="00507167" w:rsidR="00391FB4" w:rsidP="002A5AD5" w:rsidRDefault="005343AA" w14:paraId="1D4984F3" w14:textId="32BF6AFE">
            <w:pPr>
              <w:spacing w:before="0" w:after="0"/>
              <w:ind w:left="-30" w:right="-108"/>
              <w:rPr>
                <w:rFonts w:asciiTheme="minorHAnsi" w:hAnsiTheme="minorHAnsi" w:cstheme="minorHAnsi"/>
                <w:color w:val="FFFFFF" w:themeColor="background1"/>
              </w:rPr>
            </w:pPr>
            <w:r w:rsidRPr="00507167">
              <w:rPr>
                <w:rFonts w:asciiTheme="minorHAnsi" w:hAnsiTheme="minorHAnsi" w:cstheme="minorHAnsi"/>
                <w:bCs/>
                <w:color w:val="FFFFFF" w:themeColor="background1"/>
                <w:szCs w:val="20"/>
              </w:rPr>
              <w:t>Activity</w:t>
            </w:r>
          </w:p>
        </w:tc>
        <w:tc>
          <w:tcPr>
            <w:tcW w:w="767" w:type="pct"/>
            <w:tcBorders>
              <w:left w:val="single" w:color="FFFFFF" w:themeColor="background1" w:sz="4" w:space="0"/>
              <w:right w:val="single" w:color="FFFFFF" w:themeColor="background1" w:sz="4" w:space="0"/>
            </w:tcBorders>
            <w:shd w:val="clear" w:color="auto" w:fill="002060"/>
            <w:vAlign w:val="bottom"/>
            <w:hideMark/>
          </w:tcPr>
          <w:p w:rsidRPr="00507167" w:rsidR="00391FB4" w:rsidP="002A5AD5" w:rsidRDefault="00391FB4" w14:paraId="287E2157" w14:textId="0D2BC433">
            <w:pPr>
              <w:spacing w:before="0" w:after="0"/>
              <w:ind w:left="-89"/>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FFFFFF" w:themeColor="background1"/>
                <w:szCs w:val="20"/>
              </w:rPr>
            </w:pPr>
            <w:r w:rsidRPr="00507167">
              <w:rPr>
                <w:rFonts w:asciiTheme="minorHAnsi" w:hAnsiTheme="minorHAnsi" w:cstheme="minorHAnsi"/>
                <w:bCs/>
                <w:color w:val="FFFFFF" w:themeColor="background1"/>
                <w:szCs w:val="20"/>
              </w:rPr>
              <w:t>Number of Respondents</w:t>
            </w:r>
          </w:p>
        </w:tc>
        <w:tc>
          <w:tcPr>
            <w:tcW w:w="767" w:type="pct"/>
            <w:tcBorders>
              <w:left w:val="single" w:color="FFFFFF" w:themeColor="background1" w:sz="4" w:space="0"/>
              <w:right w:val="single" w:color="FFFFFF" w:themeColor="background1" w:sz="4" w:space="0"/>
            </w:tcBorders>
            <w:shd w:val="clear" w:color="auto" w:fill="002060"/>
            <w:vAlign w:val="bottom"/>
            <w:hideMark/>
          </w:tcPr>
          <w:p w:rsidRPr="00507167" w:rsidR="00391FB4" w:rsidP="002A5AD5" w:rsidRDefault="00391FB4" w14:paraId="09D1CFE4" w14:textId="77777777">
            <w:pPr>
              <w:spacing w:before="0" w:after="0"/>
              <w:ind w:left="-3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FFFFFF" w:themeColor="background1"/>
                <w:szCs w:val="20"/>
              </w:rPr>
            </w:pPr>
            <w:r w:rsidRPr="00507167">
              <w:rPr>
                <w:rFonts w:asciiTheme="minorHAnsi" w:hAnsiTheme="minorHAnsi" w:cstheme="minorHAnsi"/>
                <w:bCs/>
                <w:color w:val="FFFFFF" w:themeColor="background1"/>
                <w:szCs w:val="20"/>
              </w:rPr>
              <w:t>Number of Responses</w:t>
            </w:r>
          </w:p>
        </w:tc>
        <w:tc>
          <w:tcPr>
            <w:tcW w:w="782" w:type="pct"/>
            <w:tcBorders>
              <w:left w:val="single" w:color="FFFFFF" w:themeColor="background1" w:sz="4" w:space="0"/>
              <w:right w:val="single" w:color="FFFFFF" w:themeColor="background1" w:sz="4" w:space="0"/>
            </w:tcBorders>
            <w:shd w:val="clear" w:color="auto" w:fill="002060"/>
            <w:vAlign w:val="bottom"/>
            <w:hideMark/>
          </w:tcPr>
          <w:p w:rsidRPr="00507167" w:rsidR="00391FB4" w:rsidP="00093CA8" w:rsidRDefault="00391FB4" w14:paraId="512103AB" w14:textId="3163982F">
            <w:pPr>
              <w:spacing w:before="0" w:after="0"/>
              <w:ind w:left="-49" w:right="-1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FFFFFF" w:themeColor="background1"/>
                <w:szCs w:val="20"/>
              </w:rPr>
            </w:pPr>
            <w:r w:rsidRPr="00507167">
              <w:rPr>
                <w:rFonts w:asciiTheme="minorHAnsi" w:hAnsiTheme="minorHAnsi" w:cstheme="minorHAnsi"/>
                <w:bCs/>
                <w:color w:val="FFFFFF" w:themeColor="background1"/>
                <w:szCs w:val="20"/>
              </w:rPr>
              <w:t xml:space="preserve">Burden </w:t>
            </w:r>
            <w:r w:rsidR="00093CA8">
              <w:rPr>
                <w:rFonts w:asciiTheme="minorHAnsi" w:hAnsiTheme="minorHAnsi" w:cstheme="minorHAnsi"/>
                <w:bCs/>
                <w:color w:val="FFFFFF" w:themeColor="background1"/>
                <w:szCs w:val="20"/>
              </w:rPr>
              <w:t>Minutes</w:t>
            </w:r>
            <w:r w:rsidRPr="00507167">
              <w:rPr>
                <w:rFonts w:asciiTheme="minorHAnsi" w:hAnsiTheme="minorHAnsi" w:cstheme="minorHAnsi"/>
                <w:bCs/>
                <w:color w:val="FFFFFF" w:themeColor="background1"/>
                <w:szCs w:val="20"/>
              </w:rPr>
              <w:t xml:space="preserve"> per Respondent</w:t>
            </w:r>
          </w:p>
        </w:tc>
        <w:tc>
          <w:tcPr>
            <w:tcW w:w="751" w:type="pct"/>
            <w:tcBorders>
              <w:left w:val="single" w:color="FFFFFF" w:themeColor="background1" w:sz="4" w:space="0"/>
            </w:tcBorders>
            <w:shd w:val="clear" w:color="auto" w:fill="002060"/>
            <w:vAlign w:val="bottom"/>
            <w:hideMark/>
          </w:tcPr>
          <w:p w:rsidRPr="00507167" w:rsidR="00391FB4" w:rsidP="002A5AD5" w:rsidRDefault="00391FB4" w14:paraId="7A96868B" w14:textId="77777777">
            <w:pPr>
              <w:spacing w:before="0" w:after="0"/>
              <w:ind w:left="-18" w:right="-36"/>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FFFFFF" w:themeColor="background1"/>
                <w:szCs w:val="20"/>
              </w:rPr>
            </w:pPr>
            <w:r w:rsidRPr="00507167">
              <w:rPr>
                <w:rFonts w:asciiTheme="minorHAnsi" w:hAnsiTheme="minorHAnsi" w:cstheme="minorHAnsi"/>
                <w:bCs/>
                <w:color w:val="FFFFFF" w:themeColor="background1"/>
                <w:szCs w:val="20"/>
              </w:rPr>
              <w:t>Total Burden Hours</w:t>
            </w:r>
          </w:p>
        </w:tc>
      </w:tr>
      <w:tr w:rsidRPr="00507167" w:rsidR="00391FB4" w:rsidTr="002A5AD5" w14:paraId="769393C9"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3" w:type="pct"/>
            <w:shd w:val="clear" w:color="auto" w:fill="auto"/>
            <w:hideMark/>
          </w:tcPr>
          <w:p w:rsidRPr="00507167" w:rsidR="00391FB4" w:rsidP="00BB3539" w:rsidRDefault="00391FB4" w14:paraId="4847FB01" w14:textId="3456F596">
            <w:pPr>
              <w:spacing w:after="0"/>
              <w:rPr>
                <w:rFonts w:asciiTheme="minorHAnsi" w:hAnsiTheme="minorHAnsi" w:cstheme="minorHAnsi"/>
                <w:b w:val="0"/>
              </w:rPr>
            </w:pPr>
            <w:r w:rsidRPr="00507167">
              <w:rPr>
                <w:rFonts w:asciiTheme="minorHAnsi" w:hAnsiTheme="minorHAnsi" w:cstheme="minorHAnsi"/>
                <w:b w:val="0"/>
              </w:rPr>
              <w:t xml:space="preserve">Recruitment </w:t>
            </w:r>
          </w:p>
        </w:tc>
        <w:tc>
          <w:tcPr>
            <w:tcW w:w="767" w:type="pct"/>
            <w:shd w:val="clear" w:color="auto" w:fill="auto"/>
            <w:vAlign w:val="bottom"/>
            <w:hideMark/>
          </w:tcPr>
          <w:p w:rsidRPr="00507167" w:rsidR="00391FB4" w:rsidP="00F651D4" w:rsidRDefault="002A5AD5" w14:paraId="0C7536D9" w14:textId="0E468944">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7167">
              <w:rPr>
                <w:rFonts w:asciiTheme="minorHAnsi" w:hAnsiTheme="minorHAnsi" w:cstheme="minorHAnsi"/>
              </w:rPr>
              <w:t>2</w:t>
            </w:r>
            <w:r w:rsidR="00F651D4">
              <w:rPr>
                <w:rFonts w:asciiTheme="minorHAnsi" w:hAnsiTheme="minorHAnsi" w:cstheme="minorHAnsi"/>
              </w:rPr>
              <w:t>1</w:t>
            </w:r>
          </w:p>
        </w:tc>
        <w:tc>
          <w:tcPr>
            <w:tcW w:w="767" w:type="pct"/>
            <w:shd w:val="clear" w:color="auto" w:fill="auto"/>
            <w:vAlign w:val="bottom"/>
            <w:hideMark/>
          </w:tcPr>
          <w:p w:rsidRPr="00507167" w:rsidR="00391FB4" w:rsidP="00F651D4" w:rsidRDefault="002A5AD5" w14:paraId="07C5E260" w14:textId="573081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7167">
              <w:rPr>
                <w:rFonts w:asciiTheme="minorHAnsi" w:hAnsiTheme="minorHAnsi" w:cstheme="minorHAnsi"/>
              </w:rPr>
              <w:t>2</w:t>
            </w:r>
            <w:r w:rsidR="00F651D4">
              <w:rPr>
                <w:rFonts w:asciiTheme="minorHAnsi" w:hAnsiTheme="minorHAnsi" w:cstheme="minorHAnsi"/>
              </w:rPr>
              <w:t>1</w:t>
            </w:r>
          </w:p>
        </w:tc>
        <w:tc>
          <w:tcPr>
            <w:tcW w:w="782" w:type="pct"/>
            <w:shd w:val="clear" w:color="auto" w:fill="auto"/>
            <w:vAlign w:val="bottom"/>
            <w:hideMark/>
          </w:tcPr>
          <w:p w:rsidRPr="00507167" w:rsidR="00391FB4" w:rsidP="002A5AD5" w:rsidRDefault="00093CA8" w14:paraId="4D8A318D" w14:textId="1BEB4BD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5</w:t>
            </w:r>
          </w:p>
        </w:tc>
        <w:tc>
          <w:tcPr>
            <w:tcW w:w="751" w:type="pct"/>
            <w:shd w:val="clear" w:color="auto" w:fill="auto"/>
            <w:vAlign w:val="bottom"/>
            <w:hideMark/>
          </w:tcPr>
          <w:p w:rsidRPr="00507167" w:rsidR="00391FB4" w:rsidP="002A5AD5" w:rsidRDefault="00AD7811" w14:paraId="499BBC4C" w14:textId="5A295A4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1.75</w:t>
            </w:r>
          </w:p>
        </w:tc>
      </w:tr>
      <w:tr w:rsidRPr="00507167" w:rsidR="00391FB4" w:rsidTr="002A5AD5" w14:paraId="05D779CC" w14:textId="77777777">
        <w:trPr>
          <w:trHeight w:val="288"/>
        </w:trPr>
        <w:tc>
          <w:tcPr>
            <w:cnfStyle w:val="001000000000" w:firstRow="0" w:lastRow="0" w:firstColumn="1" w:lastColumn="0" w:oddVBand="0" w:evenVBand="0" w:oddHBand="0" w:evenHBand="0" w:firstRowFirstColumn="0" w:firstRowLastColumn="0" w:lastRowFirstColumn="0" w:lastRowLastColumn="0"/>
            <w:tcW w:w="1933" w:type="pct"/>
            <w:shd w:val="clear" w:color="auto" w:fill="auto"/>
            <w:hideMark/>
          </w:tcPr>
          <w:p w:rsidRPr="00507167" w:rsidR="00391FB4" w:rsidP="00BB3539" w:rsidRDefault="00391FB4" w14:paraId="1699809B" w14:textId="6FB09DFA">
            <w:pPr>
              <w:spacing w:after="0"/>
              <w:rPr>
                <w:rFonts w:asciiTheme="minorHAnsi" w:hAnsiTheme="minorHAnsi" w:cstheme="minorHAnsi"/>
                <w:b w:val="0"/>
              </w:rPr>
            </w:pPr>
            <w:r w:rsidRPr="00507167">
              <w:rPr>
                <w:rFonts w:asciiTheme="minorHAnsi" w:hAnsiTheme="minorHAnsi" w:cstheme="minorHAnsi"/>
                <w:b w:val="0"/>
              </w:rPr>
              <w:t>In</w:t>
            </w:r>
            <w:r w:rsidRPr="00507167" w:rsidR="00766443">
              <w:rPr>
                <w:rFonts w:asciiTheme="minorHAnsi" w:hAnsiTheme="minorHAnsi" w:cstheme="minorHAnsi"/>
                <w:b w:val="0"/>
              </w:rPr>
              <w:t xml:space="preserve">formation </w:t>
            </w:r>
            <w:r w:rsidR="00507167">
              <w:rPr>
                <w:rFonts w:asciiTheme="minorHAnsi" w:hAnsiTheme="minorHAnsi" w:cstheme="minorHAnsi"/>
                <w:b w:val="0"/>
              </w:rPr>
              <w:t>Collection</w:t>
            </w:r>
          </w:p>
        </w:tc>
        <w:tc>
          <w:tcPr>
            <w:tcW w:w="767" w:type="pct"/>
            <w:vAlign w:val="bottom"/>
            <w:hideMark/>
          </w:tcPr>
          <w:p w:rsidRPr="00507167" w:rsidR="00391FB4" w:rsidP="002A5AD5" w:rsidRDefault="00993A9D" w14:paraId="19E77415" w14:textId="09486122">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7167">
              <w:rPr>
                <w:rFonts w:asciiTheme="minorHAnsi" w:hAnsiTheme="minorHAnsi" w:cstheme="minorHAnsi"/>
              </w:rPr>
              <w:t>10</w:t>
            </w:r>
          </w:p>
        </w:tc>
        <w:tc>
          <w:tcPr>
            <w:tcW w:w="767" w:type="pct"/>
            <w:vAlign w:val="bottom"/>
            <w:hideMark/>
          </w:tcPr>
          <w:p w:rsidRPr="00507167" w:rsidR="00391FB4" w:rsidP="002A5AD5" w:rsidRDefault="00993A9D" w14:paraId="5F5CFED4" w14:textId="38C31365">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7167">
              <w:rPr>
                <w:rFonts w:asciiTheme="minorHAnsi" w:hAnsiTheme="minorHAnsi" w:cstheme="minorHAnsi"/>
              </w:rPr>
              <w:t>10</w:t>
            </w:r>
          </w:p>
        </w:tc>
        <w:tc>
          <w:tcPr>
            <w:tcW w:w="782" w:type="pct"/>
            <w:vAlign w:val="bottom"/>
            <w:hideMark/>
          </w:tcPr>
          <w:p w:rsidRPr="00507167" w:rsidR="00391FB4" w:rsidP="002A5AD5" w:rsidRDefault="00093CA8" w14:paraId="0DA8E382" w14:textId="7D9291D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20</w:t>
            </w:r>
          </w:p>
        </w:tc>
        <w:tc>
          <w:tcPr>
            <w:tcW w:w="751" w:type="pct"/>
            <w:vAlign w:val="bottom"/>
            <w:hideMark/>
          </w:tcPr>
          <w:p w:rsidRPr="00507167" w:rsidR="00391FB4" w:rsidP="00093CA8" w:rsidRDefault="00766443" w14:paraId="232CB98F" w14:textId="64995F48">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7167">
              <w:rPr>
                <w:rFonts w:asciiTheme="minorHAnsi" w:hAnsiTheme="minorHAnsi" w:cstheme="minorHAnsi"/>
              </w:rPr>
              <w:t>3</w:t>
            </w:r>
            <w:r w:rsidR="00093CA8">
              <w:rPr>
                <w:rFonts w:asciiTheme="minorHAnsi" w:hAnsiTheme="minorHAnsi" w:cstheme="minorHAnsi"/>
              </w:rPr>
              <w:t>.33</w:t>
            </w:r>
          </w:p>
        </w:tc>
      </w:tr>
      <w:tr w:rsidRPr="00507167" w:rsidR="002A5AD5" w:rsidTr="002A5AD5" w14:paraId="21862741"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3" w:type="pct"/>
            <w:shd w:val="clear" w:color="auto" w:fill="auto"/>
          </w:tcPr>
          <w:p w:rsidRPr="00507167" w:rsidR="00405A11" w:rsidP="002557FE" w:rsidRDefault="00405A11" w14:paraId="7180016B" w14:textId="1A6C132A">
            <w:pPr>
              <w:spacing w:after="0"/>
              <w:rPr>
                <w:rFonts w:asciiTheme="minorHAnsi" w:hAnsiTheme="minorHAnsi" w:cstheme="minorHAnsi"/>
              </w:rPr>
            </w:pPr>
            <w:bookmarkStart w:name="_Toc3561634" w:id="32"/>
            <w:bookmarkStart w:name="_Toc3565689" w:id="33"/>
            <w:bookmarkStart w:name="_Toc6332212" w:id="34"/>
            <w:r w:rsidRPr="00507167">
              <w:rPr>
                <w:rFonts w:asciiTheme="minorHAnsi" w:hAnsiTheme="minorHAnsi" w:cstheme="minorHAnsi"/>
              </w:rPr>
              <w:t>Total</w:t>
            </w:r>
          </w:p>
        </w:tc>
        <w:tc>
          <w:tcPr>
            <w:tcW w:w="767" w:type="pct"/>
            <w:shd w:val="clear" w:color="auto" w:fill="auto"/>
            <w:vAlign w:val="bottom"/>
          </w:tcPr>
          <w:p w:rsidRPr="00507167" w:rsidR="00405A11" w:rsidP="00F651D4" w:rsidRDefault="00574001" w14:paraId="56C35EBB" w14:textId="5E91D4F8">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2</w:t>
            </w:r>
            <w:r w:rsidR="00F651D4">
              <w:rPr>
                <w:rFonts w:asciiTheme="minorHAnsi" w:hAnsiTheme="minorHAnsi" w:cstheme="minorHAnsi"/>
                <w:b/>
              </w:rPr>
              <w:t>1</w:t>
            </w:r>
          </w:p>
        </w:tc>
        <w:tc>
          <w:tcPr>
            <w:tcW w:w="767" w:type="pct"/>
            <w:shd w:val="clear" w:color="auto" w:fill="auto"/>
            <w:vAlign w:val="bottom"/>
          </w:tcPr>
          <w:p w:rsidRPr="00507167" w:rsidR="00405A11" w:rsidP="00F651D4" w:rsidRDefault="00766443" w14:paraId="20160553" w14:textId="7AF73F90">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07167">
              <w:rPr>
                <w:rFonts w:asciiTheme="minorHAnsi" w:hAnsiTheme="minorHAnsi" w:cstheme="minorHAnsi"/>
                <w:b/>
              </w:rPr>
              <w:t>3</w:t>
            </w:r>
            <w:r w:rsidR="00F651D4">
              <w:rPr>
                <w:rFonts w:asciiTheme="minorHAnsi" w:hAnsiTheme="minorHAnsi" w:cstheme="minorHAnsi"/>
                <w:b/>
              </w:rPr>
              <w:t>1</w:t>
            </w:r>
          </w:p>
        </w:tc>
        <w:tc>
          <w:tcPr>
            <w:tcW w:w="782" w:type="pct"/>
            <w:shd w:val="clear" w:color="auto" w:fill="auto"/>
            <w:vAlign w:val="bottom"/>
          </w:tcPr>
          <w:p w:rsidRPr="00507167" w:rsidR="00405A11" w:rsidP="002A5AD5" w:rsidRDefault="005343AA" w14:paraId="07D70F62" w14:textId="4EE8484D">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07167">
              <w:rPr>
                <w:rFonts w:asciiTheme="minorHAnsi" w:hAnsiTheme="minorHAnsi" w:cstheme="minorHAnsi"/>
                <w:b/>
              </w:rPr>
              <w:t>-</w:t>
            </w:r>
          </w:p>
        </w:tc>
        <w:tc>
          <w:tcPr>
            <w:tcW w:w="751" w:type="pct"/>
            <w:shd w:val="clear" w:color="auto" w:fill="auto"/>
            <w:vAlign w:val="bottom"/>
          </w:tcPr>
          <w:p w:rsidRPr="00507167" w:rsidR="00405A11" w:rsidP="002A5AD5" w:rsidRDefault="00093CA8" w14:paraId="6075C7FD" w14:textId="5E30C810">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5.08</w:t>
            </w:r>
          </w:p>
        </w:tc>
      </w:tr>
    </w:tbl>
    <w:p w:rsidRPr="00BB3539" w:rsidR="00391FB4" w:rsidP="00595F88" w:rsidRDefault="00054E3E" w14:paraId="597B7124" w14:textId="0F4FA90E">
      <w:pPr>
        <w:pStyle w:val="Heading2"/>
        <w:spacing w:line="274" w:lineRule="auto"/>
      </w:pPr>
      <w:bookmarkStart w:name="_Toc26981023" w:id="35"/>
      <w:r>
        <w:t>8</w:t>
      </w:r>
      <w:r w:rsidR="0093275B">
        <w:t xml:space="preserve">. </w:t>
      </w:r>
      <w:r w:rsidRPr="00BB3539" w:rsidR="00391FB4">
        <w:t>Schedule</w:t>
      </w:r>
      <w:bookmarkEnd w:id="32"/>
      <w:bookmarkEnd w:id="33"/>
      <w:bookmarkEnd w:id="34"/>
      <w:bookmarkEnd w:id="35"/>
    </w:p>
    <w:p w:rsidR="00527CA9" w:rsidP="00595F88" w:rsidRDefault="00E56EC4" w14:paraId="2E5A4344" w14:textId="069211D3">
      <w:pPr>
        <w:keepNext/>
        <w:keepLines/>
        <w:rPr>
          <w:rFonts w:eastAsia="Times New Roman" w:cs="Times New Roman"/>
          <w:color w:val="000000" w:themeColor="text1"/>
        </w:rPr>
      </w:pPr>
      <w:r w:rsidRPr="006B40B3">
        <w:rPr>
          <w:rFonts w:eastAsia="Times New Roman" w:cs="Times New Roman"/>
          <w:color w:val="000000" w:themeColor="text1"/>
        </w:rPr>
        <w:t>R</w:t>
      </w:r>
      <w:r w:rsidRPr="006B40B3" w:rsidR="007277B4">
        <w:rPr>
          <w:rFonts w:eastAsia="Times New Roman" w:cs="Times New Roman"/>
          <w:color w:val="000000" w:themeColor="text1"/>
        </w:rPr>
        <w:t>ecruit</w:t>
      </w:r>
      <w:r w:rsidRPr="006B40B3" w:rsidR="008A0BB7">
        <w:rPr>
          <w:rFonts w:eastAsia="Times New Roman" w:cs="Times New Roman"/>
          <w:color w:val="000000" w:themeColor="text1"/>
        </w:rPr>
        <w:t>ment</w:t>
      </w:r>
      <w:r w:rsidR="00507167">
        <w:rPr>
          <w:rFonts w:eastAsia="Times New Roman" w:cs="Times New Roman"/>
          <w:color w:val="000000" w:themeColor="text1"/>
        </w:rPr>
        <w:t>/collection</w:t>
      </w:r>
      <w:r w:rsidRPr="006B40B3" w:rsidR="007277B4">
        <w:rPr>
          <w:rFonts w:eastAsia="Times New Roman" w:cs="Times New Roman"/>
          <w:color w:val="000000" w:themeColor="text1"/>
        </w:rPr>
        <w:t xml:space="preserve"> </w:t>
      </w:r>
      <w:r w:rsidRPr="006B40B3" w:rsidR="008A06C5">
        <w:rPr>
          <w:rFonts w:eastAsia="Times New Roman" w:cs="Times New Roman"/>
          <w:color w:val="000000" w:themeColor="text1"/>
        </w:rPr>
        <w:t xml:space="preserve">for the </w:t>
      </w:r>
      <w:r w:rsidR="00507167">
        <w:rPr>
          <w:rFonts w:eastAsia="Times New Roman" w:cs="Times New Roman"/>
          <w:color w:val="000000" w:themeColor="text1"/>
        </w:rPr>
        <w:t>data toolkit information</w:t>
      </w:r>
      <w:r w:rsidRPr="006B40B3" w:rsidR="008A06C5">
        <w:rPr>
          <w:rFonts w:eastAsia="Times New Roman" w:cs="Times New Roman"/>
          <w:color w:val="000000" w:themeColor="text1"/>
        </w:rPr>
        <w:t xml:space="preserve"> </w:t>
      </w:r>
      <w:r w:rsidRPr="006B40B3">
        <w:rPr>
          <w:rFonts w:eastAsia="Times New Roman" w:cs="Times New Roman"/>
          <w:color w:val="000000" w:themeColor="text1"/>
        </w:rPr>
        <w:t xml:space="preserve">will begin </w:t>
      </w:r>
      <w:r w:rsidR="00405A11">
        <w:rPr>
          <w:rFonts w:eastAsia="Times New Roman" w:cs="Times New Roman"/>
          <w:color w:val="000000" w:themeColor="text1"/>
        </w:rPr>
        <w:t xml:space="preserve">in </w:t>
      </w:r>
      <w:r w:rsidR="00507167">
        <w:rPr>
          <w:rFonts w:eastAsia="Times New Roman" w:cs="Times New Roman"/>
          <w:color w:val="000000" w:themeColor="text1"/>
        </w:rPr>
        <w:t>March 2020</w:t>
      </w:r>
      <w:r w:rsidRPr="006B40B3" w:rsidR="007277B4">
        <w:rPr>
          <w:rFonts w:eastAsia="Times New Roman" w:cs="Times New Roman"/>
          <w:color w:val="000000" w:themeColor="text1"/>
        </w:rPr>
        <w:t xml:space="preserve">. </w:t>
      </w:r>
      <w:bookmarkStart w:name="_Hlk8683138" w:id="36"/>
      <w:r w:rsidR="0011578A">
        <w:rPr>
          <w:rFonts w:eastAsia="Times New Roman" w:cs="Times New Roman"/>
          <w:color w:val="000000" w:themeColor="text1"/>
        </w:rPr>
        <w:t xml:space="preserve">Collection will continue until all responses are received or until the </w:t>
      </w:r>
      <w:r w:rsidR="006A323A">
        <w:rPr>
          <w:rFonts w:eastAsia="Times New Roman" w:cs="Times New Roman"/>
          <w:color w:val="000000" w:themeColor="text1"/>
        </w:rPr>
        <w:t>beginning of April</w:t>
      </w:r>
      <w:r w:rsidR="0011578A">
        <w:rPr>
          <w:rFonts w:eastAsia="Times New Roman" w:cs="Times New Roman"/>
          <w:color w:val="000000" w:themeColor="text1"/>
        </w:rPr>
        <w:t xml:space="preserve"> when </w:t>
      </w:r>
      <w:r w:rsidR="006A323A">
        <w:rPr>
          <w:rFonts w:eastAsia="Times New Roman" w:cs="Times New Roman"/>
          <w:color w:val="000000" w:themeColor="text1"/>
        </w:rPr>
        <w:t>development</w:t>
      </w:r>
      <w:r w:rsidR="0011578A">
        <w:rPr>
          <w:rFonts w:eastAsia="Times New Roman" w:cs="Times New Roman"/>
          <w:color w:val="000000" w:themeColor="text1"/>
        </w:rPr>
        <w:t xml:space="preserve"> of the toolkit website needs to commence.</w:t>
      </w:r>
      <w:r w:rsidRPr="006B40B3" w:rsidR="007277B4">
        <w:rPr>
          <w:rFonts w:eastAsia="Times New Roman" w:cs="Times New Roman"/>
          <w:color w:val="000000" w:themeColor="text1"/>
        </w:rPr>
        <w:t xml:space="preserve"> </w:t>
      </w:r>
      <w:r w:rsidR="00405A11">
        <w:rPr>
          <w:rFonts w:eastAsia="Times New Roman" w:cs="Times New Roman"/>
          <w:color w:val="000000" w:themeColor="text1"/>
        </w:rPr>
        <w:t>T</w:t>
      </w:r>
      <w:r w:rsidRPr="006B40B3" w:rsidR="002F3C79">
        <w:rPr>
          <w:rFonts w:eastAsia="Times New Roman" w:cs="Times New Roman"/>
          <w:color w:val="000000" w:themeColor="text1"/>
        </w:rPr>
        <w:t xml:space="preserve">able </w:t>
      </w:r>
      <w:r w:rsidR="00405A11">
        <w:rPr>
          <w:rFonts w:eastAsia="Times New Roman" w:cs="Times New Roman"/>
          <w:color w:val="000000" w:themeColor="text1"/>
        </w:rPr>
        <w:t>2</w:t>
      </w:r>
      <w:r w:rsidRPr="006B40B3" w:rsidR="002F3C79">
        <w:rPr>
          <w:rFonts w:eastAsia="Times New Roman" w:cs="Times New Roman"/>
          <w:color w:val="000000" w:themeColor="text1"/>
        </w:rPr>
        <w:t xml:space="preserve"> below provides the overall schedule for </w:t>
      </w:r>
      <w:r w:rsidR="00507167">
        <w:rPr>
          <w:rFonts w:eastAsia="Times New Roman" w:cs="Times New Roman"/>
          <w:color w:val="000000" w:themeColor="text1"/>
        </w:rPr>
        <w:t>the project</w:t>
      </w:r>
      <w:r w:rsidRPr="006B40B3" w:rsidR="00684746">
        <w:rPr>
          <w:rFonts w:eastAsia="Times New Roman" w:cs="Times New Roman"/>
          <w:color w:val="000000" w:themeColor="text1"/>
        </w:rPr>
        <w:t>.</w:t>
      </w:r>
    </w:p>
    <w:p w:rsidRPr="00507167" w:rsidR="00391FB4" w:rsidP="00595F88" w:rsidRDefault="00391FB4" w14:paraId="195F90F7" w14:textId="42601BBB">
      <w:pPr>
        <w:pStyle w:val="TableTitle"/>
        <w:spacing w:after="0"/>
        <w:rPr>
          <w:rFonts w:asciiTheme="minorHAnsi" w:hAnsiTheme="minorHAnsi" w:eastAsiaTheme="majorEastAsia" w:cstheme="minorHAnsi"/>
          <w:sz w:val="22"/>
          <w:szCs w:val="22"/>
        </w:rPr>
      </w:pPr>
      <w:bookmarkStart w:name="_Toc6332222" w:id="37"/>
      <w:bookmarkEnd w:id="36"/>
      <w:r w:rsidRPr="00507167">
        <w:rPr>
          <w:rFonts w:asciiTheme="minorHAnsi" w:hAnsiTheme="minorHAnsi" w:eastAsiaTheme="majorEastAsia" w:cstheme="minorHAnsi"/>
          <w:sz w:val="22"/>
          <w:szCs w:val="22"/>
        </w:rPr>
        <w:t xml:space="preserve">Table </w:t>
      </w:r>
      <w:r w:rsidRPr="00507167" w:rsidR="00405A11">
        <w:rPr>
          <w:rFonts w:asciiTheme="minorHAnsi" w:hAnsiTheme="minorHAnsi" w:eastAsiaTheme="majorEastAsia" w:cstheme="minorHAnsi"/>
          <w:sz w:val="22"/>
          <w:szCs w:val="22"/>
        </w:rPr>
        <w:t>2</w:t>
      </w:r>
      <w:r w:rsidRPr="00507167">
        <w:rPr>
          <w:rFonts w:asciiTheme="minorHAnsi" w:hAnsiTheme="minorHAnsi" w:eastAsiaTheme="majorEastAsia" w:cstheme="minorHAnsi"/>
          <w:sz w:val="22"/>
          <w:szCs w:val="22"/>
        </w:rPr>
        <w:t xml:space="preserve">. </w:t>
      </w:r>
      <w:r w:rsidRPr="00507167" w:rsidR="00405A11">
        <w:rPr>
          <w:rFonts w:asciiTheme="minorHAnsi" w:hAnsiTheme="minorHAnsi" w:eastAsiaTheme="majorEastAsia" w:cstheme="minorHAnsi"/>
          <w:sz w:val="22"/>
          <w:szCs w:val="22"/>
        </w:rPr>
        <w:t>S</w:t>
      </w:r>
      <w:r w:rsidRPr="00507167">
        <w:rPr>
          <w:rFonts w:asciiTheme="minorHAnsi" w:hAnsiTheme="minorHAnsi" w:eastAsiaTheme="majorEastAsia" w:cstheme="minorHAnsi"/>
          <w:sz w:val="22"/>
          <w:szCs w:val="22"/>
        </w:rPr>
        <w:t xml:space="preserve">chedule of high-level activities for </w:t>
      </w:r>
      <w:bookmarkEnd w:id="37"/>
      <w:r w:rsidRPr="00507167" w:rsidR="00507167">
        <w:rPr>
          <w:rFonts w:asciiTheme="minorHAnsi" w:hAnsiTheme="minorHAnsi" w:eastAsiaTheme="majorEastAsia" w:cstheme="minorHAnsi"/>
          <w:sz w:val="22"/>
          <w:szCs w:val="22"/>
        </w:rPr>
        <w:t>Data Toolkit Information Collection</w:t>
      </w:r>
    </w:p>
    <w:tbl>
      <w:tblPr>
        <w:tblStyle w:val="LightList-Accent1"/>
        <w:tblW w:w="4948" w:type="pct"/>
        <w:tblLook w:val="01A0" w:firstRow="1" w:lastRow="0" w:firstColumn="1" w:lastColumn="1" w:noHBand="0" w:noVBand="0"/>
      </w:tblPr>
      <w:tblGrid>
        <w:gridCol w:w="4640"/>
        <w:gridCol w:w="2987"/>
        <w:gridCol w:w="2989"/>
      </w:tblGrid>
      <w:tr w:rsidRPr="00C13A56" w:rsidR="00391FB4" w:rsidTr="00507167" w14:paraId="61B80E79" w14:textId="77777777">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85" w:type="pct"/>
            <w:tcBorders>
              <w:right w:val="single" w:color="FFFFFF" w:themeColor="background1" w:sz="4" w:space="0"/>
            </w:tcBorders>
            <w:shd w:val="clear" w:color="auto" w:fill="002060"/>
            <w:vAlign w:val="bottom"/>
            <w:hideMark/>
          </w:tcPr>
          <w:p w:rsidRPr="00C13A56" w:rsidR="00391FB4" w:rsidP="00595F88" w:rsidRDefault="00391FB4" w14:paraId="024912F9" w14:textId="77777777">
            <w:pPr>
              <w:keepNext/>
              <w:keepLines/>
              <w:spacing w:before="40"/>
              <w:rPr>
                <w:rFonts w:cstheme="minorHAnsi"/>
                <w:sz w:val="20"/>
                <w:szCs w:val="20"/>
              </w:rPr>
            </w:pPr>
            <w:r w:rsidRPr="00C13A56">
              <w:rPr>
                <w:rFonts w:cstheme="minorHAnsi"/>
                <w:sz w:val="20"/>
                <w:szCs w:val="20"/>
              </w:rPr>
              <w:t>Activity</w:t>
            </w:r>
            <w:r w:rsidRPr="00C13A56">
              <w:rPr>
                <w:rFonts w:cstheme="minorHAnsi"/>
                <w:sz w:val="20"/>
                <w:szCs w:val="20"/>
              </w:rPr>
              <w:tab/>
            </w:r>
          </w:p>
        </w:tc>
        <w:tc>
          <w:tcPr>
            <w:cnfStyle w:val="000010000000" w:firstRow="0" w:lastRow="0" w:firstColumn="0" w:lastColumn="0" w:oddVBand="1" w:evenVBand="0" w:oddHBand="0" w:evenHBand="0" w:firstRowFirstColumn="0" w:firstRowLastColumn="0" w:lastRowFirstColumn="0" w:lastRowLastColumn="0"/>
            <w:tcW w:w="1407" w:type="pct"/>
            <w:tcBorders>
              <w:left w:val="single" w:color="FFFFFF" w:themeColor="background1" w:sz="4" w:space="0"/>
              <w:right w:val="single" w:color="FFFFFF" w:themeColor="background1" w:sz="4" w:space="0"/>
            </w:tcBorders>
            <w:shd w:val="clear" w:color="auto" w:fill="002060"/>
            <w:hideMark/>
          </w:tcPr>
          <w:p w:rsidRPr="00C13A56" w:rsidR="00391FB4" w:rsidP="00595F88" w:rsidRDefault="00391FB4" w14:paraId="4869999F" w14:textId="77777777">
            <w:pPr>
              <w:keepNext/>
              <w:keepLines/>
              <w:spacing w:before="40"/>
              <w:jc w:val="right"/>
              <w:rPr>
                <w:rFonts w:cstheme="minorHAnsi"/>
                <w:sz w:val="20"/>
                <w:szCs w:val="20"/>
              </w:rPr>
            </w:pPr>
            <w:r w:rsidRPr="00C13A56">
              <w:rPr>
                <w:rFonts w:cstheme="minorHAnsi"/>
                <w:sz w:val="20"/>
                <w:szCs w:val="20"/>
              </w:rPr>
              <w:t>Start Date</w:t>
            </w:r>
          </w:p>
        </w:tc>
        <w:tc>
          <w:tcPr>
            <w:cnfStyle w:val="000100000000" w:firstRow="0" w:lastRow="0" w:firstColumn="0" w:lastColumn="1" w:oddVBand="0" w:evenVBand="0" w:oddHBand="0" w:evenHBand="0" w:firstRowFirstColumn="0" w:firstRowLastColumn="0" w:lastRowFirstColumn="0" w:lastRowLastColumn="0"/>
            <w:tcW w:w="1408" w:type="pct"/>
            <w:tcBorders>
              <w:left w:val="single" w:color="FFFFFF" w:themeColor="background1" w:sz="4" w:space="0"/>
            </w:tcBorders>
            <w:shd w:val="clear" w:color="auto" w:fill="002060"/>
            <w:hideMark/>
          </w:tcPr>
          <w:p w:rsidRPr="00C13A56" w:rsidR="00391FB4" w:rsidP="00595F88" w:rsidRDefault="00391FB4" w14:paraId="16374754" w14:textId="77777777">
            <w:pPr>
              <w:keepNext/>
              <w:keepLines/>
              <w:spacing w:before="40"/>
              <w:jc w:val="right"/>
              <w:rPr>
                <w:rFonts w:cstheme="minorHAnsi"/>
                <w:sz w:val="20"/>
                <w:szCs w:val="20"/>
              </w:rPr>
            </w:pPr>
            <w:r w:rsidRPr="00C13A56">
              <w:rPr>
                <w:rFonts w:cstheme="minorHAnsi"/>
                <w:sz w:val="20"/>
                <w:szCs w:val="20"/>
              </w:rPr>
              <w:t>End Date</w:t>
            </w:r>
          </w:p>
        </w:tc>
      </w:tr>
      <w:tr w:rsidRPr="00C13A56" w:rsidR="00391FB4" w:rsidTr="00507167" w14:paraId="0C0EB59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hideMark/>
          </w:tcPr>
          <w:p w:rsidRPr="00C13A56" w:rsidR="00391FB4" w:rsidP="00595F88" w:rsidRDefault="00391FB4" w14:paraId="08A20314" w14:textId="6AE153E4">
            <w:pPr>
              <w:keepNext/>
              <w:keepLines/>
              <w:spacing w:before="40"/>
              <w:rPr>
                <w:rFonts w:cstheme="minorHAnsi"/>
                <w:b w:val="0"/>
                <w:sz w:val="20"/>
                <w:szCs w:val="20"/>
              </w:rPr>
            </w:pPr>
            <w:r w:rsidRPr="00C13A56">
              <w:rPr>
                <w:rFonts w:cstheme="minorHAnsi"/>
                <w:b w:val="0"/>
                <w:sz w:val="20"/>
                <w:szCs w:val="20"/>
              </w:rPr>
              <w:t xml:space="preserve">Recruitment </w:t>
            </w:r>
          </w:p>
        </w:tc>
        <w:tc>
          <w:tcPr>
            <w:cnfStyle w:val="000010000000" w:firstRow="0" w:lastRow="0" w:firstColumn="0" w:lastColumn="0" w:oddVBand="1" w:evenVBand="0" w:oddHBand="0" w:evenHBand="0" w:firstRowFirstColumn="0" w:firstRowLastColumn="0" w:lastRowFirstColumn="0" w:lastRowLastColumn="0"/>
            <w:tcW w:w="1407" w:type="pct"/>
            <w:hideMark/>
          </w:tcPr>
          <w:p w:rsidRPr="00C13A56" w:rsidR="00391FB4" w:rsidP="00595F88" w:rsidRDefault="007D6042" w14:paraId="4A5CC805" w14:textId="0E5B3C0C">
            <w:pPr>
              <w:keepNext/>
              <w:keepLines/>
              <w:jc w:val="right"/>
              <w:rPr>
                <w:rFonts w:cstheme="minorHAnsi"/>
                <w:sz w:val="20"/>
                <w:szCs w:val="20"/>
              </w:rPr>
            </w:pPr>
            <w:r>
              <w:rPr>
                <w:rFonts w:cstheme="minorHAnsi"/>
                <w:sz w:val="20"/>
                <w:szCs w:val="20"/>
              </w:rPr>
              <w:t>March 2</w:t>
            </w:r>
          </w:p>
        </w:tc>
        <w:tc>
          <w:tcPr>
            <w:cnfStyle w:val="000100000000" w:firstRow="0" w:lastRow="0" w:firstColumn="0" w:lastColumn="1" w:oddVBand="0" w:evenVBand="0" w:oddHBand="0" w:evenHBand="0" w:firstRowFirstColumn="0" w:firstRowLastColumn="0" w:lastRowFirstColumn="0" w:lastRowLastColumn="0"/>
            <w:tcW w:w="1408" w:type="pct"/>
            <w:hideMark/>
          </w:tcPr>
          <w:p w:rsidRPr="00C13A56" w:rsidR="00391FB4" w:rsidP="00595F88" w:rsidRDefault="00E14E49" w14:paraId="647232AB" w14:textId="49253494">
            <w:pPr>
              <w:keepNext/>
              <w:keepLines/>
              <w:jc w:val="right"/>
              <w:rPr>
                <w:rFonts w:cstheme="minorHAnsi"/>
                <w:b w:val="0"/>
                <w:sz w:val="20"/>
                <w:szCs w:val="20"/>
              </w:rPr>
            </w:pPr>
            <w:r>
              <w:rPr>
                <w:rFonts w:cstheme="minorHAnsi"/>
                <w:b w:val="0"/>
                <w:sz w:val="20"/>
                <w:szCs w:val="20"/>
              </w:rPr>
              <w:t>March 23</w:t>
            </w:r>
          </w:p>
        </w:tc>
      </w:tr>
      <w:tr w:rsidRPr="00C13A56" w:rsidR="00B167E9" w:rsidTr="00507167" w14:paraId="11BEB9A5" w14:textId="77777777">
        <w:trPr>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C13A56" w:rsidR="00B167E9" w:rsidP="00595F88" w:rsidRDefault="007D6042" w14:paraId="7EAA2A32" w14:textId="52065871">
            <w:pPr>
              <w:keepNext/>
              <w:keepLines/>
              <w:spacing w:before="40"/>
              <w:rPr>
                <w:rFonts w:cstheme="minorHAnsi"/>
                <w:b w:val="0"/>
                <w:sz w:val="20"/>
                <w:szCs w:val="20"/>
              </w:rPr>
            </w:pPr>
            <w:r>
              <w:rPr>
                <w:rFonts w:cstheme="minorHAnsi"/>
                <w:b w:val="0"/>
                <w:sz w:val="20"/>
                <w:szCs w:val="20"/>
              </w:rPr>
              <w:t>Information Collection</w:t>
            </w:r>
          </w:p>
        </w:tc>
        <w:tc>
          <w:tcPr>
            <w:cnfStyle w:val="000010000000" w:firstRow="0" w:lastRow="0" w:firstColumn="0" w:lastColumn="0" w:oddVBand="1" w:evenVBand="0" w:oddHBand="0" w:evenHBand="0" w:firstRowFirstColumn="0" w:firstRowLastColumn="0" w:lastRowFirstColumn="0" w:lastRowLastColumn="0"/>
            <w:tcW w:w="1407" w:type="pct"/>
          </w:tcPr>
          <w:p w:rsidRPr="00C13A56" w:rsidR="00B167E9" w:rsidP="00595F88" w:rsidRDefault="007D6042" w14:paraId="6121BF9E" w14:textId="63AE7835">
            <w:pPr>
              <w:keepNext/>
              <w:keepLines/>
              <w:jc w:val="right"/>
              <w:rPr>
                <w:rFonts w:cstheme="minorHAnsi"/>
                <w:sz w:val="20"/>
                <w:szCs w:val="20"/>
              </w:rPr>
            </w:pPr>
            <w:r>
              <w:rPr>
                <w:rFonts w:cstheme="minorHAnsi"/>
                <w:sz w:val="20"/>
                <w:szCs w:val="20"/>
              </w:rPr>
              <w:t>March 2</w:t>
            </w:r>
          </w:p>
        </w:tc>
        <w:tc>
          <w:tcPr>
            <w:cnfStyle w:val="000100000000" w:firstRow="0" w:lastRow="0" w:firstColumn="0" w:lastColumn="1" w:oddVBand="0" w:evenVBand="0" w:oddHBand="0" w:evenHBand="0" w:firstRowFirstColumn="0" w:firstRowLastColumn="0" w:lastRowFirstColumn="0" w:lastRowLastColumn="0"/>
            <w:tcW w:w="1408" w:type="pct"/>
          </w:tcPr>
          <w:p w:rsidRPr="00C13A56" w:rsidR="00B167E9" w:rsidP="00595F88" w:rsidRDefault="00C4692C" w14:paraId="66C0E930" w14:textId="27FA3176">
            <w:pPr>
              <w:keepNext/>
              <w:keepLines/>
              <w:jc w:val="right"/>
              <w:rPr>
                <w:rFonts w:cstheme="minorHAnsi"/>
                <w:b w:val="0"/>
                <w:sz w:val="20"/>
                <w:szCs w:val="20"/>
              </w:rPr>
            </w:pPr>
            <w:r>
              <w:rPr>
                <w:rFonts w:cstheme="minorHAnsi"/>
                <w:b w:val="0"/>
                <w:sz w:val="20"/>
                <w:szCs w:val="20"/>
              </w:rPr>
              <w:t>April 3</w:t>
            </w:r>
          </w:p>
        </w:tc>
      </w:tr>
    </w:tbl>
    <w:p w:rsidRPr="00BB3539" w:rsidR="0037570B" w:rsidP="00BB3539" w:rsidRDefault="00054E3E" w14:paraId="1C5AE816" w14:textId="087BABC8">
      <w:pPr>
        <w:pStyle w:val="Heading2"/>
        <w:spacing w:line="274" w:lineRule="auto"/>
      </w:pPr>
      <w:bookmarkStart w:name="_Toc26981024" w:id="38"/>
      <w:r>
        <w:t>9</w:t>
      </w:r>
      <w:r w:rsidR="0093275B">
        <w:t xml:space="preserve">. </w:t>
      </w:r>
      <w:r w:rsidRPr="00BB3539" w:rsidR="004C2989">
        <w:t>Cost to the Federal Government</w:t>
      </w:r>
      <w:bookmarkStart w:name="_Toc260729203" w:id="39"/>
      <w:bookmarkStart w:name="_Toc299121378" w:id="40"/>
      <w:bookmarkStart w:name="_Toc300165580" w:id="41"/>
      <w:bookmarkEnd w:id="28"/>
      <w:bookmarkEnd w:id="38"/>
    </w:p>
    <w:p w:rsidRPr="006B40B3" w:rsidR="00920B37" w:rsidP="00920B37" w:rsidRDefault="0055362D" w14:paraId="5EA012F2" w14:textId="5FAB1060">
      <w:pPr>
        <w:widowControl w:val="0"/>
        <w:spacing w:after="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 xml:space="preserve">The estimated cost to prepare for, </w:t>
      </w:r>
      <w:r w:rsidR="000E6E4E">
        <w:rPr>
          <w:rFonts w:ascii="Calibri" w:hAnsi="Calibri" w:eastAsia="Times New Roman" w:cs="Times New Roman"/>
          <w:color w:val="000000" w:themeColor="text1"/>
        </w:rPr>
        <w:t>collect</w:t>
      </w:r>
      <w:r w:rsidRPr="006B40B3">
        <w:rPr>
          <w:rFonts w:ascii="Calibri" w:hAnsi="Calibri" w:eastAsia="Times New Roman" w:cs="Times New Roman"/>
          <w:color w:val="000000" w:themeColor="text1"/>
        </w:rPr>
        <w:t xml:space="preserve">, and </w:t>
      </w:r>
      <w:r w:rsidR="000E6E4E">
        <w:rPr>
          <w:rFonts w:ascii="Calibri" w:hAnsi="Calibri" w:eastAsia="Times New Roman" w:cs="Times New Roman"/>
          <w:color w:val="000000" w:themeColor="text1"/>
        </w:rPr>
        <w:t>collate</w:t>
      </w:r>
      <w:r w:rsidRPr="006B40B3" w:rsidR="000E6E4E">
        <w:rPr>
          <w:rFonts w:ascii="Calibri" w:hAnsi="Calibri" w:eastAsia="Times New Roman" w:cs="Times New Roman"/>
          <w:color w:val="000000" w:themeColor="text1"/>
        </w:rPr>
        <w:t xml:space="preserve"> </w:t>
      </w:r>
      <w:r w:rsidRPr="006B40B3">
        <w:rPr>
          <w:rFonts w:ascii="Calibri" w:hAnsi="Calibri" w:eastAsia="Times New Roman" w:cs="Times New Roman"/>
          <w:color w:val="000000" w:themeColor="text1"/>
        </w:rPr>
        <w:t xml:space="preserve">the results of </w:t>
      </w:r>
      <w:r w:rsidRPr="006B40B3" w:rsidR="000036FA">
        <w:rPr>
          <w:rFonts w:ascii="Calibri" w:hAnsi="Calibri" w:eastAsia="Times New Roman" w:cs="Times New Roman"/>
          <w:color w:val="000000" w:themeColor="text1"/>
        </w:rPr>
        <w:t>the</w:t>
      </w:r>
      <w:r w:rsidR="000E6E4E">
        <w:rPr>
          <w:rFonts w:ascii="Calibri" w:hAnsi="Calibri" w:eastAsia="Times New Roman" w:cs="Times New Roman"/>
          <w:color w:val="000000" w:themeColor="text1"/>
        </w:rPr>
        <w:t xml:space="preserve"> information collection</w:t>
      </w:r>
      <w:r w:rsidRPr="006B40B3" w:rsidR="000036FA">
        <w:rPr>
          <w:rFonts w:ascii="Calibri" w:hAnsi="Calibri" w:eastAsia="Times New Roman" w:cs="Times New Roman"/>
          <w:color w:val="000000" w:themeColor="text1"/>
        </w:rPr>
        <w:t xml:space="preserve"> </w:t>
      </w:r>
      <w:r w:rsidRPr="006B40B3" w:rsidR="00646AEA">
        <w:rPr>
          <w:rFonts w:ascii="Calibri" w:hAnsi="Calibri" w:eastAsia="Times New Roman" w:cs="Times New Roman"/>
          <w:color w:val="000000" w:themeColor="text1"/>
        </w:rPr>
        <w:t>is approximately $</w:t>
      </w:r>
      <w:r w:rsidRPr="00AD7811" w:rsidR="009709D5">
        <w:rPr>
          <w:rFonts w:ascii="Calibri" w:hAnsi="Calibri" w:eastAsia="Times New Roman" w:cs="Times New Roman"/>
          <w:color w:val="000000" w:themeColor="text1"/>
        </w:rPr>
        <w:t>7,500</w:t>
      </w:r>
      <w:r w:rsidRPr="006B40B3">
        <w:rPr>
          <w:rFonts w:ascii="Calibri" w:hAnsi="Calibri" w:eastAsia="Times New Roman" w:cs="Times New Roman"/>
          <w:color w:val="000000" w:themeColor="text1"/>
        </w:rPr>
        <w:t xml:space="preserve">. </w:t>
      </w:r>
      <w:r w:rsidR="00920B37">
        <w:rPr>
          <w:rFonts w:ascii="Calibri" w:hAnsi="Calibri" w:eastAsia="Times New Roman" w:cs="Times New Roman"/>
          <w:color w:val="000000" w:themeColor="text1"/>
        </w:rPr>
        <w:t>The</w:t>
      </w:r>
      <w:r w:rsidRPr="006B40B3" w:rsidR="00920B37">
        <w:rPr>
          <w:rFonts w:ascii="Calibri" w:hAnsi="Calibri" w:eastAsia="Times New Roman" w:cs="Times New Roman"/>
          <w:color w:val="000000" w:themeColor="text1"/>
        </w:rPr>
        <w:t xml:space="preserve"> </w:t>
      </w:r>
      <w:r w:rsidRPr="006B40B3">
        <w:rPr>
          <w:rFonts w:ascii="Calibri" w:hAnsi="Calibri" w:eastAsia="Times New Roman" w:cs="Times New Roman"/>
          <w:color w:val="000000" w:themeColor="text1"/>
        </w:rPr>
        <w:t xml:space="preserve">cost includes salaried labor for </w:t>
      </w:r>
      <w:r w:rsidRPr="006B40B3" w:rsidR="009300CA">
        <w:rPr>
          <w:rFonts w:ascii="Calibri" w:hAnsi="Calibri" w:eastAsia="Times New Roman" w:cs="Times New Roman"/>
          <w:color w:val="000000" w:themeColor="text1"/>
        </w:rPr>
        <w:t>contractor</w:t>
      </w:r>
      <w:r w:rsidRPr="006B40B3">
        <w:rPr>
          <w:rFonts w:ascii="Calibri" w:hAnsi="Calibri" w:eastAsia="Times New Roman" w:cs="Times New Roman"/>
          <w:color w:val="000000" w:themeColor="text1"/>
        </w:rPr>
        <w:t xml:space="preserve"> staff and other direct costs associated with </w:t>
      </w:r>
      <w:r w:rsidR="00920B37">
        <w:rPr>
          <w:rFonts w:ascii="Calibri" w:hAnsi="Calibri" w:eastAsia="Times New Roman" w:cs="Times New Roman"/>
          <w:color w:val="000000" w:themeColor="text1"/>
        </w:rPr>
        <w:t xml:space="preserve">the </w:t>
      </w:r>
      <w:r w:rsidRPr="006B40B3">
        <w:rPr>
          <w:rFonts w:ascii="Calibri" w:hAnsi="Calibri" w:eastAsia="Times New Roman" w:cs="Times New Roman"/>
          <w:color w:val="000000" w:themeColor="text1"/>
        </w:rPr>
        <w:t xml:space="preserve">organization of the </w:t>
      </w:r>
      <w:r w:rsidR="000E6E4E">
        <w:rPr>
          <w:rFonts w:ascii="Calibri" w:hAnsi="Calibri" w:eastAsia="Times New Roman" w:cs="Times New Roman"/>
          <w:color w:val="000000" w:themeColor="text1"/>
        </w:rPr>
        <w:t>information collection</w:t>
      </w:r>
      <w:r w:rsidRPr="006B40B3">
        <w:rPr>
          <w:rFonts w:ascii="Calibri" w:hAnsi="Calibri" w:eastAsia="Times New Roman" w:cs="Times New Roman"/>
          <w:color w:val="000000" w:themeColor="text1"/>
        </w:rPr>
        <w:t>.</w:t>
      </w:r>
      <w:bookmarkEnd w:id="29"/>
      <w:bookmarkEnd w:id="39"/>
      <w:bookmarkEnd w:id="40"/>
      <w:bookmarkEnd w:id="41"/>
    </w:p>
    <w:sectPr w:rsidRPr="006B40B3" w:rsidR="00920B37" w:rsidSect="00E95D55">
      <w:footerReference w:type="default" r:id="rId18"/>
      <w:pgSz w:w="12240" w:h="15840" w:code="1"/>
      <w:pgMar w:top="864" w:right="864" w:bottom="720" w:left="864" w:header="432" w:footer="28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0F5E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0F5EBD" w16cid:durableId="21E4FD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A4B78" w14:textId="77777777" w:rsidR="00354BAE" w:rsidRDefault="00354BAE" w:rsidP="003A4F0C">
      <w:pPr>
        <w:spacing w:after="0" w:line="240" w:lineRule="auto"/>
      </w:pPr>
      <w:r>
        <w:separator/>
      </w:r>
    </w:p>
  </w:endnote>
  <w:endnote w:type="continuationSeparator" w:id="0">
    <w:p w14:paraId="46223B9E" w14:textId="77777777" w:rsidR="00354BAE" w:rsidRDefault="00354BAE" w:rsidP="003A4F0C">
      <w:pPr>
        <w:spacing w:after="0" w:line="240" w:lineRule="auto"/>
      </w:pPr>
      <w:r>
        <w:continuationSeparator/>
      </w:r>
    </w:p>
  </w:endnote>
  <w:endnote w:type="continuationNotice" w:id="1">
    <w:p w14:paraId="3ECE9417" w14:textId="77777777" w:rsidR="00354BAE" w:rsidRDefault="00354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8B36A" w14:textId="77777777" w:rsidR="00BF13A9" w:rsidRDefault="00BF13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47F0F451" w:rsidR="00A51900" w:rsidRDefault="00A51900" w:rsidP="00DE0ED9">
        <w:pPr>
          <w:pStyle w:val="Footer"/>
          <w:jc w:val="center"/>
        </w:pPr>
        <w:r>
          <w:fldChar w:fldCharType="begin"/>
        </w:r>
        <w:r>
          <w:instrText xml:space="preserve"> PAGE   \* MERGEFORMAT </w:instrText>
        </w:r>
        <w:r>
          <w:fldChar w:fldCharType="separate"/>
        </w:r>
        <w:r w:rsidR="00D466C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3E1E7" w14:textId="77777777" w:rsidR="00354BAE" w:rsidRDefault="00354BAE" w:rsidP="003A4F0C">
      <w:pPr>
        <w:spacing w:after="0" w:line="240" w:lineRule="auto"/>
      </w:pPr>
      <w:r>
        <w:separator/>
      </w:r>
    </w:p>
  </w:footnote>
  <w:footnote w:type="continuationSeparator" w:id="0">
    <w:p w14:paraId="2E7E3B1B" w14:textId="77777777" w:rsidR="00354BAE" w:rsidRDefault="00354BAE" w:rsidP="003A4F0C">
      <w:pPr>
        <w:spacing w:after="0" w:line="240" w:lineRule="auto"/>
      </w:pPr>
      <w:r>
        <w:continuationSeparator/>
      </w:r>
    </w:p>
  </w:footnote>
  <w:footnote w:type="continuationNotice" w:id="1">
    <w:p w14:paraId="25FE6380" w14:textId="77777777" w:rsidR="00354BAE" w:rsidRDefault="00354BA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2AA03" w14:textId="77777777" w:rsidR="00BF13A9" w:rsidRDefault="00BF13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DEB"/>
    <w:multiLevelType w:val="hybridMultilevel"/>
    <w:tmpl w:val="B554CDFC"/>
    <w:lvl w:ilvl="0" w:tplc="4C98C2C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52C85"/>
    <w:multiLevelType w:val="hybridMultilevel"/>
    <w:tmpl w:val="5D1C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4427CDA"/>
    <w:multiLevelType w:val="hybridMultilevel"/>
    <w:tmpl w:val="17465160"/>
    <w:lvl w:ilvl="0" w:tplc="2E54B966">
      <w:start w:val="1"/>
      <w:numFmt w:val="decimal"/>
      <w:pStyle w:val="OMBSectionHeading"/>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CD6842"/>
    <w:multiLevelType w:val="hybridMultilevel"/>
    <w:tmpl w:val="E1841BC2"/>
    <w:lvl w:ilvl="0" w:tplc="9B3E1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375CD"/>
    <w:multiLevelType w:val="hybridMultilevel"/>
    <w:tmpl w:val="6A34C2D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623AA9"/>
    <w:multiLevelType w:val="hybridMultilevel"/>
    <w:tmpl w:val="5800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71393"/>
    <w:multiLevelType w:val="hybridMultilevel"/>
    <w:tmpl w:val="43F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EC5284"/>
    <w:multiLevelType w:val="hybridMultilevel"/>
    <w:tmpl w:val="CC546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0A7FD0"/>
    <w:multiLevelType w:val="hybridMultilevel"/>
    <w:tmpl w:val="27E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591229"/>
    <w:multiLevelType w:val="hybridMultilevel"/>
    <w:tmpl w:val="80CA63B0"/>
    <w:lvl w:ilvl="0" w:tplc="3AA42E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32152"/>
    <w:multiLevelType w:val="hybridMultilevel"/>
    <w:tmpl w:val="D9705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0B7CF9"/>
    <w:multiLevelType w:val="hybridMultilevel"/>
    <w:tmpl w:val="69069152"/>
    <w:lvl w:ilvl="0" w:tplc="9C469BC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AD6578"/>
    <w:multiLevelType w:val="hybridMultilevel"/>
    <w:tmpl w:val="036E0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9">
    <w:nsid w:val="3B4873B2"/>
    <w:multiLevelType w:val="hybridMultilevel"/>
    <w:tmpl w:val="887A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3450CD"/>
    <w:multiLevelType w:val="hybridMultilevel"/>
    <w:tmpl w:val="C9B60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934924"/>
    <w:multiLevelType w:val="hybridMultilevel"/>
    <w:tmpl w:val="486229A6"/>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3">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0E741E"/>
    <w:multiLevelType w:val="hybridMultilevel"/>
    <w:tmpl w:val="579E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316E62"/>
    <w:multiLevelType w:val="multilevel"/>
    <w:tmpl w:val="E8BE8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CEA68C4"/>
    <w:multiLevelType w:val="hybridMultilevel"/>
    <w:tmpl w:val="F2F09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8612F6"/>
    <w:multiLevelType w:val="hybridMultilevel"/>
    <w:tmpl w:val="D8085EF8"/>
    <w:lvl w:ilvl="0" w:tplc="9550C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3CC0F3E"/>
    <w:multiLevelType w:val="hybridMultilevel"/>
    <w:tmpl w:val="F012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0F652C"/>
    <w:multiLevelType w:val="hybridMultilevel"/>
    <w:tmpl w:val="0538A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33">
    <w:nsid w:val="59A301C3"/>
    <w:multiLevelType w:val="hybridMultilevel"/>
    <w:tmpl w:val="848C9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FBE4D45"/>
    <w:multiLevelType w:val="hybridMultilevel"/>
    <w:tmpl w:val="3E54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8">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9B5B05"/>
    <w:multiLevelType w:val="hybridMultilevel"/>
    <w:tmpl w:val="6DA02614"/>
    <w:lvl w:ilvl="0" w:tplc="52AE6F3A">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0">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1A48B1"/>
    <w:multiLevelType w:val="hybridMultilevel"/>
    <w:tmpl w:val="AED6C1D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F52935"/>
    <w:multiLevelType w:val="hybridMultilevel"/>
    <w:tmpl w:val="322E888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lvlOverride w:ilvl="0">
      <w:startOverride w:val="1"/>
    </w:lvlOverride>
  </w:num>
  <w:num w:numId="2">
    <w:abstractNumId w:val="6"/>
  </w:num>
  <w:num w:numId="3">
    <w:abstractNumId w:val="12"/>
  </w:num>
  <w:num w:numId="4">
    <w:abstractNumId w:val="5"/>
  </w:num>
  <w:num w:numId="5">
    <w:abstractNumId w:val="41"/>
  </w:num>
  <w:num w:numId="6">
    <w:abstractNumId w:val="34"/>
  </w:num>
  <w:num w:numId="7">
    <w:abstractNumId w:val="10"/>
  </w:num>
  <w:num w:numId="8">
    <w:abstractNumId w:val="36"/>
  </w:num>
  <w:num w:numId="9">
    <w:abstractNumId w:val="26"/>
  </w:num>
  <w:num w:numId="10">
    <w:abstractNumId w:val="23"/>
  </w:num>
  <w:num w:numId="11">
    <w:abstractNumId w:val="40"/>
  </w:num>
  <w:num w:numId="12">
    <w:abstractNumId w:val="20"/>
  </w:num>
  <w:num w:numId="13">
    <w:abstractNumId w:val="28"/>
  </w:num>
  <w:num w:numId="14">
    <w:abstractNumId w:val="38"/>
  </w:num>
  <w:num w:numId="15">
    <w:abstractNumId w:val="14"/>
  </w:num>
  <w:num w:numId="16">
    <w:abstractNumId w:val="7"/>
  </w:num>
  <w:num w:numId="17">
    <w:abstractNumId w:val="31"/>
  </w:num>
  <w:num w:numId="18">
    <w:abstractNumId w:val="42"/>
  </w:num>
  <w:num w:numId="19">
    <w:abstractNumId w:val="24"/>
  </w:num>
  <w:num w:numId="20">
    <w:abstractNumId w:val="11"/>
  </w:num>
  <w:num w:numId="21">
    <w:abstractNumId w:val="43"/>
  </w:num>
  <w:num w:numId="22">
    <w:abstractNumId w:val="1"/>
  </w:num>
  <w:num w:numId="23">
    <w:abstractNumId w:val="18"/>
  </w:num>
  <w:num w:numId="24">
    <w:abstractNumId w:val="21"/>
  </w:num>
  <w:num w:numId="25">
    <w:abstractNumId w:val="29"/>
  </w:num>
  <w:num w:numId="26">
    <w:abstractNumId w:val="30"/>
  </w:num>
  <w:num w:numId="27">
    <w:abstractNumId w:val="35"/>
  </w:num>
  <w:num w:numId="28">
    <w:abstractNumId w:val="8"/>
  </w:num>
  <w:num w:numId="29">
    <w:abstractNumId w:val="25"/>
  </w:num>
  <w:num w:numId="30">
    <w:abstractNumId w:val="37"/>
  </w:num>
  <w:num w:numId="31">
    <w:abstractNumId w:val="33"/>
  </w:num>
  <w:num w:numId="32">
    <w:abstractNumId w:val="17"/>
  </w:num>
  <w:num w:numId="33">
    <w:abstractNumId w:val="3"/>
  </w:num>
  <w:num w:numId="34">
    <w:abstractNumId w:val="19"/>
  </w:num>
  <w:num w:numId="35">
    <w:abstractNumId w:val="0"/>
  </w:num>
  <w:num w:numId="36">
    <w:abstractNumId w:val="15"/>
  </w:num>
  <w:num w:numId="37">
    <w:abstractNumId w:val="44"/>
  </w:num>
  <w:num w:numId="38">
    <w:abstractNumId w:val="2"/>
  </w:num>
  <w:num w:numId="39">
    <w:abstractNumId w:val="2"/>
    <w:lvlOverride w:ilvl="0">
      <w:startOverride w:val="5"/>
    </w:lvlOverride>
  </w:num>
  <w:num w:numId="40">
    <w:abstractNumId w:val="4"/>
  </w:num>
  <w:num w:numId="41">
    <w:abstractNumId w:val="27"/>
  </w:num>
  <w:num w:numId="42">
    <w:abstractNumId w:val="16"/>
  </w:num>
  <w:num w:numId="43">
    <w:abstractNumId w:val="13"/>
  </w:num>
  <w:num w:numId="44">
    <w:abstractNumId w:val="22"/>
  </w:num>
  <w:num w:numId="45">
    <w:abstractNumId w:val="39"/>
  </w:num>
  <w:num w:numId="4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elsen, Jennifer">
    <w15:presenceInfo w15:providerId="AD" w15:userId="S::Jennifer.Nielsen@ed.gov::f25b1072-36bc-4a2f-8173-982cc2d17e3e"/>
  </w15:person>
  <w15:person w15:author="Stephen Wenck">
    <w15:presenceInfo w15:providerId="None" w15:userId="Stephen Wenck"/>
  </w15:person>
  <w15:person w15:author="Tom Krenzke">
    <w15:presenceInfo w15:providerId="AD" w15:userId="S-1-5-21-2083667071-1112689225-1550850067-3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1C95"/>
    <w:rsid w:val="000036FA"/>
    <w:rsid w:val="0000397C"/>
    <w:rsid w:val="00003A95"/>
    <w:rsid w:val="000053CA"/>
    <w:rsid w:val="00005D44"/>
    <w:rsid w:val="00006076"/>
    <w:rsid w:val="00006707"/>
    <w:rsid w:val="00006E8C"/>
    <w:rsid w:val="00011EF9"/>
    <w:rsid w:val="000129A8"/>
    <w:rsid w:val="00014E48"/>
    <w:rsid w:val="00015090"/>
    <w:rsid w:val="000171E1"/>
    <w:rsid w:val="0001720F"/>
    <w:rsid w:val="00017939"/>
    <w:rsid w:val="00020C74"/>
    <w:rsid w:val="00021198"/>
    <w:rsid w:val="0002236C"/>
    <w:rsid w:val="00024A66"/>
    <w:rsid w:val="00025BC6"/>
    <w:rsid w:val="000269D6"/>
    <w:rsid w:val="00027C00"/>
    <w:rsid w:val="00030D78"/>
    <w:rsid w:val="00031A2A"/>
    <w:rsid w:val="00034B17"/>
    <w:rsid w:val="00034E65"/>
    <w:rsid w:val="00036440"/>
    <w:rsid w:val="00036717"/>
    <w:rsid w:val="00036886"/>
    <w:rsid w:val="0003776F"/>
    <w:rsid w:val="00037AE1"/>
    <w:rsid w:val="00040084"/>
    <w:rsid w:val="000400DB"/>
    <w:rsid w:val="00040C90"/>
    <w:rsid w:val="00041235"/>
    <w:rsid w:val="00041460"/>
    <w:rsid w:val="000429A1"/>
    <w:rsid w:val="00042A4B"/>
    <w:rsid w:val="0004308C"/>
    <w:rsid w:val="00043239"/>
    <w:rsid w:val="000435A9"/>
    <w:rsid w:val="000441B4"/>
    <w:rsid w:val="00045894"/>
    <w:rsid w:val="00051063"/>
    <w:rsid w:val="000511C9"/>
    <w:rsid w:val="00051732"/>
    <w:rsid w:val="000531FA"/>
    <w:rsid w:val="00053B80"/>
    <w:rsid w:val="000548C0"/>
    <w:rsid w:val="00054E3E"/>
    <w:rsid w:val="000569A1"/>
    <w:rsid w:val="0005737E"/>
    <w:rsid w:val="000575E7"/>
    <w:rsid w:val="00057C3A"/>
    <w:rsid w:val="0006093B"/>
    <w:rsid w:val="00060BB7"/>
    <w:rsid w:val="000615AE"/>
    <w:rsid w:val="00062417"/>
    <w:rsid w:val="00063CB5"/>
    <w:rsid w:val="00067116"/>
    <w:rsid w:val="0006747B"/>
    <w:rsid w:val="000678FE"/>
    <w:rsid w:val="00067FDF"/>
    <w:rsid w:val="000709F3"/>
    <w:rsid w:val="00070CA2"/>
    <w:rsid w:val="00071187"/>
    <w:rsid w:val="00071E71"/>
    <w:rsid w:val="00071EF8"/>
    <w:rsid w:val="0007220D"/>
    <w:rsid w:val="00072430"/>
    <w:rsid w:val="00074258"/>
    <w:rsid w:val="00076F6A"/>
    <w:rsid w:val="00082060"/>
    <w:rsid w:val="00082117"/>
    <w:rsid w:val="0008398E"/>
    <w:rsid w:val="000839D8"/>
    <w:rsid w:val="00083CF5"/>
    <w:rsid w:val="00083D31"/>
    <w:rsid w:val="0008528F"/>
    <w:rsid w:val="00086329"/>
    <w:rsid w:val="0008752A"/>
    <w:rsid w:val="0009160A"/>
    <w:rsid w:val="00093BF5"/>
    <w:rsid w:val="00093CA8"/>
    <w:rsid w:val="00094C9E"/>
    <w:rsid w:val="00095230"/>
    <w:rsid w:val="000959B3"/>
    <w:rsid w:val="00096F91"/>
    <w:rsid w:val="0009742B"/>
    <w:rsid w:val="00097544"/>
    <w:rsid w:val="00097DF1"/>
    <w:rsid w:val="000A00DC"/>
    <w:rsid w:val="000A1792"/>
    <w:rsid w:val="000A40E6"/>
    <w:rsid w:val="000A53B6"/>
    <w:rsid w:val="000A597C"/>
    <w:rsid w:val="000A6FD2"/>
    <w:rsid w:val="000A7BB5"/>
    <w:rsid w:val="000B3866"/>
    <w:rsid w:val="000B41A5"/>
    <w:rsid w:val="000B4D82"/>
    <w:rsid w:val="000B6B31"/>
    <w:rsid w:val="000B7473"/>
    <w:rsid w:val="000B77AB"/>
    <w:rsid w:val="000C0108"/>
    <w:rsid w:val="000C1D0C"/>
    <w:rsid w:val="000C28F2"/>
    <w:rsid w:val="000C343B"/>
    <w:rsid w:val="000C4061"/>
    <w:rsid w:val="000C48DD"/>
    <w:rsid w:val="000C7349"/>
    <w:rsid w:val="000D19CA"/>
    <w:rsid w:val="000D4192"/>
    <w:rsid w:val="000D7FC8"/>
    <w:rsid w:val="000E0F91"/>
    <w:rsid w:val="000E18A3"/>
    <w:rsid w:val="000E221D"/>
    <w:rsid w:val="000E2A2B"/>
    <w:rsid w:val="000E3529"/>
    <w:rsid w:val="000E543A"/>
    <w:rsid w:val="000E6B44"/>
    <w:rsid w:val="000E6E4E"/>
    <w:rsid w:val="000E7806"/>
    <w:rsid w:val="000E78E2"/>
    <w:rsid w:val="000E7971"/>
    <w:rsid w:val="000F0426"/>
    <w:rsid w:val="000F3AA5"/>
    <w:rsid w:val="000F48FB"/>
    <w:rsid w:val="000F6572"/>
    <w:rsid w:val="000F682D"/>
    <w:rsid w:val="000F70E0"/>
    <w:rsid w:val="000F759F"/>
    <w:rsid w:val="000F7AB1"/>
    <w:rsid w:val="0010302B"/>
    <w:rsid w:val="001046CD"/>
    <w:rsid w:val="00106C20"/>
    <w:rsid w:val="00107FEA"/>
    <w:rsid w:val="0011136D"/>
    <w:rsid w:val="00114AC6"/>
    <w:rsid w:val="0011578A"/>
    <w:rsid w:val="001163C5"/>
    <w:rsid w:val="001165D1"/>
    <w:rsid w:val="001176AF"/>
    <w:rsid w:val="0012152F"/>
    <w:rsid w:val="00121603"/>
    <w:rsid w:val="001234FC"/>
    <w:rsid w:val="0012369F"/>
    <w:rsid w:val="001271ED"/>
    <w:rsid w:val="00131562"/>
    <w:rsid w:val="00132D37"/>
    <w:rsid w:val="0013389D"/>
    <w:rsid w:val="001349B0"/>
    <w:rsid w:val="00135149"/>
    <w:rsid w:val="001357D5"/>
    <w:rsid w:val="00135C93"/>
    <w:rsid w:val="001370B3"/>
    <w:rsid w:val="001373A5"/>
    <w:rsid w:val="00140D0D"/>
    <w:rsid w:val="001417EE"/>
    <w:rsid w:val="0014267D"/>
    <w:rsid w:val="00145586"/>
    <w:rsid w:val="00146611"/>
    <w:rsid w:val="00147FE2"/>
    <w:rsid w:val="001514C5"/>
    <w:rsid w:val="0015160E"/>
    <w:rsid w:val="0015246C"/>
    <w:rsid w:val="00152589"/>
    <w:rsid w:val="001527FC"/>
    <w:rsid w:val="00152F41"/>
    <w:rsid w:val="00153937"/>
    <w:rsid w:val="00154400"/>
    <w:rsid w:val="00160957"/>
    <w:rsid w:val="001627F0"/>
    <w:rsid w:val="0016313F"/>
    <w:rsid w:val="00163CA6"/>
    <w:rsid w:val="00164988"/>
    <w:rsid w:val="00165983"/>
    <w:rsid w:val="001661A8"/>
    <w:rsid w:val="00167195"/>
    <w:rsid w:val="001678FC"/>
    <w:rsid w:val="00170E4A"/>
    <w:rsid w:val="00170EF0"/>
    <w:rsid w:val="001735CF"/>
    <w:rsid w:val="0017418D"/>
    <w:rsid w:val="001745EB"/>
    <w:rsid w:val="00176A8F"/>
    <w:rsid w:val="00180062"/>
    <w:rsid w:val="0018214A"/>
    <w:rsid w:val="0018296A"/>
    <w:rsid w:val="00184F4F"/>
    <w:rsid w:val="00184FCB"/>
    <w:rsid w:val="00186242"/>
    <w:rsid w:val="00186C35"/>
    <w:rsid w:val="00190C37"/>
    <w:rsid w:val="00191497"/>
    <w:rsid w:val="00191CB1"/>
    <w:rsid w:val="00192ED2"/>
    <w:rsid w:val="00194089"/>
    <w:rsid w:val="00197B28"/>
    <w:rsid w:val="00197BB8"/>
    <w:rsid w:val="001A0529"/>
    <w:rsid w:val="001A1A55"/>
    <w:rsid w:val="001A24CE"/>
    <w:rsid w:val="001A37D1"/>
    <w:rsid w:val="001A577E"/>
    <w:rsid w:val="001A6290"/>
    <w:rsid w:val="001B0E48"/>
    <w:rsid w:val="001B1306"/>
    <w:rsid w:val="001B5193"/>
    <w:rsid w:val="001B72A2"/>
    <w:rsid w:val="001B765A"/>
    <w:rsid w:val="001B7BA8"/>
    <w:rsid w:val="001C128E"/>
    <w:rsid w:val="001C6DF6"/>
    <w:rsid w:val="001C7037"/>
    <w:rsid w:val="001D2425"/>
    <w:rsid w:val="001D2610"/>
    <w:rsid w:val="001D4800"/>
    <w:rsid w:val="001E0A52"/>
    <w:rsid w:val="001E0B91"/>
    <w:rsid w:val="001E1611"/>
    <w:rsid w:val="001E36B0"/>
    <w:rsid w:val="001E48C7"/>
    <w:rsid w:val="001E53AE"/>
    <w:rsid w:val="001E7F6C"/>
    <w:rsid w:val="001F0839"/>
    <w:rsid w:val="001F105E"/>
    <w:rsid w:val="001F132A"/>
    <w:rsid w:val="001F443E"/>
    <w:rsid w:val="001F5506"/>
    <w:rsid w:val="001F5BE5"/>
    <w:rsid w:val="001F5D4E"/>
    <w:rsid w:val="001F5F25"/>
    <w:rsid w:val="001F5F96"/>
    <w:rsid w:val="001F67EA"/>
    <w:rsid w:val="001F7058"/>
    <w:rsid w:val="001F74E5"/>
    <w:rsid w:val="002002D9"/>
    <w:rsid w:val="00200E6D"/>
    <w:rsid w:val="00200F16"/>
    <w:rsid w:val="002015AB"/>
    <w:rsid w:val="00202787"/>
    <w:rsid w:val="00203F4C"/>
    <w:rsid w:val="00204E7E"/>
    <w:rsid w:val="002065AE"/>
    <w:rsid w:val="00206D3D"/>
    <w:rsid w:val="00206FBA"/>
    <w:rsid w:val="002076B0"/>
    <w:rsid w:val="002077D6"/>
    <w:rsid w:val="002077DE"/>
    <w:rsid w:val="0021035A"/>
    <w:rsid w:val="00214DC0"/>
    <w:rsid w:val="00215330"/>
    <w:rsid w:val="002158AE"/>
    <w:rsid w:val="00215F04"/>
    <w:rsid w:val="00217551"/>
    <w:rsid w:val="00217BAE"/>
    <w:rsid w:val="002203DD"/>
    <w:rsid w:val="00220670"/>
    <w:rsid w:val="00221EEB"/>
    <w:rsid w:val="002232D9"/>
    <w:rsid w:val="00223CF6"/>
    <w:rsid w:val="00224CCB"/>
    <w:rsid w:val="00230E77"/>
    <w:rsid w:val="00231551"/>
    <w:rsid w:val="00231FF2"/>
    <w:rsid w:val="00232AB8"/>
    <w:rsid w:val="00234D2A"/>
    <w:rsid w:val="002354C8"/>
    <w:rsid w:val="00237E83"/>
    <w:rsid w:val="00240BEC"/>
    <w:rsid w:val="00241658"/>
    <w:rsid w:val="00243A5A"/>
    <w:rsid w:val="002462CE"/>
    <w:rsid w:val="0024673B"/>
    <w:rsid w:val="00250747"/>
    <w:rsid w:val="00250D24"/>
    <w:rsid w:val="00250E0E"/>
    <w:rsid w:val="00253269"/>
    <w:rsid w:val="002547C0"/>
    <w:rsid w:val="00254EA2"/>
    <w:rsid w:val="002557FE"/>
    <w:rsid w:val="0025670A"/>
    <w:rsid w:val="00257B53"/>
    <w:rsid w:val="00261F91"/>
    <w:rsid w:val="0026291D"/>
    <w:rsid w:val="00262930"/>
    <w:rsid w:val="00265767"/>
    <w:rsid w:val="00265CC2"/>
    <w:rsid w:val="002664F0"/>
    <w:rsid w:val="00267359"/>
    <w:rsid w:val="0027431E"/>
    <w:rsid w:val="002758C8"/>
    <w:rsid w:val="00275C94"/>
    <w:rsid w:val="00277CBD"/>
    <w:rsid w:val="00280D9C"/>
    <w:rsid w:val="002835E6"/>
    <w:rsid w:val="00283817"/>
    <w:rsid w:val="00285392"/>
    <w:rsid w:val="00286E13"/>
    <w:rsid w:val="00292795"/>
    <w:rsid w:val="00293F41"/>
    <w:rsid w:val="00294955"/>
    <w:rsid w:val="00294D38"/>
    <w:rsid w:val="002962C3"/>
    <w:rsid w:val="00296376"/>
    <w:rsid w:val="002A42EB"/>
    <w:rsid w:val="002A5AD5"/>
    <w:rsid w:val="002B0402"/>
    <w:rsid w:val="002B0922"/>
    <w:rsid w:val="002B0DE0"/>
    <w:rsid w:val="002B1C17"/>
    <w:rsid w:val="002B26CE"/>
    <w:rsid w:val="002B2D49"/>
    <w:rsid w:val="002B3465"/>
    <w:rsid w:val="002B38A0"/>
    <w:rsid w:val="002B459A"/>
    <w:rsid w:val="002B5270"/>
    <w:rsid w:val="002B5692"/>
    <w:rsid w:val="002B5C72"/>
    <w:rsid w:val="002B61E3"/>
    <w:rsid w:val="002B7A66"/>
    <w:rsid w:val="002B7C7B"/>
    <w:rsid w:val="002C2624"/>
    <w:rsid w:val="002C4D07"/>
    <w:rsid w:val="002C539F"/>
    <w:rsid w:val="002C6185"/>
    <w:rsid w:val="002C61C5"/>
    <w:rsid w:val="002C6328"/>
    <w:rsid w:val="002C6D50"/>
    <w:rsid w:val="002C7D6A"/>
    <w:rsid w:val="002D0503"/>
    <w:rsid w:val="002D08CB"/>
    <w:rsid w:val="002D17BE"/>
    <w:rsid w:val="002D19B5"/>
    <w:rsid w:val="002D2EF9"/>
    <w:rsid w:val="002D3DCB"/>
    <w:rsid w:val="002D4AA0"/>
    <w:rsid w:val="002E0A18"/>
    <w:rsid w:val="002E112C"/>
    <w:rsid w:val="002E1D4F"/>
    <w:rsid w:val="002E211C"/>
    <w:rsid w:val="002E3FFF"/>
    <w:rsid w:val="002F04FC"/>
    <w:rsid w:val="002F32CA"/>
    <w:rsid w:val="002F39EB"/>
    <w:rsid w:val="002F3C79"/>
    <w:rsid w:val="002F41A7"/>
    <w:rsid w:val="002F497C"/>
    <w:rsid w:val="003000C9"/>
    <w:rsid w:val="00300397"/>
    <w:rsid w:val="00300D5C"/>
    <w:rsid w:val="003017AC"/>
    <w:rsid w:val="0030353B"/>
    <w:rsid w:val="003046B9"/>
    <w:rsid w:val="00305A48"/>
    <w:rsid w:val="00305A56"/>
    <w:rsid w:val="00305C97"/>
    <w:rsid w:val="00307226"/>
    <w:rsid w:val="00313833"/>
    <w:rsid w:val="0031469C"/>
    <w:rsid w:val="0031499E"/>
    <w:rsid w:val="003153F6"/>
    <w:rsid w:val="00316524"/>
    <w:rsid w:val="00316752"/>
    <w:rsid w:val="00320FB5"/>
    <w:rsid w:val="00321890"/>
    <w:rsid w:val="00322DDF"/>
    <w:rsid w:val="00323158"/>
    <w:rsid w:val="00323159"/>
    <w:rsid w:val="003234FF"/>
    <w:rsid w:val="0032407E"/>
    <w:rsid w:val="00324472"/>
    <w:rsid w:val="0032664C"/>
    <w:rsid w:val="00326D0D"/>
    <w:rsid w:val="00327546"/>
    <w:rsid w:val="00327E7A"/>
    <w:rsid w:val="00330A34"/>
    <w:rsid w:val="00330ECE"/>
    <w:rsid w:val="00331ECF"/>
    <w:rsid w:val="00332729"/>
    <w:rsid w:val="0033357D"/>
    <w:rsid w:val="00334AF2"/>
    <w:rsid w:val="003364D3"/>
    <w:rsid w:val="00342D6C"/>
    <w:rsid w:val="003522CF"/>
    <w:rsid w:val="00352B78"/>
    <w:rsid w:val="00353D1D"/>
    <w:rsid w:val="00354BAE"/>
    <w:rsid w:val="00355147"/>
    <w:rsid w:val="00356EFB"/>
    <w:rsid w:val="00360933"/>
    <w:rsid w:val="003640E6"/>
    <w:rsid w:val="0036502E"/>
    <w:rsid w:val="0036538A"/>
    <w:rsid w:val="00367A04"/>
    <w:rsid w:val="0037188A"/>
    <w:rsid w:val="003732AB"/>
    <w:rsid w:val="00373867"/>
    <w:rsid w:val="0037570B"/>
    <w:rsid w:val="00376BE6"/>
    <w:rsid w:val="003800C5"/>
    <w:rsid w:val="003801A9"/>
    <w:rsid w:val="003817C7"/>
    <w:rsid w:val="00385F84"/>
    <w:rsid w:val="00390467"/>
    <w:rsid w:val="0039095F"/>
    <w:rsid w:val="00390EE4"/>
    <w:rsid w:val="00391FB4"/>
    <w:rsid w:val="003931AB"/>
    <w:rsid w:val="00393432"/>
    <w:rsid w:val="0039431D"/>
    <w:rsid w:val="00395F97"/>
    <w:rsid w:val="00396504"/>
    <w:rsid w:val="003971E0"/>
    <w:rsid w:val="00397FA1"/>
    <w:rsid w:val="003A0F52"/>
    <w:rsid w:val="003A1893"/>
    <w:rsid w:val="003A4F0C"/>
    <w:rsid w:val="003A5358"/>
    <w:rsid w:val="003A656E"/>
    <w:rsid w:val="003A65A0"/>
    <w:rsid w:val="003A66CF"/>
    <w:rsid w:val="003A6726"/>
    <w:rsid w:val="003B13A4"/>
    <w:rsid w:val="003B22C9"/>
    <w:rsid w:val="003B25F1"/>
    <w:rsid w:val="003B3074"/>
    <w:rsid w:val="003B3D06"/>
    <w:rsid w:val="003B3E7B"/>
    <w:rsid w:val="003B4B31"/>
    <w:rsid w:val="003B4D11"/>
    <w:rsid w:val="003B5724"/>
    <w:rsid w:val="003C001E"/>
    <w:rsid w:val="003C1465"/>
    <w:rsid w:val="003C40EE"/>
    <w:rsid w:val="003C5A13"/>
    <w:rsid w:val="003C6275"/>
    <w:rsid w:val="003C775F"/>
    <w:rsid w:val="003C7B99"/>
    <w:rsid w:val="003D088A"/>
    <w:rsid w:val="003D153B"/>
    <w:rsid w:val="003D1BB6"/>
    <w:rsid w:val="003D3684"/>
    <w:rsid w:val="003E23D6"/>
    <w:rsid w:val="003E3399"/>
    <w:rsid w:val="003E3A64"/>
    <w:rsid w:val="003E4FB2"/>
    <w:rsid w:val="003E6538"/>
    <w:rsid w:val="003E665B"/>
    <w:rsid w:val="003E704F"/>
    <w:rsid w:val="003E79FC"/>
    <w:rsid w:val="003F3CCD"/>
    <w:rsid w:val="003F4D18"/>
    <w:rsid w:val="003F656F"/>
    <w:rsid w:val="003F66D6"/>
    <w:rsid w:val="003F68EE"/>
    <w:rsid w:val="003F72CA"/>
    <w:rsid w:val="004001BE"/>
    <w:rsid w:val="00403FD2"/>
    <w:rsid w:val="00405A11"/>
    <w:rsid w:val="0040707F"/>
    <w:rsid w:val="00410353"/>
    <w:rsid w:val="00410CBD"/>
    <w:rsid w:val="00410DA6"/>
    <w:rsid w:val="00410EEB"/>
    <w:rsid w:val="00411A70"/>
    <w:rsid w:val="004121CD"/>
    <w:rsid w:val="00413511"/>
    <w:rsid w:val="004148E2"/>
    <w:rsid w:val="00414A1E"/>
    <w:rsid w:val="0041628B"/>
    <w:rsid w:val="0041673E"/>
    <w:rsid w:val="004176AD"/>
    <w:rsid w:val="00417E8E"/>
    <w:rsid w:val="0042052E"/>
    <w:rsid w:val="0042284E"/>
    <w:rsid w:val="004229C0"/>
    <w:rsid w:val="0042628E"/>
    <w:rsid w:val="00431557"/>
    <w:rsid w:val="00431650"/>
    <w:rsid w:val="00432F2C"/>
    <w:rsid w:val="004360F3"/>
    <w:rsid w:val="0043712A"/>
    <w:rsid w:val="0043779C"/>
    <w:rsid w:val="004405A4"/>
    <w:rsid w:val="00440BC1"/>
    <w:rsid w:val="00441115"/>
    <w:rsid w:val="00441D73"/>
    <w:rsid w:val="00442FEF"/>
    <w:rsid w:val="0044330C"/>
    <w:rsid w:val="00445091"/>
    <w:rsid w:val="00446BBE"/>
    <w:rsid w:val="00446FC3"/>
    <w:rsid w:val="00447637"/>
    <w:rsid w:val="004476D6"/>
    <w:rsid w:val="00451CB3"/>
    <w:rsid w:val="00451FBA"/>
    <w:rsid w:val="00452235"/>
    <w:rsid w:val="00452CC7"/>
    <w:rsid w:val="004535D4"/>
    <w:rsid w:val="004551E7"/>
    <w:rsid w:val="004567B3"/>
    <w:rsid w:val="00456D94"/>
    <w:rsid w:val="004576E1"/>
    <w:rsid w:val="004612A3"/>
    <w:rsid w:val="00461E8E"/>
    <w:rsid w:val="0046281C"/>
    <w:rsid w:val="00462AF8"/>
    <w:rsid w:val="00462B7B"/>
    <w:rsid w:val="00462BF0"/>
    <w:rsid w:val="004631A3"/>
    <w:rsid w:val="00466431"/>
    <w:rsid w:val="0047003C"/>
    <w:rsid w:val="00470586"/>
    <w:rsid w:val="004708CE"/>
    <w:rsid w:val="00470C51"/>
    <w:rsid w:val="004742AA"/>
    <w:rsid w:val="004746B4"/>
    <w:rsid w:val="00475D2D"/>
    <w:rsid w:val="00476E82"/>
    <w:rsid w:val="00480947"/>
    <w:rsid w:val="00480C8B"/>
    <w:rsid w:val="0048170A"/>
    <w:rsid w:val="00483E74"/>
    <w:rsid w:val="00485301"/>
    <w:rsid w:val="00491179"/>
    <w:rsid w:val="00492084"/>
    <w:rsid w:val="00492438"/>
    <w:rsid w:val="004A0A15"/>
    <w:rsid w:val="004A129C"/>
    <w:rsid w:val="004A149D"/>
    <w:rsid w:val="004A1D42"/>
    <w:rsid w:val="004A39F8"/>
    <w:rsid w:val="004A6B70"/>
    <w:rsid w:val="004A6E22"/>
    <w:rsid w:val="004B1E0E"/>
    <w:rsid w:val="004B29C2"/>
    <w:rsid w:val="004B3275"/>
    <w:rsid w:val="004B4E49"/>
    <w:rsid w:val="004C1113"/>
    <w:rsid w:val="004C2381"/>
    <w:rsid w:val="004C2989"/>
    <w:rsid w:val="004C387D"/>
    <w:rsid w:val="004C4B26"/>
    <w:rsid w:val="004C4F36"/>
    <w:rsid w:val="004C6D73"/>
    <w:rsid w:val="004D12D5"/>
    <w:rsid w:val="004D3589"/>
    <w:rsid w:val="004D35BF"/>
    <w:rsid w:val="004D40B5"/>
    <w:rsid w:val="004D5F6E"/>
    <w:rsid w:val="004D7E58"/>
    <w:rsid w:val="004E0A31"/>
    <w:rsid w:val="004E3AC9"/>
    <w:rsid w:val="004E5CA2"/>
    <w:rsid w:val="004F051F"/>
    <w:rsid w:val="004F2A8F"/>
    <w:rsid w:val="004F3742"/>
    <w:rsid w:val="004F5865"/>
    <w:rsid w:val="004F588D"/>
    <w:rsid w:val="004F65E1"/>
    <w:rsid w:val="00500F62"/>
    <w:rsid w:val="00501275"/>
    <w:rsid w:val="00501BF9"/>
    <w:rsid w:val="00503C65"/>
    <w:rsid w:val="0050553E"/>
    <w:rsid w:val="005055ED"/>
    <w:rsid w:val="00505819"/>
    <w:rsid w:val="00507167"/>
    <w:rsid w:val="005106E7"/>
    <w:rsid w:val="00510A36"/>
    <w:rsid w:val="005138C1"/>
    <w:rsid w:val="00520334"/>
    <w:rsid w:val="0052327E"/>
    <w:rsid w:val="00524055"/>
    <w:rsid w:val="00525C5E"/>
    <w:rsid w:val="00525F4D"/>
    <w:rsid w:val="0052643F"/>
    <w:rsid w:val="005270C9"/>
    <w:rsid w:val="00527CA9"/>
    <w:rsid w:val="00530EE9"/>
    <w:rsid w:val="005322FD"/>
    <w:rsid w:val="0053363A"/>
    <w:rsid w:val="005343AA"/>
    <w:rsid w:val="00534F4A"/>
    <w:rsid w:val="00535D50"/>
    <w:rsid w:val="0053748C"/>
    <w:rsid w:val="005401BA"/>
    <w:rsid w:val="00542D93"/>
    <w:rsid w:val="00543E38"/>
    <w:rsid w:val="00551C6B"/>
    <w:rsid w:val="0055362D"/>
    <w:rsid w:val="00553EE1"/>
    <w:rsid w:val="00553F2C"/>
    <w:rsid w:val="00561CDD"/>
    <w:rsid w:val="005645F3"/>
    <w:rsid w:val="00564C85"/>
    <w:rsid w:val="005652BA"/>
    <w:rsid w:val="005659C9"/>
    <w:rsid w:val="0056618C"/>
    <w:rsid w:val="00566CA6"/>
    <w:rsid w:val="00566EE7"/>
    <w:rsid w:val="00570822"/>
    <w:rsid w:val="00570D13"/>
    <w:rsid w:val="0057232C"/>
    <w:rsid w:val="00573B70"/>
    <w:rsid w:val="00573F35"/>
    <w:rsid w:val="00574001"/>
    <w:rsid w:val="00574179"/>
    <w:rsid w:val="0057719C"/>
    <w:rsid w:val="00580921"/>
    <w:rsid w:val="00581672"/>
    <w:rsid w:val="0058177C"/>
    <w:rsid w:val="00584620"/>
    <w:rsid w:val="00586204"/>
    <w:rsid w:val="00587E3C"/>
    <w:rsid w:val="00590876"/>
    <w:rsid w:val="00591453"/>
    <w:rsid w:val="0059229D"/>
    <w:rsid w:val="00595F88"/>
    <w:rsid w:val="00596880"/>
    <w:rsid w:val="0059747E"/>
    <w:rsid w:val="005A10BA"/>
    <w:rsid w:val="005A1498"/>
    <w:rsid w:val="005A1A3F"/>
    <w:rsid w:val="005A1C08"/>
    <w:rsid w:val="005A33BF"/>
    <w:rsid w:val="005A3642"/>
    <w:rsid w:val="005A5EA4"/>
    <w:rsid w:val="005A771D"/>
    <w:rsid w:val="005B27CE"/>
    <w:rsid w:val="005B2DEC"/>
    <w:rsid w:val="005B4536"/>
    <w:rsid w:val="005B4EA0"/>
    <w:rsid w:val="005B5FDA"/>
    <w:rsid w:val="005B717B"/>
    <w:rsid w:val="005B7BE9"/>
    <w:rsid w:val="005B7DBA"/>
    <w:rsid w:val="005C445B"/>
    <w:rsid w:val="005C56E0"/>
    <w:rsid w:val="005C7433"/>
    <w:rsid w:val="005C7A1D"/>
    <w:rsid w:val="005D1EB5"/>
    <w:rsid w:val="005D3925"/>
    <w:rsid w:val="005D46B0"/>
    <w:rsid w:val="005D798D"/>
    <w:rsid w:val="005D7B42"/>
    <w:rsid w:val="005D7DAA"/>
    <w:rsid w:val="005E01EF"/>
    <w:rsid w:val="005E1848"/>
    <w:rsid w:val="005E1FAB"/>
    <w:rsid w:val="005E42E6"/>
    <w:rsid w:val="005E5E3F"/>
    <w:rsid w:val="005E7203"/>
    <w:rsid w:val="005E7388"/>
    <w:rsid w:val="005E752F"/>
    <w:rsid w:val="005E7930"/>
    <w:rsid w:val="005F1145"/>
    <w:rsid w:val="005F1931"/>
    <w:rsid w:val="005F2675"/>
    <w:rsid w:val="005F3B03"/>
    <w:rsid w:val="005F3FF4"/>
    <w:rsid w:val="005F5228"/>
    <w:rsid w:val="005F643C"/>
    <w:rsid w:val="005F6C65"/>
    <w:rsid w:val="005F7936"/>
    <w:rsid w:val="00601BC3"/>
    <w:rsid w:val="00602294"/>
    <w:rsid w:val="006022BB"/>
    <w:rsid w:val="0060287D"/>
    <w:rsid w:val="00604439"/>
    <w:rsid w:val="00604C5C"/>
    <w:rsid w:val="00605856"/>
    <w:rsid w:val="0060609E"/>
    <w:rsid w:val="006069FE"/>
    <w:rsid w:val="00606BF1"/>
    <w:rsid w:val="006114BF"/>
    <w:rsid w:val="00611899"/>
    <w:rsid w:val="00611DF1"/>
    <w:rsid w:val="0061544C"/>
    <w:rsid w:val="0061667C"/>
    <w:rsid w:val="00620867"/>
    <w:rsid w:val="00621851"/>
    <w:rsid w:val="00621C43"/>
    <w:rsid w:val="00622AF1"/>
    <w:rsid w:val="006236AD"/>
    <w:rsid w:val="0062408E"/>
    <w:rsid w:val="00624372"/>
    <w:rsid w:val="006247E3"/>
    <w:rsid w:val="0062482E"/>
    <w:rsid w:val="00624C2F"/>
    <w:rsid w:val="006262A0"/>
    <w:rsid w:val="0062683D"/>
    <w:rsid w:val="00627183"/>
    <w:rsid w:val="00631EAF"/>
    <w:rsid w:val="00633077"/>
    <w:rsid w:val="00635A5C"/>
    <w:rsid w:val="00635BB6"/>
    <w:rsid w:val="006361EC"/>
    <w:rsid w:val="00637450"/>
    <w:rsid w:val="0063783A"/>
    <w:rsid w:val="00637E4A"/>
    <w:rsid w:val="00641005"/>
    <w:rsid w:val="0064139F"/>
    <w:rsid w:val="00641ABA"/>
    <w:rsid w:val="00642352"/>
    <w:rsid w:val="006465B9"/>
    <w:rsid w:val="00646AEA"/>
    <w:rsid w:val="006476BD"/>
    <w:rsid w:val="006535C5"/>
    <w:rsid w:val="006546E9"/>
    <w:rsid w:val="00654E13"/>
    <w:rsid w:val="0065571A"/>
    <w:rsid w:val="006558C6"/>
    <w:rsid w:val="00656178"/>
    <w:rsid w:val="0065651E"/>
    <w:rsid w:val="00656F05"/>
    <w:rsid w:val="00657F1E"/>
    <w:rsid w:val="00660DA6"/>
    <w:rsid w:val="00661B7C"/>
    <w:rsid w:val="0066235C"/>
    <w:rsid w:val="0066245A"/>
    <w:rsid w:val="00662D59"/>
    <w:rsid w:val="00663E6C"/>
    <w:rsid w:val="006641D9"/>
    <w:rsid w:val="006642B2"/>
    <w:rsid w:val="006643C8"/>
    <w:rsid w:val="0066683A"/>
    <w:rsid w:val="00666899"/>
    <w:rsid w:val="006672CD"/>
    <w:rsid w:val="00667AD5"/>
    <w:rsid w:val="00670510"/>
    <w:rsid w:val="00671888"/>
    <w:rsid w:val="006745BE"/>
    <w:rsid w:val="00674783"/>
    <w:rsid w:val="006761AC"/>
    <w:rsid w:val="00676CA2"/>
    <w:rsid w:val="00677BD1"/>
    <w:rsid w:val="00677FD4"/>
    <w:rsid w:val="006801FE"/>
    <w:rsid w:val="0068090A"/>
    <w:rsid w:val="006813E4"/>
    <w:rsid w:val="00682B39"/>
    <w:rsid w:val="00683356"/>
    <w:rsid w:val="00684746"/>
    <w:rsid w:val="0068499F"/>
    <w:rsid w:val="00684A88"/>
    <w:rsid w:val="006855CB"/>
    <w:rsid w:val="0068748C"/>
    <w:rsid w:val="0068759F"/>
    <w:rsid w:val="0068780B"/>
    <w:rsid w:val="00690E2E"/>
    <w:rsid w:val="00690FDD"/>
    <w:rsid w:val="006925EA"/>
    <w:rsid w:val="006937F7"/>
    <w:rsid w:val="00693CD2"/>
    <w:rsid w:val="00695F06"/>
    <w:rsid w:val="006970F4"/>
    <w:rsid w:val="00697764"/>
    <w:rsid w:val="006977E1"/>
    <w:rsid w:val="006979F3"/>
    <w:rsid w:val="006A1497"/>
    <w:rsid w:val="006A323A"/>
    <w:rsid w:val="006A5BE8"/>
    <w:rsid w:val="006A6637"/>
    <w:rsid w:val="006A75FA"/>
    <w:rsid w:val="006B000F"/>
    <w:rsid w:val="006B049A"/>
    <w:rsid w:val="006B120C"/>
    <w:rsid w:val="006B261F"/>
    <w:rsid w:val="006B2F46"/>
    <w:rsid w:val="006B40B3"/>
    <w:rsid w:val="006B5CC1"/>
    <w:rsid w:val="006B63F7"/>
    <w:rsid w:val="006B6595"/>
    <w:rsid w:val="006C2DB8"/>
    <w:rsid w:val="006C3723"/>
    <w:rsid w:val="006C5F28"/>
    <w:rsid w:val="006C6292"/>
    <w:rsid w:val="006C645A"/>
    <w:rsid w:val="006C6CC6"/>
    <w:rsid w:val="006C7CC9"/>
    <w:rsid w:val="006D31C8"/>
    <w:rsid w:val="006D3D0E"/>
    <w:rsid w:val="006D3FC5"/>
    <w:rsid w:val="006D5202"/>
    <w:rsid w:val="006D599D"/>
    <w:rsid w:val="006D59B7"/>
    <w:rsid w:val="006D7759"/>
    <w:rsid w:val="006E1227"/>
    <w:rsid w:val="006E282B"/>
    <w:rsid w:val="006E28D2"/>
    <w:rsid w:val="006E3B06"/>
    <w:rsid w:val="006E540F"/>
    <w:rsid w:val="006E5871"/>
    <w:rsid w:val="006E5D4A"/>
    <w:rsid w:val="006E766F"/>
    <w:rsid w:val="006F2454"/>
    <w:rsid w:val="006F33A2"/>
    <w:rsid w:val="006F51DE"/>
    <w:rsid w:val="006F5E58"/>
    <w:rsid w:val="007032C7"/>
    <w:rsid w:val="00706925"/>
    <w:rsid w:val="0071092D"/>
    <w:rsid w:val="00710B77"/>
    <w:rsid w:val="007123E1"/>
    <w:rsid w:val="00714DDA"/>
    <w:rsid w:val="00716246"/>
    <w:rsid w:val="00716F2C"/>
    <w:rsid w:val="00717395"/>
    <w:rsid w:val="00720FD6"/>
    <w:rsid w:val="00721200"/>
    <w:rsid w:val="00722FFB"/>
    <w:rsid w:val="00723C93"/>
    <w:rsid w:val="0072400B"/>
    <w:rsid w:val="007277B4"/>
    <w:rsid w:val="00730019"/>
    <w:rsid w:val="00730A5D"/>
    <w:rsid w:val="007341C4"/>
    <w:rsid w:val="00736815"/>
    <w:rsid w:val="007369A5"/>
    <w:rsid w:val="007377C5"/>
    <w:rsid w:val="007401FA"/>
    <w:rsid w:val="0074183B"/>
    <w:rsid w:val="00743D5E"/>
    <w:rsid w:val="00744483"/>
    <w:rsid w:val="007445DD"/>
    <w:rsid w:val="00746824"/>
    <w:rsid w:val="00746E67"/>
    <w:rsid w:val="00747384"/>
    <w:rsid w:val="00747BCF"/>
    <w:rsid w:val="00747F3A"/>
    <w:rsid w:val="00751365"/>
    <w:rsid w:val="007530FB"/>
    <w:rsid w:val="00753B00"/>
    <w:rsid w:val="00753D46"/>
    <w:rsid w:val="00754AD4"/>
    <w:rsid w:val="00754F9E"/>
    <w:rsid w:val="00756D63"/>
    <w:rsid w:val="00766443"/>
    <w:rsid w:val="007703AC"/>
    <w:rsid w:val="00771664"/>
    <w:rsid w:val="00774851"/>
    <w:rsid w:val="00775959"/>
    <w:rsid w:val="00776680"/>
    <w:rsid w:val="007775F9"/>
    <w:rsid w:val="007776BF"/>
    <w:rsid w:val="00777FBE"/>
    <w:rsid w:val="00783621"/>
    <w:rsid w:val="00786BAB"/>
    <w:rsid w:val="007873A1"/>
    <w:rsid w:val="00790651"/>
    <w:rsid w:val="007921AA"/>
    <w:rsid w:val="007922D1"/>
    <w:rsid w:val="00792328"/>
    <w:rsid w:val="007926C5"/>
    <w:rsid w:val="00793E33"/>
    <w:rsid w:val="007A045C"/>
    <w:rsid w:val="007A0EAC"/>
    <w:rsid w:val="007A196A"/>
    <w:rsid w:val="007A5802"/>
    <w:rsid w:val="007B00DE"/>
    <w:rsid w:val="007B0C94"/>
    <w:rsid w:val="007B2BE7"/>
    <w:rsid w:val="007B3313"/>
    <w:rsid w:val="007B3B66"/>
    <w:rsid w:val="007B3EC0"/>
    <w:rsid w:val="007B48D6"/>
    <w:rsid w:val="007B4FF7"/>
    <w:rsid w:val="007B5894"/>
    <w:rsid w:val="007B65D1"/>
    <w:rsid w:val="007C0931"/>
    <w:rsid w:val="007C0F69"/>
    <w:rsid w:val="007C1460"/>
    <w:rsid w:val="007C1E42"/>
    <w:rsid w:val="007C3B7F"/>
    <w:rsid w:val="007C5896"/>
    <w:rsid w:val="007D04E7"/>
    <w:rsid w:val="007D1AE5"/>
    <w:rsid w:val="007D1F7E"/>
    <w:rsid w:val="007D2A33"/>
    <w:rsid w:val="007D3105"/>
    <w:rsid w:val="007D4041"/>
    <w:rsid w:val="007D4CCE"/>
    <w:rsid w:val="007D59F1"/>
    <w:rsid w:val="007D6042"/>
    <w:rsid w:val="007D762C"/>
    <w:rsid w:val="007E09AE"/>
    <w:rsid w:val="007E1416"/>
    <w:rsid w:val="007E2F2C"/>
    <w:rsid w:val="007E3770"/>
    <w:rsid w:val="007E4892"/>
    <w:rsid w:val="007E5D11"/>
    <w:rsid w:val="007E5D2F"/>
    <w:rsid w:val="007F092D"/>
    <w:rsid w:val="007F220C"/>
    <w:rsid w:val="007F2827"/>
    <w:rsid w:val="007F345E"/>
    <w:rsid w:val="007F45F4"/>
    <w:rsid w:val="007F547D"/>
    <w:rsid w:val="007F6326"/>
    <w:rsid w:val="007F7F8D"/>
    <w:rsid w:val="008020A8"/>
    <w:rsid w:val="00803329"/>
    <w:rsid w:val="00803B22"/>
    <w:rsid w:val="00804254"/>
    <w:rsid w:val="00804720"/>
    <w:rsid w:val="0080543B"/>
    <w:rsid w:val="008073B7"/>
    <w:rsid w:val="00810FFC"/>
    <w:rsid w:val="00811683"/>
    <w:rsid w:val="008121FF"/>
    <w:rsid w:val="008122F2"/>
    <w:rsid w:val="00812E6C"/>
    <w:rsid w:val="00813533"/>
    <w:rsid w:val="00813BF3"/>
    <w:rsid w:val="0081445C"/>
    <w:rsid w:val="00814924"/>
    <w:rsid w:val="00815188"/>
    <w:rsid w:val="00817196"/>
    <w:rsid w:val="0082229D"/>
    <w:rsid w:val="0082298B"/>
    <w:rsid w:val="00824242"/>
    <w:rsid w:val="008246A5"/>
    <w:rsid w:val="00824CE5"/>
    <w:rsid w:val="00826B0E"/>
    <w:rsid w:val="008330AA"/>
    <w:rsid w:val="008332D4"/>
    <w:rsid w:val="00833539"/>
    <w:rsid w:val="00834178"/>
    <w:rsid w:val="008345E2"/>
    <w:rsid w:val="0083538E"/>
    <w:rsid w:val="00835E9B"/>
    <w:rsid w:val="00836603"/>
    <w:rsid w:val="00836621"/>
    <w:rsid w:val="0083714D"/>
    <w:rsid w:val="00837DED"/>
    <w:rsid w:val="008410A7"/>
    <w:rsid w:val="00843CDC"/>
    <w:rsid w:val="00843FF2"/>
    <w:rsid w:val="00844F18"/>
    <w:rsid w:val="008451E4"/>
    <w:rsid w:val="0084596D"/>
    <w:rsid w:val="00851BB1"/>
    <w:rsid w:val="00851D35"/>
    <w:rsid w:val="00860FB9"/>
    <w:rsid w:val="0086155F"/>
    <w:rsid w:val="00864E70"/>
    <w:rsid w:val="00865C53"/>
    <w:rsid w:val="00871C09"/>
    <w:rsid w:val="00872677"/>
    <w:rsid w:val="008736C0"/>
    <w:rsid w:val="0087453D"/>
    <w:rsid w:val="008764CB"/>
    <w:rsid w:val="00880D11"/>
    <w:rsid w:val="00881730"/>
    <w:rsid w:val="00882454"/>
    <w:rsid w:val="00882B2B"/>
    <w:rsid w:val="00883EC9"/>
    <w:rsid w:val="008842DD"/>
    <w:rsid w:val="00884DA2"/>
    <w:rsid w:val="00885212"/>
    <w:rsid w:val="008854CB"/>
    <w:rsid w:val="00885D6B"/>
    <w:rsid w:val="00887500"/>
    <w:rsid w:val="00887AE9"/>
    <w:rsid w:val="0089150C"/>
    <w:rsid w:val="00891F05"/>
    <w:rsid w:val="00892F31"/>
    <w:rsid w:val="00894C93"/>
    <w:rsid w:val="00897760"/>
    <w:rsid w:val="008978A0"/>
    <w:rsid w:val="00897A13"/>
    <w:rsid w:val="00897DFE"/>
    <w:rsid w:val="008A06C5"/>
    <w:rsid w:val="008A074E"/>
    <w:rsid w:val="008A0BB7"/>
    <w:rsid w:val="008A0F3B"/>
    <w:rsid w:val="008A13EE"/>
    <w:rsid w:val="008A300F"/>
    <w:rsid w:val="008A5FE7"/>
    <w:rsid w:val="008A6E41"/>
    <w:rsid w:val="008B1133"/>
    <w:rsid w:val="008B134C"/>
    <w:rsid w:val="008B2706"/>
    <w:rsid w:val="008B3512"/>
    <w:rsid w:val="008B3624"/>
    <w:rsid w:val="008B3B29"/>
    <w:rsid w:val="008B5D21"/>
    <w:rsid w:val="008C278F"/>
    <w:rsid w:val="008C29F1"/>
    <w:rsid w:val="008C2A68"/>
    <w:rsid w:val="008C2D92"/>
    <w:rsid w:val="008C2DE8"/>
    <w:rsid w:val="008C2E90"/>
    <w:rsid w:val="008C415C"/>
    <w:rsid w:val="008C4A11"/>
    <w:rsid w:val="008C7279"/>
    <w:rsid w:val="008D1356"/>
    <w:rsid w:val="008D2C34"/>
    <w:rsid w:val="008D30DB"/>
    <w:rsid w:val="008D6591"/>
    <w:rsid w:val="008E1797"/>
    <w:rsid w:val="008E576E"/>
    <w:rsid w:val="008E6E73"/>
    <w:rsid w:val="008F001B"/>
    <w:rsid w:val="008F0E81"/>
    <w:rsid w:val="008F28DE"/>
    <w:rsid w:val="008F47BB"/>
    <w:rsid w:val="008F545A"/>
    <w:rsid w:val="008F564E"/>
    <w:rsid w:val="008F5F4C"/>
    <w:rsid w:val="008F7989"/>
    <w:rsid w:val="009004DA"/>
    <w:rsid w:val="009009E5"/>
    <w:rsid w:val="00900D0B"/>
    <w:rsid w:val="00901D2D"/>
    <w:rsid w:val="009033CE"/>
    <w:rsid w:val="0090380B"/>
    <w:rsid w:val="0090507B"/>
    <w:rsid w:val="009056AC"/>
    <w:rsid w:val="0090695F"/>
    <w:rsid w:val="009077A4"/>
    <w:rsid w:val="00907CB5"/>
    <w:rsid w:val="00907D4B"/>
    <w:rsid w:val="0091086D"/>
    <w:rsid w:val="00910DD2"/>
    <w:rsid w:val="00911651"/>
    <w:rsid w:val="009125B6"/>
    <w:rsid w:val="009136B3"/>
    <w:rsid w:val="00914A98"/>
    <w:rsid w:val="00914CCB"/>
    <w:rsid w:val="00915F94"/>
    <w:rsid w:val="00917710"/>
    <w:rsid w:val="00920941"/>
    <w:rsid w:val="00920B37"/>
    <w:rsid w:val="00921592"/>
    <w:rsid w:val="00923416"/>
    <w:rsid w:val="00923978"/>
    <w:rsid w:val="0092453E"/>
    <w:rsid w:val="0092477B"/>
    <w:rsid w:val="00925C4E"/>
    <w:rsid w:val="00925CF1"/>
    <w:rsid w:val="0092643F"/>
    <w:rsid w:val="009300CA"/>
    <w:rsid w:val="009307DF"/>
    <w:rsid w:val="00931410"/>
    <w:rsid w:val="00932463"/>
    <w:rsid w:val="0093275B"/>
    <w:rsid w:val="009327BA"/>
    <w:rsid w:val="00933DC6"/>
    <w:rsid w:val="00935CA6"/>
    <w:rsid w:val="00937481"/>
    <w:rsid w:val="00937570"/>
    <w:rsid w:val="00940590"/>
    <w:rsid w:val="0094095F"/>
    <w:rsid w:val="00940D46"/>
    <w:rsid w:val="009416C3"/>
    <w:rsid w:val="009417AF"/>
    <w:rsid w:val="009429ED"/>
    <w:rsid w:val="00943B21"/>
    <w:rsid w:val="00944794"/>
    <w:rsid w:val="009448AD"/>
    <w:rsid w:val="00945278"/>
    <w:rsid w:val="009455DF"/>
    <w:rsid w:val="00947C00"/>
    <w:rsid w:val="009500D7"/>
    <w:rsid w:val="00950163"/>
    <w:rsid w:val="009514BA"/>
    <w:rsid w:val="009530C1"/>
    <w:rsid w:val="009539D6"/>
    <w:rsid w:val="0095414F"/>
    <w:rsid w:val="00954E8A"/>
    <w:rsid w:val="00956908"/>
    <w:rsid w:val="009617D5"/>
    <w:rsid w:val="00962DB6"/>
    <w:rsid w:val="009644D8"/>
    <w:rsid w:val="009645CF"/>
    <w:rsid w:val="0096478E"/>
    <w:rsid w:val="009656AD"/>
    <w:rsid w:val="00966229"/>
    <w:rsid w:val="00966B2F"/>
    <w:rsid w:val="00970376"/>
    <w:rsid w:val="009709D5"/>
    <w:rsid w:val="00971AA2"/>
    <w:rsid w:val="00972FDF"/>
    <w:rsid w:val="00974E80"/>
    <w:rsid w:val="00976CF6"/>
    <w:rsid w:val="00977E94"/>
    <w:rsid w:val="009821F3"/>
    <w:rsid w:val="00984F4D"/>
    <w:rsid w:val="00986FD5"/>
    <w:rsid w:val="0099073B"/>
    <w:rsid w:val="009909BC"/>
    <w:rsid w:val="00992BE9"/>
    <w:rsid w:val="00993A9D"/>
    <w:rsid w:val="00993B0D"/>
    <w:rsid w:val="009A0274"/>
    <w:rsid w:val="009A06FD"/>
    <w:rsid w:val="009A0934"/>
    <w:rsid w:val="009A1B3C"/>
    <w:rsid w:val="009A1C5A"/>
    <w:rsid w:val="009A38B3"/>
    <w:rsid w:val="009A41A0"/>
    <w:rsid w:val="009A5296"/>
    <w:rsid w:val="009A5AD3"/>
    <w:rsid w:val="009A7949"/>
    <w:rsid w:val="009B03BE"/>
    <w:rsid w:val="009B0769"/>
    <w:rsid w:val="009B337E"/>
    <w:rsid w:val="009B3F3B"/>
    <w:rsid w:val="009B4CB4"/>
    <w:rsid w:val="009B637C"/>
    <w:rsid w:val="009B7699"/>
    <w:rsid w:val="009C11E9"/>
    <w:rsid w:val="009C2061"/>
    <w:rsid w:val="009C2444"/>
    <w:rsid w:val="009C42B6"/>
    <w:rsid w:val="009C5032"/>
    <w:rsid w:val="009D0028"/>
    <w:rsid w:val="009D15C3"/>
    <w:rsid w:val="009D4979"/>
    <w:rsid w:val="009D55A2"/>
    <w:rsid w:val="009E0F9D"/>
    <w:rsid w:val="009E1CB8"/>
    <w:rsid w:val="009E3604"/>
    <w:rsid w:val="009E3DB6"/>
    <w:rsid w:val="009E4CBE"/>
    <w:rsid w:val="009E516A"/>
    <w:rsid w:val="009E6908"/>
    <w:rsid w:val="009E6E5D"/>
    <w:rsid w:val="009E73EA"/>
    <w:rsid w:val="009F0341"/>
    <w:rsid w:val="009F0909"/>
    <w:rsid w:val="009F181F"/>
    <w:rsid w:val="009F2FAB"/>
    <w:rsid w:val="009F4611"/>
    <w:rsid w:val="00A00BFA"/>
    <w:rsid w:val="00A01789"/>
    <w:rsid w:val="00A02EA6"/>
    <w:rsid w:val="00A04A7A"/>
    <w:rsid w:val="00A05636"/>
    <w:rsid w:val="00A05C02"/>
    <w:rsid w:val="00A067AE"/>
    <w:rsid w:val="00A0685E"/>
    <w:rsid w:val="00A068B1"/>
    <w:rsid w:val="00A11F66"/>
    <w:rsid w:val="00A13BD6"/>
    <w:rsid w:val="00A141DB"/>
    <w:rsid w:val="00A161F8"/>
    <w:rsid w:val="00A1684E"/>
    <w:rsid w:val="00A17004"/>
    <w:rsid w:val="00A1778B"/>
    <w:rsid w:val="00A17C5B"/>
    <w:rsid w:val="00A17D91"/>
    <w:rsid w:val="00A20FC6"/>
    <w:rsid w:val="00A21F28"/>
    <w:rsid w:val="00A22578"/>
    <w:rsid w:val="00A22805"/>
    <w:rsid w:val="00A23615"/>
    <w:rsid w:val="00A23948"/>
    <w:rsid w:val="00A25E37"/>
    <w:rsid w:val="00A311EF"/>
    <w:rsid w:val="00A31961"/>
    <w:rsid w:val="00A32658"/>
    <w:rsid w:val="00A33BB8"/>
    <w:rsid w:val="00A35060"/>
    <w:rsid w:val="00A355EA"/>
    <w:rsid w:val="00A370A3"/>
    <w:rsid w:val="00A40434"/>
    <w:rsid w:val="00A4268B"/>
    <w:rsid w:val="00A429FE"/>
    <w:rsid w:val="00A436B7"/>
    <w:rsid w:val="00A436BB"/>
    <w:rsid w:val="00A44F9B"/>
    <w:rsid w:val="00A46DD3"/>
    <w:rsid w:val="00A50821"/>
    <w:rsid w:val="00A512D3"/>
    <w:rsid w:val="00A51900"/>
    <w:rsid w:val="00A522F6"/>
    <w:rsid w:val="00A5330A"/>
    <w:rsid w:val="00A53CA6"/>
    <w:rsid w:val="00A55690"/>
    <w:rsid w:val="00A55B5F"/>
    <w:rsid w:val="00A55E20"/>
    <w:rsid w:val="00A60F8A"/>
    <w:rsid w:val="00A61D93"/>
    <w:rsid w:val="00A7015E"/>
    <w:rsid w:val="00A7094B"/>
    <w:rsid w:val="00A70ADB"/>
    <w:rsid w:val="00A71032"/>
    <w:rsid w:val="00A718AD"/>
    <w:rsid w:val="00A738DD"/>
    <w:rsid w:val="00A73949"/>
    <w:rsid w:val="00A770A1"/>
    <w:rsid w:val="00A777B7"/>
    <w:rsid w:val="00A80CE7"/>
    <w:rsid w:val="00A8293B"/>
    <w:rsid w:val="00A84952"/>
    <w:rsid w:val="00A850D1"/>
    <w:rsid w:val="00A8517E"/>
    <w:rsid w:val="00A85196"/>
    <w:rsid w:val="00A86AB1"/>
    <w:rsid w:val="00A87B83"/>
    <w:rsid w:val="00A87E54"/>
    <w:rsid w:val="00A9016E"/>
    <w:rsid w:val="00A90CB7"/>
    <w:rsid w:val="00A90E31"/>
    <w:rsid w:val="00A90F49"/>
    <w:rsid w:val="00A90FD2"/>
    <w:rsid w:val="00A921F7"/>
    <w:rsid w:val="00A97474"/>
    <w:rsid w:val="00A97992"/>
    <w:rsid w:val="00AA2B33"/>
    <w:rsid w:val="00AA4A8B"/>
    <w:rsid w:val="00AA507B"/>
    <w:rsid w:val="00AA64AF"/>
    <w:rsid w:val="00AA7CD4"/>
    <w:rsid w:val="00AB0092"/>
    <w:rsid w:val="00AB0981"/>
    <w:rsid w:val="00AB0C99"/>
    <w:rsid w:val="00AB3561"/>
    <w:rsid w:val="00AB37F7"/>
    <w:rsid w:val="00AB438F"/>
    <w:rsid w:val="00AB43CD"/>
    <w:rsid w:val="00AB7B79"/>
    <w:rsid w:val="00AC189E"/>
    <w:rsid w:val="00AC21FD"/>
    <w:rsid w:val="00AC26C5"/>
    <w:rsid w:val="00AC316C"/>
    <w:rsid w:val="00AC59F1"/>
    <w:rsid w:val="00AC6214"/>
    <w:rsid w:val="00AC7BC5"/>
    <w:rsid w:val="00AD4B98"/>
    <w:rsid w:val="00AD50F3"/>
    <w:rsid w:val="00AD7811"/>
    <w:rsid w:val="00AE03CA"/>
    <w:rsid w:val="00AE0D49"/>
    <w:rsid w:val="00AE2217"/>
    <w:rsid w:val="00AE25B4"/>
    <w:rsid w:val="00AE37C1"/>
    <w:rsid w:val="00AE38A8"/>
    <w:rsid w:val="00AE411E"/>
    <w:rsid w:val="00AE648F"/>
    <w:rsid w:val="00AE7B45"/>
    <w:rsid w:val="00AF1A67"/>
    <w:rsid w:val="00AF2AB4"/>
    <w:rsid w:val="00AF3C10"/>
    <w:rsid w:val="00AF54EA"/>
    <w:rsid w:val="00AF556A"/>
    <w:rsid w:val="00AF5C8A"/>
    <w:rsid w:val="00AF7BB3"/>
    <w:rsid w:val="00B00643"/>
    <w:rsid w:val="00B058DA"/>
    <w:rsid w:val="00B06E38"/>
    <w:rsid w:val="00B07228"/>
    <w:rsid w:val="00B106CE"/>
    <w:rsid w:val="00B11349"/>
    <w:rsid w:val="00B115B3"/>
    <w:rsid w:val="00B121B6"/>
    <w:rsid w:val="00B13DE8"/>
    <w:rsid w:val="00B148ED"/>
    <w:rsid w:val="00B167E9"/>
    <w:rsid w:val="00B2005C"/>
    <w:rsid w:val="00B20EE0"/>
    <w:rsid w:val="00B2223E"/>
    <w:rsid w:val="00B23FC8"/>
    <w:rsid w:val="00B253E9"/>
    <w:rsid w:val="00B25416"/>
    <w:rsid w:val="00B254D1"/>
    <w:rsid w:val="00B259A7"/>
    <w:rsid w:val="00B27893"/>
    <w:rsid w:val="00B30061"/>
    <w:rsid w:val="00B3042F"/>
    <w:rsid w:val="00B33200"/>
    <w:rsid w:val="00B33323"/>
    <w:rsid w:val="00B33E34"/>
    <w:rsid w:val="00B348FC"/>
    <w:rsid w:val="00B36015"/>
    <w:rsid w:val="00B37AB1"/>
    <w:rsid w:val="00B400F0"/>
    <w:rsid w:val="00B40BA8"/>
    <w:rsid w:val="00B42575"/>
    <w:rsid w:val="00B4468D"/>
    <w:rsid w:val="00B45833"/>
    <w:rsid w:val="00B46452"/>
    <w:rsid w:val="00B505B1"/>
    <w:rsid w:val="00B50B47"/>
    <w:rsid w:val="00B51CEE"/>
    <w:rsid w:val="00B51D45"/>
    <w:rsid w:val="00B52156"/>
    <w:rsid w:val="00B54D4F"/>
    <w:rsid w:val="00B5788C"/>
    <w:rsid w:val="00B607DD"/>
    <w:rsid w:val="00B61DFE"/>
    <w:rsid w:val="00B6324B"/>
    <w:rsid w:val="00B63A60"/>
    <w:rsid w:val="00B721F8"/>
    <w:rsid w:val="00B751E8"/>
    <w:rsid w:val="00B758A6"/>
    <w:rsid w:val="00B75B47"/>
    <w:rsid w:val="00B762BD"/>
    <w:rsid w:val="00B76F08"/>
    <w:rsid w:val="00B7706A"/>
    <w:rsid w:val="00B80D20"/>
    <w:rsid w:val="00B8252D"/>
    <w:rsid w:val="00B84E09"/>
    <w:rsid w:val="00B8506E"/>
    <w:rsid w:val="00B857D3"/>
    <w:rsid w:val="00B85C6A"/>
    <w:rsid w:val="00B87CAD"/>
    <w:rsid w:val="00B909C4"/>
    <w:rsid w:val="00B90BF1"/>
    <w:rsid w:val="00B91FCB"/>
    <w:rsid w:val="00B933AD"/>
    <w:rsid w:val="00B94C9C"/>
    <w:rsid w:val="00B953DA"/>
    <w:rsid w:val="00B959DF"/>
    <w:rsid w:val="00B96277"/>
    <w:rsid w:val="00B96CEB"/>
    <w:rsid w:val="00B977E3"/>
    <w:rsid w:val="00BA0E4E"/>
    <w:rsid w:val="00BA2358"/>
    <w:rsid w:val="00BA6867"/>
    <w:rsid w:val="00BB2DE6"/>
    <w:rsid w:val="00BB3539"/>
    <w:rsid w:val="00BB3B3E"/>
    <w:rsid w:val="00BB3EF1"/>
    <w:rsid w:val="00BB4A0C"/>
    <w:rsid w:val="00BC231E"/>
    <w:rsid w:val="00BC26A1"/>
    <w:rsid w:val="00BC463E"/>
    <w:rsid w:val="00BC4C1B"/>
    <w:rsid w:val="00BC5D83"/>
    <w:rsid w:val="00BD09C2"/>
    <w:rsid w:val="00BD0CA1"/>
    <w:rsid w:val="00BD1FE6"/>
    <w:rsid w:val="00BD30C1"/>
    <w:rsid w:val="00BD34BA"/>
    <w:rsid w:val="00BD3C3C"/>
    <w:rsid w:val="00BD69A4"/>
    <w:rsid w:val="00BD7199"/>
    <w:rsid w:val="00BE2283"/>
    <w:rsid w:val="00BE26A1"/>
    <w:rsid w:val="00BE3E6B"/>
    <w:rsid w:val="00BE5761"/>
    <w:rsid w:val="00BF13A9"/>
    <w:rsid w:val="00BF1727"/>
    <w:rsid w:val="00BF1F77"/>
    <w:rsid w:val="00BF29A4"/>
    <w:rsid w:val="00BF4A0F"/>
    <w:rsid w:val="00BF4DE2"/>
    <w:rsid w:val="00BF4E9E"/>
    <w:rsid w:val="00C00135"/>
    <w:rsid w:val="00C01116"/>
    <w:rsid w:val="00C02A4C"/>
    <w:rsid w:val="00C075E1"/>
    <w:rsid w:val="00C11311"/>
    <w:rsid w:val="00C12189"/>
    <w:rsid w:val="00C12C46"/>
    <w:rsid w:val="00C1385D"/>
    <w:rsid w:val="00C13A56"/>
    <w:rsid w:val="00C1528A"/>
    <w:rsid w:val="00C16081"/>
    <w:rsid w:val="00C1692A"/>
    <w:rsid w:val="00C24DE4"/>
    <w:rsid w:val="00C261DD"/>
    <w:rsid w:val="00C27504"/>
    <w:rsid w:val="00C31497"/>
    <w:rsid w:val="00C31E37"/>
    <w:rsid w:val="00C33107"/>
    <w:rsid w:val="00C33C69"/>
    <w:rsid w:val="00C34C4A"/>
    <w:rsid w:val="00C34D2D"/>
    <w:rsid w:val="00C35BC6"/>
    <w:rsid w:val="00C36168"/>
    <w:rsid w:val="00C3657E"/>
    <w:rsid w:val="00C41D99"/>
    <w:rsid w:val="00C41F11"/>
    <w:rsid w:val="00C42ED3"/>
    <w:rsid w:val="00C4440B"/>
    <w:rsid w:val="00C44905"/>
    <w:rsid w:val="00C45B0C"/>
    <w:rsid w:val="00C4641A"/>
    <w:rsid w:val="00C4692C"/>
    <w:rsid w:val="00C473E2"/>
    <w:rsid w:val="00C47E7D"/>
    <w:rsid w:val="00C50B61"/>
    <w:rsid w:val="00C51AE3"/>
    <w:rsid w:val="00C5350F"/>
    <w:rsid w:val="00C5370C"/>
    <w:rsid w:val="00C54CFB"/>
    <w:rsid w:val="00C5630F"/>
    <w:rsid w:val="00C56440"/>
    <w:rsid w:val="00C564BE"/>
    <w:rsid w:val="00C62EA9"/>
    <w:rsid w:val="00C636DB"/>
    <w:rsid w:val="00C64142"/>
    <w:rsid w:val="00C651FF"/>
    <w:rsid w:val="00C66E94"/>
    <w:rsid w:val="00C72182"/>
    <w:rsid w:val="00C7431F"/>
    <w:rsid w:val="00C74D1A"/>
    <w:rsid w:val="00C74EBC"/>
    <w:rsid w:val="00C75D65"/>
    <w:rsid w:val="00C8077C"/>
    <w:rsid w:val="00C8254D"/>
    <w:rsid w:val="00C836C5"/>
    <w:rsid w:val="00C839C4"/>
    <w:rsid w:val="00C8472B"/>
    <w:rsid w:val="00C87773"/>
    <w:rsid w:val="00C91185"/>
    <w:rsid w:val="00C914B1"/>
    <w:rsid w:val="00C92783"/>
    <w:rsid w:val="00C93688"/>
    <w:rsid w:val="00C93FFA"/>
    <w:rsid w:val="00C94A0A"/>
    <w:rsid w:val="00C94F7C"/>
    <w:rsid w:val="00C97C56"/>
    <w:rsid w:val="00CA1EC6"/>
    <w:rsid w:val="00CA2EF2"/>
    <w:rsid w:val="00CA58C3"/>
    <w:rsid w:val="00CA5F9B"/>
    <w:rsid w:val="00CB1BB2"/>
    <w:rsid w:val="00CB245B"/>
    <w:rsid w:val="00CB2C3F"/>
    <w:rsid w:val="00CB38CF"/>
    <w:rsid w:val="00CB407A"/>
    <w:rsid w:val="00CB4A57"/>
    <w:rsid w:val="00CB5BF1"/>
    <w:rsid w:val="00CB66F1"/>
    <w:rsid w:val="00CB70DF"/>
    <w:rsid w:val="00CB73AB"/>
    <w:rsid w:val="00CC1F57"/>
    <w:rsid w:val="00CC2CE7"/>
    <w:rsid w:val="00CC2D78"/>
    <w:rsid w:val="00CC3A29"/>
    <w:rsid w:val="00CC4E25"/>
    <w:rsid w:val="00CC5470"/>
    <w:rsid w:val="00CD1169"/>
    <w:rsid w:val="00CD346E"/>
    <w:rsid w:val="00CD46B4"/>
    <w:rsid w:val="00CD4BFC"/>
    <w:rsid w:val="00CD5464"/>
    <w:rsid w:val="00CE06CD"/>
    <w:rsid w:val="00CE3312"/>
    <w:rsid w:val="00CE3C13"/>
    <w:rsid w:val="00CE50CC"/>
    <w:rsid w:val="00CE6683"/>
    <w:rsid w:val="00CF46AD"/>
    <w:rsid w:val="00CF4C23"/>
    <w:rsid w:val="00CF6262"/>
    <w:rsid w:val="00CF711D"/>
    <w:rsid w:val="00CF742B"/>
    <w:rsid w:val="00CF7E3D"/>
    <w:rsid w:val="00D0297F"/>
    <w:rsid w:val="00D07DC4"/>
    <w:rsid w:val="00D07DD1"/>
    <w:rsid w:val="00D10EAF"/>
    <w:rsid w:val="00D11ADA"/>
    <w:rsid w:val="00D12983"/>
    <w:rsid w:val="00D13479"/>
    <w:rsid w:val="00D14481"/>
    <w:rsid w:val="00D16B5C"/>
    <w:rsid w:val="00D16CDC"/>
    <w:rsid w:val="00D171D1"/>
    <w:rsid w:val="00D173BF"/>
    <w:rsid w:val="00D17724"/>
    <w:rsid w:val="00D1793C"/>
    <w:rsid w:val="00D17ACB"/>
    <w:rsid w:val="00D200F2"/>
    <w:rsid w:val="00D207C0"/>
    <w:rsid w:val="00D22C61"/>
    <w:rsid w:val="00D22F68"/>
    <w:rsid w:val="00D25639"/>
    <w:rsid w:val="00D2613B"/>
    <w:rsid w:val="00D266BB"/>
    <w:rsid w:val="00D26D2E"/>
    <w:rsid w:val="00D27535"/>
    <w:rsid w:val="00D27FBC"/>
    <w:rsid w:val="00D323C4"/>
    <w:rsid w:val="00D33EDF"/>
    <w:rsid w:val="00D34F03"/>
    <w:rsid w:val="00D40989"/>
    <w:rsid w:val="00D43582"/>
    <w:rsid w:val="00D43B4A"/>
    <w:rsid w:val="00D466C7"/>
    <w:rsid w:val="00D46FFD"/>
    <w:rsid w:val="00D47F6B"/>
    <w:rsid w:val="00D51953"/>
    <w:rsid w:val="00D52670"/>
    <w:rsid w:val="00D52FDB"/>
    <w:rsid w:val="00D54186"/>
    <w:rsid w:val="00D5526E"/>
    <w:rsid w:val="00D55C16"/>
    <w:rsid w:val="00D57360"/>
    <w:rsid w:val="00D6013C"/>
    <w:rsid w:val="00D6224D"/>
    <w:rsid w:val="00D63224"/>
    <w:rsid w:val="00D6504A"/>
    <w:rsid w:val="00D65719"/>
    <w:rsid w:val="00D6607C"/>
    <w:rsid w:val="00D669C8"/>
    <w:rsid w:val="00D678A3"/>
    <w:rsid w:val="00D727B7"/>
    <w:rsid w:val="00D72F1C"/>
    <w:rsid w:val="00D73F9E"/>
    <w:rsid w:val="00D7580F"/>
    <w:rsid w:val="00D8055C"/>
    <w:rsid w:val="00D81A56"/>
    <w:rsid w:val="00D81CD8"/>
    <w:rsid w:val="00D82E4A"/>
    <w:rsid w:val="00D85CFB"/>
    <w:rsid w:val="00D85EB0"/>
    <w:rsid w:val="00D85FA5"/>
    <w:rsid w:val="00D86F6D"/>
    <w:rsid w:val="00D90BA8"/>
    <w:rsid w:val="00D9241E"/>
    <w:rsid w:val="00D945D9"/>
    <w:rsid w:val="00D9538B"/>
    <w:rsid w:val="00DA0EEA"/>
    <w:rsid w:val="00DA5C56"/>
    <w:rsid w:val="00DA5F2A"/>
    <w:rsid w:val="00DA6114"/>
    <w:rsid w:val="00DA7000"/>
    <w:rsid w:val="00DB0406"/>
    <w:rsid w:val="00DB1775"/>
    <w:rsid w:val="00DB31F9"/>
    <w:rsid w:val="00DB35B3"/>
    <w:rsid w:val="00DB40B9"/>
    <w:rsid w:val="00DB4C65"/>
    <w:rsid w:val="00DB6136"/>
    <w:rsid w:val="00DB6BD6"/>
    <w:rsid w:val="00DB78AA"/>
    <w:rsid w:val="00DB7D66"/>
    <w:rsid w:val="00DC0215"/>
    <w:rsid w:val="00DC0952"/>
    <w:rsid w:val="00DC0BE4"/>
    <w:rsid w:val="00DC1D04"/>
    <w:rsid w:val="00DC21EE"/>
    <w:rsid w:val="00DC3510"/>
    <w:rsid w:val="00DC3836"/>
    <w:rsid w:val="00DC38D6"/>
    <w:rsid w:val="00DC3DEE"/>
    <w:rsid w:val="00DC4C42"/>
    <w:rsid w:val="00DC692C"/>
    <w:rsid w:val="00DC6FED"/>
    <w:rsid w:val="00DC78F1"/>
    <w:rsid w:val="00DC7A6D"/>
    <w:rsid w:val="00DD2B76"/>
    <w:rsid w:val="00DD421A"/>
    <w:rsid w:val="00DD43F6"/>
    <w:rsid w:val="00DD61DE"/>
    <w:rsid w:val="00DD6264"/>
    <w:rsid w:val="00DD63EE"/>
    <w:rsid w:val="00DD7A01"/>
    <w:rsid w:val="00DE03B4"/>
    <w:rsid w:val="00DE06E1"/>
    <w:rsid w:val="00DE086B"/>
    <w:rsid w:val="00DE0ED9"/>
    <w:rsid w:val="00DE2790"/>
    <w:rsid w:val="00DE43AF"/>
    <w:rsid w:val="00DE51C0"/>
    <w:rsid w:val="00DE5364"/>
    <w:rsid w:val="00DE5C9A"/>
    <w:rsid w:val="00DF0F47"/>
    <w:rsid w:val="00DF29A5"/>
    <w:rsid w:val="00DF2A96"/>
    <w:rsid w:val="00DF4850"/>
    <w:rsid w:val="00DF67F3"/>
    <w:rsid w:val="00DF703A"/>
    <w:rsid w:val="00DF7890"/>
    <w:rsid w:val="00DF78AC"/>
    <w:rsid w:val="00E012E2"/>
    <w:rsid w:val="00E0215C"/>
    <w:rsid w:val="00E029B7"/>
    <w:rsid w:val="00E031EB"/>
    <w:rsid w:val="00E067E0"/>
    <w:rsid w:val="00E06E45"/>
    <w:rsid w:val="00E0725A"/>
    <w:rsid w:val="00E12960"/>
    <w:rsid w:val="00E14486"/>
    <w:rsid w:val="00E14E49"/>
    <w:rsid w:val="00E15026"/>
    <w:rsid w:val="00E15978"/>
    <w:rsid w:val="00E179C1"/>
    <w:rsid w:val="00E200C5"/>
    <w:rsid w:val="00E220C6"/>
    <w:rsid w:val="00E23442"/>
    <w:rsid w:val="00E235AE"/>
    <w:rsid w:val="00E23636"/>
    <w:rsid w:val="00E26316"/>
    <w:rsid w:val="00E2734B"/>
    <w:rsid w:val="00E307A6"/>
    <w:rsid w:val="00E3152A"/>
    <w:rsid w:val="00E32E86"/>
    <w:rsid w:val="00E33F2C"/>
    <w:rsid w:val="00E34039"/>
    <w:rsid w:val="00E350B2"/>
    <w:rsid w:val="00E35685"/>
    <w:rsid w:val="00E3685F"/>
    <w:rsid w:val="00E41AF3"/>
    <w:rsid w:val="00E42F43"/>
    <w:rsid w:val="00E44700"/>
    <w:rsid w:val="00E46595"/>
    <w:rsid w:val="00E47917"/>
    <w:rsid w:val="00E47C32"/>
    <w:rsid w:val="00E53287"/>
    <w:rsid w:val="00E563E3"/>
    <w:rsid w:val="00E56EC4"/>
    <w:rsid w:val="00E61985"/>
    <w:rsid w:val="00E62363"/>
    <w:rsid w:val="00E66087"/>
    <w:rsid w:val="00E67A1A"/>
    <w:rsid w:val="00E725EE"/>
    <w:rsid w:val="00E7369E"/>
    <w:rsid w:val="00E76868"/>
    <w:rsid w:val="00E76959"/>
    <w:rsid w:val="00E81302"/>
    <w:rsid w:val="00E825EE"/>
    <w:rsid w:val="00E82AF7"/>
    <w:rsid w:val="00E839FF"/>
    <w:rsid w:val="00E83BD0"/>
    <w:rsid w:val="00E8496B"/>
    <w:rsid w:val="00E85A5E"/>
    <w:rsid w:val="00E85AD8"/>
    <w:rsid w:val="00E86056"/>
    <w:rsid w:val="00E87472"/>
    <w:rsid w:val="00E94112"/>
    <w:rsid w:val="00E954EB"/>
    <w:rsid w:val="00E95981"/>
    <w:rsid w:val="00E95D55"/>
    <w:rsid w:val="00EA1501"/>
    <w:rsid w:val="00EA2233"/>
    <w:rsid w:val="00EA262D"/>
    <w:rsid w:val="00EA2ADC"/>
    <w:rsid w:val="00EA4AA7"/>
    <w:rsid w:val="00EA700F"/>
    <w:rsid w:val="00EB1D99"/>
    <w:rsid w:val="00EB3A2B"/>
    <w:rsid w:val="00EB4909"/>
    <w:rsid w:val="00EB5C37"/>
    <w:rsid w:val="00EB665A"/>
    <w:rsid w:val="00EB6EF3"/>
    <w:rsid w:val="00EC2C01"/>
    <w:rsid w:val="00EC3229"/>
    <w:rsid w:val="00EC3BCB"/>
    <w:rsid w:val="00EC465D"/>
    <w:rsid w:val="00ED0216"/>
    <w:rsid w:val="00ED1A8B"/>
    <w:rsid w:val="00ED1E7C"/>
    <w:rsid w:val="00ED20B6"/>
    <w:rsid w:val="00ED2D03"/>
    <w:rsid w:val="00ED3481"/>
    <w:rsid w:val="00ED56B1"/>
    <w:rsid w:val="00ED5D65"/>
    <w:rsid w:val="00ED6478"/>
    <w:rsid w:val="00ED7779"/>
    <w:rsid w:val="00EE34B4"/>
    <w:rsid w:val="00EE3A1A"/>
    <w:rsid w:val="00EE4007"/>
    <w:rsid w:val="00EE4288"/>
    <w:rsid w:val="00EE4CAD"/>
    <w:rsid w:val="00EE5160"/>
    <w:rsid w:val="00EE70E0"/>
    <w:rsid w:val="00EF1497"/>
    <w:rsid w:val="00EF1DA7"/>
    <w:rsid w:val="00EF23EE"/>
    <w:rsid w:val="00EF3658"/>
    <w:rsid w:val="00EF4108"/>
    <w:rsid w:val="00EF53F8"/>
    <w:rsid w:val="00EF69FD"/>
    <w:rsid w:val="00EF6D41"/>
    <w:rsid w:val="00EF7FFE"/>
    <w:rsid w:val="00F00D5C"/>
    <w:rsid w:val="00F0698F"/>
    <w:rsid w:val="00F06EE3"/>
    <w:rsid w:val="00F1176E"/>
    <w:rsid w:val="00F13908"/>
    <w:rsid w:val="00F14C72"/>
    <w:rsid w:val="00F15737"/>
    <w:rsid w:val="00F17397"/>
    <w:rsid w:val="00F201FA"/>
    <w:rsid w:val="00F210D7"/>
    <w:rsid w:val="00F23599"/>
    <w:rsid w:val="00F24F94"/>
    <w:rsid w:val="00F265C2"/>
    <w:rsid w:val="00F26934"/>
    <w:rsid w:val="00F27CDB"/>
    <w:rsid w:val="00F327C3"/>
    <w:rsid w:val="00F32F3B"/>
    <w:rsid w:val="00F3344A"/>
    <w:rsid w:val="00F3397D"/>
    <w:rsid w:val="00F33C9F"/>
    <w:rsid w:val="00F4206C"/>
    <w:rsid w:val="00F42076"/>
    <w:rsid w:val="00F43A10"/>
    <w:rsid w:val="00F44023"/>
    <w:rsid w:val="00F44331"/>
    <w:rsid w:val="00F443E5"/>
    <w:rsid w:val="00F4441F"/>
    <w:rsid w:val="00F45412"/>
    <w:rsid w:val="00F462F0"/>
    <w:rsid w:val="00F5021E"/>
    <w:rsid w:val="00F50396"/>
    <w:rsid w:val="00F511FF"/>
    <w:rsid w:val="00F52DBB"/>
    <w:rsid w:val="00F5337E"/>
    <w:rsid w:val="00F53850"/>
    <w:rsid w:val="00F53D79"/>
    <w:rsid w:val="00F54380"/>
    <w:rsid w:val="00F554C8"/>
    <w:rsid w:val="00F5698D"/>
    <w:rsid w:val="00F577B2"/>
    <w:rsid w:val="00F604DA"/>
    <w:rsid w:val="00F60BBF"/>
    <w:rsid w:val="00F62714"/>
    <w:rsid w:val="00F63276"/>
    <w:rsid w:val="00F64F1B"/>
    <w:rsid w:val="00F651D4"/>
    <w:rsid w:val="00F663CB"/>
    <w:rsid w:val="00F66618"/>
    <w:rsid w:val="00F70C0D"/>
    <w:rsid w:val="00F7167F"/>
    <w:rsid w:val="00F7179F"/>
    <w:rsid w:val="00F745F0"/>
    <w:rsid w:val="00F75549"/>
    <w:rsid w:val="00F7555A"/>
    <w:rsid w:val="00F826F8"/>
    <w:rsid w:val="00F82AB5"/>
    <w:rsid w:val="00F84F6D"/>
    <w:rsid w:val="00F853F5"/>
    <w:rsid w:val="00F858E3"/>
    <w:rsid w:val="00F90943"/>
    <w:rsid w:val="00F91B5C"/>
    <w:rsid w:val="00F91B9D"/>
    <w:rsid w:val="00F91CB5"/>
    <w:rsid w:val="00F92468"/>
    <w:rsid w:val="00F92979"/>
    <w:rsid w:val="00F93356"/>
    <w:rsid w:val="00F9487E"/>
    <w:rsid w:val="00F9519B"/>
    <w:rsid w:val="00F959EC"/>
    <w:rsid w:val="00F96313"/>
    <w:rsid w:val="00F977A2"/>
    <w:rsid w:val="00F97B98"/>
    <w:rsid w:val="00FA0CAE"/>
    <w:rsid w:val="00FA1C66"/>
    <w:rsid w:val="00FA2A01"/>
    <w:rsid w:val="00FA3A25"/>
    <w:rsid w:val="00FA3CC0"/>
    <w:rsid w:val="00FA45A9"/>
    <w:rsid w:val="00FA5923"/>
    <w:rsid w:val="00FA5E67"/>
    <w:rsid w:val="00FB13AB"/>
    <w:rsid w:val="00FB1B83"/>
    <w:rsid w:val="00FB1D42"/>
    <w:rsid w:val="00FB3105"/>
    <w:rsid w:val="00FB317E"/>
    <w:rsid w:val="00FB4A8E"/>
    <w:rsid w:val="00FB75B4"/>
    <w:rsid w:val="00FC1268"/>
    <w:rsid w:val="00FC2B6D"/>
    <w:rsid w:val="00FC3991"/>
    <w:rsid w:val="00FC49A7"/>
    <w:rsid w:val="00FC5025"/>
    <w:rsid w:val="00FC5212"/>
    <w:rsid w:val="00FC537D"/>
    <w:rsid w:val="00FC5F91"/>
    <w:rsid w:val="00FC6887"/>
    <w:rsid w:val="00FC76B0"/>
    <w:rsid w:val="00FC795A"/>
    <w:rsid w:val="00FC7C44"/>
    <w:rsid w:val="00FD1DBD"/>
    <w:rsid w:val="00FD2CFA"/>
    <w:rsid w:val="00FD2E28"/>
    <w:rsid w:val="00FD3DA0"/>
    <w:rsid w:val="00FD3FCB"/>
    <w:rsid w:val="00FD4835"/>
    <w:rsid w:val="00FD4FFD"/>
    <w:rsid w:val="00FD670B"/>
    <w:rsid w:val="00FE0253"/>
    <w:rsid w:val="00FE1859"/>
    <w:rsid w:val="00FE74A7"/>
    <w:rsid w:val="00FE7F78"/>
    <w:rsid w:val="00FF1310"/>
    <w:rsid w:val="00FF1D57"/>
    <w:rsid w:val="00FF2413"/>
    <w:rsid w:val="00FF25F2"/>
    <w:rsid w:val="00FF51CD"/>
    <w:rsid w:val="00FF71FB"/>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04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link w:val="L1-FlLSp12Char"/>
    <w:uiPriority w:val="99"/>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 w:type="paragraph" w:customStyle="1" w:styleId="TableTitle">
    <w:name w:val="Table Title"/>
    <w:basedOn w:val="Caption"/>
    <w:next w:val="Normal"/>
    <w:link w:val="TableTitleChar"/>
    <w:qFormat/>
    <w:rsid w:val="00391FB4"/>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table" w:customStyle="1" w:styleId="AIRBlueTable">
    <w:name w:val="AIR Blue Table"/>
    <w:basedOn w:val="TableNormal"/>
    <w:uiPriority w:val="99"/>
    <w:rsid w:val="00391FB4"/>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8CCE4" w:themeFill="accent1" w:themeFillTint="66"/>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391FB4"/>
    <w:pPr>
      <w:spacing w:after="0" w:line="240" w:lineRule="auto"/>
    </w:pPr>
    <w:rPr>
      <w:rFonts w:eastAsia="MS Minch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391FB4"/>
    <w:pPr>
      <w:spacing w:line="240" w:lineRule="auto"/>
    </w:pPr>
    <w:rPr>
      <w:i/>
      <w:iCs/>
      <w:color w:val="1F497D" w:themeColor="text2"/>
      <w:sz w:val="18"/>
      <w:szCs w:val="18"/>
    </w:rPr>
  </w:style>
  <w:style w:type="character" w:customStyle="1" w:styleId="StyleTimesNewRoman">
    <w:name w:val="Style Times New Roman"/>
    <w:basedOn w:val="DefaultParagraphFont"/>
    <w:uiPriority w:val="99"/>
    <w:rsid w:val="0040707F"/>
    <w:rPr>
      <w:rFonts w:ascii="Times New Roman" w:hAnsi="Times New Roman" w:cs="Times New Roman"/>
      <w:sz w:val="24"/>
    </w:rPr>
  </w:style>
  <w:style w:type="paragraph" w:customStyle="1" w:styleId="OMBSectionHeading">
    <w:name w:val="OMB Section Heading"/>
    <w:basedOn w:val="Normal"/>
    <w:link w:val="OMBSectionHeadingChar"/>
    <w:uiPriority w:val="99"/>
    <w:rsid w:val="005D46B0"/>
    <w:pPr>
      <w:keepNext/>
      <w:numPr>
        <w:numId w:val="38"/>
      </w:numPr>
      <w:tabs>
        <w:tab w:val="left" w:pos="360"/>
      </w:tabs>
      <w:spacing w:before="600" w:after="60" w:line="360" w:lineRule="auto"/>
      <w:outlineLvl w:val="1"/>
    </w:pPr>
    <w:rPr>
      <w:rFonts w:ascii="Times New Roman" w:eastAsia="Times New Roman" w:hAnsi="Times New Roman" w:cs="Times New Roman"/>
      <w:b/>
      <w:sz w:val="24"/>
      <w:szCs w:val="20"/>
    </w:rPr>
  </w:style>
  <w:style w:type="character" w:customStyle="1" w:styleId="OMBSectionHeadingChar">
    <w:name w:val="OMB Section Heading Char"/>
    <w:basedOn w:val="DefaultParagraphFont"/>
    <w:link w:val="OMBSectionHeading"/>
    <w:uiPriority w:val="99"/>
    <w:locked/>
    <w:rsid w:val="005D46B0"/>
    <w:rPr>
      <w:rFonts w:ascii="Times New Roman" w:eastAsia="Times New Roman" w:hAnsi="Times New Roman" w:cs="Times New Roman"/>
      <w:b/>
      <w:sz w:val="24"/>
      <w:szCs w:val="20"/>
    </w:rPr>
  </w:style>
  <w:style w:type="character" w:customStyle="1" w:styleId="TableTitleChar">
    <w:name w:val="Table Title Char"/>
    <w:basedOn w:val="DefaultParagraphFont"/>
    <w:link w:val="TableTitle"/>
    <w:locked/>
    <w:rsid w:val="00395F97"/>
    <w:rPr>
      <w:rFonts w:asciiTheme="majorHAnsi" w:eastAsia="Times New Roman" w:hAnsiTheme="majorHAnsi" w:cs="Times"/>
      <w:b/>
      <w:sz w:val="24"/>
      <w:szCs w:val="24"/>
    </w:rPr>
  </w:style>
  <w:style w:type="character" w:customStyle="1" w:styleId="TabletextChar">
    <w:name w:val="Table text Char"/>
    <w:basedOn w:val="DefaultParagraphFont"/>
    <w:link w:val="Tabletext"/>
    <w:uiPriority w:val="99"/>
    <w:locked/>
    <w:rsid w:val="00395F97"/>
    <w:rPr>
      <w:rFonts w:ascii="Arial" w:eastAsia="Times New Roman" w:hAnsi="Arial" w:cs="Times New Roman"/>
      <w:sz w:val="20"/>
      <w:szCs w:val="20"/>
    </w:rPr>
  </w:style>
  <w:style w:type="paragraph" w:customStyle="1" w:styleId="Tabletext">
    <w:name w:val="Table text"/>
    <w:basedOn w:val="Normal"/>
    <w:link w:val="TabletextChar"/>
    <w:uiPriority w:val="99"/>
    <w:rsid w:val="00395F97"/>
    <w:pPr>
      <w:spacing w:before="60" w:after="0" w:line="240" w:lineRule="atLeast"/>
      <w:jc w:val="right"/>
    </w:pPr>
    <w:rPr>
      <w:rFonts w:ascii="Arial" w:eastAsia="Times New Roman" w:hAnsi="Arial" w:cs="Times New Roman"/>
      <w:sz w:val="20"/>
      <w:szCs w:val="20"/>
    </w:rPr>
  </w:style>
  <w:style w:type="paragraph" w:customStyle="1" w:styleId="TableHeaders">
    <w:name w:val="Table Headers"/>
    <w:basedOn w:val="Normal"/>
    <w:rsid w:val="00395F97"/>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395F9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column1">
    <w:name w:val="Table text column 1"/>
    <w:basedOn w:val="Tabletext"/>
    <w:qFormat/>
    <w:rsid w:val="00395F97"/>
    <w:pPr>
      <w:ind w:left="180" w:hanging="180"/>
      <w:jc w:val="left"/>
    </w:pPr>
  </w:style>
  <w:style w:type="character" w:customStyle="1" w:styleId="Heading4Char">
    <w:name w:val="Heading 4 Char"/>
    <w:basedOn w:val="DefaultParagraphFont"/>
    <w:link w:val="Heading4"/>
    <w:uiPriority w:val="9"/>
    <w:rsid w:val="00DB0406"/>
    <w:rPr>
      <w:rFonts w:asciiTheme="majorHAnsi" w:eastAsiaTheme="majorEastAsia" w:hAnsiTheme="majorHAnsi" w:cstheme="majorBidi"/>
      <w:i/>
      <w:iCs/>
      <w:color w:val="365F91" w:themeColor="accent1" w:themeShade="BF"/>
    </w:rPr>
  </w:style>
  <w:style w:type="character" w:customStyle="1" w:styleId="L1-FlLSp12Char">
    <w:name w:val="L1-FlL Sp&amp;1/2 Char"/>
    <w:link w:val="L1-FlLSp12"/>
    <w:uiPriority w:val="99"/>
    <w:locked/>
    <w:rsid w:val="0092453E"/>
    <w:rPr>
      <w:rFonts w:ascii="Garamond" w:eastAsia="Times New Roman" w:hAnsi="Garamond" w:cs="Times New Roman"/>
      <w:sz w:val="24"/>
      <w:szCs w:val="20"/>
    </w:rPr>
  </w:style>
  <w:style w:type="paragraph" w:customStyle="1" w:styleId="SanaBodyText">
    <w:name w:val="Sana Body Text"/>
    <w:basedOn w:val="Normal"/>
    <w:link w:val="SanaBodyTextChar"/>
    <w:qFormat/>
    <w:rsid w:val="00FD4835"/>
    <w:pPr>
      <w:autoSpaceDE w:val="0"/>
      <w:autoSpaceDN w:val="0"/>
      <w:adjustRightInd w:val="0"/>
      <w:spacing w:after="0" w:line="480" w:lineRule="auto"/>
      <w:ind w:firstLine="900"/>
      <w:jc w:val="both"/>
    </w:pPr>
    <w:rPr>
      <w:rFonts w:ascii="Times New Roman" w:eastAsia="Times New Roman" w:hAnsi="Times New Roman" w:cs="Times New Roman"/>
      <w:bCs/>
      <w:color w:val="000000" w:themeColor="text1"/>
      <w:sz w:val="24"/>
      <w:szCs w:val="24"/>
    </w:rPr>
  </w:style>
  <w:style w:type="character" w:customStyle="1" w:styleId="SanaBodyTextChar">
    <w:name w:val="Sana Body Text Char"/>
    <w:basedOn w:val="DefaultParagraphFont"/>
    <w:link w:val="SanaBodyText"/>
    <w:rsid w:val="00FD4835"/>
    <w:rPr>
      <w:rFonts w:ascii="Times New Roman" w:eastAsia="Times New Roman" w:hAnsi="Times New Roman" w:cs="Times New Roman"/>
      <w:bCs/>
      <w:color w:val="000000" w:themeColor="text1"/>
      <w:sz w:val="24"/>
      <w:szCs w:val="24"/>
    </w:rPr>
  </w:style>
  <w:style w:type="character" w:customStyle="1" w:styleId="UnresolvedMention1">
    <w:name w:val="Unresolved Mention1"/>
    <w:basedOn w:val="DefaultParagraphFont"/>
    <w:uiPriority w:val="99"/>
    <w:semiHidden/>
    <w:unhideWhenUsed/>
    <w:rsid w:val="002B7C7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04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link w:val="L1-FlLSp12Char"/>
    <w:uiPriority w:val="99"/>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 w:type="paragraph" w:customStyle="1" w:styleId="TableTitle">
    <w:name w:val="Table Title"/>
    <w:basedOn w:val="Caption"/>
    <w:next w:val="Normal"/>
    <w:link w:val="TableTitleChar"/>
    <w:qFormat/>
    <w:rsid w:val="00391FB4"/>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table" w:customStyle="1" w:styleId="AIRBlueTable">
    <w:name w:val="AIR Blue Table"/>
    <w:basedOn w:val="TableNormal"/>
    <w:uiPriority w:val="99"/>
    <w:rsid w:val="00391FB4"/>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8CCE4" w:themeFill="accent1" w:themeFillTint="66"/>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391FB4"/>
    <w:pPr>
      <w:spacing w:after="0" w:line="240" w:lineRule="auto"/>
    </w:pPr>
    <w:rPr>
      <w:rFonts w:eastAsia="MS Minch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391FB4"/>
    <w:pPr>
      <w:spacing w:line="240" w:lineRule="auto"/>
    </w:pPr>
    <w:rPr>
      <w:i/>
      <w:iCs/>
      <w:color w:val="1F497D" w:themeColor="text2"/>
      <w:sz w:val="18"/>
      <w:szCs w:val="18"/>
    </w:rPr>
  </w:style>
  <w:style w:type="character" w:customStyle="1" w:styleId="StyleTimesNewRoman">
    <w:name w:val="Style Times New Roman"/>
    <w:basedOn w:val="DefaultParagraphFont"/>
    <w:uiPriority w:val="99"/>
    <w:rsid w:val="0040707F"/>
    <w:rPr>
      <w:rFonts w:ascii="Times New Roman" w:hAnsi="Times New Roman" w:cs="Times New Roman"/>
      <w:sz w:val="24"/>
    </w:rPr>
  </w:style>
  <w:style w:type="paragraph" w:customStyle="1" w:styleId="OMBSectionHeading">
    <w:name w:val="OMB Section Heading"/>
    <w:basedOn w:val="Normal"/>
    <w:link w:val="OMBSectionHeadingChar"/>
    <w:uiPriority w:val="99"/>
    <w:rsid w:val="005D46B0"/>
    <w:pPr>
      <w:keepNext/>
      <w:numPr>
        <w:numId w:val="38"/>
      </w:numPr>
      <w:tabs>
        <w:tab w:val="left" w:pos="360"/>
      </w:tabs>
      <w:spacing w:before="600" w:after="60" w:line="360" w:lineRule="auto"/>
      <w:outlineLvl w:val="1"/>
    </w:pPr>
    <w:rPr>
      <w:rFonts w:ascii="Times New Roman" w:eastAsia="Times New Roman" w:hAnsi="Times New Roman" w:cs="Times New Roman"/>
      <w:b/>
      <w:sz w:val="24"/>
      <w:szCs w:val="20"/>
    </w:rPr>
  </w:style>
  <w:style w:type="character" w:customStyle="1" w:styleId="OMBSectionHeadingChar">
    <w:name w:val="OMB Section Heading Char"/>
    <w:basedOn w:val="DefaultParagraphFont"/>
    <w:link w:val="OMBSectionHeading"/>
    <w:uiPriority w:val="99"/>
    <w:locked/>
    <w:rsid w:val="005D46B0"/>
    <w:rPr>
      <w:rFonts w:ascii="Times New Roman" w:eastAsia="Times New Roman" w:hAnsi="Times New Roman" w:cs="Times New Roman"/>
      <w:b/>
      <w:sz w:val="24"/>
      <w:szCs w:val="20"/>
    </w:rPr>
  </w:style>
  <w:style w:type="character" w:customStyle="1" w:styleId="TableTitleChar">
    <w:name w:val="Table Title Char"/>
    <w:basedOn w:val="DefaultParagraphFont"/>
    <w:link w:val="TableTitle"/>
    <w:locked/>
    <w:rsid w:val="00395F97"/>
    <w:rPr>
      <w:rFonts w:asciiTheme="majorHAnsi" w:eastAsia="Times New Roman" w:hAnsiTheme="majorHAnsi" w:cs="Times"/>
      <w:b/>
      <w:sz w:val="24"/>
      <w:szCs w:val="24"/>
    </w:rPr>
  </w:style>
  <w:style w:type="character" w:customStyle="1" w:styleId="TabletextChar">
    <w:name w:val="Table text Char"/>
    <w:basedOn w:val="DefaultParagraphFont"/>
    <w:link w:val="Tabletext"/>
    <w:uiPriority w:val="99"/>
    <w:locked/>
    <w:rsid w:val="00395F97"/>
    <w:rPr>
      <w:rFonts w:ascii="Arial" w:eastAsia="Times New Roman" w:hAnsi="Arial" w:cs="Times New Roman"/>
      <w:sz w:val="20"/>
      <w:szCs w:val="20"/>
    </w:rPr>
  </w:style>
  <w:style w:type="paragraph" w:customStyle="1" w:styleId="Tabletext">
    <w:name w:val="Table text"/>
    <w:basedOn w:val="Normal"/>
    <w:link w:val="TabletextChar"/>
    <w:uiPriority w:val="99"/>
    <w:rsid w:val="00395F97"/>
    <w:pPr>
      <w:spacing w:before="60" w:after="0" w:line="240" w:lineRule="atLeast"/>
      <w:jc w:val="right"/>
    </w:pPr>
    <w:rPr>
      <w:rFonts w:ascii="Arial" w:eastAsia="Times New Roman" w:hAnsi="Arial" w:cs="Times New Roman"/>
      <w:sz w:val="20"/>
      <w:szCs w:val="20"/>
    </w:rPr>
  </w:style>
  <w:style w:type="paragraph" w:customStyle="1" w:styleId="TableHeaders">
    <w:name w:val="Table Headers"/>
    <w:basedOn w:val="Normal"/>
    <w:rsid w:val="00395F97"/>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395F9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column1">
    <w:name w:val="Table text column 1"/>
    <w:basedOn w:val="Tabletext"/>
    <w:qFormat/>
    <w:rsid w:val="00395F97"/>
    <w:pPr>
      <w:ind w:left="180" w:hanging="180"/>
      <w:jc w:val="left"/>
    </w:pPr>
  </w:style>
  <w:style w:type="character" w:customStyle="1" w:styleId="Heading4Char">
    <w:name w:val="Heading 4 Char"/>
    <w:basedOn w:val="DefaultParagraphFont"/>
    <w:link w:val="Heading4"/>
    <w:uiPriority w:val="9"/>
    <w:rsid w:val="00DB0406"/>
    <w:rPr>
      <w:rFonts w:asciiTheme="majorHAnsi" w:eastAsiaTheme="majorEastAsia" w:hAnsiTheme="majorHAnsi" w:cstheme="majorBidi"/>
      <w:i/>
      <w:iCs/>
      <w:color w:val="365F91" w:themeColor="accent1" w:themeShade="BF"/>
    </w:rPr>
  </w:style>
  <w:style w:type="character" w:customStyle="1" w:styleId="L1-FlLSp12Char">
    <w:name w:val="L1-FlL Sp&amp;1/2 Char"/>
    <w:link w:val="L1-FlLSp12"/>
    <w:uiPriority w:val="99"/>
    <w:locked/>
    <w:rsid w:val="0092453E"/>
    <w:rPr>
      <w:rFonts w:ascii="Garamond" w:eastAsia="Times New Roman" w:hAnsi="Garamond" w:cs="Times New Roman"/>
      <w:sz w:val="24"/>
      <w:szCs w:val="20"/>
    </w:rPr>
  </w:style>
  <w:style w:type="paragraph" w:customStyle="1" w:styleId="SanaBodyText">
    <w:name w:val="Sana Body Text"/>
    <w:basedOn w:val="Normal"/>
    <w:link w:val="SanaBodyTextChar"/>
    <w:qFormat/>
    <w:rsid w:val="00FD4835"/>
    <w:pPr>
      <w:autoSpaceDE w:val="0"/>
      <w:autoSpaceDN w:val="0"/>
      <w:adjustRightInd w:val="0"/>
      <w:spacing w:after="0" w:line="480" w:lineRule="auto"/>
      <w:ind w:firstLine="900"/>
      <w:jc w:val="both"/>
    </w:pPr>
    <w:rPr>
      <w:rFonts w:ascii="Times New Roman" w:eastAsia="Times New Roman" w:hAnsi="Times New Roman" w:cs="Times New Roman"/>
      <w:bCs/>
      <w:color w:val="000000" w:themeColor="text1"/>
      <w:sz w:val="24"/>
      <w:szCs w:val="24"/>
    </w:rPr>
  </w:style>
  <w:style w:type="character" w:customStyle="1" w:styleId="SanaBodyTextChar">
    <w:name w:val="Sana Body Text Char"/>
    <w:basedOn w:val="DefaultParagraphFont"/>
    <w:link w:val="SanaBodyText"/>
    <w:rsid w:val="00FD4835"/>
    <w:rPr>
      <w:rFonts w:ascii="Times New Roman" w:eastAsia="Times New Roman" w:hAnsi="Times New Roman" w:cs="Times New Roman"/>
      <w:bCs/>
      <w:color w:val="000000" w:themeColor="text1"/>
      <w:sz w:val="24"/>
      <w:szCs w:val="24"/>
    </w:rPr>
  </w:style>
  <w:style w:type="character" w:customStyle="1" w:styleId="UnresolvedMention1">
    <w:name w:val="Unresolved Mention1"/>
    <w:basedOn w:val="DefaultParagraphFont"/>
    <w:uiPriority w:val="99"/>
    <w:semiHidden/>
    <w:unhideWhenUsed/>
    <w:rsid w:val="002B7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296955005">
      <w:bodyDiv w:val="1"/>
      <w:marLeft w:val="0"/>
      <w:marRight w:val="0"/>
      <w:marTop w:val="0"/>
      <w:marBottom w:val="0"/>
      <w:divBdr>
        <w:top w:val="none" w:sz="0" w:space="0" w:color="auto"/>
        <w:left w:val="none" w:sz="0" w:space="0" w:color="auto"/>
        <w:bottom w:val="none" w:sz="0" w:space="0" w:color="auto"/>
        <w:right w:val="none" w:sz="0" w:space="0" w:color="auto"/>
      </w:divBdr>
    </w:div>
    <w:div w:id="356464431">
      <w:bodyDiv w:val="1"/>
      <w:marLeft w:val="0"/>
      <w:marRight w:val="0"/>
      <w:marTop w:val="0"/>
      <w:marBottom w:val="0"/>
      <w:divBdr>
        <w:top w:val="none" w:sz="0" w:space="0" w:color="auto"/>
        <w:left w:val="none" w:sz="0" w:space="0" w:color="auto"/>
        <w:bottom w:val="none" w:sz="0" w:space="0" w:color="auto"/>
        <w:right w:val="none" w:sz="0" w:space="0" w:color="auto"/>
      </w:divBdr>
    </w:div>
    <w:div w:id="523712919">
      <w:bodyDiv w:val="1"/>
      <w:marLeft w:val="0"/>
      <w:marRight w:val="0"/>
      <w:marTop w:val="0"/>
      <w:marBottom w:val="0"/>
      <w:divBdr>
        <w:top w:val="none" w:sz="0" w:space="0" w:color="auto"/>
        <w:left w:val="none" w:sz="0" w:space="0" w:color="auto"/>
        <w:bottom w:val="none" w:sz="0" w:space="0" w:color="auto"/>
        <w:right w:val="none" w:sz="0" w:space="0" w:color="auto"/>
      </w:divBdr>
    </w:div>
    <w:div w:id="550118458">
      <w:bodyDiv w:val="1"/>
      <w:marLeft w:val="0"/>
      <w:marRight w:val="0"/>
      <w:marTop w:val="0"/>
      <w:marBottom w:val="0"/>
      <w:divBdr>
        <w:top w:val="none" w:sz="0" w:space="0" w:color="auto"/>
        <w:left w:val="none" w:sz="0" w:space="0" w:color="auto"/>
        <w:bottom w:val="none" w:sz="0" w:space="0" w:color="auto"/>
        <w:right w:val="none" w:sz="0" w:space="0" w:color="auto"/>
      </w:divBdr>
    </w:div>
    <w:div w:id="573709118">
      <w:bodyDiv w:val="1"/>
      <w:marLeft w:val="0"/>
      <w:marRight w:val="0"/>
      <w:marTop w:val="0"/>
      <w:marBottom w:val="0"/>
      <w:divBdr>
        <w:top w:val="none" w:sz="0" w:space="0" w:color="auto"/>
        <w:left w:val="none" w:sz="0" w:space="0" w:color="auto"/>
        <w:bottom w:val="none" w:sz="0" w:space="0" w:color="auto"/>
        <w:right w:val="none" w:sz="0" w:space="0" w:color="auto"/>
      </w:divBdr>
    </w:div>
    <w:div w:id="599605645">
      <w:bodyDiv w:val="1"/>
      <w:marLeft w:val="0"/>
      <w:marRight w:val="0"/>
      <w:marTop w:val="0"/>
      <w:marBottom w:val="0"/>
      <w:divBdr>
        <w:top w:val="none" w:sz="0" w:space="0" w:color="auto"/>
        <w:left w:val="none" w:sz="0" w:space="0" w:color="auto"/>
        <w:bottom w:val="none" w:sz="0" w:space="0" w:color="auto"/>
        <w:right w:val="none" w:sz="0" w:space="0" w:color="auto"/>
      </w:divBdr>
    </w:div>
    <w:div w:id="724987885">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6430">
      <w:bodyDiv w:val="1"/>
      <w:marLeft w:val="0"/>
      <w:marRight w:val="0"/>
      <w:marTop w:val="0"/>
      <w:marBottom w:val="0"/>
      <w:divBdr>
        <w:top w:val="none" w:sz="0" w:space="0" w:color="auto"/>
        <w:left w:val="none" w:sz="0" w:space="0" w:color="auto"/>
        <w:bottom w:val="none" w:sz="0" w:space="0" w:color="auto"/>
        <w:right w:val="none" w:sz="0" w:space="0" w:color="auto"/>
      </w:divBdr>
    </w:div>
    <w:div w:id="884484569">
      <w:bodyDiv w:val="1"/>
      <w:marLeft w:val="0"/>
      <w:marRight w:val="0"/>
      <w:marTop w:val="0"/>
      <w:marBottom w:val="0"/>
      <w:divBdr>
        <w:top w:val="none" w:sz="0" w:space="0" w:color="auto"/>
        <w:left w:val="none" w:sz="0" w:space="0" w:color="auto"/>
        <w:bottom w:val="none" w:sz="0" w:space="0" w:color="auto"/>
        <w:right w:val="none" w:sz="0" w:space="0" w:color="auto"/>
      </w:divBdr>
    </w:div>
    <w:div w:id="886378160">
      <w:bodyDiv w:val="1"/>
      <w:marLeft w:val="0"/>
      <w:marRight w:val="0"/>
      <w:marTop w:val="0"/>
      <w:marBottom w:val="0"/>
      <w:divBdr>
        <w:top w:val="none" w:sz="0" w:space="0" w:color="auto"/>
        <w:left w:val="none" w:sz="0" w:space="0" w:color="auto"/>
        <w:bottom w:val="none" w:sz="0" w:space="0" w:color="auto"/>
        <w:right w:val="none" w:sz="0" w:space="0" w:color="auto"/>
      </w:divBdr>
    </w:div>
    <w:div w:id="1048455788">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083801046">
      <w:bodyDiv w:val="1"/>
      <w:marLeft w:val="0"/>
      <w:marRight w:val="0"/>
      <w:marTop w:val="0"/>
      <w:marBottom w:val="0"/>
      <w:divBdr>
        <w:top w:val="none" w:sz="0" w:space="0" w:color="auto"/>
        <w:left w:val="none" w:sz="0" w:space="0" w:color="auto"/>
        <w:bottom w:val="none" w:sz="0" w:space="0" w:color="auto"/>
        <w:right w:val="none" w:sz="0" w:space="0" w:color="auto"/>
      </w:divBdr>
    </w:div>
    <w:div w:id="1092167035">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666013646">
      <w:bodyDiv w:val="1"/>
      <w:marLeft w:val="0"/>
      <w:marRight w:val="0"/>
      <w:marTop w:val="0"/>
      <w:marBottom w:val="0"/>
      <w:divBdr>
        <w:top w:val="none" w:sz="0" w:space="0" w:color="auto"/>
        <w:left w:val="none" w:sz="0" w:space="0" w:color="auto"/>
        <w:bottom w:val="none" w:sz="0" w:space="0" w:color="auto"/>
        <w:right w:val="none" w:sz="0" w:space="0" w:color="auto"/>
      </w:divBdr>
    </w:div>
    <w:div w:id="1671324899">
      <w:bodyDiv w:val="1"/>
      <w:marLeft w:val="0"/>
      <w:marRight w:val="0"/>
      <w:marTop w:val="0"/>
      <w:marBottom w:val="0"/>
      <w:divBdr>
        <w:top w:val="none" w:sz="0" w:space="0" w:color="auto"/>
        <w:left w:val="none" w:sz="0" w:space="0" w:color="auto"/>
        <w:bottom w:val="none" w:sz="0" w:space="0" w:color="auto"/>
        <w:right w:val="none" w:sz="0" w:space="0" w:color="auto"/>
      </w:divBdr>
    </w:div>
    <w:div w:id="1730954188">
      <w:bodyDiv w:val="1"/>
      <w:marLeft w:val="0"/>
      <w:marRight w:val="0"/>
      <w:marTop w:val="0"/>
      <w:marBottom w:val="0"/>
      <w:divBdr>
        <w:top w:val="none" w:sz="0" w:space="0" w:color="auto"/>
        <w:left w:val="none" w:sz="0" w:space="0" w:color="auto"/>
        <w:bottom w:val="none" w:sz="0" w:space="0" w:color="auto"/>
        <w:right w:val="none" w:sz="0" w:space="0" w:color="auto"/>
      </w:divBdr>
    </w:div>
    <w:div w:id="1778058813">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57888812">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3597587">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nces.ed.gov/statprog/instruct.asp" TargetMode="External"/><Relationship Id="rId2" Type="http://schemas.openxmlformats.org/officeDocument/2006/relationships/customXml" Target="../customXml/item2.xml"/><Relationship Id="rId16" Type="http://schemas.openxmlformats.org/officeDocument/2006/relationships/hyperlink" Target="http://nces.ed.gov/statprog/confproc.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nces.ed.gov/pubsearch/"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ces.ed.gov/statprog/2002/stdtoc.asp"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e026789a2b115e8ffbef5f761302963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0247803b2f34a316deae39e80cf3a3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D7366-736B-4AF5-8643-B207D1AA8E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C15C90-EF5B-4E02-8741-A5A5937B98ED}">
  <ds:schemaRefs>
    <ds:schemaRef ds:uri="http://schemas.microsoft.com/sharepoint/v3/contenttype/forms"/>
  </ds:schemaRefs>
</ds:datastoreItem>
</file>

<file path=customXml/itemProps3.xml><?xml version="1.0" encoding="utf-8"?>
<ds:datastoreItem xmlns:ds="http://schemas.openxmlformats.org/officeDocument/2006/customXml" ds:itemID="{C0D7DB88-B44B-42A7-9316-C04E9A639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A042E2-B783-4312-BED6-2FD8E0D2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Jennifer</dc:creator>
  <cp:lastModifiedBy>Carrie Clarady</cp:lastModifiedBy>
  <cp:revision>2</cp:revision>
  <cp:lastPrinted>2019-05-15T19:03:00Z</cp:lastPrinted>
  <dcterms:created xsi:type="dcterms:W3CDTF">2020-02-06T13:36:00Z</dcterms:created>
  <dcterms:modified xsi:type="dcterms:W3CDTF">2020-02-06T13:36:00Z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