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1B327" w14:textId="77777777" w:rsidR="00631BC1" w:rsidRDefault="00631BC1">
      <w:pPr>
        <w:spacing w:line="480" w:lineRule="auto"/>
        <w:jc w:val="center"/>
        <w:outlineLvl w:val="0"/>
        <w:rPr>
          <w:b/>
          <w:sz w:val="22"/>
        </w:rPr>
      </w:pPr>
      <w:bookmarkStart w:id="0" w:name="_GoBack"/>
      <w:bookmarkEnd w:id="0"/>
      <w:r>
        <w:rPr>
          <w:b/>
          <w:sz w:val="22"/>
        </w:rPr>
        <w:t>SUPPORTING STATEMENT</w:t>
      </w:r>
    </w:p>
    <w:p w14:paraId="4B12992A" w14:textId="77777777" w:rsidR="00631BC1" w:rsidRDefault="00606F9C">
      <w:pPr>
        <w:spacing w:line="480" w:lineRule="auto"/>
        <w:jc w:val="center"/>
        <w:outlineLvl w:val="0"/>
        <w:rPr>
          <w:b/>
          <w:sz w:val="22"/>
        </w:rPr>
      </w:pPr>
      <w:r>
        <w:rPr>
          <w:b/>
          <w:sz w:val="22"/>
        </w:rPr>
        <w:t>Electronic Bonds Online (</w:t>
      </w:r>
      <w:r w:rsidR="00F90EB7" w:rsidRPr="00950E89">
        <w:rPr>
          <w:b/>
          <w:sz w:val="22"/>
        </w:rPr>
        <w:t>eBonds</w:t>
      </w:r>
      <w:r>
        <w:rPr>
          <w:b/>
          <w:sz w:val="22"/>
        </w:rPr>
        <w:t>)</w:t>
      </w:r>
      <w:r w:rsidR="002D0C5A" w:rsidRPr="00950E89">
        <w:rPr>
          <w:b/>
          <w:sz w:val="22"/>
        </w:rPr>
        <w:t xml:space="preserve"> Access</w:t>
      </w:r>
      <w:r w:rsidR="00F90EB7" w:rsidRPr="002E6B26">
        <w:rPr>
          <w:b/>
          <w:sz w:val="22"/>
          <w:highlight w:val="yellow"/>
        </w:rPr>
        <w:t xml:space="preserve"> </w:t>
      </w:r>
    </w:p>
    <w:p w14:paraId="238AAA5D" w14:textId="77777777" w:rsidR="00631BC1" w:rsidRDefault="00631BC1">
      <w:pPr>
        <w:spacing w:line="480" w:lineRule="auto"/>
        <w:jc w:val="center"/>
        <w:outlineLvl w:val="0"/>
        <w:rPr>
          <w:b/>
          <w:sz w:val="22"/>
        </w:rPr>
      </w:pPr>
      <w:r>
        <w:rPr>
          <w:b/>
          <w:sz w:val="22"/>
        </w:rPr>
        <w:t xml:space="preserve">(Form </w:t>
      </w:r>
      <w:r w:rsidR="00186CA8">
        <w:rPr>
          <w:b/>
          <w:sz w:val="22"/>
        </w:rPr>
        <w:t>I-352 SA</w:t>
      </w:r>
      <w:r>
        <w:rPr>
          <w:b/>
          <w:sz w:val="22"/>
        </w:rPr>
        <w:t>)</w:t>
      </w:r>
    </w:p>
    <w:p w14:paraId="19B67DEA" w14:textId="77777777" w:rsidR="00200247" w:rsidRDefault="00186CA8">
      <w:pPr>
        <w:spacing w:line="480" w:lineRule="auto"/>
        <w:jc w:val="center"/>
        <w:outlineLvl w:val="0"/>
        <w:rPr>
          <w:b/>
          <w:sz w:val="22"/>
        </w:rPr>
      </w:pPr>
      <w:r>
        <w:rPr>
          <w:b/>
          <w:sz w:val="22"/>
        </w:rPr>
        <w:t>(Form I-352 RA</w:t>
      </w:r>
      <w:r w:rsidR="00200247">
        <w:rPr>
          <w:b/>
          <w:sz w:val="22"/>
        </w:rPr>
        <w:t>)</w:t>
      </w:r>
    </w:p>
    <w:p w14:paraId="09094278" w14:textId="77777777" w:rsidR="00631BC1" w:rsidRDefault="00631BC1">
      <w:pPr>
        <w:spacing w:line="480" w:lineRule="auto"/>
        <w:jc w:val="center"/>
        <w:outlineLvl w:val="0"/>
        <w:rPr>
          <w:b/>
          <w:sz w:val="22"/>
        </w:rPr>
      </w:pPr>
      <w:r>
        <w:rPr>
          <w:b/>
          <w:sz w:val="22"/>
        </w:rPr>
        <w:t>OMB No. 1653-</w:t>
      </w:r>
      <w:r w:rsidR="006B5ECD">
        <w:rPr>
          <w:b/>
          <w:sz w:val="22"/>
        </w:rPr>
        <w:t>0046</w:t>
      </w:r>
    </w:p>
    <w:p w14:paraId="43479B82" w14:textId="77777777" w:rsidR="00631BC1" w:rsidRDefault="00631BC1">
      <w:pPr>
        <w:spacing w:line="480" w:lineRule="auto"/>
        <w:rPr>
          <w:sz w:val="22"/>
        </w:rPr>
      </w:pPr>
    </w:p>
    <w:p w14:paraId="2D25A09F" w14:textId="77777777" w:rsidR="00631BC1" w:rsidRDefault="00631BC1">
      <w:pPr>
        <w:tabs>
          <w:tab w:val="left" w:pos="-1440"/>
        </w:tabs>
        <w:spacing w:line="480" w:lineRule="auto"/>
        <w:ind w:left="720" w:hanging="720"/>
        <w:outlineLvl w:val="0"/>
        <w:rPr>
          <w:b/>
          <w:sz w:val="22"/>
        </w:rPr>
      </w:pPr>
      <w:r>
        <w:rPr>
          <w:b/>
          <w:sz w:val="22"/>
        </w:rPr>
        <w:t>A.</w:t>
      </w:r>
      <w:r>
        <w:rPr>
          <w:b/>
          <w:sz w:val="22"/>
        </w:rPr>
        <w:tab/>
        <w:t>Justification.</w:t>
      </w:r>
    </w:p>
    <w:p w14:paraId="178FB7CD" w14:textId="77777777"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F8AE43F" w14:textId="77777777" w:rsidR="00E966EC" w:rsidRDefault="00E966EC" w:rsidP="00BD080B">
      <w:pPr>
        <w:tabs>
          <w:tab w:val="left" w:pos="-1440"/>
        </w:tabs>
        <w:spacing w:line="360" w:lineRule="auto"/>
        <w:jc w:val="both"/>
        <w:rPr>
          <w:sz w:val="22"/>
        </w:rPr>
      </w:pPr>
    </w:p>
    <w:p w14:paraId="0E634E9C" w14:textId="77777777" w:rsidR="00B4114A" w:rsidRDefault="00631BC1" w:rsidP="00BD080B">
      <w:pPr>
        <w:tabs>
          <w:tab w:val="left" w:pos="-1440"/>
        </w:tabs>
        <w:spacing w:line="360" w:lineRule="auto"/>
        <w:ind w:left="720"/>
        <w:jc w:val="both"/>
        <w:rPr>
          <w:sz w:val="22"/>
        </w:rPr>
      </w:pPr>
      <w:r w:rsidRPr="002D0C5A">
        <w:rPr>
          <w:sz w:val="22"/>
        </w:rPr>
        <w:t xml:space="preserve">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w:t>
      </w:r>
      <w:r w:rsidR="00534151">
        <w:rPr>
          <w:sz w:val="22"/>
        </w:rPr>
        <w:t xml:space="preserve">U.S. </w:t>
      </w:r>
      <w:r w:rsidRPr="002D0C5A">
        <w:rPr>
          <w:sz w:val="22"/>
        </w:rPr>
        <w:t>Immigratio</w:t>
      </w:r>
      <w:r w:rsidR="00B1673E" w:rsidRPr="002D0C5A">
        <w:rPr>
          <w:sz w:val="22"/>
        </w:rPr>
        <w:t>n and Customs Enforcement (ICE)</w:t>
      </w:r>
      <w:r w:rsidRPr="002D0C5A">
        <w:rPr>
          <w:sz w:val="22"/>
        </w:rPr>
        <w:t xml:space="preserve">.  The information collection </w:t>
      </w:r>
      <w:r w:rsidR="00267872" w:rsidRPr="002D0C5A">
        <w:rPr>
          <w:sz w:val="22"/>
        </w:rPr>
        <w:t xml:space="preserve">is </w:t>
      </w:r>
      <w:r w:rsidRPr="002D0C5A">
        <w:rPr>
          <w:sz w:val="22"/>
        </w:rPr>
        <w:t xml:space="preserve">necessary for </w:t>
      </w:r>
      <w:r w:rsidR="00200247">
        <w:rPr>
          <w:sz w:val="22"/>
        </w:rPr>
        <w:t>ICE</w:t>
      </w:r>
      <w:r w:rsidR="001A5D05" w:rsidRPr="002D0C5A">
        <w:rPr>
          <w:sz w:val="22"/>
        </w:rPr>
        <w:t xml:space="preserve"> </w:t>
      </w:r>
      <w:r w:rsidRPr="002D0C5A">
        <w:rPr>
          <w:sz w:val="22"/>
        </w:rPr>
        <w:t xml:space="preserve">to </w:t>
      </w:r>
      <w:r w:rsidR="001A5D05" w:rsidRPr="002D0C5A">
        <w:rPr>
          <w:sz w:val="22"/>
        </w:rPr>
        <w:t xml:space="preserve">grant access to </w:t>
      </w:r>
      <w:r w:rsidR="00200247">
        <w:rPr>
          <w:sz w:val="22"/>
        </w:rPr>
        <w:t>E</w:t>
      </w:r>
      <w:r w:rsidR="001A5D05" w:rsidRPr="002D0C5A">
        <w:rPr>
          <w:sz w:val="22"/>
        </w:rPr>
        <w:t>lectronic Bonds Online (eBonds</w:t>
      </w:r>
      <w:r w:rsidR="00534151">
        <w:rPr>
          <w:sz w:val="22"/>
        </w:rPr>
        <w:t>) which enables a Surety Company</w:t>
      </w:r>
      <w:r w:rsidR="001A5D05" w:rsidRPr="002D0C5A">
        <w:rPr>
          <w:sz w:val="22"/>
        </w:rPr>
        <w:t xml:space="preserve"> (Surety) to post an immigration bond</w:t>
      </w:r>
      <w:r w:rsidRPr="002D0C5A">
        <w:rPr>
          <w:sz w:val="22"/>
        </w:rPr>
        <w:t>.</w:t>
      </w:r>
      <w:r w:rsidR="004B639A" w:rsidRPr="004B639A">
        <w:rPr>
          <w:sz w:val="22"/>
        </w:rPr>
        <w:t xml:space="preserve"> </w:t>
      </w:r>
    </w:p>
    <w:p w14:paraId="12CB64C2" w14:textId="77777777" w:rsidR="00631BC1" w:rsidRDefault="00631BC1" w:rsidP="00BD080B">
      <w:pPr>
        <w:tabs>
          <w:tab w:val="left" w:pos="-1440"/>
        </w:tabs>
        <w:spacing w:line="360" w:lineRule="auto"/>
        <w:ind w:left="720"/>
        <w:jc w:val="both"/>
        <w:rPr>
          <w:sz w:val="22"/>
        </w:rPr>
      </w:pPr>
    </w:p>
    <w:p w14:paraId="1FE50ECA" w14:textId="77777777"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14:paraId="31752A95" w14:textId="77777777" w:rsidR="00E966EC" w:rsidRDefault="00E966EC" w:rsidP="00E966EC">
      <w:pPr>
        <w:tabs>
          <w:tab w:val="left" w:pos="-1440"/>
        </w:tabs>
        <w:spacing w:line="480" w:lineRule="auto"/>
        <w:jc w:val="both"/>
        <w:rPr>
          <w:sz w:val="22"/>
        </w:rPr>
      </w:pPr>
    </w:p>
    <w:p w14:paraId="76EF6FBD" w14:textId="77777777" w:rsidR="00631BC1" w:rsidRDefault="00631BC1" w:rsidP="00534151">
      <w:pPr>
        <w:tabs>
          <w:tab w:val="left" w:pos="-1440"/>
        </w:tabs>
        <w:spacing w:line="360" w:lineRule="auto"/>
        <w:ind w:left="720"/>
        <w:jc w:val="both"/>
        <w:rPr>
          <w:sz w:val="22"/>
        </w:rPr>
      </w:pPr>
      <w:r w:rsidRPr="002D0C5A">
        <w:rPr>
          <w:sz w:val="22"/>
        </w:rPr>
        <w:t xml:space="preserve">The data collected is used by ICE to ensure that the </w:t>
      </w:r>
      <w:r w:rsidR="001A5D05" w:rsidRPr="002D0C5A">
        <w:rPr>
          <w:sz w:val="22"/>
        </w:rPr>
        <w:t xml:space="preserve">Surety </w:t>
      </w:r>
      <w:r w:rsidRPr="002D0C5A">
        <w:rPr>
          <w:sz w:val="22"/>
        </w:rPr>
        <w:t xml:space="preserve">posting the bond </w:t>
      </w:r>
      <w:r w:rsidR="002D0C5A" w:rsidRPr="002D0C5A">
        <w:rPr>
          <w:sz w:val="22"/>
        </w:rPr>
        <w:t>is</w:t>
      </w:r>
      <w:r w:rsidRPr="002D0C5A">
        <w:rPr>
          <w:sz w:val="22"/>
        </w:rPr>
        <w:t xml:space="preserve"> aware of the duties and responsibilities associated with </w:t>
      </w:r>
      <w:r w:rsidR="001A5D05" w:rsidRPr="002D0C5A">
        <w:rPr>
          <w:sz w:val="22"/>
        </w:rPr>
        <w:t xml:space="preserve">accessing </w:t>
      </w:r>
      <w:r w:rsidR="00534151">
        <w:rPr>
          <w:sz w:val="22"/>
        </w:rPr>
        <w:t xml:space="preserve">the </w:t>
      </w:r>
      <w:r w:rsidR="001A5D05" w:rsidRPr="002D0C5A">
        <w:rPr>
          <w:sz w:val="22"/>
        </w:rPr>
        <w:t>eB</w:t>
      </w:r>
      <w:r w:rsidRPr="002D0C5A">
        <w:rPr>
          <w:sz w:val="22"/>
        </w:rPr>
        <w:t>ond</w:t>
      </w:r>
      <w:r w:rsidR="001A5D05" w:rsidRPr="002D0C5A">
        <w:rPr>
          <w:sz w:val="22"/>
        </w:rPr>
        <w:t>s</w:t>
      </w:r>
      <w:r w:rsidR="00534151">
        <w:rPr>
          <w:sz w:val="22"/>
        </w:rPr>
        <w:t xml:space="preserve"> system</w:t>
      </w:r>
      <w:r w:rsidRPr="002D0C5A">
        <w:rPr>
          <w:sz w:val="22"/>
        </w:rPr>
        <w:t>.</w:t>
      </w:r>
      <w:r w:rsidR="002D0C5A">
        <w:rPr>
          <w:sz w:val="22"/>
        </w:rPr>
        <w:t xml:space="preserve">  It is also used to verify the number of users of the system and bond authority of each Surety agent.</w:t>
      </w:r>
      <w:r>
        <w:rPr>
          <w:sz w:val="22"/>
        </w:rPr>
        <w:t xml:space="preserve">  </w:t>
      </w:r>
    </w:p>
    <w:p w14:paraId="5A9EAF27" w14:textId="77777777" w:rsidR="00631BC1" w:rsidRDefault="00631BC1">
      <w:pPr>
        <w:tabs>
          <w:tab w:val="left" w:pos="-1440"/>
        </w:tabs>
        <w:spacing w:line="480" w:lineRule="auto"/>
        <w:jc w:val="both"/>
        <w:rPr>
          <w:sz w:val="22"/>
        </w:rPr>
      </w:pPr>
    </w:p>
    <w:p w14:paraId="14B25100" w14:textId="77777777" w:rsidR="00E966EC" w:rsidRP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7DA1AB6" w14:textId="77777777" w:rsidR="00E966EC" w:rsidRDefault="00E966EC" w:rsidP="00BD080B">
      <w:pPr>
        <w:tabs>
          <w:tab w:val="left" w:pos="-1440"/>
        </w:tabs>
        <w:spacing w:line="360" w:lineRule="auto"/>
        <w:jc w:val="both"/>
        <w:rPr>
          <w:sz w:val="22"/>
        </w:rPr>
      </w:pPr>
    </w:p>
    <w:p w14:paraId="253F63F4" w14:textId="77777777" w:rsidR="008A6045" w:rsidRDefault="00631BC1" w:rsidP="00BD080B">
      <w:pPr>
        <w:tabs>
          <w:tab w:val="left" w:pos="-1440"/>
        </w:tabs>
        <w:spacing w:line="360" w:lineRule="auto"/>
        <w:ind w:left="720"/>
        <w:jc w:val="both"/>
        <w:rPr>
          <w:sz w:val="22"/>
        </w:rPr>
      </w:pPr>
      <w:r>
        <w:rPr>
          <w:sz w:val="22"/>
        </w:rPr>
        <w:lastRenderedPageBreak/>
        <w:t>The use of th</w:t>
      </w:r>
      <w:r w:rsidR="00534151">
        <w:rPr>
          <w:sz w:val="22"/>
        </w:rPr>
        <w:t>e</w:t>
      </w:r>
      <w:r>
        <w:rPr>
          <w:sz w:val="22"/>
        </w:rPr>
        <w:t>s</w:t>
      </w:r>
      <w:r w:rsidR="00534151">
        <w:rPr>
          <w:sz w:val="22"/>
        </w:rPr>
        <w:t>e</w:t>
      </w:r>
      <w:r>
        <w:rPr>
          <w:sz w:val="22"/>
        </w:rPr>
        <w:t xml:space="preserve"> </w:t>
      </w:r>
      <w:r w:rsidR="00534151">
        <w:rPr>
          <w:sz w:val="22"/>
        </w:rPr>
        <w:t>collection instrument</w:t>
      </w:r>
      <w:r w:rsidR="00623F1E">
        <w:rPr>
          <w:sz w:val="22"/>
        </w:rPr>
        <w:t>s</w:t>
      </w:r>
      <w:r>
        <w:rPr>
          <w:sz w:val="22"/>
        </w:rPr>
        <w:t xml:space="preserve"> provides the most efficient means for collecting and processing the required data.  </w:t>
      </w:r>
      <w:r w:rsidR="000C000D">
        <w:rPr>
          <w:sz w:val="22"/>
        </w:rPr>
        <w:t xml:space="preserve">While </w:t>
      </w:r>
      <w:r w:rsidR="002D0C5A">
        <w:rPr>
          <w:sz w:val="22"/>
        </w:rPr>
        <w:t>ICE has employed the use of information technology in collecting and processing information</w:t>
      </w:r>
      <w:r w:rsidR="000C000D">
        <w:rPr>
          <w:sz w:val="22"/>
        </w:rPr>
        <w:t xml:space="preserve"> in some cases, it has not</w:t>
      </w:r>
      <w:r w:rsidR="002D0C5A">
        <w:rPr>
          <w:sz w:val="22"/>
        </w:rPr>
        <w:t xml:space="preserve"> deployed the automated capability to accept electronic submission of this information.</w:t>
      </w:r>
    </w:p>
    <w:p w14:paraId="0BEA4516" w14:textId="77777777" w:rsidR="00BD080B" w:rsidRDefault="00BD080B" w:rsidP="00BD080B">
      <w:pPr>
        <w:tabs>
          <w:tab w:val="left" w:pos="-1440"/>
        </w:tabs>
        <w:spacing w:line="360" w:lineRule="auto"/>
        <w:ind w:left="720"/>
        <w:jc w:val="both"/>
        <w:rPr>
          <w:sz w:val="22"/>
        </w:rPr>
      </w:pPr>
    </w:p>
    <w:p w14:paraId="35690E5F" w14:textId="77777777" w:rsid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14:paraId="1A5920E4" w14:textId="77777777" w:rsidR="00BD080B" w:rsidRPr="00E966EC" w:rsidRDefault="00BD080B" w:rsidP="00BD080B">
      <w:pPr>
        <w:tabs>
          <w:tab w:val="left" w:pos="-1440"/>
        </w:tabs>
        <w:spacing w:line="276" w:lineRule="auto"/>
        <w:ind w:left="720" w:hanging="720"/>
        <w:jc w:val="both"/>
        <w:rPr>
          <w:b/>
          <w:sz w:val="22"/>
          <w:szCs w:val="22"/>
        </w:rPr>
      </w:pPr>
    </w:p>
    <w:p w14:paraId="684F7E27" w14:textId="77777777" w:rsidR="00631BC1" w:rsidRDefault="002D7741" w:rsidP="00BD080B">
      <w:pPr>
        <w:tabs>
          <w:tab w:val="left" w:pos="-1440"/>
        </w:tabs>
        <w:spacing w:line="276" w:lineRule="auto"/>
        <w:ind w:left="720"/>
        <w:jc w:val="both"/>
        <w:rPr>
          <w:sz w:val="22"/>
        </w:rPr>
      </w:pPr>
      <w:r>
        <w:rPr>
          <w:sz w:val="22"/>
        </w:rPr>
        <w:t>This information is not collected in any form, and therefore is not duplicated elsewhere</w:t>
      </w:r>
      <w:r w:rsidR="00631BC1">
        <w:rPr>
          <w:sz w:val="22"/>
        </w:rPr>
        <w:t>.</w:t>
      </w:r>
    </w:p>
    <w:p w14:paraId="4CA78844" w14:textId="77777777" w:rsidR="00BD080B" w:rsidRDefault="00BD080B" w:rsidP="00BD080B">
      <w:pPr>
        <w:tabs>
          <w:tab w:val="left" w:pos="-1440"/>
        </w:tabs>
        <w:spacing w:line="276" w:lineRule="auto"/>
        <w:ind w:left="720"/>
        <w:jc w:val="both"/>
        <w:rPr>
          <w:sz w:val="22"/>
        </w:rPr>
      </w:pPr>
    </w:p>
    <w:p w14:paraId="52237A55" w14:textId="77777777"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14:paraId="361902B8" w14:textId="77777777" w:rsidR="00E966EC" w:rsidRDefault="00E966EC" w:rsidP="00E966EC">
      <w:pPr>
        <w:tabs>
          <w:tab w:val="left" w:pos="-1440"/>
        </w:tabs>
        <w:spacing w:line="480" w:lineRule="auto"/>
        <w:jc w:val="both"/>
        <w:rPr>
          <w:sz w:val="22"/>
        </w:rPr>
      </w:pPr>
    </w:p>
    <w:p w14:paraId="788A1FA3" w14:textId="77777777" w:rsidR="00631BC1" w:rsidRDefault="00E966EC" w:rsidP="00E966EC">
      <w:pPr>
        <w:tabs>
          <w:tab w:val="left" w:pos="-1440"/>
        </w:tabs>
        <w:spacing w:line="480" w:lineRule="auto"/>
        <w:jc w:val="both"/>
        <w:rPr>
          <w:sz w:val="22"/>
        </w:rPr>
      </w:pPr>
      <w:r>
        <w:rPr>
          <w:sz w:val="22"/>
        </w:rPr>
        <w:tab/>
      </w:r>
      <w:r w:rsidR="00631BC1">
        <w:rPr>
          <w:sz w:val="22"/>
        </w:rPr>
        <w:t xml:space="preserve">This information </w:t>
      </w:r>
      <w:r w:rsidR="002D7741">
        <w:rPr>
          <w:sz w:val="22"/>
        </w:rPr>
        <w:t xml:space="preserve">collection </w:t>
      </w:r>
      <w:r w:rsidR="00631BC1">
        <w:rPr>
          <w:sz w:val="22"/>
        </w:rPr>
        <w:t>does not have an impact on small businesses or other small entities.</w:t>
      </w:r>
    </w:p>
    <w:p w14:paraId="65ECA567" w14:textId="77777777"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14:paraId="42923D8E" w14:textId="77777777" w:rsidR="00E966EC" w:rsidRDefault="00E966EC" w:rsidP="00BD080B">
      <w:pPr>
        <w:tabs>
          <w:tab w:val="left" w:pos="-1440"/>
        </w:tabs>
        <w:spacing w:line="360" w:lineRule="auto"/>
        <w:jc w:val="both"/>
        <w:rPr>
          <w:sz w:val="22"/>
        </w:rPr>
      </w:pPr>
    </w:p>
    <w:p w14:paraId="7F5041F4" w14:textId="77777777" w:rsidR="00631BC1" w:rsidRDefault="00631BC1" w:rsidP="00BD080B">
      <w:pPr>
        <w:tabs>
          <w:tab w:val="left" w:pos="-1440"/>
        </w:tabs>
        <w:spacing w:line="360"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14:paraId="44FF37E2" w14:textId="77777777" w:rsidR="00306C2D" w:rsidRDefault="00306C2D" w:rsidP="00E966EC">
      <w:pPr>
        <w:tabs>
          <w:tab w:val="left" w:pos="-1440"/>
        </w:tabs>
        <w:ind w:left="720" w:hanging="720"/>
        <w:jc w:val="both"/>
        <w:rPr>
          <w:b/>
          <w:sz w:val="22"/>
          <w:szCs w:val="22"/>
        </w:rPr>
      </w:pPr>
    </w:p>
    <w:p w14:paraId="0E0FB7E4" w14:textId="77777777"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14:paraId="0C0E50B1" w14:textId="77777777" w:rsidR="00E966EC" w:rsidRPr="00E966EC" w:rsidRDefault="00E966EC" w:rsidP="00E966EC">
      <w:pPr>
        <w:jc w:val="both"/>
        <w:rPr>
          <w:b/>
          <w:sz w:val="22"/>
          <w:szCs w:val="22"/>
        </w:rPr>
      </w:pPr>
    </w:p>
    <w:p w14:paraId="1C3A45E2"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14:paraId="0297AFB2" w14:textId="77777777" w:rsidR="00E966EC" w:rsidRPr="00E966EC" w:rsidRDefault="00E966EC" w:rsidP="00E966EC">
      <w:pPr>
        <w:jc w:val="both"/>
        <w:rPr>
          <w:b/>
          <w:sz w:val="22"/>
          <w:szCs w:val="22"/>
        </w:rPr>
      </w:pPr>
    </w:p>
    <w:p w14:paraId="103BE2CF"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14:paraId="2C0BA7C6" w14:textId="77777777" w:rsidR="00E966EC" w:rsidRDefault="00E966EC" w:rsidP="00E966EC">
      <w:pPr>
        <w:tabs>
          <w:tab w:val="left" w:pos="-1440"/>
        </w:tabs>
        <w:ind w:left="1440" w:hanging="720"/>
        <w:jc w:val="both"/>
        <w:rPr>
          <w:b/>
          <w:sz w:val="22"/>
          <w:szCs w:val="22"/>
        </w:rPr>
      </w:pPr>
    </w:p>
    <w:p w14:paraId="0B4DF2FB"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more than an original and two copies of any document;</w:t>
      </w:r>
    </w:p>
    <w:p w14:paraId="486F4766" w14:textId="77777777" w:rsidR="00E966EC" w:rsidRPr="00E966EC" w:rsidRDefault="00E966EC" w:rsidP="00E966EC">
      <w:pPr>
        <w:jc w:val="both"/>
        <w:rPr>
          <w:b/>
          <w:sz w:val="22"/>
          <w:szCs w:val="22"/>
        </w:rPr>
      </w:pPr>
    </w:p>
    <w:p w14:paraId="7012E114"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14:paraId="1F51B1FB" w14:textId="77777777" w:rsidR="00E966EC" w:rsidRPr="00E966EC" w:rsidRDefault="00E966EC" w:rsidP="00E966EC">
      <w:pPr>
        <w:jc w:val="both"/>
        <w:rPr>
          <w:b/>
          <w:sz w:val="22"/>
          <w:szCs w:val="22"/>
        </w:rPr>
      </w:pPr>
    </w:p>
    <w:p w14:paraId="1C25AB73"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14:paraId="6C2F1645" w14:textId="77777777" w:rsidR="00E966EC" w:rsidRPr="00E966EC" w:rsidRDefault="00E966EC" w:rsidP="00E966EC">
      <w:pPr>
        <w:jc w:val="both"/>
        <w:rPr>
          <w:b/>
          <w:sz w:val="22"/>
          <w:szCs w:val="22"/>
        </w:rPr>
      </w:pPr>
    </w:p>
    <w:p w14:paraId="65763772"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14:paraId="0339FD4A" w14:textId="77777777" w:rsidR="00E966EC" w:rsidRPr="00E966EC" w:rsidRDefault="00E966EC" w:rsidP="00E966EC">
      <w:pPr>
        <w:jc w:val="both"/>
        <w:rPr>
          <w:b/>
          <w:sz w:val="22"/>
          <w:szCs w:val="22"/>
        </w:rPr>
      </w:pPr>
    </w:p>
    <w:p w14:paraId="62B6B06F"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9B8725" w14:textId="77777777" w:rsidR="00E966EC" w:rsidRPr="00E966EC" w:rsidRDefault="00E966EC" w:rsidP="00E966EC">
      <w:pPr>
        <w:jc w:val="both"/>
        <w:rPr>
          <w:b/>
          <w:sz w:val="22"/>
          <w:szCs w:val="22"/>
        </w:rPr>
      </w:pPr>
    </w:p>
    <w:p w14:paraId="0A9C4161" w14:textId="77777777"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14:paraId="2784DCCA" w14:textId="77777777" w:rsidR="00E966EC" w:rsidRDefault="00E966EC" w:rsidP="00BD080B">
      <w:pPr>
        <w:tabs>
          <w:tab w:val="left" w:pos="-1440"/>
        </w:tabs>
        <w:spacing w:line="360" w:lineRule="auto"/>
        <w:jc w:val="both"/>
        <w:rPr>
          <w:sz w:val="22"/>
        </w:rPr>
      </w:pPr>
    </w:p>
    <w:p w14:paraId="2F16EDDA" w14:textId="77777777" w:rsidR="00631BC1" w:rsidRDefault="00631BC1" w:rsidP="00BD080B">
      <w:pPr>
        <w:tabs>
          <w:tab w:val="left" w:pos="-1440"/>
        </w:tabs>
        <w:spacing w:line="360" w:lineRule="auto"/>
        <w:ind w:left="720"/>
        <w:jc w:val="both"/>
        <w:rPr>
          <w:sz w:val="22"/>
        </w:rPr>
      </w:pPr>
      <w:r>
        <w:rPr>
          <w:sz w:val="22"/>
        </w:rPr>
        <w:t>The special circumstances contained in item 7 of the Supporting Statement are not applicable to this information collection.</w:t>
      </w:r>
    </w:p>
    <w:p w14:paraId="1DAF8E14" w14:textId="77777777" w:rsidR="00E966EC" w:rsidRDefault="00E966EC" w:rsidP="00BD080B">
      <w:pPr>
        <w:tabs>
          <w:tab w:val="left" w:pos="-1440"/>
        </w:tabs>
        <w:spacing w:line="360" w:lineRule="auto"/>
        <w:jc w:val="both"/>
        <w:rPr>
          <w:sz w:val="22"/>
        </w:rPr>
      </w:pPr>
    </w:p>
    <w:p w14:paraId="72EA4C7C" w14:textId="77777777"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1852C3B" w14:textId="77777777" w:rsidR="00E966EC" w:rsidRPr="00E966EC" w:rsidRDefault="00E966EC" w:rsidP="00E966EC">
      <w:pPr>
        <w:jc w:val="both"/>
        <w:rPr>
          <w:b/>
          <w:sz w:val="22"/>
          <w:szCs w:val="22"/>
        </w:rPr>
      </w:pPr>
    </w:p>
    <w:p w14:paraId="0CFE9E97" w14:textId="77777777"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F16C174" w14:textId="77777777" w:rsidR="00E966EC" w:rsidRPr="00E966EC" w:rsidRDefault="00E966EC" w:rsidP="00E966EC">
      <w:pPr>
        <w:jc w:val="both"/>
        <w:rPr>
          <w:b/>
          <w:sz w:val="22"/>
          <w:szCs w:val="22"/>
        </w:rPr>
      </w:pPr>
    </w:p>
    <w:p w14:paraId="47083444" w14:textId="77777777"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0C9E63A" w14:textId="77777777" w:rsidR="00E966EC" w:rsidRDefault="00E966EC" w:rsidP="00E966EC">
      <w:pPr>
        <w:tabs>
          <w:tab w:val="left" w:pos="-1440"/>
        </w:tabs>
        <w:spacing w:line="480" w:lineRule="auto"/>
        <w:jc w:val="both"/>
        <w:rPr>
          <w:sz w:val="22"/>
        </w:rPr>
      </w:pPr>
    </w:p>
    <w:p w14:paraId="0B0CB284" w14:textId="0ACBE070" w:rsidR="002D0C7C" w:rsidRDefault="00186CA8"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commentRangeStart w:id="1"/>
      <w:r w:rsidR="00A7423D">
        <w:rPr>
          <w:sz w:val="22"/>
        </w:rPr>
        <w:t xml:space="preserve">On </w:t>
      </w:r>
      <w:r w:rsidR="003B4670">
        <w:rPr>
          <w:sz w:val="22"/>
        </w:rPr>
        <w:t xml:space="preserve">April 30, 2019, </w:t>
      </w:r>
      <w:r>
        <w:rPr>
          <w:sz w:val="22"/>
        </w:rPr>
        <w:t>ICE published a noti</w:t>
      </w:r>
      <w:r w:rsidR="00A7423D">
        <w:rPr>
          <w:sz w:val="22"/>
        </w:rPr>
        <w:t xml:space="preserve">ce in the Federal Register </w:t>
      </w:r>
      <w:r w:rsidR="00A7423D" w:rsidRPr="00F3451A">
        <w:rPr>
          <w:sz w:val="22"/>
        </w:rPr>
        <w:t xml:space="preserve">at </w:t>
      </w:r>
      <w:r w:rsidR="004F486B" w:rsidRPr="00F3451A">
        <w:rPr>
          <w:sz w:val="22"/>
        </w:rPr>
        <w:t>8</w:t>
      </w:r>
      <w:r w:rsidR="003B4670">
        <w:rPr>
          <w:sz w:val="22"/>
        </w:rPr>
        <w:t>4</w:t>
      </w:r>
      <w:r w:rsidR="00A7423D" w:rsidRPr="00F3451A">
        <w:rPr>
          <w:sz w:val="22"/>
        </w:rPr>
        <w:t xml:space="preserve"> FR </w:t>
      </w:r>
      <w:r w:rsidR="003B4670">
        <w:rPr>
          <w:sz w:val="22"/>
        </w:rPr>
        <w:t>18299</w:t>
      </w:r>
      <w:r>
        <w:rPr>
          <w:sz w:val="22"/>
        </w:rPr>
        <w:t>, soliciting public review and comment on the</w:t>
      </w:r>
      <w:r w:rsidR="003B4670">
        <w:rPr>
          <w:sz w:val="22"/>
        </w:rPr>
        <w:t xml:space="preserve"> </w:t>
      </w:r>
      <w:r>
        <w:rPr>
          <w:sz w:val="22"/>
        </w:rPr>
        <w:t xml:space="preserve"> information collection </w:t>
      </w:r>
      <w:r w:rsidR="003B4670">
        <w:rPr>
          <w:sz w:val="22"/>
        </w:rPr>
        <w:t xml:space="preserve">renewal </w:t>
      </w:r>
      <w:r>
        <w:rPr>
          <w:sz w:val="22"/>
        </w:rPr>
        <w:t>for a 60</w:t>
      </w:r>
      <w:r w:rsidR="003B4670">
        <w:rPr>
          <w:sz w:val="22"/>
        </w:rPr>
        <w:t>-</w:t>
      </w:r>
      <w:r>
        <w:rPr>
          <w:sz w:val="22"/>
        </w:rPr>
        <w:t>day period.  ICE receiv</w:t>
      </w:r>
      <w:r w:rsidR="00A7423D">
        <w:rPr>
          <w:sz w:val="22"/>
        </w:rPr>
        <w:t xml:space="preserve">ed </w:t>
      </w:r>
      <w:r w:rsidR="0059257E">
        <w:rPr>
          <w:sz w:val="22"/>
        </w:rPr>
        <w:t xml:space="preserve">questions from </w:t>
      </w:r>
      <w:r w:rsidR="003B4670">
        <w:rPr>
          <w:sz w:val="22"/>
        </w:rPr>
        <w:t>one</w:t>
      </w:r>
      <w:r w:rsidR="00A7423D">
        <w:rPr>
          <w:sz w:val="22"/>
        </w:rPr>
        <w:t xml:space="preserve"> comment</w:t>
      </w:r>
      <w:r w:rsidR="0059257E">
        <w:rPr>
          <w:sz w:val="22"/>
        </w:rPr>
        <w:t>er</w:t>
      </w:r>
      <w:r w:rsidR="00A7423D">
        <w:rPr>
          <w:sz w:val="22"/>
        </w:rPr>
        <w:t xml:space="preserve">. On </w:t>
      </w:r>
      <w:r w:rsidR="003B4670">
        <w:rPr>
          <w:sz w:val="22"/>
        </w:rPr>
        <w:t>July</w:t>
      </w:r>
      <w:r w:rsidR="00E067A2">
        <w:rPr>
          <w:sz w:val="22"/>
        </w:rPr>
        <w:t xml:space="preserve"> </w:t>
      </w:r>
      <w:r w:rsidR="003B4670">
        <w:rPr>
          <w:sz w:val="22"/>
        </w:rPr>
        <w:t>1</w:t>
      </w:r>
      <w:r w:rsidR="004F486B">
        <w:rPr>
          <w:sz w:val="22"/>
        </w:rPr>
        <w:t>, 201</w:t>
      </w:r>
      <w:r w:rsidR="003B4670">
        <w:rPr>
          <w:sz w:val="22"/>
        </w:rPr>
        <w:t>9</w:t>
      </w:r>
      <w:r>
        <w:rPr>
          <w:sz w:val="22"/>
        </w:rPr>
        <w:t>, ICE published a follow up noti</w:t>
      </w:r>
      <w:r w:rsidR="00A7423D">
        <w:rPr>
          <w:sz w:val="22"/>
        </w:rPr>
        <w:t xml:space="preserve">ce in the Federal Register at </w:t>
      </w:r>
      <w:r w:rsidR="004F486B" w:rsidRPr="00F3451A">
        <w:rPr>
          <w:sz w:val="22"/>
        </w:rPr>
        <w:t>8</w:t>
      </w:r>
      <w:r w:rsidR="003B4670">
        <w:rPr>
          <w:sz w:val="22"/>
        </w:rPr>
        <w:t>4</w:t>
      </w:r>
      <w:r w:rsidR="004F486B" w:rsidRPr="00F3451A">
        <w:rPr>
          <w:sz w:val="22"/>
        </w:rPr>
        <w:t xml:space="preserve"> FR </w:t>
      </w:r>
      <w:r w:rsidR="003B4670">
        <w:rPr>
          <w:sz w:val="22"/>
        </w:rPr>
        <w:t>18</w:t>
      </w:r>
      <w:r w:rsidR="00927E73">
        <w:rPr>
          <w:sz w:val="22"/>
        </w:rPr>
        <w:t>300</w:t>
      </w:r>
      <w:r>
        <w:rPr>
          <w:sz w:val="22"/>
        </w:rPr>
        <w:t>, soliciting public review and comment for an additional 30</w:t>
      </w:r>
      <w:r w:rsidR="003B4670">
        <w:rPr>
          <w:sz w:val="22"/>
        </w:rPr>
        <w:t>-</w:t>
      </w:r>
      <w:r>
        <w:rPr>
          <w:sz w:val="22"/>
        </w:rPr>
        <w:t>day period.</w:t>
      </w:r>
    </w:p>
    <w:p w14:paraId="7334A2D6" w14:textId="30A5555F" w:rsidR="002D0C7C" w:rsidRDefault="002D0C7C"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ICE received one comment in response to the Electronic Bonds Online Access 60-day notice.</w:t>
      </w:r>
    </w:p>
    <w:p w14:paraId="51C8D7F4" w14:textId="77777777" w:rsidR="0059257E" w:rsidRDefault="0059257E"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14:paraId="476181DC" w14:textId="1D829261"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COMMENT: Wh</w:t>
      </w:r>
      <w:r w:rsidRPr="007D006C">
        <w:rPr>
          <w:sz w:val="22"/>
        </w:rPr>
        <w:t>at is the source of the estimated annual number of responses (i.e., 60 responses)?</w:t>
      </w:r>
    </w:p>
    <w:p w14:paraId="02BFB309" w14:textId="4A6DEF58"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RESPONSE: </w:t>
      </w:r>
      <w:r w:rsidRPr="007D006C">
        <w:rPr>
          <w:sz w:val="22"/>
        </w:rPr>
        <w:t xml:space="preserve">This number was based on the current </w:t>
      </w:r>
      <w:r>
        <w:rPr>
          <w:sz w:val="22"/>
        </w:rPr>
        <w:t>number</w:t>
      </w:r>
      <w:r w:rsidRPr="007D006C">
        <w:rPr>
          <w:sz w:val="22"/>
        </w:rPr>
        <w:t xml:space="preserve"> of eB</w:t>
      </w:r>
      <w:r w:rsidR="00927E73">
        <w:rPr>
          <w:sz w:val="22"/>
        </w:rPr>
        <w:t>onds</w:t>
      </w:r>
      <w:r w:rsidRPr="007D006C">
        <w:rPr>
          <w:sz w:val="22"/>
        </w:rPr>
        <w:t xml:space="preserve"> user (agents and administrators) and the annual requirement to review and sign the rules of behavior.  We also consider the number of new users added to the program annually.  We currently have 54 eBONDS users and over the last 3 years </w:t>
      </w:r>
      <w:r>
        <w:rPr>
          <w:sz w:val="22"/>
        </w:rPr>
        <w:t>ICE</w:t>
      </w:r>
      <w:r w:rsidRPr="007D006C">
        <w:rPr>
          <w:sz w:val="22"/>
        </w:rPr>
        <w:t xml:space="preserve"> average</w:t>
      </w:r>
      <w:r>
        <w:rPr>
          <w:sz w:val="22"/>
        </w:rPr>
        <w:t>d</w:t>
      </w:r>
      <w:r w:rsidRPr="007D006C">
        <w:rPr>
          <w:sz w:val="22"/>
        </w:rPr>
        <w:t xml:space="preserve"> 5 new accounts </w:t>
      </w:r>
      <w:r>
        <w:rPr>
          <w:sz w:val="22"/>
        </w:rPr>
        <w:t>per year</w:t>
      </w:r>
      <w:r w:rsidRPr="007D006C">
        <w:rPr>
          <w:sz w:val="22"/>
        </w:rPr>
        <w:t xml:space="preserve">. </w:t>
      </w:r>
    </w:p>
    <w:p w14:paraId="0F441925" w14:textId="77777777"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14:paraId="42854EC0" w14:textId="142C4F77"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COMMENT: </w:t>
      </w:r>
      <w:r w:rsidRPr="007D006C">
        <w:rPr>
          <w:sz w:val="22"/>
        </w:rPr>
        <w:t>What is the source of the hourly burden estimate (i.e., 0.5 hours)?</w:t>
      </w:r>
    </w:p>
    <w:p w14:paraId="0F2AEFF9" w14:textId="48F5101C"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RESPONSE: </w:t>
      </w:r>
      <w:r w:rsidRPr="007D006C">
        <w:rPr>
          <w:sz w:val="22"/>
        </w:rPr>
        <w:t xml:space="preserve">This estimate </w:t>
      </w:r>
      <w:r>
        <w:rPr>
          <w:sz w:val="22"/>
        </w:rPr>
        <w:t>is</w:t>
      </w:r>
      <w:r w:rsidRPr="007D006C">
        <w:rPr>
          <w:sz w:val="22"/>
        </w:rPr>
        <w:t xml:space="preserve"> based on the amount of time it takes to review, update, and process the form.  </w:t>
      </w:r>
    </w:p>
    <w:p w14:paraId="7D44DD39" w14:textId="77777777"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14:paraId="55E7D5A2" w14:textId="5E026D82" w:rsidR="002D0C7C" w:rsidRPr="007D006C" w:rsidRDefault="002D0C7C"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59257E">
        <w:rPr>
          <w:sz w:val="22"/>
        </w:rPr>
        <w:t xml:space="preserve">COMMENT: </w:t>
      </w:r>
      <w:r w:rsidRPr="007D006C">
        <w:rPr>
          <w:sz w:val="22"/>
        </w:rPr>
        <w:t xml:space="preserve">How was the hourly burden estimated (approx. $75.17)? What sources were used? </w:t>
      </w:r>
    </w:p>
    <w:p w14:paraId="39FB807E" w14:textId="4EC20C67" w:rsidR="002D0C7C" w:rsidRPr="007D006C" w:rsidRDefault="0059257E" w:rsidP="007D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RESPONSE: </w:t>
      </w:r>
      <w:r w:rsidR="002D0C7C" w:rsidRPr="007D006C">
        <w:rPr>
          <w:sz w:val="22"/>
        </w:rPr>
        <w:t>Within our office we have GS 14 and GS 15 employees (all are in the step 8 area) who could process the form.  I just took an average of their hourly pay rate.  Source was the pay chart on the OPM website.</w:t>
      </w:r>
    </w:p>
    <w:p w14:paraId="6EF5B5F5" w14:textId="3D614FDC" w:rsidR="0024009B" w:rsidRDefault="00186CA8" w:rsidP="00AC46A9">
      <w:pPr>
        <w:tabs>
          <w:tab w:val="left" w:pos="-1440"/>
        </w:tabs>
        <w:spacing w:line="480" w:lineRule="auto"/>
        <w:ind w:left="720"/>
        <w:jc w:val="both"/>
        <w:rPr>
          <w:sz w:val="22"/>
        </w:rPr>
      </w:pPr>
      <w:r>
        <w:rPr>
          <w:sz w:val="22"/>
        </w:rPr>
        <w:t xml:space="preserve"> </w:t>
      </w:r>
      <w:commentRangeEnd w:id="1"/>
      <w:r w:rsidR="00D36666">
        <w:rPr>
          <w:rStyle w:val="CommentReference"/>
        </w:rPr>
        <w:commentReference w:id="1"/>
      </w:r>
    </w:p>
    <w:p w14:paraId="635258F6" w14:textId="77777777"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14:paraId="692BB101" w14:textId="77777777" w:rsidR="00AC46A9" w:rsidRDefault="00AC46A9" w:rsidP="00AC46A9">
      <w:pPr>
        <w:tabs>
          <w:tab w:val="left" w:pos="-1440"/>
        </w:tabs>
        <w:spacing w:line="480" w:lineRule="auto"/>
        <w:jc w:val="both"/>
        <w:rPr>
          <w:sz w:val="22"/>
        </w:rPr>
      </w:pPr>
    </w:p>
    <w:p w14:paraId="4C3252D2" w14:textId="77777777" w:rsidR="00631BC1" w:rsidRDefault="00AC46A9" w:rsidP="00AC46A9">
      <w:pPr>
        <w:tabs>
          <w:tab w:val="left" w:pos="-1440"/>
        </w:tabs>
        <w:spacing w:line="480" w:lineRule="auto"/>
        <w:jc w:val="both"/>
        <w:rPr>
          <w:sz w:val="22"/>
        </w:rPr>
      </w:pPr>
      <w:r>
        <w:rPr>
          <w:sz w:val="22"/>
        </w:rPr>
        <w:tab/>
      </w:r>
      <w:r w:rsidR="00631BC1">
        <w:rPr>
          <w:sz w:val="22"/>
        </w:rPr>
        <w:t>ICE does not provide payment or gifts to respondents in exchange for a benefit sought.</w:t>
      </w:r>
    </w:p>
    <w:p w14:paraId="41A02BDD" w14:textId="77777777" w:rsid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14:paraId="38BF9481" w14:textId="77777777" w:rsidR="0024009B" w:rsidRPr="00AC46A9" w:rsidRDefault="0024009B" w:rsidP="00AC46A9">
      <w:pPr>
        <w:tabs>
          <w:tab w:val="left" w:pos="-1440"/>
        </w:tabs>
        <w:ind w:left="720" w:hanging="720"/>
        <w:jc w:val="both"/>
        <w:rPr>
          <w:b/>
          <w:sz w:val="22"/>
          <w:szCs w:val="22"/>
        </w:rPr>
      </w:pPr>
    </w:p>
    <w:p w14:paraId="6DEEB48C" w14:textId="59418C67" w:rsidR="00EB4B77" w:rsidRDefault="005D7BF0" w:rsidP="005D7BF0">
      <w:pPr>
        <w:tabs>
          <w:tab w:val="left" w:pos="-1440"/>
        </w:tabs>
        <w:spacing w:line="360" w:lineRule="auto"/>
        <w:ind w:left="720"/>
        <w:jc w:val="both"/>
        <w:rPr>
          <w:sz w:val="22"/>
        </w:rPr>
      </w:pPr>
      <w:r>
        <w:rPr>
          <w:sz w:val="22"/>
        </w:rPr>
        <w:t xml:space="preserve">The collection of this data </w:t>
      </w:r>
      <w:r w:rsidR="00EB4B77">
        <w:rPr>
          <w:sz w:val="22"/>
        </w:rPr>
        <w:t xml:space="preserve">has coverage under the following PIAs and SORNs; </w:t>
      </w:r>
    </w:p>
    <w:p w14:paraId="77909474" w14:textId="09041238" w:rsidR="00EB4B77" w:rsidRPr="007D006C" w:rsidRDefault="00EB4B77" w:rsidP="007D006C">
      <w:pPr>
        <w:pStyle w:val="ListParagraph"/>
        <w:numPr>
          <w:ilvl w:val="1"/>
          <w:numId w:val="11"/>
        </w:numPr>
        <w:tabs>
          <w:tab w:val="left" w:pos="-1440"/>
        </w:tabs>
        <w:spacing w:line="360" w:lineRule="auto"/>
        <w:jc w:val="both"/>
        <w:rPr>
          <w:sz w:val="22"/>
        </w:rPr>
      </w:pPr>
      <w:r w:rsidRPr="007D006C">
        <w:rPr>
          <w:sz w:val="22"/>
        </w:rPr>
        <w:t xml:space="preserve">DHS/ICE-004 Bond Management Information System (BMIS) SORN </w:t>
      </w:r>
    </w:p>
    <w:p w14:paraId="7D74B292" w14:textId="77777777" w:rsidR="005A2E5A" w:rsidRPr="007D006C" w:rsidRDefault="00EB4B77" w:rsidP="007D006C">
      <w:pPr>
        <w:pStyle w:val="ListParagraph"/>
        <w:numPr>
          <w:ilvl w:val="1"/>
          <w:numId w:val="11"/>
        </w:numPr>
        <w:tabs>
          <w:tab w:val="left" w:pos="-1440"/>
        </w:tabs>
        <w:spacing w:line="360" w:lineRule="auto"/>
        <w:jc w:val="both"/>
        <w:rPr>
          <w:sz w:val="22"/>
        </w:rPr>
      </w:pPr>
      <w:r w:rsidRPr="007D006C">
        <w:rPr>
          <w:sz w:val="22"/>
        </w:rPr>
        <w:t xml:space="preserve">DHS/ICE 011 – DHS/ICE–011 Criminal Arrest Records and Immigration Enforcement Records </w:t>
      </w:r>
      <w:r w:rsidR="005A2E5A" w:rsidRPr="007D006C">
        <w:rPr>
          <w:sz w:val="22"/>
        </w:rPr>
        <w:t>SORN</w:t>
      </w:r>
    </w:p>
    <w:p w14:paraId="6312D965" w14:textId="6907248E" w:rsidR="005A2E5A" w:rsidRPr="007D006C" w:rsidRDefault="00EB4B77" w:rsidP="007D006C">
      <w:pPr>
        <w:pStyle w:val="ListParagraph"/>
        <w:numPr>
          <w:ilvl w:val="1"/>
          <w:numId w:val="11"/>
        </w:numPr>
        <w:tabs>
          <w:tab w:val="left" w:pos="-1440"/>
        </w:tabs>
        <w:spacing w:line="360" w:lineRule="auto"/>
        <w:jc w:val="both"/>
        <w:rPr>
          <w:sz w:val="22"/>
        </w:rPr>
      </w:pPr>
      <w:r w:rsidRPr="007D006C">
        <w:rPr>
          <w:sz w:val="22"/>
        </w:rPr>
        <w:t>DHS/ICE/PIA – 008 eB</w:t>
      </w:r>
      <w:r w:rsidR="00E872FA">
        <w:rPr>
          <w:sz w:val="22"/>
        </w:rPr>
        <w:t>onds</w:t>
      </w:r>
      <w:r w:rsidRPr="007D006C">
        <w:rPr>
          <w:sz w:val="22"/>
        </w:rPr>
        <w:t xml:space="preserve"> Online System, and subsequent updates </w:t>
      </w:r>
    </w:p>
    <w:p w14:paraId="16A62B6B" w14:textId="77777777" w:rsidR="005A2E5A" w:rsidRPr="007D006C" w:rsidRDefault="00EB4B77" w:rsidP="007D006C">
      <w:pPr>
        <w:pStyle w:val="ListParagraph"/>
        <w:numPr>
          <w:ilvl w:val="1"/>
          <w:numId w:val="11"/>
        </w:numPr>
        <w:tabs>
          <w:tab w:val="left" w:pos="-1440"/>
        </w:tabs>
        <w:spacing w:line="360" w:lineRule="auto"/>
        <w:jc w:val="both"/>
        <w:rPr>
          <w:sz w:val="22"/>
        </w:rPr>
      </w:pPr>
      <w:r w:rsidRPr="007D006C">
        <w:rPr>
          <w:sz w:val="22"/>
        </w:rPr>
        <w:t>DHS/ICE/PIA-005 Bond Management Information System, and subsequent updates</w:t>
      </w:r>
    </w:p>
    <w:p w14:paraId="45A96212" w14:textId="7FDC611D" w:rsidR="00EB4B77" w:rsidRPr="007D006C" w:rsidRDefault="00EB4B77" w:rsidP="007D006C">
      <w:pPr>
        <w:pStyle w:val="ListParagraph"/>
        <w:numPr>
          <w:ilvl w:val="1"/>
          <w:numId w:val="11"/>
        </w:numPr>
        <w:tabs>
          <w:tab w:val="left" w:pos="-1440"/>
        </w:tabs>
        <w:spacing w:line="360" w:lineRule="auto"/>
        <w:jc w:val="both"/>
        <w:rPr>
          <w:sz w:val="22"/>
        </w:rPr>
      </w:pPr>
      <w:r w:rsidRPr="007D006C">
        <w:rPr>
          <w:sz w:val="22"/>
        </w:rPr>
        <w:t>DHS/ICE-PIA-015 Enforcement Integrated Database (Updates (b) and (d) specifically</w:t>
      </w:r>
    </w:p>
    <w:p w14:paraId="24145AD4" w14:textId="77777777" w:rsidR="0024009B" w:rsidRDefault="0024009B" w:rsidP="00AC46A9">
      <w:pPr>
        <w:tabs>
          <w:tab w:val="left" w:pos="-1440"/>
        </w:tabs>
        <w:ind w:left="720" w:hanging="720"/>
        <w:jc w:val="both"/>
        <w:rPr>
          <w:b/>
          <w:sz w:val="22"/>
          <w:szCs w:val="22"/>
        </w:rPr>
      </w:pPr>
    </w:p>
    <w:p w14:paraId="3BED3821" w14:textId="77777777"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168F1DE9" w14:textId="77777777" w:rsidR="0024009B" w:rsidRDefault="00AC46A9" w:rsidP="0024009B">
      <w:pPr>
        <w:tabs>
          <w:tab w:val="left" w:pos="-1440"/>
        </w:tabs>
        <w:spacing w:line="360" w:lineRule="auto"/>
        <w:jc w:val="both"/>
        <w:rPr>
          <w:sz w:val="22"/>
        </w:rPr>
      </w:pPr>
      <w:r>
        <w:rPr>
          <w:sz w:val="22"/>
        </w:rPr>
        <w:tab/>
      </w:r>
    </w:p>
    <w:p w14:paraId="0B7B37E8" w14:textId="77777777" w:rsidR="00631BC1" w:rsidRDefault="0024009B" w:rsidP="0024009B">
      <w:pPr>
        <w:tabs>
          <w:tab w:val="left" w:pos="-1440"/>
        </w:tabs>
        <w:spacing w:line="360" w:lineRule="auto"/>
        <w:jc w:val="both"/>
        <w:rPr>
          <w:sz w:val="22"/>
        </w:rPr>
      </w:pPr>
      <w:r>
        <w:rPr>
          <w:sz w:val="22"/>
        </w:rPr>
        <w:tab/>
      </w:r>
      <w:r w:rsidR="00631BC1">
        <w:rPr>
          <w:sz w:val="22"/>
        </w:rPr>
        <w:t>There are no questions of a sensitive nature.</w:t>
      </w:r>
    </w:p>
    <w:p w14:paraId="111C84F8" w14:textId="77777777" w:rsidR="0024009B" w:rsidRDefault="0024009B" w:rsidP="0024009B">
      <w:pPr>
        <w:tabs>
          <w:tab w:val="left" w:pos="-1440"/>
        </w:tabs>
        <w:spacing w:line="360" w:lineRule="auto"/>
        <w:jc w:val="both"/>
        <w:rPr>
          <w:sz w:val="22"/>
        </w:rPr>
      </w:pPr>
    </w:p>
    <w:p w14:paraId="0E25CEBA" w14:textId="77777777" w:rsidR="00AC46A9" w:rsidRPr="00AC46A9" w:rsidRDefault="00AC46A9" w:rsidP="00AC46A9">
      <w:pPr>
        <w:tabs>
          <w:tab w:val="left" w:pos="-1440"/>
        </w:tabs>
        <w:ind w:left="720" w:hanging="720"/>
        <w:jc w:val="both"/>
        <w:rPr>
          <w:b/>
          <w:sz w:val="22"/>
          <w:szCs w:val="22"/>
        </w:rPr>
      </w:pPr>
      <w:r w:rsidRPr="004F486B">
        <w:rPr>
          <w:b/>
          <w:sz w:val="22"/>
          <w:szCs w:val="22"/>
        </w:rPr>
        <w:t>12.</w:t>
      </w:r>
      <w:r w:rsidRPr="00AC46A9">
        <w:rPr>
          <w:b/>
          <w:sz w:val="22"/>
          <w:szCs w:val="22"/>
        </w:rPr>
        <w:tab/>
        <w:t>Provide estimates of the hour burden of the collection of information.  The statement should:</w:t>
      </w:r>
    </w:p>
    <w:p w14:paraId="5B7864A0" w14:textId="77777777" w:rsidR="00AC46A9" w:rsidRPr="00AC46A9" w:rsidRDefault="00AC46A9" w:rsidP="00AC46A9">
      <w:pPr>
        <w:tabs>
          <w:tab w:val="left" w:pos="-1440"/>
        </w:tabs>
        <w:ind w:left="720" w:hanging="720"/>
        <w:jc w:val="both"/>
        <w:rPr>
          <w:b/>
          <w:sz w:val="22"/>
          <w:szCs w:val="22"/>
        </w:rPr>
        <w:sectPr w:rsidR="00AC46A9" w:rsidRPr="00AC46A9">
          <w:footerReference w:type="even" r:id="rId10"/>
          <w:footerReference w:type="default" r:id="rId11"/>
          <w:type w:val="continuous"/>
          <w:pgSz w:w="12240" w:h="15840"/>
          <w:pgMar w:top="1440" w:right="1440" w:bottom="1440" w:left="1440" w:header="1440" w:footer="1440" w:gutter="0"/>
          <w:cols w:space="720"/>
          <w:noEndnote/>
        </w:sectPr>
      </w:pPr>
    </w:p>
    <w:p w14:paraId="34B92AAA" w14:textId="77777777"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EA67BBF" w14:textId="77777777" w:rsidR="00AC46A9" w:rsidRPr="00AC46A9" w:rsidRDefault="00AC46A9" w:rsidP="00AC46A9">
      <w:pPr>
        <w:jc w:val="both"/>
        <w:rPr>
          <w:b/>
          <w:sz w:val="22"/>
          <w:szCs w:val="22"/>
        </w:rPr>
      </w:pPr>
    </w:p>
    <w:p w14:paraId="13E62CE0" w14:textId="77777777"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14:paraId="005442BA" w14:textId="77777777" w:rsidR="00AC46A9" w:rsidRPr="00AC46A9" w:rsidRDefault="00AC46A9" w:rsidP="00AC46A9">
      <w:pPr>
        <w:jc w:val="both"/>
        <w:rPr>
          <w:b/>
          <w:sz w:val="22"/>
          <w:szCs w:val="22"/>
        </w:rPr>
      </w:pPr>
    </w:p>
    <w:p w14:paraId="3B9099A2" w14:textId="77777777"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562C14F" w14:textId="77777777" w:rsidR="00AC46A9" w:rsidRDefault="00AC46A9">
      <w:pPr>
        <w:tabs>
          <w:tab w:val="left" w:pos="-1440"/>
        </w:tabs>
        <w:spacing w:line="480" w:lineRule="auto"/>
        <w:ind w:left="720" w:hanging="720"/>
        <w:jc w:val="both"/>
        <w:rPr>
          <w:sz w:val="22"/>
        </w:rPr>
      </w:pPr>
    </w:p>
    <w:p w14:paraId="289EB351" w14:textId="77777777" w:rsidR="004B639A" w:rsidRDefault="00631BC1" w:rsidP="004B639A">
      <w:pPr>
        <w:tabs>
          <w:tab w:val="left" w:pos="-1440"/>
        </w:tabs>
        <w:spacing w:line="480" w:lineRule="auto"/>
        <w:ind w:left="720" w:hanging="720"/>
        <w:jc w:val="both"/>
        <w:rPr>
          <w:sz w:val="22"/>
        </w:rPr>
      </w:pPr>
      <w:r>
        <w:rPr>
          <w:sz w:val="22"/>
        </w:rPr>
        <w:tab/>
      </w:r>
      <w:r w:rsidRPr="00F3451A">
        <w:rPr>
          <w:b/>
          <w:sz w:val="22"/>
          <w:u w:val="single"/>
        </w:rPr>
        <w:t>Annual Reporting Burden</w:t>
      </w:r>
      <w:r w:rsidR="004B639A">
        <w:rPr>
          <w:sz w:val="22"/>
        </w:rPr>
        <w:tab/>
      </w:r>
      <w:r w:rsidR="004B639A">
        <w:rPr>
          <w:sz w:val="22"/>
        </w:rPr>
        <w:tab/>
      </w:r>
    </w:p>
    <w:p w14:paraId="6B51E611" w14:textId="04CB19BD" w:rsidR="00631BC1" w:rsidRPr="00F3451A" w:rsidRDefault="004B639A" w:rsidP="00BD080B">
      <w:pPr>
        <w:tabs>
          <w:tab w:val="left" w:pos="-1440"/>
        </w:tabs>
        <w:spacing w:line="360" w:lineRule="auto"/>
        <w:ind w:left="720" w:hanging="720"/>
        <w:jc w:val="both"/>
        <w:rPr>
          <w:sz w:val="22"/>
        </w:rPr>
      </w:pPr>
      <w:r>
        <w:rPr>
          <w:sz w:val="22"/>
        </w:rPr>
        <w:tab/>
      </w:r>
      <w:r w:rsidR="00631BC1" w:rsidRPr="00F3451A">
        <w:rPr>
          <w:sz w:val="22"/>
        </w:rPr>
        <w:t>a.</w:t>
      </w:r>
      <w:r w:rsidR="00631BC1" w:rsidRPr="00F3451A">
        <w:rPr>
          <w:sz w:val="22"/>
        </w:rPr>
        <w:tab/>
        <w:t>N</w:t>
      </w:r>
      <w:r>
        <w:rPr>
          <w:sz w:val="22"/>
        </w:rPr>
        <w:t>umber</w:t>
      </w:r>
      <w:r w:rsidR="00F3451A">
        <w:rPr>
          <w:sz w:val="22"/>
        </w:rPr>
        <w:t xml:space="preserve"> </w:t>
      </w:r>
      <w:r w:rsidR="00631BC1" w:rsidRPr="00F3451A">
        <w:rPr>
          <w:sz w:val="22"/>
        </w:rPr>
        <w:t>of Respondents</w:t>
      </w:r>
      <w:r w:rsidR="00631BC1" w:rsidRPr="00F3451A">
        <w:rPr>
          <w:sz w:val="22"/>
        </w:rPr>
        <w:tab/>
      </w:r>
      <w:r w:rsidR="002144FE" w:rsidRPr="00F3451A">
        <w:rPr>
          <w:sz w:val="22"/>
        </w:rPr>
        <w:t xml:space="preserve"> (Rules of Behavior Agreement)</w:t>
      </w:r>
      <w:r w:rsidR="00631BC1" w:rsidRPr="00F3451A">
        <w:rPr>
          <w:sz w:val="22"/>
        </w:rPr>
        <w:t xml:space="preserve">     </w:t>
      </w:r>
      <w:r w:rsidR="00950E89" w:rsidRPr="00F3451A">
        <w:rPr>
          <w:sz w:val="22"/>
        </w:rPr>
        <w:tab/>
      </w:r>
      <w:r>
        <w:rPr>
          <w:sz w:val="22"/>
        </w:rPr>
        <w:tab/>
      </w:r>
      <w:r w:rsidR="00F36356" w:rsidRPr="00F3451A">
        <w:rPr>
          <w:sz w:val="22"/>
        </w:rPr>
        <w:t>30</w:t>
      </w:r>
    </w:p>
    <w:p w14:paraId="3FF40A7E" w14:textId="77777777" w:rsidR="002144FE" w:rsidRPr="00F3451A" w:rsidRDefault="002144FE" w:rsidP="00BD080B">
      <w:pPr>
        <w:tabs>
          <w:tab w:val="left" w:pos="-1440"/>
        </w:tabs>
        <w:spacing w:line="360" w:lineRule="auto"/>
        <w:ind w:left="1440" w:hanging="720"/>
        <w:jc w:val="both"/>
        <w:rPr>
          <w:sz w:val="22"/>
        </w:rPr>
      </w:pPr>
      <w:r w:rsidRPr="00F3451A">
        <w:rPr>
          <w:sz w:val="22"/>
        </w:rPr>
        <w:t>b.</w:t>
      </w:r>
      <w:r w:rsidRPr="00F3451A">
        <w:rPr>
          <w:sz w:val="22"/>
        </w:rPr>
        <w:tab/>
        <w:t>N</w:t>
      </w:r>
      <w:r w:rsidR="004B639A">
        <w:rPr>
          <w:sz w:val="22"/>
        </w:rPr>
        <w:t xml:space="preserve">umber </w:t>
      </w:r>
      <w:r w:rsidRPr="00F3451A">
        <w:rPr>
          <w:sz w:val="22"/>
        </w:rPr>
        <w:t>of Respondents (Access Application and Agreement)</w:t>
      </w:r>
      <w:r w:rsidR="00F3451A">
        <w:rPr>
          <w:sz w:val="22"/>
        </w:rPr>
        <w:tab/>
      </w:r>
      <w:r w:rsidR="00F3451A">
        <w:rPr>
          <w:sz w:val="22"/>
        </w:rPr>
        <w:tab/>
      </w:r>
      <w:r w:rsidR="00F36356" w:rsidRPr="00F3451A">
        <w:rPr>
          <w:sz w:val="22"/>
        </w:rPr>
        <w:t>30</w:t>
      </w:r>
    </w:p>
    <w:p w14:paraId="10436868" w14:textId="77777777" w:rsidR="00631BC1" w:rsidRPr="00F3451A" w:rsidRDefault="002144FE" w:rsidP="00BD080B">
      <w:pPr>
        <w:tabs>
          <w:tab w:val="left" w:pos="-1440"/>
        </w:tabs>
        <w:spacing w:line="360" w:lineRule="auto"/>
        <w:ind w:left="1440" w:hanging="720"/>
        <w:jc w:val="both"/>
        <w:rPr>
          <w:sz w:val="22"/>
        </w:rPr>
      </w:pPr>
      <w:r w:rsidRPr="00F3451A">
        <w:rPr>
          <w:sz w:val="22"/>
        </w:rPr>
        <w:t>c</w:t>
      </w:r>
      <w:r w:rsidR="00631BC1" w:rsidRPr="00F3451A">
        <w:rPr>
          <w:sz w:val="22"/>
        </w:rPr>
        <w:t>.</w:t>
      </w:r>
      <w:r w:rsidR="00631BC1" w:rsidRPr="00F3451A">
        <w:rPr>
          <w:sz w:val="22"/>
        </w:rPr>
        <w:tab/>
        <w:t>Number of Responses per each Respondent</w:t>
      </w:r>
      <w:r w:rsidR="00631BC1" w:rsidRPr="00F3451A">
        <w:rPr>
          <w:sz w:val="22"/>
        </w:rPr>
        <w:tab/>
        <w:t xml:space="preserve">               </w:t>
      </w:r>
      <w:r w:rsidRPr="00F3451A">
        <w:rPr>
          <w:sz w:val="22"/>
        </w:rPr>
        <w:tab/>
      </w:r>
      <w:r w:rsidR="00631BC1" w:rsidRPr="00F3451A">
        <w:rPr>
          <w:sz w:val="22"/>
        </w:rPr>
        <w:t xml:space="preserve"> </w:t>
      </w:r>
      <w:r w:rsidR="004B639A">
        <w:rPr>
          <w:sz w:val="22"/>
        </w:rPr>
        <w:tab/>
      </w:r>
      <w:r w:rsidR="00631BC1" w:rsidRPr="00F3451A">
        <w:rPr>
          <w:sz w:val="22"/>
        </w:rPr>
        <w:t>1</w:t>
      </w:r>
    </w:p>
    <w:p w14:paraId="05090F17" w14:textId="77777777" w:rsidR="00631BC1" w:rsidRPr="00F3451A" w:rsidRDefault="002144FE" w:rsidP="00BD080B">
      <w:pPr>
        <w:tabs>
          <w:tab w:val="left" w:pos="-1440"/>
        </w:tabs>
        <w:spacing w:line="360" w:lineRule="auto"/>
        <w:ind w:left="1440" w:hanging="720"/>
        <w:jc w:val="both"/>
        <w:rPr>
          <w:sz w:val="22"/>
        </w:rPr>
      </w:pPr>
      <w:r w:rsidRPr="00F3451A">
        <w:rPr>
          <w:sz w:val="22"/>
        </w:rPr>
        <w:t>d</w:t>
      </w:r>
      <w:r w:rsidR="00631BC1" w:rsidRPr="00F3451A">
        <w:rPr>
          <w:sz w:val="22"/>
        </w:rPr>
        <w:t>.</w:t>
      </w:r>
      <w:r w:rsidR="00631BC1" w:rsidRPr="00F3451A">
        <w:rPr>
          <w:sz w:val="22"/>
        </w:rPr>
        <w:tab/>
        <w:t>Total Annual Responses</w:t>
      </w:r>
      <w:r w:rsidR="00631BC1" w:rsidRPr="00F3451A">
        <w:rPr>
          <w:sz w:val="22"/>
        </w:rPr>
        <w:tab/>
      </w:r>
      <w:r w:rsidR="00631BC1" w:rsidRPr="00F3451A">
        <w:rPr>
          <w:sz w:val="22"/>
        </w:rPr>
        <w:tab/>
      </w:r>
      <w:r w:rsidR="00631BC1" w:rsidRPr="00F3451A">
        <w:rPr>
          <w:sz w:val="22"/>
        </w:rPr>
        <w:tab/>
      </w:r>
      <w:r w:rsidR="00631BC1" w:rsidRPr="00F3451A">
        <w:rPr>
          <w:sz w:val="22"/>
        </w:rPr>
        <w:tab/>
        <w:t xml:space="preserve">        </w:t>
      </w:r>
      <w:r w:rsidR="00950E89" w:rsidRPr="00F3451A">
        <w:rPr>
          <w:sz w:val="22"/>
        </w:rPr>
        <w:tab/>
      </w:r>
      <w:r w:rsidRPr="00F3451A">
        <w:rPr>
          <w:sz w:val="22"/>
        </w:rPr>
        <w:tab/>
      </w:r>
      <w:r w:rsidR="004B639A">
        <w:rPr>
          <w:sz w:val="22"/>
        </w:rPr>
        <w:tab/>
      </w:r>
      <w:r w:rsidR="00F36356" w:rsidRPr="00F3451A">
        <w:rPr>
          <w:sz w:val="22"/>
        </w:rPr>
        <w:t>60</w:t>
      </w:r>
    </w:p>
    <w:p w14:paraId="47948666" w14:textId="77777777" w:rsidR="00631BC1" w:rsidRPr="00F3451A" w:rsidRDefault="002144FE" w:rsidP="00BD080B">
      <w:pPr>
        <w:tabs>
          <w:tab w:val="left" w:pos="-1440"/>
        </w:tabs>
        <w:spacing w:line="360" w:lineRule="auto"/>
        <w:ind w:left="1440" w:hanging="720"/>
        <w:jc w:val="both"/>
        <w:rPr>
          <w:sz w:val="22"/>
        </w:rPr>
      </w:pPr>
      <w:r w:rsidRPr="00F3451A">
        <w:rPr>
          <w:sz w:val="22"/>
        </w:rPr>
        <w:t>e</w:t>
      </w:r>
      <w:r w:rsidR="00631BC1" w:rsidRPr="00F3451A">
        <w:rPr>
          <w:sz w:val="22"/>
        </w:rPr>
        <w:t>.</w:t>
      </w:r>
      <w:r w:rsidR="00631BC1" w:rsidRPr="00F3451A">
        <w:rPr>
          <w:sz w:val="22"/>
        </w:rPr>
        <w:tab/>
        <w:t>Hours per Response</w:t>
      </w:r>
      <w:r w:rsidR="00631BC1" w:rsidRPr="00F3451A">
        <w:rPr>
          <w:sz w:val="22"/>
        </w:rPr>
        <w:tab/>
      </w:r>
      <w:r w:rsidR="00631BC1" w:rsidRPr="00F3451A">
        <w:rPr>
          <w:sz w:val="22"/>
        </w:rPr>
        <w:tab/>
      </w:r>
      <w:r w:rsidR="00631BC1" w:rsidRPr="00F3451A">
        <w:rPr>
          <w:sz w:val="22"/>
        </w:rPr>
        <w:tab/>
        <w:t xml:space="preserve">                           </w:t>
      </w:r>
      <w:r w:rsidRPr="00F3451A">
        <w:rPr>
          <w:sz w:val="22"/>
        </w:rPr>
        <w:tab/>
      </w:r>
      <w:r w:rsidR="004B639A">
        <w:rPr>
          <w:sz w:val="22"/>
        </w:rPr>
        <w:tab/>
      </w:r>
      <w:r w:rsidR="00631BC1" w:rsidRPr="00F3451A">
        <w:rPr>
          <w:sz w:val="22"/>
        </w:rPr>
        <w:t>.5</w:t>
      </w:r>
      <w:r w:rsidR="00186CA8" w:rsidRPr="00F3451A">
        <w:rPr>
          <w:sz w:val="22"/>
        </w:rPr>
        <w:t xml:space="preserve"> </w:t>
      </w:r>
      <w:r w:rsidR="00F3451A">
        <w:rPr>
          <w:sz w:val="22"/>
        </w:rPr>
        <w:t>h</w:t>
      </w:r>
      <w:r w:rsidR="00186CA8" w:rsidRPr="00F3451A">
        <w:rPr>
          <w:sz w:val="22"/>
        </w:rPr>
        <w:t>rs. (30 min.)</w:t>
      </w:r>
    </w:p>
    <w:p w14:paraId="27F4D4DE" w14:textId="77777777" w:rsidR="00631BC1" w:rsidRPr="00F3451A" w:rsidRDefault="002144FE" w:rsidP="00BD080B">
      <w:pPr>
        <w:tabs>
          <w:tab w:val="left" w:pos="-1440"/>
        </w:tabs>
        <w:spacing w:line="360" w:lineRule="auto"/>
        <w:ind w:left="1440" w:hanging="720"/>
        <w:jc w:val="both"/>
        <w:rPr>
          <w:sz w:val="22"/>
        </w:rPr>
      </w:pPr>
      <w:r w:rsidRPr="00F3451A">
        <w:rPr>
          <w:sz w:val="22"/>
        </w:rPr>
        <w:t>f</w:t>
      </w:r>
      <w:r w:rsidR="00631BC1" w:rsidRPr="00F3451A">
        <w:rPr>
          <w:sz w:val="22"/>
        </w:rPr>
        <w:t>.</w:t>
      </w:r>
      <w:r w:rsidR="00631BC1" w:rsidRPr="00F3451A">
        <w:rPr>
          <w:sz w:val="22"/>
        </w:rPr>
        <w:tab/>
        <w:t>Total Annual Reporting Burden</w:t>
      </w:r>
      <w:r w:rsidR="00631BC1" w:rsidRPr="00F3451A">
        <w:rPr>
          <w:sz w:val="22"/>
        </w:rPr>
        <w:tab/>
      </w:r>
      <w:r w:rsidR="00631BC1" w:rsidRPr="00F3451A">
        <w:rPr>
          <w:sz w:val="22"/>
        </w:rPr>
        <w:tab/>
      </w:r>
      <w:r w:rsidR="00631BC1" w:rsidRPr="00F3451A">
        <w:rPr>
          <w:sz w:val="22"/>
        </w:rPr>
        <w:tab/>
        <w:t xml:space="preserve">        </w:t>
      </w:r>
      <w:r w:rsidR="00950E89" w:rsidRPr="00F3451A">
        <w:rPr>
          <w:sz w:val="22"/>
        </w:rPr>
        <w:tab/>
      </w:r>
      <w:r w:rsidRPr="00F3451A">
        <w:rPr>
          <w:sz w:val="22"/>
        </w:rPr>
        <w:tab/>
      </w:r>
      <w:r w:rsidR="004B639A">
        <w:rPr>
          <w:sz w:val="22"/>
        </w:rPr>
        <w:tab/>
      </w:r>
      <w:r w:rsidR="00F36356" w:rsidRPr="00F3451A">
        <w:rPr>
          <w:sz w:val="22"/>
        </w:rPr>
        <w:t>30</w:t>
      </w:r>
    </w:p>
    <w:p w14:paraId="76970C02" w14:textId="77777777" w:rsidR="00631BC1" w:rsidRPr="00F3451A" w:rsidRDefault="00631BC1" w:rsidP="00BD080B">
      <w:pPr>
        <w:tabs>
          <w:tab w:val="left" w:pos="-1440"/>
        </w:tabs>
        <w:spacing w:line="360" w:lineRule="auto"/>
        <w:ind w:left="1440" w:hanging="720"/>
        <w:jc w:val="both"/>
        <w:rPr>
          <w:sz w:val="22"/>
        </w:rPr>
      </w:pPr>
      <w:r w:rsidRPr="00F3451A">
        <w:rPr>
          <w:sz w:val="22"/>
        </w:rPr>
        <w:tab/>
      </w:r>
      <w:r w:rsidRPr="00F3451A">
        <w:rPr>
          <w:sz w:val="22"/>
        </w:rPr>
        <w:tab/>
        <w:t xml:space="preserve">  </w:t>
      </w:r>
    </w:p>
    <w:p w14:paraId="1BB48DE2" w14:textId="77777777" w:rsidR="00631BC1" w:rsidRPr="00F3451A" w:rsidRDefault="00631BC1" w:rsidP="00BD080B">
      <w:pPr>
        <w:pStyle w:val="Heading1"/>
        <w:spacing w:line="360" w:lineRule="auto"/>
        <w:rPr>
          <w:sz w:val="22"/>
        </w:rPr>
      </w:pPr>
      <w:r w:rsidRPr="00F3451A">
        <w:rPr>
          <w:sz w:val="22"/>
        </w:rPr>
        <w:t>Annual Reporting Burden</w:t>
      </w:r>
    </w:p>
    <w:p w14:paraId="78B3D2F7" w14:textId="52125A70" w:rsidR="00631BC1" w:rsidRPr="00F3451A" w:rsidRDefault="00631BC1" w:rsidP="00BD080B">
      <w:pPr>
        <w:pStyle w:val="Heading1"/>
        <w:spacing w:line="360" w:lineRule="auto"/>
        <w:rPr>
          <w:sz w:val="22"/>
        </w:rPr>
      </w:pPr>
      <w:r w:rsidRPr="00F3451A">
        <w:rPr>
          <w:sz w:val="22"/>
        </w:rPr>
        <w:t xml:space="preserve">The total annual reporting burden is </w:t>
      </w:r>
      <w:r w:rsidR="000466D9" w:rsidRPr="00F3451A">
        <w:rPr>
          <w:sz w:val="22"/>
        </w:rPr>
        <w:t>30</w:t>
      </w:r>
      <w:r w:rsidRPr="00F3451A">
        <w:rPr>
          <w:sz w:val="22"/>
        </w:rPr>
        <w:t>.</w:t>
      </w:r>
      <w:r w:rsidRPr="00F3451A">
        <w:rPr>
          <w:b w:val="0"/>
          <w:sz w:val="22"/>
        </w:rPr>
        <w:t xml:space="preserve">  This figure was derived by multiplying the number of respondents (</w:t>
      </w:r>
      <w:r w:rsidR="00F36356" w:rsidRPr="00F3451A">
        <w:rPr>
          <w:b w:val="0"/>
          <w:sz w:val="22"/>
        </w:rPr>
        <w:t>60</w:t>
      </w:r>
      <w:r w:rsidRPr="00F3451A">
        <w:rPr>
          <w:b w:val="0"/>
          <w:sz w:val="22"/>
        </w:rPr>
        <w:t xml:space="preserve">) by the frequency of response (1) by </w:t>
      </w:r>
      <w:r w:rsidR="00326B34">
        <w:rPr>
          <w:b w:val="0"/>
          <w:sz w:val="22"/>
        </w:rPr>
        <w:t>(</w:t>
      </w:r>
      <w:r w:rsidR="00A55045">
        <w:rPr>
          <w:b w:val="0"/>
          <w:sz w:val="22"/>
        </w:rPr>
        <w:t>0</w:t>
      </w:r>
      <w:r w:rsidRPr="00F3451A">
        <w:rPr>
          <w:b w:val="0"/>
          <w:sz w:val="22"/>
        </w:rPr>
        <w:t>.5</w:t>
      </w:r>
      <w:r w:rsidR="00950E89" w:rsidRPr="00F3451A">
        <w:rPr>
          <w:b w:val="0"/>
          <w:sz w:val="22"/>
        </w:rPr>
        <w:t>0</w:t>
      </w:r>
      <w:r w:rsidR="00A55045">
        <w:rPr>
          <w:b w:val="0"/>
          <w:sz w:val="22"/>
        </w:rPr>
        <w:t>)</w:t>
      </w:r>
      <w:r w:rsidRPr="00F3451A">
        <w:rPr>
          <w:b w:val="0"/>
          <w:sz w:val="22"/>
        </w:rPr>
        <w:t xml:space="preserve"> hours </w:t>
      </w:r>
      <w:r w:rsidR="00950E89" w:rsidRPr="00F3451A">
        <w:rPr>
          <w:b w:val="0"/>
          <w:sz w:val="22"/>
        </w:rPr>
        <w:t>(</w:t>
      </w:r>
      <w:r w:rsidRPr="00F3451A">
        <w:rPr>
          <w:b w:val="0"/>
          <w:sz w:val="22"/>
        </w:rPr>
        <w:t>30 minutes</w:t>
      </w:r>
      <w:r w:rsidR="00950E89" w:rsidRPr="00F3451A">
        <w:rPr>
          <w:b w:val="0"/>
          <w:sz w:val="22"/>
        </w:rPr>
        <w:t>)</w:t>
      </w:r>
      <w:r w:rsidRPr="00F3451A">
        <w:rPr>
          <w:b w:val="0"/>
          <w:sz w:val="22"/>
        </w:rPr>
        <w:t xml:space="preserve"> per response.  The estimate of the burden includes the time required to review instructions, gather and maintain data needed, complete, and file the collection of information.</w:t>
      </w:r>
      <w:r w:rsidRPr="00F3451A">
        <w:rPr>
          <w:sz w:val="22"/>
        </w:rPr>
        <w:t xml:space="preserve"> </w:t>
      </w:r>
    </w:p>
    <w:p w14:paraId="61AEAD72" w14:textId="77777777" w:rsidR="0000482F" w:rsidRDefault="0000482F">
      <w:pPr>
        <w:pStyle w:val="Heading1"/>
        <w:rPr>
          <w:sz w:val="22"/>
        </w:rPr>
      </w:pPr>
    </w:p>
    <w:p w14:paraId="1EC832FC" w14:textId="25246862" w:rsidR="00631BC1" w:rsidRPr="00F3451A" w:rsidRDefault="0006353F">
      <w:pPr>
        <w:pStyle w:val="Heading1"/>
        <w:rPr>
          <w:sz w:val="22"/>
        </w:rPr>
      </w:pPr>
      <w:r>
        <w:rPr>
          <w:sz w:val="22"/>
        </w:rPr>
        <w:t>Annual Cost Burden</w:t>
      </w:r>
    </w:p>
    <w:p w14:paraId="0158A6F2" w14:textId="004DDCA3" w:rsidR="00631BC1" w:rsidRDefault="00631BC1" w:rsidP="00BD080B">
      <w:pPr>
        <w:spacing w:line="360" w:lineRule="auto"/>
        <w:ind w:left="720"/>
        <w:jc w:val="both"/>
        <w:rPr>
          <w:sz w:val="22"/>
        </w:rPr>
      </w:pPr>
      <w:r w:rsidRPr="00F3451A">
        <w:rPr>
          <w:b/>
          <w:bCs/>
          <w:sz w:val="22"/>
        </w:rPr>
        <w:t xml:space="preserve">The estimated annual </w:t>
      </w:r>
      <w:r w:rsidR="0006353F">
        <w:rPr>
          <w:b/>
          <w:bCs/>
          <w:sz w:val="22"/>
        </w:rPr>
        <w:t xml:space="preserve">cost burden </w:t>
      </w:r>
      <w:r w:rsidRPr="00F3451A">
        <w:rPr>
          <w:b/>
          <w:bCs/>
          <w:sz w:val="22"/>
        </w:rPr>
        <w:t xml:space="preserve"> is</w:t>
      </w:r>
      <w:r w:rsidRPr="00F3451A">
        <w:rPr>
          <w:sz w:val="22"/>
        </w:rPr>
        <w:t xml:space="preserve"> </w:t>
      </w:r>
      <w:r w:rsidRPr="00F3451A">
        <w:rPr>
          <w:b/>
          <w:sz w:val="22"/>
        </w:rPr>
        <w:t>$</w:t>
      </w:r>
      <w:r w:rsidR="00DF6FC6">
        <w:rPr>
          <w:b/>
          <w:sz w:val="22"/>
        </w:rPr>
        <w:t>2,255</w:t>
      </w:r>
      <w:r w:rsidRPr="00F3451A">
        <w:rPr>
          <w:b/>
          <w:sz w:val="22"/>
        </w:rPr>
        <w:t xml:space="preserve">.  </w:t>
      </w:r>
      <w:r w:rsidRPr="00F3451A">
        <w:rPr>
          <w:sz w:val="22"/>
        </w:rPr>
        <w:t xml:space="preserve">This estimate is based on the number of respondents </w:t>
      </w:r>
      <w:r w:rsidR="003B61A2" w:rsidRPr="00F3451A">
        <w:rPr>
          <w:sz w:val="22"/>
        </w:rPr>
        <w:t>(</w:t>
      </w:r>
      <w:r w:rsidR="00F36356" w:rsidRPr="00F3451A">
        <w:rPr>
          <w:sz w:val="22"/>
        </w:rPr>
        <w:t>60</w:t>
      </w:r>
      <w:r w:rsidR="003B61A2" w:rsidRPr="00F3451A">
        <w:rPr>
          <w:sz w:val="22"/>
        </w:rPr>
        <w:t>)</w:t>
      </w:r>
      <w:r w:rsidRPr="00F3451A">
        <w:rPr>
          <w:sz w:val="22"/>
        </w:rPr>
        <w:t xml:space="preserve"> </w:t>
      </w:r>
      <w:r w:rsidR="003B61A2" w:rsidRPr="00F3451A">
        <w:rPr>
          <w:sz w:val="22"/>
        </w:rPr>
        <w:t xml:space="preserve">multiplied by </w:t>
      </w:r>
      <w:r w:rsidR="0026289E">
        <w:rPr>
          <w:sz w:val="22"/>
        </w:rPr>
        <w:t xml:space="preserve">the annual </w:t>
      </w:r>
      <w:r w:rsidR="00A55045">
        <w:rPr>
          <w:sz w:val="22"/>
        </w:rPr>
        <w:t>number of responses (1)</w:t>
      </w:r>
      <w:r w:rsidR="00D1646C">
        <w:rPr>
          <w:sz w:val="22"/>
        </w:rPr>
        <w:t xml:space="preserve"> by</w:t>
      </w:r>
      <w:r w:rsidR="00A55045">
        <w:rPr>
          <w:sz w:val="22"/>
        </w:rPr>
        <w:t xml:space="preserve"> 0</w:t>
      </w:r>
      <w:r w:rsidR="00950E89" w:rsidRPr="00F3451A">
        <w:rPr>
          <w:sz w:val="22"/>
        </w:rPr>
        <w:t>.50 hours (</w:t>
      </w:r>
      <w:r w:rsidRPr="00F3451A">
        <w:rPr>
          <w:sz w:val="22"/>
        </w:rPr>
        <w:t>30 minutes</w:t>
      </w:r>
      <w:r w:rsidR="00950E89" w:rsidRPr="00F3451A">
        <w:rPr>
          <w:sz w:val="22"/>
        </w:rPr>
        <w:t xml:space="preserve">) </w:t>
      </w:r>
      <w:r w:rsidRPr="00F3451A">
        <w:rPr>
          <w:sz w:val="22"/>
        </w:rPr>
        <w:t>per response</w:t>
      </w:r>
      <w:r w:rsidR="003B61A2" w:rsidRPr="00F3451A">
        <w:rPr>
          <w:sz w:val="22"/>
        </w:rPr>
        <w:t xml:space="preserve"> </w:t>
      </w:r>
      <w:r w:rsidR="00D1646C">
        <w:rPr>
          <w:sz w:val="22"/>
        </w:rPr>
        <w:t>by</w:t>
      </w:r>
      <w:r w:rsidR="0006353F">
        <w:rPr>
          <w:sz w:val="22"/>
        </w:rPr>
        <w:t xml:space="preserve"> </w:t>
      </w:r>
      <w:r w:rsidR="0026289E">
        <w:rPr>
          <w:sz w:val="22"/>
        </w:rPr>
        <w:t xml:space="preserve">the </w:t>
      </w:r>
      <w:r w:rsidRPr="00F3451A">
        <w:rPr>
          <w:sz w:val="22"/>
        </w:rPr>
        <w:t xml:space="preserve">average hourly </w:t>
      </w:r>
      <w:r w:rsidR="00D1646C">
        <w:rPr>
          <w:sz w:val="22"/>
        </w:rPr>
        <w:t xml:space="preserve">wage </w:t>
      </w:r>
      <w:r w:rsidRPr="00F3451A">
        <w:rPr>
          <w:sz w:val="22"/>
        </w:rPr>
        <w:t>rate</w:t>
      </w:r>
      <w:r w:rsidR="0026289E">
        <w:rPr>
          <w:sz w:val="22"/>
        </w:rPr>
        <w:t xml:space="preserve"> ($</w:t>
      </w:r>
      <w:r w:rsidR="009865D8">
        <w:rPr>
          <w:sz w:val="22"/>
        </w:rPr>
        <w:t>75.15</w:t>
      </w:r>
      <w:r w:rsidR="0026289E">
        <w:rPr>
          <w:sz w:val="22"/>
        </w:rPr>
        <w:t>)</w:t>
      </w:r>
      <w:r w:rsidRPr="00F3451A">
        <w:rPr>
          <w:sz w:val="22"/>
        </w:rPr>
        <w:t>.</w:t>
      </w:r>
    </w:p>
    <w:p w14:paraId="7E3BE168" w14:textId="77777777" w:rsidR="00BA0F46" w:rsidRDefault="00BA0F46" w:rsidP="004823DC">
      <w:pPr>
        <w:pStyle w:val="BodyTextIndent2"/>
        <w:spacing w:line="360" w:lineRule="auto"/>
        <w:ind w:left="720"/>
      </w:pPr>
    </w:p>
    <w:p w14:paraId="611FB489" w14:textId="09B2D13F" w:rsidR="0006353F" w:rsidRPr="007D006C" w:rsidRDefault="0006353F" w:rsidP="007D006C">
      <w:pPr>
        <w:pStyle w:val="BodyTextIndent2"/>
        <w:spacing w:line="360" w:lineRule="auto"/>
        <w:ind w:left="720"/>
        <w:rPr>
          <w:sz w:val="22"/>
          <w:szCs w:val="22"/>
        </w:rPr>
      </w:pPr>
      <w:r w:rsidRPr="007D006C">
        <w:rPr>
          <w:sz w:val="22"/>
          <w:szCs w:val="22"/>
        </w:rPr>
        <w:t xml:space="preserve">The </w:t>
      </w:r>
      <w:r w:rsidR="006E5CF2">
        <w:rPr>
          <w:sz w:val="22"/>
          <w:szCs w:val="22"/>
        </w:rPr>
        <w:t>respondent’s</w:t>
      </w:r>
      <w:r w:rsidR="00CB6F0A">
        <w:rPr>
          <w:sz w:val="22"/>
          <w:szCs w:val="22"/>
        </w:rPr>
        <w:t xml:space="preserve"> </w:t>
      </w:r>
      <w:r w:rsidR="00616663">
        <w:rPr>
          <w:sz w:val="22"/>
          <w:szCs w:val="22"/>
        </w:rPr>
        <w:t xml:space="preserve">occupation </w:t>
      </w:r>
      <w:r w:rsidR="00137B37">
        <w:rPr>
          <w:sz w:val="22"/>
          <w:szCs w:val="22"/>
        </w:rPr>
        <w:t>who might prepare</w:t>
      </w:r>
      <w:r w:rsidR="00CB6F0A">
        <w:rPr>
          <w:sz w:val="22"/>
          <w:szCs w:val="22"/>
        </w:rPr>
        <w:t xml:space="preserve"> the forms</w:t>
      </w:r>
      <w:r w:rsidR="00616663">
        <w:rPr>
          <w:sz w:val="22"/>
          <w:szCs w:val="22"/>
        </w:rPr>
        <w:t xml:space="preserve"> </w:t>
      </w:r>
      <w:r w:rsidR="006E5CF2">
        <w:rPr>
          <w:sz w:val="22"/>
          <w:szCs w:val="22"/>
        </w:rPr>
        <w:t>for the</w:t>
      </w:r>
      <w:r w:rsidR="00616663">
        <w:rPr>
          <w:sz w:val="22"/>
          <w:szCs w:val="22"/>
        </w:rPr>
        <w:t xml:space="preserve"> surety company can range from a legal assistant to an attorney.  </w:t>
      </w:r>
      <w:r w:rsidR="006E5CF2">
        <w:rPr>
          <w:sz w:val="22"/>
          <w:szCs w:val="22"/>
        </w:rPr>
        <w:t xml:space="preserve">A </w:t>
      </w:r>
      <w:r w:rsidR="00616663">
        <w:rPr>
          <w:sz w:val="22"/>
          <w:szCs w:val="22"/>
        </w:rPr>
        <w:t xml:space="preserve">close proxy to </w:t>
      </w:r>
      <w:r w:rsidR="006E5CF2">
        <w:rPr>
          <w:sz w:val="22"/>
          <w:szCs w:val="22"/>
        </w:rPr>
        <w:t xml:space="preserve">an </w:t>
      </w:r>
      <w:r w:rsidR="00616663">
        <w:rPr>
          <w:sz w:val="22"/>
          <w:szCs w:val="22"/>
        </w:rPr>
        <w:t>occupation</w:t>
      </w:r>
      <w:r w:rsidR="006E5CF2">
        <w:rPr>
          <w:sz w:val="22"/>
          <w:szCs w:val="22"/>
        </w:rPr>
        <w:t>al</w:t>
      </w:r>
      <w:r w:rsidR="00616663">
        <w:rPr>
          <w:sz w:val="22"/>
          <w:szCs w:val="22"/>
        </w:rPr>
        <w:t xml:space="preserve"> industry and wage rate for immigration </w:t>
      </w:r>
      <w:r w:rsidR="00137B37">
        <w:rPr>
          <w:sz w:val="22"/>
          <w:szCs w:val="22"/>
        </w:rPr>
        <w:t xml:space="preserve">surety </w:t>
      </w:r>
      <w:r w:rsidR="00616663">
        <w:rPr>
          <w:sz w:val="22"/>
          <w:szCs w:val="22"/>
        </w:rPr>
        <w:t xml:space="preserve">bonds is the insurance and brokerage related industry. The </w:t>
      </w:r>
      <w:r w:rsidR="00D1646C">
        <w:rPr>
          <w:sz w:val="22"/>
          <w:szCs w:val="22"/>
        </w:rPr>
        <w:t xml:space="preserve">average hourly </w:t>
      </w:r>
      <w:r w:rsidRPr="007D006C">
        <w:rPr>
          <w:sz w:val="22"/>
          <w:szCs w:val="22"/>
        </w:rPr>
        <w:t xml:space="preserve">wage rate, which includes a benefit multiplier, was based on </w:t>
      </w:r>
      <w:r w:rsidR="006E5CF2">
        <w:rPr>
          <w:sz w:val="22"/>
          <w:szCs w:val="22"/>
        </w:rPr>
        <w:t xml:space="preserve">the </w:t>
      </w:r>
      <w:r w:rsidR="00DF58F4">
        <w:rPr>
          <w:sz w:val="22"/>
          <w:szCs w:val="22"/>
        </w:rPr>
        <w:t xml:space="preserve">May 2017 National Industry-Specific </w:t>
      </w:r>
      <w:r w:rsidR="006E5CF2">
        <w:rPr>
          <w:sz w:val="22"/>
          <w:szCs w:val="22"/>
        </w:rPr>
        <w:t xml:space="preserve">average hourly wage rate of an attorney and legal assistant </w:t>
      </w:r>
      <w:r w:rsidR="00EF1361">
        <w:rPr>
          <w:sz w:val="22"/>
          <w:szCs w:val="22"/>
        </w:rPr>
        <w:t xml:space="preserve">for the insurance industry </w:t>
      </w:r>
      <w:r w:rsidRPr="007D006C">
        <w:rPr>
          <w:sz w:val="22"/>
          <w:szCs w:val="22"/>
        </w:rPr>
        <w:t xml:space="preserve">found on the Bureau of Labor Statistics website as shown below. </w:t>
      </w:r>
    </w:p>
    <w:p w14:paraId="185DE6E1" w14:textId="77777777" w:rsidR="0006353F" w:rsidRDefault="0006353F" w:rsidP="0006353F">
      <w:pPr>
        <w:pStyle w:val="Default"/>
        <w:ind w:left="720"/>
        <w:jc w:val="both"/>
      </w:pPr>
    </w:p>
    <w:p w14:paraId="7853519A" w14:textId="27E43AE5" w:rsidR="0006353F" w:rsidRDefault="009674A0" w:rsidP="0006353F">
      <w:pPr>
        <w:pStyle w:val="Default"/>
        <w:ind w:left="720"/>
        <w:jc w:val="both"/>
      </w:pPr>
      <w:r>
        <w:rPr>
          <w:color w:val="000000"/>
          <w:sz w:val="22"/>
          <w:szCs w:val="22"/>
        </w:rPr>
        <w:t>Job CodeJob TitleAverage Hourly RateSource</w:t>
      </w:r>
      <w:r w:rsidR="00CB6F0A">
        <w:rPr>
          <w:color w:val="000000"/>
          <w:sz w:val="22"/>
          <w:szCs w:val="22"/>
        </w:rPr>
        <w:t>23-1011Attorney</w:t>
      </w:r>
      <w:r w:rsidR="00F71633">
        <w:rPr>
          <w:color w:val="000000"/>
          <w:sz w:val="22"/>
          <w:szCs w:val="22"/>
        </w:rPr>
        <w:t>s</w:t>
      </w:r>
      <w:r w:rsidR="00CB6F0A">
        <w:rPr>
          <w:color w:val="000000"/>
          <w:sz w:val="22"/>
          <w:szCs w:val="22"/>
        </w:rPr>
        <w:t>$75.02</w:t>
      </w:r>
      <w:r w:rsidR="00EF1361" w:rsidRPr="00EF1361">
        <w:rPr>
          <w:color w:val="0563C1"/>
          <w:sz w:val="22"/>
          <w:szCs w:val="22"/>
          <w:u w:val="single"/>
        </w:rPr>
        <w:t>https://www.bls.gov/oes/2017/may/naics4_524200.htm#23-0000</w:t>
      </w:r>
      <w:r w:rsidR="00CB6F0A">
        <w:rPr>
          <w:color w:val="000000"/>
          <w:sz w:val="22"/>
          <w:szCs w:val="22"/>
        </w:rPr>
        <w:t>23-2011Paralegals and Legal Assistants$29.74</w:t>
      </w:r>
      <w:r w:rsidR="00EF1361" w:rsidRPr="00EF1361">
        <w:rPr>
          <w:color w:val="0563C1"/>
          <w:sz w:val="22"/>
          <w:szCs w:val="22"/>
          <w:u w:val="single"/>
        </w:rPr>
        <w:t>https://www.bls.gov/oes/2017/may/naics4_524200.htm#23-0000</w:t>
      </w:r>
      <w:r w:rsidR="00137B37" w:rsidRPr="00137B37">
        <w:rPr>
          <w:color w:val="0563C1"/>
          <w:sz w:val="22"/>
          <w:szCs w:val="22"/>
          <w:u w:val="single"/>
        </w:rPr>
        <w:t xml:space="preserve"> </w:t>
      </w:r>
      <w:r w:rsidR="00CB6F0A">
        <w:rPr>
          <w:color w:val="000000"/>
          <w:sz w:val="22"/>
          <w:szCs w:val="22"/>
        </w:rPr>
        <w:t>Average$52.38</w:t>
      </w:r>
    </w:p>
    <w:p w14:paraId="41094AA3" w14:textId="28D4A1CC" w:rsidR="00BD080B" w:rsidRPr="00BA0F46" w:rsidRDefault="0006353F" w:rsidP="007D006C">
      <w:pPr>
        <w:spacing w:line="360" w:lineRule="auto"/>
        <w:ind w:left="720"/>
        <w:rPr>
          <w:sz w:val="22"/>
          <w:szCs w:val="22"/>
        </w:rPr>
      </w:pPr>
      <w:r w:rsidRPr="007D006C">
        <w:rPr>
          <w:sz w:val="22"/>
          <w:szCs w:val="22"/>
        </w:rPr>
        <w:t>When the costs for employee benefits such as paid leave and health insurance are included, the loaded wage is $</w:t>
      </w:r>
      <w:r w:rsidR="009865D8">
        <w:rPr>
          <w:sz w:val="22"/>
          <w:szCs w:val="22"/>
        </w:rPr>
        <w:t>75.15</w:t>
      </w:r>
      <w:r w:rsidRPr="007D006C">
        <w:rPr>
          <w:sz w:val="22"/>
          <w:szCs w:val="22"/>
        </w:rPr>
        <w:t xml:space="preserve"> per hour. The average hourly loaded wage rate is calculated using the percentage of wages and salaries to total compensation, found in Bureau of Labor Statistics, Employer Costs for Employee Compensation, September 2018, Table 5: Employer costs per hour worked for employee compensation and costs as a percent of total compensation: private industry workers, by major occupational group and bargaining unit status, </w:t>
      </w:r>
      <w:r w:rsidR="0026289E">
        <w:rPr>
          <w:sz w:val="22"/>
          <w:szCs w:val="22"/>
        </w:rPr>
        <w:t>September</w:t>
      </w:r>
      <w:r w:rsidRPr="007D006C">
        <w:rPr>
          <w:sz w:val="22"/>
          <w:szCs w:val="22"/>
        </w:rPr>
        <w:t xml:space="preserve"> 2018, </w:t>
      </w:r>
      <w:hyperlink r:id="rId12" w:history="1">
        <w:r w:rsidR="0026289E" w:rsidRPr="00EA4D0B">
          <w:rPr>
            <w:rStyle w:val="Hyperlink"/>
            <w:sz w:val="22"/>
            <w:szCs w:val="22"/>
            <w:bdr w:val="none" w:sz="0" w:space="0" w:color="auto" w:frame="1"/>
          </w:rPr>
          <w:t>https://www.bls.gov/news.release/archives/ecec_12142018.htm</w:t>
        </w:r>
      </w:hyperlink>
      <w:r w:rsidRPr="007D006C">
        <w:rPr>
          <w:sz w:val="22"/>
          <w:szCs w:val="22"/>
        </w:rPr>
        <w:t>. Wages and salaries are 69.7 percent of total compensation.  $</w:t>
      </w:r>
      <w:r w:rsidR="009865D8">
        <w:rPr>
          <w:sz w:val="22"/>
          <w:szCs w:val="22"/>
        </w:rPr>
        <w:t>75.15</w:t>
      </w:r>
      <w:r w:rsidRPr="007D006C">
        <w:rPr>
          <w:sz w:val="22"/>
          <w:szCs w:val="22"/>
        </w:rPr>
        <w:t xml:space="preserve"> = $</w:t>
      </w:r>
      <w:r w:rsidR="009865D8">
        <w:rPr>
          <w:sz w:val="22"/>
          <w:szCs w:val="22"/>
        </w:rPr>
        <w:t>52.38</w:t>
      </w:r>
      <w:r w:rsidRPr="007D006C">
        <w:rPr>
          <w:sz w:val="22"/>
          <w:szCs w:val="22"/>
        </w:rPr>
        <w:t xml:space="preserve"> / 0.697.</w:t>
      </w:r>
    </w:p>
    <w:p w14:paraId="1C8115F3" w14:textId="77777777"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14:paraId="1F33DC34" w14:textId="77777777" w:rsidR="00B44F28" w:rsidRPr="00B44F28" w:rsidRDefault="00B44F28" w:rsidP="00B44F28">
      <w:pPr>
        <w:jc w:val="both"/>
        <w:rPr>
          <w:b/>
          <w:sz w:val="22"/>
          <w:szCs w:val="22"/>
        </w:rPr>
      </w:pPr>
    </w:p>
    <w:p w14:paraId="239370F6" w14:textId="77777777"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A615E70" w14:textId="77777777" w:rsidR="00B44F28" w:rsidRPr="00B44F28" w:rsidRDefault="00B44F28" w:rsidP="00B44F28">
      <w:pPr>
        <w:jc w:val="both"/>
        <w:rPr>
          <w:b/>
          <w:sz w:val="22"/>
          <w:szCs w:val="22"/>
        </w:rPr>
      </w:pPr>
    </w:p>
    <w:p w14:paraId="3470DD0F" w14:textId="77777777"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DD5147" w14:textId="77777777" w:rsidR="00B44F28" w:rsidRPr="00B44F28" w:rsidRDefault="00B44F28" w:rsidP="00B44F28">
      <w:pPr>
        <w:jc w:val="both"/>
        <w:rPr>
          <w:b/>
          <w:sz w:val="22"/>
          <w:szCs w:val="22"/>
        </w:rPr>
      </w:pPr>
    </w:p>
    <w:p w14:paraId="0D83FFEA" w14:textId="77777777"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BFD75CC" w14:textId="77777777" w:rsidR="00631BC1" w:rsidRDefault="00631BC1" w:rsidP="00BD080B">
      <w:pPr>
        <w:tabs>
          <w:tab w:val="left" w:pos="-1440"/>
        </w:tabs>
        <w:spacing w:line="276" w:lineRule="auto"/>
        <w:ind w:left="720" w:hanging="720"/>
        <w:jc w:val="both"/>
        <w:rPr>
          <w:sz w:val="22"/>
        </w:rPr>
      </w:pPr>
      <w:r>
        <w:rPr>
          <w:sz w:val="22"/>
        </w:rPr>
        <w:tab/>
      </w:r>
    </w:p>
    <w:p w14:paraId="5072DFFE" w14:textId="77777777" w:rsidR="0006353F" w:rsidRDefault="00F36356" w:rsidP="00BD080B">
      <w:pPr>
        <w:pStyle w:val="Default"/>
        <w:spacing w:line="276" w:lineRule="auto"/>
        <w:ind w:left="720"/>
        <w:jc w:val="both"/>
      </w:pPr>
      <w:r w:rsidRPr="00A94975">
        <w:t xml:space="preserve">There are no capital or start-up costs associated with this information collection.  </w:t>
      </w:r>
    </w:p>
    <w:p w14:paraId="6371169B" w14:textId="77777777" w:rsidR="0006353F" w:rsidRDefault="0006353F" w:rsidP="00BD080B">
      <w:pPr>
        <w:pStyle w:val="Default"/>
        <w:spacing w:line="276" w:lineRule="auto"/>
        <w:ind w:left="720"/>
        <w:jc w:val="both"/>
      </w:pPr>
    </w:p>
    <w:p w14:paraId="5C5853C9" w14:textId="32EB2498" w:rsidR="00760BF0" w:rsidRPr="007D006C" w:rsidRDefault="00F36356" w:rsidP="00BD080B">
      <w:pPr>
        <w:pStyle w:val="Default"/>
        <w:spacing w:line="276" w:lineRule="auto"/>
        <w:ind w:left="720"/>
        <w:jc w:val="both"/>
        <w:rPr>
          <w:sz w:val="22"/>
        </w:rPr>
      </w:pPr>
      <w:r w:rsidRPr="007D006C">
        <w:rPr>
          <w:sz w:val="22"/>
        </w:rPr>
        <w:t>The figure of $</w:t>
      </w:r>
      <w:r w:rsidR="0006353F" w:rsidRPr="007D006C">
        <w:rPr>
          <w:sz w:val="22"/>
        </w:rPr>
        <w:t>8.25</w:t>
      </w:r>
      <w:r w:rsidR="00FB2EB9" w:rsidRPr="007D006C">
        <w:rPr>
          <w:sz w:val="22"/>
        </w:rPr>
        <w:t>,</w:t>
      </w:r>
      <w:r w:rsidRPr="007D006C">
        <w:rPr>
          <w:sz w:val="22"/>
        </w:rPr>
        <w:t xml:space="preserve"> as the maximum national average cost of obtaining a notary seal was derived </w:t>
      </w:r>
      <w:r w:rsidR="00FB2EB9" w:rsidRPr="007D006C">
        <w:rPr>
          <w:sz w:val="22"/>
        </w:rPr>
        <w:t>the following way</w:t>
      </w:r>
      <w:r w:rsidRPr="007D006C">
        <w:rPr>
          <w:sz w:val="22"/>
        </w:rPr>
        <w:t xml:space="preserve">.  First, the four states in which the largest number of illegal aliens have cash immigration bonds executed on their behalf are California, Texas, New York and Florida.  For each of these states, the maximum fee that </w:t>
      </w:r>
      <w:r w:rsidR="00BA0F46" w:rsidRPr="007D006C">
        <w:rPr>
          <w:sz w:val="22"/>
        </w:rPr>
        <w:t>is</w:t>
      </w:r>
      <w:r w:rsidRPr="007D006C">
        <w:rPr>
          <w:sz w:val="22"/>
        </w:rPr>
        <w:t xml:space="preserve"> allowed by statute for a notary seal was identified.  California </w:t>
      </w:r>
      <w:r w:rsidR="0006353F" w:rsidRPr="007D006C">
        <w:rPr>
          <w:sz w:val="22"/>
        </w:rPr>
        <w:t xml:space="preserve">has a </w:t>
      </w:r>
      <w:r w:rsidR="00760BF0" w:rsidRPr="007D006C">
        <w:rPr>
          <w:sz w:val="22"/>
        </w:rPr>
        <w:t>maximum</w:t>
      </w:r>
      <w:r w:rsidR="0006353F" w:rsidRPr="007D006C">
        <w:rPr>
          <w:sz w:val="22"/>
        </w:rPr>
        <w:t xml:space="preserve"> fee of $1</w:t>
      </w:r>
      <w:r w:rsidR="00760BF0" w:rsidRPr="007D006C">
        <w:rPr>
          <w:sz w:val="22"/>
        </w:rPr>
        <w:t>5</w:t>
      </w:r>
      <w:r w:rsidR="00FB2EB9" w:rsidRPr="007D006C">
        <w:rPr>
          <w:rStyle w:val="FootnoteReference"/>
          <w:sz w:val="22"/>
        </w:rPr>
        <w:footnoteReference w:id="1"/>
      </w:r>
      <w:r w:rsidR="00760BF0" w:rsidRPr="007D006C">
        <w:rPr>
          <w:sz w:val="22"/>
        </w:rPr>
        <w:t xml:space="preserve">; </w:t>
      </w:r>
      <w:r w:rsidRPr="007D006C">
        <w:rPr>
          <w:sz w:val="22"/>
        </w:rPr>
        <w:t>Florida allow</w:t>
      </w:r>
      <w:r w:rsidR="00760BF0" w:rsidRPr="007D006C">
        <w:rPr>
          <w:sz w:val="22"/>
        </w:rPr>
        <w:t>s</w:t>
      </w:r>
      <w:r w:rsidRPr="007D006C">
        <w:rPr>
          <w:sz w:val="22"/>
        </w:rPr>
        <w:t xml:space="preserve"> a fee of up to $10</w:t>
      </w:r>
      <w:r w:rsidR="00760BF0" w:rsidRPr="007D006C">
        <w:rPr>
          <w:sz w:val="22"/>
        </w:rPr>
        <w:t>,</w:t>
      </w:r>
      <w:r w:rsidRPr="007D006C">
        <w:rPr>
          <w:sz w:val="22"/>
        </w:rPr>
        <w:t xml:space="preserve"> Texas allows a fee of up to $6, and New York, $2.  The maximum average cost across these four states </w:t>
      </w:r>
      <w:r w:rsidR="00760BF0" w:rsidRPr="007D006C">
        <w:rPr>
          <w:sz w:val="22"/>
        </w:rPr>
        <w:t>is</w:t>
      </w:r>
      <w:r w:rsidRPr="007D006C">
        <w:rPr>
          <w:sz w:val="22"/>
        </w:rPr>
        <w:t xml:space="preserve"> $</w:t>
      </w:r>
      <w:r w:rsidR="00760BF0" w:rsidRPr="007D006C">
        <w:rPr>
          <w:sz w:val="22"/>
        </w:rPr>
        <w:t>8.25</w:t>
      </w:r>
      <w:r w:rsidRPr="007D006C">
        <w:rPr>
          <w:sz w:val="22"/>
        </w:rPr>
        <w:t>.</w:t>
      </w:r>
      <w:r w:rsidR="00FB2EB9" w:rsidRPr="007D006C">
        <w:rPr>
          <w:sz w:val="22"/>
        </w:rPr>
        <w:t xml:space="preserve"> </w:t>
      </w:r>
      <w:r w:rsidRPr="007D006C">
        <w:rPr>
          <w:sz w:val="22"/>
        </w:rPr>
        <w:t>Importantly,</w:t>
      </w:r>
      <w:r w:rsidR="00BA0F46" w:rsidRPr="007D006C">
        <w:rPr>
          <w:sz w:val="22"/>
        </w:rPr>
        <w:t xml:space="preserve"> </w:t>
      </w:r>
      <w:r w:rsidRPr="007D006C">
        <w:rPr>
          <w:sz w:val="22"/>
        </w:rPr>
        <w:t xml:space="preserve">these are maximum costs.  Many financial institutions perform these services for their customers for free, and many notaries set their fees below the allowed maximums.  </w:t>
      </w:r>
    </w:p>
    <w:p w14:paraId="017BA718" w14:textId="77777777" w:rsidR="00760BF0" w:rsidRPr="007D006C" w:rsidRDefault="00760BF0" w:rsidP="00BD080B">
      <w:pPr>
        <w:pStyle w:val="Default"/>
        <w:spacing w:line="276" w:lineRule="auto"/>
        <w:ind w:left="720"/>
        <w:jc w:val="both"/>
        <w:rPr>
          <w:sz w:val="22"/>
        </w:rPr>
      </w:pPr>
    </w:p>
    <w:p w14:paraId="659CD904" w14:textId="01E7AB52" w:rsidR="00F36356" w:rsidRPr="007D006C" w:rsidRDefault="00760BF0" w:rsidP="00BD080B">
      <w:pPr>
        <w:pStyle w:val="Default"/>
        <w:spacing w:line="276" w:lineRule="auto"/>
        <w:ind w:left="720"/>
        <w:jc w:val="both"/>
        <w:rPr>
          <w:sz w:val="22"/>
        </w:rPr>
      </w:pPr>
      <w:r w:rsidRPr="007D006C">
        <w:rPr>
          <w:sz w:val="22"/>
        </w:rPr>
        <w:t xml:space="preserve">The </w:t>
      </w:r>
      <w:r w:rsidR="0026289E" w:rsidRPr="007D006C">
        <w:rPr>
          <w:sz w:val="22"/>
        </w:rPr>
        <w:t>m</w:t>
      </w:r>
      <w:r w:rsidRPr="007D006C">
        <w:rPr>
          <w:sz w:val="22"/>
        </w:rPr>
        <w:t xml:space="preserve">aximum national average </w:t>
      </w:r>
      <w:r w:rsidR="0026289E" w:rsidRPr="007D006C">
        <w:rPr>
          <w:sz w:val="22"/>
        </w:rPr>
        <w:t xml:space="preserve">annual </w:t>
      </w:r>
      <w:r w:rsidRPr="007D006C">
        <w:rPr>
          <w:sz w:val="22"/>
        </w:rPr>
        <w:t xml:space="preserve">cost of obtaining a notary seal </w:t>
      </w:r>
      <w:r w:rsidR="0026289E" w:rsidRPr="007D006C">
        <w:rPr>
          <w:sz w:val="22"/>
        </w:rPr>
        <w:t xml:space="preserve">is $495 = </w:t>
      </w:r>
      <w:r w:rsidRPr="007D006C">
        <w:rPr>
          <w:sz w:val="22"/>
        </w:rPr>
        <w:t xml:space="preserve">$8.25 x </w:t>
      </w:r>
      <w:r w:rsidR="0026289E" w:rsidRPr="007D006C">
        <w:rPr>
          <w:sz w:val="22"/>
        </w:rPr>
        <w:t xml:space="preserve">60 (annual </w:t>
      </w:r>
      <w:r w:rsidRPr="007D006C">
        <w:rPr>
          <w:sz w:val="22"/>
        </w:rPr>
        <w:t>number of responses</w:t>
      </w:r>
      <w:r w:rsidR="0026289E" w:rsidRPr="007D006C">
        <w:rPr>
          <w:sz w:val="22"/>
        </w:rPr>
        <w:t>).</w:t>
      </w:r>
    </w:p>
    <w:p w14:paraId="4A90DE39" w14:textId="32AA1F74" w:rsidR="00760BF0" w:rsidRDefault="00760BF0" w:rsidP="00BD080B">
      <w:pPr>
        <w:pStyle w:val="Default"/>
        <w:spacing w:line="276" w:lineRule="auto"/>
        <w:ind w:left="720"/>
        <w:jc w:val="both"/>
      </w:pPr>
    </w:p>
    <w:p w14:paraId="6C1CF7BF" w14:textId="77777777"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E595E69" w14:textId="77777777" w:rsidR="00B44F28" w:rsidRDefault="00B44F28">
      <w:pPr>
        <w:tabs>
          <w:tab w:val="left" w:pos="-1440"/>
        </w:tabs>
        <w:spacing w:line="480" w:lineRule="auto"/>
        <w:ind w:left="720" w:hanging="720"/>
        <w:jc w:val="both"/>
        <w:rPr>
          <w:sz w:val="22"/>
        </w:rPr>
      </w:pPr>
    </w:p>
    <w:p w14:paraId="27C9C040" w14:textId="21AC8CC0" w:rsidR="00631BC1" w:rsidRDefault="00631BC1" w:rsidP="007D006C">
      <w:pPr>
        <w:tabs>
          <w:tab w:val="left" w:pos="-1440"/>
        </w:tabs>
        <w:spacing w:line="360" w:lineRule="auto"/>
        <w:ind w:left="720" w:hanging="720"/>
        <w:jc w:val="both"/>
        <w:rPr>
          <w:sz w:val="22"/>
        </w:rPr>
      </w:pPr>
      <w:r>
        <w:rPr>
          <w:sz w:val="22"/>
        </w:rPr>
        <w:tab/>
      </w:r>
      <w:r w:rsidRPr="00F3451A">
        <w:rPr>
          <w:b/>
          <w:sz w:val="22"/>
        </w:rPr>
        <w:t xml:space="preserve">The estimated cost of the program to the Government is $ </w:t>
      </w:r>
      <w:r w:rsidR="00651011">
        <w:rPr>
          <w:b/>
          <w:sz w:val="22"/>
        </w:rPr>
        <w:t>4,</w:t>
      </w:r>
      <w:r w:rsidR="00DF6FC6">
        <w:rPr>
          <w:b/>
          <w:sz w:val="22"/>
        </w:rPr>
        <w:t>775</w:t>
      </w:r>
      <w:r w:rsidRPr="00F3451A">
        <w:rPr>
          <w:b/>
          <w:sz w:val="22"/>
        </w:rPr>
        <w:t>.</w:t>
      </w:r>
      <w:r w:rsidRPr="00F3451A">
        <w:rPr>
          <w:sz w:val="22"/>
        </w:rPr>
        <w:t xml:space="preserve">  This figure is calculated by using the estimated number of respondents (</w:t>
      </w:r>
      <w:r w:rsidR="000137A2" w:rsidRPr="00F3451A">
        <w:rPr>
          <w:sz w:val="22"/>
        </w:rPr>
        <w:t>60</w:t>
      </w:r>
      <w:r w:rsidRPr="00F3451A">
        <w:rPr>
          <w:sz w:val="22"/>
        </w:rPr>
        <w:t xml:space="preserve">) </w:t>
      </w:r>
      <w:r w:rsidR="00CF745F">
        <w:rPr>
          <w:sz w:val="22"/>
        </w:rPr>
        <w:t>multiplied by the</w:t>
      </w:r>
      <w:r w:rsidR="00760BF0">
        <w:rPr>
          <w:sz w:val="22"/>
        </w:rPr>
        <w:t xml:space="preserve"> frequency of processing (1) </w:t>
      </w:r>
      <w:r w:rsidR="00CF745F">
        <w:rPr>
          <w:sz w:val="22"/>
        </w:rPr>
        <w:t>by</w:t>
      </w:r>
      <w:r w:rsidR="00FB2EB9">
        <w:rPr>
          <w:sz w:val="22"/>
        </w:rPr>
        <w:t xml:space="preserve"> </w:t>
      </w:r>
      <w:r w:rsidR="00CF745F">
        <w:rPr>
          <w:sz w:val="22"/>
        </w:rPr>
        <w:t xml:space="preserve">the </w:t>
      </w:r>
      <w:r w:rsidR="00760BF0">
        <w:rPr>
          <w:sz w:val="22"/>
        </w:rPr>
        <w:t xml:space="preserve">average </w:t>
      </w:r>
      <w:r w:rsidR="00CF745F">
        <w:rPr>
          <w:sz w:val="22"/>
        </w:rPr>
        <w:t xml:space="preserve">processing </w:t>
      </w:r>
      <w:r w:rsidR="00760BF0">
        <w:rPr>
          <w:sz w:val="22"/>
        </w:rPr>
        <w:t xml:space="preserve">time </w:t>
      </w:r>
      <w:r w:rsidR="00CF745F">
        <w:rPr>
          <w:sz w:val="22"/>
        </w:rPr>
        <w:t>(</w:t>
      </w:r>
      <w:r w:rsidR="00FB2EB9">
        <w:rPr>
          <w:sz w:val="22"/>
        </w:rPr>
        <w:t>1 hour</w:t>
      </w:r>
      <w:r w:rsidR="00CF745F">
        <w:rPr>
          <w:sz w:val="22"/>
        </w:rPr>
        <w:t>)</w:t>
      </w:r>
      <w:r w:rsidR="00FB2EB9">
        <w:rPr>
          <w:sz w:val="22"/>
        </w:rPr>
        <w:t xml:space="preserve"> </w:t>
      </w:r>
      <w:r w:rsidR="00CF745F">
        <w:rPr>
          <w:sz w:val="22"/>
        </w:rPr>
        <w:t xml:space="preserve">by the </w:t>
      </w:r>
      <w:r w:rsidRPr="00F3451A">
        <w:rPr>
          <w:sz w:val="22"/>
        </w:rPr>
        <w:t xml:space="preserve">average hourly rate for </w:t>
      </w:r>
      <w:r w:rsidR="003A5841">
        <w:rPr>
          <w:sz w:val="22"/>
        </w:rPr>
        <w:t xml:space="preserve">a </w:t>
      </w:r>
      <w:commentRangeStart w:id="2"/>
      <w:r w:rsidRPr="00F3451A">
        <w:rPr>
          <w:sz w:val="22"/>
        </w:rPr>
        <w:t xml:space="preserve">managerial </w:t>
      </w:r>
      <w:r w:rsidR="003A5841">
        <w:rPr>
          <w:sz w:val="22"/>
        </w:rPr>
        <w:t xml:space="preserve">officer </w:t>
      </w:r>
      <w:commentRangeEnd w:id="2"/>
      <w:r w:rsidR="00D430E7">
        <w:rPr>
          <w:rStyle w:val="CommentReference"/>
        </w:rPr>
        <w:commentReference w:id="2"/>
      </w:r>
      <w:r w:rsidRPr="00F3451A">
        <w:rPr>
          <w:sz w:val="22"/>
        </w:rPr>
        <w:t>time with benefits</w:t>
      </w:r>
      <w:r w:rsidR="00DF6FC6">
        <w:rPr>
          <w:sz w:val="22"/>
        </w:rPr>
        <w:t xml:space="preserve"> and overhead</w:t>
      </w:r>
      <w:r w:rsidR="00CF745F">
        <w:rPr>
          <w:sz w:val="22"/>
        </w:rPr>
        <w:t xml:space="preserve"> (</w:t>
      </w:r>
      <w:r w:rsidR="00CF745F" w:rsidRPr="00F3451A">
        <w:rPr>
          <w:sz w:val="22"/>
        </w:rPr>
        <w:t>$</w:t>
      </w:r>
      <w:r w:rsidR="00CF745F">
        <w:rPr>
          <w:sz w:val="22"/>
        </w:rPr>
        <w:t>7</w:t>
      </w:r>
      <w:r w:rsidR="00DF6FC6">
        <w:rPr>
          <w:sz w:val="22"/>
        </w:rPr>
        <w:t>9.5</w:t>
      </w:r>
      <w:r w:rsidR="00EF1361">
        <w:rPr>
          <w:sz w:val="22"/>
        </w:rPr>
        <w:t>8</w:t>
      </w:r>
      <w:r w:rsidR="00CF745F">
        <w:rPr>
          <w:sz w:val="22"/>
        </w:rPr>
        <w:t>)</w:t>
      </w:r>
      <w:r w:rsidR="00CF745F">
        <w:rPr>
          <w:rStyle w:val="FootnoteReference"/>
          <w:sz w:val="22"/>
        </w:rPr>
        <w:footnoteReference w:id="2"/>
      </w:r>
      <w:r w:rsidR="003A5841">
        <w:rPr>
          <w:sz w:val="22"/>
        </w:rPr>
        <w:t>.</w:t>
      </w:r>
      <w:r>
        <w:rPr>
          <w:sz w:val="22"/>
        </w:rPr>
        <w:t xml:space="preserve"> </w:t>
      </w:r>
    </w:p>
    <w:p w14:paraId="18C0D7A9" w14:textId="77777777" w:rsidR="002E52E6" w:rsidRDefault="002E52E6" w:rsidP="00B44F28">
      <w:pPr>
        <w:tabs>
          <w:tab w:val="left" w:pos="-1440"/>
        </w:tabs>
        <w:ind w:left="720" w:hanging="720"/>
        <w:jc w:val="both"/>
        <w:rPr>
          <w:b/>
          <w:sz w:val="22"/>
          <w:szCs w:val="22"/>
        </w:rPr>
      </w:pPr>
    </w:p>
    <w:p w14:paraId="391E3713" w14:textId="77777777" w:rsidR="00B44F28" w:rsidRPr="00B44F28" w:rsidRDefault="00B44F28" w:rsidP="00B44F28">
      <w:pPr>
        <w:tabs>
          <w:tab w:val="left" w:pos="-1440"/>
        </w:tabs>
        <w:ind w:left="720" w:hanging="720"/>
        <w:jc w:val="both"/>
        <w:rPr>
          <w:b/>
          <w:sz w:val="22"/>
          <w:szCs w:val="22"/>
        </w:rPr>
      </w:pPr>
      <w:r w:rsidRPr="004D25DC">
        <w:rPr>
          <w:b/>
          <w:sz w:val="22"/>
          <w:szCs w:val="22"/>
        </w:rPr>
        <w:t>15.</w:t>
      </w:r>
      <w:r w:rsidRPr="004D25DC">
        <w:rPr>
          <w:b/>
          <w:sz w:val="22"/>
          <w:szCs w:val="22"/>
        </w:rPr>
        <w:tab/>
        <w:t>Explain the reasons for any program changes or adjustments reporting in Items 13 or 14 of the OMB Form 83-I.</w:t>
      </w:r>
    </w:p>
    <w:p w14:paraId="5733B515" w14:textId="77777777" w:rsidR="00B44F28" w:rsidRDefault="00B44F28" w:rsidP="00BD080B">
      <w:pPr>
        <w:tabs>
          <w:tab w:val="left" w:pos="-1440"/>
        </w:tabs>
        <w:spacing w:line="276" w:lineRule="auto"/>
        <w:jc w:val="both"/>
        <w:rPr>
          <w:sz w:val="22"/>
        </w:rPr>
      </w:pPr>
    </w:p>
    <w:p w14:paraId="75B6D705" w14:textId="2FA604C0" w:rsidR="000109B3" w:rsidRPr="00D430E7" w:rsidRDefault="00F3451A" w:rsidP="000109B3">
      <w:pPr>
        <w:tabs>
          <w:tab w:val="left" w:pos="-1440"/>
        </w:tabs>
        <w:spacing w:line="360" w:lineRule="auto"/>
        <w:ind w:left="720"/>
        <w:jc w:val="both"/>
        <w:rPr>
          <w:sz w:val="22"/>
          <w:szCs w:val="22"/>
        </w:rPr>
      </w:pPr>
      <w:r w:rsidRPr="007D006C">
        <w:rPr>
          <w:sz w:val="22"/>
          <w:szCs w:val="22"/>
        </w:rPr>
        <w:t xml:space="preserve">The </w:t>
      </w:r>
      <w:r w:rsidR="000109B3" w:rsidRPr="007D006C">
        <w:rPr>
          <w:sz w:val="22"/>
          <w:szCs w:val="22"/>
        </w:rPr>
        <w:t xml:space="preserve">overall </w:t>
      </w:r>
      <w:r w:rsidRPr="007D006C">
        <w:rPr>
          <w:sz w:val="22"/>
          <w:szCs w:val="22"/>
        </w:rPr>
        <w:t>adjustments reflect</w:t>
      </w:r>
      <w:r w:rsidR="00651011" w:rsidRPr="007D006C">
        <w:rPr>
          <w:sz w:val="22"/>
          <w:szCs w:val="22"/>
        </w:rPr>
        <w:t xml:space="preserve"> an </w:t>
      </w:r>
      <w:r w:rsidR="00743959" w:rsidRPr="007D006C">
        <w:rPr>
          <w:sz w:val="22"/>
          <w:szCs w:val="22"/>
        </w:rPr>
        <w:t xml:space="preserve">increase in </w:t>
      </w:r>
      <w:r w:rsidR="0000482F" w:rsidRPr="007D006C">
        <w:rPr>
          <w:sz w:val="22"/>
          <w:szCs w:val="22"/>
        </w:rPr>
        <w:t xml:space="preserve">respondent </w:t>
      </w:r>
      <w:r w:rsidR="00743959" w:rsidRPr="007D006C">
        <w:rPr>
          <w:sz w:val="22"/>
          <w:szCs w:val="22"/>
        </w:rPr>
        <w:t xml:space="preserve">annual cost burden and </w:t>
      </w:r>
      <w:r w:rsidR="0000482F" w:rsidRPr="007D006C">
        <w:rPr>
          <w:sz w:val="22"/>
          <w:szCs w:val="22"/>
        </w:rPr>
        <w:t xml:space="preserve">governmental cost from </w:t>
      </w:r>
      <w:r w:rsidR="00743959" w:rsidRPr="007D006C">
        <w:rPr>
          <w:sz w:val="22"/>
          <w:szCs w:val="22"/>
        </w:rPr>
        <w:t>previously reported due to an update to respondent wage determination</w:t>
      </w:r>
      <w:r w:rsidR="0000482F" w:rsidRPr="007D006C">
        <w:rPr>
          <w:sz w:val="22"/>
          <w:szCs w:val="22"/>
        </w:rPr>
        <w:t>,</w:t>
      </w:r>
      <w:r w:rsidR="00743959" w:rsidRPr="007D006C">
        <w:rPr>
          <w:sz w:val="22"/>
          <w:szCs w:val="22"/>
        </w:rPr>
        <w:t xml:space="preserve"> notary fees adjustment</w:t>
      </w:r>
      <w:r w:rsidR="0026289E" w:rsidRPr="007D006C">
        <w:rPr>
          <w:sz w:val="22"/>
          <w:szCs w:val="22"/>
        </w:rPr>
        <w:t>,</w:t>
      </w:r>
      <w:r w:rsidR="0000482F" w:rsidRPr="007D006C">
        <w:rPr>
          <w:sz w:val="22"/>
          <w:szCs w:val="22"/>
        </w:rPr>
        <w:t xml:space="preserve"> and government wage rate. There were no changes to the number of respondents </w:t>
      </w:r>
      <w:r w:rsidR="0026289E" w:rsidRPr="007D006C">
        <w:rPr>
          <w:sz w:val="22"/>
          <w:szCs w:val="22"/>
        </w:rPr>
        <w:t>or the</w:t>
      </w:r>
      <w:r w:rsidR="0000482F" w:rsidRPr="007D006C">
        <w:rPr>
          <w:sz w:val="22"/>
          <w:szCs w:val="22"/>
        </w:rPr>
        <w:t xml:space="preserve"> burden hours</w:t>
      </w:r>
      <w:r w:rsidR="00743959" w:rsidRPr="007D006C">
        <w:rPr>
          <w:sz w:val="22"/>
          <w:szCs w:val="22"/>
        </w:rPr>
        <w:t xml:space="preserve">. </w:t>
      </w:r>
    </w:p>
    <w:p w14:paraId="0263C658" w14:textId="77777777" w:rsidR="00F3451A" w:rsidRPr="00F3451A" w:rsidRDefault="00F3451A" w:rsidP="00BD080B">
      <w:pPr>
        <w:pStyle w:val="CommentText"/>
        <w:spacing w:line="276" w:lineRule="auto"/>
        <w:ind w:left="720"/>
        <w:rPr>
          <w:sz w:val="24"/>
          <w:szCs w:val="24"/>
        </w:rPr>
      </w:pPr>
    </w:p>
    <w:p w14:paraId="48BCC442" w14:textId="77777777" w:rsidR="00631BC1" w:rsidRDefault="00631BC1" w:rsidP="00BD080B">
      <w:pPr>
        <w:tabs>
          <w:tab w:val="left" w:pos="-1440"/>
        </w:tabs>
        <w:spacing w:line="276" w:lineRule="auto"/>
        <w:jc w:val="both"/>
        <w:rPr>
          <w:sz w:val="22"/>
        </w:rPr>
      </w:pPr>
    </w:p>
    <w:p w14:paraId="0CC1EADA" w14:textId="77777777"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65B73A2" w14:textId="77777777" w:rsidR="00B44F28" w:rsidRDefault="00B44F28" w:rsidP="00BD080B">
      <w:pPr>
        <w:tabs>
          <w:tab w:val="left" w:pos="-1440"/>
        </w:tabs>
        <w:spacing w:line="276" w:lineRule="auto"/>
        <w:ind w:left="720" w:hanging="720"/>
        <w:jc w:val="both"/>
        <w:rPr>
          <w:sz w:val="22"/>
        </w:rPr>
      </w:pPr>
    </w:p>
    <w:p w14:paraId="7D6FB76F" w14:textId="77777777" w:rsidR="00631BC1" w:rsidRDefault="00631BC1" w:rsidP="00BD080B">
      <w:pPr>
        <w:tabs>
          <w:tab w:val="left" w:pos="-1440"/>
        </w:tabs>
        <w:spacing w:line="276" w:lineRule="auto"/>
        <w:ind w:left="720" w:hanging="720"/>
        <w:jc w:val="both"/>
        <w:rPr>
          <w:sz w:val="22"/>
        </w:rPr>
      </w:pPr>
      <w:r>
        <w:rPr>
          <w:sz w:val="22"/>
        </w:rPr>
        <w:tab/>
      </w:r>
      <w:r w:rsidR="00B44F28">
        <w:rPr>
          <w:sz w:val="22"/>
        </w:rPr>
        <w:t>I</w:t>
      </w:r>
      <w:r>
        <w:rPr>
          <w:sz w:val="22"/>
        </w:rPr>
        <w:t xml:space="preserve">CE does not intend to employ the use of statistics or the publication thereof for this </w:t>
      </w:r>
      <w:r w:rsidR="00274FEF">
        <w:rPr>
          <w:sz w:val="22"/>
        </w:rPr>
        <w:t xml:space="preserve">information </w:t>
      </w:r>
      <w:r>
        <w:rPr>
          <w:sz w:val="22"/>
        </w:rPr>
        <w:t>collection.</w:t>
      </w:r>
    </w:p>
    <w:p w14:paraId="41DD1642" w14:textId="77777777" w:rsidR="00631BC1" w:rsidRDefault="00631BC1" w:rsidP="00BD080B">
      <w:pPr>
        <w:spacing w:line="276" w:lineRule="auto"/>
        <w:jc w:val="both"/>
        <w:rPr>
          <w:sz w:val="22"/>
        </w:rPr>
      </w:pPr>
    </w:p>
    <w:p w14:paraId="59ABC268" w14:textId="77777777"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14:paraId="2D4E0738" w14:textId="77777777" w:rsidR="00B44F28" w:rsidRDefault="00B44F28" w:rsidP="00BD080B">
      <w:pPr>
        <w:tabs>
          <w:tab w:val="left" w:pos="-1440"/>
        </w:tabs>
        <w:spacing w:line="360" w:lineRule="auto"/>
        <w:jc w:val="both"/>
        <w:rPr>
          <w:sz w:val="22"/>
        </w:rPr>
      </w:pPr>
    </w:p>
    <w:p w14:paraId="2577B75A" w14:textId="77777777" w:rsidR="00631BC1" w:rsidRDefault="00631BC1" w:rsidP="00BD080B">
      <w:pPr>
        <w:tabs>
          <w:tab w:val="left" w:pos="-1440"/>
        </w:tabs>
        <w:spacing w:line="360" w:lineRule="auto"/>
        <w:ind w:left="720"/>
        <w:jc w:val="both"/>
        <w:rPr>
          <w:sz w:val="22"/>
        </w:rPr>
      </w:pPr>
      <w:r>
        <w:rPr>
          <w:sz w:val="22"/>
        </w:rPr>
        <w:t xml:space="preserve">ICE </w:t>
      </w:r>
      <w:r w:rsidR="00274FEF">
        <w:rPr>
          <w:sz w:val="22"/>
        </w:rPr>
        <w:t>will</w:t>
      </w:r>
      <w:r>
        <w:rPr>
          <w:sz w:val="22"/>
        </w:rPr>
        <w:t xml:space="preserve"> display the expiration date</w:t>
      </w:r>
      <w:r w:rsidR="00274FEF">
        <w:rPr>
          <w:sz w:val="22"/>
        </w:rPr>
        <w:t xml:space="preserve"> for OMB approval of </w:t>
      </w:r>
      <w:r>
        <w:rPr>
          <w:sz w:val="22"/>
        </w:rPr>
        <w:t>this information collection.</w:t>
      </w:r>
    </w:p>
    <w:p w14:paraId="7CC1C086" w14:textId="77777777" w:rsidR="00631BC1" w:rsidRDefault="00631BC1" w:rsidP="00BD080B">
      <w:pPr>
        <w:tabs>
          <w:tab w:val="left" w:pos="-1440"/>
        </w:tabs>
        <w:spacing w:line="360" w:lineRule="auto"/>
        <w:jc w:val="both"/>
        <w:rPr>
          <w:sz w:val="22"/>
        </w:rPr>
      </w:pPr>
    </w:p>
    <w:p w14:paraId="3003C3CD" w14:textId="77777777"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14:paraId="1B7B5156" w14:textId="77777777" w:rsidR="00B44F28" w:rsidRDefault="00B44F28" w:rsidP="00BD080B">
      <w:pPr>
        <w:tabs>
          <w:tab w:val="left" w:pos="-1440"/>
        </w:tabs>
        <w:spacing w:line="360" w:lineRule="auto"/>
        <w:ind w:left="90"/>
        <w:jc w:val="both"/>
        <w:rPr>
          <w:sz w:val="22"/>
        </w:rPr>
      </w:pPr>
    </w:p>
    <w:p w14:paraId="64EC1D1E" w14:textId="77777777" w:rsidR="00631BC1" w:rsidRDefault="00631BC1" w:rsidP="00BD080B">
      <w:pPr>
        <w:tabs>
          <w:tab w:val="left" w:pos="-1440"/>
        </w:tabs>
        <w:spacing w:line="360" w:lineRule="auto"/>
        <w:ind w:left="720"/>
        <w:jc w:val="both"/>
        <w:rPr>
          <w:sz w:val="22"/>
        </w:rPr>
      </w:pPr>
      <w:r>
        <w:rPr>
          <w:sz w:val="22"/>
        </w:rPr>
        <w:t xml:space="preserve">ICE does not request an exception to the certification of this information collection. </w:t>
      </w:r>
    </w:p>
    <w:p w14:paraId="5125EFAC" w14:textId="77777777" w:rsidR="00631BC1" w:rsidRDefault="00631BC1" w:rsidP="00BD080B">
      <w:pPr>
        <w:tabs>
          <w:tab w:val="left" w:pos="-1440"/>
        </w:tabs>
        <w:spacing w:line="360" w:lineRule="auto"/>
        <w:ind w:left="720" w:hanging="720"/>
        <w:jc w:val="both"/>
        <w:outlineLvl w:val="0"/>
        <w:rPr>
          <w:b/>
          <w:sz w:val="22"/>
        </w:rPr>
      </w:pPr>
    </w:p>
    <w:p w14:paraId="37688947" w14:textId="77777777" w:rsidR="00631BC1" w:rsidRDefault="00631BC1">
      <w:pPr>
        <w:tabs>
          <w:tab w:val="left" w:pos="-1440"/>
        </w:tabs>
        <w:spacing w:line="480" w:lineRule="auto"/>
        <w:ind w:left="720" w:hanging="720"/>
        <w:jc w:val="both"/>
        <w:outlineLvl w:val="0"/>
        <w:rPr>
          <w:sz w:val="22"/>
        </w:rPr>
      </w:pPr>
      <w:r>
        <w:rPr>
          <w:b/>
          <w:sz w:val="22"/>
        </w:rPr>
        <w:t>B.</w:t>
      </w:r>
      <w:r>
        <w:rPr>
          <w:b/>
          <w:sz w:val="22"/>
        </w:rPr>
        <w:tab/>
        <w:t>Collection of Information Employing Statistical Methods.</w:t>
      </w:r>
      <w:r>
        <w:rPr>
          <w:sz w:val="22"/>
        </w:rPr>
        <w:t xml:space="preserve">  </w:t>
      </w:r>
    </w:p>
    <w:p w14:paraId="406742EF" w14:textId="77777777" w:rsidR="00631BC1" w:rsidRDefault="00631BC1">
      <w:pPr>
        <w:spacing w:line="480" w:lineRule="auto"/>
        <w:ind w:firstLine="720"/>
        <w:jc w:val="both"/>
        <w:rPr>
          <w:b/>
          <w:sz w:val="22"/>
        </w:rPr>
      </w:pPr>
      <w:r>
        <w:rPr>
          <w:sz w:val="22"/>
        </w:rPr>
        <w:t>Not applicable.</w:t>
      </w:r>
    </w:p>
    <w:p w14:paraId="547F9201" w14:textId="77777777" w:rsidR="00631BC1" w:rsidRDefault="00631BC1">
      <w:pPr>
        <w:spacing w:line="480" w:lineRule="auto"/>
        <w:jc w:val="both"/>
        <w:rPr>
          <w:b/>
          <w:sz w:val="22"/>
        </w:rPr>
      </w:pPr>
    </w:p>
    <w:sectPr w:rsidR="00631BC1" w:rsidSect="003E3362">
      <w:footerReference w:type="default" r:id="rId13"/>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more, Scott A" w:date="2019-06-27T12:09:00Z" w:initials="ESA">
    <w:p w14:paraId="54F75993" w14:textId="77777777" w:rsidR="00D36666" w:rsidRDefault="00D36666">
      <w:pPr>
        <w:pStyle w:val="CommentText"/>
      </w:pPr>
      <w:r>
        <w:rPr>
          <w:rStyle w:val="CommentReference"/>
        </w:rPr>
        <w:annotationRef/>
      </w:r>
      <w:r>
        <w:t>This will be updated by the PRA Clearance group.</w:t>
      </w:r>
    </w:p>
  </w:comment>
  <w:comment w:id="2" w:author="Akinyooye, Larry" w:date="2019-06-27T12:09:00Z" w:initials="AL">
    <w:p w14:paraId="30212A2D" w14:textId="44F40E70" w:rsidR="00D430E7" w:rsidRDefault="00D430E7">
      <w:pPr>
        <w:pStyle w:val="CommentText"/>
      </w:pPr>
      <w:r>
        <w:rPr>
          <w:rStyle w:val="CommentReference"/>
        </w:rPr>
        <w:annotationRef/>
      </w:r>
      <w:r>
        <w:t>Per ERO SME Wage is for GS14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F75993" w15:done="0"/>
  <w15:commentEx w15:paraId="30212A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75993" w16cid:durableId="1FBC835D"/>
  <w16cid:commentId w16cid:paraId="30212A2D" w16cid:durableId="20293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7CCE" w14:textId="77777777" w:rsidR="005B63BA" w:rsidRDefault="005B63BA">
      <w:r>
        <w:separator/>
      </w:r>
    </w:p>
  </w:endnote>
  <w:endnote w:type="continuationSeparator" w:id="0">
    <w:p w14:paraId="48BBC8F7" w14:textId="77777777" w:rsidR="005B63BA" w:rsidRDefault="005B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118FA" w14:textId="77777777" w:rsidR="00534151" w:rsidRDefault="003E3362" w:rsidP="002428EB">
    <w:pPr>
      <w:pStyle w:val="Footer"/>
      <w:framePr w:wrap="around" w:vAnchor="text" w:hAnchor="margin" w:xAlign="right" w:y="1"/>
      <w:rPr>
        <w:rStyle w:val="PageNumber"/>
      </w:rPr>
    </w:pPr>
    <w:r>
      <w:rPr>
        <w:rStyle w:val="PageNumber"/>
      </w:rPr>
      <w:fldChar w:fldCharType="begin"/>
    </w:r>
    <w:r w:rsidR="00534151">
      <w:rPr>
        <w:rStyle w:val="PageNumber"/>
      </w:rPr>
      <w:instrText xml:space="preserve">PAGE  </w:instrText>
    </w:r>
    <w:r>
      <w:rPr>
        <w:rStyle w:val="PageNumber"/>
      </w:rPr>
      <w:fldChar w:fldCharType="end"/>
    </w:r>
  </w:p>
  <w:p w14:paraId="5407F002" w14:textId="77777777" w:rsidR="00534151" w:rsidRDefault="00534151"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0889" w14:textId="77777777" w:rsidR="00534151" w:rsidRDefault="00534151">
    <w:pPr>
      <w:spacing w:line="240" w:lineRule="exact"/>
    </w:pPr>
  </w:p>
  <w:p w14:paraId="13515C32" w14:textId="77777777" w:rsidR="00534151" w:rsidRDefault="003E3362" w:rsidP="002428EB">
    <w:pPr>
      <w:framePr w:wrap="around" w:vAnchor="text" w:hAnchor="margin" w:xAlign="right" w:y="1"/>
      <w:jc w:val="center"/>
      <w:rPr>
        <w:rFonts w:cs="Courier"/>
      </w:rPr>
    </w:pPr>
    <w:r>
      <w:rPr>
        <w:rFonts w:cs="Courier"/>
      </w:rPr>
      <w:fldChar w:fldCharType="begin"/>
    </w:r>
    <w:r w:rsidR="00534151">
      <w:rPr>
        <w:rFonts w:cs="Courier"/>
      </w:rPr>
      <w:instrText xml:space="preserve">PAGE </w:instrText>
    </w:r>
    <w:r>
      <w:rPr>
        <w:rFonts w:cs="Courier"/>
      </w:rPr>
      <w:fldChar w:fldCharType="separate"/>
    </w:r>
    <w:r w:rsidR="008C44E7">
      <w:rPr>
        <w:rFonts w:cs="Courier"/>
        <w:noProof/>
      </w:rPr>
      <w:t>1</w:t>
    </w:r>
    <w:r>
      <w:rPr>
        <w:rFonts w:cs="Courier"/>
      </w:rPr>
      <w:fldChar w:fldCharType="end"/>
    </w:r>
  </w:p>
  <w:p w14:paraId="334A9746" w14:textId="77777777" w:rsidR="00534151" w:rsidRDefault="00534151"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73DEE" w14:textId="77777777" w:rsidR="00534151" w:rsidRDefault="00534151">
    <w:pPr>
      <w:spacing w:line="240" w:lineRule="exact"/>
    </w:pPr>
  </w:p>
  <w:p w14:paraId="279FCE92" w14:textId="77777777" w:rsidR="00534151" w:rsidRDefault="00A7423D">
    <w:pPr>
      <w:framePr w:w="9361" w:wrap="notBeside" w:vAnchor="text" w:hAnchor="text" w:x="1" w:y="1"/>
      <w:jc w:val="center"/>
    </w:pPr>
    <w:r>
      <w:fldChar w:fldCharType="begin"/>
    </w:r>
    <w:r>
      <w:instrText xml:space="preserve">PAGE </w:instrText>
    </w:r>
    <w:r>
      <w:fldChar w:fldCharType="separate"/>
    </w:r>
    <w:r w:rsidR="002E52E6">
      <w:rPr>
        <w:noProof/>
      </w:rPr>
      <w:t>7</w:t>
    </w:r>
    <w:r>
      <w:rPr>
        <w:noProof/>
      </w:rPr>
      <w:fldChar w:fldCharType="end"/>
    </w:r>
  </w:p>
  <w:p w14:paraId="38C47B39" w14:textId="77777777" w:rsidR="00534151" w:rsidRDefault="00534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4D6BF" w14:textId="77777777" w:rsidR="005B63BA" w:rsidRDefault="005B63BA">
      <w:r>
        <w:separator/>
      </w:r>
    </w:p>
  </w:footnote>
  <w:footnote w:type="continuationSeparator" w:id="0">
    <w:p w14:paraId="47DED2A3" w14:textId="77777777" w:rsidR="005B63BA" w:rsidRDefault="005B63BA">
      <w:r>
        <w:continuationSeparator/>
      </w:r>
    </w:p>
  </w:footnote>
  <w:footnote w:id="1">
    <w:p w14:paraId="66E76E6E" w14:textId="0F1108A7" w:rsidR="00FB2EB9" w:rsidRDefault="00FB2EB9">
      <w:pPr>
        <w:pStyle w:val="FootnoteText"/>
      </w:pPr>
      <w:r>
        <w:rPr>
          <w:rStyle w:val="FootnoteReference"/>
        </w:rPr>
        <w:footnoteRef/>
      </w:r>
      <w:r>
        <w:t xml:space="preserve"> </w:t>
      </w:r>
      <w:r w:rsidRPr="00FB2EB9">
        <w:t xml:space="preserve">See National Notary Association, Notary Fee by State </w:t>
      </w:r>
      <w:hyperlink r:id="rId1" w:history="1">
        <w:r w:rsidR="0026289E" w:rsidRPr="00EA4D0B">
          <w:rPr>
            <w:rStyle w:val="Hyperlink"/>
          </w:rPr>
          <w:t>https://www.nationalnotary.org/knowledge-center/about-notaries/notary-fees-by-state</w:t>
        </w:r>
      </w:hyperlink>
      <w:r w:rsidR="0026289E">
        <w:t xml:space="preserve">. </w:t>
      </w:r>
      <w:r w:rsidRPr="00FB2EB9">
        <w:t xml:space="preserve">Accessed </w:t>
      </w:r>
      <w:r>
        <w:t>March</w:t>
      </w:r>
      <w:r w:rsidRPr="00FB2EB9">
        <w:t xml:space="preserve"> </w:t>
      </w:r>
      <w:r>
        <w:t>4</w:t>
      </w:r>
      <w:r w:rsidRPr="00FB2EB9">
        <w:t>, 2019.</w:t>
      </w:r>
    </w:p>
  </w:footnote>
  <w:footnote w:id="2">
    <w:p w14:paraId="3FA0CBDD" w14:textId="6ACC3A40" w:rsidR="00CF745F" w:rsidRDefault="00CF745F" w:rsidP="00CF745F">
      <w:pPr>
        <w:pStyle w:val="FootnoteText"/>
      </w:pPr>
      <w:r>
        <w:rPr>
          <w:rStyle w:val="FootnoteReference"/>
        </w:rPr>
        <w:footnoteRef/>
      </w:r>
      <w:r>
        <w:t xml:space="preserve"> Hourly wage rate for a federal employee GS-01</w:t>
      </w:r>
      <w:r w:rsidR="009865D8">
        <w:t>4</w:t>
      </w:r>
      <w:r>
        <w:t xml:space="preserve"> step 0</w:t>
      </w:r>
      <w:r w:rsidR="009865D8">
        <w:t>5</w:t>
      </w:r>
      <w:r>
        <w:t>, $4</w:t>
      </w:r>
      <w:r w:rsidR="00DF6FC6">
        <w:t>8</w:t>
      </w:r>
      <w:r>
        <w:t>.</w:t>
      </w:r>
      <w:r w:rsidR="00DF6FC6">
        <w:t>53</w:t>
      </w:r>
      <w:r>
        <w:t xml:space="preserve">, </w:t>
      </w:r>
      <w:hyperlink r:id="rId2" w:history="1">
        <w:r w:rsidRPr="00EA4D0B">
          <w:rPr>
            <w:rStyle w:val="Hyperlink"/>
          </w:rPr>
          <w:t>https://www.opm.gov/policy-data-oversight/pay-leave/salaries-wages/salary-tables/pdf/2019/GS_h.pdf</w:t>
        </w:r>
      </w:hyperlink>
      <w:r>
        <w:t xml:space="preserve"> </w:t>
      </w:r>
    </w:p>
    <w:p w14:paraId="16B9A8F7" w14:textId="78DE1636" w:rsidR="00CF745F" w:rsidRDefault="00CF745F" w:rsidP="00CF745F">
      <w:pPr>
        <w:pStyle w:val="FootnoteText"/>
      </w:pPr>
      <w:r>
        <w:t>The average hourly loaded wage rate is calculated as $</w:t>
      </w:r>
      <w:r w:rsidR="00DF6FC6">
        <w:t>71.05</w:t>
      </w:r>
      <w:r>
        <w:t xml:space="preserve">, using the percentage of wages and salaries to total compensation for civilian workers (0.683), as reported by the Bureau of Labor Statistics, Employer Costs for Employee Compensation, released September 18, 2018, </w:t>
      </w:r>
      <w:hyperlink r:id="rId3" w:history="1">
        <w:r w:rsidRPr="00EA4D0B">
          <w:rPr>
            <w:rStyle w:val="Hyperlink"/>
          </w:rPr>
          <w:t>https://www.bls.gov/news.release/archives/ecec_12142018.htm</w:t>
        </w:r>
      </w:hyperlink>
      <w:r>
        <w:t>. $</w:t>
      </w:r>
      <w:r w:rsidR="00DF6FC6">
        <w:t>71.05</w:t>
      </w:r>
      <w:r>
        <w:t xml:space="preserve"> = $</w:t>
      </w:r>
      <w:r w:rsidR="00DF6FC6">
        <w:t>48</w:t>
      </w:r>
      <w:r>
        <w:t>.</w:t>
      </w:r>
      <w:r w:rsidR="00DF6FC6">
        <w:t>53</w:t>
      </w:r>
      <w:r>
        <w:t xml:space="preserve"> / 0.683.</w:t>
      </w:r>
    </w:p>
    <w:p w14:paraId="6B93D0BD" w14:textId="7B0714EB" w:rsidR="00CF745F" w:rsidRDefault="00CF745F" w:rsidP="00CF745F">
      <w:pPr>
        <w:pStyle w:val="FootnoteText"/>
      </w:pPr>
      <w:r>
        <w:t>Overhead rate of 12 percent was added to the loaded wage to arrive at an hourly rate of $7</w:t>
      </w:r>
      <w:r w:rsidR="00DF6FC6">
        <w:t>9.58</w:t>
      </w:r>
      <w:r>
        <w:t xml:space="preserve">; the 12 percent overhead reflects operations and general cost as reported in OMB Circular A76, </w:t>
      </w:r>
      <w:hyperlink r:id="rId4" w:history="1">
        <w:r w:rsidRPr="00EA4D0B">
          <w:rPr>
            <w:rStyle w:val="Hyperlink"/>
          </w:rPr>
          <w:t>https://www.whitehouse.gov/sites/whitehouse.gov/files/omb/circulars/A76/a76_incl_tech_correction.pdf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2">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3">
    <w:nsid w:val="2C9476E9"/>
    <w:multiLevelType w:val="hybridMultilevel"/>
    <w:tmpl w:val="5EA69D94"/>
    <w:lvl w:ilvl="0" w:tplc="6F52331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AC2879"/>
    <w:multiLevelType w:val="hybridMultilevel"/>
    <w:tmpl w:val="C9B4B2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6">
    <w:nsid w:val="3DA220ED"/>
    <w:multiLevelType w:val="hybridMultilevel"/>
    <w:tmpl w:val="ABDA73C6"/>
    <w:lvl w:ilvl="0" w:tplc="B6F698C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8678DC"/>
    <w:multiLevelType w:val="hybridMultilevel"/>
    <w:tmpl w:val="E252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263D10"/>
    <w:multiLevelType w:val="hybridMultilevel"/>
    <w:tmpl w:val="747C536A"/>
    <w:lvl w:ilvl="0" w:tplc="5FE077D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5"/>
  </w:num>
  <w:num w:numId="4">
    <w:abstractNumId w:val="9"/>
  </w:num>
  <w:num w:numId="5">
    <w:abstractNumId w:val="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more, Scott A">
    <w15:presenceInfo w15:providerId="AD" w15:userId="S::0258682971@ice.dhs.gov::5e7bff55-d692-463b-b47b-b729d0267044"/>
  </w15:person>
  <w15:person w15:author="Akinyooye, Larry">
    <w15:presenceInfo w15:providerId="AD" w15:userId="S-1-5-21-3516912911-3241761273-3555923892-63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0482F"/>
    <w:rsid w:val="000109B3"/>
    <w:rsid w:val="000137A2"/>
    <w:rsid w:val="00036FD8"/>
    <w:rsid w:val="00041608"/>
    <w:rsid w:val="000466D9"/>
    <w:rsid w:val="00061A54"/>
    <w:rsid w:val="0006353F"/>
    <w:rsid w:val="0007706B"/>
    <w:rsid w:val="000B3102"/>
    <w:rsid w:val="000C000D"/>
    <w:rsid w:val="000D23FF"/>
    <w:rsid w:val="000F4DD1"/>
    <w:rsid w:val="00137B37"/>
    <w:rsid w:val="00186CA8"/>
    <w:rsid w:val="00197843"/>
    <w:rsid w:val="001A5D05"/>
    <w:rsid w:val="001D0AAA"/>
    <w:rsid w:val="001E3664"/>
    <w:rsid w:val="001F3A14"/>
    <w:rsid w:val="00200247"/>
    <w:rsid w:val="002144FE"/>
    <w:rsid w:val="0024009B"/>
    <w:rsid w:val="002428EB"/>
    <w:rsid w:val="00253B21"/>
    <w:rsid w:val="0026289E"/>
    <w:rsid w:val="00267872"/>
    <w:rsid w:val="00274FEF"/>
    <w:rsid w:val="00281AA1"/>
    <w:rsid w:val="002D0C5A"/>
    <w:rsid w:val="002D0C7C"/>
    <w:rsid w:val="002D7741"/>
    <w:rsid w:val="002E52E6"/>
    <w:rsid w:val="002E6B26"/>
    <w:rsid w:val="002F7341"/>
    <w:rsid w:val="00306C2D"/>
    <w:rsid w:val="003078FF"/>
    <w:rsid w:val="00326B34"/>
    <w:rsid w:val="0033167C"/>
    <w:rsid w:val="00362554"/>
    <w:rsid w:val="003A5841"/>
    <w:rsid w:val="003B4670"/>
    <w:rsid w:val="003B61A2"/>
    <w:rsid w:val="003B7745"/>
    <w:rsid w:val="003E3362"/>
    <w:rsid w:val="003F3209"/>
    <w:rsid w:val="003F3C7C"/>
    <w:rsid w:val="003F414C"/>
    <w:rsid w:val="00424F3E"/>
    <w:rsid w:val="004823DC"/>
    <w:rsid w:val="004B639A"/>
    <w:rsid w:val="004C1A1C"/>
    <w:rsid w:val="004D25DC"/>
    <w:rsid w:val="004D6C2D"/>
    <w:rsid w:val="004F486B"/>
    <w:rsid w:val="0050012F"/>
    <w:rsid w:val="005326E4"/>
    <w:rsid w:val="00534151"/>
    <w:rsid w:val="0059257E"/>
    <w:rsid w:val="005A2E5A"/>
    <w:rsid w:val="005A6B51"/>
    <w:rsid w:val="005B63BA"/>
    <w:rsid w:val="005C580D"/>
    <w:rsid w:val="005D7BF0"/>
    <w:rsid w:val="005E2118"/>
    <w:rsid w:val="005E240C"/>
    <w:rsid w:val="006039C9"/>
    <w:rsid w:val="00606F9C"/>
    <w:rsid w:val="00616663"/>
    <w:rsid w:val="00617EC9"/>
    <w:rsid w:val="00623F1E"/>
    <w:rsid w:val="00631BC1"/>
    <w:rsid w:val="00651011"/>
    <w:rsid w:val="00675668"/>
    <w:rsid w:val="006A52DD"/>
    <w:rsid w:val="006A73A8"/>
    <w:rsid w:val="006B15B4"/>
    <w:rsid w:val="006B5ECD"/>
    <w:rsid w:val="006C79EA"/>
    <w:rsid w:val="006E5CF2"/>
    <w:rsid w:val="007133C6"/>
    <w:rsid w:val="00743959"/>
    <w:rsid w:val="00760B6D"/>
    <w:rsid w:val="00760BF0"/>
    <w:rsid w:val="007B2BA5"/>
    <w:rsid w:val="007B7067"/>
    <w:rsid w:val="007D006C"/>
    <w:rsid w:val="008315E0"/>
    <w:rsid w:val="00850C31"/>
    <w:rsid w:val="0086617B"/>
    <w:rsid w:val="008769DC"/>
    <w:rsid w:val="0089247A"/>
    <w:rsid w:val="008A6045"/>
    <w:rsid w:val="008B79A7"/>
    <w:rsid w:val="008C44E7"/>
    <w:rsid w:val="008C6DE0"/>
    <w:rsid w:val="00927E73"/>
    <w:rsid w:val="00950C05"/>
    <w:rsid w:val="00950E89"/>
    <w:rsid w:val="009674A0"/>
    <w:rsid w:val="00981E57"/>
    <w:rsid w:val="009865D8"/>
    <w:rsid w:val="009C2EEC"/>
    <w:rsid w:val="00A269BD"/>
    <w:rsid w:val="00A36CA9"/>
    <w:rsid w:val="00A55045"/>
    <w:rsid w:val="00A7423D"/>
    <w:rsid w:val="00AA6917"/>
    <w:rsid w:val="00AC46A9"/>
    <w:rsid w:val="00B0494D"/>
    <w:rsid w:val="00B1673E"/>
    <w:rsid w:val="00B4114A"/>
    <w:rsid w:val="00B44F28"/>
    <w:rsid w:val="00B9649C"/>
    <w:rsid w:val="00BA0F46"/>
    <w:rsid w:val="00BD080B"/>
    <w:rsid w:val="00C24B95"/>
    <w:rsid w:val="00C56EE1"/>
    <w:rsid w:val="00C670EB"/>
    <w:rsid w:val="00C75BCB"/>
    <w:rsid w:val="00CB6F0A"/>
    <w:rsid w:val="00CF6C68"/>
    <w:rsid w:val="00CF745F"/>
    <w:rsid w:val="00D038E0"/>
    <w:rsid w:val="00D1646C"/>
    <w:rsid w:val="00D1710F"/>
    <w:rsid w:val="00D36666"/>
    <w:rsid w:val="00D4062E"/>
    <w:rsid w:val="00D430E7"/>
    <w:rsid w:val="00D517C7"/>
    <w:rsid w:val="00D87B87"/>
    <w:rsid w:val="00DB2BD8"/>
    <w:rsid w:val="00DE662A"/>
    <w:rsid w:val="00DF58F4"/>
    <w:rsid w:val="00DF6FC6"/>
    <w:rsid w:val="00E067A2"/>
    <w:rsid w:val="00E30D8F"/>
    <w:rsid w:val="00E675AA"/>
    <w:rsid w:val="00E706B9"/>
    <w:rsid w:val="00E71CEC"/>
    <w:rsid w:val="00E872FA"/>
    <w:rsid w:val="00E966EC"/>
    <w:rsid w:val="00EB4B77"/>
    <w:rsid w:val="00EF1361"/>
    <w:rsid w:val="00F3451A"/>
    <w:rsid w:val="00F36356"/>
    <w:rsid w:val="00F71633"/>
    <w:rsid w:val="00F90EB7"/>
    <w:rsid w:val="00FB2EB9"/>
    <w:rsid w:val="00FC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5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character" w:styleId="CommentReference">
    <w:name w:val="annotation reference"/>
    <w:basedOn w:val="DefaultParagraphFont"/>
    <w:rsid w:val="00F36356"/>
    <w:rPr>
      <w:sz w:val="16"/>
      <w:szCs w:val="16"/>
    </w:rPr>
  </w:style>
  <w:style w:type="paragraph" w:styleId="CommentText">
    <w:name w:val="annotation text"/>
    <w:basedOn w:val="Normal"/>
    <w:link w:val="CommentTextChar"/>
    <w:rsid w:val="00F36356"/>
  </w:style>
  <w:style w:type="character" w:customStyle="1" w:styleId="CommentTextChar">
    <w:name w:val="Comment Text Char"/>
    <w:basedOn w:val="DefaultParagraphFont"/>
    <w:link w:val="CommentText"/>
    <w:rsid w:val="00F36356"/>
  </w:style>
  <w:style w:type="paragraph" w:styleId="CommentSubject">
    <w:name w:val="annotation subject"/>
    <w:basedOn w:val="CommentText"/>
    <w:next w:val="CommentText"/>
    <w:link w:val="CommentSubjectChar"/>
    <w:rsid w:val="00F36356"/>
    <w:rPr>
      <w:b/>
      <w:bCs/>
    </w:rPr>
  </w:style>
  <w:style w:type="character" w:customStyle="1" w:styleId="CommentSubjectChar">
    <w:name w:val="Comment Subject Char"/>
    <w:basedOn w:val="CommentTextChar"/>
    <w:link w:val="CommentSubject"/>
    <w:rsid w:val="00F36356"/>
    <w:rPr>
      <w:b/>
      <w:bCs/>
    </w:rPr>
  </w:style>
  <w:style w:type="paragraph" w:styleId="BodyTextIndent2">
    <w:name w:val="Body Text Indent 2"/>
    <w:basedOn w:val="Normal"/>
    <w:link w:val="BodyTextIndent2Char"/>
    <w:semiHidden/>
    <w:unhideWhenUsed/>
    <w:rsid w:val="0006353F"/>
    <w:pPr>
      <w:spacing w:after="120" w:line="480" w:lineRule="auto"/>
      <w:ind w:left="360"/>
    </w:pPr>
  </w:style>
  <w:style w:type="character" w:customStyle="1" w:styleId="BodyTextIndent2Char">
    <w:name w:val="Body Text Indent 2 Char"/>
    <w:basedOn w:val="DefaultParagraphFont"/>
    <w:link w:val="BodyTextIndent2"/>
    <w:semiHidden/>
    <w:rsid w:val="0006353F"/>
  </w:style>
  <w:style w:type="character" w:styleId="Hyperlink">
    <w:name w:val="Hyperlink"/>
    <w:basedOn w:val="DefaultParagraphFont"/>
    <w:uiPriority w:val="99"/>
    <w:unhideWhenUsed/>
    <w:rsid w:val="0006353F"/>
    <w:rPr>
      <w:color w:val="0000FF"/>
      <w:u w:val="single"/>
    </w:rPr>
  </w:style>
  <w:style w:type="paragraph" w:styleId="FootnoteText">
    <w:name w:val="footnote text"/>
    <w:basedOn w:val="Normal"/>
    <w:link w:val="FootnoteTextChar"/>
    <w:semiHidden/>
    <w:unhideWhenUsed/>
    <w:rsid w:val="00FB2EB9"/>
  </w:style>
  <w:style w:type="character" w:customStyle="1" w:styleId="FootnoteTextChar">
    <w:name w:val="Footnote Text Char"/>
    <w:basedOn w:val="DefaultParagraphFont"/>
    <w:link w:val="FootnoteText"/>
    <w:semiHidden/>
    <w:rsid w:val="00FB2EB9"/>
  </w:style>
  <w:style w:type="character" w:styleId="FootnoteReference">
    <w:name w:val="footnote reference"/>
    <w:basedOn w:val="DefaultParagraphFont"/>
    <w:semiHidden/>
    <w:unhideWhenUsed/>
    <w:rsid w:val="00FB2EB9"/>
    <w:rPr>
      <w:vertAlign w:val="superscript"/>
    </w:rPr>
  </w:style>
  <w:style w:type="character" w:customStyle="1" w:styleId="UnresolvedMention">
    <w:name w:val="Unresolved Mention"/>
    <w:basedOn w:val="DefaultParagraphFont"/>
    <w:uiPriority w:val="99"/>
    <w:semiHidden/>
    <w:unhideWhenUsed/>
    <w:rsid w:val="0026289E"/>
    <w:rPr>
      <w:color w:val="605E5C"/>
      <w:shd w:val="clear" w:color="auto" w:fill="E1DFDD"/>
    </w:rPr>
  </w:style>
  <w:style w:type="character" w:styleId="FollowedHyperlink">
    <w:name w:val="FollowedHyperlink"/>
    <w:basedOn w:val="DefaultParagraphFont"/>
    <w:semiHidden/>
    <w:unhideWhenUsed/>
    <w:rsid w:val="009865D8"/>
    <w:rPr>
      <w:color w:val="800080" w:themeColor="followedHyperlink"/>
      <w:u w:val="single"/>
    </w:rPr>
  </w:style>
  <w:style w:type="paragraph" w:styleId="ListParagraph">
    <w:name w:val="List Paragraph"/>
    <w:basedOn w:val="Normal"/>
    <w:uiPriority w:val="34"/>
    <w:qFormat/>
    <w:rsid w:val="005A2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character" w:styleId="CommentReference">
    <w:name w:val="annotation reference"/>
    <w:basedOn w:val="DefaultParagraphFont"/>
    <w:rsid w:val="00F36356"/>
    <w:rPr>
      <w:sz w:val="16"/>
      <w:szCs w:val="16"/>
    </w:rPr>
  </w:style>
  <w:style w:type="paragraph" w:styleId="CommentText">
    <w:name w:val="annotation text"/>
    <w:basedOn w:val="Normal"/>
    <w:link w:val="CommentTextChar"/>
    <w:rsid w:val="00F36356"/>
  </w:style>
  <w:style w:type="character" w:customStyle="1" w:styleId="CommentTextChar">
    <w:name w:val="Comment Text Char"/>
    <w:basedOn w:val="DefaultParagraphFont"/>
    <w:link w:val="CommentText"/>
    <w:rsid w:val="00F36356"/>
  </w:style>
  <w:style w:type="paragraph" w:styleId="CommentSubject">
    <w:name w:val="annotation subject"/>
    <w:basedOn w:val="CommentText"/>
    <w:next w:val="CommentText"/>
    <w:link w:val="CommentSubjectChar"/>
    <w:rsid w:val="00F36356"/>
    <w:rPr>
      <w:b/>
      <w:bCs/>
    </w:rPr>
  </w:style>
  <w:style w:type="character" w:customStyle="1" w:styleId="CommentSubjectChar">
    <w:name w:val="Comment Subject Char"/>
    <w:basedOn w:val="CommentTextChar"/>
    <w:link w:val="CommentSubject"/>
    <w:rsid w:val="00F36356"/>
    <w:rPr>
      <w:b/>
      <w:bCs/>
    </w:rPr>
  </w:style>
  <w:style w:type="paragraph" w:styleId="BodyTextIndent2">
    <w:name w:val="Body Text Indent 2"/>
    <w:basedOn w:val="Normal"/>
    <w:link w:val="BodyTextIndent2Char"/>
    <w:semiHidden/>
    <w:unhideWhenUsed/>
    <w:rsid w:val="0006353F"/>
    <w:pPr>
      <w:spacing w:after="120" w:line="480" w:lineRule="auto"/>
      <w:ind w:left="360"/>
    </w:pPr>
  </w:style>
  <w:style w:type="character" w:customStyle="1" w:styleId="BodyTextIndent2Char">
    <w:name w:val="Body Text Indent 2 Char"/>
    <w:basedOn w:val="DefaultParagraphFont"/>
    <w:link w:val="BodyTextIndent2"/>
    <w:semiHidden/>
    <w:rsid w:val="0006353F"/>
  </w:style>
  <w:style w:type="character" w:styleId="Hyperlink">
    <w:name w:val="Hyperlink"/>
    <w:basedOn w:val="DefaultParagraphFont"/>
    <w:uiPriority w:val="99"/>
    <w:unhideWhenUsed/>
    <w:rsid w:val="0006353F"/>
    <w:rPr>
      <w:color w:val="0000FF"/>
      <w:u w:val="single"/>
    </w:rPr>
  </w:style>
  <w:style w:type="paragraph" w:styleId="FootnoteText">
    <w:name w:val="footnote text"/>
    <w:basedOn w:val="Normal"/>
    <w:link w:val="FootnoteTextChar"/>
    <w:semiHidden/>
    <w:unhideWhenUsed/>
    <w:rsid w:val="00FB2EB9"/>
  </w:style>
  <w:style w:type="character" w:customStyle="1" w:styleId="FootnoteTextChar">
    <w:name w:val="Footnote Text Char"/>
    <w:basedOn w:val="DefaultParagraphFont"/>
    <w:link w:val="FootnoteText"/>
    <w:semiHidden/>
    <w:rsid w:val="00FB2EB9"/>
  </w:style>
  <w:style w:type="character" w:styleId="FootnoteReference">
    <w:name w:val="footnote reference"/>
    <w:basedOn w:val="DefaultParagraphFont"/>
    <w:semiHidden/>
    <w:unhideWhenUsed/>
    <w:rsid w:val="00FB2EB9"/>
    <w:rPr>
      <w:vertAlign w:val="superscript"/>
    </w:rPr>
  </w:style>
  <w:style w:type="character" w:customStyle="1" w:styleId="UnresolvedMention">
    <w:name w:val="Unresolved Mention"/>
    <w:basedOn w:val="DefaultParagraphFont"/>
    <w:uiPriority w:val="99"/>
    <w:semiHidden/>
    <w:unhideWhenUsed/>
    <w:rsid w:val="0026289E"/>
    <w:rPr>
      <w:color w:val="605E5C"/>
      <w:shd w:val="clear" w:color="auto" w:fill="E1DFDD"/>
    </w:rPr>
  </w:style>
  <w:style w:type="character" w:styleId="FollowedHyperlink">
    <w:name w:val="FollowedHyperlink"/>
    <w:basedOn w:val="DefaultParagraphFont"/>
    <w:semiHidden/>
    <w:unhideWhenUsed/>
    <w:rsid w:val="009865D8"/>
    <w:rPr>
      <w:color w:val="800080" w:themeColor="followedHyperlink"/>
      <w:u w:val="single"/>
    </w:rPr>
  </w:style>
  <w:style w:type="paragraph" w:styleId="ListParagraph">
    <w:name w:val="List Paragraph"/>
    <w:basedOn w:val="Normal"/>
    <w:uiPriority w:val="34"/>
    <w:qFormat/>
    <w:rsid w:val="005A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9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archives/ecec_12142018.htm"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12142018.htm" TargetMode="External"/><Relationship Id="rId2" Type="http://schemas.openxmlformats.org/officeDocument/2006/relationships/hyperlink" Target="https://www.opm.gov/policy-data-oversight/pay-leave/salaries-wages/salary-tables/pdf/2019/GS_h.pdf" TargetMode="External"/><Relationship Id="rId1" Type="http://schemas.openxmlformats.org/officeDocument/2006/relationships/hyperlink" Target="https://www.nationalnotary.org/knowledge-center/about-notaries/notary-fees-by-state" TargetMode="External"/><Relationship Id="rId4" Type="http://schemas.openxmlformats.org/officeDocument/2006/relationships/hyperlink" Target="https://www.whitehouse.gov/sites/whitehouse.gov/files/omb/circulars/A76/a76_incl_tech_corr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FAA5-1BB5-4CAF-BC58-B22C5811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SYSTEM</cp:lastModifiedBy>
  <cp:revision>2</cp:revision>
  <cp:lastPrinted>2016-05-19T14:23:00Z</cp:lastPrinted>
  <dcterms:created xsi:type="dcterms:W3CDTF">2019-06-27T16:09:00Z</dcterms:created>
  <dcterms:modified xsi:type="dcterms:W3CDTF">2019-06-27T16:09:00Z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