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156" w:rsidRDefault="00E57B7D">
      <w:pPr>
        <w:tabs>
          <w:tab w:val="center" w:pos="4680"/>
        </w:tabs>
        <w:jc w:val="center"/>
        <w:rPr>
          <w:rFonts w:ascii="Arial" w:hAnsi="Arial" w:cs="Arial"/>
        </w:rPr>
      </w:pPr>
      <w:bookmarkStart w:id="0" w:name="_GoBack"/>
      <w:bookmarkEnd w:id="0"/>
      <w:r>
        <w:rPr>
          <w:rFonts w:ascii="Arial" w:hAnsi="Arial" w:cs="Arial"/>
        </w:rPr>
        <w:t>SUPPORTING STATEMENT</w:t>
      </w:r>
    </w:p>
    <w:p w:rsidR="00921A95" w:rsidRDefault="00921A95">
      <w:pPr>
        <w:tabs>
          <w:tab w:val="center" w:pos="4680"/>
        </w:tabs>
        <w:jc w:val="center"/>
        <w:rPr>
          <w:rFonts w:ascii="Arial" w:hAnsi="Arial" w:cs="Arial"/>
        </w:rPr>
      </w:pPr>
      <w:r>
        <w:rPr>
          <w:rFonts w:ascii="Arial" w:hAnsi="Arial" w:cs="Arial"/>
        </w:rPr>
        <w:t>Internal Revenue Service</w:t>
      </w:r>
    </w:p>
    <w:p w:rsidR="00C57C4C" w:rsidRDefault="00C57C4C">
      <w:pPr>
        <w:tabs>
          <w:tab w:val="center" w:pos="4680"/>
        </w:tabs>
        <w:jc w:val="center"/>
        <w:rPr>
          <w:rFonts w:ascii="Arial" w:hAnsi="Arial" w:cs="Arial"/>
        </w:rPr>
      </w:pPr>
      <w:r w:rsidRPr="00C57C4C">
        <w:rPr>
          <w:rFonts w:ascii="Arial" w:hAnsi="Arial" w:cs="Arial"/>
        </w:rPr>
        <w:t xml:space="preserve">Arbitrage Rebate, Yield Reduction and Penalty </w:t>
      </w:r>
    </w:p>
    <w:p w:rsidR="00740F63" w:rsidRDefault="00C57C4C">
      <w:pPr>
        <w:tabs>
          <w:tab w:val="center" w:pos="4680"/>
        </w:tabs>
        <w:jc w:val="center"/>
        <w:rPr>
          <w:rFonts w:ascii="Arial" w:hAnsi="Arial" w:cs="Arial"/>
        </w:rPr>
      </w:pPr>
      <w:r w:rsidRPr="00C57C4C">
        <w:rPr>
          <w:rFonts w:ascii="Arial" w:hAnsi="Arial" w:cs="Arial"/>
        </w:rPr>
        <w:t>in Lieu of</w:t>
      </w:r>
      <w:r>
        <w:rPr>
          <w:rFonts w:ascii="Arial" w:hAnsi="Arial" w:cs="Arial"/>
        </w:rPr>
        <w:t xml:space="preserve"> </w:t>
      </w:r>
      <w:r w:rsidRPr="00C57C4C">
        <w:rPr>
          <w:rFonts w:ascii="Arial" w:hAnsi="Arial" w:cs="Arial"/>
        </w:rPr>
        <w:t>Arbitrage Rebate</w:t>
      </w:r>
    </w:p>
    <w:p w:rsidR="006C6156" w:rsidRDefault="00E57B7D">
      <w:pPr>
        <w:tabs>
          <w:tab w:val="center" w:pos="4680"/>
        </w:tabs>
        <w:jc w:val="center"/>
        <w:rPr>
          <w:rFonts w:ascii="Arial" w:hAnsi="Arial" w:cs="Arial"/>
        </w:rPr>
      </w:pPr>
      <w:r>
        <w:rPr>
          <w:rFonts w:ascii="Arial" w:hAnsi="Arial" w:cs="Arial"/>
        </w:rPr>
        <w:t>OMB# 1545-</w:t>
      </w:r>
      <w:r w:rsidR="00C57C4C">
        <w:rPr>
          <w:rFonts w:ascii="Arial" w:hAnsi="Arial" w:cs="Arial"/>
        </w:rPr>
        <w:t>1219</w:t>
      </w:r>
    </w:p>
    <w:p w:rsidR="006C6156" w:rsidRDefault="006C6156">
      <w:pPr>
        <w:rPr>
          <w:rFonts w:ascii="Arial" w:hAnsi="Arial" w:cs="Arial"/>
        </w:rPr>
      </w:pPr>
    </w:p>
    <w:p w:rsidR="006C6156" w:rsidRDefault="00E57B7D">
      <w:pPr>
        <w:pStyle w:val="Level1"/>
        <w:numPr>
          <w:ilvl w:val="0"/>
          <w:numId w:val="1"/>
        </w:numPr>
        <w:tabs>
          <w:tab w:val="left" w:pos="-1440"/>
          <w:tab w:val="num" w:pos="720"/>
        </w:tabs>
        <w:rPr>
          <w:rFonts w:ascii="Arial" w:hAnsi="Arial" w:cs="Arial"/>
        </w:rPr>
      </w:pPr>
      <w:r>
        <w:rPr>
          <w:rFonts w:ascii="Arial" w:hAnsi="Arial" w:cs="Arial"/>
        </w:rPr>
        <w:t xml:space="preserve"> </w:t>
      </w:r>
      <w:r>
        <w:rPr>
          <w:rFonts w:ascii="Arial" w:hAnsi="Arial" w:cs="Arial"/>
          <w:u w:val="single"/>
        </w:rPr>
        <w:t>CIRCUMSTANCES NECESSITATING COLLECTION OF INFORMATION</w:t>
      </w:r>
    </w:p>
    <w:p w:rsidR="006C6156" w:rsidRDefault="006C6156">
      <w:pPr>
        <w:rPr>
          <w:rFonts w:ascii="Arial" w:hAnsi="Arial" w:cs="Arial"/>
        </w:rPr>
      </w:pPr>
    </w:p>
    <w:p w:rsidR="00C57C4C" w:rsidRDefault="00C57C4C">
      <w:pPr>
        <w:ind w:left="720"/>
        <w:rPr>
          <w:rFonts w:ascii="Arial" w:hAnsi="Arial" w:cs="Arial"/>
        </w:rPr>
      </w:pPr>
      <w:r w:rsidRPr="00C57C4C">
        <w:rPr>
          <w:rFonts w:ascii="Arial" w:hAnsi="Arial" w:cs="Arial"/>
        </w:rPr>
        <w:t xml:space="preserve">Sections 143 and 148 require bond issuers to pay a rebate to the United States if the proceeds of a bond issue are used for arbitrage and the issuer wishes the bonds to retain their exempt status.  Section 148 also contains provisions for election and/or payment of various penalties associated with arbitrage bonds.  </w:t>
      </w:r>
    </w:p>
    <w:p w:rsidR="00C57C4C" w:rsidRDefault="00C57C4C">
      <w:pPr>
        <w:ind w:left="720"/>
        <w:rPr>
          <w:rFonts w:ascii="Arial" w:hAnsi="Arial" w:cs="Arial"/>
        </w:rPr>
      </w:pPr>
    </w:p>
    <w:p w:rsidR="00C57C4C" w:rsidRDefault="00C57C4C">
      <w:pPr>
        <w:ind w:left="720"/>
        <w:rPr>
          <w:rFonts w:ascii="Arial" w:hAnsi="Arial" w:cs="Arial"/>
        </w:rPr>
      </w:pPr>
      <w:r w:rsidRPr="00C57C4C">
        <w:rPr>
          <w:rFonts w:ascii="Arial" w:hAnsi="Arial" w:cs="Arial"/>
        </w:rPr>
        <w:t>Section 148 requires state and local governmental issuers of tax-exempt bonds to rebate certain arbitrage profits earned on non</w:t>
      </w:r>
      <w:r>
        <w:rPr>
          <w:rFonts w:ascii="Arial" w:hAnsi="Arial" w:cs="Arial"/>
        </w:rPr>
        <w:t>-</w:t>
      </w:r>
      <w:r w:rsidRPr="00C57C4C">
        <w:rPr>
          <w:rFonts w:ascii="Arial" w:hAnsi="Arial" w:cs="Arial"/>
        </w:rPr>
        <w:t>purpose investments acquired with bond proceeds.  Issuers are required to submit a form with the rebate. The regulation explains how the arbitrage calculations are to be made.  The regulation provides for several elections, all of which involve recordkeeping</w:t>
      </w:r>
    </w:p>
    <w:p w:rsidR="00C57C4C" w:rsidRDefault="00C57C4C">
      <w:pPr>
        <w:ind w:left="720"/>
        <w:rPr>
          <w:rFonts w:ascii="Arial" w:hAnsi="Arial" w:cs="Arial"/>
        </w:rPr>
      </w:pPr>
    </w:p>
    <w:p w:rsidR="006C6156" w:rsidRDefault="008E1528">
      <w:pPr>
        <w:ind w:left="720"/>
        <w:rPr>
          <w:rFonts w:ascii="Arial" w:hAnsi="Arial" w:cs="Arial"/>
        </w:rPr>
      </w:pPr>
      <w:r w:rsidRPr="008E1528">
        <w:rPr>
          <w:rFonts w:ascii="Arial" w:hAnsi="Arial" w:cs="Arial"/>
        </w:rPr>
        <w:t>Form 803</w:t>
      </w:r>
      <w:r>
        <w:rPr>
          <w:rFonts w:ascii="Arial" w:hAnsi="Arial" w:cs="Arial"/>
        </w:rPr>
        <w:t>8</w:t>
      </w:r>
      <w:r w:rsidRPr="008E1528">
        <w:rPr>
          <w:rFonts w:ascii="Arial" w:hAnsi="Arial" w:cs="Arial"/>
        </w:rPr>
        <w:t>-T is used to pay the arbitrage rebate to the United States, and to pay a penalty in lieu of rebates. Under Internal Revenue Code section 148(f), interest on a state or local bond is not tax-exempt unless the issuer of the bond rebates to the United States arbitrage profits earned from investing proceeds of the bond in higher yielding non</w:t>
      </w:r>
      <w:r>
        <w:rPr>
          <w:rFonts w:ascii="Arial" w:hAnsi="Arial" w:cs="Arial"/>
        </w:rPr>
        <w:t>-</w:t>
      </w:r>
      <w:r w:rsidRPr="008E1528">
        <w:rPr>
          <w:rFonts w:ascii="Arial" w:hAnsi="Arial" w:cs="Arial"/>
        </w:rPr>
        <w:t xml:space="preserve">purpose investments. </w:t>
      </w:r>
      <w:bookmarkStart w:id="1" w:name="_Hlk2980152"/>
      <w:r w:rsidRPr="008E1528">
        <w:rPr>
          <w:rFonts w:ascii="Arial" w:hAnsi="Arial" w:cs="Arial"/>
        </w:rPr>
        <w:t>Issuers of tax-exempt bonds and any other bonds subject to the provisions of Internal Revenue Code section 148 must use this form to make arbitrage rebate and related payments</w:t>
      </w:r>
      <w:bookmarkEnd w:id="1"/>
      <w:r w:rsidRPr="008E1528">
        <w:rPr>
          <w:rFonts w:ascii="Arial" w:hAnsi="Arial" w:cs="Arial"/>
        </w:rPr>
        <w:t>.</w:t>
      </w:r>
    </w:p>
    <w:p w:rsidR="006C6156" w:rsidRDefault="006C6156">
      <w:pPr>
        <w:ind w:left="720"/>
        <w:rPr>
          <w:rFonts w:ascii="Arial" w:hAnsi="Arial" w:cs="Arial"/>
        </w:rPr>
      </w:pPr>
    </w:p>
    <w:p w:rsidR="006C6156" w:rsidRDefault="00E57B7D">
      <w:pPr>
        <w:pStyle w:val="Level1"/>
        <w:numPr>
          <w:ilvl w:val="0"/>
          <w:numId w:val="1"/>
        </w:numPr>
        <w:tabs>
          <w:tab w:val="left" w:pos="-1440"/>
          <w:tab w:val="num" w:pos="720"/>
        </w:tabs>
        <w:rPr>
          <w:rFonts w:ascii="Arial" w:hAnsi="Arial" w:cs="Arial"/>
        </w:rPr>
      </w:pPr>
      <w:r>
        <w:rPr>
          <w:rFonts w:ascii="Arial" w:hAnsi="Arial" w:cs="Arial"/>
          <w:u w:val="single"/>
        </w:rPr>
        <w:t>USE OF DATA</w:t>
      </w:r>
      <w:r>
        <w:rPr>
          <w:rFonts w:ascii="Arial" w:hAnsi="Arial" w:cs="Arial"/>
        </w:rPr>
        <w:t xml:space="preserve"> </w:t>
      </w:r>
    </w:p>
    <w:p w:rsidR="006C6156" w:rsidRDefault="006C6156">
      <w:pPr>
        <w:rPr>
          <w:rFonts w:ascii="Arial" w:hAnsi="Arial" w:cs="Arial"/>
        </w:rPr>
      </w:pPr>
    </w:p>
    <w:p w:rsidR="006C6156" w:rsidRDefault="00C57C4C">
      <w:pPr>
        <w:ind w:left="720"/>
        <w:rPr>
          <w:rFonts w:ascii="Arial" w:hAnsi="Arial" w:cs="Arial"/>
        </w:rPr>
      </w:pPr>
      <w:r w:rsidRPr="00C57C4C">
        <w:rPr>
          <w:rFonts w:ascii="Arial" w:hAnsi="Arial" w:cs="Arial"/>
        </w:rPr>
        <w:t>Form 8038-T gives the IRS information necessary to determine if the bond issuer has correctly computed the arbitrage rebate paid to the United States and/or penalties applicable to arbitrage bonds</w:t>
      </w:r>
      <w:r w:rsidR="00E57B7D">
        <w:rPr>
          <w:rFonts w:ascii="Arial" w:hAnsi="Arial" w:cs="Arial"/>
        </w:rPr>
        <w:t xml:space="preserve">. </w:t>
      </w:r>
    </w:p>
    <w:p w:rsidR="006C6156" w:rsidRDefault="006C6156">
      <w:pPr>
        <w:rPr>
          <w:rFonts w:ascii="Arial" w:hAnsi="Arial" w:cs="Arial"/>
        </w:rPr>
      </w:pPr>
    </w:p>
    <w:p w:rsidR="006C6156" w:rsidRDefault="00E57B7D">
      <w:pPr>
        <w:pStyle w:val="Level1"/>
        <w:numPr>
          <w:ilvl w:val="0"/>
          <w:numId w:val="2"/>
        </w:numPr>
        <w:tabs>
          <w:tab w:val="left" w:pos="-1440"/>
          <w:tab w:val="num" w:pos="720"/>
        </w:tabs>
        <w:rPr>
          <w:rFonts w:ascii="Arial" w:hAnsi="Arial" w:cs="Arial"/>
        </w:rPr>
      </w:pPr>
      <w:r>
        <w:rPr>
          <w:rFonts w:ascii="Arial" w:hAnsi="Arial" w:cs="Arial"/>
          <w:u w:val="single"/>
        </w:rPr>
        <w:t>USE OF IMPROVED INFORMATION TECHNOLOGY TO REDUCE BURDEN</w:t>
      </w:r>
    </w:p>
    <w:p w:rsidR="006C6156" w:rsidRDefault="006C6156">
      <w:pPr>
        <w:rPr>
          <w:rFonts w:ascii="Arial" w:hAnsi="Arial" w:cs="Arial"/>
        </w:rPr>
      </w:pPr>
    </w:p>
    <w:p w:rsidR="006C6156" w:rsidRDefault="00C57C4C">
      <w:pPr>
        <w:ind w:left="720"/>
        <w:rPr>
          <w:rFonts w:ascii="Arial" w:hAnsi="Arial" w:cs="Arial"/>
        </w:rPr>
      </w:pPr>
      <w:r w:rsidRPr="00C57C4C">
        <w:rPr>
          <w:rFonts w:ascii="Arial" w:hAnsi="Arial" w:cs="Arial"/>
        </w:rPr>
        <w:t>We have no plans at this time to offer electronic filing because of the low volume compared to the cost of electronic enabling</w:t>
      </w:r>
      <w:r w:rsidR="00E57B7D">
        <w:rPr>
          <w:rFonts w:ascii="Arial" w:hAnsi="Arial" w:cs="Arial"/>
        </w:rPr>
        <w:t>.</w:t>
      </w:r>
    </w:p>
    <w:p w:rsidR="006C6156" w:rsidRDefault="006C6156">
      <w:pPr>
        <w:rPr>
          <w:rFonts w:ascii="Arial" w:hAnsi="Arial" w:cs="Arial"/>
        </w:rPr>
      </w:pPr>
    </w:p>
    <w:p w:rsidR="006C6156" w:rsidRDefault="00E57B7D">
      <w:pPr>
        <w:pStyle w:val="Level1"/>
        <w:numPr>
          <w:ilvl w:val="0"/>
          <w:numId w:val="2"/>
        </w:numPr>
        <w:tabs>
          <w:tab w:val="left" w:pos="-1440"/>
          <w:tab w:val="num" w:pos="720"/>
        </w:tabs>
        <w:rPr>
          <w:rFonts w:ascii="Arial" w:hAnsi="Arial" w:cs="Arial"/>
        </w:rPr>
      </w:pPr>
      <w:r>
        <w:rPr>
          <w:rFonts w:ascii="Arial" w:hAnsi="Arial" w:cs="Arial"/>
          <w:u w:val="single"/>
        </w:rPr>
        <w:t>EFFORTS TO IDENTIFY DUPLICATION</w:t>
      </w:r>
    </w:p>
    <w:p w:rsidR="006C6156" w:rsidRDefault="006C6156">
      <w:pPr>
        <w:rPr>
          <w:rFonts w:ascii="Arial" w:hAnsi="Arial" w:cs="Arial"/>
        </w:rPr>
      </w:pPr>
    </w:p>
    <w:p w:rsidR="00C57C4C" w:rsidRDefault="008100EC" w:rsidP="008E1528">
      <w:pPr>
        <w:ind w:left="720"/>
        <w:rPr>
          <w:rFonts w:ascii="Arial" w:hAnsi="Arial" w:cs="Arial"/>
        </w:rPr>
      </w:pPr>
      <w:r>
        <w:rPr>
          <w:rFonts w:ascii="Arial" w:hAnsi="Arial" w:cs="Arial"/>
        </w:rPr>
        <w:t xml:space="preserve">The </w:t>
      </w:r>
      <w:r w:rsidRPr="008100EC">
        <w:rPr>
          <w:rFonts w:ascii="Arial" w:hAnsi="Arial" w:cs="Arial"/>
        </w:rPr>
        <w:t>information obtained through this collection is unique and is not already available for use or adaptation from another source.</w:t>
      </w:r>
    </w:p>
    <w:p w:rsidR="00325ACA" w:rsidRDefault="00325ACA" w:rsidP="008E1528">
      <w:pPr>
        <w:ind w:left="720"/>
        <w:rPr>
          <w:rFonts w:ascii="Arial" w:hAnsi="Arial" w:cs="Arial"/>
        </w:rPr>
      </w:pPr>
    </w:p>
    <w:p w:rsidR="006C6156" w:rsidRDefault="00E57B7D">
      <w:pPr>
        <w:pStyle w:val="Level1"/>
        <w:numPr>
          <w:ilvl w:val="0"/>
          <w:numId w:val="2"/>
        </w:numPr>
        <w:tabs>
          <w:tab w:val="left" w:pos="-1440"/>
          <w:tab w:val="num" w:pos="720"/>
        </w:tabs>
        <w:rPr>
          <w:rFonts w:ascii="Arial" w:hAnsi="Arial" w:cs="Arial"/>
        </w:rPr>
      </w:pPr>
      <w:r>
        <w:rPr>
          <w:rFonts w:ascii="Arial" w:hAnsi="Arial" w:cs="Arial"/>
          <w:u w:val="single"/>
        </w:rPr>
        <w:t>METHODS TO MINIMIZE BURDEN ON SMALL BUSINESSES OR OTHER</w:t>
      </w:r>
      <w:r>
        <w:rPr>
          <w:rFonts w:ascii="Arial" w:hAnsi="Arial" w:cs="Arial"/>
        </w:rPr>
        <w:t xml:space="preserve">        </w:t>
      </w:r>
      <w:r>
        <w:rPr>
          <w:rFonts w:ascii="Arial" w:hAnsi="Arial" w:cs="Arial"/>
          <w:u w:val="single"/>
        </w:rPr>
        <w:t>SMALL ENTITIES</w:t>
      </w:r>
    </w:p>
    <w:p w:rsidR="006C6156" w:rsidRDefault="006C6156">
      <w:pPr>
        <w:rPr>
          <w:rFonts w:ascii="Arial" w:hAnsi="Arial" w:cs="Arial"/>
        </w:rPr>
      </w:pPr>
    </w:p>
    <w:p w:rsidR="001314FF" w:rsidRPr="001314FF" w:rsidRDefault="008E1528" w:rsidP="001314FF">
      <w:pPr>
        <w:ind w:left="720"/>
        <w:rPr>
          <w:rFonts w:ascii="Arial" w:hAnsi="Arial" w:cs="Arial"/>
        </w:rPr>
      </w:pPr>
      <w:r w:rsidRPr="008E1528">
        <w:rPr>
          <w:rFonts w:ascii="Arial" w:hAnsi="Arial" w:cs="Arial"/>
        </w:rPr>
        <w:t>Issuers of tax-exempt bonds and any other bonds subject to the provisions of Internal Revenue Code section 148 must use this form to make arbitrage rebate and related payments</w:t>
      </w:r>
      <w:r>
        <w:rPr>
          <w:rFonts w:ascii="Arial" w:hAnsi="Arial" w:cs="Arial"/>
        </w:rPr>
        <w:t xml:space="preserve">.  </w:t>
      </w:r>
      <w:r w:rsidR="008A4CF6">
        <w:rPr>
          <w:rFonts w:ascii="Arial" w:hAnsi="Arial" w:cs="Arial"/>
        </w:rPr>
        <w:t>T</w:t>
      </w:r>
      <w:r w:rsidR="001314FF" w:rsidRPr="001314FF">
        <w:rPr>
          <w:rFonts w:ascii="Arial" w:hAnsi="Arial" w:cs="Arial"/>
        </w:rPr>
        <w:t>he</w:t>
      </w:r>
      <w:r w:rsidR="008A4CF6">
        <w:rPr>
          <w:rFonts w:ascii="Arial" w:hAnsi="Arial" w:cs="Arial"/>
        </w:rPr>
        <w:t xml:space="preserve"> </w:t>
      </w:r>
      <w:r w:rsidR="001314FF" w:rsidRPr="001314FF">
        <w:rPr>
          <w:rFonts w:ascii="Arial" w:hAnsi="Arial" w:cs="Arial"/>
        </w:rPr>
        <w:t>regulations do not have a significant economic</w:t>
      </w:r>
    </w:p>
    <w:p w:rsidR="001314FF" w:rsidRPr="001314FF" w:rsidRDefault="001314FF" w:rsidP="001314FF">
      <w:pPr>
        <w:ind w:left="720"/>
        <w:rPr>
          <w:rFonts w:ascii="Arial" w:hAnsi="Arial" w:cs="Arial"/>
        </w:rPr>
      </w:pPr>
      <w:r w:rsidRPr="001314FF">
        <w:rPr>
          <w:rFonts w:ascii="Arial" w:hAnsi="Arial" w:cs="Arial"/>
        </w:rPr>
        <w:t>impact on a substantial number of</w:t>
      </w:r>
      <w:r w:rsidR="008A4CF6">
        <w:rPr>
          <w:rFonts w:ascii="Arial" w:hAnsi="Arial" w:cs="Arial"/>
        </w:rPr>
        <w:t xml:space="preserve"> </w:t>
      </w:r>
      <w:r w:rsidRPr="001314FF">
        <w:rPr>
          <w:rFonts w:ascii="Arial" w:hAnsi="Arial" w:cs="Arial"/>
        </w:rPr>
        <w:t>small entities. This certification is based</w:t>
      </w:r>
    </w:p>
    <w:p w:rsidR="001314FF" w:rsidRPr="001314FF" w:rsidRDefault="001314FF" w:rsidP="001314FF">
      <w:pPr>
        <w:ind w:left="720"/>
        <w:rPr>
          <w:rFonts w:ascii="Arial" w:hAnsi="Arial" w:cs="Arial"/>
        </w:rPr>
      </w:pPr>
      <w:r w:rsidRPr="001314FF">
        <w:rPr>
          <w:rFonts w:ascii="Arial" w:hAnsi="Arial" w:cs="Arial"/>
        </w:rPr>
        <w:t>upon the fact that the amount of time required</w:t>
      </w:r>
      <w:r w:rsidR="007F0104">
        <w:rPr>
          <w:rFonts w:ascii="Arial" w:hAnsi="Arial" w:cs="Arial"/>
        </w:rPr>
        <w:t xml:space="preserve"> </w:t>
      </w:r>
      <w:r w:rsidRPr="001314FF">
        <w:rPr>
          <w:rFonts w:ascii="Arial" w:hAnsi="Arial" w:cs="Arial"/>
        </w:rPr>
        <w:t>to meet the record keeping requirement</w:t>
      </w:r>
      <w:r w:rsidR="007F0104">
        <w:rPr>
          <w:rFonts w:ascii="Arial" w:hAnsi="Arial" w:cs="Arial"/>
        </w:rPr>
        <w:t xml:space="preserve"> </w:t>
      </w:r>
      <w:r w:rsidRPr="001314FF">
        <w:rPr>
          <w:rFonts w:ascii="Arial" w:hAnsi="Arial" w:cs="Arial"/>
        </w:rPr>
        <w:t>of these final regulations, an estimated</w:t>
      </w:r>
      <w:r w:rsidR="007F0104">
        <w:rPr>
          <w:rFonts w:ascii="Arial" w:hAnsi="Arial" w:cs="Arial"/>
        </w:rPr>
        <w:t xml:space="preserve"> </w:t>
      </w:r>
      <w:r w:rsidRPr="001314FF">
        <w:rPr>
          <w:rFonts w:ascii="Arial" w:hAnsi="Arial" w:cs="Arial"/>
        </w:rPr>
        <w:t>annual average of 1 hour per</w:t>
      </w:r>
    </w:p>
    <w:p w:rsidR="006C6156" w:rsidRDefault="001314FF" w:rsidP="001314FF">
      <w:pPr>
        <w:ind w:left="720"/>
        <w:rPr>
          <w:rFonts w:ascii="Arial" w:hAnsi="Arial" w:cs="Arial"/>
        </w:rPr>
      </w:pPr>
      <w:r w:rsidRPr="001314FF">
        <w:rPr>
          <w:rFonts w:ascii="Arial" w:hAnsi="Arial" w:cs="Arial"/>
        </w:rPr>
        <w:t>taxpayer, is small. Also, the regulations</w:t>
      </w:r>
      <w:r w:rsidR="007F0104">
        <w:rPr>
          <w:rFonts w:ascii="Arial" w:hAnsi="Arial" w:cs="Arial"/>
        </w:rPr>
        <w:t xml:space="preserve"> </w:t>
      </w:r>
      <w:r w:rsidRPr="001314FF">
        <w:rPr>
          <w:rFonts w:ascii="Arial" w:hAnsi="Arial" w:cs="Arial"/>
        </w:rPr>
        <w:t>affect a small number of taxpayers, approximately</w:t>
      </w:r>
      <w:r w:rsidR="007F0104">
        <w:rPr>
          <w:rFonts w:ascii="Arial" w:hAnsi="Arial" w:cs="Arial"/>
        </w:rPr>
        <w:t xml:space="preserve"> </w:t>
      </w:r>
      <w:r w:rsidRPr="001314FF">
        <w:rPr>
          <w:rFonts w:ascii="Arial" w:hAnsi="Arial" w:cs="Arial"/>
        </w:rPr>
        <w:t>1400 annually. Therefore, a</w:t>
      </w:r>
      <w:r w:rsidR="007F0104">
        <w:rPr>
          <w:rFonts w:ascii="Arial" w:hAnsi="Arial" w:cs="Arial"/>
        </w:rPr>
        <w:t xml:space="preserve"> </w:t>
      </w:r>
      <w:r w:rsidRPr="001314FF">
        <w:rPr>
          <w:rFonts w:ascii="Arial" w:hAnsi="Arial" w:cs="Arial"/>
        </w:rPr>
        <w:t>Regulatory Flexibility Analysis under the</w:t>
      </w:r>
      <w:r w:rsidR="007F0104">
        <w:rPr>
          <w:rFonts w:ascii="Arial" w:hAnsi="Arial" w:cs="Arial"/>
        </w:rPr>
        <w:t xml:space="preserve"> </w:t>
      </w:r>
      <w:r w:rsidRPr="001314FF">
        <w:rPr>
          <w:rFonts w:ascii="Arial" w:hAnsi="Arial" w:cs="Arial"/>
        </w:rPr>
        <w:t>Regulatory Flexibility Act (5 U.S.C. chapter</w:t>
      </w:r>
      <w:r w:rsidR="007F0104">
        <w:rPr>
          <w:rFonts w:ascii="Arial" w:hAnsi="Arial" w:cs="Arial"/>
        </w:rPr>
        <w:t xml:space="preserve"> </w:t>
      </w:r>
      <w:r w:rsidRPr="001314FF">
        <w:rPr>
          <w:rFonts w:ascii="Arial" w:hAnsi="Arial" w:cs="Arial"/>
        </w:rPr>
        <w:t>6) is not required. Pursuant to section</w:t>
      </w:r>
      <w:r w:rsidR="007F0104">
        <w:rPr>
          <w:rFonts w:ascii="Arial" w:hAnsi="Arial" w:cs="Arial"/>
        </w:rPr>
        <w:t xml:space="preserve"> </w:t>
      </w:r>
      <w:r w:rsidRPr="001314FF">
        <w:rPr>
          <w:rFonts w:ascii="Arial" w:hAnsi="Arial" w:cs="Arial"/>
        </w:rPr>
        <w:t>7805(f) of the Internal Revenue Code, the</w:t>
      </w:r>
      <w:r w:rsidR="007F0104">
        <w:rPr>
          <w:rFonts w:ascii="Arial" w:hAnsi="Arial" w:cs="Arial"/>
        </w:rPr>
        <w:t xml:space="preserve"> </w:t>
      </w:r>
      <w:r w:rsidRPr="001314FF">
        <w:rPr>
          <w:rFonts w:ascii="Arial" w:hAnsi="Arial" w:cs="Arial"/>
        </w:rPr>
        <w:t>notice of proposed rulemaking preceding</w:t>
      </w:r>
      <w:r w:rsidR="007F0104">
        <w:rPr>
          <w:rFonts w:ascii="Arial" w:hAnsi="Arial" w:cs="Arial"/>
        </w:rPr>
        <w:t xml:space="preserve"> </w:t>
      </w:r>
      <w:r w:rsidRPr="001314FF">
        <w:rPr>
          <w:rFonts w:ascii="Arial" w:hAnsi="Arial" w:cs="Arial"/>
        </w:rPr>
        <w:t>these regulations was submitted to the</w:t>
      </w:r>
      <w:r w:rsidR="007F0104">
        <w:rPr>
          <w:rFonts w:ascii="Arial" w:hAnsi="Arial" w:cs="Arial"/>
        </w:rPr>
        <w:t xml:space="preserve"> </w:t>
      </w:r>
      <w:r w:rsidRPr="001314FF">
        <w:rPr>
          <w:rFonts w:ascii="Arial" w:hAnsi="Arial" w:cs="Arial"/>
        </w:rPr>
        <w:t>Small Business Administration for comment</w:t>
      </w:r>
      <w:r w:rsidR="007F0104">
        <w:rPr>
          <w:rFonts w:ascii="Arial" w:hAnsi="Arial" w:cs="Arial"/>
        </w:rPr>
        <w:t xml:space="preserve"> </w:t>
      </w:r>
      <w:r w:rsidRPr="001314FF">
        <w:rPr>
          <w:rFonts w:ascii="Arial" w:hAnsi="Arial" w:cs="Arial"/>
        </w:rPr>
        <w:t>on its impact on small business.</w:t>
      </w:r>
    </w:p>
    <w:p w:rsidR="006C6156" w:rsidRDefault="006C6156">
      <w:pPr>
        <w:keepNext/>
        <w:rPr>
          <w:rFonts w:ascii="Arial" w:hAnsi="Arial" w:cs="Arial"/>
        </w:rPr>
      </w:pPr>
    </w:p>
    <w:p w:rsidR="006C6156" w:rsidRDefault="00E57B7D">
      <w:pPr>
        <w:pStyle w:val="Level1"/>
        <w:keepNext/>
        <w:widowControl/>
        <w:numPr>
          <w:ilvl w:val="0"/>
          <w:numId w:val="2"/>
        </w:numPr>
        <w:tabs>
          <w:tab w:val="left" w:pos="-1440"/>
          <w:tab w:val="num" w:pos="720"/>
        </w:tabs>
        <w:rPr>
          <w:rFonts w:ascii="Arial" w:hAnsi="Arial" w:cs="Arial"/>
        </w:rPr>
      </w:pPr>
      <w:r>
        <w:rPr>
          <w:rFonts w:ascii="Arial" w:hAnsi="Arial" w:cs="Arial"/>
          <w:u w:val="single"/>
        </w:rPr>
        <w:t>CONSEQUENCES OF LESS FREQUENT COLLECTION ON FEDERAL PROGRAMS OR POLICY ACTIVITIES</w:t>
      </w:r>
    </w:p>
    <w:p w:rsidR="006C6156" w:rsidRDefault="006C6156">
      <w:pPr>
        <w:keepNext/>
        <w:rPr>
          <w:rFonts w:ascii="Arial" w:hAnsi="Arial" w:cs="Arial"/>
        </w:rPr>
      </w:pPr>
    </w:p>
    <w:p w:rsidR="008100EC" w:rsidRPr="00BB4A00" w:rsidRDefault="00C57C4C" w:rsidP="008100EC">
      <w:pPr>
        <w:ind w:left="720"/>
        <w:rPr>
          <w:rFonts w:ascii="Arial" w:hAnsi="Arial" w:cs="Arial"/>
        </w:rPr>
      </w:pPr>
      <w:r w:rsidRPr="00C57C4C">
        <w:rPr>
          <w:rFonts w:ascii="Arial" w:hAnsi="Arial" w:cs="Arial"/>
        </w:rPr>
        <w:t>If the IRS did not collect this information, the IRS would not be able to determine if the bond issuer has correctly computed the arbitrage rebate paid to the United States and/or penalties applicable to arbitrage bonds</w:t>
      </w:r>
      <w:r w:rsidR="00BB4A00">
        <w:rPr>
          <w:rFonts w:ascii="Arial" w:hAnsi="Arial" w:cs="Arial"/>
        </w:rPr>
        <w:t xml:space="preserve">. </w:t>
      </w:r>
    </w:p>
    <w:p w:rsidR="006C6156" w:rsidRDefault="006C6156">
      <w:pPr>
        <w:rPr>
          <w:rFonts w:ascii="Arial" w:hAnsi="Arial" w:cs="Arial"/>
        </w:rPr>
      </w:pPr>
    </w:p>
    <w:p w:rsidR="006C6156" w:rsidRDefault="00E57B7D">
      <w:pPr>
        <w:pStyle w:val="Level1"/>
        <w:numPr>
          <w:ilvl w:val="0"/>
          <w:numId w:val="2"/>
        </w:numPr>
        <w:tabs>
          <w:tab w:val="left" w:pos="-1440"/>
          <w:tab w:val="num" w:pos="720"/>
        </w:tabs>
        <w:rPr>
          <w:rFonts w:ascii="Arial" w:hAnsi="Arial" w:cs="Arial"/>
        </w:rPr>
      </w:pPr>
      <w:r>
        <w:rPr>
          <w:rFonts w:ascii="Arial" w:hAnsi="Arial" w:cs="Arial"/>
          <w:u w:val="single"/>
        </w:rPr>
        <w:t>SPECIAL CIRCUMSTANCES REQUIRING DATA COLLECTION TO BE</w:t>
      </w:r>
      <w:r>
        <w:rPr>
          <w:rFonts w:ascii="Arial" w:hAnsi="Arial" w:cs="Arial"/>
        </w:rPr>
        <w:t xml:space="preserve">     </w:t>
      </w:r>
      <w:r>
        <w:rPr>
          <w:rFonts w:ascii="Arial" w:hAnsi="Arial" w:cs="Arial"/>
          <w:u w:val="single"/>
        </w:rPr>
        <w:t>INCONSISTENT WITH GUIDELINES IN 5 CFR 1320.5(d)(2)</w:t>
      </w:r>
    </w:p>
    <w:p w:rsidR="006C6156" w:rsidRDefault="006C6156">
      <w:pPr>
        <w:rPr>
          <w:rFonts w:ascii="Arial" w:hAnsi="Arial" w:cs="Arial"/>
        </w:rPr>
      </w:pPr>
    </w:p>
    <w:p w:rsidR="006C6156" w:rsidRDefault="00E57B7D" w:rsidP="00E57B7D">
      <w:pPr>
        <w:ind w:left="720"/>
        <w:rPr>
          <w:rFonts w:ascii="Arial" w:hAnsi="Arial" w:cs="Arial"/>
        </w:rPr>
      </w:pPr>
      <w:r w:rsidRPr="00E57B7D">
        <w:rPr>
          <w:rFonts w:ascii="Arial" w:hAnsi="Arial" w:cs="Arial"/>
        </w:rPr>
        <w:t>There are no special circumstances requiring data collection to be inconsistent with guidelines in 5 CFR 1320.5(d)(2).</w:t>
      </w:r>
    </w:p>
    <w:p w:rsidR="00E57B7D" w:rsidRDefault="00E57B7D" w:rsidP="00E57B7D">
      <w:pPr>
        <w:ind w:left="720"/>
        <w:rPr>
          <w:rFonts w:ascii="Arial" w:hAnsi="Arial" w:cs="Arial"/>
        </w:rPr>
      </w:pPr>
    </w:p>
    <w:p w:rsidR="006C6156" w:rsidRDefault="00E57B7D">
      <w:pPr>
        <w:pStyle w:val="Level1"/>
        <w:numPr>
          <w:ilvl w:val="0"/>
          <w:numId w:val="3"/>
        </w:numPr>
        <w:tabs>
          <w:tab w:val="left" w:pos="-1440"/>
          <w:tab w:val="num" w:pos="720"/>
        </w:tabs>
        <w:rPr>
          <w:rFonts w:ascii="Arial" w:hAnsi="Arial" w:cs="Arial"/>
        </w:rPr>
      </w:pPr>
      <w:r>
        <w:rPr>
          <w:rFonts w:ascii="Arial" w:hAnsi="Arial" w:cs="Arial"/>
          <w:u w:val="single"/>
        </w:rPr>
        <w:t>CONSULTATION WITH INDIVIDUALS OUTSIDE OF THE AGENCY ON</w:t>
      </w:r>
      <w:r>
        <w:rPr>
          <w:rFonts w:ascii="Arial" w:hAnsi="Arial" w:cs="Arial"/>
        </w:rPr>
        <w:t xml:space="preserve"> </w:t>
      </w:r>
      <w:r>
        <w:rPr>
          <w:rFonts w:ascii="Arial" w:hAnsi="Arial" w:cs="Arial"/>
          <w:u w:val="single"/>
        </w:rPr>
        <w:t>AVAILABILITY OF DATA, FREQUENCY OF COLLECTION, CLARITY</w:t>
      </w:r>
      <w:r>
        <w:rPr>
          <w:rFonts w:ascii="Arial" w:hAnsi="Arial" w:cs="Arial"/>
        </w:rPr>
        <w:t xml:space="preserve"> </w:t>
      </w:r>
      <w:r>
        <w:rPr>
          <w:rFonts w:ascii="Arial" w:hAnsi="Arial" w:cs="Arial"/>
          <w:u w:val="single"/>
        </w:rPr>
        <w:t>OF INSTRUCTIONS AND FORMS, AND DATA ELEMENTS</w:t>
      </w:r>
    </w:p>
    <w:p w:rsidR="006C6156" w:rsidRDefault="006C6156">
      <w:pPr>
        <w:rPr>
          <w:rFonts w:ascii="Arial" w:hAnsi="Arial" w:cs="Arial"/>
        </w:rPr>
      </w:pPr>
    </w:p>
    <w:p w:rsidR="0014713E" w:rsidRPr="0014713E" w:rsidRDefault="0014713E" w:rsidP="0014713E">
      <w:pPr>
        <w:ind w:left="720"/>
        <w:rPr>
          <w:rFonts w:ascii="Arial" w:hAnsi="Arial" w:cs="Arial"/>
        </w:rPr>
      </w:pPr>
      <w:r>
        <w:rPr>
          <w:rFonts w:ascii="Arial" w:hAnsi="Arial" w:cs="Arial"/>
        </w:rPr>
        <w:t>TD 8801</w:t>
      </w:r>
      <w:r w:rsidRPr="0014713E">
        <w:rPr>
          <w:rFonts w:ascii="Arial" w:hAnsi="Arial" w:cs="Arial"/>
        </w:rPr>
        <w:t xml:space="preserve"> contain</w:t>
      </w:r>
      <w:r>
        <w:rPr>
          <w:rFonts w:ascii="Arial" w:hAnsi="Arial" w:cs="Arial"/>
        </w:rPr>
        <w:t>ed</w:t>
      </w:r>
      <w:r w:rsidRPr="0014713E">
        <w:rPr>
          <w:rFonts w:ascii="Arial" w:hAnsi="Arial" w:cs="Arial"/>
        </w:rPr>
        <w:t xml:space="preserve"> amendments</w:t>
      </w:r>
      <w:r>
        <w:rPr>
          <w:rFonts w:ascii="Arial" w:hAnsi="Arial" w:cs="Arial"/>
        </w:rPr>
        <w:t xml:space="preserve"> </w:t>
      </w:r>
      <w:r w:rsidRPr="0014713E">
        <w:rPr>
          <w:rFonts w:ascii="Arial" w:hAnsi="Arial" w:cs="Arial"/>
        </w:rPr>
        <w:t>to the income tax regulations (26</w:t>
      </w:r>
    </w:p>
    <w:p w:rsidR="0014713E" w:rsidRPr="0014713E" w:rsidRDefault="0014713E" w:rsidP="0014713E">
      <w:pPr>
        <w:ind w:left="720"/>
        <w:rPr>
          <w:rFonts w:ascii="Arial" w:hAnsi="Arial" w:cs="Arial"/>
        </w:rPr>
      </w:pPr>
      <w:r w:rsidRPr="0014713E">
        <w:rPr>
          <w:rFonts w:ascii="Arial" w:hAnsi="Arial" w:cs="Arial"/>
        </w:rPr>
        <w:t>CFR Part 1) under section 148 of the Internal</w:t>
      </w:r>
      <w:r>
        <w:rPr>
          <w:rFonts w:ascii="Arial" w:hAnsi="Arial" w:cs="Arial"/>
        </w:rPr>
        <w:t xml:space="preserve"> </w:t>
      </w:r>
      <w:r w:rsidRPr="0014713E">
        <w:rPr>
          <w:rFonts w:ascii="Arial" w:hAnsi="Arial" w:cs="Arial"/>
        </w:rPr>
        <w:t>Revenue Code of 1986 (Code).</w:t>
      </w:r>
    </w:p>
    <w:p w:rsidR="0014713E" w:rsidRPr="0014713E" w:rsidRDefault="0014713E" w:rsidP="0014713E">
      <w:pPr>
        <w:ind w:left="720"/>
        <w:rPr>
          <w:rFonts w:ascii="Arial" w:hAnsi="Arial" w:cs="Arial"/>
        </w:rPr>
      </w:pPr>
      <w:r w:rsidRPr="0014713E">
        <w:rPr>
          <w:rFonts w:ascii="Arial" w:hAnsi="Arial" w:cs="Arial"/>
        </w:rPr>
        <w:t>Section 148 provides rules addressing the</w:t>
      </w:r>
      <w:r>
        <w:rPr>
          <w:rFonts w:ascii="Arial" w:hAnsi="Arial" w:cs="Arial"/>
        </w:rPr>
        <w:t xml:space="preserve"> </w:t>
      </w:r>
      <w:r w:rsidRPr="0014713E">
        <w:rPr>
          <w:rFonts w:ascii="Arial" w:hAnsi="Arial" w:cs="Arial"/>
        </w:rPr>
        <w:t>use of proceeds of tax-exempt State and</w:t>
      </w:r>
      <w:r>
        <w:rPr>
          <w:rFonts w:ascii="Arial" w:hAnsi="Arial" w:cs="Arial"/>
        </w:rPr>
        <w:t xml:space="preserve"> </w:t>
      </w:r>
      <w:r w:rsidRPr="0014713E">
        <w:rPr>
          <w:rFonts w:ascii="Arial" w:hAnsi="Arial" w:cs="Arial"/>
        </w:rPr>
        <w:t>local bonds to acquire higher-yielding investments.</w:t>
      </w:r>
    </w:p>
    <w:p w:rsidR="0014713E" w:rsidRDefault="0014713E" w:rsidP="0014713E">
      <w:pPr>
        <w:ind w:left="720"/>
        <w:rPr>
          <w:rFonts w:ascii="Arial" w:hAnsi="Arial" w:cs="Arial"/>
        </w:rPr>
      </w:pPr>
    </w:p>
    <w:p w:rsidR="0014713E" w:rsidRPr="0014713E" w:rsidRDefault="0014713E" w:rsidP="0014713E">
      <w:pPr>
        <w:ind w:left="720"/>
        <w:rPr>
          <w:rFonts w:ascii="Arial" w:hAnsi="Arial" w:cs="Arial"/>
        </w:rPr>
      </w:pPr>
      <w:r w:rsidRPr="0014713E">
        <w:rPr>
          <w:rFonts w:ascii="Arial" w:hAnsi="Arial" w:cs="Arial"/>
        </w:rPr>
        <w:t>On June 18, 1993, final regulations</w:t>
      </w:r>
      <w:r>
        <w:rPr>
          <w:rFonts w:ascii="Arial" w:hAnsi="Arial" w:cs="Arial"/>
        </w:rPr>
        <w:t xml:space="preserve"> </w:t>
      </w:r>
      <w:r w:rsidRPr="0014713E">
        <w:rPr>
          <w:rFonts w:ascii="Arial" w:hAnsi="Arial" w:cs="Arial"/>
        </w:rPr>
        <w:t>(T.D. 8476, 1993–2 C.B. 13) relating</w:t>
      </w:r>
      <w:r>
        <w:rPr>
          <w:rFonts w:ascii="Arial" w:hAnsi="Arial" w:cs="Arial"/>
        </w:rPr>
        <w:t xml:space="preserve"> </w:t>
      </w:r>
      <w:r w:rsidRPr="0014713E">
        <w:rPr>
          <w:rFonts w:ascii="Arial" w:hAnsi="Arial" w:cs="Arial"/>
        </w:rPr>
        <w:t>to the arbitrage restrictions and related</w:t>
      </w:r>
      <w:r>
        <w:rPr>
          <w:rFonts w:ascii="Arial" w:hAnsi="Arial" w:cs="Arial"/>
        </w:rPr>
        <w:t xml:space="preserve"> </w:t>
      </w:r>
      <w:r w:rsidRPr="0014713E">
        <w:rPr>
          <w:rFonts w:ascii="Arial" w:hAnsi="Arial" w:cs="Arial"/>
        </w:rPr>
        <w:t>rules under sections 103, 148, 149, and</w:t>
      </w:r>
      <w:r>
        <w:rPr>
          <w:rFonts w:ascii="Arial" w:hAnsi="Arial" w:cs="Arial"/>
        </w:rPr>
        <w:t xml:space="preserve"> </w:t>
      </w:r>
      <w:r w:rsidRPr="0014713E">
        <w:rPr>
          <w:rFonts w:ascii="Arial" w:hAnsi="Arial" w:cs="Arial"/>
        </w:rPr>
        <w:t>150 were published in the Federal Register</w:t>
      </w:r>
      <w:r>
        <w:rPr>
          <w:rFonts w:ascii="Arial" w:hAnsi="Arial" w:cs="Arial"/>
        </w:rPr>
        <w:t xml:space="preserve"> </w:t>
      </w:r>
      <w:r w:rsidRPr="0014713E">
        <w:rPr>
          <w:rFonts w:ascii="Arial" w:hAnsi="Arial" w:cs="Arial"/>
        </w:rPr>
        <w:t>(58 F.R. 33510). Corrections to these</w:t>
      </w:r>
    </w:p>
    <w:p w:rsidR="0014713E" w:rsidRPr="0014713E" w:rsidRDefault="0014713E" w:rsidP="0014713E">
      <w:pPr>
        <w:ind w:left="720"/>
        <w:rPr>
          <w:rFonts w:ascii="Arial" w:hAnsi="Arial" w:cs="Arial"/>
        </w:rPr>
      </w:pPr>
      <w:r w:rsidRPr="0014713E">
        <w:rPr>
          <w:rFonts w:ascii="Arial" w:hAnsi="Arial" w:cs="Arial"/>
        </w:rPr>
        <w:lastRenderedPageBreak/>
        <w:t>regulations were published in the Federal</w:t>
      </w:r>
      <w:r>
        <w:rPr>
          <w:rFonts w:ascii="Arial" w:hAnsi="Arial" w:cs="Arial"/>
        </w:rPr>
        <w:t xml:space="preserve"> </w:t>
      </w:r>
      <w:r w:rsidRPr="0014713E">
        <w:rPr>
          <w:rFonts w:ascii="Arial" w:hAnsi="Arial" w:cs="Arial"/>
        </w:rPr>
        <w:t>Register on August 23, 1993 (58 F.R.</w:t>
      </w:r>
    </w:p>
    <w:p w:rsidR="0014713E" w:rsidRDefault="0014713E" w:rsidP="0014713E">
      <w:pPr>
        <w:ind w:left="720"/>
        <w:rPr>
          <w:rFonts w:ascii="Arial" w:hAnsi="Arial" w:cs="Arial"/>
        </w:rPr>
      </w:pPr>
      <w:r w:rsidRPr="0014713E">
        <w:rPr>
          <w:rFonts w:ascii="Arial" w:hAnsi="Arial" w:cs="Arial"/>
        </w:rPr>
        <w:t>44451), and May 11, 1994 (59 F.R.</w:t>
      </w:r>
      <w:r>
        <w:rPr>
          <w:rFonts w:ascii="Arial" w:hAnsi="Arial" w:cs="Arial"/>
        </w:rPr>
        <w:t xml:space="preserve"> </w:t>
      </w:r>
      <w:r w:rsidRPr="0014713E">
        <w:rPr>
          <w:rFonts w:ascii="Arial" w:hAnsi="Arial" w:cs="Arial"/>
        </w:rPr>
        <w:t>24350).</w:t>
      </w:r>
    </w:p>
    <w:p w:rsidR="0014713E" w:rsidRPr="0014713E" w:rsidRDefault="0014713E" w:rsidP="0014713E">
      <w:pPr>
        <w:ind w:left="720"/>
        <w:rPr>
          <w:rFonts w:ascii="Arial" w:hAnsi="Arial" w:cs="Arial"/>
        </w:rPr>
      </w:pPr>
    </w:p>
    <w:p w:rsidR="0014713E" w:rsidRPr="0014713E" w:rsidRDefault="0014713E" w:rsidP="0014713E">
      <w:pPr>
        <w:ind w:left="720"/>
        <w:rPr>
          <w:rFonts w:ascii="Arial" w:hAnsi="Arial" w:cs="Arial"/>
        </w:rPr>
      </w:pPr>
      <w:r w:rsidRPr="0014713E">
        <w:rPr>
          <w:rFonts w:ascii="Arial" w:hAnsi="Arial" w:cs="Arial"/>
        </w:rPr>
        <w:t>On June 27, 1996, a notice of proposed</w:t>
      </w:r>
      <w:r>
        <w:rPr>
          <w:rFonts w:ascii="Arial" w:hAnsi="Arial" w:cs="Arial"/>
        </w:rPr>
        <w:t xml:space="preserve"> </w:t>
      </w:r>
      <w:r w:rsidRPr="0014713E">
        <w:rPr>
          <w:rFonts w:ascii="Arial" w:hAnsi="Arial" w:cs="Arial"/>
        </w:rPr>
        <w:t>rulemaking (FI–28–96, 1996–2 C.B. 458)</w:t>
      </w:r>
    </w:p>
    <w:p w:rsidR="0014713E" w:rsidRPr="0014713E" w:rsidRDefault="0014713E" w:rsidP="0014713E">
      <w:pPr>
        <w:ind w:left="720"/>
        <w:rPr>
          <w:rFonts w:ascii="Arial" w:hAnsi="Arial" w:cs="Arial"/>
        </w:rPr>
      </w:pPr>
      <w:r w:rsidRPr="0014713E">
        <w:rPr>
          <w:rFonts w:ascii="Arial" w:hAnsi="Arial" w:cs="Arial"/>
        </w:rPr>
        <w:t>relating to the arbitrage restrictions was</w:t>
      </w:r>
      <w:r>
        <w:rPr>
          <w:rFonts w:ascii="Arial" w:hAnsi="Arial" w:cs="Arial"/>
        </w:rPr>
        <w:t xml:space="preserve"> </w:t>
      </w:r>
      <w:r w:rsidRPr="0014713E">
        <w:rPr>
          <w:rFonts w:ascii="Arial" w:hAnsi="Arial" w:cs="Arial"/>
        </w:rPr>
        <w:t>published in the Federal Register (61</w:t>
      </w:r>
    </w:p>
    <w:p w:rsidR="0014713E" w:rsidRDefault="0014713E" w:rsidP="005C12B2">
      <w:pPr>
        <w:ind w:left="720"/>
        <w:rPr>
          <w:rFonts w:ascii="Arial" w:hAnsi="Arial" w:cs="Arial"/>
        </w:rPr>
      </w:pPr>
      <w:r w:rsidRPr="0014713E">
        <w:rPr>
          <w:rFonts w:ascii="Arial" w:hAnsi="Arial" w:cs="Arial"/>
        </w:rPr>
        <w:t>F.R. 33405). The proposed regulations</w:t>
      </w:r>
      <w:r>
        <w:rPr>
          <w:rFonts w:ascii="Arial" w:hAnsi="Arial" w:cs="Arial"/>
        </w:rPr>
        <w:t xml:space="preserve"> </w:t>
      </w:r>
      <w:r w:rsidRPr="0014713E">
        <w:rPr>
          <w:rFonts w:ascii="Arial" w:hAnsi="Arial" w:cs="Arial"/>
        </w:rPr>
        <w:t>provide a rebuttable presumption for establishing</w:t>
      </w:r>
      <w:r>
        <w:rPr>
          <w:rFonts w:ascii="Arial" w:hAnsi="Arial" w:cs="Arial"/>
        </w:rPr>
        <w:t xml:space="preserve"> </w:t>
      </w:r>
      <w:r w:rsidRPr="0014713E">
        <w:rPr>
          <w:rFonts w:ascii="Arial" w:hAnsi="Arial" w:cs="Arial"/>
        </w:rPr>
        <w:t>fair market value for United</w:t>
      </w:r>
      <w:r>
        <w:rPr>
          <w:rFonts w:ascii="Arial" w:hAnsi="Arial" w:cs="Arial"/>
        </w:rPr>
        <w:t xml:space="preserve"> </w:t>
      </w:r>
      <w:r w:rsidRPr="0014713E">
        <w:rPr>
          <w:rFonts w:ascii="Arial" w:hAnsi="Arial" w:cs="Arial"/>
        </w:rPr>
        <w:t>States Treasury obligations that are purchased</w:t>
      </w:r>
      <w:r>
        <w:rPr>
          <w:rFonts w:ascii="Arial" w:hAnsi="Arial" w:cs="Arial"/>
        </w:rPr>
        <w:t xml:space="preserve"> </w:t>
      </w:r>
      <w:r w:rsidRPr="0014713E">
        <w:rPr>
          <w:rFonts w:ascii="Arial" w:hAnsi="Arial" w:cs="Arial"/>
        </w:rPr>
        <w:t>other than directly from the United</w:t>
      </w:r>
      <w:r>
        <w:rPr>
          <w:rFonts w:ascii="Arial" w:hAnsi="Arial" w:cs="Arial"/>
        </w:rPr>
        <w:t xml:space="preserve"> </w:t>
      </w:r>
      <w:r w:rsidRPr="0014713E">
        <w:rPr>
          <w:rFonts w:ascii="Arial" w:hAnsi="Arial" w:cs="Arial"/>
        </w:rPr>
        <w:t>States Treasury. In addition, the proposed</w:t>
      </w:r>
      <w:r>
        <w:rPr>
          <w:rFonts w:ascii="Arial" w:hAnsi="Arial" w:cs="Arial"/>
        </w:rPr>
        <w:t xml:space="preserve"> </w:t>
      </w:r>
      <w:r w:rsidRPr="0014713E">
        <w:rPr>
          <w:rFonts w:ascii="Arial" w:hAnsi="Arial" w:cs="Arial"/>
        </w:rPr>
        <w:t>regulations provide a rebuttable presumption</w:t>
      </w:r>
      <w:r>
        <w:rPr>
          <w:rFonts w:ascii="Arial" w:hAnsi="Arial" w:cs="Arial"/>
        </w:rPr>
        <w:t xml:space="preserve"> </w:t>
      </w:r>
      <w:r w:rsidRPr="0014713E">
        <w:rPr>
          <w:rFonts w:ascii="Arial" w:hAnsi="Arial" w:cs="Arial"/>
        </w:rPr>
        <w:t>that a solicitation that meets certain</w:t>
      </w:r>
      <w:r>
        <w:rPr>
          <w:rFonts w:ascii="Arial" w:hAnsi="Arial" w:cs="Arial"/>
        </w:rPr>
        <w:t xml:space="preserve"> </w:t>
      </w:r>
      <w:r w:rsidRPr="0014713E">
        <w:rPr>
          <w:rFonts w:ascii="Arial" w:hAnsi="Arial" w:cs="Arial"/>
        </w:rPr>
        <w:t>requirements is a bona fide solicitation for</w:t>
      </w:r>
      <w:r>
        <w:rPr>
          <w:rFonts w:ascii="Arial" w:hAnsi="Arial" w:cs="Arial"/>
        </w:rPr>
        <w:t xml:space="preserve"> </w:t>
      </w:r>
      <w:r w:rsidRPr="0014713E">
        <w:rPr>
          <w:rFonts w:ascii="Arial" w:hAnsi="Arial" w:cs="Arial"/>
        </w:rPr>
        <w:t>the guaranteed investment contract safe</w:t>
      </w:r>
      <w:r>
        <w:rPr>
          <w:rFonts w:ascii="Arial" w:hAnsi="Arial" w:cs="Arial"/>
        </w:rPr>
        <w:t xml:space="preserve"> </w:t>
      </w:r>
      <w:r w:rsidRPr="0014713E">
        <w:rPr>
          <w:rFonts w:ascii="Arial" w:hAnsi="Arial" w:cs="Arial"/>
        </w:rPr>
        <w:t>harbor of §1.148–5(d)(6)(iii). A public</w:t>
      </w:r>
      <w:r>
        <w:rPr>
          <w:rFonts w:ascii="Arial" w:hAnsi="Arial" w:cs="Arial"/>
        </w:rPr>
        <w:t xml:space="preserve"> </w:t>
      </w:r>
      <w:r w:rsidRPr="0014713E">
        <w:rPr>
          <w:rFonts w:ascii="Arial" w:hAnsi="Arial" w:cs="Arial"/>
        </w:rPr>
        <w:t>hearing was held on Thursday, October</w:t>
      </w:r>
      <w:r>
        <w:rPr>
          <w:rFonts w:ascii="Arial" w:hAnsi="Arial" w:cs="Arial"/>
        </w:rPr>
        <w:t xml:space="preserve"> </w:t>
      </w:r>
      <w:r w:rsidRPr="0014713E">
        <w:rPr>
          <w:rFonts w:ascii="Arial" w:hAnsi="Arial" w:cs="Arial"/>
        </w:rPr>
        <w:t>24, 1996, and written comments were received.</w:t>
      </w:r>
      <w:r>
        <w:rPr>
          <w:rFonts w:ascii="Arial" w:hAnsi="Arial" w:cs="Arial"/>
        </w:rPr>
        <w:t xml:space="preserve">  </w:t>
      </w:r>
      <w:r w:rsidRPr="0014713E">
        <w:rPr>
          <w:rFonts w:ascii="Arial" w:hAnsi="Arial" w:cs="Arial"/>
        </w:rPr>
        <w:t>After consideration of all the</w:t>
      </w:r>
      <w:r>
        <w:rPr>
          <w:rFonts w:ascii="Arial" w:hAnsi="Arial" w:cs="Arial"/>
        </w:rPr>
        <w:t xml:space="preserve"> </w:t>
      </w:r>
      <w:r w:rsidRPr="0014713E">
        <w:rPr>
          <w:rFonts w:ascii="Arial" w:hAnsi="Arial" w:cs="Arial"/>
        </w:rPr>
        <w:t>comments, the regulations proposed by</w:t>
      </w:r>
      <w:r>
        <w:rPr>
          <w:rFonts w:ascii="Arial" w:hAnsi="Arial" w:cs="Arial"/>
        </w:rPr>
        <w:t xml:space="preserve"> </w:t>
      </w:r>
      <w:r w:rsidRPr="0014713E">
        <w:rPr>
          <w:rFonts w:ascii="Arial" w:hAnsi="Arial" w:cs="Arial"/>
        </w:rPr>
        <w:t>FI–28–96 are, with modifications,</w:t>
      </w:r>
      <w:r>
        <w:rPr>
          <w:rFonts w:ascii="Arial" w:hAnsi="Arial" w:cs="Arial"/>
        </w:rPr>
        <w:t xml:space="preserve"> </w:t>
      </w:r>
      <w:r w:rsidRPr="0014713E">
        <w:rPr>
          <w:rFonts w:ascii="Arial" w:hAnsi="Arial" w:cs="Arial"/>
        </w:rPr>
        <w:t>adopted by revision to §1.148–5(d)-(6)(iii).</w:t>
      </w:r>
    </w:p>
    <w:p w:rsidR="0014713E" w:rsidRDefault="0014713E" w:rsidP="005C12B2">
      <w:pPr>
        <w:ind w:left="720"/>
        <w:rPr>
          <w:rFonts w:ascii="Arial" w:hAnsi="Arial" w:cs="Arial"/>
        </w:rPr>
      </w:pPr>
    </w:p>
    <w:p w:rsidR="005C12B2" w:rsidRPr="005C12B2" w:rsidRDefault="005C12B2" w:rsidP="005C12B2">
      <w:pPr>
        <w:ind w:left="720"/>
        <w:rPr>
          <w:rFonts w:ascii="Arial" w:hAnsi="Arial" w:cs="Arial"/>
        </w:rPr>
      </w:pPr>
      <w:r w:rsidRPr="005C12B2">
        <w:rPr>
          <w:rFonts w:ascii="Arial" w:hAnsi="Arial" w:cs="Arial"/>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8038-T.</w:t>
      </w:r>
    </w:p>
    <w:p w:rsidR="005C12B2" w:rsidRPr="005C12B2" w:rsidRDefault="005C12B2" w:rsidP="005C12B2">
      <w:pPr>
        <w:ind w:left="720"/>
        <w:rPr>
          <w:rFonts w:ascii="Arial" w:hAnsi="Arial" w:cs="Arial"/>
        </w:rPr>
      </w:pPr>
    </w:p>
    <w:p w:rsidR="006C6156" w:rsidRDefault="005C12B2" w:rsidP="005C12B2">
      <w:pPr>
        <w:ind w:left="720"/>
        <w:rPr>
          <w:rFonts w:ascii="Arial" w:hAnsi="Arial" w:cs="Arial"/>
        </w:rPr>
      </w:pPr>
      <w:r w:rsidRPr="005C12B2">
        <w:rPr>
          <w:rFonts w:ascii="Arial" w:hAnsi="Arial" w:cs="Arial"/>
        </w:rPr>
        <w:t>In response to the Federal Register Notice dated September 7, 2016 (81 FR 61737), we received no comments during the comment period regarding Form 8038-T</w:t>
      </w:r>
      <w:r w:rsidR="00E57B7D">
        <w:rPr>
          <w:rFonts w:ascii="Arial" w:hAnsi="Arial" w:cs="Arial"/>
        </w:rPr>
        <w:t xml:space="preserve">.  </w:t>
      </w:r>
    </w:p>
    <w:p w:rsidR="006C6156" w:rsidRDefault="00E57B7D">
      <w:pPr>
        <w:tabs>
          <w:tab w:val="center" w:pos="4680"/>
        </w:tabs>
        <w:rPr>
          <w:rFonts w:ascii="Arial" w:hAnsi="Arial" w:cs="Arial"/>
        </w:rPr>
      </w:pPr>
      <w:r>
        <w:rPr>
          <w:rFonts w:ascii="Arial" w:hAnsi="Arial" w:cs="Arial"/>
        </w:rPr>
        <w:tab/>
        <w:t xml:space="preserve"> </w:t>
      </w:r>
    </w:p>
    <w:p w:rsidR="006C6156" w:rsidRDefault="00E57B7D">
      <w:pPr>
        <w:pStyle w:val="Level1"/>
        <w:numPr>
          <w:ilvl w:val="0"/>
          <w:numId w:val="3"/>
        </w:numPr>
        <w:tabs>
          <w:tab w:val="left" w:pos="-1440"/>
          <w:tab w:val="num" w:pos="720"/>
        </w:tabs>
        <w:rPr>
          <w:rFonts w:ascii="Arial" w:hAnsi="Arial" w:cs="Arial"/>
        </w:rPr>
      </w:pPr>
      <w:r>
        <w:rPr>
          <w:rFonts w:ascii="Arial" w:hAnsi="Arial" w:cs="Arial"/>
          <w:u w:val="single"/>
        </w:rPr>
        <w:t>EXPLANATION OF DECISION TO PROVIDE ANY PAYMENT OR GIFT TO</w:t>
      </w:r>
      <w:r>
        <w:rPr>
          <w:rFonts w:ascii="Arial" w:hAnsi="Arial" w:cs="Arial"/>
        </w:rPr>
        <w:t xml:space="preserve">     </w:t>
      </w:r>
      <w:r>
        <w:rPr>
          <w:rFonts w:ascii="Arial" w:hAnsi="Arial" w:cs="Arial"/>
          <w:u w:val="single"/>
        </w:rPr>
        <w:t>RESPONDENTS</w:t>
      </w:r>
    </w:p>
    <w:p w:rsidR="006C6156" w:rsidRDefault="006C6156">
      <w:pPr>
        <w:rPr>
          <w:rFonts w:ascii="Arial" w:hAnsi="Arial" w:cs="Arial"/>
        </w:rPr>
      </w:pPr>
    </w:p>
    <w:p w:rsidR="00E57B7D" w:rsidRDefault="00E57B7D" w:rsidP="00E57B7D">
      <w:pPr>
        <w:ind w:left="720"/>
        <w:rPr>
          <w:rFonts w:ascii="Arial" w:hAnsi="Arial" w:cs="Arial"/>
        </w:rPr>
      </w:pPr>
      <w:r w:rsidRPr="006A5255">
        <w:rPr>
          <w:rFonts w:ascii="Arial" w:hAnsi="Arial" w:cs="Arial"/>
        </w:rPr>
        <w:t>No payment or gift has been provided to any respondents</w:t>
      </w:r>
      <w:r>
        <w:rPr>
          <w:rFonts w:ascii="Arial" w:hAnsi="Arial" w:cs="Arial"/>
        </w:rPr>
        <w:t>.</w:t>
      </w:r>
    </w:p>
    <w:p w:rsidR="006C6156" w:rsidRDefault="006C6156">
      <w:pPr>
        <w:rPr>
          <w:rFonts w:ascii="Arial" w:hAnsi="Arial" w:cs="Arial"/>
        </w:rPr>
      </w:pPr>
    </w:p>
    <w:p w:rsidR="006C6156" w:rsidRDefault="00E57B7D">
      <w:pPr>
        <w:tabs>
          <w:tab w:val="left" w:pos="-1440"/>
        </w:tabs>
        <w:ind w:left="720" w:hanging="720"/>
        <w:rPr>
          <w:rFonts w:ascii="Arial" w:hAnsi="Arial" w:cs="Arial"/>
        </w:rPr>
      </w:pPr>
      <w:r>
        <w:rPr>
          <w:rFonts w:ascii="Arial" w:hAnsi="Arial" w:cs="Arial"/>
        </w:rPr>
        <w:t>10</w:t>
      </w:r>
      <w:r>
        <w:rPr>
          <w:rFonts w:ascii="Arial" w:hAnsi="Arial" w:cs="Arial"/>
        </w:rPr>
        <w:tab/>
      </w:r>
      <w:r w:rsidR="00F36D43">
        <w:rPr>
          <w:rFonts w:ascii="Arial" w:hAnsi="Arial" w:cs="Arial"/>
          <w:u w:val="single"/>
        </w:rPr>
        <w:t>ASSURANCES</w:t>
      </w:r>
      <w:r>
        <w:rPr>
          <w:rFonts w:ascii="Arial" w:hAnsi="Arial" w:cs="Arial"/>
          <w:u w:val="single"/>
        </w:rPr>
        <w:t xml:space="preserve"> OF CONFIDENTIALITY OF RESPONSES</w:t>
      </w:r>
    </w:p>
    <w:p w:rsidR="006C6156" w:rsidRDefault="006C6156">
      <w:pPr>
        <w:rPr>
          <w:rFonts w:ascii="Arial" w:hAnsi="Arial" w:cs="Arial"/>
        </w:rPr>
      </w:pPr>
    </w:p>
    <w:p w:rsidR="006C6156" w:rsidRDefault="00BA5EB4" w:rsidP="00BA5EB4">
      <w:pPr>
        <w:ind w:left="720"/>
        <w:rPr>
          <w:rFonts w:ascii="Arial" w:hAnsi="Arial" w:cs="Arial"/>
        </w:rPr>
      </w:pPr>
      <w:r w:rsidRPr="00BA5EB4">
        <w:rPr>
          <w:rFonts w:ascii="Arial" w:hAnsi="Arial" w:cs="Arial"/>
        </w:rPr>
        <w:t>Generally, tax returns and tax return information are confidential as required by 26 USC 6103</w:t>
      </w:r>
      <w:r w:rsidR="00E57B7D">
        <w:rPr>
          <w:rFonts w:ascii="Arial" w:hAnsi="Arial" w:cs="Arial"/>
        </w:rPr>
        <w:t>.</w:t>
      </w:r>
      <w:r w:rsidR="00FE7089">
        <w:rPr>
          <w:rFonts w:ascii="Arial" w:hAnsi="Arial" w:cs="Arial"/>
        </w:rPr>
        <w:t xml:space="preserve"> </w:t>
      </w:r>
    </w:p>
    <w:p w:rsidR="008E1528" w:rsidRDefault="008E1528" w:rsidP="00BA5EB4">
      <w:pPr>
        <w:ind w:left="720"/>
        <w:rPr>
          <w:rFonts w:ascii="Arial" w:hAnsi="Arial" w:cs="Arial"/>
        </w:rPr>
      </w:pPr>
    </w:p>
    <w:p w:rsidR="006C6156" w:rsidRPr="00751248" w:rsidRDefault="00E57B7D" w:rsidP="00FC5813">
      <w:pPr>
        <w:pStyle w:val="Level1"/>
        <w:numPr>
          <w:ilvl w:val="0"/>
          <w:numId w:val="4"/>
        </w:numPr>
        <w:tabs>
          <w:tab w:val="left" w:pos="-1440"/>
          <w:tab w:val="num" w:pos="720"/>
        </w:tabs>
        <w:rPr>
          <w:rFonts w:ascii="Arial" w:hAnsi="Arial" w:cs="Arial"/>
          <w:u w:val="single"/>
        </w:rPr>
      </w:pPr>
      <w:r w:rsidRPr="00751248">
        <w:rPr>
          <w:rFonts w:ascii="Arial" w:hAnsi="Arial" w:cs="Arial"/>
          <w:u w:val="single"/>
        </w:rPr>
        <w:t>JUSTIFICATION OF SENSITIVE QUESTIONS</w:t>
      </w:r>
    </w:p>
    <w:p w:rsidR="00E57B7D" w:rsidRPr="00E57B7D" w:rsidRDefault="00E57B7D" w:rsidP="00E57B7D">
      <w:pPr>
        <w:rPr>
          <w:rFonts w:ascii="Arial" w:hAnsi="Arial" w:cs="Arial"/>
        </w:rPr>
      </w:pPr>
    </w:p>
    <w:p w:rsidR="00E57B7D" w:rsidRPr="00E57B7D" w:rsidRDefault="00E57B7D" w:rsidP="00E57B7D">
      <w:pPr>
        <w:ind w:left="720"/>
        <w:rPr>
          <w:rFonts w:ascii="Arial" w:hAnsi="Arial" w:cs="Arial"/>
        </w:rPr>
      </w:pPr>
      <w:r w:rsidRPr="00E57B7D">
        <w:rPr>
          <w:rFonts w:ascii="Arial" w:hAnsi="Arial" w:cs="Arial"/>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8" w:history="1">
        <w:r w:rsidR="00033255" w:rsidRPr="002F695B">
          <w:rPr>
            <w:rStyle w:val="Hyperlink"/>
            <w:rFonts w:ascii="Arial" w:hAnsi="Arial" w:cs="Arial"/>
          </w:rPr>
          <w:t>http://www.irs.gov/uac/Privacy-Impact-Assessments-PIA</w:t>
        </w:r>
      </w:hyperlink>
      <w:r w:rsidR="00033255">
        <w:rPr>
          <w:rFonts w:ascii="Arial" w:hAnsi="Arial" w:cs="Arial"/>
        </w:rPr>
        <w:t xml:space="preserve">. </w:t>
      </w:r>
      <w:r w:rsidRPr="00E57B7D">
        <w:rPr>
          <w:rFonts w:ascii="Arial" w:hAnsi="Arial" w:cs="Arial"/>
        </w:rPr>
        <w:t xml:space="preserve">  </w:t>
      </w:r>
    </w:p>
    <w:p w:rsidR="00E57B7D" w:rsidRPr="00E57B7D" w:rsidRDefault="00E57B7D" w:rsidP="00E57B7D">
      <w:pPr>
        <w:rPr>
          <w:rFonts w:ascii="Arial" w:hAnsi="Arial" w:cs="Arial"/>
        </w:rPr>
      </w:pPr>
    </w:p>
    <w:p w:rsidR="008E1528" w:rsidRDefault="00E57B7D" w:rsidP="00E57B7D">
      <w:pPr>
        <w:ind w:left="720"/>
        <w:rPr>
          <w:rFonts w:ascii="Arial" w:hAnsi="Arial" w:cs="Arial"/>
        </w:rPr>
      </w:pPr>
      <w:r w:rsidRPr="00E57B7D">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w:t>
      </w:r>
      <w:r>
        <w:rPr>
          <w:rFonts w:ascii="Arial" w:hAnsi="Arial" w:cs="Arial"/>
        </w:rPr>
        <w:t xml:space="preserve"> numbers (SSNs) in IRS systems.</w:t>
      </w:r>
    </w:p>
    <w:p w:rsidR="008E1528" w:rsidRDefault="008E1528" w:rsidP="00E57B7D">
      <w:pPr>
        <w:ind w:left="720"/>
        <w:rPr>
          <w:rFonts w:ascii="Arial" w:hAnsi="Arial" w:cs="Arial"/>
        </w:rPr>
      </w:pPr>
    </w:p>
    <w:p w:rsidR="006C6156" w:rsidRDefault="00E57B7D">
      <w:pPr>
        <w:pStyle w:val="Level1"/>
        <w:numPr>
          <w:ilvl w:val="0"/>
          <w:numId w:val="4"/>
        </w:numPr>
        <w:tabs>
          <w:tab w:val="left" w:pos="-1440"/>
          <w:tab w:val="num" w:pos="720"/>
        </w:tabs>
        <w:rPr>
          <w:rFonts w:ascii="Arial" w:hAnsi="Arial" w:cs="Arial"/>
        </w:rPr>
      </w:pPr>
      <w:r>
        <w:rPr>
          <w:rFonts w:ascii="Arial" w:hAnsi="Arial" w:cs="Arial"/>
          <w:u w:val="single"/>
        </w:rPr>
        <w:t>ESTIMATED BURDEN OF INFORMATION COLLECTION</w:t>
      </w:r>
    </w:p>
    <w:p w:rsidR="006C6156" w:rsidRDefault="006C6156">
      <w:pPr>
        <w:rPr>
          <w:rFonts w:ascii="Arial" w:hAnsi="Arial" w:cs="Arial"/>
        </w:rPr>
      </w:pPr>
    </w:p>
    <w:p w:rsidR="006C6156" w:rsidRDefault="00E57B7D">
      <w:pPr>
        <w:ind w:firstLine="720"/>
        <w:rPr>
          <w:rFonts w:ascii="Arial" w:hAnsi="Arial" w:cs="Arial"/>
        </w:rPr>
      </w:pPr>
      <w:r>
        <w:rPr>
          <w:rFonts w:ascii="Arial" w:hAnsi="Arial" w:cs="Arial"/>
        </w:rPr>
        <w:t xml:space="preserve">The total burden for this submission is </w:t>
      </w:r>
      <w:r w:rsidR="00D56F93">
        <w:rPr>
          <w:rFonts w:ascii="Arial" w:hAnsi="Arial" w:cs="Arial"/>
        </w:rPr>
        <w:t>59,325</w:t>
      </w:r>
      <w:r>
        <w:rPr>
          <w:rFonts w:ascii="Arial" w:hAnsi="Arial" w:cs="Arial"/>
        </w:rPr>
        <w:t xml:space="preserve"> hours with </w:t>
      </w:r>
      <w:r w:rsidR="00D56F93">
        <w:rPr>
          <w:rFonts w:ascii="Arial" w:hAnsi="Arial" w:cs="Arial"/>
        </w:rPr>
        <w:t>3,900</w:t>
      </w:r>
      <w:r>
        <w:rPr>
          <w:rFonts w:ascii="Arial" w:hAnsi="Arial" w:cs="Arial"/>
        </w:rPr>
        <w:t xml:space="preserve"> responses. </w:t>
      </w:r>
    </w:p>
    <w:p w:rsidR="00E57B7D" w:rsidRDefault="00E57B7D" w:rsidP="00E57B7D">
      <w:pPr>
        <w:rPr>
          <w:rFonts w:ascii="Arial" w:hAnsi="Arial" w:cs="Arial"/>
          <w:u w:val="single"/>
        </w:rPr>
      </w:pPr>
    </w:p>
    <w:p w:rsidR="002115B8" w:rsidRPr="00DF2A78" w:rsidRDefault="002115B8" w:rsidP="002115B8">
      <w:pPr>
        <w:rPr>
          <w:rFonts w:ascii="Arial" w:hAnsi="Arial" w:cs="Arial"/>
          <w:b/>
        </w:rPr>
      </w:pPr>
    </w:p>
    <w:tbl>
      <w:tblPr>
        <w:tblStyle w:val="TableGrid"/>
        <w:tblW w:w="10278" w:type="dxa"/>
        <w:tblInd w:w="-456" w:type="dxa"/>
        <w:tblLook w:val="04A0" w:firstRow="1" w:lastRow="0" w:firstColumn="1" w:lastColumn="0" w:noHBand="0" w:noVBand="1"/>
      </w:tblPr>
      <w:tblGrid>
        <w:gridCol w:w="1767"/>
        <w:gridCol w:w="1711"/>
        <w:gridCol w:w="1548"/>
        <w:gridCol w:w="1449"/>
        <w:gridCol w:w="1417"/>
        <w:gridCol w:w="1257"/>
        <w:gridCol w:w="1129"/>
      </w:tblGrid>
      <w:tr w:rsidR="002115B8" w:rsidRPr="00DF2A78" w:rsidTr="002C4796">
        <w:tc>
          <w:tcPr>
            <w:tcW w:w="1767" w:type="dxa"/>
            <w:vAlign w:val="bottom"/>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Authority</w:t>
            </w:r>
          </w:p>
        </w:tc>
        <w:tc>
          <w:tcPr>
            <w:tcW w:w="1711" w:type="dxa"/>
            <w:vAlign w:val="bottom"/>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Type of Request</w:t>
            </w:r>
          </w:p>
        </w:tc>
        <w:tc>
          <w:tcPr>
            <w:tcW w:w="1548" w:type="dxa"/>
            <w:vAlign w:val="bottom"/>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Number of respondents</w:t>
            </w:r>
          </w:p>
        </w:tc>
        <w:tc>
          <w:tcPr>
            <w:tcW w:w="1449" w:type="dxa"/>
            <w:vAlign w:val="bottom"/>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Responses per year</w:t>
            </w:r>
          </w:p>
        </w:tc>
        <w:tc>
          <w:tcPr>
            <w:tcW w:w="1417" w:type="dxa"/>
            <w:vAlign w:val="bottom"/>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Number of Responses</w:t>
            </w:r>
          </w:p>
        </w:tc>
        <w:tc>
          <w:tcPr>
            <w:tcW w:w="1257" w:type="dxa"/>
            <w:vAlign w:val="bottom"/>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Hours per response</w:t>
            </w:r>
          </w:p>
        </w:tc>
        <w:tc>
          <w:tcPr>
            <w:tcW w:w="1129" w:type="dxa"/>
            <w:vAlign w:val="bottom"/>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Burden Hours</w:t>
            </w:r>
          </w:p>
        </w:tc>
      </w:tr>
      <w:tr w:rsidR="002115B8" w:rsidRPr="00DF2A78" w:rsidTr="002C4796">
        <w:tc>
          <w:tcPr>
            <w:tcW w:w="1767" w:type="dxa"/>
          </w:tcPr>
          <w:p w:rsidR="002115B8" w:rsidRPr="00D56F93" w:rsidRDefault="00D56F93" w:rsidP="00D56F93">
            <w:pPr>
              <w:jc w:val="center"/>
              <w:rPr>
                <w:rFonts w:ascii="Arial Narrow" w:hAnsi="Arial Narrow" w:cs="Arial"/>
                <w:sz w:val="18"/>
                <w:szCs w:val="18"/>
              </w:rPr>
            </w:pPr>
            <w:r>
              <w:rPr>
                <w:rFonts w:ascii="Arial Narrow" w:hAnsi="Arial Narrow" w:cs="Arial"/>
                <w:sz w:val="18"/>
                <w:szCs w:val="18"/>
              </w:rPr>
              <w:t>26 CFR 1.148-5</w:t>
            </w:r>
          </w:p>
        </w:tc>
        <w:tc>
          <w:tcPr>
            <w:tcW w:w="1711" w:type="dxa"/>
          </w:tcPr>
          <w:p w:rsidR="002115B8" w:rsidRPr="00D56F93" w:rsidRDefault="00D56F93" w:rsidP="00D56F93">
            <w:pPr>
              <w:jc w:val="center"/>
              <w:rPr>
                <w:rFonts w:ascii="Arial Narrow" w:hAnsi="Arial Narrow" w:cs="Arial"/>
                <w:sz w:val="18"/>
                <w:szCs w:val="18"/>
              </w:rPr>
            </w:pPr>
            <w:r>
              <w:rPr>
                <w:rFonts w:ascii="Arial Narrow" w:hAnsi="Arial Narrow" w:cs="Arial"/>
                <w:sz w:val="18"/>
                <w:szCs w:val="18"/>
              </w:rPr>
              <w:t xml:space="preserve">Recordkeeping </w:t>
            </w:r>
          </w:p>
        </w:tc>
        <w:tc>
          <w:tcPr>
            <w:tcW w:w="1548" w:type="dxa"/>
          </w:tcPr>
          <w:p w:rsidR="002115B8" w:rsidRPr="00D56F93" w:rsidRDefault="00D56F93" w:rsidP="00D56F93">
            <w:pPr>
              <w:jc w:val="center"/>
              <w:rPr>
                <w:rFonts w:ascii="Arial Narrow" w:hAnsi="Arial Narrow" w:cs="Arial"/>
                <w:sz w:val="18"/>
                <w:szCs w:val="18"/>
              </w:rPr>
            </w:pPr>
            <w:r>
              <w:rPr>
                <w:rFonts w:ascii="Arial Narrow" w:hAnsi="Arial Narrow" w:cs="Arial"/>
                <w:sz w:val="18"/>
                <w:szCs w:val="18"/>
              </w:rPr>
              <w:t>1400</w:t>
            </w:r>
          </w:p>
        </w:tc>
        <w:tc>
          <w:tcPr>
            <w:tcW w:w="1449" w:type="dxa"/>
          </w:tcPr>
          <w:p w:rsidR="002115B8" w:rsidRPr="00D56F93" w:rsidRDefault="00D56F93" w:rsidP="00D56F93">
            <w:pPr>
              <w:jc w:val="center"/>
              <w:rPr>
                <w:rFonts w:ascii="Arial Narrow" w:hAnsi="Arial Narrow" w:cs="Arial"/>
                <w:sz w:val="18"/>
                <w:szCs w:val="18"/>
              </w:rPr>
            </w:pPr>
            <w:r>
              <w:rPr>
                <w:rFonts w:ascii="Arial Narrow" w:hAnsi="Arial Narrow" w:cs="Arial"/>
                <w:sz w:val="18"/>
                <w:szCs w:val="18"/>
              </w:rPr>
              <w:t>1</w:t>
            </w:r>
          </w:p>
        </w:tc>
        <w:tc>
          <w:tcPr>
            <w:tcW w:w="1417" w:type="dxa"/>
          </w:tcPr>
          <w:p w:rsidR="002115B8" w:rsidRPr="00D56F93" w:rsidRDefault="00D56F93" w:rsidP="00D56F93">
            <w:pPr>
              <w:jc w:val="center"/>
              <w:rPr>
                <w:rFonts w:ascii="Arial Narrow" w:hAnsi="Arial Narrow" w:cs="Arial"/>
                <w:sz w:val="18"/>
                <w:szCs w:val="18"/>
              </w:rPr>
            </w:pPr>
            <w:r>
              <w:rPr>
                <w:rFonts w:ascii="Arial Narrow" w:hAnsi="Arial Narrow" w:cs="Arial"/>
                <w:sz w:val="18"/>
                <w:szCs w:val="18"/>
              </w:rPr>
              <w:t>1400</w:t>
            </w:r>
          </w:p>
        </w:tc>
        <w:tc>
          <w:tcPr>
            <w:tcW w:w="1257" w:type="dxa"/>
          </w:tcPr>
          <w:p w:rsidR="002115B8" w:rsidRPr="00D56F93" w:rsidRDefault="00D56F93" w:rsidP="00D56F93">
            <w:pPr>
              <w:jc w:val="center"/>
              <w:rPr>
                <w:rFonts w:ascii="Arial Narrow" w:hAnsi="Arial Narrow" w:cs="Arial"/>
                <w:sz w:val="18"/>
                <w:szCs w:val="18"/>
              </w:rPr>
            </w:pPr>
            <w:r>
              <w:rPr>
                <w:rFonts w:ascii="Arial Narrow" w:hAnsi="Arial Narrow" w:cs="Arial"/>
                <w:sz w:val="18"/>
                <w:szCs w:val="18"/>
              </w:rPr>
              <w:t>1.02</w:t>
            </w:r>
          </w:p>
        </w:tc>
        <w:tc>
          <w:tcPr>
            <w:tcW w:w="1129" w:type="dxa"/>
          </w:tcPr>
          <w:p w:rsidR="002115B8" w:rsidRPr="00D56F93" w:rsidRDefault="00D56F93" w:rsidP="00D56F93">
            <w:pPr>
              <w:jc w:val="center"/>
              <w:rPr>
                <w:rFonts w:ascii="Arial Narrow" w:hAnsi="Arial Narrow" w:cs="Arial"/>
                <w:sz w:val="18"/>
                <w:szCs w:val="18"/>
              </w:rPr>
            </w:pPr>
            <w:r>
              <w:rPr>
                <w:rFonts w:ascii="Arial Narrow" w:hAnsi="Arial Narrow" w:cs="Arial"/>
                <w:sz w:val="18"/>
                <w:szCs w:val="18"/>
              </w:rPr>
              <w:t>1,425</w:t>
            </w:r>
          </w:p>
        </w:tc>
      </w:tr>
      <w:tr w:rsidR="002115B8" w:rsidRPr="00DF2A78" w:rsidTr="002C4796">
        <w:tc>
          <w:tcPr>
            <w:tcW w:w="1767" w:type="dxa"/>
          </w:tcPr>
          <w:p w:rsidR="002115B8" w:rsidRPr="00DF2A78" w:rsidRDefault="002115B8" w:rsidP="002C4796">
            <w:pPr>
              <w:rPr>
                <w:rFonts w:ascii="Arial Narrow" w:hAnsi="Arial Narrow" w:cs="Arial"/>
                <w:i/>
                <w:sz w:val="18"/>
                <w:szCs w:val="18"/>
              </w:rPr>
            </w:pPr>
          </w:p>
        </w:tc>
        <w:tc>
          <w:tcPr>
            <w:tcW w:w="1711" w:type="dxa"/>
          </w:tcPr>
          <w:p w:rsidR="002115B8" w:rsidRPr="00DF2A78" w:rsidRDefault="00033255" w:rsidP="002C4796">
            <w:pPr>
              <w:jc w:val="center"/>
              <w:rPr>
                <w:rFonts w:ascii="Arial Narrow" w:hAnsi="Arial Narrow" w:cs="Arial"/>
                <w:sz w:val="18"/>
                <w:szCs w:val="18"/>
              </w:rPr>
            </w:pPr>
            <w:r>
              <w:rPr>
                <w:rFonts w:ascii="Arial Narrow" w:hAnsi="Arial Narrow" w:cs="Arial"/>
                <w:sz w:val="18"/>
                <w:szCs w:val="18"/>
              </w:rPr>
              <w:t>Form 8038-T</w:t>
            </w:r>
          </w:p>
        </w:tc>
        <w:tc>
          <w:tcPr>
            <w:tcW w:w="1548" w:type="dxa"/>
          </w:tcPr>
          <w:p w:rsidR="002115B8" w:rsidRPr="00DF2A78" w:rsidRDefault="00033255" w:rsidP="002C4796">
            <w:pPr>
              <w:jc w:val="center"/>
              <w:rPr>
                <w:rFonts w:ascii="Arial Narrow" w:hAnsi="Arial Narrow" w:cs="Arial"/>
                <w:sz w:val="18"/>
                <w:szCs w:val="18"/>
              </w:rPr>
            </w:pPr>
            <w:r>
              <w:rPr>
                <w:rFonts w:ascii="Arial Narrow" w:hAnsi="Arial Narrow" w:cs="Arial"/>
                <w:sz w:val="18"/>
                <w:szCs w:val="18"/>
              </w:rPr>
              <w:t>2,500</w:t>
            </w:r>
          </w:p>
        </w:tc>
        <w:tc>
          <w:tcPr>
            <w:tcW w:w="1449" w:type="dxa"/>
          </w:tcPr>
          <w:p w:rsidR="002115B8" w:rsidRPr="00DF2A78" w:rsidRDefault="00033255" w:rsidP="002C4796">
            <w:pPr>
              <w:jc w:val="center"/>
              <w:rPr>
                <w:rFonts w:ascii="Arial Narrow" w:hAnsi="Arial Narrow" w:cs="Arial"/>
                <w:sz w:val="18"/>
                <w:szCs w:val="18"/>
              </w:rPr>
            </w:pPr>
            <w:r>
              <w:rPr>
                <w:rFonts w:ascii="Arial Narrow" w:hAnsi="Arial Narrow" w:cs="Arial"/>
                <w:sz w:val="18"/>
                <w:szCs w:val="18"/>
              </w:rPr>
              <w:t>1</w:t>
            </w:r>
          </w:p>
        </w:tc>
        <w:tc>
          <w:tcPr>
            <w:tcW w:w="1417" w:type="dxa"/>
          </w:tcPr>
          <w:p w:rsidR="002115B8" w:rsidRPr="00DF2A78" w:rsidRDefault="00033255" w:rsidP="002C4796">
            <w:pPr>
              <w:jc w:val="center"/>
              <w:rPr>
                <w:rFonts w:ascii="Arial Narrow" w:hAnsi="Arial Narrow" w:cs="Arial"/>
                <w:sz w:val="18"/>
                <w:szCs w:val="18"/>
              </w:rPr>
            </w:pPr>
            <w:r>
              <w:rPr>
                <w:rFonts w:ascii="Arial Narrow" w:hAnsi="Arial Narrow" w:cs="Arial"/>
                <w:sz w:val="18"/>
                <w:szCs w:val="18"/>
              </w:rPr>
              <w:t>2,500</w:t>
            </w:r>
          </w:p>
        </w:tc>
        <w:tc>
          <w:tcPr>
            <w:tcW w:w="1257" w:type="dxa"/>
          </w:tcPr>
          <w:p w:rsidR="002115B8" w:rsidRPr="00DF2A78" w:rsidRDefault="00033255" w:rsidP="002C4796">
            <w:pPr>
              <w:jc w:val="center"/>
              <w:rPr>
                <w:rFonts w:ascii="Arial Narrow" w:hAnsi="Arial Narrow" w:cs="Arial"/>
                <w:sz w:val="18"/>
                <w:szCs w:val="18"/>
              </w:rPr>
            </w:pPr>
            <w:r>
              <w:rPr>
                <w:rFonts w:ascii="Arial Narrow" w:hAnsi="Arial Narrow" w:cs="Arial"/>
                <w:sz w:val="18"/>
                <w:szCs w:val="18"/>
              </w:rPr>
              <w:t>23.16</w:t>
            </w:r>
          </w:p>
        </w:tc>
        <w:tc>
          <w:tcPr>
            <w:tcW w:w="1129" w:type="dxa"/>
          </w:tcPr>
          <w:p w:rsidR="002115B8" w:rsidRPr="00DF2A78" w:rsidRDefault="00033255" w:rsidP="002C4796">
            <w:pPr>
              <w:jc w:val="center"/>
              <w:rPr>
                <w:rFonts w:ascii="Arial Narrow" w:hAnsi="Arial Narrow" w:cs="Arial"/>
                <w:sz w:val="18"/>
                <w:szCs w:val="18"/>
              </w:rPr>
            </w:pPr>
            <w:r>
              <w:rPr>
                <w:rFonts w:ascii="Arial Narrow" w:hAnsi="Arial Narrow" w:cs="Arial"/>
                <w:sz w:val="18"/>
                <w:szCs w:val="18"/>
              </w:rPr>
              <w:t>57,900</w:t>
            </w:r>
          </w:p>
        </w:tc>
      </w:tr>
      <w:tr w:rsidR="002115B8" w:rsidRPr="00DF2A78" w:rsidTr="002C4796">
        <w:tc>
          <w:tcPr>
            <w:tcW w:w="1767" w:type="dxa"/>
          </w:tcPr>
          <w:p w:rsidR="002115B8" w:rsidRPr="00DF2A78" w:rsidRDefault="002115B8" w:rsidP="002C4796">
            <w:pPr>
              <w:rPr>
                <w:rFonts w:ascii="Arial Narrow" w:hAnsi="Arial Narrow" w:cs="Arial"/>
                <w:b/>
                <w:i/>
                <w:sz w:val="18"/>
                <w:szCs w:val="18"/>
              </w:rPr>
            </w:pPr>
          </w:p>
        </w:tc>
        <w:tc>
          <w:tcPr>
            <w:tcW w:w="1711" w:type="dxa"/>
          </w:tcPr>
          <w:p w:rsidR="002115B8" w:rsidRPr="00DF2A78" w:rsidRDefault="002115B8" w:rsidP="002C4796">
            <w:pPr>
              <w:rPr>
                <w:rFonts w:ascii="Arial Narrow" w:hAnsi="Arial Narrow" w:cs="Arial"/>
                <w:b/>
                <w:sz w:val="18"/>
                <w:szCs w:val="18"/>
              </w:rPr>
            </w:pPr>
            <w:r w:rsidRPr="00DF2A78">
              <w:rPr>
                <w:rFonts w:ascii="Arial Narrow" w:hAnsi="Arial Narrow" w:cs="Arial"/>
                <w:b/>
                <w:sz w:val="18"/>
                <w:szCs w:val="18"/>
              </w:rPr>
              <w:t>Total</w:t>
            </w:r>
          </w:p>
        </w:tc>
        <w:tc>
          <w:tcPr>
            <w:tcW w:w="1548" w:type="dxa"/>
          </w:tcPr>
          <w:p w:rsidR="002115B8" w:rsidRPr="00DF2A78" w:rsidRDefault="002115B8" w:rsidP="002C4796">
            <w:pPr>
              <w:jc w:val="center"/>
              <w:rPr>
                <w:rFonts w:ascii="Arial Narrow" w:hAnsi="Arial Narrow" w:cs="Arial"/>
                <w:b/>
                <w:sz w:val="18"/>
                <w:szCs w:val="18"/>
              </w:rPr>
            </w:pPr>
          </w:p>
        </w:tc>
        <w:tc>
          <w:tcPr>
            <w:tcW w:w="1449" w:type="dxa"/>
          </w:tcPr>
          <w:p w:rsidR="002115B8" w:rsidRPr="00DF2A78" w:rsidRDefault="002115B8" w:rsidP="002C4796">
            <w:pPr>
              <w:jc w:val="center"/>
              <w:rPr>
                <w:rFonts w:ascii="Arial Narrow" w:hAnsi="Arial Narrow" w:cs="Arial"/>
                <w:b/>
                <w:sz w:val="18"/>
                <w:szCs w:val="18"/>
              </w:rPr>
            </w:pPr>
          </w:p>
        </w:tc>
        <w:tc>
          <w:tcPr>
            <w:tcW w:w="1417" w:type="dxa"/>
          </w:tcPr>
          <w:p w:rsidR="002115B8" w:rsidRPr="00DF2A78" w:rsidRDefault="00D56F93" w:rsidP="002C4796">
            <w:pPr>
              <w:jc w:val="center"/>
              <w:rPr>
                <w:rFonts w:ascii="Arial Narrow" w:hAnsi="Arial Narrow" w:cs="Arial"/>
                <w:b/>
                <w:sz w:val="18"/>
                <w:szCs w:val="18"/>
              </w:rPr>
            </w:pPr>
            <w:r>
              <w:rPr>
                <w:rFonts w:ascii="Arial Narrow" w:hAnsi="Arial Narrow" w:cs="Arial"/>
                <w:b/>
                <w:sz w:val="18"/>
                <w:szCs w:val="18"/>
              </w:rPr>
              <w:t>3,900</w:t>
            </w:r>
          </w:p>
        </w:tc>
        <w:tc>
          <w:tcPr>
            <w:tcW w:w="1257" w:type="dxa"/>
          </w:tcPr>
          <w:p w:rsidR="002115B8" w:rsidRPr="00DF2A78" w:rsidRDefault="002115B8" w:rsidP="002C4796">
            <w:pPr>
              <w:jc w:val="center"/>
              <w:rPr>
                <w:rFonts w:ascii="Arial Narrow" w:hAnsi="Arial Narrow" w:cs="Arial"/>
                <w:b/>
                <w:sz w:val="18"/>
                <w:szCs w:val="18"/>
              </w:rPr>
            </w:pPr>
          </w:p>
        </w:tc>
        <w:tc>
          <w:tcPr>
            <w:tcW w:w="1129" w:type="dxa"/>
          </w:tcPr>
          <w:p w:rsidR="002115B8" w:rsidRPr="00DF2A78" w:rsidRDefault="00D56F93" w:rsidP="002C4796">
            <w:pPr>
              <w:jc w:val="center"/>
              <w:rPr>
                <w:rFonts w:ascii="Arial Narrow" w:hAnsi="Arial Narrow" w:cs="Arial"/>
                <w:b/>
                <w:sz w:val="18"/>
                <w:szCs w:val="18"/>
              </w:rPr>
            </w:pPr>
            <w:r>
              <w:rPr>
                <w:rFonts w:ascii="Arial Narrow" w:hAnsi="Arial Narrow" w:cs="Arial"/>
                <w:b/>
                <w:sz w:val="18"/>
                <w:szCs w:val="18"/>
              </w:rPr>
              <w:t>59,325</w:t>
            </w:r>
          </w:p>
        </w:tc>
      </w:tr>
    </w:tbl>
    <w:p w:rsidR="002115B8" w:rsidRPr="00DF2A78" w:rsidRDefault="002115B8" w:rsidP="002115B8">
      <w:pPr>
        <w:rPr>
          <w:rFonts w:ascii="Arial Narrow" w:hAnsi="Arial Narrow" w:cs="Arial"/>
          <w:sz w:val="18"/>
          <w:szCs w:val="18"/>
        </w:rPr>
      </w:pPr>
    </w:p>
    <w:p w:rsidR="00033255" w:rsidRPr="00033255" w:rsidRDefault="00033255" w:rsidP="00033255">
      <w:pPr>
        <w:ind w:left="810"/>
        <w:rPr>
          <w:rFonts w:ascii="Arial" w:hAnsi="Arial" w:cs="Arial"/>
        </w:rPr>
      </w:pPr>
      <w:r w:rsidRPr="00033255">
        <w:rPr>
          <w:rFonts w:ascii="Arial" w:hAnsi="Arial" w:cs="Arial"/>
        </w:rPr>
        <w:t>Reporting regulations which impose no additional burden:</w:t>
      </w:r>
    </w:p>
    <w:p w:rsidR="00033255" w:rsidRPr="00033255" w:rsidRDefault="00033255" w:rsidP="00033255">
      <w:pPr>
        <w:ind w:left="810"/>
        <w:rPr>
          <w:rFonts w:ascii="Arial" w:hAnsi="Arial" w:cs="Arial"/>
        </w:rPr>
      </w:pPr>
    </w:p>
    <w:p w:rsidR="00033255" w:rsidRPr="00033255" w:rsidRDefault="00033255" w:rsidP="00033255">
      <w:pPr>
        <w:ind w:left="810"/>
        <w:rPr>
          <w:rFonts w:ascii="Arial" w:hAnsi="Arial" w:cs="Arial"/>
        </w:rPr>
      </w:pPr>
      <w:r w:rsidRPr="00033255">
        <w:rPr>
          <w:rFonts w:ascii="Arial" w:hAnsi="Arial" w:cs="Arial"/>
        </w:rPr>
        <w:t>1.148-1</w:t>
      </w:r>
    </w:p>
    <w:p w:rsidR="00033255" w:rsidRDefault="00033255" w:rsidP="00033255">
      <w:pPr>
        <w:ind w:left="810"/>
        <w:rPr>
          <w:rFonts w:ascii="Arial" w:hAnsi="Arial" w:cs="Arial"/>
        </w:rPr>
      </w:pPr>
      <w:r w:rsidRPr="00033255">
        <w:rPr>
          <w:rFonts w:ascii="Arial" w:hAnsi="Arial" w:cs="Arial"/>
        </w:rPr>
        <w:t xml:space="preserve">1.148-4 </w:t>
      </w:r>
    </w:p>
    <w:p w:rsidR="00033255" w:rsidRPr="00033255" w:rsidRDefault="00033255" w:rsidP="00033255">
      <w:pPr>
        <w:ind w:left="810"/>
        <w:rPr>
          <w:rFonts w:ascii="Arial" w:hAnsi="Arial" w:cs="Arial"/>
        </w:rPr>
      </w:pPr>
      <w:r>
        <w:rPr>
          <w:rFonts w:ascii="Arial" w:hAnsi="Arial" w:cs="Arial"/>
        </w:rPr>
        <w:t>1.148-5</w:t>
      </w:r>
    </w:p>
    <w:p w:rsidR="00033255" w:rsidRPr="00033255" w:rsidRDefault="00033255" w:rsidP="00033255">
      <w:pPr>
        <w:ind w:left="810"/>
        <w:rPr>
          <w:rFonts w:ascii="Arial" w:hAnsi="Arial" w:cs="Arial"/>
        </w:rPr>
      </w:pPr>
      <w:r w:rsidRPr="00033255">
        <w:rPr>
          <w:rFonts w:ascii="Arial" w:hAnsi="Arial" w:cs="Arial"/>
        </w:rPr>
        <w:t>1.103A-2</w:t>
      </w:r>
    </w:p>
    <w:p w:rsidR="00033255" w:rsidRPr="00033255" w:rsidRDefault="00033255" w:rsidP="00033255">
      <w:pPr>
        <w:ind w:left="810"/>
        <w:rPr>
          <w:rFonts w:ascii="Arial" w:hAnsi="Arial" w:cs="Arial"/>
        </w:rPr>
      </w:pPr>
      <w:r w:rsidRPr="00033255">
        <w:rPr>
          <w:rFonts w:ascii="Arial" w:hAnsi="Arial" w:cs="Arial"/>
        </w:rPr>
        <w:t>1.149(e)-1</w:t>
      </w:r>
    </w:p>
    <w:p w:rsidR="00033255" w:rsidRPr="00033255" w:rsidRDefault="00033255" w:rsidP="00033255">
      <w:pPr>
        <w:ind w:left="810"/>
        <w:rPr>
          <w:rFonts w:ascii="Arial" w:hAnsi="Arial" w:cs="Arial"/>
        </w:rPr>
      </w:pPr>
      <w:r w:rsidRPr="00033255">
        <w:rPr>
          <w:rFonts w:ascii="Arial" w:hAnsi="Arial" w:cs="Arial"/>
        </w:rPr>
        <w:t xml:space="preserve"> </w:t>
      </w:r>
    </w:p>
    <w:p w:rsidR="00033255" w:rsidRDefault="00033255" w:rsidP="00751248">
      <w:pPr>
        <w:ind w:left="810"/>
        <w:rPr>
          <w:rFonts w:ascii="Arial" w:hAnsi="Arial" w:cs="Arial"/>
        </w:rPr>
      </w:pPr>
      <w:r w:rsidRPr="00033255">
        <w:rPr>
          <w:rFonts w:ascii="Arial" w:hAnsi="Arial" w:cs="Arial"/>
        </w:rPr>
        <w:t>We have reviewed these regulations and have determined that the reporting requirements contained in them are entirely reflected on the form.  The justification appearing in Item 1 of the supporting statement applies both to these regulations and to the form.  Please continue to assign OMB number 1545-1219 to these regulations.</w:t>
      </w:r>
    </w:p>
    <w:p w:rsidR="007F0104" w:rsidRDefault="007F0104" w:rsidP="00751248">
      <w:pPr>
        <w:ind w:left="810"/>
        <w:rPr>
          <w:rFonts w:ascii="Arial" w:hAnsi="Arial" w:cs="Arial"/>
        </w:rPr>
      </w:pPr>
    </w:p>
    <w:p w:rsidR="007F0104" w:rsidRPr="00751248" w:rsidRDefault="007F0104" w:rsidP="00751248">
      <w:pPr>
        <w:ind w:left="810"/>
        <w:rPr>
          <w:rFonts w:ascii="Arial" w:hAnsi="Arial" w:cs="Arial"/>
        </w:rPr>
      </w:pPr>
    </w:p>
    <w:p w:rsidR="006C6156" w:rsidRDefault="00E57B7D">
      <w:pPr>
        <w:pStyle w:val="Level1"/>
        <w:keepNext/>
        <w:widowControl/>
        <w:numPr>
          <w:ilvl w:val="0"/>
          <w:numId w:val="4"/>
        </w:numPr>
        <w:tabs>
          <w:tab w:val="left" w:pos="-1440"/>
          <w:tab w:val="num" w:pos="720"/>
        </w:tabs>
        <w:rPr>
          <w:rFonts w:ascii="Arial" w:hAnsi="Arial" w:cs="Arial"/>
        </w:rPr>
      </w:pPr>
      <w:r>
        <w:rPr>
          <w:rFonts w:ascii="Arial" w:hAnsi="Arial" w:cs="Arial"/>
          <w:u w:val="single"/>
        </w:rPr>
        <w:t>ESTIMATED TOTAL ANNUAL COST BURDEN TO RESPONDENTS</w:t>
      </w:r>
    </w:p>
    <w:p w:rsidR="006C6156" w:rsidRDefault="006C6156">
      <w:pPr>
        <w:keepNext/>
        <w:widowControl/>
        <w:rPr>
          <w:rFonts w:ascii="Arial" w:hAnsi="Arial" w:cs="Arial"/>
        </w:rPr>
      </w:pPr>
    </w:p>
    <w:p w:rsidR="008E1528" w:rsidRPr="008E1528" w:rsidRDefault="008E1528" w:rsidP="008E1528">
      <w:pPr>
        <w:keepNext/>
        <w:widowControl/>
        <w:ind w:left="720"/>
        <w:rPr>
          <w:rFonts w:ascii="Arial" w:hAnsi="Arial" w:cs="Arial"/>
        </w:rPr>
      </w:pPr>
      <w:r w:rsidRPr="008E1528">
        <w:rPr>
          <w:rFonts w:ascii="Arial" w:hAnsi="Arial" w:cs="Arial"/>
        </w:rPr>
        <w:t xml:space="preserve">As suggested by OMB, our Federal Register notice dated December 21, 2018,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currently.  </w:t>
      </w:r>
    </w:p>
    <w:p w:rsidR="008E1528" w:rsidRPr="008E1528" w:rsidRDefault="008E1528" w:rsidP="008E1528">
      <w:pPr>
        <w:keepNext/>
        <w:widowControl/>
        <w:ind w:left="720"/>
        <w:rPr>
          <w:rFonts w:ascii="Arial" w:hAnsi="Arial" w:cs="Arial"/>
        </w:rPr>
      </w:pPr>
    </w:p>
    <w:p w:rsidR="006C6156" w:rsidRDefault="008E1528" w:rsidP="008E1528">
      <w:pPr>
        <w:keepNext/>
        <w:widowControl/>
        <w:ind w:left="720"/>
        <w:rPr>
          <w:rFonts w:ascii="Arial" w:hAnsi="Arial" w:cs="Arial"/>
        </w:rPr>
      </w:pPr>
      <w:r w:rsidRPr="008E1528">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w:t>
      </w:r>
      <w:r>
        <w:rPr>
          <w:rFonts w:ascii="Arial" w:hAnsi="Arial" w:cs="Arial"/>
        </w:rPr>
        <w:t>se estimate of burden and costs</w:t>
      </w:r>
      <w:r w:rsidR="00E57B7D">
        <w:rPr>
          <w:rFonts w:ascii="Arial" w:hAnsi="Arial" w:cs="Arial"/>
        </w:rPr>
        <w:t>.</w:t>
      </w:r>
    </w:p>
    <w:p w:rsidR="006C6156" w:rsidRDefault="006C6156">
      <w:pPr>
        <w:ind w:left="720"/>
        <w:rPr>
          <w:rFonts w:ascii="Arial" w:hAnsi="Arial" w:cs="Arial"/>
        </w:rPr>
      </w:pPr>
    </w:p>
    <w:p w:rsidR="006C6156" w:rsidRDefault="00E57B7D">
      <w:pPr>
        <w:pStyle w:val="Level1"/>
        <w:numPr>
          <w:ilvl w:val="0"/>
          <w:numId w:val="4"/>
        </w:numPr>
        <w:tabs>
          <w:tab w:val="left" w:pos="-1440"/>
          <w:tab w:val="num" w:pos="720"/>
        </w:tabs>
        <w:rPr>
          <w:rFonts w:ascii="Arial" w:hAnsi="Arial" w:cs="Arial"/>
        </w:rPr>
      </w:pPr>
      <w:r>
        <w:rPr>
          <w:rFonts w:ascii="Arial" w:hAnsi="Arial" w:cs="Arial"/>
          <w:u w:val="single"/>
        </w:rPr>
        <w:t>ESTIMATED ANNUALIZED COST TO THE FEDERAL GOVERNMENT</w:t>
      </w:r>
    </w:p>
    <w:p w:rsidR="006C6156" w:rsidRDefault="006C6156">
      <w:pPr>
        <w:rPr>
          <w:rFonts w:ascii="Arial" w:hAnsi="Arial" w:cs="Arial"/>
        </w:rPr>
      </w:pPr>
    </w:p>
    <w:p w:rsidR="008E1528" w:rsidRPr="008E1528" w:rsidRDefault="008E1528" w:rsidP="008E1528">
      <w:pPr>
        <w:ind w:left="720"/>
        <w:rPr>
          <w:rFonts w:ascii="Times New Roman" w:hAnsi="Times New Roman"/>
        </w:rPr>
      </w:pPr>
      <w:bookmarkStart w:id="2" w:name="_Hlk523834409"/>
      <w:r w:rsidRPr="008E1528">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8E1528" w:rsidRPr="008E1528" w:rsidRDefault="008E1528" w:rsidP="008E1528">
      <w:pPr>
        <w:ind w:left="720"/>
        <w:rPr>
          <w:rFonts w:ascii="Times New Roman" w:hAnsi="Times New Roman"/>
        </w:rPr>
      </w:pPr>
    </w:p>
    <w:p w:rsidR="008E1528" w:rsidRPr="008E1528" w:rsidRDefault="008E1528" w:rsidP="008E1528">
      <w:pPr>
        <w:ind w:left="720"/>
        <w:rPr>
          <w:rFonts w:ascii="Times New Roman" w:hAnsi="Times New Roman"/>
        </w:rPr>
      </w:pPr>
      <w:r w:rsidRPr="008E1528">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8E1528" w:rsidRPr="008E1528" w:rsidRDefault="008E1528" w:rsidP="008E1528">
      <w:pPr>
        <w:ind w:left="720"/>
        <w:rPr>
          <w:rFonts w:ascii="Times New Roman" w:hAnsi="Times New Roman"/>
        </w:rPr>
      </w:pPr>
    </w:p>
    <w:p w:rsidR="008E1528" w:rsidRPr="008E1528" w:rsidRDefault="008E1528" w:rsidP="008E1528">
      <w:pPr>
        <w:ind w:left="720"/>
        <w:rPr>
          <w:rFonts w:ascii="Times New Roman" w:hAnsi="Times New Roman"/>
        </w:rPr>
      </w:pPr>
      <w:r w:rsidRPr="008E1528">
        <w:rPr>
          <w:rFonts w:ascii="Times New Roman" w:hAnsi="Times New Roman"/>
        </w:rPr>
        <w:t>The government cost estimate for this collection is summarized in the table below.</w:t>
      </w:r>
    </w:p>
    <w:p w:rsidR="008E1528" w:rsidRPr="008E1528" w:rsidRDefault="008E1528" w:rsidP="008E1528">
      <w:pPr>
        <w:ind w:left="720"/>
        <w:rPr>
          <w:rFonts w:ascii="Times New Roman" w:hAnsi="Times New Roman"/>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941"/>
        <w:gridCol w:w="293"/>
        <w:gridCol w:w="1763"/>
        <w:gridCol w:w="367"/>
        <w:gridCol w:w="1804"/>
      </w:tblGrid>
      <w:tr w:rsidR="008E1528" w:rsidRPr="008E1528" w:rsidTr="00BA7D18">
        <w:tc>
          <w:tcPr>
            <w:tcW w:w="2187" w:type="dxa"/>
            <w:tcBorders>
              <w:top w:val="single" w:sz="4" w:space="0" w:color="auto"/>
              <w:left w:val="single" w:sz="4" w:space="0" w:color="auto"/>
              <w:bottom w:val="single" w:sz="4" w:space="0" w:color="auto"/>
              <w:right w:val="single" w:sz="4" w:space="0" w:color="auto"/>
            </w:tcBorders>
            <w:vAlign w:val="bottom"/>
            <w:hideMark/>
          </w:tcPr>
          <w:p w:rsidR="008E1528" w:rsidRPr="008E1528" w:rsidRDefault="008E1528" w:rsidP="008E1528">
            <w:pPr>
              <w:rPr>
                <w:rFonts w:ascii="Arial Narrow" w:hAnsi="Arial Narrow"/>
                <w:b/>
                <w:sz w:val="18"/>
                <w:szCs w:val="18"/>
                <w:u w:val="single"/>
              </w:rPr>
            </w:pPr>
            <w:r w:rsidRPr="008E1528">
              <w:rPr>
                <w:rFonts w:ascii="Arial Narrow" w:hAnsi="Arial Narrow"/>
                <w:b/>
                <w:sz w:val="18"/>
                <w:szCs w:val="18"/>
                <w:u w:val="single"/>
              </w:rPr>
              <w:t>Product</w:t>
            </w:r>
          </w:p>
        </w:tc>
        <w:tc>
          <w:tcPr>
            <w:tcW w:w="1941" w:type="dxa"/>
            <w:tcBorders>
              <w:top w:val="single" w:sz="4" w:space="0" w:color="auto"/>
              <w:left w:val="single" w:sz="4" w:space="0" w:color="auto"/>
              <w:bottom w:val="single" w:sz="4" w:space="0" w:color="auto"/>
              <w:right w:val="single" w:sz="4" w:space="0" w:color="auto"/>
            </w:tcBorders>
            <w:vAlign w:val="bottom"/>
            <w:hideMark/>
          </w:tcPr>
          <w:p w:rsidR="008E1528" w:rsidRPr="008E1528" w:rsidRDefault="008E1528" w:rsidP="008E1528">
            <w:pPr>
              <w:rPr>
                <w:rFonts w:ascii="Arial Narrow" w:hAnsi="Arial Narrow"/>
                <w:b/>
                <w:sz w:val="18"/>
                <w:szCs w:val="18"/>
                <w:u w:val="single"/>
              </w:rPr>
            </w:pPr>
            <w:r w:rsidRPr="008E1528">
              <w:rPr>
                <w:rFonts w:ascii="Arial Narrow" w:hAnsi="Arial Narrow"/>
                <w:b/>
                <w:sz w:val="18"/>
                <w:szCs w:val="18"/>
                <w:u w:val="single"/>
              </w:rPr>
              <w:t>Aggregate Cost per Product (factor applied)</w:t>
            </w:r>
          </w:p>
        </w:tc>
        <w:tc>
          <w:tcPr>
            <w:tcW w:w="293" w:type="dxa"/>
            <w:tcBorders>
              <w:top w:val="single" w:sz="4" w:space="0" w:color="auto"/>
              <w:left w:val="single" w:sz="4" w:space="0" w:color="auto"/>
              <w:bottom w:val="single" w:sz="4" w:space="0" w:color="auto"/>
              <w:right w:val="single" w:sz="4" w:space="0" w:color="auto"/>
            </w:tcBorders>
          </w:tcPr>
          <w:p w:rsidR="008E1528" w:rsidRPr="008E1528" w:rsidRDefault="008E1528" w:rsidP="008E1528">
            <w:pPr>
              <w:ind w:left="720"/>
              <w:rPr>
                <w:rFonts w:ascii="Arial Narrow" w:hAnsi="Arial Narrow"/>
                <w:b/>
                <w:sz w:val="18"/>
                <w:szCs w:val="18"/>
                <w:u w:val="single"/>
              </w:rPr>
            </w:pPr>
          </w:p>
        </w:tc>
        <w:tc>
          <w:tcPr>
            <w:tcW w:w="1763" w:type="dxa"/>
            <w:tcBorders>
              <w:top w:val="single" w:sz="4" w:space="0" w:color="auto"/>
              <w:left w:val="single" w:sz="4" w:space="0" w:color="auto"/>
              <w:bottom w:val="single" w:sz="4" w:space="0" w:color="auto"/>
              <w:right w:val="single" w:sz="4" w:space="0" w:color="auto"/>
            </w:tcBorders>
            <w:vAlign w:val="bottom"/>
            <w:hideMark/>
          </w:tcPr>
          <w:p w:rsidR="008E1528" w:rsidRPr="008E1528" w:rsidRDefault="008E1528" w:rsidP="008E1528">
            <w:pPr>
              <w:ind w:left="-6"/>
              <w:rPr>
                <w:rFonts w:ascii="Arial Narrow" w:hAnsi="Arial Narrow"/>
                <w:b/>
                <w:sz w:val="18"/>
                <w:szCs w:val="18"/>
                <w:u w:val="single"/>
              </w:rPr>
            </w:pPr>
            <w:r w:rsidRPr="008E1528">
              <w:rPr>
                <w:rFonts w:ascii="Arial Narrow" w:hAnsi="Arial Narrow"/>
                <w:b/>
                <w:sz w:val="18"/>
                <w:szCs w:val="18"/>
                <w:u w:val="single"/>
              </w:rPr>
              <w:t>Printing and Distribution</w:t>
            </w:r>
          </w:p>
        </w:tc>
        <w:tc>
          <w:tcPr>
            <w:tcW w:w="367" w:type="dxa"/>
            <w:tcBorders>
              <w:top w:val="single" w:sz="4" w:space="0" w:color="auto"/>
              <w:left w:val="single" w:sz="4" w:space="0" w:color="auto"/>
              <w:bottom w:val="single" w:sz="4" w:space="0" w:color="auto"/>
              <w:right w:val="single" w:sz="4" w:space="0" w:color="auto"/>
            </w:tcBorders>
          </w:tcPr>
          <w:p w:rsidR="008E1528" w:rsidRPr="008E1528" w:rsidRDefault="008E1528" w:rsidP="008E1528">
            <w:pPr>
              <w:ind w:left="720"/>
              <w:rPr>
                <w:rFonts w:ascii="Arial Narrow" w:hAnsi="Arial Narrow"/>
                <w:b/>
                <w:sz w:val="18"/>
                <w:szCs w:val="18"/>
                <w:u w:val="single"/>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8E1528" w:rsidRPr="008E1528" w:rsidRDefault="008E1528" w:rsidP="008E1528">
            <w:pPr>
              <w:rPr>
                <w:rFonts w:ascii="Arial Narrow" w:hAnsi="Arial Narrow"/>
                <w:b/>
                <w:sz w:val="18"/>
                <w:szCs w:val="18"/>
                <w:u w:val="single"/>
              </w:rPr>
            </w:pPr>
            <w:r w:rsidRPr="008E1528">
              <w:rPr>
                <w:rFonts w:ascii="Arial Narrow" w:hAnsi="Arial Narrow"/>
                <w:b/>
                <w:sz w:val="18"/>
                <w:szCs w:val="18"/>
                <w:u w:val="single"/>
              </w:rPr>
              <w:t>Government Cost Estimate per Product</w:t>
            </w:r>
          </w:p>
        </w:tc>
      </w:tr>
      <w:tr w:rsidR="002C241F" w:rsidRPr="008E1528" w:rsidTr="00BA7D18">
        <w:tc>
          <w:tcPr>
            <w:tcW w:w="2187" w:type="dxa"/>
            <w:tcBorders>
              <w:top w:val="single" w:sz="4" w:space="0" w:color="auto"/>
              <w:left w:val="single" w:sz="4" w:space="0" w:color="auto"/>
              <w:bottom w:val="single" w:sz="4" w:space="0" w:color="auto"/>
              <w:right w:val="single" w:sz="4" w:space="0" w:color="auto"/>
            </w:tcBorders>
            <w:vAlign w:val="bottom"/>
            <w:hideMark/>
          </w:tcPr>
          <w:p w:rsidR="002C241F" w:rsidRPr="008E1528" w:rsidRDefault="002C241F" w:rsidP="002C241F">
            <w:pPr>
              <w:rPr>
                <w:rFonts w:ascii="Arial Narrow" w:hAnsi="Arial Narrow"/>
                <w:sz w:val="18"/>
                <w:szCs w:val="18"/>
              </w:rPr>
            </w:pPr>
            <w:r>
              <w:rPr>
                <w:rFonts w:ascii="Arial Narrow" w:hAnsi="Arial Narrow"/>
                <w:sz w:val="18"/>
                <w:szCs w:val="18"/>
              </w:rPr>
              <w:t>8038-T</w:t>
            </w:r>
          </w:p>
        </w:tc>
        <w:tc>
          <w:tcPr>
            <w:tcW w:w="1941" w:type="dxa"/>
            <w:tcBorders>
              <w:top w:val="single" w:sz="4" w:space="0" w:color="auto"/>
              <w:left w:val="single" w:sz="4" w:space="0" w:color="auto"/>
              <w:bottom w:val="single" w:sz="4" w:space="0" w:color="auto"/>
              <w:right w:val="single" w:sz="4" w:space="0" w:color="auto"/>
            </w:tcBorders>
            <w:vAlign w:val="bottom"/>
            <w:hideMark/>
          </w:tcPr>
          <w:p w:rsidR="002C241F" w:rsidRPr="008E1528" w:rsidRDefault="002C241F" w:rsidP="002C241F">
            <w:pPr>
              <w:jc w:val="center"/>
              <w:rPr>
                <w:rFonts w:ascii="Arial Narrow" w:hAnsi="Arial Narrow"/>
                <w:sz w:val="18"/>
                <w:szCs w:val="18"/>
              </w:rPr>
            </w:pPr>
            <w:r w:rsidRPr="008E1528">
              <w:rPr>
                <w:rFonts w:ascii="Arial Narrow" w:hAnsi="Arial Narrow"/>
                <w:sz w:val="18"/>
                <w:szCs w:val="18"/>
              </w:rPr>
              <w:t xml:space="preserve">$      </w:t>
            </w:r>
            <w:r>
              <w:rPr>
                <w:rFonts w:ascii="Arial Narrow" w:hAnsi="Arial Narrow"/>
                <w:sz w:val="18"/>
                <w:szCs w:val="18"/>
              </w:rPr>
              <w:t>13,032</w:t>
            </w:r>
          </w:p>
        </w:tc>
        <w:tc>
          <w:tcPr>
            <w:tcW w:w="293" w:type="dxa"/>
            <w:tcBorders>
              <w:top w:val="single" w:sz="4" w:space="0" w:color="auto"/>
              <w:left w:val="single" w:sz="4" w:space="0" w:color="auto"/>
              <w:bottom w:val="single" w:sz="4" w:space="0" w:color="auto"/>
              <w:right w:val="single" w:sz="4" w:space="0" w:color="auto"/>
            </w:tcBorders>
          </w:tcPr>
          <w:p w:rsidR="002C241F" w:rsidRPr="008E1528" w:rsidRDefault="002C241F" w:rsidP="002C241F">
            <w:pPr>
              <w:ind w:left="720"/>
              <w:rPr>
                <w:rFonts w:ascii="Arial Narrow" w:hAnsi="Arial Narrow"/>
                <w:sz w:val="18"/>
                <w:szCs w:val="18"/>
              </w:rPr>
            </w:pPr>
          </w:p>
        </w:tc>
        <w:tc>
          <w:tcPr>
            <w:tcW w:w="1763" w:type="dxa"/>
            <w:tcBorders>
              <w:top w:val="single" w:sz="4" w:space="0" w:color="auto"/>
              <w:left w:val="single" w:sz="4" w:space="0" w:color="auto"/>
              <w:bottom w:val="single" w:sz="4" w:space="0" w:color="auto"/>
              <w:right w:val="single" w:sz="4" w:space="0" w:color="auto"/>
            </w:tcBorders>
            <w:hideMark/>
          </w:tcPr>
          <w:p w:rsidR="002C241F" w:rsidRPr="008E1528" w:rsidRDefault="002C241F" w:rsidP="002C241F">
            <w:pPr>
              <w:ind w:left="-6"/>
              <w:jc w:val="center"/>
              <w:rPr>
                <w:rFonts w:ascii="Arial Narrow" w:hAnsi="Arial Narrow"/>
                <w:sz w:val="18"/>
                <w:szCs w:val="18"/>
              </w:rPr>
            </w:pPr>
            <w:r w:rsidRPr="008E1528">
              <w:rPr>
                <w:rFonts w:ascii="Arial Narrow" w:hAnsi="Arial Narrow"/>
                <w:sz w:val="18"/>
                <w:szCs w:val="18"/>
              </w:rPr>
              <w:t xml:space="preserve">$ </w:t>
            </w:r>
          </w:p>
        </w:tc>
        <w:tc>
          <w:tcPr>
            <w:tcW w:w="367" w:type="dxa"/>
            <w:tcBorders>
              <w:top w:val="single" w:sz="4" w:space="0" w:color="auto"/>
              <w:left w:val="single" w:sz="4" w:space="0" w:color="auto"/>
              <w:bottom w:val="single" w:sz="4" w:space="0" w:color="auto"/>
              <w:right w:val="single" w:sz="4" w:space="0" w:color="auto"/>
            </w:tcBorders>
          </w:tcPr>
          <w:p w:rsidR="002C241F" w:rsidRPr="008E1528" w:rsidRDefault="002C241F" w:rsidP="002C241F">
            <w:pPr>
              <w:ind w:left="720"/>
              <w:rPr>
                <w:rFonts w:ascii="Arial Narrow" w:hAnsi="Arial Narrow"/>
                <w:sz w:val="18"/>
                <w:szCs w:val="18"/>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2C241F" w:rsidRPr="008E1528" w:rsidRDefault="002C241F" w:rsidP="002C241F">
            <w:pPr>
              <w:jc w:val="center"/>
              <w:rPr>
                <w:rFonts w:ascii="Arial Narrow" w:hAnsi="Arial Narrow"/>
                <w:sz w:val="18"/>
                <w:szCs w:val="18"/>
              </w:rPr>
            </w:pPr>
            <w:r w:rsidRPr="008E1528">
              <w:rPr>
                <w:rFonts w:ascii="Arial Narrow" w:hAnsi="Arial Narrow"/>
                <w:sz w:val="18"/>
                <w:szCs w:val="18"/>
              </w:rPr>
              <w:t xml:space="preserve">$      </w:t>
            </w:r>
            <w:r>
              <w:rPr>
                <w:rFonts w:ascii="Arial Narrow" w:hAnsi="Arial Narrow"/>
                <w:sz w:val="18"/>
                <w:szCs w:val="18"/>
              </w:rPr>
              <w:t>13,032</w:t>
            </w:r>
          </w:p>
        </w:tc>
      </w:tr>
      <w:tr w:rsidR="002C241F" w:rsidRPr="008E1528" w:rsidTr="00BA7D18">
        <w:tc>
          <w:tcPr>
            <w:tcW w:w="2187" w:type="dxa"/>
            <w:tcBorders>
              <w:top w:val="single" w:sz="4" w:space="0" w:color="auto"/>
              <w:left w:val="single" w:sz="4" w:space="0" w:color="auto"/>
              <w:bottom w:val="single" w:sz="4" w:space="0" w:color="auto"/>
              <w:right w:val="single" w:sz="4" w:space="0" w:color="auto"/>
            </w:tcBorders>
            <w:vAlign w:val="bottom"/>
            <w:hideMark/>
          </w:tcPr>
          <w:p w:rsidR="002C241F" w:rsidRPr="008E1528" w:rsidRDefault="002C241F" w:rsidP="002C241F">
            <w:pPr>
              <w:rPr>
                <w:rFonts w:ascii="Arial Narrow" w:hAnsi="Arial Narrow"/>
                <w:sz w:val="18"/>
                <w:szCs w:val="18"/>
              </w:rPr>
            </w:pPr>
            <w:r>
              <w:rPr>
                <w:rFonts w:ascii="Arial Narrow" w:hAnsi="Arial Narrow"/>
                <w:sz w:val="18"/>
                <w:szCs w:val="18"/>
              </w:rPr>
              <w:t>8038-T</w:t>
            </w:r>
            <w:r w:rsidRPr="008E1528">
              <w:rPr>
                <w:rFonts w:ascii="Arial Narrow" w:hAnsi="Arial Narrow"/>
                <w:sz w:val="18"/>
                <w:szCs w:val="18"/>
              </w:rPr>
              <w:t xml:space="preserve"> Instructions</w:t>
            </w:r>
          </w:p>
        </w:tc>
        <w:tc>
          <w:tcPr>
            <w:tcW w:w="1941" w:type="dxa"/>
            <w:tcBorders>
              <w:top w:val="single" w:sz="4" w:space="0" w:color="auto"/>
              <w:left w:val="single" w:sz="4" w:space="0" w:color="auto"/>
              <w:bottom w:val="single" w:sz="4" w:space="0" w:color="auto"/>
              <w:right w:val="single" w:sz="4" w:space="0" w:color="auto"/>
            </w:tcBorders>
            <w:vAlign w:val="bottom"/>
            <w:hideMark/>
          </w:tcPr>
          <w:p w:rsidR="002C241F" w:rsidRPr="008E1528" w:rsidRDefault="002C241F" w:rsidP="002C241F">
            <w:pPr>
              <w:jc w:val="center"/>
              <w:rPr>
                <w:rFonts w:ascii="Arial Narrow" w:hAnsi="Arial Narrow"/>
                <w:sz w:val="18"/>
                <w:szCs w:val="18"/>
              </w:rPr>
            </w:pPr>
            <w:r w:rsidRPr="008E1528">
              <w:rPr>
                <w:rFonts w:ascii="Arial Narrow" w:hAnsi="Arial Narrow"/>
                <w:sz w:val="18"/>
                <w:szCs w:val="18"/>
              </w:rPr>
              <w:t xml:space="preserve">$ </w:t>
            </w:r>
            <w:r>
              <w:rPr>
                <w:rFonts w:ascii="Arial Narrow" w:hAnsi="Arial Narrow"/>
                <w:sz w:val="18"/>
                <w:szCs w:val="18"/>
              </w:rPr>
              <w:t xml:space="preserve">   </w:t>
            </w:r>
            <w:r w:rsidRPr="008E1528">
              <w:rPr>
                <w:rFonts w:ascii="Arial Narrow" w:hAnsi="Arial Narrow"/>
                <w:sz w:val="18"/>
                <w:szCs w:val="18"/>
              </w:rPr>
              <w:t xml:space="preserve">   </w:t>
            </w:r>
            <w:r>
              <w:rPr>
                <w:rFonts w:ascii="Arial Narrow" w:hAnsi="Arial Narrow"/>
                <w:sz w:val="18"/>
                <w:szCs w:val="18"/>
              </w:rPr>
              <w:t>2,734</w:t>
            </w:r>
            <w:r w:rsidRPr="008E1528">
              <w:rPr>
                <w:rFonts w:ascii="Arial Narrow" w:hAnsi="Arial Narrow"/>
                <w:sz w:val="18"/>
                <w:szCs w:val="18"/>
              </w:rPr>
              <w:t xml:space="preserve">   </w:t>
            </w:r>
          </w:p>
        </w:tc>
        <w:tc>
          <w:tcPr>
            <w:tcW w:w="293" w:type="dxa"/>
            <w:tcBorders>
              <w:top w:val="single" w:sz="4" w:space="0" w:color="auto"/>
              <w:left w:val="single" w:sz="4" w:space="0" w:color="auto"/>
              <w:bottom w:val="single" w:sz="4" w:space="0" w:color="auto"/>
              <w:right w:val="single" w:sz="4" w:space="0" w:color="auto"/>
            </w:tcBorders>
          </w:tcPr>
          <w:p w:rsidR="002C241F" w:rsidRPr="008E1528" w:rsidRDefault="002C241F" w:rsidP="002C241F">
            <w:pPr>
              <w:ind w:left="720"/>
              <w:rPr>
                <w:rFonts w:ascii="Arial Narrow" w:hAnsi="Arial Narrow"/>
                <w:sz w:val="18"/>
                <w:szCs w:val="18"/>
              </w:rPr>
            </w:pPr>
          </w:p>
        </w:tc>
        <w:tc>
          <w:tcPr>
            <w:tcW w:w="1763" w:type="dxa"/>
            <w:tcBorders>
              <w:top w:val="single" w:sz="4" w:space="0" w:color="auto"/>
              <w:left w:val="single" w:sz="4" w:space="0" w:color="auto"/>
              <w:bottom w:val="single" w:sz="4" w:space="0" w:color="auto"/>
              <w:right w:val="single" w:sz="4" w:space="0" w:color="auto"/>
            </w:tcBorders>
            <w:hideMark/>
          </w:tcPr>
          <w:p w:rsidR="002C241F" w:rsidRPr="008E1528" w:rsidRDefault="002C241F" w:rsidP="002C241F">
            <w:pPr>
              <w:ind w:left="-6"/>
              <w:jc w:val="center"/>
              <w:rPr>
                <w:rFonts w:ascii="Arial Narrow" w:hAnsi="Arial Narrow"/>
                <w:sz w:val="18"/>
                <w:szCs w:val="18"/>
              </w:rPr>
            </w:pPr>
            <w:r w:rsidRPr="008E1528">
              <w:rPr>
                <w:rFonts w:ascii="Arial Narrow" w:hAnsi="Arial Narrow"/>
                <w:sz w:val="18"/>
                <w:szCs w:val="18"/>
              </w:rPr>
              <w:t xml:space="preserve">$ </w:t>
            </w:r>
          </w:p>
        </w:tc>
        <w:tc>
          <w:tcPr>
            <w:tcW w:w="367" w:type="dxa"/>
            <w:tcBorders>
              <w:top w:val="single" w:sz="4" w:space="0" w:color="auto"/>
              <w:left w:val="single" w:sz="4" w:space="0" w:color="auto"/>
              <w:bottom w:val="single" w:sz="4" w:space="0" w:color="auto"/>
              <w:right w:val="single" w:sz="4" w:space="0" w:color="auto"/>
            </w:tcBorders>
          </w:tcPr>
          <w:p w:rsidR="002C241F" w:rsidRPr="008E1528" w:rsidRDefault="002C241F" w:rsidP="002C241F">
            <w:pPr>
              <w:ind w:left="720"/>
              <w:rPr>
                <w:rFonts w:ascii="Arial Narrow" w:hAnsi="Arial Narrow"/>
                <w:sz w:val="18"/>
                <w:szCs w:val="18"/>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2C241F" w:rsidRPr="008E1528" w:rsidRDefault="002C241F" w:rsidP="002C241F">
            <w:pPr>
              <w:jc w:val="center"/>
              <w:rPr>
                <w:rFonts w:ascii="Arial Narrow" w:hAnsi="Arial Narrow"/>
                <w:sz w:val="18"/>
                <w:szCs w:val="18"/>
              </w:rPr>
            </w:pPr>
            <w:r w:rsidRPr="008E1528">
              <w:rPr>
                <w:rFonts w:ascii="Arial Narrow" w:hAnsi="Arial Narrow"/>
                <w:sz w:val="18"/>
                <w:szCs w:val="18"/>
              </w:rPr>
              <w:t xml:space="preserve">$ </w:t>
            </w:r>
            <w:r>
              <w:rPr>
                <w:rFonts w:ascii="Arial Narrow" w:hAnsi="Arial Narrow"/>
                <w:sz w:val="18"/>
                <w:szCs w:val="18"/>
              </w:rPr>
              <w:t xml:space="preserve">   </w:t>
            </w:r>
            <w:r w:rsidRPr="008E1528">
              <w:rPr>
                <w:rFonts w:ascii="Arial Narrow" w:hAnsi="Arial Narrow"/>
                <w:sz w:val="18"/>
                <w:szCs w:val="18"/>
              </w:rPr>
              <w:t xml:space="preserve">   </w:t>
            </w:r>
            <w:r>
              <w:rPr>
                <w:rFonts w:ascii="Arial Narrow" w:hAnsi="Arial Narrow"/>
                <w:sz w:val="18"/>
                <w:szCs w:val="18"/>
              </w:rPr>
              <w:t>2,734</w:t>
            </w:r>
            <w:r w:rsidRPr="008E1528">
              <w:rPr>
                <w:rFonts w:ascii="Arial Narrow" w:hAnsi="Arial Narrow"/>
                <w:sz w:val="18"/>
                <w:szCs w:val="18"/>
              </w:rPr>
              <w:t xml:space="preserve">   </w:t>
            </w:r>
          </w:p>
        </w:tc>
      </w:tr>
      <w:tr w:rsidR="002C241F" w:rsidRPr="008E1528" w:rsidTr="00BA7D18">
        <w:tc>
          <w:tcPr>
            <w:tcW w:w="2187" w:type="dxa"/>
            <w:tcBorders>
              <w:top w:val="single" w:sz="4" w:space="0" w:color="auto"/>
              <w:left w:val="single" w:sz="4" w:space="0" w:color="auto"/>
              <w:bottom w:val="single" w:sz="4" w:space="0" w:color="auto"/>
              <w:right w:val="single" w:sz="4" w:space="0" w:color="auto"/>
            </w:tcBorders>
            <w:hideMark/>
          </w:tcPr>
          <w:p w:rsidR="002C241F" w:rsidRPr="008E1528" w:rsidRDefault="002C241F" w:rsidP="002C241F">
            <w:pPr>
              <w:rPr>
                <w:rFonts w:ascii="Arial Narrow" w:hAnsi="Arial Narrow"/>
                <w:b/>
                <w:sz w:val="18"/>
                <w:szCs w:val="18"/>
              </w:rPr>
            </w:pPr>
            <w:r w:rsidRPr="008E1528">
              <w:rPr>
                <w:rFonts w:ascii="Arial Narrow" w:hAnsi="Arial Narrow"/>
                <w:b/>
                <w:sz w:val="18"/>
                <w:szCs w:val="18"/>
              </w:rPr>
              <w:t>Grand Total</w:t>
            </w:r>
          </w:p>
        </w:tc>
        <w:tc>
          <w:tcPr>
            <w:tcW w:w="1941" w:type="dxa"/>
            <w:tcBorders>
              <w:top w:val="single" w:sz="4" w:space="0" w:color="auto"/>
              <w:left w:val="single" w:sz="4" w:space="0" w:color="auto"/>
              <w:bottom w:val="single" w:sz="4" w:space="0" w:color="auto"/>
              <w:right w:val="single" w:sz="4" w:space="0" w:color="auto"/>
            </w:tcBorders>
            <w:hideMark/>
          </w:tcPr>
          <w:p w:rsidR="002C241F" w:rsidRPr="008E1528" w:rsidRDefault="002C241F" w:rsidP="002C241F">
            <w:pPr>
              <w:ind w:left="-24"/>
              <w:jc w:val="center"/>
              <w:rPr>
                <w:rFonts w:ascii="Arial Narrow" w:hAnsi="Arial Narrow"/>
                <w:b/>
                <w:sz w:val="18"/>
                <w:szCs w:val="18"/>
              </w:rPr>
            </w:pPr>
            <w:r w:rsidRPr="008E1528">
              <w:rPr>
                <w:rFonts w:ascii="Courier" w:hAnsi="Courier"/>
              </w:rPr>
              <w:fldChar w:fldCharType="begin"/>
            </w:r>
            <w:r w:rsidRPr="008E1528">
              <w:rPr>
                <w:rFonts w:ascii="Arial Narrow" w:hAnsi="Arial Narrow"/>
                <w:b/>
                <w:sz w:val="18"/>
                <w:szCs w:val="18"/>
              </w:rPr>
              <w:instrText xml:space="preserve"> =SUM(ABOVE) </w:instrText>
            </w:r>
            <w:r w:rsidRPr="008E1528">
              <w:rPr>
                <w:rFonts w:ascii="Courier" w:hAnsi="Courier"/>
              </w:rPr>
              <w:fldChar w:fldCharType="separate"/>
            </w:r>
            <w:r w:rsidRPr="008E1528">
              <w:rPr>
                <w:rFonts w:ascii="Arial Narrow" w:hAnsi="Arial Narrow"/>
                <w:b/>
                <w:noProof/>
                <w:sz w:val="18"/>
                <w:szCs w:val="18"/>
              </w:rPr>
              <w:t>$</w:t>
            </w:r>
            <w:r w:rsidRPr="008E1528">
              <w:rPr>
                <w:rFonts w:ascii="Courier" w:hAnsi="Courier"/>
              </w:rPr>
              <w:fldChar w:fldCharType="end"/>
            </w:r>
            <w:r>
              <w:rPr>
                <w:rFonts w:ascii="Courier" w:hAnsi="Courier"/>
              </w:rPr>
              <w:t xml:space="preserve">  </w:t>
            </w:r>
            <w:r>
              <w:rPr>
                <w:rFonts w:ascii="Arial Narrow" w:hAnsi="Arial Narrow"/>
                <w:sz w:val="18"/>
                <w:szCs w:val="18"/>
              </w:rPr>
              <w:t>15,766</w:t>
            </w:r>
            <w:r w:rsidRPr="008E1528">
              <w:rPr>
                <w:rFonts w:ascii="Arial Narrow" w:hAnsi="Arial Narrow"/>
                <w:sz w:val="18"/>
                <w:szCs w:val="18"/>
              </w:rPr>
              <w:t xml:space="preserve">   </w:t>
            </w:r>
          </w:p>
        </w:tc>
        <w:tc>
          <w:tcPr>
            <w:tcW w:w="293" w:type="dxa"/>
            <w:tcBorders>
              <w:top w:val="single" w:sz="4" w:space="0" w:color="auto"/>
              <w:left w:val="single" w:sz="4" w:space="0" w:color="auto"/>
              <w:bottom w:val="single" w:sz="4" w:space="0" w:color="auto"/>
              <w:right w:val="single" w:sz="4" w:space="0" w:color="auto"/>
            </w:tcBorders>
          </w:tcPr>
          <w:p w:rsidR="002C241F" w:rsidRPr="008E1528" w:rsidRDefault="002C241F" w:rsidP="002C241F">
            <w:pPr>
              <w:ind w:left="720"/>
              <w:rPr>
                <w:rFonts w:ascii="Arial Narrow" w:hAnsi="Arial Narrow"/>
                <w:b/>
                <w:sz w:val="18"/>
                <w:szCs w:val="18"/>
              </w:rPr>
            </w:pPr>
          </w:p>
        </w:tc>
        <w:tc>
          <w:tcPr>
            <w:tcW w:w="1763" w:type="dxa"/>
            <w:tcBorders>
              <w:top w:val="single" w:sz="4" w:space="0" w:color="auto"/>
              <w:left w:val="single" w:sz="4" w:space="0" w:color="auto"/>
              <w:bottom w:val="single" w:sz="4" w:space="0" w:color="auto"/>
              <w:right w:val="single" w:sz="4" w:space="0" w:color="auto"/>
            </w:tcBorders>
          </w:tcPr>
          <w:p w:rsidR="002C241F" w:rsidRPr="008E1528" w:rsidRDefault="002C241F" w:rsidP="002C241F">
            <w:pPr>
              <w:ind w:left="-6"/>
              <w:rPr>
                <w:rFonts w:ascii="Arial Narrow" w:hAnsi="Arial Narrow"/>
                <w:b/>
                <w:sz w:val="18"/>
                <w:szCs w:val="18"/>
              </w:rPr>
            </w:pPr>
          </w:p>
        </w:tc>
        <w:tc>
          <w:tcPr>
            <w:tcW w:w="367" w:type="dxa"/>
            <w:tcBorders>
              <w:top w:val="single" w:sz="4" w:space="0" w:color="auto"/>
              <w:left w:val="single" w:sz="4" w:space="0" w:color="auto"/>
              <w:bottom w:val="single" w:sz="4" w:space="0" w:color="auto"/>
              <w:right w:val="single" w:sz="4" w:space="0" w:color="auto"/>
            </w:tcBorders>
          </w:tcPr>
          <w:p w:rsidR="002C241F" w:rsidRPr="008E1528" w:rsidRDefault="002C241F" w:rsidP="002C241F">
            <w:pPr>
              <w:ind w:left="720"/>
              <w:rPr>
                <w:rFonts w:ascii="Arial Narrow" w:hAnsi="Arial Narrow"/>
                <w:b/>
                <w:sz w:val="18"/>
                <w:szCs w:val="18"/>
              </w:rPr>
            </w:pPr>
          </w:p>
        </w:tc>
        <w:tc>
          <w:tcPr>
            <w:tcW w:w="1804" w:type="dxa"/>
            <w:tcBorders>
              <w:top w:val="single" w:sz="4" w:space="0" w:color="auto"/>
              <w:left w:val="single" w:sz="4" w:space="0" w:color="auto"/>
              <w:bottom w:val="single" w:sz="4" w:space="0" w:color="auto"/>
              <w:right w:val="single" w:sz="4" w:space="0" w:color="auto"/>
            </w:tcBorders>
            <w:hideMark/>
          </w:tcPr>
          <w:p w:rsidR="002C241F" w:rsidRPr="008E1528" w:rsidRDefault="002C241F" w:rsidP="002C241F">
            <w:pPr>
              <w:ind w:left="-24"/>
              <w:jc w:val="center"/>
              <w:rPr>
                <w:rFonts w:ascii="Arial Narrow" w:hAnsi="Arial Narrow"/>
                <w:b/>
                <w:sz w:val="18"/>
                <w:szCs w:val="18"/>
              </w:rPr>
            </w:pPr>
            <w:r w:rsidRPr="008E1528">
              <w:rPr>
                <w:rFonts w:ascii="Courier" w:hAnsi="Courier"/>
              </w:rPr>
              <w:fldChar w:fldCharType="begin"/>
            </w:r>
            <w:r w:rsidRPr="008E1528">
              <w:rPr>
                <w:rFonts w:ascii="Arial Narrow" w:hAnsi="Arial Narrow"/>
                <w:b/>
                <w:sz w:val="18"/>
                <w:szCs w:val="18"/>
              </w:rPr>
              <w:instrText xml:space="preserve"> =SUM(ABOVE) </w:instrText>
            </w:r>
            <w:r w:rsidRPr="008E1528">
              <w:rPr>
                <w:rFonts w:ascii="Courier" w:hAnsi="Courier"/>
              </w:rPr>
              <w:fldChar w:fldCharType="separate"/>
            </w:r>
            <w:r w:rsidRPr="008E1528">
              <w:rPr>
                <w:rFonts w:ascii="Arial Narrow" w:hAnsi="Arial Narrow"/>
                <w:b/>
                <w:noProof/>
                <w:sz w:val="18"/>
                <w:szCs w:val="18"/>
              </w:rPr>
              <w:t>$</w:t>
            </w:r>
            <w:r w:rsidRPr="008E1528">
              <w:rPr>
                <w:rFonts w:ascii="Courier" w:hAnsi="Courier"/>
              </w:rPr>
              <w:fldChar w:fldCharType="end"/>
            </w:r>
            <w:r>
              <w:rPr>
                <w:rFonts w:ascii="Courier" w:hAnsi="Courier"/>
              </w:rPr>
              <w:t xml:space="preserve">  </w:t>
            </w:r>
            <w:r>
              <w:rPr>
                <w:rFonts w:ascii="Arial Narrow" w:hAnsi="Arial Narrow"/>
                <w:sz w:val="18"/>
                <w:szCs w:val="18"/>
              </w:rPr>
              <w:t>15,766</w:t>
            </w:r>
            <w:r w:rsidRPr="008E1528">
              <w:rPr>
                <w:rFonts w:ascii="Arial Narrow" w:hAnsi="Arial Narrow"/>
                <w:sz w:val="18"/>
                <w:szCs w:val="18"/>
              </w:rPr>
              <w:t xml:space="preserve">   </w:t>
            </w:r>
          </w:p>
        </w:tc>
      </w:tr>
      <w:tr w:rsidR="008E1528" w:rsidRPr="008E1528" w:rsidTr="00BA7D18">
        <w:tc>
          <w:tcPr>
            <w:tcW w:w="8355" w:type="dxa"/>
            <w:gridSpan w:val="6"/>
            <w:tcBorders>
              <w:top w:val="single" w:sz="4" w:space="0" w:color="auto"/>
              <w:left w:val="single" w:sz="4" w:space="0" w:color="auto"/>
              <w:bottom w:val="single" w:sz="4" w:space="0" w:color="auto"/>
              <w:right w:val="single" w:sz="4" w:space="0" w:color="auto"/>
            </w:tcBorders>
            <w:hideMark/>
          </w:tcPr>
          <w:p w:rsidR="008E1528" w:rsidRPr="008E1528" w:rsidRDefault="008E1528" w:rsidP="008E1528">
            <w:pPr>
              <w:ind w:left="720"/>
              <w:rPr>
                <w:rFonts w:ascii="Arial Narrow" w:hAnsi="Arial Narrow"/>
                <w:sz w:val="18"/>
                <w:szCs w:val="18"/>
              </w:rPr>
            </w:pPr>
            <w:r w:rsidRPr="008E1528">
              <w:rPr>
                <w:rFonts w:ascii="Arial Narrow" w:hAnsi="Arial Narrow"/>
                <w:sz w:val="18"/>
                <w:szCs w:val="18"/>
              </w:rPr>
              <w:t>Table costs are based on 2018 actuals obtained from IRS Chief Financial Office and Media and Publications</w:t>
            </w:r>
          </w:p>
        </w:tc>
      </w:tr>
      <w:tr w:rsidR="008E1528" w:rsidRPr="008E1528" w:rsidTr="00BA7D18">
        <w:tc>
          <w:tcPr>
            <w:tcW w:w="8355" w:type="dxa"/>
            <w:gridSpan w:val="6"/>
            <w:tcBorders>
              <w:top w:val="single" w:sz="4" w:space="0" w:color="auto"/>
              <w:left w:val="single" w:sz="4" w:space="0" w:color="auto"/>
              <w:bottom w:val="single" w:sz="4" w:space="0" w:color="auto"/>
              <w:right w:val="single" w:sz="4" w:space="0" w:color="auto"/>
            </w:tcBorders>
            <w:hideMark/>
          </w:tcPr>
          <w:p w:rsidR="008E1528" w:rsidRPr="008E1528" w:rsidRDefault="008E1528" w:rsidP="008E1528">
            <w:pPr>
              <w:ind w:left="720"/>
              <w:rPr>
                <w:rFonts w:ascii="Arial Narrow" w:hAnsi="Arial Narrow"/>
                <w:sz w:val="18"/>
                <w:szCs w:val="18"/>
              </w:rPr>
            </w:pPr>
            <w:r w:rsidRPr="008E1528">
              <w:rPr>
                <w:rFonts w:ascii="Arial Narrow" w:hAnsi="Arial Narrow"/>
                <w:sz w:val="18"/>
                <w:szCs w:val="18"/>
              </w:rPr>
              <w:t xml:space="preserve">* New product costs will be included in the next collection update. </w:t>
            </w:r>
          </w:p>
        </w:tc>
        <w:bookmarkEnd w:id="2"/>
      </w:tr>
    </w:tbl>
    <w:p w:rsidR="008E1528" w:rsidRPr="008E1528" w:rsidRDefault="008E1528" w:rsidP="008E1528">
      <w:pPr>
        <w:rPr>
          <w:rFonts w:ascii="Times New Roman" w:hAnsi="Times New Roman"/>
        </w:rPr>
      </w:pPr>
    </w:p>
    <w:p w:rsidR="006C6156" w:rsidRDefault="006C6156">
      <w:pPr>
        <w:rPr>
          <w:rFonts w:ascii="Arial" w:hAnsi="Arial" w:cs="Arial"/>
        </w:rPr>
      </w:pPr>
    </w:p>
    <w:p w:rsidR="006C6156" w:rsidRDefault="00E57B7D">
      <w:pPr>
        <w:pStyle w:val="Level1"/>
        <w:numPr>
          <w:ilvl w:val="0"/>
          <w:numId w:val="4"/>
        </w:numPr>
        <w:tabs>
          <w:tab w:val="left" w:pos="-1440"/>
          <w:tab w:val="num" w:pos="720"/>
        </w:tabs>
        <w:rPr>
          <w:rFonts w:ascii="Arial" w:hAnsi="Arial" w:cs="Arial"/>
        </w:rPr>
      </w:pPr>
      <w:r>
        <w:rPr>
          <w:rFonts w:ascii="Arial" w:hAnsi="Arial" w:cs="Arial"/>
          <w:u w:val="single"/>
        </w:rPr>
        <w:t>REASONS FOR CHANGE IN BURDEN</w:t>
      </w:r>
    </w:p>
    <w:p w:rsidR="006C6156" w:rsidRDefault="006C6156">
      <w:pPr>
        <w:rPr>
          <w:rFonts w:ascii="Arial" w:hAnsi="Arial" w:cs="Arial"/>
        </w:rPr>
      </w:pPr>
    </w:p>
    <w:p w:rsidR="006C6156" w:rsidRDefault="008A2C90">
      <w:pPr>
        <w:ind w:left="720"/>
        <w:rPr>
          <w:rFonts w:ascii="Arial" w:hAnsi="Arial" w:cs="Arial"/>
        </w:rPr>
      </w:pPr>
      <w:r>
        <w:rPr>
          <w:rFonts w:ascii="Arial" w:hAnsi="Arial" w:cs="Arial"/>
        </w:rPr>
        <w:t xml:space="preserve">There is no change in </w:t>
      </w:r>
      <w:r w:rsidR="00D56F93">
        <w:rPr>
          <w:rFonts w:ascii="Arial" w:hAnsi="Arial" w:cs="Arial"/>
        </w:rPr>
        <w:t>form</w:t>
      </w:r>
      <w:r w:rsidR="00024B94">
        <w:rPr>
          <w:rFonts w:ascii="Arial" w:hAnsi="Arial" w:cs="Arial"/>
        </w:rPr>
        <w:t>.</w:t>
      </w:r>
      <w:r w:rsidR="00D56F93">
        <w:rPr>
          <w:rFonts w:ascii="Arial" w:hAnsi="Arial" w:cs="Arial"/>
        </w:rPr>
        <w:t xml:space="preserve">  However, w</w:t>
      </w:r>
      <w:r w:rsidR="00D56F93" w:rsidRPr="00D56F93">
        <w:rPr>
          <w:rFonts w:ascii="Arial" w:hAnsi="Arial" w:cs="Arial"/>
        </w:rPr>
        <w:t>e are updating the records to include the recordkeeping burden associated with regulation section 1.148-5(d)(6)(iii), previously approved under OMB number 1545-1490 and 1545-</w:t>
      </w:r>
      <w:r w:rsidR="00FA1E91">
        <w:rPr>
          <w:rFonts w:ascii="Arial" w:hAnsi="Arial" w:cs="Arial"/>
        </w:rPr>
        <w:t>1098</w:t>
      </w:r>
      <w:r w:rsidR="00D56F93" w:rsidRPr="00D56F93">
        <w:rPr>
          <w:rFonts w:ascii="Arial" w:hAnsi="Arial" w:cs="Arial"/>
        </w:rPr>
        <w:t>.</w:t>
      </w:r>
    </w:p>
    <w:p w:rsidR="008A2C90" w:rsidRDefault="008A2C90">
      <w:pPr>
        <w:ind w:left="720"/>
        <w:rPr>
          <w:rFonts w:ascii="Arial" w:hAnsi="Arial" w:cs="Arial"/>
        </w:rPr>
      </w:pPr>
    </w:p>
    <w:p w:rsidR="008A2C90" w:rsidRDefault="008A2C90">
      <w:pPr>
        <w:ind w:left="720"/>
        <w:rPr>
          <w:rFonts w:ascii="Arial" w:hAnsi="Arial" w:cs="Arial"/>
        </w:rPr>
      </w:pPr>
      <w:r>
        <w:rPr>
          <w:rFonts w:ascii="Arial" w:hAnsi="Arial" w:cs="Arial"/>
        </w:rPr>
        <w:t>This request is for renewal purposes only.</w:t>
      </w:r>
    </w:p>
    <w:p w:rsidR="006C6156" w:rsidRDefault="006C6156">
      <w:pPr>
        <w:rPr>
          <w:rFonts w:ascii="Arial" w:hAnsi="Arial" w:cs="Arial"/>
        </w:rPr>
      </w:pPr>
    </w:p>
    <w:p w:rsidR="00D56F93" w:rsidRDefault="00D56F93">
      <w:pPr>
        <w:rPr>
          <w:rFonts w:ascii="Arial" w:hAnsi="Arial" w:cs="Arial"/>
        </w:rPr>
      </w:pPr>
    </w:p>
    <w:p w:rsidR="006C6156" w:rsidRDefault="00E57B7D">
      <w:pPr>
        <w:pStyle w:val="Level1"/>
        <w:numPr>
          <w:ilvl w:val="0"/>
          <w:numId w:val="4"/>
        </w:numPr>
        <w:tabs>
          <w:tab w:val="left" w:pos="-1440"/>
          <w:tab w:val="num" w:pos="720"/>
        </w:tabs>
        <w:rPr>
          <w:rFonts w:ascii="Arial" w:hAnsi="Arial" w:cs="Arial"/>
        </w:rPr>
      </w:pPr>
      <w:r>
        <w:rPr>
          <w:rFonts w:ascii="Arial" w:hAnsi="Arial" w:cs="Arial"/>
          <w:u w:val="single"/>
        </w:rPr>
        <w:t>PLANS FOR TABULATION, STATISTICAL ANALYSIS AND PUBLICATION</w:t>
      </w:r>
    </w:p>
    <w:p w:rsidR="006C6156" w:rsidRDefault="006C6156">
      <w:pPr>
        <w:rPr>
          <w:rFonts w:ascii="Arial" w:hAnsi="Arial" w:cs="Arial"/>
        </w:rPr>
      </w:pPr>
    </w:p>
    <w:p w:rsidR="006C6156" w:rsidRDefault="00E57B7D">
      <w:pPr>
        <w:ind w:left="720"/>
        <w:rPr>
          <w:rFonts w:ascii="Arial" w:hAnsi="Arial" w:cs="Arial"/>
        </w:rPr>
      </w:pPr>
      <w:r>
        <w:rPr>
          <w:rFonts w:ascii="Arial" w:hAnsi="Arial" w:cs="Arial"/>
        </w:rPr>
        <w:t>There are no plans for tabulation, statistical analysis and publication.</w:t>
      </w:r>
    </w:p>
    <w:p w:rsidR="006C6156" w:rsidRDefault="006C6156">
      <w:pPr>
        <w:rPr>
          <w:rFonts w:ascii="Arial" w:hAnsi="Arial" w:cs="Arial"/>
        </w:rPr>
      </w:pPr>
    </w:p>
    <w:p w:rsidR="006C6156" w:rsidRDefault="00E57B7D">
      <w:pPr>
        <w:tabs>
          <w:tab w:val="left" w:pos="-1440"/>
        </w:tabs>
        <w:ind w:left="720" w:hanging="720"/>
        <w:rPr>
          <w:rFonts w:ascii="Arial" w:hAnsi="Arial" w:cs="Arial"/>
        </w:rPr>
      </w:pPr>
      <w:r>
        <w:rPr>
          <w:rFonts w:ascii="Arial" w:hAnsi="Arial" w:cs="Arial"/>
        </w:rPr>
        <w:t xml:space="preserve">17. </w:t>
      </w:r>
      <w:r>
        <w:rPr>
          <w:rFonts w:ascii="Arial" w:hAnsi="Arial" w:cs="Arial"/>
        </w:rPr>
        <w:tab/>
      </w:r>
      <w:r>
        <w:rPr>
          <w:rFonts w:ascii="Arial" w:hAnsi="Arial" w:cs="Arial"/>
          <w:u w:val="single"/>
        </w:rPr>
        <w:t>REASONS WHY DISPLAYING THE OMB EXPIRATION DATE IS</w:t>
      </w:r>
      <w:r>
        <w:rPr>
          <w:rFonts w:ascii="Arial" w:hAnsi="Arial" w:cs="Arial"/>
        </w:rPr>
        <w:t xml:space="preserve">     </w:t>
      </w:r>
      <w:r>
        <w:rPr>
          <w:rFonts w:ascii="Arial" w:hAnsi="Arial" w:cs="Arial"/>
          <w:u w:val="single"/>
        </w:rPr>
        <w:t>INAPPROPRIATE</w:t>
      </w:r>
    </w:p>
    <w:p w:rsidR="006C6156" w:rsidRDefault="006C6156">
      <w:pPr>
        <w:rPr>
          <w:rFonts w:ascii="Arial" w:hAnsi="Arial" w:cs="Arial"/>
        </w:rPr>
      </w:pPr>
    </w:p>
    <w:p w:rsidR="006C6156" w:rsidRDefault="00E57B7D">
      <w:pPr>
        <w:ind w:left="720"/>
        <w:rPr>
          <w:rFonts w:ascii="Arial" w:hAnsi="Arial" w:cs="Arial"/>
        </w:rPr>
      </w:pPr>
      <w:r>
        <w:rPr>
          <w:rFonts w:ascii="Arial" w:hAnsi="Arial" w:cs="Arial"/>
        </w:rPr>
        <w:t>We believe that displaying the OMB expiration date is inappropriate because it could cause confusion by leading taxpayers to believe that the revenue procedure sunsets as of the expiration date.  Taxpayers are not likely to be aware that the Service intends to request renewal of the OMB approval and obtain a new expiration date before the old one expires.</w:t>
      </w:r>
    </w:p>
    <w:p w:rsidR="006C6156" w:rsidRDefault="006C6156">
      <w:pPr>
        <w:rPr>
          <w:rFonts w:ascii="Arial" w:hAnsi="Arial" w:cs="Arial"/>
        </w:rPr>
      </w:pPr>
    </w:p>
    <w:p w:rsidR="006C6156" w:rsidRPr="00E57B7D" w:rsidRDefault="00E57B7D" w:rsidP="00E57B7D">
      <w:pPr>
        <w:pStyle w:val="Level1"/>
        <w:tabs>
          <w:tab w:val="left" w:pos="-1440"/>
          <w:tab w:val="num" w:pos="720"/>
        </w:tabs>
        <w:rPr>
          <w:rFonts w:ascii="Arial" w:hAnsi="Arial" w:cs="Arial"/>
        </w:rPr>
      </w:pPr>
      <w:r w:rsidRPr="00E57B7D">
        <w:rPr>
          <w:rFonts w:ascii="Arial" w:hAnsi="Arial" w:cs="Arial"/>
        </w:rPr>
        <w:t xml:space="preserve"> </w:t>
      </w:r>
      <w:r w:rsidRPr="00E57B7D">
        <w:rPr>
          <w:rFonts w:ascii="Arial" w:hAnsi="Arial" w:cs="Arial"/>
          <w:u w:val="single"/>
        </w:rPr>
        <w:t xml:space="preserve">EXCEPTIONS TO THE CERTIFICATION STATEMENT </w:t>
      </w:r>
    </w:p>
    <w:p w:rsidR="00E57B7D" w:rsidRPr="00E57B7D" w:rsidRDefault="00E57B7D" w:rsidP="00E57B7D">
      <w:pPr>
        <w:pStyle w:val="Level1"/>
        <w:numPr>
          <w:ilvl w:val="0"/>
          <w:numId w:val="0"/>
        </w:numPr>
        <w:tabs>
          <w:tab w:val="left" w:pos="-1440"/>
        </w:tabs>
        <w:rPr>
          <w:rFonts w:ascii="Arial" w:hAnsi="Arial" w:cs="Arial"/>
        </w:rPr>
      </w:pPr>
    </w:p>
    <w:p w:rsidR="006C6156" w:rsidRDefault="00E57B7D">
      <w:pPr>
        <w:tabs>
          <w:tab w:val="left" w:pos="-1440"/>
        </w:tabs>
        <w:ind w:left="720"/>
        <w:rPr>
          <w:rFonts w:ascii="Arial" w:hAnsi="Arial" w:cs="Arial"/>
        </w:rPr>
      </w:pPr>
      <w:r>
        <w:rPr>
          <w:rFonts w:ascii="Arial" w:hAnsi="Arial" w:cs="Arial"/>
        </w:rPr>
        <w:t>There are no exceptions to the certification statement.</w:t>
      </w:r>
    </w:p>
    <w:p w:rsidR="006C6156" w:rsidRDefault="006C6156">
      <w:pPr>
        <w:rPr>
          <w:rFonts w:ascii="Arial" w:hAnsi="Arial" w:cs="Arial"/>
        </w:rPr>
      </w:pPr>
    </w:p>
    <w:p w:rsidR="006C6156" w:rsidRDefault="00E57B7D" w:rsidP="00024B94">
      <w:pPr>
        <w:ind w:left="720"/>
        <w:rPr>
          <w:rFonts w:ascii="Arial" w:hAnsi="Arial" w:cs="Arial"/>
        </w:rPr>
      </w:pPr>
      <w:r>
        <w:rPr>
          <w:rFonts w:ascii="Arial" w:hAnsi="Arial" w:cs="Arial"/>
          <w:b/>
          <w:bCs/>
          <w:u w:val="single"/>
        </w:rPr>
        <w:t>Note:</w:t>
      </w:r>
      <w:r>
        <w:rPr>
          <w:rFonts w:ascii="Arial" w:hAnsi="Arial" w:cs="Arial"/>
        </w:rPr>
        <w:t xml:space="preserve">   The following paragraph applies to all of the collections of information in this submission:</w:t>
      </w:r>
    </w:p>
    <w:p w:rsidR="006C6156" w:rsidRDefault="006C6156" w:rsidP="00024B94">
      <w:pPr>
        <w:ind w:left="720"/>
        <w:rPr>
          <w:rFonts w:ascii="Arial" w:hAnsi="Arial" w:cs="Arial"/>
        </w:rPr>
      </w:pPr>
    </w:p>
    <w:p w:rsidR="006C6156" w:rsidRDefault="00E57B7D" w:rsidP="00024B94">
      <w:pPr>
        <w:ind w:left="720" w:firstLine="720"/>
        <w:rPr>
          <w:rFonts w:ascii="Arial" w:hAnsi="Arial" w:cs="Arial"/>
        </w:rPr>
      </w:pPr>
      <w:r>
        <w:rPr>
          <w:rFonts w:ascii="Arial" w:hAnsi="Arial" w:cs="Arial"/>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6C615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F71" w:rsidRDefault="000F2F71">
      <w:r>
        <w:separator/>
      </w:r>
    </w:p>
  </w:endnote>
  <w:endnote w:type="continuationSeparator" w:id="0">
    <w:p w:rsidR="000F2F71" w:rsidRDefault="000F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C8F" w:rsidRDefault="00ED2C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156" w:rsidRDefault="006C6156">
    <w:pPr>
      <w:spacing w:line="240" w:lineRule="exact"/>
    </w:pPr>
  </w:p>
  <w:p w:rsidR="006C6156" w:rsidRDefault="00E57B7D">
    <w:pPr>
      <w:framePr w:w="9361" w:wrap="notBeside" w:vAnchor="text" w:hAnchor="text" w:x="1" w:y="1"/>
      <w:jc w:val="center"/>
    </w:pPr>
    <w:r>
      <w:fldChar w:fldCharType="begin"/>
    </w:r>
    <w:r>
      <w:instrText xml:space="preserve">PAGE </w:instrText>
    </w:r>
    <w:r>
      <w:fldChar w:fldCharType="separate"/>
    </w:r>
    <w:r w:rsidR="0080763D">
      <w:rPr>
        <w:noProof/>
      </w:rPr>
      <w:t>1</w:t>
    </w:r>
    <w:r>
      <w:fldChar w:fldCharType="end"/>
    </w:r>
  </w:p>
  <w:p w:rsidR="006C6156" w:rsidRDefault="006C615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C8F" w:rsidRDefault="00ED2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F71" w:rsidRDefault="000F2F71">
      <w:r>
        <w:separator/>
      </w:r>
    </w:p>
  </w:footnote>
  <w:footnote w:type="continuationSeparator" w:id="0">
    <w:p w:rsidR="000F2F71" w:rsidRDefault="000F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C8F" w:rsidRDefault="00ED2C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C8F" w:rsidRDefault="00ED2C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C8F" w:rsidRDefault="00ED2C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18"/>
      <w:lvl w:ilvl="0">
        <w:start w:val="1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56"/>
    <w:rsid w:val="00024B94"/>
    <w:rsid w:val="00033255"/>
    <w:rsid w:val="000F2F71"/>
    <w:rsid w:val="00103B8F"/>
    <w:rsid w:val="001314FF"/>
    <w:rsid w:val="00135D8B"/>
    <w:rsid w:val="0014713E"/>
    <w:rsid w:val="002115B8"/>
    <w:rsid w:val="002369C4"/>
    <w:rsid w:val="00292751"/>
    <w:rsid w:val="002A584D"/>
    <w:rsid w:val="002C241F"/>
    <w:rsid w:val="00325ACA"/>
    <w:rsid w:val="00397789"/>
    <w:rsid w:val="003A0AEC"/>
    <w:rsid w:val="00445716"/>
    <w:rsid w:val="005C0091"/>
    <w:rsid w:val="005C12B2"/>
    <w:rsid w:val="00691714"/>
    <w:rsid w:val="00693919"/>
    <w:rsid w:val="006C6156"/>
    <w:rsid w:val="00740F63"/>
    <w:rsid w:val="00751248"/>
    <w:rsid w:val="007A3D4D"/>
    <w:rsid w:val="007A7CFE"/>
    <w:rsid w:val="007B3A0D"/>
    <w:rsid w:val="007B7E44"/>
    <w:rsid w:val="007F0104"/>
    <w:rsid w:val="0080763D"/>
    <w:rsid w:val="008100EC"/>
    <w:rsid w:val="00861F25"/>
    <w:rsid w:val="008A2C90"/>
    <w:rsid w:val="008A4CF6"/>
    <w:rsid w:val="008B2D75"/>
    <w:rsid w:val="008D6629"/>
    <w:rsid w:val="008E1528"/>
    <w:rsid w:val="00921A95"/>
    <w:rsid w:val="00A640DA"/>
    <w:rsid w:val="00A965F9"/>
    <w:rsid w:val="00BA5EB4"/>
    <w:rsid w:val="00BB4A00"/>
    <w:rsid w:val="00BF4452"/>
    <w:rsid w:val="00C57C4C"/>
    <w:rsid w:val="00CE21A0"/>
    <w:rsid w:val="00D56F93"/>
    <w:rsid w:val="00DF2A78"/>
    <w:rsid w:val="00E57B7D"/>
    <w:rsid w:val="00ED2C8F"/>
    <w:rsid w:val="00F36D43"/>
    <w:rsid w:val="00FA1E91"/>
    <w:rsid w:val="00FE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5"/>
      </w:numPr>
      <w:ind w:left="720" w:hanging="720"/>
      <w:outlineLvl w:val="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Shruti" w:hAnsi="Shrut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Shruti" w:hAnsi="Shruti"/>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uiPriority w:val="99"/>
    <w:unhideWhenUsed/>
    <w:pPr>
      <w:widowControl/>
      <w:autoSpaceDE/>
      <w:autoSpaceDN/>
      <w:adjustRightInd/>
    </w:pPr>
    <w:rPr>
      <w:rFonts w:ascii="Calibri" w:eastAsia="Calibri" w:hAnsi="Calibri" w:cs="Calibri"/>
      <w:sz w:val="20"/>
      <w:szCs w:val="20"/>
    </w:rPr>
  </w:style>
  <w:style w:type="character" w:customStyle="1" w:styleId="FootnoteTextChar">
    <w:name w:val="Footnote Text Char"/>
    <w:link w:val="FootnoteText"/>
    <w:uiPriority w:val="99"/>
    <w:rPr>
      <w:rFonts w:ascii="Calibri" w:eastAsia="Calibri" w:hAnsi="Calibri" w:cs="Calibri"/>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Shruti" w:hAnsi="Shruti"/>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Shruti" w:hAnsi="Shruti"/>
      <w:sz w:val="24"/>
      <w:szCs w:val="24"/>
    </w:rPr>
  </w:style>
  <w:style w:type="table" w:styleId="TableGrid">
    <w:name w:val="Table Grid"/>
    <w:basedOn w:val="TableNormal"/>
    <w:uiPriority w:val="59"/>
    <w:rsid w:val="00E57B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33255"/>
    <w:rPr>
      <w:color w:val="0000FF" w:themeColor="hyperlink"/>
      <w:u w:val="single"/>
    </w:rPr>
  </w:style>
  <w:style w:type="character" w:customStyle="1" w:styleId="UnresolvedMention">
    <w:name w:val="Unresolved Mention"/>
    <w:basedOn w:val="DefaultParagraphFont"/>
    <w:uiPriority w:val="99"/>
    <w:semiHidden/>
    <w:unhideWhenUsed/>
    <w:rsid w:val="0003325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5"/>
      </w:numPr>
      <w:ind w:left="720" w:hanging="720"/>
      <w:outlineLvl w:val="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Shruti" w:hAnsi="Shrut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Shruti" w:hAnsi="Shruti"/>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uiPriority w:val="99"/>
    <w:unhideWhenUsed/>
    <w:pPr>
      <w:widowControl/>
      <w:autoSpaceDE/>
      <w:autoSpaceDN/>
      <w:adjustRightInd/>
    </w:pPr>
    <w:rPr>
      <w:rFonts w:ascii="Calibri" w:eastAsia="Calibri" w:hAnsi="Calibri" w:cs="Calibri"/>
      <w:sz w:val="20"/>
      <w:szCs w:val="20"/>
    </w:rPr>
  </w:style>
  <w:style w:type="character" w:customStyle="1" w:styleId="FootnoteTextChar">
    <w:name w:val="Footnote Text Char"/>
    <w:link w:val="FootnoteText"/>
    <w:uiPriority w:val="99"/>
    <w:rPr>
      <w:rFonts w:ascii="Calibri" w:eastAsia="Calibri" w:hAnsi="Calibri" w:cs="Calibri"/>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Shruti" w:hAnsi="Shruti"/>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Shruti" w:hAnsi="Shruti"/>
      <w:sz w:val="24"/>
      <w:szCs w:val="24"/>
    </w:rPr>
  </w:style>
  <w:style w:type="table" w:styleId="TableGrid">
    <w:name w:val="Table Grid"/>
    <w:basedOn w:val="TableNormal"/>
    <w:uiPriority w:val="59"/>
    <w:rsid w:val="00E57B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33255"/>
    <w:rPr>
      <w:color w:val="0000FF" w:themeColor="hyperlink"/>
      <w:u w:val="single"/>
    </w:rPr>
  </w:style>
  <w:style w:type="character" w:customStyle="1" w:styleId="UnresolvedMention">
    <w:name w:val="Unresolved Mention"/>
    <w:basedOn w:val="DefaultParagraphFont"/>
    <w:uiPriority w:val="99"/>
    <w:semiHidden/>
    <w:unhideWhenUsed/>
    <w:rsid w:val="000332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5110">
      <w:bodyDiv w:val="1"/>
      <w:marLeft w:val="0"/>
      <w:marRight w:val="0"/>
      <w:marTop w:val="0"/>
      <w:marBottom w:val="0"/>
      <w:divBdr>
        <w:top w:val="none" w:sz="0" w:space="0" w:color="auto"/>
        <w:left w:val="none" w:sz="0" w:space="0" w:color="auto"/>
        <w:bottom w:val="none" w:sz="0" w:space="0" w:color="auto"/>
        <w:right w:val="none" w:sz="0" w:space="0" w:color="auto"/>
      </w:divBdr>
    </w:div>
    <w:div w:id="937101019">
      <w:bodyDiv w:val="1"/>
      <w:marLeft w:val="0"/>
      <w:marRight w:val="0"/>
      <w:marTop w:val="0"/>
      <w:marBottom w:val="0"/>
      <w:divBdr>
        <w:top w:val="none" w:sz="0" w:space="0" w:color="auto"/>
        <w:left w:val="none" w:sz="0" w:space="0" w:color="auto"/>
        <w:bottom w:val="none" w:sz="0" w:space="0" w:color="auto"/>
        <w:right w:val="none" w:sz="0" w:space="0" w:color="auto"/>
      </w:divBdr>
    </w:div>
    <w:div w:id="1641224270">
      <w:bodyDiv w:val="1"/>
      <w:marLeft w:val="0"/>
      <w:marRight w:val="0"/>
      <w:marTop w:val="0"/>
      <w:marBottom w:val="0"/>
      <w:divBdr>
        <w:top w:val="none" w:sz="0" w:space="0" w:color="auto"/>
        <w:left w:val="none" w:sz="0" w:space="0" w:color="auto"/>
        <w:bottom w:val="none" w:sz="0" w:space="0" w:color="auto"/>
        <w:right w:val="none" w:sz="0" w:space="0" w:color="auto"/>
      </w:divBdr>
    </w:div>
    <w:div w:id="210823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11674</CharactersWithSpaces>
  <SharedDoc>false</SharedDoc>
  <HLinks>
    <vt:vector size="6" baseType="variant">
      <vt:variant>
        <vt:i4>2293808</vt:i4>
      </vt:variant>
      <vt:variant>
        <vt:i4>0</vt:i4>
      </vt:variant>
      <vt:variant>
        <vt:i4>0</vt:i4>
      </vt:variant>
      <vt:variant>
        <vt:i4>5</vt:i4>
      </vt:variant>
      <vt:variant>
        <vt:lpwstr>http://www.irs.gov/uac/Privacy-Impact-Assessments-PIAs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2019-03-10T14:58:00Z</dcterms:created>
  <dcterms:modified xsi:type="dcterms:W3CDTF">2019-03-10T14:58:00Z</dcterms:modified>
</cp:coreProperties>
</file>