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6F" w:rsidRPr="00A2244A" w:rsidRDefault="00254C6F" w:rsidP="00254C6F">
      <w:pPr>
        <w:rPr>
          <w:rFonts w:ascii="Times New Roman" w:hAnsi="Times New Roman"/>
          <w:b/>
          <w:sz w:val="24"/>
          <w:szCs w:val="24"/>
        </w:rPr>
      </w:pPr>
      <w:bookmarkStart w:id="0" w:name="_GoBack"/>
      <w:bookmarkEnd w:id="0"/>
      <w:r w:rsidRPr="00A2244A">
        <w:rPr>
          <w:rFonts w:ascii="Times New Roman" w:hAnsi="Times New Roman"/>
          <w:b/>
          <w:sz w:val="24"/>
          <w:szCs w:val="24"/>
        </w:rPr>
        <w:t>Quarterly Census of Employment and Wages</w:t>
      </w:r>
    </w:p>
    <w:p w:rsidR="00254C6F" w:rsidRPr="00A2244A" w:rsidRDefault="00254C6F" w:rsidP="00254C6F">
      <w:pPr>
        <w:rPr>
          <w:rFonts w:ascii="Times New Roman" w:hAnsi="Times New Roman"/>
          <w:b/>
          <w:sz w:val="24"/>
          <w:szCs w:val="24"/>
        </w:rPr>
      </w:pPr>
      <w:r w:rsidRPr="00A2244A">
        <w:rPr>
          <w:rFonts w:ascii="Times New Roman" w:hAnsi="Times New Roman"/>
          <w:b/>
          <w:sz w:val="24"/>
          <w:szCs w:val="24"/>
        </w:rPr>
        <w:t>Multiple Worksite Report</w:t>
      </w:r>
    </w:p>
    <w:p w:rsidR="00254C6F" w:rsidRPr="00FD7278" w:rsidRDefault="00CE7F53" w:rsidP="00254C6F">
      <w:pPr>
        <w:rPr>
          <w:rFonts w:ascii="Times New Roman" w:hAnsi="Times New Roman"/>
          <w:sz w:val="24"/>
          <w:szCs w:val="24"/>
        </w:rPr>
      </w:pPr>
      <w:r>
        <w:rPr>
          <w:rFonts w:ascii="Times New Roman" w:hAnsi="Times New Roman"/>
          <w:sz w:val="24"/>
          <w:szCs w:val="24"/>
        </w:rPr>
        <w:t>May 28</w:t>
      </w:r>
      <w:r w:rsidR="00254C6F" w:rsidRPr="00FD7278">
        <w:rPr>
          <w:rFonts w:ascii="Times New Roman" w:hAnsi="Times New Roman"/>
          <w:sz w:val="24"/>
          <w:szCs w:val="24"/>
        </w:rPr>
        <w:t>, 2019</w:t>
      </w:r>
    </w:p>
    <w:p w:rsidR="00254C6F" w:rsidRPr="00FD7278" w:rsidRDefault="00254C6F" w:rsidP="00254C6F">
      <w:pPr>
        <w:rPr>
          <w:rFonts w:ascii="Times New Roman" w:hAnsi="Times New Roman"/>
          <w:sz w:val="24"/>
          <w:szCs w:val="24"/>
        </w:rPr>
      </w:pPr>
    </w:p>
    <w:p w:rsidR="00CA1A20" w:rsidRPr="00FD7278" w:rsidRDefault="00CA1A20" w:rsidP="00254C6F">
      <w:pPr>
        <w:rPr>
          <w:rFonts w:ascii="Times New Roman" w:hAnsi="Times New Roman"/>
          <w:b/>
          <w:sz w:val="24"/>
          <w:szCs w:val="24"/>
        </w:rPr>
      </w:pPr>
      <w:r w:rsidRPr="00FD7278">
        <w:rPr>
          <w:rFonts w:ascii="Times New Roman" w:hAnsi="Times New Roman"/>
          <w:b/>
          <w:sz w:val="24"/>
          <w:szCs w:val="24"/>
        </w:rPr>
        <w:t>Background</w:t>
      </w:r>
    </w:p>
    <w:p w:rsidR="00254C6F" w:rsidRPr="00FD7278" w:rsidRDefault="00254C6F" w:rsidP="00254C6F">
      <w:pPr>
        <w:rPr>
          <w:rFonts w:ascii="Times New Roman" w:hAnsi="Times New Roman"/>
          <w:sz w:val="24"/>
          <w:szCs w:val="24"/>
        </w:rPr>
      </w:pPr>
      <w:r w:rsidRPr="00FD7278">
        <w:rPr>
          <w:rFonts w:ascii="Times New Roman" w:hAnsi="Times New Roman"/>
          <w:sz w:val="24"/>
          <w:szCs w:val="24"/>
        </w:rPr>
        <w:t>The Quarterly Census of Employment and Wages (QCEW) program publishes a quarterly count of employment and wages reported by employers covering more than 95 percent of U.S. jobs, available at the county, MSA, state and national levels by industry. The program originated in the 1930s, and was known as the ES-202 program until 2003 when the current QCEW name was adopted. The primary economic product is the tabulation of employment and wages of establishments which report to the Unemployment Insurance (UI) programs of the United States. Employment covered by these UI programs represents about 97% of all wage and salary civilian employment in the country.</w:t>
      </w:r>
    </w:p>
    <w:p w:rsidR="00254C6F" w:rsidRPr="00FD7278" w:rsidRDefault="00254C6F" w:rsidP="00254C6F">
      <w:pPr>
        <w:rPr>
          <w:rFonts w:ascii="Times New Roman" w:hAnsi="Times New Roman"/>
          <w:sz w:val="24"/>
          <w:szCs w:val="24"/>
        </w:rPr>
      </w:pPr>
    </w:p>
    <w:p w:rsidR="00254C6F" w:rsidRPr="00FD7278" w:rsidRDefault="00254C6F" w:rsidP="00254C6F">
      <w:pPr>
        <w:rPr>
          <w:rFonts w:ascii="Times New Roman" w:hAnsi="Times New Roman"/>
          <w:sz w:val="24"/>
          <w:szCs w:val="24"/>
        </w:rPr>
      </w:pPr>
      <w:r w:rsidRPr="00FD7278">
        <w:rPr>
          <w:rFonts w:ascii="Times New Roman" w:hAnsi="Times New Roman"/>
          <w:sz w:val="24"/>
          <w:szCs w:val="24"/>
        </w:rPr>
        <w:t>QCEW data are collected through a Federal State partnership with the UI programs. UI data are collected at the company level by state. When a company has more than one location in a state, UI data provides only a statewide total for the company. This information alone is insufficient to accurately tabulate local data by industry. To rectify this, QCEW use</w:t>
      </w:r>
      <w:r w:rsidR="00745853">
        <w:rPr>
          <w:rFonts w:ascii="Times New Roman" w:hAnsi="Times New Roman"/>
          <w:sz w:val="24"/>
          <w:szCs w:val="24"/>
        </w:rPr>
        <w:t>s</w:t>
      </w:r>
      <w:r w:rsidRPr="00FD7278">
        <w:rPr>
          <w:rFonts w:ascii="Times New Roman" w:hAnsi="Times New Roman"/>
          <w:sz w:val="24"/>
          <w:szCs w:val="24"/>
        </w:rPr>
        <w:t xml:space="preserve"> the Multiple Worksite Report (MWR). The MWR asks most multi-location employers to provide employment and wage data for all of their establishments covered under one UI account in a State. Most multi-location employers with a total of 10 or more employees combined in their secondary locations are required or requested to complete the MWR. An employer's primary location is the location with the most employment in a State. All other locations within the State are secondary locations.</w:t>
      </w:r>
    </w:p>
    <w:p w:rsidR="00254C6F" w:rsidRPr="00FD7278" w:rsidRDefault="00254C6F" w:rsidP="00254C6F">
      <w:pPr>
        <w:rPr>
          <w:rFonts w:ascii="Times New Roman" w:hAnsi="Times New Roman"/>
          <w:sz w:val="24"/>
          <w:szCs w:val="24"/>
        </w:rPr>
      </w:pPr>
    </w:p>
    <w:p w:rsidR="00254C6F" w:rsidRPr="00FD7278" w:rsidRDefault="00254C6F" w:rsidP="00254C6F">
      <w:pPr>
        <w:rPr>
          <w:rFonts w:ascii="Times New Roman" w:hAnsi="Times New Roman"/>
          <w:sz w:val="24"/>
          <w:szCs w:val="24"/>
        </w:rPr>
      </w:pPr>
      <w:r w:rsidRPr="00FD7278">
        <w:rPr>
          <w:rFonts w:ascii="Times New Roman" w:hAnsi="Times New Roman"/>
          <w:sz w:val="24"/>
          <w:szCs w:val="24"/>
        </w:rPr>
        <w:t>The Multiple Worksite Report is designed to collect information showing the distribution of the employment and wages of business establishments by industry and geographic area. Information on the MWR form is used to more accurately classify employment and wage data of multiple establishment employers by industry and by location within a State. By collecting and storing employment and wage data by worksite, States can disaggregate these data below the county level for more extensive and detailed analysis of business and economic conditions within their State, including local and regional employment totals. These data are used to ensure an equitable distribution of Federal funds through grant programs that use county economic indicators as a basis for allocations. No other sources are available to obtain this information.</w:t>
      </w:r>
    </w:p>
    <w:p w:rsidR="00CA1A20" w:rsidRPr="00FD7278" w:rsidRDefault="00CA1A20" w:rsidP="00254C6F">
      <w:pPr>
        <w:rPr>
          <w:rFonts w:ascii="Times New Roman" w:hAnsi="Times New Roman"/>
          <w:sz w:val="24"/>
          <w:szCs w:val="24"/>
        </w:rPr>
      </w:pPr>
    </w:p>
    <w:p w:rsidR="00DA6E11" w:rsidRPr="00FD7278" w:rsidRDefault="00CA1A20" w:rsidP="00DA6E11">
      <w:pPr>
        <w:rPr>
          <w:rFonts w:ascii="Times New Roman" w:hAnsi="Times New Roman"/>
          <w:sz w:val="24"/>
          <w:szCs w:val="24"/>
        </w:rPr>
      </w:pPr>
      <w:r w:rsidRPr="00FD7278">
        <w:rPr>
          <w:rFonts w:ascii="Times New Roman" w:hAnsi="Times New Roman"/>
          <w:sz w:val="24"/>
          <w:szCs w:val="24"/>
        </w:rPr>
        <w:t>Eligibility</w:t>
      </w:r>
      <w:r w:rsidR="00254C6F" w:rsidRPr="00FD7278">
        <w:rPr>
          <w:rFonts w:ascii="Times New Roman" w:hAnsi="Times New Roman"/>
          <w:sz w:val="24"/>
          <w:szCs w:val="24"/>
        </w:rPr>
        <w:t xml:space="preserve"> for the MWR is determine through the Annual Refil</w:t>
      </w:r>
      <w:r w:rsidR="00745853">
        <w:rPr>
          <w:rFonts w:ascii="Times New Roman" w:hAnsi="Times New Roman"/>
          <w:sz w:val="24"/>
          <w:szCs w:val="24"/>
        </w:rPr>
        <w:t>i</w:t>
      </w:r>
      <w:r w:rsidR="00254C6F" w:rsidRPr="00FD7278">
        <w:rPr>
          <w:rFonts w:ascii="Times New Roman" w:hAnsi="Times New Roman"/>
          <w:sz w:val="24"/>
          <w:szCs w:val="24"/>
        </w:rPr>
        <w:t xml:space="preserve">ng Survey (ARS) and through employment edits. The ARS is a survey conducted to verify or update information about the establishments in QCEW. One question on the ARS asks companies that are currently considered to be a single-unit if they have multiple locations. If they do, they are set up as a new MWR account and QCEW will attempt to collect MWR data. Additionally, new MWRs are identified through employment edits that identify </w:t>
      </w:r>
      <w:r w:rsidR="00AB28D8" w:rsidRPr="00FD7278">
        <w:rPr>
          <w:rFonts w:ascii="Times New Roman" w:hAnsi="Times New Roman"/>
          <w:sz w:val="24"/>
          <w:szCs w:val="24"/>
        </w:rPr>
        <w:t xml:space="preserve">trends indicative of </w:t>
      </w:r>
      <w:r w:rsidR="00254C6F" w:rsidRPr="00FD7278">
        <w:rPr>
          <w:rFonts w:ascii="Times New Roman" w:hAnsi="Times New Roman"/>
          <w:sz w:val="24"/>
          <w:szCs w:val="24"/>
        </w:rPr>
        <w:t>potential new MWRs.</w:t>
      </w:r>
      <w:r w:rsidR="00DA6E11" w:rsidRPr="00FD7278">
        <w:rPr>
          <w:rFonts w:ascii="Times New Roman" w:hAnsi="Times New Roman"/>
          <w:sz w:val="24"/>
          <w:szCs w:val="24"/>
        </w:rPr>
        <w:t xml:space="preserve"> The MWR is collected via paper forms or electronically through either an online web collection system or via file upload to our electronic data interchange center (EDI).</w:t>
      </w:r>
    </w:p>
    <w:p w:rsidR="00254C6F" w:rsidRPr="00FD7278" w:rsidRDefault="00254C6F" w:rsidP="00254C6F">
      <w:pPr>
        <w:rPr>
          <w:rFonts w:ascii="Times New Roman" w:hAnsi="Times New Roman"/>
          <w:sz w:val="24"/>
          <w:szCs w:val="24"/>
        </w:rPr>
      </w:pPr>
    </w:p>
    <w:p w:rsidR="00CE7F53" w:rsidRDefault="00CE7F53" w:rsidP="00254C6F">
      <w:pPr>
        <w:rPr>
          <w:rFonts w:ascii="Times New Roman" w:hAnsi="Times New Roman"/>
          <w:b/>
          <w:sz w:val="24"/>
          <w:szCs w:val="24"/>
        </w:rPr>
      </w:pPr>
    </w:p>
    <w:p w:rsidR="00CE7F53" w:rsidRDefault="00CE7F53" w:rsidP="00254C6F">
      <w:pPr>
        <w:rPr>
          <w:rFonts w:ascii="Times New Roman" w:hAnsi="Times New Roman"/>
          <w:b/>
          <w:sz w:val="24"/>
          <w:szCs w:val="24"/>
        </w:rPr>
      </w:pPr>
    </w:p>
    <w:p w:rsidR="000556AB" w:rsidRPr="00FD7278" w:rsidRDefault="000556AB" w:rsidP="00254C6F">
      <w:pPr>
        <w:rPr>
          <w:rFonts w:ascii="Times New Roman" w:hAnsi="Times New Roman"/>
          <w:b/>
          <w:sz w:val="24"/>
          <w:szCs w:val="24"/>
        </w:rPr>
      </w:pPr>
      <w:r w:rsidRPr="00FD7278">
        <w:rPr>
          <w:rFonts w:ascii="Times New Roman" w:hAnsi="Times New Roman"/>
          <w:b/>
          <w:sz w:val="24"/>
          <w:szCs w:val="24"/>
        </w:rPr>
        <w:lastRenderedPageBreak/>
        <w:t>MWR in QCEW</w:t>
      </w:r>
    </w:p>
    <w:p w:rsidR="00A2244A" w:rsidRPr="00A2244A" w:rsidRDefault="000C43BB" w:rsidP="00A2244A">
      <w:pPr>
        <w:rPr>
          <w:rFonts w:ascii="Times New Roman" w:eastAsia="Times New Roman" w:hAnsi="Times New Roman"/>
          <w:bCs/>
          <w:color w:val="000000"/>
          <w:sz w:val="24"/>
          <w:szCs w:val="24"/>
        </w:rPr>
      </w:pPr>
      <w:r w:rsidRPr="00FD7278">
        <w:rPr>
          <w:rFonts w:ascii="Times New Roman" w:hAnsi="Times New Roman"/>
          <w:sz w:val="24"/>
          <w:szCs w:val="24"/>
        </w:rPr>
        <w:t>The MWR</w:t>
      </w:r>
      <w:r w:rsidR="008410CC" w:rsidRPr="00FD7278">
        <w:rPr>
          <w:rFonts w:ascii="Times New Roman" w:hAnsi="Times New Roman"/>
          <w:sz w:val="24"/>
          <w:szCs w:val="24"/>
        </w:rPr>
        <w:t xml:space="preserve"> is focused on businesses with more than one location within a state</w:t>
      </w:r>
      <w:r w:rsidRPr="00FD7278">
        <w:rPr>
          <w:rFonts w:ascii="Times New Roman" w:hAnsi="Times New Roman"/>
          <w:sz w:val="24"/>
          <w:szCs w:val="24"/>
        </w:rPr>
        <w:t>.</w:t>
      </w:r>
      <w:r w:rsidR="00FD7278">
        <w:rPr>
          <w:rFonts w:ascii="Times New Roman" w:hAnsi="Times New Roman"/>
          <w:sz w:val="24"/>
          <w:szCs w:val="24"/>
        </w:rPr>
        <w:t xml:space="preserve"> </w:t>
      </w:r>
      <w:r w:rsidR="00B06F7F">
        <w:rPr>
          <w:rFonts w:ascii="Times New Roman" w:hAnsi="Times New Roman"/>
          <w:sz w:val="24"/>
          <w:szCs w:val="24"/>
        </w:rPr>
        <w:t xml:space="preserve">The MWR serves as a follow up to the QCEW to add sub-state data to state level UI reports.  It is augmenting the UI data to add a sub-state dimension when it is missing.  </w:t>
      </w:r>
      <w:r w:rsidR="008410CC" w:rsidRPr="00FD7278">
        <w:rPr>
          <w:rFonts w:ascii="Times New Roman" w:hAnsi="Times New Roman"/>
          <w:sz w:val="24"/>
          <w:szCs w:val="24"/>
        </w:rPr>
        <w:t xml:space="preserve">These data are collected through a multimodal process including web </w:t>
      </w:r>
      <w:r w:rsidR="00E46B50" w:rsidRPr="00FD7278">
        <w:rPr>
          <w:rFonts w:ascii="Times New Roman" w:hAnsi="Times New Roman"/>
          <w:sz w:val="24"/>
          <w:szCs w:val="24"/>
        </w:rPr>
        <w:t>surveys</w:t>
      </w:r>
      <w:r w:rsidR="008410CC" w:rsidRPr="00FD7278">
        <w:rPr>
          <w:rFonts w:ascii="Times New Roman" w:hAnsi="Times New Roman"/>
          <w:sz w:val="24"/>
          <w:szCs w:val="24"/>
        </w:rPr>
        <w:t>, large data file transfers and paper surveys.</w:t>
      </w:r>
      <w:r w:rsidR="00A2244A">
        <w:rPr>
          <w:rFonts w:ascii="Times New Roman" w:hAnsi="Times New Roman"/>
          <w:sz w:val="24"/>
          <w:szCs w:val="24"/>
        </w:rPr>
        <w:t xml:space="preserve"> </w:t>
      </w:r>
      <w:r w:rsidR="00A2244A">
        <w:rPr>
          <w:rFonts w:ascii="Times New Roman" w:eastAsia="Times New Roman" w:hAnsi="Times New Roman"/>
          <w:bCs/>
          <w:color w:val="000000"/>
          <w:sz w:val="24"/>
          <w:szCs w:val="24"/>
        </w:rPr>
        <w:t xml:space="preserve">The MWR covers </w:t>
      </w:r>
      <w:r w:rsidR="00A2244A" w:rsidRPr="00A2244A">
        <w:rPr>
          <w:rFonts w:ascii="Times New Roman" w:eastAsia="Times New Roman" w:hAnsi="Times New Roman"/>
          <w:bCs/>
          <w:color w:val="000000"/>
          <w:sz w:val="24"/>
          <w:szCs w:val="24"/>
        </w:rPr>
        <w:t>1.4%</w:t>
      </w:r>
      <w:r w:rsidR="00A2244A">
        <w:rPr>
          <w:rFonts w:ascii="Times New Roman" w:eastAsia="Times New Roman" w:hAnsi="Times New Roman"/>
          <w:bCs/>
          <w:color w:val="000000"/>
          <w:sz w:val="24"/>
          <w:szCs w:val="24"/>
        </w:rPr>
        <w:t xml:space="preserve"> of respondents while accounting for </w:t>
      </w:r>
      <w:r w:rsidR="00A2244A" w:rsidRPr="00A2244A">
        <w:rPr>
          <w:rFonts w:ascii="Times New Roman" w:eastAsia="Times New Roman" w:hAnsi="Times New Roman"/>
          <w:bCs/>
          <w:color w:val="000000"/>
          <w:sz w:val="24"/>
          <w:szCs w:val="24"/>
        </w:rPr>
        <w:t>17.3% of worksites and 41.9% of employment</w:t>
      </w:r>
      <w:r w:rsidR="00A2244A">
        <w:rPr>
          <w:rFonts w:ascii="Times New Roman" w:eastAsia="Times New Roman" w:hAnsi="Times New Roman"/>
          <w:bCs/>
          <w:color w:val="000000"/>
          <w:sz w:val="24"/>
          <w:szCs w:val="24"/>
        </w:rPr>
        <w:t xml:space="preserve"> in QCEW. </w:t>
      </w:r>
    </w:p>
    <w:p w:rsidR="00DA6E11" w:rsidRPr="00FD7278" w:rsidRDefault="00DA6E11" w:rsidP="000556AB">
      <w:pPr>
        <w:rPr>
          <w:rFonts w:ascii="Times New Roman" w:hAnsi="Times New Roman"/>
          <w:sz w:val="24"/>
          <w:szCs w:val="24"/>
        </w:rPr>
      </w:pPr>
    </w:p>
    <w:p w:rsidR="000556AB" w:rsidRPr="00FD7278" w:rsidRDefault="000556AB" w:rsidP="000556AB">
      <w:pPr>
        <w:rPr>
          <w:rFonts w:ascii="Times New Roman" w:hAnsi="Times New Roman"/>
          <w:b/>
          <w:sz w:val="24"/>
          <w:szCs w:val="24"/>
        </w:rPr>
      </w:pPr>
      <w:r w:rsidRPr="00FD7278">
        <w:rPr>
          <w:rFonts w:ascii="Times New Roman" w:hAnsi="Times New Roman"/>
          <w:b/>
          <w:sz w:val="24"/>
          <w:szCs w:val="24"/>
        </w:rPr>
        <w:t>Overview of MWR Response Rates</w:t>
      </w:r>
    </w:p>
    <w:p w:rsidR="00254C6F" w:rsidRPr="00FD7278" w:rsidRDefault="00254C6F" w:rsidP="00254C6F">
      <w:pPr>
        <w:rPr>
          <w:rFonts w:ascii="Times New Roman" w:hAnsi="Times New Roman"/>
          <w:sz w:val="24"/>
          <w:szCs w:val="24"/>
        </w:rPr>
      </w:pPr>
      <w:r w:rsidRPr="00FD7278">
        <w:rPr>
          <w:rFonts w:ascii="Times New Roman" w:hAnsi="Times New Roman"/>
          <w:sz w:val="24"/>
          <w:szCs w:val="24"/>
        </w:rPr>
        <w:t>MWR response rates for 2017, quarter 4 were reviewed by state, s</w:t>
      </w:r>
      <w:r w:rsidR="007660C9" w:rsidRPr="00FD7278">
        <w:rPr>
          <w:rFonts w:ascii="Times New Roman" w:hAnsi="Times New Roman"/>
          <w:sz w:val="24"/>
          <w:szCs w:val="24"/>
        </w:rPr>
        <w:t>ize class and supersector.</w:t>
      </w:r>
      <w:r w:rsidR="00FD7278">
        <w:rPr>
          <w:rFonts w:ascii="Times New Roman" w:hAnsi="Times New Roman"/>
          <w:sz w:val="24"/>
          <w:szCs w:val="24"/>
        </w:rPr>
        <w:t xml:space="preserve"> One crucial note about response rates, is that since the MWR is a more detailed breakdown of the state totals that the firm already reports to UI, the MWR has a validity check in the UI totals. </w:t>
      </w:r>
      <w:r w:rsidR="00745853">
        <w:rPr>
          <w:rFonts w:ascii="Times New Roman" w:hAnsi="Times New Roman"/>
          <w:sz w:val="24"/>
          <w:szCs w:val="24"/>
        </w:rPr>
        <w:t xml:space="preserve"> </w:t>
      </w:r>
      <w:r w:rsidR="00FD7278">
        <w:rPr>
          <w:rFonts w:ascii="Times New Roman" w:hAnsi="Times New Roman"/>
          <w:sz w:val="24"/>
          <w:szCs w:val="24"/>
        </w:rPr>
        <w:t>Additionally, if a respondent fails to report the MWR, their data can be prorated to the individual worksites based on the reported UI totals. This is an important tool particularly for states where the MWR is voluntary. It is far preferable to maintain worksite level data and prorate it to the UI totals in the case of an MWR refusal. In these instances, local data at the industry level is more accurately represented by the multiple worksites and prorated employment and wages than it would be without the data broken out by worksite.</w:t>
      </w:r>
    </w:p>
    <w:p w:rsidR="007660C9" w:rsidRPr="00FD7278" w:rsidRDefault="007660C9" w:rsidP="00254C6F">
      <w:pPr>
        <w:rPr>
          <w:rFonts w:ascii="Times New Roman" w:hAnsi="Times New Roman"/>
          <w:sz w:val="24"/>
          <w:szCs w:val="24"/>
        </w:rPr>
      </w:pPr>
    </w:p>
    <w:p w:rsidR="007660C9" w:rsidRPr="00FD7278" w:rsidRDefault="00FD7278" w:rsidP="00254C6F">
      <w:pPr>
        <w:rPr>
          <w:rFonts w:ascii="Times New Roman" w:hAnsi="Times New Roman"/>
          <w:sz w:val="24"/>
          <w:szCs w:val="24"/>
        </w:rPr>
      </w:pPr>
      <w:r>
        <w:rPr>
          <w:rFonts w:ascii="Times New Roman" w:hAnsi="Times New Roman"/>
          <w:sz w:val="24"/>
          <w:szCs w:val="24"/>
        </w:rPr>
        <w:t xml:space="preserve">The MWR is </w:t>
      </w:r>
      <w:r w:rsidR="007660C9" w:rsidRPr="00FD7278">
        <w:rPr>
          <w:rFonts w:ascii="Times New Roman" w:hAnsi="Times New Roman"/>
          <w:sz w:val="24"/>
          <w:szCs w:val="24"/>
        </w:rPr>
        <w:t xml:space="preserve">mandatory </w:t>
      </w:r>
      <w:r>
        <w:rPr>
          <w:rFonts w:ascii="Times New Roman" w:hAnsi="Times New Roman"/>
          <w:sz w:val="24"/>
          <w:szCs w:val="24"/>
        </w:rPr>
        <w:t xml:space="preserve">in </w:t>
      </w:r>
      <w:r w:rsidR="007660C9" w:rsidRPr="00FD7278">
        <w:rPr>
          <w:rFonts w:ascii="Times New Roman" w:hAnsi="Times New Roman"/>
          <w:sz w:val="24"/>
          <w:szCs w:val="24"/>
        </w:rPr>
        <w:t>31 states</w:t>
      </w:r>
      <w:r>
        <w:rPr>
          <w:rFonts w:ascii="Times New Roman" w:hAnsi="Times New Roman"/>
          <w:sz w:val="24"/>
          <w:szCs w:val="24"/>
        </w:rPr>
        <w:t xml:space="preserve"> and the results show </w:t>
      </w:r>
      <w:r w:rsidR="007660C9" w:rsidRPr="00FD7278">
        <w:rPr>
          <w:rFonts w:ascii="Times New Roman" w:hAnsi="Times New Roman"/>
          <w:sz w:val="24"/>
          <w:szCs w:val="24"/>
        </w:rPr>
        <w:t>response rates were higher in those states compared to the voluntary states.</w:t>
      </w:r>
      <w:r>
        <w:rPr>
          <w:rFonts w:ascii="Times New Roman" w:hAnsi="Times New Roman"/>
          <w:sz w:val="24"/>
          <w:szCs w:val="24"/>
        </w:rPr>
        <w:t xml:space="preserve"> </w:t>
      </w:r>
      <w:r w:rsidR="007660C9" w:rsidRPr="00FD7278">
        <w:rPr>
          <w:rFonts w:ascii="Times New Roman" w:hAnsi="Times New Roman"/>
          <w:sz w:val="24"/>
          <w:szCs w:val="24"/>
        </w:rPr>
        <w:t>For voluntary states the response rates were: 63.5% for employment and 61.9% for wages.</w:t>
      </w:r>
      <w:r>
        <w:rPr>
          <w:rFonts w:ascii="Times New Roman" w:hAnsi="Times New Roman"/>
          <w:sz w:val="24"/>
          <w:szCs w:val="24"/>
        </w:rPr>
        <w:t xml:space="preserve"> </w:t>
      </w:r>
      <w:r w:rsidR="007660C9" w:rsidRPr="00FD7278">
        <w:rPr>
          <w:rFonts w:ascii="Times New Roman" w:hAnsi="Times New Roman"/>
          <w:sz w:val="24"/>
          <w:szCs w:val="24"/>
        </w:rPr>
        <w:t>For mandatory states the response rates were: 81.4% for employment and 80.8% for wages.</w:t>
      </w:r>
    </w:p>
    <w:p w:rsidR="00E46B50" w:rsidRPr="00FD7278" w:rsidRDefault="00E46B50" w:rsidP="00254C6F">
      <w:pPr>
        <w:rPr>
          <w:rFonts w:ascii="Times New Roman" w:hAnsi="Times New Roman"/>
          <w:sz w:val="24"/>
          <w:szCs w:val="24"/>
        </w:rPr>
      </w:pPr>
    </w:p>
    <w:p w:rsidR="00A2244A" w:rsidRDefault="00E46B50" w:rsidP="00254C6F">
      <w:pPr>
        <w:rPr>
          <w:rFonts w:ascii="Times New Roman" w:hAnsi="Times New Roman"/>
          <w:sz w:val="24"/>
          <w:szCs w:val="24"/>
        </w:rPr>
      </w:pPr>
      <w:r w:rsidRPr="00FD7278">
        <w:rPr>
          <w:rFonts w:ascii="Times New Roman" w:hAnsi="Times New Roman"/>
          <w:sz w:val="24"/>
          <w:szCs w:val="24"/>
        </w:rPr>
        <w:t>MWR responses by size class are roughly evenly distributed with rates ranging from 68.4% to 73.3%.</w:t>
      </w:r>
      <w:r w:rsidR="00FD7278">
        <w:rPr>
          <w:rFonts w:ascii="Times New Roman" w:hAnsi="Times New Roman"/>
          <w:sz w:val="24"/>
          <w:szCs w:val="24"/>
        </w:rPr>
        <w:t xml:space="preserve"> </w:t>
      </w:r>
    </w:p>
    <w:p w:rsidR="00A2244A" w:rsidRDefault="00A2244A" w:rsidP="00254C6F">
      <w:pPr>
        <w:rPr>
          <w:rFonts w:ascii="Times New Roman" w:hAnsi="Times New Roman"/>
          <w:sz w:val="24"/>
          <w:szCs w:val="24"/>
        </w:rPr>
      </w:pPr>
    </w:p>
    <w:p w:rsidR="007660C9" w:rsidRPr="00FD7278" w:rsidRDefault="001A7E32" w:rsidP="00254C6F">
      <w:pPr>
        <w:rPr>
          <w:rFonts w:ascii="Times New Roman" w:hAnsi="Times New Roman"/>
          <w:sz w:val="24"/>
          <w:szCs w:val="24"/>
        </w:rPr>
      </w:pPr>
      <w:r w:rsidRPr="00FD7278">
        <w:rPr>
          <w:rFonts w:ascii="Times New Roman" w:hAnsi="Times New Roman"/>
          <w:sz w:val="24"/>
          <w:szCs w:val="24"/>
        </w:rPr>
        <w:t>Supersector response rates reveal some interesting differences.</w:t>
      </w:r>
      <w:r w:rsidR="00FD7278">
        <w:rPr>
          <w:rFonts w:ascii="Times New Roman" w:hAnsi="Times New Roman"/>
          <w:sz w:val="24"/>
          <w:szCs w:val="24"/>
        </w:rPr>
        <w:t xml:space="preserve"> </w:t>
      </w:r>
      <w:r w:rsidRPr="00FD7278">
        <w:rPr>
          <w:rFonts w:ascii="Times New Roman" w:hAnsi="Times New Roman"/>
          <w:sz w:val="24"/>
          <w:szCs w:val="24"/>
        </w:rPr>
        <w:t xml:space="preserve">Public administration displaying the highest whereas Natural Resources and Mining had the lowest rates. </w:t>
      </w:r>
      <w:r w:rsidR="00FD7278">
        <w:rPr>
          <w:rFonts w:ascii="Times New Roman" w:hAnsi="Times New Roman"/>
          <w:sz w:val="24"/>
          <w:szCs w:val="24"/>
        </w:rPr>
        <w:t>One likely reason for the high response rates in public administration is the successful push over the last decade to get all federal and many state reporters to provide data to our EDI center.</w:t>
      </w:r>
    </w:p>
    <w:p w:rsidR="001A7E32" w:rsidRPr="00FD7278" w:rsidRDefault="001A7E32" w:rsidP="00254C6F">
      <w:pPr>
        <w:rPr>
          <w:rFonts w:ascii="Times New Roman" w:hAnsi="Times New Roman"/>
          <w:sz w:val="24"/>
          <w:szCs w:val="24"/>
        </w:rPr>
      </w:pPr>
    </w:p>
    <w:p w:rsidR="00CA1A20" w:rsidRPr="00FD7278" w:rsidRDefault="00CA1A20" w:rsidP="00CA1A20">
      <w:pPr>
        <w:rPr>
          <w:rFonts w:ascii="Times New Roman" w:hAnsi="Times New Roman"/>
          <w:b/>
          <w:sz w:val="24"/>
          <w:szCs w:val="24"/>
        </w:rPr>
      </w:pPr>
      <w:r w:rsidRPr="00FD7278">
        <w:rPr>
          <w:rFonts w:ascii="Times New Roman" w:hAnsi="Times New Roman"/>
          <w:b/>
          <w:sz w:val="24"/>
          <w:szCs w:val="24"/>
        </w:rPr>
        <w:t>MWR Initiatives to Improve Response Rates</w:t>
      </w:r>
    </w:p>
    <w:p w:rsidR="000556AB" w:rsidRPr="00FD7278" w:rsidRDefault="000C43BB" w:rsidP="00254C6F">
      <w:pPr>
        <w:rPr>
          <w:rFonts w:ascii="Times New Roman" w:hAnsi="Times New Roman"/>
          <w:sz w:val="24"/>
          <w:szCs w:val="24"/>
        </w:rPr>
      </w:pPr>
      <w:r w:rsidRPr="00FD7278">
        <w:rPr>
          <w:rFonts w:ascii="Times New Roman" w:hAnsi="Times New Roman"/>
          <w:sz w:val="24"/>
          <w:szCs w:val="24"/>
        </w:rPr>
        <w:t>QCEW has implemented several initiatives to improve response rates in this survey.</w:t>
      </w:r>
      <w:r w:rsidR="00FD7278">
        <w:rPr>
          <w:rFonts w:ascii="Times New Roman" w:hAnsi="Times New Roman"/>
          <w:sz w:val="24"/>
          <w:szCs w:val="24"/>
        </w:rPr>
        <w:t xml:space="preserve"> </w:t>
      </w:r>
      <w:r w:rsidRPr="00FD7278">
        <w:rPr>
          <w:rFonts w:ascii="Times New Roman" w:hAnsi="Times New Roman"/>
          <w:sz w:val="24"/>
          <w:szCs w:val="24"/>
        </w:rPr>
        <w:t>The response modes that promote the highest rates are web surveys and Electronic Data Interchange (EDI) file transfers.</w:t>
      </w:r>
      <w:r w:rsidR="00BF7C6A" w:rsidRPr="00FD7278">
        <w:rPr>
          <w:rFonts w:ascii="Times New Roman" w:hAnsi="Times New Roman"/>
          <w:sz w:val="24"/>
          <w:szCs w:val="24"/>
        </w:rPr>
        <w:t xml:space="preserve"> The fourth quarter 2017 MWR web report had an overall response rate of 88.4%.</w:t>
      </w:r>
      <w:r w:rsidR="00FD7278">
        <w:rPr>
          <w:rFonts w:ascii="Times New Roman" w:hAnsi="Times New Roman"/>
          <w:sz w:val="24"/>
          <w:szCs w:val="24"/>
        </w:rPr>
        <w:t xml:space="preserve"> </w:t>
      </w:r>
      <w:r w:rsidRPr="00FD7278">
        <w:rPr>
          <w:rFonts w:ascii="Times New Roman" w:hAnsi="Times New Roman"/>
          <w:sz w:val="24"/>
          <w:szCs w:val="24"/>
        </w:rPr>
        <w:t>In order to promote the website, annual letters have been sent to employers who are not currently using the web or EDI to complete the report.</w:t>
      </w:r>
      <w:r w:rsidR="00FD7278">
        <w:rPr>
          <w:rFonts w:ascii="Times New Roman" w:hAnsi="Times New Roman"/>
          <w:sz w:val="24"/>
          <w:szCs w:val="24"/>
        </w:rPr>
        <w:t xml:space="preserve"> </w:t>
      </w:r>
      <w:r w:rsidRPr="00FD7278">
        <w:rPr>
          <w:rFonts w:ascii="Times New Roman" w:hAnsi="Times New Roman"/>
          <w:sz w:val="24"/>
          <w:szCs w:val="24"/>
        </w:rPr>
        <w:t>The letter is typically sent prior to the survey in order to convert a paper reporter, or a refusal into a web reporter.</w:t>
      </w:r>
      <w:r w:rsidR="00FD7278">
        <w:rPr>
          <w:rFonts w:ascii="Times New Roman" w:hAnsi="Times New Roman"/>
          <w:sz w:val="24"/>
          <w:szCs w:val="24"/>
        </w:rPr>
        <w:t xml:space="preserve"> </w:t>
      </w:r>
      <w:r w:rsidRPr="00FD7278">
        <w:rPr>
          <w:rFonts w:ascii="Times New Roman" w:hAnsi="Times New Roman"/>
          <w:sz w:val="24"/>
          <w:szCs w:val="24"/>
        </w:rPr>
        <w:t>For EDI an email blast is sent 3 times per quarter to remind the large employers who are participating in the program to submit their data files.</w:t>
      </w:r>
    </w:p>
    <w:p w:rsidR="000C43BB" w:rsidRPr="00FD7278" w:rsidRDefault="000C43BB" w:rsidP="00254C6F">
      <w:pPr>
        <w:rPr>
          <w:rFonts w:ascii="Times New Roman" w:hAnsi="Times New Roman"/>
          <w:sz w:val="24"/>
          <w:szCs w:val="24"/>
        </w:rPr>
      </w:pPr>
    </w:p>
    <w:p w:rsidR="00CA1A20" w:rsidRPr="00FD7278" w:rsidRDefault="00CA1A20" w:rsidP="00CA1A20">
      <w:pPr>
        <w:rPr>
          <w:rFonts w:ascii="Times New Roman" w:hAnsi="Times New Roman"/>
          <w:b/>
          <w:sz w:val="24"/>
          <w:szCs w:val="24"/>
        </w:rPr>
      </w:pPr>
      <w:r w:rsidRPr="00FD7278">
        <w:rPr>
          <w:rFonts w:ascii="Times New Roman" w:hAnsi="Times New Roman"/>
          <w:b/>
          <w:sz w:val="24"/>
          <w:szCs w:val="24"/>
        </w:rPr>
        <w:t>Conclusion and Future MWR Initiatives</w:t>
      </w:r>
    </w:p>
    <w:p w:rsidR="00C91FF6" w:rsidRPr="00FD7278" w:rsidRDefault="00C91FF6" w:rsidP="00254C6F">
      <w:pPr>
        <w:rPr>
          <w:rFonts w:ascii="Times New Roman" w:hAnsi="Times New Roman"/>
          <w:sz w:val="24"/>
          <w:szCs w:val="24"/>
        </w:rPr>
      </w:pPr>
      <w:r w:rsidRPr="00FD7278">
        <w:rPr>
          <w:rFonts w:ascii="Times New Roman" w:hAnsi="Times New Roman"/>
          <w:sz w:val="24"/>
          <w:szCs w:val="24"/>
        </w:rPr>
        <w:t>Overall the MWR program achieves a high rate of response, but there are areas which can be improved.</w:t>
      </w:r>
      <w:r w:rsidR="00FD7278">
        <w:rPr>
          <w:rFonts w:ascii="Times New Roman" w:hAnsi="Times New Roman"/>
          <w:sz w:val="24"/>
          <w:szCs w:val="24"/>
        </w:rPr>
        <w:t xml:space="preserve"> </w:t>
      </w:r>
      <w:r w:rsidRPr="00FD7278">
        <w:rPr>
          <w:rFonts w:ascii="Times New Roman" w:hAnsi="Times New Roman"/>
          <w:sz w:val="24"/>
          <w:szCs w:val="24"/>
        </w:rPr>
        <w:t>Specifically the voluntary states and within supersectors with lower than average response (Natural Resources and Mining for example).</w:t>
      </w:r>
      <w:r w:rsidR="00FD7278">
        <w:rPr>
          <w:rFonts w:ascii="Times New Roman" w:hAnsi="Times New Roman"/>
          <w:sz w:val="24"/>
          <w:szCs w:val="24"/>
        </w:rPr>
        <w:t xml:space="preserve"> </w:t>
      </w:r>
      <w:r w:rsidRPr="00FD7278">
        <w:rPr>
          <w:rFonts w:ascii="Times New Roman" w:hAnsi="Times New Roman"/>
          <w:sz w:val="24"/>
          <w:szCs w:val="24"/>
        </w:rPr>
        <w:t xml:space="preserve">One initiative that has been very </w:t>
      </w:r>
      <w:r w:rsidRPr="00FD7278">
        <w:rPr>
          <w:rFonts w:ascii="Times New Roman" w:hAnsi="Times New Roman"/>
          <w:sz w:val="24"/>
          <w:szCs w:val="24"/>
        </w:rPr>
        <w:lastRenderedPageBreak/>
        <w:t>successful is the annual web letter solicitation.</w:t>
      </w:r>
      <w:r w:rsidR="00FD7278">
        <w:rPr>
          <w:rFonts w:ascii="Times New Roman" w:hAnsi="Times New Roman"/>
          <w:sz w:val="24"/>
          <w:szCs w:val="24"/>
        </w:rPr>
        <w:t xml:space="preserve"> </w:t>
      </w:r>
      <w:r w:rsidRPr="00FD7278">
        <w:rPr>
          <w:rFonts w:ascii="Times New Roman" w:hAnsi="Times New Roman"/>
          <w:sz w:val="24"/>
          <w:szCs w:val="24"/>
        </w:rPr>
        <w:t xml:space="preserve">At this time </w:t>
      </w:r>
      <w:r w:rsidR="00A97982">
        <w:rPr>
          <w:rFonts w:ascii="Times New Roman" w:hAnsi="Times New Roman"/>
          <w:sz w:val="24"/>
          <w:szCs w:val="24"/>
        </w:rPr>
        <w:t xml:space="preserve">state participation is voluntary, and not all </w:t>
      </w:r>
      <w:r w:rsidR="00CE7F53">
        <w:rPr>
          <w:rFonts w:ascii="Times New Roman" w:hAnsi="Times New Roman"/>
          <w:sz w:val="24"/>
          <w:szCs w:val="24"/>
        </w:rPr>
        <w:t xml:space="preserve">states </w:t>
      </w:r>
      <w:r w:rsidR="00CE7F53" w:rsidRPr="00FD7278">
        <w:rPr>
          <w:rFonts w:ascii="Times New Roman" w:hAnsi="Times New Roman"/>
          <w:sz w:val="24"/>
          <w:szCs w:val="24"/>
        </w:rPr>
        <w:t>participate</w:t>
      </w:r>
      <w:r w:rsidRPr="00FD7278">
        <w:rPr>
          <w:rFonts w:ascii="Times New Roman" w:hAnsi="Times New Roman"/>
          <w:sz w:val="24"/>
          <w:szCs w:val="24"/>
        </w:rPr>
        <w:t>.</w:t>
      </w:r>
      <w:r w:rsidR="00FA62BA">
        <w:rPr>
          <w:rFonts w:ascii="Times New Roman" w:hAnsi="Times New Roman"/>
          <w:sz w:val="24"/>
          <w:szCs w:val="24"/>
        </w:rPr>
        <w:t xml:space="preserve"> We expect more states to participate in the future given the success of this initiative.</w:t>
      </w:r>
      <w:r w:rsidR="00FD7278">
        <w:rPr>
          <w:rFonts w:ascii="Times New Roman" w:hAnsi="Times New Roman"/>
          <w:sz w:val="24"/>
          <w:szCs w:val="24"/>
        </w:rPr>
        <w:t xml:space="preserve"> </w:t>
      </w:r>
    </w:p>
    <w:p w:rsidR="00C91FF6" w:rsidRPr="00FD7278" w:rsidRDefault="00C91FF6" w:rsidP="00254C6F">
      <w:pPr>
        <w:rPr>
          <w:rFonts w:ascii="Times New Roman" w:hAnsi="Times New Roman"/>
          <w:sz w:val="24"/>
          <w:szCs w:val="24"/>
        </w:rPr>
      </w:pPr>
    </w:p>
    <w:p w:rsidR="00C91FF6" w:rsidRPr="00FD7278" w:rsidRDefault="00C91FF6" w:rsidP="00254C6F">
      <w:pPr>
        <w:rPr>
          <w:rFonts w:ascii="Times New Roman" w:hAnsi="Times New Roman"/>
          <w:sz w:val="24"/>
          <w:szCs w:val="24"/>
        </w:rPr>
      </w:pPr>
      <w:r w:rsidRPr="00FD7278">
        <w:rPr>
          <w:rFonts w:ascii="Times New Roman" w:hAnsi="Times New Roman"/>
          <w:sz w:val="24"/>
          <w:szCs w:val="24"/>
        </w:rPr>
        <w:t>A second initiative that may improve rates is an option for e</w:t>
      </w:r>
      <w:r w:rsidR="00FD7278" w:rsidRPr="00FD7278">
        <w:rPr>
          <w:rFonts w:ascii="Times New Roman" w:hAnsi="Times New Roman"/>
          <w:sz w:val="24"/>
          <w:szCs w:val="24"/>
        </w:rPr>
        <w:t xml:space="preserve">mployers to provide QCEW with an electronic file that is not in our typical load file format. Some firms may </w:t>
      </w:r>
      <w:r w:rsidR="00FD7278">
        <w:rPr>
          <w:rFonts w:ascii="Times New Roman" w:hAnsi="Times New Roman"/>
          <w:sz w:val="24"/>
          <w:szCs w:val="24"/>
        </w:rPr>
        <w:t xml:space="preserve">be </w:t>
      </w:r>
      <w:r w:rsidR="00FD7278" w:rsidRPr="00FD7278">
        <w:rPr>
          <w:rFonts w:ascii="Times New Roman" w:hAnsi="Times New Roman"/>
          <w:sz w:val="24"/>
          <w:szCs w:val="24"/>
        </w:rPr>
        <w:t xml:space="preserve">unwilling to </w:t>
      </w:r>
      <w:r w:rsidR="00FD7278">
        <w:rPr>
          <w:rFonts w:ascii="Times New Roman" w:hAnsi="Times New Roman"/>
          <w:sz w:val="24"/>
          <w:szCs w:val="24"/>
        </w:rPr>
        <w:t>dedicate technical resources to creating o</w:t>
      </w:r>
      <w:r w:rsidR="00FD7278" w:rsidRPr="00FD7278">
        <w:rPr>
          <w:rFonts w:ascii="Times New Roman" w:hAnsi="Times New Roman"/>
          <w:sz w:val="24"/>
          <w:szCs w:val="24"/>
        </w:rPr>
        <w:t xml:space="preserve">ur load file format, but may have electronic MWR data available in </w:t>
      </w:r>
      <w:r w:rsidR="00FD7278">
        <w:rPr>
          <w:rFonts w:ascii="Times New Roman" w:hAnsi="Times New Roman"/>
          <w:sz w:val="24"/>
          <w:szCs w:val="24"/>
        </w:rPr>
        <w:t>some other format. Rather than</w:t>
      </w:r>
      <w:r w:rsidR="00FD7278" w:rsidRPr="00FD7278">
        <w:rPr>
          <w:rFonts w:ascii="Times New Roman" w:hAnsi="Times New Roman"/>
          <w:sz w:val="24"/>
          <w:szCs w:val="24"/>
        </w:rPr>
        <w:t xml:space="preserve"> printing out their data and returning it with their </w:t>
      </w:r>
      <w:r w:rsidR="00FD7278">
        <w:rPr>
          <w:rFonts w:ascii="Times New Roman" w:hAnsi="Times New Roman"/>
          <w:sz w:val="24"/>
          <w:szCs w:val="24"/>
        </w:rPr>
        <w:t xml:space="preserve">MWR </w:t>
      </w:r>
      <w:r w:rsidR="00FD7278" w:rsidRPr="00FD7278">
        <w:rPr>
          <w:rFonts w:ascii="Times New Roman" w:hAnsi="Times New Roman"/>
          <w:sz w:val="24"/>
          <w:szCs w:val="24"/>
        </w:rPr>
        <w:t>form via mail, we would allow the reporter to securely upload their data file in whatever format</w:t>
      </w:r>
      <w:r w:rsidRPr="00FD7278">
        <w:rPr>
          <w:rFonts w:ascii="Times New Roman" w:hAnsi="Times New Roman"/>
          <w:sz w:val="24"/>
          <w:szCs w:val="24"/>
        </w:rPr>
        <w:t xml:space="preserve">. </w:t>
      </w:r>
      <w:r w:rsidR="00FD7278" w:rsidRPr="00FD7278">
        <w:rPr>
          <w:rFonts w:ascii="Times New Roman" w:hAnsi="Times New Roman"/>
          <w:sz w:val="24"/>
          <w:szCs w:val="24"/>
        </w:rPr>
        <w:t>Data would still need to be processed manually at BLS, but the employer may be more willing to submit data if this option is made available.</w:t>
      </w:r>
      <w:r w:rsidRPr="00FD7278">
        <w:rPr>
          <w:rFonts w:ascii="Times New Roman" w:hAnsi="Times New Roman"/>
          <w:sz w:val="24"/>
          <w:szCs w:val="24"/>
        </w:rPr>
        <w:t xml:space="preserve"> This initiative is currently in the pilot phase.</w:t>
      </w:r>
    </w:p>
    <w:p w:rsidR="00C91FF6" w:rsidRPr="00FD7278" w:rsidRDefault="00C91FF6" w:rsidP="00254C6F">
      <w:pPr>
        <w:rPr>
          <w:rFonts w:ascii="Times New Roman" w:hAnsi="Times New Roman"/>
          <w:sz w:val="24"/>
          <w:szCs w:val="24"/>
        </w:rPr>
      </w:pPr>
    </w:p>
    <w:p w:rsidR="000556AB" w:rsidRPr="00FD7278" w:rsidRDefault="00C91FF6" w:rsidP="00254C6F">
      <w:pPr>
        <w:rPr>
          <w:rFonts w:ascii="Times New Roman" w:hAnsi="Times New Roman"/>
          <w:sz w:val="24"/>
          <w:szCs w:val="24"/>
        </w:rPr>
      </w:pPr>
      <w:r w:rsidRPr="00FD7278">
        <w:rPr>
          <w:rFonts w:ascii="Times New Roman" w:hAnsi="Times New Roman"/>
          <w:sz w:val="24"/>
          <w:szCs w:val="24"/>
        </w:rPr>
        <w:t>Providing as many options to employers as possible to complete the MWR is important to our success.</w:t>
      </w:r>
      <w:r w:rsidR="00FD7278">
        <w:rPr>
          <w:rFonts w:ascii="Times New Roman" w:hAnsi="Times New Roman"/>
          <w:sz w:val="24"/>
          <w:szCs w:val="24"/>
        </w:rPr>
        <w:t xml:space="preserve"> </w:t>
      </w:r>
      <w:r w:rsidRPr="00FD7278">
        <w:rPr>
          <w:rFonts w:ascii="Times New Roman" w:hAnsi="Times New Roman"/>
          <w:sz w:val="24"/>
          <w:szCs w:val="24"/>
        </w:rPr>
        <w:t>The various payroll systems and software in use make it difficult to create a one size fits all approach, and offering a multitude of options makes it easier for employers to provide the data to us.</w:t>
      </w:r>
      <w:r w:rsidR="00FD7278">
        <w:rPr>
          <w:rFonts w:ascii="Times New Roman" w:hAnsi="Times New Roman"/>
          <w:sz w:val="24"/>
          <w:szCs w:val="24"/>
        </w:rPr>
        <w:t xml:space="preserve"> </w:t>
      </w:r>
      <w:r w:rsidRPr="00FD7278">
        <w:rPr>
          <w:rFonts w:ascii="Times New Roman" w:hAnsi="Times New Roman"/>
          <w:sz w:val="24"/>
          <w:szCs w:val="24"/>
        </w:rPr>
        <w:t xml:space="preserve"> </w:t>
      </w:r>
    </w:p>
    <w:p w:rsidR="000556AB" w:rsidRPr="00FD7278" w:rsidRDefault="000556AB" w:rsidP="00254C6F">
      <w:pPr>
        <w:rPr>
          <w:rFonts w:ascii="Times New Roman" w:hAnsi="Times New Roman"/>
          <w:color w:val="4472C4" w:themeColor="accent5"/>
          <w:sz w:val="24"/>
          <w:szCs w:val="24"/>
        </w:rPr>
      </w:pPr>
    </w:p>
    <w:p w:rsidR="00254C6F" w:rsidRPr="00FD7278" w:rsidRDefault="00254C6F" w:rsidP="00254C6F">
      <w:pPr>
        <w:rPr>
          <w:rFonts w:ascii="Times New Roman" w:hAnsi="Times New Roman"/>
          <w:sz w:val="24"/>
          <w:szCs w:val="24"/>
        </w:rPr>
      </w:pPr>
    </w:p>
    <w:p w:rsidR="002F5D34" w:rsidRDefault="002F5D34"/>
    <w:sectPr w:rsidR="002F5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C6F"/>
    <w:rsid w:val="000556AB"/>
    <w:rsid w:val="000C43BB"/>
    <w:rsid w:val="001A7E32"/>
    <w:rsid w:val="00254C6F"/>
    <w:rsid w:val="002F5D34"/>
    <w:rsid w:val="00560195"/>
    <w:rsid w:val="00745853"/>
    <w:rsid w:val="007660C9"/>
    <w:rsid w:val="008410CC"/>
    <w:rsid w:val="00A2244A"/>
    <w:rsid w:val="00A90200"/>
    <w:rsid w:val="00A97982"/>
    <w:rsid w:val="00AB28D8"/>
    <w:rsid w:val="00B06F7F"/>
    <w:rsid w:val="00B72537"/>
    <w:rsid w:val="00BF7C6A"/>
    <w:rsid w:val="00C91FF6"/>
    <w:rsid w:val="00CA1A20"/>
    <w:rsid w:val="00CE7F53"/>
    <w:rsid w:val="00DA6E11"/>
    <w:rsid w:val="00E46B50"/>
    <w:rsid w:val="00FA62BA"/>
    <w:rsid w:val="00FD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6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4C6F"/>
    <w:rPr>
      <w:color w:val="0563C1"/>
      <w:u w:val="single"/>
    </w:rPr>
  </w:style>
  <w:style w:type="character" w:styleId="FollowedHyperlink">
    <w:name w:val="FollowedHyperlink"/>
    <w:basedOn w:val="DefaultParagraphFont"/>
    <w:uiPriority w:val="99"/>
    <w:semiHidden/>
    <w:unhideWhenUsed/>
    <w:rsid w:val="00254C6F"/>
    <w:rPr>
      <w:color w:val="954F72" w:themeColor="followedHyperlink"/>
      <w:u w:val="single"/>
    </w:rPr>
  </w:style>
  <w:style w:type="character" w:styleId="CommentReference">
    <w:name w:val="annotation reference"/>
    <w:basedOn w:val="DefaultParagraphFont"/>
    <w:uiPriority w:val="99"/>
    <w:semiHidden/>
    <w:unhideWhenUsed/>
    <w:rsid w:val="00A97982"/>
    <w:rPr>
      <w:sz w:val="16"/>
      <w:szCs w:val="16"/>
    </w:rPr>
  </w:style>
  <w:style w:type="paragraph" w:styleId="CommentText">
    <w:name w:val="annotation text"/>
    <w:basedOn w:val="Normal"/>
    <w:link w:val="CommentTextChar"/>
    <w:uiPriority w:val="99"/>
    <w:semiHidden/>
    <w:unhideWhenUsed/>
    <w:rsid w:val="00A97982"/>
    <w:rPr>
      <w:sz w:val="20"/>
      <w:szCs w:val="20"/>
    </w:rPr>
  </w:style>
  <w:style w:type="character" w:customStyle="1" w:styleId="CommentTextChar">
    <w:name w:val="Comment Text Char"/>
    <w:basedOn w:val="DefaultParagraphFont"/>
    <w:link w:val="CommentText"/>
    <w:uiPriority w:val="99"/>
    <w:semiHidden/>
    <w:rsid w:val="00A9798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7982"/>
    <w:rPr>
      <w:b/>
      <w:bCs/>
    </w:rPr>
  </w:style>
  <w:style w:type="character" w:customStyle="1" w:styleId="CommentSubjectChar">
    <w:name w:val="Comment Subject Char"/>
    <w:basedOn w:val="CommentTextChar"/>
    <w:link w:val="CommentSubject"/>
    <w:uiPriority w:val="99"/>
    <w:semiHidden/>
    <w:rsid w:val="00A97982"/>
    <w:rPr>
      <w:rFonts w:ascii="Calibri" w:hAnsi="Calibri" w:cs="Times New Roman"/>
      <w:b/>
      <w:bCs/>
      <w:sz w:val="20"/>
      <w:szCs w:val="20"/>
    </w:rPr>
  </w:style>
  <w:style w:type="paragraph" w:styleId="BalloonText">
    <w:name w:val="Balloon Text"/>
    <w:basedOn w:val="Normal"/>
    <w:link w:val="BalloonTextChar"/>
    <w:uiPriority w:val="99"/>
    <w:semiHidden/>
    <w:unhideWhenUsed/>
    <w:rsid w:val="00A97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8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6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4C6F"/>
    <w:rPr>
      <w:color w:val="0563C1"/>
      <w:u w:val="single"/>
    </w:rPr>
  </w:style>
  <w:style w:type="character" w:styleId="FollowedHyperlink">
    <w:name w:val="FollowedHyperlink"/>
    <w:basedOn w:val="DefaultParagraphFont"/>
    <w:uiPriority w:val="99"/>
    <w:semiHidden/>
    <w:unhideWhenUsed/>
    <w:rsid w:val="00254C6F"/>
    <w:rPr>
      <w:color w:val="954F72" w:themeColor="followedHyperlink"/>
      <w:u w:val="single"/>
    </w:rPr>
  </w:style>
  <w:style w:type="character" w:styleId="CommentReference">
    <w:name w:val="annotation reference"/>
    <w:basedOn w:val="DefaultParagraphFont"/>
    <w:uiPriority w:val="99"/>
    <w:semiHidden/>
    <w:unhideWhenUsed/>
    <w:rsid w:val="00A97982"/>
    <w:rPr>
      <w:sz w:val="16"/>
      <w:szCs w:val="16"/>
    </w:rPr>
  </w:style>
  <w:style w:type="paragraph" w:styleId="CommentText">
    <w:name w:val="annotation text"/>
    <w:basedOn w:val="Normal"/>
    <w:link w:val="CommentTextChar"/>
    <w:uiPriority w:val="99"/>
    <w:semiHidden/>
    <w:unhideWhenUsed/>
    <w:rsid w:val="00A97982"/>
    <w:rPr>
      <w:sz w:val="20"/>
      <w:szCs w:val="20"/>
    </w:rPr>
  </w:style>
  <w:style w:type="character" w:customStyle="1" w:styleId="CommentTextChar">
    <w:name w:val="Comment Text Char"/>
    <w:basedOn w:val="DefaultParagraphFont"/>
    <w:link w:val="CommentText"/>
    <w:uiPriority w:val="99"/>
    <w:semiHidden/>
    <w:rsid w:val="00A9798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7982"/>
    <w:rPr>
      <w:b/>
      <w:bCs/>
    </w:rPr>
  </w:style>
  <w:style w:type="character" w:customStyle="1" w:styleId="CommentSubjectChar">
    <w:name w:val="Comment Subject Char"/>
    <w:basedOn w:val="CommentTextChar"/>
    <w:link w:val="CommentSubject"/>
    <w:uiPriority w:val="99"/>
    <w:semiHidden/>
    <w:rsid w:val="00A97982"/>
    <w:rPr>
      <w:rFonts w:ascii="Calibri" w:hAnsi="Calibri" w:cs="Times New Roman"/>
      <w:b/>
      <w:bCs/>
      <w:sz w:val="20"/>
      <w:szCs w:val="20"/>
    </w:rPr>
  </w:style>
  <w:style w:type="paragraph" w:styleId="BalloonText">
    <w:name w:val="Balloon Text"/>
    <w:basedOn w:val="Normal"/>
    <w:link w:val="BalloonTextChar"/>
    <w:uiPriority w:val="99"/>
    <w:semiHidden/>
    <w:unhideWhenUsed/>
    <w:rsid w:val="00A97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11025">
      <w:bodyDiv w:val="1"/>
      <w:marLeft w:val="0"/>
      <w:marRight w:val="0"/>
      <w:marTop w:val="0"/>
      <w:marBottom w:val="0"/>
      <w:divBdr>
        <w:top w:val="none" w:sz="0" w:space="0" w:color="auto"/>
        <w:left w:val="none" w:sz="0" w:space="0" w:color="auto"/>
        <w:bottom w:val="none" w:sz="0" w:space="0" w:color="auto"/>
        <w:right w:val="none" w:sz="0" w:space="0" w:color="auto"/>
      </w:divBdr>
    </w:div>
    <w:div w:id="1149594019">
      <w:bodyDiv w:val="1"/>
      <w:marLeft w:val="0"/>
      <w:marRight w:val="0"/>
      <w:marTop w:val="0"/>
      <w:marBottom w:val="0"/>
      <w:divBdr>
        <w:top w:val="none" w:sz="0" w:space="0" w:color="auto"/>
        <w:left w:val="none" w:sz="0" w:space="0" w:color="auto"/>
        <w:bottom w:val="none" w:sz="0" w:space="0" w:color="auto"/>
        <w:right w:val="none" w:sz="0" w:space="0" w:color="auto"/>
      </w:divBdr>
    </w:div>
    <w:div w:id="1748841186">
      <w:bodyDiv w:val="1"/>
      <w:marLeft w:val="0"/>
      <w:marRight w:val="0"/>
      <w:marTop w:val="0"/>
      <w:marBottom w:val="0"/>
      <w:divBdr>
        <w:top w:val="none" w:sz="0" w:space="0" w:color="auto"/>
        <w:left w:val="none" w:sz="0" w:space="0" w:color="auto"/>
        <w:bottom w:val="none" w:sz="0" w:space="0" w:color="auto"/>
        <w:right w:val="none" w:sz="0" w:space="0" w:color="auto"/>
      </w:divBdr>
      <w:divsChild>
        <w:div w:id="1658192555">
          <w:marLeft w:val="0"/>
          <w:marRight w:val="0"/>
          <w:marTop w:val="0"/>
          <w:marBottom w:val="0"/>
          <w:divBdr>
            <w:top w:val="none" w:sz="0" w:space="0" w:color="auto"/>
            <w:left w:val="none" w:sz="0" w:space="0" w:color="auto"/>
            <w:bottom w:val="none" w:sz="0" w:space="0" w:color="auto"/>
            <w:right w:val="none" w:sz="0" w:space="0" w:color="auto"/>
          </w:divBdr>
          <w:divsChild>
            <w:div w:id="252976710">
              <w:marLeft w:val="0"/>
              <w:marRight w:val="0"/>
              <w:marTop w:val="0"/>
              <w:marBottom w:val="0"/>
              <w:divBdr>
                <w:top w:val="none" w:sz="0" w:space="0" w:color="auto"/>
                <w:left w:val="single" w:sz="6" w:space="0" w:color="E2E2E2"/>
                <w:bottom w:val="none" w:sz="0" w:space="0" w:color="auto"/>
                <w:right w:val="single" w:sz="6" w:space="0" w:color="E2E2E2"/>
              </w:divBdr>
              <w:divsChild>
                <w:div w:id="1044450282">
                  <w:marLeft w:val="0"/>
                  <w:marRight w:val="0"/>
                  <w:marTop w:val="0"/>
                  <w:marBottom w:val="0"/>
                  <w:divBdr>
                    <w:top w:val="none" w:sz="0" w:space="0" w:color="auto"/>
                    <w:left w:val="none" w:sz="0" w:space="0" w:color="auto"/>
                    <w:bottom w:val="none" w:sz="0" w:space="0" w:color="auto"/>
                    <w:right w:val="none" w:sz="0" w:space="0" w:color="auto"/>
                  </w:divBdr>
                  <w:divsChild>
                    <w:div w:id="15369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43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Emily - BLS</dc:creator>
  <cp:keywords/>
  <dc:description/>
  <cp:lastModifiedBy>SYSTEM</cp:lastModifiedBy>
  <cp:revision>2</cp:revision>
  <dcterms:created xsi:type="dcterms:W3CDTF">2019-05-28T17:27:00Z</dcterms:created>
  <dcterms:modified xsi:type="dcterms:W3CDTF">2019-05-28T17:27:00Z</dcterms:modified>
</cp:coreProperties>
</file>