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42" w:rsidRPr="0086545A" w:rsidRDefault="00F73DE8" w:rsidP="00364CDC">
      <w:pPr>
        <w:jc w:val="center"/>
        <w:rPr>
          <w:b/>
        </w:rPr>
      </w:pPr>
      <w:bookmarkStart w:id="0" w:name="_GoBack"/>
      <w:bookmarkEnd w:id="0"/>
      <w:r w:rsidRPr="0086545A">
        <w:rPr>
          <w:b/>
        </w:rPr>
        <w:t>Supporting Statement for Paperwork Reduction Act Submissions</w:t>
      </w:r>
    </w:p>
    <w:p w:rsidR="00A4604C" w:rsidRPr="0086545A" w:rsidRDefault="000157AD" w:rsidP="00A84F9C">
      <w:pPr>
        <w:ind w:left="1440" w:firstLine="720"/>
        <w:rPr>
          <w:rFonts w:cs="Shruti"/>
          <w:b/>
        </w:rPr>
      </w:pPr>
      <w:r w:rsidRPr="0086545A">
        <w:rPr>
          <w:rFonts w:cs="Shruti"/>
          <w:b/>
        </w:rPr>
        <w:t>Application for Registration</w:t>
      </w:r>
      <w:r w:rsidR="00E73691">
        <w:rPr>
          <w:rFonts w:cs="Shruti"/>
          <w:b/>
        </w:rPr>
        <w:t xml:space="preserve"> (DEA Form 224</w:t>
      </w:r>
      <w:r w:rsidR="00A4604C" w:rsidRPr="0086545A">
        <w:rPr>
          <w:rFonts w:cs="Shruti"/>
          <w:b/>
        </w:rPr>
        <w:t>)</w:t>
      </w:r>
    </w:p>
    <w:p w:rsidR="00A4604C" w:rsidRPr="0086545A" w:rsidRDefault="00275719" w:rsidP="00275719">
      <w:pPr>
        <w:jc w:val="center"/>
        <w:rPr>
          <w:rFonts w:cs="Shruti"/>
          <w:b/>
        </w:rPr>
      </w:pPr>
      <w:r w:rsidRPr="0086545A">
        <w:rPr>
          <w:rFonts w:cs="Shruti"/>
          <w:b/>
        </w:rPr>
        <w:t xml:space="preserve"> Application for Registration Renewal</w:t>
      </w:r>
      <w:r w:rsidR="00E73691">
        <w:rPr>
          <w:rFonts w:cs="Shruti"/>
          <w:b/>
        </w:rPr>
        <w:t xml:space="preserve"> (DEA Form 224</w:t>
      </w:r>
      <w:r w:rsidR="00C75DBD">
        <w:rPr>
          <w:rFonts w:cs="Shruti"/>
          <w:b/>
        </w:rPr>
        <w:t>A</w:t>
      </w:r>
      <w:r w:rsidR="00A4604C" w:rsidRPr="0086545A">
        <w:rPr>
          <w:rFonts w:cs="Shruti"/>
          <w:b/>
        </w:rPr>
        <w:t>)</w:t>
      </w:r>
    </w:p>
    <w:p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00E73691">
        <w:rPr>
          <w:rFonts w:cs="Shruti"/>
          <w:b/>
        </w:rPr>
        <w:t>1117-0014</w:t>
      </w: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7-001</w:t>
      </w:r>
      <w:r w:rsidR="00E73691">
        <w:t>4</w:t>
      </w:r>
      <w:r>
        <w:t>, Application for Registration (DEA Form 22</w:t>
      </w:r>
      <w:r w:rsidR="00E73691">
        <w:t>4</w:t>
      </w:r>
      <w:r>
        <w:t>)</w:t>
      </w:r>
      <w:r w:rsidR="00774BF7">
        <w:t xml:space="preserve"> and</w:t>
      </w:r>
      <w:r>
        <w:t xml:space="preserve"> Application for Registration Renewal (DEA Form 22</w:t>
      </w:r>
      <w:r w:rsidR="00E73691">
        <w:t>4</w:t>
      </w:r>
      <w:r w:rsidR="00D17397">
        <w:t>A</w:t>
      </w:r>
      <w:r w:rsidR="008737A8">
        <w:t>)</w:t>
      </w:r>
      <w:r w:rsidR="00C73CB2">
        <w:t>.</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5038D3" w:rsidP="005038D3">
      <w:r>
        <w:t xml:space="preserve">1. </w:t>
      </w:r>
      <w:r w:rsidR="00F73DE8" w:rsidRPr="0086545A">
        <w:rPr>
          <w:u w:val="single"/>
        </w:rPr>
        <w:t>Necessity of Information</w:t>
      </w:r>
      <w:r w:rsidR="00886498" w:rsidRPr="0086545A">
        <w:rPr>
          <w:u w:val="single"/>
        </w:rPr>
        <w:t>:</w:t>
      </w:r>
      <w:r w:rsidR="00886498">
        <w:t xml:space="preserve"> </w:t>
      </w:r>
    </w:p>
    <w:p w:rsidR="00E76F31" w:rsidRDefault="00E76F31" w:rsidP="005038D3"/>
    <w:p w:rsidR="0033171D" w:rsidRDefault="00A60B9B" w:rsidP="00393631">
      <w:r>
        <w:t xml:space="preserve">The DEA implements and enforces titles II and III of the Comprehensive Drug Abuse Prevention and Control Act of 1970, Pub. L. No. 91-513, 84 Stat. 1242 (1970), as amended (the “CSA”).  21 U.S.C. 801–971.  </w:t>
      </w:r>
      <w:r w:rsidR="00E35224">
        <w:t>Through the enactment of the CSA and its amendments, Congress established a closed system of distribution making it unlawful to handle any controlled substance except in a manner authorized by the CSA.  In order to maintain this closed system of distribution, t</w:t>
      </w:r>
      <w:r w:rsidR="00B5274C">
        <w:t xml:space="preserve">he </w:t>
      </w:r>
      <w:r w:rsidR="002E4F17">
        <w:t>CSA</w:t>
      </w:r>
      <w:r w:rsidR="00E35224">
        <w:t xml:space="preserve"> </w:t>
      </w:r>
      <w:r w:rsidR="0000292D">
        <w:t xml:space="preserve">generally </w:t>
      </w:r>
      <w:r w:rsidR="00B5274C">
        <w:t xml:space="preserve">requires all </w:t>
      </w:r>
      <w:r w:rsidR="0092785D">
        <w:t>persons</w:t>
      </w:r>
      <w:r w:rsidR="00B5274C">
        <w:t xml:space="preserve"> </w:t>
      </w:r>
      <w:r w:rsidR="0000292D">
        <w:t xml:space="preserve">who </w:t>
      </w:r>
      <w:r w:rsidR="00E35224">
        <w:t>handle</w:t>
      </w:r>
      <w:r w:rsidR="00574861">
        <w:t xml:space="preserve"> controlled substance</w:t>
      </w:r>
      <w:r w:rsidR="00E35224">
        <w:t>s</w:t>
      </w:r>
      <w:r w:rsidR="009D03DE">
        <w:t xml:space="preserve"> to obtain a registration issued by the Attorney General</w:t>
      </w:r>
      <w:r w:rsidR="005C713B">
        <w:t>.</w:t>
      </w:r>
      <w:r w:rsidR="00FA1C3F">
        <w:t xml:space="preserve"> </w:t>
      </w:r>
      <w:r w:rsidR="00B70895">
        <w:t xml:space="preserve"> </w:t>
      </w:r>
      <w:r>
        <w:t>21 U.S.C. 822, 823</w:t>
      </w:r>
      <w:r w:rsidR="007869DE">
        <w:t xml:space="preserve">, </w:t>
      </w:r>
      <w:r w:rsidR="00E35224">
        <w:t xml:space="preserve">957, </w:t>
      </w:r>
      <w:r w:rsidR="003B28D7">
        <w:t xml:space="preserve">and </w:t>
      </w:r>
      <w:r w:rsidR="00E35224">
        <w:t>958.</w:t>
      </w:r>
      <w:r w:rsidR="005C713B">
        <w:t xml:space="preserve"> </w:t>
      </w:r>
      <w:r w:rsidR="00C75DBD">
        <w:t xml:space="preserve">    </w:t>
      </w:r>
    </w:p>
    <w:p w:rsidR="00505C03" w:rsidRDefault="00505C03" w:rsidP="005038D3"/>
    <w:p w:rsidR="00193A2A" w:rsidRDefault="00773274" w:rsidP="005038D3">
      <w:r>
        <w:t>A</w:t>
      </w:r>
      <w:r w:rsidR="00767E30">
        <w:t xml:space="preserve"> practitioner </w:t>
      </w:r>
      <w:r w:rsidR="00BB50C7">
        <w:t xml:space="preserve">(a person licensed, registered, or otherwise permitted, by the United States or the jurisdiction in which he/she practices or does research, to distribute, dispense, conduct research with respect to, administer, or use in teaching or chemical analysis, a controlled substance in the course of professional practice or research) </w:t>
      </w:r>
      <w:r>
        <w:t>who is required</w:t>
      </w:r>
      <w:r w:rsidR="0027139C">
        <w:t xml:space="preserve"> to be registered</w:t>
      </w:r>
      <w:r>
        <w:t xml:space="preserve">, but is not </w:t>
      </w:r>
      <w:r w:rsidR="00425DB3">
        <w:t xml:space="preserve">so </w:t>
      </w:r>
      <w:r>
        <w:t xml:space="preserve">registered, </w:t>
      </w:r>
      <w:r w:rsidR="00486493">
        <w:t xml:space="preserve">may </w:t>
      </w:r>
      <w:r>
        <w:t>make an application for registration</w:t>
      </w:r>
      <w:r w:rsidR="008B1B78">
        <w:t xml:space="preserve">.  </w:t>
      </w:r>
      <w:r w:rsidR="0092529A">
        <w:t xml:space="preserve">21 CFR 1301.13.  </w:t>
      </w:r>
      <w:r w:rsidR="00767E30">
        <w:t>A</w:t>
      </w:r>
      <w:r w:rsidR="00543A1B">
        <w:t>dditionally, a</w:t>
      </w:r>
      <w:r w:rsidR="00767E30">
        <w:t xml:space="preserve">ny registered practitioner may apply to be reregistered not more than 60 days before the expiration date of his or her registration.  </w:t>
      </w:r>
      <w:r w:rsidR="00042B4B">
        <w:t>21 CFR 1301.13</w:t>
      </w:r>
      <w:r w:rsidR="00767E30">
        <w:t xml:space="preserve">.  </w:t>
      </w:r>
      <w:r w:rsidR="0095534B">
        <w:t>Registrants are permitted to handle controlled substances to the extent authorized by their registration and must comply with the requirements associated with their registration.  21 U.S.C. 822(b), 958(g).  It is unlawful for any person to knowingly or intentionally handle a controlled substance except as authorized by the CSA.</w:t>
      </w:r>
      <w:r w:rsidR="00A60D56">
        <w:t xml:space="preserve">  21 U.S.C. 841(a).</w:t>
      </w:r>
    </w:p>
    <w:p w:rsidR="00A4604C" w:rsidRDefault="00A4604C" w:rsidP="005038D3"/>
    <w:p w:rsidR="00E76F31" w:rsidRDefault="005D6B8B" w:rsidP="00364CDC">
      <w:r>
        <w:t xml:space="preserve">2. </w:t>
      </w:r>
      <w:r w:rsidRPr="0086545A">
        <w:rPr>
          <w:u w:val="single"/>
        </w:rPr>
        <w:t>Needs and Uses</w:t>
      </w:r>
      <w:r w:rsidR="00886498" w:rsidRPr="0086545A">
        <w:rPr>
          <w:u w:val="single"/>
        </w:rPr>
        <w:t>:</w:t>
      </w:r>
      <w:r w:rsidR="00886498">
        <w:t xml:space="preserve"> </w:t>
      </w:r>
    </w:p>
    <w:p w:rsidR="00E76F31" w:rsidRDefault="00E76F31" w:rsidP="00364CDC"/>
    <w:p w:rsidR="005D6B8B" w:rsidRDefault="00B5274C" w:rsidP="00364CDC">
      <w:r>
        <w:t>DEA Form 22</w:t>
      </w:r>
      <w:r w:rsidR="00E73691">
        <w:t>4</w:t>
      </w:r>
      <w:r>
        <w:t xml:space="preserve"> is utilized by </w:t>
      </w:r>
      <w:r w:rsidR="000B3DE6">
        <w:t xml:space="preserve">various </w:t>
      </w:r>
      <w:r w:rsidR="003B28D7">
        <w:t>practitioners</w:t>
      </w:r>
      <w:r w:rsidR="004A3F1F">
        <w:t xml:space="preserve"> </w:t>
      </w:r>
      <w:r w:rsidR="003B28D7">
        <w:t>(</w:t>
      </w:r>
      <w:r w:rsidR="000B3DE6">
        <w:t>e.g.</w:t>
      </w:r>
      <w:r w:rsidR="003B28D7">
        <w:t xml:space="preserve">, </w:t>
      </w:r>
      <w:r w:rsidR="000B3DE6">
        <w:t xml:space="preserve">physicians, </w:t>
      </w:r>
      <w:r w:rsidR="003B28D7">
        <w:t xml:space="preserve">hospitals/clinics, retail pharmacies, central fill pharmacies, and teaching institutions) </w:t>
      </w:r>
      <w:r>
        <w:t>seeking to become registered to</w:t>
      </w:r>
      <w:r w:rsidR="001A1136">
        <w:t xml:space="preserve"> </w:t>
      </w:r>
      <w:r w:rsidR="005B0E21" w:rsidRPr="00F117FD">
        <w:t>dispense</w:t>
      </w:r>
      <w:r w:rsidR="008C7D63">
        <w:t xml:space="preserve"> </w:t>
      </w:r>
      <w:r w:rsidR="003B28D7">
        <w:t xml:space="preserve">controlled substances </w:t>
      </w:r>
      <w:r w:rsidR="008C7D63">
        <w:t>(includ</w:t>
      </w:r>
      <w:r w:rsidR="003B28D7">
        <w:t>ing through administ</w:t>
      </w:r>
      <w:r w:rsidR="00981FC3">
        <w:t>e</w:t>
      </w:r>
      <w:r w:rsidR="003B28D7">
        <w:t>r</w:t>
      </w:r>
      <w:r w:rsidR="00981FC3">
        <w:t>ing</w:t>
      </w:r>
      <w:r w:rsidR="003B28D7">
        <w:t xml:space="preserve"> and prescribing).  21 CFR 1301.13</w:t>
      </w:r>
      <w:r w:rsidR="00152326">
        <w:t xml:space="preserve">(a) and </w:t>
      </w:r>
      <w:r w:rsidR="003B28D7">
        <w:t>(e)</w:t>
      </w:r>
      <w:r w:rsidR="000B3DE6">
        <w:t>(iv)</w:t>
      </w:r>
      <w:r w:rsidR="003B28D7">
        <w:t xml:space="preserve">.  </w:t>
      </w:r>
      <w:r>
        <w:t>DEA Form 22</w:t>
      </w:r>
      <w:r w:rsidR="00412DE6">
        <w:t>4</w:t>
      </w:r>
      <w:r w:rsidR="00D17397">
        <w:t>A</w:t>
      </w:r>
      <w:r>
        <w:t xml:space="preserve"> is utilized for renewal</w:t>
      </w:r>
      <w:r w:rsidR="002E55EE">
        <w:t>s</w:t>
      </w:r>
      <w:r>
        <w:t xml:space="preserve"> of such registrations on a </w:t>
      </w:r>
      <w:r w:rsidR="00CB59BE">
        <w:t>triennial</w:t>
      </w:r>
      <w:r w:rsidR="00486493">
        <w:t xml:space="preserve"> </w:t>
      </w:r>
      <w:r>
        <w:t xml:space="preserve">basis.  </w:t>
      </w:r>
      <w:r w:rsidR="0092529A">
        <w:t>21 CFR 1301.13(d)</w:t>
      </w:r>
      <w:r w:rsidR="00152326">
        <w:t xml:space="preserve"> and (e)(iv)</w:t>
      </w:r>
      <w:r w:rsidR="0092529A">
        <w:t xml:space="preserve">.  </w:t>
      </w:r>
      <w:r w:rsidR="00486493">
        <w:t>T</w:t>
      </w:r>
      <w:r>
        <w:t xml:space="preserve">he information submitted </w:t>
      </w:r>
      <w:r w:rsidR="004D07BA">
        <w:t xml:space="preserve">on these forms </w:t>
      </w:r>
      <w:r>
        <w:t>is used to identify persons s</w:t>
      </w:r>
      <w:r w:rsidR="00486493">
        <w:t>eeking registration</w:t>
      </w:r>
      <w:r w:rsidR="000462A3">
        <w:t xml:space="preserve"> or </w:t>
      </w:r>
      <w:r w:rsidR="007869DE">
        <w:t xml:space="preserve">renewal of </w:t>
      </w:r>
      <w:r w:rsidR="00544A7F">
        <w:t>registration</w:t>
      </w:r>
      <w:r w:rsidR="000462A3">
        <w:t xml:space="preserve"> </w:t>
      </w:r>
      <w:r>
        <w:t xml:space="preserve">and </w:t>
      </w:r>
      <w:r w:rsidR="000462A3">
        <w:t xml:space="preserve">to </w:t>
      </w:r>
      <w:r>
        <w:t>provide information</w:t>
      </w:r>
      <w:r w:rsidR="00EA598D">
        <w:t xml:space="preserve"> so that the DEA can</w:t>
      </w:r>
      <w:r>
        <w:t xml:space="preserve"> determine whether </w:t>
      </w:r>
      <w:r>
        <w:lastRenderedPageBreak/>
        <w:t xml:space="preserve">registration would be </w:t>
      </w:r>
      <w:r w:rsidR="00EA598D">
        <w:t xml:space="preserve">in accordance with the CSA. </w:t>
      </w:r>
      <w:r w:rsidR="001E6B20">
        <w:t xml:space="preserve"> </w:t>
      </w:r>
      <w:r w:rsidR="00EA598D">
        <w:t>21 U.S.C. 823</w:t>
      </w:r>
      <w:r w:rsidR="00A64ABA">
        <w:t xml:space="preserve"> and</w:t>
      </w:r>
      <w:r w:rsidR="00EA598D">
        <w:t xml:space="preserve"> 824</w:t>
      </w:r>
      <w:r w:rsidR="001E6B20">
        <w:t>; 21 CFR 1301.</w:t>
      </w:r>
      <w:r w:rsidR="0066353E">
        <w:t>31, 1301.37</w:t>
      </w:r>
      <w:r w:rsidR="001E6B20">
        <w:t>.</w:t>
      </w:r>
      <w:r w:rsidR="008E18A3">
        <w:t xml:space="preserve">  </w:t>
      </w:r>
      <w:r w:rsidR="00B55A48">
        <w:t xml:space="preserve"> </w:t>
      </w:r>
      <w:r w:rsidR="00AB0C58">
        <w:t xml:space="preserve">  </w:t>
      </w:r>
      <w:r w:rsidR="008E18A3">
        <w:t xml:space="preserve">  </w:t>
      </w:r>
    </w:p>
    <w:p w:rsidR="00703A7C" w:rsidRDefault="00703A7C" w:rsidP="00364CDC"/>
    <w:p w:rsidR="00E76F31" w:rsidRDefault="004150F8" w:rsidP="00364CDC">
      <w:r>
        <w:t>3.</w:t>
      </w:r>
      <w:r w:rsidR="00406453" w:rsidRPr="00406453">
        <w:t xml:space="preserve"> </w:t>
      </w:r>
      <w:r w:rsidR="00406453" w:rsidRPr="0086545A">
        <w:rPr>
          <w:u w:val="single"/>
        </w:rPr>
        <w:t>Use of</w:t>
      </w:r>
      <w:r w:rsidR="00A84F9C">
        <w:rPr>
          <w:u w:val="single"/>
        </w:rPr>
        <w:t xml:space="preserve"> Information</w:t>
      </w:r>
      <w:r w:rsidR="00406453" w:rsidRPr="0086545A">
        <w:rPr>
          <w:u w:val="single"/>
        </w:rPr>
        <w:t xml:space="preserve"> Technology</w:t>
      </w:r>
      <w:r w:rsidR="00886498" w:rsidRPr="0086545A">
        <w:rPr>
          <w:u w:val="single"/>
        </w:rPr>
        <w:t>:</w:t>
      </w:r>
      <w:r w:rsidR="00886498">
        <w:t xml:space="preserve"> </w:t>
      </w:r>
    </w:p>
    <w:p w:rsidR="00E76F31" w:rsidRDefault="00E76F31" w:rsidP="00364CDC"/>
    <w:p w:rsidR="000157AD" w:rsidRDefault="006C47B2" w:rsidP="00364CDC">
      <w:r>
        <w:t xml:space="preserve">The </w:t>
      </w:r>
      <w:r w:rsidR="00B5274C">
        <w:t xml:space="preserve">DEA permits </w:t>
      </w:r>
      <w:r w:rsidR="004E36D0">
        <w:t xml:space="preserve">online </w:t>
      </w:r>
      <w:r w:rsidR="00B5274C">
        <w:t>registration</w:t>
      </w:r>
      <w:r w:rsidR="00026489">
        <w:t xml:space="preserve"> and </w:t>
      </w:r>
      <w:r w:rsidR="00231982">
        <w:t>renewal</w:t>
      </w:r>
      <w:r w:rsidR="00930F96">
        <w:t xml:space="preserve"> of registration</w:t>
      </w:r>
      <w:r w:rsidR="00026489">
        <w:t xml:space="preserve"> </w:t>
      </w:r>
      <w:r w:rsidR="00187052">
        <w:t xml:space="preserve">through the secure network application on </w:t>
      </w:r>
      <w:r w:rsidR="00B5274C">
        <w:t>the DEA</w:t>
      </w:r>
      <w:r w:rsidR="00046C80">
        <w:t xml:space="preserve"> Office of</w:t>
      </w:r>
      <w:r w:rsidR="00B5274C">
        <w:t xml:space="preserve"> Diversion Control </w:t>
      </w:r>
      <w:r w:rsidR="00AA7841">
        <w:t xml:space="preserve">Web </w:t>
      </w:r>
      <w:r w:rsidR="00B5274C">
        <w:t>site (</w:t>
      </w:r>
      <w:r w:rsidR="00BC5231" w:rsidRPr="00B70895">
        <w:rPr>
          <w:rStyle w:val="Hyperlink"/>
          <w:i/>
          <w:color w:val="auto"/>
          <w:u w:val="none"/>
        </w:rPr>
        <w:t>http://www.deadiversion.usdoj.gov</w:t>
      </w:r>
      <w:r w:rsidR="00B5274C">
        <w:t>).</w:t>
      </w:r>
      <w:r w:rsidR="00B7364A">
        <w:t xml:space="preserve"> </w:t>
      </w:r>
      <w:r w:rsidR="00B5274C">
        <w:t xml:space="preserve"> Applicants </w:t>
      </w:r>
      <w:r w:rsidR="00E719E1">
        <w:t xml:space="preserve">may </w:t>
      </w:r>
      <w:r w:rsidR="00B5274C">
        <w:t>complete</w:t>
      </w:r>
      <w:r w:rsidR="004E36D0">
        <w:t xml:space="preserve"> and submit</w:t>
      </w:r>
      <w:r w:rsidR="00B5274C">
        <w:t xml:space="preserve"> </w:t>
      </w:r>
      <w:r w:rsidR="00097D46">
        <w:t>DEA Forms 224</w:t>
      </w:r>
      <w:r w:rsidR="004C4112">
        <w:t xml:space="preserve"> and </w:t>
      </w:r>
      <w:r w:rsidR="00253BBE">
        <w:t>224A</w:t>
      </w:r>
      <w:r w:rsidR="004C4112">
        <w:t xml:space="preserve"> </w:t>
      </w:r>
      <w:r w:rsidR="0049560E">
        <w:t>online</w:t>
      </w:r>
      <w:r w:rsidR="00B5274C">
        <w:t>, along with credit card payment.</w:t>
      </w:r>
      <w:r w:rsidR="0058315F">
        <w:t xml:space="preserve">  </w:t>
      </w:r>
      <w:r w:rsidR="00DF4A1B">
        <w:t>Approximately 89.7% (479,269 of 534,</w:t>
      </w:r>
      <w:r w:rsidR="004C4112">
        <w:t>082</w:t>
      </w:r>
      <w:r w:rsidR="00DF4A1B">
        <w:t>)</w:t>
      </w:r>
      <w:r w:rsidR="00767092">
        <w:t xml:space="preserve"> of</w:t>
      </w:r>
      <w:r w:rsidR="00DF4A1B">
        <w:t xml:space="preserve"> applications for initial registration and renewal registration </w:t>
      </w:r>
      <w:r w:rsidR="00187052">
        <w:t xml:space="preserve">for </w:t>
      </w:r>
      <w:r w:rsidR="00EE3B6F">
        <w:t xml:space="preserve">applicable practitioners </w:t>
      </w:r>
      <w:r w:rsidR="00DF4A1B">
        <w:t xml:space="preserve">were submitted online during </w:t>
      </w:r>
      <w:r w:rsidR="00543A1B">
        <w:t>calendar year</w:t>
      </w:r>
      <w:r w:rsidR="00DF4A1B">
        <w:t xml:space="preserve"> 2014.</w:t>
      </w:r>
      <w:r w:rsidR="0058315F">
        <w:t xml:space="preserve">  </w:t>
      </w:r>
    </w:p>
    <w:p w:rsidR="00412DE6" w:rsidRDefault="00412DE6" w:rsidP="00364CDC"/>
    <w:p w:rsidR="00E76F31" w:rsidRDefault="00A7508F" w:rsidP="00364CDC">
      <w:pPr>
        <w:rPr>
          <w:color w:val="000000"/>
        </w:rPr>
      </w:pPr>
      <w:r>
        <w:rPr>
          <w:color w:val="000000"/>
        </w:rPr>
        <w:t xml:space="preserve">4.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A7508F" w:rsidRDefault="00362449" w:rsidP="00364CDC">
      <w:r>
        <w:t>The DEA has made efforts to identify and prevent duplication of the collection of information.  The existing DEA Form</w:t>
      </w:r>
      <w:r w:rsidR="00E719E1">
        <w:t>s</w:t>
      </w:r>
      <w:r>
        <w:t xml:space="preserve"> </w:t>
      </w:r>
      <w:r w:rsidR="00351EB0">
        <w:t>224</w:t>
      </w:r>
      <w:r w:rsidR="004C4112">
        <w:t xml:space="preserve"> and </w:t>
      </w:r>
      <w:r w:rsidR="00351EB0">
        <w:t>224</w:t>
      </w:r>
      <w:r w:rsidR="005E030C">
        <w:t>A</w:t>
      </w:r>
      <w:r w:rsidR="00351EB0">
        <w:t xml:space="preserve"> </w:t>
      </w:r>
      <w:r>
        <w:t>are not duplicative</w:t>
      </w:r>
      <w:r w:rsidR="00046C80">
        <w:t xml:space="preserve"> of any other DEA forms</w:t>
      </w:r>
      <w:r>
        <w:t xml:space="preserve">.  The collection of this information is unique to the DEA.   </w:t>
      </w:r>
    </w:p>
    <w:p w:rsidR="00886498" w:rsidRDefault="00886498" w:rsidP="00364CDC"/>
    <w:p w:rsidR="00E76F31" w:rsidRDefault="00A7508F" w:rsidP="00364CDC">
      <w:r>
        <w:t xml:space="preserve">5.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E76F31" w:rsidRDefault="00E76F31" w:rsidP="00364CDC"/>
    <w:p w:rsidR="00A7508F" w:rsidRDefault="00362449" w:rsidP="00364CDC">
      <w:r>
        <w:t>This is a routine renewal of DEA Form</w:t>
      </w:r>
      <w:r w:rsidR="00E719E1">
        <w:t>s</w:t>
      </w:r>
      <w:r>
        <w:t xml:space="preserve"> </w:t>
      </w:r>
      <w:r w:rsidR="00351EB0">
        <w:t>224</w:t>
      </w:r>
      <w:r w:rsidR="004C4112">
        <w:t xml:space="preserve"> and </w:t>
      </w:r>
      <w:r w:rsidR="00351EB0">
        <w:t>224</w:t>
      </w:r>
      <w:r w:rsidR="005E030C">
        <w:t>A</w:t>
      </w:r>
      <w:r>
        <w:t>.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RDefault="00886498" w:rsidP="00364CDC"/>
    <w:p w:rsidR="00E76F31" w:rsidRDefault="00A7508F" w:rsidP="00364CDC">
      <w:r>
        <w:t xml:space="preserve">6. </w:t>
      </w:r>
      <w:r w:rsidRPr="0086545A">
        <w:rPr>
          <w:u w:val="single"/>
        </w:rPr>
        <w:t>Consequences of Less Frequent Collection</w:t>
      </w:r>
      <w:r w:rsidR="00886498" w:rsidRPr="0086545A">
        <w:rPr>
          <w:u w:val="single"/>
        </w:rPr>
        <w:t>:</w:t>
      </w:r>
      <w:r w:rsidR="00886498">
        <w:t xml:space="preserve"> </w:t>
      </w:r>
    </w:p>
    <w:p w:rsidR="00E76F31" w:rsidRDefault="00E76F31" w:rsidP="00364CDC"/>
    <w:p w:rsidR="00B5274C" w:rsidRDefault="00556A49" w:rsidP="00596CD8">
      <w:r>
        <w:t xml:space="preserve">By law, </w:t>
      </w:r>
      <w:r w:rsidR="006E7516">
        <w:t xml:space="preserve">this information </w:t>
      </w:r>
      <w:r>
        <w:t xml:space="preserve">must be collected at least every three years.  </w:t>
      </w:r>
      <w:r w:rsidR="00824B77">
        <w:t>The CSA states that</w:t>
      </w:r>
      <w:r w:rsidR="00187052">
        <w:t>:  “Every person who dispenses, or who proposes to dispense, any controlled substance, shall obtain from the Attorney General a registration issued in accordance with the rules and regulations promulgated by him.  The Attorney General shall, by regulation, determine the period fo</w:t>
      </w:r>
      <w:r w:rsidR="00DC5AFF">
        <w:t>r</w:t>
      </w:r>
      <w:r w:rsidR="00187052">
        <w:t xml:space="preserve"> such registrations.  In no event, however, shall such registrations be issued for less than one year nor for more than three years.”  21 U.S.C. 822(a)(2).</w:t>
      </w:r>
      <w:r w:rsidR="00824B77">
        <w:t xml:space="preserve"> </w:t>
      </w:r>
    </w:p>
    <w:p w:rsidR="00923609" w:rsidRDefault="00923609" w:rsidP="00364CDC"/>
    <w:p w:rsidR="00E76F31" w:rsidRDefault="00A7508F" w:rsidP="00364CDC">
      <w:r>
        <w:t xml:space="preserve">7. </w:t>
      </w:r>
      <w:r w:rsidRPr="0086545A">
        <w:rPr>
          <w:u w:val="single"/>
        </w:rPr>
        <w:t>Special Circumstances Influencing Collection</w:t>
      </w:r>
      <w:r w:rsidR="00886498" w:rsidRPr="0086545A">
        <w:rPr>
          <w:u w:val="single"/>
        </w:rPr>
        <w:t>:</w:t>
      </w:r>
      <w:r w:rsidR="00886498">
        <w:t xml:space="preserve"> </w:t>
      </w:r>
    </w:p>
    <w:p w:rsidR="00E76F31" w:rsidRDefault="00E76F31" w:rsidP="00364CDC"/>
    <w:p w:rsidR="00A7508F" w:rsidRDefault="00B5274C" w:rsidP="00364CDC">
      <w:r>
        <w:t>There are no special circumstances applicable to this information collection.</w:t>
      </w:r>
      <w:r w:rsidR="00EA0412">
        <w:t xml:space="preserve">  </w:t>
      </w:r>
    </w:p>
    <w:p w:rsidR="000F3874" w:rsidRDefault="000F3874" w:rsidP="00364CDC"/>
    <w:p w:rsidR="00E76F31" w:rsidRDefault="00EA0412" w:rsidP="00364CDC">
      <w:r>
        <w:t xml:space="preserve">8. </w:t>
      </w:r>
      <w:r w:rsidR="00A84F9C" w:rsidRPr="0086545A">
        <w:rPr>
          <w:u w:val="single"/>
        </w:rPr>
        <w:t>Consultation with persons outside the Agency:</w:t>
      </w:r>
      <w:r w:rsidR="00A84F9C">
        <w:t xml:space="preserve"> </w:t>
      </w:r>
    </w:p>
    <w:p w:rsidR="00E76F31" w:rsidRDefault="00E76F31" w:rsidP="00364CDC"/>
    <w:p w:rsidR="00E91224" w:rsidRDefault="00015843" w:rsidP="00455755">
      <w:r>
        <w:t>Public comment was solicited in the 60-day Federal Register Notice o</w:t>
      </w:r>
      <w:r w:rsidR="005924C8">
        <w:t xml:space="preserve">f Information Collection, </w:t>
      </w:r>
      <w:r w:rsidR="00AB2327">
        <w:t>83</w:t>
      </w:r>
      <w:r w:rsidR="00AB2327" w:rsidRPr="00AB2327">
        <w:t xml:space="preserve"> FR</w:t>
      </w:r>
      <w:r w:rsidR="00AB2327">
        <w:t xml:space="preserve"> 64367</w:t>
      </w:r>
      <w:r w:rsidR="005924C8">
        <w:t xml:space="preserve">, published </w:t>
      </w:r>
      <w:r w:rsidR="00AB2327">
        <w:t>December 14</w:t>
      </w:r>
      <w:r w:rsidR="00A838A0" w:rsidRPr="00AB2327">
        <w:t>, 201</w:t>
      </w:r>
      <w:r w:rsidR="00AB2327">
        <w:t>8</w:t>
      </w:r>
      <w:r>
        <w:t xml:space="preserve"> and the 30-day Federal Register Notice of Information Collection, </w:t>
      </w:r>
      <w:r w:rsidR="00AB2327" w:rsidRPr="00AB2327">
        <w:t>84 FR</w:t>
      </w:r>
      <w:r w:rsidR="00AB2327">
        <w:t xml:space="preserve"> 5721</w:t>
      </w:r>
      <w:r w:rsidR="005C291B">
        <w:t xml:space="preserve">, </w:t>
      </w:r>
      <w:r>
        <w:t xml:space="preserve">published </w:t>
      </w:r>
      <w:r w:rsidR="00AB2327">
        <w:t>February 22</w:t>
      </w:r>
      <w:r w:rsidR="005C291B" w:rsidRPr="00AB2327">
        <w:t>, 201</w:t>
      </w:r>
      <w:r w:rsidR="00AB2327">
        <w:t>9</w:t>
      </w:r>
      <w:r>
        <w:t>.  The DEA did not receive any comments concerning this collection.</w:t>
      </w:r>
    </w:p>
    <w:p w:rsidR="00015843" w:rsidRDefault="00015843" w:rsidP="00455755"/>
    <w:p w:rsidR="00015843" w:rsidRDefault="00015843" w:rsidP="00455755">
      <w:r>
        <w:lastRenderedPageBreak/>
        <w:t xml:space="preserve">The DEA meets regularly with affected industry to discuss policies, programs, and regulations.  These meetings provide an open forum to discuss matters of mutual concern with representatives of those entities from whom the information is obtained.  </w:t>
      </w:r>
    </w:p>
    <w:p w:rsidR="00015843" w:rsidRDefault="00015843" w:rsidP="00455755"/>
    <w:p w:rsidR="00E76F31" w:rsidRDefault="00533C25" w:rsidP="00364CDC">
      <w:r>
        <w:t xml:space="preserve">9.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t xml:space="preserve">10. </w:t>
      </w:r>
      <w:r w:rsidRPr="0086545A">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Pr="0086545A">
        <w:rPr>
          <w:u w:val="single"/>
        </w:rPr>
        <w:t>Justification for Sensitive Questions</w:t>
      </w:r>
      <w:r w:rsidR="00801C74" w:rsidRPr="0086545A">
        <w:rPr>
          <w:u w:val="single"/>
        </w:rPr>
        <w:t>:</w:t>
      </w:r>
      <w:r w:rsidR="00801C74">
        <w:t xml:space="preserve"> </w:t>
      </w:r>
    </w:p>
    <w:p w:rsidR="00E76F31" w:rsidRDefault="00E76F31" w:rsidP="00364CDC"/>
    <w:p w:rsidR="00410863" w:rsidRDefault="000A765F" w:rsidP="00364CDC">
      <w:r>
        <w:t xml:space="preserve">This collection of information does not ask any questions of a sensitive nature. </w:t>
      </w:r>
    </w:p>
    <w:p w:rsidR="00801C74" w:rsidRDefault="00801C74" w:rsidP="00364CDC"/>
    <w:p w:rsidR="001358D7" w:rsidRDefault="001358D7" w:rsidP="001358D7">
      <w:r>
        <w:t xml:space="preserve">12. </w:t>
      </w:r>
      <w:r w:rsidRPr="0086545A">
        <w:rPr>
          <w:u w:val="single"/>
        </w:rPr>
        <w:t>Estimate</w:t>
      </w:r>
      <w:r w:rsidR="00451924">
        <w:rPr>
          <w:u w:val="single"/>
        </w:rPr>
        <w:t xml:space="preserve"> of</w:t>
      </w:r>
      <w:r w:rsidRPr="0086545A">
        <w:rPr>
          <w:u w:val="single"/>
        </w:rPr>
        <w:t xml:space="preserve"> Hour Burden</w:t>
      </w:r>
      <w:r>
        <w:t>:</w:t>
      </w:r>
    </w:p>
    <w:p w:rsidR="001D161D" w:rsidRDefault="001D161D" w:rsidP="001358D7"/>
    <w:p w:rsidR="001D161D" w:rsidRDefault="001D161D" w:rsidP="001D161D">
      <w:r w:rsidRPr="00F117FD">
        <w:t>DEA Form 224 is submitted on an as</w:t>
      </w:r>
      <w:r w:rsidRPr="00F117FD">
        <w:noBreakHyphen/>
        <w:t>needed basis by persons seeking to become registered.  DEA Form 224</w:t>
      </w:r>
      <w:r w:rsidR="005E030C">
        <w:t>A</w:t>
      </w:r>
      <w:r w:rsidRPr="00F117FD">
        <w:t xml:space="preserve"> is submitted on</w:t>
      </w:r>
      <w:r w:rsidR="00167CEF">
        <w:t xml:space="preserve"> a triennial basis thereafter.</w:t>
      </w:r>
    </w:p>
    <w:p w:rsidR="00167CEF" w:rsidRDefault="00167CEF" w:rsidP="001D161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5"/>
        <w:gridCol w:w="2046"/>
        <w:gridCol w:w="2233"/>
        <w:gridCol w:w="2214"/>
      </w:tblGrid>
      <w:tr w:rsidR="001D161D" w:rsidRPr="00DF4A1B" w:rsidTr="00E54BB2">
        <w:tc>
          <w:tcPr>
            <w:tcW w:w="2255" w:type="dxa"/>
          </w:tcPr>
          <w:p w:rsidR="001D161D" w:rsidRPr="00004120" w:rsidRDefault="001D161D" w:rsidP="000A2876">
            <w:pPr>
              <w:rPr>
                <w:rFonts w:eastAsia="SimSun"/>
                <w:sz w:val="20"/>
                <w:szCs w:val="20"/>
              </w:rPr>
            </w:pPr>
            <w:bookmarkStart w:id="1" w:name="OLE_LINK11"/>
            <w:bookmarkStart w:id="2" w:name="OLE_LINK12"/>
          </w:p>
        </w:tc>
        <w:tc>
          <w:tcPr>
            <w:tcW w:w="2046" w:type="dxa"/>
          </w:tcPr>
          <w:p w:rsidR="001D161D" w:rsidRPr="00004120" w:rsidRDefault="001D161D" w:rsidP="000B51AB">
            <w:pPr>
              <w:jc w:val="center"/>
              <w:rPr>
                <w:rFonts w:eastAsia="SimSun"/>
                <w:b/>
                <w:bCs/>
                <w:sz w:val="20"/>
                <w:szCs w:val="20"/>
              </w:rPr>
            </w:pPr>
            <w:r w:rsidRPr="00004120">
              <w:rPr>
                <w:rFonts w:eastAsia="SimSun"/>
                <w:b/>
                <w:bCs/>
                <w:sz w:val="20"/>
                <w:szCs w:val="20"/>
              </w:rPr>
              <w:t>Number of Annual Respondents</w:t>
            </w:r>
            <w:r w:rsidR="00004120" w:rsidRPr="00004120">
              <w:rPr>
                <w:rFonts w:eastAsia="SimSun"/>
                <w:b/>
                <w:bCs/>
                <w:sz w:val="20"/>
                <w:szCs w:val="20"/>
              </w:rPr>
              <w:t>*</w:t>
            </w:r>
          </w:p>
        </w:tc>
        <w:tc>
          <w:tcPr>
            <w:tcW w:w="2233" w:type="dxa"/>
          </w:tcPr>
          <w:p w:rsidR="001D161D" w:rsidRPr="00004120" w:rsidRDefault="001D161D" w:rsidP="000B51AB">
            <w:pPr>
              <w:jc w:val="center"/>
              <w:rPr>
                <w:rFonts w:eastAsia="SimSun"/>
                <w:b/>
                <w:bCs/>
                <w:sz w:val="20"/>
                <w:szCs w:val="20"/>
              </w:rPr>
            </w:pPr>
            <w:r w:rsidRPr="00004120">
              <w:rPr>
                <w:rFonts w:eastAsia="SimSun"/>
                <w:b/>
                <w:bCs/>
                <w:sz w:val="20"/>
                <w:szCs w:val="20"/>
              </w:rPr>
              <w:t>Average Time per Response</w:t>
            </w:r>
            <w:r w:rsidR="005F6054">
              <w:rPr>
                <w:rFonts w:eastAsia="SimSun"/>
                <w:b/>
                <w:bCs/>
                <w:sz w:val="20"/>
                <w:szCs w:val="20"/>
              </w:rPr>
              <w:t>**</w:t>
            </w:r>
          </w:p>
        </w:tc>
        <w:tc>
          <w:tcPr>
            <w:tcW w:w="2214" w:type="dxa"/>
          </w:tcPr>
          <w:p w:rsidR="001D161D" w:rsidRPr="00004120" w:rsidRDefault="001D161D" w:rsidP="000B51AB">
            <w:pPr>
              <w:jc w:val="center"/>
              <w:rPr>
                <w:rFonts w:eastAsia="SimSun"/>
                <w:b/>
                <w:bCs/>
                <w:sz w:val="20"/>
                <w:szCs w:val="20"/>
              </w:rPr>
            </w:pPr>
            <w:r w:rsidRPr="00004120">
              <w:rPr>
                <w:rFonts w:eastAsia="SimSun"/>
                <w:b/>
                <w:bCs/>
                <w:sz w:val="20"/>
                <w:szCs w:val="20"/>
              </w:rPr>
              <w:t>Total Annual Hours</w:t>
            </w:r>
            <w:r w:rsidR="00004120" w:rsidRPr="00004120">
              <w:rPr>
                <w:rFonts w:eastAsia="SimSun"/>
                <w:b/>
                <w:bCs/>
                <w:sz w:val="20"/>
                <w:szCs w:val="20"/>
              </w:rPr>
              <w:t>**</w:t>
            </w:r>
            <w:r w:rsidR="00167CEF">
              <w:rPr>
                <w:rFonts w:eastAsia="SimSun"/>
                <w:b/>
                <w:bCs/>
                <w:sz w:val="20"/>
                <w:szCs w:val="20"/>
              </w:rPr>
              <w:t>*</w:t>
            </w:r>
          </w:p>
        </w:tc>
      </w:tr>
      <w:tr w:rsidR="001D161D" w:rsidRPr="00DF4A1B" w:rsidTr="00E54BB2">
        <w:tc>
          <w:tcPr>
            <w:tcW w:w="2255" w:type="dxa"/>
          </w:tcPr>
          <w:p w:rsidR="001D161D" w:rsidRPr="00004120" w:rsidRDefault="001D161D" w:rsidP="000A2876">
            <w:pPr>
              <w:rPr>
                <w:rFonts w:eastAsia="SimSun"/>
                <w:sz w:val="20"/>
                <w:szCs w:val="20"/>
              </w:rPr>
            </w:pPr>
            <w:r w:rsidRPr="00004120">
              <w:rPr>
                <w:rFonts w:eastAsia="SimSun"/>
                <w:sz w:val="20"/>
                <w:szCs w:val="20"/>
              </w:rPr>
              <w:t>DEA-224 (paper)</w:t>
            </w:r>
          </w:p>
        </w:tc>
        <w:tc>
          <w:tcPr>
            <w:tcW w:w="2046" w:type="dxa"/>
          </w:tcPr>
          <w:p w:rsidR="001D161D" w:rsidRPr="00004120" w:rsidRDefault="005F6054" w:rsidP="000A2876">
            <w:pPr>
              <w:jc w:val="right"/>
              <w:rPr>
                <w:rFonts w:eastAsia="SimSun"/>
                <w:sz w:val="20"/>
                <w:szCs w:val="20"/>
              </w:rPr>
            </w:pPr>
            <w:r>
              <w:rPr>
                <w:rFonts w:eastAsia="SimSun"/>
                <w:sz w:val="20"/>
                <w:szCs w:val="20"/>
              </w:rPr>
              <w:t>3,838</w:t>
            </w:r>
          </w:p>
        </w:tc>
        <w:tc>
          <w:tcPr>
            <w:tcW w:w="2233" w:type="dxa"/>
          </w:tcPr>
          <w:p w:rsidR="001D161D" w:rsidRPr="00004120" w:rsidRDefault="005F6054" w:rsidP="000A2876">
            <w:pPr>
              <w:rPr>
                <w:rFonts w:eastAsia="SimSun"/>
                <w:sz w:val="20"/>
                <w:szCs w:val="20"/>
              </w:rPr>
            </w:pPr>
            <w:r>
              <w:rPr>
                <w:rFonts w:eastAsia="SimSun"/>
                <w:sz w:val="20"/>
                <w:szCs w:val="20"/>
              </w:rPr>
              <w:t>0.22 hours (13</w:t>
            </w:r>
            <w:r w:rsidR="001D161D" w:rsidRPr="00004120">
              <w:rPr>
                <w:rFonts w:eastAsia="SimSun"/>
                <w:sz w:val="20"/>
                <w:szCs w:val="20"/>
              </w:rPr>
              <w:t xml:space="preserve"> minutes)</w:t>
            </w:r>
          </w:p>
        </w:tc>
        <w:tc>
          <w:tcPr>
            <w:tcW w:w="2214" w:type="dxa"/>
          </w:tcPr>
          <w:p w:rsidR="001D161D" w:rsidRPr="00004120" w:rsidRDefault="005F6054" w:rsidP="005F6054">
            <w:pPr>
              <w:jc w:val="right"/>
              <w:rPr>
                <w:rFonts w:eastAsia="SimSun"/>
                <w:sz w:val="20"/>
                <w:szCs w:val="20"/>
              </w:rPr>
            </w:pPr>
            <w:r>
              <w:rPr>
                <w:rFonts w:eastAsia="SimSun"/>
                <w:sz w:val="20"/>
                <w:szCs w:val="20"/>
              </w:rPr>
              <w:t>832</w:t>
            </w:r>
          </w:p>
        </w:tc>
      </w:tr>
      <w:tr w:rsidR="001D161D" w:rsidRPr="00DF4A1B" w:rsidTr="00E54BB2">
        <w:tc>
          <w:tcPr>
            <w:tcW w:w="2255" w:type="dxa"/>
          </w:tcPr>
          <w:p w:rsidR="001D161D" w:rsidRPr="00004120" w:rsidRDefault="001D161D" w:rsidP="00EE1787">
            <w:pPr>
              <w:rPr>
                <w:rFonts w:eastAsia="SimSun"/>
                <w:sz w:val="20"/>
                <w:szCs w:val="20"/>
              </w:rPr>
            </w:pPr>
            <w:r w:rsidRPr="00004120">
              <w:rPr>
                <w:rFonts w:eastAsia="SimSun"/>
                <w:sz w:val="20"/>
                <w:szCs w:val="20"/>
              </w:rPr>
              <w:t>DEA-224 (</w:t>
            </w:r>
            <w:r w:rsidR="00EE1787">
              <w:rPr>
                <w:rFonts w:eastAsia="SimSun"/>
                <w:sz w:val="20"/>
                <w:szCs w:val="20"/>
              </w:rPr>
              <w:t>electronic</w:t>
            </w:r>
            <w:r w:rsidRPr="00004120">
              <w:rPr>
                <w:rFonts w:eastAsia="SimSun"/>
                <w:sz w:val="20"/>
                <w:szCs w:val="20"/>
              </w:rPr>
              <w:t>)</w:t>
            </w:r>
          </w:p>
        </w:tc>
        <w:tc>
          <w:tcPr>
            <w:tcW w:w="2046" w:type="dxa"/>
          </w:tcPr>
          <w:p w:rsidR="001D161D" w:rsidRPr="00004120" w:rsidRDefault="005F6054" w:rsidP="000A2876">
            <w:pPr>
              <w:jc w:val="right"/>
              <w:rPr>
                <w:rFonts w:eastAsia="SimSun"/>
                <w:sz w:val="20"/>
                <w:szCs w:val="20"/>
              </w:rPr>
            </w:pPr>
            <w:r>
              <w:rPr>
                <w:rFonts w:eastAsia="SimSun"/>
                <w:sz w:val="20"/>
                <w:szCs w:val="20"/>
              </w:rPr>
              <w:t>125,848</w:t>
            </w:r>
          </w:p>
        </w:tc>
        <w:tc>
          <w:tcPr>
            <w:tcW w:w="2233" w:type="dxa"/>
          </w:tcPr>
          <w:p w:rsidR="001D161D" w:rsidRPr="00004120" w:rsidRDefault="005F6054" w:rsidP="000A2876">
            <w:pPr>
              <w:rPr>
                <w:rFonts w:eastAsia="SimSun"/>
                <w:sz w:val="20"/>
                <w:szCs w:val="20"/>
              </w:rPr>
            </w:pPr>
            <w:r>
              <w:rPr>
                <w:rFonts w:eastAsia="SimSun"/>
                <w:sz w:val="20"/>
                <w:szCs w:val="20"/>
              </w:rPr>
              <w:t>0.15 hours (9</w:t>
            </w:r>
            <w:r w:rsidR="001D161D" w:rsidRPr="00004120">
              <w:rPr>
                <w:rFonts w:eastAsia="SimSun"/>
                <w:sz w:val="20"/>
                <w:szCs w:val="20"/>
              </w:rPr>
              <w:t xml:space="preserve"> minutes)</w:t>
            </w:r>
          </w:p>
        </w:tc>
        <w:tc>
          <w:tcPr>
            <w:tcW w:w="2214" w:type="dxa"/>
          </w:tcPr>
          <w:p w:rsidR="001D161D" w:rsidRPr="00004120" w:rsidRDefault="005F6054" w:rsidP="000A2876">
            <w:pPr>
              <w:jc w:val="right"/>
              <w:rPr>
                <w:rFonts w:eastAsia="SimSun"/>
                <w:sz w:val="20"/>
                <w:szCs w:val="20"/>
              </w:rPr>
            </w:pPr>
            <w:r>
              <w:rPr>
                <w:rFonts w:eastAsia="SimSun"/>
                <w:sz w:val="20"/>
                <w:szCs w:val="20"/>
              </w:rPr>
              <w:t>18,877</w:t>
            </w:r>
          </w:p>
        </w:tc>
      </w:tr>
      <w:tr w:rsidR="001D161D" w:rsidRPr="00DF4A1B" w:rsidTr="00E54BB2">
        <w:tc>
          <w:tcPr>
            <w:tcW w:w="2255" w:type="dxa"/>
          </w:tcPr>
          <w:p w:rsidR="001D161D" w:rsidRPr="00004120" w:rsidRDefault="001D161D" w:rsidP="000A2876">
            <w:pPr>
              <w:rPr>
                <w:rFonts w:eastAsia="SimSun"/>
                <w:sz w:val="20"/>
                <w:szCs w:val="20"/>
              </w:rPr>
            </w:pPr>
            <w:r w:rsidRPr="00004120">
              <w:rPr>
                <w:rFonts w:eastAsia="SimSun"/>
                <w:sz w:val="20"/>
                <w:szCs w:val="20"/>
              </w:rPr>
              <w:t>DEA-</w:t>
            </w:r>
            <w:r w:rsidR="00187052" w:rsidRPr="00004120">
              <w:rPr>
                <w:rFonts w:eastAsia="SimSun"/>
                <w:sz w:val="20"/>
                <w:szCs w:val="20"/>
              </w:rPr>
              <w:t>224A</w:t>
            </w:r>
            <w:r w:rsidRPr="00004120">
              <w:rPr>
                <w:rFonts w:eastAsia="SimSun"/>
                <w:sz w:val="20"/>
                <w:szCs w:val="20"/>
              </w:rPr>
              <w:t xml:space="preserve"> (paper)</w:t>
            </w:r>
          </w:p>
        </w:tc>
        <w:tc>
          <w:tcPr>
            <w:tcW w:w="2046" w:type="dxa"/>
          </w:tcPr>
          <w:p w:rsidR="001D161D" w:rsidRPr="00004120" w:rsidRDefault="005F6054" w:rsidP="000A2876">
            <w:pPr>
              <w:jc w:val="right"/>
              <w:rPr>
                <w:rFonts w:eastAsia="SimSun"/>
                <w:sz w:val="20"/>
                <w:szCs w:val="20"/>
              </w:rPr>
            </w:pPr>
            <w:r>
              <w:rPr>
                <w:rFonts w:eastAsia="SimSun"/>
                <w:sz w:val="20"/>
                <w:szCs w:val="20"/>
              </w:rPr>
              <w:t>6,193</w:t>
            </w:r>
          </w:p>
        </w:tc>
        <w:tc>
          <w:tcPr>
            <w:tcW w:w="2233" w:type="dxa"/>
          </w:tcPr>
          <w:p w:rsidR="001D161D" w:rsidRPr="00004120" w:rsidRDefault="001D161D" w:rsidP="007265C8">
            <w:pPr>
              <w:rPr>
                <w:rFonts w:eastAsia="SimSun"/>
                <w:sz w:val="20"/>
                <w:szCs w:val="20"/>
              </w:rPr>
            </w:pPr>
            <w:r w:rsidRPr="00004120">
              <w:rPr>
                <w:rFonts w:eastAsia="SimSun"/>
                <w:sz w:val="20"/>
                <w:szCs w:val="20"/>
              </w:rPr>
              <w:t>0.2</w:t>
            </w:r>
            <w:r w:rsidR="005F6054">
              <w:rPr>
                <w:rFonts w:eastAsia="SimSun"/>
                <w:sz w:val="20"/>
                <w:szCs w:val="20"/>
              </w:rPr>
              <w:t>2</w:t>
            </w:r>
            <w:r w:rsidRPr="00004120">
              <w:rPr>
                <w:rFonts w:eastAsia="SimSun"/>
                <w:sz w:val="20"/>
                <w:szCs w:val="20"/>
              </w:rPr>
              <w:t xml:space="preserve"> hours (</w:t>
            </w:r>
            <w:r w:rsidR="005F6054">
              <w:rPr>
                <w:rFonts w:eastAsia="SimSun"/>
                <w:sz w:val="20"/>
                <w:szCs w:val="20"/>
              </w:rPr>
              <w:t>13</w:t>
            </w:r>
            <w:r w:rsidR="007265C8" w:rsidRPr="00004120">
              <w:rPr>
                <w:rFonts w:eastAsia="SimSun"/>
                <w:sz w:val="20"/>
                <w:szCs w:val="20"/>
              </w:rPr>
              <w:t xml:space="preserve"> </w:t>
            </w:r>
            <w:r w:rsidRPr="00004120">
              <w:rPr>
                <w:rFonts w:eastAsia="SimSun"/>
                <w:sz w:val="20"/>
                <w:szCs w:val="20"/>
              </w:rPr>
              <w:t>minutes)</w:t>
            </w:r>
          </w:p>
        </w:tc>
        <w:tc>
          <w:tcPr>
            <w:tcW w:w="2214" w:type="dxa"/>
          </w:tcPr>
          <w:p w:rsidR="001D161D" w:rsidRPr="00004120" w:rsidRDefault="005F6054" w:rsidP="000A2876">
            <w:pPr>
              <w:jc w:val="right"/>
              <w:rPr>
                <w:rFonts w:eastAsia="SimSun"/>
                <w:sz w:val="20"/>
                <w:szCs w:val="20"/>
              </w:rPr>
            </w:pPr>
            <w:r>
              <w:rPr>
                <w:rFonts w:eastAsia="SimSun"/>
                <w:sz w:val="20"/>
                <w:szCs w:val="20"/>
              </w:rPr>
              <w:t>1,342</w:t>
            </w:r>
          </w:p>
        </w:tc>
      </w:tr>
      <w:tr w:rsidR="001D161D" w:rsidRPr="00DF4A1B" w:rsidTr="00E54BB2">
        <w:tc>
          <w:tcPr>
            <w:tcW w:w="2255" w:type="dxa"/>
          </w:tcPr>
          <w:p w:rsidR="001D161D" w:rsidRPr="00004120" w:rsidRDefault="001D161D" w:rsidP="00EE1787">
            <w:pPr>
              <w:rPr>
                <w:rFonts w:eastAsia="SimSun"/>
                <w:sz w:val="20"/>
                <w:szCs w:val="20"/>
              </w:rPr>
            </w:pPr>
            <w:r w:rsidRPr="00004120">
              <w:rPr>
                <w:rFonts w:eastAsia="SimSun"/>
                <w:sz w:val="20"/>
                <w:szCs w:val="20"/>
              </w:rPr>
              <w:t>DEA-</w:t>
            </w:r>
            <w:r w:rsidR="00187052" w:rsidRPr="00004120">
              <w:rPr>
                <w:rFonts w:eastAsia="SimSun"/>
                <w:sz w:val="20"/>
                <w:szCs w:val="20"/>
              </w:rPr>
              <w:t>224A</w:t>
            </w:r>
            <w:r w:rsidRPr="00004120">
              <w:rPr>
                <w:rFonts w:eastAsia="SimSun"/>
                <w:sz w:val="20"/>
                <w:szCs w:val="20"/>
              </w:rPr>
              <w:t xml:space="preserve"> (</w:t>
            </w:r>
            <w:r w:rsidR="00EE1787">
              <w:rPr>
                <w:rFonts w:eastAsia="SimSun"/>
                <w:sz w:val="20"/>
                <w:szCs w:val="20"/>
              </w:rPr>
              <w:t>electronic</w:t>
            </w:r>
            <w:r w:rsidRPr="00004120">
              <w:rPr>
                <w:rFonts w:eastAsia="SimSun"/>
                <w:sz w:val="20"/>
                <w:szCs w:val="20"/>
              </w:rPr>
              <w:t>)</w:t>
            </w:r>
          </w:p>
        </w:tc>
        <w:tc>
          <w:tcPr>
            <w:tcW w:w="2046" w:type="dxa"/>
          </w:tcPr>
          <w:p w:rsidR="001D161D" w:rsidRPr="00004120" w:rsidRDefault="005F6054" w:rsidP="000A2876">
            <w:pPr>
              <w:jc w:val="right"/>
              <w:rPr>
                <w:rFonts w:eastAsia="SimSun"/>
                <w:sz w:val="20"/>
                <w:szCs w:val="20"/>
              </w:rPr>
            </w:pPr>
            <w:r>
              <w:rPr>
                <w:rFonts w:eastAsia="SimSun"/>
                <w:sz w:val="20"/>
                <w:szCs w:val="20"/>
              </w:rPr>
              <w:t>482,100</w:t>
            </w:r>
          </w:p>
        </w:tc>
        <w:tc>
          <w:tcPr>
            <w:tcW w:w="2233" w:type="dxa"/>
          </w:tcPr>
          <w:p w:rsidR="001D161D" w:rsidRPr="00004120" w:rsidRDefault="005F6054" w:rsidP="000A2876">
            <w:pPr>
              <w:rPr>
                <w:rFonts w:eastAsia="SimSun"/>
                <w:sz w:val="20"/>
                <w:szCs w:val="20"/>
              </w:rPr>
            </w:pPr>
            <w:r>
              <w:rPr>
                <w:rFonts w:eastAsia="SimSun"/>
                <w:sz w:val="20"/>
                <w:szCs w:val="20"/>
              </w:rPr>
              <w:t>0.08 hours (5</w:t>
            </w:r>
            <w:r w:rsidR="001D161D" w:rsidRPr="00004120">
              <w:rPr>
                <w:rFonts w:eastAsia="SimSun"/>
                <w:sz w:val="20"/>
                <w:szCs w:val="20"/>
              </w:rPr>
              <w:t xml:space="preserve"> minutes)</w:t>
            </w:r>
          </w:p>
        </w:tc>
        <w:tc>
          <w:tcPr>
            <w:tcW w:w="2214" w:type="dxa"/>
          </w:tcPr>
          <w:p w:rsidR="001D161D" w:rsidRPr="00004120" w:rsidRDefault="00107421" w:rsidP="000A2876">
            <w:pPr>
              <w:jc w:val="right"/>
              <w:rPr>
                <w:rFonts w:eastAsia="SimSun"/>
                <w:sz w:val="20"/>
                <w:szCs w:val="20"/>
              </w:rPr>
            </w:pPr>
            <w:r>
              <w:rPr>
                <w:rFonts w:eastAsia="SimSun"/>
                <w:sz w:val="20"/>
                <w:szCs w:val="20"/>
              </w:rPr>
              <w:t>40,175</w:t>
            </w:r>
          </w:p>
        </w:tc>
      </w:tr>
      <w:tr w:rsidR="001D161D" w:rsidRPr="00DF4A1B" w:rsidTr="00E54BB2">
        <w:tc>
          <w:tcPr>
            <w:tcW w:w="2255" w:type="dxa"/>
          </w:tcPr>
          <w:p w:rsidR="001D161D" w:rsidRPr="00004120" w:rsidRDefault="001D161D" w:rsidP="000A2876">
            <w:pPr>
              <w:rPr>
                <w:rFonts w:eastAsia="SimSun"/>
                <w:sz w:val="20"/>
                <w:szCs w:val="20"/>
              </w:rPr>
            </w:pPr>
            <w:r w:rsidRPr="00004120">
              <w:rPr>
                <w:rFonts w:eastAsia="SimSun"/>
                <w:sz w:val="20"/>
                <w:szCs w:val="20"/>
              </w:rPr>
              <w:t>Total</w:t>
            </w:r>
          </w:p>
        </w:tc>
        <w:tc>
          <w:tcPr>
            <w:tcW w:w="2046" w:type="dxa"/>
          </w:tcPr>
          <w:p w:rsidR="001D161D" w:rsidRPr="00004120" w:rsidRDefault="005F6054" w:rsidP="00774BF7">
            <w:pPr>
              <w:jc w:val="right"/>
              <w:rPr>
                <w:rFonts w:eastAsia="SimSun"/>
                <w:sz w:val="20"/>
                <w:szCs w:val="20"/>
              </w:rPr>
            </w:pPr>
            <w:r>
              <w:rPr>
                <w:rFonts w:eastAsia="SimSun"/>
                <w:sz w:val="20"/>
                <w:szCs w:val="20"/>
              </w:rPr>
              <w:t>617,979</w:t>
            </w:r>
          </w:p>
        </w:tc>
        <w:tc>
          <w:tcPr>
            <w:tcW w:w="2233" w:type="dxa"/>
          </w:tcPr>
          <w:p w:rsidR="001D161D" w:rsidRPr="00004120" w:rsidRDefault="001D161D" w:rsidP="000A2876">
            <w:pPr>
              <w:rPr>
                <w:rFonts w:eastAsia="SimSun"/>
                <w:sz w:val="20"/>
                <w:szCs w:val="20"/>
              </w:rPr>
            </w:pPr>
          </w:p>
        </w:tc>
        <w:tc>
          <w:tcPr>
            <w:tcW w:w="2214" w:type="dxa"/>
          </w:tcPr>
          <w:p w:rsidR="001D161D" w:rsidRPr="00004120" w:rsidRDefault="00107421" w:rsidP="00B10DDE">
            <w:pPr>
              <w:jc w:val="right"/>
              <w:rPr>
                <w:rFonts w:eastAsia="SimSun"/>
                <w:sz w:val="20"/>
                <w:szCs w:val="20"/>
              </w:rPr>
            </w:pPr>
            <w:r>
              <w:rPr>
                <w:rFonts w:eastAsia="SimSun"/>
                <w:sz w:val="20"/>
                <w:szCs w:val="20"/>
              </w:rPr>
              <w:t>61,226</w:t>
            </w:r>
          </w:p>
        </w:tc>
      </w:tr>
    </w:tbl>
    <w:p w:rsidR="005F6054" w:rsidRDefault="005F6054" w:rsidP="00167CEF">
      <w:pPr>
        <w:spacing w:before="120"/>
        <w:rPr>
          <w:sz w:val="20"/>
          <w:szCs w:val="20"/>
        </w:rPr>
      </w:pPr>
      <w:bookmarkStart w:id="3" w:name="OLE_LINK13"/>
      <w:bookmarkStart w:id="4" w:name="OLE_LINK14"/>
      <w:bookmarkEnd w:id="1"/>
      <w:bookmarkEnd w:id="2"/>
      <w:r>
        <w:rPr>
          <w:sz w:val="20"/>
          <w:szCs w:val="20"/>
        </w:rPr>
        <w:t>*</w:t>
      </w:r>
      <w:r w:rsidR="00004120" w:rsidRPr="00004120">
        <w:rPr>
          <w:sz w:val="20"/>
          <w:szCs w:val="20"/>
        </w:rPr>
        <w:t xml:space="preserve">Although practitioners are registered for a three-year cycle and the number of registrants is not equally distributed </w:t>
      </w:r>
      <w:r w:rsidR="00AA62C0">
        <w:rPr>
          <w:sz w:val="20"/>
          <w:szCs w:val="20"/>
        </w:rPr>
        <w:t>between years of the cycle, October 1, 2017 to September 30, 2018</w:t>
      </w:r>
      <w:r w:rsidR="00004120" w:rsidRPr="00004120">
        <w:rPr>
          <w:sz w:val="20"/>
          <w:szCs w:val="20"/>
        </w:rPr>
        <w:t xml:space="preserve"> is a reasonable approximation of the average annual burden as it is very close to the average of the three years.  Additionally, the growth rate in the number of practitioners is low enough w</w:t>
      </w:r>
      <w:r w:rsidR="00AA62C0">
        <w:rPr>
          <w:sz w:val="20"/>
          <w:szCs w:val="20"/>
        </w:rPr>
        <w:t>here the actual numbers for this period</w:t>
      </w:r>
      <w:r w:rsidR="00004120" w:rsidRPr="00004120">
        <w:rPr>
          <w:sz w:val="20"/>
          <w:szCs w:val="20"/>
        </w:rPr>
        <w:t xml:space="preserve"> would not be materially different from the number expected for the next several years.</w:t>
      </w:r>
    </w:p>
    <w:p w:rsidR="005F6054" w:rsidRDefault="005F6054" w:rsidP="00167CEF">
      <w:pPr>
        <w:spacing w:before="120"/>
        <w:rPr>
          <w:sz w:val="20"/>
          <w:szCs w:val="20"/>
        </w:rPr>
      </w:pPr>
      <w:r>
        <w:rPr>
          <w:sz w:val="20"/>
          <w:szCs w:val="20"/>
        </w:rPr>
        <w:t>**An extra minute has been added to each average time per response to reflect the proposal for the first liability question in the application to now be broken down into two parts.</w:t>
      </w:r>
    </w:p>
    <w:p w:rsidR="001D161D" w:rsidRPr="00004120" w:rsidRDefault="00004120" w:rsidP="00167CEF">
      <w:pPr>
        <w:spacing w:before="120"/>
        <w:rPr>
          <w:sz w:val="20"/>
          <w:szCs w:val="20"/>
        </w:rPr>
      </w:pPr>
      <w:r>
        <w:rPr>
          <w:sz w:val="20"/>
          <w:szCs w:val="20"/>
        </w:rPr>
        <w:t>**</w:t>
      </w:r>
      <w:r w:rsidR="005F6054">
        <w:rPr>
          <w:sz w:val="20"/>
          <w:szCs w:val="20"/>
        </w:rPr>
        <w:t>*</w:t>
      </w:r>
      <w:r w:rsidR="001D161D" w:rsidRPr="00004120">
        <w:rPr>
          <w:sz w:val="20"/>
          <w:szCs w:val="20"/>
        </w:rPr>
        <w:t>Figures are rounded.</w:t>
      </w:r>
    </w:p>
    <w:bookmarkEnd w:id="3"/>
    <w:bookmarkEnd w:id="4"/>
    <w:p w:rsidR="00167CEF" w:rsidRDefault="00167CEF" w:rsidP="001D161D"/>
    <w:p w:rsidR="001D161D" w:rsidRDefault="001D161D" w:rsidP="001D161D">
      <w:r>
        <w:t>To</w:t>
      </w:r>
      <w:r w:rsidR="00583526">
        <w:t>tal number of respondents:  617,979</w:t>
      </w:r>
    </w:p>
    <w:p w:rsidR="001D161D" w:rsidRDefault="001D161D" w:rsidP="001D161D"/>
    <w:p w:rsidR="001D161D" w:rsidRDefault="001D161D" w:rsidP="001D161D">
      <w:r>
        <w:t>Number of responses per respondent per year:  1</w:t>
      </w:r>
    </w:p>
    <w:p w:rsidR="001D161D" w:rsidRDefault="001D161D" w:rsidP="001D161D"/>
    <w:p w:rsidR="001D161D" w:rsidRDefault="00583526" w:rsidP="001D161D">
      <w:r>
        <w:t>Total annual responses:  617,979</w:t>
      </w:r>
    </w:p>
    <w:p w:rsidR="001D161D" w:rsidRDefault="001D161D" w:rsidP="001D161D"/>
    <w:p w:rsidR="001D161D" w:rsidRDefault="001D161D" w:rsidP="001D161D">
      <w:r>
        <w:t xml:space="preserve">Total annual hour burden:  </w:t>
      </w:r>
      <w:r w:rsidR="00583526">
        <w:t>61,226</w:t>
      </w:r>
    </w:p>
    <w:p w:rsidR="001D161D" w:rsidRDefault="001D161D" w:rsidP="001D161D"/>
    <w:p w:rsidR="001D161D" w:rsidRDefault="001D161D" w:rsidP="001D161D">
      <w:r>
        <w:t>Avera</w:t>
      </w:r>
      <w:r w:rsidR="00583526">
        <w:t>ge Burden:</w:t>
      </w:r>
      <w:r w:rsidR="00583526">
        <w:tab/>
        <w:t>Per Collection:  0.10</w:t>
      </w:r>
      <w:r>
        <w:t xml:space="preserve"> hour</w:t>
      </w:r>
    </w:p>
    <w:p w:rsidR="001D161D" w:rsidRDefault="001D161D" w:rsidP="001D161D"/>
    <w:p w:rsidR="001D161D" w:rsidRDefault="00583526" w:rsidP="001D161D">
      <w:r>
        <w:tab/>
      </w:r>
      <w:r>
        <w:tab/>
      </w:r>
      <w:r>
        <w:tab/>
        <w:t>Per Respondent:  0.10</w:t>
      </w:r>
      <w:r w:rsidR="001D161D">
        <w:t xml:space="preserve"> hour</w:t>
      </w:r>
    </w:p>
    <w:p w:rsidR="001D161D" w:rsidRDefault="001D161D" w:rsidP="001D161D"/>
    <w:p w:rsidR="00272C7C" w:rsidRDefault="001D161D" w:rsidP="001D161D">
      <w:r w:rsidRPr="001F5F1F">
        <w:t xml:space="preserve">Total registration applications received on paper:  </w:t>
      </w:r>
      <w:r w:rsidR="0074666C">
        <w:t>10,031</w:t>
      </w:r>
    </w:p>
    <w:p w:rsidR="001D161D" w:rsidRPr="001F5F1F" w:rsidRDefault="00774BF7" w:rsidP="001D161D">
      <w:r>
        <w:t xml:space="preserve"> </w:t>
      </w:r>
    </w:p>
    <w:p w:rsidR="001D161D" w:rsidRPr="001F5F1F" w:rsidRDefault="001D161D" w:rsidP="001D161D">
      <w:r w:rsidRPr="001F5F1F">
        <w:t xml:space="preserve">Total registration applications received </w:t>
      </w:r>
      <w:r w:rsidR="00EB6B52">
        <w:t>online</w:t>
      </w:r>
      <w:r w:rsidRPr="001F5F1F">
        <w:t xml:space="preserve">:  </w:t>
      </w:r>
      <w:r w:rsidR="0074666C">
        <w:t>607,948</w:t>
      </w:r>
      <w:r w:rsidRPr="001F5F1F">
        <w:t xml:space="preserve"> </w:t>
      </w:r>
    </w:p>
    <w:p w:rsidR="001D161D" w:rsidRPr="001F5F1F" w:rsidRDefault="001D161D" w:rsidP="001D161D"/>
    <w:p w:rsidR="001D161D" w:rsidRPr="001F5F1F" w:rsidRDefault="001D161D" w:rsidP="001D161D">
      <w:r w:rsidRPr="001F5F1F">
        <w:t>Percentage of applicat</w:t>
      </w:r>
      <w:r w:rsidR="0074666C">
        <w:t>ions received electronically:  98.4</w:t>
      </w:r>
      <w:r w:rsidRPr="001F5F1F">
        <w:t>%</w:t>
      </w:r>
    </w:p>
    <w:p w:rsidR="001D161D" w:rsidRDefault="001D161D" w:rsidP="001D161D"/>
    <w:p w:rsidR="00167CEF" w:rsidRDefault="001D161D" w:rsidP="001D161D">
      <w:r>
        <w:t xml:space="preserve">Estimates are based on the population of the regulated industry participating in this business activity.  Because the vast majority of respondents are practitioners, the DEA </w:t>
      </w:r>
      <w:r w:rsidR="00851227">
        <w:t>utilizes the wage rate for</w:t>
      </w:r>
      <w:r>
        <w:t xml:space="preserve"> “physicians and surgeons” (SOC 29-1060, 2010 Standard Occupational Classification</w:t>
      </w:r>
      <w:r w:rsidR="00CB7D72">
        <w:t xml:space="preserve">, </w:t>
      </w:r>
      <w:r>
        <w:t xml:space="preserve">http://www.bls.gov/soc/2010/soc_alph.htm) </w:t>
      </w:r>
      <w:r w:rsidR="00851227">
        <w:t xml:space="preserve">as an estimate for all persons who </w:t>
      </w:r>
      <w:r>
        <w:t>will complete the form on behalf of the applicant or registrant.  The mean hourly wage for that position according to the Bureau</w:t>
      </w:r>
      <w:r w:rsidR="00E92D94">
        <w:t xml:space="preserve"> of Labor Statistics’ (BLS) 2017</w:t>
      </w:r>
      <w:r>
        <w:t xml:space="preserve"> National Occupational Employment and Wage Estimates (</w:t>
      </w:r>
      <w:r w:rsidRPr="008D7237">
        <w:rPr>
          <w:rStyle w:val="Hyperlink"/>
          <w:color w:val="auto"/>
          <w:u w:val="none"/>
        </w:rPr>
        <w:t>http://www.bls.gov/oes/current/oes_nat.htm</w:t>
      </w:r>
      <w:r>
        <w:t>)</w:t>
      </w:r>
      <w:r w:rsidR="000B51AB">
        <w:t xml:space="preserve"> </w:t>
      </w:r>
      <w:r w:rsidRPr="00E54BB2">
        <w:t>is $</w:t>
      </w:r>
      <w:r w:rsidR="00E92D94">
        <w:t>103.22</w:t>
      </w:r>
      <w:r>
        <w:t>.</w:t>
      </w:r>
      <w:r w:rsidR="009D3896">
        <w:t xml:space="preserve"> </w:t>
      </w:r>
      <w:r>
        <w:t xml:space="preserve"> </w:t>
      </w:r>
      <w:r w:rsidRPr="00BA2672">
        <w:t xml:space="preserve">Based on the BLS report, “Employer Costs for Employee Compensation – </w:t>
      </w:r>
      <w:r w:rsidR="00E92D94">
        <w:t>June</w:t>
      </w:r>
      <w:r w:rsidRPr="00BA2672">
        <w:t xml:space="preserve"> 201</w:t>
      </w:r>
      <w:r w:rsidR="00E92D94">
        <w:t>8</w:t>
      </w:r>
      <w:r w:rsidRPr="00BA2672">
        <w:t xml:space="preserve">,” </w:t>
      </w:r>
      <w:r w:rsidR="000F3874">
        <w:t xml:space="preserve">(ECEC) </w:t>
      </w:r>
      <w:r w:rsidRPr="00BA2672">
        <w:t>(</w:t>
      </w:r>
      <w:r w:rsidRPr="00865051">
        <w:t>http://www.bls.gov/news.release/pdf/ecec.pdf</w:t>
      </w:r>
      <w:r w:rsidR="00E92D94">
        <w:t>) an additional 43.7</w:t>
      </w:r>
      <w:r w:rsidRPr="00BA2672">
        <w:t xml:space="preserve">% load </w:t>
      </w:r>
      <w:r>
        <w:t xml:space="preserve">(for “private industry”) </w:t>
      </w:r>
      <w:r w:rsidRPr="00BA2672">
        <w:t xml:space="preserve">is added to the </w:t>
      </w:r>
      <w:r>
        <w:t>wage</w:t>
      </w:r>
      <w:r w:rsidRPr="00BA2672">
        <w:t xml:space="preserve"> rate to account for benefits</w:t>
      </w:r>
      <w:r w:rsidR="0048056A" w:rsidRPr="00BA2672">
        <w:t>.</w:t>
      </w:r>
    </w:p>
    <w:p w:rsidR="00167CEF" w:rsidRDefault="00167CEF" w:rsidP="001D161D"/>
    <w:p w:rsidR="001D161D" w:rsidRDefault="001D161D" w:rsidP="001D161D">
      <w:r>
        <w:t xml:space="preserve">Thus, the labor cost of this information collection is </w:t>
      </w:r>
      <w:r w:rsidRPr="00E54BB2">
        <w:t>$</w:t>
      </w:r>
      <w:r w:rsidR="00E92D94">
        <w:t>9</w:t>
      </w:r>
      <w:r w:rsidR="00717F2A">
        <w:t>,</w:t>
      </w:r>
      <w:r w:rsidR="00E92D94">
        <w:t>080,036</w:t>
      </w:r>
      <w:r>
        <w:t xml:space="preserve"> annually.</w:t>
      </w:r>
    </w:p>
    <w:p w:rsidR="001D161D" w:rsidRDefault="001D161D" w:rsidP="001D161D"/>
    <w:p w:rsidR="001D161D" w:rsidRPr="00F117FD" w:rsidRDefault="001D161D" w:rsidP="001D161D">
      <w:r w:rsidRPr="00F117FD">
        <w:t xml:space="preserve">13. </w:t>
      </w:r>
      <w:r w:rsidRPr="007265C8">
        <w:rPr>
          <w:u w:val="single"/>
        </w:rPr>
        <w:t>Estimate of Cost Burden</w:t>
      </w:r>
      <w:r w:rsidRPr="00F117FD">
        <w:t xml:space="preserve">:  </w:t>
      </w:r>
    </w:p>
    <w:p w:rsidR="001D161D" w:rsidRPr="00F117FD" w:rsidRDefault="001D161D" w:rsidP="001D161D"/>
    <w:p w:rsidR="001D161D" w:rsidRDefault="001D161D" w:rsidP="001D161D">
      <w:r>
        <w:t xml:space="preserve">The estimated annual cost burden is zero.  Respondents are </w:t>
      </w:r>
      <w:r w:rsidR="0021299C">
        <w:t xml:space="preserve">not </w:t>
      </w:r>
      <w:r>
        <w:t>estimated to incur any    a) additional start-up cost or capital expenditure, or b) additional operation and maintenance costs or purchase services as a result of this information collection.</w:t>
      </w:r>
    </w:p>
    <w:p w:rsidR="001D161D" w:rsidRDefault="001D161D" w:rsidP="001D161D"/>
    <w:p w:rsidR="001D161D" w:rsidRPr="00F117FD" w:rsidRDefault="001D161D" w:rsidP="001D161D">
      <w:r w:rsidRPr="00F117FD">
        <w:t xml:space="preserve">14. </w:t>
      </w:r>
      <w:r w:rsidRPr="007265C8">
        <w:rPr>
          <w:u w:val="single"/>
        </w:rPr>
        <w:t>Estimated Annualized Cost to Federal Government</w:t>
      </w:r>
      <w:r w:rsidRPr="00F117FD">
        <w:t>:</w:t>
      </w:r>
    </w:p>
    <w:p w:rsidR="001D161D" w:rsidRPr="00F117FD" w:rsidRDefault="001D161D" w:rsidP="001D161D">
      <w:bookmarkStart w:id="5" w:name="OLE_LINK17"/>
      <w:bookmarkStart w:id="6" w:name="OLE_LINK18"/>
    </w:p>
    <w:bookmarkEnd w:id="5"/>
    <w:bookmarkEnd w:id="6"/>
    <w:p w:rsidR="001D161D" w:rsidRPr="008929A7" w:rsidRDefault="001D161D" w:rsidP="001D161D">
      <w:pPr>
        <w:rPr>
          <w:color w:val="000000"/>
        </w:rPr>
      </w:pPr>
      <w:r w:rsidRPr="008929A7">
        <w:rPr>
          <w:color w:val="000000"/>
        </w:rPr>
        <w:t>Estimated Annual Production Cost to Government:</w:t>
      </w:r>
      <w:r w:rsidR="007857FA" w:rsidRPr="007857FA">
        <w:rPr>
          <w:rStyle w:val="FootnoteReference"/>
          <w:color w:val="000000"/>
          <w:vertAlign w:val="superscript"/>
        </w:rPr>
        <w:footnoteReference w:id="1"/>
      </w:r>
    </w:p>
    <w:p w:rsidR="001D161D" w:rsidRDefault="001D161D" w:rsidP="001D161D">
      <w:pPr>
        <w:rPr>
          <w:color w:val="000000"/>
        </w:rPr>
      </w:pPr>
    </w:p>
    <w:tbl>
      <w:tblPr>
        <w:tblW w:w="4472" w:type="dxa"/>
        <w:tblInd w:w="108" w:type="dxa"/>
        <w:tblLook w:val="04A0" w:firstRow="1" w:lastRow="0" w:firstColumn="1" w:lastColumn="0" w:noHBand="0" w:noVBand="1"/>
      </w:tblPr>
      <w:tblGrid>
        <w:gridCol w:w="2756"/>
        <w:gridCol w:w="1716"/>
      </w:tblGrid>
      <w:tr w:rsidR="001D161D" w:rsidRPr="003238C7" w:rsidTr="008D2F3B">
        <w:trPr>
          <w:trHeight w:val="315"/>
        </w:trPr>
        <w:tc>
          <w:tcPr>
            <w:tcW w:w="2756" w:type="dxa"/>
            <w:shd w:val="clear" w:color="auto" w:fill="auto"/>
            <w:noWrap/>
            <w:vAlign w:val="bottom"/>
          </w:tcPr>
          <w:p w:rsidR="001D161D" w:rsidRPr="003238C7" w:rsidRDefault="001D161D" w:rsidP="000A2876">
            <w:pPr>
              <w:rPr>
                <w:b/>
                <w:color w:val="000000"/>
              </w:rPr>
            </w:pPr>
            <w:r>
              <w:rPr>
                <w:b/>
                <w:color w:val="000000"/>
              </w:rPr>
              <w:t xml:space="preserve">Production </w:t>
            </w:r>
            <w:r w:rsidRPr="003238C7">
              <w:rPr>
                <w:b/>
                <w:color w:val="000000"/>
              </w:rPr>
              <w:t>Item</w:t>
            </w:r>
          </w:p>
        </w:tc>
        <w:tc>
          <w:tcPr>
            <w:tcW w:w="1716" w:type="dxa"/>
            <w:shd w:val="clear" w:color="auto" w:fill="auto"/>
            <w:noWrap/>
            <w:vAlign w:val="bottom"/>
          </w:tcPr>
          <w:p w:rsidR="001D161D" w:rsidRPr="003238C7" w:rsidRDefault="001D161D" w:rsidP="000A2876">
            <w:pPr>
              <w:jc w:val="center"/>
              <w:rPr>
                <w:b/>
                <w:color w:val="000000"/>
              </w:rPr>
            </w:pPr>
            <w:r w:rsidRPr="003238C7">
              <w:rPr>
                <w:b/>
                <w:color w:val="000000"/>
              </w:rPr>
              <w:t>Cost</w:t>
            </w:r>
            <w:r w:rsidR="0021299C">
              <w:rPr>
                <w:b/>
                <w:color w:val="000000"/>
              </w:rPr>
              <w:t>*</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Government Employees:</w:t>
            </w:r>
          </w:p>
        </w:tc>
        <w:tc>
          <w:tcPr>
            <w:tcW w:w="1716" w:type="dxa"/>
            <w:shd w:val="clear" w:color="auto" w:fill="auto"/>
            <w:noWrap/>
            <w:vAlign w:val="bottom"/>
            <w:hideMark/>
          </w:tcPr>
          <w:p w:rsidR="001D161D" w:rsidRDefault="00CC01C4" w:rsidP="000A2876">
            <w:pPr>
              <w:rPr>
                <w:color w:val="000000"/>
              </w:rPr>
            </w:pPr>
            <w:r>
              <w:rPr>
                <w:color w:val="000000"/>
              </w:rPr>
              <w:t xml:space="preserve"> $          </w:t>
            </w:r>
            <w:r w:rsidR="004F2243">
              <w:rPr>
                <w:color w:val="000000"/>
              </w:rPr>
              <w:t>2,235</w:t>
            </w:r>
            <w:r w:rsidR="001D161D">
              <w:rPr>
                <w:color w:val="000000"/>
              </w:rPr>
              <w:t xml:space="preserve"> </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Contract Employees:</w:t>
            </w:r>
          </w:p>
        </w:tc>
        <w:tc>
          <w:tcPr>
            <w:tcW w:w="1716" w:type="dxa"/>
            <w:shd w:val="clear" w:color="auto" w:fill="auto"/>
            <w:noWrap/>
            <w:vAlign w:val="bottom"/>
            <w:hideMark/>
          </w:tcPr>
          <w:p w:rsidR="001D161D" w:rsidRDefault="00CC01C4" w:rsidP="000A2876">
            <w:pPr>
              <w:rPr>
                <w:color w:val="000000"/>
              </w:rPr>
            </w:pPr>
            <w:r>
              <w:rPr>
                <w:color w:val="000000"/>
              </w:rPr>
              <w:t xml:space="preserve"> $          6,</w:t>
            </w:r>
            <w:r w:rsidR="004F2243">
              <w:rPr>
                <w:color w:val="000000"/>
              </w:rPr>
              <w:t>063</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Cost of Paper:</w:t>
            </w:r>
          </w:p>
        </w:tc>
        <w:tc>
          <w:tcPr>
            <w:tcW w:w="1716" w:type="dxa"/>
            <w:shd w:val="clear" w:color="auto" w:fill="auto"/>
            <w:noWrap/>
            <w:vAlign w:val="bottom"/>
            <w:hideMark/>
          </w:tcPr>
          <w:p w:rsidR="001D161D" w:rsidRDefault="00CC01C4" w:rsidP="000A2876">
            <w:pPr>
              <w:rPr>
                <w:color w:val="000000"/>
              </w:rPr>
            </w:pPr>
            <w:r>
              <w:rPr>
                <w:color w:val="000000"/>
              </w:rPr>
              <w:t xml:space="preserve"> $          1,</w:t>
            </w:r>
            <w:r w:rsidR="004F2243">
              <w:rPr>
                <w:color w:val="000000"/>
              </w:rPr>
              <w:t>191</w:t>
            </w:r>
            <w:r w:rsidR="001D161D">
              <w:rPr>
                <w:color w:val="000000"/>
              </w:rPr>
              <w:t xml:space="preserve"> </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Mailing (Postage):</w:t>
            </w:r>
          </w:p>
        </w:tc>
        <w:tc>
          <w:tcPr>
            <w:tcW w:w="1716" w:type="dxa"/>
            <w:shd w:val="clear" w:color="auto" w:fill="auto"/>
            <w:noWrap/>
            <w:vAlign w:val="bottom"/>
            <w:hideMark/>
          </w:tcPr>
          <w:p w:rsidR="001D161D" w:rsidRDefault="00CC01C4" w:rsidP="000A2876">
            <w:pPr>
              <w:rPr>
                <w:color w:val="000000"/>
              </w:rPr>
            </w:pPr>
            <w:r>
              <w:rPr>
                <w:color w:val="000000"/>
              </w:rPr>
              <w:t xml:space="preserve"> $        </w:t>
            </w:r>
            <w:r w:rsidR="004F2243">
              <w:rPr>
                <w:color w:val="000000"/>
              </w:rPr>
              <w:t>27,681</w:t>
            </w:r>
            <w:r w:rsidR="001D161D">
              <w:rPr>
                <w:color w:val="000000"/>
              </w:rPr>
              <w:t xml:space="preserve"> </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Custom Envelopes</w:t>
            </w:r>
          </w:p>
        </w:tc>
        <w:tc>
          <w:tcPr>
            <w:tcW w:w="1716" w:type="dxa"/>
            <w:shd w:val="clear" w:color="auto" w:fill="auto"/>
            <w:noWrap/>
            <w:vAlign w:val="bottom"/>
            <w:hideMark/>
          </w:tcPr>
          <w:p w:rsidR="001D161D" w:rsidRDefault="00CC01C4" w:rsidP="000A2876">
            <w:pPr>
              <w:rPr>
                <w:color w:val="000000"/>
              </w:rPr>
            </w:pPr>
            <w:r>
              <w:rPr>
                <w:color w:val="000000"/>
              </w:rPr>
              <w:t xml:space="preserve"> $          </w:t>
            </w:r>
            <w:r w:rsidR="009D01E3">
              <w:rPr>
                <w:color w:val="000000"/>
              </w:rPr>
              <w:t>1,964</w:t>
            </w:r>
            <w:r w:rsidR="001D161D">
              <w:rPr>
                <w:color w:val="000000"/>
              </w:rPr>
              <w:t xml:space="preserve"> </w:t>
            </w:r>
          </w:p>
        </w:tc>
      </w:tr>
      <w:tr w:rsidR="001D161D" w:rsidTr="008D2F3B">
        <w:trPr>
          <w:trHeight w:val="360"/>
        </w:trPr>
        <w:tc>
          <w:tcPr>
            <w:tcW w:w="2756" w:type="dxa"/>
            <w:shd w:val="clear" w:color="auto" w:fill="auto"/>
            <w:noWrap/>
            <w:vAlign w:val="bottom"/>
            <w:hideMark/>
          </w:tcPr>
          <w:p w:rsidR="001D161D" w:rsidRDefault="001D161D" w:rsidP="000A2876">
            <w:pPr>
              <w:rPr>
                <w:color w:val="000000"/>
              </w:rPr>
            </w:pPr>
            <w:r>
              <w:rPr>
                <w:color w:val="000000"/>
              </w:rPr>
              <w:t>Equipment Maintenance:</w:t>
            </w:r>
          </w:p>
        </w:tc>
        <w:tc>
          <w:tcPr>
            <w:tcW w:w="1716" w:type="dxa"/>
            <w:shd w:val="clear" w:color="auto" w:fill="auto"/>
            <w:noWrap/>
            <w:vAlign w:val="bottom"/>
            <w:hideMark/>
          </w:tcPr>
          <w:p w:rsidR="001D161D" w:rsidRDefault="00CC01C4" w:rsidP="000A2876">
            <w:pPr>
              <w:rPr>
                <w:color w:val="000000"/>
              </w:rPr>
            </w:pPr>
            <w:r>
              <w:rPr>
                <w:color w:val="000000"/>
              </w:rPr>
              <w:t xml:space="preserve"> $          </w:t>
            </w:r>
            <w:r w:rsidR="009D01E3">
              <w:rPr>
                <w:color w:val="000000"/>
              </w:rPr>
              <w:t>3,412</w:t>
            </w:r>
            <w:r w:rsidR="001D161D">
              <w:rPr>
                <w:color w:val="000000"/>
              </w:rPr>
              <w:t xml:space="preserve"> </w:t>
            </w:r>
          </w:p>
        </w:tc>
      </w:tr>
      <w:tr w:rsidR="001D161D" w:rsidTr="008D2F3B">
        <w:trPr>
          <w:trHeight w:val="315"/>
        </w:trPr>
        <w:tc>
          <w:tcPr>
            <w:tcW w:w="2756" w:type="dxa"/>
            <w:shd w:val="clear" w:color="auto" w:fill="auto"/>
            <w:noWrap/>
            <w:vAlign w:val="bottom"/>
            <w:hideMark/>
          </w:tcPr>
          <w:p w:rsidR="001D161D" w:rsidRDefault="001D161D" w:rsidP="000A2876">
            <w:pPr>
              <w:rPr>
                <w:color w:val="000000"/>
              </w:rPr>
            </w:pPr>
            <w:r>
              <w:rPr>
                <w:color w:val="000000"/>
              </w:rPr>
              <w:t>Equipment/10 years:</w:t>
            </w:r>
          </w:p>
        </w:tc>
        <w:tc>
          <w:tcPr>
            <w:tcW w:w="1716" w:type="dxa"/>
            <w:shd w:val="clear" w:color="auto" w:fill="auto"/>
            <w:noWrap/>
            <w:vAlign w:val="bottom"/>
            <w:hideMark/>
          </w:tcPr>
          <w:p w:rsidR="001D161D" w:rsidRPr="00CC6239" w:rsidRDefault="00CC01C4" w:rsidP="000A2876">
            <w:pPr>
              <w:rPr>
                <w:color w:val="000000"/>
                <w:u w:val="single"/>
              </w:rPr>
            </w:pPr>
            <w:r>
              <w:rPr>
                <w:color w:val="000000"/>
                <w:u w:val="single"/>
              </w:rPr>
              <w:t xml:space="preserve"> $          5,</w:t>
            </w:r>
            <w:r w:rsidR="009D01E3">
              <w:rPr>
                <w:color w:val="000000"/>
                <w:u w:val="single"/>
              </w:rPr>
              <w:t>062</w:t>
            </w:r>
            <w:r w:rsidR="001D161D" w:rsidRPr="00CC6239">
              <w:rPr>
                <w:color w:val="000000"/>
                <w:u w:val="single"/>
              </w:rPr>
              <w:t xml:space="preserve"> </w:t>
            </w:r>
          </w:p>
        </w:tc>
      </w:tr>
      <w:tr w:rsidR="001D161D" w:rsidTr="008D2F3B">
        <w:trPr>
          <w:trHeight w:val="332"/>
        </w:trPr>
        <w:tc>
          <w:tcPr>
            <w:tcW w:w="2756" w:type="dxa"/>
            <w:shd w:val="clear" w:color="auto" w:fill="auto"/>
            <w:noWrap/>
            <w:vAlign w:val="bottom"/>
            <w:hideMark/>
          </w:tcPr>
          <w:p w:rsidR="001D161D" w:rsidRDefault="001D161D" w:rsidP="000A2876">
            <w:pPr>
              <w:rPr>
                <w:b/>
                <w:bCs/>
                <w:color w:val="000000"/>
              </w:rPr>
            </w:pPr>
            <w:r>
              <w:rPr>
                <w:b/>
                <w:bCs/>
                <w:color w:val="000000"/>
              </w:rPr>
              <w:t>Total</w:t>
            </w:r>
          </w:p>
        </w:tc>
        <w:tc>
          <w:tcPr>
            <w:tcW w:w="1716" w:type="dxa"/>
            <w:shd w:val="clear" w:color="auto" w:fill="auto"/>
            <w:noWrap/>
            <w:vAlign w:val="bottom"/>
            <w:hideMark/>
          </w:tcPr>
          <w:p w:rsidR="001D161D" w:rsidRDefault="00CC01C4" w:rsidP="000A2876">
            <w:pPr>
              <w:rPr>
                <w:b/>
                <w:bCs/>
                <w:color w:val="000000"/>
              </w:rPr>
            </w:pPr>
            <w:r>
              <w:rPr>
                <w:b/>
                <w:bCs/>
                <w:color w:val="000000"/>
              </w:rPr>
              <w:t xml:space="preserve"> $        </w:t>
            </w:r>
            <w:r w:rsidR="008F687C">
              <w:rPr>
                <w:b/>
                <w:bCs/>
                <w:color w:val="000000"/>
              </w:rPr>
              <w:t>47,608</w:t>
            </w:r>
            <w:r w:rsidR="001D161D">
              <w:rPr>
                <w:b/>
                <w:bCs/>
                <w:color w:val="000000"/>
              </w:rPr>
              <w:t xml:space="preserve"> </w:t>
            </w:r>
          </w:p>
        </w:tc>
      </w:tr>
    </w:tbl>
    <w:p w:rsidR="001D161D" w:rsidRPr="003238C7" w:rsidRDefault="0021299C" w:rsidP="00B70895">
      <w:pPr>
        <w:ind w:left="180"/>
        <w:rPr>
          <w:color w:val="000000"/>
          <w:sz w:val="20"/>
        </w:rPr>
      </w:pPr>
      <w:r>
        <w:rPr>
          <w:color w:val="000000"/>
          <w:sz w:val="20"/>
        </w:rPr>
        <w:t>*</w:t>
      </w:r>
      <w:r w:rsidR="001D161D" w:rsidRPr="003238C7">
        <w:rPr>
          <w:color w:val="000000"/>
          <w:sz w:val="20"/>
        </w:rPr>
        <w:t>Figures are rounded.</w:t>
      </w:r>
      <w:r w:rsidR="001D161D" w:rsidRPr="003238C7">
        <w:rPr>
          <w:color w:val="000000"/>
          <w:sz w:val="20"/>
        </w:rPr>
        <w:tab/>
      </w:r>
    </w:p>
    <w:p w:rsidR="001D161D" w:rsidRPr="008929A7" w:rsidRDefault="001D161D" w:rsidP="001D161D">
      <w:pPr>
        <w:rPr>
          <w:color w:val="000000"/>
        </w:rPr>
      </w:pPr>
    </w:p>
    <w:p w:rsidR="001D161D" w:rsidRDefault="001D161D" w:rsidP="001D161D">
      <w:pPr>
        <w:rPr>
          <w:color w:val="000000"/>
        </w:rPr>
      </w:pPr>
      <w:r w:rsidRPr="008929A7">
        <w:rPr>
          <w:color w:val="000000"/>
        </w:rPr>
        <w:t>Estimated Annual Labor Cost to Government:</w:t>
      </w:r>
    </w:p>
    <w:tbl>
      <w:tblPr>
        <w:tblW w:w="8820" w:type="dxa"/>
        <w:tblInd w:w="108" w:type="dxa"/>
        <w:tblLook w:val="04A0" w:firstRow="1" w:lastRow="0" w:firstColumn="1" w:lastColumn="0" w:noHBand="0" w:noVBand="1"/>
      </w:tblPr>
      <w:tblGrid>
        <w:gridCol w:w="5310"/>
        <w:gridCol w:w="1070"/>
        <w:gridCol w:w="820"/>
        <w:gridCol w:w="1620"/>
      </w:tblGrid>
      <w:tr w:rsidR="008D2F3B" w:rsidTr="007333B7">
        <w:trPr>
          <w:trHeight w:val="360"/>
        </w:trPr>
        <w:tc>
          <w:tcPr>
            <w:tcW w:w="5310" w:type="dxa"/>
            <w:tcBorders>
              <w:top w:val="nil"/>
              <w:left w:val="nil"/>
              <w:bottom w:val="nil"/>
              <w:right w:val="nil"/>
            </w:tcBorders>
            <w:shd w:val="clear" w:color="auto" w:fill="auto"/>
            <w:noWrap/>
            <w:vAlign w:val="bottom"/>
            <w:hideMark/>
          </w:tcPr>
          <w:p w:rsidR="001D161D" w:rsidRDefault="001D161D" w:rsidP="000A2876">
            <w:pPr>
              <w:rPr>
                <w:b/>
                <w:bCs/>
                <w:color w:val="000000"/>
              </w:rPr>
            </w:pPr>
            <w:r>
              <w:rPr>
                <w:b/>
                <w:bCs/>
                <w:color w:val="000000"/>
              </w:rPr>
              <w:t xml:space="preserve">Labor Category </w:t>
            </w:r>
          </w:p>
        </w:tc>
        <w:tc>
          <w:tcPr>
            <w:tcW w:w="1070" w:type="dxa"/>
            <w:tcBorders>
              <w:top w:val="nil"/>
              <w:left w:val="nil"/>
              <w:bottom w:val="nil"/>
              <w:right w:val="nil"/>
            </w:tcBorders>
            <w:shd w:val="clear" w:color="auto" w:fill="auto"/>
            <w:noWrap/>
            <w:vAlign w:val="bottom"/>
            <w:hideMark/>
          </w:tcPr>
          <w:p w:rsidR="001D161D" w:rsidRDefault="001D161D" w:rsidP="000A2876">
            <w:pPr>
              <w:jc w:val="center"/>
              <w:rPr>
                <w:b/>
                <w:bCs/>
                <w:color w:val="000000"/>
              </w:rPr>
            </w:pPr>
            <w:r>
              <w:rPr>
                <w:b/>
                <w:bCs/>
                <w:color w:val="000000"/>
              </w:rPr>
              <w:t>Number</w:t>
            </w:r>
          </w:p>
        </w:tc>
        <w:tc>
          <w:tcPr>
            <w:tcW w:w="820" w:type="dxa"/>
            <w:tcBorders>
              <w:top w:val="nil"/>
              <w:left w:val="nil"/>
              <w:bottom w:val="nil"/>
              <w:right w:val="nil"/>
            </w:tcBorders>
            <w:shd w:val="clear" w:color="auto" w:fill="auto"/>
            <w:noWrap/>
            <w:vAlign w:val="bottom"/>
            <w:hideMark/>
          </w:tcPr>
          <w:p w:rsidR="001D161D" w:rsidRDefault="001D161D" w:rsidP="000A2876">
            <w:pPr>
              <w:jc w:val="center"/>
              <w:rPr>
                <w:b/>
                <w:bCs/>
                <w:color w:val="000000"/>
              </w:rPr>
            </w:pPr>
            <w:r>
              <w:rPr>
                <w:b/>
                <w:bCs/>
                <w:color w:val="000000"/>
              </w:rPr>
              <w:t>% of time</w:t>
            </w:r>
          </w:p>
        </w:tc>
        <w:tc>
          <w:tcPr>
            <w:tcW w:w="1620" w:type="dxa"/>
            <w:tcBorders>
              <w:top w:val="nil"/>
              <w:left w:val="nil"/>
              <w:bottom w:val="nil"/>
              <w:right w:val="nil"/>
            </w:tcBorders>
            <w:shd w:val="clear" w:color="auto" w:fill="auto"/>
            <w:noWrap/>
            <w:vAlign w:val="bottom"/>
            <w:hideMark/>
          </w:tcPr>
          <w:p w:rsidR="001D161D" w:rsidRDefault="001D161D" w:rsidP="000A2876">
            <w:pPr>
              <w:jc w:val="center"/>
              <w:rPr>
                <w:b/>
                <w:bCs/>
                <w:color w:val="000000"/>
              </w:rPr>
            </w:pPr>
            <w:r>
              <w:rPr>
                <w:b/>
                <w:bCs/>
                <w:color w:val="000000"/>
              </w:rPr>
              <w:t>Cost</w:t>
            </w:r>
            <w:r w:rsidR="0021299C">
              <w:rPr>
                <w:b/>
                <w:bCs/>
                <w:color w:val="000000"/>
              </w:rPr>
              <w:t>*</w:t>
            </w:r>
          </w:p>
        </w:tc>
      </w:tr>
      <w:tr w:rsidR="00AB62E9" w:rsidTr="007333B7">
        <w:trPr>
          <w:trHeight w:val="315"/>
        </w:trPr>
        <w:tc>
          <w:tcPr>
            <w:tcW w:w="5310" w:type="dxa"/>
            <w:tcBorders>
              <w:top w:val="nil"/>
              <w:left w:val="nil"/>
              <w:bottom w:val="nil"/>
              <w:right w:val="nil"/>
            </w:tcBorders>
            <w:shd w:val="clear" w:color="auto" w:fill="auto"/>
            <w:noWrap/>
            <w:vAlign w:val="bottom"/>
            <w:hideMark/>
          </w:tcPr>
          <w:p w:rsidR="00AB62E9" w:rsidRDefault="00AB62E9" w:rsidP="000A2876">
            <w:pPr>
              <w:rPr>
                <w:color w:val="000000"/>
              </w:rPr>
            </w:pPr>
            <w:r>
              <w:rPr>
                <w:color w:val="000000"/>
              </w:rPr>
              <w:t>Registration Program Specialists – GS-963-9 (Field)</w:t>
            </w:r>
            <w:r w:rsidR="00853532" w:rsidRPr="009B41F2">
              <w:rPr>
                <w:rStyle w:val="FootnoteReference"/>
                <w:color w:val="000000"/>
                <w:vertAlign w:val="superscript"/>
              </w:rPr>
              <w:footnoteReference w:id="2"/>
            </w:r>
          </w:p>
        </w:tc>
        <w:tc>
          <w:tcPr>
            <w:tcW w:w="1070" w:type="dxa"/>
            <w:tcBorders>
              <w:top w:val="nil"/>
              <w:left w:val="nil"/>
              <w:bottom w:val="nil"/>
              <w:right w:val="nil"/>
            </w:tcBorders>
            <w:shd w:val="clear" w:color="auto" w:fill="auto"/>
            <w:noWrap/>
            <w:vAlign w:val="bottom"/>
            <w:hideMark/>
          </w:tcPr>
          <w:p w:rsidR="00AB62E9" w:rsidRDefault="00AB62E9" w:rsidP="000A2876">
            <w:pPr>
              <w:jc w:val="right"/>
              <w:rPr>
                <w:color w:val="000000"/>
              </w:rPr>
            </w:pPr>
            <w:r>
              <w:rPr>
                <w:color w:val="000000"/>
              </w:rPr>
              <w:t>54</w:t>
            </w:r>
          </w:p>
        </w:tc>
        <w:tc>
          <w:tcPr>
            <w:tcW w:w="820" w:type="dxa"/>
            <w:tcBorders>
              <w:top w:val="nil"/>
              <w:left w:val="nil"/>
              <w:bottom w:val="nil"/>
              <w:right w:val="nil"/>
            </w:tcBorders>
            <w:shd w:val="clear" w:color="auto" w:fill="auto"/>
            <w:noWrap/>
            <w:vAlign w:val="bottom"/>
            <w:hideMark/>
          </w:tcPr>
          <w:p w:rsidR="00AB62E9" w:rsidRDefault="00042A21" w:rsidP="000A2876">
            <w:pPr>
              <w:jc w:val="right"/>
              <w:rPr>
                <w:color w:val="000000"/>
              </w:rPr>
            </w:pPr>
            <w:r>
              <w:rPr>
                <w:color w:val="000000"/>
              </w:rPr>
              <w:t>97</w:t>
            </w:r>
            <w:r w:rsidR="00AB62E9">
              <w:rPr>
                <w:color w:val="000000"/>
              </w:rPr>
              <w:t>%</w:t>
            </w:r>
          </w:p>
        </w:tc>
        <w:tc>
          <w:tcPr>
            <w:tcW w:w="1620" w:type="dxa"/>
            <w:tcBorders>
              <w:top w:val="nil"/>
              <w:left w:val="nil"/>
              <w:bottom w:val="nil"/>
              <w:right w:val="nil"/>
            </w:tcBorders>
            <w:shd w:val="clear" w:color="auto" w:fill="auto"/>
            <w:noWrap/>
            <w:vAlign w:val="bottom"/>
            <w:hideMark/>
          </w:tcPr>
          <w:p w:rsidR="00AB62E9" w:rsidRDefault="00042A21" w:rsidP="000A2876">
            <w:pPr>
              <w:rPr>
                <w:color w:val="000000"/>
              </w:rPr>
            </w:pPr>
            <w:r>
              <w:rPr>
                <w:color w:val="000000"/>
              </w:rPr>
              <w:t xml:space="preserve"> $  5,350,548</w:t>
            </w:r>
            <w:r w:rsidR="00AB62E9">
              <w:rPr>
                <w:color w:val="000000"/>
              </w:rPr>
              <w:t xml:space="preserve"> </w:t>
            </w:r>
          </w:p>
        </w:tc>
      </w:tr>
      <w:tr w:rsidR="00AB62E9" w:rsidTr="007333B7">
        <w:trPr>
          <w:trHeight w:val="315"/>
        </w:trPr>
        <w:tc>
          <w:tcPr>
            <w:tcW w:w="5310" w:type="dxa"/>
            <w:tcBorders>
              <w:top w:val="nil"/>
              <w:left w:val="nil"/>
              <w:bottom w:val="nil"/>
              <w:right w:val="nil"/>
            </w:tcBorders>
            <w:shd w:val="clear" w:color="auto" w:fill="auto"/>
            <w:noWrap/>
            <w:vAlign w:val="bottom"/>
            <w:hideMark/>
          </w:tcPr>
          <w:p w:rsidR="00AB62E9" w:rsidRDefault="00AB62E9" w:rsidP="000A2876">
            <w:pPr>
              <w:rPr>
                <w:color w:val="000000"/>
              </w:rPr>
            </w:pPr>
            <w:r>
              <w:rPr>
                <w:color w:val="000000"/>
              </w:rPr>
              <w:t>Legal Instrument Examiners – GS-963-9 (HQ)</w:t>
            </w:r>
            <w:r w:rsidR="00042A21" w:rsidRPr="00042A21">
              <w:rPr>
                <w:rStyle w:val="FootnoteReference"/>
                <w:color w:val="000000"/>
                <w:vertAlign w:val="superscript"/>
              </w:rPr>
              <w:footnoteReference w:id="3"/>
            </w:r>
          </w:p>
        </w:tc>
        <w:tc>
          <w:tcPr>
            <w:tcW w:w="1070" w:type="dxa"/>
            <w:tcBorders>
              <w:top w:val="nil"/>
              <w:left w:val="nil"/>
              <w:bottom w:val="nil"/>
              <w:right w:val="nil"/>
            </w:tcBorders>
            <w:shd w:val="clear" w:color="auto" w:fill="auto"/>
            <w:noWrap/>
            <w:vAlign w:val="bottom"/>
            <w:hideMark/>
          </w:tcPr>
          <w:p w:rsidR="00AB62E9" w:rsidRDefault="00AB62E9" w:rsidP="000A2876">
            <w:pPr>
              <w:jc w:val="right"/>
              <w:rPr>
                <w:color w:val="000000"/>
              </w:rPr>
            </w:pPr>
            <w:r>
              <w:rPr>
                <w:color w:val="000000"/>
              </w:rPr>
              <w:t>1</w:t>
            </w:r>
          </w:p>
        </w:tc>
        <w:tc>
          <w:tcPr>
            <w:tcW w:w="820" w:type="dxa"/>
            <w:tcBorders>
              <w:top w:val="nil"/>
              <w:left w:val="nil"/>
              <w:bottom w:val="nil"/>
              <w:right w:val="nil"/>
            </w:tcBorders>
            <w:shd w:val="clear" w:color="auto" w:fill="auto"/>
            <w:noWrap/>
            <w:vAlign w:val="bottom"/>
            <w:hideMark/>
          </w:tcPr>
          <w:p w:rsidR="00AB62E9" w:rsidRDefault="00042A21" w:rsidP="000A2876">
            <w:pPr>
              <w:jc w:val="right"/>
              <w:rPr>
                <w:color w:val="000000"/>
              </w:rPr>
            </w:pPr>
            <w:r>
              <w:rPr>
                <w:color w:val="000000"/>
              </w:rPr>
              <w:t>95</w:t>
            </w:r>
            <w:r w:rsidR="00AB62E9">
              <w:rPr>
                <w:color w:val="000000"/>
              </w:rPr>
              <w:t>%</w:t>
            </w:r>
          </w:p>
        </w:tc>
        <w:tc>
          <w:tcPr>
            <w:tcW w:w="1620" w:type="dxa"/>
            <w:tcBorders>
              <w:top w:val="nil"/>
              <w:left w:val="nil"/>
              <w:bottom w:val="nil"/>
              <w:right w:val="nil"/>
            </w:tcBorders>
            <w:shd w:val="clear" w:color="auto" w:fill="auto"/>
            <w:noWrap/>
            <w:vAlign w:val="bottom"/>
            <w:hideMark/>
          </w:tcPr>
          <w:p w:rsidR="00AB62E9" w:rsidRDefault="00042A21" w:rsidP="000A2876">
            <w:pPr>
              <w:rPr>
                <w:color w:val="000000"/>
              </w:rPr>
            </w:pPr>
            <w:r>
              <w:rPr>
                <w:color w:val="000000"/>
              </w:rPr>
              <w:t xml:space="preserve"> $       96,670</w:t>
            </w:r>
            <w:r w:rsidR="00AB62E9">
              <w:rPr>
                <w:color w:val="000000"/>
              </w:rPr>
              <w:t xml:space="preserve"> </w:t>
            </w:r>
          </w:p>
        </w:tc>
      </w:tr>
      <w:tr w:rsidR="00AB62E9" w:rsidTr="007333B7">
        <w:trPr>
          <w:trHeight w:val="315"/>
        </w:trPr>
        <w:tc>
          <w:tcPr>
            <w:tcW w:w="5310" w:type="dxa"/>
            <w:tcBorders>
              <w:top w:val="nil"/>
              <w:left w:val="nil"/>
              <w:bottom w:val="nil"/>
              <w:right w:val="nil"/>
            </w:tcBorders>
            <w:shd w:val="clear" w:color="auto" w:fill="auto"/>
            <w:noWrap/>
            <w:vAlign w:val="bottom"/>
            <w:hideMark/>
          </w:tcPr>
          <w:p w:rsidR="00AB62E9" w:rsidRDefault="00AB62E9" w:rsidP="000A2876">
            <w:pPr>
              <w:rPr>
                <w:color w:val="000000"/>
              </w:rPr>
            </w:pPr>
            <w:r>
              <w:rPr>
                <w:color w:val="000000"/>
              </w:rPr>
              <w:t>Legal Instrument Examiner – GS-963-11 (HQ)</w:t>
            </w:r>
            <w:r w:rsidR="00042A21" w:rsidRPr="00042A21">
              <w:rPr>
                <w:rStyle w:val="FootnoteReference"/>
                <w:color w:val="000000"/>
                <w:vertAlign w:val="superscript"/>
              </w:rPr>
              <w:footnoteReference w:id="4"/>
            </w:r>
          </w:p>
        </w:tc>
        <w:tc>
          <w:tcPr>
            <w:tcW w:w="1070" w:type="dxa"/>
            <w:tcBorders>
              <w:top w:val="nil"/>
              <w:left w:val="nil"/>
              <w:bottom w:val="nil"/>
              <w:right w:val="nil"/>
            </w:tcBorders>
            <w:shd w:val="clear" w:color="auto" w:fill="auto"/>
            <w:noWrap/>
            <w:vAlign w:val="bottom"/>
            <w:hideMark/>
          </w:tcPr>
          <w:p w:rsidR="00AB62E9" w:rsidRDefault="00AB62E9" w:rsidP="000A2876">
            <w:pPr>
              <w:jc w:val="right"/>
              <w:rPr>
                <w:color w:val="000000"/>
              </w:rPr>
            </w:pPr>
            <w:r>
              <w:rPr>
                <w:color w:val="000000"/>
              </w:rPr>
              <w:t>1</w:t>
            </w:r>
          </w:p>
        </w:tc>
        <w:tc>
          <w:tcPr>
            <w:tcW w:w="820" w:type="dxa"/>
            <w:tcBorders>
              <w:top w:val="nil"/>
              <w:left w:val="nil"/>
              <w:bottom w:val="nil"/>
              <w:right w:val="nil"/>
            </w:tcBorders>
            <w:shd w:val="clear" w:color="auto" w:fill="auto"/>
            <w:noWrap/>
            <w:vAlign w:val="bottom"/>
            <w:hideMark/>
          </w:tcPr>
          <w:p w:rsidR="00AB62E9" w:rsidRDefault="00042A21" w:rsidP="000A2876">
            <w:pPr>
              <w:jc w:val="right"/>
              <w:rPr>
                <w:color w:val="000000"/>
              </w:rPr>
            </w:pPr>
            <w:r>
              <w:rPr>
                <w:color w:val="000000"/>
              </w:rPr>
              <w:t>95</w:t>
            </w:r>
            <w:r w:rsidR="00AB62E9">
              <w:rPr>
                <w:color w:val="000000"/>
              </w:rPr>
              <w:t>%</w:t>
            </w:r>
          </w:p>
        </w:tc>
        <w:tc>
          <w:tcPr>
            <w:tcW w:w="1620" w:type="dxa"/>
            <w:tcBorders>
              <w:top w:val="nil"/>
              <w:left w:val="nil"/>
              <w:bottom w:val="nil"/>
              <w:right w:val="nil"/>
            </w:tcBorders>
            <w:shd w:val="clear" w:color="auto" w:fill="auto"/>
            <w:noWrap/>
            <w:vAlign w:val="bottom"/>
            <w:hideMark/>
          </w:tcPr>
          <w:p w:rsidR="00AB62E9" w:rsidRPr="00AB62E9" w:rsidRDefault="00042A21" w:rsidP="000A2876">
            <w:pPr>
              <w:rPr>
                <w:color w:val="000000"/>
                <w:u w:val="single"/>
              </w:rPr>
            </w:pPr>
            <w:r>
              <w:rPr>
                <w:color w:val="000000"/>
                <w:u w:val="single"/>
              </w:rPr>
              <w:t xml:space="preserve"> $     116,961</w:t>
            </w:r>
            <w:r w:rsidR="00AB62E9" w:rsidRPr="00AB62E9">
              <w:rPr>
                <w:color w:val="000000"/>
                <w:u w:val="single"/>
              </w:rPr>
              <w:t xml:space="preserve"> </w:t>
            </w:r>
          </w:p>
        </w:tc>
      </w:tr>
      <w:tr w:rsidR="00AB62E9" w:rsidTr="007333B7">
        <w:trPr>
          <w:trHeight w:val="315"/>
        </w:trPr>
        <w:tc>
          <w:tcPr>
            <w:tcW w:w="5310" w:type="dxa"/>
            <w:tcBorders>
              <w:top w:val="nil"/>
              <w:left w:val="nil"/>
              <w:bottom w:val="nil"/>
              <w:right w:val="nil"/>
            </w:tcBorders>
            <w:shd w:val="clear" w:color="auto" w:fill="auto"/>
            <w:noWrap/>
            <w:vAlign w:val="bottom"/>
            <w:hideMark/>
          </w:tcPr>
          <w:p w:rsidR="00AB62E9" w:rsidRDefault="00AB62E9" w:rsidP="00407CB4">
            <w:pPr>
              <w:rPr>
                <w:color w:val="000000"/>
              </w:rPr>
            </w:pPr>
            <w:r>
              <w:rPr>
                <w:b/>
                <w:bCs/>
                <w:color w:val="000000"/>
              </w:rPr>
              <w:t>Total</w:t>
            </w:r>
          </w:p>
        </w:tc>
        <w:tc>
          <w:tcPr>
            <w:tcW w:w="1070" w:type="dxa"/>
            <w:tcBorders>
              <w:top w:val="nil"/>
              <w:left w:val="nil"/>
              <w:bottom w:val="nil"/>
              <w:right w:val="nil"/>
            </w:tcBorders>
            <w:shd w:val="clear" w:color="auto" w:fill="auto"/>
            <w:noWrap/>
            <w:vAlign w:val="bottom"/>
            <w:hideMark/>
          </w:tcPr>
          <w:p w:rsidR="00AB62E9" w:rsidRDefault="00AB62E9" w:rsidP="000A2876">
            <w:pPr>
              <w:jc w:val="right"/>
              <w:rPr>
                <w:color w:val="000000"/>
              </w:rPr>
            </w:pPr>
          </w:p>
        </w:tc>
        <w:tc>
          <w:tcPr>
            <w:tcW w:w="820" w:type="dxa"/>
            <w:tcBorders>
              <w:top w:val="nil"/>
              <w:left w:val="nil"/>
              <w:bottom w:val="nil"/>
              <w:right w:val="nil"/>
            </w:tcBorders>
            <w:shd w:val="clear" w:color="auto" w:fill="auto"/>
            <w:noWrap/>
            <w:vAlign w:val="bottom"/>
            <w:hideMark/>
          </w:tcPr>
          <w:p w:rsidR="00AB62E9" w:rsidRDefault="00AB62E9" w:rsidP="000A2876">
            <w:pPr>
              <w:jc w:val="right"/>
              <w:rPr>
                <w:color w:val="000000"/>
              </w:rPr>
            </w:pPr>
          </w:p>
        </w:tc>
        <w:tc>
          <w:tcPr>
            <w:tcW w:w="1620" w:type="dxa"/>
            <w:tcBorders>
              <w:top w:val="nil"/>
              <w:left w:val="nil"/>
              <w:bottom w:val="nil"/>
              <w:right w:val="nil"/>
            </w:tcBorders>
            <w:shd w:val="clear" w:color="auto" w:fill="auto"/>
            <w:noWrap/>
            <w:vAlign w:val="bottom"/>
            <w:hideMark/>
          </w:tcPr>
          <w:p w:rsidR="00AB62E9" w:rsidRDefault="00042A21" w:rsidP="000A2876">
            <w:pPr>
              <w:rPr>
                <w:color w:val="000000"/>
              </w:rPr>
            </w:pPr>
            <w:r>
              <w:rPr>
                <w:b/>
                <w:bCs/>
                <w:color w:val="000000"/>
              </w:rPr>
              <w:t xml:space="preserve"> $  5,564,179</w:t>
            </w:r>
            <w:r w:rsidR="00AB62E9">
              <w:rPr>
                <w:b/>
                <w:bCs/>
                <w:color w:val="000000"/>
              </w:rPr>
              <w:t xml:space="preserve"> </w:t>
            </w:r>
          </w:p>
        </w:tc>
      </w:tr>
    </w:tbl>
    <w:p w:rsidR="001D161D" w:rsidRPr="008929A7" w:rsidRDefault="0021299C" w:rsidP="00B70895">
      <w:pPr>
        <w:ind w:left="180"/>
        <w:rPr>
          <w:color w:val="000000"/>
        </w:rPr>
      </w:pPr>
      <w:r>
        <w:rPr>
          <w:color w:val="000000"/>
          <w:sz w:val="20"/>
        </w:rPr>
        <w:t>*</w:t>
      </w:r>
      <w:r w:rsidR="001D161D" w:rsidRPr="003238C7">
        <w:rPr>
          <w:color w:val="000000"/>
          <w:sz w:val="20"/>
        </w:rPr>
        <w:t>Figures are rounded.</w:t>
      </w:r>
      <w:r w:rsidR="001D161D" w:rsidRPr="003238C7">
        <w:rPr>
          <w:color w:val="000000"/>
          <w:sz w:val="20"/>
        </w:rPr>
        <w:tab/>
      </w:r>
    </w:p>
    <w:p w:rsidR="001D161D" w:rsidRPr="008929A7" w:rsidRDefault="001D161D" w:rsidP="001D161D">
      <w:pPr>
        <w:rPr>
          <w:color w:val="000000"/>
        </w:rPr>
      </w:pPr>
    </w:p>
    <w:p w:rsidR="001D161D" w:rsidRPr="008073D7" w:rsidRDefault="001D161D" w:rsidP="001D161D">
      <w:pPr>
        <w:rPr>
          <w:b/>
          <w:color w:val="000000"/>
        </w:rPr>
      </w:pPr>
      <w:r w:rsidRPr="008073D7">
        <w:rPr>
          <w:b/>
          <w:color w:val="000000"/>
        </w:rPr>
        <w:t>Grand Total:</w:t>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Pr="008073D7">
        <w:rPr>
          <w:b/>
          <w:color w:val="000000"/>
        </w:rPr>
        <w:tab/>
      </w:r>
      <w:r w:rsidR="007333B7">
        <w:rPr>
          <w:b/>
          <w:color w:val="000000"/>
        </w:rPr>
        <w:tab/>
      </w:r>
      <w:r w:rsidR="007333B7">
        <w:rPr>
          <w:b/>
          <w:color w:val="000000"/>
        </w:rPr>
        <w:tab/>
        <w:t xml:space="preserve">   </w:t>
      </w:r>
      <w:r w:rsidR="008F687C">
        <w:rPr>
          <w:b/>
          <w:color w:val="000000"/>
        </w:rPr>
        <w:t xml:space="preserve"> $5,611,787</w:t>
      </w:r>
    </w:p>
    <w:p w:rsidR="001D161D" w:rsidRPr="008929A7" w:rsidRDefault="001D161D" w:rsidP="001D161D">
      <w:pPr>
        <w:rPr>
          <w:color w:val="000000"/>
        </w:rPr>
      </w:pPr>
    </w:p>
    <w:p w:rsidR="001D161D" w:rsidRPr="00F117FD" w:rsidRDefault="001D161D" w:rsidP="001D161D">
      <w:r>
        <w:rPr>
          <w:color w:val="000000"/>
        </w:rPr>
        <w:t>A</w:t>
      </w:r>
      <w:r w:rsidRPr="00F117FD">
        <w:rPr>
          <w:color w:val="000000"/>
        </w:rPr>
        <w:t>ll costs are recovered from registrants through registration fees, as required by the</w:t>
      </w:r>
      <w:r w:rsidR="006B178C">
        <w:rPr>
          <w:color w:val="000000"/>
        </w:rPr>
        <w:t xml:space="preserve"> </w:t>
      </w:r>
      <w:r w:rsidR="0021299C">
        <w:rPr>
          <w:color w:val="000000"/>
        </w:rPr>
        <w:t>CSA</w:t>
      </w:r>
      <w:r w:rsidRPr="00F117FD">
        <w:rPr>
          <w:color w:val="000000"/>
        </w:rPr>
        <w:t>.</w:t>
      </w:r>
      <w:r w:rsidR="0021299C">
        <w:rPr>
          <w:color w:val="000000"/>
        </w:rPr>
        <w:t xml:space="preserve">  21 U.S.C. 886a.</w:t>
      </w:r>
      <w:r w:rsidR="000F3874">
        <w:rPr>
          <w:color w:val="000000"/>
        </w:rPr>
        <w:t xml:space="preserve">  Gove</w:t>
      </w:r>
      <w:r w:rsidR="009D01E3">
        <w:rPr>
          <w:color w:val="000000"/>
        </w:rPr>
        <w:t>rnment salary figures include 60.26</w:t>
      </w:r>
      <w:r w:rsidR="000F3874">
        <w:rPr>
          <w:color w:val="000000"/>
        </w:rPr>
        <w:t xml:space="preserve">% load for benefits </w:t>
      </w:r>
      <w:r w:rsidR="000F3874">
        <w:t>b</w:t>
      </w:r>
      <w:r w:rsidR="000F3874" w:rsidRPr="00BA2672">
        <w:t xml:space="preserve">ased on the </w:t>
      </w:r>
      <w:r w:rsidR="000F3874">
        <w:t>ECEC</w:t>
      </w:r>
      <w:r w:rsidR="000F3874" w:rsidRPr="00BA2672">
        <w:t xml:space="preserve"> </w:t>
      </w:r>
      <w:r w:rsidR="000F3874">
        <w:t>for “State and local government.”  The ECEC does not include figures for</w:t>
      </w:r>
      <w:r w:rsidR="00F25937">
        <w:t xml:space="preserve"> the</w:t>
      </w:r>
      <w:r w:rsidR="000F3874">
        <w:t xml:space="preserve"> Federal </w:t>
      </w:r>
      <w:r w:rsidR="00CC6239">
        <w:t>G</w:t>
      </w:r>
      <w:r w:rsidR="000F3874">
        <w:t>overnment</w:t>
      </w:r>
      <w:r w:rsidR="000F3874">
        <w:rPr>
          <w:color w:val="000000"/>
        </w:rPr>
        <w:t>.</w:t>
      </w:r>
    </w:p>
    <w:p w:rsidR="001D161D" w:rsidRPr="00F117FD" w:rsidRDefault="001D161D" w:rsidP="001D161D"/>
    <w:p w:rsidR="001D161D" w:rsidRPr="00F117FD" w:rsidRDefault="001D161D" w:rsidP="001D161D">
      <w:r w:rsidRPr="00F117FD">
        <w:t xml:space="preserve">15. </w:t>
      </w:r>
      <w:r w:rsidRPr="00717F2A">
        <w:rPr>
          <w:u w:val="single"/>
        </w:rPr>
        <w:t>Reasons for Change in Burden</w:t>
      </w:r>
      <w:r w:rsidRPr="00F117FD">
        <w:t>:</w:t>
      </w:r>
    </w:p>
    <w:p w:rsidR="001D161D" w:rsidRPr="00F117FD" w:rsidRDefault="001D161D" w:rsidP="001D161D"/>
    <w:p w:rsidR="001D161D" w:rsidRDefault="007869DE" w:rsidP="001D161D">
      <w:r>
        <w:t>Changes reflect population adjustments and greater use of online applications, which take less time to complete.  Although there was a slight increase in the percentage of applicants applying online, having a great</w:t>
      </w:r>
      <w:r w:rsidR="00FA0F2E">
        <w:t>er number of respondents from October 2017 to September 2018</w:t>
      </w:r>
      <w:r>
        <w:t xml:space="preserve"> results in a net increase in the annual burden hours.</w:t>
      </w:r>
      <w:r w:rsidR="001D161D">
        <w:t xml:space="preserve">  </w:t>
      </w:r>
      <w:r w:rsidR="00CC6239" w:rsidRPr="00CC6239">
        <w:t xml:space="preserve">Although practitioners are registered for a three-year cycle and the number of registrants is not equally distributed between years of the cycle, </w:t>
      </w:r>
      <w:r w:rsidR="00FA0F2E" w:rsidRPr="00FA0F2E">
        <w:t xml:space="preserve">October </w:t>
      </w:r>
      <w:r w:rsidR="00FA0F2E">
        <w:t xml:space="preserve">1, </w:t>
      </w:r>
      <w:r w:rsidR="00FA0F2E" w:rsidRPr="00FA0F2E">
        <w:t xml:space="preserve">2017 to September </w:t>
      </w:r>
      <w:r w:rsidR="00FA0F2E">
        <w:t xml:space="preserve">30, </w:t>
      </w:r>
      <w:r w:rsidR="00FA0F2E" w:rsidRPr="00FA0F2E">
        <w:t>2018</w:t>
      </w:r>
      <w:r w:rsidR="00CC6239" w:rsidRPr="00CC6239">
        <w:t xml:space="preserve"> is a reasonable approximation of the average annual burden as it is very close to the average of the three years.  Additionally, the growth rate in the number of practitioners is low enough w</w:t>
      </w:r>
      <w:r w:rsidR="00FA0F2E">
        <w:t>here the actual numbers for this period</w:t>
      </w:r>
      <w:r w:rsidR="00CC6239" w:rsidRPr="00CC6239">
        <w:t xml:space="preserve"> would not be materially different from the number expected for the next several years.</w:t>
      </w:r>
      <w:r w:rsidR="00CC6239">
        <w:t xml:space="preserve">  </w:t>
      </w:r>
      <w:r w:rsidR="001D161D">
        <w:t>Although there is a small increase i</w:t>
      </w:r>
      <w:r w:rsidR="00FA0F2E">
        <w:t>n the burden hours, the increase</w:t>
      </w:r>
      <w:r w:rsidR="001D161D">
        <w:t xml:space="preserve"> in th</w:t>
      </w:r>
      <w:r w:rsidR="00FA0F2E">
        <w:t>e annual cost is attributed to th</w:t>
      </w:r>
      <w:r w:rsidR="009D3896">
        <w:t>e mean hourly wage increase of physicians and s</w:t>
      </w:r>
      <w:r w:rsidR="00FA0F2E">
        <w:t>urgeons.</w:t>
      </w:r>
      <w:r w:rsidR="001D161D">
        <w:t xml:space="preserve"> </w:t>
      </w:r>
      <w:r w:rsidR="00FA0F2E">
        <w:t xml:space="preserve"> </w:t>
      </w:r>
      <w:r>
        <w:t xml:space="preserve">There </w:t>
      </w:r>
      <w:r w:rsidR="001D161D">
        <w:t>have been no statutory or regulatory changes affecting this information collection.  The table below summarizes the changes since the last renewal of this information collection.</w:t>
      </w:r>
    </w:p>
    <w:p w:rsidR="001D161D" w:rsidRDefault="001D161D" w:rsidP="001D161D"/>
    <w:tbl>
      <w:tblPr>
        <w:tblW w:w="8105" w:type="dxa"/>
        <w:tblInd w:w="103" w:type="dxa"/>
        <w:tblLook w:val="04A0" w:firstRow="1" w:lastRow="0" w:firstColumn="1" w:lastColumn="0" w:noHBand="0" w:noVBand="1"/>
      </w:tblPr>
      <w:tblGrid>
        <w:gridCol w:w="2363"/>
        <w:gridCol w:w="1872"/>
        <w:gridCol w:w="1890"/>
        <w:gridCol w:w="1980"/>
      </w:tblGrid>
      <w:tr w:rsidR="001D161D" w:rsidTr="000A2876">
        <w:trPr>
          <w:trHeight w:val="630"/>
        </w:trPr>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61D" w:rsidRDefault="001D161D" w:rsidP="000A2876">
            <w:pPr>
              <w:rPr>
                <w:color w:val="000000"/>
              </w:rPr>
            </w:pPr>
            <w:r>
              <w:rPr>
                <w:rFonts w:eastAsia="SimSun"/>
                <w:color w:val="000000"/>
              </w:rPr>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1D161D" w:rsidRDefault="00FA0F2E" w:rsidP="000A2876">
            <w:pPr>
              <w:jc w:val="center"/>
              <w:rPr>
                <w:b/>
                <w:bCs/>
                <w:color w:val="000000"/>
              </w:rPr>
            </w:pPr>
            <w:r>
              <w:rPr>
                <w:rFonts w:eastAsia="SimSun"/>
                <w:b/>
                <w:bCs/>
                <w:color w:val="000000"/>
              </w:rPr>
              <w:t>2015</w:t>
            </w:r>
            <w:r w:rsidR="001D161D">
              <w:rPr>
                <w:rFonts w:eastAsia="SimSun"/>
                <w:b/>
                <w:bCs/>
                <w:color w:val="000000"/>
              </w:rPr>
              <w:t xml:space="preserve"> Approved Burden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1D161D" w:rsidRDefault="00FA0F2E" w:rsidP="005D6B4C">
            <w:pPr>
              <w:jc w:val="center"/>
              <w:rPr>
                <w:b/>
                <w:bCs/>
                <w:color w:val="000000"/>
              </w:rPr>
            </w:pPr>
            <w:r>
              <w:rPr>
                <w:rFonts w:eastAsia="SimSun"/>
                <w:b/>
                <w:bCs/>
                <w:color w:val="000000"/>
              </w:rPr>
              <w:t>201</w:t>
            </w:r>
            <w:r w:rsidR="005D6B4C">
              <w:rPr>
                <w:rFonts w:eastAsia="SimSun"/>
                <w:b/>
                <w:bCs/>
                <w:color w:val="000000"/>
              </w:rPr>
              <w:t>9</w:t>
            </w:r>
            <w:r w:rsidR="001D161D">
              <w:rPr>
                <w:rFonts w:eastAsia="SimSun"/>
                <w:b/>
                <w:bCs/>
                <w:color w:val="000000"/>
              </w:rPr>
              <w:t xml:space="preserve"> Requested Burden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1D161D" w:rsidRDefault="001D161D" w:rsidP="000A2876">
            <w:pPr>
              <w:jc w:val="center"/>
              <w:rPr>
                <w:b/>
                <w:bCs/>
                <w:color w:val="000000"/>
              </w:rPr>
            </w:pPr>
            <w:r>
              <w:rPr>
                <w:rFonts w:eastAsia="SimSun"/>
                <w:b/>
                <w:bCs/>
                <w:color w:val="000000"/>
              </w:rPr>
              <w:t>Difference</w:t>
            </w:r>
          </w:p>
        </w:tc>
      </w:tr>
      <w:tr w:rsidR="00FA0F2E" w:rsidTr="0057364C">
        <w:trPr>
          <w:trHeight w:val="31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FA0F2E" w:rsidRDefault="00FA0F2E" w:rsidP="000A2876">
            <w:pPr>
              <w:rPr>
                <w:color w:val="000000"/>
              </w:rPr>
            </w:pPr>
            <w:r>
              <w:rPr>
                <w:rFonts w:eastAsia="SimSun"/>
                <w:color w:val="000000"/>
              </w:rPr>
              <w:t>Annual respondents</w:t>
            </w:r>
          </w:p>
        </w:tc>
        <w:tc>
          <w:tcPr>
            <w:tcW w:w="1872" w:type="dxa"/>
            <w:tcBorders>
              <w:top w:val="nil"/>
              <w:left w:val="nil"/>
              <w:bottom w:val="single" w:sz="4" w:space="0" w:color="auto"/>
              <w:right w:val="single" w:sz="4" w:space="0" w:color="auto"/>
            </w:tcBorders>
            <w:shd w:val="clear" w:color="auto" w:fill="auto"/>
            <w:hideMark/>
          </w:tcPr>
          <w:p w:rsidR="00FA0F2E" w:rsidRPr="007C2675" w:rsidRDefault="00FA0F2E" w:rsidP="00545E6D">
            <w:r w:rsidRPr="007C2675">
              <w:t xml:space="preserve">              534,082 </w:t>
            </w:r>
          </w:p>
        </w:tc>
        <w:tc>
          <w:tcPr>
            <w:tcW w:w="1890" w:type="dxa"/>
            <w:tcBorders>
              <w:top w:val="nil"/>
              <w:left w:val="nil"/>
              <w:bottom w:val="single" w:sz="4" w:space="0" w:color="auto"/>
              <w:right w:val="single" w:sz="4" w:space="0" w:color="auto"/>
            </w:tcBorders>
            <w:shd w:val="clear" w:color="auto" w:fill="auto"/>
            <w:noWrap/>
            <w:vAlign w:val="center"/>
          </w:tcPr>
          <w:p w:rsidR="00FA0F2E" w:rsidRDefault="00FA0F2E" w:rsidP="00774BF7">
            <w:pPr>
              <w:jc w:val="right"/>
              <w:rPr>
                <w:color w:val="000000"/>
              </w:rPr>
            </w:pPr>
            <w:r>
              <w:rPr>
                <w:color w:val="000000"/>
              </w:rPr>
              <w:t>617,979</w:t>
            </w:r>
          </w:p>
        </w:tc>
        <w:tc>
          <w:tcPr>
            <w:tcW w:w="1980" w:type="dxa"/>
            <w:tcBorders>
              <w:top w:val="nil"/>
              <w:left w:val="nil"/>
              <w:bottom w:val="single" w:sz="4" w:space="0" w:color="auto"/>
              <w:right w:val="single" w:sz="4" w:space="0" w:color="auto"/>
            </w:tcBorders>
            <w:shd w:val="clear" w:color="auto" w:fill="auto"/>
            <w:vAlign w:val="center"/>
            <w:hideMark/>
          </w:tcPr>
          <w:p w:rsidR="00FA0F2E" w:rsidRDefault="009D3896" w:rsidP="00774BF7">
            <w:pPr>
              <w:jc w:val="right"/>
              <w:rPr>
                <w:color w:val="000000"/>
              </w:rPr>
            </w:pPr>
            <w:r>
              <w:rPr>
                <w:color w:val="000000"/>
              </w:rPr>
              <w:t xml:space="preserve">                83,897</w:t>
            </w:r>
            <w:r w:rsidR="00FA0F2E">
              <w:rPr>
                <w:color w:val="000000"/>
              </w:rPr>
              <w:t xml:space="preserve"> </w:t>
            </w:r>
          </w:p>
        </w:tc>
      </w:tr>
      <w:tr w:rsidR="00FA0F2E" w:rsidTr="0057364C">
        <w:trPr>
          <w:trHeight w:val="315"/>
        </w:trPr>
        <w:tc>
          <w:tcPr>
            <w:tcW w:w="2363" w:type="dxa"/>
            <w:tcBorders>
              <w:top w:val="nil"/>
              <w:left w:val="single" w:sz="4" w:space="0" w:color="auto"/>
              <w:bottom w:val="single" w:sz="4" w:space="0" w:color="auto"/>
              <w:right w:val="single" w:sz="4" w:space="0" w:color="auto"/>
            </w:tcBorders>
            <w:shd w:val="clear" w:color="auto" w:fill="auto"/>
            <w:vAlign w:val="center"/>
            <w:hideMark/>
          </w:tcPr>
          <w:p w:rsidR="00FA0F2E" w:rsidRDefault="00FA0F2E" w:rsidP="000A2876">
            <w:pPr>
              <w:rPr>
                <w:color w:val="000000"/>
              </w:rPr>
            </w:pPr>
            <w:r>
              <w:rPr>
                <w:rFonts w:eastAsia="SimSun"/>
                <w:color w:val="000000"/>
              </w:rPr>
              <w:t>Annual burden hours</w:t>
            </w:r>
          </w:p>
        </w:tc>
        <w:tc>
          <w:tcPr>
            <w:tcW w:w="1872" w:type="dxa"/>
            <w:tcBorders>
              <w:top w:val="nil"/>
              <w:left w:val="nil"/>
              <w:bottom w:val="single" w:sz="4" w:space="0" w:color="auto"/>
              <w:right w:val="single" w:sz="4" w:space="0" w:color="auto"/>
            </w:tcBorders>
            <w:shd w:val="clear" w:color="auto" w:fill="auto"/>
            <w:hideMark/>
          </w:tcPr>
          <w:p w:rsidR="00FA0F2E" w:rsidRPr="007C2675" w:rsidRDefault="00FA0F2E" w:rsidP="00545E6D">
            <w:r w:rsidRPr="007C2675">
              <w:t xml:space="preserve">                47,756</w:t>
            </w:r>
          </w:p>
        </w:tc>
        <w:tc>
          <w:tcPr>
            <w:tcW w:w="1890" w:type="dxa"/>
            <w:tcBorders>
              <w:top w:val="nil"/>
              <w:left w:val="nil"/>
              <w:bottom w:val="single" w:sz="4" w:space="0" w:color="auto"/>
              <w:right w:val="single" w:sz="4" w:space="0" w:color="auto"/>
            </w:tcBorders>
            <w:shd w:val="clear" w:color="auto" w:fill="auto"/>
            <w:vAlign w:val="center"/>
          </w:tcPr>
          <w:p w:rsidR="00FA0F2E" w:rsidRDefault="00FA0F2E" w:rsidP="00774BF7">
            <w:pPr>
              <w:jc w:val="right"/>
              <w:rPr>
                <w:color w:val="000000"/>
              </w:rPr>
            </w:pPr>
            <w:r>
              <w:rPr>
                <w:color w:val="000000"/>
              </w:rPr>
              <w:t>61,226</w:t>
            </w:r>
          </w:p>
        </w:tc>
        <w:tc>
          <w:tcPr>
            <w:tcW w:w="1980" w:type="dxa"/>
            <w:tcBorders>
              <w:top w:val="nil"/>
              <w:left w:val="nil"/>
              <w:bottom w:val="single" w:sz="4" w:space="0" w:color="auto"/>
              <w:right w:val="single" w:sz="4" w:space="0" w:color="auto"/>
            </w:tcBorders>
            <w:shd w:val="clear" w:color="auto" w:fill="auto"/>
            <w:vAlign w:val="center"/>
            <w:hideMark/>
          </w:tcPr>
          <w:p w:rsidR="00FA0F2E" w:rsidRDefault="00FA0F2E" w:rsidP="00774BF7">
            <w:pPr>
              <w:jc w:val="right"/>
              <w:rPr>
                <w:color w:val="000000"/>
              </w:rPr>
            </w:pPr>
            <w:r>
              <w:rPr>
                <w:color w:val="000000"/>
              </w:rPr>
              <w:t xml:space="preserve">                  1</w:t>
            </w:r>
            <w:r w:rsidR="009D3896">
              <w:rPr>
                <w:color w:val="000000"/>
              </w:rPr>
              <w:t>3,470</w:t>
            </w:r>
          </w:p>
        </w:tc>
      </w:tr>
      <w:tr w:rsidR="00FA0F2E" w:rsidTr="0057364C">
        <w:trPr>
          <w:trHeight w:val="315"/>
        </w:trPr>
        <w:tc>
          <w:tcPr>
            <w:tcW w:w="2363" w:type="dxa"/>
            <w:tcBorders>
              <w:top w:val="nil"/>
              <w:left w:val="single" w:sz="4" w:space="0" w:color="auto"/>
              <w:bottom w:val="single" w:sz="4" w:space="0" w:color="auto"/>
              <w:right w:val="single" w:sz="4" w:space="0" w:color="auto"/>
            </w:tcBorders>
            <w:shd w:val="clear" w:color="auto" w:fill="auto"/>
            <w:vAlign w:val="center"/>
          </w:tcPr>
          <w:p w:rsidR="00FA0F2E" w:rsidRDefault="00FA0F2E" w:rsidP="000A2876">
            <w:pPr>
              <w:rPr>
                <w:rFonts w:eastAsia="SimSun"/>
                <w:color w:val="000000"/>
              </w:rPr>
            </w:pPr>
            <w:r>
              <w:rPr>
                <w:rFonts w:eastAsia="SimSun"/>
                <w:color w:val="000000"/>
              </w:rPr>
              <w:t>Annual cost ($)</w:t>
            </w:r>
          </w:p>
        </w:tc>
        <w:tc>
          <w:tcPr>
            <w:tcW w:w="1872" w:type="dxa"/>
            <w:tcBorders>
              <w:top w:val="nil"/>
              <w:left w:val="nil"/>
              <w:bottom w:val="single" w:sz="4" w:space="0" w:color="auto"/>
              <w:right w:val="single" w:sz="4" w:space="0" w:color="auto"/>
            </w:tcBorders>
            <w:shd w:val="clear" w:color="auto" w:fill="auto"/>
          </w:tcPr>
          <w:p w:rsidR="00FA0F2E" w:rsidRDefault="00FA0F2E" w:rsidP="00545E6D">
            <w:r w:rsidRPr="007C2675">
              <w:t xml:space="preserve">           6,459,789</w:t>
            </w:r>
          </w:p>
        </w:tc>
        <w:tc>
          <w:tcPr>
            <w:tcW w:w="1890" w:type="dxa"/>
            <w:tcBorders>
              <w:top w:val="nil"/>
              <w:left w:val="nil"/>
              <w:bottom w:val="single" w:sz="4" w:space="0" w:color="auto"/>
              <w:right w:val="single" w:sz="4" w:space="0" w:color="auto"/>
            </w:tcBorders>
            <w:shd w:val="clear" w:color="auto" w:fill="auto"/>
            <w:vAlign w:val="center"/>
          </w:tcPr>
          <w:p w:rsidR="00FA0F2E" w:rsidRDefault="00FA0F2E" w:rsidP="00774BF7">
            <w:pPr>
              <w:jc w:val="right"/>
              <w:rPr>
                <w:color w:val="000000"/>
              </w:rPr>
            </w:pPr>
            <w:r>
              <w:rPr>
                <w:color w:val="000000"/>
              </w:rPr>
              <w:t>9,080,036</w:t>
            </w:r>
          </w:p>
        </w:tc>
        <w:tc>
          <w:tcPr>
            <w:tcW w:w="1980" w:type="dxa"/>
            <w:tcBorders>
              <w:top w:val="nil"/>
              <w:left w:val="nil"/>
              <w:bottom w:val="single" w:sz="4" w:space="0" w:color="auto"/>
              <w:right w:val="single" w:sz="4" w:space="0" w:color="auto"/>
            </w:tcBorders>
            <w:shd w:val="clear" w:color="auto" w:fill="auto"/>
            <w:vAlign w:val="center"/>
          </w:tcPr>
          <w:p w:rsidR="00FA0F2E" w:rsidRDefault="00FA0F2E" w:rsidP="00774BF7">
            <w:pPr>
              <w:jc w:val="right"/>
              <w:rPr>
                <w:color w:val="000000"/>
              </w:rPr>
            </w:pPr>
            <w:r>
              <w:rPr>
                <w:color w:val="000000"/>
              </w:rPr>
              <w:t xml:space="preserve">     </w:t>
            </w:r>
            <w:r w:rsidR="009D3896">
              <w:rPr>
                <w:color w:val="000000"/>
              </w:rPr>
              <w:t>2,620,247</w:t>
            </w:r>
          </w:p>
        </w:tc>
      </w:tr>
    </w:tbl>
    <w:p w:rsidR="00015C6C" w:rsidRDefault="00015C6C" w:rsidP="00364CDC"/>
    <w:p w:rsidR="00E76F31" w:rsidRDefault="00A34480" w:rsidP="00364CDC">
      <w:r>
        <w:t xml:space="preserve">16.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rsidR="00095B45" w:rsidRDefault="00095B45" w:rsidP="00364CDC"/>
    <w:p w:rsidR="00E76F31" w:rsidRDefault="00A34480" w:rsidP="00364CDC">
      <w:r>
        <w:t xml:space="preserve">18.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A34480" w:rsidRDefault="008C02AA" w:rsidP="00364CDC">
      <w:r>
        <w:t xml:space="preserve">The DEA is not seeking an exception to the certification statement “Certification for Paperwork Reduction Act Submissions” for this collection of information.  </w:t>
      </w:r>
    </w:p>
    <w:p w:rsidR="002A2682" w:rsidRDefault="002A2682" w:rsidP="00364CDC">
      <w:pPr>
        <w:rPr>
          <w:b/>
        </w:rPr>
      </w:pPr>
    </w:p>
    <w:p w:rsidR="00A34480" w:rsidRPr="0086545A" w:rsidRDefault="00A34480" w:rsidP="00364CDC">
      <w:pPr>
        <w:rPr>
          <w:b/>
        </w:rPr>
      </w:pPr>
      <w:r w:rsidRPr="0086545A">
        <w:rPr>
          <w:b/>
        </w:rPr>
        <w:t>Part B.  Statistical Methods</w:t>
      </w:r>
    </w:p>
    <w:p w:rsidR="008C02AA" w:rsidRDefault="008C02AA" w:rsidP="00435623"/>
    <w:p w:rsidR="009B6DB2" w:rsidRPr="009B6DB2" w:rsidRDefault="007C695C" w:rsidP="00435623">
      <w:r>
        <w:t xml:space="preserve">The DEA </w:t>
      </w:r>
      <w:r w:rsidR="00A84F9C">
        <w:t xml:space="preserve">does </w:t>
      </w:r>
      <w:r>
        <w:t>not employ statistical methods in this information collection.</w:t>
      </w:r>
      <w:r w:rsidR="00435623" w:rsidRPr="009B6DB2">
        <w:t xml:space="preserve"> </w:t>
      </w:r>
    </w:p>
    <w:sectPr w:rsidR="009B6DB2" w:rsidRPr="009B6DB2" w:rsidSect="00CC01C4">
      <w:foot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06" w:rsidRDefault="00484A06" w:rsidP="00A4604C">
      <w:r>
        <w:separator/>
      </w:r>
    </w:p>
  </w:endnote>
  <w:endnote w:type="continuationSeparator" w:id="0">
    <w:p w:rsidR="00484A06" w:rsidRDefault="00484A06"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0A2876" w:rsidRDefault="000A2876">
        <w:pPr>
          <w:pStyle w:val="Footer"/>
          <w:jc w:val="center"/>
        </w:pPr>
        <w:r>
          <w:fldChar w:fldCharType="begin"/>
        </w:r>
        <w:r>
          <w:instrText xml:space="preserve"> PAGE   \* MERGEFORMAT </w:instrText>
        </w:r>
        <w:r>
          <w:fldChar w:fldCharType="separate"/>
        </w:r>
        <w:r w:rsidR="00BB5386">
          <w:rPr>
            <w:noProof/>
          </w:rPr>
          <w:t>1</w:t>
        </w:r>
        <w:r>
          <w:rPr>
            <w:noProof/>
          </w:rPr>
          <w:fldChar w:fldCharType="end"/>
        </w:r>
      </w:p>
    </w:sdtContent>
  </w:sdt>
  <w:p w:rsidR="000A2876" w:rsidRDefault="000A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06" w:rsidRDefault="00484A06" w:rsidP="00A4604C">
      <w:r>
        <w:separator/>
      </w:r>
    </w:p>
  </w:footnote>
  <w:footnote w:type="continuationSeparator" w:id="0">
    <w:p w:rsidR="00484A06" w:rsidRDefault="00484A06" w:rsidP="00A4604C">
      <w:r>
        <w:continuationSeparator/>
      </w:r>
    </w:p>
  </w:footnote>
  <w:footnote w:id="1">
    <w:p w:rsidR="007857FA" w:rsidRPr="00F6719A" w:rsidRDefault="007857FA">
      <w:pPr>
        <w:pStyle w:val="FootnoteText"/>
        <w:rPr>
          <w:rFonts w:ascii="Times New Roman" w:hAnsi="Times New Roman"/>
        </w:rPr>
      </w:pPr>
      <w:r w:rsidRPr="00F6719A">
        <w:rPr>
          <w:rStyle w:val="FootnoteReference"/>
          <w:rFonts w:ascii="Times New Roman" w:hAnsi="Times New Roman"/>
          <w:vertAlign w:val="superscript"/>
        </w:rPr>
        <w:footnoteRef/>
      </w:r>
      <w:r w:rsidRPr="00F6719A">
        <w:rPr>
          <w:rFonts w:ascii="Times New Roman" w:hAnsi="Times New Roman"/>
          <w:vertAlign w:val="superscript"/>
        </w:rPr>
        <w:t xml:space="preserve"> </w:t>
      </w:r>
      <w:r w:rsidRPr="00F6719A">
        <w:rPr>
          <w:rFonts w:ascii="Times New Roman" w:hAnsi="Times New Roman"/>
        </w:rPr>
        <w:t xml:space="preserve">Based on percent </w:t>
      </w:r>
      <w:r w:rsidR="00AB62E9">
        <w:rPr>
          <w:rFonts w:ascii="Times New Roman" w:hAnsi="Times New Roman"/>
        </w:rPr>
        <w:t xml:space="preserve">paper </w:t>
      </w:r>
      <w:r w:rsidRPr="00F6719A">
        <w:rPr>
          <w:rFonts w:ascii="Times New Roman" w:hAnsi="Times New Roman"/>
        </w:rPr>
        <w:t xml:space="preserve">224 and 224a forms of </w:t>
      </w:r>
      <w:r w:rsidR="00F6719A" w:rsidRPr="00F6719A">
        <w:rPr>
          <w:rFonts w:ascii="Times New Roman" w:hAnsi="Times New Roman"/>
        </w:rPr>
        <w:t>total paper forms</w:t>
      </w:r>
      <w:r w:rsidR="00F6719A">
        <w:rPr>
          <w:rFonts w:ascii="Times New Roman" w:hAnsi="Times New Roman"/>
        </w:rPr>
        <w:t>.</w:t>
      </w:r>
    </w:p>
  </w:footnote>
  <w:footnote w:id="2">
    <w:p w:rsidR="00853532" w:rsidRPr="009B41F2" w:rsidRDefault="00853532">
      <w:pPr>
        <w:pStyle w:val="FootnoteText"/>
      </w:pPr>
      <w:r w:rsidRPr="009B41F2">
        <w:rPr>
          <w:rStyle w:val="FootnoteReference"/>
          <w:rFonts w:ascii="Times New Roman" w:eastAsia="Times New Roman" w:hAnsi="Times New Roman"/>
          <w:color w:val="000000"/>
          <w:sz w:val="24"/>
          <w:szCs w:val="24"/>
          <w:vertAlign w:val="superscript"/>
        </w:rPr>
        <w:footnoteRef/>
      </w:r>
      <w:r w:rsidRPr="009B41F2">
        <w:rPr>
          <w:rStyle w:val="FootnoteReference"/>
          <w:rFonts w:ascii="Times New Roman" w:eastAsia="Times New Roman" w:hAnsi="Times New Roman"/>
          <w:color w:val="000000"/>
          <w:sz w:val="24"/>
          <w:szCs w:val="24"/>
          <w:vertAlign w:val="superscript"/>
        </w:rPr>
        <w:t xml:space="preserve"> </w:t>
      </w:r>
      <w:r w:rsidR="009B41F2" w:rsidRPr="009B41F2">
        <w:rPr>
          <w:rFonts w:ascii="Times New Roman" w:eastAsia="Times New Roman" w:hAnsi="Times New Roman"/>
          <w:color w:val="000000"/>
        </w:rPr>
        <w:t>Based on percent 224 and 224a forms of all registration application forms.</w:t>
      </w:r>
    </w:p>
  </w:footnote>
  <w:footnote w:id="3">
    <w:p w:rsidR="00042A21" w:rsidRDefault="00042A21">
      <w:pPr>
        <w:pStyle w:val="FootnoteText"/>
      </w:pPr>
      <w:r w:rsidRPr="00042A21">
        <w:rPr>
          <w:rStyle w:val="FootnoteReference"/>
          <w:rFonts w:ascii="Times New Roman" w:eastAsia="Times New Roman" w:hAnsi="Times New Roman"/>
          <w:color w:val="000000"/>
          <w:sz w:val="24"/>
          <w:szCs w:val="24"/>
          <w:vertAlign w:val="superscript"/>
        </w:rPr>
        <w:footnoteRef/>
      </w:r>
      <w:r w:rsidRPr="00042A21">
        <w:rPr>
          <w:rStyle w:val="FootnoteReference"/>
          <w:rFonts w:ascii="Times New Roman" w:eastAsia="Times New Roman" w:hAnsi="Times New Roman"/>
          <w:color w:val="000000"/>
          <w:sz w:val="24"/>
          <w:szCs w:val="24"/>
          <w:vertAlign w:val="superscript"/>
        </w:rPr>
        <w:t xml:space="preserve"> </w:t>
      </w:r>
      <w:r w:rsidRPr="00042A21">
        <w:rPr>
          <w:rFonts w:ascii="Times New Roman" w:eastAsia="Times New Roman" w:hAnsi="Times New Roman"/>
          <w:i/>
          <w:color w:val="000000"/>
        </w:rPr>
        <w:t>See</w:t>
      </w:r>
      <w:r w:rsidRPr="00042A21">
        <w:rPr>
          <w:rFonts w:ascii="Times New Roman" w:eastAsia="Times New Roman" w:hAnsi="Times New Roman"/>
          <w:color w:val="000000"/>
        </w:rPr>
        <w:t xml:space="preserve"> note 1.</w:t>
      </w:r>
      <w:r>
        <w:t xml:space="preserve"> </w:t>
      </w:r>
    </w:p>
  </w:footnote>
  <w:footnote w:id="4">
    <w:p w:rsidR="00042A21" w:rsidRDefault="00042A21">
      <w:pPr>
        <w:pStyle w:val="FootnoteText"/>
      </w:pPr>
      <w:r w:rsidRPr="00042A21">
        <w:rPr>
          <w:rStyle w:val="FootnoteReference"/>
          <w:rFonts w:ascii="Times New Roman" w:eastAsia="Times New Roman" w:hAnsi="Times New Roman"/>
          <w:color w:val="000000"/>
          <w:sz w:val="24"/>
          <w:szCs w:val="24"/>
          <w:vertAlign w:val="superscript"/>
        </w:rPr>
        <w:footnoteRef/>
      </w:r>
      <w:r w:rsidRPr="00042A21">
        <w:rPr>
          <w:rStyle w:val="FootnoteReference"/>
          <w:rFonts w:ascii="Times New Roman" w:eastAsia="Times New Roman" w:hAnsi="Times New Roman"/>
          <w:color w:val="000000"/>
          <w:sz w:val="24"/>
          <w:szCs w:val="24"/>
          <w:vertAlign w:val="superscript"/>
        </w:rPr>
        <w:t xml:space="preserve"> </w:t>
      </w:r>
      <w:r w:rsidRPr="00042A21">
        <w:rPr>
          <w:rFonts w:ascii="Times New Roman" w:eastAsia="Times New Roman" w:hAnsi="Times New Roman"/>
          <w:i/>
          <w:color w:val="000000"/>
        </w:rPr>
        <w:t>See</w:t>
      </w:r>
      <w:r w:rsidRPr="00042A21">
        <w:rPr>
          <w:rFonts w:ascii="Times New Roman" w:eastAsia="Times New Roman" w:hAnsi="Times New Roman"/>
          <w:color w:val="000000"/>
        </w:rPr>
        <w:t xml:space="preserve"> note 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03433E"/>
    <w:multiLevelType w:val="hybridMultilevel"/>
    <w:tmpl w:val="B972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A239A5"/>
    <w:multiLevelType w:val="hybridMultilevel"/>
    <w:tmpl w:val="3804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24"/>
  </w:num>
  <w:num w:numId="3">
    <w:abstractNumId w:val="6"/>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2"/>
  </w:num>
  <w:num w:numId="12">
    <w:abstractNumId w:val="2"/>
  </w:num>
  <w:num w:numId="13">
    <w:abstractNumId w:val="21"/>
  </w:num>
  <w:num w:numId="14">
    <w:abstractNumId w:val="19"/>
  </w:num>
  <w:num w:numId="15">
    <w:abstractNumId w:val="11"/>
  </w:num>
  <w:num w:numId="16">
    <w:abstractNumId w:val="3"/>
  </w:num>
  <w:num w:numId="17">
    <w:abstractNumId w:val="31"/>
  </w:num>
  <w:num w:numId="18">
    <w:abstractNumId w:val="11"/>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3"/>
  </w:num>
  <w:num w:numId="29">
    <w:abstractNumId w:val="5"/>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7"/>
  </w:num>
  <w:num w:numId="35">
    <w:abstractNumId w:val="1"/>
  </w:num>
  <w:num w:numId="36">
    <w:abstractNumId w:val="37"/>
  </w:num>
  <w:num w:numId="37">
    <w:abstractNumId w:val="39"/>
  </w:num>
  <w:num w:numId="38">
    <w:abstractNumId w:val="34"/>
  </w:num>
  <w:num w:numId="39">
    <w:abstractNumId w:val="8"/>
  </w:num>
  <w:num w:numId="40">
    <w:abstractNumId w:val="14"/>
  </w:num>
  <w:num w:numId="41">
    <w:abstractNumId w:val="27"/>
  </w:num>
  <w:num w:numId="42">
    <w:abstractNumId w:val="26"/>
  </w:num>
  <w:num w:numId="43">
    <w:abstractNumId w:val="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2D"/>
    <w:rsid w:val="000029EE"/>
    <w:rsid w:val="00004120"/>
    <w:rsid w:val="00005D22"/>
    <w:rsid w:val="00012BD0"/>
    <w:rsid w:val="0001368B"/>
    <w:rsid w:val="000157AD"/>
    <w:rsid w:val="00015843"/>
    <w:rsid w:val="00015C6C"/>
    <w:rsid w:val="00022843"/>
    <w:rsid w:val="0002411E"/>
    <w:rsid w:val="00026489"/>
    <w:rsid w:val="00027249"/>
    <w:rsid w:val="00032C0E"/>
    <w:rsid w:val="00042A21"/>
    <w:rsid w:val="00042A55"/>
    <w:rsid w:val="00042B4B"/>
    <w:rsid w:val="000462A3"/>
    <w:rsid w:val="00046701"/>
    <w:rsid w:val="00046C80"/>
    <w:rsid w:val="00047647"/>
    <w:rsid w:val="0005161C"/>
    <w:rsid w:val="000559CE"/>
    <w:rsid w:val="00056526"/>
    <w:rsid w:val="00062089"/>
    <w:rsid w:val="00065AA1"/>
    <w:rsid w:val="00075D28"/>
    <w:rsid w:val="00077AEE"/>
    <w:rsid w:val="00086A13"/>
    <w:rsid w:val="00086C4E"/>
    <w:rsid w:val="00091222"/>
    <w:rsid w:val="000946E0"/>
    <w:rsid w:val="00095B45"/>
    <w:rsid w:val="00097D46"/>
    <w:rsid w:val="000A0554"/>
    <w:rsid w:val="000A07AE"/>
    <w:rsid w:val="000A08B0"/>
    <w:rsid w:val="000A2876"/>
    <w:rsid w:val="000A765F"/>
    <w:rsid w:val="000B10DF"/>
    <w:rsid w:val="000B3DE6"/>
    <w:rsid w:val="000B4C91"/>
    <w:rsid w:val="000B51AB"/>
    <w:rsid w:val="000C037D"/>
    <w:rsid w:val="000C3192"/>
    <w:rsid w:val="000D0306"/>
    <w:rsid w:val="000D14F8"/>
    <w:rsid w:val="000E00A1"/>
    <w:rsid w:val="000E05DA"/>
    <w:rsid w:val="000E5B77"/>
    <w:rsid w:val="000F0E02"/>
    <w:rsid w:val="000F3874"/>
    <w:rsid w:val="001003BA"/>
    <w:rsid w:val="0010615F"/>
    <w:rsid w:val="00107421"/>
    <w:rsid w:val="00114925"/>
    <w:rsid w:val="0012601D"/>
    <w:rsid w:val="0012784F"/>
    <w:rsid w:val="0013057A"/>
    <w:rsid w:val="0013097C"/>
    <w:rsid w:val="00131FAC"/>
    <w:rsid w:val="001358D7"/>
    <w:rsid w:val="00135F36"/>
    <w:rsid w:val="00137720"/>
    <w:rsid w:val="0014509F"/>
    <w:rsid w:val="00146E47"/>
    <w:rsid w:val="001478D7"/>
    <w:rsid w:val="00151EBF"/>
    <w:rsid w:val="00152326"/>
    <w:rsid w:val="00153D60"/>
    <w:rsid w:val="00155F4A"/>
    <w:rsid w:val="00156A7C"/>
    <w:rsid w:val="00156B17"/>
    <w:rsid w:val="001629EF"/>
    <w:rsid w:val="0016501C"/>
    <w:rsid w:val="00167CEF"/>
    <w:rsid w:val="00170FF7"/>
    <w:rsid w:val="00180530"/>
    <w:rsid w:val="0018342A"/>
    <w:rsid w:val="00186A88"/>
    <w:rsid w:val="00187052"/>
    <w:rsid w:val="0019243D"/>
    <w:rsid w:val="00193A2A"/>
    <w:rsid w:val="001951FA"/>
    <w:rsid w:val="00196821"/>
    <w:rsid w:val="001A1136"/>
    <w:rsid w:val="001A1D02"/>
    <w:rsid w:val="001A3426"/>
    <w:rsid w:val="001A3D1A"/>
    <w:rsid w:val="001A5790"/>
    <w:rsid w:val="001B03C9"/>
    <w:rsid w:val="001B0CE5"/>
    <w:rsid w:val="001C0719"/>
    <w:rsid w:val="001D161D"/>
    <w:rsid w:val="001D3C0E"/>
    <w:rsid w:val="001D57E4"/>
    <w:rsid w:val="001D6D3A"/>
    <w:rsid w:val="001D7C51"/>
    <w:rsid w:val="001E1897"/>
    <w:rsid w:val="001E289B"/>
    <w:rsid w:val="001E6B20"/>
    <w:rsid w:val="001E70DC"/>
    <w:rsid w:val="001E7796"/>
    <w:rsid w:val="001F1F2B"/>
    <w:rsid w:val="001F3478"/>
    <w:rsid w:val="002011D1"/>
    <w:rsid w:val="00202776"/>
    <w:rsid w:val="0020472A"/>
    <w:rsid w:val="00206888"/>
    <w:rsid w:val="00206FBD"/>
    <w:rsid w:val="0021299C"/>
    <w:rsid w:val="00212C00"/>
    <w:rsid w:val="0021362B"/>
    <w:rsid w:val="00221BF3"/>
    <w:rsid w:val="00231982"/>
    <w:rsid w:val="00231A4D"/>
    <w:rsid w:val="00232B29"/>
    <w:rsid w:val="00233550"/>
    <w:rsid w:val="00245D20"/>
    <w:rsid w:val="00252A0A"/>
    <w:rsid w:val="002534C3"/>
    <w:rsid w:val="00253BBE"/>
    <w:rsid w:val="002614CC"/>
    <w:rsid w:val="00262356"/>
    <w:rsid w:val="00270B82"/>
    <w:rsid w:val="00270E57"/>
    <w:rsid w:val="00270F93"/>
    <w:rsid w:val="0027139C"/>
    <w:rsid w:val="00271B7C"/>
    <w:rsid w:val="00272C7C"/>
    <w:rsid w:val="00275719"/>
    <w:rsid w:val="002767DD"/>
    <w:rsid w:val="00280504"/>
    <w:rsid w:val="00285933"/>
    <w:rsid w:val="00292A5D"/>
    <w:rsid w:val="002A2682"/>
    <w:rsid w:val="002B62B3"/>
    <w:rsid w:val="002C132D"/>
    <w:rsid w:val="002C13A1"/>
    <w:rsid w:val="002C386F"/>
    <w:rsid w:val="002C44C3"/>
    <w:rsid w:val="002D26AD"/>
    <w:rsid w:val="002D295A"/>
    <w:rsid w:val="002D2CEC"/>
    <w:rsid w:val="002E3DB6"/>
    <w:rsid w:val="002E4F17"/>
    <w:rsid w:val="002E5568"/>
    <w:rsid w:val="002E55EE"/>
    <w:rsid w:val="002F0F67"/>
    <w:rsid w:val="0030004B"/>
    <w:rsid w:val="003027E6"/>
    <w:rsid w:val="00302C34"/>
    <w:rsid w:val="003062B2"/>
    <w:rsid w:val="00307C6A"/>
    <w:rsid w:val="00312CA5"/>
    <w:rsid w:val="00320A55"/>
    <w:rsid w:val="00320D44"/>
    <w:rsid w:val="003210C0"/>
    <w:rsid w:val="003239F1"/>
    <w:rsid w:val="00327860"/>
    <w:rsid w:val="00331399"/>
    <w:rsid w:val="0033171D"/>
    <w:rsid w:val="00335F29"/>
    <w:rsid w:val="00341D99"/>
    <w:rsid w:val="00343F10"/>
    <w:rsid w:val="003442C9"/>
    <w:rsid w:val="00347E26"/>
    <w:rsid w:val="00350948"/>
    <w:rsid w:val="003515A2"/>
    <w:rsid w:val="00351EB0"/>
    <w:rsid w:val="00352466"/>
    <w:rsid w:val="00352927"/>
    <w:rsid w:val="0035642D"/>
    <w:rsid w:val="003567F5"/>
    <w:rsid w:val="003603FE"/>
    <w:rsid w:val="00362449"/>
    <w:rsid w:val="00364CDC"/>
    <w:rsid w:val="00365D80"/>
    <w:rsid w:val="00376E84"/>
    <w:rsid w:val="00380229"/>
    <w:rsid w:val="00381061"/>
    <w:rsid w:val="003824C9"/>
    <w:rsid w:val="003827F4"/>
    <w:rsid w:val="0038359F"/>
    <w:rsid w:val="003926D3"/>
    <w:rsid w:val="00392BC5"/>
    <w:rsid w:val="00393088"/>
    <w:rsid w:val="00393631"/>
    <w:rsid w:val="0039568F"/>
    <w:rsid w:val="003A4D2E"/>
    <w:rsid w:val="003B20AB"/>
    <w:rsid w:val="003B28D7"/>
    <w:rsid w:val="003B42CB"/>
    <w:rsid w:val="003B5737"/>
    <w:rsid w:val="003B65CE"/>
    <w:rsid w:val="003B7124"/>
    <w:rsid w:val="003C71F1"/>
    <w:rsid w:val="003D0831"/>
    <w:rsid w:val="003D2A99"/>
    <w:rsid w:val="003D515F"/>
    <w:rsid w:val="003E0DF7"/>
    <w:rsid w:val="003E1798"/>
    <w:rsid w:val="003E2EE3"/>
    <w:rsid w:val="003E6000"/>
    <w:rsid w:val="003E7902"/>
    <w:rsid w:val="003E7CEA"/>
    <w:rsid w:val="003F6E87"/>
    <w:rsid w:val="00406453"/>
    <w:rsid w:val="00407CB4"/>
    <w:rsid w:val="00410863"/>
    <w:rsid w:val="00411B4E"/>
    <w:rsid w:val="00412DE6"/>
    <w:rsid w:val="004139E9"/>
    <w:rsid w:val="004150F8"/>
    <w:rsid w:val="00422421"/>
    <w:rsid w:val="00425DB3"/>
    <w:rsid w:val="00432592"/>
    <w:rsid w:val="0043504A"/>
    <w:rsid w:val="00435623"/>
    <w:rsid w:val="00435833"/>
    <w:rsid w:val="004469C9"/>
    <w:rsid w:val="00447D97"/>
    <w:rsid w:val="004515A8"/>
    <w:rsid w:val="00451924"/>
    <w:rsid w:val="00452D0C"/>
    <w:rsid w:val="00455755"/>
    <w:rsid w:val="004639A7"/>
    <w:rsid w:val="00480329"/>
    <w:rsid w:val="0048056A"/>
    <w:rsid w:val="004806A4"/>
    <w:rsid w:val="00481474"/>
    <w:rsid w:val="00484A06"/>
    <w:rsid w:val="00486493"/>
    <w:rsid w:val="004872FE"/>
    <w:rsid w:val="00493CC5"/>
    <w:rsid w:val="00494060"/>
    <w:rsid w:val="0049560E"/>
    <w:rsid w:val="004A1568"/>
    <w:rsid w:val="004A1C12"/>
    <w:rsid w:val="004A3C90"/>
    <w:rsid w:val="004A3F1F"/>
    <w:rsid w:val="004A4023"/>
    <w:rsid w:val="004A7931"/>
    <w:rsid w:val="004B2158"/>
    <w:rsid w:val="004B3069"/>
    <w:rsid w:val="004B3CE3"/>
    <w:rsid w:val="004C1008"/>
    <w:rsid w:val="004C4112"/>
    <w:rsid w:val="004C6073"/>
    <w:rsid w:val="004D07BA"/>
    <w:rsid w:val="004D3F41"/>
    <w:rsid w:val="004E244E"/>
    <w:rsid w:val="004E36D0"/>
    <w:rsid w:val="004F0FEE"/>
    <w:rsid w:val="004F2243"/>
    <w:rsid w:val="004F4E97"/>
    <w:rsid w:val="00500ADE"/>
    <w:rsid w:val="005038D3"/>
    <w:rsid w:val="00505A4C"/>
    <w:rsid w:val="00505C03"/>
    <w:rsid w:val="0051491F"/>
    <w:rsid w:val="0051788D"/>
    <w:rsid w:val="00521682"/>
    <w:rsid w:val="005227F3"/>
    <w:rsid w:val="005231DE"/>
    <w:rsid w:val="00523E6D"/>
    <w:rsid w:val="00533C25"/>
    <w:rsid w:val="00537E0D"/>
    <w:rsid w:val="00543A1B"/>
    <w:rsid w:val="00544A7F"/>
    <w:rsid w:val="00553A1E"/>
    <w:rsid w:val="00556234"/>
    <w:rsid w:val="00556A05"/>
    <w:rsid w:val="00556A49"/>
    <w:rsid w:val="00560BF9"/>
    <w:rsid w:val="00562D4A"/>
    <w:rsid w:val="005708BB"/>
    <w:rsid w:val="005717A0"/>
    <w:rsid w:val="00574861"/>
    <w:rsid w:val="0058315F"/>
    <w:rsid w:val="00583526"/>
    <w:rsid w:val="00584F37"/>
    <w:rsid w:val="00584FDC"/>
    <w:rsid w:val="00586FCD"/>
    <w:rsid w:val="00587B87"/>
    <w:rsid w:val="005911A6"/>
    <w:rsid w:val="005911E0"/>
    <w:rsid w:val="0059227E"/>
    <w:rsid w:val="005924C8"/>
    <w:rsid w:val="005966E5"/>
    <w:rsid w:val="00596CD8"/>
    <w:rsid w:val="005A1156"/>
    <w:rsid w:val="005A1F0F"/>
    <w:rsid w:val="005B0E21"/>
    <w:rsid w:val="005B2A88"/>
    <w:rsid w:val="005B7F2D"/>
    <w:rsid w:val="005C291B"/>
    <w:rsid w:val="005C4C65"/>
    <w:rsid w:val="005C713B"/>
    <w:rsid w:val="005C7DAC"/>
    <w:rsid w:val="005D22EC"/>
    <w:rsid w:val="005D3ECB"/>
    <w:rsid w:val="005D5AE4"/>
    <w:rsid w:val="005D5B3B"/>
    <w:rsid w:val="005D6B4C"/>
    <w:rsid w:val="005D6B8B"/>
    <w:rsid w:val="005E030C"/>
    <w:rsid w:val="005E11E3"/>
    <w:rsid w:val="005F6054"/>
    <w:rsid w:val="006137AD"/>
    <w:rsid w:val="006141AE"/>
    <w:rsid w:val="0061433E"/>
    <w:rsid w:val="0062322F"/>
    <w:rsid w:val="00623FE9"/>
    <w:rsid w:val="006244C6"/>
    <w:rsid w:val="006246DC"/>
    <w:rsid w:val="00624746"/>
    <w:rsid w:val="006264C0"/>
    <w:rsid w:val="00626BF9"/>
    <w:rsid w:val="00627475"/>
    <w:rsid w:val="0063143C"/>
    <w:rsid w:val="00633F24"/>
    <w:rsid w:val="0063449E"/>
    <w:rsid w:val="006360DA"/>
    <w:rsid w:val="00637FFD"/>
    <w:rsid w:val="0064411B"/>
    <w:rsid w:val="00645908"/>
    <w:rsid w:val="00650ED9"/>
    <w:rsid w:val="00656C6B"/>
    <w:rsid w:val="00662FDA"/>
    <w:rsid w:val="0066353E"/>
    <w:rsid w:val="00666307"/>
    <w:rsid w:val="00666907"/>
    <w:rsid w:val="00670012"/>
    <w:rsid w:val="00687388"/>
    <w:rsid w:val="00694429"/>
    <w:rsid w:val="00694C8A"/>
    <w:rsid w:val="006A0FFE"/>
    <w:rsid w:val="006A2D28"/>
    <w:rsid w:val="006A352E"/>
    <w:rsid w:val="006B178C"/>
    <w:rsid w:val="006B2A40"/>
    <w:rsid w:val="006C1083"/>
    <w:rsid w:val="006C2659"/>
    <w:rsid w:val="006C3833"/>
    <w:rsid w:val="006C47B2"/>
    <w:rsid w:val="006C6685"/>
    <w:rsid w:val="006D55C0"/>
    <w:rsid w:val="006E6D94"/>
    <w:rsid w:val="006E6E0C"/>
    <w:rsid w:val="006E7516"/>
    <w:rsid w:val="006F3CD1"/>
    <w:rsid w:val="007005F4"/>
    <w:rsid w:val="00700DA6"/>
    <w:rsid w:val="00701C6D"/>
    <w:rsid w:val="0070272B"/>
    <w:rsid w:val="00703A7C"/>
    <w:rsid w:val="007058D0"/>
    <w:rsid w:val="0070668A"/>
    <w:rsid w:val="007102D0"/>
    <w:rsid w:val="00713042"/>
    <w:rsid w:val="00713F2F"/>
    <w:rsid w:val="007151AE"/>
    <w:rsid w:val="00717016"/>
    <w:rsid w:val="00717F2A"/>
    <w:rsid w:val="0072110C"/>
    <w:rsid w:val="00721EBF"/>
    <w:rsid w:val="0072345B"/>
    <w:rsid w:val="007265C8"/>
    <w:rsid w:val="00727906"/>
    <w:rsid w:val="00733097"/>
    <w:rsid w:val="007333B7"/>
    <w:rsid w:val="00736E03"/>
    <w:rsid w:val="00745496"/>
    <w:rsid w:val="0074666C"/>
    <w:rsid w:val="0075354D"/>
    <w:rsid w:val="00755569"/>
    <w:rsid w:val="0076615E"/>
    <w:rsid w:val="00766FB1"/>
    <w:rsid w:val="00767092"/>
    <w:rsid w:val="00767E30"/>
    <w:rsid w:val="00773274"/>
    <w:rsid w:val="00774BF7"/>
    <w:rsid w:val="00780719"/>
    <w:rsid w:val="00784A7E"/>
    <w:rsid w:val="007857FA"/>
    <w:rsid w:val="007869DE"/>
    <w:rsid w:val="00786BA5"/>
    <w:rsid w:val="007932B5"/>
    <w:rsid w:val="007A3913"/>
    <w:rsid w:val="007A78EF"/>
    <w:rsid w:val="007B036E"/>
    <w:rsid w:val="007B1F95"/>
    <w:rsid w:val="007B20B9"/>
    <w:rsid w:val="007B24CE"/>
    <w:rsid w:val="007B6879"/>
    <w:rsid w:val="007B7ED8"/>
    <w:rsid w:val="007C165D"/>
    <w:rsid w:val="007C61EB"/>
    <w:rsid w:val="007C695C"/>
    <w:rsid w:val="007D0CE2"/>
    <w:rsid w:val="007E0121"/>
    <w:rsid w:val="007E2861"/>
    <w:rsid w:val="007F395D"/>
    <w:rsid w:val="00801C74"/>
    <w:rsid w:val="00803023"/>
    <w:rsid w:val="008043AF"/>
    <w:rsid w:val="00806537"/>
    <w:rsid w:val="008130FA"/>
    <w:rsid w:val="00817898"/>
    <w:rsid w:val="008232D8"/>
    <w:rsid w:val="00824B77"/>
    <w:rsid w:val="00834C96"/>
    <w:rsid w:val="0084346A"/>
    <w:rsid w:val="008444A2"/>
    <w:rsid w:val="00851227"/>
    <w:rsid w:val="00852A6F"/>
    <w:rsid w:val="00853532"/>
    <w:rsid w:val="00853E47"/>
    <w:rsid w:val="0085616F"/>
    <w:rsid w:val="00856CBE"/>
    <w:rsid w:val="008610A2"/>
    <w:rsid w:val="00863E5E"/>
    <w:rsid w:val="0086545A"/>
    <w:rsid w:val="00866748"/>
    <w:rsid w:val="00867042"/>
    <w:rsid w:val="0087035E"/>
    <w:rsid w:val="008710B5"/>
    <w:rsid w:val="008737A8"/>
    <w:rsid w:val="00877CED"/>
    <w:rsid w:val="00881086"/>
    <w:rsid w:val="00881D7C"/>
    <w:rsid w:val="00885142"/>
    <w:rsid w:val="00885EF7"/>
    <w:rsid w:val="00886498"/>
    <w:rsid w:val="00890562"/>
    <w:rsid w:val="0089645F"/>
    <w:rsid w:val="008979DC"/>
    <w:rsid w:val="008A0981"/>
    <w:rsid w:val="008A440B"/>
    <w:rsid w:val="008A4F2D"/>
    <w:rsid w:val="008B1B78"/>
    <w:rsid w:val="008B6018"/>
    <w:rsid w:val="008B7D65"/>
    <w:rsid w:val="008C02AA"/>
    <w:rsid w:val="008C2979"/>
    <w:rsid w:val="008C4AA3"/>
    <w:rsid w:val="008C7D63"/>
    <w:rsid w:val="008D1235"/>
    <w:rsid w:val="008D242E"/>
    <w:rsid w:val="008D2F3B"/>
    <w:rsid w:val="008D3BC8"/>
    <w:rsid w:val="008D7237"/>
    <w:rsid w:val="008E18A3"/>
    <w:rsid w:val="008E36E2"/>
    <w:rsid w:val="008E7F95"/>
    <w:rsid w:val="008F099D"/>
    <w:rsid w:val="008F3C9F"/>
    <w:rsid w:val="008F61BA"/>
    <w:rsid w:val="008F687C"/>
    <w:rsid w:val="009156E7"/>
    <w:rsid w:val="00915B72"/>
    <w:rsid w:val="009166B0"/>
    <w:rsid w:val="00921343"/>
    <w:rsid w:val="00923609"/>
    <w:rsid w:val="0092529A"/>
    <w:rsid w:val="009255D8"/>
    <w:rsid w:val="0092772A"/>
    <w:rsid w:val="0092785D"/>
    <w:rsid w:val="009304DC"/>
    <w:rsid w:val="00930E48"/>
    <w:rsid w:val="00930F96"/>
    <w:rsid w:val="00933B3B"/>
    <w:rsid w:val="00945902"/>
    <w:rsid w:val="00945E01"/>
    <w:rsid w:val="00947EC5"/>
    <w:rsid w:val="00950D4D"/>
    <w:rsid w:val="0095534B"/>
    <w:rsid w:val="00962492"/>
    <w:rsid w:val="009720C2"/>
    <w:rsid w:val="009721D7"/>
    <w:rsid w:val="0097333A"/>
    <w:rsid w:val="009778E1"/>
    <w:rsid w:val="00977C25"/>
    <w:rsid w:val="00981FC3"/>
    <w:rsid w:val="00984FFD"/>
    <w:rsid w:val="00990D4B"/>
    <w:rsid w:val="00992C31"/>
    <w:rsid w:val="0099417A"/>
    <w:rsid w:val="009A20E2"/>
    <w:rsid w:val="009A3212"/>
    <w:rsid w:val="009A45B5"/>
    <w:rsid w:val="009B0EC6"/>
    <w:rsid w:val="009B41F2"/>
    <w:rsid w:val="009B6DB2"/>
    <w:rsid w:val="009B7731"/>
    <w:rsid w:val="009C0896"/>
    <w:rsid w:val="009C3AC1"/>
    <w:rsid w:val="009D01E3"/>
    <w:rsid w:val="009D03DE"/>
    <w:rsid w:val="009D0413"/>
    <w:rsid w:val="009D0A9A"/>
    <w:rsid w:val="009D3896"/>
    <w:rsid w:val="009D68C6"/>
    <w:rsid w:val="009D6AB7"/>
    <w:rsid w:val="009E1F6B"/>
    <w:rsid w:val="009E5AAB"/>
    <w:rsid w:val="009E5FA0"/>
    <w:rsid w:val="009E77FA"/>
    <w:rsid w:val="009E7E3D"/>
    <w:rsid w:val="009F561E"/>
    <w:rsid w:val="009F6490"/>
    <w:rsid w:val="00A01543"/>
    <w:rsid w:val="00A03D5B"/>
    <w:rsid w:val="00A114AE"/>
    <w:rsid w:val="00A15AAF"/>
    <w:rsid w:val="00A21F3B"/>
    <w:rsid w:val="00A34480"/>
    <w:rsid w:val="00A345AB"/>
    <w:rsid w:val="00A35402"/>
    <w:rsid w:val="00A36A29"/>
    <w:rsid w:val="00A40982"/>
    <w:rsid w:val="00A45884"/>
    <w:rsid w:val="00A4604C"/>
    <w:rsid w:val="00A5014E"/>
    <w:rsid w:val="00A60203"/>
    <w:rsid w:val="00A60B9B"/>
    <w:rsid w:val="00A60D56"/>
    <w:rsid w:val="00A62026"/>
    <w:rsid w:val="00A64ABA"/>
    <w:rsid w:val="00A7034E"/>
    <w:rsid w:val="00A71B57"/>
    <w:rsid w:val="00A72B23"/>
    <w:rsid w:val="00A72B84"/>
    <w:rsid w:val="00A74C21"/>
    <w:rsid w:val="00A7508F"/>
    <w:rsid w:val="00A8105C"/>
    <w:rsid w:val="00A81316"/>
    <w:rsid w:val="00A83133"/>
    <w:rsid w:val="00A838A0"/>
    <w:rsid w:val="00A84F9C"/>
    <w:rsid w:val="00A9223F"/>
    <w:rsid w:val="00A946C0"/>
    <w:rsid w:val="00AA62C0"/>
    <w:rsid w:val="00AA658E"/>
    <w:rsid w:val="00AA7841"/>
    <w:rsid w:val="00AB0C58"/>
    <w:rsid w:val="00AB2327"/>
    <w:rsid w:val="00AB2F43"/>
    <w:rsid w:val="00AB401B"/>
    <w:rsid w:val="00AB62E9"/>
    <w:rsid w:val="00AC3D14"/>
    <w:rsid w:val="00AC4C1F"/>
    <w:rsid w:val="00AC78C5"/>
    <w:rsid w:val="00AE0252"/>
    <w:rsid w:val="00AE4694"/>
    <w:rsid w:val="00AE550C"/>
    <w:rsid w:val="00AF19D8"/>
    <w:rsid w:val="00AF1B49"/>
    <w:rsid w:val="00B03934"/>
    <w:rsid w:val="00B049BF"/>
    <w:rsid w:val="00B07133"/>
    <w:rsid w:val="00B10DDE"/>
    <w:rsid w:val="00B15827"/>
    <w:rsid w:val="00B15C47"/>
    <w:rsid w:val="00B17264"/>
    <w:rsid w:val="00B413E6"/>
    <w:rsid w:val="00B449EE"/>
    <w:rsid w:val="00B5274C"/>
    <w:rsid w:val="00B527A1"/>
    <w:rsid w:val="00B55A48"/>
    <w:rsid w:val="00B5681E"/>
    <w:rsid w:val="00B636E8"/>
    <w:rsid w:val="00B70895"/>
    <w:rsid w:val="00B718A3"/>
    <w:rsid w:val="00B7364A"/>
    <w:rsid w:val="00B73735"/>
    <w:rsid w:val="00B765CB"/>
    <w:rsid w:val="00B7692D"/>
    <w:rsid w:val="00B771E3"/>
    <w:rsid w:val="00B77A08"/>
    <w:rsid w:val="00B95843"/>
    <w:rsid w:val="00B97CA7"/>
    <w:rsid w:val="00BA4D22"/>
    <w:rsid w:val="00BA6E87"/>
    <w:rsid w:val="00BB36A9"/>
    <w:rsid w:val="00BB50C7"/>
    <w:rsid w:val="00BB5386"/>
    <w:rsid w:val="00BB7B69"/>
    <w:rsid w:val="00BC5231"/>
    <w:rsid w:val="00BC7FE3"/>
    <w:rsid w:val="00BD282E"/>
    <w:rsid w:val="00BD5AA2"/>
    <w:rsid w:val="00BE022B"/>
    <w:rsid w:val="00BE13E4"/>
    <w:rsid w:val="00BE13F7"/>
    <w:rsid w:val="00BF1951"/>
    <w:rsid w:val="00BF21C2"/>
    <w:rsid w:val="00BF773A"/>
    <w:rsid w:val="00BF7981"/>
    <w:rsid w:val="00C013C9"/>
    <w:rsid w:val="00C01618"/>
    <w:rsid w:val="00C031DD"/>
    <w:rsid w:val="00C05A06"/>
    <w:rsid w:val="00C06F89"/>
    <w:rsid w:val="00C12A7A"/>
    <w:rsid w:val="00C17E77"/>
    <w:rsid w:val="00C254A4"/>
    <w:rsid w:val="00C256C7"/>
    <w:rsid w:val="00C30F94"/>
    <w:rsid w:val="00C34CD9"/>
    <w:rsid w:val="00C37F02"/>
    <w:rsid w:val="00C40AF9"/>
    <w:rsid w:val="00C4278B"/>
    <w:rsid w:val="00C42A4D"/>
    <w:rsid w:val="00C44D90"/>
    <w:rsid w:val="00C459C6"/>
    <w:rsid w:val="00C54A8A"/>
    <w:rsid w:val="00C551EA"/>
    <w:rsid w:val="00C6223A"/>
    <w:rsid w:val="00C70976"/>
    <w:rsid w:val="00C72F57"/>
    <w:rsid w:val="00C73CB2"/>
    <w:rsid w:val="00C74B91"/>
    <w:rsid w:val="00C75DBD"/>
    <w:rsid w:val="00C85509"/>
    <w:rsid w:val="00C90703"/>
    <w:rsid w:val="00C90E37"/>
    <w:rsid w:val="00CA1CCF"/>
    <w:rsid w:val="00CA43A8"/>
    <w:rsid w:val="00CA54B7"/>
    <w:rsid w:val="00CB59BE"/>
    <w:rsid w:val="00CB5A30"/>
    <w:rsid w:val="00CB5DF4"/>
    <w:rsid w:val="00CB7D72"/>
    <w:rsid w:val="00CC01C4"/>
    <w:rsid w:val="00CC4706"/>
    <w:rsid w:val="00CC6239"/>
    <w:rsid w:val="00CC6474"/>
    <w:rsid w:val="00CD172B"/>
    <w:rsid w:val="00CD462E"/>
    <w:rsid w:val="00CD6ED6"/>
    <w:rsid w:val="00CE0980"/>
    <w:rsid w:val="00CE387C"/>
    <w:rsid w:val="00CE59E8"/>
    <w:rsid w:val="00CE742E"/>
    <w:rsid w:val="00CF206B"/>
    <w:rsid w:val="00CF4354"/>
    <w:rsid w:val="00D046FC"/>
    <w:rsid w:val="00D17397"/>
    <w:rsid w:val="00D24891"/>
    <w:rsid w:val="00D26ED2"/>
    <w:rsid w:val="00D300EB"/>
    <w:rsid w:val="00D30956"/>
    <w:rsid w:val="00D34B60"/>
    <w:rsid w:val="00D35796"/>
    <w:rsid w:val="00D370E1"/>
    <w:rsid w:val="00D4128B"/>
    <w:rsid w:val="00D45522"/>
    <w:rsid w:val="00D53744"/>
    <w:rsid w:val="00D615C8"/>
    <w:rsid w:val="00D631DE"/>
    <w:rsid w:val="00D6703C"/>
    <w:rsid w:val="00D76FEC"/>
    <w:rsid w:val="00D802BB"/>
    <w:rsid w:val="00D8076C"/>
    <w:rsid w:val="00D8320E"/>
    <w:rsid w:val="00D86746"/>
    <w:rsid w:val="00D86E87"/>
    <w:rsid w:val="00D9226D"/>
    <w:rsid w:val="00D947E9"/>
    <w:rsid w:val="00DA2ECF"/>
    <w:rsid w:val="00DA3D24"/>
    <w:rsid w:val="00DA66EF"/>
    <w:rsid w:val="00DB0D34"/>
    <w:rsid w:val="00DB7039"/>
    <w:rsid w:val="00DB7C0D"/>
    <w:rsid w:val="00DC219C"/>
    <w:rsid w:val="00DC4D3A"/>
    <w:rsid w:val="00DC5AFF"/>
    <w:rsid w:val="00DD02F6"/>
    <w:rsid w:val="00DD1D8B"/>
    <w:rsid w:val="00DE52FE"/>
    <w:rsid w:val="00DE58B1"/>
    <w:rsid w:val="00DF198E"/>
    <w:rsid w:val="00DF4A1B"/>
    <w:rsid w:val="00E00A7B"/>
    <w:rsid w:val="00E0349D"/>
    <w:rsid w:val="00E129EB"/>
    <w:rsid w:val="00E14E29"/>
    <w:rsid w:val="00E2099F"/>
    <w:rsid w:val="00E237FF"/>
    <w:rsid w:val="00E256C3"/>
    <w:rsid w:val="00E31D2B"/>
    <w:rsid w:val="00E35224"/>
    <w:rsid w:val="00E35E25"/>
    <w:rsid w:val="00E516B7"/>
    <w:rsid w:val="00E54BB2"/>
    <w:rsid w:val="00E56BFC"/>
    <w:rsid w:val="00E64AFF"/>
    <w:rsid w:val="00E67DF1"/>
    <w:rsid w:val="00E71007"/>
    <w:rsid w:val="00E719E1"/>
    <w:rsid w:val="00E71A5F"/>
    <w:rsid w:val="00E72D2B"/>
    <w:rsid w:val="00E73691"/>
    <w:rsid w:val="00E743B0"/>
    <w:rsid w:val="00E74546"/>
    <w:rsid w:val="00E76F31"/>
    <w:rsid w:val="00E80C16"/>
    <w:rsid w:val="00E87022"/>
    <w:rsid w:val="00E87E71"/>
    <w:rsid w:val="00E91224"/>
    <w:rsid w:val="00E92D94"/>
    <w:rsid w:val="00E97AF0"/>
    <w:rsid w:val="00EA0412"/>
    <w:rsid w:val="00EA598D"/>
    <w:rsid w:val="00EB08B4"/>
    <w:rsid w:val="00EB6B52"/>
    <w:rsid w:val="00EB77F8"/>
    <w:rsid w:val="00EC1D51"/>
    <w:rsid w:val="00EC1F28"/>
    <w:rsid w:val="00EC5A2D"/>
    <w:rsid w:val="00EC6337"/>
    <w:rsid w:val="00EC6602"/>
    <w:rsid w:val="00ED445A"/>
    <w:rsid w:val="00ED5273"/>
    <w:rsid w:val="00ED786F"/>
    <w:rsid w:val="00EE1787"/>
    <w:rsid w:val="00EE3B6F"/>
    <w:rsid w:val="00EE6B89"/>
    <w:rsid w:val="00EF04B8"/>
    <w:rsid w:val="00EF128B"/>
    <w:rsid w:val="00F0099A"/>
    <w:rsid w:val="00F1145F"/>
    <w:rsid w:val="00F17CA1"/>
    <w:rsid w:val="00F222E4"/>
    <w:rsid w:val="00F22F6C"/>
    <w:rsid w:val="00F23326"/>
    <w:rsid w:val="00F25233"/>
    <w:rsid w:val="00F25937"/>
    <w:rsid w:val="00F339B7"/>
    <w:rsid w:val="00F41A19"/>
    <w:rsid w:val="00F446CF"/>
    <w:rsid w:val="00F514F7"/>
    <w:rsid w:val="00F56586"/>
    <w:rsid w:val="00F62A23"/>
    <w:rsid w:val="00F63376"/>
    <w:rsid w:val="00F65F74"/>
    <w:rsid w:val="00F6719A"/>
    <w:rsid w:val="00F73DE8"/>
    <w:rsid w:val="00F8740D"/>
    <w:rsid w:val="00F90349"/>
    <w:rsid w:val="00F90F79"/>
    <w:rsid w:val="00FA0F2E"/>
    <w:rsid w:val="00FA1C3F"/>
    <w:rsid w:val="00FA2887"/>
    <w:rsid w:val="00FB2124"/>
    <w:rsid w:val="00FB3278"/>
    <w:rsid w:val="00FC55E4"/>
    <w:rsid w:val="00FC64A6"/>
    <w:rsid w:val="00FD3D4C"/>
    <w:rsid w:val="00FD5C16"/>
    <w:rsid w:val="00FE002E"/>
    <w:rsid w:val="00FE0256"/>
    <w:rsid w:val="00FE4688"/>
    <w:rsid w:val="00FE4A2B"/>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character" w:styleId="FollowedHyperlink">
    <w:name w:val="FollowedHyperlink"/>
    <w:basedOn w:val="DefaultParagraphFont"/>
    <w:uiPriority w:val="99"/>
    <w:semiHidden/>
    <w:unhideWhenUsed/>
    <w:rsid w:val="00AA7841"/>
    <w:rPr>
      <w:color w:val="800080" w:themeColor="followedHyperlink"/>
      <w:u w:val="single"/>
    </w:rPr>
  </w:style>
  <w:style w:type="character" w:styleId="Strong">
    <w:name w:val="Strong"/>
    <w:basedOn w:val="DefaultParagraphFont"/>
    <w:uiPriority w:val="22"/>
    <w:qFormat/>
    <w:rsid w:val="00D76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8DAA6-551A-4B0D-ABA5-8D81EA64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2015-09-30T18:41:00Z</cp:lastPrinted>
  <dcterms:created xsi:type="dcterms:W3CDTF">2019-03-25T15:04:00Z</dcterms:created>
  <dcterms:modified xsi:type="dcterms:W3CDTF">2019-03-25T15:04:00Z</dcterms:modified>
</cp:coreProperties>
</file>