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BD656F" w:rsidR="00AC06C7" w:rsidP="00AC06C7" w:rsidRDefault="00AC06C7">
      <w:pPr>
        <w:spacing w:after="0" w:line="240" w:lineRule="auto"/>
        <w:jc w:val="center"/>
        <w:rPr>
          <w:rFonts w:ascii="Times New Roman" w:hAnsi="Times New Roman" w:cs="Times New Roman"/>
          <w:b/>
          <w:sz w:val="24"/>
          <w:szCs w:val="24"/>
        </w:rPr>
      </w:pPr>
      <w:r w:rsidRPr="00BD656F">
        <w:rPr>
          <w:rFonts w:ascii="Times New Roman" w:hAnsi="Times New Roman" w:cs="Times New Roman"/>
          <w:b/>
          <w:sz w:val="24"/>
          <w:szCs w:val="24"/>
        </w:rPr>
        <w:t>SUPPORTING STATEMENT</w:t>
      </w:r>
      <w:r>
        <w:rPr>
          <w:rFonts w:ascii="Times New Roman" w:hAnsi="Times New Roman" w:cs="Times New Roman"/>
          <w:b/>
          <w:sz w:val="24"/>
          <w:szCs w:val="24"/>
        </w:rPr>
        <w:t xml:space="preserve"> B</w:t>
      </w:r>
    </w:p>
    <w:p w:rsidRPr="00BD656F" w:rsidR="00AC06C7" w:rsidP="00AC06C7" w:rsidRDefault="00AC06C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1110-0004</w:t>
      </w:r>
    </w:p>
    <w:p w:rsidR="00AC06C7" w:rsidP="00AC06C7" w:rsidRDefault="00AC06C7">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 xml:space="preserve">NUMBER OF FULL-TIME LAW ENFORCEMENT EMPLOYEES AS OF OCTOBER 31 </w:t>
      </w:r>
    </w:p>
    <w:p w:rsidR="00AC06C7" w:rsidP="00AC06C7" w:rsidRDefault="00AC06C7">
      <w:pPr>
        <w:spacing w:after="0" w:line="240" w:lineRule="auto"/>
        <w:jc w:val="center"/>
        <w:rPr>
          <w:rFonts w:ascii="Times New Roman" w:hAnsi="Times New Roman" w:cs="Times New Roman"/>
          <w:b/>
          <w:i/>
          <w:sz w:val="24"/>
          <w:szCs w:val="24"/>
        </w:rPr>
      </w:pPr>
    </w:p>
    <w:p w:rsidR="00AC06C7" w:rsidP="00AC06C7" w:rsidRDefault="00AC06C7">
      <w:pPr>
        <w:spacing w:after="0" w:line="240" w:lineRule="auto"/>
        <w:rPr>
          <w:rFonts w:ascii="Times New Roman" w:hAnsi="Times New Roman" w:cs="Times New Roman"/>
          <w:sz w:val="24"/>
          <w:szCs w:val="24"/>
        </w:rPr>
      </w:pPr>
    </w:p>
    <w:p w:rsidR="00AC06C7" w:rsidP="00AC06C7" w:rsidRDefault="00AC06C7">
      <w:pPr>
        <w:spacing w:after="0" w:line="240" w:lineRule="auto"/>
        <w:rPr>
          <w:rFonts w:ascii="Times New Roman" w:hAnsi="Times New Roman" w:cs="Times New Roman"/>
          <w:sz w:val="24"/>
          <w:szCs w:val="24"/>
        </w:rPr>
      </w:pPr>
      <w:r>
        <w:rPr>
          <w:rFonts w:ascii="Times New Roman" w:hAnsi="Times New Roman" w:cs="Times New Roman"/>
          <w:sz w:val="24"/>
          <w:szCs w:val="24"/>
        </w:rPr>
        <w:t>An extension of this currently approved collection for three years is requested.</w:t>
      </w:r>
    </w:p>
    <w:p w:rsidR="00AC06C7" w:rsidP="00AC06C7" w:rsidRDefault="00AC06C7">
      <w:pPr>
        <w:contextualSpacing/>
        <w:rPr>
          <w:rFonts w:ascii="Times New Roman" w:hAnsi="Times New Roman"/>
          <w:sz w:val="24"/>
          <w:szCs w:val="24"/>
        </w:rPr>
      </w:pPr>
      <w:bookmarkStart w:name="_GoBack" w:id="0"/>
      <w:bookmarkEnd w:id="0"/>
    </w:p>
    <w:p w:rsidR="00AC06C7" w:rsidP="00AC06C7" w:rsidRDefault="00AC06C7">
      <w:pPr>
        <w:contextualSpacing/>
        <w:rPr>
          <w:rFonts w:ascii="Times New Roman" w:hAnsi="Times New Roman"/>
          <w:sz w:val="24"/>
          <w:szCs w:val="24"/>
        </w:rPr>
      </w:pPr>
    </w:p>
    <w:p w:rsidR="00AC06C7" w:rsidP="00AC06C7" w:rsidRDefault="00AC06C7">
      <w:pPr>
        <w:contextualSpacing/>
        <w:rPr>
          <w:rFonts w:ascii="Times New Roman" w:hAnsi="Times New Roman"/>
          <w:sz w:val="24"/>
          <w:szCs w:val="24"/>
        </w:rPr>
      </w:pPr>
      <w:r>
        <w:rPr>
          <w:rFonts w:ascii="Times New Roman" w:hAnsi="Times New Roman"/>
          <w:sz w:val="24"/>
          <w:szCs w:val="24"/>
        </w:rPr>
        <w:t xml:space="preserve">Part B.  </w:t>
      </w:r>
      <w:r w:rsidRPr="007A431C">
        <w:rPr>
          <w:rFonts w:ascii="Times New Roman" w:hAnsi="Times New Roman"/>
          <w:sz w:val="24"/>
          <w:szCs w:val="24"/>
          <w:u w:val="single"/>
        </w:rPr>
        <w:t>Statistical Methods</w:t>
      </w:r>
    </w:p>
    <w:p w:rsidRPr="00AB2A8E" w:rsidR="00AC06C7" w:rsidP="00AC06C7" w:rsidRDefault="00AC06C7">
      <w:pPr>
        <w:pStyle w:val="ListParagraph"/>
        <w:numPr>
          <w:ilvl w:val="0"/>
          <w:numId w:val="1"/>
        </w:numPr>
        <w:ind w:left="1080" w:hanging="540"/>
        <w:rPr>
          <w:rFonts w:ascii="Times New Roman" w:hAnsi="Times New Roman"/>
          <w:sz w:val="24"/>
          <w:szCs w:val="24"/>
        </w:rPr>
      </w:pPr>
      <w:r w:rsidRPr="00AB2A8E">
        <w:rPr>
          <w:rFonts w:ascii="Times New Roman" w:hAnsi="Times New Roman"/>
          <w:sz w:val="24"/>
          <w:szCs w:val="24"/>
          <w:u w:val="single"/>
        </w:rPr>
        <w:t>Response Universe</w:t>
      </w:r>
    </w:p>
    <w:p w:rsidR="00AC06C7" w:rsidP="00AC06C7" w:rsidRDefault="00AC06C7">
      <w:pPr>
        <w:pStyle w:val="ListParagraph"/>
        <w:rPr>
          <w:rFonts w:ascii="Times New Roman" w:hAnsi="Times New Roman"/>
          <w:sz w:val="24"/>
          <w:szCs w:val="24"/>
          <w:u w:val="single"/>
        </w:rPr>
      </w:pPr>
    </w:p>
    <w:p w:rsidR="00AC06C7" w:rsidP="00AC06C7" w:rsidRDefault="00AC06C7">
      <w:pPr>
        <w:pStyle w:val="ListParagraph"/>
        <w:ind w:left="1080"/>
        <w:rPr>
          <w:rFonts w:ascii="Times New Roman" w:hAnsi="Times New Roman"/>
          <w:sz w:val="24"/>
          <w:szCs w:val="24"/>
        </w:rPr>
      </w:pPr>
      <w:r>
        <w:rPr>
          <w:rFonts w:ascii="Times New Roman" w:hAnsi="Times New Roman"/>
          <w:sz w:val="24"/>
          <w:szCs w:val="24"/>
        </w:rPr>
        <w:t xml:space="preserve">The potential respondent universe of the form </w:t>
      </w:r>
      <w:r w:rsidRPr="00DA3102">
        <w:rPr>
          <w:rFonts w:ascii="Times New Roman" w:hAnsi="Times New Roman"/>
          <w:i/>
          <w:sz w:val="24"/>
          <w:szCs w:val="24"/>
        </w:rPr>
        <w:t>Number of Full-Time Law Enforcement Employees as of October 31</w:t>
      </w:r>
      <w:r>
        <w:rPr>
          <w:rFonts w:ascii="Times New Roman" w:hAnsi="Times New Roman"/>
          <w:sz w:val="24"/>
          <w:szCs w:val="24"/>
        </w:rPr>
        <w:t xml:space="preserve"> (OMB No. 1110-0004) includes all United States LEAs submitting Police Employee data to the FBI UCR Program.  During 2019, 13,247 LEAs voluntarily participated in the Police Employee collection.  </w:t>
      </w:r>
      <w:r w:rsidRPr="00280422">
        <w:rPr>
          <w:rFonts w:ascii="Times New Roman" w:hAnsi="Times New Roman"/>
          <w:sz w:val="24"/>
          <w:szCs w:val="24"/>
        </w:rPr>
        <w:t xml:space="preserve">The </w:t>
      </w:r>
      <w:r>
        <w:rPr>
          <w:rFonts w:ascii="Times New Roman" w:hAnsi="Times New Roman"/>
          <w:sz w:val="24"/>
          <w:szCs w:val="24"/>
        </w:rPr>
        <w:t>LEAs</w:t>
      </w:r>
      <w:r w:rsidRPr="00280422">
        <w:rPr>
          <w:rFonts w:ascii="Times New Roman" w:hAnsi="Times New Roman"/>
          <w:sz w:val="24"/>
          <w:szCs w:val="24"/>
        </w:rPr>
        <w:t xml:space="preserve"> consist of </w:t>
      </w:r>
      <w:r>
        <w:rPr>
          <w:rFonts w:ascii="Times New Roman" w:hAnsi="Times New Roman"/>
          <w:sz w:val="24"/>
          <w:szCs w:val="24"/>
        </w:rPr>
        <w:t>federal</w:t>
      </w:r>
      <w:r w:rsidRPr="00280422">
        <w:rPr>
          <w:rFonts w:ascii="Times New Roman" w:hAnsi="Times New Roman"/>
          <w:sz w:val="24"/>
          <w:szCs w:val="24"/>
        </w:rPr>
        <w:t>, state,</w:t>
      </w:r>
      <w:r>
        <w:rPr>
          <w:rFonts w:ascii="Times New Roman" w:hAnsi="Times New Roman"/>
          <w:sz w:val="24"/>
          <w:szCs w:val="24"/>
        </w:rPr>
        <w:t xml:space="preserve"> local, and tribal </w:t>
      </w:r>
      <w:r w:rsidRPr="00280422">
        <w:rPr>
          <w:rFonts w:ascii="Times New Roman" w:hAnsi="Times New Roman"/>
          <w:sz w:val="24"/>
          <w:szCs w:val="24"/>
        </w:rPr>
        <w:t xml:space="preserve">agencies that correlate to all population group sizes and have many diverse attributes.  </w:t>
      </w:r>
      <w:r>
        <w:rPr>
          <w:rFonts w:ascii="Times New Roman" w:hAnsi="Times New Roman"/>
          <w:sz w:val="24"/>
          <w:szCs w:val="24"/>
        </w:rPr>
        <w:t>These agencies include:  a mix of population density and degrees of urbanization;</w:t>
      </w:r>
      <w:r w:rsidRPr="00280422">
        <w:rPr>
          <w:rFonts w:ascii="Times New Roman" w:hAnsi="Times New Roman"/>
          <w:sz w:val="24"/>
          <w:szCs w:val="24"/>
        </w:rPr>
        <w:t xml:space="preserve"> various compositions of population</w:t>
      </w:r>
      <w:r>
        <w:rPr>
          <w:rFonts w:ascii="Times New Roman" w:hAnsi="Times New Roman"/>
          <w:sz w:val="24"/>
          <w:szCs w:val="24"/>
        </w:rPr>
        <w:t>,</w:t>
      </w:r>
      <w:r w:rsidRPr="00280422">
        <w:rPr>
          <w:rFonts w:ascii="Times New Roman" w:hAnsi="Times New Roman"/>
          <w:sz w:val="24"/>
          <w:szCs w:val="24"/>
        </w:rPr>
        <w:t xml:space="preserve"> particularly youth concentration; population mobility with respect to residents’ mobility, commuting patterns, and transient factors; different cultural factors and educational, recreational, and religious characteristics; family conditions with respect to divorce and family cohesiveness; climate; effective strength of law enforcement; policies of other components of the criminal justice system; citizens’ attitudes toward crime; and crime reporting practices of the citizenry.</w:t>
      </w:r>
      <w:r>
        <w:rPr>
          <w:rFonts w:ascii="Times New Roman" w:hAnsi="Times New Roman"/>
          <w:sz w:val="24"/>
          <w:szCs w:val="24"/>
        </w:rPr>
        <w:t xml:space="preserve">  </w:t>
      </w:r>
    </w:p>
    <w:p w:rsidR="00AC06C7" w:rsidP="00AC06C7" w:rsidRDefault="00AC06C7">
      <w:pPr>
        <w:pStyle w:val="ListParagraph"/>
        <w:ind w:left="1080"/>
        <w:rPr>
          <w:rFonts w:ascii="Times New Roman" w:hAnsi="Times New Roman"/>
          <w:sz w:val="24"/>
          <w:szCs w:val="24"/>
        </w:rPr>
      </w:pPr>
    </w:p>
    <w:p w:rsidR="00AC06C7" w:rsidP="00AC06C7" w:rsidRDefault="00AC06C7">
      <w:pPr>
        <w:pStyle w:val="ListParagraph"/>
        <w:ind w:left="1080"/>
        <w:rPr>
          <w:rFonts w:ascii="Times New Roman" w:hAnsi="Times New Roman"/>
          <w:sz w:val="24"/>
          <w:szCs w:val="24"/>
        </w:rPr>
      </w:pPr>
      <w:r>
        <w:rPr>
          <w:rFonts w:ascii="Times New Roman" w:hAnsi="Times New Roman"/>
          <w:sz w:val="24"/>
          <w:szCs w:val="24"/>
        </w:rPr>
        <w:t>The table below provides the total number of the UCR agencies who provide Police Employee data in 2019.</w:t>
      </w:r>
    </w:p>
    <w:p w:rsidR="00AC06C7" w:rsidP="00AC06C7" w:rsidRDefault="00AC06C7">
      <w:pPr>
        <w:pStyle w:val="ListParagraph"/>
        <w:rPr>
          <w:rFonts w:ascii="Times New Roman" w:hAnsi="Times New Roman"/>
          <w:sz w:val="24"/>
          <w:szCs w:val="24"/>
        </w:rPr>
      </w:pPr>
    </w:p>
    <w:tbl>
      <w:tblPr>
        <w:tblW w:w="0" w:type="auto"/>
        <w:tblInd w:w="14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28"/>
        <w:gridCol w:w="3680"/>
        <w:gridCol w:w="1170"/>
        <w:gridCol w:w="1266"/>
      </w:tblGrid>
      <w:tr w:rsidRPr="00B42A2A" w:rsidR="00AC06C7" w:rsidTr="00970CA3">
        <w:trPr>
          <w:trHeight w:val="288"/>
        </w:trPr>
        <w:tc>
          <w:tcPr>
            <w:tcW w:w="7044" w:type="dxa"/>
            <w:gridSpan w:val="4"/>
            <w:shd w:val="clear" w:color="auto" w:fill="auto"/>
          </w:tcPr>
          <w:p w:rsidRPr="00B42A2A" w:rsidR="00AC06C7" w:rsidP="00970CA3" w:rsidRDefault="00AC06C7">
            <w:pPr>
              <w:contextualSpacing/>
              <w:rPr>
                <w:rFonts w:ascii="Times New Roman" w:hAnsi="Times New Roman"/>
                <w:b/>
                <w:sz w:val="20"/>
                <w:szCs w:val="20"/>
              </w:rPr>
            </w:pPr>
            <w:r>
              <w:rPr>
                <w:rFonts w:ascii="Times New Roman" w:hAnsi="Times New Roman"/>
                <w:b/>
                <w:sz w:val="20"/>
                <w:szCs w:val="20"/>
              </w:rPr>
              <w:t>Police Employee Agencies, 2019</w:t>
            </w:r>
          </w:p>
        </w:tc>
      </w:tr>
      <w:tr w:rsidRPr="00B42A2A" w:rsidR="00AC06C7" w:rsidTr="00970CA3">
        <w:trPr>
          <w:trHeight w:val="288"/>
        </w:trPr>
        <w:tc>
          <w:tcPr>
            <w:tcW w:w="928" w:type="dxa"/>
            <w:shd w:val="clear" w:color="auto" w:fill="auto"/>
          </w:tcPr>
          <w:p w:rsidRPr="00B42A2A" w:rsidR="00AC06C7" w:rsidP="00970CA3" w:rsidRDefault="00AC06C7">
            <w:pPr>
              <w:contextualSpacing/>
              <w:rPr>
                <w:rFonts w:ascii="Times New Roman" w:hAnsi="Times New Roman"/>
                <w:b/>
                <w:sz w:val="20"/>
                <w:szCs w:val="20"/>
              </w:rPr>
            </w:pPr>
          </w:p>
        </w:tc>
        <w:tc>
          <w:tcPr>
            <w:tcW w:w="3680" w:type="dxa"/>
            <w:shd w:val="clear" w:color="auto" w:fill="auto"/>
          </w:tcPr>
          <w:p w:rsidRPr="00B42A2A" w:rsidR="00AC06C7" w:rsidP="00970CA3" w:rsidRDefault="00AC06C7">
            <w:pPr>
              <w:contextualSpacing/>
              <w:rPr>
                <w:rFonts w:ascii="Times New Roman" w:hAnsi="Times New Roman"/>
                <w:sz w:val="20"/>
                <w:szCs w:val="20"/>
              </w:rPr>
            </w:pPr>
            <w:r w:rsidRPr="00B42A2A">
              <w:rPr>
                <w:rFonts w:ascii="Times New Roman" w:hAnsi="Times New Roman"/>
                <w:sz w:val="20"/>
                <w:szCs w:val="20"/>
              </w:rPr>
              <w:t>Population Group</w:t>
            </w:r>
          </w:p>
        </w:tc>
        <w:tc>
          <w:tcPr>
            <w:tcW w:w="1170" w:type="dxa"/>
            <w:shd w:val="clear" w:color="auto" w:fill="auto"/>
          </w:tcPr>
          <w:p w:rsidRPr="00B42A2A" w:rsidR="00AC06C7" w:rsidP="00970CA3" w:rsidRDefault="00AC06C7">
            <w:pPr>
              <w:contextualSpacing/>
              <w:rPr>
                <w:rFonts w:ascii="Times New Roman" w:hAnsi="Times New Roman"/>
                <w:sz w:val="20"/>
                <w:szCs w:val="20"/>
              </w:rPr>
            </w:pPr>
            <w:r w:rsidRPr="00B42A2A">
              <w:rPr>
                <w:rFonts w:ascii="Times New Roman" w:hAnsi="Times New Roman"/>
                <w:sz w:val="20"/>
                <w:szCs w:val="20"/>
              </w:rPr>
              <w:t>Number of Agencies</w:t>
            </w:r>
          </w:p>
        </w:tc>
        <w:tc>
          <w:tcPr>
            <w:tcW w:w="1266" w:type="dxa"/>
            <w:shd w:val="clear" w:color="auto" w:fill="auto"/>
          </w:tcPr>
          <w:p w:rsidRPr="00B42A2A" w:rsidR="00AC06C7" w:rsidP="00970CA3" w:rsidRDefault="00AC06C7">
            <w:pPr>
              <w:contextualSpacing/>
              <w:rPr>
                <w:rFonts w:ascii="Times New Roman" w:hAnsi="Times New Roman"/>
                <w:sz w:val="20"/>
                <w:szCs w:val="20"/>
              </w:rPr>
            </w:pPr>
            <w:r w:rsidRPr="00B42A2A">
              <w:rPr>
                <w:rFonts w:ascii="Times New Roman" w:hAnsi="Times New Roman"/>
                <w:sz w:val="20"/>
                <w:szCs w:val="20"/>
              </w:rPr>
              <w:t>Population Covered</w:t>
            </w:r>
          </w:p>
        </w:tc>
      </w:tr>
      <w:tr w:rsidRPr="00B42A2A" w:rsidR="00AC06C7" w:rsidTr="00970CA3">
        <w:trPr>
          <w:trHeight w:val="288"/>
        </w:trPr>
        <w:tc>
          <w:tcPr>
            <w:tcW w:w="928" w:type="dxa"/>
            <w:vMerge w:val="restart"/>
            <w:shd w:val="clear" w:color="auto" w:fill="auto"/>
          </w:tcPr>
          <w:p w:rsidRPr="00B42A2A" w:rsidR="00AC06C7" w:rsidP="00970CA3" w:rsidRDefault="00AC06C7">
            <w:pPr>
              <w:contextualSpacing/>
              <w:rPr>
                <w:rFonts w:ascii="Times New Roman" w:hAnsi="Times New Roman"/>
                <w:sz w:val="20"/>
                <w:szCs w:val="20"/>
              </w:rPr>
            </w:pPr>
            <w:r w:rsidRPr="00B42A2A">
              <w:rPr>
                <w:rFonts w:ascii="Times New Roman" w:hAnsi="Times New Roman"/>
                <w:sz w:val="20"/>
                <w:szCs w:val="20"/>
              </w:rPr>
              <w:t>Cities</w:t>
            </w:r>
          </w:p>
        </w:tc>
        <w:tc>
          <w:tcPr>
            <w:tcW w:w="3680" w:type="dxa"/>
            <w:shd w:val="clear" w:color="auto" w:fill="auto"/>
          </w:tcPr>
          <w:p w:rsidRPr="00B42A2A" w:rsidR="00AC06C7" w:rsidP="00970CA3" w:rsidRDefault="00AC06C7">
            <w:pPr>
              <w:contextualSpacing/>
              <w:rPr>
                <w:rFonts w:ascii="Times New Roman" w:hAnsi="Times New Roman"/>
                <w:sz w:val="20"/>
                <w:szCs w:val="20"/>
              </w:rPr>
            </w:pPr>
            <w:r w:rsidRPr="00B42A2A">
              <w:rPr>
                <w:rFonts w:ascii="Times New Roman" w:hAnsi="Times New Roman"/>
                <w:sz w:val="20"/>
                <w:szCs w:val="20"/>
              </w:rPr>
              <w:t>Group I (250,000 inhabitants and more)</w:t>
            </w:r>
          </w:p>
        </w:tc>
        <w:tc>
          <w:tcPr>
            <w:tcW w:w="1170" w:type="dxa"/>
            <w:shd w:val="clear" w:color="auto" w:fill="auto"/>
          </w:tcPr>
          <w:p w:rsidRPr="00B42A2A" w:rsidR="00AC06C7" w:rsidP="00970CA3" w:rsidRDefault="00AC06C7">
            <w:pPr>
              <w:contextualSpacing/>
              <w:rPr>
                <w:rFonts w:ascii="Times New Roman" w:hAnsi="Times New Roman"/>
                <w:sz w:val="20"/>
                <w:szCs w:val="20"/>
              </w:rPr>
            </w:pPr>
            <w:r w:rsidRPr="4AFAD1F9">
              <w:rPr>
                <w:rFonts w:ascii="Times New Roman" w:hAnsi="Times New Roman"/>
                <w:sz w:val="20"/>
                <w:szCs w:val="20"/>
              </w:rPr>
              <w:t>85</w:t>
            </w:r>
          </w:p>
        </w:tc>
        <w:tc>
          <w:tcPr>
            <w:tcW w:w="1266" w:type="dxa"/>
            <w:shd w:val="clear" w:color="auto" w:fill="auto"/>
          </w:tcPr>
          <w:p w:rsidRPr="00B42A2A" w:rsidR="00AC06C7" w:rsidP="00970CA3" w:rsidRDefault="00AC06C7">
            <w:pPr>
              <w:contextualSpacing/>
              <w:rPr>
                <w:rFonts w:ascii="Times New Roman" w:hAnsi="Times New Roman"/>
                <w:sz w:val="20"/>
                <w:szCs w:val="20"/>
              </w:rPr>
            </w:pPr>
            <w:r>
              <w:rPr>
                <w:rFonts w:ascii="Times New Roman" w:hAnsi="Times New Roman"/>
                <w:sz w:val="20"/>
                <w:szCs w:val="20"/>
              </w:rPr>
              <w:t>62,520,440</w:t>
            </w:r>
          </w:p>
        </w:tc>
      </w:tr>
      <w:tr w:rsidRPr="00B42A2A" w:rsidR="00AC06C7" w:rsidTr="00970CA3">
        <w:trPr>
          <w:trHeight w:val="144"/>
        </w:trPr>
        <w:tc>
          <w:tcPr>
            <w:tcW w:w="928" w:type="dxa"/>
            <w:vMerge/>
          </w:tcPr>
          <w:p w:rsidRPr="00B42A2A" w:rsidR="00AC06C7" w:rsidP="00970CA3" w:rsidRDefault="00AC06C7">
            <w:pPr>
              <w:contextualSpacing/>
              <w:rPr>
                <w:rFonts w:ascii="Times New Roman" w:hAnsi="Times New Roman"/>
                <w:b/>
                <w:sz w:val="20"/>
                <w:szCs w:val="20"/>
              </w:rPr>
            </w:pPr>
          </w:p>
        </w:tc>
        <w:tc>
          <w:tcPr>
            <w:tcW w:w="3680" w:type="dxa"/>
            <w:shd w:val="clear" w:color="auto" w:fill="auto"/>
          </w:tcPr>
          <w:p w:rsidRPr="00B42A2A" w:rsidR="00AC06C7" w:rsidP="00970CA3" w:rsidRDefault="00AC06C7">
            <w:pPr>
              <w:contextualSpacing/>
              <w:rPr>
                <w:rFonts w:ascii="Times New Roman" w:hAnsi="Times New Roman"/>
                <w:sz w:val="20"/>
                <w:szCs w:val="20"/>
              </w:rPr>
            </w:pPr>
            <w:r w:rsidRPr="00B42A2A">
              <w:rPr>
                <w:rFonts w:ascii="Times New Roman" w:hAnsi="Times New Roman"/>
                <w:sz w:val="20"/>
                <w:szCs w:val="20"/>
              </w:rPr>
              <w:t>Group II (100,000 to 249,999 inhabitants)</w:t>
            </w:r>
          </w:p>
        </w:tc>
        <w:tc>
          <w:tcPr>
            <w:tcW w:w="1170" w:type="dxa"/>
            <w:shd w:val="clear" w:color="auto" w:fill="auto"/>
          </w:tcPr>
          <w:p w:rsidRPr="00B42A2A" w:rsidR="00AC06C7" w:rsidP="00970CA3" w:rsidRDefault="00AC06C7">
            <w:pPr>
              <w:contextualSpacing/>
              <w:rPr>
                <w:rFonts w:ascii="Times New Roman" w:hAnsi="Times New Roman"/>
                <w:sz w:val="20"/>
                <w:szCs w:val="20"/>
              </w:rPr>
            </w:pPr>
            <w:r w:rsidRPr="4AFAD1F9">
              <w:rPr>
                <w:rFonts w:ascii="Times New Roman" w:hAnsi="Times New Roman"/>
                <w:sz w:val="20"/>
                <w:szCs w:val="20"/>
              </w:rPr>
              <w:t>207</w:t>
            </w:r>
          </w:p>
        </w:tc>
        <w:tc>
          <w:tcPr>
            <w:tcW w:w="1266" w:type="dxa"/>
            <w:shd w:val="clear" w:color="auto" w:fill="auto"/>
          </w:tcPr>
          <w:p w:rsidRPr="00B42A2A" w:rsidR="00AC06C7" w:rsidP="00970CA3" w:rsidRDefault="00AC06C7">
            <w:pPr>
              <w:contextualSpacing/>
              <w:rPr>
                <w:rFonts w:ascii="Times New Roman" w:hAnsi="Times New Roman"/>
                <w:sz w:val="20"/>
                <w:szCs w:val="20"/>
              </w:rPr>
            </w:pPr>
            <w:r>
              <w:rPr>
                <w:rFonts w:ascii="Times New Roman" w:hAnsi="Times New Roman"/>
                <w:sz w:val="20"/>
                <w:szCs w:val="20"/>
              </w:rPr>
              <w:t>30,396,345</w:t>
            </w:r>
          </w:p>
        </w:tc>
      </w:tr>
      <w:tr w:rsidRPr="00B42A2A" w:rsidR="00AC06C7" w:rsidTr="00970CA3">
        <w:trPr>
          <w:trHeight w:val="288"/>
        </w:trPr>
        <w:tc>
          <w:tcPr>
            <w:tcW w:w="928" w:type="dxa"/>
            <w:vMerge/>
          </w:tcPr>
          <w:p w:rsidRPr="00B42A2A" w:rsidR="00AC06C7" w:rsidP="00970CA3" w:rsidRDefault="00AC06C7">
            <w:pPr>
              <w:contextualSpacing/>
              <w:rPr>
                <w:rFonts w:ascii="Times New Roman" w:hAnsi="Times New Roman"/>
                <w:b/>
                <w:sz w:val="20"/>
                <w:szCs w:val="20"/>
              </w:rPr>
            </w:pPr>
          </w:p>
        </w:tc>
        <w:tc>
          <w:tcPr>
            <w:tcW w:w="3680" w:type="dxa"/>
            <w:shd w:val="clear" w:color="auto" w:fill="auto"/>
          </w:tcPr>
          <w:p w:rsidRPr="00B42A2A" w:rsidR="00AC06C7" w:rsidP="00970CA3" w:rsidRDefault="00AC06C7">
            <w:pPr>
              <w:contextualSpacing/>
              <w:rPr>
                <w:rFonts w:ascii="Times New Roman" w:hAnsi="Times New Roman"/>
                <w:sz w:val="20"/>
                <w:szCs w:val="20"/>
              </w:rPr>
            </w:pPr>
            <w:r w:rsidRPr="00B42A2A">
              <w:rPr>
                <w:rFonts w:ascii="Times New Roman" w:hAnsi="Times New Roman"/>
                <w:sz w:val="20"/>
                <w:szCs w:val="20"/>
              </w:rPr>
              <w:t>Group III (50,000 to 99,999 inhabitants)</w:t>
            </w:r>
          </w:p>
        </w:tc>
        <w:tc>
          <w:tcPr>
            <w:tcW w:w="1170" w:type="dxa"/>
            <w:shd w:val="clear" w:color="auto" w:fill="auto"/>
          </w:tcPr>
          <w:p w:rsidRPr="00B42A2A" w:rsidR="00AC06C7" w:rsidP="00970CA3" w:rsidRDefault="00AC06C7">
            <w:pPr>
              <w:contextualSpacing/>
              <w:rPr>
                <w:rFonts w:ascii="Times New Roman" w:hAnsi="Times New Roman"/>
                <w:sz w:val="20"/>
                <w:szCs w:val="20"/>
              </w:rPr>
            </w:pPr>
            <w:r w:rsidRPr="4AFAD1F9">
              <w:rPr>
                <w:rFonts w:ascii="Times New Roman" w:hAnsi="Times New Roman"/>
                <w:sz w:val="20"/>
                <w:szCs w:val="20"/>
              </w:rPr>
              <w:t>427</w:t>
            </w:r>
          </w:p>
        </w:tc>
        <w:tc>
          <w:tcPr>
            <w:tcW w:w="1266" w:type="dxa"/>
            <w:shd w:val="clear" w:color="auto" w:fill="auto"/>
          </w:tcPr>
          <w:p w:rsidRPr="00B42A2A" w:rsidR="00AC06C7" w:rsidP="00970CA3" w:rsidRDefault="00AC06C7">
            <w:pPr>
              <w:contextualSpacing/>
              <w:rPr>
                <w:rFonts w:ascii="Times New Roman" w:hAnsi="Times New Roman"/>
                <w:sz w:val="20"/>
                <w:szCs w:val="20"/>
              </w:rPr>
            </w:pPr>
            <w:r>
              <w:rPr>
                <w:rFonts w:ascii="Times New Roman" w:hAnsi="Times New Roman"/>
                <w:sz w:val="20"/>
                <w:szCs w:val="20"/>
              </w:rPr>
              <w:t>29,799,314</w:t>
            </w:r>
          </w:p>
        </w:tc>
      </w:tr>
      <w:tr w:rsidRPr="00B42A2A" w:rsidR="00AC06C7" w:rsidTr="00970CA3">
        <w:trPr>
          <w:trHeight w:val="288"/>
        </w:trPr>
        <w:tc>
          <w:tcPr>
            <w:tcW w:w="928" w:type="dxa"/>
            <w:vMerge/>
          </w:tcPr>
          <w:p w:rsidRPr="00B42A2A" w:rsidR="00AC06C7" w:rsidP="00970CA3" w:rsidRDefault="00AC06C7">
            <w:pPr>
              <w:contextualSpacing/>
              <w:rPr>
                <w:rFonts w:ascii="Times New Roman" w:hAnsi="Times New Roman"/>
                <w:b/>
                <w:sz w:val="20"/>
                <w:szCs w:val="20"/>
              </w:rPr>
            </w:pPr>
          </w:p>
        </w:tc>
        <w:tc>
          <w:tcPr>
            <w:tcW w:w="3680" w:type="dxa"/>
            <w:shd w:val="clear" w:color="auto" w:fill="auto"/>
          </w:tcPr>
          <w:p w:rsidRPr="00B42A2A" w:rsidR="00AC06C7" w:rsidP="00970CA3" w:rsidRDefault="00AC06C7">
            <w:pPr>
              <w:contextualSpacing/>
              <w:rPr>
                <w:rFonts w:ascii="Times New Roman" w:hAnsi="Times New Roman"/>
                <w:sz w:val="20"/>
                <w:szCs w:val="20"/>
              </w:rPr>
            </w:pPr>
            <w:r w:rsidRPr="00B42A2A">
              <w:rPr>
                <w:rFonts w:ascii="Times New Roman" w:hAnsi="Times New Roman"/>
                <w:sz w:val="20"/>
                <w:szCs w:val="20"/>
              </w:rPr>
              <w:t>Group IV (25,000 to 49,999 inhabitants)</w:t>
            </w:r>
          </w:p>
        </w:tc>
        <w:tc>
          <w:tcPr>
            <w:tcW w:w="1170" w:type="dxa"/>
            <w:shd w:val="clear" w:color="auto" w:fill="auto"/>
          </w:tcPr>
          <w:p w:rsidRPr="00B42A2A" w:rsidR="00AC06C7" w:rsidP="00970CA3" w:rsidRDefault="00AC06C7">
            <w:pPr>
              <w:contextualSpacing/>
              <w:rPr>
                <w:rFonts w:ascii="Times New Roman" w:hAnsi="Times New Roman"/>
                <w:sz w:val="20"/>
                <w:szCs w:val="20"/>
              </w:rPr>
            </w:pPr>
            <w:r w:rsidRPr="4AFAD1F9">
              <w:rPr>
                <w:rFonts w:ascii="Times New Roman" w:hAnsi="Times New Roman"/>
                <w:sz w:val="20"/>
                <w:szCs w:val="20"/>
              </w:rPr>
              <w:t>788</w:t>
            </w:r>
          </w:p>
        </w:tc>
        <w:tc>
          <w:tcPr>
            <w:tcW w:w="1266" w:type="dxa"/>
            <w:shd w:val="clear" w:color="auto" w:fill="auto"/>
          </w:tcPr>
          <w:p w:rsidRPr="00B42A2A" w:rsidR="00AC06C7" w:rsidP="00970CA3" w:rsidRDefault="00AC06C7">
            <w:pPr>
              <w:contextualSpacing/>
              <w:rPr>
                <w:rFonts w:ascii="Times New Roman" w:hAnsi="Times New Roman"/>
                <w:sz w:val="20"/>
                <w:szCs w:val="20"/>
              </w:rPr>
            </w:pPr>
            <w:r>
              <w:rPr>
                <w:rFonts w:ascii="Times New Roman" w:hAnsi="Times New Roman"/>
                <w:sz w:val="20"/>
                <w:szCs w:val="20"/>
              </w:rPr>
              <w:t>27,147,744</w:t>
            </w:r>
          </w:p>
        </w:tc>
      </w:tr>
      <w:tr w:rsidRPr="00B42A2A" w:rsidR="00AC06C7" w:rsidTr="00970CA3">
        <w:trPr>
          <w:trHeight w:val="288"/>
        </w:trPr>
        <w:tc>
          <w:tcPr>
            <w:tcW w:w="928" w:type="dxa"/>
            <w:vMerge/>
          </w:tcPr>
          <w:p w:rsidRPr="00B42A2A" w:rsidR="00AC06C7" w:rsidP="00970CA3" w:rsidRDefault="00AC06C7">
            <w:pPr>
              <w:contextualSpacing/>
              <w:rPr>
                <w:rFonts w:ascii="Times New Roman" w:hAnsi="Times New Roman"/>
                <w:b/>
                <w:sz w:val="20"/>
                <w:szCs w:val="20"/>
              </w:rPr>
            </w:pPr>
          </w:p>
        </w:tc>
        <w:tc>
          <w:tcPr>
            <w:tcW w:w="3680" w:type="dxa"/>
            <w:shd w:val="clear" w:color="auto" w:fill="auto"/>
          </w:tcPr>
          <w:p w:rsidRPr="00B42A2A" w:rsidR="00AC06C7" w:rsidP="00970CA3" w:rsidRDefault="00AC06C7">
            <w:pPr>
              <w:contextualSpacing/>
              <w:rPr>
                <w:rFonts w:ascii="Times New Roman" w:hAnsi="Times New Roman"/>
                <w:sz w:val="20"/>
                <w:szCs w:val="20"/>
              </w:rPr>
            </w:pPr>
            <w:r w:rsidRPr="00B42A2A">
              <w:rPr>
                <w:rFonts w:ascii="Times New Roman" w:hAnsi="Times New Roman"/>
                <w:sz w:val="20"/>
                <w:szCs w:val="20"/>
              </w:rPr>
              <w:t>Group V (10,000 to 24,999 inhabitants)</w:t>
            </w:r>
          </w:p>
        </w:tc>
        <w:tc>
          <w:tcPr>
            <w:tcW w:w="1170" w:type="dxa"/>
            <w:shd w:val="clear" w:color="auto" w:fill="auto"/>
          </w:tcPr>
          <w:p w:rsidRPr="00B42A2A" w:rsidR="00AC06C7" w:rsidP="00970CA3" w:rsidRDefault="00AC06C7">
            <w:pPr>
              <w:contextualSpacing/>
              <w:rPr>
                <w:rFonts w:ascii="Times New Roman" w:hAnsi="Times New Roman"/>
                <w:sz w:val="20"/>
                <w:szCs w:val="20"/>
              </w:rPr>
            </w:pPr>
            <w:r w:rsidRPr="4AFAD1F9">
              <w:rPr>
                <w:rFonts w:ascii="Times New Roman" w:hAnsi="Times New Roman"/>
                <w:sz w:val="20"/>
                <w:szCs w:val="20"/>
              </w:rPr>
              <w:t>1,644</w:t>
            </w:r>
          </w:p>
        </w:tc>
        <w:tc>
          <w:tcPr>
            <w:tcW w:w="1266" w:type="dxa"/>
            <w:shd w:val="clear" w:color="auto" w:fill="auto"/>
          </w:tcPr>
          <w:p w:rsidRPr="00B42A2A" w:rsidR="00AC06C7" w:rsidP="00970CA3" w:rsidRDefault="00AC06C7">
            <w:pPr>
              <w:contextualSpacing/>
              <w:rPr>
                <w:rFonts w:ascii="Times New Roman" w:hAnsi="Times New Roman"/>
                <w:sz w:val="20"/>
                <w:szCs w:val="20"/>
              </w:rPr>
            </w:pPr>
            <w:r>
              <w:rPr>
                <w:rFonts w:ascii="Times New Roman" w:hAnsi="Times New Roman"/>
                <w:sz w:val="20"/>
                <w:szCs w:val="20"/>
              </w:rPr>
              <w:t>26,146,921</w:t>
            </w:r>
          </w:p>
        </w:tc>
      </w:tr>
      <w:tr w:rsidRPr="00B42A2A" w:rsidR="00AC06C7" w:rsidTr="00970CA3">
        <w:trPr>
          <w:trHeight w:val="288"/>
        </w:trPr>
        <w:tc>
          <w:tcPr>
            <w:tcW w:w="928" w:type="dxa"/>
            <w:vMerge/>
          </w:tcPr>
          <w:p w:rsidRPr="00B42A2A" w:rsidR="00AC06C7" w:rsidP="00970CA3" w:rsidRDefault="00AC06C7">
            <w:pPr>
              <w:contextualSpacing/>
              <w:rPr>
                <w:rFonts w:ascii="Times New Roman" w:hAnsi="Times New Roman"/>
                <w:b/>
                <w:sz w:val="20"/>
                <w:szCs w:val="20"/>
              </w:rPr>
            </w:pPr>
          </w:p>
        </w:tc>
        <w:tc>
          <w:tcPr>
            <w:tcW w:w="3680" w:type="dxa"/>
            <w:shd w:val="clear" w:color="auto" w:fill="auto"/>
          </w:tcPr>
          <w:p w:rsidRPr="00B42A2A" w:rsidR="00AC06C7" w:rsidP="00970CA3" w:rsidRDefault="00AC06C7">
            <w:pPr>
              <w:contextualSpacing/>
              <w:rPr>
                <w:rFonts w:ascii="Times New Roman" w:hAnsi="Times New Roman"/>
                <w:sz w:val="20"/>
                <w:szCs w:val="20"/>
              </w:rPr>
            </w:pPr>
            <w:r w:rsidRPr="00B42A2A">
              <w:rPr>
                <w:rFonts w:ascii="Times New Roman" w:hAnsi="Times New Roman"/>
                <w:sz w:val="20"/>
                <w:szCs w:val="20"/>
              </w:rPr>
              <w:t xml:space="preserve">Group VI (Less than 10,000 inhabitants) </w:t>
            </w:r>
            <w:r w:rsidRPr="00B42A2A">
              <w:rPr>
                <w:rFonts w:ascii="Times New Roman" w:hAnsi="Times New Roman"/>
                <w:sz w:val="20"/>
                <w:szCs w:val="20"/>
                <w:vertAlign w:val="superscript"/>
              </w:rPr>
              <w:t>1,2</w:t>
            </w:r>
          </w:p>
        </w:tc>
        <w:tc>
          <w:tcPr>
            <w:tcW w:w="1170" w:type="dxa"/>
            <w:shd w:val="clear" w:color="auto" w:fill="auto"/>
          </w:tcPr>
          <w:p w:rsidRPr="00B42A2A" w:rsidR="00AC06C7" w:rsidP="00970CA3" w:rsidRDefault="00AC06C7">
            <w:pPr>
              <w:contextualSpacing/>
              <w:rPr>
                <w:rFonts w:ascii="Times New Roman" w:hAnsi="Times New Roman"/>
                <w:sz w:val="20"/>
                <w:szCs w:val="20"/>
              </w:rPr>
            </w:pPr>
            <w:r w:rsidRPr="4AFAD1F9">
              <w:rPr>
                <w:rFonts w:ascii="Times New Roman" w:hAnsi="Times New Roman"/>
                <w:sz w:val="20"/>
                <w:szCs w:val="20"/>
              </w:rPr>
              <w:t>7,096</w:t>
            </w:r>
          </w:p>
        </w:tc>
        <w:tc>
          <w:tcPr>
            <w:tcW w:w="1266" w:type="dxa"/>
            <w:shd w:val="clear" w:color="auto" w:fill="auto"/>
          </w:tcPr>
          <w:p w:rsidRPr="00B42A2A" w:rsidR="00AC06C7" w:rsidP="00970CA3" w:rsidRDefault="00AC06C7">
            <w:pPr>
              <w:contextualSpacing/>
              <w:rPr>
                <w:rFonts w:ascii="Times New Roman" w:hAnsi="Times New Roman"/>
                <w:sz w:val="20"/>
                <w:szCs w:val="20"/>
              </w:rPr>
            </w:pPr>
            <w:r>
              <w:rPr>
                <w:rFonts w:ascii="Times New Roman" w:hAnsi="Times New Roman"/>
                <w:sz w:val="20"/>
                <w:szCs w:val="20"/>
              </w:rPr>
              <w:t>20,889,462</w:t>
            </w:r>
          </w:p>
        </w:tc>
      </w:tr>
      <w:tr w:rsidRPr="00B42A2A" w:rsidR="00AC06C7" w:rsidTr="00970CA3">
        <w:trPr>
          <w:trHeight w:val="288"/>
        </w:trPr>
        <w:tc>
          <w:tcPr>
            <w:tcW w:w="928" w:type="dxa"/>
            <w:vMerge w:val="restart"/>
            <w:shd w:val="clear" w:color="auto" w:fill="auto"/>
          </w:tcPr>
          <w:p w:rsidRPr="00B42A2A" w:rsidR="00AC06C7" w:rsidP="00970CA3" w:rsidRDefault="00AC06C7">
            <w:pPr>
              <w:contextualSpacing/>
              <w:rPr>
                <w:rFonts w:ascii="Times New Roman" w:hAnsi="Times New Roman"/>
                <w:sz w:val="20"/>
                <w:szCs w:val="20"/>
              </w:rPr>
            </w:pPr>
            <w:r w:rsidRPr="00B42A2A">
              <w:rPr>
                <w:rFonts w:ascii="Times New Roman" w:hAnsi="Times New Roman"/>
                <w:sz w:val="20"/>
                <w:szCs w:val="20"/>
              </w:rPr>
              <w:t>Counties</w:t>
            </w:r>
          </w:p>
        </w:tc>
        <w:tc>
          <w:tcPr>
            <w:tcW w:w="3680" w:type="dxa"/>
            <w:shd w:val="clear" w:color="auto" w:fill="auto"/>
          </w:tcPr>
          <w:p w:rsidRPr="00B42A2A" w:rsidR="00AC06C7" w:rsidP="00970CA3" w:rsidRDefault="00AC06C7">
            <w:pPr>
              <w:contextualSpacing/>
              <w:rPr>
                <w:rFonts w:ascii="Times New Roman" w:hAnsi="Times New Roman"/>
                <w:sz w:val="20"/>
                <w:szCs w:val="20"/>
              </w:rPr>
            </w:pPr>
            <w:r w:rsidRPr="00B42A2A">
              <w:rPr>
                <w:rFonts w:ascii="Times New Roman" w:hAnsi="Times New Roman"/>
                <w:sz w:val="20"/>
                <w:szCs w:val="20"/>
              </w:rPr>
              <w:t>Group VIII (nonmetropolitan County)</w:t>
            </w:r>
            <w:r w:rsidRPr="00B42A2A">
              <w:rPr>
                <w:rFonts w:ascii="Times New Roman" w:hAnsi="Times New Roman"/>
                <w:sz w:val="20"/>
                <w:szCs w:val="20"/>
                <w:vertAlign w:val="superscript"/>
              </w:rPr>
              <w:t>2</w:t>
            </w:r>
          </w:p>
        </w:tc>
        <w:tc>
          <w:tcPr>
            <w:tcW w:w="1170" w:type="dxa"/>
            <w:shd w:val="clear" w:color="auto" w:fill="auto"/>
          </w:tcPr>
          <w:p w:rsidRPr="00B42A2A" w:rsidR="00AC06C7" w:rsidP="00970CA3" w:rsidRDefault="00AC06C7">
            <w:pPr>
              <w:contextualSpacing/>
              <w:rPr>
                <w:rFonts w:ascii="Times New Roman" w:hAnsi="Times New Roman"/>
                <w:sz w:val="20"/>
                <w:szCs w:val="20"/>
              </w:rPr>
            </w:pPr>
            <w:r w:rsidRPr="4AFAD1F9">
              <w:rPr>
                <w:rFonts w:ascii="Times New Roman" w:hAnsi="Times New Roman"/>
                <w:sz w:val="20"/>
                <w:szCs w:val="20"/>
              </w:rPr>
              <w:t>1,792</w:t>
            </w:r>
          </w:p>
        </w:tc>
        <w:tc>
          <w:tcPr>
            <w:tcW w:w="1266" w:type="dxa"/>
            <w:shd w:val="clear" w:color="auto" w:fill="auto"/>
          </w:tcPr>
          <w:p w:rsidRPr="00B42A2A" w:rsidR="00AC06C7" w:rsidP="00970CA3" w:rsidRDefault="00AC06C7">
            <w:pPr>
              <w:contextualSpacing/>
              <w:rPr>
                <w:rFonts w:ascii="Times New Roman" w:hAnsi="Times New Roman"/>
                <w:sz w:val="20"/>
                <w:szCs w:val="20"/>
              </w:rPr>
            </w:pPr>
            <w:r>
              <w:rPr>
                <w:rFonts w:ascii="Times New Roman" w:hAnsi="Times New Roman"/>
                <w:sz w:val="20"/>
                <w:szCs w:val="20"/>
              </w:rPr>
              <w:t>21,694,240</w:t>
            </w:r>
          </w:p>
        </w:tc>
      </w:tr>
      <w:tr w:rsidRPr="00B42A2A" w:rsidR="00AC06C7" w:rsidTr="00970CA3">
        <w:trPr>
          <w:trHeight w:val="288"/>
        </w:trPr>
        <w:tc>
          <w:tcPr>
            <w:tcW w:w="928" w:type="dxa"/>
            <w:vMerge/>
          </w:tcPr>
          <w:p w:rsidRPr="00B42A2A" w:rsidR="00AC06C7" w:rsidP="00970CA3" w:rsidRDefault="00AC06C7">
            <w:pPr>
              <w:contextualSpacing/>
              <w:rPr>
                <w:rFonts w:ascii="Times New Roman" w:hAnsi="Times New Roman"/>
                <w:sz w:val="20"/>
                <w:szCs w:val="20"/>
              </w:rPr>
            </w:pPr>
          </w:p>
        </w:tc>
        <w:tc>
          <w:tcPr>
            <w:tcW w:w="3680" w:type="dxa"/>
            <w:shd w:val="clear" w:color="auto" w:fill="auto"/>
          </w:tcPr>
          <w:p w:rsidRPr="00B42A2A" w:rsidR="00AC06C7" w:rsidP="00970CA3" w:rsidRDefault="00AC06C7">
            <w:pPr>
              <w:contextualSpacing/>
              <w:rPr>
                <w:rFonts w:ascii="Times New Roman" w:hAnsi="Times New Roman"/>
                <w:sz w:val="20"/>
                <w:szCs w:val="20"/>
              </w:rPr>
            </w:pPr>
            <w:r w:rsidRPr="00B42A2A">
              <w:rPr>
                <w:rFonts w:ascii="Times New Roman" w:hAnsi="Times New Roman"/>
                <w:sz w:val="20"/>
                <w:szCs w:val="20"/>
              </w:rPr>
              <w:t>Group IX (Metropolitan County)</w:t>
            </w:r>
            <w:r w:rsidRPr="00B42A2A">
              <w:rPr>
                <w:rFonts w:ascii="Times New Roman" w:hAnsi="Times New Roman"/>
                <w:sz w:val="20"/>
                <w:szCs w:val="20"/>
                <w:vertAlign w:val="superscript"/>
              </w:rPr>
              <w:t>2</w:t>
            </w:r>
          </w:p>
        </w:tc>
        <w:tc>
          <w:tcPr>
            <w:tcW w:w="1170" w:type="dxa"/>
            <w:shd w:val="clear" w:color="auto" w:fill="auto"/>
          </w:tcPr>
          <w:p w:rsidRPr="00B42A2A" w:rsidR="00AC06C7" w:rsidP="00970CA3" w:rsidRDefault="00AC06C7">
            <w:pPr>
              <w:contextualSpacing/>
              <w:rPr>
                <w:rFonts w:ascii="Times New Roman" w:hAnsi="Times New Roman"/>
                <w:sz w:val="20"/>
                <w:szCs w:val="20"/>
              </w:rPr>
            </w:pPr>
            <w:r w:rsidRPr="4AFAD1F9">
              <w:rPr>
                <w:rFonts w:ascii="Times New Roman" w:hAnsi="Times New Roman"/>
                <w:sz w:val="20"/>
                <w:szCs w:val="20"/>
              </w:rPr>
              <w:t>1,208</w:t>
            </w:r>
          </w:p>
        </w:tc>
        <w:tc>
          <w:tcPr>
            <w:tcW w:w="1266" w:type="dxa"/>
            <w:shd w:val="clear" w:color="auto" w:fill="auto"/>
          </w:tcPr>
          <w:p w:rsidRPr="00B42A2A" w:rsidR="00AC06C7" w:rsidP="00970CA3" w:rsidRDefault="00AC06C7">
            <w:pPr>
              <w:contextualSpacing/>
              <w:rPr>
                <w:rFonts w:ascii="Times New Roman" w:hAnsi="Times New Roman"/>
                <w:sz w:val="20"/>
                <w:szCs w:val="20"/>
              </w:rPr>
            </w:pPr>
            <w:r>
              <w:rPr>
                <w:rFonts w:ascii="Times New Roman" w:hAnsi="Times New Roman"/>
                <w:sz w:val="20"/>
                <w:szCs w:val="20"/>
              </w:rPr>
              <w:t>69,763,563</w:t>
            </w:r>
          </w:p>
        </w:tc>
      </w:tr>
      <w:tr w:rsidRPr="00B42A2A" w:rsidR="00AC06C7" w:rsidTr="00970CA3">
        <w:trPr>
          <w:trHeight w:val="288"/>
        </w:trPr>
        <w:tc>
          <w:tcPr>
            <w:tcW w:w="928" w:type="dxa"/>
            <w:shd w:val="clear" w:color="auto" w:fill="auto"/>
          </w:tcPr>
          <w:p w:rsidRPr="00B42A2A" w:rsidR="00AC06C7" w:rsidP="00970CA3" w:rsidRDefault="00AC06C7">
            <w:pPr>
              <w:contextualSpacing/>
              <w:rPr>
                <w:rFonts w:ascii="Times New Roman" w:hAnsi="Times New Roman"/>
                <w:b/>
                <w:sz w:val="24"/>
                <w:szCs w:val="24"/>
              </w:rPr>
            </w:pPr>
          </w:p>
        </w:tc>
        <w:tc>
          <w:tcPr>
            <w:tcW w:w="3680" w:type="dxa"/>
            <w:shd w:val="clear" w:color="auto" w:fill="auto"/>
          </w:tcPr>
          <w:p w:rsidRPr="00B42A2A" w:rsidR="00AC06C7" w:rsidP="00970CA3" w:rsidRDefault="00AC06C7">
            <w:pPr>
              <w:contextualSpacing/>
              <w:rPr>
                <w:rFonts w:ascii="Times New Roman" w:hAnsi="Times New Roman"/>
                <w:b/>
                <w:sz w:val="20"/>
                <w:szCs w:val="20"/>
              </w:rPr>
            </w:pPr>
            <w:r w:rsidRPr="00B42A2A">
              <w:rPr>
                <w:rFonts w:ascii="Times New Roman" w:hAnsi="Times New Roman"/>
                <w:b/>
                <w:sz w:val="20"/>
                <w:szCs w:val="20"/>
              </w:rPr>
              <w:t>Total</w:t>
            </w:r>
          </w:p>
        </w:tc>
        <w:tc>
          <w:tcPr>
            <w:tcW w:w="1170" w:type="dxa"/>
            <w:shd w:val="clear" w:color="auto" w:fill="auto"/>
          </w:tcPr>
          <w:p w:rsidRPr="00B42A2A" w:rsidR="00AC06C7" w:rsidP="00970CA3" w:rsidRDefault="00AC06C7">
            <w:pPr>
              <w:contextualSpacing/>
              <w:rPr>
                <w:rFonts w:ascii="Times New Roman" w:hAnsi="Times New Roman"/>
                <w:b/>
                <w:bCs/>
                <w:sz w:val="20"/>
                <w:szCs w:val="20"/>
              </w:rPr>
            </w:pPr>
            <w:r w:rsidRPr="4AFAD1F9">
              <w:rPr>
                <w:rFonts w:ascii="Times New Roman" w:hAnsi="Times New Roman"/>
                <w:b/>
                <w:bCs/>
                <w:sz w:val="20"/>
                <w:szCs w:val="20"/>
              </w:rPr>
              <w:t>13,247</w:t>
            </w:r>
          </w:p>
        </w:tc>
        <w:tc>
          <w:tcPr>
            <w:tcW w:w="1266" w:type="dxa"/>
            <w:shd w:val="clear" w:color="auto" w:fill="auto"/>
          </w:tcPr>
          <w:p w:rsidRPr="00B42A2A" w:rsidR="00AC06C7" w:rsidP="00970CA3" w:rsidRDefault="00AC06C7">
            <w:pPr>
              <w:contextualSpacing/>
              <w:rPr>
                <w:rFonts w:ascii="Times New Roman" w:hAnsi="Times New Roman"/>
                <w:b/>
                <w:sz w:val="20"/>
                <w:szCs w:val="20"/>
              </w:rPr>
            </w:pPr>
            <w:r>
              <w:rPr>
                <w:rFonts w:ascii="Times New Roman" w:hAnsi="Times New Roman"/>
                <w:b/>
                <w:sz w:val="20"/>
                <w:szCs w:val="20"/>
              </w:rPr>
              <w:t>288,358,029</w:t>
            </w:r>
          </w:p>
        </w:tc>
      </w:tr>
    </w:tbl>
    <w:p w:rsidRPr="007229A3" w:rsidR="00AC06C7" w:rsidP="00AC06C7" w:rsidRDefault="00AC06C7">
      <w:pPr>
        <w:tabs>
          <w:tab w:val="left" w:pos="360"/>
        </w:tabs>
        <w:ind w:left="720"/>
        <w:contextualSpacing/>
        <w:rPr>
          <w:rFonts w:ascii="Times New Roman" w:hAnsi="Times New Roman"/>
          <w:sz w:val="20"/>
          <w:szCs w:val="20"/>
        </w:rPr>
      </w:pPr>
      <w:r>
        <w:rPr>
          <w:rFonts w:ascii="Times New Roman" w:hAnsi="Times New Roman"/>
          <w:sz w:val="24"/>
          <w:szCs w:val="24"/>
          <w:vertAlign w:val="superscript"/>
        </w:rPr>
        <w:tab/>
      </w:r>
      <w:r w:rsidRPr="007229A3">
        <w:rPr>
          <w:rFonts w:ascii="Times New Roman" w:hAnsi="Times New Roman"/>
          <w:sz w:val="20"/>
          <w:szCs w:val="20"/>
          <w:vertAlign w:val="superscript"/>
        </w:rPr>
        <w:t>1</w:t>
      </w:r>
      <w:r w:rsidRPr="007229A3">
        <w:rPr>
          <w:rFonts w:ascii="Times New Roman" w:hAnsi="Times New Roman"/>
          <w:sz w:val="20"/>
          <w:szCs w:val="20"/>
        </w:rPr>
        <w:t xml:space="preserve"> Includes universities and colleges to which no population is attributed.</w:t>
      </w:r>
    </w:p>
    <w:p w:rsidRPr="007229A3" w:rsidR="00AC06C7" w:rsidP="00AC06C7" w:rsidRDefault="00AC06C7">
      <w:pPr>
        <w:tabs>
          <w:tab w:val="left" w:pos="360"/>
        </w:tabs>
        <w:ind w:left="720"/>
        <w:contextualSpacing/>
        <w:rPr>
          <w:rFonts w:ascii="Times New Roman" w:hAnsi="Times New Roman"/>
          <w:sz w:val="20"/>
          <w:szCs w:val="20"/>
        </w:rPr>
      </w:pPr>
      <w:r w:rsidRPr="007229A3">
        <w:rPr>
          <w:rFonts w:ascii="Times New Roman" w:hAnsi="Times New Roman"/>
          <w:sz w:val="20"/>
          <w:szCs w:val="20"/>
          <w:vertAlign w:val="superscript"/>
        </w:rPr>
        <w:t xml:space="preserve">         </w:t>
      </w:r>
      <w:r w:rsidRPr="007229A3">
        <w:rPr>
          <w:rFonts w:ascii="Times New Roman" w:hAnsi="Times New Roman"/>
          <w:sz w:val="20"/>
          <w:szCs w:val="20"/>
          <w:vertAlign w:val="superscript"/>
        </w:rPr>
        <w:tab/>
        <w:t>2</w:t>
      </w:r>
      <w:r w:rsidRPr="007229A3">
        <w:rPr>
          <w:rFonts w:ascii="Times New Roman" w:hAnsi="Times New Roman"/>
          <w:sz w:val="20"/>
          <w:szCs w:val="20"/>
        </w:rPr>
        <w:t xml:space="preserve"> Includes state police to which no population is attributed.</w:t>
      </w:r>
    </w:p>
    <w:p w:rsidRPr="007229A3" w:rsidR="00AC06C7" w:rsidP="00AC06C7" w:rsidRDefault="00AC06C7">
      <w:pPr>
        <w:tabs>
          <w:tab w:val="left" w:pos="360"/>
        </w:tabs>
        <w:contextualSpacing/>
        <w:rPr>
          <w:rFonts w:ascii="Times New Roman" w:hAnsi="Times New Roman"/>
          <w:sz w:val="20"/>
          <w:szCs w:val="20"/>
        </w:rPr>
      </w:pPr>
    </w:p>
    <w:p w:rsidR="00AC06C7" w:rsidP="00AC06C7" w:rsidRDefault="00AC06C7">
      <w:pPr>
        <w:tabs>
          <w:tab w:val="left" w:pos="360"/>
        </w:tabs>
        <w:ind w:left="1080"/>
        <w:contextualSpacing/>
        <w:rPr>
          <w:rFonts w:ascii="Times New Roman" w:hAnsi="Times New Roman"/>
          <w:sz w:val="24"/>
          <w:szCs w:val="24"/>
        </w:rPr>
      </w:pPr>
      <w:r>
        <w:rPr>
          <w:rFonts w:ascii="Times New Roman" w:hAnsi="Times New Roman"/>
          <w:sz w:val="24"/>
          <w:szCs w:val="24"/>
        </w:rPr>
        <w:lastRenderedPageBreak/>
        <w:t xml:space="preserve">Of the 19,738 UCR LEAs, 67.1 percent submitted Police Employee data.  </w:t>
      </w:r>
    </w:p>
    <w:p w:rsidR="00AC06C7" w:rsidP="00AC06C7" w:rsidRDefault="00AC06C7">
      <w:pPr>
        <w:tabs>
          <w:tab w:val="left" w:pos="360"/>
        </w:tabs>
        <w:spacing w:after="0" w:line="240" w:lineRule="auto"/>
        <w:ind w:left="1080"/>
        <w:rPr>
          <w:rFonts w:ascii="Times New Roman" w:hAnsi="Times New Roman"/>
          <w:sz w:val="24"/>
          <w:szCs w:val="24"/>
        </w:rPr>
      </w:pPr>
      <w:r>
        <w:rPr>
          <w:rFonts w:ascii="Times New Roman" w:hAnsi="Times New Roman"/>
          <w:sz w:val="24"/>
          <w:szCs w:val="24"/>
        </w:rPr>
        <w:t xml:space="preserve">  </w:t>
      </w:r>
    </w:p>
    <w:p w:rsidR="00AC06C7" w:rsidP="00AC06C7" w:rsidRDefault="00AC06C7">
      <w:pPr>
        <w:tabs>
          <w:tab w:val="left" w:pos="360"/>
        </w:tabs>
        <w:spacing w:after="0" w:line="240" w:lineRule="auto"/>
        <w:ind w:left="1080"/>
        <w:rPr>
          <w:rFonts w:ascii="Times New Roman" w:hAnsi="Times New Roman"/>
          <w:sz w:val="24"/>
          <w:szCs w:val="24"/>
        </w:rPr>
      </w:pPr>
    </w:p>
    <w:p w:rsidR="00AC06C7" w:rsidP="00AC06C7" w:rsidRDefault="00AC06C7">
      <w:pPr>
        <w:tabs>
          <w:tab w:val="left" w:pos="360"/>
        </w:tabs>
        <w:spacing w:after="0" w:line="240" w:lineRule="auto"/>
        <w:ind w:left="1080"/>
        <w:rPr>
          <w:rFonts w:ascii="Times New Roman" w:hAnsi="Times New Roman"/>
          <w:sz w:val="24"/>
          <w:szCs w:val="24"/>
        </w:rPr>
      </w:pPr>
    </w:p>
    <w:p w:rsidR="00AC06C7" w:rsidP="00AC06C7" w:rsidRDefault="00AC06C7">
      <w:pPr>
        <w:tabs>
          <w:tab w:val="left" w:pos="360"/>
        </w:tabs>
        <w:spacing w:after="0" w:line="240" w:lineRule="auto"/>
        <w:ind w:left="1080"/>
        <w:rPr>
          <w:rFonts w:ascii="Times New Roman" w:hAnsi="Times New Roman"/>
          <w:sz w:val="24"/>
          <w:szCs w:val="24"/>
        </w:rPr>
      </w:pPr>
    </w:p>
    <w:p w:rsidR="00AC06C7" w:rsidP="00AC06C7" w:rsidRDefault="00AC06C7">
      <w:pPr>
        <w:tabs>
          <w:tab w:val="left" w:pos="360"/>
        </w:tabs>
        <w:spacing w:after="0" w:line="240" w:lineRule="auto"/>
        <w:ind w:left="1080"/>
        <w:rPr>
          <w:rFonts w:ascii="Times New Roman" w:hAnsi="Times New Roman"/>
          <w:sz w:val="24"/>
          <w:szCs w:val="24"/>
        </w:rPr>
      </w:pPr>
    </w:p>
    <w:p w:rsidR="00AC06C7" w:rsidP="00AC06C7" w:rsidRDefault="00AC06C7">
      <w:pPr>
        <w:tabs>
          <w:tab w:val="left" w:pos="360"/>
        </w:tabs>
        <w:spacing w:after="0" w:line="240" w:lineRule="auto"/>
        <w:ind w:left="1080"/>
        <w:rPr>
          <w:rFonts w:ascii="Times New Roman" w:hAnsi="Times New Roman"/>
          <w:sz w:val="24"/>
          <w:szCs w:val="24"/>
        </w:rPr>
      </w:pPr>
    </w:p>
    <w:p w:rsidRPr="008C523B" w:rsidR="00AC06C7" w:rsidP="00AC06C7" w:rsidRDefault="00AC06C7">
      <w:pPr>
        <w:tabs>
          <w:tab w:val="left" w:pos="360"/>
        </w:tabs>
        <w:spacing w:after="0" w:line="240" w:lineRule="auto"/>
        <w:ind w:left="1080"/>
        <w:rPr>
          <w:rFonts w:ascii="Times New Roman" w:hAnsi="Times New Roman"/>
          <w:sz w:val="24"/>
          <w:szCs w:val="24"/>
        </w:rPr>
      </w:pPr>
    </w:p>
    <w:p w:rsidRPr="00EF2336" w:rsidR="00AC06C7" w:rsidP="00AC06C7" w:rsidRDefault="00AC06C7">
      <w:pPr>
        <w:pStyle w:val="ListParagraph"/>
        <w:numPr>
          <w:ilvl w:val="0"/>
          <w:numId w:val="1"/>
        </w:numPr>
        <w:ind w:left="1080" w:hanging="540"/>
        <w:rPr>
          <w:rFonts w:ascii="Times New Roman" w:hAnsi="Times New Roman"/>
          <w:sz w:val="24"/>
          <w:szCs w:val="24"/>
        </w:rPr>
      </w:pPr>
      <w:r>
        <w:rPr>
          <w:rFonts w:ascii="Times New Roman" w:hAnsi="Times New Roman"/>
          <w:sz w:val="24"/>
          <w:szCs w:val="24"/>
          <w:u w:val="single"/>
        </w:rPr>
        <w:t>Collection of Information Procedures</w:t>
      </w:r>
    </w:p>
    <w:p w:rsidRPr="00C96746" w:rsidR="00AC06C7" w:rsidP="00AC06C7" w:rsidRDefault="00AC06C7">
      <w:pPr>
        <w:pStyle w:val="ListParagraph"/>
        <w:rPr>
          <w:rFonts w:ascii="Times New Roman" w:hAnsi="Times New Roman"/>
          <w:sz w:val="24"/>
          <w:szCs w:val="24"/>
        </w:rPr>
      </w:pPr>
    </w:p>
    <w:p w:rsidR="00AC06C7" w:rsidP="00AC06C7" w:rsidRDefault="00AC06C7">
      <w:pPr>
        <w:pStyle w:val="ListParagraph"/>
        <w:ind w:left="1080"/>
        <w:rPr>
          <w:rFonts w:ascii="Times New Roman" w:hAnsi="Times New Roman"/>
          <w:sz w:val="24"/>
          <w:szCs w:val="24"/>
        </w:rPr>
      </w:pPr>
      <w:r>
        <w:rPr>
          <w:rFonts w:ascii="Times New Roman" w:hAnsi="Times New Roman"/>
          <w:sz w:val="24"/>
          <w:szCs w:val="24"/>
        </w:rPr>
        <w:t xml:space="preserve">All Police Employee data are collected/received from state UCR program participants on an annual basis.  The FBI UCR Program has established timeframes and deadlines for acquiring the annual data.  Letters are disseminated via e-mail in October to the state UCR program managers and the individual LEAs requesting the completion of information on the current year’s police employee counts as of October 31.  The letter specifies the data submission deadline is December 14.  Prior to December 14, the FBI UCR Program will contact the state UCR program managers and the individual LEAs to inform them the FBI has not received the police employee counts, if necessary.  Annual reports/submissions should be received at the FBI by December 14.  There are times when special circumstances may cause an agency to request an extension.  The FBI UCR Program has the authority to grant these extensions. </w:t>
      </w:r>
    </w:p>
    <w:p w:rsidR="00AC06C7" w:rsidP="00AC06C7" w:rsidRDefault="00AC06C7">
      <w:pPr>
        <w:pStyle w:val="ListParagraph"/>
        <w:rPr>
          <w:rFonts w:ascii="Times New Roman" w:hAnsi="Times New Roman"/>
          <w:sz w:val="24"/>
          <w:szCs w:val="24"/>
        </w:rPr>
      </w:pPr>
    </w:p>
    <w:p w:rsidR="00AC06C7" w:rsidP="00AC06C7" w:rsidRDefault="00AC06C7">
      <w:pPr>
        <w:pStyle w:val="ListParagraph"/>
        <w:rPr>
          <w:rFonts w:ascii="Times New Roman" w:hAnsi="Times New Roman"/>
          <w:sz w:val="24"/>
          <w:szCs w:val="24"/>
        </w:rPr>
      </w:pPr>
    </w:p>
    <w:p w:rsidRPr="00AB2A8E" w:rsidR="00AC06C7" w:rsidP="00AC06C7" w:rsidRDefault="00AC06C7">
      <w:pPr>
        <w:pStyle w:val="ListParagraph"/>
        <w:numPr>
          <w:ilvl w:val="0"/>
          <w:numId w:val="1"/>
        </w:numPr>
        <w:ind w:left="1080" w:hanging="540"/>
        <w:rPr>
          <w:rFonts w:ascii="Times New Roman" w:hAnsi="Times New Roman"/>
          <w:sz w:val="24"/>
          <w:szCs w:val="24"/>
        </w:rPr>
      </w:pPr>
      <w:r w:rsidRPr="00AB2A8E">
        <w:rPr>
          <w:rFonts w:ascii="Times New Roman" w:hAnsi="Times New Roman"/>
          <w:sz w:val="24"/>
          <w:szCs w:val="24"/>
          <w:u w:val="single"/>
        </w:rPr>
        <w:t>Response Rates/Non-Response</w:t>
      </w:r>
    </w:p>
    <w:p w:rsidR="00AC06C7" w:rsidP="00AC06C7" w:rsidRDefault="00AC06C7">
      <w:pPr>
        <w:pStyle w:val="ListParagraph"/>
        <w:ind w:left="0"/>
        <w:rPr>
          <w:rFonts w:ascii="Times New Roman" w:hAnsi="Times New Roman"/>
          <w:sz w:val="24"/>
          <w:szCs w:val="24"/>
        </w:rPr>
      </w:pPr>
    </w:p>
    <w:p w:rsidR="00AC06C7" w:rsidP="00AC06C7" w:rsidRDefault="00AC06C7">
      <w:pPr>
        <w:pStyle w:val="ListParagraph"/>
        <w:ind w:left="1080"/>
        <w:rPr>
          <w:rFonts w:ascii="Times New Roman" w:hAnsi="Times New Roman"/>
          <w:sz w:val="24"/>
          <w:szCs w:val="24"/>
        </w:rPr>
      </w:pPr>
      <w:r w:rsidRPr="009D3CDE">
        <w:rPr>
          <w:rFonts w:ascii="Times New Roman" w:hAnsi="Times New Roman"/>
          <w:sz w:val="24"/>
          <w:szCs w:val="24"/>
        </w:rPr>
        <w:t xml:space="preserve">Response rates are maximized through liaison with </w:t>
      </w:r>
      <w:r>
        <w:rPr>
          <w:rFonts w:ascii="Times New Roman" w:hAnsi="Times New Roman"/>
          <w:sz w:val="24"/>
          <w:szCs w:val="24"/>
        </w:rPr>
        <w:t xml:space="preserve">the </w:t>
      </w:r>
      <w:r w:rsidRPr="009D3CDE">
        <w:rPr>
          <w:rFonts w:ascii="Times New Roman" w:hAnsi="Times New Roman"/>
          <w:sz w:val="24"/>
          <w:szCs w:val="24"/>
        </w:rPr>
        <w:t xml:space="preserve">state UCR </w:t>
      </w:r>
      <w:r>
        <w:rPr>
          <w:rFonts w:ascii="Times New Roman" w:hAnsi="Times New Roman"/>
          <w:sz w:val="24"/>
          <w:szCs w:val="24"/>
        </w:rPr>
        <w:t>p</w:t>
      </w:r>
      <w:r w:rsidRPr="009D3CDE">
        <w:rPr>
          <w:rFonts w:ascii="Times New Roman" w:hAnsi="Times New Roman"/>
          <w:sz w:val="24"/>
          <w:szCs w:val="24"/>
        </w:rPr>
        <w:t xml:space="preserve">rograms.  The universe of reported </w:t>
      </w:r>
      <w:r>
        <w:rPr>
          <w:rFonts w:ascii="Times New Roman" w:hAnsi="Times New Roman"/>
          <w:sz w:val="24"/>
          <w:szCs w:val="24"/>
        </w:rPr>
        <w:t>police</w:t>
      </w:r>
      <w:r w:rsidRPr="009D3CDE">
        <w:rPr>
          <w:rFonts w:ascii="Times New Roman" w:hAnsi="Times New Roman"/>
          <w:sz w:val="24"/>
          <w:szCs w:val="24"/>
        </w:rPr>
        <w:t xml:space="preserve"> employee counts are collected by contributing agencies and re</w:t>
      </w:r>
      <w:r>
        <w:rPr>
          <w:rFonts w:ascii="Times New Roman" w:hAnsi="Times New Roman"/>
          <w:sz w:val="24"/>
          <w:szCs w:val="24"/>
        </w:rPr>
        <w:t>ported to the FBI.  Currently, 67.1</w:t>
      </w:r>
      <w:r w:rsidRPr="009D3CDE">
        <w:rPr>
          <w:rFonts w:ascii="Times New Roman" w:hAnsi="Times New Roman"/>
          <w:sz w:val="24"/>
          <w:szCs w:val="24"/>
        </w:rPr>
        <w:t xml:space="preserve"> percent of the FBI UCR Program agencies report </w:t>
      </w:r>
      <w:r>
        <w:rPr>
          <w:rFonts w:ascii="Times New Roman" w:hAnsi="Times New Roman"/>
          <w:sz w:val="24"/>
          <w:szCs w:val="24"/>
        </w:rPr>
        <w:t>Police E</w:t>
      </w:r>
      <w:r w:rsidRPr="009D3CDE">
        <w:rPr>
          <w:rFonts w:ascii="Times New Roman" w:hAnsi="Times New Roman"/>
          <w:sz w:val="24"/>
          <w:szCs w:val="24"/>
        </w:rPr>
        <w:t>mployee data.  The FBI</w:t>
      </w:r>
      <w:r>
        <w:rPr>
          <w:rFonts w:ascii="Times New Roman" w:hAnsi="Times New Roman"/>
          <w:sz w:val="24"/>
          <w:szCs w:val="24"/>
        </w:rPr>
        <w:t xml:space="preserve"> is working to help the absent 32.9</w:t>
      </w:r>
      <w:r w:rsidRPr="009D3CDE">
        <w:rPr>
          <w:rFonts w:ascii="Times New Roman" w:hAnsi="Times New Roman"/>
          <w:sz w:val="24"/>
          <w:szCs w:val="24"/>
        </w:rPr>
        <w:t xml:space="preserve"> percent of LEAs participate in the </w:t>
      </w:r>
      <w:r>
        <w:rPr>
          <w:rFonts w:ascii="Times New Roman" w:hAnsi="Times New Roman"/>
          <w:sz w:val="24"/>
          <w:szCs w:val="24"/>
        </w:rPr>
        <w:t>Police Employee Data C</w:t>
      </w:r>
      <w:r w:rsidRPr="009D3CDE">
        <w:rPr>
          <w:rFonts w:ascii="Times New Roman" w:hAnsi="Times New Roman"/>
          <w:sz w:val="24"/>
          <w:szCs w:val="24"/>
        </w:rPr>
        <w:t>ollection throu</w:t>
      </w:r>
      <w:r>
        <w:rPr>
          <w:rFonts w:ascii="Times New Roman" w:hAnsi="Times New Roman"/>
          <w:sz w:val="24"/>
          <w:szCs w:val="24"/>
        </w:rPr>
        <w:t>gh active liaisons</w:t>
      </w:r>
      <w:r w:rsidRPr="009D3CDE">
        <w:rPr>
          <w:rFonts w:ascii="Times New Roman" w:hAnsi="Times New Roman"/>
          <w:sz w:val="24"/>
          <w:szCs w:val="24"/>
        </w:rPr>
        <w:t xml:space="preserve">.  Communications encouraging data submissions occur frequently because of the relationship between </w:t>
      </w:r>
      <w:r>
        <w:rPr>
          <w:rFonts w:ascii="Times New Roman" w:hAnsi="Times New Roman"/>
          <w:sz w:val="24"/>
          <w:szCs w:val="24"/>
        </w:rPr>
        <w:t xml:space="preserve">the </w:t>
      </w:r>
      <w:r w:rsidRPr="009D3CDE">
        <w:rPr>
          <w:rFonts w:ascii="Times New Roman" w:hAnsi="Times New Roman"/>
          <w:sz w:val="24"/>
          <w:szCs w:val="24"/>
        </w:rPr>
        <w:t xml:space="preserve">FBI UCR </w:t>
      </w:r>
      <w:r>
        <w:rPr>
          <w:rFonts w:ascii="Times New Roman" w:hAnsi="Times New Roman"/>
          <w:sz w:val="24"/>
          <w:szCs w:val="24"/>
        </w:rPr>
        <w:t xml:space="preserve">Program </w:t>
      </w:r>
      <w:r w:rsidRPr="009D3CDE">
        <w:rPr>
          <w:rFonts w:ascii="Times New Roman" w:hAnsi="Times New Roman"/>
          <w:sz w:val="24"/>
          <w:szCs w:val="24"/>
        </w:rPr>
        <w:t xml:space="preserve">staff and LEAs.  </w:t>
      </w:r>
      <w:r>
        <w:rPr>
          <w:rFonts w:ascii="Times New Roman" w:hAnsi="Times New Roman"/>
          <w:sz w:val="24"/>
          <w:szCs w:val="24"/>
        </w:rPr>
        <w:t xml:space="preserve">The </w:t>
      </w:r>
      <w:r w:rsidRPr="009D3CDE">
        <w:rPr>
          <w:rFonts w:ascii="Times New Roman" w:hAnsi="Times New Roman"/>
          <w:sz w:val="24"/>
          <w:szCs w:val="24"/>
        </w:rPr>
        <w:t xml:space="preserve">FBI UCR Program staff regularly work to overcome non-response issues when such challenges occur.  The mission of the FBI UCR Program is to acquire </w:t>
      </w:r>
      <w:r>
        <w:rPr>
          <w:rFonts w:ascii="Times New Roman" w:hAnsi="Times New Roman"/>
          <w:sz w:val="24"/>
          <w:szCs w:val="24"/>
        </w:rPr>
        <w:t>Police E</w:t>
      </w:r>
      <w:r w:rsidRPr="009D3CDE">
        <w:rPr>
          <w:rFonts w:ascii="Times New Roman" w:hAnsi="Times New Roman"/>
          <w:sz w:val="24"/>
          <w:szCs w:val="24"/>
        </w:rPr>
        <w:t xml:space="preserve">mployee data, establish guidelines for the collection of such data, and to publish data.  </w:t>
      </w:r>
    </w:p>
    <w:p w:rsidR="00AC06C7" w:rsidP="00AC06C7" w:rsidRDefault="00AC06C7">
      <w:pPr>
        <w:pStyle w:val="ListParagraph"/>
        <w:ind w:left="1080"/>
        <w:rPr>
          <w:rFonts w:ascii="Times New Roman" w:hAnsi="Times New Roman"/>
          <w:sz w:val="24"/>
          <w:szCs w:val="24"/>
        </w:rPr>
      </w:pPr>
    </w:p>
    <w:p w:rsidR="00AC06C7" w:rsidP="00AC06C7" w:rsidRDefault="00AC06C7">
      <w:pPr>
        <w:pStyle w:val="ListParagraph"/>
        <w:spacing w:after="0" w:line="240" w:lineRule="auto"/>
        <w:ind w:left="1080"/>
        <w:contextualSpacing w:val="0"/>
        <w:rPr>
          <w:rFonts w:ascii="Times New Roman" w:hAnsi="Times New Roman"/>
          <w:sz w:val="24"/>
          <w:szCs w:val="24"/>
        </w:rPr>
      </w:pPr>
      <w:r>
        <w:rPr>
          <w:rFonts w:ascii="Times New Roman" w:hAnsi="Times New Roman"/>
          <w:sz w:val="24"/>
          <w:szCs w:val="24"/>
        </w:rPr>
        <w:t xml:space="preserve">The CJIS Committees of the IACP and the National Sheriffs’ Association (NSA) provide the FBI UCR Program with vital links to local law enforcement personnel.  The IACP, as it has since the FBI UCR Program began, represents the thousands of police departments nationwide.  The NSA encourages sheriffs throughout the country to fully participate in the FBI UCR Program.  Both committees serve in advisory capacities concerning the FBI UCR Program’s operation.  The Association of State Uniform Crime Reporting Programs focuses on the UCR issues within individual state law enforcement associations and also promotes interest in the FBI UCR </w:t>
      </w:r>
      <w:r>
        <w:rPr>
          <w:rFonts w:ascii="Times New Roman" w:hAnsi="Times New Roman"/>
          <w:sz w:val="24"/>
          <w:szCs w:val="24"/>
        </w:rPr>
        <w:lastRenderedPageBreak/>
        <w:t>Program.  These organizations foster widespread and responsible use of uniform crime statistics and lend assistance to data contributors when needed.</w:t>
      </w:r>
      <w:r w:rsidRPr="00B0379E">
        <w:rPr>
          <w:rFonts w:ascii="Times New Roman" w:hAnsi="Times New Roman"/>
          <w:sz w:val="24"/>
          <w:szCs w:val="24"/>
        </w:rPr>
        <w:t xml:space="preserve"> </w:t>
      </w:r>
    </w:p>
    <w:p w:rsidR="00AC06C7" w:rsidP="00AC06C7" w:rsidRDefault="00AC06C7">
      <w:pPr>
        <w:pStyle w:val="ListParagraph"/>
        <w:ind w:left="1080"/>
        <w:rPr>
          <w:rFonts w:ascii="Times New Roman" w:hAnsi="Times New Roman"/>
          <w:sz w:val="24"/>
          <w:szCs w:val="24"/>
        </w:rPr>
      </w:pPr>
    </w:p>
    <w:p w:rsidR="00AC06C7" w:rsidP="00AC06C7" w:rsidRDefault="00AC06C7">
      <w:pPr>
        <w:pStyle w:val="ListParagraph"/>
        <w:ind w:left="1080"/>
        <w:rPr>
          <w:rFonts w:ascii="Times New Roman" w:hAnsi="Times New Roman"/>
          <w:sz w:val="24"/>
          <w:szCs w:val="24"/>
        </w:rPr>
      </w:pPr>
    </w:p>
    <w:p w:rsidR="00AC06C7" w:rsidP="00AC06C7" w:rsidRDefault="00AC06C7">
      <w:pPr>
        <w:pStyle w:val="ListParagraph"/>
        <w:ind w:left="1080"/>
        <w:rPr>
          <w:rFonts w:ascii="Times New Roman" w:hAnsi="Times New Roman"/>
          <w:sz w:val="24"/>
          <w:szCs w:val="24"/>
        </w:rPr>
      </w:pPr>
    </w:p>
    <w:p w:rsidR="00AC06C7" w:rsidP="00AC06C7" w:rsidRDefault="00AC06C7">
      <w:pPr>
        <w:pStyle w:val="ListParagraph"/>
        <w:ind w:left="1080"/>
        <w:rPr>
          <w:rFonts w:ascii="Times New Roman" w:hAnsi="Times New Roman"/>
          <w:sz w:val="24"/>
          <w:szCs w:val="24"/>
        </w:rPr>
      </w:pPr>
    </w:p>
    <w:p w:rsidR="00AC06C7" w:rsidP="00AC06C7" w:rsidRDefault="00AC06C7">
      <w:pPr>
        <w:pStyle w:val="ListParagraph"/>
        <w:ind w:left="1080"/>
        <w:rPr>
          <w:rFonts w:ascii="Times New Roman" w:hAnsi="Times New Roman"/>
          <w:sz w:val="24"/>
          <w:szCs w:val="24"/>
        </w:rPr>
      </w:pPr>
    </w:p>
    <w:p w:rsidR="00AC06C7" w:rsidP="00AC06C7" w:rsidRDefault="00AC06C7">
      <w:pPr>
        <w:pStyle w:val="ListParagraph"/>
        <w:ind w:left="1080"/>
        <w:rPr>
          <w:rFonts w:ascii="Times New Roman" w:hAnsi="Times New Roman"/>
          <w:sz w:val="24"/>
          <w:szCs w:val="24"/>
        </w:rPr>
      </w:pPr>
    </w:p>
    <w:p w:rsidRPr="00C96746" w:rsidR="00AC06C7" w:rsidP="00AC06C7" w:rsidRDefault="00AC06C7">
      <w:pPr>
        <w:pStyle w:val="ListParagraph"/>
        <w:numPr>
          <w:ilvl w:val="0"/>
          <w:numId w:val="1"/>
        </w:numPr>
        <w:ind w:left="1080" w:hanging="540"/>
        <w:rPr>
          <w:rFonts w:ascii="Times New Roman" w:hAnsi="Times New Roman"/>
          <w:sz w:val="24"/>
          <w:szCs w:val="24"/>
        </w:rPr>
      </w:pPr>
      <w:r>
        <w:rPr>
          <w:rFonts w:ascii="Times New Roman" w:hAnsi="Times New Roman"/>
          <w:sz w:val="24"/>
          <w:szCs w:val="24"/>
          <w:u w:val="single"/>
        </w:rPr>
        <w:t>Collection Development</w:t>
      </w:r>
    </w:p>
    <w:p w:rsidR="00AC06C7" w:rsidP="00AC06C7" w:rsidRDefault="00AC06C7">
      <w:pPr>
        <w:pStyle w:val="ListParagraph"/>
        <w:ind w:left="0"/>
        <w:rPr>
          <w:rFonts w:ascii="Times New Roman" w:hAnsi="Times New Roman"/>
          <w:sz w:val="24"/>
          <w:szCs w:val="24"/>
        </w:rPr>
      </w:pPr>
    </w:p>
    <w:p w:rsidR="00AC06C7" w:rsidP="00AC06C7" w:rsidRDefault="00AC06C7">
      <w:pPr>
        <w:pStyle w:val="ListParagraph"/>
        <w:ind w:left="1080"/>
        <w:rPr>
          <w:rFonts w:ascii="Times New Roman" w:hAnsi="Times New Roman"/>
          <w:sz w:val="24"/>
          <w:szCs w:val="24"/>
        </w:rPr>
      </w:pPr>
      <w:r w:rsidRPr="00D9763E">
        <w:rPr>
          <w:rFonts w:ascii="Times New Roman" w:hAnsi="Times New Roman"/>
          <w:sz w:val="24"/>
          <w:szCs w:val="24"/>
        </w:rPr>
        <w:t xml:space="preserve">The FBI has conducted the </w:t>
      </w:r>
      <w:r>
        <w:rPr>
          <w:rFonts w:ascii="Times New Roman" w:hAnsi="Times New Roman"/>
          <w:sz w:val="24"/>
          <w:szCs w:val="24"/>
        </w:rPr>
        <w:t>Police Employee Data C</w:t>
      </w:r>
      <w:r w:rsidRPr="00D9763E">
        <w:rPr>
          <w:rFonts w:ascii="Times New Roman" w:hAnsi="Times New Roman"/>
          <w:sz w:val="24"/>
          <w:szCs w:val="24"/>
        </w:rPr>
        <w:t>ollection since 19</w:t>
      </w:r>
      <w:r>
        <w:rPr>
          <w:rFonts w:ascii="Times New Roman" w:hAnsi="Times New Roman"/>
          <w:sz w:val="24"/>
          <w:szCs w:val="24"/>
        </w:rPr>
        <w:t>30</w:t>
      </w:r>
      <w:r w:rsidRPr="00D9763E">
        <w:rPr>
          <w:rFonts w:ascii="Times New Roman" w:hAnsi="Times New Roman"/>
          <w:sz w:val="24"/>
          <w:szCs w:val="24"/>
        </w:rPr>
        <w:t xml:space="preserve"> with high rates of response</w:t>
      </w:r>
      <w:r>
        <w:rPr>
          <w:rFonts w:ascii="Times New Roman" w:hAnsi="Times New Roman"/>
          <w:sz w:val="24"/>
          <w:szCs w:val="24"/>
        </w:rPr>
        <w:t>.</w:t>
      </w:r>
      <w:r w:rsidRPr="00D9763E">
        <w:rPr>
          <w:rFonts w:ascii="Times New Roman" w:hAnsi="Times New Roman"/>
          <w:sz w:val="24"/>
          <w:szCs w:val="24"/>
        </w:rPr>
        <w:t xml:space="preserve"> </w:t>
      </w:r>
      <w:r>
        <w:rPr>
          <w:rFonts w:ascii="Times New Roman" w:hAnsi="Times New Roman"/>
          <w:sz w:val="24"/>
          <w:szCs w:val="24"/>
        </w:rPr>
        <w:t xml:space="preserve"> Today, the FBI UCR Program receives guidance for implementing or making changes to a data collection from the CJIS APB.  The APB, which is organized and exists under the Federal Advisory Committee Act, was established to ensure a “shared management” concept with the nation’s law enforcement community for all criminal justice information systems managed by the CJIS Division.  It ensures law enforcement has the opportunity to discuss and vote on any policy or procedural changes to CJIS systems affecting the FBI’s ability to collect, maintain, and share information with the nationwide criminal justice community.  The APB reviews policy, technical, and operational issues related to the CJIS services and recommends to the Director appropriate changes.  In addition to the APB,</w:t>
      </w:r>
      <w:r w:rsidRPr="00D9763E">
        <w:rPr>
          <w:rFonts w:ascii="Times New Roman" w:hAnsi="Times New Roman"/>
          <w:sz w:val="24"/>
          <w:szCs w:val="24"/>
        </w:rPr>
        <w:t xml:space="preserve"> the CJIS Advisory P</w:t>
      </w:r>
      <w:r>
        <w:rPr>
          <w:rFonts w:ascii="Times New Roman" w:hAnsi="Times New Roman"/>
          <w:sz w:val="24"/>
          <w:szCs w:val="24"/>
        </w:rPr>
        <w:t xml:space="preserve">rocess includes five Regional </w:t>
      </w:r>
      <w:r w:rsidRPr="00D9763E">
        <w:rPr>
          <w:rFonts w:ascii="Times New Roman" w:hAnsi="Times New Roman"/>
          <w:sz w:val="24"/>
          <w:szCs w:val="24"/>
        </w:rPr>
        <w:t xml:space="preserve">Working Groups, </w:t>
      </w:r>
      <w:r>
        <w:rPr>
          <w:rFonts w:ascii="Times New Roman" w:hAnsi="Times New Roman"/>
          <w:sz w:val="24"/>
          <w:szCs w:val="24"/>
        </w:rPr>
        <w:t>and ten</w:t>
      </w:r>
      <w:r w:rsidRPr="00D9763E">
        <w:rPr>
          <w:rFonts w:ascii="Times New Roman" w:hAnsi="Times New Roman"/>
          <w:sz w:val="24"/>
          <w:szCs w:val="24"/>
        </w:rPr>
        <w:t xml:space="preserve"> Subc</w:t>
      </w:r>
      <w:r>
        <w:rPr>
          <w:rFonts w:ascii="Times New Roman" w:hAnsi="Times New Roman"/>
          <w:sz w:val="24"/>
          <w:szCs w:val="24"/>
        </w:rPr>
        <w:t>ommittees</w:t>
      </w:r>
      <w:r w:rsidRPr="00D9763E">
        <w:rPr>
          <w:rFonts w:ascii="Times New Roman" w:hAnsi="Times New Roman"/>
          <w:sz w:val="24"/>
          <w:szCs w:val="24"/>
        </w:rPr>
        <w:t>,</w:t>
      </w:r>
      <w:r>
        <w:rPr>
          <w:rFonts w:ascii="Times New Roman" w:hAnsi="Times New Roman"/>
          <w:sz w:val="24"/>
          <w:szCs w:val="24"/>
        </w:rPr>
        <w:t xml:space="preserve"> including the UCR Subcommittee.  The CJIS Advisory Process is an effective way to discuss proposed concepts and develop the shared systems which support law enforcement and criminal justice agencies.</w:t>
      </w:r>
    </w:p>
    <w:p w:rsidRPr="00BC09C0" w:rsidR="00AC06C7" w:rsidP="00AC06C7" w:rsidRDefault="00AC06C7">
      <w:pPr>
        <w:pStyle w:val="ListParagraph"/>
        <w:ind w:left="1080"/>
        <w:rPr>
          <w:rFonts w:ascii="Times New Roman" w:hAnsi="Times New Roman"/>
          <w:sz w:val="24"/>
          <w:szCs w:val="24"/>
        </w:rPr>
      </w:pPr>
    </w:p>
    <w:p w:rsidR="00AC06C7" w:rsidP="00AC06C7" w:rsidRDefault="00AC06C7">
      <w:pPr>
        <w:pStyle w:val="ListParagraph"/>
        <w:ind w:left="1080"/>
        <w:rPr>
          <w:rFonts w:ascii="Times New Roman" w:hAnsi="Times New Roman"/>
          <w:sz w:val="24"/>
          <w:szCs w:val="24"/>
        </w:rPr>
      </w:pPr>
      <w:r>
        <w:rPr>
          <w:rFonts w:ascii="Times New Roman" w:hAnsi="Times New Roman"/>
          <w:sz w:val="24"/>
          <w:szCs w:val="24"/>
        </w:rPr>
        <w:t>With the addition of the UoF Data Collection, the FBI UCR Program is adding the following data collection elements to the Police Employee data collection.</w:t>
      </w:r>
    </w:p>
    <w:p w:rsidR="00AC06C7" w:rsidP="00AC06C7" w:rsidRDefault="00AC06C7">
      <w:pPr>
        <w:pStyle w:val="ListParagraph"/>
        <w:ind w:left="1080"/>
        <w:rPr>
          <w:rFonts w:ascii="Times New Roman" w:hAnsi="Times New Roman"/>
          <w:sz w:val="24"/>
          <w:szCs w:val="24"/>
        </w:rPr>
      </w:pPr>
    </w:p>
    <w:p w:rsidR="00AC06C7" w:rsidP="00AC06C7" w:rsidRDefault="00AC06C7">
      <w:pPr>
        <w:pStyle w:val="ListParagraph"/>
        <w:numPr>
          <w:ilvl w:val="0"/>
          <w:numId w:val="2"/>
        </w:numPr>
        <w:rPr>
          <w:rFonts w:ascii="Times New Roman" w:hAnsi="Times New Roman"/>
          <w:sz w:val="24"/>
          <w:szCs w:val="24"/>
        </w:rPr>
      </w:pPr>
      <w:r>
        <w:rPr>
          <w:rFonts w:ascii="Times New Roman" w:hAnsi="Times New Roman"/>
          <w:sz w:val="24"/>
          <w:szCs w:val="24"/>
        </w:rPr>
        <w:t>The ability to capture part-time and reserve/auxiliary/other LEOs</w:t>
      </w:r>
    </w:p>
    <w:p w:rsidR="00AC06C7" w:rsidP="00AC06C7" w:rsidRDefault="00AC06C7">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Race and ethnicity categories</w:t>
      </w:r>
    </w:p>
    <w:p w:rsidR="00AC06C7" w:rsidP="00AC06C7" w:rsidRDefault="00AC06C7">
      <w:pPr>
        <w:pStyle w:val="ListParagraph"/>
        <w:rPr>
          <w:rFonts w:ascii="Times New Roman" w:hAnsi="Times New Roman"/>
          <w:sz w:val="24"/>
          <w:szCs w:val="24"/>
        </w:rPr>
      </w:pPr>
    </w:p>
    <w:p w:rsidR="00AC06C7" w:rsidP="00AC06C7" w:rsidRDefault="00AC06C7">
      <w:pPr>
        <w:pStyle w:val="ListParagraph"/>
        <w:ind w:left="1080"/>
        <w:rPr>
          <w:rFonts w:ascii="Times New Roman" w:hAnsi="Times New Roman"/>
          <w:sz w:val="24"/>
          <w:szCs w:val="24"/>
        </w:rPr>
      </w:pPr>
      <w:r>
        <w:rPr>
          <w:rFonts w:ascii="Times New Roman" w:hAnsi="Times New Roman"/>
          <w:sz w:val="24"/>
          <w:szCs w:val="24"/>
        </w:rPr>
        <w:t>These additions will create more comprehensive data sets for both collections.</w:t>
      </w:r>
    </w:p>
    <w:p w:rsidR="00AC06C7" w:rsidP="00AC06C7" w:rsidRDefault="00AC06C7">
      <w:pPr>
        <w:pStyle w:val="ListParagraph"/>
        <w:ind w:left="1080"/>
        <w:rPr>
          <w:rFonts w:ascii="Times New Roman" w:hAnsi="Times New Roman"/>
          <w:sz w:val="24"/>
          <w:szCs w:val="24"/>
        </w:rPr>
      </w:pPr>
    </w:p>
    <w:p w:rsidR="00AC06C7" w:rsidP="00AC06C7" w:rsidRDefault="00AC06C7">
      <w:pPr>
        <w:pStyle w:val="ListParagraph"/>
        <w:ind w:left="1080"/>
        <w:rPr>
          <w:rFonts w:ascii="Times New Roman" w:hAnsi="Times New Roman"/>
          <w:sz w:val="24"/>
          <w:szCs w:val="24"/>
        </w:rPr>
      </w:pPr>
    </w:p>
    <w:p w:rsidR="00AC06C7" w:rsidP="00AC06C7" w:rsidRDefault="00AC06C7">
      <w:pPr>
        <w:pStyle w:val="ListParagraph"/>
        <w:ind w:left="1080"/>
        <w:rPr>
          <w:rFonts w:ascii="Times New Roman" w:hAnsi="Times New Roman"/>
          <w:sz w:val="24"/>
          <w:szCs w:val="24"/>
        </w:rPr>
      </w:pPr>
    </w:p>
    <w:p w:rsidR="00AC06C7" w:rsidP="00AC06C7" w:rsidRDefault="00AC06C7">
      <w:pPr>
        <w:pStyle w:val="ListParagraph"/>
        <w:ind w:left="1080"/>
        <w:rPr>
          <w:rFonts w:ascii="Times New Roman" w:hAnsi="Times New Roman"/>
          <w:sz w:val="24"/>
          <w:szCs w:val="24"/>
        </w:rPr>
      </w:pPr>
    </w:p>
    <w:p w:rsidR="00AC06C7" w:rsidP="00AC06C7" w:rsidRDefault="00AC06C7">
      <w:pPr>
        <w:pStyle w:val="ListParagraph"/>
        <w:ind w:left="1080"/>
        <w:rPr>
          <w:rFonts w:ascii="Times New Roman" w:hAnsi="Times New Roman"/>
          <w:sz w:val="24"/>
          <w:szCs w:val="24"/>
        </w:rPr>
      </w:pPr>
    </w:p>
    <w:p w:rsidR="00AC06C7" w:rsidP="00AC06C7" w:rsidRDefault="00AC06C7">
      <w:pPr>
        <w:pStyle w:val="ListParagraph"/>
        <w:ind w:left="1080"/>
        <w:rPr>
          <w:rFonts w:ascii="Times New Roman" w:hAnsi="Times New Roman"/>
          <w:sz w:val="24"/>
          <w:szCs w:val="24"/>
        </w:rPr>
      </w:pPr>
    </w:p>
    <w:p w:rsidR="00AC06C7" w:rsidP="00AC06C7" w:rsidRDefault="00AC06C7">
      <w:pPr>
        <w:pStyle w:val="ListParagraph"/>
        <w:ind w:left="1080"/>
        <w:rPr>
          <w:rFonts w:ascii="Times New Roman" w:hAnsi="Times New Roman"/>
          <w:sz w:val="24"/>
          <w:szCs w:val="24"/>
        </w:rPr>
      </w:pPr>
    </w:p>
    <w:p w:rsidR="00AC06C7" w:rsidP="00AC06C7" w:rsidRDefault="00AC06C7">
      <w:pPr>
        <w:pStyle w:val="ListParagraph"/>
        <w:ind w:left="1080"/>
        <w:rPr>
          <w:rFonts w:ascii="Times New Roman" w:hAnsi="Times New Roman"/>
          <w:sz w:val="24"/>
          <w:szCs w:val="24"/>
        </w:rPr>
      </w:pPr>
    </w:p>
    <w:p w:rsidR="00AC06C7" w:rsidP="00AC06C7" w:rsidRDefault="00AC06C7">
      <w:pPr>
        <w:pStyle w:val="ListParagraph"/>
        <w:ind w:left="1080"/>
        <w:rPr>
          <w:rFonts w:ascii="Times New Roman" w:hAnsi="Times New Roman"/>
          <w:sz w:val="24"/>
          <w:szCs w:val="24"/>
        </w:rPr>
      </w:pPr>
    </w:p>
    <w:p w:rsidR="00AC06C7" w:rsidP="00AC06C7" w:rsidRDefault="00AC06C7">
      <w:pPr>
        <w:pStyle w:val="ListParagraph"/>
        <w:ind w:left="1080"/>
        <w:rPr>
          <w:rFonts w:ascii="Times New Roman" w:hAnsi="Times New Roman"/>
          <w:sz w:val="24"/>
          <w:szCs w:val="24"/>
        </w:rPr>
      </w:pPr>
    </w:p>
    <w:p w:rsidR="00AC06C7" w:rsidP="00AC06C7" w:rsidRDefault="00AC06C7">
      <w:pPr>
        <w:pStyle w:val="ListParagraph"/>
        <w:ind w:left="1080"/>
        <w:rPr>
          <w:rFonts w:ascii="Times New Roman" w:hAnsi="Times New Roman"/>
          <w:sz w:val="24"/>
          <w:szCs w:val="24"/>
        </w:rPr>
      </w:pPr>
    </w:p>
    <w:p w:rsidR="00AC06C7" w:rsidP="00AC06C7" w:rsidRDefault="00AC06C7">
      <w:pPr>
        <w:pStyle w:val="ListParagraph"/>
        <w:ind w:left="1080"/>
        <w:rPr>
          <w:rFonts w:ascii="Times New Roman" w:hAnsi="Times New Roman"/>
          <w:sz w:val="24"/>
          <w:szCs w:val="24"/>
        </w:rPr>
      </w:pPr>
    </w:p>
    <w:p w:rsidR="00AC06C7" w:rsidP="00AC06C7" w:rsidRDefault="00AC06C7">
      <w:pPr>
        <w:pStyle w:val="ListParagraph"/>
        <w:ind w:left="1080"/>
        <w:rPr>
          <w:rFonts w:ascii="Times New Roman" w:hAnsi="Times New Roman"/>
          <w:sz w:val="24"/>
          <w:szCs w:val="24"/>
        </w:rPr>
      </w:pPr>
    </w:p>
    <w:p w:rsidR="00AC06C7" w:rsidP="00AC06C7" w:rsidRDefault="00AC06C7">
      <w:pPr>
        <w:pStyle w:val="ListParagraph"/>
        <w:ind w:left="1080"/>
        <w:rPr>
          <w:rFonts w:ascii="Times New Roman" w:hAnsi="Times New Roman"/>
          <w:sz w:val="24"/>
          <w:szCs w:val="24"/>
        </w:rPr>
      </w:pPr>
    </w:p>
    <w:p w:rsidR="00AC06C7" w:rsidP="00AC06C7" w:rsidRDefault="00AC06C7">
      <w:pPr>
        <w:pStyle w:val="ListParagraph"/>
        <w:ind w:left="1080"/>
        <w:rPr>
          <w:rFonts w:ascii="Times New Roman" w:hAnsi="Times New Roman"/>
          <w:sz w:val="24"/>
          <w:szCs w:val="24"/>
        </w:rPr>
      </w:pPr>
    </w:p>
    <w:p w:rsidR="00AC06C7" w:rsidP="00AC06C7" w:rsidRDefault="00AC06C7">
      <w:pPr>
        <w:pStyle w:val="ListParagraph"/>
        <w:ind w:left="1080"/>
        <w:rPr>
          <w:rFonts w:ascii="Times New Roman" w:hAnsi="Times New Roman"/>
          <w:sz w:val="24"/>
          <w:szCs w:val="24"/>
        </w:rPr>
      </w:pPr>
    </w:p>
    <w:p w:rsidR="00AC06C7" w:rsidP="00AC06C7" w:rsidRDefault="00AC06C7">
      <w:pPr>
        <w:pStyle w:val="ListParagraph"/>
        <w:ind w:left="1080"/>
        <w:rPr>
          <w:rFonts w:ascii="Times New Roman" w:hAnsi="Times New Roman"/>
          <w:sz w:val="24"/>
          <w:szCs w:val="24"/>
        </w:rPr>
      </w:pPr>
    </w:p>
    <w:p w:rsidR="00AC06C7" w:rsidP="00AC06C7" w:rsidRDefault="00AC06C7">
      <w:pPr>
        <w:pStyle w:val="ListParagraph"/>
        <w:ind w:left="1080"/>
        <w:rPr>
          <w:rFonts w:ascii="Times New Roman" w:hAnsi="Times New Roman"/>
          <w:sz w:val="24"/>
          <w:szCs w:val="24"/>
        </w:rPr>
      </w:pPr>
    </w:p>
    <w:p w:rsidRPr="00C96746" w:rsidR="00AC06C7" w:rsidP="00AC06C7" w:rsidRDefault="00AC06C7">
      <w:pPr>
        <w:pStyle w:val="ListParagraph"/>
        <w:numPr>
          <w:ilvl w:val="0"/>
          <w:numId w:val="1"/>
        </w:numPr>
        <w:ind w:left="1080" w:hanging="540"/>
        <w:rPr>
          <w:rFonts w:ascii="Times New Roman" w:hAnsi="Times New Roman"/>
          <w:sz w:val="24"/>
          <w:szCs w:val="24"/>
        </w:rPr>
      </w:pPr>
      <w:r>
        <w:rPr>
          <w:rFonts w:ascii="Times New Roman" w:hAnsi="Times New Roman"/>
          <w:sz w:val="24"/>
          <w:szCs w:val="24"/>
          <w:u w:val="single"/>
        </w:rPr>
        <w:t>Contact Information</w:t>
      </w:r>
    </w:p>
    <w:p w:rsidR="00AC06C7" w:rsidP="00AC06C7" w:rsidRDefault="00AC06C7">
      <w:pPr>
        <w:pStyle w:val="ListParagraph"/>
        <w:rPr>
          <w:rFonts w:ascii="Times New Roman" w:hAnsi="Times New Roman"/>
          <w:sz w:val="24"/>
          <w:szCs w:val="24"/>
          <w:u w:val="single"/>
        </w:rPr>
      </w:pPr>
    </w:p>
    <w:p w:rsidR="00AC06C7" w:rsidP="00AC06C7" w:rsidRDefault="00AC06C7">
      <w:pPr>
        <w:pStyle w:val="ListParagraph"/>
        <w:ind w:left="1080"/>
        <w:jc w:val="both"/>
        <w:rPr>
          <w:rFonts w:ascii="Times New Roman" w:hAnsi="Times New Roman" w:cs="Times New Roman"/>
          <w:sz w:val="24"/>
          <w:szCs w:val="24"/>
        </w:rPr>
      </w:pPr>
      <w:r w:rsidRPr="7C1854F3">
        <w:rPr>
          <w:rFonts w:ascii="Times New Roman" w:hAnsi="Times New Roman" w:cs="Times New Roman"/>
          <w:sz w:val="24"/>
          <w:szCs w:val="24"/>
        </w:rPr>
        <w:t>Trudy Lou Ford</w:t>
      </w:r>
    </w:p>
    <w:p w:rsidRPr="00331351" w:rsidR="00AC06C7" w:rsidP="00AC06C7" w:rsidRDefault="00AC06C7">
      <w:pPr>
        <w:pStyle w:val="ListParagraph"/>
        <w:ind w:left="1080"/>
        <w:jc w:val="both"/>
        <w:rPr>
          <w:rFonts w:ascii="Times New Roman" w:hAnsi="Times New Roman" w:cs="Times New Roman"/>
          <w:sz w:val="24"/>
          <w:szCs w:val="24"/>
        </w:rPr>
      </w:pPr>
      <w:r w:rsidRPr="00331351">
        <w:rPr>
          <w:rFonts w:ascii="Times New Roman" w:hAnsi="Times New Roman" w:cs="Times New Roman"/>
          <w:sz w:val="24"/>
          <w:szCs w:val="24"/>
        </w:rPr>
        <w:t>G</w:t>
      </w:r>
      <w:r>
        <w:rPr>
          <w:rFonts w:ascii="Times New Roman" w:hAnsi="Times New Roman" w:cs="Times New Roman"/>
          <w:sz w:val="24"/>
          <w:szCs w:val="24"/>
        </w:rPr>
        <w:t>lobal Law Enforcement Support Section (GLESS)</w:t>
      </w:r>
      <w:r w:rsidRPr="00331351">
        <w:rPr>
          <w:rFonts w:ascii="Times New Roman" w:hAnsi="Times New Roman" w:cs="Times New Roman"/>
          <w:sz w:val="24"/>
          <w:szCs w:val="24"/>
        </w:rPr>
        <w:t xml:space="preserve"> Chief</w:t>
      </w:r>
    </w:p>
    <w:p w:rsidRPr="00331351" w:rsidR="00AC06C7" w:rsidP="00AC06C7" w:rsidRDefault="00AC06C7">
      <w:pPr>
        <w:pStyle w:val="ListParagraph"/>
        <w:ind w:left="1080"/>
        <w:jc w:val="both"/>
        <w:rPr>
          <w:rFonts w:ascii="Times New Roman" w:hAnsi="Times New Roman" w:cs="Times New Roman"/>
          <w:sz w:val="24"/>
          <w:szCs w:val="24"/>
        </w:rPr>
      </w:pPr>
      <w:r w:rsidRPr="7C1854F3">
        <w:rPr>
          <w:rFonts w:ascii="Times New Roman" w:hAnsi="Times New Roman" w:cs="Times New Roman"/>
          <w:sz w:val="24"/>
          <w:szCs w:val="24"/>
        </w:rPr>
        <w:t>tlford@fbi.gov</w:t>
      </w:r>
    </w:p>
    <w:p w:rsidR="00AC06C7" w:rsidP="00AC06C7" w:rsidRDefault="00AC06C7">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304-</w:t>
      </w:r>
      <w:r w:rsidRPr="00331351">
        <w:rPr>
          <w:rFonts w:ascii="Times New Roman" w:hAnsi="Times New Roman" w:cs="Times New Roman"/>
          <w:sz w:val="24"/>
          <w:szCs w:val="24"/>
        </w:rPr>
        <w:t>625-3690</w:t>
      </w:r>
    </w:p>
    <w:p w:rsidR="00AC06C7" w:rsidP="00AC06C7" w:rsidRDefault="00AC06C7">
      <w:pPr>
        <w:pStyle w:val="ListParagraph"/>
        <w:ind w:left="1080"/>
        <w:jc w:val="both"/>
        <w:rPr>
          <w:rFonts w:ascii="Times New Roman" w:hAnsi="Times New Roman" w:cs="Times New Roman"/>
          <w:sz w:val="24"/>
          <w:szCs w:val="24"/>
        </w:rPr>
      </w:pPr>
    </w:p>
    <w:p w:rsidR="00AC06C7" w:rsidP="00AC06C7" w:rsidRDefault="00AC06C7">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Michael J. McKeown</w:t>
      </w:r>
    </w:p>
    <w:p w:rsidR="00AC06C7" w:rsidP="00AC06C7" w:rsidRDefault="00AC06C7">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GLESS Assistant Section Chief</w:t>
      </w:r>
    </w:p>
    <w:p w:rsidR="00AC06C7" w:rsidP="00AC06C7" w:rsidRDefault="00AC06C7">
      <w:pPr>
        <w:pStyle w:val="ListParagraph"/>
        <w:ind w:left="1080"/>
        <w:jc w:val="both"/>
        <w:rPr>
          <w:rFonts w:ascii="Times New Roman" w:hAnsi="Times New Roman" w:cs="Times New Roman"/>
          <w:sz w:val="24"/>
          <w:szCs w:val="24"/>
        </w:rPr>
      </w:pPr>
      <w:r w:rsidRPr="00592716">
        <w:rPr>
          <w:rFonts w:ascii="Times New Roman" w:hAnsi="Times New Roman" w:cs="Times New Roman"/>
          <w:sz w:val="24"/>
          <w:szCs w:val="24"/>
        </w:rPr>
        <w:t>mjmckeown@fbi.gov</w:t>
      </w:r>
    </w:p>
    <w:p w:rsidRPr="006A0ACD" w:rsidR="00AC06C7" w:rsidP="00AC06C7" w:rsidRDefault="00AC06C7">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304-625-2966</w:t>
      </w:r>
    </w:p>
    <w:p w:rsidR="00AC06C7" w:rsidP="00AC06C7" w:rsidRDefault="00AC06C7">
      <w:pPr>
        <w:pStyle w:val="ListParagraph"/>
        <w:ind w:left="1080"/>
        <w:jc w:val="both"/>
        <w:rPr>
          <w:rFonts w:ascii="Times New Roman" w:hAnsi="Times New Roman"/>
          <w:sz w:val="24"/>
          <w:szCs w:val="24"/>
        </w:rPr>
      </w:pPr>
    </w:p>
    <w:p w:rsidR="00AC06C7" w:rsidP="00AC06C7" w:rsidRDefault="00AC06C7">
      <w:pPr>
        <w:pStyle w:val="ListParagraph"/>
        <w:ind w:left="1080"/>
        <w:jc w:val="both"/>
        <w:rPr>
          <w:rFonts w:ascii="Times New Roman" w:hAnsi="Times New Roman"/>
          <w:sz w:val="24"/>
          <w:szCs w:val="24"/>
        </w:rPr>
      </w:pPr>
      <w:r>
        <w:rPr>
          <w:rFonts w:ascii="Times New Roman" w:hAnsi="Times New Roman"/>
          <w:sz w:val="24"/>
          <w:szCs w:val="24"/>
        </w:rPr>
        <w:t>Amy C. Blasher</w:t>
      </w:r>
    </w:p>
    <w:p w:rsidR="00AC06C7" w:rsidP="00AC06C7" w:rsidRDefault="00AC06C7">
      <w:pPr>
        <w:pStyle w:val="ListParagraph"/>
        <w:ind w:left="1080"/>
        <w:jc w:val="both"/>
        <w:rPr>
          <w:rFonts w:ascii="Times New Roman" w:hAnsi="Times New Roman"/>
          <w:sz w:val="24"/>
          <w:szCs w:val="24"/>
        </w:rPr>
      </w:pPr>
      <w:r>
        <w:rPr>
          <w:rFonts w:ascii="Times New Roman" w:hAnsi="Times New Roman"/>
          <w:sz w:val="24"/>
          <w:szCs w:val="24"/>
        </w:rPr>
        <w:t>Crime Statistics Management Unit Chief</w:t>
      </w:r>
    </w:p>
    <w:p w:rsidR="00AC06C7" w:rsidP="00AC06C7" w:rsidRDefault="00AC06C7">
      <w:pPr>
        <w:pStyle w:val="ListParagraph"/>
        <w:ind w:left="1080"/>
        <w:jc w:val="both"/>
        <w:rPr>
          <w:rFonts w:ascii="Times New Roman" w:hAnsi="Times New Roman"/>
          <w:sz w:val="24"/>
          <w:szCs w:val="24"/>
        </w:rPr>
      </w:pPr>
      <w:r w:rsidRPr="006A0ACD">
        <w:rPr>
          <w:rFonts w:ascii="Times New Roman" w:hAnsi="Times New Roman"/>
          <w:sz w:val="24"/>
          <w:szCs w:val="24"/>
        </w:rPr>
        <w:t>acblasher@fbi.gov</w:t>
      </w:r>
    </w:p>
    <w:p w:rsidR="00AC06C7" w:rsidP="00AC06C7" w:rsidRDefault="00AC06C7">
      <w:pPr>
        <w:pStyle w:val="ListParagraph"/>
        <w:ind w:left="1080"/>
        <w:jc w:val="both"/>
        <w:rPr>
          <w:rFonts w:ascii="Times New Roman" w:hAnsi="Times New Roman"/>
          <w:sz w:val="24"/>
          <w:szCs w:val="24"/>
        </w:rPr>
      </w:pPr>
      <w:r>
        <w:rPr>
          <w:rFonts w:ascii="Times New Roman" w:hAnsi="Times New Roman"/>
          <w:sz w:val="24"/>
          <w:szCs w:val="24"/>
        </w:rPr>
        <w:t>304-625-4840</w:t>
      </w:r>
    </w:p>
    <w:p w:rsidR="00AC06C7" w:rsidP="00AC06C7" w:rsidRDefault="00AC06C7">
      <w:pPr>
        <w:pStyle w:val="ListParagraph"/>
        <w:ind w:left="1080"/>
        <w:jc w:val="both"/>
        <w:rPr>
          <w:rFonts w:ascii="Times New Roman" w:hAnsi="Times New Roman"/>
          <w:sz w:val="24"/>
          <w:szCs w:val="24"/>
        </w:rPr>
      </w:pPr>
    </w:p>
    <w:p w:rsidR="00AC06C7" w:rsidP="00AC06C7" w:rsidRDefault="00AC06C7">
      <w:pPr>
        <w:pStyle w:val="ListParagraph"/>
        <w:ind w:left="1080"/>
        <w:jc w:val="both"/>
        <w:rPr>
          <w:rFonts w:ascii="Times New Roman" w:hAnsi="Times New Roman"/>
          <w:sz w:val="24"/>
          <w:szCs w:val="24"/>
        </w:rPr>
      </w:pPr>
      <w:r>
        <w:rPr>
          <w:rFonts w:ascii="Times New Roman" w:hAnsi="Times New Roman"/>
          <w:sz w:val="24"/>
          <w:szCs w:val="24"/>
        </w:rPr>
        <w:t>Cynthia Barnett-Ryan</w:t>
      </w:r>
    </w:p>
    <w:p w:rsidR="00AC06C7" w:rsidP="00AC06C7" w:rsidRDefault="00AC06C7">
      <w:pPr>
        <w:pStyle w:val="ListParagraph"/>
        <w:ind w:left="1080"/>
        <w:jc w:val="both"/>
        <w:rPr>
          <w:rFonts w:ascii="Times New Roman" w:hAnsi="Times New Roman"/>
          <w:sz w:val="24"/>
          <w:szCs w:val="24"/>
        </w:rPr>
      </w:pPr>
      <w:r>
        <w:rPr>
          <w:rFonts w:ascii="Times New Roman" w:hAnsi="Times New Roman"/>
          <w:sz w:val="24"/>
          <w:szCs w:val="24"/>
        </w:rPr>
        <w:t>Statistician</w:t>
      </w:r>
    </w:p>
    <w:p w:rsidR="00AC06C7" w:rsidP="00AC06C7" w:rsidRDefault="00AC06C7">
      <w:pPr>
        <w:pStyle w:val="ListParagraph"/>
        <w:ind w:left="1080"/>
        <w:jc w:val="both"/>
        <w:rPr>
          <w:rFonts w:ascii="Times New Roman" w:hAnsi="Times New Roman"/>
          <w:sz w:val="24"/>
          <w:szCs w:val="24"/>
        </w:rPr>
      </w:pPr>
      <w:r w:rsidRPr="006A0ACD">
        <w:rPr>
          <w:rFonts w:ascii="Times New Roman" w:hAnsi="Times New Roman"/>
          <w:sz w:val="24"/>
          <w:szCs w:val="24"/>
        </w:rPr>
        <w:t>cbarnett-ryan@fbi.gov</w:t>
      </w:r>
    </w:p>
    <w:p w:rsidR="00AC06C7" w:rsidP="00AC06C7" w:rsidRDefault="00AC06C7">
      <w:pPr>
        <w:pStyle w:val="ListParagraph"/>
        <w:ind w:left="1080"/>
        <w:jc w:val="both"/>
        <w:rPr>
          <w:rFonts w:ascii="Times New Roman" w:hAnsi="Times New Roman"/>
          <w:sz w:val="24"/>
          <w:szCs w:val="24"/>
        </w:rPr>
      </w:pPr>
      <w:r>
        <w:rPr>
          <w:rFonts w:ascii="Times New Roman" w:hAnsi="Times New Roman"/>
          <w:sz w:val="24"/>
          <w:szCs w:val="24"/>
        </w:rPr>
        <w:t>304-625-3576</w:t>
      </w:r>
    </w:p>
    <w:p w:rsidR="00AC06C7" w:rsidP="00AC06C7" w:rsidRDefault="00AC06C7">
      <w:pPr>
        <w:pStyle w:val="ListParagraph"/>
        <w:ind w:left="1080"/>
        <w:jc w:val="both"/>
        <w:rPr>
          <w:rFonts w:ascii="Times New Roman" w:hAnsi="Times New Roman"/>
          <w:sz w:val="24"/>
          <w:szCs w:val="24"/>
        </w:rPr>
      </w:pPr>
    </w:p>
    <w:p w:rsidR="00AC06C7" w:rsidP="00AC06C7" w:rsidRDefault="00AC06C7">
      <w:pPr>
        <w:pStyle w:val="ListParagraph"/>
        <w:tabs>
          <w:tab w:val="left" w:pos="1440"/>
          <w:tab w:val="left" w:pos="5400"/>
        </w:tabs>
        <w:spacing w:after="0" w:line="276" w:lineRule="auto"/>
        <w:ind w:left="1080"/>
        <w:jc w:val="both"/>
        <w:rPr>
          <w:rFonts w:ascii="Times New Roman" w:hAnsi="Times New Roman"/>
          <w:sz w:val="24"/>
          <w:szCs w:val="24"/>
        </w:rPr>
      </w:pPr>
      <w:r>
        <w:rPr>
          <w:rFonts w:ascii="Times New Roman" w:hAnsi="Times New Roman"/>
          <w:sz w:val="24"/>
          <w:szCs w:val="24"/>
        </w:rPr>
        <w:t>Bryan A. Sell</w:t>
      </w:r>
    </w:p>
    <w:p w:rsidR="00AC06C7" w:rsidP="00AC06C7" w:rsidRDefault="00AC06C7">
      <w:pPr>
        <w:pStyle w:val="ListParagraph"/>
        <w:tabs>
          <w:tab w:val="left" w:pos="1440"/>
          <w:tab w:val="left" w:pos="5400"/>
        </w:tabs>
        <w:spacing w:after="0" w:line="276" w:lineRule="auto"/>
        <w:ind w:left="1080"/>
        <w:jc w:val="both"/>
        <w:rPr>
          <w:rFonts w:ascii="Times New Roman" w:hAnsi="Times New Roman"/>
          <w:sz w:val="24"/>
          <w:szCs w:val="24"/>
        </w:rPr>
      </w:pPr>
      <w:r>
        <w:rPr>
          <w:rFonts w:ascii="Times New Roman" w:hAnsi="Times New Roman"/>
          <w:sz w:val="24"/>
          <w:szCs w:val="24"/>
        </w:rPr>
        <w:t>Statistician</w:t>
      </w:r>
    </w:p>
    <w:p w:rsidR="00AC06C7" w:rsidP="00AC06C7" w:rsidRDefault="00AC06C7">
      <w:pPr>
        <w:pStyle w:val="ListParagraph"/>
        <w:tabs>
          <w:tab w:val="left" w:pos="1440"/>
          <w:tab w:val="left" w:pos="5400"/>
        </w:tabs>
        <w:spacing w:after="0" w:line="276" w:lineRule="auto"/>
        <w:ind w:left="1080"/>
        <w:jc w:val="both"/>
        <w:rPr>
          <w:rFonts w:ascii="Times New Roman" w:hAnsi="Times New Roman"/>
          <w:sz w:val="24"/>
          <w:szCs w:val="24"/>
        </w:rPr>
      </w:pPr>
      <w:r w:rsidRPr="006F4749">
        <w:rPr>
          <w:rFonts w:ascii="Times New Roman" w:hAnsi="Times New Roman"/>
          <w:sz w:val="24"/>
          <w:szCs w:val="24"/>
        </w:rPr>
        <w:t>basell@fbi.gov</w:t>
      </w:r>
    </w:p>
    <w:p w:rsidRPr="004450F7" w:rsidR="00AC06C7" w:rsidP="00AC06C7" w:rsidRDefault="00AC06C7">
      <w:pPr>
        <w:pStyle w:val="ListParagraph"/>
        <w:tabs>
          <w:tab w:val="left" w:pos="1440"/>
          <w:tab w:val="left" w:pos="5400"/>
        </w:tabs>
        <w:spacing w:after="0" w:line="276" w:lineRule="auto"/>
        <w:ind w:left="1080"/>
        <w:jc w:val="both"/>
        <w:rPr>
          <w:rFonts w:ascii="Times New Roman" w:hAnsi="Times New Roman" w:cs="Times New Roman"/>
          <w:sz w:val="24"/>
          <w:szCs w:val="24"/>
        </w:rPr>
      </w:pPr>
      <w:r>
        <w:rPr>
          <w:rFonts w:ascii="Times New Roman" w:hAnsi="Times New Roman"/>
          <w:sz w:val="24"/>
          <w:szCs w:val="24"/>
        </w:rPr>
        <w:t>304-625-8258</w:t>
      </w:r>
    </w:p>
    <w:p w:rsidRPr="00BD656F" w:rsidR="00AC06C7" w:rsidP="00AC06C7" w:rsidRDefault="00AC06C7">
      <w:pPr>
        <w:spacing w:after="0" w:line="240" w:lineRule="auto"/>
        <w:jc w:val="center"/>
        <w:rPr>
          <w:rFonts w:ascii="Times New Roman" w:hAnsi="Times New Roman" w:cs="Times New Roman"/>
          <w:b/>
        </w:rPr>
      </w:pPr>
    </w:p>
    <w:p w:rsidR="00F102B4" w:rsidRDefault="00F102B4"/>
    <w:sectPr w:rsidR="00F102B4" w:rsidSect="00117365">
      <w:footerReference w:type="default" r:id="rId5"/>
      <w:footerReference w:type="first" r:id="rId6"/>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0185015"/>
      <w:docPartObj>
        <w:docPartGallery w:val="Page Numbers (Bottom of Page)"/>
        <w:docPartUnique/>
      </w:docPartObj>
    </w:sdtPr>
    <w:sdtEndPr>
      <w:rPr>
        <w:noProof/>
      </w:rPr>
    </w:sdtEndPr>
    <w:sdtContent>
      <w:p w:rsidR="000158F1" w:rsidRDefault="00AC06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158F1" w:rsidRDefault="00AC06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5063338"/>
      <w:docPartObj>
        <w:docPartGallery w:val="Page Numbers (Bottom of Page)"/>
        <w:docPartUnique/>
      </w:docPartObj>
    </w:sdtPr>
    <w:sdtEndPr>
      <w:rPr>
        <w:noProof/>
      </w:rPr>
    </w:sdtEndPr>
    <w:sdtContent>
      <w:p w:rsidR="006A6F53" w:rsidRDefault="00AC06C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6A6F53" w:rsidRDefault="00AC06C7">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841392"/>
    <w:multiLevelType w:val="hybridMultilevel"/>
    <w:tmpl w:val="F5323D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569E3DF5"/>
    <w:multiLevelType w:val="hybridMultilevel"/>
    <w:tmpl w:val="9C1A1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6C7"/>
    <w:rsid w:val="00AC06C7"/>
    <w:rsid w:val="00F10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AF1237-6046-4483-B3BE-E9FFED360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6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06C7"/>
    <w:pPr>
      <w:ind w:left="720"/>
      <w:contextualSpacing/>
    </w:pPr>
  </w:style>
  <w:style w:type="paragraph" w:styleId="Footer">
    <w:name w:val="footer"/>
    <w:basedOn w:val="Normal"/>
    <w:link w:val="FooterChar"/>
    <w:uiPriority w:val="99"/>
    <w:unhideWhenUsed/>
    <w:rsid w:val="00AC06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06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1001</Words>
  <Characters>5711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Federal Bureau of Investigation</Company>
  <LinksUpToDate>false</LinksUpToDate>
  <CharactersWithSpaces>6699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Mejia-Garcia, Ana D. (DO) (FBI)</dc:creator>
  <cp:keywords/>
  <dc:description/>
  <cp:lastModifiedBy>Mejia-Garcia, Ana D. (DO) (FBI)</cp:lastModifiedBy>
  <cp:revision>1</cp:revision>
  <dcterms:created xsi:type="dcterms:W3CDTF">2020-11-03T12:00:00Z</dcterms:created>
  <dcterms:modified xsi:type="dcterms:W3CDTF">2020-11-03T12:01:00Z</dcterms:modified>
</cp:coreProperties>
</file>