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67F" w:rsidRDefault="003F3153">
      <w:pPr>
        <w:pStyle w:val="Heading1"/>
        <w:spacing w:before="67" w:line="285" w:lineRule="auto"/>
        <w:ind w:left="885" w:right="660" w:firstLine="741"/>
      </w:pPr>
      <w:bookmarkStart w:id="0" w:name="State-based_Exchange_Annual_Report_Tool_"/>
      <w:bookmarkStart w:id="1" w:name="Supporting_Statement_for_Paperwork_Reduc"/>
      <w:bookmarkStart w:id="2" w:name="_GoBack"/>
      <w:bookmarkEnd w:id="0"/>
      <w:bookmarkEnd w:id="1"/>
      <w:bookmarkEnd w:id="2"/>
      <w:r>
        <w:t>State-based Exchange Annual Report Tool (SMART) Supporting Statement for Paperwork Reduction Act Submissions</w:t>
      </w:r>
    </w:p>
    <w:p w:rsidR="0056067F" w:rsidRDefault="0056067F">
      <w:pPr>
        <w:pStyle w:val="BodyText"/>
        <w:spacing w:before="8"/>
        <w:rPr>
          <w:b/>
          <w:sz w:val="23"/>
        </w:rPr>
      </w:pPr>
    </w:p>
    <w:p w:rsidR="0056067F" w:rsidRDefault="003F3153">
      <w:pPr>
        <w:pStyle w:val="ListParagraph"/>
        <w:numPr>
          <w:ilvl w:val="0"/>
          <w:numId w:val="3"/>
        </w:numPr>
        <w:tabs>
          <w:tab w:val="left" w:pos="519"/>
        </w:tabs>
        <w:rPr>
          <w:b/>
          <w:sz w:val="24"/>
        </w:rPr>
      </w:pPr>
      <w:bookmarkStart w:id="3" w:name="A._Background"/>
      <w:bookmarkEnd w:id="3"/>
      <w:r>
        <w:rPr>
          <w:b/>
          <w:sz w:val="24"/>
        </w:rPr>
        <w:t>Background</w:t>
      </w:r>
    </w:p>
    <w:p w:rsidR="0056067F" w:rsidRDefault="003F3153">
      <w:pPr>
        <w:pStyle w:val="BodyText"/>
        <w:spacing w:before="6"/>
        <w:ind w:left="158" w:right="149"/>
      </w:pPr>
      <w:r>
        <w:t>On March 23, 2010, the President signed into law the Patient Protection and Affordable Care Act (P.L. 111-148) and on March 30, 2010, he signed the Health Care and Education Reconciliation Act of 2010 (P.L. 111-152) into law. Collectively, the two laws comprise the Affordable Care Act (ACA). The ACA creates new competitive private health insurance markets – referred to as State-based Exchanges (SBE) – that will give millions of Americans and small businesses access to affordable healthcare coverage. To best meet the needs of the individual states to provide these services, the ACA provides them with the maximum flexibility to design, implement, and operate the market within their state.</w:t>
      </w:r>
    </w:p>
    <w:p w:rsidR="0056067F" w:rsidRDefault="0056067F">
      <w:pPr>
        <w:pStyle w:val="BodyText"/>
        <w:spacing w:before="11"/>
        <w:rPr>
          <w:sz w:val="23"/>
        </w:rPr>
      </w:pPr>
    </w:p>
    <w:p w:rsidR="0056067F" w:rsidRDefault="003F3153">
      <w:pPr>
        <w:pStyle w:val="BodyText"/>
        <w:spacing w:before="0"/>
        <w:ind w:left="158" w:right="163"/>
      </w:pPr>
      <w:r>
        <w:t>The U.S. Department of Health and Human Services’ (HHS) Centers for Medicare &amp; Medicaid Services (CMS) works collaboratively with SBEs. As these Exchanges move from design and implementation to operations, CMS will provide oversight and monitoring to ensure adequate operational systems. The effective and efficient oversight of Exchanges will include monitoring, reporting, and oversight of financial and other Exchange activities. These mechanisms will ensure the Exchanges are meeting the standards of the ACA and consumers receive both appropriate choices of available coverage and advance payments of the premium tax credit or cost-sharing reductions to which they are entitled.</w:t>
      </w:r>
    </w:p>
    <w:p w:rsidR="0056067F" w:rsidRDefault="0056067F">
      <w:pPr>
        <w:pStyle w:val="BodyText"/>
        <w:spacing w:before="0"/>
      </w:pPr>
    </w:p>
    <w:p w:rsidR="0056067F" w:rsidRDefault="003F3153">
      <w:pPr>
        <w:pStyle w:val="BodyText"/>
        <w:spacing w:before="0" w:line="242" w:lineRule="auto"/>
        <w:ind w:left="158" w:right="477"/>
      </w:pPr>
      <w:r>
        <w:t xml:space="preserve">CMS oversight of SBEs will promote transparency and ensure compliance with Exchange-related standards while preserving states’ traditional roles in overseeing their insurance markets. To that end, there </w:t>
      </w:r>
      <w:r>
        <w:rPr>
          <w:spacing w:val="-3"/>
        </w:rPr>
        <w:t xml:space="preserve">are </w:t>
      </w:r>
      <w:r>
        <w:t xml:space="preserve">numerous regulatory requirements described in the Exchange Final Rule, the Program Integrity Rule, and other regulatory guidance with which SBEs must comply. Regulatory requirements include submitting reports such as an annual financial statement, eligibility and enrollment reports, </w:t>
      </w:r>
      <w:r>
        <w:rPr>
          <w:spacing w:val="4"/>
        </w:rPr>
        <w:t xml:space="preserve">andthe </w:t>
      </w:r>
      <w:r>
        <w:t>Small Business Health Option Program (SHOP) reports to the Internal Revenue Service (IRS) on employer participation, employer contributions, and employeeenrollment. Other regulatory requirements address security and privacy safeguards, stakeholder consultations, and funding obligations for SBE operations, beginning in</w:t>
      </w:r>
      <w:r>
        <w:rPr>
          <w:spacing w:val="-54"/>
        </w:rPr>
        <w:t xml:space="preserve"> </w:t>
      </w:r>
      <w:r>
        <w:t>2015.</w:t>
      </w:r>
    </w:p>
    <w:p w:rsidR="0056067F" w:rsidRDefault="0056067F">
      <w:pPr>
        <w:pStyle w:val="BodyText"/>
        <w:spacing w:before="8"/>
        <w:rPr>
          <w:sz w:val="23"/>
        </w:rPr>
      </w:pPr>
    </w:p>
    <w:p w:rsidR="0056067F" w:rsidRDefault="003F3153">
      <w:pPr>
        <w:pStyle w:val="BodyText"/>
        <w:spacing w:before="1"/>
        <w:ind w:left="158" w:right="171"/>
      </w:pPr>
      <w:r>
        <w:t xml:space="preserve">In order to ensure the SBEs and State-based Exchanges using the Federal platform (SBE-FP) are complying with the full range of reportingrequirements, SBEs and SBE- FPs must submit the State-based Marketplace Annual Reporting Tool (SMART) to </w:t>
      </w:r>
      <w:r>
        <w:rPr>
          <w:spacing w:val="-19"/>
        </w:rPr>
        <w:t xml:space="preserve">CMS. </w:t>
      </w:r>
      <w:r>
        <w:t>This report will include all reporting requirements for SBEs and will be used as the vehicle for evaluating comprehensive compliance with CMS regulations and standards. This report will include attestations of SBE compliance with ACA requirements, attestations of compliance with eligibility and enrollment requirements, performance</w:t>
      </w:r>
      <w:r>
        <w:rPr>
          <w:spacing w:val="-3"/>
        </w:rPr>
        <w:t xml:space="preserve"> </w:t>
      </w:r>
      <w:r>
        <w:t>monitoring</w:t>
      </w:r>
      <w:r>
        <w:rPr>
          <w:spacing w:val="-28"/>
        </w:rPr>
        <w:t xml:space="preserve"> </w:t>
      </w:r>
      <w:r>
        <w:t>data,</w:t>
      </w:r>
      <w:r>
        <w:rPr>
          <w:spacing w:val="-3"/>
        </w:rPr>
        <w:t xml:space="preserve"> </w:t>
      </w:r>
      <w:r>
        <w:t>and</w:t>
      </w:r>
      <w:r>
        <w:rPr>
          <w:spacing w:val="-28"/>
        </w:rPr>
        <w:t xml:space="preserve"> </w:t>
      </w:r>
      <w:r>
        <w:t>the</w:t>
      </w:r>
      <w:r>
        <w:rPr>
          <w:spacing w:val="-5"/>
        </w:rPr>
        <w:t xml:space="preserve"> </w:t>
      </w:r>
      <w:r>
        <w:t>annual</w:t>
      </w:r>
      <w:r>
        <w:rPr>
          <w:spacing w:val="-7"/>
        </w:rPr>
        <w:t xml:space="preserve"> </w:t>
      </w:r>
      <w:r>
        <w:t>financial</w:t>
      </w:r>
      <w:r>
        <w:rPr>
          <w:spacing w:val="-4"/>
        </w:rPr>
        <w:t xml:space="preserve"> </w:t>
      </w:r>
      <w:r>
        <w:t>statement</w:t>
      </w:r>
      <w:r>
        <w:rPr>
          <w:spacing w:val="-6"/>
        </w:rPr>
        <w:t xml:space="preserve"> </w:t>
      </w:r>
      <w:r>
        <w:t>and</w:t>
      </w:r>
      <w:r>
        <w:rPr>
          <w:spacing w:val="-3"/>
        </w:rPr>
        <w:t xml:space="preserve"> </w:t>
      </w:r>
      <w:r>
        <w:t>external</w:t>
      </w:r>
      <w:r>
        <w:rPr>
          <w:spacing w:val="-7"/>
        </w:rPr>
        <w:t xml:space="preserve"> </w:t>
      </w:r>
      <w:r>
        <w:t>financial and programmatic audit</w:t>
      </w:r>
      <w:r>
        <w:rPr>
          <w:spacing w:val="-37"/>
        </w:rPr>
        <w:t xml:space="preserve"> </w:t>
      </w:r>
      <w:r>
        <w:t>report.</w:t>
      </w:r>
    </w:p>
    <w:p w:rsidR="0056067F" w:rsidRDefault="0056067F">
      <w:pPr>
        <w:pStyle w:val="BodyText"/>
        <w:spacing w:before="4"/>
        <w:rPr>
          <w:sz w:val="23"/>
        </w:rPr>
      </w:pPr>
    </w:p>
    <w:p w:rsidR="0056067F" w:rsidRDefault="003F3153">
      <w:pPr>
        <w:pStyle w:val="BodyText"/>
        <w:spacing w:before="0"/>
        <w:ind w:left="108" w:right="93" w:firstLine="14"/>
      </w:pPr>
      <w:r>
        <w:t>The primary burden associated with collecting and developing program integrity reports by SBEs was previously captured in Program Integrity Rule Paperwork Reduction Act (PRA) package (CMS-10516). However, to capture and streamline all SBE program</w:t>
      </w:r>
    </w:p>
    <w:p w:rsidR="0056067F" w:rsidRDefault="0056067F">
      <w:pPr>
        <w:sectPr w:rsidR="0056067F">
          <w:type w:val="continuous"/>
          <w:pgSz w:w="12240" w:h="15840"/>
          <w:pgMar w:top="1340" w:right="1560" w:bottom="280" w:left="1200" w:header="720" w:footer="720" w:gutter="0"/>
          <w:cols w:space="720"/>
        </w:sectPr>
      </w:pPr>
    </w:p>
    <w:p w:rsidR="0056067F" w:rsidRDefault="003F3153">
      <w:pPr>
        <w:pStyle w:val="BodyText"/>
        <w:spacing w:before="71"/>
        <w:ind w:left="108" w:right="120"/>
      </w:pPr>
      <w:r>
        <w:lastRenderedPageBreak/>
        <w:t>integrity requirements, CMS has consolidated the burden to collect these requirements in this submission.</w:t>
      </w:r>
    </w:p>
    <w:p w:rsidR="0056067F" w:rsidRDefault="0056067F">
      <w:pPr>
        <w:pStyle w:val="BodyText"/>
        <w:spacing w:before="3"/>
        <w:rPr>
          <w:sz w:val="28"/>
        </w:rPr>
      </w:pPr>
    </w:p>
    <w:p w:rsidR="0056067F" w:rsidRDefault="003F3153">
      <w:pPr>
        <w:pStyle w:val="Heading1"/>
        <w:numPr>
          <w:ilvl w:val="0"/>
          <w:numId w:val="3"/>
        </w:numPr>
        <w:tabs>
          <w:tab w:val="left" w:pos="519"/>
        </w:tabs>
      </w:pPr>
      <w:bookmarkStart w:id="4" w:name="B._Justification"/>
      <w:bookmarkEnd w:id="4"/>
      <w:r>
        <w:t>Justification</w:t>
      </w:r>
    </w:p>
    <w:p w:rsidR="0056067F" w:rsidRDefault="0056067F">
      <w:pPr>
        <w:pStyle w:val="BodyText"/>
        <w:spacing w:before="10"/>
        <w:rPr>
          <w:b/>
          <w:sz w:val="23"/>
        </w:rPr>
      </w:pPr>
    </w:p>
    <w:p w:rsidR="0056067F" w:rsidRDefault="003F3153">
      <w:pPr>
        <w:pStyle w:val="ListParagraph"/>
        <w:numPr>
          <w:ilvl w:val="1"/>
          <w:numId w:val="3"/>
        </w:numPr>
        <w:tabs>
          <w:tab w:val="left" w:pos="519"/>
        </w:tabs>
        <w:rPr>
          <w:b/>
          <w:sz w:val="24"/>
        </w:rPr>
      </w:pPr>
      <w:r>
        <w:rPr>
          <w:b/>
          <w:sz w:val="24"/>
        </w:rPr>
        <w:t>Need and Legal</w:t>
      </w:r>
      <w:r>
        <w:rPr>
          <w:b/>
          <w:spacing w:val="-12"/>
          <w:sz w:val="24"/>
        </w:rPr>
        <w:t xml:space="preserve"> </w:t>
      </w:r>
      <w:r>
        <w:rPr>
          <w:b/>
          <w:sz w:val="24"/>
        </w:rPr>
        <w:t>Basis</w:t>
      </w:r>
    </w:p>
    <w:p w:rsidR="0056067F" w:rsidRDefault="003F3153">
      <w:pPr>
        <w:pStyle w:val="BodyText"/>
        <w:spacing w:before="1"/>
        <w:ind w:left="158" w:right="190"/>
      </w:pPr>
      <w:r>
        <w:t>The annual SMART is the primary vehicle to ensure compliance with all reporting requirements contained in the ACA. It is specifically called for in Section 1313(a)(1) of the ACA, which requires an SBE to keep an accurate accounting of all activities, receipts, and expenditures, and to submit a report annually to the Secretary concerning such accounting. Instructions governing specific facets of the activities covered by the report are contained both in the ACA and in applicable Federal Regulations.</w:t>
      </w:r>
    </w:p>
    <w:p w:rsidR="0056067F" w:rsidRDefault="0056067F">
      <w:pPr>
        <w:pStyle w:val="BodyText"/>
        <w:spacing w:before="6"/>
        <w:rPr>
          <w:sz w:val="23"/>
        </w:rPr>
      </w:pPr>
    </w:p>
    <w:p w:rsidR="0056067F" w:rsidRDefault="003F3153">
      <w:pPr>
        <w:pStyle w:val="Heading1"/>
        <w:numPr>
          <w:ilvl w:val="1"/>
          <w:numId w:val="3"/>
        </w:numPr>
        <w:tabs>
          <w:tab w:val="left" w:pos="519"/>
        </w:tabs>
      </w:pPr>
      <w:bookmarkStart w:id="5" w:name="2._Information_Users"/>
      <w:bookmarkEnd w:id="5"/>
      <w:r>
        <w:t>Information</w:t>
      </w:r>
      <w:r>
        <w:rPr>
          <w:spacing w:val="-11"/>
        </w:rPr>
        <w:t xml:space="preserve"> </w:t>
      </w:r>
      <w:r>
        <w:t>Users</w:t>
      </w:r>
    </w:p>
    <w:p w:rsidR="0056067F" w:rsidRDefault="003F3153">
      <w:pPr>
        <w:pStyle w:val="BodyText"/>
        <w:ind w:left="158" w:right="190"/>
      </w:pPr>
      <w:r>
        <w:t>CMS and other Federal agencies use the information collected from the SMART to determine if a state is maintaining a compliant, operational Exchange. It also provides a mechanism to collect innovative approaches to meeting challenges encountered by the SBEs during the preceding year, as well as to provide information to CMS regarding potential changes in priorities and approaches for the upcoming year.</w:t>
      </w:r>
    </w:p>
    <w:p w:rsidR="0056067F" w:rsidRDefault="0056067F">
      <w:pPr>
        <w:pStyle w:val="BodyText"/>
        <w:spacing w:before="6"/>
        <w:rPr>
          <w:sz w:val="23"/>
        </w:rPr>
      </w:pPr>
    </w:p>
    <w:p w:rsidR="0056067F" w:rsidRDefault="003F3153">
      <w:pPr>
        <w:pStyle w:val="Heading1"/>
        <w:numPr>
          <w:ilvl w:val="1"/>
          <w:numId w:val="3"/>
        </w:numPr>
        <w:tabs>
          <w:tab w:val="left" w:pos="519"/>
        </w:tabs>
      </w:pPr>
      <w:bookmarkStart w:id="6" w:name="3._Use_of_Information_Technology"/>
      <w:bookmarkEnd w:id="6"/>
      <w:r>
        <w:t>Use of Information</w:t>
      </w:r>
      <w:r>
        <w:rPr>
          <w:spacing w:val="-17"/>
        </w:rPr>
        <w:t xml:space="preserve"> </w:t>
      </w:r>
      <w:r>
        <w:t>Technology</w:t>
      </w:r>
    </w:p>
    <w:p w:rsidR="0056067F" w:rsidRDefault="003F3153">
      <w:pPr>
        <w:pStyle w:val="BodyText"/>
        <w:ind w:left="158" w:right="96"/>
      </w:pPr>
      <w:r>
        <w:t>Most systems, notices, and information collection required for the SMART is automated, and a majority of the required information is submitted electronically. CMS leverages existing IT systems for the collection of the state-specific data and aims to lessen the burden on states and minimize the need for any additional costs for the required submission by using existing IT systems. CMS staff will analyze or review the data in the same manner by which it was submitted and communicate with states, health insurance issuers, and other entities using e-mail, telephone, or other electronic means.</w:t>
      </w:r>
    </w:p>
    <w:p w:rsidR="0056067F" w:rsidRDefault="0056067F">
      <w:pPr>
        <w:pStyle w:val="BodyText"/>
        <w:spacing w:before="9"/>
      </w:pPr>
    </w:p>
    <w:p w:rsidR="0056067F" w:rsidRDefault="003F3153">
      <w:pPr>
        <w:pStyle w:val="BodyText"/>
        <w:spacing w:before="0"/>
        <w:ind w:left="158" w:right="938"/>
      </w:pPr>
      <w:r>
        <w:t>The SMART data collection tool is available on SERVIS and permits electronic submission of responses.</w:t>
      </w:r>
    </w:p>
    <w:p w:rsidR="0056067F" w:rsidRDefault="0056067F">
      <w:pPr>
        <w:pStyle w:val="BodyText"/>
        <w:spacing w:before="3"/>
        <w:rPr>
          <w:sz w:val="22"/>
        </w:rPr>
      </w:pPr>
    </w:p>
    <w:p w:rsidR="0056067F" w:rsidRDefault="003F3153">
      <w:pPr>
        <w:pStyle w:val="Heading1"/>
        <w:numPr>
          <w:ilvl w:val="1"/>
          <w:numId w:val="3"/>
        </w:numPr>
        <w:tabs>
          <w:tab w:val="left" w:pos="519"/>
        </w:tabs>
      </w:pPr>
      <w:bookmarkStart w:id="7" w:name="4._Duplication_of_Efforts"/>
      <w:bookmarkEnd w:id="7"/>
      <w:r>
        <w:t>Duplication of</w:t>
      </w:r>
      <w:r>
        <w:rPr>
          <w:spacing w:val="-13"/>
        </w:rPr>
        <w:t xml:space="preserve"> </w:t>
      </w:r>
      <w:r>
        <w:t>Efforts</w:t>
      </w:r>
    </w:p>
    <w:p w:rsidR="0056067F" w:rsidRDefault="003F3153">
      <w:pPr>
        <w:pStyle w:val="BodyText"/>
        <w:spacing w:before="7"/>
        <w:ind w:left="158" w:right="136"/>
      </w:pPr>
      <w:r>
        <w:t>CMS designed the SMART to reduce the data collection to the maximum extent possible. SBEs answer most questions by attestations and upload existing documents specified in the program integrity requirements. While it is intended as a comprehensive compliance review to ensure SBEs are fulfilling their statutory requirements, very little additional data gathering is required to complete the form.</w:t>
      </w:r>
    </w:p>
    <w:p w:rsidR="0056067F" w:rsidRDefault="0056067F">
      <w:pPr>
        <w:pStyle w:val="BodyText"/>
        <w:spacing w:before="10"/>
        <w:rPr>
          <w:sz w:val="21"/>
        </w:rPr>
      </w:pPr>
    </w:p>
    <w:p w:rsidR="0056067F" w:rsidRDefault="003F3153">
      <w:pPr>
        <w:pStyle w:val="Heading1"/>
        <w:numPr>
          <w:ilvl w:val="1"/>
          <w:numId w:val="3"/>
        </w:numPr>
        <w:tabs>
          <w:tab w:val="left" w:pos="519"/>
        </w:tabs>
      </w:pPr>
      <w:bookmarkStart w:id="8" w:name="5._Small_Businesses"/>
      <w:bookmarkEnd w:id="8"/>
      <w:r>
        <w:t>Small</w:t>
      </w:r>
      <w:r>
        <w:rPr>
          <w:spacing w:val="-7"/>
        </w:rPr>
        <w:t xml:space="preserve"> </w:t>
      </w:r>
      <w:r>
        <w:t>Businesses</w:t>
      </w:r>
    </w:p>
    <w:p w:rsidR="0056067F" w:rsidRDefault="003F3153">
      <w:pPr>
        <w:pStyle w:val="BodyText"/>
        <w:ind w:left="158"/>
      </w:pPr>
      <w:r>
        <w:t>This collection does not impact small businesses or other small entities.</w:t>
      </w:r>
    </w:p>
    <w:p w:rsidR="0056067F" w:rsidRDefault="0056067F">
      <w:pPr>
        <w:pStyle w:val="BodyText"/>
        <w:spacing w:before="6"/>
        <w:rPr>
          <w:sz w:val="23"/>
        </w:rPr>
      </w:pPr>
    </w:p>
    <w:p w:rsidR="0056067F" w:rsidRDefault="003F3153">
      <w:pPr>
        <w:pStyle w:val="Heading1"/>
        <w:numPr>
          <w:ilvl w:val="1"/>
          <w:numId w:val="3"/>
        </w:numPr>
        <w:tabs>
          <w:tab w:val="left" w:pos="519"/>
        </w:tabs>
        <w:spacing w:before="1"/>
      </w:pPr>
      <w:bookmarkStart w:id="9" w:name="6._Less_Frequent_Collection"/>
      <w:bookmarkEnd w:id="9"/>
      <w:r>
        <w:t>Less Frequent</w:t>
      </w:r>
      <w:r>
        <w:rPr>
          <w:spacing w:val="-18"/>
        </w:rPr>
        <w:t xml:space="preserve"> </w:t>
      </w:r>
      <w:r>
        <w:t>Collection</w:t>
      </w:r>
    </w:p>
    <w:p w:rsidR="0056067F" w:rsidRDefault="003F3153">
      <w:pPr>
        <w:pStyle w:val="BodyText"/>
        <w:spacing w:before="15" w:line="274" w:lineRule="exact"/>
        <w:ind w:left="158" w:right="120"/>
      </w:pPr>
      <w:r>
        <w:t>CMS cannot conduct this collection less frequently. The ACA requires anannual submission of the report.</w:t>
      </w:r>
    </w:p>
    <w:p w:rsidR="0056067F" w:rsidRDefault="0056067F">
      <w:pPr>
        <w:pStyle w:val="BodyText"/>
        <w:spacing w:before="11"/>
        <w:rPr>
          <w:sz w:val="22"/>
        </w:rPr>
      </w:pPr>
    </w:p>
    <w:p w:rsidR="0056067F" w:rsidRDefault="003F3153">
      <w:pPr>
        <w:pStyle w:val="Heading1"/>
        <w:numPr>
          <w:ilvl w:val="1"/>
          <w:numId w:val="3"/>
        </w:numPr>
        <w:tabs>
          <w:tab w:val="left" w:pos="519"/>
        </w:tabs>
      </w:pPr>
      <w:bookmarkStart w:id="10" w:name="7._Special_Circumstances"/>
      <w:bookmarkEnd w:id="10"/>
      <w:r>
        <w:t>Special</w:t>
      </w:r>
      <w:r>
        <w:rPr>
          <w:spacing w:val="-12"/>
        </w:rPr>
        <w:t xml:space="preserve"> </w:t>
      </w:r>
      <w:r>
        <w:t>Circumstances</w:t>
      </w:r>
    </w:p>
    <w:p w:rsidR="0056067F" w:rsidRDefault="0056067F">
      <w:pPr>
        <w:sectPr w:rsidR="0056067F">
          <w:pgSz w:w="12240" w:h="15840"/>
          <w:pgMar w:top="1280" w:right="1600" w:bottom="280" w:left="1200" w:header="720" w:footer="720" w:gutter="0"/>
          <w:cols w:space="720"/>
        </w:sectPr>
      </w:pPr>
    </w:p>
    <w:p w:rsidR="0056067F" w:rsidRDefault="003F3153">
      <w:pPr>
        <w:pStyle w:val="BodyText"/>
        <w:spacing w:before="71"/>
        <w:ind w:left="118"/>
      </w:pPr>
      <w:r>
        <w:lastRenderedPageBreak/>
        <w:t>No special circumstances apply.</w:t>
      </w:r>
    </w:p>
    <w:p w:rsidR="0056067F" w:rsidRDefault="0056067F">
      <w:pPr>
        <w:pStyle w:val="BodyText"/>
        <w:spacing w:before="6"/>
        <w:rPr>
          <w:sz w:val="20"/>
        </w:rPr>
      </w:pPr>
    </w:p>
    <w:p w:rsidR="0056067F" w:rsidRDefault="003F3153">
      <w:pPr>
        <w:pStyle w:val="Heading1"/>
        <w:numPr>
          <w:ilvl w:val="1"/>
          <w:numId w:val="3"/>
        </w:numPr>
        <w:tabs>
          <w:tab w:val="left" w:pos="479"/>
        </w:tabs>
        <w:spacing w:before="1"/>
        <w:ind w:left="478"/>
      </w:pPr>
      <w:bookmarkStart w:id="11" w:name="8._Federal_Register/Outside_Consultation"/>
      <w:bookmarkEnd w:id="11"/>
      <w:r>
        <w:t>Federal Register/Outside</w:t>
      </w:r>
      <w:r>
        <w:rPr>
          <w:spacing w:val="-19"/>
        </w:rPr>
        <w:t xml:space="preserve"> </w:t>
      </w:r>
      <w:r>
        <w:t>Consultation</w:t>
      </w:r>
    </w:p>
    <w:p w:rsidR="0056067F" w:rsidRDefault="003F3153">
      <w:pPr>
        <w:pStyle w:val="BodyText"/>
        <w:spacing w:before="7"/>
        <w:ind w:left="118" w:right="437"/>
      </w:pPr>
      <w:r>
        <w:t>As required by the Paperwork Reduction Act of 1995, CMS published a 60-day Federal Register Notice (FRN) to provide interested parties the opportunity to comment on the collections of information required by the SMART. No outside consultation was sought. FRN appeared on November 26, 2018, on page 60428- 60429 (2 pages) of the Federal Register. No comments were received in response to the 60-day comment period.</w:t>
      </w:r>
    </w:p>
    <w:p w:rsidR="0056067F" w:rsidRDefault="0056067F">
      <w:pPr>
        <w:pStyle w:val="BodyText"/>
        <w:rPr>
          <w:sz w:val="17"/>
        </w:rPr>
      </w:pPr>
    </w:p>
    <w:p w:rsidR="0056067F" w:rsidRDefault="003F3153">
      <w:pPr>
        <w:pStyle w:val="BodyText"/>
        <w:spacing w:before="92"/>
        <w:ind w:left="118"/>
      </w:pPr>
      <w:r>
        <w:t xml:space="preserve">The 30-day Notice published </w:t>
      </w:r>
      <w:r>
        <w:rPr>
          <w:shd w:val="clear" w:color="auto" w:fill="FFFF00"/>
        </w:rPr>
        <w:t>February XX,2019 (XX FR XXXXX).</w:t>
      </w:r>
    </w:p>
    <w:p w:rsidR="0056067F" w:rsidRDefault="0056067F">
      <w:pPr>
        <w:pStyle w:val="BodyText"/>
        <w:spacing w:before="10"/>
        <w:rPr>
          <w:sz w:val="28"/>
        </w:rPr>
      </w:pPr>
    </w:p>
    <w:p w:rsidR="0056067F" w:rsidRDefault="003F3153">
      <w:pPr>
        <w:pStyle w:val="Heading1"/>
        <w:numPr>
          <w:ilvl w:val="1"/>
          <w:numId w:val="3"/>
        </w:numPr>
        <w:tabs>
          <w:tab w:val="left" w:pos="479"/>
        </w:tabs>
        <w:spacing w:before="1"/>
        <w:ind w:left="478"/>
      </w:pPr>
      <w:bookmarkStart w:id="12" w:name="9._Payments/Gifts_to_Respondents"/>
      <w:bookmarkEnd w:id="12"/>
      <w:r>
        <w:t>Payments/Gifts to</w:t>
      </w:r>
      <w:r>
        <w:rPr>
          <w:spacing w:val="-17"/>
        </w:rPr>
        <w:t xml:space="preserve"> </w:t>
      </w:r>
      <w:r>
        <w:t>Respondents</w:t>
      </w:r>
    </w:p>
    <w:p w:rsidR="0056067F" w:rsidRDefault="003F3153">
      <w:pPr>
        <w:pStyle w:val="BodyText"/>
        <w:ind w:left="118"/>
      </w:pPr>
      <w:r>
        <w:t>There will be no payments or gifts to respondents.</w:t>
      </w:r>
    </w:p>
    <w:p w:rsidR="0056067F" w:rsidRDefault="0056067F">
      <w:pPr>
        <w:pStyle w:val="BodyText"/>
        <w:spacing w:before="8"/>
        <w:rPr>
          <w:sz w:val="22"/>
        </w:rPr>
      </w:pPr>
    </w:p>
    <w:p w:rsidR="0056067F" w:rsidRDefault="003F3153">
      <w:pPr>
        <w:pStyle w:val="Heading1"/>
        <w:numPr>
          <w:ilvl w:val="1"/>
          <w:numId w:val="3"/>
        </w:numPr>
        <w:tabs>
          <w:tab w:val="left" w:pos="472"/>
        </w:tabs>
        <w:ind w:left="471" w:hanging="353"/>
      </w:pPr>
      <w:bookmarkStart w:id="13" w:name="10._Confidentiality"/>
      <w:bookmarkEnd w:id="13"/>
      <w:r>
        <w:t>Confidentiality</w:t>
      </w:r>
    </w:p>
    <w:p w:rsidR="0056067F" w:rsidRDefault="003F3153">
      <w:pPr>
        <w:pStyle w:val="BodyText"/>
        <w:spacing w:before="7"/>
        <w:ind w:left="118" w:right="783"/>
      </w:pPr>
      <w:r>
        <w:t>To the extent of the applicable law and CMS policies, we will maintain respondent privacy with respect to the information collected.</w:t>
      </w:r>
    </w:p>
    <w:p w:rsidR="0056067F" w:rsidRDefault="0056067F">
      <w:pPr>
        <w:pStyle w:val="BodyText"/>
        <w:spacing w:before="6"/>
        <w:rPr>
          <w:sz w:val="23"/>
        </w:rPr>
      </w:pPr>
    </w:p>
    <w:p w:rsidR="0056067F" w:rsidRDefault="003F3153">
      <w:pPr>
        <w:pStyle w:val="Heading1"/>
        <w:numPr>
          <w:ilvl w:val="1"/>
          <w:numId w:val="3"/>
        </w:numPr>
        <w:tabs>
          <w:tab w:val="left" w:pos="479"/>
        </w:tabs>
        <w:ind w:left="478"/>
      </w:pPr>
      <w:bookmarkStart w:id="14" w:name="11._Sensitive_Questions"/>
      <w:bookmarkEnd w:id="14"/>
      <w:r>
        <w:t>Sensitive</w:t>
      </w:r>
      <w:r>
        <w:rPr>
          <w:spacing w:val="-9"/>
        </w:rPr>
        <w:t xml:space="preserve"> </w:t>
      </w:r>
      <w:r>
        <w:t>Questions</w:t>
      </w:r>
    </w:p>
    <w:p w:rsidR="0056067F" w:rsidRDefault="003F3153">
      <w:pPr>
        <w:pStyle w:val="BodyText"/>
        <w:spacing w:before="1"/>
        <w:ind w:left="118" w:right="889"/>
      </w:pPr>
      <w:r>
        <w:t>The data collection does not incorporate any questions that would be considered sensitive in nature.</w:t>
      </w:r>
    </w:p>
    <w:p w:rsidR="0056067F" w:rsidRDefault="0056067F">
      <w:pPr>
        <w:pStyle w:val="BodyText"/>
        <w:spacing w:before="7"/>
        <w:rPr>
          <w:sz w:val="22"/>
        </w:rPr>
      </w:pPr>
    </w:p>
    <w:p w:rsidR="0056067F" w:rsidRDefault="003F3153">
      <w:pPr>
        <w:pStyle w:val="Heading1"/>
        <w:numPr>
          <w:ilvl w:val="1"/>
          <w:numId w:val="3"/>
        </w:numPr>
        <w:tabs>
          <w:tab w:val="left" w:pos="546"/>
        </w:tabs>
        <w:spacing w:before="1"/>
        <w:ind w:left="545" w:hanging="427"/>
      </w:pPr>
      <w:bookmarkStart w:id="15" w:name="12._Burden_Estimates_(Hours_&amp;_Wages)"/>
      <w:bookmarkEnd w:id="15"/>
      <w:r>
        <w:t>Burden Estimates (Hours &amp;</w:t>
      </w:r>
      <w:r>
        <w:rPr>
          <w:spacing w:val="-15"/>
        </w:rPr>
        <w:t xml:space="preserve"> </w:t>
      </w:r>
      <w:r>
        <w:t>Wages)</w:t>
      </w:r>
    </w:p>
    <w:p w:rsidR="0056067F" w:rsidRDefault="003F3153">
      <w:pPr>
        <w:pStyle w:val="BodyText"/>
        <w:ind w:left="118" w:right="744"/>
      </w:pPr>
      <w:r>
        <w:t>There are currently 17 states operating Exchange formats requiring submission of the SMART. Five of these states operate an SBE-FP model and are not subject to the SMART eligibility and enrollment standard. As a result, the 17 total respondents were divided into two groups, 12 SBEs and five SBE-FPs. This accounts for the difference in total estimated burden hours between the two Exchange models.</w:t>
      </w:r>
    </w:p>
    <w:p w:rsidR="0056067F" w:rsidRDefault="0056067F">
      <w:pPr>
        <w:pStyle w:val="BodyText"/>
        <w:spacing w:before="1"/>
      </w:pPr>
    </w:p>
    <w:p w:rsidR="0056067F" w:rsidRDefault="003F3153">
      <w:pPr>
        <w:pStyle w:val="BodyText"/>
        <w:spacing w:before="1"/>
        <w:ind w:left="118" w:right="744"/>
      </w:pPr>
      <w:r>
        <w:t>CMS used the May 2017 Bureau of Labor Statistics’ most wage estimates available on the Bureau of Labor Statistics (BLS) website at the following link: (</w:t>
      </w:r>
      <w:hyperlink r:id="rId6">
        <w:r>
          <w:rPr>
            <w:color w:val="0000FF"/>
            <w:u w:val="single" w:color="0000FF"/>
          </w:rPr>
          <w:t>https://www.bls.gov/oes/current/oes_nat.htm</w:t>
        </w:r>
      </w:hyperlink>
      <w:r>
        <w:t>) as the basis for standard mean hourly wages to calculate the burden costs. This mean hourly wage is adjusted by a factor of 100 percent to include fringe benefits.</w:t>
      </w:r>
    </w:p>
    <w:p w:rsidR="0056067F" w:rsidRDefault="0056067F">
      <w:pPr>
        <w:pStyle w:val="BodyText"/>
      </w:pPr>
    </w:p>
    <w:p w:rsidR="0056067F" w:rsidRDefault="003F3153">
      <w:pPr>
        <w:pStyle w:val="Heading1"/>
        <w:ind w:left="118" w:firstLine="0"/>
      </w:pPr>
      <w:bookmarkStart w:id="16" w:name="Estimated_Annualized_Burden_Table"/>
      <w:bookmarkEnd w:id="16"/>
      <w:r>
        <w:t>Estimated Annualized Burden Table</w:t>
      </w:r>
    </w:p>
    <w:p w:rsidR="0056067F" w:rsidRDefault="0056067F">
      <w:pPr>
        <w:pStyle w:val="BodyText"/>
        <w:spacing w:before="7"/>
        <w:rPr>
          <w:b/>
          <w:sz w:val="22"/>
        </w:rPr>
      </w:pPr>
    </w:p>
    <w:tbl>
      <w:tblPr>
        <w:tblW w:w="0" w:type="auto"/>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49"/>
        <w:gridCol w:w="1620"/>
        <w:gridCol w:w="1711"/>
        <w:gridCol w:w="1529"/>
        <w:gridCol w:w="1512"/>
        <w:gridCol w:w="1459"/>
      </w:tblGrid>
      <w:tr w:rsidR="0056067F">
        <w:trPr>
          <w:trHeight w:hRule="exact" w:val="1327"/>
        </w:trPr>
        <w:tc>
          <w:tcPr>
            <w:tcW w:w="1349" w:type="dxa"/>
          </w:tcPr>
          <w:p w:rsidR="0056067F" w:rsidRDefault="0056067F">
            <w:pPr>
              <w:pStyle w:val="TableParagraph"/>
              <w:rPr>
                <w:b/>
                <w:sz w:val="24"/>
              </w:rPr>
            </w:pPr>
          </w:p>
          <w:p w:rsidR="0056067F" w:rsidRDefault="0056067F">
            <w:pPr>
              <w:pStyle w:val="TableParagraph"/>
              <w:spacing w:before="2"/>
              <w:rPr>
                <w:b/>
                <w:sz w:val="23"/>
              </w:rPr>
            </w:pPr>
          </w:p>
          <w:p w:rsidR="0056067F" w:rsidRDefault="003F3153">
            <w:pPr>
              <w:pStyle w:val="TableParagraph"/>
              <w:ind w:left="275"/>
              <w:rPr>
                <w:b/>
              </w:rPr>
            </w:pPr>
            <w:r>
              <w:rPr>
                <w:b/>
                <w:w w:val="115"/>
              </w:rPr>
              <w:t>Forms</w:t>
            </w:r>
          </w:p>
        </w:tc>
        <w:tc>
          <w:tcPr>
            <w:tcW w:w="1620" w:type="dxa"/>
          </w:tcPr>
          <w:p w:rsidR="0056067F" w:rsidRDefault="0056067F">
            <w:pPr>
              <w:pStyle w:val="TableParagraph"/>
              <w:spacing w:before="4"/>
              <w:rPr>
                <w:b/>
                <w:sz w:val="33"/>
              </w:rPr>
            </w:pPr>
          </w:p>
          <w:p w:rsidR="0056067F" w:rsidRDefault="003F3153">
            <w:pPr>
              <w:pStyle w:val="TableParagraph"/>
              <w:spacing w:line="288" w:lineRule="auto"/>
              <w:ind w:left="35" w:firstLine="278"/>
              <w:rPr>
                <w:b/>
              </w:rPr>
            </w:pPr>
            <w:r>
              <w:rPr>
                <w:b/>
                <w:w w:val="115"/>
              </w:rPr>
              <w:t>Type of Respondent</w:t>
            </w:r>
          </w:p>
        </w:tc>
        <w:tc>
          <w:tcPr>
            <w:tcW w:w="1711" w:type="dxa"/>
          </w:tcPr>
          <w:p w:rsidR="0056067F" w:rsidRDefault="0056067F">
            <w:pPr>
              <w:pStyle w:val="TableParagraph"/>
              <w:spacing w:before="4"/>
              <w:rPr>
                <w:b/>
                <w:sz w:val="33"/>
              </w:rPr>
            </w:pPr>
          </w:p>
          <w:p w:rsidR="0056067F" w:rsidRDefault="003F3153">
            <w:pPr>
              <w:pStyle w:val="TableParagraph"/>
              <w:spacing w:line="288" w:lineRule="auto"/>
              <w:ind w:left="16" w:firstLine="167"/>
              <w:rPr>
                <w:b/>
              </w:rPr>
            </w:pPr>
            <w:r>
              <w:rPr>
                <w:b/>
                <w:w w:val="115"/>
              </w:rPr>
              <w:t>Number of Respondents</w:t>
            </w:r>
          </w:p>
        </w:tc>
        <w:tc>
          <w:tcPr>
            <w:tcW w:w="1529" w:type="dxa"/>
          </w:tcPr>
          <w:p w:rsidR="0056067F" w:rsidRDefault="0056067F">
            <w:pPr>
              <w:pStyle w:val="TableParagraph"/>
              <w:spacing w:before="1"/>
              <w:rPr>
                <w:b/>
              </w:rPr>
            </w:pPr>
          </w:p>
          <w:p w:rsidR="0056067F" w:rsidRDefault="003F3153">
            <w:pPr>
              <w:pStyle w:val="TableParagraph"/>
              <w:spacing w:line="273" w:lineRule="auto"/>
              <w:ind w:left="33" w:right="65" w:firstLine="5"/>
              <w:jc w:val="center"/>
              <w:rPr>
                <w:b/>
              </w:rPr>
            </w:pPr>
            <w:r>
              <w:rPr>
                <w:b/>
                <w:w w:val="115"/>
              </w:rPr>
              <w:t xml:space="preserve">Responses per   </w:t>
            </w:r>
            <w:r>
              <w:rPr>
                <w:b/>
                <w:w w:val="110"/>
              </w:rPr>
              <w:t>Respondent</w:t>
            </w:r>
          </w:p>
        </w:tc>
        <w:tc>
          <w:tcPr>
            <w:tcW w:w="1512" w:type="dxa"/>
          </w:tcPr>
          <w:p w:rsidR="0056067F" w:rsidRDefault="003F3153">
            <w:pPr>
              <w:pStyle w:val="TableParagraph"/>
              <w:spacing w:before="110" w:line="273" w:lineRule="auto"/>
              <w:ind w:left="148" w:right="180" w:firstLine="4"/>
              <w:jc w:val="center"/>
              <w:rPr>
                <w:b/>
              </w:rPr>
            </w:pPr>
            <w:r>
              <w:rPr>
                <w:b/>
                <w:spacing w:val="-5"/>
                <w:w w:val="110"/>
              </w:rPr>
              <w:t xml:space="preserve">Estimated </w:t>
            </w:r>
            <w:r>
              <w:rPr>
                <w:b/>
                <w:spacing w:val="-4"/>
                <w:w w:val="115"/>
              </w:rPr>
              <w:t xml:space="preserve">Burden Hours </w:t>
            </w:r>
            <w:r>
              <w:rPr>
                <w:b/>
                <w:spacing w:val="-5"/>
                <w:w w:val="115"/>
              </w:rPr>
              <w:t xml:space="preserve">per </w:t>
            </w:r>
            <w:r>
              <w:rPr>
                <w:b/>
                <w:spacing w:val="-5"/>
                <w:w w:val="110"/>
              </w:rPr>
              <w:t>Response</w:t>
            </w:r>
          </w:p>
        </w:tc>
        <w:tc>
          <w:tcPr>
            <w:tcW w:w="1459" w:type="dxa"/>
          </w:tcPr>
          <w:p w:rsidR="0056067F" w:rsidRDefault="003F3153">
            <w:pPr>
              <w:pStyle w:val="TableParagraph"/>
              <w:spacing w:before="110" w:line="273" w:lineRule="auto"/>
              <w:ind w:left="124" w:right="156" w:firstLine="5"/>
              <w:jc w:val="center"/>
              <w:rPr>
                <w:b/>
              </w:rPr>
            </w:pPr>
            <w:r>
              <w:rPr>
                <w:b/>
                <w:w w:val="115"/>
              </w:rPr>
              <w:t xml:space="preserve">Total </w:t>
            </w:r>
            <w:r>
              <w:rPr>
                <w:b/>
                <w:w w:val="110"/>
              </w:rPr>
              <w:t xml:space="preserve">Estimated </w:t>
            </w:r>
            <w:r>
              <w:rPr>
                <w:b/>
                <w:w w:val="115"/>
              </w:rPr>
              <w:t>Burden Hours</w:t>
            </w:r>
          </w:p>
        </w:tc>
      </w:tr>
      <w:tr w:rsidR="0056067F">
        <w:trPr>
          <w:trHeight w:hRule="exact" w:val="1238"/>
        </w:trPr>
        <w:tc>
          <w:tcPr>
            <w:tcW w:w="1349" w:type="dxa"/>
          </w:tcPr>
          <w:p w:rsidR="0056067F" w:rsidRDefault="0056067F">
            <w:pPr>
              <w:pStyle w:val="TableParagraph"/>
              <w:rPr>
                <w:b/>
                <w:sz w:val="20"/>
              </w:rPr>
            </w:pPr>
          </w:p>
          <w:p w:rsidR="0056067F" w:rsidRDefault="003F3153">
            <w:pPr>
              <w:pStyle w:val="TableParagraph"/>
              <w:ind w:left="93" w:right="-3"/>
            </w:pPr>
            <w:r>
              <w:rPr>
                <w:w w:val="115"/>
              </w:rPr>
              <w:t>Annual Regulatory Report</w:t>
            </w:r>
          </w:p>
        </w:tc>
        <w:tc>
          <w:tcPr>
            <w:tcW w:w="1620" w:type="dxa"/>
          </w:tcPr>
          <w:p w:rsidR="0056067F" w:rsidRDefault="0056067F">
            <w:pPr>
              <w:pStyle w:val="TableParagraph"/>
              <w:rPr>
                <w:b/>
                <w:sz w:val="24"/>
              </w:rPr>
            </w:pPr>
          </w:p>
          <w:p w:rsidR="0056067F" w:rsidRDefault="0056067F">
            <w:pPr>
              <w:pStyle w:val="TableParagraph"/>
              <w:rPr>
                <w:b/>
                <w:sz w:val="29"/>
              </w:rPr>
            </w:pPr>
          </w:p>
          <w:p w:rsidR="0056067F" w:rsidRDefault="003F3153">
            <w:pPr>
              <w:pStyle w:val="TableParagraph"/>
              <w:ind w:left="95"/>
            </w:pPr>
            <w:r>
              <w:rPr>
                <w:w w:val="115"/>
              </w:rPr>
              <w:t>SBE</w:t>
            </w:r>
          </w:p>
        </w:tc>
        <w:tc>
          <w:tcPr>
            <w:tcW w:w="1711" w:type="dxa"/>
          </w:tcPr>
          <w:p w:rsidR="0056067F" w:rsidRDefault="0056067F">
            <w:pPr>
              <w:pStyle w:val="TableParagraph"/>
              <w:rPr>
                <w:b/>
                <w:sz w:val="24"/>
              </w:rPr>
            </w:pPr>
          </w:p>
          <w:p w:rsidR="0056067F" w:rsidRDefault="003F3153">
            <w:pPr>
              <w:pStyle w:val="TableParagraph"/>
              <w:spacing w:before="206"/>
              <w:ind w:left="751" w:right="624"/>
              <w:jc w:val="center"/>
            </w:pPr>
            <w:r>
              <w:rPr>
                <w:w w:val="115"/>
              </w:rPr>
              <w:t>12</w:t>
            </w:r>
          </w:p>
        </w:tc>
        <w:tc>
          <w:tcPr>
            <w:tcW w:w="1529" w:type="dxa"/>
          </w:tcPr>
          <w:p w:rsidR="0056067F" w:rsidRDefault="0056067F">
            <w:pPr>
              <w:pStyle w:val="TableParagraph"/>
              <w:rPr>
                <w:b/>
                <w:sz w:val="24"/>
              </w:rPr>
            </w:pPr>
          </w:p>
          <w:p w:rsidR="0056067F" w:rsidRDefault="003F3153">
            <w:pPr>
              <w:pStyle w:val="TableParagraph"/>
              <w:spacing w:before="206"/>
              <w:ind w:left="125"/>
              <w:jc w:val="center"/>
            </w:pPr>
            <w:r>
              <w:rPr>
                <w:w w:val="112"/>
              </w:rPr>
              <w:t>1</w:t>
            </w:r>
          </w:p>
        </w:tc>
        <w:tc>
          <w:tcPr>
            <w:tcW w:w="1512" w:type="dxa"/>
          </w:tcPr>
          <w:p w:rsidR="0056067F" w:rsidRDefault="0056067F">
            <w:pPr>
              <w:pStyle w:val="TableParagraph"/>
              <w:rPr>
                <w:b/>
                <w:sz w:val="24"/>
              </w:rPr>
            </w:pPr>
          </w:p>
          <w:p w:rsidR="0056067F" w:rsidRDefault="003F3153">
            <w:pPr>
              <w:pStyle w:val="TableParagraph"/>
              <w:spacing w:before="206"/>
              <w:ind w:left="611"/>
            </w:pPr>
            <w:r>
              <w:rPr>
                <w:w w:val="115"/>
              </w:rPr>
              <w:t>205</w:t>
            </w:r>
          </w:p>
        </w:tc>
        <w:tc>
          <w:tcPr>
            <w:tcW w:w="1459" w:type="dxa"/>
          </w:tcPr>
          <w:p w:rsidR="0056067F" w:rsidRDefault="0056067F">
            <w:pPr>
              <w:pStyle w:val="TableParagraph"/>
              <w:rPr>
                <w:b/>
                <w:sz w:val="24"/>
              </w:rPr>
            </w:pPr>
          </w:p>
          <w:p w:rsidR="0056067F" w:rsidRDefault="003F3153">
            <w:pPr>
              <w:pStyle w:val="TableParagraph"/>
              <w:spacing w:before="206"/>
              <w:ind w:left="542"/>
            </w:pPr>
            <w:r>
              <w:t>2460</w:t>
            </w:r>
          </w:p>
        </w:tc>
      </w:tr>
    </w:tbl>
    <w:p w:rsidR="0056067F" w:rsidRDefault="0056067F">
      <w:pPr>
        <w:sectPr w:rsidR="0056067F">
          <w:pgSz w:w="12240" w:h="15840"/>
          <w:pgMar w:top="1280" w:right="1420" w:bottom="280" w:left="1240" w:header="720" w:footer="720" w:gutter="0"/>
          <w:cols w:space="720"/>
        </w:sectPr>
      </w:pPr>
    </w:p>
    <w:tbl>
      <w:tblPr>
        <w:tblW w:w="0" w:type="auto"/>
        <w:tblInd w:w="3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49"/>
        <w:gridCol w:w="1620"/>
        <w:gridCol w:w="1711"/>
        <w:gridCol w:w="1529"/>
        <w:gridCol w:w="1512"/>
        <w:gridCol w:w="1459"/>
      </w:tblGrid>
      <w:tr w:rsidR="0056067F">
        <w:trPr>
          <w:trHeight w:hRule="exact" w:val="1238"/>
        </w:trPr>
        <w:tc>
          <w:tcPr>
            <w:tcW w:w="1349" w:type="dxa"/>
          </w:tcPr>
          <w:p w:rsidR="0056067F" w:rsidRDefault="0056067F">
            <w:pPr>
              <w:pStyle w:val="TableParagraph"/>
              <w:spacing w:before="5"/>
              <w:rPr>
                <w:b/>
                <w:sz w:val="19"/>
              </w:rPr>
            </w:pPr>
          </w:p>
          <w:p w:rsidR="0056067F" w:rsidRDefault="003F3153">
            <w:pPr>
              <w:pStyle w:val="TableParagraph"/>
              <w:ind w:left="93" w:right="-3"/>
            </w:pPr>
            <w:r>
              <w:rPr>
                <w:w w:val="115"/>
              </w:rPr>
              <w:t>Annual Regulatory Report</w:t>
            </w:r>
          </w:p>
        </w:tc>
        <w:tc>
          <w:tcPr>
            <w:tcW w:w="1620" w:type="dxa"/>
          </w:tcPr>
          <w:p w:rsidR="0056067F" w:rsidRDefault="0056067F">
            <w:pPr>
              <w:pStyle w:val="TableParagraph"/>
              <w:rPr>
                <w:b/>
                <w:sz w:val="24"/>
              </w:rPr>
            </w:pPr>
          </w:p>
          <w:p w:rsidR="0056067F" w:rsidRDefault="003F3153">
            <w:pPr>
              <w:pStyle w:val="TableParagraph"/>
              <w:spacing w:before="202"/>
              <w:ind w:left="95"/>
            </w:pPr>
            <w:r>
              <w:rPr>
                <w:w w:val="115"/>
              </w:rPr>
              <w:t>SBE-FP</w:t>
            </w:r>
          </w:p>
        </w:tc>
        <w:tc>
          <w:tcPr>
            <w:tcW w:w="1711" w:type="dxa"/>
          </w:tcPr>
          <w:p w:rsidR="0056067F" w:rsidRDefault="0056067F">
            <w:pPr>
              <w:pStyle w:val="TableParagraph"/>
              <w:rPr>
                <w:b/>
                <w:sz w:val="24"/>
              </w:rPr>
            </w:pPr>
          </w:p>
          <w:p w:rsidR="0056067F" w:rsidRDefault="003F3153">
            <w:pPr>
              <w:pStyle w:val="TableParagraph"/>
              <w:spacing w:before="202"/>
              <w:ind w:left="133"/>
              <w:jc w:val="center"/>
            </w:pPr>
            <w:r>
              <w:rPr>
                <w:w w:val="115"/>
              </w:rPr>
              <w:t>5</w:t>
            </w:r>
          </w:p>
        </w:tc>
        <w:tc>
          <w:tcPr>
            <w:tcW w:w="1529" w:type="dxa"/>
          </w:tcPr>
          <w:p w:rsidR="0056067F" w:rsidRDefault="0056067F">
            <w:pPr>
              <w:pStyle w:val="TableParagraph"/>
              <w:rPr>
                <w:b/>
                <w:sz w:val="24"/>
              </w:rPr>
            </w:pPr>
          </w:p>
          <w:p w:rsidR="0056067F" w:rsidRDefault="003F3153">
            <w:pPr>
              <w:pStyle w:val="TableParagraph"/>
              <w:spacing w:before="202"/>
              <w:ind w:left="133"/>
              <w:jc w:val="center"/>
            </w:pPr>
            <w:r>
              <w:rPr>
                <w:w w:val="115"/>
              </w:rPr>
              <w:t>1</w:t>
            </w:r>
          </w:p>
        </w:tc>
        <w:tc>
          <w:tcPr>
            <w:tcW w:w="1512" w:type="dxa"/>
          </w:tcPr>
          <w:p w:rsidR="0056067F" w:rsidRDefault="0056067F">
            <w:pPr>
              <w:pStyle w:val="TableParagraph"/>
              <w:rPr>
                <w:b/>
                <w:sz w:val="24"/>
              </w:rPr>
            </w:pPr>
          </w:p>
          <w:p w:rsidR="0056067F" w:rsidRDefault="003F3153">
            <w:pPr>
              <w:pStyle w:val="TableParagraph"/>
              <w:spacing w:before="202"/>
              <w:ind w:left="611"/>
            </w:pPr>
            <w:r>
              <w:rPr>
                <w:w w:val="115"/>
              </w:rPr>
              <w:t>191</w:t>
            </w:r>
          </w:p>
        </w:tc>
        <w:tc>
          <w:tcPr>
            <w:tcW w:w="1459" w:type="dxa"/>
          </w:tcPr>
          <w:p w:rsidR="0056067F" w:rsidRDefault="0056067F">
            <w:pPr>
              <w:pStyle w:val="TableParagraph"/>
              <w:rPr>
                <w:b/>
                <w:sz w:val="24"/>
              </w:rPr>
            </w:pPr>
          </w:p>
          <w:p w:rsidR="0056067F" w:rsidRDefault="003F3153">
            <w:pPr>
              <w:pStyle w:val="TableParagraph"/>
              <w:spacing w:before="202"/>
              <w:ind w:left="444" w:right="315"/>
              <w:jc w:val="center"/>
            </w:pPr>
            <w:r>
              <w:rPr>
                <w:w w:val="115"/>
              </w:rPr>
              <w:t>955</w:t>
            </w:r>
          </w:p>
        </w:tc>
      </w:tr>
      <w:tr w:rsidR="0056067F">
        <w:trPr>
          <w:trHeight w:hRule="exact" w:val="490"/>
        </w:trPr>
        <w:tc>
          <w:tcPr>
            <w:tcW w:w="7721" w:type="dxa"/>
            <w:gridSpan w:val="5"/>
          </w:tcPr>
          <w:p w:rsidR="0056067F" w:rsidRDefault="003F3153">
            <w:pPr>
              <w:pStyle w:val="TableParagraph"/>
              <w:spacing w:before="99"/>
              <w:ind w:left="134"/>
              <w:rPr>
                <w:b/>
              </w:rPr>
            </w:pPr>
            <w:r>
              <w:rPr>
                <w:b/>
                <w:w w:val="115"/>
              </w:rPr>
              <w:t>Total</w:t>
            </w:r>
          </w:p>
        </w:tc>
        <w:tc>
          <w:tcPr>
            <w:tcW w:w="1459" w:type="dxa"/>
          </w:tcPr>
          <w:p w:rsidR="0056067F" w:rsidRDefault="003F3153">
            <w:pPr>
              <w:pStyle w:val="TableParagraph"/>
              <w:spacing w:before="109"/>
              <w:ind w:left="456" w:right="315"/>
              <w:jc w:val="center"/>
              <w:rPr>
                <w:b/>
              </w:rPr>
            </w:pPr>
            <w:r>
              <w:rPr>
                <w:b/>
                <w:w w:val="115"/>
              </w:rPr>
              <w:t>3,415</w:t>
            </w:r>
          </w:p>
        </w:tc>
      </w:tr>
    </w:tbl>
    <w:p w:rsidR="0056067F" w:rsidRDefault="0056067F">
      <w:pPr>
        <w:pStyle w:val="BodyText"/>
        <w:spacing w:before="0"/>
        <w:rPr>
          <w:b/>
          <w:sz w:val="20"/>
        </w:rPr>
      </w:pPr>
    </w:p>
    <w:p w:rsidR="0056067F" w:rsidRDefault="0056067F">
      <w:pPr>
        <w:pStyle w:val="BodyText"/>
        <w:spacing w:before="5"/>
        <w:rPr>
          <w:b/>
          <w:sz w:val="19"/>
        </w:rPr>
      </w:pPr>
    </w:p>
    <w:p w:rsidR="0056067F" w:rsidRDefault="003F3153">
      <w:pPr>
        <w:spacing w:before="92"/>
        <w:ind w:left="158"/>
        <w:rPr>
          <w:b/>
          <w:sz w:val="24"/>
        </w:rPr>
      </w:pPr>
      <w:bookmarkStart w:id="17" w:name="Hours_and_Costs_Tables"/>
      <w:bookmarkEnd w:id="17"/>
      <w:r>
        <w:rPr>
          <w:b/>
          <w:sz w:val="24"/>
        </w:rPr>
        <w:t>Hours and Costs Tables</w:t>
      </w:r>
    </w:p>
    <w:p w:rsidR="0056067F" w:rsidRDefault="003F3153">
      <w:pPr>
        <w:pStyle w:val="BodyText"/>
        <w:ind w:left="158" w:right="1237"/>
      </w:pPr>
      <w:r>
        <w:t>The following sections outline the requirements associated with each SMART section, as well as the hours and costs required to complete each section.</w:t>
      </w:r>
    </w:p>
    <w:p w:rsidR="0056067F" w:rsidRDefault="0056067F">
      <w:pPr>
        <w:pStyle w:val="BodyText"/>
        <w:spacing w:before="5"/>
      </w:pPr>
    </w:p>
    <w:p w:rsidR="0056067F" w:rsidRDefault="003F3153">
      <w:pPr>
        <w:pStyle w:val="Heading1"/>
        <w:numPr>
          <w:ilvl w:val="0"/>
          <w:numId w:val="2"/>
        </w:numPr>
        <w:tabs>
          <w:tab w:val="left" w:pos="669"/>
          <w:tab w:val="left" w:pos="670"/>
        </w:tabs>
        <w:ind w:hanging="494"/>
        <w:jc w:val="left"/>
      </w:pPr>
      <w:r>
        <w:t>Eligibility and</w:t>
      </w:r>
      <w:r>
        <w:rPr>
          <w:spacing w:val="-14"/>
        </w:rPr>
        <w:t xml:space="preserve"> </w:t>
      </w:r>
      <w:r>
        <w:t>Enrollment</w:t>
      </w:r>
    </w:p>
    <w:p w:rsidR="0056067F" w:rsidRDefault="0056067F">
      <w:pPr>
        <w:pStyle w:val="BodyText"/>
        <w:rPr>
          <w:b/>
        </w:rPr>
      </w:pPr>
    </w:p>
    <w:p w:rsidR="0056067F" w:rsidRDefault="003F3153">
      <w:pPr>
        <w:pStyle w:val="BodyText"/>
        <w:spacing w:before="0"/>
        <w:ind w:left="681" w:right="687" w:hanging="12"/>
      </w:pPr>
      <w:r>
        <w:t>All SBEs, with the exception of SBE-FPs, are required to report on eligibility and enrollment activities (including verifications and inconsistencies), as well as maintain current and updated versions of the required policies and procedures related to redeterminations and reconciliation with issuers. The burden associated with this requirement includes a health policy analyst taking 4 hours (at $89.84 an hour) to support the writing, a senior level manager taking 8 hours (at $118.70 an hour) to conduct most of the writing, and a senior level manager taking 2 hours (at $118.70 an hour) to oversee and approve the updates to the policies and procedures. We estimate this requirement will take 14 total hours at a cost of $1,546 for each SBE. Therefore, for the 12 SBEs, we estimate an aggregate burden of 168 hours at a cost of $18,556.32.</w:t>
      </w:r>
    </w:p>
    <w:p w:rsidR="0056067F" w:rsidRDefault="0056067F">
      <w:pPr>
        <w:pStyle w:val="BodyText"/>
        <w:spacing w:before="3" w:after="1"/>
      </w:pPr>
    </w:p>
    <w:tbl>
      <w:tblPr>
        <w:tblW w:w="0" w:type="auto"/>
        <w:tblInd w:w="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2"/>
        <w:gridCol w:w="1709"/>
        <w:gridCol w:w="1620"/>
        <w:gridCol w:w="1260"/>
        <w:gridCol w:w="1440"/>
        <w:gridCol w:w="1351"/>
      </w:tblGrid>
      <w:tr w:rsidR="0056067F">
        <w:trPr>
          <w:trHeight w:hRule="exact" w:val="1423"/>
        </w:trPr>
        <w:tc>
          <w:tcPr>
            <w:tcW w:w="1812" w:type="dxa"/>
          </w:tcPr>
          <w:p w:rsidR="0056067F" w:rsidRDefault="003F3153">
            <w:pPr>
              <w:pStyle w:val="TableParagraph"/>
              <w:spacing w:before="67"/>
              <w:ind w:left="192" w:right="187" w:firstLine="273"/>
              <w:rPr>
                <w:b/>
              </w:rPr>
            </w:pPr>
            <w:r>
              <w:rPr>
                <w:b/>
                <w:w w:val="115"/>
              </w:rPr>
              <w:t xml:space="preserve">Type of </w:t>
            </w:r>
            <w:r>
              <w:rPr>
                <w:b/>
                <w:w w:val="110"/>
              </w:rPr>
              <w:t>Respondent</w:t>
            </w:r>
          </w:p>
        </w:tc>
        <w:tc>
          <w:tcPr>
            <w:tcW w:w="1709" w:type="dxa"/>
          </w:tcPr>
          <w:p w:rsidR="0056067F" w:rsidRDefault="003F3153">
            <w:pPr>
              <w:pStyle w:val="TableParagraph"/>
              <w:spacing w:before="67"/>
              <w:ind w:left="71" w:firstLine="163"/>
              <w:rPr>
                <w:b/>
              </w:rPr>
            </w:pPr>
            <w:r>
              <w:rPr>
                <w:b/>
                <w:w w:val="115"/>
              </w:rPr>
              <w:t xml:space="preserve">Number of </w:t>
            </w:r>
            <w:r>
              <w:rPr>
                <w:b/>
                <w:w w:val="110"/>
              </w:rPr>
              <w:t>Respondents</w:t>
            </w:r>
          </w:p>
        </w:tc>
        <w:tc>
          <w:tcPr>
            <w:tcW w:w="1620" w:type="dxa"/>
          </w:tcPr>
          <w:p w:rsidR="0056067F" w:rsidRDefault="003F3153">
            <w:pPr>
              <w:pStyle w:val="TableParagraph"/>
              <w:spacing w:before="67"/>
              <w:ind w:left="96" w:right="94"/>
              <w:jc w:val="center"/>
              <w:rPr>
                <w:b/>
              </w:rPr>
            </w:pPr>
            <w:r>
              <w:rPr>
                <w:b/>
                <w:w w:val="115"/>
              </w:rPr>
              <w:t xml:space="preserve">Responses per   </w:t>
            </w:r>
            <w:r>
              <w:rPr>
                <w:b/>
                <w:w w:val="110"/>
              </w:rPr>
              <w:t>Respondent</w:t>
            </w:r>
          </w:p>
        </w:tc>
        <w:tc>
          <w:tcPr>
            <w:tcW w:w="1260" w:type="dxa"/>
          </w:tcPr>
          <w:p w:rsidR="0056067F" w:rsidRDefault="003F3153">
            <w:pPr>
              <w:pStyle w:val="TableParagraph"/>
              <w:spacing w:before="67"/>
              <w:ind w:left="194" w:right="136" w:hanging="56"/>
              <w:jc w:val="both"/>
              <w:rPr>
                <w:b/>
              </w:rPr>
            </w:pPr>
            <w:r>
              <w:rPr>
                <w:b/>
                <w:w w:val="110"/>
              </w:rPr>
              <w:t xml:space="preserve">Average </w:t>
            </w:r>
            <w:r>
              <w:rPr>
                <w:b/>
                <w:w w:val="115"/>
              </w:rPr>
              <w:t>Burden Hours</w:t>
            </w:r>
          </w:p>
        </w:tc>
        <w:tc>
          <w:tcPr>
            <w:tcW w:w="1440" w:type="dxa"/>
          </w:tcPr>
          <w:p w:rsidR="0056067F" w:rsidRDefault="003F3153">
            <w:pPr>
              <w:pStyle w:val="TableParagraph"/>
              <w:spacing w:before="67"/>
              <w:ind w:left="80" w:right="81"/>
              <w:jc w:val="center"/>
              <w:rPr>
                <w:b/>
              </w:rPr>
            </w:pPr>
            <w:r>
              <w:rPr>
                <w:b/>
                <w:w w:val="115"/>
              </w:rPr>
              <w:t>Wage per Hour</w:t>
            </w:r>
          </w:p>
          <w:p w:rsidR="0056067F" w:rsidRDefault="003F3153">
            <w:pPr>
              <w:pStyle w:val="TableParagraph"/>
              <w:ind w:left="88" w:right="81"/>
              <w:jc w:val="center"/>
              <w:rPr>
                <w:b/>
              </w:rPr>
            </w:pPr>
            <w:r>
              <w:rPr>
                <w:b/>
                <w:w w:val="115"/>
              </w:rPr>
              <w:t>(incl 100%</w:t>
            </w:r>
            <w:r>
              <w:rPr>
                <w:b/>
                <w:w w:val="114"/>
              </w:rPr>
              <w:t xml:space="preserve"> </w:t>
            </w:r>
            <w:r>
              <w:rPr>
                <w:b/>
                <w:w w:val="115"/>
              </w:rPr>
              <w:t>benefits fringe)</w:t>
            </w:r>
          </w:p>
        </w:tc>
        <w:tc>
          <w:tcPr>
            <w:tcW w:w="1351" w:type="dxa"/>
          </w:tcPr>
          <w:p w:rsidR="0056067F" w:rsidRDefault="003F3153">
            <w:pPr>
              <w:pStyle w:val="TableParagraph"/>
              <w:spacing w:before="67"/>
              <w:ind w:left="328" w:right="230" w:hanging="89"/>
              <w:rPr>
                <w:b/>
              </w:rPr>
            </w:pPr>
            <w:r>
              <w:rPr>
                <w:b/>
                <w:w w:val="110"/>
              </w:rPr>
              <w:t xml:space="preserve">Burden </w:t>
            </w:r>
            <w:r>
              <w:rPr>
                <w:b/>
                <w:w w:val="115"/>
              </w:rPr>
              <w:t>Costs</w:t>
            </w:r>
          </w:p>
        </w:tc>
      </w:tr>
      <w:tr w:rsidR="0056067F">
        <w:trPr>
          <w:trHeight w:hRule="exact" w:val="1246"/>
        </w:trPr>
        <w:tc>
          <w:tcPr>
            <w:tcW w:w="1812" w:type="dxa"/>
          </w:tcPr>
          <w:p w:rsidR="0056067F" w:rsidRDefault="003F3153">
            <w:pPr>
              <w:pStyle w:val="TableParagraph"/>
              <w:spacing w:before="72"/>
              <w:ind w:left="64" w:right="551"/>
            </w:pPr>
            <w:r>
              <w:t>Senior-level Manager</w:t>
            </w:r>
          </w:p>
        </w:tc>
        <w:tc>
          <w:tcPr>
            <w:tcW w:w="1709" w:type="dxa"/>
          </w:tcPr>
          <w:p w:rsidR="0056067F" w:rsidRDefault="0056067F">
            <w:pPr>
              <w:pStyle w:val="TableParagraph"/>
              <w:rPr>
                <w:sz w:val="24"/>
              </w:rPr>
            </w:pPr>
          </w:p>
          <w:p w:rsidR="0056067F" w:rsidRDefault="0056067F">
            <w:pPr>
              <w:pStyle w:val="TableParagraph"/>
              <w:spacing w:before="5"/>
              <w:rPr>
                <w:sz w:val="21"/>
              </w:rPr>
            </w:pPr>
          </w:p>
          <w:p w:rsidR="0056067F" w:rsidRDefault="003F3153">
            <w:pPr>
              <w:pStyle w:val="TableParagraph"/>
              <w:ind w:left="703" w:right="701"/>
              <w:jc w:val="center"/>
            </w:pPr>
            <w:r>
              <w:t>12</w:t>
            </w:r>
          </w:p>
        </w:tc>
        <w:tc>
          <w:tcPr>
            <w:tcW w:w="1620" w:type="dxa"/>
          </w:tcPr>
          <w:p w:rsidR="0056067F" w:rsidRDefault="0056067F">
            <w:pPr>
              <w:pStyle w:val="TableParagraph"/>
              <w:rPr>
                <w:sz w:val="24"/>
              </w:rPr>
            </w:pPr>
          </w:p>
          <w:p w:rsidR="0056067F" w:rsidRDefault="0056067F">
            <w:pPr>
              <w:pStyle w:val="TableParagraph"/>
              <w:spacing w:before="5"/>
              <w:rPr>
                <w:sz w:val="21"/>
              </w:rPr>
            </w:pPr>
          </w:p>
          <w:p w:rsidR="0056067F" w:rsidRDefault="003F3153">
            <w:pPr>
              <w:pStyle w:val="TableParagraph"/>
              <w:jc w:val="center"/>
            </w:pPr>
            <w:r>
              <w:t>1</w:t>
            </w:r>
          </w:p>
        </w:tc>
        <w:tc>
          <w:tcPr>
            <w:tcW w:w="1260" w:type="dxa"/>
          </w:tcPr>
          <w:p w:rsidR="0056067F" w:rsidRDefault="0056067F">
            <w:pPr>
              <w:pStyle w:val="TableParagraph"/>
              <w:rPr>
                <w:sz w:val="24"/>
              </w:rPr>
            </w:pPr>
          </w:p>
          <w:p w:rsidR="0056067F" w:rsidRDefault="0056067F">
            <w:pPr>
              <w:pStyle w:val="TableParagraph"/>
              <w:spacing w:before="5"/>
              <w:rPr>
                <w:sz w:val="21"/>
              </w:rPr>
            </w:pPr>
          </w:p>
          <w:p w:rsidR="0056067F" w:rsidRDefault="003F3153">
            <w:pPr>
              <w:pStyle w:val="TableParagraph"/>
              <w:ind w:right="559"/>
              <w:jc w:val="right"/>
            </w:pPr>
            <w:r>
              <w:t>2</w:t>
            </w:r>
          </w:p>
        </w:tc>
        <w:tc>
          <w:tcPr>
            <w:tcW w:w="1440" w:type="dxa"/>
          </w:tcPr>
          <w:p w:rsidR="0056067F" w:rsidRDefault="0056067F">
            <w:pPr>
              <w:pStyle w:val="TableParagraph"/>
              <w:rPr>
                <w:sz w:val="24"/>
              </w:rPr>
            </w:pPr>
          </w:p>
          <w:p w:rsidR="0056067F" w:rsidRDefault="0056067F">
            <w:pPr>
              <w:pStyle w:val="TableParagraph"/>
              <w:spacing w:before="5"/>
              <w:rPr>
                <w:sz w:val="21"/>
              </w:rPr>
            </w:pPr>
          </w:p>
          <w:p w:rsidR="0056067F" w:rsidRDefault="003F3153">
            <w:pPr>
              <w:pStyle w:val="TableParagraph"/>
              <w:ind w:left="78" w:right="81"/>
              <w:jc w:val="center"/>
            </w:pPr>
            <w:r>
              <w:t>$118.70</w:t>
            </w:r>
          </w:p>
        </w:tc>
        <w:tc>
          <w:tcPr>
            <w:tcW w:w="1351" w:type="dxa"/>
          </w:tcPr>
          <w:p w:rsidR="0056067F" w:rsidRDefault="0056067F">
            <w:pPr>
              <w:pStyle w:val="TableParagraph"/>
              <w:rPr>
                <w:sz w:val="24"/>
              </w:rPr>
            </w:pPr>
          </w:p>
          <w:p w:rsidR="0056067F" w:rsidRDefault="0056067F">
            <w:pPr>
              <w:pStyle w:val="TableParagraph"/>
              <w:spacing w:before="5"/>
              <w:rPr>
                <w:sz w:val="21"/>
              </w:rPr>
            </w:pPr>
          </w:p>
          <w:p w:rsidR="0056067F" w:rsidRDefault="003F3153">
            <w:pPr>
              <w:pStyle w:val="TableParagraph"/>
              <w:ind w:left="172"/>
            </w:pPr>
            <w:r>
              <w:t>$2,848.80</w:t>
            </w:r>
          </w:p>
        </w:tc>
      </w:tr>
      <w:tr w:rsidR="0056067F">
        <w:trPr>
          <w:trHeight w:hRule="exact" w:val="1274"/>
        </w:trPr>
        <w:tc>
          <w:tcPr>
            <w:tcW w:w="1812" w:type="dxa"/>
          </w:tcPr>
          <w:p w:rsidR="0056067F" w:rsidRDefault="003F3153">
            <w:pPr>
              <w:pStyle w:val="TableParagraph"/>
              <w:spacing w:before="69"/>
              <w:ind w:left="64" w:right="551"/>
            </w:pPr>
            <w:r>
              <w:t>Senior-level Manager</w:t>
            </w:r>
          </w:p>
        </w:tc>
        <w:tc>
          <w:tcPr>
            <w:tcW w:w="1709"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spacing w:before="1"/>
              <w:ind w:left="701" w:right="703"/>
              <w:jc w:val="center"/>
            </w:pPr>
            <w:r>
              <w:t>12</w:t>
            </w:r>
          </w:p>
        </w:tc>
        <w:tc>
          <w:tcPr>
            <w:tcW w:w="162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spacing w:before="1"/>
              <w:jc w:val="center"/>
            </w:pPr>
            <w:r>
              <w:t>1</w:t>
            </w:r>
          </w:p>
        </w:tc>
        <w:tc>
          <w:tcPr>
            <w:tcW w:w="126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spacing w:before="1"/>
              <w:ind w:right="559"/>
              <w:jc w:val="right"/>
            </w:pPr>
            <w:r>
              <w:t>8</w:t>
            </w:r>
          </w:p>
        </w:tc>
        <w:tc>
          <w:tcPr>
            <w:tcW w:w="144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spacing w:before="1"/>
              <w:ind w:left="78" w:right="81"/>
              <w:jc w:val="center"/>
            </w:pPr>
            <w:r>
              <w:t>$118.70</w:t>
            </w:r>
          </w:p>
        </w:tc>
        <w:tc>
          <w:tcPr>
            <w:tcW w:w="1351"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spacing w:before="1"/>
              <w:ind w:left="112"/>
            </w:pPr>
            <w:r>
              <w:t>$11,395.20</w:t>
            </w:r>
          </w:p>
        </w:tc>
      </w:tr>
      <w:tr w:rsidR="0056067F">
        <w:trPr>
          <w:trHeight w:hRule="exact" w:val="905"/>
        </w:trPr>
        <w:tc>
          <w:tcPr>
            <w:tcW w:w="1812" w:type="dxa"/>
          </w:tcPr>
          <w:p w:rsidR="0056067F" w:rsidRDefault="003F3153">
            <w:pPr>
              <w:pStyle w:val="TableParagraph"/>
              <w:spacing w:before="69"/>
              <w:ind w:left="64" w:right="429"/>
            </w:pPr>
            <w:r>
              <w:t>Health Policy Analyst</w:t>
            </w:r>
          </w:p>
        </w:tc>
        <w:tc>
          <w:tcPr>
            <w:tcW w:w="1709" w:type="dxa"/>
          </w:tcPr>
          <w:p w:rsidR="0056067F" w:rsidRDefault="0056067F">
            <w:pPr>
              <w:pStyle w:val="TableParagraph"/>
              <w:spacing w:before="7"/>
              <w:rPr>
                <w:sz w:val="30"/>
              </w:rPr>
            </w:pPr>
          </w:p>
          <w:p w:rsidR="0056067F" w:rsidRDefault="003F3153">
            <w:pPr>
              <w:pStyle w:val="TableParagraph"/>
              <w:spacing w:before="1"/>
              <w:ind w:left="701" w:right="703"/>
              <w:jc w:val="center"/>
            </w:pPr>
            <w:r>
              <w:t>12</w:t>
            </w:r>
          </w:p>
        </w:tc>
        <w:tc>
          <w:tcPr>
            <w:tcW w:w="1620" w:type="dxa"/>
          </w:tcPr>
          <w:p w:rsidR="0056067F" w:rsidRDefault="0056067F">
            <w:pPr>
              <w:pStyle w:val="TableParagraph"/>
              <w:spacing w:before="11"/>
              <w:rPr>
                <w:sz w:val="27"/>
              </w:rPr>
            </w:pPr>
          </w:p>
          <w:p w:rsidR="0056067F" w:rsidRDefault="003F3153">
            <w:pPr>
              <w:pStyle w:val="TableParagraph"/>
              <w:jc w:val="center"/>
            </w:pPr>
            <w:r>
              <w:t>1</w:t>
            </w:r>
          </w:p>
        </w:tc>
        <w:tc>
          <w:tcPr>
            <w:tcW w:w="1260" w:type="dxa"/>
          </w:tcPr>
          <w:p w:rsidR="0056067F" w:rsidRDefault="0056067F">
            <w:pPr>
              <w:pStyle w:val="TableParagraph"/>
              <w:spacing w:before="11"/>
              <w:rPr>
                <w:sz w:val="27"/>
              </w:rPr>
            </w:pPr>
          </w:p>
          <w:p w:rsidR="0056067F" w:rsidRDefault="003F3153">
            <w:pPr>
              <w:pStyle w:val="TableParagraph"/>
              <w:ind w:right="556"/>
              <w:jc w:val="right"/>
            </w:pPr>
            <w:r>
              <w:t>4</w:t>
            </w:r>
          </w:p>
        </w:tc>
        <w:tc>
          <w:tcPr>
            <w:tcW w:w="1440" w:type="dxa"/>
          </w:tcPr>
          <w:p w:rsidR="0056067F" w:rsidRDefault="0056067F">
            <w:pPr>
              <w:pStyle w:val="TableParagraph"/>
              <w:spacing w:before="7"/>
              <w:rPr>
                <w:sz w:val="30"/>
              </w:rPr>
            </w:pPr>
          </w:p>
          <w:p w:rsidR="0056067F" w:rsidRDefault="003F3153">
            <w:pPr>
              <w:pStyle w:val="TableParagraph"/>
              <w:spacing w:before="1"/>
              <w:ind w:left="78" w:right="81"/>
              <w:jc w:val="center"/>
            </w:pPr>
            <w:r>
              <w:t>$89.84</w:t>
            </w:r>
          </w:p>
        </w:tc>
        <w:tc>
          <w:tcPr>
            <w:tcW w:w="1351" w:type="dxa"/>
          </w:tcPr>
          <w:p w:rsidR="0056067F" w:rsidRDefault="0056067F">
            <w:pPr>
              <w:pStyle w:val="TableParagraph"/>
              <w:spacing w:before="7"/>
              <w:rPr>
                <w:sz w:val="30"/>
              </w:rPr>
            </w:pPr>
          </w:p>
          <w:p w:rsidR="0056067F" w:rsidRDefault="003F3153">
            <w:pPr>
              <w:pStyle w:val="TableParagraph"/>
              <w:spacing w:before="1"/>
              <w:ind w:left="172"/>
            </w:pPr>
            <w:r>
              <w:t>$4,312.32</w:t>
            </w:r>
          </w:p>
        </w:tc>
      </w:tr>
      <w:tr w:rsidR="0056067F">
        <w:trPr>
          <w:trHeight w:hRule="exact" w:val="451"/>
        </w:trPr>
        <w:tc>
          <w:tcPr>
            <w:tcW w:w="1812" w:type="dxa"/>
          </w:tcPr>
          <w:p w:rsidR="0056067F" w:rsidRDefault="003F3153">
            <w:pPr>
              <w:pStyle w:val="TableParagraph"/>
              <w:spacing w:before="67"/>
              <w:ind w:left="64"/>
              <w:rPr>
                <w:b/>
              </w:rPr>
            </w:pPr>
            <w:r>
              <w:rPr>
                <w:b/>
              </w:rPr>
              <w:t>Total</w:t>
            </w:r>
          </w:p>
        </w:tc>
        <w:tc>
          <w:tcPr>
            <w:tcW w:w="1709" w:type="dxa"/>
          </w:tcPr>
          <w:p w:rsidR="0056067F" w:rsidRDefault="0056067F"/>
        </w:tc>
        <w:tc>
          <w:tcPr>
            <w:tcW w:w="1620" w:type="dxa"/>
          </w:tcPr>
          <w:p w:rsidR="0056067F" w:rsidRDefault="0056067F"/>
        </w:tc>
        <w:tc>
          <w:tcPr>
            <w:tcW w:w="1260" w:type="dxa"/>
          </w:tcPr>
          <w:p w:rsidR="0056067F" w:rsidRDefault="003F3153">
            <w:pPr>
              <w:pStyle w:val="TableParagraph"/>
              <w:spacing w:before="67"/>
              <w:ind w:right="506"/>
              <w:jc w:val="right"/>
              <w:rPr>
                <w:b/>
              </w:rPr>
            </w:pPr>
            <w:r>
              <w:rPr>
                <w:b/>
              </w:rPr>
              <w:t>14</w:t>
            </w:r>
          </w:p>
        </w:tc>
        <w:tc>
          <w:tcPr>
            <w:tcW w:w="1440" w:type="dxa"/>
          </w:tcPr>
          <w:p w:rsidR="0056067F" w:rsidRDefault="0056067F"/>
        </w:tc>
        <w:tc>
          <w:tcPr>
            <w:tcW w:w="1351" w:type="dxa"/>
          </w:tcPr>
          <w:p w:rsidR="0056067F" w:rsidRDefault="003F3153">
            <w:pPr>
              <w:pStyle w:val="TableParagraph"/>
              <w:spacing w:before="67"/>
              <w:ind w:left="112"/>
              <w:rPr>
                <w:b/>
              </w:rPr>
            </w:pPr>
            <w:r>
              <w:rPr>
                <w:b/>
              </w:rPr>
              <w:t>$18,556.32</w:t>
            </w:r>
          </w:p>
        </w:tc>
      </w:tr>
    </w:tbl>
    <w:p w:rsidR="0056067F" w:rsidRDefault="0056067F">
      <w:pPr>
        <w:pStyle w:val="BodyText"/>
      </w:pPr>
    </w:p>
    <w:p w:rsidR="0056067F" w:rsidRDefault="003F3153">
      <w:pPr>
        <w:pStyle w:val="Heading1"/>
        <w:numPr>
          <w:ilvl w:val="0"/>
          <w:numId w:val="2"/>
        </w:numPr>
        <w:tabs>
          <w:tab w:val="left" w:pos="669"/>
          <w:tab w:val="left" w:pos="670"/>
        </w:tabs>
        <w:spacing w:before="1"/>
        <w:ind w:hanging="561"/>
        <w:jc w:val="left"/>
      </w:pPr>
      <w:r>
        <w:t>Financial and Programmatic</w:t>
      </w:r>
      <w:r>
        <w:rPr>
          <w:spacing w:val="-20"/>
        </w:rPr>
        <w:t xml:space="preserve"> </w:t>
      </w:r>
      <w:r>
        <w:t>Audit</w:t>
      </w:r>
    </w:p>
    <w:p w:rsidR="0056067F" w:rsidRDefault="0056067F">
      <w:pPr>
        <w:sectPr w:rsidR="0056067F">
          <w:pgSz w:w="12240" w:h="15840"/>
          <w:pgMar w:top="1360" w:right="1420" w:bottom="280" w:left="1200" w:header="720" w:footer="720" w:gutter="0"/>
          <w:cols w:space="720"/>
        </w:sectPr>
      </w:pPr>
    </w:p>
    <w:p w:rsidR="0056067F" w:rsidRDefault="003F3153">
      <w:pPr>
        <w:pStyle w:val="BodyText"/>
        <w:spacing w:before="71"/>
        <w:ind w:left="138" w:right="689"/>
      </w:pPr>
      <w:r>
        <w:t xml:space="preserve">All SBEs, including SBE-FPs, are required to keep accurate accounting of Exchange receipts and expenditures and prepare and submit a financial statement according to </w:t>
      </w:r>
      <w:r>
        <w:rPr>
          <w:sz w:val="23"/>
        </w:rPr>
        <w:t xml:space="preserve">generally accepted accounting principles (GAAP), </w:t>
      </w:r>
      <w:r>
        <w:t>as well as conduct and submit an independent external financial and programmatic audit.</w:t>
      </w:r>
    </w:p>
    <w:p w:rsidR="0056067F" w:rsidRDefault="0056067F">
      <w:pPr>
        <w:pStyle w:val="BodyText"/>
        <w:spacing w:before="4"/>
        <w:rPr>
          <w:sz w:val="20"/>
        </w:rPr>
      </w:pPr>
    </w:p>
    <w:p w:rsidR="0056067F" w:rsidRDefault="003F3153">
      <w:pPr>
        <w:pStyle w:val="ListParagraph"/>
        <w:numPr>
          <w:ilvl w:val="0"/>
          <w:numId w:val="1"/>
        </w:numPr>
        <w:tabs>
          <w:tab w:val="left" w:pos="558"/>
          <w:tab w:val="left" w:pos="559"/>
        </w:tabs>
        <w:rPr>
          <w:sz w:val="24"/>
        </w:rPr>
      </w:pPr>
      <w:r>
        <w:rPr>
          <w:sz w:val="24"/>
          <w:u w:val="single"/>
        </w:rPr>
        <w:t>Accurate accounting of Exchange receipts and</w:t>
      </w:r>
      <w:r>
        <w:rPr>
          <w:spacing w:val="-27"/>
          <w:sz w:val="24"/>
          <w:u w:val="single"/>
        </w:rPr>
        <w:t xml:space="preserve"> </w:t>
      </w:r>
      <w:r>
        <w:rPr>
          <w:sz w:val="24"/>
          <w:u w:val="single"/>
        </w:rPr>
        <w:t>expenditures</w:t>
      </w:r>
    </w:p>
    <w:p w:rsidR="0056067F" w:rsidRDefault="0056067F">
      <w:pPr>
        <w:pStyle w:val="BodyText"/>
        <w:spacing w:before="0"/>
        <w:rPr>
          <w:sz w:val="16"/>
        </w:rPr>
      </w:pPr>
    </w:p>
    <w:p w:rsidR="0056067F" w:rsidRDefault="003F3153">
      <w:pPr>
        <w:spacing w:before="93"/>
        <w:ind w:left="558" w:right="818"/>
        <w:rPr>
          <w:sz w:val="23"/>
        </w:rPr>
      </w:pPr>
      <w:r>
        <w:rPr>
          <w:sz w:val="23"/>
        </w:rPr>
        <w:t>Section 155.1200(a)(1) through (3) requires SBEs to follow GAAP and to monitor and report to CMS all Exchange-related activities. This includes keeping an accurate accounting of all Exchange receipts and expenditures. SBEs electronically maintain the information as a result of normal business practices; therefore, the burden does not include the time and effort needed to maintain the Exchange-related activity information. The burden associated with this requirement includes a computer programmer taking 8 hours (at $84.16 an hour) to modify the system to maintain and monitor the information required under</w:t>
      </w:r>
    </w:p>
    <w:p w:rsidR="0056067F" w:rsidRDefault="003F3153">
      <w:pPr>
        <w:ind w:left="558" w:right="712"/>
        <w:rPr>
          <w:sz w:val="23"/>
        </w:rPr>
      </w:pPr>
      <w:r>
        <w:rPr>
          <w:sz w:val="23"/>
        </w:rPr>
        <w:t>§155.1200(a)(1) through (3), an analyst taking 8 hours (at $95.60 an hour) to pull the necessary data under §155.1200(a)(1) through (3) in the SBE accounting system, and a senior manager taking 2 hours (at $118.70 an hour) to oversee the development and transmission of the reported data. We estimate this requirement will take 18 total hours at a cost of $1,675.48 for each SBE. Therefore, for the 17 SBEs, we estimate an aggregate burden of 306 hours at a cost of $28,483.16.</w:t>
      </w:r>
    </w:p>
    <w:p w:rsidR="0056067F" w:rsidRDefault="0056067F">
      <w:pPr>
        <w:pStyle w:val="BodyText"/>
        <w:spacing w:before="4"/>
        <w:rPr>
          <w:sz w:val="23"/>
        </w:rPr>
      </w:pPr>
    </w:p>
    <w:tbl>
      <w:tblPr>
        <w:tblW w:w="0" w:type="auto"/>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2"/>
        <w:gridCol w:w="1709"/>
        <w:gridCol w:w="1620"/>
        <w:gridCol w:w="1260"/>
        <w:gridCol w:w="1440"/>
        <w:gridCol w:w="1351"/>
      </w:tblGrid>
      <w:tr w:rsidR="0056067F">
        <w:trPr>
          <w:trHeight w:hRule="exact" w:val="1433"/>
        </w:trPr>
        <w:tc>
          <w:tcPr>
            <w:tcW w:w="1812" w:type="dxa"/>
          </w:tcPr>
          <w:p w:rsidR="0056067F" w:rsidRDefault="003F3153">
            <w:pPr>
              <w:pStyle w:val="TableParagraph"/>
              <w:spacing w:before="69"/>
              <w:ind w:left="192" w:right="187" w:firstLine="273"/>
              <w:rPr>
                <w:b/>
              </w:rPr>
            </w:pPr>
            <w:r>
              <w:rPr>
                <w:b/>
                <w:w w:val="115"/>
              </w:rPr>
              <w:t xml:space="preserve">Type of </w:t>
            </w:r>
            <w:r>
              <w:rPr>
                <w:b/>
                <w:w w:val="110"/>
              </w:rPr>
              <w:t>Respondent</w:t>
            </w:r>
          </w:p>
        </w:tc>
        <w:tc>
          <w:tcPr>
            <w:tcW w:w="1709" w:type="dxa"/>
          </w:tcPr>
          <w:p w:rsidR="0056067F" w:rsidRDefault="003F3153">
            <w:pPr>
              <w:pStyle w:val="TableParagraph"/>
              <w:spacing w:before="69"/>
              <w:ind w:left="71" w:firstLine="163"/>
              <w:rPr>
                <w:b/>
              </w:rPr>
            </w:pPr>
            <w:r>
              <w:rPr>
                <w:b/>
                <w:w w:val="115"/>
              </w:rPr>
              <w:t xml:space="preserve">Number of </w:t>
            </w:r>
            <w:r>
              <w:rPr>
                <w:b/>
                <w:w w:val="110"/>
              </w:rPr>
              <w:t>Respondents</w:t>
            </w:r>
          </w:p>
        </w:tc>
        <w:tc>
          <w:tcPr>
            <w:tcW w:w="1620" w:type="dxa"/>
          </w:tcPr>
          <w:p w:rsidR="0056067F" w:rsidRDefault="003F3153">
            <w:pPr>
              <w:pStyle w:val="TableParagraph"/>
              <w:spacing w:before="69"/>
              <w:ind w:left="96" w:right="94"/>
              <w:jc w:val="center"/>
              <w:rPr>
                <w:b/>
              </w:rPr>
            </w:pPr>
            <w:r>
              <w:rPr>
                <w:b/>
                <w:w w:val="115"/>
              </w:rPr>
              <w:t xml:space="preserve">Responses per   </w:t>
            </w:r>
            <w:r>
              <w:rPr>
                <w:b/>
                <w:w w:val="110"/>
              </w:rPr>
              <w:t>Respondent</w:t>
            </w:r>
          </w:p>
        </w:tc>
        <w:tc>
          <w:tcPr>
            <w:tcW w:w="1260" w:type="dxa"/>
          </w:tcPr>
          <w:p w:rsidR="0056067F" w:rsidRDefault="003F3153">
            <w:pPr>
              <w:pStyle w:val="TableParagraph"/>
              <w:spacing w:before="69"/>
              <w:ind w:left="194" w:right="136" w:hanging="56"/>
              <w:jc w:val="both"/>
              <w:rPr>
                <w:b/>
              </w:rPr>
            </w:pPr>
            <w:r>
              <w:rPr>
                <w:b/>
                <w:w w:val="110"/>
              </w:rPr>
              <w:t xml:space="preserve">Average </w:t>
            </w:r>
            <w:r>
              <w:rPr>
                <w:b/>
                <w:w w:val="115"/>
              </w:rPr>
              <w:t>Burden Hours</w:t>
            </w:r>
          </w:p>
        </w:tc>
        <w:tc>
          <w:tcPr>
            <w:tcW w:w="1440" w:type="dxa"/>
          </w:tcPr>
          <w:p w:rsidR="0056067F" w:rsidRDefault="003F3153">
            <w:pPr>
              <w:pStyle w:val="TableParagraph"/>
              <w:spacing w:before="69"/>
              <w:ind w:left="80" w:right="81"/>
              <w:jc w:val="center"/>
              <w:rPr>
                <w:b/>
              </w:rPr>
            </w:pPr>
            <w:r>
              <w:rPr>
                <w:b/>
                <w:w w:val="115"/>
              </w:rPr>
              <w:t>Wage per Hour</w:t>
            </w:r>
          </w:p>
          <w:p w:rsidR="0056067F" w:rsidRDefault="003F3153">
            <w:pPr>
              <w:pStyle w:val="TableParagraph"/>
              <w:ind w:left="88" w:right="81"/>
              <w:jc w:val="center"/>
              <w:rPr>
                <w:b/>
              </w:rPr>
            </w:pPr>
            <w:r>
              <w:rPr>
                <w:b/>
                <w:w w:val="115"/>
              </w:rPr>
              <w:t>(incl 100%</w:t>
            </w:r>
            <w:r>
              <w:rPr>
                <w:b/>
                <w:w w:val="114"/>
              </w:rPr>
              <w:t xml:space="preserve"> </w:t>
            </w:r>
            <w:r>
              <w:rPr>
                <w:b/>
                <w:w w:val="115"/>
              </w:rPr>
              <w:t>benefits fringe)</w:t>
            </w:r>
          </w:p>
        </w:tc>
        <w:tc>
          <w:tcPr>
            <w:tcW w:w="1351" w:type="dxa"/>
          </w:tcPr>
          <w:p w:rsidR="0056067F" w:rsidRDefault="003F3153">
            <w:pPr>
              <w:pStyle w:val="TableParagraph"/>
              <w:spacing w:before="69"/>
              <w:ind w:left="328" w:right="230" w:hanging="89"/>
              <w:rPr>
                <w:b/>
              </w:rPr>
            </w:pPr>
            <w:r>
              <w:rPr>
                <w:b/>
                <w:w w:val="110"/>
              </w:rPr>
              <w:t xml:space="preserve">Burden </w:t>
            </w:r>
            <w:r>
              <w:rPr>
                <w:b/>
                <w:w w:val="115"/>
              </w:rPr>
              <w:t>Costs</w:t>
            </w:r>
          </w:p>
        </w:tc>
      </w:tr>
      <w:tr w:rsidR="0056067F">
        <w:trPr>
          <w:trHeight w:hRule="exact" w:val="1246"/>
        </w:trPr>
        <w:tc>
          <w:tcPr>
            <w:tcW w:w="1812" w:type="dxa"/>
          </w:tcPr>
          <w:p w:rsidR="0056067F" w:rsidRDefault="0056067F">
            <w:pPr>
              <w:pStyle w:val="TableParagraph"/>
              <w:spacing w:before="2"/>
              <w:rPr>
                <w:sz w:val="35"/>
              </w:rPr>
            </w:pPr>
          </w:p>
          <w:p w:rsidR="0056067F" w:rsidRDefault="003F3153">
            <w:pPr>
              <w:pStyle w:val="TableParagraph"/>
              <w:spacing w:line="250" w:lineRule="exact"/>
              <w:ind w:left="64" w:right="187"/>
            </w:pPr>
            <w:r>
              <w:t>Computer Programmer</w:t>
            </w:r>
          </w:p>
        </w:tc>
        <w:tc>
          <w:tcPr>
            <w:tcW w:w="1709" w:type="dxa"/>
          </w:tcPr>
          <w:p w:rsidR="0056067F" w:rsidRDefault="0056067F">
            <w:pPr>
              <w:pStyle w:val="TableParagraph"/>
              <w:rPr>
                <w:sz w:val="24"/>
              </w:rPr>
            </w:pPr>
          </w:p>
          <w:p w:rsidR="0056067F" w:rsidRDefault="0056067F">
            <w:pPr>
              <w:pStyle w:val="TableParagraph"/>
              <w:spacing w:before="5"/>
              <w:rPr>
                <w:sz w:val="21"/>
              </w:rPr>
            </w:pPr>
          </w:p>
          <w:p w:rsidR="0056067F" w:rsidRDefault="003F3153">
            <w:pPr>
              <w:pStyle w:val="TableParagraph"/>
              <w:ind w:left="701" w:right="703"/>
              <w:jc w:val="center"/>
            </w:pPr>
            <w:r>
              <w:t>17</w:t>
            </w:r>
          </w:p>
        </w:tc>
        <w:tc>
          <w:tcPr>
            <w:tcW w:w="1620" w:type="dxa"/>
          </w:tcPr>
          <w:p w:rsidR="0056067F" w:rsidRDefault="0056067F">
            <w:pPr>
              <w:pStyle w:val="TableParagraph"/>
              <w:rPr>
                <w:sz w:val="24"/>
              </w:rPr>
            </w:pPr>
          </w:p>
          <w:p w:rsidR="0056067F" w:rsidRDefault="0056067F">
            <w:pPr>
              <w:pStyle w:val="TableParagraph"/>
              <w:spacing w:before="5"/>
              <w:rPr>
                <w:sz w:val="21"/>
              </w:rPr>
            </w:pPr>
          </w:p>
          <w:p w:rsidR="0056067F" w:rsidRDefault="003F3153">
            <w:pPr>
              <w:pStyle w:val="TableParagraph"/>
              <w:ind w:left="4"/>
              <w:jc w:val="center"/>
            </w:pPr>
            <w:r>
              <w:t>1</w:t>
            </w:r>
          </w:p>
        </w:tc>
        <w:tc>
          <w:tcPr>
            <w:tcW w:w="1260" w:type="dxa"/>
          </w:tcPr>
          <w:p w:rsidR="0056067F" w:rsidRDefault="0056067F">
            <w:pPr>
              <w:pStyle w:val="TableParagraph"/>
              <w:rPr>
                <w:sz w:val="24"/>
              </w:rPr>
            </w:pPr>
          </w:p>
          <w:p w:rsidR="0056067F" w:rsidRDefault="0056067F">
            <w:pPr>
              <w:pStyle w:val="TableParagraph"/>
              <w:spacing w:before="5"/>
              <w:rPr>
                <w:sz w:val="21"/>
              </w:rPr>
            </w:pPr>
          </w:p>
          <w:p w:rsidR="0056067F" w:rsidRDefault="003F3153">
            <w:pPr>
              <w:pStyle w:val="TableParagraph"/>
              <w:ind w:right="556"/>
              <w:jc w:val="right"/>
            </w:pPr>
            <w:r>
              <w:t>8</w:t>
            </w:r>
          </w:p>
        </w:tc>
        <w:tc>
          <w:tcPr>
            <w:tcW w:w="1440" w:type="dxa"/>
          </w:tcPr>
          <w:p w:rsidR="0056067F" w:rsidRDefault="0056067F">
            <w:pPr>
              <w:pStyle w:val="TableParagraph"/>
              <w:rPr>
                <w:sz w:val="24"/>
              </w:rPr>
            </w:pPr>
          </w:p>
          <w:p w:rsidR="0056067F" w:rsidRDefault="0056067F">
            <w:pPr>
              <w:pStyle w:val="TableParagraph"/>
              <w:spacing w:before="5"/>
              <w:rPr>
                <w:sz w:val="21"/>
              </w:rPr>
            </w:pPr>
          </w:p>
          <w:p w:rsidR="0056067F" w:rsidRDefault="003F3153">
            <w:pPr>
              <w:pStyle w:val="TableParagraph"/>
              <w:ind w:left="83" w:right="81"/>
              <w:jc w:val="center"/>
            </w:pPr>
            <w:r>
              <w:t>$84.16</w:t>
            </w:r>
          </w:p>
        </w:tc>
        <w:tc>
          <w:tcPr>
            <w:tcW w:w="1351" w:type="dxa"/>
          </w:tcPr>
          <w:p w:rsidR="0056067F" w:rsidRDefault="0056067F">
            <w:pPr>
              <w:pStyle w:val="TableParagraph"/>
              <w:rPr>
                <w:sz w:val="24"/>
              </w:rPr>
            </w:pPr>
          </w:p>
          <w:p w:rsidR="0056067F" w:rsidRDefault="0056067F">
            <w:pPr>
              <w:pStyle w:val="TableParagraph"/>
              <w:spacing w:before="5"/>
              <w:rPr>
                <w:sz w:val="21"/>
              </w:rPr>
            </w:pPr>
          </w:p>
          <w:p w:rsidR="0056067F" w:rsidRDefault="003F3153">
            <w:pPr>
              <w:pStyle w:val="TableParagraph"/>
              <w:ind w:left="141"/>
            </w:pPr>
            <w:r>
              <w:t>$11,445.76</w:t>
            </w:r>
          </w:p>
        </w:tc>
      </w:tr>
      <w:tr w:rsidR="0056067F">
        <w:trPr>
          <w:trHeight w:hRule="exact" w:val="1274"/>
        </w:trPr>
        <w:tc>
          <w:tcPr>
            <w:tcW w:w="1812"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64"/>
            </w:pPr>
            <w:r>
              <w:t>Analyst</w:t>
            </w:r>
          </w:p>
        </w:tc>
        <w:tc>
          <w:tcPr>
            <w:tcW w:w="1709"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701" w:right="703"/>
              <w:jc w:val="center"/>
            </w:pPr>
            <w:r>
              <w:t>17</w:t>
            </w:r>
          </w:p>
        </w:tc>
        <w:tc>
          <w:tcPr>
            <w:tcW w:w="162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5"/>
              <w:jc w:val="center"/>
            </w:pPr>
            <w:r>
              <w:t>1</w:t>
            </w:r>
          </w:p>
        </w:tc>
        <w:tc>
          <w:tcPr>
            <w:tcW w:w="126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right="556"/>
              <w:jc w:val="right"/>
            </w:pPr>
            <w:r>
              <w:t>8</w:t>
            </w:r>
          </w:p>
        </w:tc>
        <w:tc>
          <w:tcPr>
            <w:tcW w:w="144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84" w:right="81"/>
              <w:jc w:val="center"/>
            </w:pPr>
            <w:r>
              <w:t>$95.60</w:t>
            </w:r>
          </w:p>
        </w:tc>
        <w:tc>
          <w:tcPr>
            <w:tcW w:w="1351"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141"/>
            </w:pPr>
            <w:r>
              <w:t>$13,001.60</w:t>
            </w:r>
          </w:p>
        </w:tc>
      </w:tr>
      <w:tr w:rsidR="0056067F">
        <w:trPr>
          <w:trHeight w:hRule="exact" w:val="905"/>
        </w:trPr>
        <w:tc>
          <w:tcPr>
            <w:tcW w:w="1812" w:type="dxa"/>
          </w:tcPr>
          <w:p w:rsidR="0056067F" w:rsidRDefault="0056067F">
            <w:pPr>
              <w:pStyle w:val="TableParagraph"/>
              <w:spacing w:before="7"/>
              <w:rPr>
                <w:sz w:val="19"/>
              </w:rPr>
            </w:pPr>
          </w:p>
          <w:p w:rsidR="0056067F" w:rsidRDefault="003F3153">
            <w:pPr>
              <w:pStyle w:val="TableParagraph"/>
              <w:ind w:left="64" w:right="551"/>
            </w:pPr>
            <w:r>
              <w:t>Senior Manager</w:t>
            </w:r>
          </w:p>
        </w:tc>
        <w:tc>
          <w:tcPr>
            <w:tcW w:w="1709" w:type="dxa"/>
          </w:tcPr>
          <w:p w:rsidR="0056067F" w:rsidRDefault="0056067F">
            <w:pPr>
              <w:pStyle w:val="TableParagraph"/>
              <w:spacing w:before="5"/>
              <w:rPr>
                <w:sz w:val="30"/>
              </w:rPr>
            </w:pPr>
          </w:p>
          <w:p w:rsidR="0056067F" w:rsidRDefault="003F3153">
            <w:pPr>
              <w:pStyle w:val="TableParagraph"/>
              <w:ind w:left="701" w:right="703"/>
              <w:jc w:val="center"/>
            </w:pPr>
            <w:r>
              <w:t>17</w:t>
            </w:r>
          </w:p>
        </w:tc>
        <w:tc>
          <w:tcPr>
            <w:tcW w:w="1620" w:type="dxa"/>
          </w:tcPr>
          <w:p w:rsidR="0056067F" w:rsidRDefault="0056067F">
            <w:pPr>
              <w:pStyle w:val="TableParagraph"/>
              <w:spacing w:before="5"/>
              <w:rPr>
                <w:sz w:val="30"/>
              </w:rPr>
            </w:pPr>
          </w:p>
          <w:p w:rsidR="0056067F" w:rsidRDefault="003F3153">
            <w:pPr>
              <w:pStyle w:val="TableParagraph"/>
              <w:ind w:left="5"/>
              <w:jc w:val="center"/>
            </w:pPr>
            <w:r>
              <w:t>1</w:t>
            </w:r>
          </w:p>
        </w:tc>
        <w:tc>
          <w:tcPr>
            <w:tcW w:w="1260" w:type="dxa"/>
          </w:tcPr>
          <w:p w:rsidR="0056067F" w:rsidRDefault="0056067F">
            <w:pPr>
              <w:pStyle w:val="TableParagraph"/>
              <w:spacing w:before="5"/>
              <w:rPr>
                <w:sz w:val="30"/>
              </w:rPr>
            </w:pPr>
          </w:p>
          <w:p w:rsidR="0056067F" w:rsidRDefault="003F3153">
            <w:pPr>
              <w:pStyle w:val="TableParagraph"/>
              <w:ind w:right="556"/>
              <w:jc w:val="right"/>
            </w:pPr>
            <w:r>
              <w:t>2</w:t>
            </w:r>
          </w:p>
        </w:tc>
        <w:tc>
          <w:tcPr>
            <w:tcW w:w="1440" w:type="dxa"/>
          </w:tcPr>
          <w:p w:rsidR="0056067F" w:rsidRDefault="0056067F">
            <w:pPr>
              <w:pStyle w:val="TableParagraph"/>
              <w:spacing w:before="5"/>
              <w:rPr>
                <w:sz w:val="30"/>
              </w:rPr>
            </w:pPr>
          </w:p>
          <w:p w:rsidR="0056067F" w:rsidRDefault="003F3153">
            <w:pPr>
              <w:pStyle w:val="TableParagraph"/>
              <w:ind w:left="82" w:right="81"/>
              <w:jc w:val="center"/>
            </w:pPr>
            <w:r>
              <w:t>$118.70</w:t>
            </w:r>
          </w:p>
        </w:tc>
        <w:tc>
          <w:tcPr>
            <w:tcW w:w="1351" w:type="dxa"/>
          </w:tcPr>
          <w:p w:rsidR="0056067F" w:rsidRDefault="0056067F">
            <w:pPr>
              <w:pStyle w:val="TableParagraph"/>
              <w:spacing w:before="5"/>
              <w:rPr>
                <w:sz w:val="30"/>
              </w:rPr>
            </w:pPr>
          </w:p>
          <w:p w:rsidR="0056067F" w:rsidRDefault="003F3153">
            <w:pPr>
              <w:pStyle w:val="TableParagraph"/>
              <w:ind w:left="201"/>
            </w:pPr>
            <w:r>
              <w:t>$4,035.80</w:t>
            </w:r>
          </w:p>
        </w:tc>
      </w:tr>
      <w:tr w:rsidR="0056067F">
        <w:trPr>
          <w:trHeight w:hRule="exact" w:val="442"/>
        </w:trPr>
        <w:tc>
          <w:tcPr>
            <w:tcW w:w="1812" w:type="dxa"/>
          </w:tcPr>
          <w:p w:rsidR="0056067F" w:rsidRDefault="003F3153">
            <w:pPr>
              <w:pStyle w:val="TableParagraph"/>
              <w:spacing w:before="67"/>
              <w:ind w:left="64"/>
              <w:rPr>
                <w:b/>
              </w:rPr>
            </w:pPr>
            <w:r>
              <w:rPr>
                <w:b/>
              </w:rPr>
              <w:t>Total</w:t>
            </w:r>
          </w:p>
        </w:tc>
        <w:tc>
          <w:tcPr>
            <w:tcW w:w="1709" w:type="dxa"/>
          </w:tcPr>
          <w:p w:rsidR="0056067F" w:rsidRDefault="0056067F"/>
        </w:tc>
        <w:tc>
          <w:tcPr>
            <w:tcW w:w="1620" w:type="dxa"/>
          </w:tcPr>
          <w:p w:rsidR="0056067F" w:rsidRDefault="0056067F"/>
        </w:tc>
        <w:tc>
          <w:tcPr>
            <w:tcW w:w="1260" w:type="dxa"/>
          </w:tcPr>
          <w:p w:rsidR="0056067F" w:rsidRDefault="003F3153">
            <w:pPr>
              <w:pStyle w:val="TableParagraph"/>
              <w:spacing w:before="67"/>
              <w:ind w:right="506"/>
              <w:jc w:val="right"/>
              <w:rPr>
                <w:b/>
              </w:rPr>
            </w:pPr>
            <w:r>
              <w:rPr>
                <w:b/>
              </w:rPr>
              <w:t>18</w:t>
            </w:r>
          </w:p>
        </w:tc>
        <w:tc>
          <w:tcPr>
            <w:tcW w:w="1440" w:type="dxa"/>
          </w:tcPr>
          <w:p w:rsidR="0056067F" w:rsidRDefault="0056067F"/>
        </w:tc>
        <w:tc>
          <w:tcPr>
            <w:tcW w:w="1351" w:type="dxa"/>
          </w:tcPr>
          <w:p w:rsidR="0056067F" w:rsidRDefault="003F3153">
            <w:pPr>
              <w:pStyle w:val="TableParagraph"/>
              <w:spacing w:before="67"/>
              <w:ind w:left="146"/>
              <w:rPr>
                <w:b/>
              </w:rPr>
            </w:pPr>
            <w:r>
              <w:rPr>
                <w:b/>
              </w:rPr>
              <w:t>$28,483.16</w:t>
            </w:r>
          </w:p>
        </w:tc>
      </w:tr>
    </w:tbl>
    <w:p w:rsidR="0056067F" w:rsidRDefault="0056067F">
      <w:pPr>
        <w:pStyle w:val="BodyText"/>
      </w:pPr>
    </w:p>
    <w:p w:rsidR="0056067F" w:rsidRDefault="003F3153">
      <w:pPr>
        <w:pStyle w:val="ListParagraph"/>
        <w:numPr>
          <w:ilvl w:val="0"/>
          <w:numId w:val="1"/>
        </w:numPr>
        <w:tabs>
          <w:tab w:val="left" w:pos="558"/>
          <w:tab w:val="left" w:pos="559"/>
        </w:tabs>
        <w:spacing w:before="1"/>
        <w:rPr>
          <w:sz w:val="24"/>
        </w:rPr>
      </w:pPr>
      <w:r>
        <w:rPr>
          <w:sz w:val="24"/>
          <w:u w:val="single"/>
        </w:rPr>
        <w:t>Development and submission of financial</w:t>
      </w:r>
      <w:r>
        <w:rPr>
          <w:spacing w:val="-23"/>
          <w:sz w:val="24"/>
          <w:u w:val="single"/>
        </w:rPr>
        <w:t xml:space="preserve"> </w:t>
      </w:r>
      <w:r>
        <w:rPr>
          <w:sz w:val="24"/>
          <w:u w:val="single"/>
        </w:rPr>
        <w:t>statement</w:t>
      </w:r>
    </w:p>
    <w:p w:rsidR="0056067F" w:rsidRDefault="0056067F">
      <w:pPr>
        <w:pStyle w:val="BodyText"/>
        <w:spacing w:before="3"/>
        <w:rPr>
          <w:sz w:val="16"/>
        </w:rPr>
      </w:pPr>
    </w:p>
    <w:p w:rsidR="0056067F" w:rsidRDefault="003F3153">
      <w:pPr>
        <w:spacing w:before="93"/>
        <w:ind w:left="557" w:right="522"/>
        <w:rPr>
          <w:sz w:val="23"/>
        </w:rPr>
      </w:pPr>
      <w:r>
        <w:rPr>
          <w:sz w:val="23"/>
        </w:rPr>
        <w:t>Section 155.1200(b)(1) requires SBEs prepare and submit to CMS, and publicly post a financial statement annually, in accordance with GAAP. The burden associated with this reporting requirement is the time and effort needed to develop and submit the financial statement to CMS. SBEs will electronically submit the information. The burden associated with this requirement includes a computer programmer taking 40 hours (at $84.16 an hour) to design the financial statement</w:t>
      </w:r>
    </w:p>
    <w:p w:rsidR="0056067F" w:rsidRDefault="0056067F">
      <w:pPr>
        <w:rPr>
          <w:sz w:val="23"/>
        </w:rPr>
        <w:sectPr w:rsidR="0056067F">
          <w:pgSz w:w="12240" w:h="15840"/>
          <w:pgMar w:top="1280" w:right="1420" w:bottom="280" w:left="1220" w:header="720" w:footer="720" w:gutter="0"/>
          <w:cols w:space="720"/>
        </w:sectPr>
      </w:pPr>
    </w:p>
    <w:p w:rsidR="0056067F" w:rsidRDefault="003F3153">
      <w:pPr>
        <w:spacing w:before="71"/>
        <w:ind w:left="558" w:right="826"/>
        <w:rPr>
          <w:sz w:val="23"/>
        </w:rPr>
      </w:pPr>
      <w:r>
        <w:rPr>
          <w:sz w:val="23"/>
        </w:rPr>
        <w:t>report, an analyst taking 8 hours (at $95.60 an hour) pulling the necessary data and inputting it into the financial statement report, and a senior manager taking 2 hours (at $118.70 an hour) overseeing the development and transmission of the reported data. We estimate a burden of 50 total hours for each SBE at a cost of</w:t>
      </w:r>
    </w:p>
    <w:p w:rsidR="0056067F" w:rsidRDefault="003F3153">
      <w:pPr>
        <w:ind w:left="558" w:right="1107"/>
        <w:rPr>
          <w:sz w:val="23"/>
        </w:rPr>
      </w:pPr>
      <w:r>
        <w:rPr>
          <w:sz w:val="23"/>
        </w:rPr>
        <w:t>$4,368.60. Therefore, the aggregate burden for the 17 SBEs is 850 hours at a cost of $74,266.20.</w:t>
      </w:r>
    </w:p>
    <w:p w:rsidR="0056067F" w:rsidRDefault="0056067F">
      <w:pPr>
        <w:pStyle w:val="BodyText"/>
      </w:pPr>
    </w:p>
    <w:tbl>
      <w:tblPr>
        <w:tblW w:w="0" w:type="auto"/>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2"/>
        <w:gridCol w:w="1709"/>
        <w:gridCol w:w="1620"/>
        <w:gridCol w:w="1260"/>
        <w:gridCol w:w="1440"/>
        <w:gridCol w:w="1351"/>
      </w:tblGrid>
      <w:tr w:rsidR="0056067F">
        <w:trPr>
          <w:trHeight w:hRule="exact" w:val="1390"/>
        </w:trPr>
        <w:tc>
          <w:tcPr>
            <w:tcW w:w="1812" w:type="dxa"/>
          </w:tcPr>
          <w:p w:rsidR="0056067F" w:rsidRDefault="003F3153">
            <w:pPr>
              <w:pStyle w:val="TableParagraph"/>
              <w:spacing w:before="69"/>
              <w:ind w:left="192" w:right="187" w:firstLine="273"/>
              <w:rPr>
                <w:b/>
              </w:rPr>
            </w:pPr>
            <w:r>
              <w:rPr>
                <w:b/>
                <w:w w:val="115"/>
              </w:rPr>
              <w:t xml:space="preserve">Type of </w:t>
            </w:r>
            <w:r>
              <w:rPr>
                <w:b/>
                <w:w w:val="110"/>
              </w:rPr>
              <w:t>Respondent</w:t>
            </w:r>
          </w:p>
        </w:tc>
        <w:tc>
          <w:tcPr>
            <w:tcW w:w="1709" w:type="dxa"/>
          </w:tcPr>
          <w:p w:rsidR="0056067F" w:rsidRDefault="003F3153">
            <w:pPr>
              <w:pStyle w:val="TableParagraph"/>
              <w:spacing w:before="69"/>
              <w:ind w:left="71" w:firstLine="163"/>
              <w:rPr>
                <w:b/>
              </w:rPr>
            </w:pPr>
            <w:r>
              <w:rPr>
                <w:b/>
                <w:w w:val="115"/>
              </w:rPr>
              <w:t xml:space="preserve">Number of </w:t>
            </w:r>
            <w:r>
              <w:rPr>
                <w:b/>
                <w:w w:val="110"/>
              </w:rPr>
              <w:t>Respondents</w:t>
            </w:r>
          </w:p>
        </w:tc>
        <w:tc>
          <w:tcPr>
            <w:tcW w:w="1620" w:type="dxa"/>
          </w:tcPr>
          <w:p w:rsidR="0056067F" w:rsidRDefault="003F3153">
            <w:pPr>
              <w:pStyle w:val="TableParagraph"/>
              <w:spacing w:before="69"/>
              <w:ind w:left="96" w:right="94"/>
              <w:jc w:val="center"/>
              <w:rPr>
                <w:b/>
              </w:rPr>
            </w:pPr>
            <w:r>
              <w:rPr>
                <w:b/>
                <w:w w:val="115"/>
              </w:rPr>
              <w:t xml:space="preserve">Responses per   </w:t>
            </w:r>
            <w:r>
              <w:rPr>
                <w:b/>
                <w:w w:val="110"/>
              </w:rPr>
              <w:t>Respondent</w:t>
            </w:r>
          </w:p>
        </w:tc>
        <w:tc>
          <w:tcPr>
            <w:tcW w:w="1260" w:type="dxa"/>
          </w:tcPr>
          <w:p w:rsidR="0056067F" w:rsidRDefault="003F3153">
            <w:pPr>
              <w:pStyle w:val="TableParagraph"/>
              <w:spacing w:before="69"/>
              <w:ind w:left="194" w:right="136" w:hanging="56"/>
              <w:jc w:val="both"/>
              <w:rPr>
                <w:b/>
              </w:rPr>
            </w:pPr>
            <w:r>
              <w:rPr>
                <w:b/>
                <w:w w:val="110"/>
              </w:rPr>
              <w:t xml:space="preserve">Average </w:t>
            </w:r>
            <w:r>
              <w:rPr>
                <w:b/>
                <w:w w:val="115"/>
              </w:rPr>
              <w:t>Burden Hours</w:t>
            </w:r>
          </w:p>
        </w:tc>
        <w:tc>
          <w:tcPr>
            <w:tcW w:w="1440" w:type="dxa"/>
          </w:tcPr>
          <w:p w:rsidR="0056067F" w:rsidRDefault="003F3153">
            <w:pPr>
              <w:pStyle w:val="TableParagraph"/>
              <w:spacing w:before="69"/>
              <w:ind w:left="80" w:right="81"/>
              <w:jc w:val="center"/>
              <w:rPr>
                <w:b/>
              </w:rPr>
            </w:pPr>
            <w:r>
              <w:rPr>
                <w:b/>
                <w:w w:val="115"/>
              </w:rPr>
              <w:t>Wage per Hour</w:t>
            </w:r>
          </w:p>
          <w:p w:rsidR="0056067F" w:rsidRDefault="003F3153">
            <w:pPr>
              <w:pStyle w:val="TableParagraph"/>
              <w:ind w:left="88" w:right="81"/>
              <w:jc w:val="center"/>
              <w:rPr>
                <w:b/>
              </w:rPr>
            </w:pPr>
            <w:r>
              <w:rPr>
                <w:b/>
                <w:w w:val="115"/>
              </w:rPr>
              <w:t>(incl 100%</w:t>
            </w:r>
            <w:r>
              <w:rPr>
                <w:b/>
                <w:w w:val="114"/>
              </w:rPr>
              <w:t xml:space="preserve"> </w:t>
            </w:r>
            <w:r>
              <w:rPr>
                <w:b/>
                <w:w w:val="115"/>
              </w:rPr>
              <w:t>benefits fringe)</w:t>
            </w:r>
          </w:p>
        </w:tc>
        <w:tc>
          <w:tcPr>
            <w:tcW w:w="1351" w:type="dxa"/>
          </w:tcPr>
          <w:p w:rsidR="0056067F" w:rsidRDefault="003F3153">
            <w:pPr>
              <w:pStyle w:val="TableParagraph"/>
              <w:spacing w:before="69"/>
              <w:ind w:left="328" w:right="230" w:hanging="89"/>
              <w:rPr>
                <w:b/>
              </w:rPr>
            </w:pPr>
            <w:r>
              <w:rPr>
                <w:b/>
                <w:w w:val="110"/>
              </w:rPr>
              <w:t xml:space="preserve">Burden </w:t>
            </w:r>
            <w:r>
              <w:rPr>
                <w:b/>
                <w:w w:val="115"/>
              </w:rPr>
              <w:t>Costs</w:t>
            </w:r>
          </w:p>
        </w:tc>
      </w:tr>
      <w:tr w:rsidR="0056067F">
        <w:trPr>
          <w:trHeight w:hRule="exact" w:val="1243"/>
        </w:trPr>
        <w:tc>
          <w:tcPr>
            <w:tcW w:w="1812" w:type="dxa"/>
          </w:tcPr>
          <w:p w:rsidR="0056067F" w:rsidRDefault="0056067F">
            <w:pPr>
              <w:pStyle w:val="TableParagraph"/>
              <w:spacing w:before="11"/>
              <w:rPr>
                <w:sz w:val="34"/>
              </w:rPr>
            </w:pPr>
          </w:p>
          <w:p w:rsidR="0056067F" w:rsidRDefault="003F3153">
            <w:pPr>
              <w:pStyle w:val="TableParagraph"/>
              <w:spacing w:line="250" w:lineRule="exact"/>
              <w:ind w:left="64" w:right="187"/>
            </w:pPr>
            <w:r>
              <w:t>Computer Programmer</w:t>
            </w:r>
          </w:p>
        </w:tc>
        <w:tc>
          <w:tcPr>
            <w:tcW w:w="1709" w:type="dxa"/>
          </w:tcPr>
          <w:p w:rsidR="0056067F" w:rsidRDefault="0056067F">
            <w:pPr>
              <w:pStyle w:val="TableParagraph"/>
              <w:rPr>
                <w:sz w:val="24"/>
              </w:rPr>
            </w:pPr>
          </w:p>
          <w:p w:rsidR="0056067F" w:rsidRDefault="0056067F">
            <w:pPr>
              <w:pStyle w:val="TableParagraph"/>
              <w:spacing w:before="3"/>
              <w:rPr>
                <w:sz w:val="21"/>
              </w:rPr>
            </w:pPr>
          </w:p>
          <w:p w:rsidR="0056067F" w:rsidRDefault="003F3153">
            <w:pPr>
              <w:pStyle w:val="TableParagraph"/>
              <w:ind w:left="701" w:right="703"/>
              <w:jc w:val="center"/>
            </w:pPr>
            <w:r>
              <w:t>17</w:t>
            </w:r>
          </w:p>
        </w:tc>
        <w:tc>
          <w:tcPr>
            <w:tcW w:w="1620" w:type="dxa"/>
          </w:tcPr>
          <w:p w:rsidR="0056067F" w:rsidRDefault="0056067F">
            <w:pPr>
              <w:pStyle w:val="TableParagraph"/>
              <w:rPr>
                <w:sz w:val="24"/>
              </w:rPr>
            </w:pPr>
          </w:p>
          <w:p w:rsidR="0056067F" w:rsidRDefault="0056067F">
            <w:pPr>
              <w:pStyle w:val="TableParagraph"/>
              <w:spacing w:before="3"/>
              <w:rPr>
                <w:sz w:val="21"/>
              </w:rPr>
            </w:pPr>
          </w:p>
          <w:p w:rsidR="0056067F" w:rsidRDefault="003F3153">
            <w:pPr>
              <w:pStyle w:val="TableParagraph"/>
              <w:ind w:left="4"/>
              <w:jc w:val="center"/>
            </w:pPr>
            <w:r>
              <w:t>1</w:t>
            </w:r>
          </w:p>
        </w:tc>
        <w:tc>
          <w:tcPr>
            <w:tcW w:w="1260" w:type="dxa"/>
          </w:tcPr>
          <w:p w:rsidR="0056067F" w:rsidRDefault="0056067F">
            <w:pPr>
              <w:pStyle w:val="TableParagraph"/>
              <w:rPr>
                <w:sz w:val="24"/>
              </w:rPr>
            </w:pPr>
          </w:p>
          <w:p w:rsidR="0056067F" w:rsidRDefault="0056067F">
            <w:pPr>
              <w:pStyle w:val="TableParagraph"/>
              <w:spacing w:before="3"/>
              <w:rPr>
                <w:sz w:val="21"/>
              </w:rPr>
            </w:pPr>
          </w:p>
          <w:p w:rsidR="0056067F" w:rsidRDefault="003F3153">
            <w:pPr>
              <w:pStyle w:val="TableParagraph"/>
              <w:ind w:right="504"/>
              <w:jc w:val="right"/>
            </w:pPr>
            <w:r>
              <w:t>40</w:t>
            </w:r>
          </w:p>
        </w:tc>
        <w:tc>
          <w:tcPr>
            <w:tcW w:w="1440" w:type="dxa"/>
          </w:tcPr>
          <w:p w:rsidR="0056067F" w:rsidRDefault="0056067F">
            <w:pPr>
              <w:pStyle w:val="TableParagraph"/>
              <w:rPr>
                <w:sz w:val="24"/>
              </w:rPr>
            </w:pPr>
          </w:p>
          <w:p w:rsidR="0056067F" w:rsidRDefault="0056067F">
            <w:pPr>
              <w:pStyle w:val="TableParagraph"/>
              <w:spacing w:before="3"/>
              <w:rPr>
                <w:sz w:val="21"/>
              </w:rPr>
            </w:pPr>
          </w:p>
          <w:p w:rsidR="0056067F" w:rsidRDefault="003F3153">
            <w:pPr>
              <w:pStyle w:val="TableParagraph"/>
              <w:ind w:left="83" w:right="81"/>
              <w:jc w:val="center"/>
            </w:pPr>
            <w:r>
              <w:t>$84.16</w:t>
            </w:r>
          </w:p>
        </w:tc>
        <w:tc>
          <w:tcPr>
            <w:tcW w:w="1351" w:type="dxa"/>
          </w:tcPr>
          <w:p w:rsidR="0056067F" w:rsidRDefault="0056067F">
            <w:pPr>
              <w:pStyle w:val="TableParagraph"/>
              <w:rPr>
                <w:sz w:val="24"/>
              </w:rPr>
            </w:pPr>
          </w:p>
          <w:p w:rsidR="0056067F" w:rsidRDefault="0056067F">
            <w:pPr>
              <w:pStyle w:val="TableParagraph"/>
              <w:spacing w:before="3"/>
              <w:rPr>
                <w:sz w:val="21"/>
              </w:rPr>
            </w:pPr>
          </w:p>
          <w:p w:rsidR="0056067F" w:rsidRDefault="003F3153">
            <w:pPr>
              <w:pStyle w:val="TableParagraph"/>
              <w:ind w:left="141"/>
            </w:pPr>
            <w:r>
              <w:t>$57,228.80</w:t>
            </w:r>
          </w:p>
        </w:tc>
      </w:tr>
      <w:tr w:rsidR="0056067F">
        <w:trPr>
          <w:trHeight w:hRule="exact" w:val="1274"/>
        </w:trPr>
        <w:tc>
          <w:tcPr>
            <w:tcW w:w="1812"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64"/>
            </w:pPr>
            <w:r>
              <w:t>Analyst</w:t>
            </w:r>
          </w:p>
        </w:tc>
        <w:tc>
          <w:tcPr>
            <w:tcW w:w="1709"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701" w:right="703"/>
              <w:jc w:val="center"/>
            </w:pPr>
            <w:r>
              <w:t>17</w:t>
            </w:r>
          </w:p>
        </w:tc>
        <w:tc>
          <w:tcPr>
            <w:tcW w:w="162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5"/>
              <w:jc w:val="center"/>
            </w:pPr>
            <w:r>
              <w:t>1</w:t>
            </w:r>
          </w:p>
        </w:tc>
        <w:tc>
          <w:tcPr>
            <w:tcW w:w="126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right="556"/>
              <w:jc w:val="right"/>
            </w:pPr>
            <w:r>
              <w:t>8</w:t>
            </w:r>
          </w:p>
        </w:tc>
        <w:tc>
          <w:tcPr>
            <w:tcW w:w="144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84" w:right="81"/>
              <w:jc w:val="center"/>
            </w:pPr>
            <w:r>
              <w:t>$95.60</w:t>
            </w:r>
          </w:p>
        </w:tc>
        <w:tc>
          <w:tcPr>
            <w:tcW w:w="1351"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141"/>
            </w:pPr>
            <w:r>
              <w:t>$13,001.60</w:t>
            </w:r>
          </w:p>
        </w:tc>
      </w:tr>
      <w:tr w:rsidR="0056067F">
        <w:trPr>
          <w:trHeight w:hRule="exact" w:val="905"/>
        </w:trPr>
        <w:tc>
          <w:tcPr>
            <w:tcW w:w="1812" w:type="dxa"/>
          </w:tcPr>
          <w:p w:rsidR="0056067F" w:rsidRDefault="0056067F">
            <w:pPr>
              <w:pStyle w:val="TableParagraph"/>
              <w:spacing w:before="7"/>
              <w:rPr>
                <w:sz w:val="19"/>
              </w:rPr>
            </w:pPr>
          </w:p>
          <w:p w:rsidR="0056067F" w:rsidRDefault="003F3153">
            <w:pPr>
              <w:pStyle w:val="TableParagraph"/>
              <w:ind w:left="64" w:right="551"/>
            </w:pPr>
            <w:r>
              <w:t>Senior Manager</w:t>
            </w:r>
          </w:p>
        </w:tc>
        <w:tc>
          <w:tcPr>
            <w:tcW w:w="1709" w:type="dxa"/>
          </w:tcPr>
          <w:p w:rsidR="0056067F" w:rsidRDefault="0056067F">
            <w:pPr>
              <w:pStyle w:val="TableParagraph"/>
              <w:spacing w:before="7"/>
              <w:rPr>
                <w:sz w:val="30"/>
              </w:rPr>
            </w:pPr>
          </w:p>
          <w:p w:rsidR="0056067F" w:rsidRDefault="003F3153">
            <w:pPr>
              <w:pStyle w:val="TableParagraph"/>
              <w:spacing w:before="1"/>
              <w:ind w:left="701" w:right="703"/>
              <w:jc w:val="center"/>
            </w:pPr>
            <w:r>
              <w:t>17</w:t>
            </w:r>
          </w:p>
        </w:tc>
        <w:tc>
          <w:tcPr>
            <w:tcW w:w="1620" w:type="dxa"/>
          </w:tcPr>
          <w:p w:rsidR="0056067F" w:rsidRDefault="0056067F">
            <w:pPr>
              <w:pStyle w:val="TableParagraph"/>
              <w:spacing w:before="7"/>
              <w:rPr>
                <w:sz w:val="30"/>
              </w:rPr>
            </w:pPr>
          </w:p>
          <w:p w:rsidR="0056067F" w:rsidRDefault="003F3153">
            <w:pPr>
              <w:pStyle w:val="TableParagraph"/>
              <w:spacing w:before="1"/>
              <w:ind w:left="5"/>
              <w:jc w:val="center"/>
            </w:pPr>
            <w:r>
              <w:t>1</w:t>
            </w:r>
          </w:p>
        </w:tc>
        <w:tc>
          <w:tcPr>
            <w:tcW w:w="1260" w:type="dxa"/>
          </w:tcPr>
          <w:p w:rsidR="0056067F" w:rsidRDefault="0056067F">
            <w:pPr>
              <w:pStyle w:val="TableParagraph"/>
              <w:spacing w:before="7"/>
              <w:rPr>
                <w:sz w:val="30"/>
              </w:rPr>
            </w:pPr>
          </w:p>
          <w:p w:rsidR="0056067F" w:rsidRDefault="003F3153">
            <w:pPr>
              <w:pStyle w:val="TableParagraph"/>
              <w:spacing w:before="1"/>
              <w:ind w:right="556"/>
              <w:jc w:val="right"/>
            </w:pPr>
            <w:r>
              <w:t>2</w:t>
            </w:r>
          </w:p>
        </w:tc>
        <w:tc>
          <w:tcPr>
            <w:tcW w:w="1440" w:type="dxa"/>
          </w:tcPr>
          <w:p w:rsidR="0056067F" w:rsidRDefault="0056067F">
            <w:pPr>
              <w:pStyle w:val="TableParagraph"/>
              <w:spacing w:before="7"/>
              <w:rPr>
                <w:sz w:val="30"/>
              </w:rPr>
            </w:pPr>
          </w:p>
          <w:p w:rsidR="0056067F" w:rsidRDefault="003F3153">
            <w:pPr>
              <w:pStyle w:val="TableParagraph"/>
              <w:spacing w:before="1"/>
              <w:ind w:left="82" w:right="81"/>
              <w:jc w:val="center"/>
            </w:pPr>
            <w:r>
              <w:t>$118.70</w:t>
            </w:r>
          </w:p>
        </w:tc>
        <w:tc>
          <w:tcPr>
            <w:tcW w:w="1351" w:type="dxa"/>
          </w:tcPr>
          <w:p w:rsidR="0056067F" w:rsidRDefault="0056067F">
            <w:pPr>
              <w:pStyle w:val="TableParagraph"/>
              <w:spacing w:before="7"/>
              <w:rPr>
                <w:sz w:val="30"/>
              </w:rPr>
            </w:pPr>
          </w:p>
          <w:p w:rsidR="0056067F" w:rsidRDefault="003F3153">
            <w:pPr>
              <w:pStyle w:val="TableParagraph"/>
              <w:spacing w:before="1"/>
              <w:ind w:left="201"/>
            </w:pPr>
            <w:r>
              <w:t>$4,035.80</w:t>
            </w:r>
          </w:p>
        </w:tc>
      </w:tr>
      <w:tr w:rsidR="0056067F">
        <w:trPr>
          <w:trHeight w:hRule="exact" w:val="586"/>
        </w:trPr>
        <w:tc>
          <w:tcPr>
            <w:tcW w:w="1812" w:type="dxa"/>
          </w:tcPr>
          <w:p w:rsidR="0056067F" w:rsidRDefault="003F3153">
            <w:pPr>
              <w:pStyle w:val="TableParagraph"/>
              <w:spacing w:before="67"/>
              <w:ind w:left="64"/>
              <w:rPr>
                <w:b/>
              </w:rPr>
            </w:pPr>
            <w:r>
              <w:rPr>
                <w:b/>
              </w:rPr>
              <w:t>Total</w:t>
            </w:r>
          </w:p>
        </w:tc>
        <w:tc>
          <w:tcPr>
            <w:tcW w:w="1709" w:type="dxa"/>
          </w:tcPr>
          <w:p w:rsidR="0056067F" w:rsidRDefault="0056067F"/>
        </w:tc>
        <w:tc>
          <w:tcPr>
            <w:tcW w:w="1620" w:type="dxa"/>
          </w:tcPr>
          <w:p w:rsidR="0056067F" w:rsidRDefault="0056067F"/>
        </w:tc>
        <w:tc>
          <w:tcPr>
            <w:tcW w:w="1260" w:type="dxa"/>
          </w:tcPr>
          <w:p w:rsidR="0056067F" w:rsidRDefault="003F3153">
            <w:pPr>
              <w:pStyle w:val="TableParagraph"/>
              <w:spacing w:before="67"/>
              <w:ind w:right="506"/>
              <w:jc w:val="right"/>
              <w:rPr>
                <w:b/>
              </w:rPr>
            </w:pPr>
            <w:r>
              <w:rPr>
                <w:b/>
              </w:rPr>
              <w:t>50</w:t>
            </w:r>
          </w:p>
        </w:tc>
        <w:tc>
          <w:tcPr>
            <w:tcW w:w="1440" w:type="dxa"/>
          </w:tcPr>
          <w:p w:rsidR="0056067F" w:rsidRDefault="0056067F"/>
        </w:tc>
        <w:tc>
          <w:tcPr>
            <w:tcW w:w="1351" w:type="dxa"/>
          </w:tcPr>
          <w:p w:rsidR="0056067F" w:rsidRDefault="003F3153">
            <w:pPr>
              <w:pStyle w:val="TableParagraph"/>
              <w:spacing w:before="67"/>
              <w:ind w:left="141"/>
              <w:rPr>
                <w:b/>
              </w:rPr>
            </w:pPr>
            <w:r>
              <w:rPr>
                <w:b/>
              </w:rPr>
              <w:t>$74,266.20</w:t>
            </w:r>
          </w:p>
        </w:tc>
      </w:tr>
    </w:tbl>
    <w:p w:rsidR="0056067F" w:rsidRDefault="0056067F">
      <w:pPr>
        <w:pStyle w:val="BodyText"/>
      </w:pPr>
    </w:p>
    <w:p w:rsidR="0056067F" w:rsidRDefault="003F3153">
      <w:pPr>
        <w:pStyle w:val="ListParagraph"/>
        <w:numPr>
          <w:ilvl w:val="0"/>
          <w:numId w:val="1"/>
        </w:numPr>
        <w:tabs>
          <w:tab w:val="left" w:pos="558"/>
          <w:tab w:val="left" w:pos="559"/>
        </w:tabs>
        <w:spacing w:before="1"/>
        <w:rPr>
          <w:sz w:val="24"/>
        </w:rPr>
      </w:pPr>
      <w:r>
        <w:rPr>
          <w:sz w:val="24"/>
          <w:u w:val="single"/>
        </w:rPr>
        <w:t>Post results of financial audit to Exchange</w:t>
      </w:r>
      <w:r>
        <w:rPr>
          <w:spacing w:val="-25"/>
          <w:sz w:val="24"/>
          <w:u w:val="single"/>
        </w:rPr>
        <w:t xml:space="preserve"> </w:t>
      </w:r>
      <w:r>
        <w:rPr>
          <w:sz w:val="24"/>
          <w:u w:val="single"/>
        </w:rPr>
        <w:t>website</w:t>
      </w:r>
    </w:p>
    <w:p w:rsidR="0056067F" w:rsidRDefault="003F3153">
      <w:pPr>
        <w:spacing w:before="2"/>
        <w:ind w:left="558" w:right="685"/>
        <w:rPr>
          <w:sz w:val="23"/>
        </w:rPr>
      </w:pPr>
      <w:r>
        <w:rPr>
          <w:sz w:val="23"/>
        </w:rPr>
        <w:t>Section 155.1200(b)(4) requires SBEs to make public a summary of the results of the external financial audit. The burden associated with this requirement is the time and effort for a computer programmer taking 1 hour (at $84.16 an hour) to design the summary and for an analyst to take 1 hour (at $95.60 an hour) to pull data into the summary and prepare for public display. For this requirement we estimate a burden of 2 hours for each SBE at a cost of $179.76. Therefore, the aggregate burden for the 17 SBEs is estimated at 34 hours at a cost of $3,055.92.</w:t>
      </w:r>
    </w:p>
    <w:p w:rsidR="0056067F" w:rsidRDefault="0056067F">
      <w:pPr>
        <w:pStyle w:val="BodyText"/>
        <w:spacing w:before="3"/>
        <w:rPr>
          <w:sz w:val="23"/>
        </w:rPr>
      </w:pPr>
    </w:p>
    <w:tbl>
      <w:tblPr>
        <w:tblW w:w="0" w:type="auto"/>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2"/>
        <w:gridCol w:w="1709"/>
        <w:gridCol w:w="1620"/>
        <w:gridCol w:w="1260"/>
        <w:gridCol w:w="1440"/>
        <w:gridCol w:w="1351"/>
      </w:tblGrid>
      <w:tr w:rsidR="0056067F">
        <w:trPr>
          <w:trHeight w:hRule="exact" w:val="1615"/>
        </w:trPr>
        <w:tc>
          <w:tcPr>
            <w:tcW w:w="1812" w:type="dxa"/>
          </w:tcPr>
          <w:p w:rsidR="0056067F" w:rsidRDefault="003F3153">
            <w:pPr>
              <w:pStyle w:val="TableParagraph"/>
              <w:spacing w:before="67"/>
              <w:ind w:left="192" w:right="187" w:firstLine="273"/>
              <w:rPr>
                <w:b/>
              </w:rPr>
            </w:pPr>
            <w:r>
              <w:rPr>
                <w:b/>
                <w:w w:val="115"/>
              </w:rPr>
              <w:t xml:space="preserve">Type of </w:t>
            </w:r>
            <w:r>
              <w:rPr>
                <w:b/>
                <w:w w:val="110"/>
              </w:rPr>
              <w:t>Respondent</w:t>
            </w:r>
          </w:p>
        </w:tc>
        <w:tc>
          <w:tcPr>
            <w:tcW w:w="1709" w:type="dxa"/>
          </w:tcPr>
          <w:p w:rsidR="0056067F" w:rsidRDefault="003F3153">
            <w:pPr>
              <w:pStyle w:val="TableParagraph"/>
              <w:spacing w:before="67"/>
              <w:ind w:left="71" w:firstLine="163"/>
              <w:rPr>
                <w:b/>
              </w:rPr>
            </w:pPr>
            <w:r>
              <w:rPr>
                <w:b/>
                <w:w w:val="115"/>
              </w:rPr>
              <w:t xml:space="preserve">Number of </w:t>
            </w:r>
            <w:r>
              <w:rPr>
                <w:b/>
                <w:w w:val="110"/>
              </w:rPr>
              <w:t>Respondents</w:t>
            </w:r>
          </w:p>
        </w:tc>
        <w:tc>
          <w:tcPr>
            <w:tcW w:w="1620" w:type="dxa"/>
          </w:tcPr>
          <w:p w:rsidR="0056067F" w:rsidRDefault="003F3153">
            <w:pPr>
              <w:pStyle w:val="TableParagraph"/>
              <w:spacing w:before="67"/>
              <w:ind w:left="96" w:right="94"/>
              <w:jc w:val="center"/>
              <w:rPr>
                <w:b/>
              </w:rPr>
            </w:pPr>
            <w:r>
              <w:rPr>
                <w:b/>
                <w:w w:val="115"/>
              </w:rPr>
              <w:t xml:space="preserve">Responses per   </w:t>
            </w:r>
            <w:r>
              <w:rPr>
                <w:b/>
                <w:w w:val="110"/>
              </w:rPr>
              <w:t>Respondent</w:t>
            </w:r>
          </w:p>
        </w:tc>
        <w:tc>
          <w:tcPr>
            <w:tcW w:w="1260" w:type="dxa"/>
          </w:tcPr>
          <w:p w:rsidR="0056067F" w:rsidRDefault="003F3153">
            <w:pPr>
              <w:pStyle w:val="TableParagraph"/>
              <w:spacing w:before="67"/>
              <w:ind w:left="194" w:right="136" w:hanging="56"/>
              <w:jc w:val="both"/>
              <w:rPr>
                <w:b/>
              </w:rPr>
            </w:pPr>
            <w:r>
              <w:rPr>
                <w:b/>
                <w:w w:val="110"/>
              </w:rPr>
              <w:t xml:space="preserve">Average </w:t>
            </w:r>
            <w:r>
              <w:rPr>
                <w:b/>
                <w:w w:val="115"/>
              </w:rPr>
              <w:t>Burden Hours</w:t>
            </w:r>
          </w:p>
        </w:tc>
        <w:tc>
          <w:tcPr>
            <w:tcW w:w="1440" w:type="dxa"/>
          </w:tcPr>
          <w:p w:rsidR="0056067F" w:rsidRDefault="003F3153">
            <w:pPr>
              <w:pStyle w:val="TableParagraph"/>
              <w:spacing w:before="67"/>
              <w:ind w:left="80" w:right="81"/>
              <w:jc w:val="center"/>
              <w:rPr>
                <w:b/>
              </w:rPr>
            </w:pPr>
            <w:r>
              <w:rPr>
                <w:b/>
                <w:w w:val="115"/>
              </w:rPr>
              <w:t>Wage per Hour</w:t>
            </w:r>
          </w:p>
          <w:p w:rsidR="0056067F" w:rsidRDefault="003F3153">
            <w:pPr>
              <w:pStyle w:val="TableParagraph"/>
              <w:ind w:left="88" w:right="81"/>
              <w:jc w:val="center"/>
              <w:rPr>
                <w:b/>
              </w:rPr>
            </w:pPr>
            <w:r>
              <w:rPr>
                <w:b/>
                <w:w w:val="115"/>
              </w:rPr>
              <w:t>(incl 100%</w:t>
            </w:r>
            <w:r>
              <w:rPr>
                <w:b/>
                <w:w w:val="114"/>
              </w:rPr>
              <w:t xml:space="preserve"> </w:t>
            </w:r>
            <w:r>
              <w:rPr>
                <w:b/>
                <w:w w:val="115"/>
              </w:rPr>
              <w:t>benefits fringe)</w:t>
            </w:r>
          </w:p>
        </w:tc>
        <w:tc>
          <w:tcPr>
            <w:tcW w:w="1351" w:type="dxa"/>
          </w:tcPr>
          <w:p w:rsidR="0056067F" w:rsidRDefault="003F3153">
            <w:pPr>
              <w:pStyle w:val="TableParagraph"/>
              <w:spacing w:before="67"/>
              <w:ind w:left="328" w:right="230" w:hanging="89"/>
              <w:rPr>
                <w:b/>
              </w:rPr>
            </w:pPr>
            <w:r>
              <w:rPr>
                <w:b/>
                <w:w w:val="110"/>
              </w:rPr>
              <w:t xml:space="preserve">Burden </w:t>
            </w:r>
            <w:r>
              <w:rPr>
                <w:b/>
                <w:w w:val="115"/>
              </w:rPr>
              <w:t>Costs</w:t>
            </w:r>
          </w:p>
        </w:tc>
      </w:tr>
      <w:tr w:rsidR="0056067F">
        <w:trPr>
          <w:trHeight w:hRule="exact" w:val="1246"/>
        </w:trPr>
        <w:tc>
          <w:tcPr>
            <w:tcW w:w="1812" w:type="dxa"/>
          </w:tcPr>
          <w:p w:rsidR="0056067F" w:rsidRDefault="0056067F">
            <w:pPr>
              <w:pStyle w:val="TableParagraph"/>
              <w:spacing w:before="11"/>
              <w:rPr>
                <w:sz w:val="34"/>
              </w:rPr>
            </w:pPr>
          </w:p>
          <w:p w:rsidR="0056067F" w:rsidRDefault="003F3153">
            <w:pPr>
              <w:pStyle w:val="TableParagraph"/>
              <w:spacing w:line="250" w:lineRule="exact"/>
              <w:ind w:left="64" w:right="187"/>
            </w:pPr>
            <w:r>
              <w:t>Computer Programmer</w:t>
            </w:r>
          </w:p>
        </w:tc>
        <w:tc>
          <w:tcPr>
            <w:tcW w:w="1709" w:type="dxa"/>
          </w:tcPr>
          <w:p w:rsidR="0056067F" w:rsidRDefault="0056067F">
            <w:pPr>
              <w:pStyle w:val="TableParagraph"/>
              <w:rPr>
                <w:sz w:val="24"/>
              </w:rPr>
            </w:pPr>
          </w:p>
          <w:p w:rsidR="0056067F" w:rsidRDefault="0056067F">
            <w:pPr>
              <w:pStyle w:val="TableParagraph"/>
              <w:spacing w:before="5"/>
              <w:rPr>
                <w:sz w:val="21"/>
              </w:rPr>
            </w:pPr>
          </w:p>
          <w:p w:rsidR="0056067F" w:rsidRDefault="003F3153">
            <w:pPr>
              <w:pStyle w:val="TableParagraph"/>
              <w:ind w:left="701" w:right="703"/>
              <w:jc w:val="center"/>
            </w:pPr>
            <w:r>
              <w:t>17</w:t>
            </w:r>
          </w:p>
        </w:tc>
        <w:tc>
          <w:tcPr>
            <w:tcW w:w="1620" w:type="dxa"/>
          </w:tcPr>
          <w:p w:rsidR="0056067F" w:rsidRDefault="0056067F">
            <w:pPr>
              <w:pStyle w:val="TableParagraph"/>
              <w:rPr>
                <w:sz w:val="24"/>
              </w:rPr>
            </w:pPr>
          </w:p>
          <w:p w:rsidR="0056067F" w:rsidRDefault="0056067F">
            <w:pPr>
              <w:pStyle w:val="TableParagraph"/>
              <w:spacing w:before="5"/>
              <w:rPr>
                <w:sz w:val="21"/>
              </w:rPr>
            </w:pPr>
          </w:p>
          <w:p w:rsidR="0056067F" w:rsidRDefault="003F3153">
            <w:pPr>
              <w:pStyle w:val="TableParagraph"/>
              <w:ind w:left="4"/>
              <w:jc w:val="center"/>
            </w:pPr>
            <w:r>
              <w:t>1</w:t>
            </w:r>
          </w:p>
        </w:tc>
        <w:tc>
          <w:tcPr>
            <w:tcW w:w="1260" w:type="dxa"/>
          </w:tcPr>
          <w:p w:rsidR="0056067F" w:rsidRDefault="0056067F">
            <w:pPr>
              <w:pStyle w:val="TableParagraph"/>
              <w:rPr>
                <w:sz w:val="24"/>
              </w:rPr>
            </w:pPr>
          </w:p>
          <w:p w:rsidR="0056067F" w:rsidRDefault="0056067F">
            <w:pPr>
              <w:pStyle w:val="TableParagraph"/>
              <w:spacing w:before="5"/>
              <w:rPr>
                <w:sz w:val="21"/>
              </w:rPr>
            </w:pPr>
          </w:p>
          <w:p w:rsidR="0056067F" w:rsidRDefault="003F3153">
            <w:pPr>
              <w:pStyle w:val="TableParagraph"/>
              <w:ind w:left="4"/>
              <w:jc w:val="center"/>
            </w:pPr>
            <w:r>
              <w:t>1</w:t>
            </w:r>
          </w:p>
        </w:tc>
        <w:tc>
          <w:tcPr>
            <w:tcW w:w="1440" w:type="dxa"/>
          </w:tcPr>
          <w:p w:rsidR="0056067F" w:rsidRDefault="0056067F">
            <w:pPr>
              <w:pStyle w:val="TableParagraph"/>
              <w:rPr>
                <w:sz w:val="24"/>
              </w:rPr>
            </w:pPr>
          </w:p>
          <w:p w:rsidR="0056067F" w:rsidRDefault="0056067F">
            <w:pPr>
              <w:pStyle w:val="TableParagraph"/>
              <w:spacing w:before="5"/>
              <w:rPr>
                <w:sz w:val="21"/>
              </w:rPr>
            </w:pPr>
          </w:p>
          <w:p w:rsidR="0056067F" w:rsidRDefault="003F3153">
            <w:pPr>
              <w:pStyle w:val="TableParagraph"/>
              <w:ind w:left="391"/>
            </w:pPr>
            <w:r>
              <w:t>$84.16</w:t>
            </w:r>
          </w:p>
        </w:tc>
        <w:tc>
          <w:tcPr>
            <w:tcW w:w="1351" w:type="dxa"/>
          </w:tcPr>
          <w:p w:rsidR="0056067F" w:rsidRDefault="0056067F">
            <w:pPr>
              <w:pStyle w:val="TableParagraph"/>
              <w:rPr>
                <w:sz w:val="24"/>
              </w:rPr>
            </w:pPr>
          </w:p>
          <w:p w:rsidR="0056067F" w:rsidRDefault="0056067F">
            <w:pPr>
              <w:pStyle w:val="TableParagraph"/>
              <w:spacing w:before="5"/>
              <w:rPr>
                <w:sz w:val="21"/>
              </w:rPr>
            </w:pPr>
          </w:p>
          <w:p w:rsidR="0056067F" w:rsidRDefault="003F3153">
            <w:pPr>
              <w:pStyle w:val="TableParagraph"/>
              <w:ind w:left="201"/>
            </w:pPr>
            <w:r>
              <w:t>$1,430.72</w:t>
            </w:r>
          </w:p>
        </w:tc>
      </w:tr>
    </w:tbl>
    <w:p w:rsidR="0056067F" w:rsidRDefault="0056067F">
      <w:pPr>
        <w:sectPr w:rsidR="0056067F">
          <w:pgSz w:w="12240" w:h="15840"/>
          <w:pgMar w:top="1280" w:right="1420" w:bottom="280" w:left="1220" w:header="720" w:footer="720" w:gutter="0"/>
          <w:cols w:space="720"/>
        </w:sectPr>
      </w:pPr>
    </w:p>
    <w:tbl>
      <w:tblPr>
        <w:tblW w:w="0" w:type="auto"/>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2"/>
        <w:gridCol w:w="1709"/>
        <w:gridCol w:w="1620"/>
        <w:gridCol w:w="1260"/>
        <w:gridCol w:w="1440"/>
        <w:gridCol w:w="1351"/>
      </w:tblGrid>
      <w:tr w:rsidR="0056067F">
        <w:trPr>
          <w:trHeight w:hRule="exact" w:val="1274"/>
        </w:trPr>
        <w:tc>
          <w:tcPr>
            <w:tcW w:w="1812" w:type="dxa"/>
          </w:tcPr>
          <w:p w:rsidR="0056067F" w:rsidRDefault="0056067F">
            <w:pPr>
              <w:pStyle w:val="TableParagraph"/>
              <w:rPr>
                <w:sz w:val="24"/>
              </w:rPr>
            </w:pPr>
          </w:p>
          <w:p w:rsidR="0056067F" w:rsidRDefault="0056067F">
            <w:pPr>
              <w:pStyle w:val="TableParagraph"/>
              <w:spacing w:before="2"/>
            </w:pPr>
          </w:p>
          <w:p w:rsidR="0056067F" w:rsidRDefault="003F3153">
            <w:pPr>
              <w:pStyle w:val="TableParagraph"/>
              <w:ind w:left="64"/>
            </w:pPr>
            <w:r>
              <w:t>Analyst</w:t>
            </w:r>
          </w:p>
        </w:tc>
        <w:tc>
          <w:tcPr>
            <w:tcW w:w="1709" w:type="dxa"/>
          </w:tcPr>
          <w:p w:rsidR="0056067F" w:rsidRDefault="0056067F">
            <w:pPr>
              <w:pStyle w:val="TableParagraph"/>
              <w:rPr>
                <w:sz w:val="24"/>
              </w:rPr>
            </w:pPr>
          </w:p>
          <w:p w:rsidR="0056067F" w:rsidRDefault="0056067F">
            <w:pPr>
              <w:pStyle w:val="TableParagraph"/>
              <w:spacing w:before="2"/>
            </w:pPr>
          </w:p>
          <w:p w:rsidR="0056067F" w:rsidRDefault="003F3153">
            <w:pPr>
              <w:pStyle w:val="TableParagraph"/>
              <w:ind w:left="701" w:right="703"/>
              <w:jc w:val="center"/>
            </w:pPr>
            <w:r>
              <w:t>17</w:t>
            </w:r>
          </w:p>
        </w:tc>
        <w:tc>
          <w:tcPr>
            <w:tcW w:w="1620" w:type="dxa"/>
          </w:tcPr>
          <w:p w:rsidR="0056067F" w:rsidRDefault="0056067F">
            <w:pPr>
              <w:pStyle w:val="TableParagraph"/>
              <w:rPr>
                <w:sz w:val="24"/>
              </w:rPr>
            </w:pPr>
          </w:p>
          <w:p w:rsidR="0056067F" w:rsidRDefault="0056067F">
            <w:pPr>
              <w:pStyle w:val="TableParagraph"/>
              <w:spacing w:before="2"/>
            </w:pPr>
          </w:p>
          <w:p w:rsidR="0056067F" w:rsidRDefault="003F3153">
            <w:pPr>
              <w:pStyle w:val="TableParagraph"/>
              <w:ind w:left="5"/>
              <w:jc w:val="center"/>
            </w:pPr>
            <w:r>
              <w:t>1</w:t>
            </w:r>
          </w:p>
        </w:tc>
        <w:tc>
          <w:tcPr>
            <w:tcW w:w="1260" w:type="dxa"/>
          </w:tcPr>
          <w:p w:rsidR="0056067F" w:rsidRDefault="0056067F">
            <w:pPr>
              <w:pStyle w:val="TableParagraph"/>
              <w:rPr>
                <w:sz w:val="24"/>
              </w:rPr>
            </w:pPr>
          </w:p>
          <w:p w:rsidR="0056067F" w:rsidRDefault="0056067F">
            <w:pPr>
              <w:pStyle w:val="TableParagraph"/>
              <w:spacing w:before="2"/>
            </w:pPr>
          </w:p>
          <w:p w:rsidR="0056067F" w:rsidRDefault="003F3153">
            <w:pPr>
              <w:pStyle w:val="TableParagraph"/>
              <w:ind w:left="5"/>
              <w:jc w:val="center"/>
            </w:pPr>
            <w:r>
              <w:t>1</w:t>
            </w:r>
          </w:p>
        </w:tc>
        <w:tc>
          <w:tcPr>
            <w:tcW w:w="1440" w:type="dxa"/>
          </w:tcPr>
          <w:p w:rsidR="0056067F" w:rsidRDefault="0056067F">
            <w:pPr>
              <w:pStyle w:val="TableParagraph"/>
              <w:rPr>
                <w:sz w:val="24"/>
              </w:rPr>
            </w:pPr>
          </w:p>
          <w:p w:rsidR="0056067F" w:rsidRDefault="0056067F">
            <w:pPr>
              <w:pStyle w:val="TableParagraph"/>
              <w:spacing w:before="2"/>
            </w:pPr>
          </w:p>
          <w:p w:rsidR="0056067F" w:rsidRDefault="003F3153">
            <w:pPr>
              <w:pStyle w:val="TableParagraph"/>
              <w:ind w:left="391"/>
            </w:pPr>
            <w:r>
              <w:t>$95.60</w:t>
            </w:r>
          </w:p>
        </w:tc>
        <w:tc>
          <w:tcPr>
            <w:tcW w:w="1351" w:type="dxa"/>
          </w:tcPr>
          <w:p w:rsidR="0056067F" w:rsidRDefault="0056067F">
            <w:pPr>
              <w:pStyle w:val="TableParagraph"/>
              <w:rPr>
                <w:sz w:val="24"/>
              </w:rPr>
            </w:pPr>
          </w:p>
          <w:p w:rsidR="0056067F" w:rsidRDefault="0056067F">
            <w:pPr>
              <w:pStyle w:val="TableParagraph"/>
              <w:spacing w:before="2"/>
            </w:pPr>
          </w:p>
          <w:p w:rsidR="0056067F" w:rsidRDefault="003F3153">
            <w:pPr>
              <w:pStyle w:val="TableParagraph"/>
              <w:ind w:left="201"/>
            </w:pPr>
            <w:r>
              <w:t>$1,625.20</w:t>
            </w:r>
          </w:p>
        </w:tc>
      </w:tr>
      <w:tr w:rsidR="0056067F">
        <w:trPr>
          <w:trHeight w:hRule="exact" w:val="454"/>
        </w:trPr>
        <w:tc>
          <w:tcPr>
            <w:tcW w:w="1812" w:type="dxa"/>
          </w:tcPr>
          <w:p w:rsidR="0056067F" w:rsidRDefault="003F3153">
            <w:pPr>
              <w:pStyle w:val="TableParagraph"/>
              <w:spacing w:before="61"/>
              <w:ind w:left="64"/>
              <w:rPr>
                <w:b/>
              </w:rPr>
            </w:pPr>
            <w:r>
              <w:rPr>
                <w:b/>
              </w:rPr>
              <w:t>Total</w:t>
            </w:r>
          </w:p>
        </w:tc>
        <w:tc>
          <w:tcPr>
            <w:tcW w:w="1709" w:type="dxa"/>
          </w:tcPr>
          <w:p w:rsidR="0056067F" w:rsidRDefault="0056067F"/>
        </w:tc>
        <w:tc>
          <w:tcPr>
            <w:tcW w:w="1620" w:type="dxa"/>
          </w:tcPr>
          <w:p w:rsidR="0056067F" w:rsidRDefault="0056067F"/>
        </w:tc>
        <w:tc>
          <w:tcPr>
            <w:tcW w:w="1260" w:type="dxa"/>
          </w:tcPr>
          <w:p w:rsidR="0056067F" w:rsidRDefault="003F3153">
            <w:pPr>
              <w:pStyle w:val="TableParagraph"/>
              <w:spacing w:before="61"/>
              <w:ind w:left="5"/>
              <w:jc w:val="center"/>
              <w:rPr>
                <w:b/>
              </w:rPr>
            </w:pPr>
            <w:r>
              <w:rPr>
                <w:b/>
              </w:rPr>
              <w:t>2</w:t>
            </w:r>
          </w:p>
        </w:tc>
        <w:tc>
          <w:tcPr>
            <w:tcW w:w="1440" w:type="dxa"/>
          </w:tcPr>
          <w:p w:rsidR="0056067F" w:rsidRDefault="0056067F"/>
        </w:tc>
        <w:tc>
          <w:tcPr>
            <w:tcW w:w="1351" w:type="dxa"/>
          </w:tcPr>
          <w:p w:rsidR="0056067F" w:rsidRDefault="003F3153">
            <w:pPr>
              <w:pStyle w:val="TableParagraph"/>
              <w:spacing w:before="61"/>
              <w:ind w:left="201"/>
              <w:rPr>
                <w:b/>
              </w:rPr>
            </w:pPr>
            <w:r>
              <w:rPr>
                <w:b/>
              </w:rPr>
              <w:t>$3,055.92</w:t>
            </w:r>
          </w:p>
        </w:tc>
      </w:tr>
    </w:tbl>
    <w:p w:rsidR="0056067F" w:rsidRDefault="0056067F">
      <w:pPr>
        <w:pStyle w:val="BodyText"/>
        <w:spacing w:before="5"/>
        <w:rPr>
          <w:sz w:val="15"/>
        </w:rPr>
      </w:pPr>
    </w:p>
    <w:p w:rsidR="0056067F" w:rsidRDefault="003F3153">
      <w:pPr>
        <w:pStyle w:val="ListParagraph"/>
        <w:numPr>
          <w:ilvl w:val="0"/>
          <w:numId w:val="1"/>
        </w:numPr>
        <w:tabs>
          <w:tab w:val="left" w:pos="558"/>
          <w:tab w:val="left" w:pos="559"/>
        </w:tabs>
        <w:spacing w:before="92"/>
        <w:ind w:right="1340"/>
        <w:rPr>
          <w:sz w:val="24"/>
        </w:rPr>
      </w:pPr>
      <w:r>
        <w:rPr>
          <w:sz w:val="24"/>
          <w:u w:val="single"/>
        </w:rPr>
        <w:t>Compile data and prepare summary of financial and programmatic audit report(s) and submit to</w:t>
      </w:r>
      <w:r>
        <w:rPr>
          <w:spacing w:val="-14"/>
          <w:sz w:val="24"/>
          <w:u w:val="single"/>
        </w:rPr>
        <w:t xml:space="preserve"> </w:t>
      </w:r>
      <w:r>
        <w:rPr>
          <w:sz w:val="24"/>
          <w:u w:val="single"/>
        </w:rPr>
        <w:t>CMS</w:t>
      </w:r>
    </w:p>
    <w:p w:rsidR="0056067F" w:rsidRDefault="0056067F">
      <w:pPr>
        <w:pStyle w:val="BodyText"/>
        <w:spacing w:before="3"/>
        <w:rPr>
          <w:sz w:val="16"/>
        </w:rPr>
      </w:pPr>
    </w:p>
    <w:p w:rsidR="0056067F" w:rsidRDefault="003F3153">
      <w:pPr>
        <w:spacing w:before="93"/>
        <w:ind w:left="558" w:right="698"/>
        <w:rPr>
          <w:sz w:val="23"/>
        </w:rPr>
      </w:pPr>
      <w:r>
        <w:rPr>
          <w:sz w:val="23"/>
        </w:rPr>
        <w:t>Section 155.1200(c) (1) through (3) directs SBEs to engage an independent audit/review organization to perform an external financial and programmatic audit. SBEs provide the results of the audit and identify any material weakness or significant deficiency and intended corrective action in a public summary. The burden associated with this third party disclosure requirement includes the burden for an analyst level employee taking 3 hours (at $95.60 an hour) to pull data into a report, the time and effort necessary for a health policy analyst taking 2 hours (at</w:t>
      </w:r>
    </w:p>
    <w:p w:rsidR="0056067F" w:rsidRDefault="003F3153">
      <w:pPr>
        <w:ind w:left="558" w:right="660"/>
        <w:rPr>
          <w:sz w:val="23"/>
        </w:rPr>
      </w:pPr>
      <w:r>
        <w:rPr>
          <w:sz w:val="23"/>
        </w:rPr>
        <w:t>$89.84 an hour) to prepare the report of the audit results, and the time for senior management taking 1 hour (at $118.70 an hour) to review and submit to CMS. We estimate a burden of 6 hours at a cost of $585.18 for each SBE. Therefore, the aggregate burden for the 17 SBEs is 108 hours at a cost of $9,948.06.</w:t>
      </w:r>
    </w:p>
    <w:p w:rsidR="0056067F" w:rsidRDefault="0056067F">
      <w:pPr>
        <w:pStyle w:val="BodyText"/>
        <w:spacing w:before="3" w:after="1"/>
        <w:rPr>
          <w:sz w:val="23"/>
        </w:rPr>
      </w:pPr>
    </w:p>
    <w:tbl>
      <w:tblPr>
        <w:tblW w:w="0" w:type="auto"/>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2"/>
        <w:gridCol w:w="1709"/>
        <w:gridCol w:w="1620"/>
        <w:gridCol w:w="1260"/>
        <w:gridCol w:w="1440"/>
        <w:gridCol w:w="1351"/>
      </w:tblGrid>
      <w:tr w:rsidR="0056067F">
        <w:trPr>
          <w:trHeight w:hRule="exact" w:val="1459"/>
        </w:trPr>
        <w:tc>
          <w:tcPr>
            <w:tcW w:w="1812" w:type="dxa"/>
          </w:tcPr>
          <w:p w:rsidR="0056067F" w:rsidRDefault="003F3153">
            <w:pPr>
              <w:pStyle w:val="TableParagraph"/>
              <w:spacing w:before="67"/>
              <w:ind w:left="192" w:right="187" w:firstLine="273"/>
              <w:rPr>
                <w:b/>
              </w:rPr>
            </w:pPr>
            <w:r>
              <w:rPr>
                <w:b/>
                <w:w w:val="115"/>
              </w:rPr>
              <w:t xml:space="preserve">Type of </w:t>
            </w:r>
            <w:r>
              <w:rPr>
                <w:b/>
                <w:w w:val="110"/>
              </w:rPr>
              <w:t>Respondent</w:t>
            </w:r>
          </w:p>
        </w:tc>
        <w:tc>
          <w:tcPr>
            <w:tcW w:w="1709" w:type="dxa"/>
          </w:tcPr>
          <w:p w:rsidR="0056067F" w:rsidRDefault="003F3153">
            <w:pPr>
              <w:pStyle w:val="TableParagraph"/>
              <w:spacing w:before="67"/>
              <w:ind w:left="71" w:firstLine="163"/>
              <w:rPr>
                <w:b/>
              </w:rPr>
            </w:pPr>
            <w:r>
              <w:rPr>
                <w:b/>
                <w:w w:val="115"/>
              </w:rPr>
              <w:t xml:space="preserve">Number of </w:t>
            </w:r>
            <w:r>
              <w:rPr>
                <w:b/>
                <w:w w:val="110"/>
              </w:rPr>
              <w:t>Respondents</w:t>
            </w:r>
          </w:p>
        </w:tc>
        <w:tc>
          <w:tcPr>
            <w:tcW w:w="1620" w:type="dxa"/>
          </w:tcPr>
          <w:p w:rsidR="0056067F" w:rsidRDefault="003F3153">
            <w:pPr>
              <w:pStyle w:val="TableParagraph"/>
              <w:spacing w:before="67"/>
              <w:ind w:left="96" w:right="94" w:hanging="3"/>
              <w:jc w:val="center"/>
              <w:rPr>
                <w:b/>
              </w:rPr>
            </w:pPr>
            <w:r>
              <w:rPr>
                <w:b/>
                <w:w w:val="115"/>
              </w:rPr>
              <w:t xml:space="preserve">Responses per   </w:t>
            </w:r>
            <w:r>
              <w:rPr>
                <w:b/>
                <w:w w:val="110"/>
              </w:rPr>
              <w:t>Respondent</w:t>
            </w:r>
          </w:p>
        </w:tc>
        <w:tc>
          <w:tcPr>
            <w:tcW w:w="1260" w:type="dxa"/>
          </w:tcPr>
          <w:p w:rsidR="0056067F" w:rsidRDefault="003F3153">
            <w:pPr>
              <w:pStyle w:val="TableParagraph"/>
              <w:spacing w:before="67"/>
              <w:ind w:left="194" w:right="136" w:hanging="56"/>
              <w:jc w:val="both"/>
              <w:rPr>
                <w:b/>
              </w:rPr>
            </w:pPr>
            <w:r>
              <w:rPr>
                <w:b/>
                <w:w w:val="110"/>
              </w:rPr>
              <w:t xml:space="preserve">Average </w:t>
            </w:r>
            <w:r>
              <w:rPr>
                <w:b/>
                <w:w w:val="115"/>
              </w:rPr>
              <w:t>Burden Hours</w:t>
            </w:r>
          </w:p>
        </w:tc>
        <w:tc>
          <w:tcPr>
            <w:tcW w:w="1440" w:type="dxa"/>
          </w:tcPr>
          <w:p w:rsidR="0056067F" w:rsidRDefault="003F3153">
            <w:pPr>
              <w:pStyle w:val="TableParagraph"/>
              <w:spacing w:before="67"/>
              <w:ind w:left="80" w:right="81"/>
              <w:jc w:val="center"/>
              <w:rPr>
                <w:b/>
              </w:rPr>
            </w:pPr>
            <w:r>
              <w:rPr>
                <w:b/>
                <w:w w:val="115"/>
              </w:rPr>
              <w:t>Wage per Hour</w:t>
            </w:r>
          </w:p>
          <w:p w:rsidR="0056067F" w:rsidRDefault="003F3153">
            <w:pPr>
              <w:pStyle w:val="TableParagraph"/>
              <w:ind w:left="88" w:right="81"/>
              <w:jc w:val="center"/>
              <w:rPr>
                <w:b/>
              </w:rPr>
            </w:pPr>
            <w:r>
              <w:rPr>
                <w:b/>
                <w:w w:val="115"/>
              </w:rPr>
              <w:t>(incl 100%</w:t>
            </w:r>
            <w:r>
              <w:rPr>
                <w:b/>
                <w:w w:val="114"/>
              </w:rPr>
              <w:t xml:space="preserve"> </w:t>
            </w:r>
            <w:r>
              <w:rPr>
                <w:b/>
                <w:w w:val="115"/>
              </w:rPr>
              <w:t>benefits fringe)</w:t>
            </w:r>
          </w:p>
        </w:tc>
        <w:tc>
          <w:tcPr>
            <w:tcW w:w="1351" w:type="dxa"/>
          </w:tcPr>
          <w:p w:rsidR="0056067F" w:rsidRDefault="003F3153">
            <w:pPr>
              <w:pStyle w:val="TableParagraph"/>
              <w:spacing w:before="67"/>
              <w:ind w:left="328" w:right="230" w:hanging="89"/>
              <w:rPr>
                <w:b/>
              </w:rPr>
            </w:pPr>
            <w:r>
              <w:rPr>
                <w:b/>
                <w:w w:val="110"/>
              </w:rPr>
              <w:t xml:space="preserve">Burden </w:t>
            </w:r>
            <w:r>
              <w:rPr>
                <w:b/>
                <w:w w:val="115"/>
              </w:rPr>
              <w:t>Costs</w:t>
            </w:r>
          </w:p>
        </w:tc>
      </w:tr>
      <w:tr w:rsidR="0056067F">
        <w:trPr>
          <w:trHeight w:hRule="exact" w:val="1274"/>
        </w:trPr>
        <w:tc>
          <w:tcPr>
            <w:tcW w:w="1812"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64"/>
            </w:pPr>
            <w:r>
              <w:t>Analyst</w:t>
            </w:r>
          </w:p>
        </w:tc>
        <w:tc>
          <w:tcPr>
            <w:tcW w:w="1709"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701" w:right="703"/>
              <w:jc w:val="center"/>
            </w:pPr>
            <w:r>
              <w:t>17</w:t>
            </w:r>
          </w:p>
        </w:tc>
        <w:tc>
          <w:tcPr>
            <w:tcW w:w="162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5"/>
              <w:jc w:val="center"/>
            </w:pPr>
            <w:r>
              <w:t>1</w:t>
            </w:r>
          </w:p>
        </w:tc>
        <w:tc>
          <w:tcPr>
            <w:tcW w:w="126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5"/>
              <w:jc w:val="center"/>
            </w:pPr>
            <w:r>
              <w:t>3</w:t>
            </w:r>
          </w:p>
        </w:tc>
        <w:tc>
          <w:tcPr>
            <w:tcW w:w="144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84" w:right="81"/>
              <w:jc w:val="center"/>
            </w:pPr>
            <w:r>
              <w:t>$95.60</w:t>
            </w:r>
          </w:p>
        </w:tc>
        <w:tc>
          <w:tcPr>
            <w:tcW w:w="1351"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201"/>
            </w:pPr>
            <w:r>
              <w:t>$4,875.60</w:t>
            </w:r>
          </w:p>
        </w:tc>
      </w:tr>
      <w:tr w:rsidR="0056067F">
        <w:trPr>
          <w:trHeight w:hRule="exact" w:val="1274"/>
        </w:trPr>
        <w:tc>
          <w:tcPr>
            <w:tcW w:w="1812" w:type="dxa"/>
          </w:tcPr>
          <w:p w:rsidR="0056067F" w:rsidRDefault="0056067F">
            <w:pPr>
              <w:pStyle w:val="TableParagraph"/>
              <w:spacing w:before="7"/>
              <w:rPr>
                <w:sz w:val="35"/>
              </w:rPr>
            </w:pPr>
          </w:p>
          <w:p w:rsidR="0056067F" w:rsidRDefault="003F3153">
            <w:pPr>
              <w:pStyle w:val="TableParagraph"/>
              <w:spacing w:before="1"/>
              <w:ind w:left="64" w:right="429"/>
            </w:pPr>
            <w:r>
              <w:t>Health Policy Analyst</w:t>
            </w:r>
          </w:p>
        </w:tc>
        <w:tc>
          <w:tcPr>
            <w:tcW w:w="1709"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701" w:right="703"/>
              <w:jc w:val="center"/>
            </w:pPr>
            <w:r>
              <w:t>17</w:t>
            </w:r>
          </w:p>
        </w:tc>
        <w:tc>
          <w:tcPr>
            <w:tcW w:w="162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5"/>
              <w:jc w:val="center"/>
            </w:pPr>
            <w:r>
              <w:t>1</w:t>
            </w:r>
          </w:p>
        </w:tc>
        <w:tc>
          <w:tcPr>
            <w:tcW w:w="126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5"/>
              <w:jc w:val="center"/>
            </w:pPr>
            <w:r>
              <w:t>2</w:t>
            </w:r>
          </w:p>
        </w:tc>
        <w:tc>
          <w:tcPr>
            <w:tcW w:w="144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84" w:right="81"/>
              <w:jc w:val="center"/>
            </w:pPr>
            <w:r>
              <w:t>$89.84</w:t>
            </w:r>
          </w:p>
        </w:tc>
        <w:tc>
          <w:tcPr>
            <w:tcW w:w="1351"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201"/>
            </w:pPr>
            <w:r>
              <w:t>$3,054.56</w:t>
            </w:r>
          </w:p>
        </w:tc>
      </w:tr>
      <w:tr w:rsidR="0056067F">
        <w:trPr>
          <w:trHeight w:hRule="exact" w:val="905"/>
        </w:trPr>
        <w:tc>
          <w:tcPr>
            <w:tcW w:w="1812" w:type="dxa"/>
          </w:tcPr>
          <w:p w:rsidR="0056067F" w:rsidRDefault="0056067F">
            <w:pPr>
              <w:pStyle w:val="TableParagraph"/>
              <w:spacing w:before="7"/>
              <w:rPr>
                <w:sz w:val="19"/>
              </w:rPr>
            </w:pPr>
          </w:p>
          <w:p w:rsidR="0056067F" w:rsidRDefault="003F3153">
            <w:pPr>
              <w:pStyle w:val="TableParagraph"/>
              <w:ind w:left="64" w:right="551"/>
            </w:pPr>
            <w:r>
              <w:t>Senior Manager</w:t>
            </w:r>
          </w:p>
        </w:tc>
        <w:tc>
          <w:tcPr>
            <w:tcW w:w="1709" w:type="dxa"/>
          </w:tcPr>
          <w:p w:rsidR="0056067F" w:rsidRDefault="0056067F">
            <w:pPr>
              <w:pStyle w:val="TableParagraph"/>
              <w:spacing w:before="7"/>
              <w:rPr>
                <w:sz w:val="30"/>
              </w:rPr>
            </w:pPr>
          </w:p>
          <w:p w:rsidR="0056067F" w:rsidRDefault="003F3153">
            <w:pPr>
              <w:pStyle w:val="TableParagraph"/>
              <w:spacing w:before="1"/>
              <w:ind w:left="701" w:right="703"/>
              <w:jc w:val="center"/>
            </w:pPr>
            <w:r>
              <w:t>17</w:t>
            </w:r>
          </w:p>
        </w:tc>
        <w:tc>
          <w:tcPr>
            <w:tcW w:w="1620" w:type="dxa"/>
          </w:tcPr>
          <w:p w:rsidR="0056067F" w:rsidRDefault="0056067F">
            <w:pPr>
              <w:pStyle w:val="TableParagraph"/>
              <w:spacing w:before="7"/>
              <w:rPr>
                <w:sz w:val="30"/>
              </w:rPr>
            </w:pPr>
          </w:p>
          <w:p w:rsidR="0056067F" w:rsidRDefault="003F3153">
            <w:pPr>
              <w:pStyle w:val="TableParagraph"/>
              <w:spacing w:before="1"/>
              <w:ind w:left="5"/>
              <w:jc w:val="center"/>
            </w:pPr>
            <w:r>
              <w:t>1</w:t>
            </w:r>
          </w:p>
        </w:tc>
        <w:tc>
          <w:tcPr>
            <w:tcW w:w="1260" w:type="dxa"/>
          </w:tcPr>
          <w:p w:rsidR="0056067F" w:rsidRDefault="0056067F">
            <w:pPr>
              <w:pStyle w:val="TableParagraph"/>
              <w:spacing w:before="7"/>
              <w:rPr>
                <w:sz w:val="30"/>
              </w:rPr>
            </w:pPr>
          </w:p>
          <w:p w:rsidR="0056067F" w:rsidRDefault="003F3153">
            <w:pPr>
              <w:pStyle w:val="TableParagraph"/>
              <w:spacing w:before="1"/>
              <w:ind w:left="5"/>
              <w:jc w:val="center"/>
            </w:pPr>
            <w:r>
              <w:t>1</w:t>
            </w:r>
          </w:p>
        </w:tc>
        <w:tc>
          <w:tcPr>
            <w:tcW w:w="1440" w:type="dxa"/>
          </w:tcPr>
          <w:p w:rsidR="0056067F" w:rsidRDefault="0056067F">
            <w:pPr>
              <w:pStyle w:val="TableParagraph"/>
              <w:spacing w:before="7"/>
              <w:rPr>
                <w:sz w:val="30"/>
              </w:rPr>
            </w:pPr>
          </w:p>
          <w:p w:rsidR="0056067F" w:rsidRDefault="003F3153">
            <w:pPr>
              <w:pStyle w:val="TableParagraph"/>
              <w:spacing w:before="1"/>
              <w:ind w:left="82" w:right="81"/>
              <w:jc w:val="center"/>
            </w:pPr>
            <w:r>
              <w:t>$118.70</w:t>
            </w:r>
          </w:p>
        </w:tc>
        <w:tc>
          <w:tcPr>
            <w:tcW w:w="1351" w:type="dxa"/>
          </w:tcPr>
          <w:p w:rsidR="0056067F" w:rsidRDefault="0056067F">
            <w:pPr>
              <w:pStyle w:val="TableParagraph"/>
              <w:spacing w:before="7"/>
              <w:rPr>
                <w:sz w:val="30"/>
              </w:rPr>
            </w:pPr>
          </w:p>
          <w:p w:rsidR="0056067F" w:rsidRDefault="003F3153">
            <w:pPr>
              <w:pStyle w:val="TableParagraph"/>
              <w:spacing w:before="1"/>
              <w:ind w:left="201"/>
            </w:pPr>
            <w:r>
              <w:t>$2,017.90</w:t>
            </w:r>
          </w:p>
        </w:tc>
      </w:tr>
      <w:tr w:rsidR="0056067F">
        <w:trPr>
          <w:trHeight w:hRule="exact" w:val="535"/>
        </w:trPr>
        <w:tc>
          <w:tcPr>
            <w:tcW w:w="1812" w:type="dxa"/>
          </w:tcPr>
          <w:p w:rsidR="0056067F" w:rsidRDefault="003F3153">
            <w:pPr>
              <w:pStyle w:val="TableParagraph"/>
              <w:spacing w:before="67"/>
              <w:ind w:left="64"/>
              <w:rPr>
                <w:b/>
              </w:rPr>
            </w:pPr>
            <w:r>
              <w:rPr>
                <w:b/>
              </w:rPr>
              <w:t>Total</w:t>
            </w:r>
          </w:p>
        </w:tc>
        <w:tc>
          <w:tcPr>
            <w:tcW w:w="1709" w:type="dxa"/>
          </w:tcPr>
          <w:p w:rsidR="0056067F" w:rsidRDefault="0056067F"/>
        </w:tc>
        <w:tc>
          <w:tcPr>
            <w:tcW w:w="1620" w:type="dxa"/>
          </w:tcPr>
          <w:p w:rsidR="0056067F" w:rsidRDefault="0056067F"/>
        </w:tc>
        <w:tc>
          <w:tcPr>
            <w:tcW w:w="1260" w:type="dxa"/>
          </w:tcPr>
          <w:p w:rsidR="0056067F" w:rsidRDefault="003F3153">
            <w:pPr>
              <w:pStyle w:val="TableParagraph"/>
              <w:spacing w:before="67"/>
              <w:ind w:left="5"/>
              <w:jc w:val="center"/>
              <w:rPr>
                <w:b/>
              </w:rPr>
            </w:pPr>
            <w:r>
              <w:rPr>
                <w:b/>
              </w:rPr>
              <w:t>6</w:t>
            </w:r>
          </w:p>
        </w:tc>
        <w:tc>
          <w:tcPr>
            <w:tcW w:w="1440" w:type="dxa"/>
          </w:tcPr>
          <w:p w:rsidR="0056067F" w:rsidRDefault="0056067F"/>
        </w:tc>
        <w:tc>
          <w:tcPr>
            <w:tcW w:w="1351" w:type="dxa"/>
          </w:tcPr>
          <w:p w:rsidR="0056067F" w:rsidRDefault="003F3153">
            <w:pPr>
              <w:pStyle w:val="TableParagraph"/>
              <w:spacing w:before="67"/>
              <w:ind w:left="201"/>
              <w:rPr>
                <w:b/>
              </w:rPr>
            </w:pPr>
            <w:r>
              <w:rPr>
                <w:b/>
              </w:rPr>
              <w:t>$9,948.06</w:t>
            </w:r>
          </w:p>
        </w:tc>
      </w:tr>
    </w:tbl>
    <w:p w:rsidR="0056067F" w:rsidRDefault="0056067F">
      <w:pPr>
        <w:pStyle w:val="BodyText"/>
        <w:spacing w:before="0"/>
        <w:rPr>
          <w:sz w:val="26"/>
        </w:rPr>
      </w:pPr>
    </w:p>
    <w:p w:rsidR="0056067F" w:rsidRDefault="0056067F">
      <w:pPr>
        <w:pStyle w:val="BodyText"/>
        <w:rPr>
          <w:sz w:val="22"/>
        </w:rPr>
      </w:pPr>
    </w:p>
    <w:p w:rsidR="0056067F" w:rsidRDefault="003F3153">
      <w:pPr>
        <w:pStyle w:val="Heading1"/>
        <w:numPr>
          <w:ilvl w:val="0"/>
          <w:numId w:val="2"/>
        </w:numPr>
        <w:tabs>
          <w:tab w:val="left" w:pos="858"/>
          <w:tab w:val="left" w:pos="859"/>
        </w:tabs>
        <w:spacing w:before="1"/>
        <w:ind w:left="858" w:hanging="626"/>
        <w:jc w:val="left"/>
      </w:pPr>
      <w:r>
        <w:t>Program</w:t>
      </w:r>
      <w:r>
        <w:rPr>
          <w:spacing w:val="-5"/>
        </w:rPr>
        <w:t xml:space="preserve"> </w:t>
      </w:r>
      <w:r>
        <w:t>Integrity</w:t>
      </w:r>
    </w:p>
    <w:p w:rsidR="0056067F" w:rsidRDefault="0056067F">
      <w:pPr>
        <w:pStyle w:val="BodyText"/>
        <w:spacing w:before="4"/>
        <w:rPr>
          <w:b/>
        </w:rPr>
      </w:pPr>
    </w:p>
    <w:p w:rsidR="0056067F" w:rsidRDefault="003F3153">
      <w:pPr>
        <w:pStyle w:val="BodyText"/>
        <w:spacing w:before="1"/>
        <w:ind w:left="858" w:right="850"/>
      </w:pPr>
      <w:r>
        <w:t>All SBEs, including SBE-FPs, are required to attest to several program integrity requirements, including maintenance of records and development and maintenance of policies and procedures related to oversight and monitoring, fraud, waste, and abuse, and non-discrimination.</w:t>
      </w:r>
    </w:p>
    <w:p w:rsidR="0056067F" w:rsidRDefault="0056067F">
      <w:pPr>
        <w:sectPr w:rsidR="0056067F">
          <w:pgSz w:w="12240" w:h="15840"/>
          <w:pgMar w:top="1360" w:right="1420" w:bottom="280" w:left="1220" w:header="720" w:footer="720" w:gutter="0"/>
          <w:cols w:space="720"/>
        </w:sectPr>
      </w:pPr>
    </w:p>
    <w:p w:rsidR="0056067F" w:rsidRDefault="003F3153">
      <w:pPr>
        <w:pStyle w:val="ListParagraph"/>
        <w:numPr>
          <w:ilvl w:val="0"/>
          <w:numId w:val="1"/>
        </w:numPr>
        <w:tabs>
          <w:tab w:val="left" w:pos="558"/>
          <w:tab w:val="left" w:pos="559"/>
        </w:tabs>
        <w:spacing w:before="130"/>
        <w:rPr>
          <w:sz w:val="24"/>
        </w:rPr>
      </w:pPr>
      <w:r>
        <w:rPr>
          <w:sz w:val="24"/>
          <w:u w:val="single"/>
        </w:rPr>
        <w:t>Maintenance of</w:t>
      </w:r>
      <w:r>
        <w:rPr>
          <w:spacing w:val="-12"/>
          <w:sz w:val="24"/>
          <w:u w:val="single"/>
        </w:rPr>
        <w:t xml:space="preserve"> </w:t>
      </w:r>
      <w:r>
        <w:rPr>
          <w:sz w:val="24"/>
          <w:u w:val="single"/>
        </w:rPr>
        <w:t>records</w:t>
      </w:r>
    </w:p>
    <w:p w:rsidR="0056067F" w:rsidRDefault="0056067F">
      <w:pPr>
        <w:pStyle w:val="BodyText"/>
        <w:spacing w:before="3"/>
        <w:rPr>
          <w:sz w:val="16"/>
        </w:rPr>
      </w:pPr>
    </w:p>
    <w:p w:rsidR="0056067F" w:rsidRDefault="003F3153">
      <w:pPr>
        <w:spacing w:before="93"/>
        <w:ind w:left="558" w:right="705"/>
        <w:rPr>
          <w:sz w:val="23"/>
        </w:rPr>
      </w:pPr>
      <w:r>
        <w:rPr>
          <w:sz w:val="23"/>
        </w:rPr>
        <w:t>As stated in §155.1210(a), SBEs and their contractors, subcontractors, and agents must maintain for 10 years, books, records, documents, and other evidence of accounting procedures and practices. Section 155.1210(b) specifies that the records include information concerning management and operation of the SBE’s financial and other record keeping systems. The records must also include financial statements, including cash flow statements, and accounts receivable</w:t>
      </w:r>
      <w:r>
        <w:rPr>
          <w:spacing w:val="-22"/>
          <w:sz w:val="23"/>
        </w:rPr>
        <w:t xml:space="preserve"> </w:t>
      </w:r>
      <w:r>
        <w:rPr>
          <w:sz w:val="23"/>
        </w:rPr>
        <w:t>and matters pertaining to the costs of operation. The burden associated with this record keeping requirement includes the time and effort necessary for a network administrator taking 16 hours (at $83.02 an hour) to modify the State systems to maintain the information required under §155.1210(b), for a health policy analyst taking 8 hours (at $89.84 an hour) to enter the data under §155.1210(b) into the SBE record retention system, and for senior management taking 2 hours</w:t>
      </w:r>
      <w:r>
        <w:rPr>
          <w:spacing w:val="-20"/>
          <w:sz w:val="23"/>
        </w:rPr>
        <w:t xml:space="preserve"> </w:t>
      </w:r>
      <w:r>
        <w:rPr>
          <w:sz w:val="23"/>
        </w:rPr>
        <w:t>(at</w:t>
      </w:r>
    </w:p>
    <w:p w:rsidR="0056067F" w:rsidRDefault="003F3153">
      <w:pPr>
        <w:ind w:left="557" w:right="878"/>
        <w:rPr>
          <w:sz w:val="23"/>
        </w:rPr>
      </w:pPr>
      <w:r>
        <w:rPr>
          <w:sz w:val="23"/>
        </w:rPr>
        <w:t>$118.70 an hour) to oversee record collection and retention. We estimate that it will take 26 hours at a cost of $2,284.44 for each SBE. Therefore, the aggregate burden for the 17 SBEs is 442 hours at a cost of $38,835.48.</w:t>
      </w:r>
    </w:p>
    <w:p w:rsidR="0056067F" w:rsidRDefault="0056067F">
      <w:pPr>
        <w:pStyle w:val="BodyText"/>
        <w:spacing w:before="6"/>
        <w:rPr>
          <w:sz w:val="23"/>
        </w:rPr>
      </w:pPr>
    </w:p>
    <w:tbl>
      <w:tblPr>
        <w:tblW w:w="0" w:type="auto"/>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2"/>
        <w:gridCol w:w="1709"/>
        <w:gridCol w:w="1620"/>
        <w:gridCol w:w="1260"/>
        <w:gridCol w:w="1440"/>
        <w:gridCol w:w="1351"/>
      </w:tblGrid>
      <w:tr w:rsidR="0056067F">
        <w:trPr>
          <w:trHeight w:hRule="exact" w:val="1615"/>
        </w:trPr>
        <w:tc>
          <w:tcPr>
            <w:tcW w:w="1812" w:type="dxa"/>
          </w:tcPr>
          <w:p w:rsidR="0056067F" w:rsidRDefault="003F3153">
            <w:pPr>
              <w:pStyle w:val="TableParagraph"/>
              <w:spacing w:before="67"/>
              <w:ind w:left="192" w:right="187" w:firstLine="273"/>
              <w:rPr>
                <w:b/>
              </w:rPr>
            </w:pPr>
            <w:r>
              <w:rPr>
                <w:b/>
                <w:w w:val="115"/>
              </w:rPr>
              <w:t xml:space="preserve">Type of </w:t>
            </w:r>
            <w:r>
              <w:rPr>
                <w:b/>
                <w:w w:val="110"/>
              </w:rPr>
              <w:t>Respondent</w:t>
            </w:r>
          </w:p>
        </w:tc>
        <w:tc>
          <w:tcPr>
            <w:tcW w:w="1709" w:type="dxa"/>
          </w:tcPr>
          <w:p w:rsidR="0056067F" w:rsidRDefault="003F3153">
            <w:pPr>
              <w:pStyle w:val="TableParagraph"/>
              <w:spacing w:before="67"/>
              <w:ind w:left="71" w:firstLine="163"/>
              <w:rPr>
                <w:b/>
              </w:rPr>
            </w:pPr>
            <w:r>
              <w:rPr>
                <w:b/>
                <w:w w:val="115"/>
              </w:rPr>
              <w:t xml:space="preserve">Number of </w:t>
            </w:r>
            <w:r>
              <w:rPr>
                <w:b/>
                <w:w w:val="110"/>
              </w:rPr>
              <w:t>Respondents</w:t>
            </w:r>
          </w:p>
        </w:tc>
        <w:tc>
          <w:tcPr>
            <w:tcW w:w="1620" w:type="dxa"/>
          </w:tcPr>
          <w:p w:rsidR="0056067F" w:rsidRDefault="003F3153">
            <w:pPr>
              <w:pStyle w:val="TableParagraph"/>
              <w:spacing w:before="67"/>
              <w:ind w:left="96" w:right="94"/>
              <w:jc w:val="center"/>
              <w:rPr>
                <w:b/>
              </w:rPr>
            </w:pPr>
            <w:r>
              <w:rPr>
                <w:b/>
                <w:w w:val="115"/>
              </w:rPr>
              <w:t xml:space="preserve">Responses per   </w:t>
            </w:r>
            <w:r>
              <w:rPr>
                <w:b/>
                <w:w w:val="110"/>
              </w:rPr>
              <w:t>Respondent</w:t>
            </w:r>
          </w:p>
        </w:tc>
        <w:tc>
          <w:tcPr>
            <w:tcW w:w="1260" w:type="dxa"/>
          </w:tcPr>
          <w:p w:rsidR="0056067F" w:rsidRDefault="003F3153">
            <w:pPr>
              <w:pStyle w:val="TableParagraph"/>
              <w:spacing w:before="67"/>
              <w:ind w:left="194" w:right="136" w:hanging="56"/>
              <w:jc w:val="both"/>
              <w:rPr>
                <w:b/>
              </w:rPr>
            </w:pPr>
            <w:r>
              <w:rPr>
                <w:b/>
                <w:w w:val="110"/>
              </w:rPr>
              <w:t xml:space="preserve">Average </w:t>
            </w:r>
            <w:r>
              <w:rPr>
                <w:b/>
                <w:w w:val="115"/>
              </w:rPr>
              <w:t>Burden Hours</w:t>
            </w:r>
          </w:p>
        </w:tc>
        <w:tc>
          <w:tcPr>
            <w:tcW w:w="1440" w:type="dxa"/>
          </w:tcPr>
          <w:p w:rsidR="0056067F" w:rsidRDefault="003F3153">
            <w:pPr>
              <w:pStyle w:val="TableParagraph"/>
              <w:spacing w:before="67"/>
              <w:ind w:left="80" w:right="81"/>
              <w:jc w:val="center"/>
              <w:rPr>
                <w:b/>
              </w:rPr>
            </w:pPr>
            <w:r>
              <w:rPr>
                <w:b/>
                <w:w w:val="115"/>
              </w:rPr>
              <w:t>Wage per Hour</w:t>
            </w:r>
          </w:p>
          <w:p w:rsidR="0056067F" w:rsidRDefault="003F3153">
            <w:pPr>
              <w:pStyle w:val="TableParagraph"/>
              <w:spacing w:before="1"/>
              <w:ind w:left="88" w:right="81"/>
              <w:jc w:val="center"/>
              <w:rPr>
                <w:b/>
              </w:rPr>
            </w:pPr>
            <w:r>
              <w:rPr>
                <w:b/>
                <w:w w:val="115"/>
              </w:rPr>
              <w:t>(incl 100%</w:t>
            </w:r>
            <w:r>
              <w:rPr>
                <w:b/>
                <w:w w:val="114"/>
              </w:rPr>
              <w:t xml:space="preserve"> </w:t>
            </w:r>
            <w:r>
              <w:rPr>
                <w:b/>
                <w:w w:val="115"/>
              </w:rPr>
              <w:t>benefits fringe)</w:t>
            </w:r>
          </w:p>
        </w:tc>
        <w:tc>
          <w:tcPr>
            <w:tcW w:w="1351" w:type="dxa"/>
          </w:tcPr>
          <w:p w:rsidR="0056067F" w:rsidRDefault="003F3153">
            <w:pPr>
              <w:pStyle w:val="TableParagraph"/>
              <w:spacing w:before="67"/>
              <w:ind w:left="328" w:right="230" w:hanging="89"/>
              <w:rPr>
                <w:b/>
              </w:rPr>
            </w:pPr>
            <w:r>
              <w:rPr>
                <w:b/>
                <w:w w:val="110"/>
              </w:rPr>
              <w:t xml:space="preserve">Burden </w:t>
            </w:r>
            <w:r>
              <w:rPr>
                <w:b/>
                <w:w w:val="115"/>
              </w:rPr>
              <w:t>Costs</w:t>
            </w:r>
          </w:p>
        </w:tc>
      </w:tr>
      <w:tr w:rsidR="0056067F">
        <w:trPr>
          <w:trHeight w:hRule="exact" w:val="1274"/>
        </w:trPr>
        <w:tc>
          <w:tcPr>
            <w:tcW w:w="1812" w:type="dxa"/>
          </w:tcPr>
          <w:p w:rsidR="0056067F" w:rsidRDefault="0056067F">
            <w:pPr>
              <w:pStyle w:val="TableParagraph"/>
              <w:spacing w:before="5"/>
              <w:rPr>
                <w:sz w:val="35"/>
              </w:rPr>
            </w:pPr>
          </w:p>
          <w:p w:rsidR="0056067F" w:rsidRDefault="003F3153">
            <w:pPr>
              <w:pStyle w:val="TableParagraph"/>
              <w:ind w:left="64" w:right="417"/>
            </w:pPr>
            <w:r>
              <w:t>Network Administrator</w:t>
            </w:r>
          </w:p>
        </w:tc>
        <w:tc>
          <w:tcPr>
            <w:tcW w:w="1709"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701" w:right="703"/>
              <w:jc w:val="center"/>
            </w:pPr>
            <w:r>
              <w:t>17</w:t>
            </w:r>
          </w:p>
        </w:tc>
        <w:tc>
          <w:tcPr>
            <w:tcW w:w="162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4"/>
              <w:jc w:val="center"/>
            </w:pPr>
            <w:r>
              <w:t>1</w:t>
            </w:r>
          </w:p>
        </w:tc>
        <w:tc>
          <w:tcPr>
            <w:tcW w:w="126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right="504"/>
              <w:jc w:val="right"/>
            </w:pPr>
            <w:r>
              <w:t>16</w:t>
            </w:r>
          </w:p>
        </w:tc>
        <w:tc>
          <w:tcPr>
            <w:tcW w:w="144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83" w:right="81"/>
              <w:jc w:val="center"/>
            </w:pPr>
            <w:r>
              <w:t>$83.02</w:t>
            </w:r>
          </w:p>
        </w:tc>
        <w:tc>
          <w:tcPr>
            <w:tcW w:w="1351"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right="139"/>
              <w:jc w:val="right"/>
            </w:pPr>
            <w:r>
              <w:t>$22,581.44</w:t>
            </w:r>
          </w:p>
        </w:tc>
      </w:tr>
      <w:tr w:rsidR="0056067F">
        <w:trPr>
          <w:trHeight w:hRule="exact" w:val="1274"/>
        </w:trPr>
        <w:tc>
          <w:tcPr>
            <w:tcW w:w="1812" w:type="dxa"/>
          </w:tcPr>
          <w:p w:rsidR="0056067F" w:rsidRDefault="0056067F">
            <w:pPr>
              <w:pStyle w:val="TableParagraph"/>
              <w:spacing w:before="7"/>
              <w:rPr>
                <w:sz w:val="35"/>
              </w:rPr>
            </w:pPr>
          </w:p>
          <w:p w:rsidR="0056067F" w:rsidRDefault="003F3153">
            <w:pPr>
              <w:pStyle w:val="TableParagraph"/>
              <w:spacing w:before="1"/>
              <w:ind w:left="64" w:right="429"/>
            </w:pPr>
            <w:r>
              <w:t>Health Policy Analyst</w:t>
            </w:r>
          </w:p>
        </w:tc>
        <w:tc>
          <w:tcPr>
            <w:tcW w:w="1709"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701" w:right="703"/>
              <w:jc w:val="center"/>
            </w:pPr>
            <w:r>
              <w:t>17</w:t>
            </w:r>
          </w:p>
        </w:tc>
        <w:tc>
          <w:tcPr>
            <w:tcW w:w="162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5"/>
              <w:jc w:val="center"/>
            </w:pPr>
            <w:r>
              <w:t>1</w:t>
            </w:r>
          </w:p>
        </w:tc>
        <w:tc>
          <w:tcPr>
            <w:tcW w:w="126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right="556"/>
              <w:jc w:val="right"/>
            </w:pPr>
            <w:r>
              <w:t>8</w:t>
            </w:r>
          </w:p>
        </w:tc>
        <w:tc>
          <w:tcPr>
            <w:tcW w:w="144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84" w:right="81"/>
              <w:jc w:val="center"/>
            </w:pPr>
            <w:r>
              <w:t>$89.84</w:t>
            </w:r>
          </w:p>
        </w:tc>
        <w:tc>
          <w:tcPr>
            <w:tcW w:w="1351"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right="138"/>
              <w:jc w:val="right"/>
            </w:pPr>
            <w:r>
              <w:t>$12,218.24</w:t>
            </w:r>
          </w:p>
        </w:tc>
      </w:tr>
      <w:tr w:rsidR="0056067F">
        <w:trPr>
          <w:trHeight w:hRule="exact" w:val="905"/>
        </w:trPr>
        <w:tc>
          <w:tcPr>
            <w:tcW w:w="1812" w:type="dxa"/>
          </w:tcPr>
          <w:p w:rsidR="0056067F" w:rsidRDefault="0056067F">
            <w:pPr>
              <w:pStyle w:val="TableParagraph"/>
              <w:spacing w:before="7"/>
              <w:rPr>
                <w:sz w:val="19"/>
              </w:rPr>
            </w:pPr>
          </w:p>
          <w:p w:rsidR="0056067F" w:rsidRDefault="003F3153">
            <w:pPr>
              <w:pStyle w:val="TableParagraph"/>
              <w:ind w:left="64" w:right="551"/>
            </w:pPr>
            <w:r>
              <w:t>Senior Manager</w:t>
            </w:r>
          </w:p>
        </w:tc>
        <w:tc>
          <w:tcPr>
            <w:tcW w:w="1709" w:type="dxa"/>
          </w:tcPr>
          <w:p w:rsidR="0056067F" w:rsidRDefault="0056067F">
            <w:pPr>
              <w:pStyle w:val="TableParagraph"/>
              <w:spacing w:before="7"/>
              <w:rPr>
                <w:sz w:val="30"/>
              </w:rPr>
            </w:pPr>
          </w:p>
          <w:p w:rsidR="0056067F" w:rsidRDefault="003F3153">
            <w:pPr>
              <w:pStyle w:val="TableParagraph"/>
              <w:spacing w:before="1"/>
              <w:ind w:left="701" w:right="703"/>
              <w:jc w:val="center"/>
            </w:pPr>
            <w:r>
              <w:t>17</w:t>
            </w:r>
          </w:p>
        </w:tc>
        <w:tc>
          <w:tcPr>
            <w:tcW w:w="1620" w:type="dxa"/>
          </w:tcPr>
          <w:p w:rsidR="0056067F" w:rsidRDefault="0056067F">
            <w:pPr>
              <w:pStyle w:val="TableParagraph"/>
              <w:spacing w:before="7"/>
              <w:rPr>
                <w:sz w:val="30"/>
              </w:rPr>
            </w:pPr>
          </w:p>
          <w:p w:rsidR="0056067F" w:rsidRDefault="003F3153">
            <w:pPr>
              <w:pStyle w:val="TableParagraph"/>
              <w:spacing w:before="1"/>
              <w:ind w:left="5"/>
              <w:jc w:val="center"/>
            </w:pPr>
            <w:r>
              <w:t>1</w:t>
            </w:r>
          </w:p>
        </w:tc>
        <w:tc>
          <w:tcPr>
            <w:tcW w:w="1260" w:type="dxa"/>
          </w:tcPr>
          <w:p w:rsidR="0056067F" w:rsidRDefault="0056067F">
            <w:pPr>
              <w:pStyle w:val="TableParagraph"/>
              <w:spacing w:before="7"/>
              <w:rPr>
                <w:sz w:val="30"/>
              </w:rPr>
            </w:pPr>
          </w:p>
          <w:p w:rsidR="0056067F" w:rsidRDefault="003F3153">
            <w:pPr>
              <w:pStyle w:val="TableParagraph"/>
              <w:spacing w:before="1"/>
              <w:ind w:right="556"/>
              <w:jc w:val="right"/>
            </w:pPr>
            <w:r>
              <w:t>2</w:t>
            </w:r>
          </w:p>
        </w:tc>
        <w:tc>
          <w:tcPr>
            <w:tcW w:w="1440" w:type="dxa"/>
          </w:tcPr>
          <w:p w:rsidR="0056067F" w:rsidRDefault="0056067F">
            <w:pPr>
              <w:pStyle w:val="TableParagraph"/>
              <w:spacing w:before="7"/>
              <w:rPr>
                <w:sz w:val="30"/>
              </w:rPr>
            </w:pPr>
          </w:p>
          <w:p w:rsidR="0056067F" w:rsidRDefault="003F3153">
            <w:pPr>
              <w:pStyle w:val="TableParagraph"/>
              <w:spacing w:before="1"/>
              <w:ind w:left="82" w:right="81"/>
              <w:jc w:val="center"/>
            </w:pPr>
            <w:r>
              <w:t>$118.70</w:t>
            </w:r>
          </w:p>
        </w:tc>
        <w:tc>
          <w:tcPr>
            <w:tcW w:w="1351" w:type="dxa"/>
          </w:tcPr>
          <w:p w:rsidR="0056067F" w:rsidRDefault="0056067F">
            <w:pPr>
              <w:pStyle w:val="TableParagraph"/>
              <w:spacing w:before="7"/>
              <w:rPr>
                <w:sz w:val="30"/>
              </w:rPr>
            </w:pPr>
          </w:p>
          <w:p w:rsidR="0056067F" w:rsidRDefault="003F3153">
            <w:pPr>
              <w:pStyle w:val="TableParagraph"/>
              <w:spacing w:before="1"/>
              <w:ind w:right="196"/>
              <w:jc w:val="right"/>
            </w:pPr>
            <w:r>
              <w:t>$4,035.80</w:t>
            </w:r>
          </w:p>
        </w:tc>
      </w:tr>
      <w:tr w:rsidR="0056067F">
        <w:trPr>
          <w:trHeight w:hRule="exact" w:val="425"/>
        </w:trPr>
        <w:tc>
          <w:tcPr>
            <w:tcW w:w="1812" w:type="dxa"/>
          </w:tcPr>
          <w:p w:rsidR="0056067F" w:rsidRDefault="003F3153">
            <w:pPr>
              <w:pStyle w:val="TableParagraph"/>
              <w:spacing w:before="67"/>
              <w:ind w:left="64"/>
              <w:rPr>
                <w:b/>
              </w:rPr>
            </w:pPr>
            <w:r>
              <w:rPr>
                <w:b/>
              </w:rPr>
              <w:t>Total</w:t>
            </w:r>
          </w:p>
        </w:tc>
        <w:tc>
          <w:tcPr>
            <w:tcW w:w="1709" w:type="dxa"/>
          </w:tcPr>
          <w:p w:rsidR="0056067F" w:rsidRDefault="0056067F"/>
        </w:tc>
        <w:tc>
          <w:tcPr>
            <w:tcW w:w="1620" w:type="dxa"/>
          </w:tcPr>
          <w:p w:rsidR="0056067F" w:rsidRDefault="0056067F"/>
        </w:tc>
        <w:tc>
          <w:tcPr>
            <w:tcW w:w="1260" w:type="dxa"/>
          </w:tcPr>
          <w:p w:rsidR="0056067F" w:rsidRDefault="003F3153">
            <w:pPr>
              <w:pStyle w:val="TableParagraph"/>
              <w:spacing w:before="67"/>
              <w:ind w:left="64"/>
              <w:rPr>
                <w:b/>
              </w:rPr>
            </w:pPr>
            <w:r>
              <w:rPr>
                <w:b/>
              </w:rPr>
              <w:t>26</w:t>
            </w:r>
          </w:p>
        </w:tc>
        <w:tc>
          <w:tcPr>
            <w:tcW w:w="1440" w:type="dxa"/>
          </w:tcPr>
          <w:p w:rsidR="0056067F" w:rsidRDefault="0056067F"/>
        </w:tc>
        <w:tc>
          <w:tcPr>
            <w:tcW w:w="1351" w:type="dxa"/>
          </w:tcPr>
          <w:p w:rsidR="0056067F" w:rsidRDefault="003F3153">
            <w:pPr>
              <w:pStyle w:val="TableParagraph"/>
              <w:spacing w:before="67"/>
              <w:ind w:right="160"/>
              <w:jc w:val="right"/>
              <w:rPr>
                <w:b/>
              </w:rPr>
            </w:pPr>
            <w:r>
              <w:rPr>
                <w:b/>
              </w:rPr>
              <w:t>$38,835.48</w:t>
            </w:r>
          </w:p>
        </w:tc>
      </w:tr>
    </w:tbl>
    <w:p w:rsidR="0056067F" w:rsidRDefault="0056067F">
      <w:pPr>
        <w:pStyle w:val="BodyText"/>
        <w:spacing w:before="0"/>
        <w:rPr>
          <w:sz w:val="26"/>
        </w:rPr>
      </w:pPr>
    </w:p>
    <w:p w:rsidR="0056067F" w:rsidRDefault="0056067F">
      <w:pPr>
        <w:pStyle w:val="BodyText"/>
        <w:spacing w:before="5"/>
        <w:rPr>
          <w:sz w:val="22"/>
        </w:rPr>
      </w:pPr>
    </w:p>
    <w:p w:rsidR="0056067F" w:rsidRDefault="003F3153">
      <w:pPr>
        <w:pStyle w:val="ListParagraph"/>
        <w:numPr>
          <w:ilvl w:val="0"/>
          <w:numId w:val="1"/>
        </w:numPr>
        <w:tabs>
          <w:tab w:val="left" w:pos="498"/>
          <w:tab w:val="left" w:pos="499"/>
        </w:tabs>
        <w:ind w:left="498" w:right="733" w:hanging="360"/>
        <w:rPr>
          <w:sz w:val="24"/>
        </w:rPr>
      </w:pPr>
      <w:r>
        <w:rPr>
          <w:sz w:val="24"/>
          <w:u w:val="single"/>
        </w:rPr>
        <w:t>Develop and maintain the required policies and procedures related to program integrity</w:t>
      </w:r>
    </w:p>
    <w:p w:rsidR="0056067F" w:rsidRDefault="0056067F">
      <w:pPr>
        <w:pStyle w:val="BodyText"/>
        <w:spacing w:before="1"/>
        <w:rPr>
          <w:sz w:val="16"/>
        </w:rPr>
      </w:pPr>
    </w:p>
    <w:p w:rsidR="0056067F" w:rsidRDefault="003F3153">
      <w:pPr>
        <w:pStyle w:val="BodyText"/>
        <w:spacing w:before="93"/>
        <w:ind w:left="661" w:right="912" w:hanging="12"/>
      </w:pPr>
      <w:r>
        <w:t>SBEs are required to develop and maintain current and updated versions of the required policies and procedures related to program integrity (e.g., the oversight and monitoring plan, fraud, waste, and abuse, and non- discrimination). The burden associated with this requirement includes an analyst (at $95.60 an hour) and a health policy analyst (at $89.84 an hour) each taking 4 hours to support the writing, a senior level manager taking 8</w:t>
      </w:r>
    </w:p>
    <w:p w:rsidR="0056067F" w:rsidRDefault="0056067F">
      <w:pPr>
        <w:sectPr w:rsidR="0056067F">
          <w:pgSz w:w="12240" w:h="15840"/>
          <w:pgMar w:top="1500" w:right="1420" w:bottom="280" w:left="1220" w:header="720" w:footer="720" w:gutter="0"/>
          <w:cols w:space="720"/>
        </w:sectPr>
      </w:pPr>
    </w:p>
    <w:p w:rsidR="0056067F" w:rsidRDefault="003F3153">
      <w:pPr>
        <w:pStyle w:val="BodyText"/>
        <w:spacing w:before="71"/>
        <w:ind w:left="661" w:right="708"/>
      </w:pPr>
      <w:r>
        <w:t>hours (at $118.70 an hour) to conduct most of the writing, and a senior level manager taking 2 hours (at $118.70 an hour) to oversee and approve the updates to the policies and procedures. We estimate this requirement will take 18 total hours at a cost of $1,928.76 for each SBE. Therefore, for the 17 SBEs we estimate an aggregate burden of 306 hours at a cost of $32,788.92.</w:t>
      </w:r>
    </w:p>
    <w:p w:rsidR="0056067F" w:rsidRDefault="0056067F">
      <w:pPr>
        <w:pStyle w:val="BodyText"/>
        <w:spacing w:before="3"/>
      </w:pPr>
    </w:p>
    <w:tbl>
      <w:tblPr>
        <w:tblW w:w="0" w:type="auto"/>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2"/>
        <w:gridCol w:w="1709"/>
        <w:gridCol w:w="1620"/>
        <w:gridCol w:w="1260"/>
        <w:gridCol w:w="1440"/>
        <w:gridCol w:w="1351"/>
      </w:tblGrid>
      <w:tr w:rsidR="0056067F">
        <w:trPr>
          <w:trHeight w:hRule="exact" w:val="1416"/>
        </w:trPr>
        <w:tc>
          <w:tcPr>
            <w:tcW w:w="1812" w:type="dxa"/>
          </w:tcPr>
          <w:p w:rsidR="0056067F" w:rsidRDefault="003F3153">
            <w:pPr>
              <w:pStyle w:val="TableParagraph"/>
              <w:spacing w:before="67"/>
              <w:ind w:left="192" w:right="187" w:firstLine="273"/>
              <w:rPr>
                <w:b/>
              </w:rPr>
            </w:pPr>
            <w:r>
              <w:rPr>
                <w:b/>
                <w:w w:val="115"/>
              </w:rPr>
              <w:t xml:space="preserve">Type of </w:t>
            </w:r>
            <w:r>
              <w:rPr>
                <w:b/>
                <w:w w:val="110"/>
              </w:rPr>
              <w:t>Respondent</w:t>
            </w:r>
          </w:p>
        </w:tc>
        <w:tc>
          <w:tcPr>
            <w:tcW w:w="1709" w:type="dxa"/>
          </w:tcPr>
          <w:p w:rsidR="0056067F" w:rsidRDefault="003F3153">
            <w:pPr>
              <w:pStyle w:val="TableParagraph"/>
              <w:spacing w:before="67"/>
              <w:ind w:left="71" w:firstLine="163"/>
              <w:rPr>
                <w:b/>
              </w:rPr>
            </w:pPr>
            <w:r>
              <w:rPr>
                <w:b/>
                <w:w w:val="115"/>
              </w:rPr>
              <w:t xml:space="preserve">Number of </w:t>
            </w:r>
            <w:r>
              <w:rPr>
                <w:b/>
                <w:w w:val="110"/>
              </w:rPr>
              <w:t>Respondents</w:t>
            </w:r>
          </w:p>
        </w:tc>
        <w:tc>
          <w:tcPr>
            <w:tcW w:w="1620" w:type="dxa"/>
          </w:tcPr>
          <w:p w:rsidR="0056067F" w:rsidRDefault="003F3153">
            <w:pPr>
              <w:pStyle w:val="TableParagraph"/>
              <w:spacing w:before="67"/>
              <w:ind w:left="96" w:right="94"/>
              <w:jc w:val="center"/>
              <w:rPr>
                <w:b/>
              </w:rPr>
            </w:pPr>
            <w:r>
              <w:rPr>
                <w:b/>
                <w:w w:val="115"/>
              </w:rPr>
              <w:t xml:space="preserve">Responses per   </w:t>
            </w:r>
            <w:r>
              <w:rPr>
                <w:b/>
                <w:w w:val="110"/>
              </w:rPr>
              <w:t>Respondent</w:t>
            </w:r>
          </w:p>
        </w:tc>
        <w:tc>
          <w:tcPr>
            <w:tcW w:w="1260" w:type="dxa"/>
          </w:tcPr>
          <w:p w:rsidR="0056067F" w:rsidRDefault="003F3153">
            <w:pPr>
              <w:pStyle w:val="TableParagraph"/>
              <w:spacing w:before="67"/>
              <w:ind w:left="194" w:right="136" w:hanging="56"/>
              <w:jc w:val="both"/>
              <w:rPr>
                <w:b/>
              </w:rPr>
            </w:pPr>
            <w:r>
              <w:rPr>
                <w:b/>
                <w:w w:val="110"/>
              </w:rPr>
              <w:t xml:space="preserve">Average </w:t>
            </w:r>
            <w:r>
              <w:rPr>
                <w:b/>
                <w:w w:val="115"/>
              </w:rPr>
              <w:t>Burden Hours</w:t>
            </w:r>
          </w:p>
        </w:tc>
        <w:tc>
          <w:tcPr>
            <w:tcW w:w="1440" w:type="dxa"/>
          </w:tcPr>
          <w:p w:rsidR="0056067F" w:rsidRDefault="003F3153">
            <w:pPr>
              <w:pStyle w:val="TableParagraph"/>
              <w:spacing w:before="67"/>
              <w:ind w:left="80" w:right="81"/>
              <w:jc w:val="center"/>
              <w:rPr>
                <w:b/>
              </w:rPr>
            </w:pPr>
            <w:r>
              <w:rPr>
                <w:b/>
                <w:w w:val="115"/>
              </w:rPr>
              <w:t>Wage per Hour</w:t>
            </w:r>
          </w:p>
          <w:p w:rsidR="0056067F" w:rsidRDefault="003F3153">
            <w:pPr>
              <w:pStyle w:val="TableParagraph"/>
              <w:ind w:left="88" w:right="81"/>
              <w:jc w:val="center"/>
              <w:rPr>
                <w:b/>
              </w:rPr>
            </w:pPr>
            <w:r>
              <w:rPr>
                <w:b/>
                <w:w w:val="115"/>
              </w:rPr>
              <w:t>(incl 100%</w:t>
            </w:r>
            <w:r>
              <w:rPr>
                <w:b/>
                <w:w w:val="114"/>
              </w:rPr>
              <w:t xml:space="preserve"> </w:t>
            </w:r>
            <w:r>
              <w:rPr>
                <w:b/>
                <w:w w:val="115"/>
              </w:rPr>
              <w:t>benefits fringe)</w:t>
            </w:r>
          </w:p>
        </w:tc>
        <w:tc>
          <w:tcPr>
            <w:tcW w:w="1351" w:type="dxa"/>
          </w:tcPr>
          <w:p w:rsidR="0056067F" w:rsidRDefault="003F3153">
            <w:pPr>
              <w:pStyle w:val="TableParagraph"/>
              <w:spacing w:before="67"/>
              <w:ind w:left="328" w:right="230" w:hanging="89"/>
              <w:rPr>
                <w:b/>
              </w:rPr>
            </w:pPr>
            <w:r>
              <w:rPr>
                <w:b/>
                <w:w w:val="110"/>
              </w:rPr>
              <w:t xml:space="preserve">Burden </w:t>
            </w:r>
            <w:r>
              <w:rPr>
                <w:b/>
                <w:w w:val="115"/>
              </w:rPr>
              <w:t>Costs</w:t>
            </w:r>
          </w:p>
        </w:tc>
      </w:tr>
      <w:tr w:rsidR="0056067F">
        <w:trPr>
          <w:trHeight w:hRule="exact" w:val="1243"/>
        </w:trPr>
        <w:tc>
          <w:tcPr>
            <w:tcW w:w="1812" w:type="dxa"/>
          </w:tcPr>
          <w:p w:rsidR="0056067F" w:rsidRDefault="003F3153">
            <w:pPr>
              <w:pStyle w:val="TableParagraph"/>
              <w:spacing w:before="69"/>
              <w:ind w:left="64" w:right="551"/>
            </w:pPr>
            <w:r>
              <w:t>Senior-level Manager</w:t>
            </w:r>
          </w:p>
        </w:tc>
        <w:tc>
          <w:tcPr>
            <w:tcW w:w="1709" w:type="dxa"/>
          </w:tcPr>
          <w:p w:rsidR="0056067F" w:rsidRDefault="0056067F">
            <w:pPr>
              <w:pStyle w:val="TableParagraph"/>
              <w:rPr>
                <w:sz w:val="24"/>
              </w:rPr>
            </w:pPr>
          </w:p>
          <w:p w:rsidR="0056067F" w:rsidRDefault="0056067F">
            <w:pPr>
              <w:pStyle w:val="TableParagraph"/>
              <w:spacing w:before="3"/>
              <w:rPr>
                <w:sz w:val="21"/>
              </w:rPr>
            </w:pPr>
          </w:p>
          <w:p w:rsidR="0056067F" w:rsidRDefault="003F3153">
            <w:pPr>
              <w:pStyle w:val="TableParagraph"/>
              <w:ind w:left="703" w:right="701"/>
              <w:jc w:val="center"/>
            </w:pPr>
            <w:r>
              <w:t>17</w:t>
            </w:r>
          </w:p>
        </w:tc>
        <w:tc>
          <w:tcPr>
            <w:tcW w:w="1620" w:type="dxa"/>
          </w:tcPr>
          <w:p w:rsidR="0056067F" w:rsidRDefault="0056067F">
            <w:pPr>
              <w:pStyle w:val="TableParagraph"/>
              <w:rPr>
                <w:sz w:val="24"/>
              </w:rPr>
            </w:pPr>
          </w:p>
          <w:p w:rsidR="0056067F" w:rsidRDefault="0056067F">
            <w:pPr>
              <w:pStyle w:val="TableParagraph"/>
              <w:spacing w:before="3"/>
              <w:rPr>
                <w:sz w:val="21"/>
              </w:rPr>
            </w:pPr>
          </w:p>
          <w:p w:rsidR="0056067F" w:rsidRDefault="003F3153">
            <w:pPr>
              <w:pStyle w:val="TableParagraph"/>
              <w:jc w:val="center"/>
            </w:pPr>
            <w:r>
              <w:t>1</w:t>
            </w:r>
          </w:p>
        </w:tc>
        <w:tc>
          <w:tcPr>
            <w:tcW w:w="1260" w:type="dxa"/>
          </w:tcPr>
          <w:p w:rsidR="0056067F" w:rsidRDefault="0056067F">
            <w:pPr>
              <w:pStyle w:val="TableParagraph"/>
              <w:rPr>
                <w:sz w:val="24"/>
              </w:rPr>
            </w:pPr>
          </w:p>
          <w:p w:rsidR="0056067F" w:rsidRDefault="0056067F">
            <w:pPr>
              <w:pStyle w:val="TableParagraph"/>
              <w:spacing w:before="3"/>
              <w:rPr>
                <w:sz w:val="21"/>
              </w:rPr>
            </w:pPr>
          </w:p>
          <w:p w:rsidR="0056067F" w:rsidRDefault="003F3153">
            <w:pPr>
              <w:pStyle w:val="TableParagraph"/>
              <w:ind w:right="559"/>
              <w:jc w:val="right"/>
            </w:pPr>
            <w:r>
              <w:t>2</w:t>
            </w:r>
          </w:p>
        </w:tc>
        <w:tc>
          <w:tcPr>
            <w:tcW w:w="1440" w:type="dxa"/>
          </w:tcPr>
          <w:p w:rsidR="0056067F" w:rsidRDefault="0056067F">
            <w:pPr>
              <w:pStyle w:val="TableParagraph"/>
              <w:rPr>
                <w:sz w:val="24"/>
              </w:rPr>
            </w:pPr>
          </w:p>
          <w:p w:rsidR="0056067F" w:rsidRDefault="0056067F">
            <w:pPr>
              <w:pStyle w:val="TableParagraph"/>
              <w:spacing w:before="3"/>
              <w:rPr>
                <w:sz w:val="21"/>
              </w:rPr>
            </w:pPr>
          </w:p>
          <w:p w:rsidR="0056067F" w:rsidRDefault="003F3153">
            <w:pPr>
              <w:pStyle w:val="TableParagraph"/>
              <w:ind w:left="78" w:right="81"/>
              <w:jc w:val="center"/>
            </w:pPr>
            <w:r>
              <w:t>$118.70</w:t>
            </w:r>
          </w:p>
        </w:tc>
        <w:tc>
          <w:tcPr>
            <w:tcW w:w="1351" w:type="dxa"/>
          </w:tcPr>
          <w:p w:rsidR="0056067F" w:rsidRDefault="0056067F">
            <w:pPr>
              <w:pStyle w:val="TableParagraph"/>
              <w:rPr>
                <w:sz w:val="24"/>
              </w:rPr>
            </w:pPr>
          </w:p>
          <w:p w:rsidR="0056067F" w:rsidRDefault="0056067F">
            <w:pPr>
              <w:pStyle w:val="TableParagraph"/>
              <w:spacing w:before="3"/>
              <w:rPr>
                <w:sz w:val="21"/>
              </w:rPr>
            </w:pPr>
          </w:p>
          <w:p w:rsidR="0056067F" w:rsidRDefault="003F3153">
            <w:pPr>
              <w:pStyle w:val="TableParagraph"/>
              <w:ind w:left="172"/>
            </w:pPr>
            <w:r>
              <w:t>$4,035.80</w:t>
            </w:r>
          </w:p>
        </w:tc>
      </w:tr>
      <w:tr w:rsidR="0056067F">
        <w:trPr>
          <w:trHeight w:hRule="exact" w:val="1274"/>
        </w:trPr>
        <w:tc>
          <w:tcPr>
            <w:tcW w:w="1812" w:type="dxa"/>
          </w:tcPr>
          <w:p w:rsidR="0056067F" w:rsidRDefault="003F3153">
            <w:pPr>
              <w:pStyle w:val="TableParagraph"/>
              <w:spacing w:before="76" w:line="250" w:lineRule="exact"/>
              <w:ind w:left="64" w:right="551"/>
            </w:pPr>
            <w:r>
              <w:t>Senior-level Manager</w:t>
            </w:r>
          </w:p>
        </w:tc>
        <w:tc>
          <w:tcPr>
            <w:tcW w:w="1709"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703" w:right="701"/>
              <w:jc w:val="center"/>
            </w:pPr>
            <w:r>
              <w:t>17</w:t>
            </w:r>
          </w:p>
        </w:tc>
        <w:tc>
          <w:tcPr>
            <w:tcW w:w="162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jc w:val="center"/>
            </w:pPr>
            <w:r>
              <w:t>1</w:t>
            </w:r>
          </w:p>
        </w:tc>
        <w:tc>
          <w:tcPr>
            <w:tcW w:w="126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right="559"/>
              <w:jc w:val="right"/>
            </w:pPr>
            <w:r>
              <w:t>8</w:t>
            </w:r>
          </w:p>
        </w:tc>
        <w:tc>
          <w:tcPr>
            <w:tcW w:w="1440"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78" w:right="81"/>
              <w:jc w:val="center"/>
            </w:pPr>
            <w:r>
              <w:t>$118.70</w:t>
            </w:r>
          </w:p>
        </w:tc>
        <w:tc>
          <w:tcPr>
            <w:tcW w:w="1351" w:type="dxa"/>
          </w:tcPr>
          <w:p w:rsidR="0056067F" w:rsidRDefault="0056067F">
            <w:pPr>
              <w:pStyle w:val="TableParagraph"/>
              <w:rPr>
                <w:sz w:val="24"/>
              </w:rPr>
            </w:pPr>
          </w:p>
          <w:p w:rsidR="0056067F" w:rsidRDefault="0056067F">
            <w:pPr>
              <w:pStyle w:val="TableParagraph"/>
              <w:spacing w:before="8"/>
            </w:pPr>
          </w:p>
          <w:p w:rsidR="0056067F" w:rsidRDefault="003F3153">
            <w:pPr>
              <w:pStyle w:val="TableParagraph"/>
              <w:ind w:left="112"/>
            </w:pPr>
            <w:r>
              <w:t>$16,143.20</w:t>
            </w:r>
          </w:p>
        </w:tc>
      </w:tr>
      <w:tr w:rsidR="0056067F">
        <w:trPr>
          <w:trHeight w:hRule="exact" w:val="905"/>
        </w:trPr>
        <w:tc>
          <w:tcPr>
            <w:tcW w:w="1812" w:type="dxa"/>
          </w:tcPr>
          <w:p w:rsidR="0056067F" w:rsidRDefault="003F3153">
            <w:pPr>
              <w:pStyle w:val="TableParagraph"/>
              <w:spacing w:before="69"/>
              <w:ind w:left="64" w:right="429"/>
            </w:pPr>
            <w:r>
              <w:t>Health Policy Analyst</w:t>
            </w:r>
          </w:p>
        </w:tc>
        <w:tc>
          <w:tcPr>
            <w:tcW w:w="1709" w:type="dxa"/>
          </w:tcPr>
          <w:p w:rsidR="0056067F" w:rsidRDefault="0056067F">
            <w:pPr>
              <w:pStyle w:val="TableParagraph"/>
              <w:spacing w:before="7"/>
              <w:rPr>
                <w:sz w:val="30"/>
              </w:rPr>
            </w:pPr>
          </w:p>
          <w:p w:rsidR="0056067F" w:rsidRDefault="003F3153">
            <w:pPr>
              <w:pStyle w:val="TableParagraph"/>
              <w:spacing w:before="1"/>
              <w:ind w:left="703" w:right="701"/>
              <w:jc w:val="center"/>
            </w:pPr>
            <w:r>
              <w:t>17</w:t>
            </w:r>
          </w:p>
        </w:tc>
        <w:tc>
          <w:tcPr>
            <w:tcW w:w="1620" w:type="dxa"/>
          </w:tcPr>
          <w:p w:rsidR="0056067F" w:rsidRDefault="0056067F">
            <w:pPr>
              <w:pStyle w:val="TableParagraph"/>
              <w:spacing w:before="11"/>
              <w:rPr>
                <w:sz w:val="27"/>
              </w:rPr>
            </w:pPr>
          </w:p>
          <w:p w:rsidR="0056067F" w:rsidRDefault="003F3153">
            <w:pPr>
              <w:pStyle w:val="TableParagraph"/>
              <w:jc w:val="center"/>
            </w:pPr>
            <w:r>
              <w:t>1</w:t>
            </w:r>
          </w:p>
        </w:tc>
        <w:tc>
          <w:tcPr>
            <w:tcW w:w="1260" w:type="dxa"/>
          </w:tcPr>
          <w:p w:rsidR="0056067F" w:rsidRDefault="0056067F">
            <w:pPr>
              <w:pStyle w:val="TableParagraph"/>
              <w:spacing w:before="11"/>
              <w:rPr>
                <w:sz w:val="27"/>
              </w:rPr>
            </w:pPr>
          </w:p>
          <w:p w:rsidR="0056067F" w:rsidRDefault="003F3153">
            <w:pPr>
              <w:pStyle w:val="TableParagraph"/>
              <w:ind w:right="556"/>
              <w:jc w:val="right"/>
            </w:pPr>
            <w:r>
              <w:t>4</w:t>
            </w:r>
          </w:p>
        </w:tc>
        <w:tc>
          <w:tcPr>
            <w:tcW w:w="1440" w:type="dxa"/>
          </w:tcPr>
          <w:p w:rsidR="0056067F" w:rsidRDefault="0056067F">
            <w:pPr>
              <w:pStyle w:val="TableParagraph"/>
              <w:spacing w:before="7"/>
              <w:rPr>
                <w:sz w:val="30"/>
              </w:rPr>
            </w:pPr>
          </w:p>
          <w:p w:rsidR="0056067F" w:rsidRDefault="003F3153">
            <w:pPr>
              <w:pStyle w:val="TableParagraph"/>
              <w:spacing w:before="1"/>
              <w:ind w:left="78" w:right="81"/>
              <w:jc w:val="center"/>
            </w:pPr>
            <w:r>
              <w:t>$89.84</w:t>
            </w:r>
          </w:p>
        </w:tc>
        <w:tc>
          <w:tcPr>
            <w:tcW w:w="1351" w:type="dxa"/>
          </w:tcPr>
          <w:p w:rsidR="0056067F" w:rsidRDefault="0056067F">
            <w:pPr>
              <w:pStyle w:val="TableParagraph"/>
              <w:spacing w:before="7"/>
              <w:rPr>
                <w:sz w:val="30"/>
              </w:rPr>
            </w:pPr>
          </w:p>
          <w:p w:rsidR="0056067F" w:rsidRDefault="003F3153">
            <w:pPr>
              <w:pStyle w:val="TableParagraph"/>
              <w:spacing w:before="1"/>
              <w:ind w:left="172"/>
            </w:pPr>
            <w:r>
              <w:t>$6,109.12</w:t>
            </w:r>
          </w:p>
        </w:tc>
      </w:tr>
      <w:tr w:rsidR="0056067F">
        <w:trPr>
          <w:trHeight w:hRule="exact" w:val="905"/>
        </w:trPr>
        <w:tc>
          <w:tcPr>
            <w:tcW w:w="1812" w:type="dxa"/>
          </w:tcPr>
          <w:p w:rsidR="0056067F" w:rsidRDefault="003F3153">
            <w:pPr>
              <w:pStyle w:val="TableParagraph"/>
              <w:spacing w:before="69"/>
              <w:ind w:left="64"/>
            </w:pPr>
            <w:r>
              <w:t>Analyst</w:t>
            </w:r>
          </w:p>
        </w:tc>
        <w:tc>
          <w:tcPr>
            <w:tcW w:w="1709" w:type="dxa"/>
          </w:tcPr>
          <w:p w:rsidR="0056067F" w:rsidRDefault="0056067F">
            <w:pPr>
              <w:pStyle w:val="TableParagraph"/>
              <w:spacing w:before="7"/>
              <w:rPr>
                <w:sz w:val="30"/>
              </w:rPr>
            </w:pPr>
          </w:p>
          <w:p w:rsidR="0056067F" w:rsidRDefault="003F3153">
            <w:pPr>
              <w:pStyle w:val="TableParagraph"/>
              <w:spacing w:before="1"/>
              <w:ind w:left="701" w:right="703"/>
              <w:jc w:val="center"/>
            </w:pPr>
            <w:r>
              <w:t>17</w:t>
            </w:r>
          </w:p>
        </w:tc>
        <w:tc>
          <w:tcPr>
            <w:tcW w:w="1620" w:type="dxa"/>
          </w:tcPr>
          <w:p w:rsidR="0056067F" w:rsidRDefault="0056067F">
            <w:pPr>
              <w:pStyle w:val="TableParagraph"/>
              <w:spacing w:before="7"/>
              <w:rPr>
                <w:sz w:val="30"/>
              </w:rPr>
            </w:pPr>
          </w:p>
          <w:p w:rsidR="0056067F" w:rsidRDefault="003F3153">
            <w:pPr>
              <w:pStyle w:val="TableParagraph"/>
              <w:spacing w:before="1"/>
              <w:jc w:val="center"/>
            </w:pPr>
            <w:r>
              <w:t>1</w:t>
            </w:r>
          </w:p>
        </w:tc>
        <w:tc>
          <w:tcPr>
            <w:tcW w:w="1260" w:type="dxa"/>
          </w:tcPr>
          <w:p w:rsidR="0056067F" w:rsidRDefault="0056067F">
            <w:pPr>
              <w:pStyle w:val="TableParagraph"/>
              <w:spacing w:before="7"/>
              <w:rPr>
                <w:sz w:val="30"/>
              </w:rPr>
            </w:pPr>
          </w:p>
          <w:p w:rsidR="0056067F" w:rsidRDefault="003F3153">
            <w:pPr>
              <w:pStyle w:val="TableParagraph"/>
              <w:spacing w:before="1"/>
              <w:ind w:right="559"/>
              <w:jc w:val="right"/>
            </w:pPr>
            <w:r>
              <w:t>4</w:t>
            </w:r>
          </w:p>
        </w:tc>
        <w:tc>
          <w:tcPr>
            <w:tcW w:w="1440" w:type="dxa"/>
          </w:tcPr>
          <w:p w:rsidR="0056067F" w:rsidRDefault="0056067F">
            <w:pPr>
              <w:pStyle w:val="TableParagraph"/>
              <w:spacing w:before="7"/>
              <w:rPr>
                <w:sz w:val="30"/>
              </w:rPr>
            </w:pPr>
          </w:p>
          <w:p w:rsidR="0056067F" w:rsidRDefault="003F3153">
            <w:pPr>
              <w:pStyle w:val="TableParagraph"/>
              <w:spacing w:before="1"/>
              <w:ind w:left="77" w:right="81"/>
              <w:jc w:val="center"/>
            </w:pPr>
            <w:r>
              <w:t>$95.60</w:t>
            </w:r>
          </w:p>
        </w:tc>
        <w:tc>
          <w:tcPr>
            <w:tcW w:w="1351" w:type="dxa"/>
          </w:tcPr>
          <w:p w:rsidR="0056067F" w:rsidRDefault="0056067F">
            <w:pPr>
              <w:pStyle w:val="TableParagraph"/>
              <w:spacing w:before="7"/>
              <w:rPr>
                <w:sz w:val="30"/>
              </w:rPr>
            </w:pPr>
          </w:p>
          <w:p w:rsidR="0056067F" w:rsidRDefault="003F3153">
            <w:pPr>
              <w:pStyle w:val="TableParagraph"/>
              <w:spacing w:before="1"/>
              <w:ind w:left="172"/>
            </w:pPr>
            <w:r>
              <w:t>$6,500.80</w:t>
            </w:r>
          </w:p>
        </w:tc>
      </w:tr>
      <w:tr w:rsidR="0056067F">
        <w:trPr>
          <w:trHeight w:hRule="exact" w:val="425"/>
        </w:trPr>
        <w:tc>
          <w:tcPr>
            <w:tcW w:w="1812" w:type="dxa"/>
          </w:tcPr>
          <w:p w:rsidR="0056067F" w:rsidRDefault="003F3153">
            <w:pPr>
              <w:pStyle w:val="TableParagraph"/>
              <w:spacing w:before="67"/>
              <w:ind w:left="64"/>
              <w:rPr>
                <w:b/>
              </w:rPr>
            </w:pPr>
            <w:r>
              <w:rPr>
                <w:b/>
              </w:rPr>
              <w:t>Total</w:t>
            </w:r>
          </w:p>
        </w:tc>
        <w:tc>
          <w:tcPr>
            <w:tcW w:w="1709" w:type="dxa"/>
          </w:tcPr>
          <w:p w:rsidR="0056067F" w:rsidRDefault="0056067F"/>
        </w:tc>
        <w:tc>
          <w:tcPr>
            <w:tcW w:w="1620" w:type="dxa"/>
          </w:tcPr>
          <w:p w:rsidR="0056067F" w:rsidRDefault="0056067F"/>
        </w:tc>
        <w:tc>
          <w:tcPr>
            <w:tcW w:w="1260" w:type="dxa"/>
          </w:tcPr>
          <w:p w:rsidR="0056067F" w:rsidRDefault="003F3153">
            <w:pPr>
              <w:pStyle w:val="TableParagraph"/>
              <w:spacing w:before="67"/>
              <w:ind w:right="506"/>
              <w:jc w:val="right"/>
              <w:rPr>
                <w:b/>
              </w:rPr>
            </w:pPr>
            <w:r>
              <w:rPr>
                <w:b/>
              </w:rPr>
              <w:t>18</w:t>
            </w:r>
          </w:p>
        </w:tc>
        <w:tc>
          <w:tcPr>
            <w:tcW w:w="1440" w:type="dxa"/>
          </w:tcPr>
          <w:p w:rsidR="0056067F" w:rsidRDefault="0056067F"/>
        </w:tc>
        <w:tc>
          <w:tcPr>
            <w:tcW w:w="1351" w:type="dxa"/>
          </w:tcPr>
          <w:p w:rsidR="0056067F" w:rsidRDefault="003F3153">
            <w:pPr>
              <w:pStyle w:val="TableParagraph"/>
              <w:spacing w:before="67"/>
              <w:ind w:left="112"/>
              <w:rPr>
                <w:b/>
              </w:rPr>
            </w:pPr>
            <w:r>
              <w:rPr>
                <w:b/>
              </w:rPr>
              <w:t>$32,788.92</w:t>
            </w:r>
          </w:p>
        </w:tc>
      </w:tr>
    </w:tbl>
    <w:p w:rsidR="0056067F" w:rsidRDefault="0056067F">
      <w:pPr>
        <w:pStyle w:val="BodyText"/>
        <w:spacing w:before="0"/>
      </w:pPr>
    </w:p>
    <w:p w:rsidR="0056067F" w:rsidRDefault="003F3153">
      <w:pPr>
        <w:pStyle w:val="ListParagraph"/>
        <w:numPr>
          <w:ilvl w:val="0"/>
          <w:numId w:val="1"/>
        </w:numPr>
        <w:tabs>
          <w:tab w:val="left" w:pos="558"/>
          <w:tab w:val="left" w:pos="559"/>
        </w:tabs>
        <w:rPr>
          <w:sz w:val="24"/>
        </w:rPr>
      </w:pPr>
      <w:r>
        <w:rPr>
          <w:sz w:val="24"/>
          <w:u w:val="single"/>
        </w:rPr>
        <w:t>Compile and post financial information to Exchange</w:t>
      </w:r>
      <w:r>
        <w:rPr>
          <w:spacing w:val="-28"/>
          <w:sz w:val="24"/>
          <w:u w:val="single"/>
        </w:rPr>
        <w:t xml:space="preserve"> </w:t>
      </w:r>
      <w:r>
        <w:rPr>
          <w:sz w:val="24"/>
          <w:u w:val="single"/>
        </w:rPr>
        <w:t>website</w:t>
      </w:r>
    </w:p>
    <w:p w:rsidR="0056067F" w:rsidRDefault="0056067F">
      <w:pPr>
        <w:pStyle w:val="BodyText"/>
        <w:spacing w:before="3"/>
        <w:rPr>
          <w:sz w:val="16"/>
        </w:rPr>
      </w:pPr>
    </w:p>
    <w:p w:rsidR="0056067F" w:rsidRDefault="003F3153">
      <w:pPr>
        <w:spacing w:before="93"/>
        <w:ind w:left="558" w:right="725"/>
        <w:rPr>
          <w:sz w:val="23"/>
        </w:rPr>
      </w:pPr>
      <w:r>
        <w:rPr>
          <w:sz w:val="23"/>
        </w:rPr>
        <w:t>Section 155.205(b)(2) requires SBEs to publish on its website average licensing costs, regulatory fees, administrative costs, and any other additional fees required, along with any monies lost to fraud, waste, and abuse. The burden associated with this requirement is the time and effort for a computer programmer taking 1 hour (at $84.16 an hour) to design the summary and for an analyst to take 1 hour (at $95.60 an hour) to pull data into the summary and prepare for public display. For this requirement we estimate a burden of 2 hours for the SBE at a cost of $179.76 each. Therefore, the aggregate burden for the 17 SBEs, is estimated at 34 hours at a cost of $3,055.92.</w:t>
      </w:r>
    </w:p>
    <w:p w:rsidR="0056067F" w:rsidRDefault="0056067F">
      <w:pPr>
        <w:pStyle w:val="BodyText"/>
        <w:spacing w:before="3"/>
        <w:rPr>
          <w:sz w:val="23"/>
        </w:rPr>
      </w:pPr>
    </w:p>
    <w:tbl>
      <w:tblPr>
        <w:tblW w:w="0" w:type="auto"/>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2"/>
        <w:gridCol w:w="1709"/>
        <w:gridCol w:w="1620"/>
        <w:gridCol w:w="1260"/>
        <w:gridCol w:w="1440"/>
        <w:gridCol w:w="1351"/>
      </w:tblGrid>
      <w:tr w:rsidR="0056067F">
        <w:trPr>
          <w:trHeight w:hRule="exact" w:val="1380"/>
        </w:trPr>
        <w:tc>
          <w:tcPr>
            <w:tcW w:w="1812" w:type="dxa"/>
          </w:tcPr>
          <w:p w:rsidR="0056067F" w:rsidRDefault="003F3153">
            <w:pPr>
              <w:pStyle w:val="TableParagraph"/>
              <w:spacing w:before="69"/>
              <w:ind w:left="192" w:right="187" w:firstLine="273"/>
              <w:rPr>
                <w:b/>
              </w:rPr>
            </w:pPr>
            <w:r>
              <w:rPr>
                <w:b/>
                <w:w w:val="115"/>
              </w:rPr>
              <w:t xml:space="preserve">Type of </w:t>
            </w:r>
            <w:r>
              <w:rPr>
                <w:b/>
                <w:w w:val="110"/>
              </w:rPr>
              <w:t>Respondent</w:t>
            </w:r>
          </w:p>
        </w:tc>
        <w:tc>
          <w:tcPr>
            <w:tcW w:w="1709" w:type="dxa"/>
          </w:tcPr>
          <w:p w:rsidR="0056067F" w:rsidRDefault="003F3153">
            <w:pPr>
              <w:pStyle w:val="TableParagraph"/>
              <w:spacing w:before="69"/>
              <w:ind w:left="71" w:firstLine="163"/>
              <w:rPr>
                <w:b/>
              </w:rPr>
            </w:pPr>
            <w:r>
              <w:rPr>
                <w:b/>
                <w:w w:val="115"/>
              </w:rPr>
              <w:t xml:space="preserve">Number of </w:t>
            </w:r>
            <w:r>
              <w:rPr>
                <w:b/>
                <w:w w:val="110"/>
              </w:rPr>
              <w:t>Respondents</w:t>
            </w:r>
          </w:p>
        </w:tc>
        <w:tc>
          <w:tcPr>
            <w:tcW w:w="1620" w:type="dxa"/>
          </w:tcPr>
          <w:p w:rsidR="0056067F" w:rsidRDefault="003F3153">
            <w:pPr>
              <w:pStyle w:val="TableParagraph"/>
              <w:spacing w:before="69"/>
              <w:ind w:left="96" w:right="94"/>
              <w:jc w:val="center"/>
              <w:rPr>
                <w:b/>
              </w:rPr>
            </w:pPr>
            <w:r>
              <w:rPr>
                <w:b/>
                <w:w w:val="115"/>
              </w:rPr>
              <w:t xml:space="preserve">Responses per   </w:t>
            </w:r>
            <w:r>
              <w:rPr>
                <w:b/>
                <w:w w:val="110"/>
              </w:rPr>
              <w:t>Respondent</w:t>
            </w:r>
          </w:p>
        </w:tc>
        <w:tc>
          <w:tcPr>
            <w:tcW w:w="1260" w:type="dxa"/>
          </w:tcPr>
          <w:p w:rsidR="0056067F" w:rsidRDefault="003F3153">
            <w:pPr>
              <w:pStyle w:val="TableParagraph"/>
              <w:spacing w:before="69"/>
              <w:ind w:left="194" w:right="136" w:hanging="56"/>
              <w:jc w:val="both"/>
              <w:rPr>
                <w:b/>
              </w:rPr>
            </w:pPr>
            <w:r>
              <w:rPr>
                <w:b/>
                <w:w w:val="110"/>
              </w:rPr>
              <w:t xml:space="preserve">Average </w:t>
            </w:r>
            <w:r>
              <w:rPr>
                <w:b/>
                <w:w w:val="115"/>
              </w:rPr>
              <w:t>Burden Hours</w:t>
            </w:r>
          </w:p>
        </w:tc>
        <w:tc>
          <w:tcPr>
            <w:tcW w:w="1440" w:type="dxa"/>
          </w:tcPr>
          <w:p w:rsidR="0056067F" w:rsidRDefault="003F3153">
            <w:pPr>
              <w:pStyle w:val="TableParagraph"/>
              <w:spacing w:before="69"/>
              <w:ind w:left="80" w:right="81"/>
              <w:jc w:val="center"/>
              <w:rPr>
                <w:b/>
              </w:rPr>
            </w:pPr>
            <w:r>
              <w:rPr>
                <w:b/>
                <w:w w:val="115"/>
              </w:rPr>
              <w:t>Wage per Hour</w:t>
            </w:r>
          </w:p>
          <w:p w:rsidR="0056067F" w:rsidRDefault="003F3153">
            <w:pPr>
              <w:pStyle w:val="TableParagraph"/>
              <w:ind w:left="87" w:right="81"/>
              <w:jc w:val="center"/>
              <w:rPr>
                <w:b/>
              </w:rPr>
            </w:pPr>
            <w:r>
              <w:rPr>
                <w:b/>
                <w:w w:val="115"/>
              </w:rPr>
              <w:t>(incl 100% benefits fringe)</w:t>
            </w:r>
          </w:p>
        </w:tc>
        <w:tc>
          <w:tcPr>
            <w:tcW w:w="1351" w:type="dxa"/>
          </w:tcPr>
          <w:p w:rsidR="0056067F" w:rsidRDefault="003F3153">
            <w:pPr>
              <w:pStyle w:val="TableParagraph"/>
              <w:spacing w:before="69"/>
              <w:ind w:left="328" w:right="230" w:hanging="89"/>
              <w:rPr>
                <w:b/>
              </w:rPr>
            </w:pPr>
            <w:r>
              <w:rPr>
                <w:b/>
                <w:w w:val="110"/>
              </w:rPr>
              <w:t xml:space="preserve">Burden </w:t>
            </w:r>
            <w:r>
              <w:rPr>
                <w:b/>
                <w:w w:val="115"/>
              </w:rPr>
              <w:t>Costs</w:t>
            </w:r>
          </w:p>
        </w:tc>
      </w:tr>
    </w:tbl>
    <w:p w:rsidR="0056067F" w:rsidRDefault="0056067F">
      <w:pPr>
        <w:sectPr w:rsidR="0056067F">
          <w:pgSz w:w="12240" w:h="15840"/>
          <w:pgMar w:top="1280" w:right="1420" w:bottom="280" w:left="1220" w:header="720" w:footer="720" w:gutter="0"/>
          <w:cols w:space="720"/>
        </w:sectPr>
      </w:pPr>
    </w:p>
    <w:tbl>
      <w:tblPr>
        <w:tblW w:w="0" w:type="auto"/>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2"/>
        <w:gridCol w:w="1709"/>
        <w:gridCol w:w="1620"/>
        <w:gridCol w:w="1260"/>
        <w:gridCol w:w="1440"/>
        <w:gridCol w:w="1351"/>
      </w:tblGrid>
      <w:tr w:rsidR="0056067F">
        <w:trPr>
          <w:trHeight w:hRule="exact" w:val="1243"/>
        </w:trPr>
        <w:tc>
          <w:tcPr>
            <w:tcW w:w="1812" w:type="dxa"/>
          </w:tcPr>
          <w:p w:rsidR="0056067F" w:rsidRDefault="0056067F">
            <w:pPr>
              <w:pStyle w:val="TableParagraph"/>
              <w:spacing w:before="5"/>
              <w:rPr>
                <w:sz w:val="34"/>
              </w:rPr>
            </w:pPr>
          </w:p>
          <w:p w:rsidR="0056067F" w:rsidRDefault="003F3153">
            <w:pPr>
              <w:pStyle w:val="TableParagraph"/>
              <w:spacing w:line="250" w:lineRule="exact"/>
              <w:ind w:left="64" w:right="187"/>
            </w:pPr>
            <w:r>
              <w:t>Computer Programmer</w:t>
            </w:r>
          </w:p>
        </w:tc>
        <w:tc>
          <w:tcPr>
            <w:tcW w:w="1709" w:type="dxa"/>
          </w:tcPr>
          <w:p w:rsidR="0056067F" w:rsidRDefault="0056067F">
            <w:pPr>
              <w:pStyle w:val="TableParagraph"/>
              <w:rPr>
                <w:sz w:val="24"/>
              </w:rPr>
            </w:pPr>
          </w:p>
          <w:p w:rsidR="0056067F" w:rsidRDefault="0056067F">
            <w:pPr>
              <w:pStyle w:val="TableParagraph"/>
              <w:spacing w:before="10"/>
              <w:rPr>
                <w:sz w:val="20"/>
              </w:rPr>
            </w:pPr>
          </w:p>
          <w:p w:rsidR="0056067F" w:rsidRDefault="003F3153">
            <w:pPr>
              <w:pStyle w:val="TableParagraph"/>
              <w:spacing w:before="1"/>
              <w:ind w:left="701" w:right="703"/>
              <w:jc w:val="center"/>
            </w:pPr>
            <w:r>
              <w:t>17</w:t>
            </w:r>
          </w:p>
        </w:tc>
        <w:tc>
          <w:tcPr>
            <w:tcW w:w="1620" w:type="dxa"/>
          </w:tcPr>
          <w:p w:rsidR="0056067F" w:rsidRDefault="0056067F">
            <w:pPr>
              <w:pStyle w:val="TableParagraph"/>
              <w:rPr>
                <w:sz w:val="24"/>
              </w:rPr>
            </w:pPr>
          </w:p>
          <w:p w:rsidR="0056067F" w:rsidRDefault="0056067F">
            <w:pPr>
              <w:pStyle w:val="TableParagraph"/>
              <w:spacing w:before="10"/>
              <w:rPr>
                <w:sz w:val="20"/>
              </w:rPr>
            </w:pPr>
          </w:p>
          <w:p w:rsidR="0056067F" w:rsidRDefault="003F3153">
            <w:pPr>
              <w:pStyle w:val="TableParagraph"/>
              <w:spacing w:before="1"/>
              <w:ind w:left="4"/>
              <w:jc w:val="center"/>
            </w:pPr>
            <w:r>
              <w:t>1</w:t>
            </w:r>
          </w:p>
        </w:tc>
        <w:tc>
          <w:tcPr>
            <w:tcW w:w="1260" w:type="dxa"/>
          </w:tcPr>
          <w:p w:rsidR="0056067F" w:rsidRDefault="0056067F">
            <w:pPr>
              <w:pStyle w:val="TableParagraph"/>
              <w:rPr>
                <w:sz w:val="24"/>
              </w:rPr>
            </w:pPr>
          </w:p>
          <w:p w:rsidR="0056067F" w:rsidRDefault="0056067F">
            <w:pPr>
              <w:pStyle w:val="TableParagraph"/>
              <w:spacing w:before="10"/>
              <w:rPr>
                <w:sz w:val="20"/>
              </w:rPr>
            </w:pPr>
          </w:p>
          <w:p w:rsidR="0056067F" w:rsidRDefault="003F3153">
            <w:pPr>
              <w:pStyle w:val="TableParagraph"/>
              <w:spacing w:before="1"/>
              <w:ind w:left="4"/>
              <w:jc w:val="center"/>
            </w:pPr>
            <w:r>
              <w:t>1</w:t>
            </w:r>
          </w:p>
        </w:tc>
        <w:tc>
          <w:tcPr>
            <w:tcW w:w="1440" w:type="dxa"/>
          </w:tcPr>
          <w:p w:rsidR="0056067F" w:rsidRDefault="0056067F">
            <w:pPr>
              <w:pStyle w:val="TableParagraph"/>
              <w:rPr>
                <w:sz w:val="24"/>
              </w:rPr>
            </w:pPr>
          </w:p>
          <w:p w:rsidR="0056067F" w:rsidRDefault="0056067F">
            <w:pPr>
              <w:pStyle w:val="TableParagraph"/>
              <w:spacing w:before="10"/>
              <w:rPr>
                <w:sz w:val="20"/>
              </w:rPr>
            </w:pPr>
          </w:p>
          <w:p w:rsidR="0056067F" w:rsidRDefault="003F3153">
            <w:pPr>
              <w:pStyle w:val="TableParagraph"/>
              <w:spacing w:before="1"/>
              <w:ind w:left="83" w:right="81"/>
              <w:jc w:val="center"/>
            </w:pPr>
            <w:r>
              <w:t>$84.16</w:t>
            </w:r>
          </w:p>
        </w:tc>
        <w:tc>
          <w:tcPr>
            <w:tcW w:w="1351" w:type="dxa"/>
          </w:tcPr>
          <w:p w:rsidR="0056067F" w:rsidRDefault="0056067F">
            <w:pPr>
              <w:pStyle w:val="TableParagraph"/>
              <w:rPr>
                <w:sz w:val="24"/>
              </w:rPr>
            </w:pPr>
          </w:p>
          <w:p w:rsidR="0056067F" w:rsidRDefault="0056067F">
            <w:pPr>
              <w:pStyle w:val="TableParagraph"/>
              <w:spacing w:before="10"/>
              <w:rPr>
                <w:sz w:val="20"/>
              </w:rPr>
            </w:pPr>
          </w:p>
          <w:p w:rsidR="0056067F" w:rsidRDefault="003F3153">
            <w:pPr>
              <w:pStyle w:val="TableParagraph"/>
              <w:spacing w:before="1"/>
              <w:ind w:left="201"/>
            </w:pPr>
            <w:r>
              <w:t>$1,430.72</w:t>
            </w:r>
          </w:p>
        </w:tc>
      </w:tr>
      <w:tr w:rsidR="0056067F">
        <w:trPr>
          <w:trHeight w:hRule="exact" w:val="1274"/>
        </w:trPr>
        <w:tc>
          <w:tcPr>
            <w:tcW w:w="1812" w:type="dxa"/>
          </w:tcPr>
          <w:p w:rsidR="0056067F" w:rsidRDefault="0056067F">
            <w:pPr>
              <w:pStyle w:val="TableParagraph"/>
              <w:rPr>
                <w:sz w:val="24"/>
              </w:rPr>
            </w:pPr>
          </w:p>
          <w:p w:rsidR="0056067F" w:rsidRDefault="0056067F">
            <w:pPr>
              <w:pStyle w:val="TableParagraph"/>
              <w:spacing w:before="2"/>
            </w:pPr>
          </w:p>
          <w:p w:rsidR="0056067F" w:rsidRDefault="003F3153">
            <w:pPr>
              <w:pStyle w:val="TableParagraph"/>
              <w:ind w:left="64"/>
            </w:pPr>
            <w:r>
              <w:t>Analyst</w:t>
            </w:r>
          </w:p>
        </w:tc>
        <w:tc>
          <w:tcPr>
            <w:tcW w:w="1709" w:type="dxa"/>
          </w:tcPr>
          <w:p w:rsidR="0056067F" w:rsidRDefault="0056067F">
            <w:pPr>
              <w:pStyle w:val="TableParagraph"/>
              <w:rPr>
                <w:sz w:val="24"/>
              </w:rPr>
            </w:pPr>
          </w:p>
          <w:p w:rsidR="0056067F" w:rsidRDefault="0056067F">
            <w:pPr>
              <w:pStyle w:val="TableParagraph"/>
              <w:spacing w:before="2"/>
            </w:pPr>
          </w:p>
          <w:p w:rsidR="0056067F" w:rsidRDefault="003F3153">
            <w:pPr>
              <w:pStyle w:val="TableParagraph"/>
              <w:ind w:left="701" w:right="703"/>
              <w:jc w:val="center"/>
            </w:pPr>
            <w:r>
              <w:t>17</w:t>
            </w:r>
          </w:p>
        </w:tc>
        <w:tc>
          <w:tcPr>
            <w:tcW w:w="1620" w:type="dxa"/>
          </w:tcPr>
          <w:p w:rsidR="0056067F" w:rsidRDefault="0056067F">
            <w:pPr>
              <w:pStyle w:val="TableParagraph"/>
              <w:rPr>
                <w:sz w:val="24"/>
              </w:rPr>
            </w:pPr>
          </w:p>
          <w:p w:rsidR="0056067F" w:rsidRDefault="0056067F">
            <w:pPr>
              <w:pStyle w:val="TableParagraph"/>
              <w:spacing w:before="2"/>
            </w:pPr>
          </w:p>
          <w:p w:rsidR="0056067F" w:rsidRDefault="003F3153">
            <w:pPr>
              <w:pStyle w:val="TableParagraph"/>
              <w:ind w:left="5"/>
              <w:jc w:val="center"/>
            </w:pPr>
            <w:r>
              <w:t>1</w:t>
            </w:r>
          </w:p>
        </w:tc>
        <w:tc>
          <w:tcPr>
            <w:tcW w:w="1260" w:type="dxa"/>
          </w:tcPr>
          <w:p w:rsidR="0056067F" w:rsidRDefault="0056067F">
            <w:pPr>
              <w:pStyle w:val="TableParagraph"/>
              <w:rPr>
                <w:sz w:val="24"/>
              </w:rPr>
            </w:pPr>
          </w:p>
          <w:p w:rsidR="0056067F" w:rsidRDefault="0056067F">
            <w:pPr>
              <w:pStyle w:val="TableParagraph"/>
              <w:spacing w:before="2"/>
            </w:pPr>
          </w:p>
          <w:p w:rsidR="0056067F" w:rsidRDefault="003F3153">
            <w:pPr>
              <w:pStyle w:val="TableParagraph"/>
              <w:ind w:left="5"/>
              <w:jc w:val="center"/>
            </w:pPr>
            <w:r>
              <w:t>1</w:t>
            </w:r>
          </w:p>
        </w:tc>
        <w:tc>
          <w:tcPr>
            <w:tcW w:w="1440" w:type="dxa"/>
          </w:tcPr>
          <w:p w:rsidR="0056067F" w:rsidRDefault="0056067F">
            <w:pPr>
              <w:pStyle w:val="TableParagraph"/>
              <w:rPr>
                <w:sz w:val="24"/>
              </w:rPr>
            </w:pPr>
          </w:p>
          <w:p w:rsidR="0056067F" w:rsidRDefault="0056067F">
            <w:pPr>
              <w:pStyle w:val="TableParagraph"/>
              <w:spacing w:before="2"/>
            </w:pPr>
          </w:p>
          <w:p w:rsidR="0056067F" w:rsidRDefault="003F3153">
            <w:pPr>
              <w:pStyle w:val="TableParagraph"/>
              <w:ind w:left="84" w:right="81"/>
              <w:jc w:val="center"/>
            </w:pPr>
            <w:r>
              <w:t>$95.60</w:t>
            </w:r>
          </w:p>
        </w:tc>
        <w:tc>
          <w:tcPr>
            <w:tcW w:w="1351" w:type="dxa"/>
          </w:tcPr>
          <w:p w:rsidR="0056067F" w:rsidRDefault="0056067F">
            <w:pPr>
              <w:pStyle w:val="TableParagraph"/>
              <w:rPr>
                <w:sz w:val="24"/>
              </w:rPr>
            </w:pPr>
          </w:p>
          <w:p w:rsidR="0056067F" w:rsidRDefault="0056067F">
            <w:pPr>
              <w:pStyle w:val="TableParagraph"/>
              <w:spacing w:before="2"/>
            </w:pPr>
          </w:p>
          <w:p w:rsidR="0056067F" w:rsidRDefault="003F3153">
            <w:pPr>
              <w:pStyle w:val="TableParagraph"/>
              <w:ind w:left="201"/>
            </w:pPr>
            <w:r>
              <w:t>$1,625.20</w:t>
            </w:r>
          </w:p>
        </w:tc>
      </w:tr>
      <w:tr w:rsidR="0056067F">
        <w:trPr>
          <w:trHeight w:hRule="exact" w:val="454"/>
        </w:trPr>
        <w:tc>
          <w:tcPr>
            <w:tcW w:w="1812" w:type="dxa"/>
          </w:tcPr>
          <w:p w:rsidR="0056067F" w:rsidRDefault="003F3153">
            <w:pPr>
              <w:pStyle w:val="TableParagraph"/>
              <w:spacing w:before="63"/>
              <w:ind w:left="64"/>
              <w:rPr>
                <w:b/>
              </w:rPr>
            </w:pPr>
            <w:r>
              <w:rPr>
                <w:b/>
              </w:rPr>
              <w:t>Total</w:t>
            </w:r>
          </w:p>
        </w:tc>
        <w:tc>
          <w:tcPr>
            <w:tcW w:w="1709" w:type="dxa"/>
          </w:tcPr>
          <w:p w:rsidR="0056067F" w:rsidRDefault="0056067F"/>
        </w:tc>
        <w:tc>
          <w:tcPr>
            <w:tcW w:w="1620" w:type="dxa"/>
          </w:tcPr>
          <w:p w:rsidR="0056067F" w:rsidRDefault="0056067F"/>
        </w:tc>
        <w:tc>
          <w:tcPr>
            <w:tcW w:w="1260" w:type="dxa"/>
          </w:tcPr>
          <w:p w:rsidR="0056067F" w:rsidRDefault="003F3153">
            <w:pPr>
              <w:pStyle w:val="TableParagraph"/>
              <w:spacing w:before="63"/>
              <w:ind w:left="5"/>
              <w:jc w:val="center"/>
              <w:rPr>
                <w:b/>
              </w:rPr>
            </w:pPr>
            <w:r>
              <w:rPr>
                <w:b/>
              </w:rPr>
              <w:t>2</w:t>
            </w:r>
          </w:p>
        </w:tc>
        <w:tc>
          <w:tcPr>
            <w:tcW w:w="1440" w:type="dxa"/>
          </w:tcPr>
          <w:p w:rsidR="0056067F" w:rsidRDefault="0056067F"/>
        </w:tc>
        <w:tc>
          <w:tcPr>
            <w:tcW w:w="1351" w:type="dxa"/>
          </w:tcPr>
          <w:p w:rsidR="0056067F" w:rsidRDefault="003F3153">
            <w:pPr>
              <w:pStyle w:val="TableParagraph"/>
              <w:spacing w:before="63"/>
              <w:ind w:left="201"/>
              <w:rPr>
                <w:b/>
              </w:rPr>
            </w:pPr>
            <w:r>
              <w:rPr>
                <w:b/>
              </w:rPr>
              <w:t>$3,055.92</w:t>
            </w:r>
          </w:p>
        </w:tc>
      </w:tr>
    </w:tbl>
    <w:p w:rsidR="0056067F" w:rsidRDefault="0056067F">
      <w:pPr>
        <w:pStyle w:val="BodyText"/>
        <w:spacing w:before="7"/>
        <w:rPr>
          <w:sz w:val="15"/>
        </w:rPr>
      </w:pPr>
    </w:p>
    <w:p w:rsidR="0056067F" w:rsidRDefault="003F3153">
      <w:pPr>
        <w:pStyle w:val="Heading1"/>
        <w:numPr>
          <w:ilvl w:val="0"/>
          <w:numId w:val="2"/>
        </w:numPr>
        <w:tabs>
          <w:tab w:val="left" w:pos="858"/>
          <w:tab w:val="left" w:pos="859"/>
        </w:tabs>
        <w:spacing w:before="93"/>
        <w:ind w:left="858" w:hanging="653"/>
        <w:jc w:val="left"/>
      </w:pPr>
      <w:r>
        <w:t>Prepare and Submit</w:t>
      </w:r>
      <w:r>
        <w:rPr>
          <w:spacing w:val="-14"/>
        </w:rPr>
        <w:t xml:space="preserve"> </w:t>
      </w:r>
      <w:r>
        <w:t>SMART</w:t>
      </w:r>
    </w:p>
    <w:p w:rsidR="0056067F" w:rsidRDefault="0056067F">
      <w:pPr>
        <w:pStyle w:val="BodyText"/>
        <w:rPr>
          <w:b/>
        </w:rPr>
      </w:pPr>
    </w:p>
    <w:p w:rsidR="0056067F" w:rsidRDefault="003F3153">
      <w:pPr>
        <w:pStyle w:val="BodyText"/>
        <w:spacing w:before="0"/>
        <w:ind w:left="138" w:right="1145"/>
      </w:pPr>
      <w:r>
        <w:t>All SBEs, and SBE-FPs, must submit or attest to the submission of all SMART requirements, by completing and submitting the SMART Tool itself.</w:t>
      </w:r>
    </w:p>
    <w:p w:rsidR="0056067F" w:rsidRDefault="0056067F">
      <w:pPr>
        <w:pStyle w:val="BodyText"/>
        <w:spacing w:before="11"/>
        <w:rPr>
          <w:sz w:val="29"/>
        </w:rPr>
      </w:pPr>
    </w:p>
    <w:tbl>
      <w:tblPr>
        <w:tblW w:w="0" w:type="auto"/>
        <w:tblInd w:w="2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36"/>
        <w:gridCol w:w="1570"/>
        <w:gridCol w:w="1538"/>
        <w:gridCol w:w="1255"/>
        <w:gridCol w:w="1495"/>
        <w:gridCol w:w="1478"/>
      </w:tblGrid>
      <w:tr w:rsidR="0056067F">
        <w:trPr>
          <w:trHeight w:hRule="exact" w:val="1524"/>
        </w:trPr>
        <w:tc>
          <w:tcPr>
            <w:tcW w:w="1836" w:type="dxa"/>
          </w:tcPr>
          <w:p w:rsidR="0056067F" w:rsidRDefault="003F3153">
            <w:pPr>
              <w:pStyle w:val="TableParagraph"/>
              <w:spacing w:before="168" w:line="285" w:lineRule="auto"/>
              <w:ind w:left="273" w:right="257" w:firstLine="362"/>
              <w:rPr>
                <w:b/>
              </w:rPr>
            </w:pPr>
            <w:r>
              <w:rPr>
                <w:b/>
              </w:rPr>
              <w:t>Type of Respondent</w:t>
            </w:r>
          </w:p>
        </w:tc>
        <w:tc>
          <w:tcPr>
            <w:tcW w:w="1570" w:type="dxa"/>
          </w:tcPr>
          <w:p w:rsidR="0056067F" w:rsidRDefault="003F3153">
            <w:pPr>
              <w:pStyle w:val="TableParagraph"/>
              <w:spacing w:before="165" w:line="285" w:lineRule="auto"/>
              <w:ind w:left="59" w:right="82" w:firstLine="163"/>
              <w:rPr>
                <w:b/>
              </w:rPr>
            </w:pPr>
            <w:r>
              <w:rPr>
                <w:b/>
              </w:rPr>
              <w:t>Number of Respondents</w:t>
            </w:r>
          </w:p>
        </w:tc>
        <w:tc>
          <w:tcPr>
            <w:tcW w:w="1538" w:type="dxa"/>
          </w:tcPr>
          <w:p w:rsidR="0056067F" w:rsidRDefault="003F3153">
            <w:pPr>
              <w:pStyle w:val="TableParagraph"/>
              <w:spacing w:before="14" w:line="285" w:lineRule="auto"/>
              <w:ind w:left="117" w:right="133" w:firstLine="3"/>
              <w:jc w:val="center"/>
              <w:rPr>
                <w:b/>
              </w:rPr>
            </w:pPr>
            <w:r>
              <w:rPr>
                <w:b/>
              </w:rPr>
              <w:t>Responses per   Respondent</w:t>
            </w:r>
          </w:p>
        </w:tc>
        <w:tc>
          <w:tcPr>
            <w:tcW w:w="1255" w:type="dxa"/>
          </w:tcPr>
          <w:p w:rsidR="0056067F" w:rsidRDefault="003F3153">
            <w:pPr>
              <w:pStyle w:val="TableParagraph"/>
              <w:spacing w:before="14" w:line="285" w:lineRule="auto"/>
              <w:ind w:left="223" w:right="211" w:hanging="44"/>
              <w:jc w:val="both"/>
              <w:rPr>
                <w:b/>
              </w:rPr>
            </w:pPr>
            <w:r>
              <w:rPr>
                <w:b/>
                <w:spacing w:val="-4"/>
              </w:rPr>
              <w:t xml:space="preserve">Average </w:t>
            </w:r>
            <w:r>
              <w:rPr>
                <w:b/>
              </w:rPr>
              <w:t>Burden Hours</w:t>
            </w:r>
          </w:p>
        </w:tc>
        <w:tc>
          <w:tcPr>
            <w:tcW w:w="1495" w:type="dxa"/>
          </w:tcPr>
          <w:p w:rsidR="0056067F" w:rsidRDefault="003F3153">
            <w:pPr>
              <w:pStyle w:val="TableParagraph"/>
              <w:spacing w:before="14" w:line="285" w:lineRule="auto"/>
              <w:ind w:left="183" w:right="182"/>
              <w:jc w:val="center"/>
              <w:rPr>
                <w:b/>
              </w:rPr>
            </w:pPr>
            <w:r>
              <w:rPr>
                <w:b/>
              </w:rPr>
              <w:t>Wage per Hour</w:t>
            </w:r>
          </w:p>
          <w:p w:rsidR="0056067F" w:rsidRDefault="003F3153">
            <w:pPr>
              <w:pStyle w:val="TableParagraph"/>
              <w:spacing w:line="285" w:lineRule="auto"/>
              <w:ind w:left="183" w:right="184"/>
              <w:jc w:val="center"/>
              <w:rPr>
                <w:b/>
              </w:rPr>
            </w:pPr>
            <w:r>
              <w:rPr>
                <w:b/>
              </w:rPr>
              <w:t>(incl 100% benefits fringe)</w:t>
            </w:r>
          </w:p>
        </w:tc>
        <w:tc>
          <w:tcPr>
            <w:tcW w:w="1478" w:type="dxa"/>
          </w:tcPr>
          <w:p w:rsidR="0056067F" w:rsidRDefault="003F3153">
            <w:pPr>
              <w:pStyle w:val="TableParagraph"/>
              <w:spacing w:before="165" w:line="285" w:lineRule="auto"/>
              <w:ind w:left="417" w:right="346" w:hanging="89"/>
              <w:rPr>
                <w:b/>
              </w:rPr>
            </w:pPr>
            <w:r>
              <w:rPr>
                <w:b/>
              </w:rPr>
              <w:t>Burden Costs</w:t>
            </w:r>
          </w:p>
        </w:tc>
      </w:tr>
      <w:tr w:rsidR="0056067F">
        <w:trPr>
          <w:trHeight w:hRule="exact" w:val="569"/>
        </w:trPr>
        <w:tc>
          <w:tcPr>
            <w:tcW w:w="1836" w:type="dxa"/>
          </w:tcPr>
          <w:p w:rsidR="0056067F" w:rsidRDefault="003F3153">
            <w:pPr>
              <w:pStyle w:val="TableParagraph"/>
              <w:spacing w:before="17" w:line="266" w:lineRule="auto"/>
              <w:ind w:left="160"/>
            </w:pPr>
            <w:r>
              <w:t>Agency head to Approve Report</w:t>
            </w:r>
          </w:p>
        </w:tc>
        <w:tc>
          <w:tcPr>
            <w:tcW w:w="1570" w:type="dxa"/>
          </w:tcPr>
          <w:p w:rsidR="0056067F" w:rsidRDefault="003F3153">
            <w:pPr>
              <w:pStyle w:val="TableParagraph"/>
              <w:spacing w:before="151"/>
              <w:ind w:left="634" w:right="632"/>
              <w:jc w:val="center"/>
            </w:pPr>
            <w:r>
              <w:t>17</w:t>
            </w:r>
          </w:p>
        </w:tc>
        <w:tc>
          <w:tcPr>
            <w:tcW w:w="1538" w:type="dxa"/>
          </w:tcPr>
          <w:p w:rsidR="0056067F" w:rsidRDefault="003F3153">
            <w:pPr>
              <w:pStyle w:val="TableParagraph"/>
              <w:spacing w:before="151"/>
              <w:ind w:left="554"/>
            </w:pPr>
            <w:r>
              <w:t>1</w:t>
            </w:r>
          </w:p>
        </w:tc>
        <w:tc>
          <w:tcPr>
            <w:tcW w:w="1255" w:type="dxa"/>
          </w:tcPr>
          <w:p w:rsidR="0056067F" w:rsidRDefault="003F3153">
            <w:pPr>
              <w:pStyle w:val="TableParagraph"/>
              <w:spacing w:before="151"/>
              <w:ind w:left="559"/>
            </w:pPr>
            <w:r>
              <w:t>2</w:t>
            </w:r>
          </w:p>
        </w:tc>
        <w:tc>
          <w:tcPr>
            <w:tcW w:w="1495" w:type="dxa"/>
          </w:tcPr>
          <w:p w:rsidR="0056067F" w:rsidRDefault="003F3153">
            <w:pPr>
              <w:pStyle w:val="TableParagraph"/>
              <w:spacing w:before="151"/>
              <w:ind w:left="183" w:right="183"/>
              <w:jc w:val="center"/>
            </w:pPr>
            <w:r>
              <w:t>$122.06</w:t>
            </w:r>
          </w:p>
        </w:tc>
        <w:tc>
          <w:tcPr>
            <w:tcW w:w="1478" w:type="dxa"/>
          </w:tcPr>
          <w:p w:rsidR="0056067F" w:rsidRDefault="003F3153">
            <w:pPr>
              <w:pStyle w:val="TableParagraph"/>
              <w:spacing w:before="151"/>
              <w:ind w:left="412"/>
            </w:pPr>
            <w:r>
              <w:t>$4,150</w:t>
            </w:r>
          </w:p>
        </w:tc>
      </w:tr>
      <w:tr w:rsidR="0056067F">
        <w:trPr>
          <w:trHeight w:hRule="exact" w:val="871"/>
        </w:trPr>
        <w:tc>
          <w:tcPr>
            <w:tcW w:w="1836" w:type="dxa"/>
          </w:tcPr>
          <w:p w:rsidR="0056067F" w:rsidRDefault="003F3153">
            <w:pPr>
              <w:pStyle w:val="TableParagraph"/>
              <w:spacing w:before="19" w:line="242" w:lineRule="auto"/>
              <w:ind w:left="160"/>
            </w:pPr>
            <w:r>
              <w:t>Senior-level manager to oversee report</w:t>
            </w:r>
          </w:p>
        </w:tc>
        <w:tc>
          <w:tcPr>
            <w:tcW w:w="1570" w:type="dxa"/>
          </w:tcPr>
          <w:p w:rsidR="0056067F" w:rsidRDefault="003F3153">
            <w:pPr>
              <w:pStyle w:val="TableParagraph"/>
              <w:ind w:left="632" w:right="634"/>
              <w:jc w:val="center"/>
            </w:pPr>
            <w:r>
              <w:t>17</w:t>
            </w:r>
          </w:p>
        </w:tc>
        <w:tc>
          <w:tcPr>
            <w:tcW w:w="1538" w:type="dxa"/>
          </w:tcPr>
          <w:p w:rsidR="0056067F" w:rsidRDefault="0056067F">
            <w:pPr>
              <w:pStyle w:val="TableParagraph"/>
              <w:spacing w:before="3"/>
              <w:rPr>
                <w:sz w:val="26"/>
              </w:rPr>
            </w:pPr>
          </w:p>
          <w:p w:rsidR="0056067F" w:rsidRDefault="003F3153">
            <w:pPr>
              <w:pStyle w:val="TableParagraph"/>
              <w:ind w:left="554"/>
            </w:pPr>
            <w:r>
              <w:t>1</w:t>
            </w:r>
          </w:p>
        </w:tc>
        <w:tc>
          <w:tcPr>
            <w:tcW w:w="1255" w:type="dxa"/>
          </w:tcPr>
          <w:p w:rsidR="0056067F" w:rsidRDefault="0056067F">
            <w:pPr>
              <w:pStyle w:val="TableParagraph"/>
              <w:spacing w:before="3"/>
              <w:rPr>
                <w:sz w:val="26"/>
              </w:rPr>
            </w:pPr>
          </w:p>
          <w:p w:rsidR="0056067F" w:rsidRDefault="003F3153">
            <w:pPr>
              <w:pStyle w:val="TableParagraph"/>
              <w:ind w:left="559"/>
            </w:pPr>
            <w:r>
              <w:t>9</w:t>
            </w:r>
          </w:p>
        </w:tc>
        <w:tc>
          <w:tcPr>
            <w:tcW w:w="1495" w:type="dxa"/>
          </w:tcPr>
          <w:p w:rsidR="0056067F" w:rsidRDefault="0056067F">
            <w:pPr>
              <w:pStyle w:val="TableParagraph"/>
              <w:spacing w:before="3"/>
              <w:rPr>
                <w:sz w:val="26"/>
              </w:rPr>
            </w:pPr>
          </w:p>
          <w:p w:rsidR="0056067F" w:rsidRDefault="003F3153">
            <w:pPr>
              <w:pStyle w:val="TableParagraph"/>
              <w:ind w:left="183" w:right="181"/>
              <w:jc w:val="center"/>
            </w:pPr>
            <w:r>
              <w:t>$117.40</w:t>
            </w:r>
          </w:p>
        </w:tc>
        <w:tc>
          <w:tcPr>
            <w:tcW w:w="1478" w:type="dxa"/>
          </w:tcPr>
          <w:p w:rsidR="0056067F" w:rsidRDefault="0056067F">
            <w:pPr>
              <w:pStyle w:val="TableParagraph"/>
              <w:spacing w:before="3"/>
              <w:rPr>
                <w:sz w:val="26"/>
              </w:rPr>
            </w:pPr>
          </w:p>
          <w:p w:rsidR="0056067F" w:rsidRDefault="003F3153">
            <w:pPr>
              <w:pStyle w:val="TableParagraph"/>
              <w:ind w:right="347"/>
              <w:jc w:val="right"/>
            </w:pPr>
            <w:r>
              <w:t>$17,962</w:t>
            </w:r>
          </w:p>
        </w:tc>
      </w:tr>
      <w:tr w:rsidR="0056067F">
        <w:trPr>
          <w:trHeight w:hRule="exact" w:val="1154"/>
        </w:trPr>
        <w:tc>
          <w:tcPr>
            <w:tcW w:w="1836" w:type="dxa"/>
          </w:tcPr>
          <w:p w:rsidR="0056067F" w:rsidRDefault="003F3153">
            <w:pPr>
              <w:pStyle w:val="TableParagraph"/>
              <w:spacing w:before="17" w:line="264" w:lineRule="auto"/>
              <w:ind w:left="160" w:right="333"/>
            </w:pPr>
            <w:r>
              <w:t>Senior-level manager to conduct most writing</w:t>
            </w:r>
          </w:p>
        </w:tc>
        <w:tc>
          <w:tcPr>
            <w:tcW w:w="1570" w:type="dxa"/>
          </w:tcPr>
          <w:p w:rsidR="0056067F" w:rsidRDefault="0056067F">
            <w:pPr>
              <w:pStyle w:val="TableParagraph"/>
              <w:rPr>
                <w:sz w:val="24"/>
              </w:rPr>
            </w:pPr>
          </w:p>
          <w:p w:rsidR="0056067F" w:rsidRDefault="003F3153">
            <w:pPr>
              <w:pStyle w:val="TableParagraph"/>
              <w:spacing w:before="161"/>
              <w:ind w:left="632" w:right="634"/>
              <w:jc w:val="center"/>
            </w:pPr>
            <w:r>
              <w:t>17</w:t>
            </w:r>
          </w:p>
        </w:tc>
        <w:tc>
          <w:tcPr>
            <w:tcW w:w="1538" w:type="dxa"/>
          </w:tcPr>
          <w:p w:rsidR="0056067F" w:rsidRDefault="0056067F">
            <w:pPr>
              <w:pStyle w:val="TableParagraph"/>
              <w:rPr>
                <w:sz w:val="24"/>
              </w:rPr>
            </w:pPr>
          </w:p>
          <w:p w:rsidR="0056067F" w:rsidRDefault="003F3153">
            <w:pPr>
              <w:pStyle w:val="TableParagraph"/>
              <w:spacing w:before="161"/>
              <w:ind w:left="554"/>
            </w:pPr>
            <w:r>
              <w:t>1</w:t>
            </w:r>
          </w:p>
        </w:tc>
        <w:tc>
          <w:tcPr>
            <w:tcW w:w="1255" w:type="dxa"/>
          </w:tcPr>
          <w:p w:rsidR="0056067F" w:rsidRDefault="0056067F">
            <w:pPr>
              <w:pStyle w:val="TableParagraph"/>
              <w:rPr>
                <w:sz w:val="24"/>
              </w:rPr>
            </w:pPr>
          </w:p>
          <w:p w:rsidR="0056067F" w:rsidRDefault="003F3153">
            <w:pPr>
              <w:pStyle w:val="TableParagraph"/>
              <w:spacing w:before="161"/>
              <w:ind w:left="503"/>
            </w:pPr>
            <w:r>
              <w:t>17</w:t>
            </w:r>
          </w:p>
        </w:tc>
        <w:tc>
          <w:tcPr>
            <w:tcW w:w="1495" w:type="dxa"/>
          </w:tcPr>
          <w:p w:rsidR="0056067F" w:rsidRDefault="0056067F">
            <w:pPr>
              <w:pStyle w:val="TableParagraph"/>
              <w:rPr>
                <w:sz w:val="24"/>
              </w:rPr>
            </w:pPr>
          </w:p>
          <w:p w:rsidR="0056067F" w:rsidRDefault="003F3153">
            <w:pPr>
              <w:pStyle w:val="TableParagraph"/>
              <w:spacing w:before="161"/>
              <w:ind w:left="183" w:right="181"/>
              <w:jc w:val="center"/>
            </w:pPr>
            <w:r>
              <w:t>$117.40</w:t>
            </w:r>
          </w:p>
        </w:tc>
        <w:tc>
          <w:tcPr>
            <w:tcW w:w="1478" w:type="dxa"/>
          </w:tcPr>
          <w:p w:rsidR="0056067F" w:rsidRDefault="0056067F">
            <w:pPr>
              <w:pStyle w:val="TableParagraph"/>
              <w:rPr>
                <w:sz w:val="24"/>
              </w:rPr>
            </w:pPr>
          </w:p>
          <w:p w:rsidR="0056067F" w:rsidRDefault="003F3153">
            <w:pPr>
              <w:pStyle w:val="TableParagraph"/>
              <w:spacing w:before="161"/>
              <w:ind w:right="347"/>
              <w:jc w:val="right"/>
            </w:pPr>
            <w:r>
              <w:t>$33,929</w:t>
            </w:r>
          </w:p>
        </w:tc>
      </w:tr>
      <w:tr w:rsidR="0056067F">
        <w:trPr>
          <w:trHeight w:hRule="exact" w:val="854"/>
        </w:trPr>
        <w:tc>
          <w:tcPr>
            <w:tcW w:w="1836" w:type="dxa"/>
          </w:tcPr>
          <w:p w:rsidR="0056067F" w:rsidRDefault="003F3153">
            <w:pPr>
              <w:pStyle w:val="TableParagraph"/>
              <w:spacing w:before="17" w:line="268" w:lineRule="auto"/>
              <w:ind w:left="160" w:right="235"/>
            </w:pPr>
            <w:r>
              <w:rPr>
                <w:spacing w:val="-8"/>
              </w:rPr>
              <w:t xml:space="preserve">Mid-level </w:t>
            </w:r>
            <w:r>
              <w:rPr>
                <w:spacing w:val="-3"/>
              </w:rPr>
              <w:t xml:space="preserve">policy </w:t>
            </w:r>
            <w:r>
              <w:rPr>
                <w:spacing w:val="-5"/>
              </w:rPr>
              <w:t xml:space="preserve">analyst </w:t>
            </w:r>
            <w:r>
              <w:t xml:space="preserve">to </w:t>
            </w:r>
            <w:r>
              <w:rPr>
                <w:spacing w:val="-4"/>
              </w:rPr>
              <w:t xml:space="preserve">support </w:t>
            </w:r>
            <w:r>
              <w:rPr>
                <w:spacing w:val="-5"/>
              </w:rPr>
              <w:t>writing</w:t>
            </w:r>
          </w:p>
        </w:tc>
        <w:tc>
          <w:tcPr>
            <w:tcW w:w="1570" w:type="dxa"/>
          </w:tcPr>
          <w:p w:rsidR="0056067F" w:rsidRDefault="0056067F">
            <w:pPr>
              <w:pStyle w:val="TableParagraph"/>
              <w:spacing w:before="3"/>
              <w:rPr>
                <w:sz w:val="26"/>
              </w:rPr>
            </w:pPr>
          </w:p>
          <w:p w:rsidR="0056067F" w:rsidRDefault="003F3153">
            <w:pPr>
              <w:pStyle w:val="TableParagraph"/>
              <w:ind w:left="634" w:right="632"/>
              <w:jc w:val="center"/>
            </w:pPr>
            <w:r>
              <w:t>17</w:t>
            </w:r>
          </w:p>
        </w:tc>
        <w:tc>
          <w:tcPr>
            <w:tcW w:w="1538" w:type="dxa"/>
          </w:tcPr>
          <w:p w:rsidR="0056067F" w:rsidRDefault="0056067F">
            <w:pPr>
              <w:pStyle w:val="TableParagraph"/>
              <w:spacing w:before="3"/>
              <w:rPr>
                <w:sz w:val="26"/>
              </w:rPr>
            </w:pPr>
          </w:p>
          <w:p w:rsidR="0056067F" w:rsidRDefault="003F3153">
            <w:pPr>
              <w:pStyle w:val="TableParagraph"/>
              <w:ind w:left="554"/>
            </w:pPr>
            <w:r>
              <w:t>1</w:t>
            </w:r>
          </w:p>
        </w:tc>
        <w:tc>
          <w:tcPr>
            <w:tcW w:w="1255" w:type="dxa"/>
          </w:tcPr>
          <w:p w:rsidR="0056067F" w:rsidRDefault="0056067F">
            <w:pPr>
              <w:pStyle w:val="TableParagraph"/>
              <w:spacing w:before="3"/>
              <w:rPr>
                <w:sz w:val="26"/>
              </w:rPr>
            </w:pPr>
          </w:p>
          <w:p w:rsidR="0056067F" w:rsidRDefault="003F3153">
            <w:pPr>
              <w:pStyle w:val="TableParagraph"/>
              <w:ind w:left="503"/>
            </w:pPr>
            <w:r>
              <w:t>25</w:t>
            </w:r>
          </w:p>
        </w:tc>
        <w:tc>
          <w:tcPr>
            <w:tcW w:w="1495" w:type="dxa"/>
          </w:tcPr>
          <w:p w:rsidR="0056067F" w:rsidRDefault="0056067F">
            <w:pPr>
              <w:pStyle w:val="TableParagraph"/>
              <w:spacing w:before="3"/>
              <w:rPr>
                <w:sz w:val="26"/>
              </w:rPr>
            </w:pPr>
          </w:p>
          <w:p w:rsidR="0056067F" w:rsidRDefault="003F3153">
            <w:pPr>
              <w:pStyle w:val="TableParagraph"/>
              <w:ind w:left="180" w:right="184"/>
              <w:jc w:val="center"/>
            </w:pPr>
            <w:r>
              <w:t>$78.20</w:t>
            </w:r>
          </w:p>
        </w:tc>
        <w:tc>
          <w:tcPr>
            <w:tcW w:w="1478" w:type="dxa"/>
          </w:tcPr>
          <w:p w:rsidR="0056067F" w:rsidRDefault="0056067F">
            <w:pPr>
              <w:pStyle w:val="TableParagraph"/>
              <w:spacing w:before="3"/>
              <w:rPr>
                <w:sz w:val="26"/>
              </w:rPr>
            </w:pPr>
          </w:p>
          <w:p w:rsidR="0056067F" w:rsidRDefault="003F3153">
            <w:pPr>
              <w:pStyle w:val="TableParagraph"/>
              <w:ind w:right="347"/>
              <w:jc w:val="right"/>
            </w:pPr>
            <w:r>
              <w:t>$33,235</w:t>
            </w:r>
          </w:p>
        </w:tc>
      </w:tr>
      <w:tr w:rsidR="0056067F">
        <w:trPr>
          <w:trHeight w:hRule="exact" w:val="1154"/>
        </w:trPr>
        <w:tc>
          <w:tcPr>
            <w:tcW w:w="1836" w:type="dxa"/>
          </w:tcPr>
          <w:p w:rsidR="0056067F" w:rsidRDefault="003F3153">
            <w:pPr>
              <w:pStyle w:val="TableParagraph"/>
              <w:spacing w:before="19" w:line="261" w:lineRule="auto"/>
              <w:ind w:left="160" w:right="123"/>
            </w:pPr>
            <w:r>
              <w:rPr>
                <w:spacing w:val="-9"/>
              </w:rPr>
              <w:t xml:space="preserve">Mid-level </w:t>
            </w:r>
            <w:r>
              <w:rPr>
                <w:spacing w:val="-5"/>
              </w:rPr>
              <w:t xml:space="preserve">financial analyst </w:t>
            </w:r>
            <w:r>
              <w:t xml:space="preserve">to </w:t>
            </w:r>
            <w:r>
              <w:rPr>
                <w:spacing w:val="-4"/>
              </w:rPr>
              <w:t>support writing</w:t>
            </w:r>
          </w:p>
        </w:tc>
        <w:tc>
          <w:tcPr>
            <w:tcW w:w="1570" w:type="dxa"/>
          </w:tcPr>
          <w:p w:rsidR="0056067F" w:rsidRDefault="003F3153">
            <w:pPr>
              <w:pStyle w:val="TableParagraph"/>
              <w:spacing w:before="185"/>
              <w:ind w:left="632" w:right="634"/>
              <w:jc w:val="center"/>
            </w:pPr>
            <w:r>
              <w:t>17</w:t>
            </w:r>
          </w:p>
        </w:tc>
        <w:tc>
          <w:tcPr>
            <w:tcW w:w="1538" w:type="dxa"/>
          </w:tcPr>
          <w:p w:rsidR="0056067F" w:rsidRDefault="0056067F">
            <w:pPr>
              <w:pStyle w:val="TableParagraph"/>
              <w:rPr>
                <w:sz w:val="24"/>
              </w:rPr>
            </w:pPr>
          </w:p>
          <w:p w:rsidR="0056067F" w:rsidRDefault="003F3153">
            <w:pPr>
              <w:pStyle w:val="TableParagraph"/>
              <w:spacing w:before="161"/>
              <w:ind w:left="554"/>
            </w:pPr>
            <w:r>
              <w:t>1</w:t>
            </w:r>
          </w:p>
        </w:tc>
        <w:tc>
          <w:tcPr>
            <w:tcW w:w="1255" w:type="dxa"/>
          </w:tcPr>
          <w:p w:rsidR="0056067F" w:rsidRDefault="0056067F">
            <w:pPr>
              <w:pStyle w:val="TableParagraph"/>
              <w:rPr>
                <w:sz w:val="24"/>
              </w:rPr>
            </w:pPr>
          </w:p>
          <w:p w:rsidR="0056067F" w:rsidRDefault="003F3153">
            <w:pPr>
              <w:pStyle w:val="TableParagraph"/>
              <w:spacing w:before="161"/>
              <w:ind w:left="503"/>
            </w:pPr>
            <w:r>
              <w:t>14</w:t>
            </w:r>
          </w:p>
        </w:tc>
        <w:tc>
          <w:tcPr>
            <w:tcW w:w="1495" w:type="dxa"/>
          </w:tcPr>
          <w:p w:rsidR="0056067F" w:rsidRDefault="003F3153">
            <w:pPr>
              <w:pStyle w:val="TableParagraph"/>
              <w:spacing w:before="185"/>
              <w:ind w:left="179" w:right="184"/>
              <w:jc w:val="center"/>
            </w:pPr>
            <w:r>
              <w:t>$93.88</w:t>
            </w:r>
          </w:p>
        </w:tc>
        <w:tc>
          <w:tcPr>
            <w:tcW w:w="1478" w:type="dxa"/>
          </w:tcPr>
          <w:p w:rsidR="0056067F" w:rsidRDefault="0056067F">
            <w:pPr>
              <w:pStyle w:val="TableParagraph"/>
              <w:rPr>
                <w:sz w:val="24"/>
              </w:rPr>
            </w:pPr>
          </w:p>
          <w:p w:rsidR="0056067F" w:rsidRDefault="003F3153">
            <w:pPr>
              <w:pStyle w:val="TableParagraph"/>
              <w:spacing w:before="161"/>
              <w:ind w:right="347"/>
              <w:jc w:val="right"/>
            </w:pPr>
            <w:r>
              <w:t>$22,343</w:t>
            </w:r>
          </w:p>
        </w:tc>
      </w:tr>
      <w:tr w:rsidR="0056067F">
        <w:trPr>
          <w:trHeight w:hRule="exact" w:val="600"/>
        </w:trPr>
        <w:tc>
          <w:tcPr>
            <w:tcW w:w="1836" w:type="dxa"/>
          </w:tcPr>
          <w:p w:rsidR="0056067F" w:rsidRDefault="003F3153">
            <w:pPr>
              <w:pStyle w:val="TableParagraph"/>
              <w:spacing w:before="31" w:line="271" w:lineRule="auto"/>
              <w:ind w:left="160" w:right="260"/>
            </w:pPr>
            <w:r>
              <w:t>Administrative assistant</w:t>
            </w:r>
          </w:p>
        </w:tc>
        <w:tc>
          <w:tcPr>
            <w:tcW w:w="1570" w:type="dxa"/>
          </w:tcPr>
          <w:p w:rsidR="0056067F" w:rsidRDefault="003F3153">
            <w:pPr>
              <w:pStyle w:val="TableParagraph"/>
              <w:spacing w:before="165"/>
              <w:ind w:left="634" w:right="632"/>
              <w:jc w:val="center"/>
            </w:pPr>
            <w:r>
              <w:t>17</w:t>
            </w:r>
          </w:p>
        </w:tc>
        <w:tc>
          <w:tcPr>
            <w:tcW w:w="1538" w:type="dxa"/>
          </w:tcPr>
          <w:p w:rsidR="0056067F" w:rsidRDefault="003F3153">
            <w:pPr>
              <w:pStyle w:val="TableParagraph"/>
              <w:spacing w:before="165"/>
              <w:ind w:left="554"/>
            </w:pPr>
            <w:r>
              <w:t>1</w:t>
            </w:r>
          </w:p>
        </w:tc>
        <w:tc>
          <w:tcPr>
            <w:tcW w:w="1255" w:type="dxa"/>
          </w:tcPr>
          <w:p w:rsidR="0056067F" w:rsidRDefault="003F3153">
            <w:pPr>
              <w:pStyle w:val="TableParagraph"/>
              <w:spacing w:before="165"/>
              <w:ind w:left="559"/>
            </w:pPr>
            <w:r>
              <w:t>2</w:t>
            </w:r>
          </w:p>
        </w:tc>
        <w:tc>
          <w:tcPr>
            <w:tcW w:w="1495" w:type="dxa"/>
          </w:tcPr>
          <w:p w:rsidR="0056067F" w:rsidRDefault="003F3153">
            <w:pPr>
              <w:pStyle w:val="TableParagraph"/>
              <w:spacing w:before="165"/>
              <w:ind w:left="180" w:right="184"/>
              <w:jc w:val="center"/>
            </w:pPr>
            <w:r>
              <w:t>$38.78</w:t>
            </w:r>
          </w:p>
        </w:tc>
        <w:tc>
          <w:tcPr>
            <w:tcW w:w="1478" w:type="dxa"/>
          </w:tcPr>
          <w:p w:rsidR="0056067F" w:rsidRDefault="003F3153">
            <w:pPr>
              <w:pStyle w:val="TableParagraph"/>
              <w:spacing w:before="165"/>
              <w:ind w:left="413"/>
            </w:pPr>
            <w:r>
              <w:t>$1,319</w:t>
            </w:r>
          </w:p>
        </w:tc>
      </w:tr>
      <w:tr w:rsidR="0056067F">
        <w:trPr>
          <w:trHeight w:hRule="exact" w:val="427"/>
        </w:trPr>
        <w:tc>
          <w:tcPr>
            <w:tcW w:w="1836" w:type="dxa"/>
          </w:tcPr>
          <w:p w:rsidR="0056067F" w:rsidRDefault="003F3153">
            <w:pPr>
              <w:pStyle w:val="TableParagraph"/>
              <w:spacing w:before="149"/>
              <w:ind w:left="26"/>
              <w:rPr>
                <w:b/>
              </w:rPr>
            </w:pPr>
            <w:r>
              <w:rPr>
                <w:b/>
              </w:rPr>
              <w:t>Total</w:t>
            </w:r>
          </w:p>
        </w:tc>
        <w:tc>
          <w:tcPr>
            <w:tcW w:w="1570" w:type="dxa"/>
          </w:tcPr>
          <w:p w:rsidR="0056067F" w:rsidRDefault="0056067F"/>
        </w:tc>
        <w:tc>
          <w:tcPr>
            <w:tcW w:w="1538" w:type="dxa"/>
          </w:tcPr>
          <w:p w:rsidR="0056067F" w:rsidRDefault="0056067F"/>
        </w:tc>
        <w:tc>
          <w:tcPr>
            <w:tcW w:w="1255" w:type="dxa"/>
          </w:tcPr>
          <w:p w:rsidR="0056067F" w:rsidRDefault="003F3153">
            <w:pPr>
              <w:pStyle w:val="TableParagraph"/>
              <w:spacing w:before="149"/>
              <w:ind w:left="503"/>
              <w:rPr>
                <w:b/>
              </w:rPr>
            </w:pPr>
            <w:r>
              <w:rPr>
                <w:b/>
              </w:rPr>
              <w:t>69</w:t>
            </w:r>
          </w:p>
        </w:tc>
        <w:tc>
          <w:tcPr>
            <w:tcW w:w="1495" w:type="dxa"/>
          </w:tcPr>
          <w:p w:rsidR="0056067F" w:rsidRDefault="0056067F"/>
        </w:tc>
        <w:tc>
          <w:tcPr>
            <w:tcW w:w="1478" w:type="dxa"/>
          </w:tcPr>
          <w:p w:rsidR="0056067F" w:rsidRDefault="003F3153">
            <w:pPr>
              <w:pStyle w:val="TableParagraph"/>
              <w:spacing w:before="149"/>
              <w:ind w:right="297"/>
              <w:jc w:val="right"/>
              <w:rPr>
                <w:b/>
              </w:rPr>
            </w:pPr>
            <w:r>
              <w:rPr>
                <w:b/>
              </w:rPr>
              <w:t>$112,938</w:t>
            </w:r>
          </w:p>
        </w:tc>
      </w:tr>
    </w:tbl>
    <w:p w:rsidR="0056067F" w:rsidRDefault="0056067F">
      <w:pPr>
        <w:pStyle w:val="BodyText"/>
        <w:spacing w:before="8"/>
        <w:rPr>
          <w:sz w:val="35"/>
        </w:rPr>
      </w:pPr>
    </w:p>
    <w:p w:rsidR="0056067F" w:rsidRDefault="003F3153">
      <w:pPr>
        <w:pStyle w:val="Heading1"/>
        <w:numPr>
          <w:ilvl w:val="1"/>
          <w:numId w:val="3"/>
        </w:numPr>
        <w:tabs>
          <w:tab w:val="left" w:pos="470"/>
        </w:tabs>
        <w:ind w:left="469"/>
      </w:pPr>
      <w:r>
        <w:t>Capital</w:t>
      </w:r>
      <w:r>
        <w:rPr>
          <w:spacing w:val="-6"/>
        </w:rPr>
        <w:t xml:space="preserve"> </w:t>
      </w:r>
      <w:r>
        <w:t>Costs</w:t>
      </w:r>
    </w:p>
    <w:p w:rsidR="0056067F" w:rsidRDefault="003F3153">
      <w:pPr>
        <w:pStyle w:val="BodyText"/>
        <w:ind w:left="498"/>
      </w:pPr>
      <w:r>
        <w:t>There are no capital costs associated with this collection.</w:t>
      </w:r>
    </w:p>
    <w:p w:rsidR="0056067F" w:rsidRDefault="0056067F">
      <w:pPr>
        <w:pStyle w:val="BodyText"/>
        <w:spacing w:before="8"/>
        <w:rPr>
          <w:sz w:val="22"/>
        </w:rPr>
      </w:pPr>
    </w:p>
    <w:p w:rsidR="0056067F" w:rsidRDefault="003F3153">
      <w:pPr>
        <w:pStyle w:val="Heading1"/>
        <w:numPr>
          <w:ilvl w:val="1"/>
          <w:numId w:val="3"/>
        </w:numPr>
        <w:tabs>
          <w:tab w:val="left" w:pos="470"/>
        </w:tabs>
        <w:ind w:left="469"/>
      </w:pPr>
      <w:bookmarkStart w:id="18" w:name="14._Cost_to_Federal_Government"/>
      <w:bookmarkEnd w:id="18"/>
      <w:r>
        <w:t>Cost to Federal</w:t>
      </w:r>
      <w:r>
        <w:rPr>
          <w:spacing w:val="-7"/>
        </w:rPr>
        <w:t xml:space="preserve"> </w:t>
      </w:r>
      <w:r>
        <w:t>Government</w:t>
      </w:r>
    </w:p>
    <w:p w:rsidR="0056067F" w:rsidRDefault="003F3153">
      <w:pPr>
        <w:pStyle w:val="BodyText"/>
        <w:spacing w:before="1"/>
        <w:ind w:left="469"/>
      </w:pPr>
      <w:r>
        <w:t>There are no costs to the Federal Government.</w:t>
      </w:r>
    </w:p>
    <w:p w:rsidR="0056067F" w:rsidRDefault="0056067F">
      <w:pPr>
        <w:sectPr w:rsidR="0056067F">
          <w:pgSz w:w="12240" w:h="15840"/>
          <w:pgMar w:top="1360" w:right="1420" w:bottom="280" w:left="1220" w:header="720" w:footer="720" w:gutter="0"/>
          <w:cols w:space="720"/>
        </w:sectPr>
      </w:pPr>
    </w:p>
    <w:p w:rsidR="0056067F" w:rsidRDefault="003F3153">
      <w:pPr>
        <w:pStyle w:val="Heading1"/>
        <w:numPr>
          <w:ilvl w:val="1"/>
          <w:numId w:val="3"/>
        </w:numPr>
        <w:tabs>
          <w:tab w:val="left" w:pos="530"/>
        </w:tabs>
        <w:spacing w:before="115"/>
        <w:ind w:left="529" w:hanging="427"/>
      </w:pPr>
      <w:bookmarkStart w:id="19" w:name="15._Changes_to_Burden"/>
      <w:bookmarkEnd w:id="19"/>
      <w:r>
        <w:t>Changes to</w:t>
      </w:r>
      <w:r>
        <w:rPr>
          <w:spacing w:val="-6"/>
        </w:rPr>
        <w:t xml:space="preserve"> </w:t>
      </w:r>
      <w:r>
        <w:t>Burden</w:t>
      </w:r>
    </w:p>
    <w:p w:rsidR="0056067F" w:rsidRDefault="0056067F">
      <w:pPr>
        <w:pStyle w:val="BodyText"/>
        <w:rPr>
          <w:sz w:val="25"/>
        </w:rPr>
      </w:pPr>
    </w:p>
    <w:p w:rsidR="0056067F" w:rsidRDefault="003F3153">
      <w:pPr>
        <w:ind w:left="529" w:right="119"/>
        <w:rPr>
          <w:sz w:val="24"/>
        </w:rPr>
      </w:pPr>
      <w:r>
        <w:rPr>
          <w:sz w:val="24"/>
        </w:rPr>
        <w:t xml:space="preserve">This revision incorporates relevant SMART program integrity requirements previously reflected within the Information Collection Request (ICR) </w:t>
      </w:r>
      <w:r>
        <w:rPr>
          <w:i/>
          <w:sz w:val="24"/>
        </w:rPr>
        <w:t xml:space="preserve">Program Integrity: Exchange, Premium Stabilization Programs, and Market Standards; Amendments to the HHS Notice of Benefit and Payment Parameters for 2014; Final Rule II </w:t>
      </w:r>
      <w:r>
        <w:rPr>
          <w:sz w:val="24"/>
        </w:rPr>
        <w:t>(OMB Control No: 0938-1277) into a single, consolidated, ICR for the SMART. As a result, the total burden hours increase by 2,242 hours.</w:t>
      </w:r>
    </w:p>
    <w:p w:rsidR="0056067F" w:rsidRDefault="0056067F">
      <w:pPr>
        <w:pStyle w:val="BodyText"/>
        <w:spacing w:before="6"/>
        <w:rPr>
          <w:sz w:val="23"/>
        </w:rPr>
      </w:pPr>
    </w:p>
    <w:p w:rsidR="0056067F" w:rsidRDefault="003F3153">
      <w:pPr>
        <w:pStyle w:val="Heading1"/>
        <w:numPr>
          <w:ilvl w:val="1"/>
          <w:numId w:val="3"/>
        </w:numPr>
        <w:tabs>
          <w:tab w:val="left" w:pos="530"/>
        </w:tabs>
        <w:ind w:left="529"/>
      </w:pPr>
      <w:bookmarkStart w:id="20" w:name="16._Publication/Tabulation_Dates"/>
      <w:bookmarkEnd w:id="20"/>
      <w:r>
        <w:t>Publication/Tabulation</w:t>
      </w:r>
      <w:r>
        <w:rPr>
          <w:spacing w:val="-21"/>
        </w:rPr>
        <w:t xml:space="preserve"> </w:t>
      </w:r>
      <w:r>
        <w:t>Dates</w:t>
      </w:r>
    </w:p>
    <w:p w:rsidR="0056067F" w:rsidRDefault="003F3153">
      <w:pPr>
        <w:pStyle w:val="BodyText"/>
        <w:ind w:left="529"/>
      </w:pPr>
      <w:r>
        <w:t>The results of this collection will not be published.</w:t>
      </w:r>
    </w:p>
    <w:p w:rsidR="0056067F" w:rsidRDefault="0056067F">
      <w:pPr>
        <w:pStyle w:val="BodyText"/>
        <w:spacing w:before="8"/>
        <w:rPr>
          <w:sz w:val="22"/>
        </w:rPr>
      </w:pPr>
    </w:p>
    <w:p w:rsidR="0056067F" w:rsidRDefault="003F3153">
      <w:pPr>
        <w:pStyle w:val="Heading1"/>
        <w:numPr>
          <w:ilvl w:val="1"/>
          <w:numId w:val="3"/>
        </w:numPr>
        <w:tabs>
          <w:tab w:val="left" w:pos="530"/>
        </w:tabs>
        <w:ind w:left="529"/>
      </w:pPr>
      <w:bookmarkStart w:id="21" w:name="17._Expiration_Date"/>
      <w:bookmarkEnd w:id="21"/>
      <w:r>
        <w:t>Expiration</w:t>
      </w:r>
      <w:r>
        <w:rPr>
          <w:spacing w:val="-10"/>
        </w:rPr>
        <w:t xml:space="preserve"> </w:t>
      </w:r>
      <w:r>
        <w:t>Date</w:t>
      </w:r>
    </w:p>
    <w:p w:rsidR="0056067F" w:rsidRDefault="003F3153">
      <w:pPr>
        <w:pStyle w:val="BodyText"/>
        <w:ind w:left="529" w:right="93"/>
      </w:pPr>
      <w:r>
        <w:t>The OMB control number and expiration date will display on the first page (top right- hand corner) of each instrument.</w:t>
      </w:r>
    </w:p>
    <w:sectPr w:rsidR="0056067F">
      <w:pgSz w:w="12240" w:h="15840"/>
      <w:pgMar w:top="1500" w:right="154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24497"/>
    <w:multiLevelType w:val="hybridMultilevel"/>
    <w:tmpl w:val="2500E4F0"/>
    <w:lvl w:ilvl="0" w:tplc="6592266C">
      <w:start w:val="1"/>
      <w:numFmt w:val="upperRoman"/>
      <w:lvlText w:val="%1."/>
      <w:lvlJc w:val="left"/>
      <w:pPr>
        <w:ind w:left="669" w:hanging="495"/>
        <w:jc w:val="right"/>
      </w:pPr>
      <w:rPr>
        <w:rFonts w:ascii="Arial" w:eastAsia="Arial" w:hAnsi="Arial" w:cs="Arial" w:hint="default"/>
        <w:b/>
        <w:bCs/>
        <w:w w:val="100"/>
        <w:sz w:val="24"/>
        <w:szCs w:val="24"/>
      </w:rPr>
    </w:lvl>
    <w:lvl w:ilvl="1" w:tplc="75CC73E2">
      <w:numFmt w:val="bullet"/>
      <w:lvlText w:val="•"/>
      <w:lvlJc w:val="left"/>
      <w:pPr>
        <w:ind w:left="1556" w:hanging="495"/>
      </w:pPr>
      <w:rPr>
        <w:rFonts w:hint="default"/>
      </w:rPr>
    </w:lvl>
    <w:lvl w:ilvl="2" w:tplc="26D2CB0C">
      <w:numFmt w:val="bullet"/>
      <w:lvlText w:val="•"/>
      <w:lvlJc w:val="left"/>
      <w:pPr>
        <w:ind w:left="2452" w:hanging="495"/>
      </w:pPr>
      <w:rPr>
        <w:rFonts w:hint="default"/>
      </w:rPr>
    </w:lvl>
    <w:lvl w:ilvl="3" w:tplc="12C2094A">
      <w:numFmt w:val="bullet"/>
      <w:lvlText w:val="•"/>
      <w:lvlJc w:val="left"/>
      <w:pPr>
        <w:ind w:left="3348" w:hanging="495"/>
      </w:pPr>
      <w:rPr>
        <w:rFonts w:hint="default"/>
      </w:rPr>
    </w:lvl>
    <w:lvl w:ilvl="4" w:tplc="BC28F526">
      <w:numFmt w:val="bullet"/>
      <w:lvlText w:val="•"/>
      <w:lvlJc w:val="left"/>
      <w:pPr>
        <w:ind w:left="4244" w:hanging="495"/>
      </w:pPr>
      <w:rPr>
        <w:rFonts w:hint="default"/>
      </w:rPr>
    </w:lvl>
    <w:lvl w:ilvl="5" w:tplc="6ADCF88A">
      <w:numFmt w:val="bullet"/>
      <w:lvlText w:val="•"/>
      <w:lvlJc w:val="left"/>
      <w:pPr>
        <w:ind w:left="5140" w:hanging="495"/>
      </w:pPr>
      <w:rPr>
        <w:rFonts w:hint="default"/>
      </w:rPr>
    </w:lvl>
    <w:lvl w:ilvl="6" w:tplc="547EBD8A">
      <w:numFmt w:val="bullet"/>
      <w:lvlText w:val="•"/>
      <w:lvlJc w:val="left"/>
      <w:pPr>
        <w:ind w:left="6036" w:hanging="495"/>
      </w:pPr>
      <w:rPr>
        <w:rFonts w:hint="default"/>
      </w:rPr>
    </w:lvl>
    <w:lvl w:ilvl="7" w:tplc="F98C34D6">
      <w:numFmt w:val="bullet"/>
      <w:lvlText w:val="•"/>
      <w:lvlJc w:val="left"/>
      <w:pPr>
        <w:ind w:left="6932" w:hanging="495"/>
      </w:pPr>
      <w:rPr>
        <w:rFonts w:hint="default"/>
      </w:rPr>
    </w:lvl>
    <w:lvl w:ilvl="8" w:tplc="6B1C8F32">
      <w:numFmt w:val="bullet"/>
      <w:lvlText w:val="•"/>
      <w:lvlJc w:val="left"/>
      <w:pPr>
        <w:ind w:left="7828" w:hanging="495"/>
      </w:pPr>
      <w:rPr>
        <w:rFonts w:hint="default"/>
      </w:rPr>
    </w:lvl>
  </w:abstractNum>
  <w:abstractNum w:abstractNumId="1">
    <w:nsid w:val="16783A5B"/>
    <w:multiLevelType w:val="hybridMultilevel"/>
    <w:tmpl w:val="DAEE8830"/>
    <w:lvl w:ilvl="0" w:tplc="0814442A">
      <w:start w:val="1"/>
      <w:numFmt w:val="lowerLetter"/>
      <w:lvlText w:val="%1."/>
      <w:lvlJc w:val="left"/>
      <w:pPr>
        <w:ind w:left="558" w:hanging="449"/>
        <w:jc w:val="left"/>
      </w:pPr>
      <w:rPr>
        <w:rFonts w:ascii="Arial" w:eastAsia="Arial" w:hAnsi="Arial" w:cs="Arial" w:hint="default"/>
        <w:spacing w:val="-3"/>
        <w:w w:val="99"/>
        <w:sz w:val="24"/>
        <w:szCs w:val="24"/>
      </w:rPr>
    </w:lvl>
    <w:lvl w:ilvl="1" w:tplc="7F2880AC">
      <w:numFmt w:val="bullet"/>
      <w:lvlText w:val="•"/>
      <w:lvlJc w:val="left"/>
      <w:pPr>
        <w:ind w:left="1464" w:hanging="449"/>
      </w:pPr>
      <w:rPr>
        <w:rFonts w:hint="default"/>
      </w:rPr>
    </w:lvl>
    <w:lvl w:ilvl="2" w:tplc="C488159C">
      <w:numFmt w:val="bullet"/>
      <w:lvlText w:val="•"/>
      <w:lvlJc w:val="left"/>
      <w:pPr>
        <w:ind w:left="2368" w:hanging="449"/>
      </w:pPr>
      <w:rPr>
        <w:rFonts w:hint="default"/>
      </w:rPr>
    </w:lvl>
    <w:lvl w:ilvl="3" w:tplc="84DEC9E2">
      <w:numFmt w:val="bullet"/>
      <w:lvlText w:val="•"/>
      <w:lvlJc w:val="left"/>
      <w:pPr>
        <w:ind w:left="3272" w:hanging="449"/>
      </w:pPr>
      <w:rPr>
        <w:rFonts w:hint="default"/>
      </w:rPr>
    </w:lvl>
    <w:lvl w:ilvl="4" w:tplc="61628C78">
      <w:numFmt w:val="bullet"/>
      <w:lvlText w:val="•"/>
      <w:lvlJc w:val="left"/>
      <w:pPr>
        <w:ind w:left="4176" w:hanging="449"/>
      </w:pPr>
      <w:rPr>
        <w:rFonts w:hint="default"/>
      </w:rPr>
    </w:lvl>
    <w:lvl w:ilvl="5" w:tplc="5B649EAA">
      <w:numFmt w:val="bullet"/>
      <w:lvlText w:val="•"/>
      <w:lvlJc w:val="left"/>
      <w:pPr>
        <w:ind w:left="5080" w:hanging="449"/>
      </w:pPr>
      <w:rPr>
        <w:rFonts w:hint="default"/>
      </w:rPr>
    </w:lvl>
    <w:lvl w:ilvl="6" w:tplc="88521898">
      <w:numFmt w:val="bullet"/>
      <w:lvlText w:val="•"/>
      <w:lvlJc w:val="left"/>
      <w:pPr>
        <w:ind w:left="5984" w:hanging="449"/>
      </w:pPr>
      <w:rPr>
        <w:rFonts w:hint="default"/>
      </w:rPr>
    </w:lvl>
    <w:lvl w:ilvl="7" w:tplc="EBC486B0">
      <w:numFmt w:val="bullet"/>
      <w:lvlText w:val="•"/>
      <w:lvlJc w:val="left"/>
      <w:pPr>
        <w:ind w:left="6888" w:hanging="449"/>
      </w:pPr>
      <w:rPr>
        <w:rFonts w:hint="default"/>
      </w:rPr>
    </w:lvl>
    <w:lvl w:ilvl="8" w:tplc="AC40B646">
      <w:numFmt w:val="bullet"/>
      <w:lvlText w:val="•"/>
      <w:lvlJc w:val="left"/>
      <w:pPr>
        <w:ind w:left="7792" w:hanging="449"/>
      </w:pPr>
      <w:rPr>
        <w:rFonts w:hint="default"/>
      </w:rPr>
    </w:lvl>
  </w:abstractNum>
  <w:abstractNum w:abstractNumId="2">
    <w:nsid w:val="7F2909F1"/>
    <w:multiLevelType w:val="hybridMultilevel"/>
    <w:tmpl w:val="024EC44A"/>
    <w:lvl w:ilvl="0" w:tplc="EA94EDA4">
      <w:start w:val="1"/>
      <w:numFmt w:val="upperLetter"/>
      <w:lvlText w:val="%1."/>
      <w:lvlJc w:val="left"/>
      <w:pPr>
        <w:ind w:left="518" w:hanging="360"/>
        <w:jc w:val="left"/>
      </w:pPr>
      <w:rPr>
        <w:rFonts w:ascii="Arial" w:eastAsia="Arial" w:hAnsi="Arial" w:cs="Arial" w:hint="default"/>
        <w:b/>
        <w:bCs/>
        <w:spacing w:val="-11"/>
        <w:w w:val="99"/>
        <w:sz w:val="24"/>
        <w:szCs w:val="24"/>
      </w:rPr>
    </w:lvl>
    <w:lvl w:ilvl="1" w:tplc="4674567E">
      <w:start w:val="1"/>
      <w:numFmt w:val="decimal"/>
      <w:lvlText w:val="%2."/>
      <w:lvlJc w:val="left"/>
      <w:pPr>
        <w:ind w:left="518" w:hanging="360"/>
        <w:jc w:val="left"/>
      </w:pPr>
      <w:rPr>
        <w:rFonts w:ascii="Arial" w:eastAsia="Arial" w:hAnsi="Arial" w:cs="Arial" w:hint="default"/>
        <w:b/>
        <w:bCs/>
        <w:w w:val="98"/>
        <w:sz w:val="24"/>
        <w:szCs w:val="24"/>
      </w:rPr>
    </w:lvl>
    <w:lvl w:ilvl="2" w:tplc="7262B33E">
      <w:numFmt w:val="bullet"/>
      <w:lvlText w:val="•"/>
      <w:lvlJc w:val="left"/>
      <w:pPr>
        <w:ind w:left="2304" w:hanging="360"/>
      </w:pPr>
      <w:rPr>
        <w:rFonts w:hint="default"/>
      </w:rPr>
    </w:lvl>
    <w:lvl w:ilvl="3" w:tplc="01BCE2A6">
      <w:numFmt w:val="bullet"/>
      <w:lvlText w:val="•"/>
      <w:lvlJc w:val="left"/>
      <w:pPr>
        <w:ind w:left="3196" w:hanging="360"/>
      </w:pPr>
      <w:rPr>
        <w:rFonts w:hint="default"/>
      </w:rPr>
    </w:lvl>
    <w:lvl w:ilvl="4" w:tplc="AE10391E">
      <w:numFmt w:val="bullet"/>
      <w:lvlText w:val="•"/>
      <w:lvlJc w:val="left"/>
      <w:pPr>
        <w:ind w:left="4088" w:hanging="360"/>
      </w:pPr>
      <w:rPr>
        <w:rFonts w:hint="default"/>
      </w:rPr>
    </w:lvl>
    <w:lvl w:ilvl="5" w:tplc="81369960">
      <w:numFmt w:val="bullet"/>
      <w:lvlText w:val="•"/>
      <w:lvlJc w:val="left"/>
      <w:pPr>
        <w:ind w:left="4980" w:hanging="360"/>
      </w:pPr>
      <w:rPr>
        <w:rFonts w:hint="default"/>
      </w:rPr>
    </w:lvl>
    <w:lvl w:ilvl="6" w:tplc="A6245580">
      <w:numFmt w:val="bullet"/>
      <w:lvlText w:val="•"/>
      <w:lvlJc w:val="left"/>
      <w:pPr>
        <w:ind w:left="5872" w:hanging="360"/>
      </w:pPr>
      <w:rPr>
        <w:rFonts w:hint="default"/>
      </w:rPr>
    </w:lvl>
    <w:lvl w:ilvl="7" w:tplc="80744756">
      <w:numFmt w:val="bullet"/>
      <w:lvlText w:val="•"/>
      <w:lvlJc w:val="left"/>
      <w:pPr>
        <w:ind w:left="6764" w:hanging="360"/>
      </w:pPr>
      <w:rPr>
        <w:rFonts w:hint="default"/>
      </w:rPr>
    </w:lvl>
    <w:lvl w:ilvl="8" w:tplc="0B24BBF4">
      <w:numFmt w:val="bullet"/>
      <w:lvlText w:val="•"/>
      <w:lvlJc w:val="left"/>
      <w:pPr>
        <w:ind w:left="7656"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56067F"/>
    <w:rsid w:val="003F3153"/>
    <w:rsid w:val="0056067F"/>
    <w:rsid w:val="00915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1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4"/>
      <w:szCs w:val="24"/>
    </w:rPr>
  </w:style>
  <w:style w:type="paragraph" w:styleId="ListParagraph">
    <w:name w:val="List Paragraph"/>
    <w:basedOn w:val="Normal"/>
    <w:uiPriority w:val="1"/>
    <w:qFormat/>
    <w:pPr>
      <w:ind w:left="518"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2999</Words>
  <Characters>17100</Characters>
  <Application>Microsoft Office Word</Application>
  <DocSecurity>0</DocSecurity>
  <Lines>142</Lines>
  <Paragraphs>40</Paragraphs>
  <ScaleCrop>false</ScaleCrop>
  <Company>CMS</Company>
  <LinksUpToDate>false</LinksUpToDate>
  <CharactersWithSpaces>20059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State-based Marketplace Annual Report (SMAR)</dc:title>
  <dc:subject>State-based Marketplace Annual Report (SMAR)</dc:subject>
  <dc:creator>CMS</dc:creator>
  <cp:keywords>State, based, Marketplace, Annual Report, (SMAR)</cp:keywords>
  <cp:lastModifiedBy>SYSTEM</cp:lastModifiedBy>
  <cp:revision>2</cp:revision>
  <dcterms:created xsi:type="dcterms:W3CDTF">2019-03-26T18:45:00Z</dcterms:created>
  <dcterms:modified xsi:type="dcterms:W3CDTF">2019-03-26T18:45:00Z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Creator">
    <vt:lpwstr>Acrobat PDFMaker 15 for Word</vt:lpwstr>
  </property>
  <property fmtid="{D5CDD505-2E9C-101B-9397-08002B2CF9AE}" pid="4" name="LastSaved">
    <vt:filetime>2019-03-26T00:00:00Z</vt:filetime>
  </property>
</Properties>
</file>