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FEA99" w14:textId="77777777" w:rsidR="00BA2DBE" w:rsidRPr="00E5744D" w:rsidRDefault="00BA2DBE" w:rsidP="00E5744D">
      <w:pPr>
        <w:pStyle w:val="Heading2"/>
        <w:jc w:val="center"/>
        <w:rPr>
          <w:rFonts w:ascii="Cambria" w:hAnsi="Cambria"/>
          <w:b/>
          <w:color w:val="000000" w:themeColor="text1"/>
          <w:sz w:val="36"/>
          <w:szCs w:val="36"/>
        </w:rPr>
      </w:pPr>
      <w:bookmarkStart w:id="0" w:name="_Toc337198071"/>
      <w:bookmarkStart w:id="1" w:name="_Toc423335421"/>
      <w:bookmarkStart w:id="2" w:name="_GoBack"/>
      <w:bookmarkEnd w:id="2"/>
    </w:p>
    <w:p w14:paraId="099758DF" w14:textId="5825F532" w:rsidR="006615FB" w:rsidRPr="00E5744D" w:rsidRDefault="006A5266" w:rsidP="00021035">
      <w:pPr>
        <w:pStyle w:val="Heading2"/>
        <w:jc w:val="center"/>
        <w:rPr>
          <w:rFonts w:ascii="Cambria" w:hAnsi="Cambria" w:cs="Courier New"/>
          <w:b/>
          <w:color w:val="000000" w:themeColor="text1"/>
          <w:sz w:val="36"/>
          <w:szCs w:val="36"/>
        </w:rPr>
      </w:pPr>
      <w:bookmarkStart w:id="3" w:name="_Toc603212"/>
      <w:r>
        <w:rPr>
          <w:rFonts w:ascii="Cambria" w:hAnsi="Cambria"/>
          <w:b/>
          <w:color w:val="000000" w:themeColor="text1"/>
          <w:sz w:val="36"/>
          <w:szCs w:val="36"/>
        </w:rPr>
        <w:t xml:space="preserve">Assessment of </w:t>
      </w:r>
      <w:r w:rsidR="00CE7567" w:rsidRPr="00E5744D">
        <w:rPr>
          <w:rFonts w:ascii="Cambria" w:hAnsi="Cambria"/>
          <w:b/>
          <w:color w:val="000000" w:themeColor="text1"/>
          <w:sz w:val="36"/>
          <w:szCs w:val="36"/>
        </w:rPr>
        <w:t>Environmental</w:t>
      </w:r>
      <w:r w:rsidR="00CE7567" w:rsidRPr="00E5744D">
        <w:rPr>
          <w:rFonts w:ascii="Cambria" w:hAnsi="Cambria" w:cs="Courier New"/>
          <w:b/>
          <w:color w:val="000000" w:themeColor="text1"/>
          <w:sz w:val="36"/>
          <w:szCs w:val="36"/>
        </w:rPr>
        <w:t xml:space="preserve"> Health and Land Reuse Certification</w:t>
      </w:r>
      <w:bookmarkEnd w:id="3"/>
      <w:r>
        <w:rPr>
          <w:rFonts w:ascii="Cambria" w:hAnsi="Cambria" w:cs="Courier New"/>
          <w:b/>
          <w:color w:val="000000" w:themeColor="text1"/>
          <w:sz w:val="36"/>
          <w:szCs w:val="36"/>
        </w:rPr>
        <w:t xml:space="preserve"> Training</w:t>
      </w:r>
    </w:p>
    <w:p w14:paraId="388EB063" w14:textId="77777777" w:rsidR="00243DF7" w:rsidRPr="00547EA2" w:rsidRDefault="00243DF7" w:rsidP="00021035">
      <w:pPr>
        <w:pStyle w:val="Subtitle"/>
        <w:jc w:val="center"/>
        <w:rPr>
          <w:rFonts w:ascii="Cambria" w:hAnsi="Cambria" w:cs="Courier New"/>
          <w:sz w:val="48"/>
          <w:szCs w:val="48"/>
        </w:rPr>
      </w:pPr>
    </w:p>
    <w:p w14:paraId="04C314F5" w14:textId="6501B83F" w:rsidR="00DA3955" w:rsidRPr="008E55FC" w:rsidRDefault="00DA3955" w:rsidP="00021035">
      <w:pPr>
        <w:pStyle w:val="Subtitle"/>
        <w:jc w:val="center"/>
        <w:rPr>
          <w:rFonts w:ascii="Cambria" w:hAnsi="Cambria" w:cs="Courier New"/>
          <w:b/>
          <w:color w:val="auto"/>
          <w:sz w:val="32"/>
          <w:szCs w:val="32"/>
        </w:rPr>
      </w:pPr>
      <w:r w:rsidRPr="008E55FC">
        <w:rPr>
          <w:rFonts w:ascii="Cambria" w:hAnsi="Cambria" w:cs="Courier New"/>
          <w:b/>
          <w:color w:val="auto"/>
          <w:sz w:val="32"/>
          <w:szCs w:val="32"/>
        </w:rPr>
        <w:t>OMB Control No. 0923-NEW</w:t>
      </w:r>
    </w:p>
    <w:p w14:paraId="2C97635E" w14:textId="77777777" w:rsidR="000C4290" w:rsidRPr="008E55FC" w:rsidRDefault="000C4290" w:rsidP="00021035">
      <w:pPr>
        <w:pStyle w:val="Subtitle"/>
        <w:jc w:val="center"/>
        <w:rPr>
          <w:rFonts w:ascii="Cambria" w:hAnsi="Cambria"/>
          <w:b/>
          <w:color w:val="000000" w:themeColor="text1"/>
          <w:sz w:val="32"/>
          <w:szCs w:val="32"/>
        </w:rPr>
      </w:pPr>
    </w:p>
    <w:p w14:paraId="617E9CE6" w14:textId="5D9762EE" w:rsidR="00DA3955" w:rsidRPr="008E55FC" w:rsidRDefault="00031890" w:rsidP="00021035">
      <w:pPr>
        <w:pStyle w:val="Subtitle"/>
        <w:jc w:val="center"/>
        <w:rPr>
          <w:rFonts w:ascii="Cambria" w:hAnsi="Cambria"/>
          <w:b/>
          <w:color w:val="000000" w:themeColor="text1"/>
          <w:sz w:val="32"/>
          <w:szCs w:val="32"/>
        </w:rPr>
      </w:pPr>
      <w:r>
        <w:rPr>
          <w:rFonts w:ascii="Cambria" w:hAnsi="Cambria"/>
          <w:b/>
          <w:color w:val="000000" w:themeColor="text1"/>
          <w:sz w:val="32"/>
          <w:szCs w:val="32"/>
        </w:rPr>
        <w:t>F ebruary</w:t>
      </w:r>
      <w:r w:rsidR="00DA3955" w:rsidRPr="008E55FC">
        <w:rPr>
          <w:rFonts w:ascii="Cambria" w:hAnsi="Cambria"/>
          <w:b/>
          <w:color w:val="000000" w:themeColor="text1"/>
          <w:sz w:val="32"/>
          <w:szCs w:val="32"/>
        </w:rPr>
        <w:t xml:space="preserve"> </w:t>
      </w:r>
      <w:r w:rsidRPr="008E55FC">
        <w:rPr>
          <w:rFonts w:ascii="Cambria" w:hAnsi="Cambria"/>
          <w:b/>
          <w:color w:val="000000" w:themeColor="text1"/>
          <w:sz w:val="32"/>
          <w:szCs w:val="32"/>
        </w:rPr>
        <w:t>201</w:t>
      </w:r>
      <w:r>
        <w:rPr>
          <w:rFonts w:ascii="Cambria" w:hAnsi="Cambria"/>
          <w:b/>
          <w:color w:val="000000" w:themeColor="text1"/>
          <w:sz w:val="32"/>
          <w:szCs w:val="32"/>
        </w:rPr>
        <w:t>9</w:t>
      </w:r>
    </w:p>
    <w:p w14:paraId="772DA9C6" w14:textId="77777777" w:rsidR="003F035D" w:rsidRPr="00021035" w:rsidRDefault="003F035D" w:rsidP="00021035">
      <w:pPr>
        <w:jc w:val="center"/>
        <w:rPr>
          <w:b/>
        </w:rPr>
      </w:pPr>
    </w:p>
    <w:p w14:paraId="12E818EF" w14:textId="6E120F61" w:rsidR="00D33AE3" w:rsidRPr="00021035" w:rsidRDefault="00D33AE3" w:rsidP="00021035">
      <w:pPr>
        <w:pStyle w:val="Subtitle"/>
        <w:jc w:val="center"/>
        <w:rPr>
          <w:rFonts w:ascii="Cambria" w:hAnsi="Cambria" w:cs="Courier New"/>
          <w:b/>
          <w:color w:val="auto"/>
          <w:sz w:val="32"/>
          <w:szCs w:val="32"/>
        </w:rPr>
      </w:pPr>
      <w:r w:rsidRPr="00021035">
        <w:rPr>
          <w:rFonts w:ascii="Cambria" w:hAnsi="Cambria" w:cs="Courier New"/>
          <w:b/>
          <w:color w:val="auto"/>
          <w:sz w:val="32"/>
          <w:szCs w:val="32"/>
        </w:rPr>
        <w:t>Supporting Statement Part B</w:t>
      </w:r>
    </w:p>
    <w:p w14:paraId="6D11492F" w14:textId="77777777" w:rsidR="00D33AE3" w:rsidRPr="00C325A3" w:rsidRDefault="00D33AE3" w:rsidP="00D33AE3">
      <w:pPr>
        <w:rPr>
          <w:rFonts w:ascii="Courier New" w:hAnsi="Courier New" w:cs="Courier New"/>
          <w:sz w:val="24"/>
          <w:szCs w:val="24"/>
        </w:rPr>
      </w:pPr>
    </w:p>
    <w:p w14:paraId="47A3E3AD" w14:textId="77777777" w:rsidR="00D33AE3" w:rsidRPr="00C325A3" w:rsidRDefault="00D33AE3" w:rsidP="00D33AE3">
      <w:pPr>
        <w:spacing w:after="200" w:line="276" w:lineRule="auto"/>
        <w:rPr>
          <w:rFonts w:ascii="Courier New" w:hAnsi="Courier New" w:cs="Courier New"/>
          <w:sz w:val="24"/>
          <w:szCs w:val="24"/>
        </w:rPr>
      </w:pPr>
    </w:p>
    <w:p w14:paraId="756233B8" w14:textId="77777777" w:rsidR="00D33AE3" w:rsidRPr="00C325A3" w:rsidRDefault="00D33AE3" w:rsidP="00D33AE3">
      <w:pPr>
        <w:spacing w:after="200" w:line="276" w:lineRule="auto"/>
        <w:rPr>
          <w:rFonts w:ascii="Courier New" w:hAnsi="Courier New" w:cs="Courier New"/>
          <w:sz w:val="24"/>
          <w:szCs w:val="24"/>
        </w:rPr>
      </w:pPr>
    </w:p>
    <w:p w14:paraId="53670BCF" w14:textId="1E7B1EA2" w:rsidR="00D33AE3" w:rsidRDefault="00D33AE3" w:rsidP="00D33AE3">
      <w:pPr>
        <w:spacing w:after="200" w:line="276" w:lineRule="auto"/>
        <w:rPr>
          <w:rFonts w:ascii="Courier New" w:hAnsi="Courier New" w:cs="Courier New"/>
          <w:sz w:val="24"/>
          <w:szCs w:val="24"/>
        </w:rPr>
      </w:pPr>
    </w:p>
    <w:p w14:paraId="7452EA37" w14:textId="2BF0371E" w:rsidR="004E07EF" w:rsidRDefault="004E07EF" w:rsidP="00D33AE3">
      <w:pPr>
        <w:spacing w:after="200" w:line="276" w:lineRule="auto"/>
        <w:rPr>
          <w:rFonts w:ascii="Courier New" w:hAnsi="Courier New" w:cs="Courier New"/>
          <w:sz w:val="24"/>
          <w:szCs w:val="24"/>
        </w:rPr>
      </w:pPr>
    </w:p>
    <w:p w14:paraId="397F4C8C" w14:textId="63A857BF" w:rsidR="004E07EF" w:rsidRDefault="004E07EF" w:rsidP="00D33AE3">
      <w:pPr>
        <w:spacing w:after="200" w:line="276" w:lineRule="auto"/>
        <w:rPr>
          <w:rFonts w:ascii="Courier New" w:hAnsi="Courier New" w:cs="Courier New"/>
          <w:sz w:val="24"/>
          <w:szCs w:val="24"/>
        </w:rPr>
      </w:pPr>
    </w:p>
    <w:p w14:paraId="4C3B1FC4" w14:textId="133E72D4" w:rsidR="004E07EF" w:rsidRDefault="004E07EF" w:rsidP="00D33AE3">
      <w:pPr>
        <w:spacing w:after="200" w:line="276" w:lineRule="auto"/>
        <w:rPr>
          <w:rFonts w:ascii="Courier New" w:hAnsi="Courier New" w:cs="Courier New"/>
          <w:sz w:val="24"/>
          <w:szCs w:val="24"/>
        </w:rPr>
      </w:pPr>
    </w:p>
    <w:p w14:paraId="5DC7F393" w14:textId="5AD82FF5" w:rsidR="004E07EF" w:rsidRDefault="004E07EF" w:rsidP="00D33AE3">
      <w:pPr>
        <w:spacing w:after="200" w:line="276" w:lineRule="auto"/>
        <w:rPr>
          <w:rFonts w:ascii="Courier New" w:hAnsi="Courier New" w:cs="Courier New"/>
          <w:sz w:val="24"/>
          <w:szCs w:val="24"/>
        </w:rPr>
      </w:pPr>
    </w:p>
    <w:p w14:paraId="32B4B6E0" w14:textId="77777777" w:rsidR="004E07EF" w:rsidRPr="00B16997" w:rsidRDefault="004E07EF" w:rsidP="00D33AE3">
      <w:pPr>
        <w:spacing w:after="200" w:line="276" w:lineRule="auto"/>
        <w:rPr>
          <w:rFonts w:ascii="Cambria" w:hAnsi="Cambria" w:cs="Courier New"/>
          <w:sz w:val="28"/>
          <w:szCs w:val="28"/>
        </w:rPr>
      </w:pPr>
    </w:p>
    <w:p w14:paraId="0A580386" w14:textId="77777777" w:rsidR="00B16997" w:rsidRDefault="00B16997" w:rsidP="0055165F">
      <w:pPr>
        <w:pStyle w:val="Subtitle"/>
        <w:spacing w:after="0"/>
        <w:rPr>
          <w:rFonts w:ascii="Cambria" w:hAnsi="Cambria" w:cs="Courier New"/>
          <w:color w:val="auto"/>
          <w:sz w:val="28"/>
          <w:szCs w:val="28"/>
        </w:rPr>
      </w:pPr>
    </w:p>
    <w:p w14:paraId="290B5E11" w14:textId="77777777" w:rsidR="00B16997" w:rsidRDefault="00B16997" w:rsidP="0055165F">
      <w:pPr>
        <w:pStyle w:val="Subtitle"/>
        <w:spacing w:after="0"/>
        <w:rPr>
          <w:rFonts w:ascii="Cambria" w:hAnsi="Cambria" w:cs="Courier New"/>
          <w:color w:val="auto"/>
          <w:sz w:val="28"/>
          <w:szCs w:val="28"/>
        </w:rPr>
      </w:pPr>
    </w:p>
    <w:p w14:paraId="79334616" w14:textId="77777777" w:rsidR="00B16997" w:rsidRDefault="00B16997" w:rsidP="0055165F">
      <w:pPr>
        <w:pStyle w:val="Subtitle"/>
        <w:spacing w:after="0"/>
        <w:rPr>
          <w:rFonts w:ascii="Cambria" w:hAnsi="Cambria" w:cs="Courier New"/>
          <w:color w:val="auto"/>
          <w:sz w:val="28"/>
          <w:szCs w:val="28"/>
        </w:rPr>
      </w:pPr>
    </w:p>
    <w:p w14:paraId="19F59961" w14:textId="77777777" w:rsidR="00B16997" w:rsidRDefault="00B16997" w:rsidP="0055165F">
      <w:pPr>
        <w:pStyle w:val="Subtitle"/>
        <w:spacing w:after="0"/>
        <w:rPr>
          <w:rFonts w:ascii="Cambria" w:hAnsi="Cambria" w:cs="Courier New"/>
          <w:color w:val="auto"/>
          <w:sz w:val="28"/>
          <w:szCs w:val="28"/>
        </w:rPr>
      </w:pPr>
    </w:p>
    <w:p w14:paraId="6D807526" w14:textId="3F14BF24" w:rsidR="0055165F" w:rsidRPr="00B16997" w:rsidRDefault="0055165F" w:rsidP="0055165F">
      <w:pPr>
        <w:pStyle w:val="Subtitle"/>
        <w:spacing w:after="0"/>
        <w:rPr>
          <w:rFonts w:ascii="Cambria" w:hAnsi="Cambria" w:cs="Courier New"/>
          <w:color w:val="auto"/>
          <w:sz w:val="28"/>
          <w:szCs w:val="28"/>
        </w:rPr>
      </w:pPr>
      <w:r w:rsidRPr="00B16997">
        <w:rPr>
          <w:rFonts w:ascii="Cambria" w:hAnsi="Cambria" w:cs="Courier New"/>
          <w:color w:val="auto"/>
          <w:sz w:val="28"/>
          <w:szCs w:val="28"/>
        </w:rPr>
        <w:t>Program Official/Project Officer: Laurel Berman</w:t>
      </w:r>
      <w:r w:rsidR="00E723C3" w:rsidRPr="00B16997">
        <w:rPr>
          <w:rFonts w:ascii="Cambria" w:hAnsi="Cambria" w:cstheme="minorHAnsi"/>
          <w:color w:val="000000" w:themeColor="text1"/>
          <w:sz w:val="28"/>
          <w:szCs w:val="28"/>
        </w:rPr>
        <w:t>, PhD</w:t>
      </w:r>
    </w:p>
    <w:p w14:paraId="741B2B10" w14:textId="77777777" w:rsidR="0055165F" w:rsidRPr="00B16997" w:rsidRDefault="0055165F" w:rsidP="0055165F">
      <w:pPr>
        <w:pStyle w:val="Subtitle"/>
        <w:spacing w:after="0"/>
        <w:rPr>
          <w:rFonts w:ascii="Cambria" w:hAnsi="Cambria" w:cs="Courier New"/>
          <w:color w:val="auto"/>
          <w:sz w:val="28"/>
          <w:szCs w:val="28"/>
        </w:rPr>
      </w:pPr>
      <w:r w:rsidRPr="00B16997">
        <w:rPr>
          <w:rFonts w:ascii="Cambria" w:hAnsi="Cambria" w:cs="Courier New"/>
          <w:color w:val="auto"/>
          <w:sz w:val="28"/>
          <w:szCs w:val="28"/>
        </w:rPr>
        <w:t>Title: Environmental Health Scientist</w:t>
      </w:r>
    </w:p>
    <w:p w14:paraId="514FF32E" w14:textId="29293B3A" w:rsidR="0055165F" w:rsidRPr="00B16997" w:rsidRDefault="0055165F" w:rsidP="0055165F">
      <w:pPr>
        <w:pStyle w:val="Subtitle"/>
        <w:spacing w:after="0"/>
        <w:rPr>
          <w:rFonts w:ascii="Cambria" w:hAnsi="Cambria" w:cs="Courier New"/>
          <w:color w:val="auto"/>
          <w:sz w:val="28"/>
          <w:szCs w:val="28"/>
        </w:rPr>
      </w:pPr>
      <w:r w:rsidRPr="00B16997">
        <w:rPr>
          <w:rFonts w:ascii="Cambria" w:hAnsi="Cambria" w:cs="Courier New"/>
          <w:color w:val="auto"/>
          <w:sz w:val="28"/>
          <w:szCs w:val="28"/>
        </w:rPr>
        <w:t>Phone:</w:t>
      </w:r>
      <w:r w:rsidR="00FA322C" w:rsidRPr="00B16997">
        <w:rPr>
          <w:rFonts w:ascii="Cambria" w:hAnsi="Cambria" w:cs="Courier New"/>
          <w:color w:val="auto"/>
          <w:sz w:val="28"/>
          <w:szCs w:val="28"/>
        </w:rPr>
        <w:t xml:space="preserve"> </w:t>
      </w:r>
      <w:r w:rsidRPr="00B16997">
        <w:rPr>
          <w:rFonts w:ascii="Cambria" w:hAnsi="Cambria" w:cs="Courier New"/>
          <w:color w:val="auto"/>
          <w:sz w:val="28"/>
          <w:szCs w:val="28"/>
        </w:rPr>
        <w:t>312-886-7476</w:t>
      </w:r>
    </w:p>
    <w:p w14:paraId="03311AFC" w14:textId="77777777" w:rsidR="0055165F" w:rsidRPr="00B16997" w:rsidRDefault="0055165F" w:rsidP="0055165F">
      <w:pPr>
        <w:pStyle w:val="Subtitle"/>
        <w:spacing w:after="0"/>
        <w:rPr>
          <w:rFonts w:ascii="Cambria" w:hAnsi="Cambria" w:cs="Courier New"/>
          <w:color w:val="auto"/>
          <w:sz w:val="28"/>
          <w:szCs w:val="28"/>
        </w:rPr>
      </w:pPr>
      <w:r w:rsidRPr="00B16997">
        <w:rPr>
          <w:rFonts w:ascii="Cambria" w:hAnsi="Cambria" w:cs="Courier New"/>
          <w:color w:val="auto"/>
          <w:sz w:val="28"/>
          <w:szCs w:val="28"/>
        </w:rPr>
        <w:t>Email: laberman@cdc.gov</w:t>
      </w:r>
    </w:p>
    <w:p w14:paraId="1D49F8FB" w14:textId="20484E51" w:rsidR="00D33AE3" w:rsidRPr="00B16997" w:rsidRDefault="0055165F" w:rsidP="0055165F">
      <w:pPr>
        <w:pStyle w:val="Subtitle"/>
        <w:spacing w:after="0"/>
        <w:rPr>
          <w:rFonts w:ascii="Cambria" w:hAnsi="Cambria" w:cs="Courier New"/>
          <w:color w:val="auto"/>
          <w:sz w:val="28"/>
          <w:szCs w:val="28"/>
        </w:rPr>
      </w:pPr>
      <w:r w:rsidRPr="00B16997">
        <w:rPr>
          <w:rFonts w:ascii="Cambria" w:hAnsi="Cambria" w:cs="Courier New"/>
          <w:color w:val="auto"/>
          <w:sz w:val="28"/>
          <w:szCs w:val="28"/>
        </w:rPr>
        <w:t>Fax: 312-886-6066</w:t>
      </w:r>
    </w:p>
    <w:sdt>
      <w:sdtPr>
        <w:rPr>
          <w:rFonts w:ascii="Cambria" w:hAnsi="Cambria"/>
          <w:sz w:val="28"/>
          <w:szCs w:val="28"/>
        </w:rPr>
        <w:id w:val="-1716586037"/>
        <w:docPartObj>
          <w:docPartGallery w:val="Table of Contents"/>
          <w:docPartUnique/>
        </w:docPartObj>
      </w:sdtPr>
      <w:sdtEndPr>
        <w:rPr>
          <w:rFonts w:cs="Courier New"/>
          <w:b/>
          <w:bCs/>
          <w:noProof/>
        </w:rPr>
      </w:sdtEndPr>
      <w:sdtContent>
        <w:p w14:paraId="627C72C3" w14:textId="1CAB0BF3" w:rsidR="004E07EF" w:rsidRPr="00B16997" w:rsidRDefault="004E07EF" w:rsidP="004E07EF">
          <w:pPr>
            <w:rPr>
              <w:rFonts w:ascii="Cambria" w:hAnsi="Cambria"/>
              <w:sz w:val="28"/>
              <w:szCs w:val="28"/>
            </w:rPr>
          </w:pPr>
        </w:p>
        <w:p w14:paraId="66B68D9C" w14:textId="509F286F" w:rsidR="00AC4C54" w:rsidRPr="00021035" w:rsidRDefault="00D33AE3" w:rsidP="009301CB">
          <w:pPr>
            <w:rPr>
              <w:rFonts w:ascii="Cambria" w:hAnsi="Cambria" w:cs="Courier New"/>
              <w:sz w:val="24"/>
              <w:szCs w:val="24"/>
            </w:rPr>
          </w:pPr>
          <w:r w:rsidRPr="00021035">
            <w:rPr>
              <w:rFonts w:ascii="Cambria" w:hAnsi="Cambria" w:cs="Courier New"/>
              <w:sz w:val="24"/>
              <w:szCs w:val="24"/>
            </w:rPr>
            <w:t>Table of Contents</w:t>
          </w:r>
        </w:p>
        <w:p w14:paraId="044ADB53" w14:textId="2CB790CD" w:rsidR="00884C42" w:rsidRDefault="00D33AE3">
          <w:pPr>
            <w:pStyle w:val="TOC2"/>
            <w:rPr>
              <w:rFonts w:asciiTheme="minorHAnsi" w:hAnsiTheme="minorHAnsi" w:cstheme="minorBidi"/>
              <w:color w:val="auto"/>
              <w:sz w:val="22"/>
              <w:szCs w:val="22"/>
            </w:rPr>
          </w:pPr>
          <w:r w:rsidRPr="00021035">
            <w:rPr>
              <w:rFonts w:cs="Courier New"/>
              <w:noProof w:val="0"/>
            </w:rPr>
            <w:fldChar w:fldCharType="begin"/>
          </w:r>
          <w:r w:rsidRPr="00021035">
            <w:rPr>
              <w:rFonts w:cs="Courier New"/>
            </w:rPr>
            <w:instrText xml:space="preserve"> TOC \o "1-3" \h \z \u </w:instrText>
          </w:r>
          <w:r w:rsidRPr="00021035">
            <w:rPr>
              <w:rFonts w:cs="Courier New"/>
              <w:noProof w:val="0"/>
            </w:rPr>
            <w:fldChar w:fldCharType="separate"/>
          </w:r>
          <w:hyperlink w:anchor="_Toc603212" w:history="1">
            <w:r w:rsidR="00884C42" w:rsidRPr="00F9370F">
              <w:rPr>
                <w:rStyle w:val="Hyperlink"/>
                <w:b/>
              </w:rPr>
              <w:t>Environmental</w:t>
            </w:r>
            <w:r w:rsidR="00884C42" w:rsidRPr="00F9370F">
              <w:rPr>
                <w:rStyle w:val="Hyperlink"/>
                <w:rFonts w:cs="Courier New"/>
                <w:b/>
              </w:rPr>
              <w:t xml:space="preserve"> Health and Land Reuse Certification</w:t>
            </w:r>
            <w:r w:rsidR="00884C42">
              <w:rPr>
                <w:webHidden/>
              </w:rPr>
              <w:tab/>
            </w:r>
            <w:r w:rsidR="00884C42">
              <w:rPr>
                <w:webHidden/>
              </w:rPr>
              <w:fldChar w:fldCharType="begin"/>
            </w:r>
            <w:r w:rsidR="00884C42">
              <w:rPr>
                <w:webHidden/>
              </w:rPr>
              <w:instrText xml:space="preserve"> PAGEREF _Toc603212 \h </w:instrText>
            </w:r>
            <w:r w:rsidR="00884C42">
              <w:rPr>
                <w:webHidden/>
              </w:rPr>
            </w:r>
            <w:r w:rsidR="00884C42">
              <w:rPr>
                <w:webHidden/>
              </w:rPr>
              <w:fldChar w:fldCharType="separate"/>
            </w:r>
            <w:r w:rsidR="00884C42">
              <w:rPr>
                <w:webHidden/>
              </w:rPr>
              <w:t>1</w:t>
            </w:r>
            <w:r w:rsidR="00884C42">
              <w:rPr>
                <w:webHidden/>
              </w:rPr>
              <w:fldChar w:fldCharType="end"/>
            </w:r>
          </w:hyperlink>
        </w:p>
        <w:p w14:paraId="46CCBD45" w14:textId="42FF3C92" w:rsidR="00884C42" w:rsidRDefault="009C5EF8">
          <w:pPr>
            <w:pStyle w:val="TOC1"/>
            <w:tabs>
              <w:tab w:val="left" w:pos="660"/>
              <w:tab w:val="right" w:leader="dot" w:pos="9350"/>
            </w:tabs>
            <w:rPr>
              <w:noProof/>
              <w:sz w:val="22"/>
              <w:szCs w:val="22"/>
            </w:rPr>
          </w:pPr>
          <w:hyperlink w:anchor="_Toc603213" w:history="1">
            <w:r w:rsidR="00884C42" w:rsidRPr="00F9370F">
              <w:rPr>
                <w:rStyle w:val="Hyperlink"/>
                <w:noProof/>
              </w:rPr>
              <w:t>B.1.</w:t>
            </w:r>
            <w:r w:rsidR="00884C42">
              <w:rPr>
                <w:noProof/>
                <w:sz w:val="22"/>
                <w:szCs w:val="22"/>
              </w:rPr>
              <w:tab/>
            </w:r>
            <w:r w:rsidR="00884C42" w:rsidRPr="00F9370F">
              <w:rPr>
                <w:rStyle w:val="Hyperlink"/>
                <w:noProof/>
              </w:rPr>
              <w:t>Respondent Universe and Sampling Methods</w:t>
            </w:r>
            <w:r w:rsidR="00884C42">
              <w:rPr>
                <w:noProof/>
                <w:webHidden/>
              </w:rPr>
              <w:tab/>
            </w:r>
            <w:r w:rsidR="00884C42">
              <w:rPr>
                <w:noProof/>
                <w:webHidden/>
              </w:rPr>
              <w:fldChar w:fldCharType="begin"/>
            </w:r>
            <w:r w:rsidR="00884C42">
              <w:rPr>
                <w:noProof/>
                <w:webHidden/>
              </w:rPr>
              <w:instrText xml:space="preserve"> PAGEREF _Toc603213 \h </w:instrText>
            </w:r>
            <w:r w:rsidR="00884C42">
              <w:rPr>
                <w:noProof/>
                <w:webHidden/>
              </w:rPr>
            </w:r>
            <w:r w:rsidR="00884C42">
              <w:rPr>
                <w:noProof/>
                <w:webHidden/>
              </w:rPr>
              <w:fldChar w:fldCharType="separate"/>
            </w:r>
            <w:r w:rsidR="00884C42">
              <w:rPr>
                <w:noProof/>
                <w:webHidden/>
              </w:rPr>
              <w:t>3</w:t>
            </w:r>
            <w:r w:rsidR="00884C42">
              <w:rPr>
                <w:noProof/>
                <w:webHidden/>
              </w:rPr>
              <w:fldChar w:fldCharType="end"/>
            </w:r>
          </w:hyperlink>
        </w:p>
        <w:p w14:paraId="3785C9CC" w14:textId="762020C7" w:rsidR="00884C42" w:rsidRDefault="009C5EF8">
          <w:pPr>
            <w:pStyle w:val="TOC1"/>
            <w:tabs>
              <w:tab w:val="left" w:pos="660"/>
              <w:tab w:val="right" w:leader="dot" w:pos="9350"/>
            </w:tabs>
            <w:rPr>
              <w:noProof/>
              <w:sz w:val="22"/>
              <w:szCs w:val="22"/>
            </w:rPr>
          </w:pPr>
          <w:hyperlink w:anchor="_Toc603214" w:history="1">
            <w:r w:rsidR="00884C42" w:rsidRPr="00F9370F">
              <w:rPr>
                <w:rStyle w:val="Hyperlink"/>
                <w:noProof/>
              </w:rPr>
              <w:t>B.2.</w:t>
            </w:r>
            <w:r w:rsidR="00884C42">
              <w:rPr>
                <w:noProof/>
                <w:sz w:val="22"/>
                <w:szCs w:val="22"/>
              </w:rPr>
              <w:tab/>
            </w:r>
            <w:r w:rsidR="00884C42" w:rsidRPr="00F9370F">
              <w:rPr>
                <w:rStyle w:val="Hyperlink"/>
                <w:noProof/>
              </w:rPr>
              <w:t>Procedures for the Collection of Information</w:t>
            </w:r>
            <w:r w:rsidR="00884C42">
              <w:rPr>
                <w:noProof/>
                <w:webHidden/>
              </w:rPr>
              <w:tab/>
            </w:r>
            <w:r w:rsidR="00884C42">
              <w:rPr>
                <w:noProof/>
                <w:webHidden/>
              </w:rPr>
              <w:fldChar w:fldCharType="begin"/>
            </w:r>
            <w:r w:rsidR="00884C42">
              <w:rPr>
                <w:noProof/>
                <w:webHidden/>
              </w:rPr>
              <w:instrText xml:space="preserve"> PAGEREF _Toc603214 \h </w:instrText>
            </w:r>
            <w:r w:rsidR="00884C42">
              <w:rPr>
                <w:noProof/>
                <w:webHidden/>
              </w:rPr>
            </w:r>
            <w:r w:rsidR="00884C42">
              <w:rPr>
                <w:noProof/>
                <w:webHidden/>
              </w:rPr>
              <w:fldChar w:fldCharType="separate"/>
            </w:r>
            <w:r w:rsidR="00884C42">
              <w:rPr>
                <w:noProof/>
                <w:webHidden/>
              </w:rPr>
              <w:t>3</w:t>
            </w:r>
            <w:r w:rsidR="00884C42">
              <w:rPr>
                <w:noProof/>
                <w:webHidden/>
              </w:rPr>
              <w:fldChar w:fldCharType="end"/>
            </w:r>
          </w:hyperlink>
        </w:p>
        <w:p w14:paraId="229B66C3" w14:textId="6A28BEED" w:rsidR="00884C42" w:rsidRDefault="009C5EF8">
          <w:pPr>
            <w:pStyle w:val="TOC1"/>
            <w:tabs>
              <w:tab w:val="left" w:pos="660"/>
              <w:tab w:val="right" w:leader="dot" w:pos="9350"/>
            </w:tabs>
            <w:rPr>
              <w:noProof/>
              <w:sz w:val="22"/>
              <w:szCs w:val="22"/>
            </w:rPr>
          </w:pPr>
          <w:hyperlink w:anchor="_Toc603215" w:history="1">
            <w:r w:rsidR="00884C42" w:rsidRPr="00F9370F">
              <w:rPr>
                <w:rStyle w:val="Hyperlink"/>
                <w:noProof/>
              </w:rPr>
              <w:t>B.3.</w:t>
            </w:r>
            <w:r w:rsidR="00884C42">
              <w:rPr>
                <w:noProof/>
                <w:sz w:val="22"/>
                <w:szCs w:val="22"/>
              </w:rPr>
              <w:tab/>
            </w:r>
            <w:r w:rsidR="00884C42" w:rsidRPr="00F9370F">
              <w:rPr>
                <w:rStyle w:val="Hyperlink"/>
                <w:noProof/>
              </w:rPr>
              <w:t>Methods to Maximize Response Rates and Deal with No Response</w:t>
            </w:r>
            <w:r w:rsidR="00884C42">
              <w:rPr>
                <w:noProof/>
                <w:webHidden/>
              </w:rPr>
              <w:tab/>
            </w:r>
            <w:r w:rsidR="00884C42">
              <w:rPr>
                <w:noProof/>
                <w:webHidden/>
              </w:rPr>
              <w:fldChar w:fldCharType="begin"/>
            </w:r>
            <w:r w:rsidR="00884C42">
              <w:rPr>
                <w:noProof/>
                <w:webHidden/>
              </w:rPr>
              <w:instrText xml:space="preserve"> PAGEREF _Toc603215 \h </w:instrText>
            </w:r>
            <w:r w:rsidR="00884C42">
              <w:rPr>
                <w:noProof/>
                <w:webHidden/>
              </w:rPr>
            </w:r>
            <w:r w:rsidR="00884C42">
              <w:rPr>
                <w:noProof/>
                <w:webHidden/>
              </w:rPr>
              <w:fldChar w:fldCharType="separate"/>
            </w:r>
            <w:r w:rsidR="00884C42">
              <w:rPr>
                <w:noProof/>
                <w:webHidden/>
              </w:rPr>
              <w:t>4</w:t>
            </w:r>
            <w:r w:rsidR="00884C42">
              <w:rPr>
                <w:noProof/>
                <w:webHidden/>
              </w:rPr>
              <w:fldChar w:fldCharType="end"/>
            </w:r>
          </w:hyperlink>
        </w:p>
        <w:p w14:paraId="3EC1FD8A" w14:textId="3A4E9FFE" w:rsidR="00884C42" w:rsidRDefault="009C5EF8">
          <w:pPr>
            <w:pStyle w:val="TOC1"/>
            <w:tabs>
              <w:tab w:val="left" w:pos="660"/>
              <w:tab w:val="right" w:leader="dot" w:pos="9350"/>
            </w:tabs>
            <w:rPr>
              <w:noProof/>
              <w:sz w:val="22"/>
              <w:szCs w:val="22"/>
            </w:rPr>
          </w:pPr>
          <w:hyperlink w:anchor="_Toc603216" w:history="1">
            <w:r w:rsidR="00884C42" w:rsidRPr="00F9370F">
              <w:rPr>
                <w:rStyle w:val="Hyperlink"/>
                <w:noProof/>
              </w:rPr>
              <w:t>B.4.</w:t>
            </w:r>
            <w:r w:rsidR="00884C42">
              <w:rPr>
                <w:noProof/>
                <w:sz w:val="22"/>
                <w:szCs w:val="22"/>
              </w:rPr>
              <w:tab/>
            </w:r>
            <w:r w:rsidR="00884C42" w:rsidRPr="00F9370F">
              <w:rPr>
                <w:rStyle w:val="Hyperlink"/>
                <w:noProof/>
              </w:rPr>
              <w:t>Test of Procedures or Methods to be Undertaken</w:t>
            </w:r>
            <w:r w:rsidR="00884C42">
              <w:rPr>
                <w:noProof/>
                <w:webHidden/>
              </w:rPr>
              <w:tab/>
            </w:r>
            <w:r w:rsidR="00884C42">
              <w:rPr>
                <w:noProof/>
                <w:webHidden/>
              </w:rPr>
              <w:fldChar w:fldCharType="begin"/>
            </w:r>
            <w:r w:rsidR="00884C42">
              <w:rPr>
                <w:noProof/>
                <w:webHidden/>
              </w:rPr>
              <w:instrText xml:space="preserve"> PAGEREF _Toc603216 \h </w:instrText>
            </w:r>
            <w:r w:rsidR="00884C42">
              <w:rPr>
                <w:noProof/>
                <w:webHidden/>
              </w:rPr>
            </w:r>
            <w:r w:rsidR="00884C42">
              <w:rPr>
                <w:noProof/>
                <w:webHidden/>
              </w:rPr>
              <w:fldChar w:fldCharType="separate"/>
            </w:r>
            <w:r w:rsidR="00884C42">
              <w:rPr>
                <w:noProof/>
                <w:webHidden/>
              </w:rPr>
              <w:t>4</w:t>
            </w:r>
            <w:r w:rsidR="00884C42">
              <w:rPr>
                <w:noProof/>
                <w:webHidden/>
              </w:rPr>
              <w:fldChar w:fldCharType="end"/>
            </w:r>
          </w:hyperlink>
        </w:p>
        <w:p w14:paraId="3328618A" w14:textId="30F08770" w:rsidR="00884C42" w:rsidRDefault="009C5EF8">
          <w:pPr>
            <w:pStyle w:val="TOC1"/>
            <w:tabs>
              <w:tab w:val="left" w:pos="660"/>
              <w:tab w:val="right" w:leader="dot" w:pos="9350"/>
            </w:tabs>
            <w:rPr>
              <w:noProof/>
              <w:sz w:val="22"/>
              <w:szCs w:val="22"/>
            </w:rPr>
          </w:pPr>
          <w:hyperlink w:anchor="_Toc603217" w:history="1">
            <w:r w:rsidR="00884C42" w:rsidRPr="00F9370F">
              <w:rPr>
                <w:rStyle w:val="Hyperlink"/>
                <w:noProof/>
              </w:rPr>
              <w:t>B.5.</w:t>
            </w:r>
            <w:r w:rsidR="00884C42">
              <w:rPr>
                <w:noProof/>
                <w:sz w:val="22"/>
                <w:szCs w:val="22"/>
              </w:rPr>
              <w:tab/>
            </w:r>
            <w:r w:rsidR="00884C42" w:rsidRPr="00F9370F">
              <w:rPr>
                <w:rStyle w:val="Hyperlink"/>
                <w:noProof/>
              </w:rPr>
              <w:t>Individuals Consulted on Statistical Aspects and Individuals Collecting and/or Analyzing Data</w:t>
            </w:r>
            <w:r w:rsidR="00884C42">
              <w:rPr>
                <w:noProof/>
                <w:webHidden/>
              </w:rPr>
              <w:tab/>
            </w:r>
            <w:r w:rsidR="00884C42">
              <w:rPr>
                <w:noProof/>
                <w:webHidden/>
              </w:rPr>
              <w:fldChar w:fldCharType="begin"/>
            </w:r>
            <w:r w:rsidR="00884C42">
              <w:rPr>
                <w:noProof/>
                <w:webHidden/>
              </w:rPr>
              <w:instrText xml:space="preserve"> PAGEREF _Toc603217 \h </w:instrText>
            </w:r>
            <w:r w:rsidR="00884C42">
              <w:rPr>
                <w:noProof/>
                <w:webHidden/>
              </w:rPr>
            </w:r>
            <w:r w:rsidR="00884C42">
              <w:rPr>
                <w:noProof/>
                <w:webHidden/>
              </w:rPr>
              <w:fldChar w:fldCharType="separate"/>
            </w:r>
            <w:r w:rsidR="00884C42">
              <w:rPr>
                <w:noProof/>
                <w:webHidden/>
              </w:rPr>
              <w:t>4</w:t>
            </w:r>
            <w:r w:rsidR="00884C42">
              <w:rPr>
                <w:noProof/>
                <w:webHidden/>
              </w:rPr>
              <w:fldChar w:fldCharType="end"/>
            </w:r>
          </w:hyperlink>
        </w:p>
        <w:p w14:paraId="25E671BB" w14:textId="179280C7" w:rsidR="00D33AE3" w:rsidRPr="00083B79" w:rsidRDefault="00D33AE3" w:rsidP="004E07EF">
          <w:pPr>
            <w:rPr>
              <w:rFonts w:ascii="Cambria" w:hAnsi="Cambria" w:cs="Courier New"/>
              <w:sz w:val="24"/>
              <w:szCs w:val="24"/>
            </w:rPr>
          </w:pPr>
          <w:r w:rsidRPr="00021035">
            <w:rPr>
              <w:rFonts w:ascii="Cambria" w:hAnsi="Cambria" w:cs="Courier New"/>
              <w:b/>
              <w:bCs/>
              <w:noProof/>
              <w:sz w:val="24"/>
              <w:szCs w:val="24"/>
            </w:rPr>
            <w:fldChar w:fldCharType="end"/>
          </w:r>
        </w:p>
      </w:sdtContent>
    </w:sdt>
    <w:p w14:paraId="14A5EA74" w14:textId="7A36B0B0" w:rsidR="00BA2DBE" w:rsidRDefault="00BA2DBE">
      <w:pPr>
        <w:spacing w:after="200" w:line="276" w:lineRule="auto"/>
        <w:rPr>
          <w:rFonts w:ascii="Cambria" w:eastAsiaTheme="majorEastAsia" w:hAnsi="Cambria" w:cs="Arial"/>
          <w:b/>
          <w:bCs/>
          <w:sz w:val="24"/>
          <w:szCs w:val="24"/>
        </w:rPr>
      </w:pPr>
    </w:p>
    <w:p w14:paraId="1F253910" w14:textId="7E5EC24C" w:rsidR="002D6D45" w:rsidRDefault="002D6D45">
      <w:pPr>
        <w:spacing w:after="200" w:line="276" w:lineRule="auto"/>
        <w:rPr>
          <w:rFonts w:ascii="Cambria" w:eastAsiaTheme="majorEastAsia" w:hAnsi="Cambria" w:cs="Arial"/>
          <w:b/>
          <w:bCs/>
          <w:sz w:val="24"/>
          <w:szCs w:val="24"/>
        </w:rPr>
      </w:pPr>
    </w:p>
    <w:p w14:paraId="52F2D7EE" w14:textId="77777777" w:rsidR="001D4619" w:rsidRDefault="001D4619" w:rsidP="001D4619">
      <w:pPr>
        <w:pStyle w:val="TOC2"/>
        <w:rPr>
          <w:rStyle w:val="Hyperlink"/>
          <w:color w:val="000000" w:themeColor="text1"/>
          <w:highlight w:val="yellow"/>
          <w:u w:val="none"/>
        </w:rPr>
      </w:pPr>
    </w:p>
    <w:p w14:paraId="03AA4825" w14:textId="77777777" w:rsidR="001D4619" w:rsidRDefault="001D4619" w:rsidP="001D4619">
      <w:pPr>
        <w:pStyle w:val="TOC2"/>
        <w:rPr>
          <w:rStyle w:val="Hyperlink"/>
          <w:color w:val="000000" w:themeColor="text1"/>
          <w:highlight w:val="yellow"/>
          <w:u w:val="none"/>
        </w:rPr>
      </w:pPr>
    </w:p>
    <w:p w14:paraId="77940362" w14:textId="77777777" w:rsidR="001D4619" w:rsidRDefault="001D4619" w:rsidP="001D4619">
      <w:pPr>
        <w:pStyle w:val="TOC2"/>
        <w:rPr>
          <w:rStyle w:val="Hyperlink"/>
          <w:color w:val="000000" w:themeColor="text1"/>
          <w:highlight w:val="yellow"/>
          <w:u w:val="none"/>
        </w:rPr>
      </w:pPr>
    </w:p>
    <w:p w14:paraId="74AD7515" w14:textId="77777777" w:rsidR="001D4619" w:rsidRDefault="001D4619" w:rsidP="001D4619">
      <w:pPr>
        <w:pStyle w:val="TOC2"/>
        <w:rPr>
          <w:rStyle w:val="Hyperlink"/>
          <w:color w:val="000000" w:themeColor="text1"/>
          <w:highlight w:val="yellow"/>
          <w:u w:val="none"/>
        </w:rPr>
      </w:pPr>
    </w:p>
    <w:p w14:paraId="4B4DF43C" w14:textId="77777777" w:rsidR="001D4619" w:rsidRDefault="001D4619" w:rsidP="001D4619">
      <w:pPr>
        <w:pStyle w:val="TOC2"/>
        <w:rPr>
          <w:rStyle w:val="Hyperlink"/>
          <w:color w:val="000000" w:themeColor="text1"/>
          <w:highlight w:val="yellow"/>
          <w:u w:val="none"/>
        </w:rPr>
      </w:pPr>
    </w:p>
    <w:p w14:paraId="6720A75D" w14:textId="77777777" w:rsidR="001D4619" w:rsidRPr="001D4619" w:rsidRDefault="001D4619" w:rsidP="001D4619">
      <w:pPr>
        <w:pStyle w:val="TOC2"/>
        <w:rPr>
          <w:rStyle w:val="Hyperlink"/>
          <w:color w:val="000000" w:themeColor="text1"/>
          <w:highlight w:val="yellow"/>
          <w:u w:val="none"/>
        </w:rPr>
      </w:pPr>
    </w:p>
    <w:p w14:paraId="5C60F66F" w14:textId="7A6B80AF" w:rsidR="001D4619" w:rsidRDefault="001D4619" w:rsidP="001D4619">
      <w:pPr>
        <w:pStyle w:val="TOC2"/>
        <w:rPr>
          <w:rStyle w:val="Hyperlink"/>
          <w:color w:val="000000" w:themeColor="text1"/>
          <w:highlight w:val="yellow"/>
          <w:u w:val="none"/>
        </w:rPr>
      </w:pPr>
    </w:p>
    <w:p w14:paraId="0934C0B6" w14:textId="47D1BD0A" w:rsidR="00D528DA" w:rsidRDefault="00D528DA" w:rsidP="00B75801">
      <w:pPr>
        <w:rPr>
          <w:highlight w:val="yellow"/>
        </w:rPr>
      </w:pPr>
    </w:p>
    <w:p w14:paraId="544E07F1" w14:textId="50938430" w:rsidR="00D528DA" w:rsidRDefault="00D528DA" w:rsidP="00B75801">
      <w:pPr>
        <w:rPr>
          <w:highlight w:val="yellow"/>
        </w:rPr>
      </w:pPr>
    </w:p>
    <w:p w14:paraId="464304E5" w14:textId="141FAEC5" w:rsidR="00D528DA" w:rsidRDefault="00D528DA" w:rsidP="00B75801">
      <w:pPr>
        <w:rPr>
          <w:highlight w:val="yellow"/>
        </w:rPr>
      </w:pPr>
    </w:p>
    <w:p w14:paraId="1E806C6C" w14:textId="3FCC2F32" w:rsidR="00D528DA" w:rsidRDefault="00D528DA" w:rsidP="00B75801">
      <w:pPr>
        <w:rPr>
          <w:highlight w:val="yellow"/>
        </w:rPr>
      </w:pPr>
    </w:p>
    <w:p w14:paraId="173B6157" w14:textId="77777777" w:rsidR="00D528DA" w:rsidRPr="00B75801" w:rsidRDefault="00D528DA" w:rsidP="00B75801">
      <w:pPr>
        <w:rPr>
          <w:highlight w:val="yellow"/>
        </w:rPr>
      </w:pPr>
    </w:p>
    <w:p w14:paraId="7ED33933" w14:textId="77777777" w:rsidR="001D4619" w:rsidRDefault="001D4619" w:rsidP="001D4619">
      <w:pPr>
        <w:pStyle w:val="TOC2"/>
        <w:rPr>
          <w:rStyle w:val="Hyperlink"/>
          <w:color w:val="000000" w:themeColor="text1"/>
          <w:highlight w:val="yellow"/>
          <w:u w:val="none"/>
        </w:rPr>
      </w:pPr>
    </w:p>
    <w:p w14:paraId="0D96F090" w14:textId="77777777" w:rsidR="001D4619" w:rsidRDefault="001D4619" w:rsidP="001D4619">
      <w:pPr>
        <w:pStyle w:val="TOC2"/>
        <w:rPr>
          <w:rStyle w:val="Hyperlink"/>
          <w:color w:val="000000" w:themeColor="text1"/>
          <w:highlight w:val="yellow"/>
          <w:u w:val="none"/>
        </w:rPr>
      </w:pPr>
    </w:p>
    <w:p w14:paraId="1B8145D7" w14:textId="0846577C" w:rsidR="001D4619" w:rsidRPr="00B552F5" w:rsidRDefault="001D4619" w:rsidP="001D4619">
      <w:pPr>
        <w:pStyle w:val="TOC2"/>
        <w:rPr>
          <w:rStyle w:val="Hyperlink"/>
          <w:color w:val="000000" w:themeColor="text1"/>
          <w:u w:val="none"/>
        </w:rPr>
      </w:pPr>
      <w:r w:rsidRPr="00B552F5">
        <w:rPr>
          <w:rStyle w:val="Hyperlink"/>
          <w:color w:val="000000" w:themeColor="text1"/>
          <w:u w:val="none"/>
        </w:rPr>
        <w:t>Attachments:</w:t>
      </w:r>
    </w:p>
    <w:p w14:paraId="2CE5A257" w14:textId="77777777" w:rsidR="001D4619" w:rsidRPr="00B552F5" w:rsidRDefault="001D4619" w:rsidP="001D4619">
      <w:pPr>
        <w:pStyle w:val="TOC2"/>
        <w:rPr>
          <w:rStyle w:val="Hyperlink"/>
          <w:color w:val="000000" w:themeColor="text1"/>
          <w:u w:val="none"/>
        </w:rPr>
      </w:pPr>
    </w:p>
    <w:p w14:paraId="42FA2898" w14:textId="49611814" w:rsidR="001D4619" w:rsidRPr="00B552F5" w:rsidRDefault="009C5EF8" w:rsidP="001D4619">
      <w:pPr>
        <w:pStyle w:val="TOC2"/>
      </w:pPr>
      <w:hyperlink w:anchor="_Toc505863500" w:history="1">
        <w:r w:rsidR="001D4619" w:rsidRPr="00B552F5">
          <w:rPr>
            <w:rStyle w:val="Hyperlink"/>
            <w:color w:val="000000" w:themeColor="text1"/>
            <w:u w:val="none"/>
          </w:rPr>
          <w:t>Attachment 1. Authorizing Legislation</w:t>
        </w:r>
      </w:hyperlink>
    </w:p>
    <w:p w14:paraId="11F425EA" w14:textId="77777777" w:rsidR="001D4619" w:rsidRPr="00B552F5" w:rsidRDefault="009C5EF8" w:rsidP="001D4619">
      <w:pPr>
        <w:pStyle w:val="TOC2"/>
      </w:pPr>
      <w:hyperlink w:anchor="_Toc505863501" w:history="1">
        <w:r w:rsidR="001D4619" w:rsidRPr="00B552F5">
          <w:rPr>
            <w:rStyle w:val="Hyperlink"/>
            <w:color w:val="000000" w:themeColor="text1"/>
            <w:u w:val="none"/>
          </w:rPr>
          <w:t>Attachment 2. 60-day Federal Register Notice</w:t>
        </w:r>
      </w:hyperlink>
    </w:p>
    <w:p w14:paraId="5E5F3B8D" w14:textId="77777777" w:rsidR="001D4619" w:rsidRPr="00B552F5" w:rsidRDefault="009C5EF8" w:rsidP="001D4619">
      <w:pPr>
        <w:pStyle w:val="TOC2"/>
      </w:pPr>
      <w:hyperlink w:anchor="_Toc505863504" w:history="1">
        <w:r w:rsidR="001D4619" w:rsidRPr="00B552F5">
          <w:rPr>
            <w:rStyle w:val="Hyperlink"/>
            <w:color w:val="000000" w:themeColor="text1"/>
            <w:u w:val="none"/>
          </w:rPr>
          <w:t>Attachment 3a. Follow-up Survey Invitation</w:t>
        </w:r>
      </w:hyperlink>
    </w:p>
    <w:p w14:paraId="067C7D3F" w14:textId="77777777" w:rsidR="001D4619" w:rsidRPr="00B552F5" w:rsidRDefault="009C5EF8" w:rsidP="001D4619">
      <w:pPr>
        <w:pStyle w:val="TOC2"/>
      </w:pPr>
      <w:hyperlink w:anchor="_Toc505863505" w:history="1">
        <w:r w:rsidR="001D4619" w:rsidRPr="00B552F5">
          <w:rPr>
            <w:rStyle w:val="Hyperlink"/>
            <w:color w:val="000000" w:themeColor="text1"/>
            <w:u w:val="none"/>
          </w:rPr>
          <w:t>Attachment 3b. Follow-up Survey Reminder</w:t>
        </w:r>
      </w:hyperlink>
    </w:p>
    <w:p w14:paraId="70DD9860" w14:textId="77777777" w:rsidR="001D4619" w:rsidRPr="00B552F5" w:rsidRDefault="009C5EF8" w:rsidP="001D4619">
      <w:pPr>
        <w:pStyle w:val="TOC2"/>
      </w:pPr>
      <w:hyperlink w:anchor="_Toc505863506" w:history="1">
        <w:r w:rsidR="001D4619" w:rsidRPr="00B552F5">
          <w:rPr>
            <w:rStyle w:val="Hyperlink"/>
            <w:color w:val="000000" w:themeColor="text1"/>
            <w:u w:val="none"/>
          </w:rPr>
          <w:t>Attachment 4a. Follow-up Survey -</w:t>
        </w:r>
        <w:r w:rsidR="001D4619" w:rsidRPr="00B552F5">
          <w:t>WORD</w:t>
        </w:r>
      </w:hyperlink>
    </w:p>
    <w:p w14:paraId="002B8773" w14:textId="77777777" w:rsidR="001D4619" w:rsidRPr="00B552F5" w:rsidRDefault="009C5EF8" w:rsidP="001D4619">
      <w:pPr>
        <w:pStyle w:val="TOC2"/>
      </w:pPr>
      <w:hyperlink w:anchor="_Toc505863506" w:history="1">
        <w:r w:rsidR="001D4619" w:rsidRPr="00B552F5">
          <w:rPr>
            <w:rStyle w:val="Hyperlink"/>
            <w:color w:val="000000" w:themeColor="text1"/>
            <w:u w:val="none"/>
          </w:rPr>
          <w:t>Attachment 4b. Follow-up Survey - Screenshots</w:t>
        </w:r>
      </w:hyperlink>
    </w:p>
    <w:p w14:paraId="20F801E6" w14:textId="77777777" w:rsidR="001D4619" w:rsidRPr="00B552F5" w:rsidRDefault="009C5EF8" w:rsidP="001D4619">
      <w:pPr>
        <w:pStyle w:val="TOC2"/>
        <w:rPr>
          <w:rStyle w:val="Hyperlink"/>
          <w:color w:val="000000" w:themeColor="text1"/>
          <w:u w:val="none"/>
        </w:rPr>
      </w:pPr>
      <w:hyperlink w:anchor="_Toc505863508" w:history="1">
        <w:r w:rsidR="001D4619" w:rsidRPr="00B552F5">
          <w:rPr>
            <w:rStyle w:val="Hyperlink"/>
            <w:color w:val="000000" w:themeColor="text1"/>
            <w:u w:val="none"/>
          </w:rPr>
          <w:t xml:space="preserve">Attachment 5. CDC IRB Approval Letter </w:t>
        </w:r>
      </w:hyperlink>
    </w:p>
    <w:p w14:paraId="656D9418" w14:textId="77777777" w:rsidR="001D4619" w:rsidRPr="001D4619" w:rsidRDefault="001D4619" w:rsidP="001D4619">
      <w:pPr>
        <w:rPr>
          <w:rFonts w:ascii="Cambria" w:hAnsi="Cambria"/>
          <w:sz w:val="24"/>
          <w:szCs w:val="24"/>
        </w:rPr>
      </w:pPr>
      <w:r w:rsidRPr="00B552F5">
        <w:rPr>
          <w:rFonts w:ascii="Cambria" w:hAnsi="Cambria"/>
          <w:sz w:val="24"/>
          <w:szCs w:val="24"/>
        </w:rPr>
        <w:t xml:space="preserve">    Attachment 6. Privacy Impact Assessment Approval</w:t>
      </w:r>
      <w:r w:rsidRPr="001D4619">
        <w:rPr>
          <w:rFonts w:ascii="Cambria" w:hAnsi="Cambria"/>
          <w:sz w:val="24"/>
          <w:szCs w:val="24"/>
        </w:rPr>
        <w:t xml:space="preserve"> </w:t>
      </w:r>
    </w:p>
    <w:p w14:paraId="1450CF81" w14:textId="37D74625" w:rsidR="002D6D45" w:rsidRDefault="002D6D45">
      <w:pPr>
        <w:spacing w:after="200" w:line="276" w:lineRule="auto"/>
        <w:rPr>
          <w:rFonts w:ascii="Cambria" w:eastAsiaTheme="majorEastAsia" w:hAnsi="Cambria" w:cs="Arial"/>
          <w:b/>
          <w:bCs/>
          <w:sz w:val="24"/>
          <w:szCs w:val="24"/>
        </w:rPr>
      </w:pPr>
    </w:p>
    <w:bookmarkEnd w:id="0"/>
    <w:bookmarkEnd w:id="1"/>
    <w:p w14:paraId="613C53AC" w14:textId="0CA00EEF" w:rsidR="00DD2606" w:rsidRPr="009301CB" w:rsidRDefault="00DD2606" w:rsidP="007D595C">
      <w:pPr>
        <w:pBdr>
          <w:bottom w:val="single" w:sz="4" w:space="1" w:color="auto"/>
        </w:pBdr>
        <w:rPr>
          <w:rFonts w:ascii="Cambria" w:hAnsi="Cambria" w:cs="Courier New"/>
          <w:sz w:val="28"/>
          <w:szCs w:val="28"/>
        </w:rPr>
      </w:pPr>
      <w:r w:rsidRPr="009301CB">
        <w:rPr>
          <w:rFonts w:ascii="Cambria" w:hAnsi="Cambria" w:cs="Courier New"/>
          <w:sz w:val="28"/>
          <w:szCs w:val="28"/>
        </w:rPr>
        <w:t>Part B. Collections of Information Employing Statistical Methods</w:t>
      </w:r>
    </w:p>
    <w:p w14:paraId="371CCFBA" w14:textId="77777777" w:rsidR="00B45002" w:rsidRPr="00021035" w:rsidRDefault="00D33AE3" w:rsidP="00C325A3">
      <w:pPr>
        <w:pStyle w:val="Heading1"/>
        <w:rPr>
          <w:color w:val="000000" w:themeColor="text1"/>
          <w:sz w:val="28"/>
          <w:szCs w:val="28"/>
        </w:rPr>
      </w:pPr>
      <w:bookmarkStart w:id="4" w:name="_Toc603213"/>
      <w:r w:rsidRPr="00021035">
        <w:rPr>
          <w:color w:val="000000" w:themeColor="text1"/>
          <w:sz w:val="28"/>
          <w:szCs w:val="28"/>
        </w:rPr>
        <w:t>B.</w:t>
      </w:r>
      <w:r w:rsidR="00B45002" w:rsidRPr="00021035">
        <w:rPr>
          <w:color w:val="000000" w:themeColor="text1"/>
          <w:sz w:val="28"/>
          <w:szCs w:val="28"/>
        </w:rPr>
        <w:t>1.</w:t>
      </w:r>
      <w:r w:rsidR="00B45002" w:rsidRPr="00021035">
        <w:rPr>
          <w:color w:val="000000" w:themeColor="text1"/>
          <w:sz w:val="28"/>
          <w:szCs w:val="28"/>
        </w:rPr>
        <w:tab/>
        <w:t>Respondent Universe and Sampling Methods</w:t>
      </w:r>
      <w:bookmarkEnd w:id="4"/>
    </w:p>
    <w:p w14:paraId="464B51FD" w14:textId="77777777" w:rsidR="00473F72" w:rsidRPr="00473F72" w:rsidRDefault="00473F72" w:rsidP="00473F72">
      <w:pPr>
        <w:rPr>
          <w:rFonts w:ascii="Cambria" w:hAnsi="Cambria"/>
        </w:rPr>
      </w:pPr>
    </w:p>
    <w:p w14:paraId="38C16339" w14:textId="2A9AD4BA" w:rsidR="00CB162A" w:rsidRPr="00473F72" w:rsidRDefault="0055165F" w:rsidP="00473F72">
      <w:pPr>
        <w:rPr>
          <w:rFonts w:ascii="Cambria" w:hAnsi="Cambria"/>
          <w:sz w:val="24"/>
          <w:szCs w:val="24"/>
        </w:rPr>
      </w:pPr>
      <w:r w:rsidRPr="00473F72">
        <w:rPr>
          <w:rFonts w:ascii="Cambria" w:hAnsi="Cambria"/>
          <w:sz w:val="24"/>
          <w:szCs w:val="24"/>
        </w:rPr>
        <w:t xml:space="preserve">The Agency for Toxic Substances and Disease Registry (ATSDR) and the National Environmental Health </w:t>
      </w:r>
      <w:r w:rsidR="009351E0" w:rsidRPr="00473F72">
        <w:rPr>
          <w:rFonts w:ascii="Cambria" w:hAnsi="Cambria"/>
          <w:sz w:val="24"/>
          <w:szCs w:val="24"/>
        </w:rPr>
        <w:t xml:space="preserve">Association (NEHA) </w:t>
      </w:r>
      <w:r w:rsidR="00CB162A" w:rsidRPr="00473F72">
        <w:rPr>
          <w:rFonts w:ascii="Cambria" w:hAnsi="Cambria"/>
          <w:sz w:val="24"/>
          <w:szCs w:val="24"/>
        </w:rPr>
        <w:t xml:space="preserve">are co-producing an online Environmental Health and Land Reuse </w:t>
      </w:r>
      <w:r w:rsidR="009351E0" w:rsidRPr="00473F72">
        <w:rPr>
          <w:rFonts w:ascii="Cambria" w:hAnsi="Cambria"/>
          <w:sz w:val="24"/>
          <w:szCs w:val="24"/>
        </w:rPr>
        <w:t>Certifica</w:t>
      </w:r>
      <w:r w:rsidR="00517C51" w:rsidRPr="00473F72">
        <w:rPr>
          <w:rFonts w:ascii="Cambria" w:hAnsi="Cambria"/>
          <w:sz w:val="24"/>
          <w:szCs w:val="24"/>
        </w:rPr>
        <w:t>te</w:t>
      </w:r>
      <w:r w:rsidR="00F049A9" w:rsidRPr="00473F72">
        <w:rPr>
          <w:rFonts w:ascii="Cambria" w:hAnsi="Cambria"/>
          <w:sz w:val="24"/>
          <w:szCs w:val="24"/>
        </w:rPr>
        <w:t xml:space="preserve"> </w:t>
      </w:r>
      <w:r w:rsidR="00517C51" w:rsidRPr="00473F72">
        <w:rPr>
          <w:rFonts w:ascii="Cambria" w:hAnsi="Cambria"/>
          <w:sz w:val="24"/>
          <w:szCs w:val="24"/>
        </w:rPr>
        <w:t xml:space="preserve">training </w:t>
      </w:r>
      <w:r w:rsidR="009351E0" w:rsidRPr="00473F72">
        <w:rPr>
          <w:rFonts w:ascii="Cambria" w:hAnsi="Cambria"/>
          <w:sz w:val="24"/>
          <w:szCs w:val="24"/>
        </w:rPr>
        <w:t>p</w:t>
      </w:r>
      <w:r w:rsidR="00CB162A" w:rsidRPr="00473F72">
        <w:rPr>
          <w:rFonts w:ascii="Cambria" w:hAnsi="Cambria"/>
          <w:sz w:val="24"/>
          <w:szCs w:val="24"/>
        </w:rPr>
        <w:t xml:space="preserve">rogram. </w:t>
      </w:r>
      <w:r w:rsidR="00442A0C" w:rsidRPr="00473F72">
        <w:rPr>
          <w:rFonts w:ascii="Cambria" w:hAnsi="Cambria"/>
          <w:sz w:val="24"/>
          <w:szCs w:val="24"/>
        </w:rPr>
        <w:t xml:space="preserve">The program link will be accessible by </w:t>
      </w:r>
      <w:r w:rsidR="00517C51" w:rsidRPr="00473F72">
        <w:rPr>
          <w:rFonts w:ascii="Cambria" w:hAnsi="Cambria"/>
          <w:sz w:val="24"/>
          <w:szCs w:val="24"/>
        </w:rPr>
        <w:t xml:space="preserve">the Center for Disease Control and Prevention (CDC) </w:t>
      </w:r>
      <w:r w:rsidR="00442A0C" w:rsidRPr="00473F72">
        <w:rPr>
          <w:rFonts w:ascii="Cambria" w:hAnsi="Cambria"/>
          <w:sz w:val="24"/>
          <w:szCs w:val="24"/>
        </w:rPr>
        <w:t xml:space="preserve">Training and Continuing Education Online (TCEO) website. </w:t>
      </w:r>
      <w:r w:rsidR="00CB162A" w:rsidRPr="00473F72">
        <w:rPr>
          <w:rFonts w:ascii="Cambria" w:hAnsi="Cambria"/>
          <w:sz w:val="24"/>
          <w:szCs w:val="24"/>
        </w:rPr>
        <w:t xml:space="preserve">The </w:t>
      </w:r>
      <w:r w:rsidR="0043432A" w:rsidRPr="00473F72">
        <w:rPr>
          <w:rFonts w:ascii="Cambria" w:hAnsi="Cambria"/>
          <w:sz w:val="24"/>
          <w:szCs w:val="24"/>
        </w:rPr>
        <w:t xml:space="preserve">project </w:t>
      </w:r>
      <w:r w:rsidR="00CB162A" w:rsidRPr="00473F72">
        <w:rPr>
          <w:rFonts w:ascii="Cambria" w:hAnsi="Cambria"/>
          <w:sz w:val="24"/>
          <w:szCs w:val="24"/>
        </w:rPr>
        <w:t xml:space="preserve">does not </w:t>
      </w:r>
      <w:r w:rsidR="009351E0" w:rsidRPr="00473F72">
        <w:rPr>
          <w:rFonts w:ascii="Cambria" w:hAnsi="Cambria"/>
          <w:sz w:val="24"/>
          <w:szCs w:val="24"/>
        </w:rPr>
        <w:t>involve statistical methods</w:t>
      </w:r>
      <w:r w:rsidR="00763D5A" w:rsidRPr="00473F72">
        <w:rPr>
          <w:rFonts w:ascii="Cambria" w:hAnsi="Cambria"/>
          <w:sz w:val="24"/>
          <w:szCs w:val="24"/>
        </w:rPr>
        <w:t>.</w:t>
      </w:r>
      <w:r w:rsidR="009351E0" w:rsidRPr="00473F72">
        <w:rPr>
          <w:rFonts w:ascii="Cambria" w:hAnsi="Cambria"/>
          <w:sz w:val="24"/>
          <w:szCs w:val="24"/>
        </w:rPr>
        <w:t xml:space="preserve"> </w:t>
      </w:r>
      <w:r w:rsidR="00405C00" w:rsidRPr="00473F72">
        <w:rPr>
          <w:rFonts w:ascii="Cambria" w:hAnsi="Cambria"/>
          <w:sz w:val="24"/>
          <w:szCs w:val="24"/>
        </w:rPr>
        <w:t xml:space="preserve">The participants in the </w:t>
      </w:r>
      <w:r w:rsidR="00763D5A" w:rsidRPr="00473F72">
        <w:rPr>
          <w:rFonts w:ascii="Cambria" w:hAnsi="Cambria"/>
          <w:sz w:val="24"/>
          <w:szCs w:val="24"/>
        </w:rPr>
        <w:t>c</w:t>
      </w:r>
      <w:r w:rsidR="00405C00" w:rsidRPr="00473F72">
        <w:rPr>
          <w:rFonts w:ascii="Cambria" w:hAnsi="Cambria"/>
          <w:sz w:val="24"/>
          <w:szCs w:val="24"/>
        </w:rPr>
        <w:t>ertification will primarily be environmental professionals</w:t>
      </w:r>
      <w:r w:rsidR="001530EF">
        <w:rPr>
          <w:rFonts w:ascii="Cambria" w:hAnsi="Cambria"/>
          <w:sz w:val="24"/>
          <w:szCs w:val="24"/>
        </w:rPr>
        <w:t xml:space="preserve"> (e.g. primarily local health department (LHD) profesesionals)</w:t>
      </w:r>
      <w:r w:rsidR="00517C51" w:rsidRPr="00473F72">
        <w:rPr>
          <w:rFonts w:ascii="Cambria" w:hAnsi="Cambria"/>
          <w:sz w:val="24"/>
          <w:szCs w:val="24"/>
        </w:rPr>
        <w:t>, public health practitioners,</w:t>
      </w:r>
      <w:r w:rsidR="00405C00" w:rsidRPr="00473F72">
        <w:rPr>
          <w:rFonts w:ascii="Cambria" w:hAnsi="Cambria"/>
          <w:sz w:val="24"/>
          <w:szCs w:val="24"/>
        </w:rPr>
        <w:t xml:space="preserve"> and students (e.g. graduate students) in environmental health, environmental science, planning, and public health.</w:t>
      </w:r>
    </w:p>
    <w:p w14:paraId="65B50DDC" w14:textId="3D76BA59" w:rsidR="009301CB" w:rsidRPr="00CE0C7A" w:rsidRDefault="00CB162A" w:rsidP="00CE0C7A">
      <w:pPr>
        <w:rPr>
          <w:rFonts w:ascii="Cambria" w:hAnsi="Cambria"/>
          <w:sz w:val="24"/>
          <w:szCs w:val="24"/>
        </w:rPr>
      </w:pPr>
      <w:r w:rsidRPr="00CE0C7A">
        <w:rPr>
          <w:rFonts w:ascii="Cambria" w:hAnsi="Cambria"/>
          <w:sz w:val="24"/>
          <w:szCs w:val="24"/>
        </w:rPr>
        <w:t xml:space="preserve">ATSDR will characterize </w:t>
      </w:r>
      <w:r w:rsidR="00442A0C" w:rsidRPr="00CE0C7A">
        <w:rPr>
          <w:rFonts w:ascii="Cambria" w:hAnsi="Cambria"/>
          <w:sz w:val="24"/>
          <w:szCs w:val="24"/>
        </w:rPr>
        <w:t xml:space="preserve">TCEO </w:t>
      </w:r>
      <w:r w:rsidR="004953D1" w:rsidRPr="00CE0C7A">
        <w:rPr>
          <w:rFonts w:ascii="Cambria" w:hAnsi="Cambria"/>
          <w:sz w:val="24"/>
          <w:szCs w:val="24"/>
        </w:rPr>
        <w:t xml:space="preserve">participant registration </w:t>
      </w:r>
      <w:r w:rsidRPr="00CE0C7A">
        <w:rPr>
          <w:rFonts w:ascii="Cambria" w:hAnsi="Cambria"/>
          <w:sz w:val="24"/>
          <w:szCs w:val="24"/>
        </w:rPr>
        <w:t xml:space="preserve">data in terms of the total number of </w:t>
      </w:r>
      <w:r w:rsidR="00763D5A" w:rsidRPr="00CE0C7A">
        <w:rPr>
          <w:rFonts w:ascii="Cambria" w:hAnsi="Cambria"/>
          <w:sz w:val="24"/>
          <w:szCs w:val="24"/>
        </w:rPr>
        <w:t>c</w:t>
      </w:r>
      <w:r w:rsidRPr="00CE0C7A">
        <w:rPr>
          <w:rFonts w:ascii="Cambria" w:hAnsi="Cambria"/>
          <w:sz w:val="24"/>
          <w:szCs w:val="24"/>
        </w:rPr>
        <w:t>ertification participants (e.g. sum) and their job titles</w:t>
      </w:r>
      <w:r w:rsidR="00B33786" w:rsidRPr="00CE0C7A">
        <w:rPr>
          <w:rFonts w:ascii="Cambria" w:hAnsi="Cambria"/>
          <w:sz w:val="24"/>
          <w:szCs w:val="24"/>
        </w:rPr>
        <w:t xml:space="preserve">. </w:t>
      </w:r>
      <w:r w:rsidR="009351E0" w:rsidRPr="00CE0C7A">
        <w:rPr>
          <w:rFonts w:ascii="Cambria" w:hAnsi="Cambria"/>
          <w:sz w:val="24"/>
          <w:szCs w:val="24"/>
        </w:rPr>
        <w:t>One-time follow-</w:t>
      </w:r>
      <w:r w:rsidRPr="00CE0C7A">
        <w:rPr>
          <w:rFonts w:ascii="Cambria" w:hAnsi="Cambria"/>
          <w:sz w:val="24"/>
          <w:szCs w:val="24"/>
        </w:rPr>
        <w:t xml:space="preserve">up survey </w:t>
      </w:r>
      <w:r w:rsidR="0043432A" w:rsidRPr="00CE0C7A">
        <w:rPr>
          <w:rFonts w:ascii="Cambria" w:hAnsi="Cambria"/>
          <w:sz w:val="24"/>
          <w:szCs w:val="24"/>
        </w:rPr>
        <w:t xml:space="preserve">responses </w:t>
      </w:r>
      <w:r w:rsidRPr="00CE0C7A">
        <w:rPr>
          <w:rFonts w:ascii="Cambria" w:hAnsi="Cambria"/>
          <w:sz w:val="24"/>
          <w:szCs w:val="24"/>
        </w:rPr>
        <w:t xml:space="preserve">to estimate increased capacity as a result of taking the training will be collected by </w:t>
      </w:r>
      <w:r w:rsidR="00442A0C" w:rsidRPr="00CE0C7A">
        <w:rPr>
          <w:rFonts w:ascii="Cambria" w:hAnsi="Cambria"/>
          <w:sz w:val="24"/>
          <w:szCs w:val="24"/>
        </w:rPr>
        <w:t xml:space="preserve">ATSDR </w:t>
      </w:r>
      <w:r w:rsidR="004953D1" w:rsidRPr="00CE0C7A">
        <w:rPr>
          <w:rFonts w:ascii="Cambria" w:hAnsi="Cambria"/>
          <w:sz w:val="24"/>
          <w:szCs w:val="24"/>
        </w:rPr>
        <w:t xml:space="preserve">from participants </w:t>
      </w:r>
      <w:r w:rsidR="001530EF">
        <w:rPr>
          <w:rFonts w:ascii="Cambria" w:hAnsi="Cambria"/>
          <w:sz w:val="24"/>
          <w:szCs w:val="24"/>
        </w:rPr>
        <w:t>within 12</w:t>
      </w:r>
      <w:r w:rsidR="004953D1" w:rsidRPr="00CE0C7A">
        <w:rPr>
          <w:rFonts w:ascii="Cambria" w:hAnsi="Cambria"/>
          <w:sz w:val="24"/>
          <w:szCs w:val="24"/>
        </w:rPr>
        <w:t xml:space="preserve"> months after completing the </w:t>
      </w:r>
      <w:r w:rsidR="00763D5A" w:rsidRPr="00CE0C7A">
        <w:rPr>
          <w:rFonts w:ascii="Cambria" w:hAnsi="Cambria"/>
          <w:sz w:val="24"/>
          <w:szCs w:val="24"/>
        </w:rPr>
        <w:t>c</w:t>
      </w:r>
      <w:r w:rsidR="004953D1" w:rsidRPr="00CE0C7A">
        <w:rPr>
          <w:rFonts w:ascii="Cambria" w:hAnsi="Cambria"/>
          <w:sz w:val="24"/>
          <w:szCs w:val="24"/>
        </w:rPr>
        <w:t xml:space="preserve">ertification course. </w:t>
      </w:r>
      <w:r w:rsidR="00442A0C" w:rsidRPr="00CE0C7A">
        <w:rPr>
          <w:rFonts w:ascii="Cambria" w:hAnsi="Cambria"/>
          <w:sz w:val="24"/>
          <w:szCs w:val="24"/>
        </w:rPr>
        <w:t xml:space="preserve"> </w:t>
      </w:r>
      <w:r w:rsidR="004953D1" w:rsidRPr="00CE0C7A">
        <w:rPr>
          <w:rFonts w:ascii="Cambria" w:hAnsi="Cambria"/>
          <w:sz w:val="24"/>
          <w:szCs w:val="24"/>
        </w:rPr>
        <w:t>The follow</w:t>
      </w:r>
      <w:r w:rsidR="00741E23" w:rsidRPr="00CE0C7A">
        <w:rPr>
          <w:rFonts w:ascii="Cambria" w:hAnsi="Cambria"/>
          <w:sz w:val="24"/>
          <w:szCs w:val="24"/>
        </w:rPr>
        <w:t>-</w:t>
      </w:r>
      <w:r w:rsidR="004953D1" w:rsidRPr="00CE0C7A">
        <w:rPr>
          <w:rFonts w:ascii="Cambria" w:hAnsi="Cambria"/>
          <w:sz w:val="24"/>
          <w:szCs w:val="24"/>
        </w:rPr>
        <w:t xml:space="preserve">up survey is voluntary. </w:t>
      </w:r>
      <w:r w:rsidR="00442A0C" w:rsidRPr="00CE0C7A">
        <w:rPr>
          <w:rFonts w:ascii="Cambria" w:hAnsi="Cambria"/>
          <w:sz w:val="24"/>
          <w:szCs w:val="24"/>
        </w:rPr>
        <w:t>In the follow-up survey, p</w:t>
      </w:r>
      <w:r w:rsidR="00916568" w:rsidRPr="00CE0C7A">
        <w:rPr>
          <w:rFonts w:ascii="Cambria" w:hAnsi="Cambria"/>
          <w:sz w:val="24"/>
          <w:szCs w:val="24"/>
        </w:rPr>
        <w:t>articipants</w:t>
      </w:r>
      <w:r w:rsidR="0043432A" w:rsidRPr="00CE0C7A">
        <w:rPr>
          <w:rFonts w:ascii="Cambria" w:hAnsi="Cambria"/>
          <w:sz w:val="24"/>
          <w:szCs w:val="24"/>
        </w:rPr>
        <w:t xml:space="preserve"> will report on how they used aspects of the </w:t>
      </w:r>
      <w:r w:rsidR="00466D8E" w:rsidRPr="00CE0C7A">
        <w:rPr>
          <w:rFonts w:ascii="Cambria" w:hAnsi="Cambria"/>
          <w:sz w:val="24"/>
          <w:szCs w:val="24"/>
        </w:rPr>
        <w:t>c</w:t>
      </w:r>
      <w:r w:rsidR="0043432A" w:rsidRPr="00CE0C7A">
        <w:rPr>
          <w:rFonts w:ascii="Cambria" w:hAnsi="Cambria"/>
          <w:sz w:val="24"/>
          <w:szCs w:val="24"/>
        </w:rPr>
        <w:t>ertification course contents, how often they used the contents, and whether or not they used the contents to increase their skills in environmental health and land reuse activities</w:t>
      </w:r>
      <w:r w:rsidR="009C17E4" w:rsidRPr="00CE0C7A">
        <w:rPr>
          <w:rFonts w:ascii="Cambria" w:hAnsi="Cambria"/>
          <w:sz w:val="24"/>
          <w:szCs w:val="24"/>
        </w:rPr>
        <w:t xml:space="preserve"> </w:t>
      </w:r>
      <w:r w:rsidR="00466D8E" w:rsidRPr="00CE0C7A">
        <w:rPr>
          <w:rFonts w:ascii="Cambria" w:hAnsi="Cambria"/>
          <w:sz w:val="24"/>
          <w:szCs w:val="24"/>
        </w:rPr>
        <w:t>(Attachment</w:t>
      </w:r>
      <w:r w:rsidR="00AB5422" w:rsidRPr="00CE0C7A">
        <w:rPr>
          <w:rFonts w:ascii="Cambria" w:hAnsi="Cambria"/>
          <w:sz w:val="24"/>
          <w:szCs w:val="24"/>
        </w:rPr>
        <w:t xml:space="preserve">s </w:t>
      </w:r>
      <w:r w:rsidR="00517C51" w:rsidRPr="00CE0C7A">
        <w:rPr>
          <w:rFonts w:ascii="Cambria" w:hAnsi="Cambria"/>
          <w:sz w:val="24"/>
          <w:szCs w:val="24"/>
        </w:rPr>
        <w:t>4</w:t>
      </w:r>
      <w:r w:rsidR="00AB5422" w:rsidRPr="00CE0C7A">
        <w:rPr>
          <w:rFonts w:ascii="Cambria" w:hAnsi="Cambria"/>
          <w:sz w:val="24"/>
          <w:szCs w:val="24"/>
        </w:rPr>
        <w:t xml:space="preserve">a </w:t>
      </w:r>
      <w:r w:rsidR="00CE0C7A" w:rsidRPr="00CE0C7A">
        <w:rPr>
          <w:rFonts w:ascii="Cambria" w:hAnsi="Cambria"/>
          <w:sz w:val="24"/>
          <w:szCs w:val="24"/>
        </w:rPr>
        <w:t>and 4b</w:t>
      </w:r>
      <w:r w:rsidR="00466D8E" w:rsidRPr="00CE0C7A">
        <w:rPr>
          <w:rFonts w:ascii="Cambria" w:hAnsi="Cambria"/>
          <w:sz w:val="24"/>
          <w:szCs w:val="24"/>
        </w:rPr>
        <w:t>)</w:t>
      </w:r>
      <w:r w:rsidR="001F63AE" w:rsidRPr="00CE0C7A">
        <w:rPr>
          <w:rFonts w:ascii="Cambria" w:hAnsi="Cambria"/>
          <w:sz w:val="24"/>
          <w:szCs w:val="24"/>
        </w:rPr>
        <w:t>.</w:t>
      </w:r>
      <w:r w:rsidR="00B33786" w:rsidRPr="00CE0C7A">
        <w:rPr>
          <w:rFonts w:ascii="Cambria" w:hAnsi="Cambria"/>
          <w:sz w:val="24"/>
          <w:szCs w:val="24"/>
        </w:rPr>
        <w:t xml:space="preserve"> </w:t>
      </w:r>
    </w:p>
    <w:p w14:paraId="6759D52E" w14:textId="4C7954BF" w:rsidR="00B45002" w:rsidRPr="00B75801" w:rsidRDefault="00D33AE3" w:rsidP="00031890">
      <w:pPr>
        <w:pStyle w:val="Heading1"/>
      </w:pPr>
      <w:bookmarkStart w:id="5" w:name="_Toc603214"/>
      <w:r w:rsidRPr="00B75801">
        <w:t>B.</w:t>
      </w:r>
      <w:r w:rsidR="00B45002" w:rsidRPr="00B75801">
        <w:t>2.</w:t>
      </w:r>
      <w:r w:rsidR="00B45002" w:rsidRPr="00B75801">
        <w:tab/>
        <w:t>Procedures for the Collection of Information</w:t>
      </w:r>
      <w:bookmarkEnd w:id="5"/>
    </w:p>
    <w:p w14:paraId="4444A623" w14:textId="77777777" w:rsidR="00EA6E06" w:rsidRPr="00021035" w:rsidRDefault="00EA6E06" w:rsidP="00EA6E06">
      <w:pPr>
        <w:rPr>
          <w:rFonts w:ascii="Courier New" w:hAnsi="Courier New" w:cs="Courier New"/>
          <w:color w:val="000000" w:themeColor="text1"/>
        </w:rPr>
      </w:pPr>
    </w:p>
    <w:p w14:paraId="6D83F6F2" w14:textId="510C271C" w:rsidR="001530EF" w:rsidRPr="00B75801" w:rsidRDefault="00763D5A" w:rsidP="001530EF">
      <w:pPr>
        <w:rPr>
          <w:rFonts w:ascii="Cambria" w:hAnsi="Cambria" w:cstheme="minorHAnsi"/>
          <w:color w:val="000000" w:themeColor="text1"/>
          <w:sz w:val="24"/>
          <w:szCs w:val="24"/>
        </w:rPr>
      </w:pPr>
      <w:r w:rsidRPr="00021035">
        <w:rPr>
          <w:rFonts w:ascii="Cambria" w:hAnsi="Cambria" w:cs="Courier New"/>
          <w:color w:val="000000" w:themeColor="text1"/>
          <w:sz w:val="24"/>
          <w:szCs w:val="24"/>
        </w:rPr>
        <w:t>S</w:t>
      </w:r>
      <w:r w:rsidR="001F0849" w:rsidRPr="00021035">
        <w:rPr>
          <w:rFonts w:ascii="Cambria" w:hAnsi="Cambria" w:cs="Courier New"/>
          <w:color w:val="000000" w:themeColor="text1"/>
          <w:sz w:val="24"/>
          <w:szCs w:val="24"/>
        </w:rPr>
        <w:t xml:space="preserve">tatistical methods will </w:t>
      </w:r>
      <w:r w:rsidRPr="00021035">
        <w:rPr>
          <w:rFonts w:ascii="Cambria" w:hAnsi="Cambria" w:cs="Courier New"/>
          <w:color w:val="000000" w:themeColor="text1"/>
          <w:sz w:val="24"/>
          <w:szCs w:val="24"/>
        </w:rPr>
        <w:t xml:space="preserve">not </w:t>
      </w:r>
      <w:r w:rsidR="001F0849" w:rsidRPr="00021035">
        <w:rPr>
          <w:rFonts w:ascii="Cambria" w:hAnsi="Cambria" w:cs="Courier New"/>
          <w:color w:val="000000" w:themeColor="text1"/>
          <w:sz w:val="24"/>
          <w:szCs w:val="24"/>
        </w:rPr>
        <w:t>be employed for this collection</w:t>
      </w:r>
      <w:r w:rsidR="00AE2DEF" w:rsidRPr="00021035">
        <w:rPr>
          <w:rFonts w:ascii="Cambria" w:hAnsi="Cambria" w:cs="Courier New"/>
          <w:color w:val="000000" w:themeColor="text1"/>
          <w:sz w:val="24"/>
          <w:szCs w:val="24"/>
        </w:rPr>
        <w:t xml:space="preserve">. </w:t>
      </w:r>
      <w:r w:rsidRPr="00021035">
        <w:rPr>
          <w:rFonts w:ascii="Cambria" w:hAnsi="Cambria" w:cs="Courier New"/>
          <w:color w:val="000000" w:themeColor="text1"/>
          <w:sz w:val="24"/>
          <w:szCs w:val="24"/>
        </w:rPr>
        <w:t xml:space="preserve">A program such as </w:t>
      </w:r>
      <w:r w:rsidR="00AE2DEF" w:rsidRPr="00021035">
        <w:rPr>
          <w:rFonts w:ascii="Cambria" w:hAnsi="Cambria" w:cs="Courier New"/>
          <w:color w:val="000000" w:themeColor="text1"/>
          <w:sz w:val="24"/>
          <w:szCs w:val="24"/>
        </w:rPr>
        <w:t xml:space="preserve">Excel may be used for </w:t>
      </w:r>
      <w:r w:rsidR="00405C00" w:rsidRPr="00021035">
        <w:rPr>
          <w:rFonts w:ascii="Cambria" w:hAnsi="Cambria" w:cs="Courier New"/>
          <w:color w:val="000000" w:themeColor="text1"/>
          <w:sz w:val="24"/>
          <w:szCs w:val="24"/>
        </w:rPr>
        <w:t xml:space="preserve">basic summing or grouping of </w:t>
      </w:r>
      <w:r w:rsidR="00CB162A" w:rsidRPr="00021035">
        <w:rPr>
          <w:rFonts w:ascii="Cambria" w:hAnsi="Cambria" w:cs="Courier New"/>
          <w:color w:val="000000" w:themeColor="text1"/>
          <w:sz w:val="24"/>
          <w:szCs w:val="24"/>
        </w:rPr>
        <w:t xml:space="preserve">the </w:t>
      </w:r>
      <w:r w:rsidR="00442A0C">
        <w:rPr>
          <w:rFonts w:ascii="Cambria" w:hAnsi="Cambria" w:cs="Courier New"/>
          <w:color w:val="000000" w:themeColor="text1"/>
          <w:sz w:val="24"/>
          <w:szCs w:val="24"/>
        </w:rPr>
        <w:t>TCEO</w:t>
      </w:r>
      <w:r w:rsidR="00CB162A" w:rsidRPr="00021035">
        <w:rPr>
          <w:rFonts w:ascii="Cambria" w:hAnsi="Cambria" w:cs="Courier New"/>
          <w:color w:val="000000" w:themeColor="text1"/>
          <w:sz w:val="24"/>
          <w:szCs w:val="24"/>
        </w:rPr>
        <w:t xml:space="preserve"> registration process questions (e.g., job title</w:t>
      </w:r>
      <w:r w:rsidR="0065075C" w:rsidRPr="00021035">
        <w:rPr>
          <w:rFonts w:ascii="Cambria" w:hAnsi="Cambria" w:cs="Courier New"/>
          <w:color w:val="000000" w:themeColor="text1"/>
          <w:sz w:val="24"/>
          <w:szCs w:val="24"/>
        </w:rPr>
        <w:t>, such as environmental consultant or planner and location, such as city/state</w:t>
      </w:r>
      <w:r w:rsidR="00CB162A" w:rsidRPr="00021035">
        <w:rPr>
          <w:rFonts w:ascii="Cambria" w:hAnsi="Cambria" w:cs="Courier New"/>
          <w:color w:val="000000" w:themeColor="text1"/>
          <w:sz w:val="24"/>
          <w:szCs w:val="24"/>
        </w:rPr>
        <w:t>) and the</w:t>
      </w:r>
      <w:r w:rsidR="00607F84" w:rsidRPr="00021035">
        <w:rPr>
          <w:rFonts w:ascii="Cambria" w:hAnsi="Cambria" w:cs="Courier New"/>
          <w:color w:val="000000" w:themeColor="text1"/>
          <w:sz w:val="24"/>
          <w:szCs w:val="24"/>
        </w:rPr>
        <w:t xml:space="preserve"> follow up </w:t>
      </w:r>
      <w:r w:rsidR="00517C51">
        <w:rPr>
          <w:rFonts w:ascii="Cambria" w:hAnsi="Cambria" w:cs="Courier New"/>
          <w:color w:val="000000" w:themeColor="text1"/>
          <w:sz w:val="24"/>
          <w:szCs w:val="24"/>
        </w:rPr>
        <w:t>REDcap</w:t>
      </w:r>
      <w:r w:rsidR="00607F84" w:rsidRPr="00021035">
        <w:rPr>
          <w:rFonts w:ascii="Cambria" w:hAnsi="Cambria" w:cs="Courier New"/>
          <w:color w:val="000000" w:themeColor="text1"/>
          <w:sz w:val="24"/>
          <w:szCs w:val="24"/>
        </w:rPr>
        <w:t xml:space="preserve"> </w:t>
      </w:r>
      <w:r w:rsidR="004953D1" w:rsidRPr="00021035">
        <w:rPr>
          <w:rFonts w:ascii="Cambria" w:hAnsi="Cambria" w:cs="Courier New"/>
          <w:color w:val="000000" w:themeColor="text1"/>
          <w:sz w:val="24"/>
          <w:szCs w:val="24"/>
        </w:rPr>
        <w:t xml:space="preserve">voluntary </w:t>
      </w:r>
      <w:r w:rsidR="00607F84" w:rsidRPr="00021035">
        <w:rPr>
          <w:rFonts w:ascii="Cambria" w:hAnsi="Cambria" w:cs="Courier New"/>
          <w:color w:val="000000" w:themeColor="text1"/>
          <w:sz w:val="24"/>
          <w:szCs w:val="24"/>
        </w:rPr>
        <w:t>survey responses</w:t>
      </w:r>
      <w:r w:rsidR="00405C00" w:rsidRPr="00021035">
        <w:rPr>
          <w:rFonts w:ascii="Cambria" w:hAnsi="Cambria" w:cs="Courier New"/>
          <w:color w:val="000000" w:themeColor="text1"/>
          <w:sz w:val="24"/>
          <w:szCs w:val="24"/>
        </w:rPr>
        <w:t xml:space="preserve">. </w:t>
      </w:r>
      <w:r w:rsidR="00442A0C">
        <w:rPr>
          <w:rFonts w:ascii="Cambria" w:hAnsi="Cambria" w:cs="Courier New"/>
          <w:color w:val="000000" w:themeColor="text1"/>
          <w:sz w:val="24"/>
          <w:szCs w:val="24"/>
        </w:rPr>
        <w:t>ATSDR</w:t>
      </w:r>
      <w:r w:rsidR="00442A0C" w:rsidRPr="00021035">
        <w:rPr>
          <w:rFonts w:ascii="Cambria" w:hAnsi="Cambria" w:cs="Courier New"/>
          <w:color w:val="000000" w:themeColor="text1"/>
          <w:sz w:val="24"/>
          <w:szCs w:val="24"/>
        </w:rPr>
        <w:t xml:space="preserve"> </w:t>
      </w:r>
      <w:r w:rsidR="0065075C" w:rsidRPr="00021035">
        <w:rPr>
          <w:rFonts w:ascii="Cambria" w:hAnsi="Cambria" w:cs="Courier New"/>
          <w:color w:val="000000" w:themeColor="text1"/>
          <w:sz w:val="24"/>
          <w:szCs w:val="24"/>
        </w:rPr>
        <w:t xml:space="preserve">expects </w:t>
      </w:r>
      <w:r w:rsidR="004D40BA">
        <w:rPr>
          <w:rFonts w:ascii="Cambria" w:hAnsi="Cambria" w:cs="Courier New"/>
          <w:color w:val="000000" w:themeColor="text1"/>
          <w:sz w:val="24"/>
          <w:szCs w:val="24"/>
        </w:rPr>
        <w:t>approximately</w:t>
      </w:r>
      <w:r w:rsidR="0065075C" w:rsidRPr="00021035">
        <w:rPr>
          <w:rFonts w:ascii="Cambria" w:hAnsi="Cambria" w:cs="Courier New"/>
          <w:color w:val="000000" w:themeColor="text1"/>
          <w:sz w:val="24"/>
          <w:szCs w:val="24"/>
        </w:rPr>
        <w:t xml:space="preserve"> 2</w:t>
      </w:r>
      <w:r w:rsidR="005E5451">
        <w:rPr>
          <w:rFonts w:ascii="Cambria" w:hAnsi="Cambria" w:cs="Courier New"/>
          <w:color w:val="000000" w:themeColor="text1"/>
          <w:sz w:val="24"/>
          <w:szCs w:val="24"/>
        </w:rPr>
        <w:t>0</w:t>
      </w:r>
      <w:r w:rsidR="0065075C" w:rsidRPr="00021035">
        <w:rPr>
          <w:rFonts w:ascii="Cambria" w:hAnsi="Cambria" w:cs="Courier New"/>
          <w:color w:val="000000" w:themeColor="text1"/>
          <w:sz w:val="24"/>
          <w:szCs w:val="24"/>
        </w:rPr>
        <w:t xml:space="preserve"> percent response rate for the follow up. </w:t>
      </w:r>
      <w:r w:rsidR="001530EF" w:rsidRPr="00B75801">
        <w:rPr>
          <w:rFonts w:ascii="Cambria" w:hAnsi="Cambria" w:cstheme="minorHAnsi"/>
          <w:color w:val="000000" w:themeColor="text1"/>
          <w:sz w:val="24"/>
          <w:szCs w:val="24"/>
        </w:rPr>
        <w:t xml:space="preserve">The maximum response rate would be 100%. While it is reasonable to assume a 20% response rate, ATSDR wants to ensure that maximal participation is included as an option. This is based on the opportunity for cooperative </w:t>
      </w:r>
      <w:r w:rsidR="001530EF">
        <w:rPr>
          <w:rFonts w:ascii="Cambria" w:hAnsi="Cambria" w:cstheme="minorHAnsi"/>
          <w:color w:val="000000" w:themeColor="text1"/>
          <w:sz w:val="24"/>
          <w:szCs w:val="24"/>
        </w:rPr>
        <w:t xml:space="preserve"> state </w:t>
      </w:r>
      <w:r w:rsidR="001530EF" w:rsidRPr="00B75801">
        <w:rPr>
          <w:rFonts w:ascii="Cambria" w:hAnsi="Cambria" w:cstheme="minorHAnsi"/>
          <w:color w:val="000000" w:themeColor="text1"/>
          <w:sz w:val="24"/>
          <w:szCs w:val="24"/>
        </w:rPr>
        <w:t>partners and students to participate in the training follow up, which may be required by their managers or professors.</w:t>
      </w:r>
    </w:p>
    <w:p w14:paraId="00E69010" w14:textId="4A0A01A6" w:rsidR="004953D1" w:rsidRPr="00021035" w:rsidRDefault="00405C00" w:rsidP="0063703A">
      <w:pPr>
        <w:rPr>
          <w:rFonts w:ascii="Cambria" w:hAnsi="Cambria" w:cs="Courier New"/>
          <w:color w:val="000000" w:themeColor="text1"/>
          <w:sz w:val="24"/>
          <w:szCs w:val="24"/>
        </w:rPr>
      </w:pPr>
      <w:r w:rsidRPr="00021035">
        <w:rPr>
          <w:rFonts w:ascii="Cambria" w:hAnsi="Cambria" w:cs="Courier New"/>
          <w:color w:val="000000" w:themeColor="text1"/>
          <w:sz w:val="24"/>
          <w:szCs w:val="24"/>
        </w:rPr>
        <w:t>For the follow up voluntary survey,</w:t>
      </w:r>
      <w:r w:rsidR="00442A0C">
        <w:rPr>
          <w:rFonts w:ascii="Cambria" w:hAnsi="Cambria" w:cs="Courier New"/>
          <w:color w:val="000000" w:themeColor="text1"/>
          <w:sz w:val="24"/>
          <w:szCs w:val="24"/>
        </w:rPr>
        <w:t xml:space="preserve"> ATSDR</w:t>
      </w:r>
      <w:r w:rsidR="000D2F40">
        <w:rPr>
          <w:rFonts w:ascii="Cambria" w:hAnsi="Cambria" w:cs="Courier New"/>
          <w:color w:val="000000" w:themeColor="text1"/>
          <w:sz w:val="24"/>
          <w:szCs w:val="24"/>
        </w:rPr>
        <w:t xml:space="preserve"> </w:t>
      </w:r>
      <w:r w:rsidR="00FA322C" w:rsidRPr="00021035">
        <w:rPr>
          <w:rFonts w:ascii="Cambria" w:hAnsi="Cambria" w:cs="Courier New"/>
          <w:color w:val="000000" w:themeColor="text1"/>
          <w:sz w:val="24"/>
          <w:szCs w:val="24"/>
        </w:rPr>
        <w:t xml:space="preserve">will use a brief, </w:t>
      </w:r>
      <w:r w:rsidR="00517C51">
        <w:rPr>
          <w:rFonts w:ascii="Cambria" w:hAnsi="Cambria" w:cs="Courier New"/>
          <w:color w:val="000000" w:themeColor="text1"/>
          <w:sz w:val="24"/>
          <w:szCs w:val="24"/>
        </w:rPr>
        <w:t>10</w:t>
      </w:r>
      <w:r w:rsidR="00FA322C" w:rsidRPr="00021035">
        <w:rPr>
          <w:rFonts w:ascii="Cambria" w:hAnsi="Cambria" w:cs="Courier New"/>
          <w:color w:val="000000" w:themeColor="text1"/>
          <w:sz w:val="24"/>
          <w:szCs w:val="24"/>
        </w:rPr>
        <w:t xml:space="preserve">-question survey to help </w:t>
      </w:r>
      <w:r w:rsidR="00442A0C">
        <w:rPr>
          <w:rFonts w:ascii="Cambria" w:hAnsi="Cambria" w:cs="Courier New"/>
          <w:color w:val="000000" w:themeColor="text1"/>
          <w:sz w:val="24"/>
          <w:szCs w:val="24"/>
        </w:rPr>
        <w:t xml:space="preserve">ATSDR and </w:t>
      </w:r>
      <w:r w:rsidR="00FA322C" w:rsidRPr="00021035">
        <w:rPr>
          <w:rFonts w:ascii="Cambria" w:hAnsi="Cambria" w:cs="Courier New"/>
          <w:color w:val="000000" w:themeColor="text1"/>
          <w:sz w:val="24"/>
          <w:szCs w:val="24"/>
        </w:rPr>
        <w:t>NEHA evaluate educational content and usefulness in the participants’ work (e.g., such as specifically useful, quick refresher, or new knowledge)</w:t>
      </w:r>
      <w:r w:rsidR="00442A0C">
        <w:rPr>
          <w:rFonts w:ascii="Cambria" w:hAnsi="Cambria" w:cs="Courier New"/>
          <w:color w:val="000000" w:themeColor="text1"/>
          <w:sz w:val="24"/>
          <w:szCs w:val="24"/>
        </w:rPr>
        <w:t xml:space="preserve">. ATSDR </w:t>
      </w:r>
      <w:r w:rsidRPr="00021035">
        <w:rPr>
          <w:rFonts w:ascii="Cambria" w:hAnsi="Cambria" w:cs="Courier New"/>
          <w:color w:val="000000" w:themeColor="text1"/>
          <w:sz w:val="24"/>
          <w:szCs w:val="24"/>
        </w:rPr>
        <w:t xml:space="preserve">will send one email </w:t>
      </w:r>
      <w:r w:rsidR="00517C51">
        <w:rPr>
          <w:rFonts w:ascii="Cambria" w:hAnsi="Cambria" w:cs="Courier New"/>
          <w:color w:val="000000" w:themeColor="text1"/>
          <w:sz w:val="24"/>
          <w:szCs w:val="24"/>
        </w:rPr>
        <w:t xml:space="preserve">and one reminder email </w:t>
      </w:r>
      <w:r w:rsidRPr="00021035">
        <w:rPr>
          <w:rFonts w:ascii="Cambria" w:hAnsi="Cambria" w:cs="Courier New"/>
          <w:color w:val="000000" w:themeColor="text1"/>
          <w:sz w:val="24"/>
          <w:szCs w:val="24"/>
        </w:rPr>
        <w:t xml:space="preserve">to </w:t>
      </w:r>
      <w:r w:rsidR="005C260A" w:rsidRPr="00021035">
        <w:rPr>
          <w:rFonts w:ascii="Cambria" w:hAnsi="Cambria" w:cs="Courier New"/>
          <w:color w:val="000000" w:themeColor="text1"/>
          <w:sz w:val="24"/>
          <w:szCs w:val="24"/>
        </w:rPr>
        <w:t>c</w:t>
      </w:r>
      <w:r w:rsidRPr="00021035">
        <w:rPr>
          <w:rFonts w:ascii="Cambria" w:hAnsi="Cambria" w:cs="Courier New"/>
          <w:color w:val="000000" w:themeColor="text1"/>
          <w:sz w:val="24"/>
          <w:szCs w:val="24"/>
        </w:rPr>
        <w:t>ertificat</w:t>
      </w:r>
      <w:r w:rsidR="00517C51">
        <w:rPr>
          <w:rFonts w:ascii="Cambria" w:hAnsi="Cambria" w:cs="Courier New"/>
          <w:color w:val="000000" w:themeColor="text1"/>
          <w:sz w:val="24"/>
          <w:szCs w:val="24"/>
        </w:rPr>
        <w:t>e course</w:t>
      </w:r>
      <w:r w:rsidRPr="00021035">
        <w:rPr>
          <w:rFonts w:ascii="Cambria" w:hAnsi="Cambria" w:cs="Courier New"/>
          <w:color w:val="000000" w:themeColor="text1"/>
          <w:sz w:val="24"/>
          <w:szCs w:val="24"/>
        </w:rPr>
        <w:t xml:space="preserve"> participants with a link to a short survey</w:t>
      </w:r>
      <w:r w:rsidR="005C260A" w:rsidRPr="00021035">
        <w:rPr>
          <w:rFonts w:ascii="Cambria" w:hAnsi="Cambria" w:cs="Courier New"/>
          <w:color w:val="000000" w:themeColor="text1"/>
          <w:sz w:val="24"/>
          <w:szCs w:val="24"/>
        </w:rPr>
        <w:t xml:space="preserve"> (</w:t>
      </w:r>
      <w:r w:rsidR="00517C51">
        <w:rPr>
          <w:rFonts w:ascii="Cambria" w:hAnsi="Cambria" w:cs="Courier New"/>
          <w:color w:val="000000" w:themeColor="text1"/>
          <w:sz w:val="24"/>
          <w:szCs w:val="24"/>
        </w:rPr>
        <w:t>e.g. on REDcap</w:t>
      </w:r>
      <w:r w:rsidR="005C260A" w:rsidRPr="00021035">
        <w:rPr>
          <w:rFonts w:ascii="Cambria" w:hAnsi="Cambria" w:cs="Courier New"/>
          <w:color w:val="000000" w:themeColor="text1"/>
          <w:sz w:val="24"/>
          <w:szCs w:val="24"/>
        </w:rPr>
        <w:t>)</w:t>
      </w:r>
      <w:r w:rsidRPr="00021035">
        <w:rPr>
          <w:rFonts w:ascii="Cambria" w:hAnsi="Cambria" w:cs="Courier New"/>
          <w:color w:val="000000" w:themeColor="text1"/>
          <w:sz w:val="24"/>
          <w:szCs w:val="24"/>
        </w:rPr>
        <w:t xml:space="preserve"> to highlight self-reported increases in knowledge or sk</w:t>
      </w:r>
      <w:r w:rsidR="00895B9C" w:rsidRPr="00021035">
        <w:rPr>
          <w:rFonts w:ascii="Cambria" w:hAnsi="Cambria" w:cs="Courier New"/>
          <w:color w:val="000000" w:themeColor="text1"/>
          <w:sz w:val="24"/>
          <w:szCs w:val="24"/>
        </w:rPr>
        <w:t xml:space="preserve">ills by </w:t>
      </w:r>
      <w:r w:rsidRPr="00021035">
        <w:rPr>
          <w:rFonts w:ascii="Cambria" w:hAnsi="Cambria" w:cs="Courier New"/>
          <w:color w:val="000000" w:themeColor="text1"/>
          <w:sz w:val="24"/>
          <w:szCs w:val="24"/>
        </w:rPr>
        <w:t>participants. A</w:t>
      </w:r>
      <w:r w:rsidR="00442A0C">
        <w:rPr>
          <w:rFonts w:ascii="Cambria" w:hAnsi="Cambria" w:cs="Courier New"/>
          <w:color w:val="000000" w:themeColor="text1"/>
          <w:sz w:val="24"/>
          <w:szCs w:val="24"/>
        </w:rPr>
        <w:t>TSDR</w:t>
      </w:r>
      <w:r w:rsidRPr="00021035">
        <w:rPr>
          <w:rFonts w:ascii="Cambria" w:hAnsi="Cambria" w:cs="Courier New"/>
          <w:color w:val="000000" w:themeColor="text1"/>
          <w:sz w:val="24"/>
          <w:szCs w:val="24"/>
        </w:rPr>
        <w:t xml:space="preserve"> will send one reminder email to increase the response rate from participants. ATSDR will use the follow up information to assess the effectiveness of the training to increase participants’ knowledge and use of the environmental h</w:t>
      </w:r>
      <w:r w:rsidR="00895B9C" w:rsidRPr="00021035">
        <w:rPr>
          <w:rFonts w:ascii="Cambria" w:hAnsi="Cambria" w:cs="Courier New"/>
          <w:color w:val="000000" w:themeColor="text1"/>
          <w:sz w:val="24"/>
          <w:szCs w:val="24"/>
        </w:rPr>
        <w:t>ealth</w:t>
      </w:r>
      <w:r w:rsidRPr="00021035">
        <w:rPr>
          <w:rFonts w:ascii="Cambria" w:hAnsi="Cambria" w:cs="Courier New"/>
          <w:color w:val="000000" w:themeColor="text1"/>
          <w:sz w:val="24"/>
          <w:szCs w:val="24"/>
        </w:rPr>
        <w:t xml:space="preserve"> and land reuse concepts set forth in the </w:t>
      </w:r>
      <w:r w:rsidR="00AE2DEF" w:rsidRPr="00021035">
        <w:rPr>
          <w:rFonts w:ascii="Cambria" w:hAnsi="Cambria" w:cs="Courier New"/>
          <w:color w:val="000000" w:themeColor="text1"/>
          <w:sz w:val="24"/>
          <w:szCs w:val="24"/>
        </w:rPr>
        <w:t>c</w:t>
      </w:r>
      <w:r w:rsidRPr="00021035">
        <w:rPr>
          <w:rFonts w:ascii="Cambria" w:hAnsi="Cambria" w:cs="Courier New"/>
          <w:color w:val="000000" w:themeColor="text1"/>
          <w:sz w:val="24"/>
          <w:szCs w:val="24"/>
        </w:rPr>
        <w:t>ertification.</w:t>
      </w:r>
      <w:r w:rsidR="001530EF">
        <w:rPr>
          <w:rFonts w:ascii="Cambria" w:hAnsi="Cambria" w:cs="Courier New"/>
          <w:color w:val="000000" w:themeColor="text1"/>
          <w:sz w:val="24"/>
          <w:szCs w:val="24"/>
        </w:rPr>
        <w:t xml:space="preserve"> ATSDR may refine the existing modules as well as future tools/resources based on participant feedback.</w:t>
      </w:r>
    </w:p>
    <w:p w14:paraId="7C5431E7" w14:textId="7C3E2455" w:rsidR="00B45002" w:rsidRPr="00021035" w:rsidRDefault="00D33AE3" w:rsidP="00C325A3">
      <w:pPr>
        <w:pStyle w:val="Heading1"/>
        <w:rPr>
          <w:color w:val="000000" w:themeColor="text1"/>
          <w:sz w:val="28"/>
          <w:szCs w:val="28"/>
        </w:rPr>
      </w:pPr>
      <w:bookmarkStart w:id="6" w:name="_Toc603215"/>
      <w:r w:rsidRPr="00021035">
        <w:rPr>
          <w:color w:val="000000" w:themeColor="text1"/>
          <w:sz w:val="28"/>
          <w:szCs w:val="28"/>
        </w:rPr>
        <w:t>B.</w:t>
      </w:r>
      <w:r w:rsidR="00B45002" w:rsidRPr="00021035">
        <w:rPr>
          <w:color w:val="000000" w:themeColor="text1"/>
          <w:sz w:val="28"/>
          <w:szCs w:val="28"/>
        </w:rPr>
        <w:t>3.</w:t>
      </w:r>
      <w:r w:rsidR="00B45002" w:rsidRPr="00021035">
        <w:rPr>
          <w:color w:val="000000" w:themeColor="text1"/>
          <w:sz w:val="28"/>
          <w:szCs w:val="28"/>
        </w:rPr>
        <w:tab/>
        <w:t>Methods to Maximize Response Rates and Deal with No</w:t>
      </w:r>
      <w:r w:rsidR="00E2405B" w:rsidRPr="00021035">
        <w:rPr>
          <w:color w:val="000000" w:themeColor="text1"/>
          <w:sz w:val="28"/>
          <w:szCs w:val="28"/>
        </w:rPr>
        <w:t xml:space="preserve"> R</w:t>
      </w:r>
      <w:r w:rsidR="00B45002" w:rsidRPr="00021035">
        <w:rPr>
          <w:color w:val="000000" w:themeColor="text1"/>
          <w:sz w:val="28"/>
          <w:szCs w:val="28"/>
        </w:rPr>
        <w:t>esponse</w:t>
      </w:r>
      <w:bookmarkEnd w:id="6"/>
    </w:p>
    <w:p w14:paraId="35480865" w14:textId="283173A1" w:rsidR="00D0744A" w:rsidRPr="00021035" w:rsidRDefault="00D0744A" w:rsidP="00E632AF">
      <w:pPr>
        <w:spacing w:line="240" w:lineRule="auto"/>
        <w:rPr>
          <w:color w:val="000000" w:themeColor="text1"/>
          <w:sz w:val="24"/>
          <w:szCs w:val="24"/>
        </w:rPr>
      </w:pPr>
    </w:p>
    <w:p w14:paraId="0C2DBBB6" w14:textId="6A01606A" w:rsidR="004953D1" w:rsidRPr="009C17E4" w:rsidRDefault="004953D1" w:rsidP="0063703A">
      <w:pPr>
        <w:rPr>
          <w:rFonts w:ascii="Cambria" w:hAnsi="Cambria" w:cs="Courier New"/>
          <w:color w:val="000000" w:themeColor="text1"/>
          <w:sz w:val="24"/>
          <w:szCs w:val="24"/>
        </w:rPr>
      </w:pPr>
      <w:r w:rsidRPr="009C17E4">
        <w:rPr>
          <w:rFonts w:ascii="Cambria" w:hAnsi="Cambria" w:cs="Courier New"/>
          <w:color w:val="000000" w:themeColor="text1"/>
          <w:sz w:val="24"/>
          <w:szCs w:val="24"/>
        </w:rPr>
        <w:t>The follow</w:t>
      </w:r>
      <w:r w:rsidR="00A433E8" w:rsidRPr="009C17E4">
        <w:rPr>
          <w:rFonts w:ascii="Cambria" w:hAnsi="Cambria" w:cs="Courier New"/>
          <w:color w:val="000000" w:themeColor="text1"/>
          <w:sz w:val="24"/>
          <w:szCs w:val="24"/>
        </w:rPr>
        <w:t>-</w:t>
      </w:r>
      <w:r w:rsidRPr="009C17E4">
        <w:rPr>
          <w:rFonts w:ascii="Cambria" w:hAnsi="Cambria" w:cs="Courier New"/>
          <w:color w:val="000000" w:themeColor="text1"/>
          <w:sz w:val="24"/>
          <w:szCs w:val="24"/>
        </w:rPr>
        <w:t xml:space="preserve">up survey is completely voluntary on the part of the participants. </w:t>
      </w:r>
      <w:r w:rsidR="00442A0C" w:rsidRPr="009C17E4">
        <w:rPr>
          <w:rFonts w:ascii="Cambria" w:hAnsi="Cambria" w:cs="Courier New"/>
          <w:color w:val="000000" w:themeColor="text1"/>
          <w:sz w:val="24"/>
          <w:szCs w:val="24"/>
        </w:rPr>
        <w:t xml:space="preserve">ATSDR  </w:t>
      </w:r>
      <w:r w:rsidR="00BE4B58" w:rsidRPr="009C17E4">
        <w:rPr>
          <w:rFonts w:ascii="Cambria" w:hAnsi="Cambria" w:cs="Courier New"/>
          <w:color w:val="000000" w:themeColor="text1"/>
          <w:sz w:val="24"/>
          <w:szCs w:val="24"/>
        </w:rPr>
        <w:t>will send</w:t>
      </w:r>
      <w:r w:rsidR="00C325A3" w:rsidRPr="009C17E4">
        <w:rPr>
          <w:rFonts w:ascii="Cambria" w:hAnsi="Cambria" w:cs="Courier New"/>
          <w:color w:val="000000" w:themeColor="text1"/>
          <w:sz w:val="24"/>
          <w:szCs w:val="24"/>
        </w:rPr>
        <w:t xml:space="preserve"> an invitation to participants about the survey and one reminder about voluntarily taking the survey (see Attachment </w:t>
      </w:r>
      <w:r w:rsidR="00517C51" w:rsidRPr="009C17E4">
        <w:rPr>
          <w:rFonts w:ascii="Cambria" w:hAnsi="Cambria" w:cs="Courier New"/>
          <w:color w:val="000000" w:themeColor="text1"/>
          <w:sz w:val="24"/>
          <w:szCs w:val="24"/>
        </w:rPr>
        <w:t>3</w:t>
      </w:r>
      <w:r w:rsidR="00C325A3" w:rsidRPr="009C17E4">
        <w:rPr>
          <w:rFonts w:ascii="Cambria" w:hAnsi="Cambria" w:cs="Courier New"/>
          <w:color w:val="000000" w:themeColor="text1"/>
          <w:sz w:val="24"/>
          <w:szCs w:val="24"/>
        </w:rPr>
        <w:t>a, Follow</w:t>
      </w:r>
      <w:r w:rsidR="00FA322C" w:rsidRPr="009C17E4">
        <w:rPr>
          <w:rFonts w:ascii="Cambria" w:hAnsi="Cambria" w:cs="Courier New"/>
          <w:color w:val="000000" w:themeColor="text1"/>
          <w:sz w:val="24"/>
          <w:szCs w:val="24"/>
        </w:rPr>
        <w:t>-</w:t>
      </w:r>
      <w:r w:rsidR="00C325A3" w:rsidRPr="009C17E4">
        <w:rPr>
          <w:rFonts w:ascii="Cambria" w:hAnsi="Cambria" w:cs="Courier New"/>
          <w:color w:val="000000" w:themeColor="text1"/>
          <w:sz w:val="24"/>
          <w:szCs w:val="24"/>
        </w:rPr>
        <w:t xml:space="preserve">up Survey Invitation and Attachment </w:t>
      </w:r>
      <w:r w:rsidR="00517C51" w:rsidRPr="009C17E4">
        <w:rPr>
          <w:rFonts w:ascii="Cambria" w:hAnsi="Cambria" w:cs="Courier New"/>
          <w:color w:val="000000" w:themeColor="text1"/>
          <w:sz w:val="24"/>
          <w:szCs w:val="24"/>
        </w:rPr>
        <w:t>3</w:t>
      </w:r>
      <w:r w:rsidR="00C325A3" w:rsidRPr="009C17E4">
        <w:rPr>
          <w:rFonts w:ascii="Cambria" w:hAnsi="Cambria" w:cs="Courier New"/>
          <w:color w:val="000000" w:themeColor="text1"/>
          <w:sz w:val="24"/>
          <w:szCs w:val="24"/>
        </w:rPr>
        <w:t>b, Survey Reminder).</w:t>
      </w:r>
      <w:r w:rsidR="00BE4B58" w:rsidRPr="009C17E4">
        <w:rPr>
          <w:rFonts w:ascii="Cambria" w:hAnsi="Cambria" w:cs="Courier New"/>
          <w:color w:val="000000" w:themeColor="text1"/>
          <w:sz w:val="24"/>
          <w:szCs w:val="24"/>
        </w:rPr>
        <w:t xml:space="preserve"> </w:t>
      </w:r>
      <w:r w:rsidRPr="009C17E4">
        <w:rPr>
          <w:rFonts w:ascii="Cambria" w:hAnsi="Cambria" w:cs="Courier New"/>
          <w:color w:val="000000" w:themeColor="text1"/>
          <w:sz w:val="24"/>
          <w:szCs w:val="24"/>
        </w:rPr>
        <w:t xml:space="preserve">There will be no methods used to maximize responses or to deal with no responses. The responses provided by participants who complete the survey will be </w:t>
      </w:r>
      <w:r w:rsidR="00C325A3" w:rsidRPr="009C17E4">
        <w:rPr>
          <w:rFonts w:ascii="Cambria" w:hAnsi="Cambria" w:cs="Courier New"/>
          <w:color w:val="000000" w:themeColor="text1"/>
          <w:sz w:val="24"/>
          <w:szCs w:val="24"/>
        </w:rPr>
        <w:t xml:space="preserve">summarized by </w:t>
      </w:r>
      <w:r w:rsidR="00A414AB" w:rsidRPr="009C17E4">
        <w:rPr>
          <w:rFonts w:ascii="Cambria" w:hAnsi="Cambria" w:cs="Courier New"/>
          <w:color w:val="000000" w:themeColor="text1"/>
          <w:sz w:val="24"/>
          <w:szCs w:val="24"/>
        </w:rPr>
        <w:t xml:space="preserve">ATSDR </w:t>
      </w:r>
      <w:r w:rsidRPr="009C17E4">
        <w:rPr>
          <w:rFonts w:ascii="Cambria" w:hAnsi="Cambria" w:cs="Courier New"/>
          <w:color w:val="000000" w:themeColor="text1"/>
          <w:sz w:val="24"/>
          <w:szCs w:val="24"/>
        </w:rPr>
        <w:t>to assess potential increases</w:t>
      </w:r>
      <w:r w:rsidR="00A414AB" w:rsidRPr="009C17E4">
        <w:rPr>
          <w:rFonts w:ascii="Cambria" w:hAnsi="Cambria" w:cs="Courier New"/>
          <w:color w:val="000000" w:themeColor="text1"/>
          <w:sz w:val="24"/>
          <w:szCs w:val="24"/>
        </w:rPr>
        <w:t xml:space="preserve"> in </w:t>
      </w:r>
      <w:r w:rsidR="00763D5A" w:rsidRPr="009C17E4">
        <w:rPr>
          <w:rFonts w:ascii="Cambria" w:hAnsi="Cambria" w:cs="Courier New"/>
          <w:color w:val="000000" w:themeColor="text1"/>
          <w:sz w:val="24"/>
          <w:szCs w:val="24"/>
        </w:rPr>
        <w:t>the respondents’</w:t>
      </w:r>
      <w:r w:rsidR="00A414AB" w:rsidRPr="009C17E4">
        <w:rPr>
          <w:rFonts w:ascii="Cambria" w:hAnsi="Cambria" w:cs="Courier New"/>
          <w:color w:val="000000" w:themeColor="text1"/>
          <w:sz w:val="24"/>
          <w:szCs w:val="24"/>
        </w:rPr>
        <w:t xml:space="preserve"> capacity </w:t>
      </w:r>
      <w:r w:rsidR="00C325A3" w:rsidRPr="009C17E4">
        <w:rPr>
          <w:rFonts w:ascii="Cambria" w:hAnsi="Cambria" w:cs="Courier New"/>
          <w:color w:val="000000" w:themeColor="text1"/>
          <w:sz w:val="24"/>
          <w:szCs w:val="24"/>
        </w:rPr>
        <w:t xml:space="preserve">and knowledge </w:t>
      </w:r>
      <w:r w:rsidR="00A414AB" w:rsidRPr="009C17E4">
        <w:rPr>
          <w:rFonts w:ascii="Cambria" w:hAnsi="Cambria" w:cs="Courier New"/>
          <w:color w:val="000000" w:themeColor="text1"/>
          <w:sz w:val="24"/>
          <w:szCs w:val="24"/>
        </w:rPr>
        <w:t xml:space="preserve">in environmental health and land reuse skills. </w:t>
      </w:r>
    </w:p>
    <w:p w14:paraId="450B7636" w14:textId="77777777" w:rsidR="00B45002" w:rsidRPr="00021035" w:rsidRDefault="00D33AE3" w:rsidP="00C325A3">
      <w:pPr>
        <w:pStyle w:val="Heading1"/>
        <w:rPr>
          <w:color w:val="000000" w:themeColor="text1"/>
          <w:sz w:val="28"/>
          <w:szCs w:val="28"/>
        </w:rPr>
      </w:pPr>
      <w:bookmarkStart w:id="7" w:name="_Toc603216"/>
      <w:r w:rsidRPr="00021035">
        <w:rPr>
          <w:color w:val="000000" w:themeColor="text1"/>
          <w:sz w:val="28"/>
          <w:szCs w:val="28"/>
        </w:rPr>
        <w:t>B.</w:t>
      </w:r>
      <w:r w:rsidR="00B45002" w:rsidRPr="00021035">
        <w:rPr>
          <w:color w:val="000000" w:themeColor="text1"/>
          <w:sz w:val="28"/>
          <w:szCs w:val="28"/>
        </w:rPr>
        <w:t>4.</w:t>
      </w:r>
      <w:r w:rsidR="00B45002" w:rsidRPr="00021035">
        <w:rPr>
          <w:color w:val="000000" w:themeColor="text1"/>
          <w:sz w:val="28"/>
          <w:szCs w:val="28"/>
        </w:rPr>
        <w:tab/>
        <w:t>Test of Procedures or Methods to be Undertaken</w:t>
      </w:r>
      <w:bookmarkEnd w:id="7"/>
    </w:p>
    <w:p w14:paraId="55CF5080" w14:textId="7853652A" w:rsidR="00A414AB" w:rsidRPr="009C17E4" w:rsidRDefault="00A414AB" w:rsidP="009301CB">
      <w:pPr>
        <w:rPr>
          <w:rFonts w:ascii="Cambria" w:hAnsi="Cambria"/>
          <w:color w:val="000000" w:themeColor="text1"/>
          <w:sz w:val="24"/>
          <w:szCs w:val="24"/>
        </w:rPr>
      </w:pPr>
      <w:r w:rsidRPr="009C17E4">
        <w:rPr>
          <w:rFonts w:ascii="Cambria" w:hAnsi="Cambria"/>
          <w:color w:val="000000" w:themeColor="text1"/>
          <w:sz w:val="24"/>
          <w:szCs w:val="24"/>
        </w:rPr>
        <w:t>A copy of the intended participant follow up survey questions</w:t>
      </w:r>
      <w:r w:rsidR="00C325A3" w:rsidRPr="009C17E4">
        <w:rPr>
          <w:rFonts w:ascii="Cambria" w:hAnsi="Cambria"/>
          <w:color w:val="000000" w:themeColor="text1"/>
          <w:sz w:val="24"/>
          <w:szCs w:val="24"/>
        </w:rPr>
        <w:t xml:space="preserve"> is provided in the A</w:t>
      </w:r>
      <w:r w:rsidRPr="009C17E4">
        <w:rPr>
          <w:rFonts w:ascii="Cambria" w:hAnsi="Cambria"/>
          <w:color w:val="000000" w:themeColor="text1"/>
          <w:sz w:val="24"/>
          <w:szCs w:val="24"/>
        </w:rPr>
        <w:t>ttachments</w:t>
      </w:r>
      <w:r w:rsidR="00C325A3" w:rsidRPr="009C17E4">
        <w:rPr>
          <w:rFonts w:ascii="Cambria" w:hAnsi="Cambria"/>
          <w:color w:val="000000" w:themeColor="text1"/>
          <w:sz w:val="24"/>
          <w:szCs w:val="24"/>
        </w:rPr>
        <w:t xml:space="preserve"> (see Attachment </w:t>
      </w:r>
      <w:r w:rsidR="00517C51" w:rsidRPr="009C17E4">
        <w:rPr>
          <w:rFonts w:ascii="Cambria" w:hAnsi="Cambria"/>
          <w:color w:val="000000" w:themeColor="text1"/>
          <w:sz w:val="24"/>
          <w:szCs w:val="24"/>
        </w:rPr>
        <w:t>4</w:t>
      </w:r>
      <w:r w:rsidR="00230B31" w:rsidRPr="009C17E4">
        <w:rPr>
          <w:rFonts w:ascii="Cambria" w:hAnsi="Cambria"/>
          <w:color w:val="000000" w:themeColor="text1"/>
          <w:sz w:val="24"/>
          <w:szCs w:val="24"/>
        </w:rPr>
        <w:t>a</w:t>
      </w:r>
      <w:r w:rsidR="00517C51" w:rsidRPr="009C17E4">
        <w:rPr>
          <w:rFonts w:ascii="Cambria" w:hAnsi="Cambria"/>
          <w:color w:val="000000" w:themeColor="text1"/>
          <w:sz w:val="24"/>
          <w:szCs w:val="24"/>
        </w:rPr>
        <w:t xml:space="preserve"> and 4</w:t>
      </w:r>
      <w:r w:rsidR="00230B31" w:rsidRPr="009C17E4">
        <w:rPr>
          <w:rFonts w:ascii="Cambria" w:hAnsi="Cambria"/>
          <w:color w:val="000000" w:themeColor="text1"/>
          <w:sz w:val="24"/>
          <w:szCs w:val="24"/>
        </w:rPr>
        <w:t>b</w:t>
      </w:r>
      <w:r w:rsidR="00C325A3" w:rsidRPr="009C17E4">
        <w:rPr>
          <w:rFonts w:ascii="Cambria" w:hAnsi="Cambria"/>
          <w:color w:val="000000" w:themeColor="text1"/>
          <w:sz w:val="24"/>
          <w:szCs w:val="24"/>
        </w:rPr>
        <w:t>).</w:t>
      </w:r>
      <w:r w:rsidRPr="009C17E4">
        <w:rPr>
          <w:rFonts w:ascii="Cambria" w:hAnsi="Cambria"/>
          <w:color w:val="000000" w:themeColor="text1"/>
          <w:sz w:val="24"/>
          <w:szCs w:val="24"/>
        </w:rPr>
        <w:t xml:space="preserve"> The survey is brief, so no pilot test sample is being substituted for approval.</w:t>
      </w:r>
    </w:p>
    <w:p w14:paraId="63C2C2DE" w14:textId="77777777" w:rsidR="00DC57CC" w:rsidRPr="00021035" w:rsidRDefault="00D33AE3" w:rsidP="00C325A3">
      <w:pPr>
        <w:pStyle w:val="Heading1"/>
        <w:rPr>
          <w:color w:val="000000" w:themeColor="text1"/>
          <w:sz w:val="28"/>
          <w:szCs w:val="28"/>
        </w:rPr>
      </w:pPr>
      <w:bookmarkStart w:id="8" w:name="_Toc603217"/>
      <w:r w:rsidRPr="00021035">
        <w:rPr>
          <w:color w:val="000000" w:themeColor="text1"/>
          <w:sz w:val="28"/>
          <w:szCs w:val="28"/>
        </w:rPr>
        <w:t>B.</w:t>
      </w:r>
      <w:r w:rsidR="00B45002" w:rsidRPr="00021035">
        <w:rPr>
          <w:color w:val="000000" w:themeColor="text1"/>
          <w:sz w:val="28"/>
          <w:szCs w:val="28"/>
        </w:rPr>
        <w:t>5.</w:t>
      </w:r>
      <w:r w:rsidR="00B45002" w:rsidRPr="00021035">
        <w:rPr>
          <w:color w:val="000000" w:themeColor="text1"/>
          <w:sz w:val="28"/>
          <w:szCs w:val="28"/>
        </w:rPr>
        <w:tab/>
        <w:t>Individuals Consulted on Statistical Aspects and Individuals Collecting and/or Analyzing Data</w:t>
      </w:r>
      <w:bookmarkEnd w:id="8"/>
    </w:p>
    <w:p w14:paraId="20460E81" w14:textId="7CEE1EDC" w:rsidR="00A414AB" w:rsidRDefault="00FA346A" w:rsidP="0063703A">
      <w:pPr>
        <w:rPr>
          <w:rFonts w:ascii="Cambria" w:hAnsi="Cambria" w:cs="Courier New"/>
          <w:color w:val="000000" w:themeColor="text1"/>
          <w:sz w:val="24"/>
          <w:szCs w:val="24"/>
        </w:rPr>
      </w:pPr>
      <w:r w:rsidRPr="00021035">
        <w:rPr>
          <w:rFonts w:ascii="Cambria" w:hAnsi="Cambria" w:cs="Courier New"/>
          <w:color w:val="000000" w:themeColor="text1"/>
          <w:sz w:val="24"/>
          <w:szCs w:val="24"/>
        </w:rPr>
        <w:t>No individuals were consulted on stat</w:t>
      </w:r>
      <w:r w:rsidR="0043432A" w:rsidRPr="00021035">
        <w:rPr>
          <w:rFonts w:ascii="Cambria" w:hAnsi="Cambria" w:cs="Courier New"/>
          <w:color w:val="000000" w:themeColor="text1"/>
          <w:sz w:val="24"/>
          <w:szCs w:val="24"/>
        </w:rPr>
        <w:t>istical aspects of the design because</w:t>
      </w:r>
      <w:r w:rsidRPr="00021035">
        <w:rPr>
          <w:rFonts w:ascii="Cambria" w:hAnsi="Cambria" w:cs="Courier New"/>
          <w:color w:val="000000" w:themeColor="text1"/>
          <w:sz w:val="24"/>
          <w:szCs w:val="24"/>
        </w:rPr>
        <w:t xml:space="preserve"> this project does not incorporate a statistical study design. As mentioned previously, only summing or grouping of similar answers, such as job titles, will be incorporated.</w:t>
      </w:r>
    </w:p>
    <w:p w14:paraId="5622CACB" w14:textId="00AA007E" w:rsidR="001530EF" w:rsidRPr="00021035" w:rsidRDefault="001530EF" w:rsidP="0063703A">
      <w:pPr>
        <w:rPr>
          <w:rFonts w:ascii="Cambria" w:hAnsi="Cambria" w:cs="Courier New"/>
          <w:color w:val="000000" w:themeColor="text1"/>
          <w:sz w:val="24"/>
          <w:szCs w:val="24"/>
        </w:rPr>
      </w:pPr>
      <w:r>
        <w:rPr>
          <w:rFonts w:ascii="Cambria" w:hAnsi="Cambria" w:cs="Courier New"/>
          <w:color w:val="000000" w:themeColor="text1"/>
          <w:sz w:val="24"/>
          <w:szCs w:val="24"/>
        </w:rPr>
        <w:t xml:space="preserve">The individual point of contact for both data collection and analysis is ATSDR’s Land Reuse Team  lead Laurel Berman, PhD, Environmental Health Scientist, 312-886-7476, </w:t>
      </w:r>
      <w:hyperlink r:id="rId9" w:history="1">
        <w:r w:rsidRPr="00587E3D">
          <w:rPr>
            <w:rStyle w:val="Hyperlink"/>
            <w:rFonts w:ascii="Cambria" w:hAnsi="Cambria" w:cs="Courier New"/>
            <w:sz w:val="24"/>
            <w:szCs w:val="24"/>
          </w:rPr>
          <w:t>laberman@cdc.gov</w:t>
        </w:r>
      </w:hyperlink>
      <w:r>
        <w:rPr>
          <w:rFonts w:ascii="Cambria" w:hAnsi="Cambria" w:cs="Courier New"/>
          <w:color w:val="000000" w:themeColor="text1"/>
          <w:sz w:val="24"/>
          <w:szCs w:val="24"/>
        </w:rPr>
        <w:t xml:space="preserve"> (or </w:t>
      </w:r>
      <w:hyperlink r:id="rId10" w:history="1">
        <w:r w:rsidRPr="00587E3D">
          <w:rPr>
            <w:rStyle w:val="Hyperlink"/>
            <w:rFonts w:ascii="Cambria" w:hAnsi="Cambria" w:cs="Courier New"/>
            <w:sz w:val="24"/>
            <w:szCs w:val="24"/>
          </w:rPr>
          <w:t>fjq0@cdc.gov</w:t>
        </w:r>
      </w:hyperlink>
      <w:r>
        <w:rPr>
          <w:rFonts w:ascii="Cambria" w:hAnsi="Cambria" w:cs="Courier New"/>
          <w:color w:val="000000" w:themeColor="text1"/>
          <w:sz w:val="24"/>
          <w:szCs w:val="24"/>
        </w:rPr>
        <w:t>). (Note: Berman’s  back-up is Land Reuse Team member Leann  Bing, kbing@cdc.gov.)</w:t>
      </w:r>
    </w:p>
    <w:p w14:paraId="5E6680A3" w14:textId="259C6085" w:rsidR="00C325A3" w:rsidRPr="00021035" w:rsidRDefault="00C325A3">
      <w:pPr>
        <w:rPr>
          <w:color w:val="000000" w:themeColor="text1"/>
        </w:rPr>
      </w:pPr>
    </w:p>
    <w:p w14:paraId="7BDB047B" w14:textId="77777777" w:rsidR="007F0E10" w:rsidRPr="00021035" w:rsidRDefault="007F0E10" w:rsidP="00E410B4">
      <w:pPr>
        <w:autoSpaceDE w:val="0"/>
        <w:autoSpaceDN w:val="0"/>
        <w:adjustRightInd w:val="0"/>
        <w:spacing w:line="240" w:lineRule="auto"/>
        <w:rPr>
          <w:rFonts w:cs="ITCFranklinGothicStd-Book"/>
          <w:strike/>
          <w:color w:val="000000" w:themeColor="text1"/>
          <w:sz w:val="24"/>
          <w:szCs w:val="24"/>
        </w:rPr>
      </w:pPr>
    </w:p>
    <w:p w14:paraId="14463714" w14:textId="172ED7C9" w:rsidR="00984634" w:rsidRPr="00021035" w:rsidRDefault="00984634" w:rsidP="00984634">
      <w:pPr>
        <w:rPr>
          <w:color w:val="000000" w:themeColor="text1"/>
        </w:rPr>
      </w:pPr>
    </w:p>
    <w:sectPr w:rsidR="00984634" w:rsidRPr="00021035" w:rsidSect="00196116">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1017E5" w16cid:durableId="20092B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999A0" w14:textId="77777777" w:rsidR="000B3A64" w:rsidRDefault="000B3A64" w:rsidP="008B5D54">
      <w:r>
        <w:separator/>
      </w:r>
    </w:p>
  </w:endnote>
  <w:endnote w:type="continuationSeparator" w:id="0">
    <w:p w14:paraId="0F90612C" w14:textId="77777777" w:rsidR="000B3A64" w:rsidRDefault="000B3A64"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21A49" w14:textId="77777777" w:rsidR="00861E26" w:rsidRDefault="00861E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9E56F" w14:textId="77777777" w:rsidR="00861E26" w:rsidRDefault="00861E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62D04" w14:textId="77777777" w:rsidR="00861E26" w:rsidRDefault="00861E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3A21B" w14:textId="77777777" w:rsidR="000B3A64" w:rsidRDefault="000B3A64" w:rsidP="008B5D54">
      <w:r>
        <w:separator/>
      </w:r>
    </w:p>
  </w:footnote>
  <w:footnote w:type="continuationSeparator" w:id="0">
    <w:p w14:paraId="13E51F53" w14:textId="77777777" w:rsidR="000B3A64" w:rsidRDefault="000B3A64"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97F75" w14:textId="77777777" w:rsidR="00861E26" w:rsidRDefault="00861E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16324" w14:textId="77777777" w:rsidR="00861E26" w:rsidRDefault="00861E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E47AB" w14:textId="77777777" w:rsidR="00861E26" w:rsidRDefault="00861E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2A90072E"/>
    <w:multiLevelType w:val="hybridMultilevel"/>
    <w:tmpl w:val="60506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6"/>
  </w:num>
  <w:num w:numId="12">
    <w:abstractNumId w:val="3"/>
  </w:num>
  <w:num w:numId="13">
    <w:abstractNumId w:val="7"/>
  </w:num>
  <w:num w:numId="14">
    <w:abstractNumId w:val="5"/>
  </w:num>
  <w:num w:numId="15">
    <w:abstractNumId w:val="4"/>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6EDD"/>
    <w:rsid w:val="000108E1"/>
    <w:rsid w:val="00021035"/>
    <w:rsid w:val="00026139"/>
    <w:rsid w:val="00031890"/>
    <w:rsid w:val="000329FE"/>
    <w:rsid w:val="000337CA"/>
    <w:rsid w:val="00052E9D"/>
    <w:rsid w:val="00083B79"/>
    <w:rsid w:val="00092219"/>
    <w:rsid w:val="000B3A64"/>
    <w:rsid w:val="000C4106"/>
    <w:rsid w:val="000C4290"/>
    <w:rsid w:val="000D2F40"/>
    <w:rsid w:val="000D41A0"/>
    <w:rsid w:val="00106E04"/>
    <w:rsid w:val="00127481"/>
    <w:rsid w:val="00143D86"/>
    <w:rsid w:val="001530EF"/>
    <w:rsid w:val="00156EEB"/>
    <w:rsid w:val="0018470E"/>
    <w:rsid w:val="001857CF"/>
    <w:rsid w:val="00196116"/>
    <w:rsid w:val="001C121D"/>
    <w:rsid w:val="001C2319"/>
    <w:rsid w:val="001D4619"/>
    <w:rsid w:val="001F0849"/>
    <w:rsid w:val="001F63AE"/>
    <w:rsid w:val="00230B31"/>
    <w:rsid w:val="00242CFE"/>
    <w:rsid w:val="002438DB"/>
    <w:rsid w:val="00243DF7"/>
    <w:rsid w:val="002469F7"/>
    <w:rsid w:val="0024744A"/>
    <w:rsid w:val="002751FF"/>
    <w:rsid w:val="002802CC"/>
    <w:rsid w:val="002869DD"/>
    <w:rsid w:val="002A2EBF"/>
    <w:rsid w:val="002C4F57"/>
    <w:rsid w:val="002D0271"/>
    <w:rsid w:val="002D6D45"/>
    <w:rsid w:val="00303323"/>
    <w:rsid w:val="003041F7"/>
    <w:rsid w:val="0031214F"/>
    <w:rsid w:val="00330F29"/>
    <w:rsid w:val="003567AB"/>
    <w:rsid w:val="00361588"/>
    <w:rsid w:val="003F035D"/>
    <w:rsid w:val="003F5114"/>
    <w:rsid w:val="00404D43"/>
    <w:rsid w:val="00405C00"/>
    <w:rsid w:val="00417374"/>
    <w:rsid w:val="00425A8D"/>
    <w:rsid w:val="0043432A"/>
    <w:rsid w:val="00442A0C"/>
    <w:rsid w:val="00465F1A"/>
    <w:rsid w:val="00466D8E"/>
    <w:rsid w:val="00473F72"/>
    <w:rsid w:val="0048550B"/>
    <w:rsid w:val="004953D1"/>
    <w:rsid w:val="004A7B18"/>
    <w:rsid w:val="004D40BA"/>
    <w:rsid w:val="004E07EF"/>
    <w:rsid w:val="004F0BE4"/>
    <w:rsid w:val="00500B15"/>
    <w:rsid w:val="00517C51"/>
    <w:rsid w:val="00522073"/>
    <w:rsid w:val="00532BA0"/>
    <w:rsid w:val="00547EA2"/>
    <w:rsid w:val="0055165F"/>
    <w:rsid w:val="005624FE"/>
    <w:rsid w:val="005B1114"/>
    <w:rsid w:val="005B7485"/>
    <w:rsid w:val="005C260A"/>
    <w:rsid w:val="005E5451"/>
    <w:rsid w:val="00602D36"/>
    <w:rsid w:val="00605765"/>
    <w:rsid w:val="00607F84"/>
    <w:rsid w:val="0062080C"/>
    <w:rsid w:val="0063703A"/>
    <w:rsid w:val="0065075C"/>
    <w:rsid w:val="006560B1"/>
    <w:rsid w:val="006615FB"/>
    <w:rsid w:val="006659E0"/>
    <w:rsid w:val="00690CDB"/>
    <w:rsid w:val="00692B19"/>
    <w:rsid w:val="0069605C"/>
    <w:rsid w:val="006A5266"/>
    <w:rsid w:val="006C6578"/>
    <w:rsid w:val="006D1D6F"/>
    <w:rsid w:val="006E4F46"/>
    <w:rsid w:val="006E5D1E"/>
    <w:rsid w:val="006F2ABA"/>
    <w:rsid w:val="0070554F"/>
    <w:rsid w:val="00717257"/>
    <w:rsid w:val="00741E23"/>
    <w:rsid w:val="00754B3D"/>
    <w:rsid w:val="00763D5A"/>
    <w:rsid w:val="00792A59"/>
    <w:rsid w:val="00796D76"/>
    <w:rsid w:val="007B7F20"/>
    <w:rsid w:val="007D595C"/>
    <w:rsid w:val="007F0E10"/>
    <w:rsid w:val="00805B09"/>
    <w:rsid w:val="00811FB6"/>
    <w:rsid w:val="0082226B"/>
    <w:rsid w:val="008402BB"/>
    <w:rsid w:val="00853DCC"/>
    <w:rsid w:val="0085763E"/>
    <w:rsid w:val="00861E26"/>
    <w:rsid w:val="00866A95"/>
    <w:rsid w:val="00884C42"/>
    <w:rsid w:val="008861AB"/>
    <w:rsid w:val="00895B9C"/>
    <w:rsid w:val="008A046F"/>
    <w:rsid w:val="008B5D54"/>
    <w:rsid w:val="008D0F27"/>
    <w:rsid w:val="008D3BE8"/>
    <w:rsid w:val="008E55FC"/>
    <w:rsid w:val="008F1E6C"/>
    <w:rsid w:val="00916568"/>
    <w:rsid w:val="00917EE0"/>
    <w:rsid w:val="009301CB"/>
    <w:rsid w:val="009351E0"/>
    <w:rsid w:val="0093591C"/>
    <w:rsid w:val="00935FD5"/>
    <w:rsid w:val="00965C2A"/>
    <w:rsid w:val="00973660"/>
    <w:rsid w:val="00976C14"/>
    <w:rsid w:val="00984634"/>
    <w:rsid w:val="009968E3"/>
    <w:rsid w:val="009A4AE2"/>
    <w:rsid w:val="009C17E4"/>
    <w:rsid w:val="009C2F5A"/>
    <w:rsid w:val="009C5EF8"/>
    <w:rsid w:val="00A35E5F"/>
    <w:rsid w:val="00A414AB"/>
    <w:rsid w:val="00A433E8"/>
    <w:rsid w:val="00A64CCC"/>
    <w:rsid w:val="00A76C6D"/>
    <w:rsid w:val="00AB5422"/>
    <w:rsid w:val="00AB71F2"/>
    <w:rsid w:val="00AC3B7E"/>
    <w:rsid w:val="00AC4C54"/>
    <w:rsid w:val="00AC65DC"/>
    <w:rsid w:val="00AC7322"/>
    <w:rsid w:val="00AD2E3B"/>
    <w:rsid w:val="00AE2DEF"/>
    <w:rsid w:val="00AE2F5E"/>
    <w:rsid w:val="00AE70E7"/>
    <w:rsid w:val="00B12193"/>
    <w:rsid w:val="00B16997"/>
    <w:rsid w:val="00B21D28"/>
    <w:rsid w:val="00B31F1B"/>
    <w:rsid w:val="00B3289C"/>
    <w:rsid w:val="00B33786"/>
    <w:rsid w:val="00B34BC3"/>
    <w:rsid w:val="00B45002"/>
    <w:rsid w:val="00B5171E"/>
    <w:rsid w:val="00B552F5"/>
    <w:rsid w:val="00B55735"/>
    <w:rsid w:val="00B608AC"/>
    <w:rsid w:val="00B73D70"/>
    <w:rsid w:val="00B75801"/>
    <w:rsid w:val="00B83801"/>
    <w:rsid w:val="00BA2DBE"/>
    <w:rsid w:val="00BA30FE"/>
    <w:rsid w:val="00BC19DB"/>
    <w:rsid w:val="00BC3F6A"/>
    <w:rsid w:val="00BD2639"/>
    <w:rsid w:val="00BE4B58"/>
    <w:rsid w:val="00C06C59"/>
    <w:rsid w:val="00C325A3"/>
    <w:rsid w:val="00C76FDA"/>
    <w:rsid w:val="00C80E4A"/>
    <w:rsid w:val="00C87188"/>
    <w:rsid w:val="00C929D2"/>
    <w:rsid w:val="00CB162A"/>
    <w:rsid w:val="00CB5ECE"/>
    <w:rsid w:val="00CB63A3"/>
    <w:rsid w:val="00CD0E02"/>
    <w:rsid w:val="00CE0C7A"/>
    <w:rsid w:val="00CE7567"/>
    <w:rsid w:val="00D005BD"/>
    <w:rsid w:val="00D0744A"/>
    <w:rsid w:val="00D14114"/>
    <w:rsid w:val="00D33AE3"/>
    <w:rsid w:val="00D479BA"/>
    <w:rsid w:val="00D528DA"/>
    <w:rsid w:val="00D80142"/>
    <w:rsid w:val="00DA0A1E"/>
    <w:rsid w:val="00DA3955"/>
    <w:rsid w:val="00DA796B"/>
    <w:rsid w:val="00DC4046"/>
    <w:rsid w:val="00DC57CC"/>
    <w:rsid w:val="00DD2606"/>
    <w:rsid w:val="00DD710F"/>
    <w:rsid w:val="00DE0BFB"/>
    <w:rsid w:val="00DE5C40"/>
    <w:rsid w:val="00E2405B"/>
    <w:rsid w:val="00E410B4"/>
    <w:rsid w:val="00E42777"/>
    <w:rsid w:val="00E44F08"/>
    <w:rsid w:val="00E50BE0"/>
    <w:rsid w:val="00E5157D"/>
    <w:rsid w:val="00E5326C"/>
    <w:rsid w:val="00E5744D"/>
    <w:rsid w:val="00E632AF"/>
    <w:rsid w:val="00E707C0"/>
    <w:rsid w:val="00E723C3"/>
    <w:rsid w:val="00EA6E06"/>
    <w:rsid w:val="00EB5ACC"/>
    <w:rsid w:val="00EC7F92"/>
    <w:rsid w:val="00ED46FE"/>
    <w:rsid w:val="00EE5BA9"/>
    <w:rsid w:val="00EF2494"/>
    <w:rsid w:val="00EF5132"/>
    <w:rsid w:val="00F049A9"/>
    <w:rsid w:val="00F11FA9"/>
    <w:rsid w:val="00F832EB"/>
    <w:rsid w:val="00F845F2"/>
    <w:rsid w:val="00F9373B"/>
    <w:rsid w:val="00FA322C"/>
    <w:rsid w:val="00FA346A"/>
    <w:rsid w:val="00FA3506"/>
    <w:rsid w:val="00FD3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94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884C42"/>
    <w:pPr>
      <w:keepNext/>
      <w:keepLines/>
      <w:spacing w:before="400" w:after="40" w:line="240" w:lineRule="auto"/>
      <w:outlineLvl w:val="0"/>
    </w:pPr>
    <w:rPr>
      <w:rFonts w:ascii="Cambria" w:eastAsiaTheme="majorEastAsia" w:hAnsi="Cambria" w:cstheme="majorBidi"/>
      <w:sz w:val="32"/>
      <w:szCs w:val="32"/>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884C42"/>
    <w:rPr>
      <w:rFonts w:ascii="Cambria" w:eastAsiaTheme="majorEastAsia" w:hAnsi="Cambria" w:cstheme="majorBidi"/>
      <w:sz w:val="32"/>
      <w:szCs w:val="32"/>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2438DB"/>
    <w:pPr>
      <w:spacing w:after="0" w:line="240" w:lineRule="auto"/>
      <w:contextualSpacing/>
    </w:pPr>
    <w:rPr>
      <w:rFonts w:ascii="Courier New" w:eastAsiaTheme="majorEastAsia" w:hAnsi="Courier New" w:cstheme="majorBidi"/>
      <w:b/>
      <w:spacing w:val="-7"/>
      <w:sz w:val="44"/>
      <w:szCs w:val="80"/>
    </w:rPr>
  </w:style>
  <w:style w:type="character" w:customStyle="1" w:styleId="TitleChar">
    <w:name w:val="Title Char"/>
    <w:basedOn w:val="DefaultParagraphFont"/>
    <w:link w:val="Title"/>
    <w:uiPriority w:val="10"/>
    <w:rsid w:val="002438DB"/>
    <w:rPr>
      <w:rFonts w:ascii="Courier New" w:eastAsiaTheme="majorEastAsia" w:hAnsi="Courier New" w:cstheme="majorBidi"/>
      <w:b/>
      <w:spacing w:val="-7"/>
      <w:sz w:val="44"/>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styleId="TOC2">
    <w:name w:val="toc 2"/>
    <w:basedOn w:val="Normal"/>
    <w:next w:val="Normal"/>
    <w:autoRedefine/>
    <w:uiPriority w:val="39"/>
    <w:unhideWhenUsed/>
    <w:rsid w:val="001D4619"/>
    <w:pPr>
      <w:tabs>
        <w:tab w:val="right" w:leader="dot" w:pos="9350"/>
      </w:tabs>
      <w:spacing w:after="100"/>
      <w:ind w:left="210"/>
    </w:pPr>
    <w:rPr>
      <w:rFonts w:ascii="Cambria" w:hAnsi="Cambria" w:cstheme="minorHAnsi"/>
      <w:noProof/>
      <w:color w:val="000000" w:themeColor="text1"/>
      <w:sz w:val="24"/>
      <w:szCs w:val="24"/>
    </w:rPr>
  </w:style>
  <w:style w:type="character" w:customStyle="1" w:styleId="UnresolvedMention">
    <w:name w:val="Unresolved Mention"/>
    <w:basedOn w:val="DefaultParagraphFont"/>
    <w:uiPriority w:val="99"/>
    <w:semiHidden/>
    <w:unhideWhenUsed/>
    <w:rsid w:val="001530E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884C42"/>
    <w:pPr>
      <w:keepNext/>
      <w:keepLines/>
      <w:spacing w:before="400" w:after="40" w:line="240" w:lineRule="auto"/>
      <w:outlineLvl w:val="0"/>
    </w:pPr>
    <w:rPr>
      <w:rFonts w:ascii="Cambria" w:eastAsiaTheme="majorEastAsia" w:hAnsi="Cambria" w:cstheme="majorBidi"/>
      <w:sz w:val="32"/>
      <w:szCs w:val="32"/>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884C42"/>
    <w:rPr>
      <w:rFonts w:ascii="Cambria" w:eastAsiaTheme="majorEastAsia" w:hAnsi="Cambria" w:cstheme="majorBidi"/>
      <w:sz w:val="32"/>
      <w:szCs w:val="32"/>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2438DB"/>
    <w:pPr>
      <w:spacing w:after="0" w:line="240" w:lineRule="auto"/>
      <w:contextualSpacing/>
    </w:pPr>
    <w:rPr>
      <w:rFonts w:ascii="Courier New" w:eastAsiaTheme="majorEastAsia" w:hAnsi="Courier New" w:cstheme="majorBidi"/>
      <w:b/>
      <w:spacing w:val="-7"/>
      <w:sz w:val="44"/>
      <w:szCs w:val="80"/>
    </w:rPr>
  </w:style>
  <w:style w:type="character" w:customStyle="1" w:styleId="TitleChar">
    <w:name w:val="Title Char"/>
    <w:basedOn w:val="DefaultParagraphFont"/>
    <w:link w:val="Title"/>
    <w:uiPriority w:val="10"/>
    <w:rsid w:val="002438DB"/>
    <w:rPr>
      <w:rFonts w:ascii="Courier New" w:eastAsiaTheme="majorEastAsia" w:hAnsi="Courier New" w:cstheme="majorBidi"/>
      <w:b/>
      <w:spacing w:val="-7"/>
      <w:sz w:val="44"/>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styleId="TOC2">
    <w:name w:val="toc 2"/>
    <w:basedOn w:val="Normal"/>
    <w:next w:val="Normal"/>
    <w:autoRedefine/>
    <w:uiPriority w:val="39"/>
    <w:unhideWhenUsed/>
    <w:rsid w:val="001D4619"/>
    <w:pPr>
      <w:tabs>
        <w:tab w:val="right" w:leader="dot" w:pos="9350"/>
      </w:tabs>
      <w:spacing w:after="100"/>
      <w:ind w:left="210"/>
    </w:pPr>
    <w:rPr>
      <w:rFonts w:ascii="Cambria" w:hAnsi="Cambria" w:cstheme="minorHAnsi"/>
      <w:noProof/>
      <w:color w:val="000000" w:themeColor="text1"/>
      <w:sz w:val="24"/>
      <w:szCs w:val="24"/>
    </w:rPr>
  </w:style>
  <w:style w:type="character" w:customStyle="1" w:styleId="UnresolvedMention">
    <w:name w:val="Unresolved Mention"/>
    <w:basedOn w:val="DefaultParagraphFont"/>
    <w:uiPriority w:val="99"/>
    <w:semiHidden/>
    <w:unhideWhenUsed/>
    <w:rsid w:val="001530E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fjq0@cdc.gov"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mailto:laberman@cdc.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50A08-B28C-4A91-BF80-597CFC495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SYSTEM</cp:lastModifiedBy>
  <cp:revision>2</cp:revision>
  <dcterms:created xsi:type="dcterms:W3CDTF">2019-03-22T18:47:00Z</dcterms:created>
  <dcterms:modified xsi:type="dcterms:W3CDTF">2019-03-22T18:47:00Z</dcterms:modified>
</cp:coreProperties>
</file>