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2DBE" w:rsidRPr="00C21633" w:rsidRDefault="00FE1DA1" w:rsidP="00E914E2">
      <w:pPr>
        <w:pStyle w:val="Heading2"/>
        <w:jc w:val="center"/>
        <w:rPr>
          <w:b/>
          <w:color w:val="000000" w:themeColor="text1"/>
          <w:sz w:val="40"/>
          <w:szCs w:val="40"/>
        </w:rPr>
      </w:pPr>
      <w:bookmarkStart w:id="0" w:name="_Toc337198071"/>
      <w:bookmarkStart w:id="1" w:name="_Toc423335421"/>
      <w:bookmarkStart w:id="2" w:name="_GoBack"/>
      <w:bookmarkEnd w:id="2"/>
      <w:r>
        <w:rPr>
          <w:b/>
          <w:color w:val="000000" w:themeColor="text1"/>
          <w:sz w:val="36"/>
          <w:szCs w:val="36"/>
        </w:rPr>
        <w:t xml:space="preserve"> </w:t>
      </w:r>
      <w:bookmarkStart w:id="3" w:name="_Toc523130873"/>
      <w:bookmarkStart w:id="4" w:name="_Toc601045"/>
      <w:r w:rsidR="005E61CF">
        <w:rPr>
          <w:b/>
          <w:color w:val="000000" w:themeColor="text1"/>
          <w:sz w:val="40"/>
          <w:szCs w:val="40"/>
        </w:rPr>
        <w:t>Assessment of E</w:t>
      </w:r>
      <w:r w:rsidR="000F7C57" w:rsidRPr="00C21633">
        <w:rPr>
          <w:b/>
          <w:color w:val="000000" w:themeColor="text1"/>
          <w:sz w:val="40"/>
          <w:szCs w:val="40"/>
        </w:rPr>
        <w:t>nvironmental Health and Land Reuse Certification</w:t>
      </w:r>
      <w:bookmarkEnd w:id="3"/>
      <w:r w:rsidR="005E61CF">
        <w:rPr>
          <w:b/>
          <w:color w:val="000000" w:themeColor="text1"/>
          <w:sz w:val="40"/>
          <w:szCs w:val="40"/>
        </w:rPr>
        <w:t xml:space="preserve"> Training</w:t>
      </w:r>
      <w:bookmarkEnd w:id="4"/>
    </w:p>
    <w:p w:rsidR="005F76A7" w:rsidRPr="00C21633" w:rsidRDefault="005F76A7" w:rsidP="00E914E2">
      <w:pPr>
        <w:pStyle w:val="Heading2"/>
        <w:jc w:val="center"/>
        <w:rPr>
          <w:color w:val="000000" w:themeColor="text1"/>
          <w:sz w:val="40"/>
          <w:szCs w:val="40"/>
        </w:rPr>
      </w:pPr>
    </w:p>
    <w:p w:rsidR="005F76A7" w:rsidRPr="00C21633" w:rsidRDefault="005F76A7" w:rsidP="00E914E2">
      <w:pPr>
        <w:pStyle w:val="Heading2"/>
        <w:jc w:val="center"/>
        <w:rPr>
          <w:b/>
          <w:color w:val="000000" w:themeColor="text1"/>
          <w:sz w:val="40"/>
          <w:szCs w:val="40"/>
        </w:rPr>
      </w:pPr>
    </w:p>
    <w:p w:rsidR="00BA2DBE" w:rsidRPr="00C21633" w:rsidRDefault="00480FC6" w:rsidP="00E914E2">
      <w:pPr>
        <w:pStyle w:val="Heading2"/>
        <w:jc w:val="center"/>
        <w:rPr>
          <w:color w:val="000000" w:themeColor="text1"/>
          <w:sz w:val="36"/>
          <w:szCs w:val="36"/>
        </w:rPr>
      </w:pPr>
      <w:bookmarkStart w:id="5" w:name="_Toc522695188"/>
      <w:bookmarkStart w:id="6" w:name="_Toc523130874"/>
      <w:bookmarkStart w:id="7" w:name="_Toc601046"/>
      <w:r w:rsidRPr="00C21633">
        <w:rPr>
          <w:color w:val="000000" w:themeColor="text1"/>
          <w:sz w:val="36"/>
          <w:szCs w:val="36"/>
        </w:rPr>
        <w:t>OMB Control N</w:t>
      </w:r>
      <w:r w:rsidR="00EA55C0" w:rsidRPr="00C21633">
        <w:rPr>
          <w:color w:val="000000" w:themeColor="text1"/>
          <w:sz w:val="36"/>
          <w:szCs w:val="36"/>
        </w:rPr>
        <w:t xml:space="preserve">o. </w:t>
      </w:r>
      <w:r w:rsidR="00E52761" w:rsidRPr="00C21633">
        <w:rPr>
          <w:color w:val="000000" w:themeColor="text1"/>
          <w:sz w:val="36"/>
          <w:szCs w:val="36"/>
        </w:rPr>
        <w:t>0923</w:t>
      </w:r>
      <w:r w:rsidR="000F7C57" w:rsidRPr="00C21633">
        <w:rPr>
          <w:color w:val="000000" w:themeColor="text1"/>
          <w:sz w:val="36"/>
          <w:szCs w:val="36"/>
        </w:rPr>
        <w:t>-</w:t>
      </w:r>
      <w:r w:rsidR="00FF26AA" w:rsidRPr="00C21633">
        <w:rPr>
          <w:color w:val="000000" w:themeColor="text1"/>
          <w:sz w:val="36"/>
          <w:szCs w:val="36"/>
        </w:rPr>
        <w:t>NEW</w:t>
      </w:r>
      <w:bookmarkEnd w:id="5"/>
      <w:bookmarkEnd w:id="6"/>
      <w:bookmarkEnd w:id="7"/>
    </w:p>
    <w:p w:rsidR="000F7C57" w:rsidRPr="00C21633" w:rsidRDefault="004C24F6" w:rsidP="00E914E2">
      <w:pPr>
        <w:pStyle w:val="Heading2"/>
        <w:jc w:val="center"/>
        <w:rPr>
          <w:color w:val="000000" w:themeColor="text1"/>
          <w:sz w:val="36"/>
          <w:szCs w:val="36"/>
        </w:rPr>
      </w:pPr>
      <w:bookmarkStart w:id="8" w:name="_Toc522695189"/>
      <w:bookmarkStart w:id="9" w:name="_Toc523130875"/>
      <w:bookmarkStart w:id="10" w:name="_Toc601047"/>
      <w:r>
        <w:rPr>
          <w:color w:val="000000" w:themeColor="text1"/>
          <w:sz w:val="36"/>
          <w:szCs w:val="36"/>
        </w:rPr>
        <w:t xml:space="preserve">February </w:t>
      </w:r>
      <w:bookmarkEnd w:id="8"/>
      <w:bookmarkEnd w:id="9"/>
      <w:bookmarkEnd w:id="10"/>
      <w:r w:rsidRPr="00C21633">
        <w:rPr>
          <w:color w:val="000000" w:themeColor="text1"/>
          <w:sz w:val="36"/>
          <w:szCs w:val="36"/>
        </w:rPr>
        <w:t>201</w:t>
      </w:r>
      <w:r>
        <w:rPr>
          <w:color w:val="000000" w:themeColor="text1"/>
          <w:sz w:val="36"/>
          <w:szCs w:val="36"/>
        </w:rPr>
        <w:t>9</w:t>
      </w:r>
    </w:p>
    <w:p w:rsidR="00C21633" w:rsidRDefault="00C21633" w:rsidP="00C21633"/>
    <w:p w:rsidR="00C21633" w:rsidRDefault="00C21633" w:rsidP="00C21633"/>
    <w:p w:rsidR="00C21633" w:rsidRDefault="00C21633" w:rsidP="00C21633"/>
    <w:p w:rsidR="00C21633" w:rsidRPr="00C21633" w:rsidRDefault="00C21633" w:rsidP="00C21633"/>
    <w:p w:rsidR="00D16598" w:rsidRPr="00C21633" w:rsidRDefault="00D11E3D" w:rsidP="00E914E2">
      <w:pPr>
        <w:pStyle w:val="Heading2"/>
        <w:jc w:val="center"/>
        <w:rPr>
          <w:color w:val="000000" w:themeColor="text1"/>
          <w:sz w:val="40"/>
          <w:szCs w:val="40"/>
        </w:rPr>
      </w:pPr>
      <w:r w:rsidRPr="00C21633">
        <w:rPr>
          <w:color w:val="000000" w:themeColor="text1"/>
          <w:sz w:val="40"/>
          <w:szCs w:val="40"/>
        </w:rPr>
        <w:t xml:space="preserve"> </w:t>
      </w:r>
      <w:bookmarkStart w:id="11" w:name="_Toc522695190"/>
      <w:bookmarkStart w:id="12" w:name="_Toc523130876"/>
      <w:r w:rsidR="00A670C2">
        <w:rPr>
          <w:color w:val="000000" w:themeColor="text1"/>
          <w:sz w:val="40"/>
          <w:szCs w:val="40"/>
        </w:rPr>
        <w:t xml:space="preserve"> </w:t>
      </w:r>
      <w:bookmarkStart w:id="13" w:name="_Toc601048"/>
      <w:r w:rsidR="00480FC6" w:rsidRPr="00C21633">
        <w:rPr>
          <w:color w:val="000000" w:themeColor="text1"/>
          <w:sz w:val="40"/>
          <w:szCs w:val="40"/>
        </w:rPr>
        <w:t>Supporting Statement Part A</w:t>
      </w:r>
      <w:bookmarkEnd w:id="11"/>
      <w:bookmarkEnd w:id="12"/>
      <w:bookmarkEnd w:id="13"/>
    </w:p>
    <w:p w:rsidR="00D74AF7" w:rsidRPr="00B9626B" w:rsidRDefault="00D74AF7" w:rsidP="001626E8">
      <w:pPr>
        <w:pStyle w:val="Subtitle"/>
        <w:rPr>
          <w:rFonts w:asciiTheme="minorHAnsi" w:hAnsiTheme="minorHAnsi" w:cstheme="minorHAnsi"/>
          <w:color w:val="auto"/>
        </w:rPr>
      </w:pPr>
    </w:p>
    <w:p w:rsidR="00D74AF7" w:rsidRPr="004B52AA" w:rsidRDefault="00D74AF7" w:rsidP="00D74AF7">
      <w:pPr>
        <w:rPr>
          <w:rFonts w:ascii="Courier New" w:hAnsi="Courier New" w:cs="Courier New"/>
        </w:rPr>
      </w:pPr>
    </w:p>
    <w:p w:rsidR="008E47E6" w:rsidRPr="004B52AA" w:rsidRDefault="008E47E6" w:rsidP="00BB0E8E">
      <w:pPr>
        <w:rPr>
          <w:rFonts w:ascii="Courier New" w:hAnsi="Courier New" w:cs="Courier New"/>
        </w:rPr>
      </w:pPr>
    </w:p>
    <w:p w:rsidR="00BA2DBE" w:rsidRDefault="00BA2DBE">
      <w:pPr>
        <w:spacing w:after="200" w:line="276" w:lineRule="auto"/>
        <w:rPr>
          <w:rFonts w:ascii="Courier New" w:hAnsi="Courier New" w:cs="Courier New"/>
          <w:sz w:val="36"/>
          <w:szCs w:val="36"/>
        </w:rPr>
      </w:pPr>
    </w:p>
    <w:p w:rsidR="009E5EA6" w:rsidRDefault="009E5EA6">
      <w:pPr>
        <w:spacing w:after="200" w:line="276" w:lineRule="auto"/>
        <w:rPr>
          <w:rFonts w:ascii="Courier New" w:hAnsi="Courier New" w:cs="Courier New"/>
          <w:sz w:val="36"/>
          <w:szCs w:val="36"/>
        </w:rPr>
      </w:pPr>
    </w:p>
    <w:p w:rsidR="009E5EA6" w:rsidRPr="002E4477" w:rsidRDefault="009E5EA6">
      <w:pPr>
        <w:spacing w:after="200" w:line="276" w:lineRule="auto"/>
        <w:rPr>
          <w:rFonts w:ascii="Courier New" w:hAnsi="Courier New" w:cs="Courier New"/>
          <w:sz w:val="24"/>
          <w:szCs w:val="24"/>
        </w:rPr>
      </w:pPr>
    </w:p>
    <w:p w:rsidR="009E5EA6" w:rsidRDefault="009E5EA6">
      <w:pPr>
        <w:spacing w:after="200" w:line="276" w:lineRule="auto"/>
        <w:rPr>
          <w:rFonts w:ascii="Courier New" w:hAnsi="Courier New" w:cs="Courier New"/>
          <w:sz w:val="36"/>
          <w:szCs w:val="36"/>
        </w:rPr>
      </w:pPr>
    </w:p>
    <w:p w:rsidR="009E5EA6" w:rsidRPr="004B52AA" w:rsidRDefault="009E5EA6">
      <w:pPr>
        <w:spacing w:after="200" w:line="276" w:lineRule="auto"/>
        <w:rPr>
          <w:rFonts w:ascii="Courier New" w:hAnsi="Courier New" w:cs="Courier New"/>
          <w:sz w:val="36"/>
          <w:szCs w:val="36"/>
        </w:rPr>
      </w:pPr>
    </w:p>
    <w:p w:rsidR="00E40B6F" w:rsidRDefault="00E40B6F" w:rsidP="008E47E6">
      <w:pPr>
        <w:pStyle w:val="Subtitle"/>
        <w:spacing w:after="0"/>
        <w:rPr>
          <w:rFonts w:cstheme="minorHAnsi"/>
          <w:color w:val="000000" w:themeColor="text1"/>
          <w:sz w:val="28"/>
          <w:szCs w:val="28"/>
        </w:rPr>
      </w:pPr>
    </w:p>
    <w:p w:rsidR="00E40B6F" w:rsidRDefault="00E40B6F" w:rsidP="008E47E6">
      <w:pPr>
        <w:pStyle w:val="Subtitle"/>
        <w:spacing w:after="0"/>
        <w:rPr>
          <w:rFonts w:cstheme="minorHAnsi"/>
          <w:color w:val="000000" w:themeColor="text1"/>
          <w:sz w:val="28"/>
          <w:szCs w:val="28"/>
        </w:rPr>
      </w:pPr>
    </w:p>
    <w:p w:rsidR="00BA2DBE" w:rsidRPr="00B9626B" w:rsidRDefault="00480FC6" w:rsidP="008E47E6">
      <w:pPr>
        <w:pStyle w:val="Subtitle"/>
        <w:spacing w:after="0"/>
        <w:rPr>
          <w:rFonts w:cstheme="minorHAnsi"/>
          <w:color w:val="000000" w:themeColor="text1"/>
          <w:sz w:val="28"/>
          <w:szCs w:val="28"/>
        </w:rPr>
      </w:pPr>
      <w:r w:rsidRPr="00B9626B">
        <w:rPr>
          <w:rFonts w:cstheme="minorHAnsi"/>
          <w:color w:val="000000" w:themeColor="text1"/>
          <w:sz w:val="28"/>
          <w:szCs w:val="28"/>
        </w:rPr>
        <w:t>Program Official</w:t>
      </w:r>
      <w:r w:rsidR="00910A55" w:rsidRPr="00B9626B">
        <w:rPr>
          <w:rFonts w:cstheme="minorHAnsi"/>
          <w:color w:val="000000" w:themeColor="text1"/>
          <w:sz w:val="28"/>
          <w:szCs w:val="28"/>
        </w:rPr>
        <w:t>:</w:t>
      </w:r>
      <w:r w:rsidRPr="00B9626B">
        <w:rPr>
          <w:rFonts w:cstheme="minorHAnsi"/>
          <w:color w:val="000000" w:themeColor="text1"/>
          <w:sz w:val="28"/>
          <w:szCs w:val="28"/>
        </w:rPr>
        <w:t xml:space="preserve"> </w:t>
      </w:r>
      <w:r w:rsidR="00D74AF7" w:rsidRPr="00B9626B">
        <w:rPr>
          <w:rFonts w:cstheme="minorHAnsi"/>
          <w:color w:val="000000" w:themeColor="text1"/>
          <w:sz w:val="28"/>
          <w:szCs w:val="28"/>
        </w:rPr>
        <w:t>Laurel Berman</w:t>
      </w:r>
      <w:r w:rsidR="00240D0E" w:rsidRPr="00B9626B">
        <w:rPr>
          <w:rFonts w:cstheme="minorHAnsi"/>
          <w:color w:val="000000" w:themeColor="text1"/>
          <w:sz w:val="28"/>
          <w:szCs w:val="28"/>
        </w:rPr>
        <w:t xml:space="preserve">, PhD </w:t>
      </w:r>
    </w:p>
    <w:p w:rsidR="00BA2DBE" w:rsidRPr="00B9626B" w:rsidRDefault="00480FC6" w:rsidP="008E47E6">
      <w:pPr>
        <w:pStyle w:val="Subtitle"/>
        <w:spacing w:after="0"/>
        <w:rPr>
          <w:rFonts w:cstheme="minorHAnsi"/>
          <w:color w:val="000000" w:themeColor="text1"/>
          <w:sz w:val="28"/>
          <w:szCs w:val="28"/>
        </w:rPr>
      </w:pPr>
      <w:r w:rsidRPr="00B9626B">
        <w:rPr>
          <w:rFonts w:cstheme="minorHAnsi"/>
          <w:color w:val="000000" w:themeColor="text1"/>
          <w:sz w:val="28"/>
          <w:szCs w:val="28"/>
        </w:rPr>
        <w:t>Title:</w:t>
      </w:r>
      <w:r w:rsidR="00D74AF7" w:rsidRPr="00B9626B">
        <w:rPr>
          <w:rFonts w:cstheme="minorHAnsi"/>
          <w:color w:val="000000" w:themeColor="text1"/>
          <w:sz w:val="28"/>
          <w:szCs w:val="28"/>
        </w:rPr>
        <w:t xml:space="preserve"> </w:t>
      </w:r>
      <w:r w:rsidR="00C0451F" w:rsidRPr="00B9626B">
        <w:rPr>
          <w:rFonts w:cstheme="minorHAnsi"/>
          <w:color w:val="000000" w:themeColor="text1"/>
          <w:sz w:val="28"/>
          <w:szCs w:val="28"/>
        </w:rPr>
        <w:t>Environmental Health Scientist</w:t>
      </w:r>
    </w:p>
    <w:p w:rsidR="00BA2DBE" w:rsidRPr="00B9626B" w:rsidRDefault="00107476" w:rsidP="008E47E6">
      <w:pPr>
        <w:pStyle w:val="Subtitle"/>
        <w:spacing w:after="0"/>
        <w:rPr>
          <w:rFonts w:cstheme="minorHAnsi"/>
          <w:color w:val="000000" w:themeColor="text1"/>
          <w:sz w:val="28"/>
          <w:szCs w:val="28"/>
        </w:rPr>
      </w:pPr>
      <w:r w:rsidRPr="00B9626B">
        <w:rPr>
          <w:rFonts w:cstheme="minorHAnsi"/>
          <w:color w:val="000000" w:themeColor="text1"/>
          <w:sz w:val="28"/>
          <w:szCs w:val="28"/>
        </w:rPr>
        <w:t>Phone</w:t>
      </w:r>
      <w:r w:rsidR="00480FC6" w:rsidRPr="00B9626B">
        <w:rPr>
          <w:rFonts w:cstheme="minorHAnsi"/>
          <w:color w:val="000000" w:themeColor="text1"/>
          <w:sz w:val="28"/>
          <w:szCs w:val="28"/>
        </w:rPr>
        <w:t>:</w:t>
      </w:r>
      <w:r w:rsidR="0094011E" w:rsidRPr="00B9626B">
        <w:rPr>
          <w:rFonts w:cstheme="minorHAnsi"/>
          <w:color w:val="000000" w:themeColor="text1"/>
          <w:sz w:val="28"/>
          <w:szCs w:val="28"/>
        </w:rPr>
        <w:t xml:space="preserve"> </w:t>
      </w:r>
      <w:r w:rsidR="00D74AF7" w:rsidRPr="00B9626B">
        <w:rPr>
          <w:rFonts w:cstheme="minorHAnsi"/>
          <w:color w:val="000000" w:themeColor="text1"/>
          <w:sz w:val="28"/>
          <w:szCs w:val="28"/>
        </w:rPr>
        <w:t>312-886-7476</w:t>
      </w:r>
    </w:p>
    <w:p w:rsidR="00BA2DBE" w:rsidRPr="00B9626B" w:rsidRDefault="00107476" w:rsidP="00EA0849">
      <w:pPr>
        <w:pStyle w:val="Subtitle"/>
        <w:spacing w:after="0"/>
        <w:rPr>
          <w:rFonts w:cstheme="minorHAnsi"/>
          <w:color w:val="000000" w:themeColor="text1"/>
          <w:sz w:val="28"/>
          <w:szCs w:val="28"/>
        </w:rPr>
      </w:pPr>
      <w:r w:rsidRPr="00B9626B">
        <w:rPr>
          <w:rFonts w:cstheme="minorHAnsi"/>
          <w:color w:val="000000" w:themeColor="text1"/>
          <w:sz w:val="28"/>
          <w:szCs w:val="28"/>
        </w:rPr>
        <w:t>Email</w:t>
      </w:r>
      <w:r w:rsidR="00480FC6" w:rsidRPr="00B9626B">
        <w:rPr>
          <w:rFonts w:cstheme="minorHAnsi"/>
          <w:color w:val="000000" w:themeColor="text1"/>
          <w:sz w:val="28"/>
          <w:szCs w:val="28"/>
        </w:rPr>
        <w:t xml:space="preserve">: </w:t>
      </w:r>
      <w:r w:rsidR="00D74AF7" w:rsidRPr="00B9626B">
        <w:rPr>
          <w:rFonts w:cstheme="minorHAnsi"/>
          <w:color w:val="000000" w:themeColor="text1"/>
          <w:sz w:val="28"/>
          <w:szCs w:val="28"/>
        </w:rPr>
        <w:t>laberman@cdc.gov</w:t>
      </w:r>
    </w:p>
    <w:p w:rsidR="00BA2DBE" w:rsidRPr="00B9626B" w:rsidRDefault="00107476" w:rsidP="008E47E6">
      <w:pPr>
        <w:pStyle w:val="Subtitle"/>
        <w:spacing w:after="0"/>
        <w:rPr>
          <w:rFonts w:cstheme="minorHAnsi"/>
          <w:color w:val="000000" w:themeColor="text1"/>
          <w:sz w:val="28"/>
          <w:szCs w:val="28"/>
        </w:rPr>
      </w:pPr>
      <w:r w:rsidRPr="00B9626B">
        <w:rPr>
          <w:rFonts w:cstheme="minorHAnsi"/>
          <w:color w:val="000000" w:themeColor="text1"/>
          <w:sz w:val="28"/>
          <w:szCs w:val="28"/>
        </w:rPr>
        <w:t>Fax</w:t>
      </w:r>
      <w:r w:rsidR="00480FC6" w:rsidRPr="00B9626B">
        <w:rPr>
          <w:rFonts w:cstheme="minorHAnsi"/>
          <w:color w:val="000000" w:themeColor="text1"/>
          <w:sz w:val="28"/>
          <w:szCs w:val="28"/>
        </w:rPr>
        <w:t>:</w:t>
      </w:r>
      <w:r w:rsidR="00D74AF7" w:rsidRPr="00B9626B">
        <w:rPr>
          <w:rFonts w:cstheme="minorHAnsi"/>
          <w:color w:val="000000" w:themeColor="text1"/>
          <w:sz w:val="28"/>
          <w:szCs w:val="28"/>
        </w:rPr>
        <w:t xml:space="preserve"> 312-886-6066</w:t>
      </w:r>
    </w:p>
    <w:bookmarkEnd w:id="1" w:displacedByCustomXml="next"/>
    <w:bookmarkEnd w:id="0" w:displacedByCustomXml="next"/>
    <w:sdt>
      <w:sdtPr>
        <w:rPr>
          <w:rFonts w:asciiTheme="minorHAnsi" w:eastAsiaTheme="minorEastAsia" w:hAnsiTheme="minorHAnsi" w:cstheme="minorHAnsi"/>
          <w:color w:val="auto"/>
          <w:sz w:val="22"/>
          <w:szCs w:val="22"/>
        </w:rPr>
        <w:id w:val="-307783535"/>
        <w:docPartObj>
          <w:docPartGallery w:val="Table of Contents"/>
          <w:docPartUnique/>
        </w:docPartObj>
      </w:sdtPr>
      <w:sdtEndPr>
        <w:rPr>
          <w:rFonts w:asciiTheme="majorHAnsi" w:hAnsiTheme="majorHAnsi"/>
          <w:b/>
          <w:bCs/>
          <w:noProof/>
        </w:rPr>
      </w:sdtEndPr>
      <w:sdtContent>
        <w:p w:rsidR="0022559B" w:rsidRPr="003F1B67" w:rsidRDefault="0022559B">
          <w:pPr>
            <w:pStyle w:val="TOCHeading"/>
            <w:rPr>
              <w:rFonts w:asciiTheme="majorHAnsi" w:hAnsiTheme="majorHAnsi" w:cstheme="minorHAnsi"/>
              <w:sz w:val="22"/>
              <w:szCs w:val="22"/>
            </w:rPr>
          </w:pPr>
        </w:p>
        <w:p w:rsidR="00405241" w:rsidRDefault="0022559B">
          <w:pPr>
            <w:pStyle w:val="TOC2"/>
            <w:rPr>
              <w:rFonts w:asciiTheme="minorHAnsi" w:hAnsiTheme="minorHAnsi" w:cstheme="minorBidi"/>
              <w:noProof/>
              <w:sz w:val="22"/>
              <w:szCs w:val="22"/>
            </w:rPr>
          </w:pPr>
          <w:r w:rsidRPr="002E4477">
            <w:rPr>
              <w:rFonts w:cstheme="minorHAnsi"/>
              <w:color w:val="000000" w:themeColor="text1"/>
              <w:sz w:val="22"/>
              <w:szCs w:val="22"/>
            </w:rPr>
            <w:fldChar w:fldCharType="begin"/>
          </w:r>
          <w:r w:rsidRPr="002E4477">
            <w:rPr>
              <w:rFonts w:cstheme="minorHAnsi"/>
              <w:color w:val="000000" w:themeColor="text1"/>
              <w:sz w:val="22"/>
              <w:szCs w:val="22"/>
            </w:rPr>
            <w:instrText xml:space="preserve"> TOC \o "1-3" \h \z \u </w:instrText>
          </w:r>
          <w:r w:rsidRPr="002E4477">
            <w:rPr>
              <w:rFonts w:cstheme="minorHAnsi"/>
              <w:color w:val="000000" w:themeColor="text1"/>
              <w:sz w:val="22"/>
              <w:szCs w:val="22"/>
            </w:rPr>
            <w:fldChar w:fldCharType="separate"/>
          </w:r>
          <w:hyperlink w:anchor="_Toc601045" w:history="1">
            <w:r w:rsidR="00405241" w:rsidRPr="00947B11">
              <w:rPr>
                <w:rStyle w:val="Hyperlink"/>
                <w:b/>
                <w:noProof/>
              </w:rPr>
              <w:t>Assessment of Environmental Health and Land Reuse Certification Training</w:t>
            </w:r>
            <w:r w:rsidR="00405241">
              <w:rPr>
                <w:noProof/>
                <w:webHidden/>
              </w:rPr>
              <w:tab/>
            </w:r>
            <w:r w:rsidR="00405241">
              <w:rPr>
                <w:noProof/>
                <w:webHidden/>
              </w:rPr>
              <w:fldChar w:fldCharType="begin"/>
            </w:r>
            <w:r w:rsidR="00405241">
              <w:rPr>
                <w:noProof/>
                <w:webHidden/>
              </w:rPr>
              <w:instrText xml:space="preserve"> PAGEREF _Toc601045 \h </w:instrText>
            </w:r>
            <w:r w:rsidR="00405241">
              <w:rPr>
                <w:noProof/>
                <w:webHidden/>
              </w:rPr>
            </w:r>
            <w:r w:rsidR="00405241">
              <w:rPr>
                <w:noProof/>
                <w:webHidden/>
              </w:rPr>
              <w:fldChar w:fldCharType="separate"/>
            </w:r>
            <w:r w:rsidR="00405241">
              <w:rPr>
                <w:noProof/>
                <w:webHidden/>
              </w:rPr>
              <w:t>1</w:t>
            </w:r>
            <w:r w:rsidR="00405241">
              <w:rPr>
                <w:noProof/>
                <w:webHidden/>
              </w:rPr>
              <w:fldChar w:fldCharType="end"/>
            </w:r>
          </w:hyperlink>
        </w:p>
        <w:p w:rsidR="00405241" w:rsidRDefault="00380E0A">
          <w:pPr>
            <w:pStyle w:val="TOC2"/>
            <w:rPr>
              <w:rFonts w:asciiTheme="minorHAnsi" w:hAnsiTheme="minorHAnsi" w:cstheme="minorBidi"/>
              <w:noProof/>
              <w:sz w:val="22"/>
              <w:szCs w:val="22"/>
            </w:rPr>
          </w:pPr>
          <w:hyperlink w:anchor="_Toc601046" w:history="1">
            <w:r w:rsidR="00405241" w:rsidRPr="00947B11">
              <w:rPr>
                <w:rStyle w:val="Hyperlink"/>
                <w:noProof/>
              </w:rPr>
              <w:t>OMB Control No. 0923-NEW</w:t>
            </w:r>
            <w:r w:rsidR="00405241">
              <w:rPr>
                <w:noProof/>
                <w:webHidden/>
              </w:rPr>
              <w:tab/>
            </w:r>
            <w:r w:rsidR="00405241">
              <w:rPr>
                <w:noProof/>
                <w:webHidden/>
              </w:rPr>
              <w:fldChar w:fldCharType="begin"/>
            </w:r>
            <w:r w:rsidR="00405241">
              <w:rPr>
                <w:noProof/>
                <w:webHidden/>
              </w:rPr>
              <w:instrText xml:space="preserve"> PAGEREF _Toc601046 \h </w:instrText>
            </w:r>
            <w:r w:rsidR="00405241">
              <w:rPr>
                <w:noProof/>
                <w:webHidden/>
              </w:rPr>
            </w:r>
            <w:r w:rsidR="00405241">
              <w:rPr>
                <w:noProof/>
                <w:webHidden/>
              </w:rPr>
              <w:fldChar w:fldCharType="separate"/>
            </w:r>
            <w:r w:rsidR="00405241">
              <w:rPr>
                <w:noProof/>
                <w:webHidden/>
              </w:rPr>
              <w:t>1</w:t>
            </w:r>
            <w:r w:rsidR="00405241">
              <w:rPr>
                <w:noProof/>
                <w:webHidden/>
              </w:rPr>
              <w:fldChar w:fldCharType="end"/>
            </w:r>
          </w:hyperlink>
        </w:p>
        <w:p w:rsidR="00405241" w:rsidRDefault="00380E0A">
          <w:pPr>
            <w:pStyle w:val="TOC2"/>
            <w:rPr>
              <w:rFonts w:asciiTheme="minorHAnsi" w:hAnsiTheme="minorHAnsi" w:cstheme="minorBidi"/>
              <w:noProof/>
              <w:sz w:val="22"/>
              <w:szCs w:val="22"/>
            </w:rPr>
          </w:pPr>
          <w:hyperlink w:anchor="_Toc601047" w:history="1">
            <w:r w:rsidR="00405241" w:rsidRPr="00947B11">
              <w:rPr>
                <w:rStyle w:val="Hyperlink"/>
                <w:noProof/>
              </w:rPr>
              <w:t>November 2018</w:t>
            </w:r>
            <w:r w:rsidR="00405241">
              <w:rPr>
                <w:noProof/>
                <w:webHidden/>
              </w:rPr>
              <w:tab/>
            </w:r>
            <w:r w:rsidR="00405241">
              <w:rPr>
                <w:noProof/>
                <w:webHidden/>
              </w:rPr>
              <w:fldChar w:fldCharType="begin"/>
            </w:r>
            <w:r w:rsidR="00405241">
              <w:rPr>
                <w:noProof/>
                <w:webHidden/>
              </w:rPr>
              <w:instrText xml:space="preserve"> PAGEREF _Toc601047 \h </w:instrText>
            </w:r>
            <w:r w:rsidR="00405241">
              <w:rPr>
                <w:noProof/>
                <w:webHidden/>
              </w:rPr>
            </w:r>
            <w:r w:rsidR="00405241">
              <w:rPr>
                <w:noProof/>
                <w:webHidden/>
              </w:rPr>
              <w:fldChar w:fldCharType="separate"/>
            </w:r>
            <w:r w:rsidR="00405241">
              <w:rPr>
                <w:noProof/>
                <w:webHidden/>
              </w:rPr>
              <w:t>1</w:t>
            </w:r>
            <w:r w:rsidR="00405241">
              <w:rPr>
                <w:noProof/>
                <w:webHidden/>
              </w:rPr>
              <w:fldChar w:fldCharType="end"/>
            </w:r>
          </w:hyperlink>
        </w:p>
        <w:p w:rsidR="00405241" w:rsidRDefault="00380E0A">
          <w:pPr>
            <w:pStyle w:val="TOC2"/>
            <w:rPr>
              <w:rFonts w:asciiTheme="minorHAnsi" w:hAnsiTheme="minorHAnsi" w:cstheme="minorBidi"/>
              <w:noProof/>
              <w:sz w:val="22"/>
              <w:szCs w:val="22"/>
            </w:rPr>
          </w:pPr>
          <w:hyperlink w:anchor="_Toc601048" w:history="1">
            <w:r w:rsidR="00405241" w:rsidRPr="00947B11">
              <w:rPr>
                <w:rStyle w:val="Hyperlink"/>
                <w:noProof/>
              </w:rPr>
              <w:t>Supporting Statement Part A</w:t>
            </w:r>
            <w:r w:rsidR="00405241">
              <w:rPr>
                <w:noProof/>
                <w:webHidden/>
              </w:rPr>
              <w:tab/>
            </w:r>
            <w:r w:rsidR="00405241">
              <w:rPr>
                <w:noProof/>
                <w:webHidden/>
              </w:rPr>
              <w:fldChar w:fldCharType="begin"/>
            </w:r>
            <w:r w:rsidR="00405241">
              <w:rPr>
                <w:noProof/>
                <w:webHidden/>
              </w:rPr>
              <w:instrText xml:space="preserve"> PAGEREF _Toc601048 \h </w:instrText>
            </w:r>
            <w:r w:rsidR="00405241">
              <w:rPr>
                <w:noProof/>
                <w:webHidden/>
              </w:rPr>
            </w:r>
            <w:r w:rsidR="00405241">
              <w:rPr>
                <w:noProof/>
                <w:webHidden/>
              </w:rPr>
              <w:fldChar w:fldCharType="separate"/>
            </w:r>
            <w:r w:rsidR="00405241">
              <w:rPr>
                <w:noProof/>
                <w:webHidden/>
              </w:rPr>
              <w:t>1</w:t>
            </w:r>
            <w:r w:rsidR="00405241">
              <w:rPr>
                <w:noProof/>
                <w:webHidden/>
              </w:rPr>
              <w:fldChar w:fldCharType="end"/>
            </w:r>
          </w:hyperlink>
        </w:p>
        <w:p w:rsidR="00405241" w:rsidRDefault="00380E0A">
          <w:pPr>
            <w:pStyle w:val="TOC1"/>
            <w:tabs>
              <w:tab w:val="right" w:leader="dot" w:pos="9350"/>
            </w:tabs>
            <w:rPr>
              <w:noProof/>
              <w:sz w:val="22"/>
              <w:szCs w:val="22"/>
            </w:rPr>
          </w:pPr>
          <w:hyperlink w:anchor="_Toc601049" w:history="1">
            <w:r w:rsidR="00405241" w:rsidRPr="00947B11">
              <w:rPr>
                <w:rStyle w:val="Hyperlink"/>
                <w:rFonts w:asciiTheme="majorHAnsi" w:hAnsiTheme="majorHAnsi" w:cstheme="minorHAnsi"/>
                <w:noProof/>
              </w:rPr>
              <w:t>A.1. Circumstances Making the Collection of Information Necessary</w:t>
            </w:r>
            <w:r w:rsidR="00405241">
              <w:rPr>
                <w:noProof/>
                <w:webHidden/>
              </w:rPr>
              <w:tab/>
            </w:r>
            <w:r w:rsidR="00405241">
              <w:rPr>
                <w:noProof/>
                <w:webHidden/>
              </w:rPr>
              <w:fldChar w:fldCharType="begin"/>
            </w:r>
            <w:r w:rsidR="00405241">
              <w:rPr>
                <w:noProof/>
                <w:webHidden/>
              </w:rPr>
              <w:instrText xml:space="preserve"> PAGEREF _Toc601049 \h </w:instrText>
            </w:r>
            <w:r w:rsidR="00405241">
              <w:rPr>
                <w:noProof/>
                <w:webHidden/>
              </w:rPr>
            </w:r>
            <w:r w:rsidR="00405241">
              <w:rPr>
                <w:noProof/>
                <w:webHidden/>
              </w:rPr>
              <w:fldChar w:fldCharType="separate"/>
            </w:r>
            <w:r w:rsidR="00405241">
              <w:rPr>
                <w:noProof/>
                <w:webHidden/>
              </w:rPr>
              <w:t>3</w:t>
            </w:r>
            <w:r w:rsidR="00405241">
              <w:rPr>
                <w:noProof/>
                <w:webHidden/>
              </w:rPr>
              <w:fldChar w:fldCharType="end"/>
            </w:r>
          </w:hyperlink>
        </w:p>
        <w:p w:rsidR="00405241" w:rsidRDefault="00380E0A">
          <w:pPr>
            <w:pStyle w:val="TOC1"/>
            <w:tabs>
              <w:tab w:val="right" w:leader="dot" w:pos="9350"/>
            </w:tabs>
            <w:rPr>
              <w:noProof/>
              <w:sz w:val="22"/>
              <w:szCs w:val="22"/>
            </w:rPr>
          </w:pPr>
          <w:hyperlink w:anchor="_Toc601050" w:history="1">
            <w:r w:rsidR="00405241" w:rsidRPr="00947B11">
              <w:rPr>
                <w:rStyle w:val="Hyperlink"/>
                <w:rFonts w:asciiTheme="majorHAnsi" w:hAnsiTheme="majorHAnsi" w:cstheme="minorHAnsi"/>
                <w:noProof/>
              </w:rPr>
              <w:t>A.2. Purpose and Use of the Information Collection</w:t>
            </w:r>
            <w:r w:rsidR="00405241">
              <w:rPr>
                <w:noProof/>
                <w:webHidden/>
              </w:rPr>
              <w:tab/>
            </w:r>
            <w:r w:rsidR="00405241">
              <w:rPr>
                <w:noProof/>
                <w:webHidden/>
              </w:rPr>
              <w:fldChar w:fldCharType="begin"/>
            </w:r>
            <w:r w:rsidR="00405241">
              <w:rPr>
                <w:noProof/>
                <w:webHidden/>
              </w:rPr>
              <w:instrText xml:space="preserve"> PAGEREF _Toc601050 \h </w:instrText>
            </w:r>
            <w:r w:rsidR="00405241">
              <w:rPr>
                <w:noProof/>
                <w:webHidden/>
              </w:rPr>
            </w:r>
            <w:r w:rsidR="00405241">
              <w:rPr>
                <w:noProof/>
                <w:webHidden/>
              </w:rPr>
              <w:fldChar w:fldCharType="separate"/>
            </w:r>
            <w:r w:rsidR="00405241">
              <w:rPr>
                <w:noProof/>
                <w:webHidden/>
              </w:rPr>
              <w:t>7</w:t>
            </w:r>
            <w:r w:rsidR="00405241">
              <w:rPr>
                <w:noProof/>
                <w:webHidden/>
              </w:rPr>
              <w:fldChar w:fldCharType="end"/>
            </w:r>
          </w:hyperlink>
        </w:p>
        <w:p w:rsidR="00405241" w:rsidRDefault="00380E0A">
          <w:pPr>
            <w:pStyle w:val="TOC1"/>
            <w:tabs>
              <w:tab w:val="right" w:leader="dot" w:pos="9350"/>
            </w:tabs>
            <w:rPr>
              <w:noProof/>
              <w:sz w:val="22"/>
              <w:szCs w:val="22"/>
            </w:rPr>
          </w:pPr>
          <w:hyperlink w:anchor="_Toc601051" w:history="1">
            <w:r w:rsidR="00405241" w:rsidRPr="00947B11">
              <w:rPr>
                <w:rStyle w:val="Hyperlink"/>
                <w:rFonts w:asciiTheme="majorHAnsi" w:hAnsiTheme="majorHAnsi" w:cstheme="minorHAnsi"/>
                <w:noProof/>
              </w:rPr>
              <w:t>A.3. Use of Improved Information Technology and Burden Reduction</w:t>
            </w:r>
            <w:r w:rsidR="00405241">
              <w:rPr>
                <w:noProof/>
                <w:webHidden/>
              </w:rPr>
              <w:tab/>
            </w:r>
            <w:r w:rsidR="00405241">
              <w:rPr>
                <w:noProof/>
                <w:webHidden/>
              </w:rPr>
              <w:fldChar w:fldCharType="begin"/>
            </w:r>
            <w:r w:rsidR="00405241">
              <w:rPr>
                <w:noProof/>
                <w:webHidden/>
              </w:rPr>
              <w:instrText xml:space="preserve"> PAGEREF _Toc601051 \h </w:instrText>
            </w:r>
            <w:r w:rsidR="00405241">
              <w:rPr>
                <w:noProof/>
                <w:webHidden/>
              </w:rPr>
            </w:r>
            <w:r w:rsidR="00405241">
              <w:rPr>
                <w:noProof/>
                <w:webHidden/>
              </w:rPr>
              <w:fldChar w:fldCharType="separate"/>
            </w:r>
            <w:r w:rsidR="00405241">
              <w:rPr>
                <w:noProof/>
                <w:webHidden/>
              </w:rPr>
              <w:t>8</w:t>
            </w:r>
            <w:r w:rsidR="00405241">
              <w:rPr>
                <w:noProof/>
                <w:webHidden/>
              </w:rPr>
              <w:fldChar w:fldCharType="end"/>
            </w:r>
          </w:hyperlink>
        </w:p>
        <w:p w:rsidR="00405241" w:rsidRDefault="00380E0A">
          <w:pPr>
            <w:pStyle w:val="TOC1"/>
            <w:tabs>
              <w:tab w:val="right" w:leader="dot" w:pos="9350"/>
            </w:tabs>
            <w:rPr>
              <w:noProof/>
              <w:sz w:val="22"/>
              <w:szCs w:val="22"/>
            </w:rPr>
          </w:pPr>
          <w:hyperlink w:anchor="_Toc601052" w:history="1">
            <w:r w:rsidR="00405241" w:rsidRPr="00947B11">
              <w:rPr>
                <w:rStyle w:val="Hyperlink"/>
                <w:rFonts w:asciiTheme="majorHAnsi" w:hAnsiTheme="majorHAnsi" w:cstheme="minorHAnsi"/>
                <w:noProof/>
              </w:rPr>
              <w:t>A.5. Impact on Small Businesses or Other Small Entities</w:t>
            </w:r>
            <w:r w:rsidR="00405241">
              <w:rPr>
                <w:noProof/>
                <w:webHidden/>
              </w:rPr>
              <w:tab/>
            </w:r>
            <w:r w:rsidR="00405241">
              <w:rPr>
                <w:noProof/>
                <w:webHidden/>
              </w:rPr>
              <w:fldChar w:fldCharType="begin"/>
            </w:r>
            <w:r w:rsidR="00405241">
              <w:rPr>
                <w:noProof/>
                <w:webHidden/>
              </w:rPr>
              <w:instrText xml:space="preserve"> PAGEREF _Toc601052 \h </w:instrText>
            </w:r>
            <w:r w:rsidR="00405241">
              <w:rPr>
                <w:noProof/>
                <w:webHidden/>
              </w:rPr>
            </w:r>
            <w:r w:rsidR="00405241">
              <w:rPr>
                <w:noProof/>
                <w:webHidden/>
              </w:rPr>
              <w:fldChar w:fldCharType="separate"/>
            </w:r>
            <w:r w:rsidR="00405241">
              <w:rPr>
                <w:noProof/>
                <w:webHidden/>
              </w:rPr>
              <w:t>9</w:t>
            </w:r>
            <w:r w:rsidR="00405241">
              <w:rPr>
                <w:noProof/>
                <w:webHidden/>
              </w:rPr>
              <w:fldChar w:fldCharType="end"/>
            </w:r>
          </w:hyperlink>
        </w:p>
        <w:p w:rsidR="00405241" w:rsidRDefault="00380E0A">
          <w:pPr>
            <w:pStyle w:val="TOC1"/>
            <w:tabs>
              <w:tab w:val="right" w:leader="dot" w:pos="9350"/>
            </w:tabs>
            <w:rPr>
              <w:noProof/>
              <w:sz w:val="22"/>
              <w:szCs w:val="22"/>
            </w:rPr>
          </w:pPr>
          <w:hyperlink w:anchor="_Toc601053" w:history="1">
            <w:r w:rsidR="00405241" w:rsidRPr="00947B11">
              <w:rPr>
                <w:rStyle w:val="Hyperlink"/>
                <w:rFonts w:asciiTheme="majorHAnsi" w:hAnsiTheme="majorHAnsi" w:cstheme="minorHAnsi"/>
                <w:noProof/>
              </w:rPr>
              <w:t>A.6. Consequences of Collecting the Information Less Frequently</w:t>
            </w:r>
            <w:r w:rsidR="00405241">
              <w:rPr>
                <w:noProof/>
                <w:webHidden/>
              </w:rPr>
              <w:tab/>
            </w:r>
            <w:r w:rsidR="00405241">
              <w:rPr>
                <w:noProof/>
                <w:webHidden/>
              </w:rPr>
              <w:fldChar w:fldCharType="begin"/>
            </w:r>
            <w:r w:rsidR="00405241">
              <w:rPr>
                <w:noProof/>
                <w:webHidden/>
              </w:rPr>
              <w:instrText xml:space="preserve"> PAGEREF _Toc601053 \h </w:instrText>
            </w:r>
            <w:r w:rsidR="00405241">
              <w:rPr>
                <w:noProof/>
                <w:webHidden/>
              </w:rPr>
            </w:r>
            <w:r w:rsidR="00405241">
              <w:rPr>
                <w:noProof/>
                <w:webHidden/>
              </w:rPr>
              <w:fldChar w:fldCharType="separate"/>
            </w:r>
            <w:r w:rsidR="00405241">
              <w:rPr>
                <w:noProof/>
                <w:webHidden/>
              </w:rPr>
              <w:t>9</w:t>
            </w:r>
            <w:r w:rsidR="00405241">
              <w:rPr>
                <w:noProof/>
                <w:webHidden/>
              </w:rPr>
              <w:fldChar w:fldCharType="end"/>
            </w:r>
          </w:hyperlink>
        </w:p>
        <w:p w:rsidR="00405241" w:rsidRDefault="00380E0A">
          <w:pPr>
            <w:pStyle w:val="TOC1"/>
            <w:tabs>
              <w:tab w:val="right" w:leader="dot" w:pos="9350"/>
            </w:tabs>
            <w:rPr>
              <w:noProof/>
              <w:sz w:val="22"/>
              <w:szCs w:val="22"/>
            </w:rPr>
          </w:pPr>
          <w:hyperlink w:anchor="_Toc601054" w:history="1">
            <w:r w:rsidR="00405241" w:rsidRPr="00947B11">
              <w:rPr>
                <w:rStyle w:val="Hyperlink"/>
                <w:rFonts w:asciiTheme="majorHAnsi" w:hAnsiTheme="majorHAnsi" w:cstheme="minorHAnsi"/>
                <w:noProof/>
              </w:rPr>
              <w:t>A.7. Special Circumstances Relating to the Guidelines of 5 CFR 1320.5</w:t>
            </w:r>
            <w:r w:rsidR="00405241">
              <w:rPr>
                <w:noProof/>
                <w:webHidden/>
              </w:rPr>
              <w:tab/>
            </w:r>
            <w:r w:rsidR="00405241">
              <w:rPr>
                <w:noProof/>
                <w:webHidden/>
              </w:rPr>
              <w:fldChar w:fldCharType="begin"/>
            </w:r>
            <w:r w:rsidR="00405241">
              <w:rPr>
                <w:noProof/>
                <w:webHidden/>
              </w:rPr>
              <w:instrText xml:space="preserve"> PAGEREF _Toc601054 \h </w:instrText>
            </w:r>
            <w:r w:rsidR="00405241">
              <w:rPr>
                <w:noProof/>
                <w:webHidden/>
              </w:rPr>
            </w:r>
            <w:r w:rsidR="00405241">
              <w:rPr>
                <w:noProof/>
                <w:webHidden/>
              </w:rPr>
              <w:fldChar w:fldCharType="separate"/>
            </w:r>
            <w:r w:rsidR="00405241">
              <w:rPr>
                <w:noProof/>
                <w:webHidden/>
              </w:rPr>
              <w:t>10</w:t>
            </w:r>
            <w:r w:rsidR="00405241">
              <w:rPr>
                <w:noProof/>
                <w:webHidden/>
              </w:rPr>
              <w:fldChar w:fldCharType="end"/>
            </w:r>
          </w:hyperlink>
        </w:p>
        <w:p w:rsidR="00405241" w:rsidRDefault="00380E0A">
          <w:pPr>
            <w:pStyle w:val="TOC1"/>
            <w:tabs>
              <w:tab w:val="right" w:leader="dot" w:pos="9350"/>
            </w:tabs>
            <w:rPr>
              <w:noProof/>
              <w:sz w:val="22"/>
              <w:szCs w:val="22"/>
            </w:rPr>
          </w:pPr>
          <w:hyperlink w:anchor="_Toc601055" w:history="1">
            <w:r w:rsidR="00405241" w:rsidRPr="00947B11">
              <w:rPr>
                <w:rStyle w:val="Hyperlink"/>
                <w:rFonts w:asciiTheme="majorHAnsi" w:hAnsiTheme="majorHAnsi"/>
                <w:noProof/>
              </w:rPr>
              <w:t>A.8. Comments in Response to the Federal Register Notice and Efforts to Consult Outside the Agency</w:t>
            </w:r>
            <w:r w:rsidR="00405241">
              <w:rPr>
                <w:noProof/>
                <w:webHidden/>
              </w:rPr>
              <w:tab/>
            </w:r>
            <w:r w:rsidR="00405241">
              <w:rPr>
                <w:noProof/>
                <w:webHidden/>
              </w:rPr>
              <w:fldChar w:fldCharType="begin"/>
            </w:r>
            <w:r w:rsidR="00405241">
              <w:rPr>
                <w:noProof/>
                <w:webHidden/>
              </w:rPr>
              <w:instrText xml:space="preserve"> PAGEREF _Toc601055 \h </w:instrText>
            </w:r>
            <w:r w:rsidR="00405241">
              <w:rPr>
                <w:noProof/>
                <w:webHidden/>
              </w:rPr>
            </w:r>
            <w:r w:rsidR="00405241">
              <w:rPr>
                <w:noProof/>
                <w:webHidden/>
              </w:rPr>
              <w:fldChar w:fldCharType="separate"/>
            </w:r>
            <w:r w:rsidR="00405241">
              <w:rPr>
                <w:noProof/>
                <w:webHidden/>
              </w:rPr>
              <w:t>10</w:t>
            </w:r>
            <w:r w:rsidR="00405241">
              <w:rPr>
                <w:noProof/>
                <w:webHidden/>
              </w:rPr>
              <w:fldChar w:fldCharType="end"/>
            </w:r>
          </w:hyperlink>
        </w:p>
        <w:p w:rsidR="00405241" w:rsidRDefault="00380E0A">
          <w:pPr>
            <w:pStyle w:val="TOC1"/>
            <w:tabs>
              <w:tab w:val="right" w:leader="dot" w:pos="9350"/>
            </w:tabs>
            <w:rPr>
              <w:noProof/>
              <w:sz w:val="22"/>
              <w:szCs w:val="22"/>
            </w:rPr>
          </w:pPr>
          <w:hyperlink w:anchor="_Toc601056" w:history="1">
            <w:r w:rsidR="00405241" w:rsidRPr="00947B11">
              <w:rPr>
                <w:rStyle w:val="Hyperlink"/>
                <w:rFonts w:asciiTheme="majorHAnsi" w:hAnsiTheme="majorHAnsi" w:cstheme="minorHAnsi"/>
                <w:noProof/>
              </w:rPr>
              <w:t>A.9. Explanation of Any Payment or Gift to Respondents</w:t>
            </w:r>
            <w:r w:rsidR="00405241">
              <w:rPr>
                <w:noProof/>
                <w:webHidden/>
              </w:rPr>
              <w:tab/>
            </w:r>
            <w:r w:rsidR="00405241">
              <w:rPr>
                <w:noProof/>
                <w:webHidden/>
              </w:rPr>
              <w:fldChar w:fldCharType="begin"/>
            </w:r>
            <w:r w:rsidR="00405241">
              <w:rPr>
                <w:noProof/>
                <w:webHidden/>
              </w:rPr>
              <w:instrText xml:space="preserve"> PAGEREF _Toc601056 \h </w:instrText>
            </w:r>
            <w:r w:rsidR="00405241">
              <w:rPr>
                <w:noProof/>
                <w:webHidden/>
              </w:rPr>
            </w:r>
            <w:r w:rsidR="00405241">
              <w:rPr>
                <w:noProof/>
                <w:webHidden/>
              </w:rPr>
              <w:fldChar w:fldCharType="separate"/>
            </w:r>
            <w:r w:rsidR="00405241">
              <w:rPr>
                <w:noProof/>
                <w:webHidden/>
              </w:rPr>
              <w:t>10</w:t>
            </w:r>
            <w:r w:rsidR="00405241">
              <w:rPr>
                <w:noProof/>
                <w:webHidden/>
              </w:rPr>
              <w:fldChar w:fldCharType="end"/>
            </w:r>
          </w:hyperlink>
        </w:p>
        <w:p w:rsidR="00405241" w:rsidRDefault="00380E0A">
          <w:pPr>
            <w:pStyle w:val="TOC1"/>
            <w:tabs>
              <w:tab w:val="right" w:leader="dot" w:pos="9350"/>
            </w:tabs>
            <w:rPr>
              <w:noProof/>
              <w:sz w:val="22"/>
              <w:szCs w:val="22"/>
            </w:rPr>
          </w:pPr>
          <w:hyperlink w:anchor="_Toc601057" w:history="1">
            <w:r w:rsidR="00405241" w:rsidRPr="00947B11">
              <w:rPr>
                <w:rStyle w:val="Hyperlink"/>
                <w:rFonts w:asciiTheme="majorHAnsi" w:hAnsiTheme="majorHAnsi" w:cstheme="minorHAnsi"/>
                <w:noProof/>
              </w:rPr>
              <w:t>A.10. Protection of the Privacy and Confidentiality of Information Provided by Respondents</w:t>
            </w:r>
            <w:r w:rsidR="00405241">
              <w:rPr>
                <w:noProof/>
                <w:webHidden/>
              </w:rPr>
              <w:tab/>
            </w:r>
            <w:r w:rsidR="00405241">
              <w:rPr>
                <w:noProof/>
                <w:webHidden/>
              </w:rPr>
              <w:fldChar w:fldCharType="begin"/>
            </w:r>
            <w:r w:rsidR="00405241">
              <w:rPr>
                <w:noProof/>
                <w:webHidden/>
              </w:rPr>
              <w:instrText xml:space="preserve"> PAGEREF _Toc601057 \h </w:instrText>
            </w:r>
            <w:r w:rsidR="00405241">
              <w:rPr>
                <w:noProof/>
                <w:webHidden/>
              </w:rPr>
            </w:r>
            <w:r w:rsidR="00405241">
              <w:rPr>
                <w:noProof/>
                <w:webHidden/>
              </w:rPr>
              <w:fldChar w:fldCharType="separate"/>
            </w:r>
            <w:r w:rsidR="00405241">
              <w:rPr>
                <w:noProof/>
                <w:webHidden/>
              </w:rPr>
              <w:t>10</w:t>
            </w:r>
            <w:r w:rsidR="00405241">
              <w:rPr>
                <w:noProof/>
                <w:webHidden/>
              </w:rPr>
              <w:fldChar w:fldCharType="end"/>
            </w:r>
          </w:hyperlink>
        </w:p>
        <w:p w:rsidR="00405241" w:rsidRDefault="00380E0A">
          <w:pPr>
            <w:pStyle w:val="TOC1"/>
            <w:tabs>
              <w:tab w:val="right" w:leader="dot" w:pos="9350"/>
            </w:tabs>
            <w:rPr>
              <w:noProof/>
              <w:sz w:val="22"/>
              <w:szCs w:val="22"/>
            </w:rPr>
          </w:pPr>
          <w:hyperlink w:anchor="_Toc601058" w:history="1">
            <w:r w:rsidR="00405241" w:rsidRPr="00947B11">
              <w:rPr>
                <w:rStyle w:val="Hyperlink"/>
                <w:rFonts w:asciiTheme="majorHAnsi" w:hAnsiTheme="majorHAnsi" w:cstheme="minorHAnsi"/>
                <w:noProof/>
              </w:rPr>
              <w:t>A.12. Estimates of Annualized Burden Hours and Costs</w:t>
            </w:r>
            <w:r w:rsidR="00405241">
              <w:rPr>
                <w:noProof/>
                <w:webHidden/>
              </w:rPr>
              <w:tab/>
            </w:r>
            <w:r w:rsidR="00405241">
              <w:rPr>
                <w:noProof/>
                <w:webHidden/>
              </w:rPr>
              <w:fldChar w:fldCharType="begin"/>
            </w:r>
            <w:r w:rsidR="00405241">
              <w:rPr>
                <w:noProof/>
                <w:webHidden/>
              </w:rPr>
              <w:instrText xml:space="preserve"> PAGEREF _Toc601058 \h </w:instrText>
            </w:r>
            <w:r w:rsidR="00405241">
              <w:rPr>
                <w:noProof/>
                <w:webHidden/>
              </w:rPr>
            </w:r>
            <w:r w:rsidR="00405241">
              <w:rPr>
                <w:noProof/>
                <w:webHidden/>
              </w:rPr>
              <w:fldChar w:fldCharType="separate"/>
            </w:r>
            <w:r w:rsidR="00405241">
              <w:rPr>
                <w:noProof/>
                <w:webHidden/>
              </w:rPr>
              <w:t>12</w:t>
            </w:r>
            <w:r w:rsidR="00405241">
              <w:rPr>
                <w:noProof/>
                <w:webHidden/>
              </w:rPr>
              <w:fldChar w:fldCharType="end"/>
            </w:r>
          </w:hyperlink>
        </w:p>
        <w:p w:rsidR="00405241" w:rsidRDefault="00380E0A">
          <w:pPr>
            <w:pStyle w:val="TOC1"/>
            <w:tabs>
              <w:tab w:val="right" w:leader="dot" w:pos="9350"/>
            </w:tabs>
            <w:rPr>
              <w:noProof/>
              <w:sz w:val="22"/>
              <w:szCs w:val="22"/>
            </w:rPr>
          </w:pPr>
          <w:hyperlink w:anchor="_Toc601059" w:history="1">
            <w:r w:rsidR="00405241" w:rsidRPr="00947B11">
              <w:rPr>
                <w:rStyle w:val="Hyperlink"/>
                <w:rFonts w:asciiTheme="majorHAnsi" w:hAnsiTheme="majorHAnsi" w:cstheme="minorHAnsi"/>
                <w:noProof/>
              </w:rPr>
              <w:t>A.13. Estimates of Other Total Annual Cost Burden to Respondents and Record Keepers</w:t>
            </w:r>
            <w:r w:rsidR="00405241">
              <w:rPr>
                <w:noProof/>
                <w:webHidden/>
              </w:rPr>
              <w:tab/>
            </w:r>
            <w:r w:rsidR="00405241">
              <w:rPr>
                <w:noProof/>
                <w:webHidden/>
              </w:rPr>
              <w:fldChar w:fldCharType="begin"/>
            </w:r>
            <w:r w:rsidR="00405241">
              <w:rPr>
                <w:noProof/>
                <w:webHidden/>
              </w:rPr>
              <w:instrText xml:space="preserve"> PAGEREF _Toc601059 \h </w:instrText>
            </w:r>
            <w:r w:rsidR="00405241">
              <w:rPr>
                <w:noProof/>
                <w:webHidden/>
              </w:rPr>
            </w:r>
            <w:r w:rsidR="00405241">
              <w:rPr>
                <w:noProof/>
                <w:webHidden/>
              </w:rPr>
              <w:fldChar w:fldCharType="separate"/>
            </w:r>
            <w:r w:rsidR="00405241">
              <w:rPr>
                <w:noProof/>
                <w:webHidden/>
              </w:rPr>
              <w:t>13</w:t>
            </w:r>
            <w:r w:rsidR="00405241">
              <w:rPr>
                <w:noProof/>
                <w:webHidden/>
              </w:rPr>
              <w:fldChar w:fldCharType="end"/>
            </w:r>
          </w:hyperlink>
        </w:p>
        <w:p w:rsidR="00405241" w:rsidRDefault="00380E0A">
          <w:pPr>
            <w:pStyle w:val="TOC1"/>
            <w:tabs>
              <w:tab w:val="left" w:pos="660"/>
              <w:tab w:val="right" w:leader="dot" w:pos="9350"/>
            </w:tabs>
            <w:rPr>
              <w:noProof/>
              <w:sz w:val="22"/>
              <w:szCs w:val="22"/>
            </w:rPr>
          </w:pPr>
          <w:hyperlink w:anchor="_Toc601060" w:history="1">
            <w:r w:rsidR="00405241" w:rsidRPr="00947B11">
              <w:rPr>
                <w:rStyle w:val="Hyperlink"/>
                <w:rFonts w:asciiTheme="majorHAnsi" w:hAnsiTheme="majorHAnsi" w:cstheme="minorHAnsi"/>
                <w:noProof/>
              </w:rPr>
              <w:t>A.15.</w:t>
            </w:r>
            <w:r w:rsidR="00405241">
              <w:rPr>
                <w:noProof/>
                <w:sz w:val="22"/>
                <w:szCs w:val="22"/>
              </w:rPr>
              <w:tab/>
            </w:r>
            <w:r w:rsidR="00405241" w:rsidRPr="00947B11">
              <w:rPr>
                <w:rStyle w:val="Hyperlink"/>
                <w:rFonts w:asciiTheme="majorHAnsi" w:hAnsiTheme="majorHAnsi" w:cstheme="minorHAnsi"/>
                <w:noProof/>
              </w:rPr>
              <w:t>Explanation for Program Changes or Adjustments</w:t>
            </w:r>
            <w:r w:rsidR="00405241">
              <w:rPr>
                <w:noProof/>
                <w:webHidden/>
              </w:rPr>
              <w:tab/>
            </w:r>
            <w:r w:rsidR="00405241">
              <w:rPr>
                <w:noProof/>
                <w:webHidden/>
              </w:rPr>
              <w:fldChar w:fldCharType="begin"/>
            </w:r>
            <w:r w:rsidR="00405241">
              <w:rPr>
                <w:noProof/>
                <w:webHidden/>
              </w:rPr>
              <w:instrText xml:space="preserve"> PAGEREF _Toc601060 \h </w:instrText>
            </w:r>
            <w:r w:rsidR="00405241">
              <w:rPr>
                <w:noProof/>
                <w:webHidden/>
              </w:rPr>
            </w:r>
            <w:r w:rsidR="00405241">
              <w:rPr>
                <w:noProof/>
                <w:webHidden/>
              </w:rPr>
              <w:fldChar w:fldCharType="separate"/>
            </w:r>
            <w:r w:rsidR="00405241">
              <w:rPr>
                <w:noProof/>
                <w:webHidden/>
              </w:rPr>
              <w:t>14</w:t>
            </w:r>
            <w:r w:rsidR="00405241">
              <w:rPr>
                <w:noProof/>
                <w:webHidden/>
              </w:rPr>
              <w:fldChar w:fldCharType="end"/>
            </w:r>
          </w:hyperlink>
        </w:p>
        <w:p w:rsidR="00405241" w:rsidRDefault="00380E0A">
          <w:pPr>
            <w:pStyle w:val="TOC1"/>
            <w:tabs>
              <w:tab w:val="right" w:leader="dot" w:pos="9350"/>
            </w:tabs>
            <w:rPr>
              <w:noProof/>
              <w:sz w:val="22"/>
              <w:szCs w:val="22"/>
            </w:rPr>
          </w:pPr>
          <w:hyperlink w:anchor="_Toc601061" w:history="1">
            <w:r w:rsidR="00405241" w:rsidRPr="00947B11">
              <w:rPr>
                <w:rStyle w:val="Hyperlink"/>
                <w:rFonts w:asciiTheme="majorHAnsi" w:hAnsiTheme="majorHAnsi" w:cstheme="minorHAnsi"/>
                <w:noProof/>
              </w:rPr>
              <w:t>A.16. Plans for Tabulation and Publication and Project Time Schedule</w:t>
            </w:r>
            <w:r w:rsidR="00405241">
              <w:rPr>
                <w:noProof/>
                <w:webHidden/>
              </w:rPr>
              <w:tab/>
            </w:r>
            <w:r w:rsidR="00405241">
              <w:rPr>
                <w:noProof/>
                <w:webHidden/>
              </w:rPr>
              <w:fldChar w:fldCharType="begin"/>
            </w:r>
            <w:r w:rsidR="00405241">
              <w:rPr>
                <w:noProof/>
                <w:webHidden/>
              </w:rPr>
              <w:instrText xml:space="preserve"> PAGEREF _Toc601061 \h </w:instrText>
            </w:r>
            <w:r w:rsidR="00405241">
              <w:rPr>
                <w:noProof/>
                <w:webHidden/>
              </w:rPr>
            </w:r>
            <w:r w:rsidR="00405241">
              <w:rPr>
                <w:noProof/>
                <w:webHidden/>
              </w:rPr>
              <w:fldChar w:fldCharType="separate"/>
            </w:r>
            <w:r w:rsidR="00405241">
              <w:rPr>
                <w:noProof/>
                <w:webHidden/>
              </w:rPr>
              <w:t>14</w:t>
            </w:r>
            <w:r w:rsidR="00405241">
              <w:rPr>
                <w:noProof/>
                <w:webHidden/>
              </w:rPr>
              <w:fldChar w:fldCharType="end"/>
            </w:r>
          </w:hyperlink>
        </w:p>
        <w:p w:rsidR="00405241" w:rsidRDefault="00380E0A">
          <w:pPr>
            <w:pStyle w:val="TOC1"/>
            <w:tabs>
              <w:tab w:val="right" w:leader="dot" w:pos="9350"/>
            </w:tabs>
            <w:rPr>
              <w:noProof/>
              <w:sz w:val="22"/>
              <w:szCs w:val="22"/>
            </w:rPr>
          </w:pPr>
          <w:hyperlink w:anchor="_Toc601062" w:history="1">
            <w:r w:rsidR="00405241" w:rsidRPr="00947B11">
              <w:rPr>
                <w:rStyle w:val="Hyperlink"/>
                <w:rFonts w:asciiTheme="majorHAnsi" w:hAnsiTheme="majorHAnsi" w:cstheme="minorHAnsi"/>
                <w:noProof/>
              </w:rPr>
              <w:t>A.17. Reason(s) Display of OMB Expiration Date is Inappropriate</w:t>
            </w:r>
            <w:r w:rsidR="00405241">
              <w:rPr>
                <w:noProof/>
                <w:webHidden/>
              </w:rPr>
              <w:tab/>
            </w:r>
            <w:r w:rsidR="00405241">
              <w:rPr>
                <w:noProof/>
                <w:webHidden/>
              </w:rPr>
              <w:fldChar w:fldCharType="begin"/>
            </w:r>
            <w:r w:rsidR="00405241">
              <w:rPr>
                <w:noProof/>
                <w:webHidden/>
              </w:rPr>
              <w:instrText xml:space="preserve"> PAGEREF _Toc601062 \h </w:instrText>
            </w:r>
            <w:r w:rsidR="00405241">
              <w:rPr>
                <w:noProof/>
                <w:webHidden/>
              </w:rPr>
            </w:r>
            <w:r w:rsidR="00405241">
              <w:rPr>
                <w:noProof/>
                <w:webHidden/>
              </w:rPr>
              <w:fldChar w:fldCharType="separate"/>
            </w:r>
            <w:r w:rsidR="00405241">
              <w:rPr>
                <w:noProof/>
                <w:webHidden/>
              </w:rPr>
              <w:t>15</w:t>
            </w:r>
            <w:r w:rsidR="00405241">
              <w:rPr>
                <w:noProof/>
                <w:webHidden/>
              </w:rPr>
              <w:fldChar w:fldCharType="end"/>
            </w:r>
          </w:hyperlink>
        </w:p>
        <w:p w:rsidR="00405241" w:rsidRDefault="00380E0A">
          <w:pPr>
            <w:pStyle w:val="TOC1"/>
            <w:tabs>
              <w:tab w:val="right" w:leader="dot" w:pos="9350"/>
            </w:tabs>
            <w:rPr>
              <w:noProof/>
              <w:sz w:val="22"/>
              <w:szCs w:val="22"/>
            </w:rPr>
          </w:pPr>
          <w:hyperlink w:anchor="_Toc601063" w:history="1">
            <w:r w:rsidR="00405241" w:rsidRPr="00947B11">
              <w:rPr>
                <w:rStyle w:val="Hyperlink"/>
                <w:rFonts w:asciiTheme="majorHAnsi" w:hAnsiTheme="majorHAnsi" w:cstheme="minorHAnsi"/>
                <w:noProof/>
              </w:rPr>
              <w:t>A.18. Exceptions to Certification for Paperwork Reduction Act Submissions</w:t>
            </w:r>
            <w:r w:rsidR="00405241">
              <w:rPr>
                <w:noProof/>
                <w:webHidden/>
              </w:rPr>
              <w:tab/>
            </w:r>
            <w:r w:rsidR="00405241">
              <w:rPr>
                <w:noProof/>
                <w:webHidden/>
              </w:rPr>
              <w:fldChar w:fldCharType="begin"/>
            </w:r>
            <w:r w:rsidR="00405241">
              <w:rPr>
                <w:noProof/>
                <w:webHidden/>
              </w:rPr>
              <w:instrText xml:space="preserve"> PAGEREF _Toc601063 \h </w:instrText>
            </w:r>
            <w:r w:rsidR="00405241">
              <w:rPr>
                <w:noProof/>
                <w:webHidden/>
              </w:rPr>
            </w:r>
            <w:r w:rsidR="00405241">
              <w:rPr>
                <w:noProof/>
                <w:webHidden/>
              </w:rPr>
              <w:fldChar w:fldCharType="separate"/>
            </w:r>
            <w:r w:rsidR="00405241">
              <w:rPr>
                <w:noProof/>
                <w:webHidden/>
              </w:rPr>
              <w:t>15</w:t>
            </w:r>
            <w:r w:rsidR="00405241">
              <w:rPr>
                <w:noProof/>
                <w:webHidden/>
              </w:rPr>
              <w:fldChar w:fldCharType="end"/>
            </w:r>
          </w:hyperlink>
        </w:p>
        <w:p w:rsidR="00405241" w:rsidRDefault="00380E0A">
          <w:pPr>
            <w:pStyle w:val="TOC1"/>
            <w:tabs>
              <w:tab w:val="right" w:leader="dot" w:pos="9350"/>
            </w:tabs>
            <w:rPr>
              <w:noProof/>
              <w:sz w:val="22"/>
              <w:szCs w:val="22"/>
            </w:rPr>
          </w:pPr>
          <w:hyperlink w:anchor="_Toc601064" w:history="1">
            <w:r w:rsidR="00405241" w:rsidRPr="00947B11">
              <w:rPr>
                <w:rStyle w:val="Hyperlink"/>
                <w:rFonts w:asciiTheme="majorHAnsi" w:hAnsiTheme="majorHAnsi" w:cstheme="minorHAnsi"/>
                <w:noProof/>
              </w:rPr>
              <w:t>References</w:t>
            </w:r>
            <w:r w:rsidR="00405241">
              <w:rPr>
                <w:noProof/>
                <w:webHidden/>
              </w:rPr>
              <w:tab/>
            </w:r>
            <w:r w:rsidR="00405241">
              <w:rPr>
                <w:noProof/>
                <w:webHidden/>
              </w:rPr>
              <w:fldChar w:fldCharType="begin"/>
            </w:r>
            <w:r w:rsidR="00405241">
              <w:rPr>
                <w:noProof/>
                <w:webHidden/>
              </w:rPr>
              <w:instrText xml:space="preserve"> PAGEREF _Toc601064 \h </w:instrText>
            </w:r>
            <w:r w:rsidR="00405241">
              <w:rPr>
                <w:noProof/>
                <w:webHidden/>
              </w:rPr>
            </w:r>
            <w:r w:rsidR="00405241">
              <w:rPr>
                <w:noProof/>
                <w:webHidden/>
              </w:rPr>
              <w:fldChar w:fldCharType="separate"/>
            </w:r>
            <w:r w:rsidR="00405241">
              <w:rPr>
                <w:noProof/>
                <w:webHidden/>
              </w:rPr>
              <w:t>15</w:t>
            </w:r>
            <w:r w:rsidR="00405241">
              <w:rPr>
                <w:noProof/>
                <w:webHidden/>
              </w:rPr>
              <w:fldChar w:fldCharType="end"/>
            </w:r>
          </w:hyperlink>
        </w:p>
        <w:p w:rsidR="0022559B" w:rsidRPr="002E4477" w:rsidRDefault="0022559B">
          <w:pPr>
            <w:rPr>
              <w:rFonts w:asciiTheme="majorHAnsi" w:hAnsiTheme="majorHAnsi" w:cstheme="minorHAnsi"/>
              <w:color w:val="000000" w:themeColor="text1"/>
              <w:sz w:val="22"/>
              <w:szCs w:val="22"/>
            </w:rPr>
          </w:pPr>
          <w:r w:rsidRPr="002E4477">
            <w:rPr>
              <w:rFonts w:asciiTheme="majorHAnsi" w:hAnsiTheme="majorHAnsi" w:cstheme="minorHAnsi"/>
              <w:b/>
              <w:bCs/>
              <w:noProof/>
              <w:color w:val="000000" w:themeColor="text1"/>
              <w:sz w:val="22"/>
              <w:szCs w:val="22"/>
            </w:rPr>
            <w:fldChar w:fldCharType="end"/>
          </w:r>
        </w:p>
      </w:sdtContent>
    </w:sdt>
    <w:p w:rsidR="00FF719E" w:rsidRPr="002E4477" w:rsidRDefault="00FF719E" w:rsidP="0056741A">
      <w:pPr>
        <w:pStyle w:val="TOC1"/>
        <w:tabs>
          <w:tab w:val="right" w:leader="dot" w:pos="9350"/>
        </w:tabs>
        <w:rPr>
          <w:rStyle w:val="Hyperlink"/>
          <w:rFonts w:asciiTheme="majorHAnsi" w:hAnsiTheme="majorHAnsi" w:cstheme="minorHAnsi"/>
          <w:noProof/>
          <w:color w:val="000000" w:themeColor="text1"/>
          <w:sz w:val="22"/>
          <w:szCs w:val="22"/>
          <w:u w:val="none"/>
        </w:rPr>
      </w:pPr>
      <w:r w:rsidRPr="002E4477">
        <w:rPr>
          <w:rStyle w:val="Hyperlink"/>
          <w:rFonts w:asciiTheme="majorHAnsi" w:hAnsiTheme="majorHAnsi" w:cstheme="minorHAnsi"/>
          <w:noProof/>
          <w:color w:val="000000" w:themeColor="text1"/>
          <w:sz w:val="22"/>
          <w:szCs w:val="22"/>
          <w:u w:val="none"/>
        </w:rPr>
        <w:t xml:space="preserve">  </w:t>
      </w:r>
    </w:p>
    <w:p w:rsidR="0056741A" w:rsidRPr="00D92BDD" w:rsidRDefault="00FF719E" w:rsidP="0056741A">
      <w:pPr>
        <w:pStyle w:val="TOC1"/>
        <w:tabs>
          <w:tab w:val="right" w:leader="dot" w:pos="9350"/>
        </w:tabs>
        <w:rPr>
          <w:rFonts w:asciiTheme="majorHAnsi" w:hAnsiTheme="majorHAnsi" w:cstheme="minorHAnsi"/>
          <w:noProof/>
          <w:color w:val="000000" w:themeColor="text1"/>
          <w:sz w:val="24"/>
          <w:szCs w:val="24"/>
        </w:rPr>
      </w:pPr>
      <w:r>
        <w:rPr>
          <w:rStyle w:val="Hyperlink"/>
          <w:rFonts w:asciiTheme="majorHAnsi" w:hAnsiTheme="majorHAnsi" w:cstheme="minorHAnsi"/>
          <w:noProof/>
          <w:color w:val="000000" w:themeColor="text1"/>
          <w:sz w:val="22"/>
          <w:szCs w:val="22"/>
          <w:u w:val="none"/>
        </w:rPr>
        <w:t xml:space="preserve">    </w:t>
      </w:r>
      <w:hyperlink w:anchor="_Toc505863499" w:history="1">
        <w:r w:rsidR="0056741A" w:rsidRPr="00D92BDD">
          <w:rPr>
            <w:rStyle w:val="Hyperlink"/>
            <w:rFonts w:asciiTheme="majorHAnsi" w:hAnsiTheme="majorHAnsi" w:cstheme="minorHAnsi"/>
            <w:noProof/>
            <w:color w:val="000000" w:themeColor="text1"/>
            <w:sz w:val="24"/>
            <w:szCs w:val="24"/>
            <w:u w:val="none"/>
          </w:rPr>
          <w:t>Attachments</w:t>
        </w:r>
      </w:hyperlink>
    </w:p>
    <w:p w:rsidR="0056741A" w:rsidRPr="00B32ACB" w:rsidRDefault="00380E0A" w:rsidP="00183BDC">
      <w:pPr>
        <w:pStyle w:val="TOC2"/>
        <w:rPr>
          <w:noProof/>
        </w:rPr>
      </w:pPr>
      <w:hyperlink w:anchor="_Toc505863500" w:history="1">
        <w:r w:rsidR="0056741A" w:rsidRPr="00B32ACB">
          <w:rPr>
            <w:rStyle w:val="Hyperlink"/>
            <w:rFonts w:cstheme="minorHAnsi"/>
            <w:noProof/>
            <w:color w:val="000000" w:themeColor="text1"/>
            <w:u w:val="none"/>
          </w:rPr>
          <w:t>Attachment 1. Authorizing Legislation</w:t>
        </w:r>
      </w:hyperlink>
    </w:p>
    <w:p w:rsidR="0056741A" w:rsidRPr="00B32ACB" w:rsidRDefault="00380E0A" w:rsidP="00183BDC">
      <w:pPr>
        <w:pStyle w:val="TOC2"/>
        <w:rPr>
          <w:noProof/>
        </w:rPr>
      </w:pPr>
      <w:hyperlink w:anchor="_Toc505863501" w:history="1">
        <w:r w:rsidR="0056741A" w:rsidRPr="00B32ACB">
          <w:rPr>
            <w:rStyle w:val="Hyperlink"/>
            <w:rFonts w:cstheme="minorHAnsi"/>
            <w:noProof/>
            <w:color w:val="000000" w:themeColor="text1"/>
            <w:u w:val="none"/>
          </w:rPr>
          <w:t>Attachment 2. 60-day Federal Register Notice</w:t>
        </w:r>
      </w:hyperlink>
    </w:p>
    <w:p w:rsidR="0056741A" w:rsidRPr="00B32ACB" w:rsidRDefault="00380E0A" w:rsidP="00183BDC">
      <w:pPr>
        <w:pStyle w:val="TOC2"/>
        <w:rPr>
          <w:noProof/>
        </w:rPr>
      </w:pPr>
      <w:hyperlink w:anchor="_Toc505863504" w:history="1">
        <w:r w:rsidR="0056741A" w:rsidRPr="00B32ACB">
          <w:rPr>
            <w:rStyle w:val="Hyperlink"/>
            <w:rFonts w:cstheme="minorHAnsi"/>
            <w:noProof/>
            <w:color w:val="000000" w:themeColor="text1"/>
            <w:u w:val="none"/>
          </w:rPr>
          <w:t xml:space="preserve">Attachment </w:t>
        </w:r>
        <w:r w:rsidR="00B66C39" w:rsidRPr="00B32ACB">
          <w:rPr>
            <w:rStyle w:val="Hyperlink"/>
            <w:rFonts w:cstheme="minorHAnsi"/>
            <w:noProof/>
            <w:color w:val="000000" w:themeColor="text1"/>
            <w:u w:val="none"/>
          </w:rPr>
          <w:t>3</w:t>
        </w:r>
        <w:r w:rsidR="00183BDC" w:rsidRPr="00B32ACB">
          <w:rPr>
            <w:rStyle w:val="Hyperlink"/>
            <w:rFonts w:cstheme="minorHAnsi"/>
            <w:noProof/>
            <w:color w:val="000000" w:themeColor="text1"/>
            <w:u w:val="none"/>
          </w:rPr>
          <w:t>a</w:t>
        </w:r>
        <w:r w:rsidR="0056741A" w:rsidRPr="00B32ACB">
          <w:rPr>
            <w:rStyle w:val="Hyperlink"/>
            <w:rFonts w:cstheme="minorHAnsi"/>
            <w:noProof/>
            <w:color w:val="000000" w:themeColor="text1"/>
            <w:u w:val="none"/>
          </w:rPr>
          <w:t>. Follow-up Survey Invitation</w:t>
        </w:r>
      </w:hyperlink>
    </w:p>
    <w:p w:rsidR="0056741A" w:rsidRPr="00B32ACB" w:rsidRDefault="00380E0A" w:rsidP="00183BDC">
      <w:pPr>
        <w:pStyle w:val="TOC2"/>
        <w:rPr>
          <w:noProof/>
        </w:rPr>
      </w:pPr>
      <w:hyperlink w:anchor="_Toc505863505" w:history="1">
        <w:r w:rsidR="0056741A" w:rsidRPr="00B32ACB">
          <w:rPr>
            <w:rStyle w:val="Hyperlink"/>
            <w:rFonts w:cstheme="minorHAnsi"/>
            <w:noProof/>
            <w:color w:val="000000" w:themeColor="text1"/>
            <w:u w:val="none"/>
          </w:rPr>
          <w:t xml:space="preserve">Attachment </w:t>
        </w:r>
        <w:r w:rsidR="00B66C39" w:rsidRPr="00B32ACB">
          <w:rPr>
            <w:rStyle w:val="Hyperlink"/>
            <w:rFonts w:cstheme="minorHAnsi"/>
            <w:noProof/>
            <w:color w:val="000000" w:themeColor="text1"/>
            <w:u w:val="none"/>
          </w:rPr>
          <w:t>3</w:t>
        </w:r>
        <w:r w:rsidR="00183BDC" w:rsidRPr="00B32ACB">
          <w:rPr>
            <w:rStyle w:val="Hyperlink"/>
            <w:rFonts w:cstheme="minorHAnsi"/>
            <w:noProof/>
            <w:color w:val="000000" w:themeColor="text1"/>
            <w:u w:val="none"/>
          </w:rPr>
          <w:t>b</w:t>
        </w:r>
        <w:r w:rsidR="0056741A" w:rsidRPr="00B32ACB">
          <w:rPr>
            <w:rStyle w:val="Hyperlink"/>
            <w:rFonts w:cstheme="minorHAnsi"/>
            <w:noProof/>
            <w:color w:val="000000" w:themeColor="text1"/>
            <w:u w:val="none"/>
          </w:rPr>
          <w:t>. Follow-up Survey Reminder</w:t>
        </w:r>
      </w:hyperlink>
    </w:p>
    <w:p w:rsidR="0056741A" w:rsidRPr="00B32ACB" w:rsidRDefault="00380E0A" w:rsidP="00183BDC">
      <w:pPr>
        <w:pStyle w:val="TOC2"/>
        <w:rPr>
          <w:noProof/>
        </w:rPr>
      </w:pPr>
      <w:hyperlink w:anchor="_Toc505863506" w:history="1">
        <w:r w:rsidR="0056741A" w:rsidRPr="00B32ACB">
          <w:rPr>
            <w:rStyle w:val="Hyperlink"/>
            <w:rFonts w:cstheme="minorHAnsi"/>
            <w:noProof/>
            <w:color w:val="000000" w:themeColor="text1"/>
            <w:u w:val="none"/>
          </w:rPr>
          <w:t xml:space="preserve">Attachment </w:t>
        </w:r>
        <w:r w:rsidR="00B66C39" w:rsidRPr="00B32ACB">
          <w:rPr>
            <w:rStyle w:val="Hyperlink"/>
            <w:rFonts w:cstheme="minorHAnsi"/>
            <w:noProof/>
            <w:color w:val="000000" w:themeColor="text1"/>
            <w:u w:val="none"/>
          </w:rPr>
          <w:t>4</w:t>
        </w:r>
        <w:r w:rsidR="00B70241" w:rsidRPr="00B32ACB">
          <w:rPr>
            <w:rStyle w:val="Hyperlink"/>
            <w:rFonts w:cstheme="minorHAnsi"/>
            <w:noProof/>
            <w:color w:val="000000" w:themeColor="text1"/>
            <w:u w:val="none"/>
          </w:rPr>
          <w:t>a</w:t>
        </w:r>
        <w:r w:rsidR="0056741A" w:rsidRPr="00B32ACB">
          <w:rPr>
            <w:rStyle w:val="Hyperlink"/>
            <w:rFonts w:cstheme="minorHAnsi"/>
            <w:noProof/>
            <w:color w:val="000000" w:themeColor="text1"/>
            <w:u w:val="none"/>
          </w:rPr>
          <w:t>. Follow-up Survey</w:t>
        </w:r>
        <w:r w:rsidR="00C27A1F" w:rsidRPr="00B32ACB">
          <w:rPr>
            <w:rStyle w:val="Hyperlink"/>
            <w:rFonts w:cstheme="minorHAnsi"/>
            <w:noProof/>
            <w:color w:val="000000" w:themeColor="text1"/>
            <w:u w:val="none"/>
          </w:rPr>
          <w:t xml:space="preserve"> </w:t>
        </w:r>
        <w:r w:rsidR="003F302A" w:rsidRPr="00B32ACB">
          <w:rPr>
            <w:rStyle w:val="Hyperlink"/>
            <w:rFonts w:cstheme="minorHAnsi"/>
            <w:noProof/>
            <w:color w:val="000000" w:themeColor="text1"/>
            <w:u w:val="none"/>
          </w:rPr>
          <w:t>-</w:t>
        </w:r>
        <w:r w:rsidR="00C27A1F" w:rsidRPr="00B32ACB">
          <w:t>WORD</w:t>
        </w:r>
      </w:hyperlink>
    </w:p>
    <w:p w:rsidR="007D5CF3" w:rsidRPr="00B32ACB" w:rsidRDefault="00380E0A" w:rsidP="007D5CF3">
      <w:pPr>
        <w:pStyle w:val="TOC2"/>
        <w:rPr>
          <w:noProof/>
        </w:rPr>
      </w:pPr>
      <w:hyperlink w:anchor="_Toc505863506" w:history="1">
        <w:r w:rsidR="007D5CF3" w:rsidRPr="00B32ACB">
          <w:rPr>
            <w:rStyle w:val="Hyperlink"/>
            <w:rFonts w:cstheme="minorHAnsi"/>
            <w:noProof/>
            <w:color w:val="000000" w:themeColor="text1"/>
            <w:u w:val="none"/>
          </w:rPr>
          <w:t xml:space="preserve">Attachment </w:t>
        </w:r>
        <w:r w:rsidR="00B66C39" w:rsidRPr="00B32ACB">
          <w:rPr>
            <w:rStyle w:val="Hyperlink"/>
            <w:rFonts w:cstheme="minorHAnsi"/>
            <w:noProof/>
            <w:color w:val="000000" w:themeColor="text1"/>
            <w:u w:val="none"/>
          </w:rPr>
          <w:t>4</w:t>
        </w:r>
        <w:r w:rsidR="007D5CF3" w:rsidRPr="00B32ACB">
          <w:rPr>
            <w:rStyle w:val="Hyperlink"/>
            <w:rFonts w:cstheme="minorHAnsi"/>
            <w:noProof/>
            <w:color w:val="000000" w:themeColor="text1"/>
            <w:u w:val="none"/>
          </w:rPr>
          <w:t xml:space="preserve">b. Follow-up Survey </w:t>
        </w:r>
        <w:r w:rsidR="003F302A" w:rsidRPr="00B32ACB">
          <w:rPr>
            <w:rStyle w:val="Hyperlink"/>
            <w:rFonts w:cstheme="minorHAnsi"/>
            <w:noProof/>
            <w:color w:val="000000" w:themeColor="text1"/>
            <w:u w:val="none"/>
          </w:rPr>
          <w:t>- Screenshots</w:t>
        </w:r>
      </w:hyperlink>
    </w:p>
    <w:p w:rsidR="0056741A" w:rsidRPr="00B32ACB" w:rsidRDefault="00380E0A" w:rsidP="00183BDC">
      <w:pPr>
        <w:pStyle w:val="TOC2"/>
        <w:rPr>
          <w:rStyle w:val="Hyperlink"/>
          <w:rFonts w:cstheme="minorHAnsi"/>
          <w:noProof/>
          <w:color w:val="000000" w:themeColor="text1"/>
          <w:u w:val="none"/>
        </w:rPr>
      </w:pPr>
      <w:hyperlink w:anchor="_Toc505863508" w:history="1">
        <w:r w:rsidR="0056741A" w:rsidRPr="00B32ACB">
          <w:rPr>
            <w:rStyle w:val="Hyperlink"/>
            <w:rFonts w:cstheme="minorHAnsi"/>
            <w:noProof/>
            <w:color w:val="000000" w:themeColor="text1"/>
            <w:u w:val="none"/>
          </w:rPr>
          <w:t xml:space="preserve">Attachment </w:t>
        </w:r>
        <w:r w:rsidR="00B66C39" w:rsidRPr="00B32ACB">
          <w:rPr>
            <w:rStyle w:val="Hyperlink"/>
            <w:rFonts w:cstheme="minorHAnsi"/>
            <w:noProof/>
            <w:color w:val="000000" w:themeColor="text1"/>
            <w:u w:val="none"/>
          </w:rPr>
          <w:t>5</w:t>
        </w:r>
        <w:r w:rsidR="0056741A" w:rsidRPr="00B32ACB">
          <w:rPr>
            <w:rStyle w:val="Hyperlink"/>
            <w:rFonts w:cstheme="minorHAnsi"/>
            <w:noProof/>
            <w:color w:val="000000" w:themeColor="text1"/>
            <w:u w:val="none"/>
          </w:rPr>
          <w:t xml:space="preserve">. </w:t>
        </w:r>
        <w:r w:rsidR="0060687E" w:rsidRPr="00B32ACB">
          <w:rPr>
            <w:rStyle w:val="Hyperlink"/>
            <w:rFonts w:cstheme="minorHAnsi"/>
            <w:noProof/>
            <w:color w:val="000000" w:themeColor="text1"/>
            <w:u w:val="none"/>
          </w:rPr>
          <w:t xml:space="preserve">CDC </w:t>
        </w:r>
        <w:r w:rsidR="0056741A" w:rsidRPr="00B32ACB">
          <w:rPr>
            <w:rStyle w:val="Hyperlink"/>
            <w:rFonts w:cstheme="minorHAnsi"/>
            <w:noProof/>
            <w:color w:val="000000" w:themeColor="text1"/>
            <w:u w:val="none"/>
          </w:rPr>
          <w:t>IRB Approval Letter</w:t>
        </w:r>
        <w:r w:rsidR="00583420" w:rsidRPr="00B32ACB">
          <w:rPr>
            <w:rStyle w:val="Hyperlink"/>
            <w:rFonts w:cstheme="minorHAnsi"/>
            <w:noProof/>
            <w:color w:val="000000" w:themeColor="text1"/>
            <w:u w:val="none"/>
          </w:rPr>
          <w:t xml:space="preserve"> </w:t>
        </w:r>
      </w:hyperlink>
    </w:p>
    <w:p w:rsidR="00D92BDD" w:rsidRPr="00D92BDD" w:rsidRDefault="00D92BDD" w:rsidP="00D92BDD">
      <w:pPr>
        <w:rPr>
          <w:rFonts w:asciiTheme="majorHAnsi" w:hAnsiTheme="majorHAnsi"/>
          <w:sz w:val="24"/>
          <w:szCs w:val="24"/>
        </w:rPr>
      </w:pPr>
      <w:r w:rsidRPr="00B32ACB">
        <w:rPr>
          <w:rFonts w:asciiTheme="majorHAnsi" w:hAnsiTheme="majorHAnsi"/>
          <w:sz w:val="24"/>
          <w:szCs w:val="24"/>
        </w:rPr>
        <w:t xml:space="preserve">    Attachment 6. Privacy Impact Assessment Approval</w:t>
      </w:r>
      <w:r w:rsidRPr="00D92BDD">
        <w:rPr>
          <w:rFonts w:asciiTheme="majorHAnsi" w:hAnsiTheme="majorHAnsi"/>
          <w:sz w:val="24"/>
          <w:szCs w:val="24"/>
        </w:rPr>
        <w:t xml:space="preserve"> </w:t>
      </w:r>
    </w:p>
    <w:p w:rsidR="0024399D" w:rsidRPr="00583420" w:rsidRDefault="00A75922" w:rsidP="00D079D9">
      <w:pPr>
        <w:rPr>
          <w:rFonts w:asciiTheme="majorHAnsi" w:hAnsiTheme="majorHAnsi" w:cstheme="minorHAnsi"/>
          <w:color w:val="000000" w:themeColor="text1"/>
          <w:sz w:val="24"/>
          <w:szCs w:val="24"/>
        </w:rPr>
      </w:pPr>
      <w:r w:rsidRPr="00583420">
        <w:rPr>
          <w:rFonts w:asciiTheme="majorHAnsi" w:hAnsiTheme="majorHAnsi" w:cstheme="minorHAnsi"/>
          <w:noProof/>
          <w:color w:val="000000" w:themeColor="text1"/>
          <w:sz w:val="24"/>
          <w:szCs w:val="24"/>
        </w:rPr>
        <w:lastRenderedPageBreak/>
        <mc:AlternateContent>
          <mc:Choice Requires="wps">
            <w:drawing>
              <wp:anchor distT="45720" distB="45720" distL="114300" distR="114300" simplePos="0" relativeHeight="251659264" behindDoc="0" locked="0" layoutInCell="1" allowOverlap="1" wp14:anchorId="27846E87" wp14:editId="1E910796">
                <wp:simplePos x="0" y="0"/>
                <wp:positionH relativeFrom="page">
                  <wp:posOffset>581025</wp:posOffset>
                </wp:positionH>
                <wp:positionV relativeFrom="paragraph">
                  <wp:posOffset>476250</wp:posOffset>
                </wp:positionV>
                <wp:extent cx="6465570" cy="3419475"/>
                <wp:effectExtent l="0" t="0" r="11430"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5570" cy="3419475"/>
                        </a:xfrm>
                        <a:prstGeom prst="rect">
                          <a:avLst/>
                        </a:prstGeom>
                        <a:solidFill>
                          <a:srgbClr val="FFFFFF"/>
                        </a:solidFill>
                        <a:ln w="9525">
                          <a:solidFill>
                            <a:srgbClr val="000000"/>
                          </a:solidFill>
                          <a:miter lim="800000"/>
                          <a:headEnd/>
                          <a:tailEnd/>
                        </a:ln>
                      </wps:spPr>
                      <wps:txbx>
                        <w:txbxContent>
                          <w:p w:rsidR="00614D32" w:rsidRPr="00D028B4" w:rsidRDefault="00614D32" w:rsidP="008C46E9">
                            <w:pPr>
                              <w:spacing w:before="240" w:line="240" w:lineRule="auto"/>
                              <w:rPr>
                                <w:rFonts w:asciiTheme="majorHAnsi" w:hAnsiTheme="majorHAnsi" w:cs="Courier New"/>
                                <w:sz w:val="24"/>
                                <w:szCs w:val="24"/>
                              </w:rPr>
                            </w:pPr>
                            <w:r w:rsidRPr="00D028B4">
                              <w:rPr>
                                <w:rFonts w:asciiTheme="majorHAnsi" w:hAnsiTheme="majorHAnsi" w:cs="Courier New"/>
                                <w:b/>
                                <w:sz w:val="24"/>
                                <w:szCs w:val="24"/>
                              </w:rPr>
                              <w:t xml:space="preserve">Goal of the study: </w:t>
                            </w:r>
                            <w:r w:rsidRPr="00D028B4">
                              <w:rPr>
                                <w:rFonts w:asciiTheme="majorHAnsi" w:hAnsiTheme="majorHAnsi" w:cs="Courier New"/>
                                <w:sz w:val="24"/>
                                <w:szCs w:val="24"/>
                              </w:rPr>
                              <w:t xml:space="preserve">The goal of the information collection is to collect participant feedback on the environmental health </w:t>
                            </w:r>
                            <w:r>
                              <w:rPr>
                                <w:rFonts w:asciiTheme="majorHAnsi" w:hAnsiTheme="majorHAnsi" w:cs="Courier New"/>
                                <w:sz w:val="24"/>
                                <w:szCs w:val="24"/>
                              </w:rPr>
                              <w:t>land reuse cer</w:t>
                            </w:r>
                            <w:r w:rsidRPr="00D028B4">
                              <w:rPr>
                                <w:rFonts w:asciiTheme="majorHAnsi" w:hAnsiTheme="majorHAnsi" w:cs="Courier New"/>
                                <w:sz w:val="24"/>
                                <w:szCs w:val="24"/>
                              </w:rPr>
                              <w:t>tifica</w:t>
                            </w:r>
                            <w:r>
                              <w:rPr>
                                <w:rFonts w:asciiTheme="majorHAnsi" w:hAnsiTheme="majorHAnsi" w:cs="Courier New"/>
                                <w:sz w:val="24"/>
                                <w:szCs w:val="24"/>
                              </w:rPr>
                              <w:t>te</w:t>
                            </w:r>
                            <w:r w:rsidRPr="00D028B4">
                              <w:rPr>
                                <w:rFonts w:asciiTheme="majorHAnsi" w:hAnsiTheme="majorHAnsi" w:cs="Courier New"/>
                                <w:sz w:val="24"/>
                                <w:szCs w:val="24"/>
                              </w:rPr>
                              <w:t xml:space="preserve"> course content</w:t>
                            </w:r>
                            <w:r>
                              <w:rPr>
                                <w:rFonts w:asciiTheme="majorHAnsi" w:hAnsiTheme="majorHAnsi" w:cs="Courier New"/>
                                <w:sz w:val="24"/>
                                <w:szCs w:val="24"/>
                              </w:rPr>
                              <w:t xml:space="preserve"> developed by ATSDR and its collaborator.</w:t>
                            </w:r>
                          </w:p>
                          <w:p w:rsidR="00614D32" w:rsidRPr="00D028B4" w:rsidRDefault="00614D32" w:rsidP="008C46E9">
                            <w:pPr>
                              <w:spacing w:before="240" w:line="240" w:lineRule="auto"/>
                              <w:rPr>
                                <w:rFonts w:asciiTheme="majorHAnsi" w:hAnsiTheme="majorHAnsi" w:cs="Courier New"/>
                                <w:sz w:val="24"/>
                                <w:szCs w:val="24"/>
                              </w:rPr>
                            </w:pPr>
                            <w:r w:rsidRPr="00D028B4">
                              <w:rPr>
                                <w:rFonts w:asciiTheme="majorHAnsi" w:hAnsiTheme="majorHAnsi" w:cs="Courier New"/>
                                <w:b/>
                                <w:sz w:val="24"/>
                                <w:szCs w:val="24"/>
                              </w:rPr>
                              <w:t xml:space="preserve">Intended use of the resulting data: </w:t>
                            </w:r>
                            <w:r w:rsidRPr="00D028B4">
                              <w:rPr>
                                <w:rFonts w:asciiTheme="majorHAnsi" w:hAnsiTheme="majorHAnsi" w:cs="Courier New"/>
                                <w:sz w:val="24"/>
                                <w:szCs w:val="24"/>
                              </w:rPr>
                              <w:t>ATSDR will use data from this information collection to assess the impact of participating in the certificat</w:t>
                            </w:r>
                            <w:r>
                              <w:rPr>
                                <w:rFonts w:asciiTheme="majorHAnsi" w:hAnsiTheme="majorHAnsi" w:cs="Courier New"/>
                                <w:sz w:val="24"/>
                                <w:szCs w:val="24"/>
                              </w:rPr>
                              <w:t>e course</w:t>
                            </w:r>
                            <w:r w:rsidRPr="00D028B4">
                              <w:rPr>
                                <w:rFonts w:asciiTheme="majorHAnsi" w:hAnsiTheme="majorHAnsi" w:cs="Courier New"/>
                                <w:sz w:val="24"/>
                                <w:szCs w:val="24"/>
                              </w:rPr>
                              <w:t>, such as increased capacity to perform their work. Ultimately, ATSDR is interested in long term benefits of the certifica</w:t>
                            </w:r>
                            <w:r>
                              <w:rPr>
                                <w:rFonts w:asciiTheme="majorHAnsi" w:hAnsiTheme="majorHAnsi" w:cs="Courier New"/>
                                <w:sz w:val="24"/>
                                <w:szCs w:val="24"/>
                              </w:rPr>
                              <w:t>te course</w:t>
                            </w:r>
                            <w:r w:rsidRPr="00D028B4">
                              <w:rPr>
                                <w:rFonts w:asciiTheme="majorHAnsi" w:hAnsiTheme="majorHAnsi" w:cs="Courier New"/>
                                <w:sz w:val="24"/>
                                <w:szCs w:val="24"/>
                              </w:rPr>
                              <w:t xml:space="preserve">, such as </w:t>
                            </w:r>
                            <w:r>
                              <w:rPr>
                                <w:rFonts w:asciiTheme="majorHAnsi" w:hAnsiTheme="majorHAnsi" w:cs="Courier New"/>
                                <w:sz w:val="24"/>
                                <w:szCs w:val="24"/>
                              </w:rPr>
                              <w:t>s</w:t>
                            </w:r>
                            <w:r w:rsidRPr="00D028B4">
                              <w:rPr>
                                <w:rFonts w:asciiTheme="majorHAnsi" w:hAnsiTheme="majorHAnsi" w:cs="Courier New"/>
                                <w:sz w:val="24"/>
                                <w:szCs w:val="24"/>
                              </w:rPr>
                              <w:t xml:space="preserve">tate health partners engaging more frequently in land reuse and redevelopment projects. </w:t>
                            </w:r>
                          </w:p>
                          <w:p w:rsidR="00614D32" w:rsidRPr="00D028B4" w:rsidRDefault="00614D32" w:rsidP="008C46E9">
                            <w:pPr>
                              <w:spacing w:before="240" w:line="240" w:lineRule="auto"/>
                              <w:rPr>
                                <w:rFonts w:asciiTheme="majorHAnsi" w:hAnsiTheme="majorHAnsi" w:cs="Courier New"/>
                                <w:sz w:val="24"/>
                                <w:szCs w:val="24"/>
                              </w:rPr>
                            </w:pPr>
                            <w:r w:rsidRPr="00D028B4">
                              <w:rPr>
                                <w:rFonts w:asciiTheme="majorHAnsi" w:hAnsiTheme="majorHAnsi" w:cs="Courier New"/>
                                <w:b/>
                                <w:sz w:val="24"/>
                                <w:szCs w:val="24"/>
                              </w:rPr>
                              <w:t xml:space="preserve">Methods to be used to collect: </w:t>
                            </w:r>
                            <w:r>
                              <w:rPr>
                                <w:rFonts w:asciiTheme="majorHAnsi" w:hAnsiTheme="majorHAnsi" w:cs="Courier New"/>
                                <w:sz w:val="24"/>
                                <w:szCs w:val="24"/>
                              </w:rPr>
                              <w:t>O</w:t>
                            </w:r>
                            <w:r w:rsidRPr="00D028B4">
                              <w:rPr>
                                <w:rFonts w:asciiTheme="majorHAnsi" w:hAnsiTheme="majorHAnsi" w:cs="Courier New"/>
                                <w:sz w:val="24"/>
                                <w:szCs w:val="24"/>
                              </w:rPr>
                              <w:t xml:space="preserve">nline </w:t>
                            </w:r>
                            <w:r>
                              <w:rPr>
                                <w:rFonts w:asciiTheme="majorHAnsi" w:hAnsiTheme="majorHAnsi" w:cs="Courier New"/>
                                <w:sz w:val="24"/>
                                <w:szCs w:val="24"/>
                              </w:rPr>
                              <w:t>secure web application will be used</w:t>
                            </w:r>
                            <w:r w:rsidRPr="00D028B4">
                              <w:rPr>
                                <w:rFonts w:asciiTheme="majorHAnsi" w:hAnsiTheme="majorHAnsi" w:cs="Courier New"/>
                                <w:sz w:val="24"/>
                                <w:szCs w:val="24"/>
                              </w:rPr>
                              <w:t xml:space="preserve"> to collect standardized </w:t>
                            </w:r>
                            <w:r>
                              <w:rPr>
                                <w:rFonts w:asciiTheme="majorHAnsi" w:hAnsiTheme="majorHAnsi" w:cs="Courier New"/>
                                <w:sz w:val="24"/>
                                <w:szCs w:val="24"/>
                              </w:rPr>
                              <w:t>data</w:t>
                            </w:r>
                            <w:r w:rsidRPr="00D028B4">
                              <w:rPr>
                                <w:rFonts w:asciiTheme="majorHAnsi" w:hAnsiTheme="majorHAnsi" w:cs="Courier New"/>
                                <w:sz w:val="24"/>
                                <w:szCs w:val="24"/>
                              </w:rPr>
                              <w:t xml:space="preserve"> to collect feedback on the course content</w:t>
                            </w:r>
                            <w:r>
                              <w:rPr>
                                <w:rFonts w:asciiTheme="majorHAnsi" w:hAnsiTheme="majorHAnsi" w:cs="Courier New"/>
                                <w:sz w:val="24"/>
                                <w:szCs w:val="24"/>
                              </w:rPr>
                              <w:t>.</w:t>
                            </w:r>
                          </w:p>
                          <w:p w:rsidR="00614D32" w:rsidRPr="00D028B4" w:rsidRDefault="00614D32" w:rsidP="008C46E9">
                            <w:pPr>
                              <w:spacing w:before="240" w:line="240" w:lineRule="auto"/>
                              <w:rPr>
                                <w:rFonts w:asciiTheme="majorHAnsi" w:hAnsiTheme="majorHAnsi" w:cs="Courier New"/>
                                <w:sz w:val="24"/>
                                <w:szCs w:val="24"/>
                              </w:rPr>
                            </w:pPr>
                            <w:r w:rsidRPr="00D028B4">
                              <w:rPr>
                                <w:rFonts w:asciiTheme="majorHAnsi" w:hAnsiTheme="majorHAnsi" w:cs="Courier New"/>
                                <w:b/>
                                <w:sz w:val="24"/>
                                <w:szCs w:val="24"/>
                              </w:rPr>
                              <w:t xml:space="preserve">Subpopulation to be studied: </w:t>
                            </w:r>
                            <w:r w:rsidRPr="00D028B4">
                              <w:rPr>
                                <w:rFonts w:asciiTheme="majorHAnsi" w:hAnsiTheme="majorHAnsi" w:cs="Courier New"/>
                                <w:sz w:val="24"/>
                                <w:szCs w:val="24"/>
                              </w:rPr>
                              <w:t>Environmental professionals; students of environmental science, public health, or planning; and local or state health agency professionals</w:t>
                            </w:r>
                          </w:p>
                          <w:p w:rsidR="00614D32" w:rsidRPr="00D028B4" w:rsidRDefault="00614D32" w:rsidP="008C46E9">
                            <w:pPr>
                              <w:spacing w:before="240" w:line="240" w:lineRule="auto"/>
                              <w:rPr>
                                <w:rFonts w:asciiTheme="majorHAnsi" w:hAnsiTheme="majorHAnsi" w:cs="Courier New"/>
                                <w:sz w:val="24"/>
                                <w:szCs w:val="24"/>
                              </w:rPr>
                            </w:pPr>
                            <w:r w:rsidRPr="00D028B4">
                              <w:rPr>
                                <w:rFonts w:asciiTheme="majorHAnsi" w:hAnsiTheme="majorHAnsi" w:cs="Courier New"/>
                                <w:b/>
                                <w:sz w:val="24"/>
                                <w:szCs w:val="24"/>
                              </w:rPr>
                              <w:t xml:space="preserve">How data will be analyzed: </w:t>
                            </w:r>
                            <w:r w:rsidRPr="00D028B4">
                              <w:rPr>
                                <w:rFonts w:asciiTheme="majorHAnsi" w:hAnsiTheme="majorHAnsi" w:cs="Courier New"/>
                                <w:sz w:val="24"/>
                                <w:szCs w:val="24"/>
                              </w:rPr>
                              <w:t>ATSDR may use Excel or other spreadsheet software to characterize certificat</w:t>
                            </w:r>
                            <w:r>
                              <w:rPr>
                                <w:rFonts w:asciiTheme="majorHAnsi" w:hAnsiTheme="majorHAnsi" w:cs="Courier New"/>
                                <w:sz w:val="24"/>
                                <w:szCs w:val="24"/>
                              </w:rPr>
                              <w:t>e</w:t>
                            </w:r>
                            <w:r w:rsidRPr="00D028B4">
                              <w:rPr>
                                <w:rFonts w:asciiTheme="majorHAnsi" w:hAnsiTheme="majorHAnsi" w:cs="Courier New"/>
                                <w:sz w:val="24"/>
                                <w:szCs w:val="24"/>
                              </w:rPr>
                              <w:t xml:space="preserve"> course participants (e.g. by job title) and to summarize their feedback on the course content and effectiveness.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5.75pt;margin-top:37.5pt;width:509.1pt;height:269.2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Y49JAIAAEUEAAAOAAAAZHJzL2Uyb0RvYy54bWysU9uO2yAQfa/Uf0C8N05SO9lYcVbbbFNV&#10;2l6k3X4AxjhGBcYFEjv9+h2wN7XaPlXlATHMcDhzZmZ722tFzsI6Caagi9mcEmE4VNIcC/rt6fDm&#10;hhLnmamYAiMKehGO3u5ev9p2bS6W0ICqhCUIYlzetQVtvG/zJHG8EZq5GbTCoLMGq5lH0x6TyrIO&#10;0bVKlvP5KunAVq0FLpzD2/vBSXcRv64F91/q2glPVEGRm4+7jXsZ9mS3ZfnRsraRfKTB/oGFZtLg&#10;p1eoe+YZOVn5B5SW3IKD2s846ATqWnIRc8BsFvPfsnlsWCtiLiiOa68yuf8Hyz+fv1oiK6wdJYZp&#10;LNGT6D15Bz1ZBnW61uUY9NhimO/xOkSGTF37APy7Iwb2DTNHcWctdI1gFbJbhJfJ5OmA4wJI2X2C&#10;Cr9hJw8RqK+tDoAoBkF0rNLlWplAhePlKl1l2RpdHH1v08UmXWfxD5a/PG+t8x8EaBIOBbVY+gjP&#10;zg/OBzosfwmJ9EHJ6iCVioY9lntlyZlhmxziGtHdNEwZ0hV0ky2zQYGpz00h5nH9DUJLj/2upC7o&#10;zTWI5UG396aK3eiZVMMZKSszChm0G1T0fdmPhSmhuqCkFoa+xjnEQwP2JyUd9nRB3Y8Ts4IS9dFg&#10;WTaLNA1DEI00Wy/RsFNPOfUwwxGqoJ6S4bj3cXCCYAbusHy1jMKGOg9MRq7Yq1Hvca7CMEztGPVr&#10;+nfPAAAA//8DAFBLAwQUAAYACAAAACEAS3L7w+AAAAAKAQAADwAAAGRycy9kb3ducmV2LnhtbEyP&#10;zU7DMBCE70i8g7VIXBB1QknShGwqhASiNygIrm68TSL8E2w3DW+Pe4LjaEYz39TrWSs2kfODNQjp&#10;IgFGprVyMB3C+9vj9QqYD8JIoawhhB/ysG7Oz2pRSXs0rzRtQ8diifGVQOhDGCvOfduTFn5hRzLR&#10;21unRYjSdVw6cYzlWvGbJMm5FoOJC70Y6aGn9mt70Air2+fp02+WLx9tvldluCqmp2+HeHkx398B&#10;CzSHvzCc8CM6NJFpZw9GeqYQyjSLSYQii5dOfpqUBbAdQp4uM+BNzf9faH4BAAD//wMAUEsBAi0A&#10;FAAGAAgAAAAhALaDOJL+AAAA4QEAABMAAAAAAAAAAAAAAAAAAAAAAFtDb250ZW50X1R5cGVzXS54&#10;bWxQSwECLQAUAAYACAAAACEAOP0h/9YAAACUAQAACwAAAAAAAAAAAAAAAAAvAQAAX3JlbHMvLnJl&#10;bHNQSwECLQAUAAYACAAAACEAYY2OPSQCAABFBAAADgAAAAAAAAAAAAAAAAAuAgAAZHJzL2Uyb0Rv&#10;Yy54bWxQSwECLQAUAAYACAAAACEAS3L7w+AAAAAKAQAADwAAAAAAAAAAAAAAAAB+BAAAZHJzL2Rv&#10;d25yZXYueG1sUEsFBgAAAAAEAAQA8wAAAIsFAAAAAA==&#10;">
                <v:textbox>
                  <w:txbxContent>
                    <w:p w:rsidR="00614D32" w:rsidRPr="00D028B4" w:rsidRDefault="00614D32" w:rsidP="008C46E9">
                      <w:pPr>
                        <w:spacing w:before="240" w:line="240" w:lineRule="auto"/>
                        <w:rPr>
                          <w:rFonts w:asciiTheme="majorHAnsi" w:hAnsiTheme="majorHAnsi" w:cs="Courier New"/>
                          <w:sz w:val="24"/>
                          <w:szCs w:val="24"/>
                        </w:rPr>
                      </w:pPr>
                      <w:r w:rsidRPr="00D028B4">
                        <w:rPr>
                          <w:rFonts w:asciiTheme="majorHAnsi" w:hAnsiTheme="majorHAnsi" w:cs="Courier New"/>
                          <w:b/>
                          <w:sz w:val="24"/>
                          <w:szCs w:val="24"/>
                        </w:rPr>
                        <w:t xml:space="preserve">Goal of the study: </w:t>
                      </w:r>
                      <w:r w:rsidRPr="00D028B4">
                        <w:rPr>
                          <w:rFonts w:asciiTheme="majorHAnsi" w:hAnsiTheme="majorHAnsi" w:cs="Courier New"/>
                          <w:sz w:val="24"/>
                          <w:szCs w:val="24"/>
                        </w:rPr>
                        <w:t xml:space="preserve">The goal of the information collection is to collect participant feedback on the environmental health </w:t>
                      </w:r>
                      <w:r>
                        <w:rPr>
                          <w:rFonts w:asciiTheme="majorHAnsi" w:hAnsiTheme="majorHAnsi" w:cs="Courier New"/>
                          <w:sz w:val="24"/>
                          <w:szCs w:val="24"/>
                        </w:rPr>
                        <w:t>land reuse cer</w:t>
                      </w:r>
                      <w:r w:rsidRPr="00D028B4">
                        <w:rPr>
                          <w:rFonts w:asciiTheme="majorHAnsi" w:hAnsiTheme="majorHAnsi" w:cs="Courier New"/>
                          <w:sz w:val="24"/>
                          <w:szCs w:val="24"/>
                        </w:rPr>
                        <w:t>tifica</w:t>
                      </w:r>
                      <w:r>
                        <w:rPr>
                          <w:rFonts w:asciiTheme="majorHAnsi" w:hAnsiTheme="majorHAnsi" w:cs="Courier New"/>
                          <w:sz w:val="24"/>
                          <w:szCs w:val="24"/>
                        </w:rPr>
                        <w:t>te</w:t>
                      </w:r>
                      <w:r w:rsidRPr="00D028B4">
                        <w:rPr>
                          <w:rFonts w:asciiTheme="majorHAnsi" w:hAnsiTheme="majorHAnsi" w:cs="Courier New"/>
                          <w:sz w:val="24"/>
                          <w:szCs w:val="24"/>
                        </w:rPr>
                        <w:t xml:space="preserve"> course content</w:t>
                      </w:r>
                      <w:r>
                        <w:rPr>
                          <w:rFonts w:asciiTheme="majorHAnsi" w:hAnsiTheme="majorHAnsi" w:cs="Courier New"/>
                          <w:sz w:val="24"/>
                          <w:szCs w:val="24"/>
                        </w:rPr>
                        <w:t xml:space="preserve"> developed by ATSDR and its collaborator.</w:t>
                      </w:r>
                    </w:p>
                    <w:p w:rsidR="00614D32" w:rsidRPr="00D028B4" w:rsidRDefault="00614D32" w:rsidP="008C46E9">
                      <w:pPr>
                        <w:spacing w:before="240" w:line="240" w:lineRule="auto"/>
                        <w:rPr>
                          <w:rFonts w:asciiTheme="majorHAnsi" w:hAnsiTheme="majorHAnsi" w:cs="Courier New"/>
                          <w:sz w:val="24"/>
                          <w:szCs w:val="24"/>
                        </w:rPr>
                      </w:pPr>
                      <w:r w:rsidRPr="00D028B4">
                        <w:rPr>
                          <w:rFonts w:asciiTheme="majorHAnsi" w:hAnsiTheme="majorHAnsi" w:cs="Courier New"/>
                          <w:b/>
                          <w:sz w:val="24"/>
                          <w:szCs w:val="24"/>
                        </w:rPr>
                        <w:t xml:space="preserve">Intended use of the resulting data: </w:t>
                      </w:r>
                      <w:r w:rsidRPr="00D028B4">
                        <w:rPr>
                          <w:rFonts w:asciiTheme="majorHAnsi" w:hAnsiTheme="majorHAnsi" w:cs="Courier New"/>
                          <w:sz w:val="24"/>
                          <w:szCs w:val="24"/>
                        </w:rPr>
                        <w:t>ATSDR will use data from this information collection to assess the impact of participating in the certificat</w:t>
                      </w:r>
                      <w:r>
                        <w:rPr>
                          <w:rFonts w:asciiTheme="majorHAnsi" w:hAnsiTheme="majorHAnsi" w:cs="Courier New"/>
                          <w:sz w:val="24"/>
                          <w:szCs w:val="24"/>
                        </w:rPr>
                        <w:t>e course</w:t>
                      </w:r>
                      <w:r w:rsidRPr="00D028B4">
                        <w:rPr>
                          <w:rFonts w:asciiTheme="majorHAnsi" w:hAnsiTheme="majorHAnsi" w:cs="Courier New"/>
                          <w:sz w:val="24"/>
                          <w:szCs w:val="24"/>
                        </w:rPr>
                        <w:t>, such as increased capacity to perform their work. Ultimately, ATSDR is interested in long term benefits of the certifica</w:t>
                      </w:r>
                      <w:r>
                        <w:rPr>
                          <w:rFonts w:asciiTheme="majorHAnsi" w:hAnsiTheme="majorHAnsi" w:cs="Courier New"/>
                          <w:sz w:val="24"/>
                          <w:szCs w:val="24"/>
                        </w:rPr>
                        <w:t>te course</w:t>
                      </w:r>
                      <w:r w:rsidRPr="00D028B4">
                        <w:rPr>
                          <w:rFonts w:asciiTheme="majorHAnsi" w:hAnsiTheme="majorHAnsi" w:cs="Courier New"/>
                          <w:sz w:val="24"/>
                          <w:szCs w:val="24"/>
                        </w:rPr>
                        <w:t xml:space="preserve">, such as </w:t>
                      </w:r>
                      <w:r>
                        <w:rPr>
                          <w:rFonts w:asciiTheme="majorHAnsi" w:hAnsiTheme="majorHAnsi" w:cs="Courier New"/>
                          <w:sz w:val="24"/>
                          <w:szCs w:val="24"/>
                        </w:rPr>
                        <w:t>s</w:t>
                      </w:r>
                      <w:r w:rsidRPr="00D028B4">
                        <w:rPr>
                          <w:rFonts w:asciiTheme="majorHAnsi" w:hAnsiTheme="majorHAnsi" w:cs="Courier New"/>
                          <w:sz w:val="24"/>
                          <w:szCs w:val="24"/>
                        </w:rPr>
                        <w:t xml:space="preserve">tate health partners engaging more frequently in land reuse and redevelopment projects. </w:t>
                      </w:r>
                    </w:p>
                    <w:p w:rsidR="00614D32" w:rsidRPr="00D028B4" w:rsidRDefault="00614D32" w:rsidP="008C46E9">
                      <w:pPr>
                        <w:spacing w:before="240" w:line="240" w:lineRule="auto"/>
                        <w:rPr>
                          <w:rFonts w:asciiTheme="majorHAnsi" w:hAnsiTheme="majorHAnsi" w:cs="Courier New"/>
                          <w:sz w:val="24"/>
                          <w:szCs w:val="24"/>
                        </w:rPr>
                      </w:pPr>
                      <w:r w:rsidRPr="00D028B4">
                        <w:rPr>
                          <w:rFonts w:asciiTheme="majorHAnsi" w:hAnsiTheme="majorHAnsi" w:cs="Courier New"/>
                          <w:b/>
                          <w:sz w:val="24"/>
                          <w:szCs w:val="24"/>
                        </w:rPr>
                        <w:t xml:space="preserve">Methods to be used to collect: </w:t>
                      </w:r>
                      <w:r>
                        <w:rPr>
                          <w:rFonts w:asciiTheme="majorHAnsi" w:hAnsiTheme="majorHAnsi" w:cs="Courier New"/>
                          <w:sz w:val="24"/>
                          <w:szCs w:val="24"/>
                        </w:rPr>
                        <w:t>O</w:t>
                      </w:r>
                      <w:r w:rsidRPr="00D028B4">
                        <w:rPr>
                          <w:rFonts w:asciiTheme="majorHAnsi" w:hAnsiTheme="majorHAnsi" w:cs="Courier New"/>
                          <w:sz w:val="24"/>
                          <w:szCs w:val="24"/>
                        </w:rPr>
                        <w:t xml:space="preserve">nline </w:t>
                      </w:r>
                      <w:r>
                        <w:rPr>
                          <w:rFonts w:asciiTheme="majorHAnsi" w:hAnsiTheme="majorHAnsi" w:cs="Courier New"/>
                          <w:sz w:val="24"/>
                          <w:szCs w:val="24"/>
                        </w:rPr>
                        <w:t>secure web application will be used</w:t>
                      </w:r>
                      <w:r w:rsidRPr="00D028B4">
                        <w:rPr>
                          <w:rFonts w:asciiTheme="majorHAnsi" w:hAnsiTheme="majorHAnsi" w:cs="Courier New"/>
                          <w:sz w:val="24"/>
                          <w:szCs w:val="24"/>
                        </w:rPr>
                        <w:t xml:space="preserve"> to collect standardized </w:t>
                      </w:r>
                      <w:r>
                        <w:rPr>
                          <w:rFonts w:asciiTheme="majorHAnsi" w:hAnsiTheme="majorHAnsi" w:cs="Courier New"/>
                          <w:sz w:val="24"/>
                          <w:szCs w:val="24"/>
                        </w:rPr>
                        <w:t>data</w:t>
                      </w:r>
                      <w:r w:rsidRPr="00D028B4">
                        <w:rPr>
                          <w:rFonts w:asciiTheme="majorHAnsi" w:hAnsiTheme="majorHAnsi" w:cs="Courier New"/>
                          <w:sz w:val="24"/>
                          <w:szCs w:val="24"/>
                        </w:rPr>
                        <w:t xml:space="preserve"> to collect feedback on the course content</w:t>
                      </w:r>
                      <w:r>
                        <w:rPr>
                          <w:rFonts w:asciiTheme="majorHAnsi" w:hAnsiTheme="majorHAnsi" w:cs="Courier New"/>
                          <w:sz w:val="24"/>
                          <w:szCs w:val="24"/>
                        </w:rPr>
                        <w:t>.</w:t>
                      </w:r>
                    </w:p>
                    <w:p w:rsidR="00614D32" w:rsidRPr="00D028B4" w:rsidRDefault="00614D32" w:rsidP="008C46E9">
                      <w:pPr>
                        <w:spacing w:before="240" w:line="240" w:lineRule="auto"/>
                        <w:rPr>
                          <w:rFonts w:asciiTheme="majorHAnsi" w:hAnsiTheme="majorHAnsi" w:cs="Courier New"/>
                          <w:sz w:val="24"/>
                          <w:szCs w:val="24"/>
                        </w:rPr>
                      </w:pPr>
                      <w:r w:rsidRPr="00D028B4">
                        <w:rPr>
                          <w:rFonts w:asciiTheme="majorHAnsi" w:hAnsiTheme="majorHAnsi" w:cs="Courier New"/>
                          <w:b/>
                          <w:sz w:val="24"/>
                          <w:szCs w:val="24"/>
                        </w:rPr>
                        <w:t xml:space="preserve">Subpopulation to be studied: </w:t>
                      </w:r>
                      <w:r w:rsidRPr="00D028B4">
                        <w:rPr>
                          <w:rFonts w:asciiTheme="majorHAnsi" w:hAnsiTheme="majorHAnsi" w:cs="Courier New"/>
                          <w:sz w:val="24"/>
                          <w:szCs w:val="24"/>
                        </w:rPr>
                        <w:t>Environmental professionals; students of environmental science, public health, or planning; and local or state health agency professionals</w:t>
                      </w:r>
                    </w:p>
                    <w:p w:rsidR="00614D32" w:rsidRPr="00D028B4" w:rsidRDefault="00614D32" w:rsidP="008C46E9">
                      <w:pPr>
                        <w:spacing w:before="240" w:line="240" w:lineRule="auto"/>
                        <w:rPr>
                          <w:rFonts w:asciiTheme="majorHAnsi" w:hAnsiTheme="majorHAnsi" w:cs="Courier New"/>
                          <w:sz w:val="24"/>
                          <w:szCs w:val="24"/>
                        </w:rPr>
                      </w:pPr>
                      <w:r w:rsidRPr="00D028B4">
                        <w:rPr>
                          <w:rFonts w:asciiTheme="majorHAnsi" w:hAnsiTheme="majorHAnsi" w:cs="Courier New"/>
                          <w:b/>
                          <w:sz w:val="24"/>
                          <w:szCs w:val="24"/>
                        </w:rPr>
                        <w:t xml:space="preserve">How data will be analyzed: </w:t>
                      </w:r>
                      <w:r w:rsidRPr="00D028B4">
                        <w:rPr>
                          <w:rFonts w:asciiTheme="majorHAnsi" w:hAnsiTheme="majorHAnsi" w:cs="Courier New"/>
                          <w:sz w:val="24"/>
                          <w:szCs w:val="24"/>
                        </w:rPr>
                        <w:t>ATSDR may use Excel or other spreadsheet software to characterize certificat</w:t>
                      </w:r>
                      <w:r>
                        <w:rPr>
                          <w:rFonts w:asciiTheme="majorHAnsi" w:hAnsiTheme="majorHAnsi" w:cs="Courier New"/>
                          <w:sz w:val="24"/>
                          <w:szCs w:val="24"/>
                        </w:rPr>
                        <w:t>e</w:t>
                      </w:r>
                      <w:r w:rsidRPr="00D028B4">
                        <w:rPr>
                          <w:rFonts w:asciiTheme="majorHAnsi" w:hAnsiTheme="majorHAnsi" w:cs="Courier New"/>
                          <w:sz w:val="24"/>
                          <w:szCs w:val="24"/>
                        </w:rPr>
                        <w:t xml:space="preserve"> course participants (e.g. by job title) and to summarize their feedback on the course content and effectiveness.</w:t>
                      </w:r>
                    </w:p>
                  </w:txbxContent>
                </v:textbox>
                <w10:wrap type="square" anchorx="page"/>
              </v:shape>
            </w:pict>
          </mc:Fallback>
        </mc:AlternateContent>
      </w:r>
      <w:r w:rsidR="0024399D" w:rsidRPr="00583420">
        <w:rPr>
          <w:rFonts w:asciiTheme="majorHAnsi" w:hAnsiTheme="majorHAnsi" w:cstheme="minorHAnsi"/>
          <w:color w:val="000000" w:themeColor="text1"/>
          <w:sz w:val="24"/>
          <w:szCs w:val="24"/>
        </w:rPr>
        <w:t>Justification</w:t>
      </w:r>
      <w:r w:rsidR="007D32EE" w:rsidRPr="00583420">
        <w:rPr>
          <w:rFonts w:asciiTheme="majorHAnsi" w:hAnsiTheme="majorHAnsi" w:cstheme="minorHAnsi"/>
          <w:color w:val="000000" w:themeColor="text1"/>
          <w:sz w:val="24"/>
          <w:szCs w:val="24"/>
        </w:rPr>
        <w:t xml:space="preserve">: </w:t>
      </w:r>
    </w:p>
    <w:p w:rsidR="00B45002" w:rsidRDefault="00FC5B5A" w:rsidP="005C2910">
      <w:pPr>
        <w:pStyle w:val="Heading1"/>
        <w:ind w:hanging="450"/>
        <w:rPr>
          <w:rFonts w:asciiTheme="majorHAnsi" w:hAnsiTheme="majorHAnsi" w:cstheme="minorHAnsi"/>
          <w:sz w:val="28"/>
          <w:szCs w:val="28"/>
        </w:rPr>
      </w:pPr>
      <w:bookmarkStart w:id="14" w:name="_Toc601049"/>
      <w:r w:rsidRPr="00B9626B">
        <w:rPr>
          <w:rFonts w:asciiTheme="majorHAnsi" w:hAnsiTheme="majorHAnsi" w:cstheme="minorHAnsi"/>
          <w:sz w:val="28"/>
          <w:szCs w:val="28"/>
        </w:rPr>
        <w:t>A</w:t>
      </w:r>
      <w:r w:rsidR="0024399D" w:rsidRPr="00B9626B">
        <w:rPr>
          <w:rFonts w:asciiTheme="majorHAnsi" w:hAnsiTheme="majorHAnsi" w:cstheme="minorHAnsi"/>
          <w:sz w:val="28"/>
          <w:szCs w:val="28"/>
        </w:rPr>
        <w:t>.</w:t>
      </w:r>
      <w:r w:rsidR="004D21C9" w:rsidRPr="00B9626B">
        <w:rPr>
          <w:rFonts w:asciiTheme="majorHAnsi" w:hAnsiTheme="majorHAnsi" w:cstheme="minorHAnsi"/>
          <w:sz w:val="28"/>
          <w:szCs w:val="28"/>
        </w:rPr>
        <w:t>1</w:t>
      </w:r>
      <w:r w:rsidR="009824E5" w:rsidRPr="00B9626B">
        <w:rPr>
          <w:rFonts w:asciiTheme="majorHAnsi" w:hAnsiTheme="majorHAnsi" w:cstheme="minorHAnsi"/>
          <w:sz w:val="28"/>
          <w:szCs w:val="28"/>
        </w:rPr>
        <w:t>. Circumstances</w:t>
      </w:r>
      <w:r w:rsidR="00B45002" w:rsidRPr="00B9626B">
        <w:rPr>
          <w:rFonts w:asciiTheme="majorHAnsi" w:hAnsiTheme="majorHAnsi" w:cstheme="minorHAnsi"/>
          <w:sz w:val="28"/>
          <w:szCs w:val="28"/>
        </w:rPr>
        <w:t xml:space="preserve"> Making the Collection of Information Necessary</w:t>
      </w:r>
      <w:bookmarkEnd w:id="14"/>
    </w:p>
    <w:p w:rsidR="005C2910" w:rsidRPr="005C2910" w:rsidRDefault="005C2910" w:rsidP="005C2910"/>
    <w:p w:rsidR="005E61CF" w:rsidRPr="00002515" w:rsidRDefault="004A1386" w:rsidP="00002515">
      <w:pPr>
        <w:tabs>
          <w:tab w:val="left" w:pos="0"/>
        </w:tabs>
        <w:rPr>
          <w:rFonts w:asciiTheme="majorHAnsi" w:hAnsiTheme="majorHAnsi"/>
          <w:sz w:val="24"/>
          <w:szCs w:val="24"/>
        </w:rPr>
      </w:pPr>
      <w:r>
        <w:rPr>
          <w:rFonts w:asciiTheme="majorHAnsi" w:hAnsiTheme="majorHAnsi"/>
          <w:sz w:val="24"/>
          <w:szCs w:val="24"/>
        </w:rPr>
        <w:t xml:space="preserve">ATSDR </w:t>
      </w:r>
      <w:r w:rsidRPr="00620229">
        <w:rPr>
          <w:rFonts w:asciiTheme="majorHAnsi" w:hAnsiTheme="majorHAnsi"/>
          <w:sz w:val="24"/>
          <w:szCs w:val="24"/>
        </w:rPr>
        <w:t xml:space="preserve">is requesting a three-year Paperwork Reduction Act </w:t>
      </w:r>
      <w:r>
        <w:rPr>
          <w:rFonts w:asciiTheme="majorHAnsi" w:hAnsiTheme="majorHAnsi"/>
          <w:sz w:val="24"/>
          <w:szCs w:val="24"/>
        </w:rPr>
        <w:t xml:space="preserve">(PRA) </w:t>
      </w:r>
      <w:r w:rsidRPr="00620229">
        <w:rPr>
          <w:rFonts w:asciiTheme="majorHAnsi" w:hAnsiTheme="majorHAnsi"/>
          <w:sz w:val="24"/>
          <w:szCs w:val="24"/>
        </w:rPr>
        <w:t>Clearance for a new information collection request (ICR) entitled “</w:t>
      </w:r>
      <w:r>
        <w:rPr>
          <w:rFonts w:asciiTheme="majorHAnsi" w:hAnsiTheme="majorHAnsi"/>
          <w:sz w:val="24"/>
          <w:szCs w:val="24"/>
        </w:rPr>
        <w:t xml:space="preserve">Assessment of </w:t>
      </w:r>
      <w:r w:rsidRPr="00620229">
        <w:rPr>
          <w:rFonts w:asciiTheme="majorHAnsi" w:hAnsiTheme="majorHAnsi"/>
          <w:sz w:val="24"/>
          <w:szCs w:val="24"/>
        </w:rPr>
        <w:t>Environmental Hea</w:t>
      </w:r>
      <w:r>
        <w:rPr>
          <w:rFonts w:asciiTheme="majorHAnsi" w:hAnsiTheme="majorHAnsi"/>
          <w:sz w:val="24"/>
          <w:szCs w:val="24"/>
        </w:rPr>
        <w:t>lth and Land Reuse Certification Training”</w:t>
      </w:r>
      <w:r w:rsidRPr="00620229">
        <w:rPr>
          <w:rFonts w:asciiTheme="majorHAnsi" w:hAnsiTheme="majorHAnsi"/>
          <w:sz w:val="24"/>
          <w:szCs w:val="24"/>
        </w:rPr>
        <w:t xml:space="preserve"> </w:t>
      </w:r>
      <w:r>
        <w:rPr>
          <w:rFonts w:asciiTheme="majorHAnsi" w:hAnsiTheme="majorHAnsi"/>
          <w:sz w:val="24"/>
          <w:szCs w:val="24"/>
        </w:rPr>
        <w:t xml:space="preserve">also referred to as a certificate course or </w:t>
      </w:r>
      <w:r w:rsidR="00723FF8">
        <w:rPr>
          <w:rFonts w:asciiTheme="majorHAnsi" w:hAnsiTheme="majorHAnsi"/>
          <w:sz w:val="24"/>
          <w:szCs w:val="24"/>
        </w:rPr>
        <w:t xml:space="preserve">certificate </w:t>
      </w:r>
      <w:r>
        <w:rPr>
          <w:rFonts w:asciiTheme="majorHAnsi" w:hAnsiTheme="majorHAnsi"/>
          <w:sz w:val="24"/>
          <w:szCs w:val="24"/>
        </w:rPr>
        <w:t xml:space="preserve">training. </w:t>
      </w:r>
      <w:r w:rsidR="00723FF8">
        <w:rPr>
          <w:rFonts w:asciiTheme="majorHAnsi" w:hAnsiTheme="majorHAnsi"/>
          <w:sz w:val="24"/>
          <w:szCs w:val="24"/>
        </w:rPr>
        <w:t>As discussed in A.2. below, t</w:t>
      </w:r>
      <w:r w:rsidRPr="00620229">
        <w:rPr>
          <w:rFonts w:asciiTheme="majorHAnsi" w:hAnsiTheme="majorHAnsi"/>
          <w:sz w:val="24"/>
          <w:szCs w:val="24"/>
        </w:rPr>
        <w:t>he specif</w:t>
      </w:r>
      <w:r>
        <w:rPr>
          <w:rFonts w:asciiTheme="majorHAnsi" w:hAnsiTheme="majorHAnsi"/>
          <w:sz w:val="24"/>
          <w:szCs w:val="24"/>
        </w:rPr>
        <w:t xml:space="preserve">ic activities of the </w:t>
      </w:r>
      <w:r w:rsidRPr="008E4906">
        <w:rPr>
          <w:rFonts w:asciiTheme="majorHAnsi" w:hAnsiTheme="majorHAnsi"/>
          <w:sz w:val="24"/>
          <w:szCs w:val="24"/>
        </w:rPr>
        <w:t xml:space="preserve">ICR are to </w:t>
      </w:r>
      <w:r>
        <w:rPr>
          <w:rFonts w:asciiTheme="majorHAnsi" w:hAnsiTheme="majorHAnsi"/>
          <w:sz w:val="24"/>
          <w:szCs w:val="24"/>
        </w:rPr>
        <w:t xml:space="preserve">access to limited </w:t>
      </w:r>
      <w:r w:rsidRPr="008E4906">
        <w:rPr>
          <w:rFonts w:asciiTheme="majorHAnsi" w:hAnsiTheme="majorHAnsi"/>
          <w:sz w:val="24"/>
          <w:szCs w:val="24"/>
        </w:rPr>
        <w:t>course registration</w:t>
      </w:r>
      <w:r>
        <w:rPr>
          <w:rFonts w:asciiTheme="majorHAnsi" w:hAnsiTheme="majorHAnsi"/>
          <w:sz w:val="24"/>
          <w:szCs w:val="24"/>
        </w:rPr>
        <w:t xml:space="preserve"> data, </w:t>
      </w:r>
      <w:r w:rsidRPr="008E4906">
        <w:rPr>
          <w:rFonts w:asciiTheme="majorHAnsi" w:hAnsiTheme="majorHAnsi"/>
          <w:sz w:val="24"/>
          <w:szCs w:val="24"/>
        </w:rPr>
        <w:t>conduct participant follow</w:t>
      </w:r>
      <w:r>
        <w:rPr>
          <w:rFonts w:asciiTheme="majorHAnsi" w:hAnsiTheme="majorHAnsi"/>
          <w:sz w:val="24"/>
          <w:szCs w:val="24"/>
        </w:rPr>
        <w:t>-u</w:t>
      </w:r>
      <w:r w:rsidRPr="008E4906">
        <w:rPr>
          <w:rFonts w:asciiTheme="majorHAnsi" w:hAnsiTheme="majorHAnsi"/>
          <w:sz w:val="24"/>
          <w:szCs w:val="24"/>
        </w:rPr>
        <w:t>p</w:t>
      </w:r>
      <w:r>
        <w:rPr>
          <w:rFonts w:asciiTheme="majorHAnsi" w:hAnsiTheme="majorHAnsi"/>
          <w:sz w:val="24"/>
          <w:szCs w:val="24"/>
        </w:rPr>
        <w:t>, and</w:t>
      </w:r>
      <w:r w:rsidRPr="008E4906">
        <w:rPr>
          <w:rFonts w:asciiTheme="majorHAnsi" w:hAnsiTheme="majorHAnsi"/>
          <w:sz w:val="24"/>
          <w:szCs w:val="24"/>
        </w:rPr>
        <w:t xml:space="preserve"> </w:t>
      </w:r>
      <w:r>
        <w:rPr>
          <w:rFonts w:asciiTheme="majorHAnsi" w:hAnsiTheme="majorHAnsi"/>
          <w:sz w:val="24"/>
          <w:szCs w:val="24"/>
        </w:rPr>
        <w:t>to</w:t>
      </w:r>
      <w:r w:rsidRPr="008E4906">
        <w:rPr>
          <w:rFonts w:asciiTheme="majorHAnsi" w:hAnsiTheme="majorHAnsi"/>
          <w:sz w:val="24"/>
          <w:szCs w:val="24"/>
        </w:rPr>
        <w:t xml:space="preserve"> assess the impact of </w:t>
      </w:r>
      <w:r>
        <w:rPr>
          <w:rFonts w:asciiTheme="majorHAnsi" w:hAnsiTheme="majorHAnsi"/>
          <w:sz w:val="24"/>
          <w:szCs w:val="24"/>
        </w:rPr>
        <w:t xml:space="preserve">the </w:t>
      </w:r>
      <w:r w:rsidRPr="008E4906">
        <w:rPr>
          <w:rFonts w:asciiTheme="majorHAnsi" w:hAnsiTheme="majorHAnsi"/>
          <w:sz w:val="24"/>
          <w:szCs w:val="24"/>
        </w:rPr>
        <w:t>environmental health</w:t>
      </w:r>
      <w:r>
        <w:rPr>
          <w:rFonts w:asciiTheme="majorHAnsi" w:hAnsiTheme="majorHAnsi"/>
          <w:sz w:val="24"/>
          <w:szCs w:val="24"/>
        </w:rPr>
        <w:t xml:space="preserve"> and land reuse certificate</w:t>
      </w:r>
      <w:r w:rsidRPr="008E4906">
        <w:rPr>
          <w:rFonts w:asciiTheme="majorHAnsi" w:hAnsiTheme="majorHAnsi"/>
          <w:sz w:val="24"/>
          <w:szCs w:val="24"/>
        </w:rPr>
        <w:t xml:space="preserve"> </w:t>
      </w:r>
      <w:r>
        <w:rPr>
          <w:rFonts w:asciiTheme="majorHAnsi" w:hAnsiTheme="majorHAnsi"/>
          <w:sz w:val="24"/>
          <w:szCs w:val="24"/>
        </w:rPr>
        <w:t>training</w:t>
      </w:r>
      <w:r w:rsidRPr="008E4906">
        <w:rPr>
          <w:rFonts w:asciiTheme="majorHAnsi" w:hAnsiTheme="majorHAnsi"/>
          <w:sz w:val="24"/>
          <w:szCs w:val="24"/>
        </w:rPr>
        <w:t xml:space="preserve">. </w:t>
      </w:r>
    </w:p>
    <w:p w:rsidR="005E61CF" w:rsidRDefault="005E61CF" w:rsidP="0038289E">
      <w:pPr>
        <w:tabs>
          <w:tab w:val="left" w:pos="0"/>
        </w:tabs>
        <w:ind w:left="-450"/>
        <w:rPr>
          <w:rFonts w:asciiTheme="majorHAnsi" w:hAnsiTheme="majorHAnsi"/>
          <w:sz w:val="24"/>
          <w:szCs w:val="24"/>
        </w:rPr>
      </w:pPr>
    </w:p>
    <w:p w:rsidR="005E61CF" w:rsidRDefault="004A1386" w:rsidP="00002515">
      <w:pPr>
        <w:tabs>
          <w:tab w:val="left" w:pos="0"/>
        </w:tabs>
        <w:rPr>
          <w:rFonts w:asciiTheme="majorHAnsi" w:hAnsiTheme="majorHAnsi" w:cstheme="minorHAnsi"/>
          <w:color w:val="000000" w:themeColor="text1"/>
          <w:sz w:val="24"/>
          <w:szCs w:val="24"/>
          <w:shd w:val="clear" w:color="auto" w:fill="FFFFFF"/>
        </w:rPr>
      </w:pPr>
      <w:r>
        <w:rPr>
          <w:rFonts w:asciiTheme="majorHAnsi" w:hAnsiTheme="majorHAnsi" w:cstheme="minorHAnsi"/>
          <w:color w:val="000000" w:themeColor="text1"/>
          <w:sz w:val="24"/>
          <w:szCs w:val="24"/>
        </w:rPr>
        <w:t xml:space="preserve">The Agency for Toxic Substances and Disease Registry (ATSDR) </w:t>
      </w:r>
      <w:r w:rsidRPr="00620229">
        <w:rPr>
          <w:rFonts w:asciiTheme="majorHAnsi" w:hAnsiTheme="majorHAnsi" w:cstheme="minorHAnsi"/>
          <w:color w:val="000000" w:themeColor="text1"/>
          <w:sz w:val="24"/>
          <w:szCs w:val="24"/>
        </w:rPr>
        <w:t xml:space="preserve"> is under a Congressional Mandate to </w:t>
      </w:r>
      <w:r w:rsidRPr="00620229">
        <w:rPr>
          <w:rFonts w:asciiTheme="majorHAnsi" w:hAnsiTheme="majorHAnsi" w:cstheme="minorHAnsi"/>
          <w:color w:val="000000" w:themeColor="text1"/>
          <w:sz w:val="24"/>
          <w:szCs w:val="24"/>
          <w:shd w:val="clear" w:color="auto" w:fill="FFFFFF"/>
        </w:rPr>
        <w:t>implement the health-related sections of laws that protect the public from hazardous wastes and environmental spills of hazardous substances (</w:t>
      </w:r>
      <w:r w:rsidRPr="00620229">
        <w:rPr>
          <w:rFonts w:asciiTheme="majorHAnsi" w:hAnsiTheme="majorHAnsi" w:cstheme="minorHAnsi"/>
          <w:color w:val="000000" w:themeColor="text1"/>
          <w:sz w:val="24"/>
          <w:szCs w:val="24"/>
        </w:rPr>
        <w:t>Attachment</w:t>
      </w:r>
      <w:r w:rsidRPr="00620229">
        <w:rPr>
          <w:rFonts w:asciiTheme="majorHAnsi" w:hAnsiTheme="majorHAnsi" w:cstheme="minorHAnsi"/>
          <w:b/>
          <w:color w:val="000000" w:themeColor="text1"/>
          <w:sz w:val="24"/>
          <w:szCs w:val="24"/>
        </w:rPr>
        <w:t xml:space="preserve"> </w:t>
      </w:r>
      <w:r w:rsidRPr="00620229">
        <w:rPr>
          <w:rFonts w:asciiTheme="majorHAnsi" w:hAnsiTheme="majorHAnsi" w:cstheme="minorHAnsi"/>
          <w:color w:val="000000" w:themeColor="text1"/>
          <w:sz w:val="24"/>
          <w:szCs w:val="24"/>
        </w:rPr>
        <w:t>1</w:t>
      </w:r>
      <w:r w:rsidRPr="00620229">
        <w:rPr>
          <w:rFonts w:asciiTheme="majorHAnsi" w:hAnsiTheme="majorHAnsi" w:cstheme="minorHAnsi"/>
          <w:color w:val="000000" w:themeColor="text1"/>
          <w:sz w:val="24"/>
          <w:szCs w:val="24"/>
          <w:shd w:val="clear" w:color="auto" w:fill="FFFFFF"/>
        </w:rPr>
        <w:t>)</w:t>
      </w:r>
      <w:r>
        <w:rPr>
          <w:rFonts w:asciiTheme="majorHAnsi" w:hAnsiTheme="majorHAnsi" w:cstheme="minorHAnsi"/>
          <w:color w:val="000000" w:themeColor="text1"/>
          <w:sz w:val="24"/>
          <w:szCs w:val="24"/>
          <w:shd w:val="clear" w:color="auto" w:fill="FFFFFF"/>
        </w:rPr>
        <w:t>.</w:t>
      </w:r>
      <w:r w:rsidRPr="00620229">
        <w:rPr>
          <w:rFonts w:asciiTheme="majorHAnsi" w:hAnsiTheme="majorHAnsi" w:cstheme="minorHAnsi"/>
          <w:color w:val="000000" w:themeColor="text1"/>
          <w:sz w:val="24"/>
          <w:szCs w:val="24"/>
          <w:shd w:val="clear" w:color="auto" w:fill="FFFFFF"/>
        </w:rPr>
        <w:t xml:space="preserve"> These are specifically the </w:t>
      </w:r>
      <w:hyperlink r:id="rId9" w:tgtFrame="_blank" w:tooltip="Comprehensive Environmental Response, Compensation, and Liability Act of 1980 (CERCLA)" w:history="1">
        <w:r w:rsidRPr="00620229">
          <w:rPr>
            <w:rStyle w:val="tp-label"/>
            <w:rFonts w:asciiTheme="majorHAnsi" w:hAnsiTheme="majorHAnsi" w:cstheme="minorHAnsi"/>
            <w:color w:val="000000" w:themeColor="text1"/>
            <w:sz w:val="24"/>
            <w:szCs w:val="24"/>
            <w:shd w:val="clear" w:color="auto" w:fill="FFFFFF"/>
          </w:rPr>
          <w:t>Comprehensive Environmental Response,</w:t>
        </w:r>
        <w:r w:rsidRPr="00620229">
          <w:rPr>
            <w:rStyle w:val="tp-label"/>
            <w:rFonts w:asciiTheme="majorHAnsi" w:hAnsiTheme="majorHAnsi" w:cstheme="minorHAnsi"/>
            <w:color w:val="000000" w:themeColor="text1"/>
            <w:sz w:val="24"/>
            <w:szCs w:val="24"/>
            <w:u w:val="single"/>
            <w:shd w:val="clear" w:color="auto" w:fill="FFFFFF"/>
          </w:rPr>
          <w:t xml:space="preserve"> </w:t>
        </w:r>
        <w:r w:rsidRPr="00620229">
          <w:rPr>
            <w:rStyle w:val="tp-label"/>
            <w:rFonts w:asciiTheme="majorHAnsi" w:hAnsiTheme="majorHAnsi" w:cstheme="minorHAnsi"/>
            <w:color w:val="000000" w:themeColor="text1"/>
            <w:sz w:val="24"/>
            <w:szCs w:val="24"/>
            <w:shd w:val="clear" w:color="auto" w:fill="FFFFFF"/>
          </w:rPr>
          <w:t>Compensation, and Liability Act of 1980 (CERCLA)</w:t>
        </w:r>
      </w:hyperlink>
      <w:r w:rsidRPr="00620229">
        <w:rPr>
          <w:rFonts w:asciiTheme="majorHAnsi" w:hAnsiTheme="majorHAnsi" w:cstheme="minorHAnsi"/>
          <w:color w:val="000000" w:themeColor="text1"/>
          <w:sz w:val="24"/>
          <w:szCs w:val="24"/>
        </w:rPr>
        <w:t>, the 1984 amendments to the</w:t>
      </w:r>
      <w:r w:rsidRPr="00620229">
        <w:rPr>
          <w:rFonts w:asciiTheme="majorHAnsi" w:hAnsiTheme="majorHAnsi" w:cstheme="minorHAnsi"/>
          <w:color w:val="000000" w:themeColor="text1"/>
          <w:sz w:val="24"/>
          <w:szCs w:val="24"/>
          <w:shd w:val="clear" w:color="auto" w:fill="FFFFFF"/>
        </w:rPr>
        <w:t> </w:t>
      </w:r>
      <w:hyperlink r:id="rId10" w:tgtFrame="_blank" w:tooltip="Resource Conservation and Recovery Act of 1976 (RCRA)" w:history="1">
        <w:r w:rsidRPr="00620229">
          <w:rPr>
            <w:rStyle w:val="tp-label"/>
            <w:rFonts w:asciiTheme="majorHAnsi" w:hAnsiTheme="majorHAnsi" w:cstheme="minorHAnsi"/>
            <w:color w:val="000000" w:themeColor="text1"/>
            <w:sz w:val="24"/>
            <w:szCs w:val="24"/>
            <w:shd w:val="clear" w:color="auto" w:fill="FFFFFF"/>
          </w:rPr>
          <w:t>Resource Conservation and Recovery Act of 1976 (RCRA</w:t>
        </w:r>
      </w:hyperlink>
      <w:r w:rsidRPr="00620229">
        <w:rPr>
          <w:rFonts w:asciiTheme="majorHAnsi" w:hAnsiTheme="majorHAnsi" w:cstheme="minorHAnsi"/>
          <w:color w:val="000000" w:themeColor="text1"/>
          <w:sz w:val="24"/>
          <w:szCs w:val="24"/>
        </w:rPr>
        <w:t xml:space="preserve">), and the Superfund Amendments and Reauthorization Act of 1986 (SARA), which broadened ATSDR’s </w:t>
      </w:r>
      <w:r w:rsidRPr="00620229">
        <w:rPr>
          <w:rFonts w:asciiTheme="majorHAnsi" w:hAnsiTheme="majorHAnsi" w:cstheme="minorHAnsi"/>
          <w:color w:val="000000" w:themeColor="text1"/>
          <w:sz w:val="24"/>
          <w:szCs w:val="24"/>
          <w:shd w:val="clear" w:color="auto" w:fill="FFFFFF"/>
        </w:rPr>
        <w:t>responsibilities in the areas of public health assessments, establishment and maintenance of toxicologic databases, information dissemination, and medical education.</w:t>
      </w:r>
      <w:r>
        <w:rPr>
          <w:rFonts w:asciiTheme="majorHAnsi" w:hAnsiTheme="majorHAnsi" w:cstheme="minorHAnsi"/>
          <w:color w:val="000000" w:themeColor="text1"/>
          <w:sz w:val="24"/>
          <w:szCs w:val="24"/>
          <w:shd w:val="clear" w:color="auto" w:fill="FFFFFF"/>
        </w:rPr>
        <w:t xml:space="preserve"> </w:t>
      </w:r>
    </w:p>
    <w:p w:rsidR="004A1386" w:rsidRDefault="004A1386" w:rsidP="00002515">
      <w:pPr>
        <w:tabs>
          <w:tab w:val="left" w:pos="0"/>
        </w:tabs>
        <w:rPr>
          <w:rFonts w:ascii="Cambria" w:hAnsi="Cambria" w:cstheme="minorHAnsi"/>
          <w:color w:val="000000" w:themeColor="text1"/>
          <w:sz w:val="24"/>
          <w:szCs w:val="24"/>
        </w:rPr>
      </w:pPr>
      <w:r w:rsidRPr="00C44028">
        <w:rPr>
          <w:rFonts w:ascii="Cambria" w:hAnsi="Cambria"/>
          <w:sz w:val="24"/>
          <w:szCs w:val="24"/>
        </w:rPr>
        <w:t>ATSDR protects the public from harmful exposures related to chemical contamination. ATSDR routinely works with environmental professionals who are primarily state and local health department (LHD) staff. ATSDR also funds health agencies to conduct public health assessment in order to assess potentially harmful exposures and protect the health of the public. Due to the prevalence of potentially contaminated land reuse sites such as</w:t>
      </w:r>
      <w:r w:rsidRPr="00C44028">
        <w:rPr>
          <w:rFonts w:ascii="Cambria" w:hAnsi="Cambria" w:cstheme="minorHAnsi"/>
          <w:color w:val="000000" w:themeColor="text1"/>
          <w:sz w:val="24"/>
          <w:szCs w:val="24"/>
        </w:rPr>
        <w:t xml:space="preserve"> brownfields, ATSDR is partnering with </w:t>
      </w:r>
      <w:r>
        <w:rPr>
          <w:rFonts w:ascii="Cambria" w:hAnsi="Cambria" w:cstheme="minorHAnsi"/>
          <w:color w:val="000000" w:themeColor="text1"/>
          <w:sz w:val="24"/>
          <w:szCs w:val="24"/>
        </w:rPr>
        <w:t xml:space="preserve">the National Environmental Health Association (NEHA) </w:t>
      </w:r>
      <w:r w:rsidRPr="00C44028">
        <w:rPr>
          <w:rFonts w:ascii="Cambria" w:hAnsi="Cambria" w:cstheme="minorHAnsi"/>
          <w:color w:val="000000" w:themeColor="text1"/>
          <w:sz w:val="24"/>
          <w:szCs w:val="24"/>
        </w:rPr>
        <w:t xml:space="preserve">to build capacity among </w:t>
      </w:r>
      <w:r w:rsidR="00723FF8">
        <w:rPr>
          <w:rFonts w:ascii="Cambria" w:hAnsi="Cambria" w:cstheme="minorHAnsi"/>
          <w:color w:val="000000" w:themeColor="text1"/>
          <w:sz w:val="24"/>
          <w:szCs w:val="24"/>
        </w:rPr>
        <w:t>environmental professionals</w:t>
      </w:r>
      <w:r w:rsidR="00F13D8B">
        <w:rPr>
          <w:rFonts w:ascii="Cambria" w:hAnsi="Cambria" w:cstheme="minorHAnsi"/>
          <w:color w:val="000000" w:themeColor="text1"/>
          <w:sz w:val="24"/>
          <w:szCs w:val="24"/>
        </w:rPr>
        <w:t>, particular</w:t>
      </w:r>
      <w:r w:rsidR="00723FF8">
        <w:rPr>
          <w:rFonts w:ascii="Cambria" w:hAnsi="Cambria" w:cstheme="minorHAnsi"/>
          <w:color w:val="000000" w:themeColor="text1"/>
          <w:sz w:val="24"/>
          <w:szCs w:val="24"/>
        </w:rPr>
        <w:t xml:space="preserve">ly </w:t>
      </w:r>
      <w:r w:rsidRPr="00C44028">
        <w:rPr>
          <w:rFonts w:ascii="Cambria" w:hAnsi="Cambria" w:cstheme="minorHAnsi"/>
          <w:color w:val="000000" w:themeColor="text1"/>
          <w:sz w:val="24"/>
          <w:szCs w:val="24"/>
        </w:rPr>
        <w:t>health agency staff through the certificat</w:t>
      </w:r>
      <w:r>
        <w:rPr>
          <w:rFonts w:ascii="Cambria" w:hAnsi="Cambria" w:cstheme="minorHAnsi"/>
          <w:color w:val="000000" w:themeColor="text1"/>
          <w:sz w:val="24"/>
          <w:szCs w:val="24"/>
        </w:rPr>
        <w:t>e course</w:t>
      </w:r>
    </w:p>
    <w:p w:rsidR="00696F65" w:rsidRDefault="00696F65" w:rsidP="00002515">
      <w:pPr>
        <w:tabs>
          <w:tab w:val="left" w:pos="0"/>
        </w:tabs>
        <w:rPr>
          <w:rFonts w:ascii="Cambria" w:hAnsi="Cambria" w:cstheme="minorHAnsi"/>
          <w:color w:val="000000" w:themeColor="text1"/>
          <w:sz w:val="24"/>
          <w:szCs w:val="24"/>
        </w:rPr>
      </w:pPr>
    </w:p>
    <w:p w:rsidR="004A1386" w:rsidRDefault="004A1386" w:rsidP="00002515">
      <w:pPr>
        <w:tabs>
          <w:tab w:val="left" w:pos="0"/>
        </w:tabs>
        <w:rPr>
          <w:rFonts w:asciiTheme="majorHAnsi" w:hAnsiTheme="majorHAnsi"/>
          <w:sz w:val="24"/>
          <w:szCs w:val="24"/>
        </w:rPr>
      </w:pPr>
    </w:p>
    <w:p w:rsidR="004A1386" w:rsidRDefault="004A1386" w:rsidP="00002515">
      <w:pPr>
        <w:tabs>
          <w:tab w:val="left" w:pos="0"/>
        </w:tabs>
        <w:rPr>
          <w:rFonts w:asciiTheme="majorHAnsi" w:hAnsiTheme="majorHAnsi"/>
          <w:sz w:val="24"/>
          <w:szCs w:val="24"/>
        </w:rPr>
      </w:pPr>
    </w:p>
    <w:p w:rsidR="00F13D8B" w:rsidRDefault="00F13D8B" w:rsidP="00002515">
      <w:pPr>
        <w:tabs>
          <w:tab w:val="left" w:pos="0"/>
        </w:tabs>
        <w:rPr>
          <w:rFonts w:asciiTheme="majorHAnsi" w:hAnsiTheme="majorHAnsi"/>
          <w:sz w:val="24"/>
          <w:szCs w:val="24"/>
        </w:rPr>
      </w:pPr>
    </w:p>
    <w:p w:rsidR="00696F65" w:rsidRDefault="00696F65" w:rsidP="00F13D8B">
      <w:pPr>
        <w:rPr>
          <w:rFonts w:asciiTheme="majorHAnsi" w:hAnsiTheme="majorHAnsi"/>
          <w:sz w:val="24"/>
          <w:szCs w:val="24"/>
        </w:rPr>
      </w:pPr>
    </w:p>
    <w:p w:rsidR="00F13D8B" w:rsidRPr="00184DB9" w:rsidRDefault="00F13D8B" w:rsidP="00F13D8B">
      <w:pPr>
        <w:rPr>
          <w:rFonts w:asciiTheme="majorHAnsi" w:hAnsiTheme="majorHAnsi"/>
          <w:sz w:val="24"/>
          <w:szCs w:val="24"/>
        </w:rPr>
      </w:pPr>
    </w:p>
    <w:p w:rsidR="00F13D8B" w:rsidRDefault="00F13D8B" w:rsidP="00002515">
      <w:pPr>
        <w:tabs>
          <w:tab w:val="left" w:pos="0"/>
        </w:tabs>
        <w:rPr>
          <w:rFonts w:asciiTheme="majorHAnsi" w:hAnsiTheme="majorHAnsi"/>
          <w:sz w:val="24"/>
          <w:szCs w:val="24"/>
        </w:rPr>
      </w:pPr>
    </w:p>
    <w:p w:rsidR="000528ED" w:rsidRPr="00620229" w:rsidRDefault="00F13D8B" w:rsidP="00002515">
      <w:pPr>
        <w:tabs>
          <w:tab w:val="left" w:pos="0"/>
        </w:tabs>
        <w:ind w:left="-450"/>
        <w:rPr>
          <w:rFonts w:asciiTheme="majorHAnsi" w:hAnsiTheme="majorHAnsi" w:cstheme="minorHAnsi"/>
          <w:b/>
          <w:color w:val="000000" w:themeColor="text1"/>
          <w:sz w:val="24"/>
          <w:szCs w:val="24"/>
        </w:rPr>
      </w:pPr>
      <w:r>
        <w:rPr>
          <w:rFonts w:asciiTheme="majorHAnsi" w:hAnsiTheme="majorHAnsi"/>
          <w:sz w:val="24"/>
          <w:szCs w:val="24"/>
        </w:rPr>
        <w:t xml:space="preserve">To increase the capacity for LHDs and other environmental professionals to effectively engage in health-focused land reuse, </w:t>
      </w:r>
      <w:r w:rsidR="003274C7">
        <w:rPr>
          <w:rFonts w:asciiTheme="majorHAnsi" w:hAnsiTheme="majorHAnsi"/>
          <w:sz w:val="24"/>
          <w:szCs w:val="24"/>
        </w:rPr>
        <w:t>ATSDR NEHA are co-producing the certificat</w:t>
      </w:r>
      <w:r w:rsidR="00C4148D">
        <w:rPr>
          <w:rFonts w:asciiTheme="majorHAnsi" w:hAnsiTheme="majorHAnsi"/>
          <w:sz w:val="24"/>
          <w:szCs w:val="24"/>
        </w:rPr>
        <w:t>e</w:t>
      </w:r>
      <w:r w:rsidR="003274C7">
        <w:rPr>
          <w:rFonts w:asciiTheme="majorHAnsi" w:hAnsiTheme="majorHAnsi"/>
          <w:sz w:val="24"/>
          <w:szCs w:val="24"/>
        </w:rPr>
        <w:t xml:space="preserve"> course. NEHA is under a contract, number 200-2013-57475 to provide aspects of the course to ready it for online learning, such as</w:t>
      </w:r>
      <w:r w:rsidR="001A546D">
        <w:rPr>
          <w:rFonts w:asciiTheme="majorHAnsi" w:hAnsiTheme="majorHAnsi"/>
          <w:sz w:val="24"/>
          <w:szCs w:val="24"/>
        </w:rPr>
        <w:t xml:space="preserve"> module layout, </w:t>
      </w:r>
      <w:r w:rsidR="003274C7">
        <w:rPr>
          <w:rFonts w:asciiTheme="majorHAnsi" w:hAnsiTheme="majorHAnsi"/>
          <w:sz w:val="24"/>
          <w:szCs w:val="24"/>
        </w:rPr>
        <w:t>pre- and post-</w:t>
      </w:r>
      <w:r w:rsidR="002E7176">
        <w:rPr>
          <w:rFonts w:asciiTheme="majorHAnsi" w:hAnsiTheme="majorHAnsi"/>
          <w:sz w:val="24"/>
          <w:szCs w:val="24"/>
        </w:rPr>
        <w:t xml:space="preserve">knowledge </w:t>
      </w:r>
      <w:r w:rsidR="003E3384">
        <w:rPr>
          <w:rFonts w:asciiTheme="majorHAnsi" w:hAnsiTheme="majorHAnsi"/>
          <w:sz w:val="24"/>
          <w:szCs w:val="24"/>
        </w:rPr>
        <w:t>checks</w:t>
      </w:r>
      <w:r w:rsidR="003274C7">
        <w:rPr>
          <w:rFonts w:asciiTheme="majorHAnsi" w:hAnsiTheme="majorHAnsi"/>
          <w:sz w:val="24"/>
          <w:szCs w:val="24"/>
        </w:rPr>
        <w:t xml:space="preserve">, a marketing plan, and an evaluation plan. ATSDR will host the course internally and </w:t>
      </w:r>
      <w:r w:rsidR="0051571F">
        <w:rPr>
          <w:rFonts w:asciiTheme="majorHAnsi" w:hAnsiTheme="majorHAnsi"/>
          <w:sz w:val="24"/>
          <w:szCs w:val="24"/>
        </w:rPr>
        <w:t>plan</w:t>
      </w:r>
      <w:r w:rsidR="005E61CF">
        <w:rPr>
          <w:rFonts w:asciiTheme="majorHAnsi" w:hAnsiTheme="majorHAnsi"/>
          <w:sz w:val="24"/>
          <w:szCs w:val="24"/>
        </w:rPr>
        <w:t>s</w:t>
      </w:r>
      <w:r w:rsidR="0051571F">
        <w:rPr>
          <w:rFonts w:asciiTheme="majorHAnsi" w:hAnsiTheme="majorHAnsi"/>
          <w:sz w:val="24"/>
          <w:szCs w:val="24"/>
        </w:rPr>
        <w:t xml:space="preserve"> to</w:t>
      </w:r>
      <w:r w:rsidR="003274C7">
        <w:rPr>
          <w:rFonts w:asciiTheme="majorHAnsi" w:hAnsiTheme="majorHAnsi"/>
          <w:sz w:val="24"/>
          <w:szCs w:val="24"/>
        </w:rPr>
        <w:t xml:space="preserve"> post the link with th</w:t>
      </w:r>
      <w:r w:rsidR="0051571F">
        <w:rPr>
          <w:rFonts w:asciiTheme="majorHAnsi" w:hAnsiTheme="majorHAnsi"/>
          <w:sz w:val="24"/>
          <w:szCs w:val="24"/>
        </w:rPr>
        <w:t>e</w:t>
      </w:r>
      <w:r w:rsidR="009C3128">
        <w:rPr>
          <w:rFonts w:asciiTheme="majorHAnsi" w:hAnsiTheme="majorHAnsi"/>
          <w:sz w:val="24"/>
          <w:szCs w:val="24"/>
        </w:rPr>
        <w:t xml:space="preserve"> </w:t>
      </w:r>
      <w:r w:rsidR="00A13F0C">
        <w:rPr>
          <w:rFonts w:asciiTheme="majorHAnsi" w:hAnsiTheme="majorHAnsi"/>
          <w:sz w:val="24"/>
          <w:szCs w:val="24"/>
        </w:rPr>
        <w:t>Center</w:t>
      </w:r>
      <w:r w:rsidR="00423EA8">
        <w:rPr>
          <w:rFonts w:asciiTheme="majorHAnsi" w:hAnsiTheme="majorHAnsi"/>
          <w:sz w:val="24"/>
          <w:szCs w:val="24"/>
        </w:rPr>
        <w:t>s</w:t>
      </w:r>
      <w:r w:rsidR="00A13F0C">
        <w:rPr>
          <w:rFonts w:asciiTheme="majorHAnsi" w:hAnsiTheme="majorHAnsi"/>
          <w:sz w:val="24"/>
          <w:szCs w:val="24"/>
        </w:rPr>
        <w:t xml:space="preserve"> for Disease Control and Prevention (CDC) </w:t>
      </w:r>
      <w:r w:rsidR="001A546D">
        <w:rPr>
          <w:rFonts w:asciiTheme="majorHAnsi" w:hAnsiTheme="majorHAnsi"/>
          <w:sz w:val="24"/>
          <w:szCs w:val="24"/>
        </w:rPr>
        <w:t>Training and Continuing Education Online (</w:t>
      </w:r>
      <w:r w:rsidR="003274C7">
        <w:rPr>
          <w:rFonts w:asciiTheme="majorHAnsi" w:hAnsiTheme="majorHAnsi"/>
          <w:sz w:val="24"/>
          <w:szCs w:val="24"/>
        </w:rPr>
        <w:t>TCEO</w:t>
      </w:r>
      <w:r w:rsidR="001A546D">
        <w:rPr>
          <w:rFonts w:asciiTheme="majorHAnsi" w:hAnsiTheme="majorHAnsi"/>
          <w:sz w:val="24"/>
          <w:szCs w:val="24"/>
        </w:rPr>
        <w:t>)</w:t>
      </w:r>
      <w:r w:rsidR="00942312">
        <w:rPr>
          <w:rFonts w:asciiTheme="majorHAnsi" w:hAnsiTheme="majorHAnsi"/>
          <w:sz w:val="24"/>
          <w:szCs w:val="24"/>
        </w:rPr>
        <w:t xml:space="preserve"> (</w:t>
      </w:r>
      <w:r w:rsidR="00942312" w:rsidRPr="00942312">
        <w:rPr>
          <w:rFonts w:asciiTheme="majorHAnsi" w:hAnsiTheme="majorHAnsi"/>
          <w:sz w:val="24"/>
          <w:szCs w:val="24"/>
        </w:rPr>
        <w:t>0920-0017</w:t>
      </w:r>
      <w:r w:rsidR="00942312">
        <w:rPr>
          <w:rFonts w:asciiTheme="majorHAnsi" w:hAnsiTheme="majorHAnsi"/>
          <w:sz w:val="24"/>
          <w:szCs w:val="24"/>
        </w:rPr>
        <w:t>; expiration 6/30/2019)</w:t>
      </w:r>
      <w:r w:rsidR="00064EE1">
        <w:rPr>
          <w:rFonts w:asciiTheme="majorHAnsi" w:hAnsiTheme="majorHAnsi"/>
          <w:sz w:val="24"/>
          <w:szCs w:val="24"/>
        </w:rPr>
        <w:t>.</w:t>
      </w:r>
      <w:r w:rsidR="003274C7">
        <w:rPr>
          <w:rFonts w:asciiTheme="majorHAnsi" w:hAnsiTheme="majorHAnsi"/>
          <w:sz w:val="24"/>
          <w:szCs w:val="24"/>
        </w:rPr>
        <w:t xml:space="preserve"> The link will be available to the public, including NEHA, who may offer their own additional certificat</w:t>
      </w:r>
      <w:r w:rsidR="00C4148D">
        <w:rPr>
          <w:rFonts w:asciiTheme="majorHAnsi" w:hAnsiTheme="majorHAnsi"/>
          <w:sz w:val="24"/>
          <w:szCs w:val="24"/>
        </w:rPr>
        <w:t>e</w:t>
      </w:r>
      <w:r w:rsidR="00410239">
        <w:rPr>
          <w:rFonts w:asciiTheme="majorHAnsi" w:hAnsiTheme="majorHAnsi"/>
          <w:sz w:val="24"/>
          <w:szCs w:val="24"/>
        </w:rPr>
        <w:t xml:space="preserve"> of completion</w:t>
      </w:r>
      <w:r w:rsidR="003274C7">
        <w:rPr>
          <w:rFonts w:asciiTheme="majorHAnsi" w:hAnsiTheme="majorHAnsi"/>
          <w:sz w:val="24"/>
          <w:szCs w:val="24"/>
        </w:rPr>
        <w:t xml:space="preserve"> in environmental health and land reuse. </w:t>
      </w:r>
      <w:r w:rsidR="00A00172">
        <w:rPr>
          <w:rFonts w:asciiTheme="majorHAnsi" w:hAnsiTheme="majorHAnsi"/>
          <w:sz w:val="24"/>
          <w:szCs w:val="24"/>
        </w:rPr>
        <w:t xml:space="preserve">In order to </w:t>
      </w:r>
      <w:r w:rsidR="004C24F6">
        <w:rPr>
          <w:rFonts w:asciiTheme="majorHAnsi" w:hAnsiTheme="majorHAnsi"/>
          <w:sz w:val="24"/>
          <w:szCs w:val="24"/>
        </w:rPr>
        <w:t>assess</w:t>
      </w:r>
      <w:r w:rsidR="00A00172">
        <w:rPr>
          <w:rFonts w:asciiTheme="majorHAnsi" w:hAnsiTheme="majorHAnsi"/>
          <w:sz w:val="24"/>
          <w:szCs w:val="24"/>
        </w:rPr>
        <w:t xml:space="preserve"> the certificate program and skills increase of parti</w:t>
      </w:r>
      <w:r w:rsidR="006C3F73">
        <w:rPr>
          <w:rFonts w:asciiTheme="majorHAnsi" w:hAnsiTheme="majorHAnsi"/>
          <w:sz w:val="24"/>
          <w:szCs w:val="24"/>
        </w:rPr>
        <w:t>ci</w:t>
      </w:r>
      <w:r w:rsidR="00A00172">
        <w:rPr>
          <w:rFonts w:asciiTheme="majorHAnsi" w:hAnsiTheme="majorHAnsi"/>
          <w:sz w:val="24"/>
          <w:szCs w:val="24"/>
        </w:rPr>
        <w:t xml:space="preserve">pants, </w:t>
      </w:r>
      <w:r w:rsidR="003274C7" w:rsidDel="00723FF8">
        <w:rPr>
          <w:rFonts w:asciiTheme="majorHAnsi" w:hAnsiTheme="majorHAnsi"/>
          <w:sz w:val="24"/>
          <w:szCs w:val="24"/>
        </w:rPr>
        <w:t xml:space="preserve">ATSDR </w:t>
      </w:r>
      <w:r w:rsidR="00A00172">
        <w:rPr>
          <w:rFonts w:asciiTheme="majorHAnsi" w:hAnsiTheme="majorHAnsi"/>
          <w:sz w:val="24"/>
          <w:szCs w:val="24"/>
        </w:rPr>
        <w:t>intends to</w:t>
      </w:r>
      <w:r w:rsidR="003274C7" w:rsidDel="00723FF8">
        <w:rPr>
          <w:rFonts w:asciiTheme="majorHAnsi" w:hAnsiTheme="majorHAnsi"/>
          <w:sz w:val="24"/>
          <w:szCs w:val="24"/>
        </w:rPr>
        <w:t xml:space="preserve"> reach out to participants </w:t>
      </w:r>
      <w:r>
        <w:rPr>
          <w:rFonts w:asciiTheme="majorHAnsi" w:hAnsiTheme="majorHAnsi"/>
          <w:sz w:val="24"/>
          <w:szCs w:val="24"/>
        </w:rPr>
        <w:t xml:space="preserve">to </w:t>
      </w:r>
      <w:r w:rsidR="00A00172">
        <w:rPr>
          <w:rFonts w:asciiTheme="majorHAnsi" w:hAnsiTheme="majorHAnsi"/>
          <w:sz w:val="24"/>
          <w:szCs w:val="24"/>
        </w:rPr>
        <w:t>voluntarily complete</w:t>
      </w:r>
      <w:r>
        <w:rPr>
          <w:rFonts w:asciiTheme="majorHAnsi" w:hAnsiTheme="majorHAnsi"/>
          <w:sz w:val="24"/>
          <w:szCs w:val="24"/>
        </w:rPr>
        <w:t xml:space="preserve"> in an online survey</w:t>
      </w:r>
      <w:r w:rsidR="00A00172">
        <w:rPr>
          <w:rFonts w:asciiTheme="majorHAnsi" w:hAnsiTheme="majorHAnsi"/>
          <w:sz w:val="24"/>
          <w:szCs w:val="24"/>
        </w:rPr>
        <w:t xml:space="preserve">. </w:t>
      </w:r>
      <w:r w:rsidR="003274C7" w:rsidDel="00723FF8">
        <w:rPr>
          <w:rFonts w:asciiTheme="majorHAnsi" w:hAnsiTheme="majorHAnsi"/>
          <w:sz w:val="24"/>
          <w:szCs w:val="24"/>
        </w:rPr>
        <w:t xml:space="preserve">  </w:t>
      </w:r>
      <w:r w:rsidR="007A02C1" w:rsidRPr="00620229" w:rsidDel="00723FF8">
        <w:rPr>
          <w:rFonts w:asciiTheme="majorHAnsi" w:hAnsiTheme="majorHAnsi"/>
          <w:sz w:val="24"/>
          <w:szCs w:val="24"/>
        </w:rPr>
        <w:t xml:space="preserve"> </w:t>
      </w:r>
      <w:r w:rsidR="000528ED" w:rsidRPr="00620229">
        <w:rPr>
          <w:rFonts w:asciiTheme="majorHAnsi" w:hAnsiTheme="majorHAnsi" w:cstheme="minorHAnsi"/>
          <w:color w:val="000000" w:themeColor="text1"/>
          <w:sz w:val="24"/>
          <w:szCs w:val="24"/>
        </w:rPr>
        <w:t>The 60-day Federal Register Notice</w:t>
      </w:r>
      <w:r w:rsidR="00257F1C">
        <w:rPr>
          <w:rFonts w:asciiTheme="majorHAnsi" w:hAnsiTheme="majorHAnsi" w:cstheme="minorHAnsi"/>
          <w:color w:val="000000" w:themeColor="text1"/>
          <w:sz w:val="24"/>
          <w:szCs w:val="24"/>
        </w:rPr>
        <w:t xml:space="preserve"> (Attachment 2)</w:t>
      </w:r>
      <w:r w:rsidR="000528ED" w:rsidRPr="00620229">
        <w:rPr>
          <w:rFonts w:asciiTheme="majorHAnsi" w:hAnsiTheme="majorHAnsi" w:cstheme="minorHAnsi"/>
          <w:color w:val="000000" w:themeColor="text1"/>
          <w:sz w:val="24"/>
          <w:szCs w:val="24"/>
        </w:rPr>
        <w:t xml:space="preserve"> was published </w:t>
      </w:r>
      <w:r w:rsidR="000528ED" w:rsidRPr="00570463">
        <w:rPr>
          <w:rFonts w:asciiTheme="majorHAnsi" w:hAnsiTheme="majorHAnsi" w:cstheme="minorHAnsi"/>
          <w:color w:val="000000" w:themeColor="text1"/>
          <w:sz w:val="24"/>
          <w:szCs w:val="24"/>
        </w:rPr>
        <w:t xml:space="preserve">on </w:t>
      </w:r>
      <w:r w:rsidR="002F6924">
        <w:rPr>
          <w:rFonts w:asciiTheme="majorHAnsi" w:hAnsiTheme="majorHAnsi" w:cstheme="minorHAnsi"/>
          <w:color w:val="000000" w:themeColor="text1"/>
          <w:sz w:val="24"/>
          <w:szCs w:val="24"/>
        </w:rPr>
        <w:t>06</w:t>
      </w:r>
      <w:r w:rsidR="000528ED" w:rsidRPr="00570463">
        <w:rPr>
          <w:rFonts w:asciiTheme="majorHAnsi" w:hAnsiTheme="majorHAnsi" w:cstheme="minorHAnsi"/>
          <w:color w:val="000000" w:themeColor="text1"/>
          <w:sz w:val="24"/>
          <w:szCs w:val="24"/>
        </w:rPr>
        <w:t>/</w:t>
      </w:r>
      <w:r w:rsidR="002F6924">
        <w:rPr>
          <w:rFonts w:asciiTheme="majorHAnsi" w:hAnsiTheme="majorHAnsi" w:cstheme="minorHAnsi"/>
          <w:color w:val="000000" w:themeColor="text1"/>
          <w:sz w:val="24"/>
          <w:szCs w:val="24"/>
        </w:rPr>
        <w:t>27</w:t>
      </w:r>
      <w:r w:rsidR="000528ED" w:rsidRPr="00570463">
        <w:rPr>
          <w:rFonts w:asciiTheme="majorHAnsi" w:hAnsiTheme="majorHAnsi" w:cstheme="minorHAnsi"/>
          <w:color w:val="000000" w:themeColor="text1"/>
          <w:sz w:val="24"/>
          <w:szCs w:val="24"/>
        </w:rPr>
        <w:t>/</w:t>
      </w:r>
      <w:r w:rsidR="002F6924">
        <w:rPr>
          <w:rFonts w:asciiTheme="majorHAnsi" w:hAnsiTheme="majorHAnsi" w:cstheme="minorHAnsi"/>
          <w:color w:val="000000" w:themeColor="text1"/>
          <w:sz w:val="24"/>
          <w:szCs w:val="24"/>
        </w:rPr>
        <w:t>2018</w:t>
      </w:r>
      <w:r w:rsidR="002F6924" w:rsidRPr="00570463">
        <w:rPr>
          <w:rFonts w:asciiTheme="majorHAnsi" w:hAnsiTheme="majorHAnsi" w:cstheme="minorHAnsi"/>
          <w:color w:val="000000" w:themeColor="text1"/>
          <w:sz w:val="24"/>
          <w:szCs w:val="24"/>
        </w:rPr>
        <w:t xml:space="preserve"> </w:t>
      </w:r>
      <w:r w:rsidR="000528ED" w:rsidRPr="00570463">
        <w:rPr>
          <w:rFonts w:asciiTheme="majorHAnsi" w:hAnsiTheme="majorHAnsi" w:cstheme="minorHAnsi"/>
          <w:color w:val="000000" w:themeColor="text1"/>
          <w:sz w:val="24"/>
          <w:szCs w:val="24"/>
        </w:rPr>
        <w:t>and is</w:t>
      </w:r>
      <w:r w:rsidR="000528ED" w:rsidRPr="00620229">
        <w:rPr>
          <w:rFonts w:asciiTheme="majorHAnsi" w:hAnsiTheme="majorHAnsi" w:cstheme="minorHAnsi"/>
          <w:color w:val="000000" w:themeColor="text1"/>
          <w:sz w:val="24"/>
          <w:szCs w:val="24"/>
        </w:rPr>
        <w:t xml:space="preserve"> further discussed in Section A.8.</w:t>
      </w:r>
    </w:p>
    <w:p w:rsidR="00A00172" w:rsidRDefault="00A00172" w:rsidP="009D5CA9">
      <w:pPr>
        <w:rPr>
          <w:rFonts w:asciiTheme="majorHAnsi" w:hAnsiTheme="majorHAnsi" w:cstheme="minorHAnsi"/>
          <w:color w:val="000000" w:themeColor="text1"/>
          <w:sz w:val="24"/>
          <w:szCs w:val="24"/>
        </w:rPr>
      </w:pPr>
    </w:p>
    <w:p w:rsidR="00910A55" w:rsidRPr="00620229" w:rsidRDefault="00910A55" w:rsidP="009D5CA9">
      <w:pPr>
        <w:rPr>
          <w:rFonts w:asciiTheme="majorHAnsi" w:hAnsiTheme="majorHAnsi" w:cstheme="minorHAnsi"/>
          <w:color w:val="000000" w:themeColor="text1"/>
          <w:sz w:val="24"/>
          <w:szCs w:val="24"/>
        </w:rPr>
      </w:pPr>
      <w:r w:rsidRPr="00620229">
        <w:rPr>
          <w:rFonts w:asciiTheme="majorHAnsi" w:hAnsiTheme="majorHAnsi" w:cstheme="minorHAnsi"/>
          <w:color w:val="000000" w:themeColor="text1"/>
          <w:sz w:val="24"/>
          <w:szCs w:val="24"/>
        </w:rPr>
        <w:t>The certifica</w:t>
      </w:r>
      <w:r w:rsidR="00245512">
        <w:rPr>
          <w:rFonts w:asciiTheme="majorHAnsi" w:hAnsiTheme="majorHAnsi" w:cstheme="minorHAnsi"/>
          <w:color w:val="000000" w:themeColor="text1"/>
          <w:sz w:val="24"/>
          <w:szCs w:val="24"/>
        </w:rPr>
        <w:t>te program</w:t>
      </w:r>
      <w:r w:rsidRPr="00620229">
        <w:rPr>
          <w:rFonts w:asciiTheme="majorHAnsi" w:hAnsiTheme="majorHAnsi" w:cstheme="minorHAnsi"/>
          <w:color w:val="000000" w:themeColor="text1"/>
          <w:sz w:val="24"/>
          <w:szCs w:val="24"/>
        </w:rPr>
        <w:t xml:space="preserve"> is</w:t>
      </w:r>
      <w:r w:rsidR="008F65E8">
        <w:rPr>
          <w:rFonts w:asciiTheme="majorHAnsi" w:hAnsiTheme="majorHAnsi" w:cstheme="minorHAnsi"/>
          <w:color w:val="000000" w:themeColor="text1"/>
          <w:sz w:val="24"/>
          <w:szCs w:val="24"/>
        </w:rPr>
        <w:t xml:space="preserve"> </w:t>
      </w:r>
      <w:r w:rsidR="00FD23C8">
        <w:rPr>
          <w:rFonts w:asciiTheme="majorHAnsi" w:hAnsiTheme="majorHAnsi" w:cstheme="minorHAnsi"/>
          <w:color w:val="000000" w:themeColor="text1"/>
          <w:sz w:val="24"/>
          <w:szCs w:val="24"/>
        </w:rPr>
        <w:t xml:space="preserve">not only </w:t>
      </w:r>
      <w:r w:rsidRPr="00620229">
        <w:rPr>
          <w:rFonts w:asciiTheme="majorHAnsi" w:hAnsiTheme="majorHAnsi" w:cstheme="minorHAnsi"/>
          <w:color w:val="000000" w:themeColor="text1"/>
          <w:sz w:val="24"/>
          <w:szCs w:val="24"/>
        </w:rPr>
        <w:t xml:space="preserve">geared to increase the capacity of environmental professionals, primarily local and state health agencies, but </w:t>
      </w:r>
      <w:r w:rsidR="00924FDC">
        <w:rPr>
          <w:rFonts w:asciiTheme="majorHAnsi" w:hAnsiTheme="majorHAnsi" w:cstheme="minorHAnsi"/>
          <w:color w:val="000000" w:themeColor="text1"/>
          <w:sz w:val="24"/>
          <w:szCs w:val="24"/>
        </w:rPr>
        <w:t>will</w:t>
      </w:r>
      <w:r w:rsidR="006C1B12">
        <w:rPr>
          <w:rFonts w:asciiTheme="majorHAnsi" w:hAnsiTheme="majorHAnsi" w:cstheme="minorHAnsi"/>
          <w:color w:val="000000" w:themeColor="text1"/>
          <w:sz w:val="24"/>
          <w:szCs w:val="24"/>
        </w:rPr>
        <w:t xml:space="preserve"> also</w:t>
      </w:r>
      <w:r w:rsidR="00924FDC">
        <w:rPr>
          <w:rFonts w:asciiTheme="majorHAnsi" w:hAnsiTheme="majorHAnsi" w:cstheme="minorHAnsi"/>
          <w:color w:val="000000" w:themeColor="text1"/>
          <w:sz w:val="24"/>
          <w:szCs w:val="24"/>
        </w:rPr>
        <w:t xml:space="preserve"> benefit </w:t>
      </w:r>
      <w:r w:rsidRPr="00620229">
        <w:rPr>
          <w:rFonts w:asciiTheme="majorHAnsi" w:hAnsiTheme="majorHAnsi" w:cstheme="minorHAnsi"/>
          <w:color w:val="000000" w:themeColor="text1"/>
          <w:sz w:val="24"/>
          <w:szCs w:val="24"/>
        </w:rPr>
        <w:t>planners, environmental consultants, and students in environmental science, environmen</w:t>
      </w:r>
      <w:r w:rsidR="0097320B">
        <w:rPr>
          <w:rFonts w:asciiTheme="majorHAnsi" w:hAnsiTheme="majorHAnsi" w:cstheme="minorHAnsi"/>
          <w:color w:val="000000" w:themeColor="text1"/>
          <w:sz w:val="24"/>
          <w:szCs w:val="24"/>
        </w:rPr>
        <w:t>tal/public health, and planning</w:t>
      </w:r>
      <w:r w:rsidRPr="00620229">
        <w:rPr>
          <w:rFonts w:asciiTheme="majorHAnsi" w:hAnsiTheme="majorHAnsi" w:cstheme="minorHAnsi"/>
          <w:color w:val="000000" w:themeColor="text1"/>
          <w:sz w:val="24"/>
          <w:szCs w:val="24"/>
        </w:rPr>
        <w:t xml:space="preserve"> </w:t>
      </w:r>
      <w:r w:rsidR="00932138">
        <w:rPr>
          <w:rFonts w:asciiTheme="majorHAnsi" w:hAnsiTheme="majorHAnsi" w:cstheme="minorHAnsi"/>
          <w:color w:val="000000" w:themeColor="text1"/>
          <w:sz w:val="24"/>
          <w:szCs w:val="24"/>
        </w:rPr>
        <w:t>who</w:t>
      </w:r>
      <w:r w:rsidRPr="00620229">
        <w:rPr>
          <w:rFonts w:asciiTheme="majorHAnsi" w:hAnsiTheme="majorHAnsi" w:cstheme="minorHAnsi"/>
          <w:color w:val="000000" w:themeColor="text1"/>
          <w:sz w:val="24"/>
          <w:szCs w:val="24"/>
        </w:rPr>
        <w:t xml:space="preserve"> participate in environmental health activities and land reuse. The environmental health</w:t>
      </w:r>
      <w:r w:rsidR="00C45255">
        <w:rPr>
          <w:rFonts w:asciiTheme="majorHAnsi" w:hAnsiTheme="majorHAnsi" w:cstheme="minorHAnsi"/>
          <w:color w:val="000000" w:themeColor="text1"/>
          <w:sz w:val="24"/>
          <w:szCs w:val="24"/>
        </w:rPr>
        <w:t xml:space="preserve"> course</w:t>
      </w:r>
      <w:r w:rsidRPr="00620229">
        <w:rPr>
          <w:rFonts w:asciiTheme="majorHAnsi" w:hAnsiTheme="majorHAnsi" w:cstheme="minorHAnsi"/>
          <w:color w:val="000000" w:themeColor="text1"/>
          <w:sz w:val="24"/>
          <w:szCs w:val="24"/>
        </w:rPr>
        <w:t xml:space="preserve"> component </w:t>
      </w:r>
      <w:r w:rsidR="004B1DDF" w:rsidRPr="00620229">
        <w:rPr>
          <w:rFonts w:asciiTheme="majorHAnsi" w:hAnsiTheme="majorHAnsi" w:cstheme="minorHAnsi"/>
          <w:color w:val="000000" w:themeColor="text1"/>
          <w:sz w:val="24"/>
          <w:szCs w:val="24"/>
        </w:rPr>
        <w:t xml:space="preserve">focuses on </w:t>
      </w:r>
      <w:r w:rsidRPr="00620229">
        <w:rPr>
          <w:rFonts w:asciiTheme="majorHAnsi" w:hAnsiTheme="majorHAnsi" w:cstheme="minorHAnsi"/>
          <w:color w:val="000000" w:themeColor="text1"/>
          <w:sz w:val="24"/>
          <w:szCs w:val="24"/>
        </w:rPr>
        <w:t>Risk Assessment, Risk Communication, Epidemiology, and Toxicology</w:t>
      </w:r>
      <w:r w:rsidR="00E57E03" w:rsidRPr="00620229">
        <w:rPr>
          <w:rFonts w:asciiTheme="majorHAnsi" w:hAnsiTheme="majorHAnsi" w:cstheme="minorHAnsi"/>
          <w:color w:val="000000" w:themeColor="text1"/>
          <w:sz w:val="24"/>
          <w:szCs w:val="24"/>
        </w:rPr>
        <w:t xml:space="preserve"> topics</w:t>
      </w:r>
      <w:r w:rsidRPr="00620229">
        <w:rPr>
          <w:rFonts w:asciiTheme="majorHAnsi" w:hAnsiTheme="majorHAnsi" w:cstheme="minorHAnsi"/>
          <w:color w:val="000000" w:themeColor="text1"/>
          <w:sz w:val="24"/>
          <w:szCs w:val="24"/>
        </w:rPr>
        <w:t xml:space="preserve">. The </w:t>
      </w:r>
      <w:r w:rsidR="001E471C" w:rsidRPr="00620229">
        <w:rPr>
          <w:rFonts w:asciiTheme="majorHAnsi" w:hAnsiTheme="majorHAnsi" w:cstheme="minorHAnsi"/>
          <w:color w:val="000000" w:themeColor="text1"/>
          <w:sz w:val="24"/>
          <w:szCs w:val="24"/>
        </w:rPr>
        <w:t>l</w:t>
      </w:r>
      <w:r w:rsidRPr="00620229">
        <w:rPr>
          <w:rFonts w:asciiTheme="majorHAnsi" w:hAnsiTheme="majorHAnsi" w:cstheme="minorHAnsi"/>
          <w:color w:val="000000" w:themeColor="text1"/>
          <w:sz w:val="24"/>
          <w:szCs w:val="24"/>
        </w:rPr>
        <w:t xml:space="preserve">and </w:t>
      </w:r>
      <w:r w:rsidR="001E471C" w:rsidRPr="00620229">
        <w:rPr>
          <w:rFonts w:asciiTheme="majorHAnsi" w:hAnsiTheme="majorHAnsi" w:cstheme="minorHAnsi"/>
          <w:color w:val="000000" w:themeColor="text1"/>
          <w:sz w:val="24"/>
          <w:szCs w:val="24"/>
        </w:rPr>
        <w:t>r</w:t>
      </w:r>
      <w:r w:rsidRPr="00620229">
        <w:rPr>
          <w:rFonts w:asciiTheme="majorHAnsi" w:hAnsiTheme="majorHAnsi" w:cstheme="minorHAnsi"/>
          <w:color w:val="000000" w:themeColor="text1"/>
          <w:sz w:val="24"/>
          <w:szCs w:val="24"/>
        </w:rPr>
        <w:t xml:space="preserve">euse component focuses </w:t>
      </w:r>
      <w:r w:rsidR="00E57E03" w:rsidRPr="00620229">
        <w:rPr>
          <w:rFonts w:asciiTheme="majorHAnsi" w:hAnsiTheme="majorHAnsi" w:cstheme="minorHAnsi"/>
          <w:color w:val="000000" w:themeColor="text1"/>
          <w:sz w:val="24"/>
          <w:szCs w:val="24"/>
        </w:rPr>
        <w:t xml:space="preserve">on a 5-step land reuse strategy that engages </w:t>
      </w:r>
      <w:r w:rsidRPr="00620229">
        <w:rPr>
          <w:rFonts w:asciiTheme="majorHAnsi" w:hAnsiTheme="majorHAnsi" w:cstheme="minorHAnsi"/>
          <w:color w:val="000000" w:themeColor="text1"/>
          <w:sz w:val="24"/>
          <w:szCs w:val="24"/>
        </w:rPr>
        <w:t xml:space="preserve">populations who may live among or adjacent to environmentally distressed sites and may need to learn skills to successfully learn about resources available for safe land reuse to improve community health. </w:t>
      </w:r>
    </w:p>
    <w:p w:rsidR="00E57E03" w:rsidRPr="00C44028" w:rsidRDefault="00E57E03" w:rsidP="00C44028">
      <w:pPr>
        <w:rPr>
          <w:rFonts w:ascii="Cambria" w:hAnsi="Cambria" w:cstheme="minorHAnsi"/>
          <w:color w:val="000000" w:themeColor="text1"/>
          <w:sz w:val="24"/>
          <w:szCs w:val="24"/>
        </w:rPr>
      </w:pPr>
    </w:p>
    <w:p w:rsidR="00B45002" w:rsidRPr="00B9626B" w:rsidRDefault="00601F1A" w:rsidP="00FA12E3">
      <w:pPr>
        <w:pStyle w:val="Heading1"/>
        <w:rPr>
          <w:rFonts w:asciiTheme="majorHAnsi" w:hAnsiTheme="majorHAnsi" w:cstheme="minorHAnsi"/>
          <w:sz w:val="28"/>
          <w:szCs w:val="28"/>
        </w:rPr>
      </w:pPr>
      <w:bookmarkStart w:id="15" w:name="_Toc601050"/>
      <w:r w:rsidRPr="00B9626B">
        <w:rPr>
          <w:rFonts w:asciiTheme="majorHAnsi" w:hAnsiTheme="majorHAnsi" w:cstheme="minorHAnsi"/>
          <w:sz w:val="28"/>
          <w:szCs w:val="28"/>
        </w:rPr>
        <w:t>A.</w:t>
      </w:r>
      <w:r w:rsidR="004D21C9" w:rsidRPr="00B9626B">
        <w:rPr>
          <w:rFonts w:asciiTheme="majorHAnsi" w:hAnsiTheme="majorHAnsi" w:cstheme="minorHAnsi"/>
          <w:sz w:val="28"/>
          <w:szCs w:val="28"/>
        </w:rPr>
        <w:t>2</w:t>
      </w:r>
      <w:r w:rsidR="00E53E59" w:rsidRPr="00B9626B">
        <w:rPr>
          <w:rFonts w:asciiTheme="majorHAnsi" w:hAnsiTheme="majorHAnsi" w:cstheme="minorHAnsi"/>
          <w:sz w:val="28"/>
          <w:szCs w:val="28"/>
        </w:rPr>
        <w:t>. Purpose</w:t>
      </w:r>
      <w:r w:rsidR="00B45002" w:rsidRPr="00B9626B">
        <w:rPr>
          <w:rFonts w:asciiTheme="majorHAnsi" w:hAnsiTheme="majorHAnsi" w:cstheme="minorHAnsi"/>
          <w:sz w:val="28"/>
          <w:szCs w:val="28"/>
        </w:rPr>
        <w:t xml:space="preserve"> and Use of the Information Collection</w:t>
      </w:r>
      <w:bookmarkEnd w:id="15"/>
    </w:p>
    <w:p w:rsidR="007337A7" w:rsidRPr="00B9626B" w:rsidRDefault="007337A7" w:rsidP="003F6A54">
      <w:pPr>
        <w:autoSpaceDE w:val="0"/>
        <w:autoSpaceDN w:val="0"/>
        <w:adjustRightInd w:val="0"/>
        <w:spacing w:after="0" w:line="240" w:lineRule="auto"/>
        <w:rPr>
          <w:rFonts w:asciiTheme="majorHAnsi" w:hAnsiTheme="majorHAnsi" w:cstheme="minorHAnsi"/>
          <w:color w:val="000000" w:themeColor="text1"/>
          <w:sz w:val="22"/>
          <w:szCs w:val="22"/>
        </w:rPr>
      </w:pPr>
    </w:p>
    <w:p w:rsidR="00E15A39" w:rsidRDefault="006E7765" w:rsidP="00052532">
      <w:pPr>
        <w:rPr>
          <w:rFonts w:asciiTheme="majorHAnsi" w:hAnsiTheme="majorHAnsi"/>
          <w:sz w:val="24"/>
          <w:szCs w:val="24"/>
        </w:rPr>
      </w:pPr>
      <w:r w:rsidRPr="00052532">
        <w:rPr>
          <w:rFonts w:asciiTheme="majorHAnsi" w:hAnsiTheme="majorHAnsi"/>
          <w:sz w:val="24"/>
          <w:szCs w:val="24"/>
        </w:rPr>
        <w:t>The purpose of the information collection is</w:t>
      </w:r>
      <w:r w:rsidR="00A33FCD" w:rsidRPr="00052532">
        <w:rPr>
          <w:rFonts w:asciiTheme="majorHAnsi" w:hAnsiTheme="majorHAnsi"/>
          <w:sz w:val="24"/>
          <w:szCs w:val="24"/>
        </w:rPr>
        <w:t xml:space="preserve"> to</w:t>
      </w:r>
      <w:r w:rsidR="004900F6" w:rsidRPr="00052532">
        <w:rPr>
          <w:rFonts w:asciiTheme="majorHAnsi" w:hAnsiTheme="majorHAnsi"/>
          <w:sz w:val="24"/>
          <w:szCs w:val="24"/>
        </w:rPr>
        <w:t xml:space="preserve"> </w:t>
      </w:r>
      <w:r w:rsidR="00711ACF">
        <w:rPr>
          <w:rFonts w:asciiTheme="majorHAnsi" w:hAnsiTheme="majorHAnsi"/>
          <w:sz w:val="24"/>
          <w:szCs w:val="24"/>
        </w:rPr>
        <w:t xml:space="preserve">access </w:t>
      </w:r>
      <w:r w:rsidR="0096139F">
        <w:rPr>
          <w:rFonts w:asciiTheme="majorHAnsi" w:hAnsiTheme="majorHAnsi"/>
          <w:sz w:val="24"/>
          <w:szCs w:val="24"/>
        </w:rPr>
        <w:t xml:space="preserve">the </w:t>
      </w:r>
      <w:r w:rsidR="0096139F" w:rsidRPr="00052532">
        <w:rPr>
          <w:rFonts w:asciiTheme="majorHAnsi" w:hAnsiTheme="majorHAnsi"/>
          <w:sz w:val="24"/>
          <w:szCs w:val="24"/>
        </w:rPr>
        <w:t>registration</w:t>
      </w:r>
      <w:r w:rsidR="004900F6" w:rsidRPr="00052532">
        <w:rPr>
          <w:rFonts w:asciiTheme="majorHAnsi" w:hAnsiTheme="majorHAnsi"/>
          <w:sz w:val="24"/>
          <w:szCs w:val="24"/>
        </w:rPr>
        <w:t xml:space="preserve"> data and</w:t>
      </w:r>
      <w:r w:rsidR="00106ECA" w:rsidRPr="00052532">
        <w:rPr>
          <w:rFonts w:asciiTheme="majorHAnsi" w:hAnsiTheme="majorHAnsi"/>
          <w:sz w:val="24"/>
          <w:szCs w:val="24"/>
        </w:rPr>
        <w:t xml:space="preserve"> </w:t>
      </w:r>
      <w:r w:rsidR="004C24F6">
        <w:rPr>
          <w:rFonts w:asciiTheme="majorHAnsi" w:hAnsiTheme="majorHAnsi"/>
          <w:sz w:val="24"/>
          <w:szCs w:val="24"/>
        </w:rPr>
        <w:t xml:space="preserve">assess </w:t>
      </w:r>
      <w:r w:rsidR="00A33FCD" w:rsidRPr="00052532">
        <w:rPr>
          <w:rFonts w:asciiTheme="majorHAnsi" w:hAnsiTheme="majorHAnsi"/>
          <w:sz w:val="24"/>
          <w:szCs w:val="24"/>
        </w:rPr>
        <w:t xml:space="preserve"> the </w:t>
      </w:r>
      <w:r w:rsidRPr="00052532">
        <w:rPr>
          <w:rFonts w:asciiTheme="majorHAnsi" w:hAnsiTheme="majorHAnsi"/>
          <w:sz w:val="24"/>
          <w:szCs w:val="24"/>
        </w:rPr>
        <w:t xml:space="preserve">impact of the certification </w:t>
      </w:r>
      <w:r w:rsidR="00240D0E" w:rsidRPr="00052532">
        <w:rPr>
          <w:rFonts w:asciiTheme="majorHAnsi" w:hAnsiTheme="majorHAnsi"/>
          <w:sz w:val="24"/>
          <w:szCs w:val="24"/>
        </w:rPr>
        <w:t>program meeting the following objectives:</w:t>
      </w:r>
    </w:p>
    <w:p w:rsidR="00ED7624" w:rsidRDefault="00ED7624" w:rsidP="00052532">
      <w:pPr>
        <w:pStyle w:val="ListParagraph"/>
        <w:numPr>
          <w:ilvl w:val="0"/>
          <w:numId w:val="45"/>
        </w:numPr>
        <w:rPr>
          <w:rFonts w:asciiTheme="majorHAnsi" w:hAnsiTheme="majorHAnsi"/>
          <w:sz w:val="24"/>
          <w:szCs w:val="24"/>
        </w:rPr>
      </w:pPr>
      <w:r w:rsidRPr="00052532">
        <w:rPr>
          <w:rFonts w:asciiTheme="majorHAnsi" w:hAnsiTheme="majorHAnsi"/>
          <w:sz w:val="24"/>
          <w:szCs w:val="24"/>
        </w:rPr>
        <w:t>Increase participant awareness and knowledge of environmental health and land reuse</w:t>
      </w:r>
      <w:r w:rsidR="005B0DD9">
        <w:rPr>
          <w:rFonts w:asciiTheme="majorHAnsi" w:hAnsiTheme="majorHAnsi"/>
          <w:sz w:val="24"/>
          <w:szCs w:val="24"/>
        </w:rPr>
        <w:t>;</w:t>
      </w:r>
    </w:p>
    <w:p w:rsidR="00ED7624" w:rsidRPr="00052532" w:rsidRDefault="00ED7624" w:rsidP="00052532">
      <w:pPr>
        <w:pStyle w:val="ListParagraph"/>
        <w:numPr>
          <w:ilvl w:val="0"/>
          <w:numId w:val="45"/>
        </w:numPr>
        <w:rPr>
          <w:rFonts w:asciiTheme="majorHAnsi" w:hAnsiTheme="majorHAnsi"/>
          <w:sz w:val="24"/>
          <w:szCs w:val="24"/>
        </w:rPr>
      </w:pPr>
      <w:r w:rsidRPr="00052532">
        <w:rPr>
          <w:rFonts w:asciiTheme="majorHAnsi" w:hAnsiTheme="majorHAnsi"/>
          <w:sz w:val="24"/>
          <w:szCs w:val="24"/>
        </w:rPr>
        <w:t>Increase skills and capacity of participants to engage in environmental health and land reuse work</w:t>
      </w:r>
      <w:r w:rsidR="005B0DD9">
        <w:rPr>
          <w:rFonts w:asciiTheme="majorHAnsi" w:hAnsiTheme="majorHAnsi"/>
          <w:sz w:val="24"/>
          <w:szCs w:val="24"/>
        </w:rPr>
        <w:t>; and</w:t>
      </w:r>
    </w:p>
    <w:p w:rsidR="00ED7624" w:rsidRPr="00052532" w:rsidRDefault="00ED7624" w:rsidP="00052532">
      <w:pPr>
        <w:pStyle w:val="ListParagraph"/>
        <w:numPr>
          <w:ilvl w:val="0"/>
          <w:numId w:val="45"/>
        </w:numPr>
        <w:rPr>
          <w:rFonts w:asciiTheme="majorHAnsi" w:hAnsiTheme="majorHAnsi"/>
          <w:sz w:val="24"/>
          <w:szCs w:val="24"/>
        </w:rPr>
      </w:pPr>
      <w:r w:rsidRPr="00052532">
        <w:rPr>
          <w:rFonts w:asciiTheme="majorHAnsi" w:hAnsiTheme="majorHAnsi"/>
          <w:sz w:val="24"/>
          <w:szCs w:val="24"/>
        </w:rPr>
        <w:t>Assess participant feedback and assessment of their own increased awareness, skills, and knowledge in environmental health and land reuse</w:t>
      </w:r>
      <w:r w:rsidR="005B0DD9">
        <w:rPr>
          <w:rFonts w:asciiTheme="majorHAnsi" w:hAnsiTheme="majorHAnsi"/>
          <w:sz w:val="24"/>
          <w:szCs w:val="24"/>
        </w:rPr>
        <w:t>.</w:t>
      </w:r>
    </w:p>
    <w:p w:rsidR="00ED7624" w:rsidRPr="00052532" w:rsidRDefault="00ED7624" w:rsidP="00052532">
      <w:pPr>
        <w:rPr>
          <w:rFonts w:asciiTheme="majorHAnsi" w:hAnsiTheme="majorHAnsi"/>
          <w:sz w:val="24"/>
          <w:szCs w:val="24"/>
        </w:rPr>
      </w:pPr>
    </w:p>
    <w:p w:rsidR="00E15A39" w:rsidRDefault="00E15A39" w:rsidP="00101FE3">
      <w:pPr>
        <w:rPr>
          <w:rFonts w:asciiTheme="majorHAnsi" w:hAnsiTheme="majorHAnsi"/>
          <w:sz w:val="24"/>
          <w:szCs w:val="24"/>
        </w:rPr>
      </w:pPr>
      <w:r w:rsidRPr="00052532">
        <w:rPr>
          <w:rFonts w:asciiTheme="majorHAnsi" w:hAnsiTheme="majorHAnsi"/>
          <w:sz w:val="24"/>
          <w:szCs w:val="24"/>
        </w:rPr>
        <w:t xml:space="preserve">The </w:t>
      </w:r>
      <w:r w:rsidR="00F50B9C" w:rsidRPr="00052532">
        <w:rPr>
          <w:rFonts w:asciiTheme="majorHAnsi" w:hAnsiTheme="majorHAnsi"/>
          <w:sz w:val="24"/>
          <w:szCs w:val="24"/>
        </w:rPr>
        <w:t>c</w:t>
      </w:r>
      <w:r w:rsidRPr="00052532">
        <w:rPr>
          <w:rFonts w:asciiTheme="majorHAnsi" w:hAnsiTheme="majorHAnsi"/>
          <w:sz w:val="24"/>
          <w:szCs w:val="24"/>
        </w:rPr>
        <w:t>ertificat</w:t>
      </w:r>
      <w:r w:rsidR="00C4148D">
        <w:rPr>
          <w:rFonts w:asciiTheme="majorHAnsi" w:hAnsiTheme="majorHAnsi"/>
          <w:sz w:val="24"/>
          <w:szCs w:val="24"/>
        </w:rPr>
        <w:t>e</w:t>
      </w:r>
      <w:r w:rsidRPr="00052532">
        <w:rPr>
          <w:rFonts w:asciiTheme="majorHAnsi" w:hAnsiTheme="majorHAnsi"/>
          <w:sz w:val="24"/>
          <w:szCs w:val="24"/>
        </w:rPr>
        <w:t xml:space="preserve"> consists of online learning content in </w:t>
      </w:r>
      <w:r w:rsidR="001A546D">
        <w:rPr>
          <w:rFonts w:asciiTheme="majorHAnsi" w:hAnsiTheme="majorHAnsi"/>
          <w:sz w:val="24"/>
          <w:szCs w:val="24"/>
        </w:rPr>
        <w:t xml:space="preserve">ATSDR’s website, </w:t>
      </w:r>
      <w:r w:rsidR="00236584">
        <w:rPr>
          <w:rFonts w:asciiTheme="majorHAnsi" w:hAnsiTheme="majorHAnsi"/>
          <w:sz w:val="24"/>
          <w:szCs w:val="24"/>
        </w:rPr>
        <w:t>linked through TCEO</w:t>
      </w:r>
      <w:r w:rsidRPr="00052532">
        <w:rPr>
          <w:rFonts w:asciiTheme="majorHAnsi" w:hAnsiTheme="majorHAnsi"/>
          <w:sz w:val="24"/>
          <w:szCs w:val="24"/>
        </w:rPr>
        <w:t>. The content includes topics in</w:t>
      </w:r>
      <w:r w:rsidR="00C4148D">
        <w:rPr>
          <w:rFonts w:asciiTheme="majorHAnsi" w:hAnsiTheme="majorHAnsi"/>
          <w:sz w:val="24"/>
          <w:szCs w:val="24"/>
        </w:rPr>
        <w:t xml:space="preserve"> Environmental Health and Land Reuse, including</w:t>
      </w:r>
      <w:r w:rsidRPr="00052532">
        <w:rPr>
          <w:rFonts w:asciiTheme="majorHAnsi" w:hAnsiTheme="majorHAnsi"/>
          <w:sz w:val="24"/>
          <w:szCs w:val="24"/>
        </w:rPr>
        <w:t xml:space="preserve"> </w:t>
      </w:r>
      <w:r w:rsidR="00FC133F">
        <w:rPr>
          <w:rFonts w:asciiTheme="majorHAnsi" w:hAnsiTheme="majorHAnsi"/>
          <w:sz w:val="24"/>
          <w:szCs w:val="24"/>
        </w:rPr>
        <w:t>Community Engagement</w:t>
      </w:r>
      <w:r w:rsidR="00C4148D">
        <w:rPr>
          <w:rFonts w:asciiTheme="majorHAnsi" w:hAnsiTheme="majorHAnsi"/>
          <w:sz w:val="24"/>
          <w:szCs w:val="24"/>
        </w:rPr>
        <w:t xml:space="preserve">, Environmental </w:t>
      </w:r>
      <w:r w:rsidR="00066D02">
        <w:rPr>
          <w:rFonts w:asciiTheme="majorHAnsi" w:hAnsiTheme="majorHAnsi"/>
          <w:sz w:val="24"/>
          <w:szCs w:val="24"/>
        </w:rPr>
        <w:t xml:space="preserve">and Health </w:t>
      </w:r>
      <w:r w:rsidR="00C4148D">
        <w:rPr>
          <w:rFonts w:asciiTheme="majorHAnsi" w:hAnsiTheme="majorHAnsi"/>
          <w:sz w:val="24"/>
          <w:szCs w:val="24"/>
        </w:rPr>
        <w:t xml:space="preserve">Assessment, </w:t>
      </w:r>
      <w:r w:rsidRPr="00052532">
        <w:rPr>
          <w:rFonts w:asciiTheme="majorHAnsi" w:hAnsiTheme="majorHAnsi"/>
          <w:sz w:val="24"/>
          <w:szCs w:val="24"/>
        </w:rPr>
        <w:t xml:space="preserve">Risk Assessment, Risk Communication, </w:t>
      </w:r>
      <w:r w:rsidR="00066D02">
        <w:rPr>
          <w:rFonts w:asciiTheme="majorHAnsi" w:hAnsiTheme="majorHAnsi"/>
          <w:sz w:val="24"/>
          <w:szCs w:val="24"/>
        </w:rPr>
        <w:t>Epidemiology, Toxicology</w:t>
      </w:r>
      <w:r w:rsidRPr="00052532">
        <w:rPr>
          <w:rFonts w:asciiTheme="majorHAnsi" w:hAnsiTheme="majorHAnsi"/>
          <w:sz w:val="24"/>
          <w:szCs w:val="24"/>
        </w:rPr>
        <w:t xml:space="preserve">, and Land Reuse and Redevelopment. </w:t>
      </w:r>
    </w:p>
    <w:p w:rsidR="000F54E4" w:rsidRDefault="00A00172" w:rsidP="00A00172">
      <w:pPr>
        <w:rPr>
          <w:rFonts w:ascii="Cambria" w:hAnsi="Cambria" w:cstheme="minorHAnsi"/>
          <w:color w:val="000000" w:themeColor="text1"/>
          <w:sz w:val="24"/>
          <w:szCs w:val="24"/>
        </w:rPr>
      </w:pPr>
      <w:r w:rsidRPr="00C44028">
        <w:rPr>
          <w:rFonts w:ascii="Cambria" w:hAnsi="Cambria" w:cstheme="minorHAnsi"/>
          <w:color w:val="000000" w:themeColor="text1"/>
          <w:sz w:val="24"/>
          <w:szCs w:val="24"/>
        </w:rPr>
        <w:t>The certificat</w:t>
      </w:r>
      <w:r>
        <w:rPr>
          <w:rFonts w:ascii="Cambria" w:hAnsi="Cambria" w:cstheme="minorHAnsi"/>
          <w:color w:val="000000" w:themeColor="text1"/>
          <w:sz w:val="24"/>
          <w:szCs w:val="24"/>
        </w:rPr>
        <w:t>e program</w:t>
      </w:r>
      <w:r w:rsidRPr="00C44028">
        <w:rPr>
          <w:rFonts w:ascii="Cambria" w:hAnsi="Cambria" w:cstheme="minorHAnsi"/>
          <w:color w:val="000000" w:themeColor="text1"/>
          <w:sz w:val="24"/>
          <w:szCs w:val="24"/>
        </w:rPr>
        <w:t xml:space="preserve"> will be hosted on </w:t>
      </w:r>
      <w:r>
        <w:rPr>
          <w:rFonts w:ascii="Cambria" w:hAnsi="Cambria" w:cstheme="minorHAnsi"/>
          <w:color w:val="000000" w:themeColor="text1"/>
          <w:sz w:val="24"/>
          <w:szCs w:val="24"/>
        </w:rPr>
        <w:t>ATSDR’s website</w:t>
      </w:r>
      <w:r w:rsidR="005C0D6E">
        <w:rPr>
          <w:rFonts w:ascii="Cambria" w:hAnsi="Cambria" w:cstheme="minorHAnsi"/>
          <w:color w:val="000000" w:themeColor="text1"/>
          <w:sz w:val="24"/>
          <w:szCs w:val="24"/>
        </w:rPr>
        <w:t xml:space="preserve"> and linked by TCEO. Continuing education credits will be </w:t>
      </w:r>
      <w:r>
        <w:rPr>
          <w:rFonts w:ascii="Cambria" w:hAnsi="Cambria" w:cstheme="minorHAnsi"/>
          <w:color w:val="000000" w:themeColor="text1"/>
          <w:sz w:val="24"/>
          <w:szCs w:val="24"/>
        </w:rPr>
        <w:t>issued by TCEO</w:t>
      </w:r>
      <w:r w:rsidR="00614D32">
        <w:rPr>
          <w:rFonts w:ascii="Cambria" w:hAnsi="Cambria" w:cstheme="minorHAnsi"/>
          <w:color w:val="000000" w:themeColor="text1"/>
          <w:sz w:val="24"/>
          <w:szCs w:val="24"/>
        </w:rPr>
        <w:t xml:space="preserve"> for participants who complete the course and pass each </w:t>
      </w:r>
      <w:r w:rsidR="004C24F6">
        <w:rPr>
          <w:rFonts w:ascii="Cambria" w:hAnsi="Cambria" w:cstheme="minorHAnsi"/>
          <w:color w:val="000000" w:themeColor="text1"/>
          <w:sz w:val="24"/>
          <w:szCs w:val="24"/>
        </w:rPr>
        <w:t>TCEO-</w:t>
      </w:r>
      <w:r w:rsidR="00614D32">
        <w:rPr>
          <w:rFonts w:ascii="Cambria" w:hAnsi="Cambria" w:cstheme="minorHAnsi"/>
          <w:color w:val="000000" w:themeColor="text1"/>
          <w:sz w:val="24"/>
          <w:szCs w:val="24"/>
        </w:rPr>
        <w:t>required po</w:t>
      </w:r>
      <w:r w:rsidR="004C24F6">
        <w:rPr>
          <w:rFonts w:ascii="Cambria" w:hAnsi="Cambria" w:cstheme="minorHAnsi"/>
          <w:color w:val="000000" w:themeColor="text1"/>
          <w:sz w:val="24"/>
          <w:szCs w:val="24"/>
        </w:rPr>
        <w:t>st</w:t>
      </w:r>
      <w:r w:rsidR="00614D32">
        <w:rPr>
          <w:rFonts w:ascii="Cambria" w:hAnsi="Cambria" w:cstheme="minorHAnsi"/>
          <w:color w:val="000000" w:themeColor="text1"/>
          <w:sz w:val="24"/>
          <w:szCs w:val="24"/>
        </w:rPr>
        <w:t xml:space="preserve">-test with a score of 80%. </w:t>
      </w:r>
      <w:r w:rsidR="00CA1986">
        <w:rPr>
          <w:rFonts w:ascii="Cambria" w:hAnsi="Cambria" w:cstheme="minorHAnsi"/>
          <w:color w:val="000000" w:themeColor="text1"/>
          <w:sz w:val="24"/>
          <w:szCs w:val="24"/>
        </w:rPr>
        <w:t xml:space="preserve">Participants who </w:t>
      </w:r>
      <w:r w:rsidR="00614D32">
        <w:rPr>
          <w:rFonts w:ascii="Cambria" w:hAnsi="Cambria" w:cstheme="minorHAnsi"/>
          <w:color w:val="000000" w:themeColor="text1"/>
          <w:sz w:val="24"/>
          <w:szCs w:val="24"/>
        </w:rPr>
        <w:t xml:space="preserve">successfully </w:t>
      </w:r>
      <w:r w:rsidR="00CA1986">
        <w:rPr>
          <w:rFonts w:ascii="Cambria" w:hAnsi="Cambria" w:cstheme="minorHAnsi"/>
          <w:color w:val="000000" w:themeColor="text1"/>
          <w:sz w:val="24"/>
          <w:szCs w:val="24"/>
        </w:rPr>
        <w:t>complete</w:t>
      </w:r>
      <w:r w:rsidR="00614D32">
        <w:rPr>
          <w:rFonts w:ascii="Cambria" w:hAnsi="Cambria" w:cstheme="minorHAnsi"/>
          <w:color w:val="000000" w:themeColor="text1"/>
          <w:sz w:val="24"/>
          <w:szCs w:val="24"/>
        </w:rPr>
        <w:t xml:space="preserve"> (80% score)</w:t>
      </w:r>
      <w:r w:rsidR="00CA1986">
        <w:rPr>
          <w:rFonts w:ascii="Cambria" w:hAnsi="Cambria" w:cstheme="minorHAnsi"/>
          <w:color w:val="000000" w:themeColor="text1"/>
          <w:sz w:val="24"/>
          <w:szCs w:val="24"/>
        </w:rPr>
        <w:t xml:space="preserve"> all five modules of the certificate training are eligible to independently upload their certificate</w:t>
      </w:r>
      <w:r w:rsidR="004C24F6">
        <w:rPr>
          <w:rFonts w:ascii="Cambria" w:hAnsi="Cambria" w:cstheme="minorHAnsi"/>
          <w:color w:val="000000" w:themeColor="text1"/>
          <w:sz w:val="24"/>
          <w:szCs w:val="24"/>
        </w:rPr>
        <w:t>s</w:t>
      </w:r>
      <w:r w:rsidR="00CA1986">
        <w:rPr>
          <w:rFonts w:ascii="Cambria" w:hAnsi="Cambria" w:cstheme="minorHAnsi"/>
          <w:color w:val="000000" w:themeColor="text1"/>
          <w:sz w:val="24"/>
          <w:szCs w:val="24"/>
        </w:rPr>
        <w:t xml:space="preserve"> of completion from TCEO for an additional certi</w:t>
      </w:r>
      <w:r w:rsidR="000F54E4">
        <w:rPr>
          <w:rFonts w:ascii="Cambria" w:hAnsi="Cambria" w:cstheme="minorHAnsi"/>
          <w:color w:val="000000" w:themeColor="text1"/>
          <w:sz w:val="24"/>
          <w:szCs w:val="24"/>
        </w:rPr>
        <w:t>fi</w:t>
      </w:r>
      <w:r w:rsidR="00CA1986">
        <w:rPr>
          <w:rFonts w:ascii="Cambria" w:hAnsi="Cambria" w:cstheme="minorHAnsi"/>
          <w:color w:val="000000" w:themeColor="text1"/>
          <w:sz w:val="24"/>
          <w:szCs w:val="24"/>
        </w:rPr>
        <w:t xml:space="preserve">cate of completion issued by </w:t>
      </w:r>
      <w:r>
        <w:rPr>
          <w:rFonts w:ascii="Cambria" w:hAnsi="Cambria" w:cstheme="minorHAnsi"/>
          <w:color w:val="000000" w:themeColor="text1"/>
          <w:sz w:val="24"/>
          <w:szCs w:val="24"/>
        </w:rPr>
        <w:t>NEHA</w:t>
      </w:r>
      <w:r w:rsidR="00CA1986">
        <w:rPr>
          <w:rFonts w:ascii="Cambria" w:hAnsi="Cambria" w:cstheme="minorHAnsi"/>
          <w:color w:val="000000" w:themeColor="text1"/>
          <w:sz w:val="24"/>
          <w:szCs w:val="24"/>
        </w:rPr>
        <w:t xml:space="preserve">. </w:t>
      </w:r>
      <w:r>
        <w:rPr>
          <w:rFonts w:ascii="Cambria" w:hAnsi="Cambria" w:cstheme="minorHAnsi"/>
          <w:color w:val="000000" w:themeColor="text1"/>
          <w:sz w:val="24"/>
          <w:szCs w:val="24"/>
        </w:rPr>
        <w:t xml:space="preserve"> </w:t>
      </w:r>
      <w:r w:rsidR="00614D32">
        <w:rPr>
          <w:rFonts w:ascii="Cambria" w:hAnsi="Cambria" w:cstheme="minorHAnsi"/>
          <w:color w:val="000000" w:themeColor="text1"/>
          <w:sz w:val="24"/>
          <w:szCs w:val="24"/>
        </w:rPr>
        <w:t>NEHA is offering this “EHLR” Certificate of Completion as they are recognized as the “</w:t>
      </w:r>
      <w:r w:rsidR="006C3F73">
        <w:rPr>
          <w:rFonts w:ascii="Cambria" w:hAnsi="Cambria" w:cstheme="minorHAnsi"/>
          <w:color w:val="000000" w:themeColor="text1"/>
          <w:sz w:val="24"/>
          <w:szCs w:val="24"/>
        </w:rPr>
        <w:t xml:space="preserve">credentialing” entity for many </w:t>
      </w:r>
      <w:r w:rsidR="00614D32">
        <w:rPr>
          <w:rFonts w:ascii="Cambria" w:hAnsi="Cambria" w:cstheme="minorHAnsi"/>
          <w:color w:val="000000" w:themeColor="text1"/>
          <w:sz w:val="24"/>
          <w:szCs w:val="24"/>
        </w:rPr>
        <w:t xml:space="preserve">environmental professionals. For example, they offer a Registered Sanitarian certification and food safety/food handling courses that issue a certificate. </w:t>
      </w:r>
      <w:r w:rsidRPr="00C44028">
        <w:rPr>
          <w:rFonts w:ascii="Cambria" w:hAnsi="Cambria" w:cstheme="minorHAnsi"/>
          <w:color w:val="000000" w:themeColor="text1"/>
          <w:sz w:val="24"/>
          <w:szCs w:val="24"/>
        </w:rPr>
        <w:t xml:space="preserve">The target participants are primarily NEHA members who are LHD staff and ATSDR stakeholders who are state health department staff, as well as other environmental professionals, students in environmental health or public health, or planners. </w:t>
      </w:r>
    </w:p>
    <w:p w:rsidR="00A00172" w:rsidRPr="00002515" w:rsidRDefault="00A00172" w:rsidP="00A00172">
      <w:pPr>
        <w:rPr>
          <w:rFonts w:asciiTheme="majorHAnsi" w:hAnsiTheme="majorHAnsi"/>
          <w:sz w:val="24"/>
          <w:szCs w:val="24"/>
        </w:rPr>
      </w:pPr>
      <w:r w:rsidRPr="00C44028">
        <w:rPr>
          <w:rFonts w:ascii="Cambria" w:hAnsi="Cambria" w:cstheme="minorHAnsi"/>
          <w:color w:val="000000" w:themeColor="text1"/>
          <w:sz w:val="24"/>
          <w:szCs w:val="24"/>
        </w:rPr>
        <w:t>Because the certificat</w:t>
      </w:r>
      <w:r>
        <w:rPr>
          <w:rFonts w:ascii="Cambria" w:hAnsi="Cambria" w:cstheme="minorHAnsi"/>
          <w:color w:val="000000" w:themeColor="text1"/>
          <w:sz w:val="24"/>
          <w:szCs w:val="24"/>
        </w:rPr>
        <w:t>e</w:t>
      </w:r>
      <w:r w:rsidRPr="00C44028">
        <w:rPr>
          <w:rFonts w:ascii="Cambria" w:hAnsi="Cambria" w:cstheme="minorHAnsi"/>
          <w:color w:val="000000" w:themeColor="text1"/>
          <w:sz w:val="24"/>
          <w:szCs w:val="24"/>
        </w:rPr>
        <w:t xml:space="preserve"> course is new, it is necessary to </w:t>
      </w:r>
      <w:r>
        <w:rPr>
          <w:rFonts w:ascii="Cambria" w:hAnsi="Cambria" w:cstheme="minorHAnsi"/>
          <w:color w:val="000000" w:themeColor="text1"/>
          <w:sz w:val="24"/>
          <w:szCs w:val="24"/>
        </w:rPr>
        <w:t xml:space="preserve">request from TCEO </w:t>
      </w:r>
      <w:r w:rsidRPr="00C44028">
        <w:rPr>
          <w:rFonts w:ascii="Cambria" w:hAnsi="Cambria" w:cstheme="minorHAnsi"/>
          <w:color w:val="000000" w:themeColor="text1"/>
          <w:sz w:val="24"/>
          <w:szCs w:val="24"/>
        </w:rPr>
        <w:t>participant registration</w:t>
      </w:r>
      <w:r>
        <w:rPr>
          <w:rFonts w:ascii="Cambria" w:hAnsi="Cambria" w:cstheme="minorHAnsi"/>
          <w:color w:val="000000" w:themeColor="text1"/>
          <w:sz w:val="24"/>
          <w:szCs w:val="24"/>
        </w:rPr>
        <w:t xml:space="preserve"> email contact information (name and email)</w:t>
      </w:r>
      <w:r w:rsidR="000F54E4">
        <w:rPr>
          <w:rFonts w:ascii="Cambria" w:hAnsi="Cambria" w:cstheme="minorHAnsi"/>
          <w:color w:val="000000" w:themeColor="text1"/>
          <w:sz w:val="24"/>
          <w:szCs w:val="24"/>
        </w:rPr>
        <w:t>, as well as job title and location (city name or ZIP code),</w:t>
      </w:r>
      <w:r>
        <w:rPr>
          <w:rFonts w:ascii="Cambria" w:hAnsi="Cambria" w:cstheme="minorHAnsi"/>
          <w:color w:val="000000" w:themeColor="text1"/>
          <w:sz w:val="24"/>
          <w:szCs w:val="24"/>
        </w:rPr>
        <w:t xml:space="preserve"> </w:t>
      </w:r>
      <w:r w:rsidR="000F54E4">
        <w:rPr>
          <w:rFonts w:ascii="Cambria" w:hAnsi="Cambria" w:cstheme="minorHAnsi"/>
          <w:color w:val="000000" w:themeColor="text1"/>
          <w:sz w:val="24"/>
          <w:szCs w:val="24"/>
        </w:rPr>
        <w:t>to facilitate</w:t>
      </w:r>
      <w:r w:rsidRPr="00C44028">
        <w:rPr>
          <w:rFonts w:ascii="Cambria" w:hAnsi="Cambria" w:cstheme="minorHAnsi"/>
          <w:color w:val="000000" w:themeColor="text1"/>
          <w:sz w:val="24"/>
          <w:szCs w:val="24"/>
        </w:rPr>
        <w:t xml:space="preserve"> </w:t>
      </w:r>
      <w:r w:rsidR="000F54E4">
        <w:rPr>
          <w:rFonts w:ascii="Cambria" w:hAnsi="Cambria" w:cstheme="minorHAnsi"/>
          <w:color w:val="000000" w:themeColor="text1"/>
          <w:sz w:val="24"/>
          <w:szCs w:val="24"/>
        </w:rPr>
        <w:t xml:space="preserve">a voluntary </w:t>
      </w:r>
      <w:r w:rsidRPr="00C44028">
        <w:rPr>
          <w:rFonts w:ascii="Cambria" w:hAnsi="Cambria" w:cstheme="minorHAnsi"/>
          <w:color w:val="000000" w:themeColor="text1"/>
          <w:sz w:val="24"/>
          <w:szCs w:val="24"/>
        </w:rPr>
        <w:t xml:space="preserve">follow up </w:t>
      </w:r>
      <w:r w:rsidRPr="00004068">
        <w:rPr>
          <w:rFonts w:ascii="Cambria" w:hAnsi="Cambria" w:cstheme="minorHAnsi"/>
          <w:color w:val="000000" w:themeColor="text1"/>
          <w:sz w:val="24"/>
          <w:szCs w:val="24"/>
        </w:rPr>
        <w:t xml:space="preserve">(Attachment </w:t>
      </w:r>
      <w:r>
        <w:rPr>
          <w:rFonts w:ascii="Cambria" w:hAnsi="Cambria" w:cstheme="minorHAnsi"/>
          <w:color w:val="000000" w:themeColor="text1"/>
          <w:sz w:val="24"/>
          <w:szCs w:val="24"/>
        </w:rPr>
        <w:t>4a and 4b</w:t>
      </w:r>
      <w:r w:rsidRPr="00004068">
        <w:rPr>
          <w:rFonts w:ascii="Cambria" w:hAnsi="Cambria" w:cstheme="minorHAnsi"/>
          <w:color w:val="000000" w:themeColor="text1"/>
          <w:sz w:val="24"/>
          <w:szCs w:val="24"/>
        </w:rPr>
        <w:t>).</w:t>
      </w:r>
      <w:r w:rsidRPr="00C44028">
        <w:rPr>
          <w:rFonts w:ascii="Cambria" w:hAnsi="Cambria" w:cstheme="minorHAnsi"/>
          <w:color w:val="000000" w:themeColor="text1"/>
          <w:sz w:val="24"/>
          <w:szCs w:val="24"/>
        </w:rPr>
        <w:t xml:space="preserve">  </w:t>
      </w:r>
      <w:r w:rsidR="005C0D6E">
        <w:rPr>
          <w:rFonts w:ascii="Cambria" w:hAnsi="Cambria" w:cstheme="minorHAnsi"/>
          <w:color w:val="000000" w:themeColor="text1"/>
          <w:sz w:val="24"/>
          <w:szCs w:val="24"/>
        </w:rPr>
        <w:t>ATSDR will conduct the</w:t>
      </w:r>
      <w:r>
        <w:rPr>
          <w:rFonts w:ascii="Cambria" w:hAnsi="Cambria" w:cstheme="minorHAnsi"/>
          <w:color w:val="000000" w:themeColor="text1"/>
          <w:sz w:val="24"/>
          <w:szCs w:val="24"/>
        </w:rPr>
        <w:t xml:space="preserve"> follow up only one time </w:t>
      </w:r>
      <w:r w:rsidR="005C0D6E">
        <w:rPr>
          <w:rFonts w:ascii="Cambria" w:hAnsi="Cambria" w:cstheme="minorHAnsi"/>
          <w:color w:val="000000" w:themeColor="text1"/>
          <w:sz w:val="24"/>
          <w:szCs w:val="24"/>
        </w:rPr>
        <w:t xml:space="preserve">per participant </w:t>
      </w:r>
      <w:r w:rsidRPr="00620229">
        <w:rPr>
          <w:rFonts w:asciiTheme="majorHAnsi" w:hAnsiTheme="majorHAnsi" w:cstheme="minorHAnsi"/>
          <w:color w:val="000000" w:themeColor="text1"/>
          <w:sz w:val="24"/>
          <w:szCs w:val="24"/>
        </w:rPr>
        <w:t>within a 12-month period</w:t>
      </w:r>
      <w:r>
        <w:rPr>
          <w:rFonts w:asciiTheme="majorHAnsi" w:hAnsiTheme="majorHAnsi" w:cstheme="minorHAnsi"/>
          <w:color w:val="000000" w:themeColor="text1"/>
          <w:sz w:val="24"/>
          <w:szCs w:val="24"/>
        </w:rPr>
        <w:t xml:space="preserve"> of participant completion of the course.</w:t>
      </w:r>
      <w:r w:rsidRPr="00620229">
        <w:rPr>
          <w:rFonts w:asciiTheme="majorHAnsi" w:hAnsiTheme="majorHAnsi" w:cstheme="minorHAnsi"/>
          <w:color w:val="000000" w:themeColor="text1"/>
          <w:sz w:val="24"/>
          <w:szCs w:val="24"/>
        </w:rPr>
        <w:t xml:space="preserve">  </w:t>
      </w:r>
    </w:p>
    <w:p w:rsidR="007337A7" w:rsidRPr="00052532" w:rsidRDefault="00A00172" w:rsidP="00CE3D9D">
      <w:pPr>
        <w:rPr>
          <w:rFonts w:asciiTheme="majorHAnsi" w:hAnsiTheme="majorHAnsi"/>
          <w:sz w:val="24"/>
          <w:szCs w:val="24"/>
        </w:rPr>
      </w:pPr>
      <w:r w:rsidRPr="00C44028">
        <w:rPr>
          <w:rFonts w:ascii="Cambria" w:hAnsi="Cambria" w:cstheme="minorHAnsi"/>
          <w:color w:val="000000" w:themeColor="text1"/>
          <w:sz w:val="24"/>
          <w:szCs w:val="24"/>
        </w:rPr>
        <w:t>ATSDR intend</w:t>
      </w:r>
      <w:r>
        <w:rPr>
          <w:rFonts w:ascii="Cambria" w:hAnsi="Cambria" w:cstheme="minorHAnsi"/>
          <w:color w:val="000000" w:themeColor="text1"/>
          <w:sz w:val="24"/>
          <w:szCs w:val="24"/>
        </w:rPr>
        <w:t>s</w:t>
      </w:r>
      <w:r w:rsidRPr="00C44028">
        <w:rPr>
          <w:rFonts w:ascii="Cambria" w:hAnsi="Cambria" w:cstheme="minorHAnsi"/>
          <w:color w:val="000000" w:themeColor="text1"/>
          <w:sz w:val="24"/>
          <w:szCs w:val="24"/>
        </w:rPr>
        <w:t xml:space="preserve"> to use the follow-up data to assess the </w:t>
      </w:r>
      <w:r w:rsidR="005C0D6E">
        <w:rPr>
          <w:rFonts w:ascii="Cambria" w:hAnsi="Cambria" w:cstheme="minorHAnsi"/>
          <w:color w:val="000000" w:themeColor="text1"/>
          <w:sz w:val="24"/>
          <w:szCs w:val="24"/>
        </w:rPr>
        <w:t xml:space="preserve">utility and </w:t>
      </w:r>
      <w:r w:rsidRPr="00C44028">
        <w:rPr>
          <w:rFonts w:ascii="Cambria" w:hAnsi="Cambria" w:cstheme="minorHAnsi"/>
          <w:color w:val="000000" w:themeColor="text1"/>
          <w:sz w:val="24"/>
          <w:szCs w:val="24"/>
        </w:rPr>
        <w:t>effectiveness of the educational content and increase in knowledge provided in the certificat</w:t>
      </w:r>
      <w:r>
        <w:rPr>
          <w:rFonts w:ascii="Cambria" w:hAnsi="Cambria" w:cstheme="minorHAnsi"/>
          <w:color w:val="000000" w:themeColor="text1"/>
          <w:sz w:val="24"/>
          <w:szCs w:val="24"/>
        </w:rPr>
        <w:t>e</w:t>
      </w:r>
      <w:r w:rsidRPr="00C44028">
        <w:rPr>
          <w:rFonts w:ascii="Cambria" w:hAnsi="Cambria" w:cstheme="minorHAnsi"/>
          <w:color w:val="000000" w:themeColor="text1"/>
          <w:sz w:val="24"/>
          <w:szCs w:val="24"/>
        </w:rPr>
        <w:t xml:space="preserve">. </w:t>
      </w:r>
      <w:r>
        <w:rPr>
          <w:rFonts w:asciiTheme="majorHAnsi" w:hAnsiTheme="majorHAnsi"/>
          <w:sz w:val="24"/>
          <w:szCs w:val="24"/>
        </w:rPr>
        <w:t>ATSDR</w:t>
      </w:r>
      <w:r w:rsidRPr="00A71640">
        <w:rPr>
          <w:rFonts w:asciiTheme="majorHAnsi" w:hAnsiTheme="majorHAnsi"/>
          <w:sz w:val="24"/>
          <w:szCs w:val="24"/>
        </w:rPr>
        <w:t xml:space="preserve"> will use </w:t>
      </w:r>
      <w:r>
        <w:rPr>
          <w:rFonts w:asciiTheme="majorHAnsi" w:hAnsiTheme="majorHAnsi"/>
          <w:sz w:val="24"/>
          <w:szCs w:val="24"/>
        </w:rPr>
        <w:t>Research Electronic Data Capture (REDcap)</w:t>
      </w:r>
      <w:r w:rsidRPr="00A71640">
        <w:rPr>
          <w:rFonts w:asciiTheme="majorHAnsi" w:hAnsiTheme="majorHAnsi"/>
          <w:sz w:val="24"/>
          <w:szCs w:val="24"/>
        </w:rPr>
        <w:t xml:space="preserve"> for the feedback questions.</w:t>
      </w:r>
      <w:r>
        <w:rPr>
          <w:rFonts w:ascii="Cambria" w:hAnsi="Cambria" w:cstheme="minorHAnsi"/>
          <w:color w:val="000000" w:themeColor="text1"/>
          <w:sz w:val="24"/>
          <w:szCs w:val="24"/>
        </w:rPr>
        <w:t xml:space="preserve"> </w:t>
      </w:r>
      <w:r w:rsidRPr="00C44028">
        <w:rPr>
          <w:rFonts w:ascii="Cambria" w:hAnsi="Cambria" w:cstheme="minorHAnsi"/>
          <w:color w:val="000000" w:themeColor="text1"/>
          <w:sz w:val="24"/>
          <w:szCs w:val="24"/>
        </w:rPr>
        <w:t>ATSDR and NEHA may publish the results of the certificat</w:t>
      </w:r>
      <w:r>
        <w:rPr>
          <w:rFonts w:ascii="Cambria" w:hAnsi="Cambria" w:cstheme="minorHAnsi"/>
          <w:color w:val="000000" w:themeColor="text1"/>
          <w:sz w:val="24"/>
          <w:szCs w:val="24"/>
        </w:rPr>
        <w:t>e</w:t>
      </w:r>
      <w:r w:rsidRPr="00C44028">
        <w:rPr>
          <w:rFonts w:ascii="Cambria" w:hAnsi="Cambria" w:cstheme="minorHAnsi"/>
          <w:color w:val="000000" w:themeColor="text1"/>
          <w:sz w:val="24"/>
          <w:szCs w:val="24"/>
        </w:rPr>
        <w:t xml:space="preserve"> follow up or use the information to inform the development of additional individual or collaborative environmental health and land reuse resources</w:t>
      </w:r>
      <w:r w:rsidR="004C24F6">
        <w:rPr>
          <w:rFonts w:ascii="Cambria" w:hAnsi="Cambria" w:cstheme="minorHAnsi"/>
          <w:color w:val="000000" w:themeColor="text1"/>
          <w:sz w:val="24"/>
          <w:szCs w:val="24"/>
        </w:rPr>
        <w:t>.</w:t>
      </w:r>
      <w:r w:rsidR="006C3F73">
        <w:rPr>
          <w:rFonts w:ascii="Cambria" w:hAnsi="Cambria" w:cstheme="minorHAnsi"/>
          <w:color w:val="000000" w:themeColor="text1"/>
          <w:sz w:val="24"/>
          <w:szCs w:val="24"/>
        </w:rPr>
        <w:t xml:space="preserve">  </w:t>
      </w:r>
      <w:r w:rsidR="004D3CE2" w:rsidRPr="00052532">
        <w:rPr>
          <w:rFonts w:asciiTheme="majorHAnsi" w:hAnsiTheme="majorHAnsi"/>
          <w:sz w:val="24"/>
          <w:szCs w:val="24"/>
        </w:rPr>
        <w:t xml:space="preserve">In summary, </w:t>
      </w:r>
      <w:r w:rsidR="00E15A39" w:rsidRPr="00052532">
        <w:rPr>
          <w:rFonts w:asciiTheme="majorHAnsi" w:hAnsiTheme="majorHAnsi"/>
          <w:sz w:val="24"/>
          <w:szCs w:val="24"/>
        </w:rPr>
        <w:t>t</w:t>
      </w:r>
      <w:r w:rsidR="00F624B5" w:rsidRPr="00052532">
        <w:rPr>
          <w:rFonts w:asciiTheme="majorHAnsi" w:hAnsiTheme="majorHAnsi"/>
          <w:sz w:val="24"/>
          <w:szCs w:val="24"/>
        </w:rPr>
        <w:t xml:space="preserve">he registration and feedback information will help ATSDR determine impacts of the </w:t>
      </w:r>
      <w:r w:rsidR="00F50B9C" w:rsidRPr="00052532">
        <w:rPr>
          <w:rFonts w:asciiTheme="majorHAnsi" w:hAnsiTheme="majorHAnsi"/>
          <w:sz w:val="24"/>
          <w:szCs w:val="24"/>
        </w:rPr>
        <w:t>c</w:t>
      </w:r>
      <w:r w:rsidR="00F624B5" w:rsidRPr="00052532">
        <w:rPr>
          <w:rFonts w:asciiTheme="majorHAnsi" w:hAnsiTheme="majorHAnsi"/>
          <w:sz w:val="24"/>
          <w:szCs w:val="24"/>
        </w:rPr>
        <w:t xml:space="preserve">ertification course in building capacity and skills in environmental </w:t>
      </w:r>
      <w:r w:rsidR="003A29BA" w:rsidRPr="00052532">
        <w:rPr>
          <w:rFonts w:asciiTheme="majorHAnsi" w:hAnsiTheme="majorHAnsi"/>
          <w:sz w:val="24"/>
          <w:szCs w:val="24"/>
        </w:rPr>
        <w:t>health</w:t>
      </w:r>
      <w:r w:rsidR="00F624B5" w:rsidRPr="00052532">
        <w:rPr>
          <w:rFonts w:asciiTheme="majorHAnsi" w:hAnsiTheme="majorHAnsi"/>
          <w:sz w:val="24"/>
          <w:szCs w:val="24"/>
        </w:rPr>
        <w:t xml:space="preserve"> and land reuse. </w:t>
      </w:r>
      <w:r w:rsidR="004D3CE2" w:rsidRPr="00052532">
        <w:rPr>
          <w:rFonts w:asciiTheme="majorHAnsi" w:hAnsiTheme="majorHAnsi"/>
          <w:sz w:val="24"/>
          <w:szCs w:val="24"/>
        </w:rPr>
        <w:t xml:space="preserve">Without this information, ATSDR will not be able to assess the effectiveness of the </w:t>
      </w:r>
      <w:r w:rsidR="00F50B9C" w:rsidRPr="00052532">
        <w:rPr>
          <w:rFonts w:asciiTheme="majorHAnsi" w:hAnsiTheme="majorHAnsi"/>
          <w:sz w:val="24"/>
          <w:szCs w:val="24"/>
        </w:rPr>
        <w:t>c</w:t>
      </w:r>
      <w:r w:rsidR="004D3CE2" w:rsidRPr="00052532">
        <w:rPr>
          <w:rFonts w:asciiTheme="majorHAnsi" w:hAnsiTheme="majorHAnsi"/>
          <w:sz w:val="24"/>
          <w:szCs w:val="24"/>
        </w:rPr>
        <w:t>ertificat</w:t>
      </w:r>
      <w:r w:rsidR="004C24F6">
        <w:rPr>
          <w:rFonts w:asciiTheme="majorHAnsi" w:hAnsiTheme="majorHAnsi"/>
          <w:sz w:val="24"/>
          <w:szCs w:val="24"/>
        </w:rPr>
        <w:t>e</w:t>
      </w:r>
      <w:r w:rsidR="004D3CE2" w:rsidRPr="00052532">
        <w:rPr>
          <w:rFonts w:asciiTheme="majorHAnsi" w:hAnsiTheme="majorHAnsi"/>
          <w:sz w:val="24"/>
          <w:szCs w:val="24"/>
        </w:rPr>
        <w:t xml:space="preserve"> in terms of building participants’ capacity in environmental health and land reuse activities. </w:t>
      </w:r>
      <w:r w:rsidR="008F233D" w:rsidRPr="00052532">
        <w:rPr>
          <w:rFonts w:asciiTheme="majorHAnsi" w:hAnsiTheme="majorHAnsi"/>
          <w:sz w:val="24"/>
          <w:szCs w:val="24"/>
        </w:rPr>
        <w:t xml:space="preserve">In addition, ATSDR can generalize feedback from course participants to </w:t>
      </w:r>
      <w:r w:rsidR="000F54E4">
        <w:rPr>
          <w:rFonts w:asciiTheme="majorHAnsi" w:hAnsiTheme="majorHAnsi"/>
          <w:sz w:val="24"/>
          <w:szCs w:val="24"/>
        </w:rPr>
        <w:t>enhance exis</w:t>
      </w:r>
      <w:r w:rsidR="005C0D6E">
        <w:rPr>
          <w:rFonts w:asciiTheme="majorHAnsi" w:hAnsiTheme="majorHAnsi"/>
          <w:sz w:val="24"/>
          <w:szCs w:val="24"/>
        </w:rPr>
        <w:t xml:space="preserve">ting course materials or </w:t>
      </w:r>
      <w:r w:rsidR="008F233D" w:rsidRPr="00052532">
        <w:rPr>
          <w:rFonts w:asciiTheme="majorHAnsi" w:hAnsiTheme="majorHAnsi"/>
          <w:sz w:val="24"/>
          <w:szCs w:val="24"/>
        </w:rPr>
        <w:t xml:space="preserve">create new materials that can support additional capacity-building for health agencies to increase their involvement in environmental health and land reuse activities. </w:t>
      </w:r>
    </w:p>
    <w:p w:rsidR="00C13959" w:rsidRDefault="00601F1A" w:rsidP="004976CC">
      <w:pPr>
        <w:pStyle w:val="Heading1"/>
        <w:rPr>
          <w:rFonts w:asciiTheme="majorHAnsi" w:hAnsiTheme="majorHAnsi" w:cstheme="minorHAnsi"/>
          <w:sz w:val="28"/>
          <w:szCs w:val="28"/>
        </w:rPr>
      </w:pPr>
      <w:bookmarkStart w:id="16" w:name="_Toc601051"/>
      <w:r w:rsidRPr="00B9626B">
        <w:rPr>
          <w:rFonts w:asciiTheme="majorHAnsi" w:hAnsiTheme="majorHAnsi" w:cstheme="minorHAnsi"/>
          <w:sz w:val="28"/>
          <w:szCs w:val="28"/>
        </w:rPr>
        <w:t>A.</w:t>
      </w:r>
      <w:r w:rsidR="004D21C9" w:rsidRPr="00B9626B">
        <w:rPr>
          <w:rFonts w:asciiTheme="majorHAnsi" w:hAnsiTheme="majorHAnsi" w:cstheme="minorHAnsi"/>
          <w:sz w:val="28"/>
          <w:szCs w:val="28"/>
        </w:rPr>
        <w:t>3</w:t>
      </w:r>
      <w:r w:rsidR="00E86851" w:rsidRPr="00B9626B">
        <w:rPr>
          <w:rFonts w:asciiTheme="majorHAnsi" w:hAnsiTheme="majorHAnsi" w:cstheme="minorHAnsi"/>
          <w:sz w:val="28"/>
          <w:szCs w:val="28"/>
        </w:rPr>
        <w:t>. Use</w:t>
      </w:r>
      <w:r w:rsidR="00B45002" w:rsidRPr="00B9626B">
        <w:rPr>
          <w:rFonts w:asciiTheme="majorHAnsi" w:hAnsiTheme="majorHAnsi" w:cstheme="minorHAnsi"/>
          <w:sz w:val="28"/>
          <w:szCs w:val="28"/>
        </w:rPr>
        <w:t xml:space="preserve"> of Improved Information Technology and Burden Reduction</w:t>
      </w:r>
      <w:bookmarkEnd w:id="16"/>
    </w:p>
    <w:p w:rsidR="00A91A01" w:rsidRPr="00A91A01" w:rsidRDefault="00A91A01" w:rsidP="00A91A01"/>
    <w:p w:rsidR="004C24F6" w:rsidRPr="00236584" w:rsidRDefault="004C24F6" w:rsidP="004C24F6">
      <w:pPr>
        <w:rPr>
          <w:rFonts w:asciiTheme="majorHAnsi" w:hAnsiTheme="majorHAnsi"/>
          <w:sz w:val="24"/>
          <w:szCs w:val="24"/>
        </w:rPr>
      </w:pPr>
      <w:r>
        <w:rPr>
          <w:rFonts w:asciiTheme="majorHAnsi" w:hAnsiTheme="majorHAnsi"/>
          <w:color w:val="000000"/>
          <w:sz w:val="24"/>
          <w:szCs w:val="24"/>
          <w:shd w:val="clear" w:color="auto" w:fill="FFFFFF"/>
        </w:rPr>
        <w:t>Online registration can reduce burden of filling out paper hard copies and reduces security risk and breeches of privacy for storing such documents.</w:t>
      </w:r>
    </w:p>
    <w:p w:rsidR="003725FA" w:rsidRPr="00236584" w:rsidRDefault="00F624B5" w:rsidP="00A71640">
      <w:pPr>
        <w:rPr>
          <w:rFonts w:asciiTheme="majorHAnsi" w:hAnsiTheme="majorHAnsi"/>
          <w:sz w:val="24"/>
          <w:szCs w:val="24"/>
        </w:rPr>
      </w:pPr>
      <w:r w:rsidRPr="00A71640">
        <w:rPr>
          <w:rFonts w:asciiTheme="majorHAnsi" w:hAnsiTheme="majorHAnsi"/>
          <w:sz w:val="24"/>
          <w:szCs w:val="24"/>
        </w:rPr>
        <w:t xml:space="preserve">The registration information is standard to </w:t>
      </w:r>
      <w:r w:rsidR="00236584">
        <w:rPr>
          <w:rFonts w:asciiTheme="majorHAnsi" w:hAnsiTheme="majorHAnsi"/>
          <w:sz w:val="24"/>
          <w:szCs w:val="24"/>
        </w:rPr>
        <w:t>TCEO’s</w:t>
      </w:r>
      <w:r w:rsidRPr="00A71640">
        <w:rPr>
          <w:rFonts w:asciiTheme="majorHAnsi" w:hAnsiTheme="majorHAnsi"/>
          <w:sz w:val="24"/>
          <w:szCs w:val="24"/>
        </w:rPr>
        <w:t xml:space="preserve"> </w:t>
      </w:r>
      <w:r w:rsidR="00185DE6">
        <w:rPr>
          <w:rFonts w:asciiTheme="majorHAnsi" w:hAnsiTheme="majorHAnsi"/>
          <w:sz w:val="24"/>
          <w:szCs w:val="24"/>
        </w:rPr>
        <w:t xml:space="preserve">online </w:t>
      </w:r>
      <w:r w:rsidRPr="00A71640">
        <w:rPr>
          <w:rFonts w:asciiTheme="majorHAnsi" w:hAnsiTheme="majorHAnsi"/>
          <w:sz w:val="24"/>
          <w:szCs w:val="24"/>
        </w:rPr>
        <w:t>platform</w:t>
      </w:r>
      <w:r w:rsidR="00F77CE3">
        <w:rPr>
          <w:rFonts w:asciiTheme="majorHAnsi" w:hAnsiTheme="majorHAnsi"/>
          <w:sz w:val="24"/>
          <w:szCs w:val="24"/>
        </w:rPr>
        <w:t xml:space="preserve"> (</w:t>
      </w:r>
      <w:r w:rsidRPr="00A71640">
        <w:rPr>
          <w:rFonts w:asciiTheme="majorHAnsi" w:hAnsiTheme="majorHAnsi"/>
          <w:sz w:val="24"/>
          <w:szCs w:val="24"/>
        </w:rPr>
        <w:t>collect</w:t>
      </w:r>
      <w:r w:rsidR="00066D02">
        <w:rPr>
          <w:rFonts w:asciiTheme="majorHAnsi" w:hAnsiTheme="majorHAnsi"/>
          <w:sz w:val="24"/>
          <w:szCs w:val="24"/>
        </w:rPr>
        <w:t>s</w:t>
      </w:r>
      <w:r w:rsidRPr="00A71640">
        <w:rPr>
          <w:rFonts w:asciiTheme="majorHAnsi" w:hAnsiTheme="majorHAnsi"/>
          <w:sz w:val="24"/>
          <w:szCs w:val="24"/>
        </w:rPr>
        <w:t xml:space="preserve"> minimal information from participants, such as name, password, company name, location</w:t>
      </w:r>
      <w:r w:rsidR="00BF2D86" w:rsidRPr="00A71640">
        <w:rPr>
          <w:rFonts w:asciiTheme="majorHAnsi" w:hAnsiTheme="majorHAnsi"/>
          <w:sz w:val="24"/>
          <w:szCs w:val="24"/>
        </w:rPr>
        <w:t xml:space="preserve"> or ZIP code</w:t>
      </w:r>
      <w:r w:rsidRPr="00A71640">
        <w:rPr>
          <w:rFonts w:asciiTheme="majorHAnsi" w:hAnsiTheme="majorHAnsi"/>
          <w:sz w:val="24"/>
          <w:szCs w:val="24"/>
        </w:rPr>
        <w:t xml:space="preserve">, and job title category (e.g. public health/environmental professional, </w:t>
      </w:r>
      <w:r w:rsidR="00066D02">
        <w:rPr>
          <w:rFonts w:asciiTheme="majorHAnsi" w:hAnsiTheme="majorHAnsi"/>
          <w:sz w:val="24"/>
          <w:szCs w:val="24"/>
        </w:rPr>
        <w:t>or nurse</w:t>
      </w:r>
      <w:r w:rsidR="00283B36">
        <w:rPr>
          <w:rFonts w:asciiTheme="majorHAnsi" w:hAnsiTheme="majorHAnsi"/>
          <w:sz w:val="24"/>
          <w:szCs w:val="24"/>
        </w:rPr>
        <w:t>)</w:t>
      </w:r>
      <w:r w:rsidRPr="00A71640">
        <w:rPr>
          <w:rFonts w:asciiTheme="majorHAnsi" w:hAnsiTheme="majorHAnsi"/>
          <w:sz w:val="24"/>
          <w:szCs w:val="24"/>
        </w:rPr>
        <w:t xml:space="preserve">. </w:t>
      </w:r>
      <w:r w:rsidR="00066D02">
        <w:rPr>
          <w:rFonts w:asciiTheme="majorHAnsi" w:hAnsiTheme="majorHAnsi"/>
          <w:sz w:val="24"/>
          <w:szCs w:val="24"/>
        </w:rPr>
        <w:t xml:space="preserve"> </w:t>
      </w:r>
      <w:r w:rsidR="001A546D">
        <w:rPr>
          <w:rFonts w:asciiTheme="majorHAnsi" w:hAnsiTheme="majorHAnsi"/>
          <w:sz w:val="24"/>
          <w:szCs w:val="24"/>
        </w:rPr>
        <w:t>The TCEO site has</w:t>
      </w:r>
      <w:r w:rsidR="00236584" w:rsidRPr="00236584">
        <w:rPr>
          <w:rFonts w:asciiTheme="majorHAnsi" w:hAnsiTheme="majorHAnsi"/>
          <w:sz w:val="24"/>
          <w:szCs w:val="24"/>
        </w:rPr>
        <w:t xml:space="preserve"> </w:t>
      </w:r>
      <w:r w:rsidR="00F77CE3">
        <w:rPr>
          <w:rFonts w:asciiTheme="majorHAnsi" w:hAnsiTheme="majorHAnsi"/>
          <w:sz w:val="24"/>
          <w:szCs w:val="24"/>
        </w:rPr>
        <w:t>PRA clearance</w:t>
      </w:r>
      <w:r w:rsidR="00236584" w:rsidRPr="00236584">
        <w:rPr>
          <w:rFonts w:asciiTheme="majorHAnsi" w:hAnsiTheme="majorHAnsi"/>
          <w:sz w:val="24"/>
          <w:szCs w:val="24"/>
        </w:rPr>
        <w:t xml:space="preserve">: </w:t>
      </w:r>
      <w:r w:rsidR="00A9014F">
        <w:rPr>
          <w:rFonts w:asciiTheme="majorHAnsi" w:hAnsiTheme="majorHAnsi"/>
          <w:color w:val="000000"/>
          <w:sz w:val="24"/>
          <w:szCs w:val="24"/>
          <w:shd w:val="clear" w:color="auto" w:fill="FFFFFF"/>
        </w:rPr>
        <w:t>OMB No</w:t>
      </w:r>
      <w:r w:rsidR="00236584" w:rsidRPr="009664A9">
        <w:rPr>
          <w:rFonts w:asciiTheme="majorHAnsi" w:hAnsiTheme="majorHAnsi"/>
          <w:color w:val="000000"/>
          <w:sz w:val="24"/>
          <w:szCs w:val="24"/>
          <w:shd w:val="clear" w:color="auto" w:fill="FFFFFF"/>
        </w:rPr>
        <w:t xml:space="preserve">: 0920-0017, Exp. </w:t>
      </w:r>
      <w:r w:rsidR="008117BD" w:rsidRPr="009664A9">
        <w:rPr>
          <w:rFonts w:asciiTheme="majorHAnsi" w:hAnsiTheme="majorHAnsi"/>
          <w:color w:val="000000"/>
          <w:sz w:val="24"/>
          <w:szCs w:val="24"/>
          <w:shd w:val="clear" w:color="auto" w:fill="FFFFFF"/>
        </w:rPr>
        <w:t>Date</w:t>
      </w:r>
      <w:r w:rsidR="008117BD">
        <w:rPr>
          <w:rFonts w:asciiTheme="majorHAnsi" w:hAnsiTheme="majorHAnsi"/>
          <w:color w:val="000000"/>
          <w:sz w:val="24"/>
          <w:szCs w:val="24"/>
          <w:shd w:val="clear" w:color="auto" w:fill="FFFFFF"/>
        </w:rPr>
        <w:t>:</w:t>
      </w:r>
      <w:r w:rsidR="00236584" w:rsidRPr="009664A9">
        <w:rPr>
          <w:rFonts w:asciiTheme="majorHAnsi" w:hAnsiTheme="majorHAnsi"/>
          <w:color w:val="000000"/>
          <w:sz w:val="24"/>
          <w:szCs w:val="24"/>
          <w:shd w:val="clear" w:color="auto" w:fill="FFFFFF"/>
        </w:rPr>
        <w:t xml:space="preserve"> 6/30/2019</w:t>
      </w:r>
      <w:r w:rsidR="001A546D">
        <w:rPr>
          <w:rFonts w:asciiTheme="majorHAnsi" w:hAnsiTheme="majorHAnsi"/>
          <w:color w:val="000000"/>
          <w:sz w:val="24"/>
          <w:szCs w:val="24"/>
          <w:shd w:val="clear" w:color="auto" w:fill="FFFFFF"/>
        </w:rPr>
        <w:t>.</w:t>
      </w:r>
      <w:r w:rsidR="00185DE6">
        <w:rPr>
          <w:rFonts w:asciiTheme="majorHAnsi" w:hAnsiTheme="majorHAnsi"/>
          <w:color w:val="000000"/>
          <w:sz w:val="24"/>
          <w:szCs w:val="24"/>
          <w:shd w:val="clear" w:color="auto" w:fill="FFFFFF"/>
        </w:rPr>
        <w:t xml:space="preserve"> </w:t>
      </w:r>
    </w:p>
    <w:p w:rsidR="00F624B5" w:rsidRPr="00A71640" w:rsidRDefault="00185DE6" w:rsidP="00A71640">
      <w:pPr>
        <w:rPr>
          <w:rFonts w:asciiTheme="majorHAnsi" w:hAnsiTheme="majorHAnsi"/>
          <w:sz w:val="24"/>
          <w:szCs w:val="24"/>
        </w:rPr>
      </w:pPr>
      <w:r>
        <w:rPr>
          <w:rFonts w:asciiTheme="majorHAnsi" w:hAnsiTheme="majorHAnsi"/>
          <w:sz w:val="24"/>
          <w:szCs w:val="24"/>
        </w:rPr>
        <w:t xml:space="preserve">ATSDR intends to conduct a one-time voluntary online survey of each participant </w:t>
      </w:r>
      <w:r w:rsidR="000F54E4">
        <w:rPr>
          <w:rFonts w:asciiTheme="majorHAnsi" w:hAnsiTheme="majorHAnsi"/>
          <w:sz w:val="24"/>
          <w:szCs w:val="24"/>
        </w:rPr>
        <w:t>within</w:t>
      </w:r>
      <w:r>
        <w:rPr>
          <w:rFonts w:asciiTheme="majorHAnsi" w:hAnsiTheme="majorHAnsi"/>
          <w:sz w:val="24"/>
          <w:szCs w:val="24"/>
        </w:rPr>
        <w:t xml:space="preserve"> 12 months</w:t>
      </w:r>
      <w:r w:rsidR="006C3F73">
        <w:rPr>
          <w:rFonts w:asciiTheme="majorHAnsi" w:hAnsiTheme="majorHAnsi"/>
          <w:sz w:val="24"/>
          <w:szCs w:val="24"/>
        </w:rPr>
        <w:t xml:space="preserve"> t</w:t>
      </w:r>
      <w:r w:rsidR="00066D02">
        <w:rPr>
          <w:rFonts w:asciiTheme="majorHAnsi" w:hAnsiTheme="majorHAnsi"/>
          <w:sz w:val="24"/>
          <w:szCs w:val="24"/>
        </w:rPr>
        <w:t>ime</w:t>
      </w:r>
      <w:r w:rsidR="003725FA" w:rsidRPr="00A71640">
        <w:rPr>
          <w:rFonts w:asciiTheme="majorHAnsi" w:hAnsiTheme="majorHAnsi"/>
          <w:sz w:val="24"/>
          <w:szCs w:val="24"/>
        </w:rPr>
        <w:t xml:space="preserve"> post-certification. </w:t>
      </w:r>
      <w:r>
        <w:rPr>
          <w:rFonts w:asciiTheme="majorHAnsi" w:hAnsiTheme="majorHAnsi"/>
          <w:sz w:val="24"/>
          <w:szCs w:val="24"/>
        </w:rPr>
        <w:t>To reduce burden, t</w:t>
      </w:r>
      <w:r w:rsidR="003725FA" w:rsidRPr="00A71640">
        <w:rPr>
          <w:rFonts w:asciiTheme="majorHAnsi" w:hAnsiTheme="majorHAnsi"/>
          <w:sz w:val="24"/>
          <w:szCs w:val="24"/>
        </w:rPr>
        <w:t xml:space="preserve">he </w:t>
      </w:r>
      <w:r>
        <w:rPr>
          <w:rFonts w:asciiTheme="majorHAnsi" w:hAnsiTheme="majorHAnsi"/>
          <w:sz w:val="24"/>
          <w:szCs w:val="24"/>
        </w:rPr>
        <w:t xml:space="preserve">online </w:t>
      </w:r>
      <w:r w:rsidR="003725FA" w:rsidRPr="00A71640">
        <w:rPr>
          <w:rFonts w:asciiTheme="majorHAnsi" w:hAnsiTheme="majorHAnsi"/>
          <w:sz w:val="24"/>
          <w:szCs w:val="24"/>
        </w:rPr>
        <w:t>feedback questions</w:t>
      </w:r>
      <w:r w:rsidR="00767861" w:rsidRPr="00A71640">
        <w:rPr>
          <w:rFonts w:asciiTheme="majorHAnsi" w:hAnsiTheme="majorHAnsi"/>
          <w:sz w:val="24"/>
          <w:szCs w:val="24"/>
        </w:rPr>
        <w:t xml:space="preserve"> (Attachment</w:t>
      </w:r>
      <w:r w:rsidR="00F87424">
        <w:rPr>
          <w:rFonts w:asciiTheme="majorHAnsi" w:hAnsiTheme="majorHAnsi"/>
          <w:sz w:val="24"/>
          <w:szCs w:val="24"/>
        </w:rPr>
        <w:t xml:space="preserve"> </w:t>
      </w:r>
      <w:r w:rsidR="00066D02">
        <w:rPr>
          <w:rFonts w:asciiTheme="majorHAnsi" w:hAnsiTheme="majorHAnsi"/>
          <w:sz w:val="24"/>
          <w:szCs w:val="24"/>
        </w:rPr>
        <w:t>4</w:t>
      </w:r>
      <w:r w:rsidR="00F87424">
        <w:rPr>
          <w:rFonts w:asciiTheme="majorHAnsi" w:hAnsiTheme="majorHAnsi"/>
          <w:sz w:val="24"/>
          <w:szCs w:val="24"/>
        </w:rPr>
        <w:t xml:space="preserve">a and </w:t>
      </w:r>
      <w:r w:rsidR="00066D02">
        <w:rPr>
          <w:rFonts w:asciiTheme="majorHAnsi" w:hAnsiTheme="majorHAnsi"/>
          <w:sz w:val="24"/>
          <w:szCs w:val="24"/>
        </w:rPr>
        <w:t>4</w:t>
      </w:r>
      <w:r w:rsidR="000902DE" w:rsidRPr="00A71640">
        <w:rPr>
          <w:rFonts w:asciiTheme="majorHAnsi" w:hAnsiTheme="majorHAnsi"/>
          <w:sz w:val="24"/>
          <w:szCs w:val="24"/>
        </w:rPr>
        <w:t>b</w:t>
      </w:r>
      <w:r w:rsidR="00767861" w:rsidRPr="00A71640">
        <w:rPr>
          <w:rFonts w:asciiTheme="majorHAnsi" w:hAnsiTheme="majorHAnsi"/>
          <w:sz w:val="24"/>
          <w:szCs w:val="24"/>
        </w:rPr>
        <w:t>)</w:t>
      </w:r>
      <w:r w:rsidR="003725FA" w:rsidRPr="00A71640">
        <w:rPr>
          <w:rFonts w:asciiTheme="majorHAnsi" w:hAnsiTheme="majorHAnsi"/>
          <w:sz w:val="24"/>
          <w:szCs w:val="24"/>
        </w:rPr>
        <w:t xml:space="preserve"> are designed to take </w:t>
      </w:r>
      <w:r w:rsidR="00614D32">
        <w:rPr>
          <w:rFonts w:asciiTheme="majorHAnsi" w:hAnsiTheme="majorHAnsi"/>
          <w:sz w:val="24"/>
          <w:szCs w:val="24"/>
        </w:rPr>
        <w:t>no more</w:t>
      </w:r>
      <w:r>
        <w:rPr>
          <w:rFonts w:asciiTheme="majorHAnsi" w:hAnsiTheme="majorHAnsi"/>
          <w:sz w:val="24"/>
          <w:szCs w:val="24"/>
        </w:rPr>
        <w:t xml:space="preserve"> than</w:t>
      </w:r>
      <w:r w:rsidR="00EF408B" w:rsidRPr="00A71640">
        <w:rPr>
          <w:rFonts w:asciiTheme="majorHAnsi" w:hAnsiTheme="majorHAnsi"/>
          <w:sz w:val="24"/>
          <w:szCs w:val="24"/>
        </w:rPr>
        <w:t xml:space="preserve"> </w:t>
      </w:r>
      <w:r w:rsidR="003725FA" w:rsidRPr="00A71640">
        <w:rPr>
          <w:rFonts w:asciiTheme="majorHAnsi" w:hAnsiTheme="majorHAnsi"/>
          <w:sz w:val="24"/>
          <w:szCs w:val="24"/>
        </w:rPr>
        <w:t>20 minutes to complet</w:t>
      </w:r>
      <w:r w:rsidR="001A546D">
        <w:rPr>
          <w:rFonts w:asciiTheme="majorHAnsi" w:hAnsiTheme="majorHAnsi"/>
          <w:sz w:val="24"/>
          <w:szCs w:val="24"/>
        </w:rPr>
        <w:t>e. T</w:t>
      </w:r>
      <w:r w:rsidR="003725FA" w:rsidRPr="00A71640">
        <w:rPr>
          <w:rFonts w:asciiTheme="majorHAnsi" w:hAnsiTheme="majorHAnsi"/>
          <w:sz w:val="24"/>
          <w:szCs w:val="24"/>
        </w:rPr>
        <w:t>he majority of the</w:t>
      </w:r>
      <w:r w:rsidR="006C3F73">
        <w:rPr>
          <w:rFonts w:asciiTheme="majorHAnsi" w:hAnsiTheme="majorHAnsi"/>
          <w:sz w:val="24"/>
          <w:szCs w:val="24"/>
        </w:rPr>
        <w:t xml:space="preserve"> q</w:t>
      </w:r>
      <w:r w:rsidR="003725FA" w:rsidRPr="00A71640">
        <w:rPr>
          <w:rFonts w:asciiTheme="majorHAnsi" w:hAnsiTheme="majorHAnsi"/>
          <w:sz w:val="24"/>
          <w:szCs w:val="24"/>
        </w:rPr>
        <w:t xml:space="preserve">uestions are selection (e.g. select one or all that apply) with fill-in options, </w:t>
      </w:r>
      <w:r w:rsidR="00066D02">
        <w:rPr>
          <w:rFonts w:asciiTheme="majorHAnsi" w:hAnsiTheme="majorHAnsi"/>
          <w:sz w:val="24"/>
          <w:szCs w:val="24"/>
        </w:rPr>
        <w:t xml:space="preserve">e.g., </w:t>
      </w:r>
      <w:r w:rsidR="003725FA" w:rsidRPr="00A71640">
        <w:rPr>
          <w:rFonts w:asciiTheme="majorHAnsi" w:hAnsiTheme="majorHAnsi"/>
          <w:sz w:val="24"/>
          <w:szCs w:val="24"/>
        </w:rPr>
        <w:t>“other”</w:t>
      </w:r>
      <w:r w:rsidR="00C4148D">
        <w:rPr>
          <w:rFonts w:asciiTheme="majorHAnsi" w:hAnsiTheme="majorHAnsi"/>
          <w:sz w:val="24"/>
          <w:szCs w:val="24"/>
        </w:rPr>
        <w:t>.</w:t>
      </w:r>
      <w:r w:rsidR="003725FA" w:rsidRPr="00A71640">
        <w:rPr>
          <w:rFonts w:asciiTheme="majorHAnsi" w:hAnsiTheme="majorHAnsi"/>
          <w:sz w:val="24"/>
          <w:szCs w:val="24"/>
        </w:rPr>
        <w:t xml:space="preserve"> </w:t>
      </w:r>
      <w:r w:rsidR="00236584">
        <w:rPr>
          <w:rFonts w:asciiTheme="majorHAnsi" w:hAnsiTheme="majorHAnsi"/>
          <w:sz w:val="24"/>
          <w:szCs w:val="24"/>
        </w:rPr>
        <w:t>ATSDR</w:t>
      </w:r>
      <w:r w:rsidR="00236584" w:rsidRPr="00A71640">
        <w:rPr>
          <w:rFonts w:asciiTheme="majorHAnsi" w:hAnsiTheme="majorHAnsi"/>
          <w:sz w:val="24"/>
          <w:szCs w:val="24"/>
        </w:rPr>
        <w:t xml:space="preserve"> </w:t>
      </w:r>
      <w:r w:rsidR="003725FA" w:rsidRPr="00A71640">
        <w:rPr>
          <w:rFonts w:asciiTheme="majorHAnsi" w:hAnsiTheme="majorHAnsi"/>
          <w:sz w:val="24"/>
          <w:szCs w:val="24"/>
        </w:rPr>
        <w:t xml:space="preserve">will use </w:t>
      </w:r>
      <w:r w:rsidR="00066D02">
        <w:rPr>
          <w:rFonts w:asciiTheme="majorHAnsi" w:hAnsiTheme="majorHAnsi"/>
          <w:sz w:val="24"/>
          <w:szCs w:val="24"/>
        </w:rPr>
        <w:t>Research Electronic Data Capture (REDcap</w:t>
      </w:r>
      <w:r w:rsidR="00D456BE">
        <w:rPr>
          <w:rFonts w:asciiTheme="majorHAnsi" w:hAnsiTheme="majorHAnsi"/>
          <w:sz w:val="24"/>
          <w:szCs w:val="24"/>
        </w:rPr>
        <w:t>)</w:t>
      </w:r>
      <w:r w:rsidR="003725FA" w:rsidRPr="00A71640">
        <w:rPr>
          <w:rFonts w:asciiTheme="majorHAnsi" w:hAnsiTheme="majorHAnsi"/>
          <w:sz w:val="24"/>
          <w:szCs w:val="24"/>
        </w:rPr>
        <w:t xml:space="preserve"> for the feedback questions.  </w:t>
      </w:r>
    </w:p>
    <w:p w:rsidR="002E0778" w:rsidRPr="008005C8" w:rsidRDefault="00CE581D" w:rsidP="004976CC">
      <w:pPr>
        <w:rPr>
          <w:rFonts w:asciiTheme="majorHAnsi" w:hAnsiTheme="majorHAnsi" w:cstheme="minorHAnsi"/>
          <w:color w:val="000000" w:themeColor="text1"/>
          <w:sz w:val="24"/>
          <w:szCs w:val="24"/>
        </w:rPr>
      </w:pPr>
      <w:r w:rsidRPr="008005C8">
        <w:rPr>
          <w:rFonts w:asciiTheme="majorHAnsi" w:hAnsiTheme="majorHAnsi" w:cstheme="minorHAnsi"/>
          <w:color w:val="000000" w:themeColor="text1"/>
          <w:sz w:val="24"/>
          <w:szCs w:val="24"/>
        </w:rPr>
        <w:t>All (100%) of the participants will register and complete the certification completely online</w:t>
      </w:r>
      <w:r w:rsidR="0044152A" w:rsidRPr="008005C8">
        <w:rPr>
          <w:rFonts w:asciiTheme="majorHAnsi" w:hAnsiTheme="majorHAnsi" w:cstheme="minorHAnsi"/>
          <w:color w:val="000000" w:themeColor="text1"/>
          <w:sz w:val="24"/>
          <w:szCs w:val="24"/>
        </w:rPr>
        <w:t>.</w:t>
      </w:r>
      <w:r w:rsidRPr="008005C8">
        <w:rPr>
          <w:rFonts w:asciiTheme="majorHAnsi" w:hAnsiTheme="majorHAnsi" w:cstheme="minorHAnsi"/>
          <w:color w:val="000000" w:themeColor="text1"/>
          <w:sz w:val="24"/>
          <w:szCs w:val="24"/>
        </w:rPr>
        <w:t xml:space="preserve"> </w:t>
      </w:r>
      <w:r w:rsidR="00CC1D38" w:rsidRPr="008005C8">
        <w:rPr>
          <w:rFonts w:asciiTheme="majorHAnsi" w:hAnsiTheme="majorHAnsi" w:cstheme="minorHAnsi"/>
          <w:color w:val="000000" w:themeColor="text1"/>
          <w:sz w:val="24"/>
          <w:szCs w:val="24"/>
        </w:rPr>
        <w:t>Word and computer screen</w:t>
      </w:r>
      <w:r w:rsidR="003725FA" w:rsidRPr="008005C8">
        <w:rPr>
          <w:rFonts w:asciiTheme="majorHAnsi" w:hAnsiTheme="majorHAnsi" w:cstheme="minorHAnsi"/>
          <w:color w:val="000000" w:themeColor="text1"/>
          <w:sz w:val="24"/>
          <w:szCs w:val="24"/>
        </w:rPr>
        <w:t xml:space="preserve">shot copies of the feedback process are </w:t>
      </w:r>
      <w:r w:rsidRPr="008005C8">
        <w:rPr>
          <w:rFonts w:asciiTheme="majorHAnsi" w:hAnsiTheme="majorHAnsi" w:cstheme="minorHAnsi"/>
          <w:color w:val="000000" w:themeColor="text1"/>
          <w:sz w:val="24"/>
          <w:szCs w:val="24"/>
        </w:rPr>
        <w:t>attache</w:t>
      </w:r>
      <w:r w:rsidR="000F7C57" w:rsidRPr="008005C8">
        <w:rPr>
          <w:rFonts w:asciiTheme="majorHAnsi" w:hAnsiTheme="majorHAnsi" w:cstheme="minorHAnsi"/>
          <w:color w:val="000000" w:themeColor="text1"/>
          <w:sz w:val="24"/>
          <w:szCs w:val="24"/>
        </w:rPr>
        <w:t xml:space="preserve">d as </w:t>
      </w:r>
      <w:r w:rsidR="00DF5AAE" w:rsidRPr="008005C8">
        <w:rPr>
          <w:rFonts w:asciiTheme="majorHAnsi" w:hAnsiTheme="majorHAnsi" w:cstheme="minorHAnsi"/>
          <w:color w:val="000000" w:themeColor="text1"/>
          <w:sz w:val="24"/>
          <w:szCs w:val="24"/>
        </w:rPr>
        <w:t xml:space="preserve">Attachment </w:t>
      </w:r>
      <w:r w:rsidR="00066D02">
        <w:rPr>
          <w:rFonts w:asciiTheme="majorHAnsi" w:hAnsiTheme="majorHAnsi" w:cstheme="minorHAnsi"/>
          <w:color w:val="000000" w:themeColor="text1"/>
          <w:sz w:val="24"/>
          <w:szCs w:val="24"/>
        </w:rPr>
        <w:t xml:space="preserve">4a </w:t>
      </w:r>
      <w:r w:rsidR="008005C8">
        <w:rPr>
          <w:rFonts w:asciiTheme="majorHAnsi" w:hAnsiTheme="majorHAnsi" w:cstheme="minorHAnsi"/>
          <w:color w:val="000000" w:themeColor="text1"/>
          <w:sz w:val="24"/>
          <w:szCs w:val="24"/>
        </w:rPr>
        <w:t xml:space="preserve">and </w:t>
      </w:r>
      <w:r w:rsidR="00066D02">
        <w:rPr>
          <w:rFonts w:asciiTheme="majorHAnsi" w:hAnsiTheme="majorHAnsi" w:cstheme="minorHAnsi"/>
          <w:color w:val="000000" w:themeColor="text1"/>
          <w:sz w:val="24"/>
          <w:szCs w:val="24"/>
        </w:rPr>
        <w:t>4</w:t>
      </w:r>
      <w:r w:rsidR="008005C8">
        <w:rPr>
          <w:rFonts w:asciiTheme="majorHAnsi" w:hAnsiTheme="majorHAnsi" w:cstheme="minorHAnsi"/>
          <w:color w:val="000000" w:themeColor="text1"/>
          <w:sz w:val="24"/>
          <w:szCs w:val="24"/>
        </w:rPr>
        <w:t>b</w:t>
      </w:r>
      <w:r w:rsidR="00DF5AAE" w:rsidRPr="008005C8">
        <w:rPr>
          <w:rFonts w:asciiTheme="majorHAnsi" w:hAnsiTheme="majorHAnsi" w:cstheme="minorHAnsi"/>
          <w:color w:val="000000" w:themeColor="text1"/>
          <w:sz w:val="24"/>
          <w:szCs w:val="24"/>
        </w:rPr>
        <w:t xml:space="preserve"> </w:t>
      </w:r>
      <w:r w:rsidR="000F7C57" w:rsidRPr="008005C8">
        <w:rPr>
          <w:rFonts w:asciiTheme="majorHAnsi" w:hAnsiTheme="majorHAnsi" w:cstheme="minorHAnsi"/>
          <w:color w:val="000000" w:themeColor="text1"/>
          <w:sz w:val="24"/>
          <w:szCs w:val="24"/>
        </w:rPr>
        <w:t>(survey screen shots)</w:t>
      </w:r>
      <w:r w:rsidR="00E11DFA" w:rsidRPr="008005C8">
        <w:rPr>
          <w:rFonts w:asciiTheme="majorHAnsi" w:hAnsiTheme="majorHAnsi" w:cstheme="minorHAnsi"/>
          <w:color w:val="000000" w:themeColor="text1"/>
          <w:sz w:val="24"/>
          <w:szCs w:val="24"/>
        </w:rPr>
        <w:t>.</w:t>
      </w:r>
      <w:r w:rsidR="000F7C57" w:rsidRPr="008005C8">
        <w:rPr>
          <w:rFonts w:asciiTheme="majorHAnsi" w:hAnsiTheme="majorHAnsi" w:cstheme="minorHAnsi"/>
          <w:color w:val="000000" w:themeColor="text1"/>
          <w:sz w:val="24"/>
          <w:szCs w:val="24"/>
        </w:rPr>
        <w:t xml:space="preserve"> </w:t>
      </w:r>
      <w:r w:rsidR="00185DE6">
        <w:rPr>
          <w:rFonts w:asciiTheme="majorHAnsi" w:hAnsiTheme="majorHAnsi" w:cstheme="minorHAnsi"/>
          <w:color w:val="000000" w:themeColor="text1"/>
          <w:sz w:val="24"/>
          <w:szCs w:val="24"/>
        </w:rPr>
        <w:t>As part of equity and inclusion practices, ATSDR and NEHA independently may offer an in-person training for populations with limited internet access, who will be eligible for NEHA’s independent Certificate of Comp</w:t>
      </w:r>
      <w:r w:rsidR="000F54E4">
        <w:rPr>
          <w:rFonts w:asciiTheme="majorHAnsi" w:hAnsiTheme="majorHAnsi" w:cstheme="minorHAnsi"/>
          <w:color w:val="000000" w:themeColor="text1"/>
          <w:sz w:val="24"/>
          <w:szCs w:val="24"/>
        </w:rPr>
        <w:t>l</w:t>
      </w:r>
      <w:r w:rsidR="00185DE6">
        <w:rPr>
          <w:rFonts w:asciiTheme="majorHAnsi" w:hAnsiTheme="majorHAnsi" w:cstheme="minorHAnsi"/>
          <w:color w:val="000000" w:themeColor="text1"/>
          <w:sz w:val="24"/>
          <w:szCs w:val="24"/>
        </w:rPr>
        <w:t>etion.</w:t>
      </w:r>
    </w:p>
    <w:p w:rsidR="003725FA" w:rsidRPr="00B9626B" w:rsidRDefault="000F7C57" w:rsidP="004976CC">
      <w:pPr>
        <w:rPr>
          <w:rFonts w:asciiTheme="majorHAnsi" w:hAnsiTheme="majorHAnsi" w:cstheme="minorHAnsi"/>
          <w:color w:val="000000" w:themeColor="text1"/>
          <w:sz w:val="22"/>
          <w:szCs w:val="22"/>
        </w:rPr>
      </w:pPr>
      <w:r w:rsidRPr="00B9626B" w:rsidDel="000F7C57">
        <w:rPr>
          <w:rFonts w:asciiTheme="majorHAnsi" w:hAnsiTheme="majorHAnsi" w:cstheme="minorHAnsi"/>
          <w:color w:val="000000" w:themeColor="text1"/>
          <w:sz w:val="22"/>
          <w:szCs w:val="22"/>
        </w:rPr>
        <w:t xml:space="preserve"> </w:t>
      </w:r>
    </w:p>
    <w:p w:rsidR="00B45002" w:rsidRPr="00B9626B" w:rsidRDefault="00601F1A" w:rsidP="00631768">
      <w:pPr>
        <w:rPr>
          <w:rFonts w:asciiTheme="majorHAnsi" w:hAnsiTheme="majorHAnsi" w:cstheme="minorHAnsi"/>
          <w:color w:val="000000" w:themeColor="text1"/>
          <w:sz w:val="28"/>
          <w:szCs w:val="28"/>
        </w:rPr>
      </w:pPr>
      <w:r w:rsidRPr="00B9626B">
        <w:rPr>
          <w:rFonts w:asciiTheme="majorHAnsi" w:hAnsiTheme="majorHAnsi" w:cstheme="minorHAnsi"/>
          <w:color w:val="000000" w:themeColor="text1"/>
          <w:sz w:val="28"/>
          <w:szCs w:val="28"/>
        </w:rPr>
        <w:t>A.</w:t>
      </w:r>
      <w:r w:rsidR="004D21C9" w:rsidRPr="00B9626B">
        <w:rPr>
          <w:rFonts w:asciiTheme="majorHAnsi" w:hAnsiTheme="majorHAnsi" w:cstheme="minorHAnsi"/>
          <w:color w:val="000000" w:themeColor="text1"/>
          <w:sz w:val="28"/>
          <w:szCs w:val="28"/>
        </w:rPr>
        <w:t>4</w:t>
      </w:r>
      <w:r w:rsidR="0018051D" w:rsidRPr="00B9626B">
        <w:rPr>
          <w:rFonts w:asciiTheme="majorHAnsi" w:hAnsiTheme="majorHAnsi" w:cstheme="minorHAnsi"/>
          <w:color w:val="000000" w:themeColor="text1"/>
          <w:sz w:val="28"/>
          <w:szCs w:val="28"/>
        </w:rPr>
        <w:t>. Efforts</w:t>
      </w:r>
      <w:r w:rsidR="00B45002" w:rsidRPr="00B9626B">
        <w:rPr>
          <w:rFonts w:asciiTheme="majorHAnsi" w:hAnsiTheme="majorHAnsi" w:cstheme="minorHAnsi"/>
          <w:color w:val="000000" w:themeColor="text1"/>
          <w:sz w:val="28"/>
          <w:szCs w:val="28"/>
        </w:rPr>
        <w:t xml:space="preserve"> to Identify Duplication and Use of Similar Information</w:t>
      </w:r>
    </w:p>
    <w:p w:rsidR="000F54E4" w:rsidRDefault="000F54E4" w:rsidP="00696F65">
      <w:pPr>
        <w:rPr>
          <w:rFonts w:asciiTheme="majorHAnsi" w:hAnsiTheme="majorHAnsi"/>
          <w:sz w:val="24"/>
          <w:szCs w:val="24"/>
        </w:rPr>
      </w:pPr>
    </w:p>
    <w:p w:rsidR="00696F65" w:rsidRPr="00184DB9" w:rsidRDefault="00696F65" w:rsidP="00696F65">
      <w:pPr>
        <w:rPr>
          <w:rFonts w:asciiTheme="majorHAnsi" w:hAnsiTheme="majorHAnsi"/>
          <w:sz w:val="24"/>
          <w:szCs w:val="24"/>
        </w:rPr>
      </w:pPr>
      <w:r w:rsidRPr="00184DB9">
        <w:rPr>
          <w:rFonts w:asciiTheme="majorHAnsi" w:hAnsiTheme="majorHAnsi"/>
          <w:sz w:val="24"/>
          <w:szCs w:val="24"/>
        </w:rPr>
        <w:t>Searches in the scientific literature identified only a few specific examples of health agency roles in land reuse or environmental health activities. Most studies more broadly addressed capacity of local health agency professionals to perform or build capacity in areas such as evidence-based decision-making</w:t>
      </w:r>
      <w:sdt>
        <w:sdtPr>
          <w:rPr>
            <w:rFonts w:asciiTheme="majorHAnsi" w:hAnsiTheme="majorHAnsi"/>
            <w:sz w:val="24"/>
            <w:szCs w:val="24"/>
          </w:rPr>
          <w:id w:val="1318304940"/>
          <w:citation/>
        </w:sdtPr>
        <w:sdtEndPr/>
        <w:sdtContent>
          <w:r w:rsidRPr="00184DB9">
            <w:rPr>
              <w:rFonts w:asciiTheme="majorHAnsi" w:hAnsiTheme="majorHAnsi"/>
              <w:sz w:val="24"/>
              <w:szCs w:val="24"/>
            </w:rPr>
            <w:fldChar w:fldCharType="begin"/>
          </w:r>
          <w:r w:rsidRPr="00184DB9">
            <w:rPr>
              <w:rFonts w:asciiTheme="majorHAnsi" w:hAnsiTheme="majorHAnsi"/>
              <w:sz w:val="24"/>
              <w:szCs w:val="24"/>
            </w:rPr>
            <w:instrText xml:space="preserve"> CITATION Jac14 \l 1033 </w:instrText>
          </w:r>
          <w:r w:rsidRPr="00184DB9">
            <w:rPr>
              <w:rFonts w:asciiTheme="majorHAnsi" w:hAnsiTheme="majorHAnsi"/>
              <w:sz w:val="24"/>
              <w:szCs w:val="24"/>
            </w:rPr>
            <w:fldChar w:fldCharType="separate"/>
          </w:r>
          <w:r w:rsidRPr="00184DB9">
            <w:rPr>
              <w:rFonts w:asciiTheme="majorHAnsi" w:hAnsiTheme="majorHAnsi"/>
              <w:noProof/>
              <w:sz w:val="24"/>
              <w:szCs w:val="24"/>
            </w:rPr>
            <w:t xml:space="preserve"> (Jacobs, Duggan, Erwin, Borawski, &amp; Compton, 2014)</w:t>
          </w:r>
          <w:r w:rsidRPr="00184DB9">
            <w:rPr>
              <w:rFonts w:asciiTheme="majorHAnsi" w:hAnsiTheme="majorHAnsi"/>
              <w:sz w:val="24"/>
              <w:szCs w:val="24"/>
            </w:rPr>
            <w:fldChar w:fldCharType="end"/>
          </w:r>
        </w:sdtContent>
      </w:sdt>
      <w:r w:rsidRPr="00184DB9">
        <w:rPr>
          <w:rFonts w:asciiTheme="majorHAnsi" w:hAnsiTheme="majorHAnsi"/>
          <w:sz w:val="24"/>
          <w:szCs w:val="24"/>
        </w:rPr>
        <w:t>, assessing competencies to engage in community based public health</w:t>
      </w:r>
      <w:sdt>
        <w:sdtPr>
          <w:rPr>
            <w:rFonts w:asciiTheme="majorHAnsi" w:hAnsiTheme="majorHAnsi"/>
            <w:sz w:val="24"/>
            <w:szCs w:val="24"/>
          </w:rPr>
          <w:id w:val="1852293695"/>
          <w:citation/>
        </w:sdtPr>
        <w:sdtEndPr/>
        <w:sdtContent>
          <w:r w:rsidRPr="00184DB9">
            <w:rPr>
              <w:rFonts w:asciiTheme="majorHAnsi" w:hAnsiTheme="majorHAnsi"/>
              <w:sz w:val="24"/>
              <w:szCs w:val="24"/>
            </w:rPr>
            <w:fldChar w:fldCharType="begin"/>
          </w:r>
          <w:r w:rsidRPr="00184DB9">
            <w:rPr>
              <w:rFonts w:asciiTheme="majorHAnsi" w:hAnsiTheme="majorHAnsi"/>
              <w:sz w:val="24"/>
              <w:szCs w:val="24"/>
            </w:rPr>
            <w:instrText xml:space="preserve"> CITATION Par03 \l 1033 </w:instrText>
          </w:r>
          <w:r w:rsidRPr="00184DB9">
            <w:rPr>
              <w:rFonts w:asciiTheme="majorHAnsi" w:hAnsiTheme="majorHAnsi"/>
              <w:sz w:val="24"/>
              <w:szCs w:val="24"/>
            </w:rPr>
            <w:fldChar w:fldCharType="separate"/>
          </w:r>
          <w:r w:rsidRPr="00184DB9">
            <w:rPr>
              <w:rFonts w:asciiTheme="majorHAnsi" w:hAnsiTheme="majorHAnsi"/>
              <w:noProof/>
              <w:sz w:val="24"/>
              <w:szCs w:val="24"/>
            </w:rPr>
            <w:t xml:space="preserve"> (Parker, Margolis, &amp; Henrizuez-Roldan, 2003)</w:t>
          </w:r>
          <w:r w:rsidRPr="00184DB9">
            <w:rPr>
              <w:rFonts w:asciiTheme="majorHAnsi" w:hAnsiTheme="majorHAnsi"/>
              <w:sz w:val="24"/>
              <w:szCs w:val="24"/>
            </w:rPr>
            <w:fldChar w:fldCharType="end"/>
          </w:r>
        </w:sdtContent>
      </w:sdt>
      <w:r w:rsidRPr="00184DB9">
        <w:rPr>
          <w:rFonts w:asciiTheme="majorHAnsi" w:hAnsiTheme="majorHAnsi"/>
          <w:sz w:val="24"/>
          <w:szCs w:val="24"/>
        </w:rPr>
        <w:t>, or population health improvement</w:t>
      </w:r>
      <w:sdt>
        <w:sdtPr>
          <w:rPr>
            <w:rFonts w:asciiTheme="majorHAnsi" w:hAnsiTheme="majorHAnsi"/>
            <w:sz w:val="24"/>
            <w:szCs w:val="24"/>
          </w:rPr>
          <w:id w:val="1275980793"/>
          <w:citation/>
        </w:sdtPr>
        <w:sdtEndPr/>
        <w:sdtContent>
          <w:r w:rsidRPr="00184DB9">
            <w:rPr>
              <w:rFonts w:asciiTheme="majorHAnsi" w:hAnsiTheme="majorHAnsi"/>
              <w:sz w:val="24"/>
              <w:szCs w:val="24"/>
            </w:rPr>
            <w:fldChar w:fldCharType="begin"/>
          </w:r>
          <w:r w:rsidRPr="00184DB9">
            <w:rPr>
              <w:rFonts w:asciiTheme="majorHAnsi" w:hAnsiTheme="majorHAnsi"/>
              <w:sz w:val="24"/>
              <w:szCs w:val="24"/>
            </w:rPr>
            <w:instrText xml:space="preserve"> CITATION Rod14 \l 1033 </w:instrText>
          </w:r>
          <w:r w:rsidRPr="00184DB9">
            <w:rPr>
              <w:rFonts w:asciiTheme="majorHAnsi" w:hAnsiTheme="majorHAnsi"/>
              <w:sz w:val="24"/>
              <w:szCs w:val="24"/>
            </w:rPr>
            <w:fldChar w:fldCharType="separate"/>
          </w:r>
          <w:r w:rsidRPr="00184DB9">
            <w:rPr>
              <w:rFonts w:asciiTheme="majorHAnsi" w:hAnsiTheme="majorHAnsi"/>
              <w:noProof/>
              <w:sz w:val="24"/>
              <w:szCs w:val="24"/>
            </w:rPr>
            <w:t xml:space="preserve"> (Rodriguez, McCullough, &amp; Hsuan, 2014)</w:t>
          </w:r>
          <w:r w:rsidRPr="00184DB9">
            <w:rPr>
              <w:rFonts w:asciiTheme="majorHAnsi" w:hAnsiTheme="majorHAnsi"/>
              <w:sz w:val="24"/>
              <w:szCs w:val="24"/>
            </w:rPr>
            <w:fldChar w:fldCharType="end"/>
          </w:r>
        </w:sdtContent>
      </w:sdt>
      <w:r w:rsidRPr="00184DB9">
        <w:rPr>
          <w:rFonts w:asciiTheme="majorHAnsi" w:hAnsiTheme="majorHAnsi"/>
          <w:sz w:val="24"/>
          <w:szCs w:val="24"/>
        </w:rPr>
        <w:t xml:space="preserve">. From May to June 2016, NEHA </w:t>
      </w:r>
      <w:r>
        <w:rPr>
          <w:rFonts w:asciiTheme="majorHAnsi" w:hAnsiTheme="majorHAnsi"/>
          <w:sz w:val="24"/>
          <w:szCs w:val="24"/>
        </w:rPr>
        <w:t>evaluated</w:t>
      </w:r>
      <w:r w:rsidRPr="00184DB9">
        <w:rPr>
          <w:rFonts w:asciiTheme="majorHAnsi" w:hAnsiTheme="majorHAnsi"/>
          <w:sz w:val="24"/>
          <w:szCs w:val="24"/>
        </w:rPr>
        <w:t xml:space="preserve"> their membership to </w:t>
      </w:r>
      <w:r w:rsidRPr="00184DB9">
        <w:rPr>
          <w:rFonts w:asciiTheme="majorHAnsi" w:hAnsiTheme="majorHAnsi"/>
          <w:bCs/>
          <w:sz w:val="24"/>
          <w:szCs w:val="24"/>
        </w:rPr>
        <w:t xml:space="preserve">identify a baseline capacity of LHD and environmental health professionals to address environmental health and land reuse issues. There were 109 respondents, </w:t>
      </w:r>
      <w:r w:rsidRPr="00184DB9">
        <w:rPr>
          <w:rFonts w:asciiTheme="majorHAnsi" w:hAnsiTheme="majorHAnsi"/>
          <w:sz w:val="24"/>
          <w:szCs w:val="24"/>
        </w:rPr>
        <w:t xml:space="preserve">of which 93 (85%) indicated they were LHD professionals. At any time 5-75% of LHD employees reported performing tasks in any of these five </w:t>
      </w:r>
      <w:r>
        <w:rPr>
          <w:rFonts w:asciiTheme="majorHAnsi" w:hAnsiTheme="majorHAnsi"/>
          <w:sz w:val="24"/>
          <w:szCs w:val="24"/>
        </w:rPr>
        <w:t xml:space="preserve">environmental health </w:t>
      </w:r>
      <w:r w:rsidRPr="00184DB9">
        <w:rPr>
          <w:rFonts w:asciiTheme="majorHAnsi" w:hAnsiTheme="majorHAnsi"/>
          <w:sz w:val="24"/>
          <w:szCs w:val="24"/>
        </w:rPr>
        <w:t>areas: Risk Communication, Risk Assessment, Epidemiology, Toxicology, and Land Reuse and Redevelopment</w:t>
      </w:r>
      <w:r>
        <w:rPr>
          <w:rFonts w:asciiTheme="majorHAnsi" w:hAnsiTheme="majorHAnsi"/>
          <w:sz w:val="24"/>
          <w:szCs w:val="24"/>
        </w:rPr>
        <w:t>. The majority of respondents</w:t>
      </w:r>
      <w:r w:rsidRPr="00184DB9">
        <w:rPr>
          <w:rFonts w:asciiTheme="majorHAnsi" w:hAnsiTheme="majorHAnsi"/>
          <w:sz w:val="24"/>
          <w:szCs w:val="24"/>
        </w:rPr>
        <w:t xml:space="preserve"> reported </w:t>
      </w:r>
      <w:r>
        <w:rPr>
          <w:rFonts w:asciiTheme="majorHAnsi" w:hAnsiTheme="majorHAnsi"/>
          <w:sz w:val="24"/>
          <w:szCs w:val="24"/>
        </w:rPr>
        <w:t>“</w:t>
      </w:r>
      <w:r w:rsidRPr="00184DB9">
        <w:rPr>
          <w:rFonts w:asciiTheme="majorHAnsi" w:hAnsiTheme="majorHAnsi"/>
          <w:sz w:val="24"/>
          <w:szCs w:val="24"/>
        </w:rPr>
        <w:t>no</w:t>
      </w:r>
      <w:r>
        <w:rPr>
          <w:rFonts w:asciiTheme="majorHAnsi" w:hAnsiTheme="majorHAnsi"/>
          <w:sz w:val="24"/>
          <w:szCs w:val="24"/>
        </w:rPr>
        <w:t>”</w:t>
      </w:r>
      <w:r w:rsidRPr="00184DB9">
        <w:rPr>
          <w:rFonts w:asciiTheme="majorHAnsi" w:hAnsiTheme="majorHAnsi"/>
          <w:sz w:val="24"/>
          <w:szCs w:val="24"/>
        </w:rPr>
        <w:t xml:space="preserve"> to only some formal education in these topics </w:t>
      </w:r>
      <w:sdt>
        <w:sdtPr>
          <w:rPr>
            <w:rFonts w:asciiTheme="majorHAnsi" w:hAnsiTheme="majorHAnsi"/>
            <w:sz w:val="24"/>
            <w:szCs w:val="24"/>
          </w:rPr>
          <w:id w:val="580949467"/>
          <w:citation/>
        </w:sdtPr>
        <w:sdtEndPr/>
        <w:sdtContent>
          <w:r w:rsidRPr="00184DB9">
            <w:rPr>
              <w:rFonts w:asciiTheme="majorHAnsi" w:hAnsiTheme="majorHAnsi"/>
              <w:sz w:val="24"/>
              <w:szCs w:val="24"/>
            </w:rPr>
            <w:fldChar w:fldCharType="begin"/>
          </w:r>
          <w:r w:rsidRPr="00184DB9">
            <w:rPr>
              <w:rFonts w:asciiTheme="majorHAnsi" w:hAnsiTheme="majorHAnsi"/>
              <w:sz w:val="24"/>
              <w:szCs w:val="24"/>
            </w:rPr>
            <w:instrText xml:space="preserve"> CITATION Nat162 \l 1033 </w:instrText>
          </w:r>
          <w:r w:rsidRPr="00184DB9">
            <w:rPr>
              <w:rFonts w:asciiTheme="majorHAnsi" w:hAnsiTheme="majorHAnsi"/>
              <w:sz w:val="24"/>
              <w:szCs w:val="24"/>
            </w:rPr>
            <w:fldChar w:fldCharType="separate"/>
          </w:r>
          <w:r w:rsidRPr="00184DB9">
            <w:rPr>
              <w:rFonts w:asciiTheme="majorHAnsi" w:hAnsiTheme="majorHAnsi"/>
              <w:noProof/>
              <w:sz w:val="24"/>
              <w:szCs w:val="24"/>
            </w:rPr>
            <w:t>(National Environmental Health Association, 2016)</w:t>
          </w:r>
          <w:r w:rsidRPr="00184DB9">
            <w:rPr>
              <w:rFonts w:asciiTheme="majorHAnsi" w:hAnsiTheme="majorHAnsi"/>
              <w:sz w:val="24"/>
              <w:szCs w:val="24"/>
            </w:rPr>
            <w:fldChar w:fldCharType="end"/>
          </w:r>
        </w:sdtContent>
      </w:sdt>
      <w:r w:rsidRPr="00184DB9">
        <w:rPr>
          <w:rFonts w:asciiTheme="majorHAnsi" w:hAnsiTheme="majorHAnsi"/>
          <w:sz w:val="24"/>
          <w:szCs w:val="24"/>
        </w:rPr>
        <w:t xml:space="preserve">. While their roles are not well documented in the scientific literature, state and local public health agencies are involved in these arenas through programs such as ATSDR funding or technical assistance and </w:t>
      </w:r>
      <w:r w:rsidRPr="00184DB9">
        <w:rPr>
          <w:rFonts w:asciiTheme="majorHAnsi" w:hAnsiTheme="majorHAnsi"/>
          <w:noProof/>
          <w:sz w:val="24"/>
          <w:szCs w:val="24"/>
        </w:rPr>
        <w:t xml:space="preserve">Environmental Protection Agency (EPA)’s promotion of engagement with health agencies in their brownfields funding process. </w:t>
      </w:r>
      <w:r w:rsidRPr="00184DB9">
        <w:rPr>
          <w:rFonts w:asciiTheme="majorHAnsi" w:hAnsiTheme="majorHAnsi"/>
          <w:sz w:val="24"/>
          <w:szCs w:val="24"/>
        </w:rPr>
        <w:t xml:space="preserve">Through ATSDR grant funding, several LHDs across the U.S. </w:t>
      </w:r>
      <w:r>
        <w:rPr>
          <w:rFonts w:asciiTheme="majorHAnsi" w:hAnsiTheme="majorHAnsi"/>
          <w:sz w:val="24"/>
          <w:szCs w:val="24"/>
        </w:rPr>
        <w:t>were</w:t>
      </w:r>
      <w:r w:rsidRPr="00184DB9">
        <w:rPr>
          <w:rFonts w:asciiTheme="majorHAnsi" w:hAnsiTheme="majorHAnsi"/>
          <w:sz w:val="24"/>
          <w:szCs w:val="24"/>
        </w:rPr>
        <w:t xml:space="preserve"> involved in brownfields redevelopment and community health projects </w:t>
      </w:r>
      <w:r w:rsidRPr="00184DB9">
        <w:rPr>
          <w:rFonts w:asciiTheme="majorHAnsi" w:hAnsiTheme="majorHAnsi"/>
          <w:sz w:val="24"/>
          <w:szCs w:val="24"/>
        </w:rPr>
        <w:fldChar w:fldCharType="begin"/>
      </w:r>
      <w:r w:rsidRPr="00184DB9">
        <w:rPr>
          <w:rFonts w:asciiTheme="majorHAnsi" w:hAnsiTheme="majorHAnsi"/>
          <w:sz w:val="24"/>
          <w:szCs w:val="24"/>
        </w:rPr>
        <w:instrText xml:space="preserve"> ADDIN EN.CITE &lt;EndNote&gt;&lt;Cite&gt;&lt;Author&gt;ATSDR&lt;/Author&gt;&lt;Year&gt;2016a&lt;/Year&gt;&lt;RecNum&gt;13&lt;/RecNum&gt;&lt;DisplayText&gt;(ATSDR, 2016a)&lt;/DisplayText&gt;&lt;record&gt;&lt;rec-number&gt;13&lt;/rec-number&gt;&lt;foreign-keys&gt;&lt;key app="EN" db-id="dxwaxefp79fvvxe5wzexdxamavsfr0xw09vs" timestamp="1474385059"&gt;13&lt;/key&gt;&lt;/foreign-keys&gt;&lt;ref-type name="Web Page"&gt;12&lt;/ref-type&gt;&lt;contributors&gt;&lt;authors&gt;&lt;author&gt;ATSDR,&lt;/author&gt;&lt;/authors&gt;&lt;/contributors&gt;&lt;titles&gt;&lt;title&gt;ATSDR Brownfield/Land Reuse Health Initiative&lt;/title&gt;&lt;/titles&gt;&lt;dates&gt;&lt;year&gt;2016a&lt;/year&gt;&lt;/dates&gt;&lt;urls&gt;&lt;related-urls&gt;&lt;url&gt;http://www.atsdr.cdc.gov/sites/brownfields/index.htm&lt;/url&gt;&lt;/related-urls&gt;&lt;/urls&gt;&lt;custom2&gt;September 20, 2016&lt;/custom2&gt;&lt;/record&gt;&lt;/Cite&gt;&lt;/EndNote&gt;</w:instrText>
      </w:r>
      <w:r w:rsidRPr="00184DB9">
        <w:rPr>
          <w:rFonts w:asciiTheme="majorHAnsi" w:hAnsiTheme="majorHAnsi"/>
          <w:sz w:val="24"/>
          <w:szCs w:val="24"/>
        </w:rPr>
        <w:fldChar w:fldCharType="separate"/>
      </w:r>
      <w:r w:rsidRPr="00184DB9">
        <w:rPr>
          <w:rFonts w:asciiTheme="majorHAnsi" w:hAnsiTheme="majorHAnsi"/>
          <w:noProof/>
          <w:sz w:val="24"/>
          <w:szCs w:val="24"/>
        </w:rPr>
        <w:t>(ATSDR, 2016a)</w:t>
      </w:r>
      <w:r w:rsidRPr="00184DB9">
        <w:rPr>
          <w:rFonts w:asciiTheme="majorHAnsi" w:hAnsiTheme="majorHAnsi"/>
          <w:sz w:val="24"/>
          <w:szCs w:val="24"/>
        </w:rPr>
        <w:fldChar w:fldCharType="end"/>
      </w:r>
      <w:r w:rsidRPr="00184DB9">
        <w:rPr>
          <w:rFonts w:asciiTheme="majorHAnsi" w:hAnsiTheme="majorHAnsi"/>
          <w:sz w:val="24"/>
          <w:szCs w:val="24"/>
        </w:rPr>
        <w:t>. Their projects range</w:t>
      </w:r>
      <w:r>
        <w:rPr>
          <w:rFonts w:asciiTheme="majorHAnsi" w:hAnsiTheme="majorHAnsi"/>
          <w:sz w:val="24"/>
          <w:szCs w:val="24"/>
        </w:rPr>
        <w:t>d</w:t>
      </w:r>
      <w:r w:rsidRPr="00184DB9">
        <w:rPr>
          <w:rFonts w:asciiTheme="majorHAnsi" w:hAnsiTheme="majorHAnsi"/>
          <w:sz w:val="24"/>
          <w:szCs w:val="24"/>
        </w:rPr>
        <w:t xml:space="preserve"> from programs to reduce exposures, communication of risks of exposures, transforming vacant land into agriculture projects, and health promotion and education about land reuse. Other LHDs provided free technical assistance to communities with land reuse issues.</w:t>
      </w:r>
    </w:p>
    <w:p w:rsidR="000F54E4" w:rsidRDefault="000F54E4" w:rsidP="000F54E4">
      <w:pPr>
        <w:rPr>
          <w:rFonts w:asciiTheme="majorHAnsi" w:hAnsiTheme="majorHAnsi"/>
          <w:sz w:val="24"/>
          <w:szCs w:val="24"/>
        </w:rPr>
      </w:pPr>
      <w:r w:rsidRPr="004B7CC0">
        <w:rPr>
          <w:rFonts w:asciiTheme="majorHAnsi" w:hAnsiTheme="majorHAnsi"/>
          <w:sz w:val="24"/>
          <w:szCs w:val="24"/>
        </w:rPr>
        <w:t>The ATSDR’s Environmental Health and Land Reuse Certificate Program is a new effort</w:t>
      </w:r>
      <w:r w:rsidR="00614D32">
        <w:rPr>
          <w:rFonts w:asciiTheme="majorHAnsi" w:hAnsiTheme="majorHAnsi"/>
          <w:sz w:val="24"/>
          <w:szCs w:val="24"/>
        </w:rPr>
        <w:t xml:space="preserve"> that is specifically designed to increase capacity of environmental professionals (e.g. LHD professionals) to engage in health-focused land reuse activities</w:t>
      </w:r>
      <w:r w:rsidRPr="004B7CC0">
        <w:rPr>
          <w:rFonts w:asciiTheme="majorHAnsi" w:hAnsiTheme="majorHAnsi"/>
          <w:sz w:val="24"/>
          <w:szCs w:val="24"/>
        </w:rPr>
        <w:t xml:space="preserve">. The ATSDR Land Reuse and Redevelopment Program has not </w:t>
      </w:r>
      <w:r w:rsidR="00614D32">
        <w:rPr>
          <w:rFonts w:asciiTheme="majorHAnsi" w:hAnsiTheme="majorHAnsi"/>
          <w:sz w:val="24"/>
          <w:szCs w:val="24"/>
        </w:rPr>
        <w:t xml:space="preserve">hosted a training like this </w:t>
      </w:r>
      <w:r w:rsidRPr="004B7CC0">
        <w:rPr>
          <w:rFonts w:asciiTheme="majorHAnsi" w:hAnsiTheme="majorHAnsi"/>
          <w:sz w:val="24"/>
          <w:szCs w:val="24"/>
        </w:rPr>
        <w:t xml:space="preserve">in the past. </w:t>
      </w:r>
      <w:r w:rsidR="00614D32">
        <w:rPr>
          <w:rFonts w:asciiTheme="majorHAnsi" w:hAnsiTheme="majorHAnsi"/>
          <w:sz w:val="24"/>
          <w:szCs w:val="24"/>
        </w:rPr>
        <w:t xml:space="preserve"> </w:t>
      </w:r>
      <w:r w:rsidRPr="004B7CC0">
        <w:rPr>
          <w:rFonts w:asciiTheme="majorHAnsi" w:hAnsiTheme="majorHAnsi"/>
          <w:sz w:val="24"/>
          <w:szCs w:val="24"/>
        </w:rPr>
        <w:t>ATSDR is coordinating efforts with other colleagues who may also work with NEHA on similar efforts, such as voluntarily sharing summary (de-identified) participant job title. ATSDR will share the 60-day notice</w:t>
      </w:r>
      <w:r>
        <w:rPr>
          <w:rFonts w:asciiTheme="majorHAnsi" w:hAnsiTheme="majorHAnsi"/>
          <w:sz w:val="24"/>
          <w:szCs w:val="24"/>
        </w:rPr>
        <w:t xml:space="preserve"> (Attachment 2)</w:t>
      </w:r>
      <w:r w:rsidRPr="004B7CC0">
        <w:rPr>
          <w:rFonts w:asciiTheme="majorHAnsi" w:hAnsiTheme="majorHAnsi"/>
          <w:sz w:val="24"/>
          <w:szCs w:val="24"/>
        </w:rPr>
        <w:t xml:space="preserve"> and supplemental information to assist colleagues should they have similar information collection needs.</w:t>
      </w:r>
    </w:p>
    <w:p w:rsidR="00696F65" w:rsidRPr="004B7CC0" w:rsidRDefault="00696F65" w:rsidP="004B7CC0">
      <w:pPr>
        <w:rPr>
          <w:rFonts w:asciiTheme="majorHAnsi" w:hAnsiTheme="majorHAnsi"/>
          <w:sz w:val="24"/>
          <w:szCs w:val="24"/>
        </w:rPr>
      </w:pPr>
    </w:p>
    <w:p w:rsidR="00B45002" w:rsidRPr="00B9626B" w:rsidRDefault="00601F1A" w:rsidP="00601F1A">
      <w:pPr>
        <w:pStyle w:val="Heading1"/>
        <w:rPr>
          <w:rFonts w:asciiTheme="majorHAnsi" w:hAnsiTheme="majorHAnsi" w:cstheme="minorHAnsi"/>
          <w:sz w:val="28"/>
          <w:szCs w:val="28"/>
        </w:rPr>
      </w:pPr>
      <w:bookmarkStart w:id="17" w:name="_Toc601052"/>
      <w:r w:rsidRPr="00B9626B">
        <w:rPr>
          <w:rFonts w:asciiTheme="majorHAnsi" w:hAnsiTheme="majorHAnsi" w:cstheme="minorHAnsi"/>
          <w:sz w:val="28"/>
          <w:szCs w:val="28"/>
        </w:rPr>
        <w:t>A.</w:t>
      </w:r>
      <w:r w:rsidR="004D21C9" w:rsidRPr="00B9626B">
        <w:rPr>
          <w:rFonts w:asciiTheme="majorHAnsi" w:hAnsiTheme="majorHAnsi" w:cstheme="minorHAnsi"/>
          <w:sz w:val="28"/>
          <w:szCs w:val="28"/>
        </w:rPr>
        <w:t>5</w:t>
      </w:r>
      <w:r w:rsidR="00CD696E" w:rsidRPr="00B9626B">
        <w:rPr>
          <w:rFonts w:asciiTheme="majorHAnsi" w:hAnsiTheme="majorHAnsi" w:cstheme="minorHAnsi"/>
          <w:sz w:val="28"/>
          <w:szCs w:val="28"/>
        </w:rPr>
        <w:t>. Impact</w:t>
      </w:r>
      <w:r w:rsidR="00B45002" w:rsidRPr="00B9626B">
        <w:rPr>
          <w:rFonts w:asciiTheme="majorHAnsi" w:hAnsiTheme="majorHAnsi" w:cstheme="minorHAnsi"/>
          <w:sz w:val="28"/>
          <w:szCs w:val="28"/>
        </w:rPr>
        <w:t xml:space="preserve"> on Small Businesses or Other Small Entities</w:t>
      </w:r>
      <w:bookmarkEnd w:id="17"/>
    </w:p>
    <w:p w:rsidR="00447DD2" w:rsidRDefault="00447DD2" w:rsidP="00C327A0">
      <w:pPr>
        <w:rPr>
          <w:rFonts w:asciiTheme="majorHAnsi" w:hAnsiTheme="majorHAnsi" w:cstheme="minorHAnsi"/>
          <w:color w:val="000000" w:themeColor="text1"/>
          <w:sz w:val="24"/>
          <w:szCs w:val="24"/>
        </w:rPr>
      </w:pPr>
    </w:p>
    <w:p w:rsidR="00C327A0" w:rsidRPr="00D209EC" w:rsidRDefault="00C327A0" w:rsidP="00C327A0">
      <w:pPr>
        <w:rPr>
          <w:rFonts w:asciiTheme="majorHAnsi" w:hAnsiTheme="majorHAnsi" w:cstheme="minorHAnsi"/>
          <w:color w:val="000000" w:themeColor="text1"/>
          <w:sz w:val="24"/>
          <w:szCs w:val="24"/>
        </w:rPr>
      </w:pPr>
      <w:r w:rsidRPr="00D209EC">
        <w:rPr>
          <w:rFonts w:asciiTheme="majorHAnsi" w:hAnsiTheme="majorHAnsi" w:cstheme="minorHAnsi"/>
          <w:color w:val="000000" w:themeColor="text1"/>
          <w:sz w:val="24"/>
          <w:szCs w:val="24"/>
        </w:rPr>
        <w:t>Participants in the certification course will be individuals. There will be no impact or burden on small businesses.</w:t>
      </w:r>
    </w:p>
    <w:p w:rsidR="00B45002" w:rsidRPr="00B9626B" w:rsidRDefault="00601F1A" w:rsidP="00601F1A">
      <w:pPr>
        <w:pStyle w:val="Heading1"/>
        <w:rPr>
          <w:rFonts w:asciiTheme="majorHAnsi" w:hAnsiTheme="majorHAnsi" w:cstheme="minorHAnsi"/>
          <w:sz w:val="28"/>
          <w:szCs w:val="28"/>
        </w:rPr>
      </w:pPr>
      <w:bookmarkStart w:id="18" w:name="_Toc601053"/>
      <w:r w:rsidRPr="00B9626B">
        <w:rPr>
          <w:rFonts w:asciiTheme="majorHAnsi" w:hAnsiTheme="majorHAnsi" w:cstheme="minorHAnsi"/>
          <w:sz w:val="28"/>
          <w:szCs w:val="28"/>
        </w:rPr>
        <w:t>A.</w:t>
      </w:r>
      <w:r w:rsidR="004D21C9" w:rsidRPr="00B9626B">
        <w:rPr>
          <w:rFonts w:asciiTheme="majorHAnsi" w:hAnsiTheme="majorHAnsi" w:cstheme="minorHAnsi"/>
          <w:sz w:val="28"/>
          <w:szCs w:val="28"/>
        </w:rPr>
        <w:t>6</w:t>
      </w:r>
      <w:r w:rsidR="00CD696E" w:rsidRPr="00B9626B">
        <w:rPr>
          <w:rFonts w:asciiTheme="majorHAnsi" w:hAnsiTheme="majorHAnsi" w:cstheme="minorHAnsi"/>
          <w:sz w:val="28"/>
          <w:szCs w:val="28"/>
        </w:rPr>
        <w:t>. Consequences</w:t>
      </w:r>
      <w:r w:rsidR="00B45002" w:rsidRPr="00B9626B">
        <w:rPr>
          <w:rFonts w:asciiTheme="majorHAnsi" w:hAnsiTheme="majorHAnsi" w:cstheme="minorHAnsi"/>
          <w:sz w:val="28"/>
          <w:szCs w:val="28"/>
        </w:rPr>
        <w:t xml:space="preserve"> of Collecting the Information Less Frequently</w:t>
      </w:r>
      <w:bookmarkEnd w:id="18"/>
    </w:p>
    <w:p w:rsidR="00F82AF2" w:rsidRPr="00B9626B" w:rsidRDefault="00F82AF2" w:rsidP="002930EC">
      <w:pPr>
        <w:spacing w:after="0" w:line="240" w:lineRule="auto"/>
        <w:rPr>
          <w:rFonts w:asciiTheme="majorHAnsi" w:hAnsiTheme="majorHAnsi" w:cstheme="minorHAnsi"/>
          <w:color w:val="000000" w:themeColor="text1"/>
          <w:sz w:val="22"/>
          <w:szCs w:val="22"/>
        </w:rPr>
      </w:pPr>
    </w:p>
    <w:p w:rsidR="000F54E4" w:rsidRPr="00A478FF" w:rsidRDefault="00C327A0" w:rsidP="002930EC">
      <w:pPr>
        <w:spacing w:after="0" w:line="240" w:lineRule="auto"/>
        <w:rPr>
          <w:rFonts w:asciiTheme="majorHAnsi" w:hAnsiTheme="majorHAnsi" w:cstheme="minorHAnsi"/>
          <w:color w:val="000000" w:themeColor="text1"/>
          <w:sz w:val="24"/>
          <w:szCs w:val="24"/>
        </w:rPr>
      </w:pPr>
      <w:r w:rsidRPr="00A478FF">
        <w:rPr>
          <w:rFonts w:asciiTheme="majorHAnsi" w:hAnsiTheme="majorHAnsi" w:cstheme="minorHAnsi"/>
          <w:color w:val="000000" w:themeColor="text1"/>
          <w:sz w:val="24"/>
          <w:szCs w:val="24"/>
        </w:rPr>
        <w:t xml:space="preserve">Post-certification, participants will be asked to </w:t>
      </w:r>
      <w:r w:rsidR="00614D32">
        <w:rPr>
          <w:rFonts w:asciiTheme="majorHAnsi" w:hAnsiTheme="majorHAnsi" w:cstheme="minorHAnsi"/>
          <w:color w:val="000000" w:themeColor="text1"/>
          <w:sz w:val="24"/>
          <w:szCs w:val="24"/>
        </w:rPr>
        <w:t>voluntarily</w:t>
      </w:r>
      <w:r w:rsidR="000F54E4">
        <w:rPr>
          <w:rFonts w:asciiTheme="majorHAnsi" w:hAnsiTheme="majorHAnsi" w:cstheme="minorHAnsi"/>
          <w:color w:val="000000" w:themeColor="text1"/>
          <w:sz w:val="24"/>
          <w:szCs w:val="24"/>
        </w:rPr>
        <w:t xml:space="preserve"> </w:t>
      </w:r>
      <w:r w:rsidRPr="00A478FF">
        <w:rPr>
          <w:rFonts w:asciiTheme="majorHAnsi" w:hAnsiTheme="majorHAnsi" w:cstheme="minorHAnsi"/>
          <w:color w:val="000000" w:themeColor="text1"/>
          <w:sz w:val="24"/>
          <w:szCs w:val="24"/>
        </w:rPr>
        <w:t xml:space="preserve">provide feedback by survey </w:t>
      </w:r>
      <w:r w:rsidR="00872AAB" w:rsidRPr="00A478FF">
        <w:rPr>
          <w:rFonts w:asciiTheme="majorHAnsi" w:hAnsiTheme="majorHAnsi" w:cstheme="minorHAnsi"/>
          <w:color w:val="000000" w:themeColor="text1"/>
          <w:sz w:val="24"/>
          <w:szCs w:val="24"/>
        </w:rPr>
        <w:t>one time</w:t>
      </w:r>
      <w:r w:rsidRPr="00A478FF">
        <w:rPr>
          <w:rFonts w:asciiTheme="majorHAnsi" w:hAnsiTheme="majorHAnsi" w:cstheme="minorHAnsi"/>
          <w:color w:val="000000" w:themeColor="text1"/>
          <w:sz w:val="24"/>
          <w:szCs w:val="24"/>
        </w:rPr>
        <w:t xml:space="preserve">, </w:t>
      </w:r>
      <w:r w:rsidR="000F54E4">
        <w:rPr>
          <w:rFonts w:asciiTheme="majorHAnsi" w:hAnsiTheme="majorHAnsi" w:cstheme="minorHAnsi"/>
          <w:color w:val="000000" w:themeColor="text1"/>
          <w:sz w:val="24"/>
          <w:szCs w:val="24"/>
        </w:rPr>
        <w:t>within</w:t>
      </w:r>
      <w:r w:rsidR="00E714C8" w:rsidRPr="00A478FF">
        <w:rPr>
          <w:rFonts w:asciiTheme="majorHAnsi" w:hAnsiTheme="majorHAnsi" w:cstheme="minorHAnsi"/>
          <w:color w:val="000000" w:themeColor="text1"/>
          <w:sz w:val="24"/>
          <w:szCs w:val="24"/>
        </w:rPr>
        <w:t xml:space="preserve"> </w:t>
      </w:r>
      <w:r w:rsidR="00654B32" w:rsidRPr="00A478FF">
        <w:rPr>
          <w:rFonts w:asciiTheme="majorHAnsi" w:hAnsiTheme="majorHAnsi" w:cstheme="minorHAnsi"/>
          <w:color w:val="000000" w:themeColor="text1"/>
          <w:sz w:val="24"/>
          <w:szCs w:val="24"/>
        </w:rPr>
        <w:t>12 months</w:t>
      </w:r>
      <w:r w:rsidRPr="00A478FF">
        <w:rPr>
          <w:rFonts w:asciiTheme="majorHAnsi" w:hAnsiTheme="majorHAnsi" w:cstheme="minorHAnsi"/>
          <w:color w:val="000000" w:themeColor="text1"/>
          <w:sz w:val="24"/>
          <w:szCs w:val="24"/>
        </w:rPr>
        <w:t xml:space="preserve"> </w:t>
      </w:r>
      <w:r w:rsidR="00872AAB" w:rsidRPr="00A478FF">
        <w:rPr>
          <w:rFonts w:asciiTheme="majorHAnsi" w:hAnsiTheme="majorHAnsi" w:cstheme="minorHAnsi"/>
          <w:color w:val="000000" w:themeColor="text1"/>
          <w:sz w:val="24"/>
          <w:szCs w:val="24"/>
        </w:rPr>
        <w:t>after completing the course</w:t>
      </w:r>
      <w:r w:rsidRPr="00A478FF">
        <w:rPr>
          <w:rFonts w:asciiTheme="majorHAnsi" w:hAnsiTheme="majorHAnsi" w:cstheme="minorHAnsi"/>
          <w:color w:val="000000" w:themeColor="text1"/>
          <w:sz w:val="24"/>
          <w:szCs w:val="24"/>
        </w:rPr>
        <w:t>.</w:t>
      </w:r>
    </w:p>
    <w:p w:rsidR="00C327A0" w:rsidRPr="00D209EC" w:rsidRDefault="00C327A0" w:rsidP="002930EC">
      <w:pPr>
        <w:spacing w:after="0" w:line="240" w:lineRule="auto"/>
        <w:rPr>
          <w:rFonts w:asciiTheme="majorHAnsi" w:hAnsiTheme="majorHAnsi" w:cstheme="minorHAnsi"/>
          <w:color w:val="000000" w:themeColor="text1"/>
          <w:sz w:val="24"/>
          <w:szCs w:val="24"/>
        </w:rPr>
      </w:pPr>
      <w:r w:rsidRPr="00A478FF">
        <w:rPr>
          <w:rFonts w:asciiTheme="majorHAnsi" w:hAnsiTheme="majorHAnsi" w:cstheme="minorHAnsi"/>
          <w:color w:val="000000" w:themeColor="text1"/>
          <w:sz w:val="24"/>
          <w:szCs w:val="24"/>
        </w:rPr>
        <w:t>There are no technical or legal obstacles to reducing burden.</w:t>
      </w:r>
    </w:p>
    <w:p w:rsidR="00C327A0" w:rsidRPr="00D209EC" w:rsidRDefault="00C327A0" w:rsidP="002930EC">
      <w:pPr>
        <w:spacing w:after="0" w:line="240" w:lineRule="auto"/>
        <w:rPr>
          <w:rFonts w:asciiTheme="majorHAnsi" w:hAnsiTheme="majorHAnsi" w:cstheme="minorHAnsi"/>
          <w:color w:val="000000" w:themeColor="text1"/>
          <w:sz w:val="24"/>
          <w:szCs w:val="24"/>
        </w:rPr>
      </w:pPr>
    </w:p>
    <w:p w:rsidR="00C327A0" w:rsidRPr="00D209EC" w:rsidRDefault="00C327A0" w:rsidP="002930EC">
      <w:pPr>
        <w:spacing w:after="0" w:line="240" w:lineRule="auto"/>
        <w:rPr>
          <w:rFonts w:asciiTheme="majorHAnsi" w:hAnsiTheme="majorHAnsi" w:cstheme="minorHAnsi"/>
          <w:color w:val="000000" w:themeColor="text1"/>
          <w:sz w:val="24"/>
          <w:szCs w:val="24"/>
        </w:rPr>
      </w:pPr>
      <w:r w:rsidRPr="00D209EC">
        <w:rPr>
          <w:rFonts w:asciiTheme="majorHAnsi" w:hAnsiTheme="majorHAnsi" w:cstheme="minorHAnsi"/>
          <w:color w:val="000000" w:themeColor="text1"/>
          <w:sz w:val="24"/>
          <w:szCs w:val="24"/>
        </w:rPr>
        <w:t xml:space="preserve">If the </w:t>
      </w:r>
      <w:r w:rsidR="00206E80" w:rsidRPr="00D209EC">
        <w:rPr>
          <w:rFonts w:asciiTheme="majorHAnsi" w:hAnsiTheme="majorHAnsi" w:cstheme="minorHAnsi"/>
          <w:color w:val="000000" w:themeColor="text1"/>
          <w:sz w:val="24"/>
          <w:szCs w:val="24"/>
        </w:rPr>
        <w:t xml:space="preserve">feedback </w:t>
      </w:r>
      <w:r w:rsidRPr="00D209EC">
        <w:rPr>
          <w:rFonts w:asciiTheme="majorHAnsi" w:hAnsiTheme="majorHAnsi" w:cstheme="minorHAnsi"/>
          <w:color w:val="000000" w:themeColor="text1"/>
          <w:sz w:val="24"/>
          <w:szCs w:val="24"/>
        </w:rPr>
        <w:t xml:space="preserve">collection is not conducted, ATSDR will not be able to assess the impacts of the certification to increase the capacity of participants to perform environmental health and land reuse activities. </w:t>
      </w:r>
    </w:p>
    <w:p w:rsidR="00B45002" w:rsidRPr="00B9626B" w:rsidRDefault="00601F1A" w:rsidP="00601F1A">
      <w:pPr>
        <w:pStyle w:val="Heading1"/>
        <w:rPr>
          <w:rFonts w:asciiTheme="majorHAnsi" w:hAnsiTheme="majorHAnsi" w:cstheme="minorHAnsi"/>
          <w:sz w:val="28"/>
          <w:szCs w:val="28"/>
        </w:rPr>
      </w:pPr>
      <w:bookmarkStart w:id="19" w:name="_Toc601054"/>
      <w:r w:rsidRPr="00B9626B">
        <w:rPr>
          <w:rFonts w:asciiTheme="majorHAnsi" w:hAnsiTheme="majorHAnsi" w:cstheme="minorHAnsi"/>
          <w:sz w:val="28"/>
          <w:szCs w:val="28"/>
        </w:rPr>
        <w:t>A.</w:t>
      </w:r>
      <w:r w:rsidR="00B45002" w:rsidRPr="00B9626B">
        <w:rPr>
          <w:rFonts w:asciiTheme="majorHAnsi" w:hAnsiTheme="majorHAnsi" w:cstheme="minorHAnsi"/>
          <w:sz w:val="28"/>
          <w:szCs w:val="28"/>
        </w:rPr>
        <w:t>7</w:t>
      </w:r>
      <w:r w:rsidR="0018051D" w:rsidRPr="00B9626B">
        <w:rPr>
          <w:rFonts w:asciiTheme="majorHAnsi" w:hAnsiTheme="majorHAnsi" w:cstheme="minorHAnsi"/>
          <w:sz w:val="28"/>
          <w:szCs w:val="28"/>
        </w:rPr>
        <w:t>. Special</w:t>
      </w:r>
      <w:r w:rsidR="00B45002" w:rsidRPr="00B9626B">
        <w:rPr>
          <w:rFonts w:asciiTheme="majorHAnsi" w:hAnsiTheme="majorHAnsi" w:cstheme="minorHAnsi"/>
          <w:sz w:val="28"/>
          <w:szCs w:val="28"/>
        </w:rPr>
        <w:t xml:space="preserve"> Circumstances Relating to the Guidelines of 5 CFR 1320.5</w:t>
      </w:r>
      <w:bookmarkEnd w:id="19"/>
    </w:p>
    <w:p w:rsidR="0014151A" w:rsidRPr="00052532" w:rsidRDefault="0014151A" w:rsidP="00FB3333">
      <w:pPr>
        <w:autoSpaceDE w:val="0"/>
        <w:autoSpaceDN w:val="0"/>
        <w:adjustRightInd w:val="0"/>
        <w:spacing w:line="240" w:lineRule="auto"/>
        <w:rPr>
          <w:rFonts w:asciiTheme="majorHAnsi" w:hAnsiTheme="majorHAnsi" w:cstheme="minorHAnsi"/>
          <w:color w:val="000000" w:themeColor="text1"/>
          <w:sz w:val="24"/>
          <w:szCs w:val="24"/>
        </w:rPr>
      </w:pPr>
    </w:p>
    <w:p w:rsidR="00C327A0" w:rsidRPr="00A478FF" w:rsidRDefault="00C327A0" w:rsidP="00052532">
      <w:pPr>
        <w:spacing w:after="0" w:line="240" w:lineRule="auto"/>
        <w:rPr>
          <w:rFonts w:asciiTheme="majorHAnsi" w:hAnsiTheme="majorHAnsi"/>
          <w:sz w:val="24"/>
          <w:szCs w:val="24"/>
        </w:rPr>
      </w:pPr>
      <w:r w:rsidRPr="00A478FF">
        <w:rPr>
          <w:rFonts w:asciiTheme="majorHAnsi" w:hAnsiTheme="majorHAnsi"/>
          <w:sz w:val="24"/>
          <w:szCs w:val="24"/>
        </w:rPr>
        <w:t>There are no special circumstances of the ICR. This request fully complies with the regulation 5 CFR 1320.5.</w:t>
      </w:r>
    </w:p>
    <w:p w:rsidR="00B45002" w:rsidRPr="005E4E4D" w:rsidRDefault="00601F1A" w:rsidP="00821103">
      <w:pPr>
        <w:pStyle w:val="Heading1"/>
        <w:rPr>
          <w:rFonts w:asciiTheme="majorHAnsi" w:hAnsiTheme="majorHAnsi"/>
          <w:sz w:val="28"/>
          <w:szCs w:val="28"/>
        </w:rPr>
      </w:pPr>
      <w:bookmarkStart w:id="20" w:name="_Toc601055"/>
      <w:r w:rsidRPr="00B9626B">
        <w:rPr>
          <w:rFonts w:asciiTheme="majorHAnsi" w:hAnsiTheme="majorHAnsi"/>
          <w:sz w:val="28"/>
          <w:szCs w:val="28"/>
        </w:rPr>
        <w:t>A.</w:t>
      </w:r>
      <w:r w:rsidR="004D21C9" w:rsidRPr="00B9626B">
        <w:rPr>
          <w:rFonts w:asciiTheme="majorHAnsi" w:hAnsiTheme="majorHAnsi"/>
          <w:sz w:val="28"/>
          <w:szCs w:val="28"/>
        </w:rPr>
        <w:t>8</w:t>
      </w:r>
      <w:r w:rsidR="0018051D" w:rsidRPr="00B9626B">
        <w:rPr>
          <w:rFonts w:asciiTheme="majorHAnsi" w:hAnsiTheme="majorHAnsi"/>
          <w:sz w:val="28"/>
          <w:szCs w:val="28"/>
        </w:rPr>
        <w:t>. Comments</w:t>
      </w:r>
      <w:r w:rsidR="00B45002" w:rsidRPr="00B9626B">
        <w:rPr>
          <w:rFonts w:asciiTheme="majorHAnsi" w:hAnsiTheme="majorHAnsi"/>
          <w:sz w:val="28"/>
          <w:szCs w:val="28"/>
        </w:rPr>
        <w:t xml:space="preserve"> in Response to the Federal Register Notice and Efforts to Consult Outside the Agency</w:t>
      </w:r>
      <w:bookmarkEnd w:id="20"/>
    </w:p>
    <w:p w:rsidR="005E4E4D" w:rsidRPr="00B9626B" w:rsidRDefault="005E4E4D" w:rsidP="00B9626B"/>
    <w:p w:rsidR="000D0CCD" w:rsidRPr="00DB4BC6" w:rsidRDefault="000D0CCD" w:rsidP="00B9626B">
      <w:pPr>
        <w:rPr>
          <w:rFonts w:asciiTheme="majorHAnsi" w:hAnsiTheme="majorHAnsi"/>
          <w:sz w:val="24"/>
          <w:szCs w:val="24"/>
        </w:rPr>
      </w:pPr>
      <w:r w:rsidRPr="00DB4BC6">
        <w:rPr>
          <w:rFonts w:asciiTheme="majorHAnsi" w:hAnsiTheme="majorHAnsi"/>
          <w:sz w:val="24"/>
          <w:szCs w:val="24"/>
        </w:rPr>
        <w:t xml:space="preserve">A 60-day Federal Register Notice was published in the </w:t>
      </w:r>
      <w:r w:rsidRPr="00DB4BC6">
        <w:rPr>
          <w:rFonts w:asciiTheme="majorHAnsi" w:hAnsiTheme="majorHAnsi"/>
          <w:i/>
          <w:iCs/>
          <w:sz w:val="24"/>
          <w:szCs w:val="24"/>
        </w:rPr>
        <w:t xml:space="preserve">Federal Register </w:t>
      </w:r>
      <w:r w:rsidRPr="00DB4BC6">
        <w:rPr>
          <w:rFonts w:asciiTheme="majorHAnsi" w:hAnsiTheme="majorHAnsi"/>
          <w:sz w:val="24"/>
          <w:szCs w:val="24"/>
        </w:rPr>
        <w:t xml:space="preserve">on </w:t>
      </w:r>
      <w:r w:rsidR="00C11421">
        <w:rPr>
          <w:rFonts w:asciiTheme="majorHAnsi" w:hAnsiTheme="majorHAnsi"/>
          <w:sz w:val="24"/>
          <w:szCs w:val="24"/>
        </w:rPr>
        <w:t>June 27</w:t>
      </w:r>
      <w:r w:rsidRPr="00DB4BC6">
        <w:rPr>
          <w:rFonts w:asciiTheme="majorHAnsi" w:hAnsiTheme="majorHAnsi"/>
          <w:sz w:val="24"/>
          <w:szCs w:val="24"/>
        </w:rPr>
        <w:t>, 20</w:t>
      </w:r>
      <w:r w:rsidR="00E15A39" w:rsidRPr="00DB4BC6">
        <w:rPr>
          <w:rFonts w:asciiTheme="majorHAnsi" w:hAnsiTheme="majorHAnsi"/>
          <w:sz w:val="24"/>
          <w:szCs w:val="24"/>
        </w:rPr>
        <w:t>18</w:t>
      </w:r>
      <w:r w:rsidRPr="00DB4BC6">
        <w:rPr>
          <w:rFonts w:asciiTheme="majorHAnsi" w:hAnsiTheme="majorHAnsi"/>
          <w:sz w:val="24"/>
          <w:szCs w:val="24"/>
        </w:rPr>
        <w:t xml:space="preserve">, vol. 71, No. 7, pp. 3383-84 (Attachment 2). </w:t>
      </w:r>
    </w:p>
    <w:p w:rsidR="000D0CCD" w:rsidRPr="00B9626B" w:rsidRDefault="000D0CCD" w:rsidP="00B9626B">
      <w:pPr>
        <w:rPr>
          <w:rFonts w:asciiTheme="majorHAnsi" w:hAnsiTheme="majorHAnsi"/>
          <w:sz w:val="24"/>
          <w:szCs w:val="24"/>
        </w:rPr>
      </w:pPr>
      <w:r w:rsidRPr="00B9626B">
        <w:rPr>
          <w:rFonts w:asciiTheme="majorHAnsi" w:hAnsiTheme="majorHAnsi"/>
          <w:sz w:val="24"/>
          <w:szCs w:val="24"/>
        </w:rPr>
        <w:t xml:space="preserve">ATSDR did not consult with persons outside of the agency to obtain their views on the availability of data, frequency of collection, the clarity of instructions and record keeping, disclosure, or reporting format (if any), and on the data elements to be recorded, disclosed, or reported. </w:t>
      </w:r>
      <w:r w:rsidR="00085E58" w:rsidRPr="00B9626B">
        <w:rPr>
          <w:rFonts w:asciiTheme="majorHAnsi" w:hAnsiTheme="majorHAnsi"/>
          <w:sz w:val="24"/>
          <w:szCs w:val="24"/>
        </w:rPr>
        <w:t>This is a new ICR that will collect information that typically has not been collected in</w:t>
      </w:r>
      <w:r w:rsidRPr="00B9626B">
        <w:rPr>
          <w:rFonts w:asciiTheme="majorHAnsi" w:hAnsiTheme="majorHAnsi"/>
          <w:sz w:val="24"/>
          <w:szCs w:val="24"/>
        </w:rPr>
        <w:t xml:space="preserve"> the ATSDR </w:t>
      </w:r>
      <w:r w:rsidR="00206E80" w:rsidRPr="00B9626B">
        <w:rPr>
          <w:rFonts w:asciiTheme="majorHAnsi" w:hAnsiTheme="majorHAnsi"/>
          <w:sz w:val="24"/>
          <w:szCs w:val="24"/>
        </w:rPr>
        <w:t>Land Reuse and Redevelopment P</w:t>
      </w:r>
      <w:r w:rsidR="00085E58" w:rsidRPr="00B9626B">
        <w:rPr>
          <w:rFonts w:asciiTheme="majorHAnsi" w:hAnsiTheme="majorHAnsi"/>
          <w:sz w:val="24"/>
          <w:szCs w:val="24"/>
        </w:rPr>
        <w:t>rogram activities.</w:t>
      </w:r>
    </w:p>
    <w:p w:rsidR="00B45002" w:rsidRPr="00B9626B" w:rsidRDefault="00601F1A" w:rsidP="00601F1A">
      <w:pPr>
        <w:pStyle w:val="Heading1"/>
        <w:rPr>
          <w:rFonts w:asciiTheme="majorHAnsi" w:hAnsiTheme="majorHAnsi" w:cstheme="minorHAnsi"/>
          <w:sz w:val="28"/>
          <w:szCs w:val="28"/>
        </w:rPr>
      </w:pPr>
      <w:bookmarkStart w:id="21" w:name="_Toc601056"/>
      <w:r w:rsidRPr="00B9626B">
        <w:rPr>
          <w:rFonts w:asciiTheme="majorHAnsi" w:hAnsiTheme="majorHAnsi" w:cstheme="minorHAnsi"/>
          <w:sz w:val="28"/>
          <w:szCs w:val="28"/>
        </w:rPr>
        <w:t>A.</w:t>
      </w:r>
      <w:r w:rsidR="004D21C9" w:rsidRPr="00B9626B">
        <w:rPr>
          <w:rFonts w:asciiTheme="majorHAnsi" w:hAnsiTheme="majorHAnsi" w:cstheme="minorHAnsi"/>
          <w:sz w:val="28"/>
          <w:szCs w:val="28"/>
        </w:rPr>
        <w:t>9</w:t>
      </w:r>
      <w:r w:rsidR="00C27B56" w:rsidRPr="00B9626B">
        <w:rPr>
          <w:rFonts w:asciiTheme="majorHAnsi" w:hAnsiTheme="majorHAnsi" w:cstheme="minorHAnsi"/>
          <w:sz w:val="28"/>
          <w:szCs w:val="28"/>
        </w:rPr>
        <w:t>. Explanation</w:t>
      </w:r>
      <w:r w:rsidR="00B45002" w:rsidRPr="00B9626B">
        <w:rPr>
          <w:rFonts w:asciiTheme="majorHAnsi" w:hAnsiTheme="majorHAnsi" w:cstheme="minorHAnsi"/>
          <w:sz w:val="28"/>
          <w:szCs w:val="28"/>
        </w:rPr>
        <w:t xml:space="preserve"> of Any Payment or Gift to Respondents</w:t>
      </w:r>
      <w:bookmarkEnd w:id="21"/>
    </w:p>
    <w:p w:rsidR="00853264" w:rsidRPr="00B9626B" w:rsidRDefault="00853264" w:rsidP="00853264">
      <w:pPr>
        <w:rPr>
          <w:rFonts w:asciiTheme="majorHAnsi" w:hAnsiTheme="majorHAnsi" w:cstheme="minorHAnsi"/>
          <w:color w:val="000000" w:themeColor="text1"/>
          <w:sz w:val="22"/>
          <w:szCs w:val="22"/>
        </w:rPr>
      </w:pPr>
    </w:p>
    <w:p w:rsidR="00853264" w:rsidRPr="00B9626B" w:rsidRDefault="00D103F3" w:rsidP="00853264">
      <w:pPr>
        <w:rPr>
          <w:rFonts w:asciiTheme="majorHAnsi" w:hAnsiTheme="majorHAnsi" w:cstheme="minorHAnsi"/>
          <w:color w:val="000000" w:themeColor="text1"/>
          <w:sz w:val="24"/>
          <w:szCs w:val="24"/>
        </w:rPr>
      </w:pPr>
      <w:r>
        <w:rPr>
          <w:rFonts w:asciiTheme="majorHAnsi" w:hAnsiTheme="majorHAnsi" w:cstheme="minorHAnsi"/>
          <w:color w:val="000000" w:themeColor="text1"/>
          <w:sz w:val="24"/>
          <w:szCs w:val="24"/>
        </w:rPr>
        <w:t>ATSDR</w:t>
      </w:r>
      <w:r w:rsidR="009C14EB" w:rsidRPr="00B9626B">
        <w:rPr>
          <w:rFonts w:asciiTheme="majorHAnsi" w:hAnsiTheme="majorHAnsi" w:cstheme="minorHAnsi"/>
          <w:color w:val="000000" w:themeColor="text1"/>
          <w:sz w:val="24"/>
          <w:szCs w:val="24"/>
        </w:rPr>
        <w:t xml:space="preserve"> </w:t>
      </w:r>
      <w:r w:rsidR="00853264" w:rsidRPr="00B9626B">
        <w:rPr>
          <w:rFonts w:asciiTheme="majorHAnsi" w:hAnsiTheme="majorHAnsi" w:cstheme="minorHAnsi"/>
          <w:color w:val="000000" w:themeColor="text1"/>
          <w:sz w:val="24"/>
          <w:szCs w:val="24"/>
        </w:rPr>
        <w:t xml:space="preserve">is not providing any incentive to certification course participants to respond to </w:t>
      </w:r>
      <w:r w:rsidR="00206E80" w:rsidRPr="00B9626B">
        <w:rPr>
          <w:rFonts w:asciiTheme="majorHAnsi" w:hAnsiTheme="majorHAnsi" w:cstheme="minorHAnsi"/>
          <w:color w:val="000000" w:themeColor="text1"/>
          <w:sz w:val="24"/>
          <w:szCs w:val="24"/>
        </w:rPr>
        <w:t xml:space="preserve">the </w:t>
      </w:r>
      <w:r w:rsidR="0046387A" w:rsidRPr="00B9626B">
        <w:rPr>
          <w:rFonts w:asciiTheme="majorHAnsi" w:hAnsiTheme="majorHAnsi" w:cstheme="minorHAnsi"/>
          <w:color w:val="000000" w:themeColor="text1"/>
          <w:sz w:val="24"/>
          <w:szCs w:val="24"/>
        </w:rPr>
        <w:t xml:space="preserve">one-time (e.g., at </w:t>
      </w:r>
      <w:r w:rsidR="00872AAB" w:rsidRPr="00B9626B">
        <w:rPr>
          <w:rFonts w:asciiTheme="majorHAnsi" w:hAnsiTheme="majorHAnsi" w:cstheme="minorHAnsi"/>
          <w:color w:val="000000" w:themeColor="text1"/>
          <w:sz w:val="24"/>
          <w:szCs w:val="24"/>
        </w:rPr>
        <w:t>six-month</w:t>
      </w:r>
      <w:r w:rsidR="0046387A" w:rsidRPr="00B9626B">
        <w:rPr>
          <w:rFonts w:asciiTheme="majorHAnsi" w:hAnsiTheme="majorHAnsi" w:cstheme="minorHAnsi"/>
          <w:color w:val="000000" w:themeColor="text1"/>
          <w:sz w:val="24"/>
          <w:szCs w:val="24"/>
        </w:rPr>
        <w:t>s</w:t>
      </w:r>
      <w:r w:rsidR="00196DD3">
        <w:rPr>
          <w:rFonts w:asciiTheme="majorHAnsi" w:hAnsiTheme="majorHAnsi" w:cstheme="minorHAnsi"/>
          <w:color w:val="000000" w:themeColor="text1"/>
          <w:sz w:val="24"/>
          <w:szCs w:val="24"/>
        </w:rPr>
        <w:t xml:space="preserve"> to 12 months</w:t>
      </w:r>
      <w:r w:rsidR="0046387A" w:rsidRPr="00B9626B">
        <w:rPr>
          <w:rFonts w:asciiTheme="majorHAnsi" w:hAnsiTheme="majorHAnsi" w:cstheme="minorHAnsi"/>
          <w:color w:val="000000" w:themeColor="text1"/>
          <w:sz w:val="24"/>
          <w:szCs w:val="24"/>
        </w:rPr>
        <w:t>)</w:t>
      </w:r>
      <w:r w:rsidR="00206E80" w:rsidRPr="00B9626B">
        <w:rPr>
          <w:rFonts w:asciiTheme="majorHAnsi" w:hAnsiTheme="majorHAnsi" w:cstheme="minorHAnsi"/>
          <w:color w:val="000000" w:themeColor="text1"/>
          <w:sz w:val="24"/>
          <w:szCs w:val="24"/>
        </w:rPr>
        <w:t xml:space="preserve"> </w:t>
      </w:r>
      <w:r w:rsidR="009C14EB" w:rsidRPr="00B9626B">
        <w:rPr>
          <w:rFonts w:asciiTheme="majorHAnsi" w:hAnsiTheme="majorHAnsi" w:cstheme="minorHAnsi"/>
          <w:color w:val="000000" w:themeColor="text1"/>
          <w:sz w:val="24"/>
          <w:szCs w:val="24"/>
        </w:rPr>
        <w:t xml:space="preserve">follow up </w:t>
      </w:r>
      <w:r w:rsidR="00853264" w:rsidRPr="00B9626B">
        <w:rPr>
          <w:rFonts w:asciiTheme="majorHAnsi" w:hAnsiTheme="majorHAnsi" w:cstheme="minorHAnsi"/>
          <w:color w:val="000000" w:themeColor="text1"/>
          <w:sz w:val="24"/>
          <w:szCs w:val="24"/>
        </w:rPr>
        <w:t>survey.</w:t>
      </w:r>
      <w:r w:rsidR="006F4A1F">
        <w:rPr>
          <w:rFonts w:asciiTheme="majorHAnsi" w:hAnsiTheme="majorHAnsi" w:cstheme="minorHAnsi"/>
          <w:color w:val="000000" w:themeColor="text1"/>
          <w:sz w:val="24"/>
          <w:szCs w:val="24"/>
        </w:rPr>
        <w:t xml:space="preserve"> </w:t>
      </w:r>
      <w:r w:rsidR="006F4A1F" w:rsidRPr="00B9626B">
        <w:rPr>
          <w:rFonts w:asciiTheme="majorHAnsi" w:hAnsiTheme="majorHAnsi" w:cstheme="minorHAnsi"/>
          <w:color w:val="000000" w:themeColor="text1"/>
          <w:sz w:val="24"/>
          <w:szCs w:val="24"/>
        </w:rPr>
        <w:t xml:space="preserve">Participants who complete the certification will earn credit (e.g., continuing education hours). </w:t>
      </w:r>
      <w:r w:rsidR="00853264" w:rsidRPr="00B9626B">
        <w:rPr>
          <w:rFonts w:asciiTheme="majorHAnsi" w:hAnsiTheme="majorHAnsi" w:cstheme="minorHAnsi"/>
          <w:color w:val="000000" w:themeColor="text1"/>
          <w:sz w:val="24"/>
          <w:szCs w:val="24"/>
        </w:rPr>
        <w:t xml:space="preserve"> </w:t>
      </w:r>
      <w:r w:rsidR="00206E80" w:rsidRPr="00B9626B">
        <w:rPr>
          <w:rFonts w:asciiTheme="majorHAnsi" w:hAnsiTheme="majorHAnsi" w:cstheme="minorHAnsi"/>
          <w:color w:val="000000" w:themeColor="text1"/>
          <w:sz w:val="24"/>
          <w:szCs w:val="24"/>
        </w:rPr>
        <w:t>Particip</w:t>
      </w:r>
      <w:r w:rsidR="00F1675F" w:rsidRPr="00B9626B">
        <w:rPr>
          <w:rFonts w:asciiTheme="majorHAnsi" w:hAnsiTheme="majorHAnsi" w:cstheme="minorHAnsi"/>
          <w:color w:val="000000" w:themeColor="text1"/>
          <w:sz w:val="24"/>
          <w:szCs w:val="24"/>
        </w:rPr>
        <w:t>ant</w:t>
      </w:r>
      <w:r w:rsidR="00853264" w:rsidRPr="00B9626B">
        <w:rPr>
          <w:rFonts w:asciiTheme="majorHAnsi" w:hAnsiTheme="majorHAnsi" w:cstheme="minorHAnsi"/>
          <w:color w:val="000000" w:themeColor="text1"/>
          <w:sz w:val="24"/>
          <w:szCs w:val="24"/>
        </w:rPr>
        <w:t xml:space="preserve"> response</w:t>
      </w:r>
      <w:r w:rsidR="0042293F" w:rsidRPr="00B9626B">
        <w:rPr>
          <w:rFonts w:asciiTheme="majorHAnsi" w:hAnsiTheme="majorHAnsi" w:cstheme="minorHAnsi"/>
          <w:color w:val="000000" w:themeColor="text1"/>
          <w:sz w:val="24"/>
          <w:szCs w:val="24"/>
        </w:rPr>
        <w:t xml:space="preserve"> to the feedback survey </w:t>
      </w:r>
      <w:r w:rsidR="00853264" w:rsidRPr="00B9626B">
        <w:rPr>
          <w:rFonts w:asciiTheme="majorHAnsi" w:hAnsiTheme="majorHAnsi" w:cstheme="minorHAnsi"/>
          <w:color w:val="000000" w:themeColor="text1"/>
          <w:sz w:val="24"/>
          <w:szCs w:val="24"/>
        </w:rPr>
        <w:t>is optional.</w:t>
      </w:r>
    </w:p>
    <w:p w:rsidR="00B45002" w:rsidRPr="00B9626B" w:rsidRDefault="00601F1A" w:rsidP="00601F1A">
      <w:pPr>
        <w:pStyle w:val="Heading1"/>
        <w:rPr>
          <w:rFonts w:asciiTheme="majorHAnsi" w:hAnsiTheme="majorHAnsi" w:cstheme="minorHAnsi"/>
          <w:sz w:val="28"/>
          <w:szCs w:val="28"/>
        </w:rPr>
      </w:pPr>
      <w:bookmarkStart w:id="22" w:name="_Toc601057"/>
      <w:r w:rsidRPr="00B9626B">
        <w:rPr>
          <w:rFonts w:asciiTheme="majorHAnsi" w:hAnsiTheme="majorHAnsi" w:cstheme="minorHAnsi"/>
          <w:sz w:val="28"/>
          <w:szCs w:val="28"/>
        </w:rPr>
        <w:t>A.</w:t>
      </w:r>
      <w:r w:rsidR="004D21C9" w:rsidRPr="00B9626B">
        <w:rPr>
          <w:rFonts w:asciiTheme="majorHAnsi" w:hAnsiTheme="majorHAnsi" w:cstheme="minorHAnsi"/>
          <w:sz w:val="28"/>
          <w:szCs w:val="28"/>
        </w:rPr>
        <w:t>10</w:t>
      </w:r>
      <w:r w:rsidR="00C27B56" w:rsidRPr="00B9626B">
        <w:rPr>
          <w:rFonts w:asciiTheme="majorHAnsi" w:hAnsiTheme="majorHAnsi" w:cstheme="minorHAnsi"/>
          <w:sz w:val="28"/>
          <w:szCs w:val="28"/>
        </w:rPr>
        <w:t>. Protection</w:t>
      </w:r>
      <w:r w:rsidR="00B45002" w:rsidRPr="00B9626B">
        <w:rPr>
          <w:rFonts w:asciiTheme="majorHAnsi" w:hAnsiTheme="majorHAnsi" w:cstheme="minorHAnsi"/>
          <w:sz w:val="28"/>
          <w:szCs w:val="28"/>
        </w:rPr>
        <w:t xml:space="preserve"> of the Privacy and Confidentiality of Information Provided by Respondents</w:t>
      </w:r>
      <w:bookmarkEnd w:id="22"/>
    </w:p>
    <w:p w:rsidR="00CF7455" w:rsidRDefault="00CF7455" w:rsidP="00CF7455">
      <w:pPr>
        <w:autoSpaceDE w:val="0"/>
        <w:autoSpaceDN w:val="0"/>
        <w:adjustRightInd w:val="0"/>
        <w:spacing w:line="240" w:lineRule="auto"/>
        <w:rPr>
          <w:rFonts w:asciiTheme="majorHAnsi" w:hAnsiTheme="majorHAnsi" w:cstheme="minorHAnsi"/>
          <w:color w:val="000000" w:themeColor="text1"/>
          <w:sz w:val="22"/>
          <w:szCs w:val="22"/>
          <w:u w:val="single"/>
        </w:rPr>
      </w:pPr>
    </w:p>
    <w:p w:rsidR="006B2362" w:rsidRDefault="006C1A3C" w:rsidP="00E260AB">
      <w:pPr>
        <w:rPr>
          <w:rFonts w:asciiTheme="majorHAnsi" w:hAnsiTheme="majorHAnsi" w:cstheme="minorHAnsi"/>
          <w:color w:val="000000" w:themeColor="text1"/>
          <w:sz w:val="24"/>
          <w:szCs w:val="24"/>
        </w:rPr>
      </w:pPr>
      <w:r>
        <w:rPr>
          <w:rFonts w:asciiTheme="majorHAnsi" w:hAnsiTheme="majorHAnsi" w:cstheme="minorHAnsi"/>
          <w:color w:val="000000" w:themeColor="text1"/>
          <w:sz w:val="24"/>
          <w:szCs w:val="24"/>
        </w:rPr>
        <w:t xml:space="preserve">PII is collected for this ICR, but </w:t>
      </w:r>
      <w:r w:rsidR="0038668B" w:rsidRPr="007873F5">
        <w:rPr>
          <w:rFonts w:asciiTheme="majorHAnsi" w:hAnsiTheme="majorHAnsi" w:cstheme="minorHAnsi"/>
          <w:color w:val="000000" w:themeColor="text1"/>
          <w:sz w:val="24"/>
          <w:szCs w:val="24"/>
        </w:rPr>
        <w:t>ATSDR will not directly collect</w:t>
      </w:r>
      <w:r w:rsidR="00BA30A5">
        <w:rPr>
          <w:rFonts w:asciiTheme="majorHAnsi" w:hAnsiTheme="majorHAnsi" w:cstheme="minorHAnsi"/>
          <w:color w:val="000000" w:themeColor="text1"/>
          <w:sz w:val="24"/>
          <w:szCs w:val="24"/>
        </w:rPr>
        <w:t xml:space="preserve"> or retrieve</w:t>
      </w:r>
      <w:r w:rsidR="0038668B" w:rsidRPr="007873F5">
        <w:rPr>
          <w:rFonts w:asciiTheme="majorHAnsi" w:hAnsiTheme="majorHAnsi" w:cstheme="minorHAnsi"/>
          <w:color w:val="000000" w:themeColor="text1"/>
          <w:sz w:val="24"/>
          <w:szCs w:val="24"/>
        </w:rPr>
        <w:t xml:space="preserve"> </w:t>
      </w:r>
      <w:r w:rsidR="0038668B">
        <w:rPr>
          <w:rFonts w:asciiTheme="majorHAnsi" w:hAnsiTheme="majorHAnsi" w:cstheme="minorHAnsi"/>
          <w:color w:val="000000" w:themeColor="text1"/>
          <w:sz w:val="24"/>
          <w:szCs w:val="24"/>
        </w:rPr>
        <w:t>data</w:t>
      </w:r>
      <w:r w:rsidR="004824EF">
        <w:rPr>
          <w:rFonts w:asciiTheme="majorHAnsi" w:hAnsiTheme="majorHAnsi" w:cstheme="minorHAnsi"/>
          <w:color w:val="000000" w:themeColor="text1"/>
          <w:sz w:val="24"/>
          <w:szCs w:val="24"/>
        </w:rPr>
        <w:t xml:space="preserve"> by PII</w:t>
      </w:r>
      <w:r>
        <w:rPr>
          <w:rFonts w:asciiTheme="majorHAnsi" w:hAnsiTheme="majorHAnsi" w:cstheme="minorHAnsi"/>
          <w:color w:val="000000" w:themeColor="text1"/>
          <w:sz w:val="24"/>
          <w:szCs w:val="24"/>
        </w:rPr>
        <w:t>. T</w:t>
      </w:r>
      <w:r w:rsidR="006B2362">
        <w:rPr>
          <w:rFonts w:asciiTheme="majorHAnsi" w:hAnsiTheme="majorHAnsi" w:cstheme="minorHAnsi"/>
          <w:color w:val="000000" w:themeColor="text1"/>
          <w:sz w:val="24"/>
          <w:szCs w:val="24"/>
        </w:rPr>
        <w:t>herefore, t</w:t>
      </w:r>
      <w:r w:rsidR="006B2362" w:rsidRPr="006B2362">
        <w:rPr>
          <w:rFonts w:asciiTheme="majorHAnsi" w:hAnsiTheme="majorHAnsi" w:cstheme="minorHAnsi"/>
          <w:color w:val="000000" w:themeColor="text1"/>
          <w:sz w:val="24"/>
          <w:szCs w:val="24"/>
        </w:rPr>
        <w:t xml:space="preserve">he Privacy Act is </w:t>
      </w:r>
      <w:r w:rsidR="006B2362">
        <w:rPr>
          <w:rFonts w:asciiTheme="majorHAnsi" w:hAnsiTheme="majorHAnsi" w:cstheme="minorHAnsi"/>
          <w:color w:val="000000" w:themeColor="text1"/>
          <w:sz w:val="24"/>
          <w:szCs w:val="24"/>
        </w:rPr>
        <w:t xml:space="preserve">not </w:t>
      </w:r>
      <w:r w:rsidR="006B2362" w:rsidRPr="006B2362">
        <w:rPr>
          <w:rFonts w:asciiTheme="majorHAnsi" w:hAnsiTheme="majorHAnsi" w:cstheme="minorHAnsi"/>
          <w:color w:val="000000" w:themeColor="text1"/>
          <w:sz w:val="24"/>
          <w:szCs w:val="24"/>
        </w:rPr>
        <w:t>applicable. The CDC/ATSDR Privacy Officer</w:t>
      </w:r>
      <w:r w:rsidR="00A8604B">
        <w:rPr>
          <w:rFonts w:asciiTheme="majorHAnsi" w:hAnsiTheme="majorHAnsi" w:cstheme="minorHAnsi"/>
          <w:color w:val="000000" w:themeColor="text1"/>
          <w:sz w:val="24"/>
          <w:szCs w:val="24"/>
        </w:rPr>
        <w:t xml:space="preserve"> has reviewed and approved submission</w:t>
      </w:r>
      <w:r w:rsidR="006B2362" w:rsidRPr="006B2362">
        <w:rPr>
          <w:rFonts w:asciiTheme="majorHAnsi" w:hAnsiTheme="majorHAnsi" w:cstheme="minorHAnsi"/>
          <w:color w:val="000000" w:themeColor="text1"/>
          <w:sz w:val="24"/>
          <w:szCs w:val="24"/>
        </w:rPr>
        <w:t xml:space="preserve"> </w:t>
      </w:r>
      <w:r w:rsidR="00DD43BD">
        <w:rPr>
          <w:rFonts w:asciiTheme="majorHAnsi" w:hAnsiTheme="majorHAnsi" w:cstheme="minorHAnsi"/>
          <w:color w:val="000000" w:themeColor="text1"/>
          <w:sz w:val="24"/>
          <w:szCs w:val="24"/>
        </w:rPr>
        <w:t>(Attachment 6)</w:t>
      </w:r>
      <w:r w:rsidR="006B2362" w:rsidRPr="006B2362">
        <w:rPr>
          <w:rFonts w:asciiTheme="majorHAnsi" w:hAnsiTheme="majorHAnsi" w:cstheme="minorHAnsi"/>
          <w:color w:val="000000" w:themeColor="text1"/>
          <w:sz w:val="24"/>
          <w:szCs w:val="24"/>
        </w:rPr>
        <w:t>.</w:t>
      </w:r>
    </w:p>
    <w:p w:rsidR="007C0E28" w:rsidRDefault="007C0E28" w:rsidP="00E260AB">
      <w:pPr>
        <w:rPr>
          <w:rFonts w:asciiTheme="majorHAnsi" w:eastAsia="Calibri" w:hAnsiTheme="majorHAnsi" w:cs="Times New Roman"/>
          <w:sz w:val="24"/>
          <w:szCs w:val="24"/>
        </w:rPr>
      </w:pPr>
      <w:r w:rsidRPr="007C0E28">
        <w:rPr>
          <w:rFonts w:asciiTheme="majorHAnsi" w:eastAsia="Calibri" w:hAnsiTheme="majorHAnsi" w:cs="Times New Roman"/>
          <w:sz w:val="24"/>
          <w:szCs w:val="24"/>
        </w:rPr>
        <w:t>This ICR will use two systems for its data needs: TCEO</w:t>
      </w:r>
      <w:r w:rsidR="005E3E1F">
        <w:rPr>
          <w:rFonts w:asciiTheme="majorHAnsi" w:eastAsia="Calibri" w:hAnsiTheme="majorHAnsi" w:cs="Times New Roman"/>
          <w:sz w:val="24"/>
          <w:szCs w:val="24"/>
        </w:rPr>
        <w:t xml:space="preserve"> </w:t>
      </w:r>
      <w:r w:rsidRPr="007C0E28">
        <w:rPr>
          <w:rFonts w:asciiTheme="majorHAnsi" w:eastAsia="Calibri" w:hAnsiTheme="majorHAnsi" w:cs="Times New Roman"/>
          <w:sz w:val="24"/>
          <w:szCs w:val="24"/>
        </w:rPr>
        <w:t>will be used to collect participant registration data and REDCap to obtain feedback data.</w:t>
      </w:r>
    </w:p>
    <w:p w:rsidR="003821DB" w:rsidRDefault="003821DB" w:rsidP="00E260AB">
      <w:pPr>
        <w:rPr>
          <w:rFonts w:asciiTheme="majorHAnsi" w:hAnsiTheme="majorHAnsi"/>
          <w:color w:val="000000"/>
          <w:sz w:val="23"/>
          <w:szCs w:val="23"/>
          <w:shd w:val="clear" w:color="auto" w:fill="FFFFFF"/>
        </w:rPr>
      </w:pPr>
      <w:r w:rsidRPr="009664A9">
        <w:rPr>
          <w:rFonts w:asciiTheme="majorHAnsi" w:eastAsia="Calibri" w:hAnsiTheme="majorHAnsi" w:cs="Times New Roman"/>
          <w:sz w:val="24"/>
          <w:szCs w:val="24"/>
        </w:rPr>
        <w:t>TCEO</w:t>
      </w:r>
      <w:r w:rsidR="00076C47">
        <w:rPr>
          <w:rFonts w:asciiTheme="majorHAnsi" w:eastAsia="Calibri" w:hAnsiTheme="majorHAnsi" w:cs="Times New Roman"/>
          <w:sz w:val="24"/>
          <w:szCs w:val="24"/>
        </w:rPr>
        <w:t>,</w:t>
      </w:r>
      <w:r w:rsidR="00076C47" w:rsidRPr="009664A9">
        <w:rPr>
          <w:rFonts w:asciiTheme="majorHAnsi" w:eastAsia="Calibri" w:hAnsiTheme="majorHAnsi" w:cs="Times New Roman"/>
          <w:sz w:val="24"/>
          <w:szCs w:val="24"/>
        </w:rPr>
        <w:t xml:space="preserve"> an</w:t>
      </w:r>
      <w:r w:rsidRPr="009664A9">
        <w:rPr>
          <w:rFonts w:asciiTheme="majorHAnsi" w:eastAsia="Calibri" w:hAnsiTheme="majorHAnsi" w:cs="Times New Roman"/>
          <w:sz w:val="24"/>
          <w:szCs w:val="24"/>
        </w:rPr>
        <w:t xml:space="preserve"> authorized</w:t>
      </w:r>
      <w:r w:rsidR="0008315C">
        <w:rPr>
          <w:rFonts w:asciiTheme="majorHAnsi" w:eastAsia="Calibri" w:hAnsiTheme="majorHAnsi" w:cs="Times New Roman"/>
          <w:sz w:val="24"/>
          <w:szCs w:val="24"/>
        </w:rPr>
        <w:t xml:space="preserve"> and cleared</w:t>
      </w:r>
      <w:r w:rsidRPr="009664A9">
        <w:rPr>
          <w:rFonts w:asciiTheme="majorHAnsi" w:eastAsia="Calibri" w:hAnsiTheme="majorHAnsi" w:cs="Times New Roman"/>
          <w:sz w:val="24"/>
          <w:szCs w:val="24"/>
        </w:rPr>
        <w:t xml:space="preserve"> CDC in</w:t>
      </w:r>
      <w:r w:rsidRPr="003821DB">
        <w:rPr>
          <w:rFonts w:asciiTheme="majorHAnsi" w:hAnsiTheme="majorHAnsi"/>
          <w:sz w:val="24"/>
          <w:szCs w:val="24"/>
        </w:rPr>
        <w:t>formation system</w:t>
      </w:r>
      <w:r w:rsidR="000A28C8">
        <w:rPr>
          <w:rFonts w:asciiTheme="majorHAnsi" w:hAnsiTheme="majorHAnsi"/>
          <w:sz w:val="24"/>
          <w:szCs w:val="24"/>
        </w:rPr>
        <w:t xml:space="preserve"> </w:t>
      </w:r>
      <w:r w:rsidR="002E575E">
        <w:rPr>
          <w:rFonts w:asciiTheme="majorHAnsi" w:hAnsiTheme="majorHAnsi"/>
          <w:sz w:val="24"/>
          <w:szCs w:val="24"/>
        </w:rPr>
        <w:t>(OMB</w:t>
      </w:r>
      <w:r w:rsidR="00846396">
        <w:rPr>
          <w:rFonts w:asciiTheme="majorHAnsi" w:hAnsiTheme="majorHAnsi"/>
          <w:sz w:val="24"/>
          <w:szCs w:val="24"/>
        </w:rPr>
        <w:t xml:space="preserve"> Control</w:t>
      </w:r>
      <w:r w:rsidR="002E575E">
        <w:rPr>
          <w:rFonts w:asciiTheme="majorHAnsi" w:hAnsiTheme="majorHAnsi"/>
          <w:sz w:val="24"/>
          <w:szCs w:val="24"/>
        </w:rPr>
        <w:t xml:space="preserve"> No. 0920-0017, exp</w:t>
      </w:r>
      <w:r w:rsidR="002A1ED4">
        <w:rPr>
          <w:rFonts w:asciiTheme="majorHAnsi" w:hAnsiTheme="majorHAnsi"/>
          <w:sz w:val="24"/>
          <w:szCs w:val="24"/>
        </w:rPr>
        <w:t>iration</w:t>
      </w:r>
      <w:r w:rsidR="002E575E">
        <w:rPr>
          <w:rFonts w:asciiTheme="majorHAnsi" w:hAnsiTheme="majorHAnsi"/>
          <w:sz w:val="24"/>
          <w:szCs w:val="24"/>
        </w:rPr>
        <w:t xml:space="preserve"> 6/30/2019)</w:t>
      </w:r>
      <w:r w:rsidR="00097CC1">
        <w:rPr>
          <w:rFonts w:asciiTheme="majorHAnsi" w:hAnsiTheme="majorHAnsi"/>
          <w:sz w:val="24"/>
          <w:szCs w:val="24"/>
        </w:rPr>
        <w:t xml:space="preserve"> will collect participant registration data</w:t>
      </w:r>
      <w:r w:rsidRPr="009664A9">
        <w:rPr>
          <w:rFonts w:asciiTheme="majorHAnsi" w:eastAsia="Calibri" w:hAnsiTheme="majorHAnsi" w:cs="Times New Roman"/>
          <w:sz w:val="24"/>
          <w:szCs w:val="24"/>
        </w:rPr>
        <w:t xml:space="preserve">.  This system will be used to </w:t>
      </w:r>
      <w:r w:rsidR="00E544B7" w:rsidRPr="003821DB">
        <w:rPr>
          <w:rFonts w:asciiTheme="majorHAnsi" w:hAnsiTheme="majorHAnsi" w:cstheme="minorHAnsi"/>
          <w:color w:val="000000" w:themeColor="text1"/>
          <w:sz w:val="24"/>
          <w:szCs w:val="24"/>
        </w:rPr>
        <w:t xml:space="preserve">collect </w:t>
      </w:r>
      <w:r w:rsidR="00DC6B0B" w:rsidRPr="003821DB">
        <w:rPr>
          <w:rFonts w:asciiTheme="majorHAnsi" w:hAnsiTheme="majorHAnsi" w:cstheme="minorHAnsi"/>
          <w:color w:val="000000" w:themeColor="text1"/>
          <w:sz w:val="24"/>
          <w:szCs w:val="24"/>
        </w:rPr>
        <w:t>i</w:t>
      </w:r>
      <w:r w:rsidR="00E544B7" w:rsidRPr="003821DB">
        <w:rPr>
          <w:rFonts w:asciiTheme="majorHAnsi" w:hAnsiTheme="majorHAnsi" w:cstheme="minorHAnsi"/>
          <w:color w:val="000000" w:themeColor="text1"/>
          <w:sz w:val="24"/>
          <w:szCs w:val="24"/>
        </w:rPr>
        <w:t xml:space="preserve">nformation </w:t>
      </w:r>
      <w:r w:rsidR="00DC6B0B" w:rsidRPr="003821DB">
        <w:rPr>
          <w:rFonts w:asciiTheme="majorHAnsi" w:hAnsiTheme="majorHAnsi" w:cstheme="minorHAnsi"/>
          <w:color w:val="000000" w:themeColor="text1"/>
          <w:sz w:val="24"/>
          <w:szCs w:val="24"/>
        </w:rPr>
        <w:t xml:space="preserve">in identifying form (IIF) </w:t>
      </w:r>
      <w:r w:rsidR="00E544B7" w:rsidRPr="003821DB">
        <w:rPr>
          <w:rFonts w:asciiTheme="majorHAnsi" w:hAnsiTheme="majorHAnsi" w:cstheme="minorHAnsi"/>
          <w:color w:val="000000" w:themeColor="text1"/>
          <w:sz w:val="24"/>
          <w:szCs w:val="24"/>
        </w:rPr>
        <w:t>such as name, address</w:t>
      </w:r>
      <w:r w:rsidR="001A0F08" w:rsidRPr="003821DB">
        <w:rPr>
          <w:rFonts w:asciiTheme="majorHAnsi" w:hAnsiTheme="majorHAnsi" w:cstheme="minorHAnsi"/>
          <w:color w:val="000000" w:themeColor="text1"/>
          <w:sz w:val="24"/>
          <w:szCs w:val="24"/>
        </w:rPr>
        <w:t>, email</w:t>
      </w:r>
      <w:r w:rsidR="00F951FF" w:rsidRPr="003821DB">
        <w:rPr>
          <w:rFonts w:asciiTheme="majorHAnsi" w:hAnsiTheme="majorHAnsi" w:cstheme="minorHAnsi"/>
          <w:color w:val="000000" w:themeColor="text1"/>
          <w:sz w:val="24"/>
          <w:szCs w:val="24"/>
        </w:rPr>
        <w:t>, phone number</w:t>
      </w:r>
      <w:r w:rsidR="00F951FF" w:rsidRPr="007873F5">
        <w:rPr>
          <w:rFonts w:asciiTheme="majorHAnsi" w:hAnsiTheme="majorHAnsi" w:cstheme="minorHAnsi"/>
          <w:color w:val="000000" w:themeColor="text1"/>
          <w:sz w:val="24"/>
          <w:szCs w:val="24"/>
        </w:rPr>
        <w:t xml:space="preserve"> and </w:t>
      </w:r>
      <w:r w:rsidR="001A0F08" w:rsidRPr="007873F5">
        <w:rPr>
          <w:rFonts w:asciiTheme="majorHAnsi" w:hAnsiTheme="majorHAnsi" w:cstheme="minorHAnsi"/>
          <w:color w:val="000000" w:themeColor="text1"/>
          <w:sz w:val="24"/>
          <w:szCs w:val="24"/>
        </w:rPr>
        <w:t>zip code</w:t>
      </w:r>
      <w:r w:rsidR="00E84CD4">
        <w:rPr>
          <w:rFonts w:asciiTheme="majorHAnsi" w:hAnsiTheme="majorHAnsi" w:cstheme="minorHAnsi"/>
          <w:color w:val="000000" w:themeColor="text1"/>
          <w:sz w:val="24"/>
          <w:szCs w:val="24"/>
        </w:rPr>
        <w:t xml:space="preserve"> to complete participant registration</w:t>
      </w:r>
      <w:r w:rsidR="00E544B7" w:rsidRPr="007873F5">
        <w:rPr>
          <w:rFonts w:asciiTheme="majorHAnsi" w:hAnsiTheme="majorHAnsi" w:cstheme="minorHAnsi"/>
          <w:color w:val="000000" w:themeColor="text1"/>
          <w:sz w:val="24"/>
          <w:szCs w:val="24"/>
        </w:rPr>
        <w:t xml:space="preserve">. </w:t>
      </w:r>
      <w:r w:rsidR="00C11421">
        <w:rPr>
          <w:rFonts w:asciiTheme="majorHAnsi" w:hAnsiTheme="majorHAnsi" w:cstheme="minorHAnsi"/>
          <w:color w:val="000000" w:themeColor="text1"/>
          <w:sz w:val="24"/>
          <w:szCs w:val="24"/>
        </w:rPr>
        <w:t>ATSDR</w:t>
      </w:r>
      <w:r w:rsidR="00C11421" w:rsidRPr="007873F5">
        <w:rPr>
          <w:rFonts w:asciiTheme="majorHAnsi" w:hAnsiTheme="majorHAnsi" w:cstheme="minorHAnsi"/>
          <w:color w:val="000000" w:themeColor="text1"/>
          <w:sz w:val="24"/>
          <w:szCs w:val="24"/>
        </w:rPr>
        <w:t xml:space="preserve"> </w:t>
      </w:r>
      <w:r w:rsidR="00B944A9" w:rsidRPr="007873F5">
        <w:rPr>
          <w:rFonts w:asciiTheme="majorHAnsi" w:hAnsiTheme="majorHAnsi" w:cstheme="minorHAnsi"/>
          <w:color w:val="000000" w:themeColor="text1"/>
          <w:sz w:val="24"/>
          <w:szCs w:val="24"/>
        </w:rPr>
        <w:t xml:space="preserve">will </w:t>
      </w:r>
      <w:r w:rsidR="004B7EFD">
        <w:rPr>
          <w:rFonts w:asciiTheme="majorHAnsi" w:hAnsiTheme="majorHAnsi" w:cstheme="minorHAnsi"/>
          <w:color w:val="000000" w:themeColor="text1"/>
          <w:sz w:val="24"/>
          <w:szCs w:val="24"/>
        </w:rPr>
        <w:t xml:space="preserve">ask TCEO to provide participant </w:t>
      </w:r>
      <w:r w:rsidR="001A40DB">
        <w:rPr>
          <w:rFonts w:asciiTheme="majorHAnsi" w:hAnsiTheme="majorHAnsi" w:cstheme="minorHAnsi"/>
          <w:color w:val="000000" w:themeColor="text1"/>
          <w:sz w:val="24"/>
          <w:szCs w:val="24"/>
        </w:rPr>
        <w:t xml:space="preserve">names and </w:t>
      </w:r>
      <w:r w:rsidR="004B7EFD">
        <w:rPr>
          <w:rFonts w:asciiTheme="majorHAnsi" w:hAnsiTheme="majorHAnsi" w:cstheme="minorHAnsi"/>
          <w:color w:val="000000" w:themeColor="text1"/>
          <w:sz w:val="24"/>
          <w:szCs w:val="24"/>
        </w:rPr>
        <w:t xml:space="preserve">emails from their registration </w:t>
      </w:r>
      <w:r w:rsidR="00B944A9" w:rsidRPr="007873F5">
        <w:rPr>
          <w:rFonts w:asciiTheme="majorHAnsi" w:hAnsiTheme="majorHAnsi" w:cstheme="minorHAnsi"/>
          <w:color w:val="000000" w:themeColor="text1"/>
          <w:sz w:val="24"/>
          <w:szCs w:val="24"/>
        </w:rPr>
        <w:t xml:space="preserve">process </w:t>
      </w:r>
      <w:r w:rsidR="00C11421">
        <w:rPr>
          <w:rFonts w:asciiTheme="majorHAnsi" w:hAnsiTheme="majorHAnsi" w:cstheme="minorHAnsi"/>
          <w:color w:val="000000" w:themeColor="text1"/>
          <w:sz w:val="24"/>
          <w:szCs w:val="24"/>
        </w:rPr>
        <w:t>to</w:t>
      </w:r>
      <w:r w:rsidR="00C11421" w:rsidRPr="007873F5">
        <w:rPr>
          <w:rFonts w:asciiTheme="majorHAnsi" w:hAnsiTheme="majorHAnsi" w:cstheme="minorHAnsi"/>
          <w:color w:val="000000" w:themeColor="text1"/>
          <w:sz w:val="24"/>
          <w:szCs w:val="24"/>
        </w:rPr>
        <w:t xml:space="preserve"> </w:t>
      </w:r>
      <w:r w:rsidR="00B944A9" w:rsidRPr="007873F5">
        <w:rPr>
          <w:rFonts w:asciiTheme="majorHAnsi" w:hAnsiTheme="majorHAnsi" w:cstheme="minorHAnsi"/>
          <w:color w:val="000000" w:themeColor="text1"/>
          <w:sz w:val="24"/>
          <w:szCs w:val="24"/>
        </w:rPr>
        <w:t>conduct a one-time</w:t>
      </w:r>
      <w:r w:rsidR="00C11421">
        <w:rPr>
          <w:rFonts w:asciiTheme="majorHAnsi" w:hAnsiTheme="majorHAnsi" w:cstheme="minorHAnsi"/>
          <w:color w:val="000000" w:themeColor="text1"/>
          <w:sz w:val="24"/>
          <w:szCs w:val="24"/>
        </w:rPr>
        <w:t>, voluntary,</w:t>
      </w:r>
      <w:r w:rsidR="00B944A9" w:rsidRPr="007873F5">
        <w:rPr>
          <w:rFonts w:asciiTheme="majorHAnsi" w:hAnsiTheme="majorHAnsi" w:cstheme="minorHAnsi"/>
          <w:color w:val="000000" w:themeColor="text1"/>
          <w:sz w:val="24"/>
          <w:szCs w:val="24"/>
        </w:rPr>
        <w:t xml:space="preserve"> follow up</w:t>
      </w:r>
      <w:r w:rsidR="005E3E1F">
        <w:rPr>
          <w:rFonts w:asciiTheme="majorHAnsi" w:hAnsiTheme="majorHAnsi" w:cstheme="minorHAnsi"/>
          <w:color w:val="000000" w:themeColor="text1"/>
          <w:sz w:val="24"/>
          <w:szCs w:val="24"/>
        </w:rPr>
        <w:t xml:space="preserve"> survey</w:t>
      </w:r>
      <w:r w:rsidR="00DA15F6">
        <w:rPr>
          <w:rFonts w:asciiTheme="majorHAnsi" w:hAnsiTheme="majorHAnsi" w:cstheme="minorHAnsi"/>
          <w:color w:val="000000" w:themeColor="text1"/>
          <w:sz w:val="24"/>
          <w:szCs w:val="24"/>
        </w:rPr>
        <w:t xml:space="preserve"> </w:t>
      </w:r>
      <w:r w:rsidR="00DA15F6" w:rsidRPr="007873F5">
        <w:rPr>
          <w:rFonts w:asciiTheme="majorHAnsi" w:hAnsiTheme="majorHAnsi" w:cstheme="minorHAnsi"/>
          <w:color w:val="000000" w:themeColor="text1"/>
          <w:sz w:val="24"/>
          <w:szCs w:val="24"/>
        </w:rPr>
        <w:t>(see Attachment</w:t>
      </w:r>
      <w:r w:rsidR="00DA15F6">
        <w:rPr>
          <w:rFonts w:asciiTheme="majorHAnsi" w:hAnsiTheme="majorHAnsi" w:cstheme="minorHAnsi"/>
          <w:color w:val="000000" w:themeColor="text1"/>
          <w:sz w:val="24"/>
          <w:szCs w:val="24"/>
        </w:rPr>
        <w:t xml:space="preserve">s </w:t>
      </w:r>
      <w:r w:rsidR="001A40DB">
        <w:rPr>
          <w:rFonts w:asciiTheme="majorHAnsi" w:hAnsiTheme="majorHAnsi" w:cstheme="minorHAnsi"/>
          <w:color w:val="000000" w:themeColor="text1"/>
          <w:sz w:val="24"/>
          <w:szCs w:val="24"/>
        </w:rPr>
        <w:t>4</w:t>
      </w:r>
      <w:r w:rsidR="00DA15F6">
        <w:rPr>
          <w:rFonts w:asciiTheme="majorHAnsi" w:hAnsiTheme="majorHAnsi" w:cstheme="minorHAnsi"/>
          <w:color w:val="000000" w:themeColor="text1"/>
          <w:sz w:val="24"/>
          <w:szCs w:val="24"/>
        </w:rPr>
        <w:t xml:space="preserve">a and </w:t>
      </w:r>
      <w:r w:rsidR="001A40DB">
        <w:rPr>
          <w:rFonts w:asciiTheme="majorHAnsi" w:hAnsiTheme="majorHAnsi" w:cstheme="minorHAnsi"/>
          <w:color w:val="000000" w:themeColor="text1"/>
          <w:sz w:val="24"/>
          <w:szCs w:val="24"/>
        </w:rPr>
        <w:t>4</w:t>
      </w:r>
      <w:r w:rsidR="00DA15F6">
        <w:rPr>
          <w:rFonts w:asciiTheme="majorHAnsi" w:hAnsiTheme="majorHAnsi" w:cstheme="minorHAnsi"/>
          <w:color w:val="000000" w:themeColor="text1"/>
          <w:sz w:val="24"/>
          <w:szCs w:val="24"/>
        </w:rPr>
        <w:t>b</w:t>
      </w:r>
      <w:r w:rsidR="00DA15F6" w:rsidRPr="007873F5">
        <w:rPr>
          <w:rFonts w:asciiTheme="majorHAnsi" w:hAnsiTheme="majorHAnsi" w:cstheme="minorHAnsi"/>
          <w:color w:val="000000" w:themeColor="text1"/>
          <w:sz w:val="24"/>
          <w:szCs w:val="24"/>
        </w:rPr>
        <w:t>)</w:t>
      </w:r>
      <w:r w:rsidR="00B944A9" w:rsidRPr="007873F5">
        <w:rPr>
          <w:rFonts w:asciiTheme="majorHAnsi" w:hAnsiTheme="majorHAnsi" w:cstheme="minorHAnsi"/>
          <w:color w:val="000000" w:themeColor="text1"/>
          <w:sz w:val="24"/>
          <w:szCs w:val="24"/>
        </w:rPr>
        <w:t>. The individual participants in the certificat</w:t>
      </w:r>
      <w:r>
        <w:rPr>
          <w:rFonts w:asciiTheme="majorHAnsi" w:hAnsiTheme="majorHAnsi" w:cstheme="minorHAnsi"/>
          <w:color w:val="000000" w:themeColor="text1"/>
          <w:sz w:val="24"/>
          <w:szCs w:val="24"/>
        </w:rPr>
        <w:t>e</w:t>
      </w:r>
      <w:r w:rsidR="00B944A9" w:rsidRPr="007873F5">
        <w:rPr>
          <w:rFonts w:asciiTheme="majorHAnsi" w:hAnsiTheme="majorHAnsi" w:cstheme="minorHAnsi"/>
          <w:color w:val="000000" w:themeColor="text1"/>
          <w:sz w:val="24"/>
          <w:szCs w:val="24"/>
        </w:rPr>
        <w:t xml:space="preserve"> course will be supplementing their work activities, so the actual participation is business versus voluntary or personal</w:t>
      </w:r>
      <w:r w:rsidR="00E260AB" w:rsidRPr="009664A9">
        <w:rPr>
          <w:rFonts w:asciiTheme="majorHAnsi" w:hAnsiTheme="majorHAnsi"/>
          <w:color w:val="000000"/>
          <w:sz w:val="23"/>
          <w:szCs w:val="23"/>
          <w:shd w:val="clear" w:color="auto" w:fill="FFFFFF"/>
        </w:rPr>
        <w:t xml:space="preserve">. </w:t>
      </w:r>
    </w:p>
    <w:p w:rsidR="00CE214E" w:rsidRDefault="00CE214E" w:rsidP="009F518A">
      <w:pPr>
        <w:rPr>
          <w:rFonts w:asciiTheme="majorHAnsi" w:hAnsiTheme="majorHAnsi"/>
          <w:color w:val="000000"/>
          <w:sz w:val="23"/>
          <w:szCs w:val="23"/>
          <w:shd w:val="clear" w:color="auto" w:fill="FFFFFF"/>
        </w:rPr>
      </w:pPr>
      <w:r w:rsidRPr="00CE214E">
        <w:rPr>
          <w:rFonts w:asciiTheme="majorHAnsi" w:hAnsiTheme="majorHAnsi"/>
          <w:color w:val="000000"/>
          <w:sz w:val="23"/>
          <w:szCs w:val="23"/>
          <w:shd w:val="clear" w:color="auto" w:fill="FFFFFF"/>
        </w:rPr>
        <w:t xml:space="preserve">To ensure informed consent, individuals who agree to complete the </w:t>
      </w:r>
      <w:r w:rsidR="009F518A">
        <w:rPr>
          <w:rFonts w:asciiTheme="majorHAnsi" w:hAnsiTheme="majorHAnsi"/>
          <w:color w:val="000000"/>
          <w:sz w:val="23"/>
          <w:szCs w:val="23"/>
          <w:shd w:val="clear" w:color="auto" w:fill="FFFFFF"/>
        </w:rPr>
        <w:t xml:space="preserve">voluntary </w:t>
      </w:r>
      <w:r w:rsidRPr="00CE214E">
        <w:rPr>
          <w:rFonts w:asciiTheme="majorHAnsi" w:hAnsiTheme="majorHAnsi"/>
          <w:color w:val="000000"/>
          <w:sz w:val="23"/>
          <w:szCs w:val="23"/>
          <w:shd w:val="clear" w:color="auto" w:fill="FFFFFF"/>
        </w:rPr>
        <w:t>survey will be provided an email invitation to the survey that contains this statement, “Your participation in this survey is voluntary.</w:t>
      </w:r>
      <w:r w:rsidR="009F518A">
        <w:rPr>
          <w:rFonts w:asciiTheme="majorHAnsi" w:hAnsiTheme="majorHAnsi"/>
          <w:color w:val="000000"/>
          <w:sz w:val="23"/>
          <w:szCs w:val="23"/>
          <w:shd w:val="clear" w:color="auto" w:fill="FFFFFF"/>
        </w:rPr>
        <w:t xml:space="preserve"> </w:t>
      </w:r>
      <w:r w:rsidR="009F518A" w:rsidRPr="00002515">
        <w:rPr>
          <w:rFonts w:ascii="Cambria" w:eastAsia="Calibri" w:hAnsi="Cambria" w:cs="Courier New"/>
          <w:sz w:val="24"/>
          <w:szCs w:val="24"/>
        </w:rPr>
        <w:t>Your survey responses will be used only to help us assess the certificate program and its value in your work. Your survey responses may also help us improve the course for future participants. We may aggregate follow up data across participants, but we will</w:t>
      </w:r>
      <w:r w:rsidR="009F518A">
        <w:rPr>
          <w:rFonts w:ascii="Cambria" w:eastAsia="Calibri" w:hAnsi="Cambria" w:cs="Courier New"/>
          <w:sz w:val="24"/>
          <w:szCs w:val="24"/>
        </w:rPr>
        <w:t xml:space="preserve"> </w:t>
      </w:r>
      <w:r w:rsidRPr="00CE214E">
        <w:rPr>
          <w:rFonts w:asciiTheme="majorHAnsi" w:hAnsiTheme="majorHAnsi"/>
          <w:color w:val="000000"/>
          <w:sz w:val="23"/>
          <w:szCs w:val="23"/>
          <w:shd w:val="clear" w:color="auto" w:fill="FFFFFF"/>
        </w:rPr>
        <w:t>not share or release your personally identifiable information, such as your name, address, or email”.</w:t>
      </w:r>
    </w:p>
    <w:p w:rsidR="00CE214E" w:rsidRDefault="00CE214E" w:rsidP="00CE214E">
      <w:pPr>
        <w:rPr>
          <w:rFonts w:asciiTheme="majorHAnsi" w:hAnsiTheme="majorHAnsi"/>
          <w:color w:val="000000"/>
          <w:sz w:val="23"/>
          <w:szCs w:val="23"/>
          <w:shd w:val="clear" w:color="auto" w:fill="FFFFFF"/>
        </w:rPr>
      </w:pPr>
      <w:r w:rsidRPr="00CE214E">
        <w:rPr>
          <w:rFonts w:asciiTheme="majorHAnsi" w:hAnsiTheme="majorHAnsi"/>
          <w:color w:val="000000"/>
          <w:sz w:val="23"/>
          <w:szCs w:val="23"/>
          <w:shd w:val="clear" w:color="auto" w:fill="FFFFFF"/>
        </w:rPr>
        <w:t>A waiver of documentation of informed consent under 45 C</w:t>
      </w:r>
      <w:r w:rsidR="0057025D">
        <w:rPr>
          <w:rFonts w:asciiTheme="majorHAnsi" w:hAnsiTheme="majorHAnsi"/>
          <w:color w:val="000000"/>
          <w:sz w:val="23"/>
          <w:szCs w:val="23"/>
          <w:shd w:val="clear" w:color="auto" w:fill="FFFFFF"/>
        </w:rPr>
        <w:t xml:space="preserve">FR 46.117 has been approved by the CDC </w:t>
      </w:r>
      <w:r w:rsidRPr="00CE214E">
        <w:rPr>
          <w:rFonts w:asciiTheme="majorHAnsi" w:hAnsiTheme="majorHAnsi"/>
          <w:color w:val="000000"/>
          <w:sz w:val="23"/>
          <w:szCs w:val="23"/>
          <w:shd w:val="clear" w:color="auto" w:fill="FFFFFF"/>
        </w:rPr>
        <w:t xml:space="preserve">IRB. The research presents no more than minimal risk of harm to subjects and involves no procedures for which written consent is normally required outside the research context. </w:t>
      </w:r>
    </w:p>
    <w:p w:rsidR="000B4969" w:rsidRPr="00C21633" w:rsidRDefault="000B4969" w:rsidP="00C21633">
      <w:pPr>
        <w:rPr>
          <w:rFonts w:asciiTheme="majorHAnsi" w:hAnsiTheme="majorHAnsi" w:cstheme="minorHAnsi"/>
          <w:sz w:val="23"/>
          <w:szCs w:val="23"/>
        </w:rPr>
      </w:pPr>
      <w:r w:rsidRPr="002E6317">
        <w:rPr>
          <w:rFonts w:asciiTheme="majorHAnsi" w:hAnsiTheme="majorHAnsi" w:cstheme="minorHAnsi"/>
          <w:color w:val="000000" w:themeColor="text1"/>
          <w:sz w:val="24"/>
          <w:szCs w:val="24"/>
        </w:rPr>
        <w:t>ATSDR</w:t>
      </w:r>
      <w:r w:rsidRPr="00C21633">
        <w:rPr>
          <w:rFonts w:asciiTheme="majorHAnsi" w:hAnsiTheme="majorHAnsi" w:cstheme="minorHAnsi"/>
          <w:color w:val="000000" w:themeColor="text1"/>
          <w:sz w:val="23"/>
          <w:szCs w:val="23"/>
        </w:rPr>
        <w:t xml:space="preserve"> will host the certificate training materials</w:t>
      </w:r>
      <w:r w:rsidR="00195583" w:rsidRPr="00C21633">
        <w:rPr>
          <w:rFonts w:asciiTheme="majorHAnsi" w:hAnsiTheme="majorHAnsi" w:cstheme="minorHAnsi"/>
          <w:color w:val="000000" w:themeColor="text1"/>
          <w:sz w:val="23"/>
          <w:szCs w:val="23"/>
        </w:rPr>
        <w:t xml:space="preserve"> </w:t>
      </w:r>
      <w:r w:rsidRPr="00C21633">
        <w:rPr>
          <w:rFonts w:asciiTheme="majorHAnsi" w:hAnsiTheme="majorHAnsi" w:cstheme="minorHAnsi"/>
          <w:color w:val="000000" w:themeColor="text1"/>
          <w:sz w:val="23"/>
          <w:szCs w:val="23"/>
        </w:rPr>
        <w:t>in the Web Content Management System (WCMS)</w:t>
      </w:r>
      <w:r w:rsidR="00195583" w:rsidRPr="00C21633">
        <w:rPr>
          <w:rFonts w:asciiTheme="majorHAnsi" w:hAnsiTheme="majorHAnsi" w:cstheme="minorHAnsi"/>
          <w:color w:val="000000" w:themeColor="text1"/>
          <w:sz w:val="23"/>
          <w:szCs w:val="23"/>
        </w:rPr>
        <w:t xml:space="preserve">. </w:t>
      </w:r>
      <w:r w:rsidRPr="00C21633">
        <w:rPr>
          <w:rFonts w:asciiTheme="majorHAnsi" w:hAnsiTheme="majorHAnsi" w:cstheme="minorHAnsi"/>
          <w:color w:val="000000" w:themeColor="text1"/>
          <w:sz w:val="23"/>
          <w:szCs w:val="23"/>
        </w:rPr>
        <w:t xml:space="preserve">The </w:t>
      </w:r>
      <w:r w:rsidRPr="00C21633">
        <w:rPr>
          <w:rFonts w:asciiTheme="majorHAnsi" w:hAnsiTheme="majorHAnsi" w:cstheme="minorHAnsi"/>
          <w:sz w:val="23"/>
          <w:szCs w:val="23"/>
        </w:rPr>
        <w:t xml:space="preserve">WCMS is an authorized CDC information system.  It has an authority to operate through 1/17/2020.    </w:t>
      </w:r>
    </w:p>
    <w:p w:rsidR="000B4969" w:rsidRPr="00C21633" w:rsidRDefault="000B4969" w:rsidP="000B4969">
      <w:pPr>
        <w:pStyle w:val="PlainText"/>
        <w:rPr>
          <w:rFonts w:asciiTheme="majorHAnsi" w:hAnsiTheme="majorHAnsi"/>
          <w:sz w:val="22"/>
          <w:szCs w:val="22"/>
        </w:rPr>
      </w:pPr>
    </w:p>
    <w:p w:rsidR="0029038E" w:rsidRPr="00996B33" w:rsidRDefault="000B4969" w:rsidP="00996B33">
      <w:pPr>
        <w:rPr>
          <w:rFonts w:asciiTheme="majorHAnsi" w:hAnsiTheme="majorHAnsi"/>
          <w:sz w:val="24"/>
          <w:szCs w:val="24"/>
        </w:rPr>
      </w:pPr>
      <w:r w:rsidRPr="00996B33">
        <w:rPr>
          <w:rFonts w:asciiTheme="majorHAnsi" w:hAnsiTheme="majorHAnsi"/>
          <w:sz w:val="24"/>
          <w:szCs w:val="24"/>
        </w:rPr>
        <w:t>To protect the personally identifiable information of the participants, ATSDR’s Land Reuse Team will store information in a secure computer system drive</w:t>
      </w:r>
      <w:r w:rsidR="003B6E11">
        <w:rPr>
          <w:rFonts w:asciiTheme="majorHAnsi" w:hAnsiTheme="majorHAnsi"/>
          <w:sz w:val="24"/>
          <w:szCs w:val="24"/>
        </w:rPr>
        <w:t xml:space="preserve"> </w:t>
      </w:r>
      <w:r w:rsidRPr="00996B33">
        <w:rPr>
          <w:rFonts w:asciiTheme="majorHAnsi" w:hAnsiTheme="majorHAnsi"/>
          <w:sz w:val="24"/>
          <w:szCs w:val="24"/>
        </w:rPr>
        <w:t xml:space="preserve">with protected access. </w:t>
      </w:r>
      <w:r w:rsidR="00195583" w:rsidRPr="00996B33">
        <w:rPr>
          <w:rFonts w:asciiTheme="majorHAnsi" w:hAnsiTheme="majorHAnsi"/>
          <w:sz w:val="24"/>
          <w:szCs w:val="24"/>
        </w:rPr>
        <w:t xml:space="preserve">The Land Reuse Team </w:t>
      </w:r>
      <w:r w:rsidR="009F518A">
        <w:rPr>
          <w:rFonts w:asciiTheme="majorHAnsi" w:hAnsiTheme="majorHAnsi"/>
          <w:sz w:val="24"/>
          <w:szCs w:val="24"/>
        </w:rPr>
        <w:t>(</w:t>
      </w:r>
      <w:r w:rsidR="0080612E" w:rsidRPr="00996B33">
        <w:rPr>
          <w:rFonts w:asciiTheme="majorHAnsi" w:hAnsiTheme="majorHAnsi"/>
          <w:sz w:val="24"/>
          <w:szCs w:val="24"/>
        </w:rPr>
        <w:t>or team lead</w:t>
      </w:r>
      <w:r w:rsidR="009F518A">
        <w:rPr>
          <w:rFonts w:asciiTheme="majorHAnsi" w:hAnsiTheme="majorHAnsi"/>
          <w:sz w:val="24"/>
          <w:szCs w:val="24"/>
        </w:rPr>
        <w:t>)</w:t>
      </w:r>
      <w:r w:rsidR="0080612E" w:rsidRPr="00996B33">
        <w:rPr>
          <w:rFonts w:asciiTheme="majorHAnsi" w:hAnsiTheme="majorHAnsi"/>
          <w:sz w:val="24"/>
          <w:szCs w:val="24"/>
        </w:rPr>
        <w:t xml:space="preserve"> </w:t>
      </w:r>
      <w:r w:rsidR="00195583" w:rsidRPr="00996B33">
        <w:rPr>
          <w:rFonts w:asciiTheme="majorHAnsi" w:hAnsiTheme="majorHAnsi"/>
          <w:sz w:val="24"/>
          <w:szCs w:val="24"/>
        </w:rPr>
        <w:t>will use their email (</w:t>
      </w:r>
      <w:hyperlink r:id="rId11" w:history="1">
        <w:r w:rsidR="00195583" w:rsidRPr="00996B33">
          <w:rPr>
            <w:rFonts w:asciiTheme="majorHAnsi" w:hAnsiTheme="majorHAnsi"/>
            <w:sz w:val="24"/>
            <w:szCs w:val="24"/>
          </w:rPr>
          <w:t>atsdr.landreuse@cdc.gov</w:t>
        </w:r>
      </w:hyperlink>
      <w:r w:rsidR="00195583" w:rsidRPr="00996B33">
        <w:rPr>
          <w:rFonts w:asciiTheme="majorHAnsi" w:hAnsiTheme="majorHAnsi"/>
          <w:sz w:val="24"/>
          <w:szCs w:val="24"/>
        </w:rPr>
        <w:t>)</w:t>
      </w:r>
      <w:r w:rsidR="00744ED3">
        <w:rPr>
          <w:rFonts w:asciiTheme="majorHAnsi" w:hAnsiTheme="majorHAnsi"/>
          <w:sz w:val="24"/>
          <w:szCs w:val="24"/>
        </w:rPr>
        <w:t xml:space="preserve"> </w:t>
      </w:r>
      <w:r w:rsidR="00195583" w:rsidRPr="00996B33">
        <w:rPr>
          <w:rFonts w:asciiTheme="majorHAnsi" w:hAnsiTheme="majorHAnsi"/>
          <w:sz w:val="24"/>
          <w:szCs w:val="24"/>
        </w:rPr>
        <w:t xml:space="preserve">to </w:t>
      </w:r>
      <w:r w:rsidR="0080612E" w:rsidRPr="00996B33">
        <w:rPr>
          <w:rFonts w:asciiTheme="majorHAnsi" w:hAnsiTheme="majorHAnsi"/>
          <w:sz w:val="24"/>
          <w:szCs w:val="24"/>
        </w:rPr>
        <w:t>send</w:t>
      </w:r>
      <w:r w:rsidR="00195583" w:rsidRPr="00996B33">
        <w:rPr>
          <w:rFonts w:asciiTheme="majorHAnsi" w:hAnsiTheme="majorHAnsi"/>
          <w:sz w:val="24"/>
          <w:szCs w:val="24"/>
        </w:rPr>
        <w:t xml:space="preserve"> opt-in requests for th</w:t>
      </w:r>
      <w:r w:rsidR="003B6E11">
        <w:rPr>
          <w:rFonts w:asciiTheme="majorHAnsi" w:hAnsiTheme="majorHAnsi"/>
          <w:sz w:val="24"/>
          <w:szCs w:val="24"/>
        </w:rPr>
        <w:t>e link to the secure</w:t>
      </w:r>
      <w:r w:rsidR="00195583" w:rsidRPr="00996B33">
        <w:rPr>
          <w:rFonts w:asciiTheme="majorHAnsi" w:hAnsiTheme="majorHAnsi"/>
          <w:sz w:val="24"/>
          <w:szCs w:val="24"/>
        </w:rPr>
        <w:t xml:space="preserve"> survey</w:t>
      </w:r>
      <w:r w:rsidR="003B6E11">
        <w:rPr>
          <w:rFonts w:asciiTheme="majorHAnsi" w:hAnsiTheme="majorHAnsi"/>
          <w:sz w:val="24"/>
          <w:szCs w:val="24"/>
        </w:rPr>
        <w:t>.</w:t>
      </w:r>
      <w:r w:rsidR="006C3F73">
        <w:rPr>
          <w:rFonts w:asciiTheme="majorHAnsi" w:hAnsiTheme="majorHAnsi"/>
          <w:sz w:val="24"/>
          <w:szCs w:val="24"/>
        </w:rPr>
        <w:t xml:space="preserve"> </w:t>
      </w:r>
      <w:r w:rsidR="00195583" w:rsidRPr="00996B33">
        <w:rPr>
          <w:rFonts w:asciiTheme="majorHAnsi" w:hAnsiTheme="majorHAnsi"/>
          <w:sz w:val="24"/>
          <w:szCs w:val="24"/>
        </w:rPr>
        <w:t>RE</w:t>
      </w:r>
      <w:r w:rsidR="001A40DB" w:rsidRPr="00996B33">
        <w:rPr>
          <w:rFonts w:asciiTheme="majorHAnsi" w:hAnsiTheme="majorHAnsi"/>
          <w:sz w:val="24"/>
          <w:szCs w:val="24"/>
        </w:rPr>
        <w:t>D</w:t>
      </w:r>
      <w:r w:rsidR="006D7D77" w:rsidRPr="00996B33">
        <w:rPr>
          <w:rFonts w:asciiTheme="majorHAnsi" w:hAnsiTheme="majorHAnsi"/>
          <w:sz w:val="24"/>
          <w:szCs w:val="24"/>
        </w:rPr>
        <w:t>C</w:t>
      </w:r>
      <w:r w:rsidR="001A40DB" w:rsidRPr="00996B33">
        <w:rPr>
          <w:rFonts w:asciiTheme="majorHAnsi" w:hAnsiTheme="majorHAnsi"/>
          <w:sz w:val="24"/>
          <w:szCs w:val="24"/>
        </w:rPr>
        <w:t>ap</w:t>
      </w:r>
      <w:r w:rsidR="00AA2816">
        <w:rPr>
          <w:rFonts w:asciiTheme="majorHAnsi" w:hAnsiTheme="majorHAnsi"/>
          <w:sz w:val="24"/>
          <w:szCs w:val="24"/>
        </w:rPr>
        <w:t xml:space="preserve"> will </w:t>
      </w:r>
      <w:r w:rsidR="00195583" w:rsidRPr="00996B33">
        <w:rPr>
          <w:rFonts w:asciiTheme="majorHAnsi" w:hAnsiTheme="majorHAnsi"/>
          <w:sz w:val="24"/>
          <w:szCs w:val="24"/>
        </w:rPr>
        <w:t xml:space="preserve">store </w:t>
      </w:r>
      <w:r w:rsidR="00AA2816">
        <w:rPr>
          <w:rFonts w:asciiTheme="majorHAnsi" w:hAnsiTheme="majorHAnsi"/>
          <w:sz w:val="24"/>
          <w:szCs w:val="24"/>
        </w:rPr>
        <w:t>the</w:t>
      </w:r>
      <w:r w:rsidR="003B6E11">
        <w:rPr>
          <w:rFonts w:asciiTheme="majorHAnsi" w:hAnsiTheme="majorHAnsi"/>
          <w:sz w:val="24"/>
          <w:szCs w:val="24"/>
        </w:rPr>
        <w:t xml:space="preserve"> survey</w:t>
      </w:r>
      <w:r w:rsidR="00AA2816">
        <w:rPr>
          <w:rFonts w:asciiTheme="majorHAnsi" w:hAnsiTheme="majorHAnsi"/>
          <w:sz w:val="24"/>
          <w:szCs w:val="24"/>
        </w:rPr>
        <w:t xml:space="preserve"> information</w:t>
      </w:r>
      <w:r w:rsidR="003B6E11">
        <w:rPr>
          <w:rFonts w:asciiTheme="majorHAnsi" w:hAnsiTheme="majorHAnsi"/>
          <w:sz w:val="24"/>
          <w:szCs w:val="24"/>
        </w:rPr>
        <w:t xml:space="preserve"> in the secure drive, which</w:t>
      </w:r>
      <w:r w:rsidR="00AA2816">
        <w:rPr>
          <w:rFonts w:asciiTheme="majorHAnsi" w:hAnsiTheme="majorHAnsi"/>
          <w:sz w:val="24"/>
          <w:szCs w:val="24"/>
        </w:rPr>
        <w:t xml:space="preserve"> will be </w:t>
      </w:r>
      <w:r w:rsidR="00195583" w:rsidRPr="00996B33">
        <w:rPr>
          <w:rFonts w:asciiTheme="majorHAnsi" w:hAnsiTheme="majorHAnsi"/>
          <w:sz w:val="24"/>
          <w:szCs w:val="24"/>
        </w:rPr>
        <w:t>removed by the Land Reuse Team from the secure drive after three years.</w:t>
      </w:r>
      <w:r w:rsidR="0029038E" w:rsidRPr="00996B33">
        <w:rPr>
          <w:rFonts w:asciiTheme="majorHAnsi" w:hAnsiTheme="majorHAnsi"/>
          <w:sz w:val="24"/>
          <w:szCs w:val="24"/>
        </w:rPr>
        <w:t xml:space="preserve"> NOTE: REDCap is a secure web application [https://www.project-redcap.org/] for building and managing online surveys and databases. While REDCap can be used to collect virtually any type of data (including 21 CFR Part 11, FISMA, and HIPAA-compliant environments), it </w:t>
      </w:r>
      <w:r w:rsidR="00203388" w:rsidRPr="00996B33">
        <w:rPr>
          <w:rFonts w:asciiTheme="majorHAnsi" w:hAnsiTheme="majorHAnsi"/>
          <w:sz w:val="24"/>
          <w:szCs w:val="24"/>
        </w:rPr>
        <w:t>is specifically</w:t>
      </w:r>
      <w:r w:rsidR="0029038E" w:rsidRPr="00996B33">
        <w:rPr>
          <w:rFonts w:asciiTheme="majorHAnsi" w:hAnsiTheme="majorHAnsi"/>
          <w:sz w:val="24"/>
          <w:szCs w:val="24"/>
        </w:rPr>
        <w:t xml:space="preserve"> geared to support online or offline data capture for research studies and operations. The REDCap Consortium, a vast support network of collaborators, is composed of thousands of active institutional partners in over one hundred countries who utilize and support REDCap in various ways.</w:t>
      </w:r>
    </w:p>
    <w:p w:rsidR="0029038E" w:rsidRDefault="0029038E" w:rsidP="009664A9">
      <w:pPr>
        <w:pStyle w:val="PlainText"/>
        <w:rPr>
          <w:rFonts w:asciiTheme="majorHAnsi" w:hAnsiTheme="majorHAnsi" w:cstheme="minorHAnsi"/>
          <w:color w:val="000000" w:themeColor="text1"/>
          <w:sz w:val="24"/>
          <w:szCs w:val="24"/>
        </w:rPr>
      </w:pPr>
    </w:p>
    <w:p w:rsidR="00B45002" w:rsidRPr="00B9626B" w:rsidRDefault="00601F1A" w:rsidP="00052532">
      <w:pPr>
        <w:rPr>
          <w:rFonts w:asciiTheme="majorHAnsi" w:hAnsiTheme="majorHAnsi" w:cstheme="minorHAnsi"/>
          <w:sz w:val="28"/>
          <w:szCs w:val="28"/>
        </w:rPr>
      </w:pPr>
      <w:r w:rsidRPr="00B9626B">
        <w:rPr>
          <w:rFonts w:asciiTheme="majorHAnsi" w:hAnsiTheme="majorHAnsi" w:cstheme="minorHAnsi"/>
          <w:sz w:val="28"/>
          <w:szCs w:val="28"/>
        </w:rPr>
        <w:t>A.</w:t>
      </w:r>
      <w:r w:rsidR="004D21C9" w:rsidRPr="00B9626B">
        <w:rPr>
          <w:rFonts w:asciiTheme="majorHAnsi" w:hAnsiTheme="majorHAnsi" w:cstheme="minorHAnsi"/>
          <w:sz w:val="28"/>
          <w:szCs w:val="28"/>
        </w:rPr>
        <w:t>11</w:t>
      </w:r>
      <w:r w:rsidR="00981462" w:rsidRPr="00B9626B">
        <w:rPr>
          <w:rFonts w:asciiTheme="majorHAnsi" w:hAnsiTheme="majorHAnsi" w:cstheme="minorHAnsi"/>
          <w:sz w:val="28"/>
          <w:szCs w:val="28"/>
        </w:rPr>
        <w:t>. Institutional</w:t>
      </w:r>
      <w:r w:rsidR="00B45002" w:rsidRPr="00B9626B">
        <w:rPr>
          <w:rFonts w:asciiTheme="majorHAnsi" w:hAnsiTheme="majorHAnsi" w:cstheme="minorHAnsi"/>
          <w:sz w:val="28"/>
          <w:szCs w:val="28"/>
        </w:rPr>
        <w:t xml:space="preserve"> Review Board (IRB) and Justification for Sensitive Questions</w:t>
      </w:r>
    </w:p>
    <w:p w:rsidR="006811E5" w:rsidRDefault="0042293F" w:rsidP="00AE07E0">
      <w:pPr>
        <w:rPr>
          <w:rFonts w:asciiTheme="majorHAnsi" w:hAnsiTheme="majorHAnsi"/>
          <w:sz w:val="24"/>
          <w:szCs w:val="24"/>
        </w:rPr>
      </w:pPr>
      <w:r w:rsidRPr="00AE07E0">
        <w:rPr>
          <w:rFonts w:asciiTheme="majorHAnsi" w:hAnsiTheme="majorHAnsi"/>
          <w:sz w:val="24"/>
          <w:szCs w:val="24"/>
        </w:rPr>
        <w:t>The project, entitled “</w:t>
      </w:r>
      <w:r w:rsidR="003B6E11">
        <w:rPr>
          <w:rFonts w:asciiTheme="majorHAnsi" w:hAnsiTheme="majorHAnsi"/>
          <w:sz w:val="24"/>
          <w:szCs w:val="24"/>
        </w:rPr>
        <w:t xml:space="preserve">Assessment of </w:t>
      </w:r>
      <w:r w:rsidRPr="00AE07E0">
        <w:rPr>
          <w:rFonts w:asciiTheme="majorHAnsi" w:hAnsiTheme="majorHAnsi"/>
          <w:sz w:val="24"/>
          <w:szCs w:val="24"/>
        </w:rPr>
        <w:t>Environmental Health and Land Reuse</w:t>
      </w:r>
      <w:r w:rsidR="0080612E">
        <w:rPr>
          <w:rFonts w:asciiTheme="majorHAnsi" w:hAnsiTheme="majorHAnsi"/>
          <w:sz w:val="24"/>
          <w:szCs w:val="24"/>
        </w:rPr>
        <w:t xml:space="preserve"> </w:t>
      </w:r>
      <w:r w:rsidR="003B6E11">
        <w:rPr>
          <w:rFonts w:asciiTheme="majorHAnsi" w:hAnsiTheme="majorHAnsi"/>
          <w:sz w:val="24"/>
          <w:szCs w:val="24"/>
        </w:rPr>
        <w:t>Training</w:t>
      </w:r>
      <w:r w:rsidR="001554AA">
        <w:rPr>
          <w:rFonts w:asciiTheme="majorHAnsi" w:hAnsiTheme="majorHAnsi"/>
          <w:sz w:val="24"/>
          <w:szCs w:val="24"/>
        </w:rPr>
        <w:t>”</w:t>
      </w:r>
      <w:r w:rsidR="007A7FEB">
        <w:rPr>
          <w:rFonts w:asciiTheme="majorHAnsi" w:hAnsiTheme="majorHAnsi"/>
          <w:sz w:val="24"/>
          <w:szCs w:val="24"/>
        </w:rPr>
        <w:t xml:space="preserve"> has been classified</w:t>
      </w:r>
      <w:r w:rsidR="00CF1AE5" w:rsidRPr="00AE07E0">
        <w:rPr>
          <w:rFonts w:asciiTheme="majorHAnsi" w:hAnsiTheme="majorHAnsi"/>
          <w:sz w:val="24"/>
          <w:szCs w:val="24"/>
        </w:rPr>
        <w:t xml:space="preserve"> </w:t>
      </w:r>
      <w:r w:rsidR="005109FF" w:rsidRPr="00AE07E0">
        <w:rPr>
          <w:rFonts w:asciiTheme="majorHAnsi" w:hAnsiTheme="majorHAnsi"/>
          <w:sz w:val="24"/>
          <w:szCs w:val="24"/>
        </w:rPr>
        <w:t>as human</w:t>
      </w:r>
      <w:r w:rsidR="00CF1AE5" w:rsidRPr="00AE07E0">
        <w:rPr>
          <w:rFonts w:asciiTheme="majorHAnsi" w:hAnsiTheme="majorHAnsi"/>
          <w:sz w:val="24"/>
          <w:szCs w:val="24"/>
        </w:rPr>
        <w:t xml:space="preserve"> subjects </w:t>
      </w:r>
      <w:r w:rsidRPr="00AE07E0">
        <w:rPr>
          <w:rFonts w:asciiTheme="majorHAnsi" w:hAnsiTheme="majorHAnsi"/>
          <w:sz w:val="24"/>
          <w:szCs w:val="24"/>
        </w:rPr>
        <w:t>research</w:t>
      </w:r>
      <w:r w:rsidR="00B26BB6">
        <w:rPr>
          <w:rFonts w:asciiTheme="majorHAnsi" w:hAnsiTheme="majorHAnsi"/>
          <w:sz w:val="24"/>
          <w:szCs w:val="24"/>
        </w:rPr>
        <w:t xml:space="preserve"> and CDC is engaged</w:t>
      </w:r>
      <w:r w:rsidR="00F14CD0">
        <w:rPr>
          <w:rFonts w:asciiTheme="majorHAnsi" w:hAnsiTheme="majorHAnsi"/>
          <w:sz w:val="24"/>
          <w:szCs w:val="24"/>
        </w:rPr>
        <w:t>.</w:t>
      </w:r>
      <w:r w:rsidR="00753FB6" w:rsidRPr="00AE07E0">
        <w:rPr>
          <w:rFonts w:asciiTheme="majorHAnsi" w:hAnsiTheme="majorHAnsi"/>
          <w:sz w:val="24"/>
          <w:szCs w:val="24"/>
        </w:rPr>
        <w:t xml:space="preserve"> </w:t>
      </w:r>
      <w:r w:rsidR="005109FF" w:rsidRPr="00AE07E0">
        <w:rPr>
          <w:rFonts w:asciiTheme="majorHAnsi" w:hAnsiTheme="majorHAnsi"/>
          <w:sz w:val="24"/>
          <w:szCs w:val="24"/>
        </w:rPr>
        <w:t xml:space="preserve">The </w:t>
      </w:r>
      <w:r w:rsidR="00B3573B">
        <w:rPr>
          <w:rFonts w:asciiTheme="majorHAnsi" w:hAnsiTheme="majorHAnsi"/>
          <w:sz w:val="24"/>
          <w:szCs w:val="24"/>
        </w:rPr>
        <w:t>CDC IRB</w:t>
      </w:r>
      <w:r w:rsidR="00753FB6" w:rsidRPr="00AE07E0">
        <w:rPr>
          <w:rFonts w:asciiTheme="majorHAnsi" w:hAnsiTheme="majorHAnsi"/>
          <w:sz w:val="24"/>
          <w:szCs w:val="24"/>
        </w:rPr>
        <w:t xml:space="preserve"> </w:t>
      </w:r>
      <w:r w:rsidR="00980278">
        <w:rPr>
          <w:rFonts w:asciiTheme="majorHAnsi" w:hAnsiTheme="majorHAnsi"/>
          <w:sz w:val="24"/>
          <w:szCs w:val="24"/>
        </w:rPr>
        <w:t>approv</w:t>
      </w:r>
      <w:r w:rsidR="00764A0D">
        <w:rPr>
          <w:rFonts w:asciiTheme="majorHAnsi" w:hAnsiTheme="majorHAnsi"/>
          <w:sz w:val="24"/>
          <w:szCs w:val="24"/>
        </w:rPr>
        <w:t>al</w:t>
      </w:r>
      <w:r w:rsidR="00980278">
        <w:rPr>
          <w:rFonts w:asciiTheme="majorHAnsi" w:hAnsiTheme="majorHAnsi"/>
          <w:sz w:val="24"/>
          <w:szCs w:val="24"/>
        </w:rPr>
        <w:t xml:space="preserve"> </w:t>
      </w:r>
      <w:r w:rsidR="00753FB6" w:rsidRPr="00AE07E0">
        <w:rPr>
          <w:rFonts w:asciiTheme="majorHAnsi" w:hAnsiTheme="majorHAnsi"/>
          <w:sz w:val="24"/>
          <w:szCs w:val="24"/>
        </w:rPr>
        <w:t xml:space="preserve">letter is provided in Attachment </w:t>
      </w:r>
      <w:r w:rsidR="0080612E">
        <w:rPr>
          <w:rFonts w:asciiTheme="majorHAnsi" w:hAnsiTheme="majorHAnsi"/>
          <w:sz w:val="24"/>
          <w:szCs w:val="24"/>
        </w:rPr>
        <w:t>5</w:t>
      </w:r>
      <w:r w:rsidR="00753FB6" w:rsidRPr="00AE07E0">
        <w:rPr>
          <w:rFonts w:asciiTheme="majorHAnsi" w:hAnsiTheme="majorHAnsi"/>
          <w:sz w:val="24"/>
          <w:szCs w:val="24"/>
        </w:rPr>
        <w:t>.</w:t>
      </w:r>
    </w:p>
    <w:p w:rsidR="00884C6C" w:rsidRPr="00AE07E0" w:rsidRDefault="00884C6C" w:rsidP="00AE07E0">
      <w:pPr>
        <w:rPr>
          <w:rFonts w:asciiTheme="majorHAnsi" w:hAnsiTheme="majorHAnsi"/>
          <w:sz w:val="24"/>
          <w:szCs w:val="24"/>
        </w:rPr>
      </w:pPr>
      <w:r w:rsidRPr="00AE07E0">
        <w:rPr>
          <w:rFonts w:asciiTheme="majorHAnsi" w:hAnsiTheme="majorHAnsi"/>
          <w:sz w:val="24"/>
          <w:szCs w:val="24"/>
        </w:rPr>
        <w:t xml:space="preserve">In the certification registration </w:t>
      </w:r>
      <w:r w:rsidR="00C11AB4">
        <w:rPr>
          <w:rFonts w:asciiTheme="majorHAnsi" w:hAnsiTheme="majorHAnsi"/>
          <w:sz w:val="24"/>
          <w:szCs w:val="24"/>
        </w:rPr>
        <w:t xml:space="preserve">through TCEO </w:t>
      </w:r>
      <w:r w:rsidRPr="00AE07E0">
        <w:rPr>
          <w:rFonts w:asciiTheme="majorHAnsi" w:hAnsiTheme="majorHAnsi"/>
          <w:sz w:val="24"/>
          <w:szCs w:val="24"/>
        </w:rPr>
        <w:t xml:space="preserve">and </w:t>
      </w:r>
      <w:r w:rsidR="00C11AB4">
        <w:rPr>
          <w:rFonts w:asciiTheme="majorHAnsi" w:hAnsiTheme="majorHAnsi"/>
          <w:sz w:val="24"/>
          <w:szCs w:val="24"/>
        </w:rPr>
        <w:t>ATSDR</w:t>
      </w:r>
      <w:r w:rsidR="003B6E11">
        <w:rPr>
          <w:rFonts w:asciiTheme="majorHAnsi" w:hAnsiTheme="majorHAnsi"/>
          <w:sz w:val="24"/>
          <w:szCs w:val="24"/>
        </w:rPr>
        <w:t>’s</w:t>
      </w:r>
      <w:r w:rsidR="00C11AB4">
        <w:rPr>
          <w:rFonts w:asciiTheme="majorHAnsi" w:hAnsiTheme="majorHAnsi"/>
          <w:sz w:val="24"/>
          <w:szCs w:val="24"/>
        </w:rPr>
        <w:t xml:space="preserve"> </w:t>
      </w:r>
      <w:r w:rsidRPr="00AE07E0">
        <w:rPr>
          <w:rFonts w:asciiTheme="majorHAnsi" w:hAnsiTheme="majorHAnsi"/>
          <w:sz w:val="24"/>
          <w:szCs w:val="24"/>
        </w:rPr>
        <w:t xml:space="preserve">follow up (feedback) process, </w:t>
      </w:r>
      <w:r w:rsidR="006C1999" w:rsidRPr="00AE07E0">
        <w:rPr>
          <w:rFonts w:asciiTheme="majorHAnsi" w:hAnsiTheme="majorHAnsi"/>
          <w:sz w:val="24"/>
          <w:szCs w:val="24"/>
        </w:rPr>
        <w:t>ATSDR</w:t>
      </w:r>
      <w:r w:rsidRPr="00AE07E0">
        <w:rPr>
          <w:rFonts w:asciiTheme="majorHAnsi" w:hAnsiTheme="majorHAnsi"/>
          <w:sz w:val="24"/>
          <w:szCs w:val="24"/>
        </w:rPr>
        <w:t xml:space="preserve"> will not ask any information that is sensitive, such as sexual identification, orientation, preferences or behaviors; social security numbers; medical conditions; or any other information </w:t>
      </w:r>
      <w:r w:rsidR="00085E58" w:rsidRPr="00AE07E0">
        <w:rPr>
          <w:rFonts w:asciiTheme="majorHAnsi" w:hAnsiTheme="majorHAnsi"/>
          <w:sz w:val="24"/>
          <w:szCs w:val="24"/>
        </w:rPr>
        <w:t>that may be regarded as personal or sensitive</w:t>
      </w:r>
      <w:r w:rsidRPr="00AE07E0">
        <w:rPr>
          <w:rFonts w:asciiTheme="majorHAnsi" w:hAnsiTheme="majorHAnsi"/>
          <w:sz w:val="24"/>
          <w:szCs w:val="24"/>
        </w:rPr>
        <w:t>.</w:t>
      </w:r>
    </w:p>
    <w:p w:rsidR="00B45002" w:rsidRPr="00B9626B" w:rsidRDefault="00601F1A" w:rsidP="00601F1A">
      <w:pPr>
        <w:pStyle w:val="Heading1"/>
        <w:rPr>
          <w:rFonts w:asciiTheme="majorHAnsi" w:hAnsiTheme="majorHAnsi" w:cstheme="minorHAnsi"/>
          <w:sz w:val="28"/>
          <w:szCs w:val="28"/>
        </w:rPr>
      </w:pPr>
      <w:bookmarkStart w:id="23" w:name="_Toc601058"/>
      <w:r w:rsidRPr="00B9626B">
        <w:rPr>
          <w:rFonts w:asciiTheme="majorHAnsi" w:hAnsiTheme="majorHAnsi" w:cstheme="minorHAnsi"/>
          <w:sz w:val="28"/>
          <w:szCs w:val="28"/>
        </w:rPr>
        <w:t>A.</w:t>
      </w:r>
      <w:r w:rsidR="004D21C9" w:rsidRPr="00B9626B">
        <w:rPr>
          <w:rFonts w:asciiTheme="majorHAnsi" w:hAnsiTheme="majorHAnsi" w:cstheme="minorHAnsi"/>
          <w:sz w:val="28"/>
          <w:szCs w:val="28"/>
        </w:rPr>
        <w:t>12</w:t>
      </w:r>
      <w:r w:rsidR="0016112E" w:rsidRPr="00B9626B">
        <w:rPr>
          <w:rFonts w:asciiTheme="majorHAnsi" w:hAnsiTheme="majorHAnsi" w:cstheme="minorHAnsi"/>
          <w:sz w:val="28"/>
          <w:szCs w:val="28"/>
        </w:rPr>
        <w:t>. Estimates</w:t>
      </w:r>
      <w:r w:rsidR="00B45002" w:rsidRPr="00B9626B">
        <w:rPr>
          <w:rFonts w:asciiTheme="majorHAnsi" w:hAnsiTheme="majorHAnsi" w:cstheme="minorHAnsi"/>
          <w:sz w:val="28"/>
          <w:szCs w:val="28"/>
        </w:rPr>
        <w:t xml:space="preserve"> of Annualized Burden Hours and Costs</w:t>
      </w:r>
      <w:bookmarkEnd w:id="23"/>
    </w:p>
    <w:p w:rsidR="000618E0" w:rsidRPr="00B9626B" w:rsidRDefault="000618E0" w:rsidP="00631768">
      <w:pPr>
        <w:rPr>
          <w:rFonts w:asciiTheme="majorHAnsi" w:hAnsiTheme="majorHAnsi" w:cstheme="minorHAnsi"/>
          <w:color w:val="000000" w:themeColor="text1"/>
          <w:sz w:val="22"/>
          <w:szCs w:val="22"/>
        </w:rPr>
      </w:pPr>
    </w:p>
    <w:p w:rsidR="009C7D86" w:rsidRPr="00CB7762" w:rsidRDefault="009C7D86" w:rsidP="00B677CF">
      <w:pPr>
        <w:rPr>
          <w:rFonts w:asciiTheme="majorHAnsi" w:hAnsiTheme="majorHAnsi" w:cstheme="minorHAnsi"/>
          <w:color w:val="000000" w:themeColor="text1"/>
          <w:sz w:val="24"/>
          <w:szCs w:val="24"/>
        </w:rPr>
      </w:pPr>
      <w:r w:rsidRPr="00CB7762">
        <w:rPr>
          <w:rFonts w:asciiTheme="majorHAnsi" w:hAnsiTheme="majorHAnsi"/>
          <w:sz w:val="24"/>
          <w:szCs w:val="24"/>
        </w:rPr>
        <w:t>AT</w:t>
      </w:r>
      <w:r w:rsidR="00D159C0" w:rsidRPr="00CB7762">
        <w:rPr>
          <w:rFonts w:asciiTheme="majorHAnsi" w:hAnsiTheme="majorHAnsi"/>
          <w:sz w:val="24"/>
          <w:szCs w:val="24"/>
        </w:rPr>
        <w:t>S</w:t>
      </w:r>
      <w:r w:rsidR="00A8016E" w:rsidRPr="00CB7762">
        <w:rPr>
          <w:rFonts w:asciiTheme="majorHAnsi" w:hAnsiTheme="majorHAnsi"/>
          <w:sz w:val="24"/>
          <w:szCs w:val="24"/>
        </w:rPr>
        <w:t>DR estimates that as many as 20</w:t>
      </w:r>
      <w:r w:rsidR="00D159C0" w:rsidRPr="00CB7762">
        <w:rPr>
          <w:rFonts w:asciiTheme="majorHAnsi" w:hAnsiTheme="majorHAnsi"/>
          <w:sz w:val="24"/>
          <w:szCs w:val="24"/>
        </w:rPr>
        <w:t>0</w:t>
      </w:r>
      <w:r w:rsidRPr="00CB7762">
        <w:rPr>
          <w:rFonts w:asciiTheme="majorHAnsi" w:hAnsiTheme="majorHAnsi"/>
          <w:sz w:val="24"/>
          <w:szCs w:val="24"/>
        </w:rPr>
        <w:t xml:space="preserve"> participants may complete the certificat</w:t>
      </w:r>
      <w:r w:rsidR="000B4969">
        <w:rPr>
          <w:rFonts w:asciiTheme="majorHAnsi" w:hAnsiTheme="majorHAnsi"/>
          <w:sz w:val="24"/>
          <w:szCs w:val="24"/>
        </w:rPr>
        <w:t>e</w:t>
      </w:r>
      <w:r w:rsidRPr="00CB7762">
        <w:rPr>
          <w:rFonts w:asciiTheme="majorHAnsi" w:hAnsiTheme="majorHAnsi"/>
          <w:sz w:val="24"/>
          <w:szCs w:val="24"/>
        </w:rPr>
        <w:t xml:space="preserve"> course in the first year it is available, and it is reasonable to assume up to </w:t>
      </w:r>
      <w:r w:rsidR="00D159C0" w:rsidRPr="00CB7762">
        <w:rPr>
          <w:rFonts w:asciiTheme="majorHAnsi" w:hAnsiTheme="majorHAnsi"/>
          <w:sz w:val="24"/>
          <w:szCs w:val="24"/>
        </w:rPr>
        <w:t>200</w:t>
      </w:r>
      <w:r w:rsidR="00046DBA" w:rsidRPr="00CB7762">
        <w:rPr>
          <w:rFonts w:asciiTheme="majorHAnsi" w:hAnsiTheme="majorHAnsi"/>
          <w:sz w:val="24"/>
          <w:szCs w:val="24"/>
        </w:rPr>
        <w:t xml:space="preserve"> participants</w:t>
      </w:r>
      <w:r w:rsidRPr="00CB7762">
        <w:rPr>
          <w:rFonts w:asciiTheme="majorHAnsi" w:hAnsiTheme="majorHAnsi"/>
          <w:sz w:val="24"/>
          <w:szCs w:val="24"/>
        </w:rPr>
        <w:t xml:space="preserve"> will complete the certification course </w:t>
      </w:r>
      <w:r w:rsidR="00ED4684" w:rsidRPr="00CB7762">
        <w:rPr>
          <w:rFonts w:asciiTheme="majorHAnsi" w:hAnsiTheme="majorHAnsi"/>
          <w:sz w:val="24"/>
          <w:szCs w:val="24"/>
        </w:rPr>
        <w:t xml:space="preserve">annually </w:t>
      </w:r>
      <w:r w:rsidRPr="00CB7762">
        <w:rPr>
          <w:rFonts w:asciiTheme="majorHAnsi" w:hAnsiTheme="majorHAnsi"/>
          <w:sz w:val="24"/>
          <w:szCs w:val="24"/>
        </w:rPr>
        <w:t>in future years</w:t>
      </w:r>
      <w:r w:rsidR="00A8016E" w:rsidRPr="00CB7762">
        <w:rPr>
          <w:rFonts w:asciiTheme="majorHAnsi" w:hAnsiTheme="majorHAnsi"/>
          <w:sz w:val="24"/>
          <w:szCs w:val="24"/>
        </w:rPr>
        <w:t>. The estimate of 20</w:t>
      </w:r>
      <w:r w:rsidR="00D159C0" w:rsidRPr="00CB7762">
        <w:rPr>
          <w:rFonts w:asciiTheme="majorHAnsi" w:hAnsiTheme="majorHAnsi"/>
          <w:sz w:val="24"/>
          <w:szCs w:val="24"/>
        </w:rPr>
        <w:t>0</w:t>
      </w:r>
      <w:r w:rsidR="00017FD6" w:rsidRPr="00CB7762">
        <w:rPr>
          <w:rFonts w:asciiTheme="majorHAnsi" w:hAnsiTheme="majorHAnsi"/>
          <w:sz w:val="24"/>
          <w:szCs w:val="24"/>
        </w:rPr>
        <w:t xml:space="preserve"> participants in the first year</w:t>
      </w:r>
      <w:r w:rsidR="003B6E11">
        <w:rPr>
          <w:rFonts w:asciiTheme="majorHAnsi" w:hAnsiTheme="majorHAnsi"/>
          <w:sz w:val="24"/>
          <w:szCs w:val="24"/>
        </w:rPr>
        <w:t xml:space="preserve"> consists</w:t>
      </w:r>
      <w:r w:rsidR="00A8016E" w:rsidRPr="00CB7762">
        <w:rPr>
          <w:rFonts w:asciiTheme="majorHAnsi" w:hAnsiTheme="majorHAnsi"/>
          <w:sz w:val="24"/>
          <w:szCs w:val="24"/>
        </w:rPr>
        <w:t xml:space="preserve"> </w:t>
      </w:r>
      <w:r w:rsidR="00B84935" w:rsidRPr="00CB7762">
        <w:rPr>
          <w:rFonts w:asciiTheme="majorHAnsi" w:hAnsiTheme="majorHAnsi"/>
          <w:sz w:val="24"/>
          <w:szCs w:val="24"/>
        </w:rPr>
        <w:t xml:space="preserve">of </w:t>
      </w:r>
      <w:r w:rsidR="00A8016E" w:rsidRPr="00CB7762">
        <w:rPr>
          <w:rFonts w:asciiTheme="majorHAnsi" w:hAnsiTheme="majorHAnsi"/>
          <w:sz w:val="24"/>
          <w:szCs w:val="24"/>
        </w:rPr>
        <w:t xml:space="preserve">a broad sector of environmental professionals: </w:t>
      </w:r>
      <w:r w:rsidRPr="00CB7762">
        <w:rPr>
          <w:rFonts w:asciiTheme="majorHAnsi" w:hAnsiTheme="majorHAnsi"/>
          <w:sz w:val="24"/>
          <w:szCs w:val="24"/>
        </w:rPr>
        <w:t xml:space="preserve">participants from ATSDR’s </w:t>
      </w:r>
      <w:r w:rsidR="0000760C" w:rsidRPr="00CB7762">
        <w:rPr>
          <w:rFonts w:asciiTheme="majorHAnsi" w:hAnsiTheme="majorHAnsi"/>
          <w:sz w:val="24"/>
          <w:szCs w:val="24"/>
        </w:rPr>
        <w:t>c</w:t>
      </w:r>
      <w:r w:rsidRPr="00CB7762">
        <w:rPr>
          <w:rFonts w:asciiTheme="majorHAnsi" w:hAnsiTheme="majorHAnsi"/>
          <w:sz w:val="24"/>
          <w:szCs w:val="24"/>
        </w:rPr>
        <w:t xml:space="preserve">ooperative </w:t>
      </w:r>
      <w:r w:rsidR="0000760C" w:rsidRPr="00CB7762">
        <w:rPr>
          <w:rFonts w:asciiTheme="majorHAnsi" w:hAnsiTheme="majorHAnsi"/>
          <w:sz w:val="24"/>
          <w:szCs w:val="24"/>
        </w:rPr>
        <w:t>s</w:t>
      </w:r>
      <w:r w:rsidRPr="00CB7762">
        <w:rPr>
          <w:rFonts w:asciiTheme="majorHAnsi" w:hAnsiTheme="majorHAnsi"/>
          <w:sz w:val="24"/>
          <w:szCs w:val="24"/>
        </w:rPr>
        <w:t xml:space="preserve">tate </w:t>
      </w:r>
      <w:r w:rsidR="0000760C" w:rsidRPr="00CB7762">
        <w:rPr>
          <w:rFonts w:asciiTheme="majorHAnsi" w:hAnsiTheme="majorHAnsi"/>
          <w:sz w:val="24"/>
          <w:szCs w:val="24"/>
        </w:rPr>
        <w:t>h</w:t>
      </w:r>
      <w:r w:rsidRPr="00CB7762">
        <w:rPr>
          <w:rFonts w:asciiTheme="majorHAnsi" w:hAnsiTheme="majorHAnsi"/>
          <w:sz w:val="24"/>
          <w:szCs w:val="24"/>
        </w:rPr>
        <w:t>ealth agency partnership</w:t>
      </w:r>
      <w:r w:rsidR="00ED4684" w:rsidRPr="00CB7762">
        <w:rPr>
          <w:rFonts w:asciiTheme="majorHAnsi" w:hAnsiTheme="majorHAnsi"/>
          <w:sz w:val="24"/>
          <w:szCs w:val="24"/>
        </w:rPr>
        <w:t xml:space="preserve">s, </w:t>
      </w:r>
      <w:r w:rsidRPr="00CB7762">
        <w:rPr>
          <w:rFonts w:asciiTheme="majorHAnsi" w:hAnsiTheme="majorHAnsi"/>
          <w:sz w:val="24"/>
          <w:szCs w:val="24"/>
        </w:rPr>
        <w:t>ATSDR rep</w:t>
      </w:r>
      <w:r w:rsidR="00A8016E" w:rsidRPr="00CB7762">
        <w:rPr>
          <w:rFonts w:asciiTheme="majorHAnsi" w:hAnsiTheme="majorHAnsi"/>
          <w:sz w:val="24"/>
          <w:szCs w:val="24"/>
        </w:rPr>
        <w:t xml:space="preserve">resentatives, </w:t>
      </w:r>
      <w:r w:rsidR="00ED4684" w:rsidRPr="00CB7762">
        <w:rPr>
          <w:rFonts w:asciiTheme="majorHAnsi" w:hAnsiTheme="majorHAnsi"/>
          <w:sz w:val="24"/>
          <w:szCs w:val="24"/>
        </w:rPr>
        <w:t>Brownfields &amp;</w:t>
      </w:r>
      <w:r w:rsidRPr="00CB7762">
        <w:rPr>
          <w:rFonts w:asciiTheme="majorHAnsi" w:hAnsiTheme="majorHAnsi"/>
          <w:sz w:val="24"/>
          <w:szCs w:val="24"/>
        </w:rPr>
        <w:t xml:space="preserve"> Reuse Opportunity Working Network</w:t>
      </w:r>
      <w:r w:rsidR="00017FD6" w:rsidRPr="00CB7762">
        <w:rPr>
          <w:rFonts w:asciiTheme="majorHAnsi" w:hAnsiTheme="majorHAnsi"/>
          <w:sz w:val="24"/>
          <w:szCs w:val="24"/>
        </w:rPr>
        <w:t xml:space="preserve"> members</w:t>
      </w:r>
      <w:r w:rsidRPr="00CB7762">
        <w:rPr>
          <w:rFonts w:asciiTheme="majorHAnsi" w:hAnsiTheme="majorHAnsi"/>
          <w:sz w:val="24"/>
          <w:szCs w:val="24"/>
        </w:rPr>
        <w:t xml:space="preserve"> (a</w:t>
      </w:r>
      <w:r w:rsidR="00017FD6" w:rsidRPr="00CB7762">
        <w:rPr>
          <w:rFonts w:asciiTheme="majorHAnsi" w:hAnsiTheme="majorHAnsi"/>
          <w:sz w:val="24"/>
          <w:szCs w:val="24"/>
        </w:rPr>
        <w:t xml:space="preserve"> federal and external</w:t>
      </w:r>
      <w:r w:rsidR="00D159C0" w:rsidRPr="00CB7762">
        <w:rPr>
          <w:rFonts w:asciiTheme="majorHAnsi" w:hAnsiTheme="majorHAnsi" w:cstheme="minorHAnsi"/>
          <w:color w:val="000000" w:themeColor="text1"/>
          <w:sz w:val="24"/>
          <w:szCs w:val="24"/>
        </w:rPr>
        <w:t xml:space="preserve"> workgroup), NEHA members or other </w:t>
      </w:r>
      <w:r w:rsidRPr="00CB7762">
        <w:rPr>
          <w:rFonts w:asciiTheme="majorHAnsi" w:hAnsiTheme="majorHAnsi" w:cstheme="minorHAnsi"/>
          <w:color w:val="000000" w:themeColor="text1"/>
          <w:sz w:val="24"/>
          <w:szCs w:val="24"/>
        </w:rPr>
        <w:t>environmental professionals</w:t>
      </w:r>
      <w:r w:rsidR="00A8016E" w:rsidRPr="00CB7762">
        <w:rPr>
          <w:rFonts w:asciiTheme="majorHAnsi" w:hAnsiTheme="majorHAnsi" w:cstheme="minorHAnsi"/>
          <w:color w:val="000000" w:themeColor="text1"/>
          <w:sz w:val="24"/>
          <w:szCs w:val="24"/>
        </w:rPr>
        <w:t xml:space="preserve"> (e.g. local health agency employees)</w:t>
      </w:r>
      <w:r w:rsidR="004750F9" w:rsidRPr="00CB7762">
        <w:rPr>
          <w:rFonts w:asciiTheme="majorHAnsi" w:hAnsiTheme="majorHAnsi" w:cstheme="minorHAnsi"/>
          <w:color w:val="000000" w:themeColor="text1"/>
          <w:sz w:val="24"/>
          <w:szCs w:val="24"/>
        </w:rPr>
        <w:t xml:space="preserve">, </w:t>
      </w:r>
      <w:r w:rsidRPr="00CB7762">
        <w:rPr>
          <w:rFonts w:asciiTheme="majorHAnsi" w:hAnsiTheme="majorHAnsi" w:cstheme="minorHAnsi"/>
          <w:color w:val="000000" w:themeColor="text1"/>
          <w:sz w:val="24"/>
          <w:szCs w:val="24"/>
        </w:rPr>
        <w:t xml:space="preserve">and </w:t>
      </w:r>
      <w:r w:rsidR="00D159C0" w:rsidRPr="00CB7762">
        <w:rPr>
          <w:rFonts w:asciiTheme="majorHAnsi" w:hAnsiTheme="majorHAnsi" w:cstheme="minorHAnsi"/>
          <w:color w:val="000000" w:themeColor="text1"/>
          <w:sz w:val="24"/>
          <w:szCs w:val="24"/>
        </w:rPr>
        <w:t xml:space="preserve">graduate </w:t>
      </w:r>
      <w:r w:rsidRPr="00CB7762">
        <w:rPr>
          <w:rFonts w:asciiTheme="majorHAnsi" w:hAnsiTheme="majorHAnsi" w:cstheme="minorHAnsi"/>
          <w:color w:val="000000" w:themeColor="text1"/>
          <w:sz w:val="24"/>
          <w:szCs w:val="24"/>
        </w:rPr>
        <w:t>students in planning</w:t>
      </w:r>
      <w:r w:rsidR="004750F9" w:rsidRPr="00CB7762">
        <w:rPr>
          <w:rFonts w:asciiTheme="majorHAnsi" w:hAnsiTheme="majorHAnsi" w:cstheme="minorHAnsi"/>
          <w:color w:val="000000" w:themeColor="text1"/>
          <w:sz w:val="24"/>
          <w:szCs w:val="24"/>
        </w:rPr>
        <w:t>, environmental,</w:t>
      </w:r>
      <w:r w:rsidRPr="00CB7762">
        <w:rPr>
          <w:rFonts w:asciiTheme="majorHAnsi" w:hAnsiTheme="majorHAnsi" w:cstheme="minorHAnsi"/>
          <w:color w:val="000000" w:themeColor="text1"/>
          <w:sz w:val="24"/>
          <w:szCs w:val="24"/>
        </w:rPr>
        <w:t xml:space="preserve"> or public health disciplines. </w:t>
      </w:r>
      <w:r w:rsidR="003B6E11">
        <w:rPr>
          <w:rFonts w:asciiTheme="majorHAnsi" w:hAnsiTheme="majorHAnsi" w:cstheme="minorHAnsi"/>
          <w:color w:val="000000" w:themeColor="text1"/>
          <w:sz w:val="24"/>
          <w:szCs w:val="24"/>
        </w:rPr>
        <w:t xml:space="preserve">The maximum response rate is 100%. While it is reasonable to assume a 20% response rate, ATSDR wants to ensure that maximal participation is included as an option. This is based on the opportunity for cooperative </w:t>
      </w:r>
      <w:r w:rsidR="00F45AE9">
        <w:rPr>
          <w:rFonts w:asciiTheme="majorHAnsi" w:hAnsiTheme="majorHAnsi" w:cstheme="minorHAnsi"/>
          <w:color w:val="000000" w:themeColor="text1"/>
          <w:sz w:val="24"/>
          <w:szCs w:val="24"/>
        </w:rPr>
        <w:t xml:space="preserve">state </w:t>
      </w:r>
      <w:r w:rsidR="003B6E11">
        <w:rPr>
          <w:rFonts w:asciiTheme="majorHAnsi" w:hAnsiTheme="majorHAnsi" w:cstheme="minorHAnsi"/>
          <w:color w:val="000000" w:themeColor="text1"/>
          <w:sz w:val="24"/>
          <w:szCs w:val="24"/>
        </w:rPr>
        <w:t>partners and students to participate i</w:t>
      </w:r>
      <w:r w:rsidR="00BD69B8">
        <w:rPr>
          <w:rFonts w:asciiTheme="majorHAnsi" w:hAnsiTheme="majorHAnsi" w:cstheme="minorHAnsi"/>
          <w:color w:val="000000" w:themeColor="text1"/>
          <w:sz w:val="24"/>
          <w:szCs w:val="24"/>
        </w:rPr>
        <w:t>n the training follow up, which</w:t>
      </w:r>
      <w:r w:rsidR="003B6E11">
        <w:rPr>
          <w:rFonts w:asciiTheme="majorHAnsi" w:hAnsiTheme="majorHAnsi" w:cstheme="minorHAnsi"/>
          <w:color w:val="000000" w:themeColor="text1"/>
          <w:sz w:val="24"/>
          <w:szCs w:val="24"/>
        </w:rPr>
        <w:t xml:space="preserve"> may be required by their managers or professors.</w:t>
      </w:r>
    </w:p>
    <w:p w:rsidR="009C7D86" w:rsidRDefault="009C7D86" w:rsidP="007268F3">
      <w:pPr>
        <w:rPr>
          <w:rFonts w:asciiTheme="majorHAnsi" w:hAnsiTheme="majorHAnsi" w:cstheme="minorHAnsi"/>
          <w:color w:val="000000" w:themeColor="text1"/>
          <w:sz w:val="24"/>
          <w:szCs w:val="24"/>
        </w:rPr>
      </w:pPr>
      <w:r w:rsidRPr="00CB7762">
        <w:rPr>
          <w:rFonts w:asciiTheme="majorHAnsi" w:hAnsiTheme="majorHAnsi" w:cstheme="minorHAnsi"/>
          <w:color w:val="000000" w:themeColor="text1"/>
          <w:sz w:val="24"/>
          <w:szCs w:val="24"/>
        </w:rPr>
        <w:t xml:space="preserve">Information collection </w:t>
      </w:r>
      <w:r w:rsidR="003814B6" w:rsidRPr="00CB7762">
        <w:rPr>
          <w:rFonts w:asciiTheme="majorHAnsi" w:hAnsiTheme="majorHAnsi" w:cstheme="minorHAnsi"/>
          <w:color w:val="000000" w:themeColor="text1"/>
          <w:sz w:val="24"/>
          <w:szCs w:val="24"/>
        </w:rPr>
        <w:t>may</w:t>
      </w:r>
      <w:r w:rsidRPr="00CB7762">
        <w:rPr>
          <w:rFonts w:asciiTheme="majorHAnsi" w:hAnsiTheme="majorHAnsi" w:cstheme="minorHAnsi"/>
          <w:color w:val="000000" w:themeColor="text1"/>
          <w:sz w:val="24"/>
          <w:szCs w:val="24"/>
        </w:rPr>
        <w:t xml:space="preserve"> occur over a maximum of three years</w:t>
      </w:r>
      <w:r w:rsidR="002E4958" w:rsidRPr="00CB7762">
        <w:rPr>
          <w:rFonts w:asciiTheme="majorHAnsi" w:hAnsiTheme="majorHAnsi" w:cstheme="minorHAnsi"/>
          <w:color w:val="000000" w:themeColor="text1"/>
          <w:sz w:val="24"/>
          <w:szCs w:val="24"/>
        </w:rPr>
        <w:t xml:space="preserve">. The three-year window is to allow </w:t>
      </w:r>
      <w:r w:rsidR="00E260AB">
        <w:rPr>
          <w:rFonts w:asciiTheme="majorHAnsi" w:hAnsiTheme="majorHAnsi" w:cstheme="minorHAnsi"/>
          <w:color w:val="000000" w:themeColor="text1"/>
          <w:sz w:val="24"/>
          <w:szCs w:val="24"/>
        </w:rPr>
        <w:t xml:space="preserve">ATSDR </w:t>
      </w:r>
      <w:r w:rsidR="002E4958" w:rsidRPr="00CB7762">
        <w:rPr>
          <w:rFonts w:asciiTheme="majorHAnsi" w:hAnsiTheme="majorHAnsi" w:cstheme="minorHAnsi"/>
          <w:color w:val="000000" w:themeColor="text1"/>
          <w:sz w:val="24"/>
          <w:szCs w:val="24"/>
        </w:rPr>
        <w:t xml:space="preserve">flexibility in </w:t>
      </w:r>
      <w:r w:rsidR="00E260AB">
        <w:rPr>
          <w:rFonts w:asciiTheme="majorHAnsi" w:hAnsiTheme="majorHAnsi" w:cstheme="minorHAnsi"/>
          <w:color w:val="000000" w:themeColor="text1"/>
          <w:sz w:val="24"/>
          <w:szCs w:val="24"/>
        </w:rPr>
        <w:t xml:space="preserve">tracking the number of </w:t>
      </w:r>
      <w:r w:rsidR="002E4958" w:rsidRPr="00CB7762">
        <w:rPr>
          <w:rFonts w:asciiTheme="majorHAnsi" w:hAnsiTheme="majorHAnsi" w:cstheme="minorHAnsi"/>
          <w:color w:val="000000" w:themeColor="text1"/>
          <w:sz w:val="24"/>
          <w:szCs w:val="24"/>
        </w:rPr>
        <w:t xml:space="preserve">participants </w:t>
      </w:r>
      <w:r w:rsidR="0080612E">
        <w:rPr>
          <w:rFonts w:asciiTheme="majorHAnsi" w:hAnsiTheme="majorHAnsi" w:cstheme="minorHAnsi"/>
          <w:color w:val="000000" w:themeColor="text1"/>
          <w:sz w:val="24"/>
          <w:szCs w:val="24"/>
        </w:rPr>
        <w:t xml:space="preserve">enrolling and taking the course and </w:t>
      </w:r>
      <w:r w:rsidR="00C11AB4">
        <w:rPr>
          <w:rFonts w:asciiTheme="majorHAnsi" w:hAnsiTheme="majorHAnsi" w:cstheme="minorHAnsi"/>
          <w:color w:val="000000" w:themeColor="text1"/>
          <w:sz w:val="24"/>
          <w:szCs w:val="24"/>
        </w:rPr>
        <w:t>providing feedback post-certificat</w:t>
      </w:r>
      <w:r w:rsidR="0080612E">
        <w:rPr>
          <w:rFonts w:asciiTheme="majorHAnsi" w:hAnsiTheme="majorHAnsi" w:cstheme="minorHAnsi"/>
          <w:color w:val="000000" w:themeColor="text1"/>
          <w:sz w:val="24"/>
          <w:szCs w:val="24"/>
        </w:rPr>
        <w:t>e</w:t>
      </w:r>
      <w:r w:rsidRPr="00CB7762">
        <w:rPr>
          <w:rFonts w:asciiTheme="majorHAnsi" w:hAnsiTheme="majorHAnsi" w:cstheme="minorHAnsi"/>
          <w:color w:val="000000" w:themeColor="text1"/>
          <w:sz w:val="24"/>
          <w:szCs w:val="24"/>
        </w:rPr>
        <w:t>.</w:t>
      </w:r>
      <w:r w:rsidR="003814B6" w:rsidRPr="00CB7762">
        <w:rPr>
          <w:rFonts w:asciiTheme="majorHAnsi" w:hAnsiTheme="majorHAnsi" w:cstheme="minorHAnsi"/>
          <w:color w:val="000000" w:themeColor="text1"/>
          <w:sz w:val="24"/>
          <w:szCs w:val="24"/>
        </w:rPr>
        <w:t xml:space="preserve"> </w:t>
      </w:r>
      <w:r w:rsidR="00CF722D">
        <w:rPr>
          <w:rFonts w:asciiTheme="majorHAnsi" w:hAnsiTheme="majorHAnsi" w:cstheme="minorHAnsi"/>
          <w:color w:val="000000" w:themeColor="text1"/>
          <w:sz w:val="24"/>
          <w:szCs w:val="24"/>
        </w:rPr>
        <w:t xml:space="preserve">The estimated annual burden hours for this information collection is </w:t>
      </w:r>
      <w:r w:rsidR="000B4969">
        <w:rPr>
          <w:rFonts w:asciiTheme="majorHAnsi" w:hAnsiTheme="majorHAnsi" w:cstheme="minorHAnsi"/>
          <w:color w:val="000000" w:themeColor="text1"/>
          <w:sz w:val="24"/>
          <w:szCs w:val="24"/>
        </w:rPr>
        <w:t>67</w:t>
      </w:r>
      <w:r w:rsidR="00CF722D">
        <w:rPr>
          <w:rFonts w:asciiTheme="majorHAnsi" w:hAnsiTheme="majorHAnsi" w:cstheme="minorHAnsi"/>
          <w:color w:val="000000" w:themeColor="text1"/>
          <w:sz w:val="24"/>
          <w:szCs w:val="24"/>
        </w:rPr>
        <w:t xml:space="preserve"> hours.</w:t>
      </w:r>
    </w:p>
    <w:p w:rsidR="00FE3F59" w:rsidRDefault="00FE3F59" w:rsidP="00ED72E9">
      <w:pPr>
        <w:autoSpaceDE w:val="0"/>
        <w:autoSpaceDN w:val="0"/>
        <w:adjustRightInd w:val="0"/>
        <w:spacing w:line="240" w:lineRule="auto"/>
        <w:rPr>
          <w:rFonts w:asciiTheme="majorHAnsi" w:hAnsiTheme="majorHAnsi" w:cstheme="minorHAnsi"/>
          <w:color w:val="000000" w:themeColor="text1"/>
          <w:sz w:val="24"/>
          <w:szCs w:val="24"/>
        </w:rPr>
      </w:pPr>
    </w:p>
    <w:p w:rsidR="00FE3F59" w:rsidRDefault="00FE3F59" w:rsidP="00ED72E9">
      <w:pPr>
        <w:autoSpaceDE w:val="0"/>
        <w:autoSpaceDN w:val="0"/>
        <w:adjustRightInd w:val="0"/>
        <w:spacing w:line="240" w:lineRule="auto"/>
        <w:rPr>
          <w:rFonts w:asciiTheme="majorHAnsi" w:hAnsiTheme="majorHAnsi" w:cstheme="minorHAnsi"/>
          <w:color w:val="000000" w:themeColor="text1"/>
          <w:sz w:val="24"/>
          <w:szCs w:val="24"/>
        </w:rPr>
      </w:pPr>
    </w:p>
    <w:p w:rsidR="00FE3F59" w:rsidRDefault="00FE3F59" w:rsidP="00ED72E9">
      <w:pPr>
        <w:autoSpaceDE w:val="0"/>
        <w:autoSpaceDN w:val="0"/>
        <w:adjustRightInd w:val="0"/>
        <w:spacing w:line="240" w:lineRule="auto"/>
        <w:rPr>
          <w:rFonts w:asciiTheme="majorHAnsi" w:hAnsiTheme="majorHAnsi" w:cstheme="minorHAnsi"/>
          <w:color w:val="000000" w:themeColor="text1"/>
          <w:sz w:val="24"/>
          <w:szCs w:val="24"/>
        </w:rPr>
      </w:pPr>
    </w:p>
    <w:p w:rsidR="00FE3F59" w:rsidRDefault="00FE3F59" w:rsidP="00ED72E9">
      <w:pPr>
        <w:autoSpaceDE w:val="0"/>
        <w:autoSpaceDN w:val="0"/>
        <w:adjustRightInd w:val="0"/>
        <w:spacing w:line="240" w:lineRule="auto"/>
        <w:rPr>
          <w:rFonts w:asciiTheme="majorHAnsi" w:hAnsiTheme="majorHAnsi" w:cstheme="minorHAnsi"/>
          <w:color w:val="000000" w:themeColor="text1"/>
          <w:sz w:val="24"/>
          <w:szCs w:val="24"/>
        </w:rPr>
      </w:pPr>
    </w:p>
    <w:p w:rsidR="00FE3F59" w:rsidRDefault="00FE3F59" w:rsidP="00ED72E9">
      <w:pPr>
        <w:autoSpaceDE w:val="0"/>
        <w:autoSpaceDN w:val="0"/>
        <w:adjustRightInd w:val="0"/>
        <w:spacing w:line="240" w:lineRule="auto"/>
        <w:rPr>
          <w:rFonts w:asciiTheme="majorHAnsi" w:hAnsiTheme="majorHAnsi" w:cstheme="minorHAnsi"/>
          <w:color w:val="000000" w:themeColor="text1"/>
          <w:sz w:val="24"/>
          <w:szCs w:val="24"/>
        </w:rPr>
      </w:pPr>
    </w:p>
    <w:p w:rsidR="00FE3F59" w:rsidRDefault="00FE3F59" w:rsidP="00ED72E9">
      <w:pPr>
        <w:autoSpaceDE w:val="0"/>
        <w:autoSpaceDN w:val="0"/>
        <w:adjustRightInd w:val="0"/>
        <w:spacing w:line="240" w:lineRule="auto"/>
        <w:rPr>
          <w:rFonts w:asciiTheme="majorHAnsi" w:hAnsiTheme="majorHAnsi" w:cstheme="minorHAnsi"/>
          <w:color w:val="000000" w:themeColor="text1"/>
          <w:sz w:val="24"/>
          <w:szCs w:val="24"/>
        </w:rPr>
      </w:pPr>
    </w:p>
    <w:p w:rsidR="00FE3F59" w:rsidRDefault="00FE3F59" w:rsidP="00ED72E9">
      <w:pPr>
        <w:autoSpaceDE w:val="0"/>
        <w:autoSpaceDN w:val="0"/>
        <w:adjustRightInd w:val="0"/>
        <w:spacing w:line="240" w:lineRule="auto"/>
        <w:rPr>
          <w:rFonts w:asciiTheme="majorHAnsi" w:hAnsiTheme="majorHAnsi" w:cstheme="minorHAnsi"/>
          <w:color w:val="000000" w:themeColor="text1"/>
          <w:sz w:val="24"/>
          <w:szCs w:val="24"/>
        </w:rPr>
      </w:pPr>
    </w:p>
    <w:p w:rsidR="00FE3F59" w:rsidRDefault="00FE3F59" w:rsidP="00ED72E9">
      <w:pPr>
        <w:autoSpaceDE w:val="0"/>
        <w:autoSpaceDN w:val="0"/>
        <w:adjustRightInd w:val="0"/>
        <w:spacing w:line="240" w:lineRule="auto"/>
        <w:rPr>
          <w:rFonts w:asciiTheme="majorHAnsi" w:hAnsiTheme="majorHAnsi" w:cstheme="minorHAnsi"/>
          <w:color w:val="000000" w:themeColor="text1"/>
          <w:sz w:val="24"/>
          <w:szCs w:val="24"/>
        </w:rPr>
      </w:pPr>
    </w:p>
    <w:p w:rsidR="00FE3F59" w:rsidRPr="00CB7762" w:rsidRDefault="00FE3F59" w:rsidP="00ED72E9">
      <w:pPr>
        <w:autoSpaceDE w:val="0"/>
        <w:autoSpaceDN w:val="0"/>
        <w:adjustRightInd w:val="0"/>
        <w:spacing w:line="240" w:lineRule="auto"/>
        <w:rPr>
          <w:rFonts w:asciiTheme="majorHAnsi" w:hAnsiTheme="majorHAnsi" w:cstheme="minorHAnsi"/>
          <w:color w:val="000000" w:themeColor="text1"/>
          <w:sz w:val="24"/>
          <w:szCs w:val="24"/>
        </w:rPr>
      </w:pPr>
    </w:p>
    <w:p w:rsidR="00B70F2A" w:rsidRDefault="003E74EE" w:rsidP="00B9626B">
      <w:pPr>
        <w:autoSpaceDE w:val="0"/>
        <w:autoSpaceDN w:val="0"/>
        <w:adjustRightInd w:val="0"/>
        <w:spacing w:line="240" w:lineRule="auto"/>
        <w:rPr>
          <w:rFonts w:asciiTheme="majorHAnsi" w:hAnsiTheme="majorHAnsi" w:cstheme="minorHAnsi"/>
          <w:color w:val="000000" w:themeColor="text1"/>
          <w:sz w:val="24"/>
          <w:szCs w:val="24"/>
        </w:rPr>
      </w:pPr>
      <w:r w:rsidRPr="00822836">
        <w:rPr>
          <w:rFonts w:asciiTheme="majorHAnsi" w:hAnsiTheme="majorHAnsi" w:cstheme="minorHAnsi"/>
          <w:color w:val="000000" w:themeColor="text1"/>
          <w:sz w:val="24"/>
          <w:szCs w:val="24"/>
        </w:rPr>
        <w:t>Table 12.1</w:t>
      </w:r>
      <w:r w:rsidR="00B70F2A" w:rsidRPr="00822836">
        <w:rPr>
          <w:rFonts w:asciiTheme="majorHAnsi" w:hAnsiTheme="majorHAnsi" w:cstheme="minorHAnsi"/>
          <w:color w:val="000000" w:themeColor="text1"/>
          <w:sz w:val="24"/>
          <w:szCs w:val="24"/>
        </w:rPr>
        <w:t>Estimated Annualized Burden Hours</w:t>
      </w:r>
    </w:p>
    <w:p w:rsidR="00E815EE" w:rsidRDefault="00E815EE" w:rsidP="00B9626B">
      <w:pPr>
        <w:autoSpaceDE w:val="0"/>
        <w:autoSpaceDN w:val="0"/>
        <w:adjustRightInd w:val="0"/>
        <w:spacing w:line="240" w:lineRule="auto"/>
        <w:rPr>
          <w:rFonts w:asciiTheme="majorHAnsi" w:hAnsiTheme="majorHAnsi" w:cstheme="minorHAnsi"/>
          <w:color w:val="000000" w:themeColor="text1"/>
          <w:sz w:val="24"/>
          <w:szCs w:val="24"/>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1295"/>
        <w:gridCol w:w="1788"/>
        <w:gridCol w:w="1646"/>
        <w:gridCol w:w="1569"/>
        <w:gridCol w:w="1344"/>
      </w:tblGrid>
      <w:tr w:rsidR="00E815EE" w:rsidRPr="00AC3A76" w:rsidTr="003467B9">
        <w:tc>
          <w:tcPr>
            <w:tcW w:w="2073" w:type="dxa"/>
            <w:shd w:val="clear" w:color="auto" w:fill="auto"/>
          </w:tcPr>
          <w:p w:rsidR="00E815EE" w:rsidRPr="00E815EE" w:rsidRDefault="00E815EE" w:rsidP="00E815EE">
            <w:pPr>
              <w:widowControl w:val="0"/>
              <w:tabs>
                <w:tab w:val="left" w:pos="0"/>
              </w:tabs>
              <w:jc w:val="center"/>
              <w:rPr>
                <w:rFonts w:asciiTheme="majorHAnsi" w:hAnsiTheme="majorHAnsi" w:cs="EEAGN D+ Melior"/>
                <w:color w:val="000000"/>
                <w:sz w:val="24"/>
                <w:szCs w:val="24"/>
              </w:rPr>
            </w:pPr>
            <w:r w:rsidRPr="00E815EE">
              <w:rPr>
                <w:rFonts w:asciiTheme="majorHAnsi" w:hAnsiTheme="majorHAnsi" w:cs="EEAGN D+ Melior"/>
                <w:color w:val="000000"/>
                <w:sz w:val="24"/>
                <w:szCs w:val="24"/>
              </w:rPr>
              <w:t>Type of Respondents</w:t>
            </w:r>
          </w:p>
        </w:tc>
        <w:tc>
          <w:tcPr>
            <w:tcW w:w="1295" w:type="dxa"/>
            <w:shd w:val="clear" w:color="auto" w:fill="auto"/>
          </w:tcPr>
          <w:p w:rsidR="00E815EE" w:rsidRPr="00E815EE" w:rsidRDefault="00E815EE" w:rsidP="00E815EE">
            <w:pPr>
              <w:widowControl w:val="0"/>
              <w:tabs>
                <w:tab w:val="left" w:pos="0"/>
              </w:tabs>
              <w:jc w:val="center"/>
              <w:rPr>
                <w:rFonts w:asciiTheme="majorHAnsi" w:hAnsiTheme="majorHAnsi" w:cs="EEAGN D+ Melior"/>
                <w:color w:val="000000"/>
                <w:sz w:val="24"/>
                <w:szCs w:val="24"/>
              </w:rPr>
            </w:pPr>
            <w:r w:rsidRPr="00E815EE">
              <w:rPr>
                <w:rFonts w:asciiTheme="majorHAnsi" w:hAnsiTheme="majorHAnsi" w:cs="EEAGN D+ Melior"/>
                <w:color w:val="000000"/>
                <w:sz w:val="24"/>
                <w:szCs w:val="24"/>
              </w:rPr>
              <w:t>Form Name</w:t>
            </w:r>
          </w:p>
        </w:tc>
        <w:tc>
          <w:tcPr>
            <w:tcW w:w="1788" w:type="dxa"/>
            <w:shd w:val="clear" w:color="auto" w:fill="auto"/>
          </w:tcPr>
          <w:p w:rsidR="00E815EE" w:rsidRPr="00E815EE" w:rsidRDefault="00E815EE" w:rsidP="00E815EE">
            <w:pPr>
              <w:widowControl w:val="0"/>
              <w:tabs>
                <w:tab w:val="left" w:pos="0"/>
              </w:tabs>
              <w:jc w:val="center"/>
              <w:rPr>
                <w:rFonts w:asciiTheme="majorHAnsi" w:hAnsiTheme="majorHAnsi" w:cs="EEAGN D+ Melior"/>
                <w:color w:val="000000"/>
                <w:sz w:val="24"/>
                <w:szCs w:val="24"/>
              </w:rPr>
            </w:pPr>
            <w:r w:rsidRPr="00E815EE">
              <w:rPr>
                <w:rFonts w:asciiTheme="majorHAnsi" w:hAnsiTheme="majorHAnsi" w:cs="EEAGN D+ Melior"/>
                <w:color w:val="000000"/>
                <w:sz w:val="24"/>
                <w:szCs w:val="24"/>
              </w:rPr>
              <w:t>Number of Respondents</w:t>
            </w:r>
          </w:p>
        </w:tc>
        <w:tc>
          <w:tcPr>
            <w:tcW w:w="1646" w:type="dxa"/>
            <w:shd w:val="clear" w:color="auto" w:fill="auto"/>
          </w:tcPr>
          <w:p w:rsidR="00E815EE" w:rsidRPr="00E815EE" w:rsidRDefault="00E815EE" w:rsidP="00E815EE">
            <w:pPr>
              <w:widowControl w:val="0"/>
              <w:tabs>
                <w:tab w:val="left" w:pos="0"/>
              </w:tabs>
              <w:jc w:val="center"/>
              <w:rPr>
                <w:rFonts w:asciiTheme="majorHAnsi" w:hAnsiTheme="majorHAnsi" w:cs="EEAGN D+ Melior"/>
                <w:color w:val="000000"/>
                <w:sz w:val="24"/>
                <w:szCs w:val="24"/>
              </w:rPr>
            </w:pPr>
            <w:r w:rsidRPr="00E815EE">
              <w:rPr>
                <w:rFonts w:asciiTheme="majorHAnsi" w:hAnsiTheme="majorHAnsi" w:cs="EEAGN D+ Melior"/>
                <w:color w:val="000000"/>
                <w:sz w:val="24"/>
                <w:szCs w:val="24"/>
              </w:rPr>
              <w:t>Number of Responses per Respondent</w:t>
            </w:r>
          </w:p>
        </w:tc>
        <w:tc>
          <w:tcPr>
            <w:tcW w:w="1569" w:type="dxa"/>
            <w:shd w:val="clear" w:color="auto" w:fill="auto"/>
          </w:tcPr>
          <w:p w:rsidR="00E815EE" w:rsidRPr="00E815EE" w:rsidRDefault="00E815EE" w:rsidP="00E815EE">
            <w:pPr>
              <w:widowControl w:val="0"/>
              <w:tabs>
                <w:tab w:val="left" w:pos="0"/>
              </w:tabs>
              <w:jc w:val="center"/>
              <w:rPr>
                <w:rFonts w:asciiTheme="majorHAnsi" w:hAnsiTheme="majorHAnsi" w:cs="EEAGN D+ Melior"/>
                <w:color w:val="000000"/>
                <w:sz w:val="24"/>
                <w:szCs w:val="24"/>
              </w:rPr>
            </w:pPr>
            <w:r w:rsidRPr="00E815EE">
              <w:rPr>
                <w:rFonts w:asciiTheme="majorHAnsi" w:hAnsiTheme="majorHAnsi" w:cs="EEAGN D+ Melior"/>
                <w:color w:val="000000"/>
                <w:sz w:val="24"/>
                <w:szCs w:val="24"/>
              </w:rPr>
              <w:t>Average Burden per Response (in hours)</w:t>
            </w:r>
          </w:p>
        </w:tc>
        <w:tc>
          <w:tcPr>
            <w:tcW w:w="1344" w:type="dxa"/>
          </w:tcPr>
          <w:p w:rsidR="00E815EE" w:rsidRPr="00E815EE" w:rsidRDefault="00E815EE" w:rsidP="00E815EE">
            <w:pPr>
              <w:widowControl w:val="0"/>
              <w:tabs>
                <w:tab w:val="left" w:pos="0"/>
              </w:tabs>
              <w:jc w:val="center"/>
              <w:rPr>
                <w:rFonts w:asciiTheme="majorHAnsi" w:hAnsiTheme="majorHAnsi" w:cs="EEAGN D+ Melior"/>
                <w:color w:val="000000"/>
                <w:sz w:val="24"/>
                <w:szCs w:val="24"/>
              </w:rPr>
            </w:pPr>
            <w:r w:rsidRPr="00E815EE">
              <w:rPr>
                <w:rFonts w:asciiTheme="majorHAnsi" w:hAnsiTheme="majorHAnsi" w:cstheme="minorHAnsi"/>
                <w:color w:val="000000" w:themeColor="text1"/>
                <w:sz w:val="24"/>
                <w:szCs w:val="24"/>
              </w:rPr>
              <w:t>Total Burden Hours</w:t>
            </w:r>
          </w:p>
        </w:tc>
      </w:tr>
      <w:tr w:rsidR="00E815EE" w:rsidRPr="00AC3A76" w:rsidTr="003467B9">
        <w:tc>
          <w:tcPr>
            <w:tcW w:w="2073" w:type="dxa"/>
            <w:shd w:val="clear" w:color="auto" w:fill="auto"/>
          </w:tcPr>
          <w:p w:rsidR="00E815EE" w:rsidRPr="00E815EE" w:rsidRDefault="00E815EE" w:rsidP="00E815EE">
            <w:pPr>
              <w:widowControl w:val="0"/>
              <w:tabs>
                <w:tab w:val="left" w:pos="0"/>
              </w:tabs>
              <w:rPr>
                <w:rFonts w:asciiTheme="majorHAnsi" w:hAnsiTheme="majorHAnsi" w:cs="EEAGN D+ Melior"/>
                <w:color w:val="000000"/>
                <w:sz w:val="24"/>
                <w:szCs w:val="24"/>
              </w:rPr>
            </w:pPr>
            <w:r w:rsidRPr="00E815EE">
              <w:rPr>
                <w:rFonts w:asciiTheme="majorHAnsi" w:hAnsiTheme="majorHAnsi" w:cs="EEAGN D+ Melior"/>
                <w:color w:val="000000"/>
                <w:sz w:val="24"/>
                <w:szCs w:val="24"/>
              </w:rPr>
              <w:t xml:space="preserve">Environmental health professionals and graduate students </w:t>
            </w:r>
          </w:p>
        </w:tc>
        <w:tc>
          <w:tcPr>
            <w:tcW w:w="1295" w:type="dxa"/>
            <w:shd w:val="clear" w:color="auto" w:fill="auto"/>
          </w:tcPr>
          <w:p w:rsidR="00E815EE" w:rsidRPr="00E815EE" w:rsidRDefault="00E815EE" w:rsidP="00E815EE">
            <w:pPr>
              <w:widowControl w:val="0"/>
              <w:tabs>
                <w:tab w:val="left" w:pos="0"/>
              </w:tabs>
              <w:rPr>
                <w:rFonts w:asciiTheme="majorHAnsi" w:hAnsiTheme="majorHAnsi" w:cs="EEAGN D+ Melior"/>
                <w:color w:val="000000"/>
                <w:sz w:val="24"/>
                <w:szCs w:val="24"/>
              </w:rPr>
            </w:pPr>
            <w:r w:rsidRPr="00E815EE">
              <w:rPr>
                <w:rFonts w:asciiTheme="majorHAnsi" w:hAnsiTheme="majorHAnsi" w:cs="EEAGN D+ Melior"/>
                <w:color w:val="000000"/>
                <w:sz w:val="24"/>
                <w:szCs w:val="24"/>
              </w:rPr>
              <w:t>Follow-up Survey</w:t>
            </w:r>
          </w:p>
        </w:tc>
        <w:tc>
          <w:tcPr>
            <w:tcW w:w="1788" w:type="dxa"/>
            <w:shd w:val="clear" w:color="auto" w:fill="auto"/>
          </w:tcPr>
          <w:p w:rsidR="00E815EE" w:rsidRPr="00E815EE" w:rsidRDefault="00E815EE" w:rsidP="003467B9">
            <w:pPr>
              <w:widowControl w:val="0"/>
              <w:tabs>
                <w:tab w:val="left" w:pos="0"/>
              </w:tabs>
              <w:jc w:val="center"/>
              <w:rPr>
                <w:rFonts w:asciiTheme="majorHAnsi" w:hAnsiTheme="majorHAnsi" w:cs="EEAGN D+ Melior"/>
                <w:color w:val="000000"/>
                <w:sz w:val="24"/>
                <w:szCs w:val="24"/>
              </w:rPr>
            </w:pPr>
            <w:r w:rsidRPr="00E815EE">
              <w:rPr>
                <w:rFonts w:asciiTheme="majorHAnsi" w:hAnsiTheme="majorHAnsi" w:cs="EEAGN D+ Melior"/>
                <w:color w:val="000000"/>
                <w:sz w:val="24"/>
                <w:szCs w:val="24"/>
              </w:rPr>
              <w:t>200</w:t>
            </w:r>
          </w:p>
        </w:tc>
        <w:tc>
          <w:tcPr>
            <w:tcW w:w="1646" w:type="dxa"/>
            <w:shd w:val="clear" w:color="auto" w:fill="auto"/>
          </w:tcPr>
          <w:p w:rsidR="00E815EE" w:rsidRPr="00E815EE" w:rsidRDefault="00E815EE" w:rsidP="003467B9">
            <w:pPr>
              <w:widowControl w:val="0"/>
              <w:tabs>
                <w:tab w:val="left" w:pos="0"/>
              </w:tabs>
              <w:jc w:val="center"/>
              <w:rPr>
                <w:rFonts w:asciiTheme="majorHAnsi" w:hAnsiTheme="majorHAnsi" w:cs="EEAGN D+ Melior"/>
                <w:color w:val="000000"/>
                <w:sz w:val="24"/>
                <w:szCs w:val="24"/>
              </w:rPr>
            </w:pPr>
            <w:r w:rsidRPr="00E815EE">
              <w:rPr>
                <w:rFonts w:asciiTheme="majorHAnsi" w:hAnsiTheme="majorHAnsi" w:cs="EEAGN D+ Melior"/>
                <w:color w:val="000000"/>
                <w:sz w:val="24"/>
                <w:szCs w:val="24"/>
              </w:rPr>
              <w:t>1</w:t>
            </w:r>
          </w:p>
        </w:tc>
        <w:tc>
          <w:tcPr>
            <w:tcW w:w="1569" w:type="dxa"/>
            <w:shd w:val="clear" w:color="auto" w:fill="auto"/>
          </w:tcPr>
          <w:p w:rsidR="00E815EE" w:rsidRPr="00E815EE" w:rsidRDefault="00E815EE" w:rsidP="003467B9">
            <w:pPr>
              <w:widowControl w:val="0"/>
              <w:tabs>
                <w:tab w:val="left" w:pos="0"/>
              </w:tabs>
              <w:jc w:val="center"/>
              <w:rPr>
                <w:rFonts w:asciiTheme="majorHAnsi" w:hAnsiTheme="majorHAnsi" w:cs="EEAGN D+ Melior"/>
                <w:color w:val="000000"/>
                <w:sz w:val="24"/>
                <w:szCs w:val="24"/>
              </w:rPr>
            </w:pPr>
            <w:r w:rsidRPr="00E815EE">
              <w:rPr>
                <w:rFonts w:asciiTheme="majorHAnsi" w:hAnsiTheme="majorHAnsi" w:cs="EEAGN D+ Melior"/>
                <w:color w:val="000000"/>
                <w:sz w:val="24"/>
                <w:szCs w:val="24"/>
              </w:rPr>
              <w:t>20/60</w:t>
            </w:r>
          </w:p>
        </w:tc>
        <w:tc>
          <w:tcPr>
            <w:tcW w:w="1344" w:type="dxa"/>
          </w:tcPr>
          <w:p w:rsidR="00E815EE" w:rsidRPr="00E815EE" w:rsidRDefault="00E815EE" w:rsidP="003467B9">
            <w:pPr>
              <w:widowControl w:val="0"/>
              <w:tabs>
                <w:tab w:val="left" w:pos="0"/>
              </w:tabs>
              <w:jc w:val="center"/>
              <w:rPr>
                <w:rFonts w:asciiTheme="majorHAnsi" w:hAnsiTheme="majorHAnsi" w:cs="EEAGN D+ Melior"/>
                <w:color w:val="000000"/>
                <w:sz w:val="24"/>
                <w:szCs w:val="24"/>
              </w:rPr>
            </w:pPr>
            <w:r w:rsidRPr="00E815EE">
              <w:rPr>
                <w:rFonts w:asciiTheme="majorHAnsi" w:hAnsiTheme="majorHAnsi" w:cstheme="minorHAnsi"/>
                <w:color w:val="000000" w:themeColor="text1"/>
                <w:sz w:val="24"/>
                <w:szCs w:val="24"/>
              </w:rPr>
              <w:t>67</w:t>
            </w:r>
          </w:p>
        </w:tc>
      </w:tr>
    </w:tbl>
    <w:p w:rsidR="00E815EE" w:rsidRDefault="00E815EE" w:rsidP="00B9626B">
      <w:pPr>
        <w:autoSpaceDE w:val="0"/>
        <w:autoSpaceDN w:val="0"/>
        <w:adjustRightInd w:val="0"/>
        <w:spacing w:line="240" w:lineRule="auto"/>
        <w:rPr>
          <w:rFonts w:asciiTheme="majorHAnsi" w:hAnsiTheme="majorHAnsi" w:cstheme="minorHAnsi"/>
          <w:color w:val="000000" w:themeColor="text1"/>
          <w:sz w:val="24"/>
          <w:szCs w:val="24"/>
        </w:rPr>
      </w:pPr>
    </w:p>
    <w:p w:rsidR="007F51EE" w:rsidRDefault="007F51EE" w:rsidP="00B9626B">
      <w:pPr>
        <w:autoSpaceDE w:val="0"/>
        <w:autoSpaceDN w:val="0"/>
        <w:adjustRightInd w:val="0"/>
        <w:spacing w:line="240" w:lineRule="auto"/>
        <w:rPr>
          <w:rFonts w:asciiTheme="majorHAnsi" w:hAnsiTheme="majorHAnsi" w:cstheme="minorHAnsi"/>
          <w:color w:val="000000" w:themeColor="text1"/>
          <w:sz w:val="24"/>
          <w:szCs w:val="24"/>
        </w:rPr>
      </w:pPr>
    </w:p>
    <w:p w:rsidR="00364DFB" w:rsidRPr="007873F5" w:rsidRDefault="00364DFB" w:rsidP="00364DFB">
      <w:pPr>
        <w:rPr>
          <w:rFonts w:asciiTheme="majorHAnsi" w:hAnsiTheme="majorHAnsi"/>
          <w:sz w:val="24"/>
          <w:szCs w:val="24"/>
        </w:rPr>
      </w:pPr>
      <w:r w:rsidRPr="007873F5">
        <w:rPr>
          <w:rFonts w:asciiTheme="majorHAnsi" w:hAnsiTheme="majorHAnsi"/>
          <w:sz w:val="24"/>
          <w:szCs w:val="24"/>
        </w:rPr>
        <w:t xml:space="preserve">ATSDR used the U.S. Department of Labor National Occupational Employment and Wage </w:t>
      </w:r>
      <w:hyperlink r:id="rId12" w:history="1">
        <w:r w:rsidR="00C72E48" w:rsidRPr="001E7637">
          <w:rPr>
            <w:rStyle w:val="Hyperlink"/>
            <w:rFonts w:asciiTheme="majorHAnsi" w:hAnsiTheme="majorHAnsi"/>
            <w:sz w:val="24"/>
            <w:szCs w:val="24"/>
          </w:rPr>
          <w:t>https://www.bls.gov/oes/home.htm</w:t>
        </w:r>
      </w:hyperlink>
      <w:r w:rsidR="00C72E48">
        <w:rPr>
          <w:rFonts w:asciiTheme="majorHAnsi" w:hAnsiTheme="majorHAnsi"/>
          <w:sz w:val="24"/>
          <w:szCs w:val="24"/>
        </w:rPr>
        <w:t xml:space="preserve">. </w:t>
      </w:r>
      <w:r w:rsidRPr="007873F5">
        <w:rPr>
          <w:rFonts w:asciiTheme="majorHAnsi" w:hAnsiTheme="majorHAnsi"/>
          <w:sz w:val="24"/>
          <w:szCs w:val="24"/>
        </w:rPr>
        <w:t>Estimates in the United States website</w:t>
      </w:r>
      <w:sdt>
        <w:sdtPr>
          <w:rPr>
            <w:rFonts w:asciiTheme="majorHAnsi" w:hAnsiTheme="majorHAnsi"/>
            <w:sz w:val="24"/>
            <w:szCs w:val="24"/>
          </w:rPr>
          <w:id w:val="-1090854437"/>
          <w:citation/>
        </w:sdtPr>
        <w:sdtEndPr/>
        <w:sdtContent>
          <w:r w:rsidRPr="007873F5">
            <w:rPr>
              <w:rFonts w:asciiTheme="majorHAnsi" w:hAnsiTheme="majorHAnsi"/>
              <w:sz w:val="24"/>
              <w:szCs w:val="24"/>
            </w:rPr>
            <w:fldChar w:fldCharType="begin"/>
          </w:r>
          <w:r w:rsidRPr="007873F5">
            <w:rPr>
              <w:rFonts w:asciiTheme="majorHAnsi" w:hAnsiTheme="majorHAnsi"/>
              <w:sz w:val="24"/>
              <w:szCs w:val="24"/>
            </w:rPr>
            <w:instrText xml:space="preserve"> CITATION Uni16 \l 1033 </w:instrText>
          </w:r>
          <w:r w:rsidRPr="007873F5">
            <w:rPr>
              <w:rFonts w:asciiTheme="majorHAnsi" w:hAnsiTheme="majorHAnsi"/>
              <w:sz w:val="24"/>
              <w:szCs w:val="24"/>
            </w:rPr>
            <w:fldChar w:fldCharType="separate"/>
          </w:r>
          <w:r w:rsidRPr="007873F5">
            <w:rPr>
              <w:rFonts w:asciiTheme="majorHAnsi" w:hAnsiTheme="majorHAnsi"/>
              <w:noProof/>
              <w:sz w:val="24"/>
              <w:szCs w:val="24"/>
            </w:rPr>
            <w:t xml:space="preserve"> (United States Department of Labor, 2016)</w:t>
          </w:r>
          <w:r w:rsidRPr="007873F5">
            <w:rPr>
              <w:rFonts w:asciiTheme="majorHAnsi" w:hAnsiTheme="majorHAnsi"/>
              <w:sz w:val="24"/>
              <w:szCs w:val="24"/>
            </w:rPr>
            <w:fldChar w:fldCharType="end"/>
          </w:r>
        </w:sdtContent>
      </w:sdt>
      <w:r w:rsidRPr="007873F5">
        <w:rPr>
          <w:rFonts w:asciiTheme="majorHAnsi" w:hAnsiTheme="majorHAnsi"/>
          <w:sz w:val="24"/>
          <w:szCs w:val="24"/>
        </w:rPr>
        <w:t xml:space="preserve"> for median hourly wages for a variety of occupations. ATSDR selected the median hourly wage of $40.81 for Environmental Engineers as representative of the professionals who may participate in the certification course. To determine the burden for students</w:t>
      </w:r>
      <w:r w:rsidR="0051273B">
        <w:rPr>
          <w:rFonts w:asciiTheme="majorHAnsi" w:hAnsiTheme="majorHAnsi"/>
          <w:sz w:val="24"/>
          <w:szCs w:val="24"/>
        </w:rPr>
        <w:t xml:space="preserve">. </w:t>
      </w:r>
      <w:r w:rsidRPr="007873F5">
        <w:rPr>
          <w:rFonts w:asciiTheme="majorHAnsi" w:hAnsiTheme="majorHAnsi"/>
          <w:sz w:val="24"/>
          <w:szCs w:val="24"/>
        </w:rPr>
        <w:t xml:space="preserve">ATSDR used the median hourly wage of $21.25 for Environmental Science and Protection Technicians, Including Health category. ATSDR computed the hourly wage for the entire group as three-fourths professionals and one-fourth students ($30.61 + 5.31 = $35.92. The costs are shown in the table below. </w:t>
      </w:r>
    </w:p>
    <w:p w:rsidR="00364DFB" w:rsidRDefault="00364DFB" w:rsidP="00B9626B">
      <w:pPr>
        <w:autoSpaceDE w:val="0"/>
        <w:autoSpaceDN w:val="0"/>
        <w:adjustRightInd w:val="0"/>
        <w:spacing w:line="240" w:lineRule="auto"/>
        <w:rPr>
          <w:rFonts w:asciiTheme="majorHAnsi" w:hAnsiTheme="majorHAnsi"/>
          <w:sz w:val="24"/>
          <w:szCs w:val="24"/>
        </w:rPr>
      </w:pPr>
    </w:p>
    <w:p w:rsidR="00E319DB" w:rsidRDefault="003E74EE" w:rsidP="00B9626B">
      <w:pPr>
        <w:autoSpaceDE w:val="0"/>
        <w:autoSpaceDN w:val="0"/>
        <w:adjustRightInd w:val="0"/>
        <w:spacing w:line="240" w:lineRule="auto"/>
        <w:rPr>
          <w:rFonts w:asciiTheme="majorHAnsi" w:hAnsiTheme="majorHAnsi" w:cstheme="minorHAnsi"/>
          <w:color w:val="000000" w:themeColor="text1"/>
          <w:sz w:val="24"/>
          <w:szCs w:val="24"/>
        </w:rPr>
      </w:pPr>
      <w:r w:rsidRPr="008302EC">
        <w:rPr>
          <w:rFonts w:asciiTheme="majorHAnsi" w:hAnsiTheme="majorHAnsi"/>
          <w:sz w:val="24"/>
          <w:szCs w:val="24"/>
        </w:rPr>
        <w:t xml:space="preserve">Table 12.2 </w:t>
      </w:r>
      <w:r w:rsidR="00110CE3" w:rsidRPr="00110CE3">
        <w:rPr>
          <w:rFonts w:asciiTheme="majorHAnsi" w:hAnsiTheme="majorHAnsi"/>
          <w:sz w:val="24"/>
          <w:szCs w:val="24"/>
        </w:rPr>
        <w:t>Estimated Annualized Burden Costs</w:t>
      </w:r>
    </w:p>
    <w:tbl>
      <w:tblPr>
        <w:tblStyle w:val="TableGrid"/>
        <w:tblW w:w="0" w:type="auto"/>
        <w:tblLook w:val="04A0" w:firstRow="1" w:lastRow="0" w:firstColumn="1" w:lastColumn="0" w:noHBand="0" w:noVBand="1"/>
      </w:tblPr>
      <w:tblGrid>
        <w:gridCol w:w="1885"/>
        <w:gridCol w:w="2340"/>
        <w:gridCol w:w="2340"/>
        <w:gridCol w:w="2785"/>
      </w:tblGrid>
      <w:tr w:rsidR="00CA4482" w:rsidRPr="008302EC" w:rsidTr="00BB750D">
        <w:tc>
          <w:tcPr>
            <w:tcW w:w="1885" w:type="dxa"/>
          </w:tcPr>
          <w:p w:rsidR="00CA4482" w:rsidRPr="008302EC" w:rsidRDefault="0012507B" w:rsidP="00CA4482">
            <w:pPr>
              <w:autoSpaceDE w:val="0"/>
              <w:autoSpaceDN w:val="0"/>
              <w:adjustRightInd w:val="0"/>
              <w:rPr>
                <w:rFonts w:asciiTheme="majorHAnsi" w:hAnsiTheme="majorHAnsi" w:cstheme="minorHAnsi"/>
                <w:color w:val="000000" w:themeColor="text1"/>
                <w:sz w:val="24"/>
                <w:szCs w:val="24"/>
              </w:rPr>
            </w:pPr>
            <w:r w:rsidRPr="008302EC">
              <w:rPr>
                <w:rFonts w:asciiTheme="majorHAnsi" w:hAnsiTheme="majorHAnsi" w:cstheme="minorHAnsi"/>
                <w:color w:val="000000" w:themeColor="text1"/>
                <w:sz w:val="24"/>
                <w:szCs w:val="24"/>
              </w:rPr>
              <w:t xml:space="preserve"> </w:t>
            </w:r>
            <w:r w:rsidR="00CA4482" w:rsidRPr="008302EC">
              <w:rPr>
                <w:rFonts w:asciiTheme="majorHAnsi" w:hAnsiTheme="majorHAnsi"/>
                <w:sz w:val="24"/>
                <w:szCs w:val="24"/>
              </w:rPr>
              <w:t>Type of Respondent</w:t>
            </w:r>
          </w:p>
        </w:tc>
        <w:tc>
          <w:tcPr>
            <w:tcW w:w="2340" w:type="dxa"/>
          </w:tcPr>
          <w:p w:rsidR="00CA4482" w:rsidRPr="008302EC" w:rsidRDefault="00CA4482" w:rsidP="00CA4482">
            <w:pPr>
              <w:autoSpaceDE w:val="0"/>
              <w:autoSpaceDN w:val="0"/>
              <w:adjustRightInd w:val="0"/>
              <w:rPr>
                <w:rFonts w:asciiTheme="majorHAnsi" w:hAnsiTheme="majorHAnsi" w:cstheme="minorHAnsi"/>
                <w:color w:val="000000" w:themeColor="text1"/>
                <w:sz w:val="24"/>
                <w:szCs w:val="24"/>
              </w:rPr>
            </w:pPr>
            <w:r w:rsidRPr="008302EC">
              <w:rPr>
                <w:rFonts w:asciiTheme="majorHAnsi" w:hAnsiTheme="majorHAnsi"/>
                <w:sz w:val="24"/>
                <w:szCs w:val="24"/>
              </w:rPr>
              <w:t>Total Burden Hours</w:t>
            </w:r>
          </w:p>
        </w:tc>
        <w:tc>
          <w:tcPr>
            <w:tcW w:w="2340" w:type="dxa"/>
          </w:tcPr>
          <w:p w:rsidR="00CA4482" w:rsidRPr="008302EC" w:rsidRDefault="00CA4482" w:rsidP="00CA4482">
            <w:pPr>
              <w:autoSpaceDE w:val="0"/>
              <w:autoSpaceDN w:val="0"/>
              <w:adjustRightInd w:val="0"/>
              <w:rPr>
                <w:rFonts w:asciiTheme="majorHAnsi" w:hAnsiTheme="majorHAnsi" w:cstheme="minorHAnsi"/>
                <w:color w:val="000000" w:themeColor="text1"/>
                <w:sz w:val="24"/>
                <w:szCs w:val="24"/>
              </w:rPr>
            </w:pPr>
            <w:r w:rsidRPr="008302EC">
              <w:rPr>
                <w:rFonts w:asciiTheme="majorHAnsi" w:hAnsiTheme="majorHAnsi"/>
                <w:sz w:val="24"/>
                <w:szCs w:val="24"/>
              </w:rPr>
              <w:t>Hourly Wage Rate</w:t>
            </w:r>
          </w:p>
        </w:tc>
        <w:tc>
          <w:tcPr>
            <w:tcW w:w="2785" w:type="dxa"/>
          </w:tcPr>
          <w:p w:rsidR="00CA4482" w:rsidRPr="008302EC" w:rsidRDefault="00CA4482" w:rsidP="00CA4482">
            <w:pPr>
              <w:autoSpaceDE w:val="0"/>
              <w:autoSpaceDN w:val="0"/>
              <w:adjustRightInd w:val="0"/>
              <w:rPr>
                <w:rFonts w:asciiTheme="majorHAnsi" w:hAnsiTheme="majorHAnsi" w:cstheme="minorHAnsi"/>
                <w:color w:val="000000" w:themeColor="text1"/>
                <w:sz w:val="24"/>
                <w:szCs w:val="24"/>
              </w:rPr>
            </w:pPr>
            <w:r w:rsidRPr="008302EC">
              <w:rPr>
                <w:rFonts w:asciiTheme="majorHAnsi" w:hAnsiTheme="majorHAnsi"/>
                <w:sz w:val="24"/>
                <w:szCs w:val="24"/>
              </w:rPr>
              <w:t>Total Respondent Costs</w:t>
            </w:r>
          </w:p>
        </w:tc>
      </w:tr>
      <w:tr w:rsidR="00CA4482" w:rsidRPr="008302EC" w:rsidTr="00BB750D">
        <w:tc>
          <w:tcPr>
            <w:tcW w:w="1885" w:type="dxa"/>
          </w:tcPr>
          <w:p w:rsidR="00CA4482" w:rsidRPr="008302EC" w:rsidRDefault="00CA4482" w:rsidP="00CA4482">
            <w:pPr>
              <w:autoSpaceDE w:val="0"/>
              <w:autoSpaceDN w:val="0"/>
              <w:adjustRightInd w:val="0"/>
              <w:rPr>
                <w:rFonts w:asciiTheme="majorHAnsi" w:hAnsiTheme="majorHAnsi" w:cstheme="minorHAnsi"/>
                <w:color w:val="000000" w:themeColor="text1"/>
                <w:sz w:val="24"/>
                <w:szCs w:val="24"/>
              </w:rPr>
            </w:pPr>
            <w:r w:rsidRPr="008302EC">
              <w:rPr>
                <w:rFonts w:asciiTheme="majorHAnsi" w:hAnsiTheme="majorHAnsi"/>
                <w:sz w:val="24"/>
                <w:szCs w:val="24"/>
              </w:rPr>
              <w:t>Environmental Health Professionals and Students</w:t>
            </w:r>
          </w:p>
        </w:tc>
        <w:tc>
          <w:tcPr>
            <w:tcW w:w="2340" w:type="dxa"/>
          </w:tcPr>
          <w:p w:rsidR="00CA4482" w:rsidRPr="008302EC" w:rsidRDefault="00CA4482" w:rsidP="00C21633">
            <w:pPr>
              <w:autoSpaceDE w:val="0"/>
              <w:autoSpaceDN w:val="0"/>
              <w:adjustRightInd w:val="0"/>
              <w:jc w:val="center"/>
              <w:rPr>
                <w:rFonts w:asciiTheme="majorHAnsi" w:hAnsiTheme="majorHAnsi" w:cstheme="minorHAnsi"/>
                <w:color w:val="000000" w:themeColor="text1"/>
                <w:sz w:val="24"/>
                <w:szCs w:val="24"/>
              </w:rPr>
            </w:pPr>
            <w:r w:rsidRPr="008302EC">
              <w:rPr>
                <w:rFonts w:asciiTheme="majorHAnsi" w:hAnsiTheme="majorHAnsi" w:cstheme="minorHAnsi"/>
                <w:color w:val="000000" w:themeColor="text1"/>
                <w:sz w:val="24"/>
                <w:szCs w:val="24"/>
              </w:rPr>
              <w:t>6</w:t>
            </w:r>
            <w:r w:rsidR="00F2700B">
              <w:rPr>
                <w:rFonts w:asciiTheme="majorHAnsi" w:hAnsiTheme="majorHAnsi" w:cstheme="minorHAnsi"/>
                <w:color w:val="000000" w:themeColor="text1"/>
                <w:sz w:val="24"/>
                <w:szCs w:val="24"/>
              </w:rPr>
              <w:t>7</w:t>
            </w:r>
          </w:p>
        </w:tc>
        <w:tc>
          <w:tcPr>
            <w:tcW w:w="2340" w:type="dxa"/>
          </w:tcPr>
          <w:p w:rsidR="00CA4482" w:rsidRPr="008302EC" w:rsidRDefault="00F84F51" w:rsidP="00C21633">
            <w:pPr>
              <w:autoSpaceDE w:val="0"/>
              <w:autoSpaceDN w:val="0"/>
              <w:adjustRightInd w:val="0"/>
              <w:jc w:val="center"/>
              <w:rPr>
                <w:rFonts w:asciiTheme="majorHAnsi" w:hAnsiTheme="majorHAnsi" w:cstheme="minorHAnsi"/>
                <w:color w:val="000000" w:themeColor="text1"/>
                <w:sz w:val="24"/>
                <w:szCs w:val="24"/>
              </w:rPr>
            </w:pPr>
            <w:r w:rsidRPr="008302EC">
              <w:rPr>
                <w:rFonts w:asciiTheme="majorHAnsi" w:hAnsiTheme="majorHAnsi"/>
                <w:sz w:val="24"/>
                <w:szCs w:val="24"/>
              </w:rPr>
              <w:t>$35.92</w:t>
            </w:r>
          </w:p>
        </w:tc>
        <w:tc>
          <w:tcPr>
            <w:tcW w:w="2785" w:type="dxa"/>
          </w:tcPr>
          <w:p w:rsidR="00CA4482" w:rsidRPr="008302EC" w:rsidRDefault="00CA4482" w:rsidP="00894E0E">
            <w:pPr>
              <w:autoSpaceDE w:val="0"/>
              <w:autoSpaceDN w:val="0"/>
              <w:adjustRightInd w:val="0"/>
              <w:jc w:val="center"/>
              <w:rPr>
                <w:rFonts w:asciiTheme="majorHAnsi" w:hAnsiTheme="majorHAnsi" w:cstheme="minorHAnsi"/>
                <w:color w:val="000000" w:themeColor="text1"/>
                <w:sz w:val="24"/>
                <w:szCs w:val="24"/>
              </w:rPr>
            </w:pPr>
            <w:r w:rsidRPr="008302EC">
              <w:rPr>
                <w:rFonts w:asciiTheme="majorHAnsi" w:hAnsiTheme="majorHAnsi"/>
                <w:sz w:val="24"/>
                <w:szCs w:val="24"/>
              </w:rPr>
              <w:t>$</w:t>
            </w:r>
            <w:r w:rsidR="00894E0E">
              <w:rPr>
                <w:rFonts w:asciiTheme="majorHAnsi" w:hAnsiTheme="majorHAnsi"/>
                <w:sz w:val="24"/>
                <w:szCs w:val="24"/>
              </w:rPr>
              <w:t>24,06.06</w:t>
            </w:r>
          </w:p>
        </w:tc>
      </w:tr>
      <w:tr w:rsidR="00CA4482" w:rsidRPr="008302EC" w:rsidTr="00BB750D">
        <w:tc>
          <w:tcPr>
            <w:tcW w:w="1885" w:type="dxa"/>
          </w:tcPr>
          <w:p w:rsidR="00CA4482" w:rsidRPr="008302EC" w:rsidRDefault="002F3D80" w:rsidP="00CA4482">
            <w:pPr>
              <w:autoSpaceDE w:val="0"/>
              <w:autoSpaceDN w:val="0"/>
              <w:adjustRightInd w:val="0"/>
              <w:rPr>
                <w:rFonts w:asciiTheme="majorHAnsi" w:hAnsiTheme="majorHAnsi" w:cstheme="minorHAnsi"/>
                <w:color w:val="000000" w:themeColor="text1"/>
                <w:sz w:val="24"/>
                <w:szCs w:val="24"/>
              </w:rPr>
            </w:pPr>
            <w:r w:rsidRPr="008302EC">
              <w:rPr>
                <w:rFonts w:asciiTheme="majorHAnsi" w:hAnsiTheme="majorHAnsi"/>
                <w:sz w:val="24"/>
                <w:szCs w:val="24"/>
              </w:rPr>
              <w:t>Total</w:t>
            </w:r>
          </w:p>
        </w:tc>
        <w:tc>
          <w:tcPr>
            <w:tcW w:w="2340" w:type="dxa"/>
          </w:tcPr>
          <w:p w:rsidR="00CA4482" w:rsidRPr="008302EC" w:rsidRDefault="00CA4482" w:rsidP="00C21633">
            <w:pPr>
              <w:autoSpaceDE w:val="0"/>
              <w:autoSpaceDN w:val="0"/>
              <w:adjustRightInd w:val="0"/>
              <w:jc w:val="center"/>
              <w:rPr>
                <w:rFonts w:asciiTheme="majorHAnsi" w:hAnsiTheme="majorHAnsi" w:cstheme="minorHAnsi"/>
                <w:color w:val="000000" w:themeColor="text1"/>
                <w:sz w:val="24"/>
                <w:szCs w:val="24"/>
              </w:rPr>
            </w:pPr>
          </w:p>
        </w:tc>
        <w:tc>
          <w:tcPr>
            <w:tcW w:w="2340" w:type="dxa"/>
          </w:tcPr>
          <w:p w:rsidR="00CA4482" w:rsidRPr="008302EC" w:rsidRDefault="00CA4482" w:rsidP="00C21633">
            <w:pPr>
              <w:autoSpaceDE w:val="0"/>
              <w:autoSpaceDN w:val="0"/>
              <w:adjustRightInd w:val="0"/>
              <w:jc w:val="center"/>
              <w:rPr>
                <w:rFonts w:asciiTheme="majorHAnsi" w:hAnsiTheme="majorHAnsi" w:cstheme="minorHAnsi"/>
                <w:color w:val="000000" w:themeColor="text1"/>
                <w:sz w:val="24"/>
                <w:szCs w:val="24"/>
              </w:rPr>
            </w:pPr>
          </w:p>
        </w:tc>
        <w:tc>
          <w:tcPr>
            <w:tcW w:w="2785" w:type="dxa"/>
          </w:tcPr>
          <w:p w:rsidR="00CA4482" w:rsidRPr="008302EC" w:rsidRDefault="00CA4482" w:rsidP="00C21633">
            <w:pPr>
              <w:jc w:val="center"/>
              <w:rPr>
                <w:rFonts w:asciiTheme="majorHAnsi" w:hAnsiTheme="majorHAnsi" w:cstheme="minorHAnsi"/>
                <w:color w:val="000000" w:themeColor="text1"/>
                <w:sz w:val="24"/>
                <w:szCs w:val="24"/>
              </w:rPr>
            </w:pPr>
            <w:r w:rsidRPr="008302EC">
              <w:rPr>
                <w:rFonts w:asciiTheme="majorHAnsi" w:hAnsiTheme="majorHAnsi" w:cs="Calibri"/>
                <w:color w:val="000000"/>
                <w:sz w:val="24"/>
                <w:szCs w:val="24"/>
              </w:rPr>
              <w:t>$</w:t>
            </w:r>
            <w:r w:rsidR="00894E0E">
              <w:rPr>
                <w:rFonts w:asciiTheme="majorHAnsi" w:hAnsiTheme="majorHAnsi"/>
                <w:sz w:val="24"/>
                <w:szCs w:val="24"/>
              </w:rPr>
              <w:t>24,06.06</w:t>
            </w:r>
          </w:p>
        </w:tc>
      </w:tr>
    </w:tbl>
    <w:p w:rsidR="00CA4482" w:rsidRDefault="00CA4482" w:rsidP="00B9626B">
      <w:pPr>
        <w:autoSpaceDE w:val="0"/>
        <w:autoSpaceDN w:val="0"/>
        <w:adjustRightInd w:val="0"/>
        <w:spacing w:line="240" w:lineRule="auto"/>
        <w:rPr>
          <w:rFonts w:asciiTheme="majorHAnsi" w:hAnsiTheme="majorHAnsi" w:cstheme="minorHAnsi"/>
          <w:color w:val="000000" w:themeColor="text1"/>
          <w:sz w:val="24"/>
          <w:szCs w:val="24"/>
        </w:rPr>
      </w:pPr>
    </w:p>
    <w:p w:rsidR="00B45002" w:rsidRPr="00BC7B93" w:rsidRDefault="00601F1A" w:rsidP="00601F1A">
      <w:pPr>
        <w:pStyle w:val="Heading1"/>
        <w:rPr>
          <w:rFonts w:asciiTheme="majorHAnsi" w:hAnsiTheme="majorHAnsi" w:cstheme="minorHAnsi"/>
          <w:sz w:val="28"/>
          <w:szCs w:val="28"/>
        </w:rPr>
      </w:pPr>
      <w:bookmarkStart w:id="24" w:name="_Toc601059"/>
      <w:r w:rsidRPr="00052532">
        <w:rPr>
          <w:rFonts w:asciiTheme="majorHAnsi" w:hAnsiTheme="majorHAnsi" w:cstheme="minorHAnsi"/>
          <w:sz w:val="28"/>
          <w:szCs w:val="28"/>
        </w:rPr>
        <w:t>A.</w:t>
      </w:r>
      <w:r w:rsidR="00AC62CC" w:rsidRPr="00052532">
        <w:rPr>
          <w:rFonts w:asciiTheme="majorHAnsi" w:hAnsiTheme="majorHAnsi" w:cstheme="minorHAnsi"/>
          <w:sz w:val="28"/>
          <w:szCs w:val="28"/>
        </w:rPr>
        <w:t>13</w:t>
      </w:r>
      <w:r w:rsidR="00B259C7" w:rsidRPr="00052532">
        <w:rPr>
          <w:rFonts w:asciiTheme="majorHAnsi" w:hAnsiTheme="majorHAnsi" w:cstheme="minorHAnsi"/>
          <w:sz w:val="28"/>
          <w:szCs w:val="28"/>
        </w:rPr>
        <w:t>. Estimates</w:t>
      </w:r>
      <w:r w:rsidR="00B45002" w:rsidRPr="00052532">
        <w:rPr>
          <w:rFonts w:asciiTheme="majorHAnsi" w:hAnsiTheme="majorHAnsi" w:cstheme="minorHAnsi"/>
          <w:sz w:val="28"/>
          <w:szCs w:val="28"/>
        </w:rPr>
        <w:t xml:space="preserve"> of Other Total Annual Cost Burden to Respondents and</w:t>
      </w:r>
      <w:r w:rsidR="00B45002" w:rsidRPr="00BC7B93">
        <w:rPr>
          <w:rFonts w:asciiTheme="majorHAnsi" w:hAnsiTheme="majorHAnsi" w:cstheme="minorHAnsi"/>
          <w:sz w:val="28"/>
          <w:szCs w:val="28"/>
        </w:rPr>
        <w:t xml:space="preserve"> </w:t>
      </w:r>
      <w:r w:rsidR="00B45002" w:rsidRPr="00052532">
        <w:rPr>
          <w:rFonts w:asciiTheme="majorHAnsi" w:hAnsiTheme="majorHAnsi" w:cstheme="minorHAnsi"/>
          <w:sz w:val="28"/>
          <w:szCs w:val="28"/>
        </w:rPr>
        <w:t>Record Keepers</w:t>
      </w:r>
      <w:bookmarkEnd w:id="24"/>
    </w:p>
    <w:p w:rsidR="00F1279E" w:rsidRPr="00B259C7" w:rsidRDefault="00F1279E" w:rsidP="00ED72E9">
      <w:pPr>
        <w:autoSpaceDE w:val="0"/>
        <w:autoSpaceDN w:val="0"/>
        <w:adjustRightInd w:val="0"/>
        <w:spacing w:after="0" w:line="240" w:lineRule="auto"/>
        <w:rPr>
          <w:rFonts w:asciiTheme="majorHAnsi" w:hAnsiTheme="majorHAnsi" w:cstheme="minorHAnsi"/>
          <w:color w:val="000000" w:themeColor="text1"/>
          <w:sz w:val="24"/>
          <w:szCs w:val="24"/>
        </w:rPr>
      </w:pPr>
    </w:p>
    <w:p w:rsidR="0040727B" w:rsidRPr="00B259C7" w:rsidRDefault="0040727B" w:rsidP="00ED72E9">
      <w:pPr>
        <w:autoSpaceDE w:val="0"/>
        <w:autoSpaceDN w:val="0"/>
        <w:adjustRightInd w:val="0"/>
        <w:spacing w:after="0" w:line="240" w:lineRule="auto"/>
        <w:rPr>
          <w:rFonts w:asciiTheme="majorHAnsi" w:hAnsiTheme="majorHAnsi" w:cstheme="minorHAnsi"/>
          <w:color w:val="000000" w:themeColor="text1"/>
          <w:sz w:val="24"/>
          <w:szCs w:val="24"/>
        </w:rPr>
      </w:pPr>
      <w:r w:rsidRPr="00B259C7">
        <w:rPr>
          <w:rFonts w:asciiTheme="majorHAnsi" w:hAnsiTheme="majorHAnsi" w:cstheme="minorHAnsi"/>
          <w:color w:val="000000" w:themeColor="text1"/>
          <w:sz w:val="24"/>
          <w:szCs w:val="24"/>
        </w:rPr>
        <w:t>There are no additional burden costs to respondents and record keepers. ATSDR is supplying all materials for the certificat</w:t>
      </w:r>
      <w:r w:rsidR="000B4969">
        <w:rPr>
          <w:rFonts w:asciiTheme="majorHAnsi" w:hAnsiTheme="majorHAnsi" w:cstheme="minorHAnsi"/>
          <w:color w:val="000000" w:themeColor="text1"/>
          <w:sz w:val="24"/>
          <w:szCs w:val="24"/>
        </w:rPr>
        <w:t>e</w:t>
      </w:r>
      <w:r w:rsidRPr="00B259C7">
        <w:rPr>
          <w:rFonts w:asciiTheme="majorHAnsi" w:hAnsiTheme="majorHAnsi" w:cstheme="minorHAnsi"/>
          <w:color w:val="000000" w:themeColor="text1"/>
          <w:sz w:val="24"/>
          <w:szCs w:val="24"/>
        </w:rPr>
        <w:t xml:space="preserve"> course. There are no start-up costs.</w:t>
      </w:r>
    </w:p>
    <w:p w:rsidR="009E6657" w:rsidRDefault="009E6657" w:rsidP="009E6657">
      <w:pPr>
        <w:rPr>
          <w:rFonts w:asciiTheme="majorHAnsi" w:hAnsiTheme="majorHAnsi" w:cstheme="minorHAnsi"/>
          <w:sz w:val="28"/>
          <w:szCs w:val="28"/>
        </w:rPr>
      </w:pPr>
    </w:p>
    <w:p w:rsidR="00B45002" w:rsidRPr="00B9626B" w:rsidRDefault="00601F1A" w:rsidP="009E6657">
      <w:pPr>
        <w:rPr>
          <w:rFonts w:asciiTheme="majorHAnsi" w:hAnsiTheme="majorHAnsi" w:cstheme="minorHAnsi"/>
          <w:sz w:val="28"/>
          <w:szCs w:val="28"/>
        </w:rPr>
      </w:pPr>
      <w:r w:rsidRPr="00B9626B">
        <w:rPr>
          <w:rFonts w:asciiTheme="majorHAnsi" w:hAnsiTheme="majorHAnsi" w:cstheme="minorHAnsi"/>
          <w:sz w:val="28"/>
          <w:szCs w:val="28"/>
        </w:rPr>
        <w:t>A.</w:t>
      </w:r>
      <w:r w:rsidR="00AC62CC" w:rsidRPr="00B9626B">
        <w:rPr>
          <w:rFonts w:asciiTheme="majorHAnsi" w:hAnsiTheme="majorHAnsi" w:cstheme="minorHAnsi"/>
          <w:sz w:val="28"/>
          <w:szCs w:val="28"/>
        </w:rPr>
        <w:t>14</w:t>
      </w:r>
      <w:r w:rsidR="00B259C7" w:rsidRPr="00B9626B">
        <w:rPr>
          <w:rFonts w:asciiTheme="majorHAnsi" w:hAnsiTheme="majorHAnsi" w:cstheme="minorHAnsi"/>
          <w:sz w:val="28"/>
          <w:szCs w:val="28"/>
        </w:rPr>
        <w:t>. Annualized</w:t>
      </w:r>
      <w:r w:rsidR="00B45002" w:rsidRPr="00B9626B">
        <w:rPr>
          <w:rFonts w:asciiTheme="majorHAnsi" w:hAnsiTheme="majorHAnsi" w:cstheme="minorHAnsi"/>
          <w:sz w:val="28"/>
          <w:szCs w:val="28"/>
        </w:rPr>
        <w:t xml:space="preserve"> Cost to the Federal Government</w:t>
      </w:r>
    </w:p>
    <w:p w:rsidR="00881DDA" w:rsidRPr="00B9626B" w:rsidRDefault="00881DDA" w:rsidP="00DA5A96">
      <w:pPr>
        <w:rPr>
          <w:rFonts w:asciiTheme="majorHAnsi" w:hAnsiTheme="majorHAnsi" w:cstheme="minorHAnsi"/>
          <w:color w:val="000000" w:themeColor="text1"/>
          <w:sz w:val="22"/>
          <w:szCs w:val="22"/>
        </w:rPr>
      </w:pPr>
    </w:p>
    <w:p w:rsidR="007873F5" w:rsidRPr="00B259C7" w:rsidRDefault="00881DDA" w:rsidP="007873F5">
      <w:pPr>
        <w:rPr>
          <w:rFonts w:asciiTheme="majorHAnsi" w:hAnsiTheme="majorHAnsi"/>
          <w:sz w:val="24"/>
          <w:szCs w:val="24"/>
        </w:rPr>
      </w:pPr>
      <w:r w:rsidRPr="00B259C7">
        <w:rPr>
          <w:rFonts w:asciiTheme="majorHAnsi" w:hAnsiTheme="majorHAnsi"/>
          <w:sz w:val="24"/>
          <w:szCs w:val="24"/>
        </w:rPr>
        <w:t xml:space="preserve">ATSDR has already created all materials that will be used in the certification course. NEHA has </w:t>
      </w:r>
      <w:r w:rsidR="00C860F5" w:rsidRPr="00B259C7">
        <w:rPr>
          <w:rFonts w:asciiTheme="majorHAnsi" w:hAnsiTheme="majorHAnsi"/>
          <w:sz w:val="24"/>
          <w:szCs w:val="24"/>
        </w:rPr>
        <w:t xml:space="preserve">been awarded </w:t>
      </w:r>
      <w:r w:rsidRPr="00B259C7">
        <w:rPr>
          <w:rFonts w:asciiTheme="majorHAnsi" w:hAnsiTheme="majorHAnsi"/>
          <w:sz w:val="24"/>
          <w:szCs w:val="24"/>
        </w:rPr>
        <w:t xml:space="preserve">a contract </w:t>
      </w:r>
      <w:r w:rsidR="00C860F5" w:rsidRPr="00B259C7">
        <w:rPr>
          <w:rFonts w:asciiTheme="majorHAnsi" w:hAnsiTheme="majorHAnsi"/>
          <w:sz w:val="24"/>
          <w:szCs w:val="24"/>
        </w:rPr>
        <w:t xml:space="preserve">amount of $157,858.63 </w:t>
      </w:r>
      <w:r w:rsidRPr="00B259C7">
        <w:rPr>
          <w:rFonts w:asciiTheme="majorHAnsi" w:hAnsiTheme="majorHAnsi"/>
          <w:sz w:val="24"/>
          <w:szCs w:val="24"/>
        </w:rPr>
        <w:t>from ATSDR to produce the course</w:t>
      </w:r>
      <w:r w:rsidR="00F2700B">
        <w:rPr>
          <w:rFonts w:asciiTheme="majorHAnsi" w:hAnsiTheme="majorHAnsi"/>
          <w:sz w:val="24"/>
          <w:szCs w:val="24"/>
        </w:rPr>
        <w:t xml:space="preserve"> in a training format</w:t>
      </w:r>
      <w:r w:rsidRPr="00B259C7">
        <w:rPr>
          <w:rFonts w:asciiTheme="majorHAnsi" w:hAnsiTheme="majorHAnsi"/>
          <w:sz w:val="24"/>
          <w:szCs w:val="24"/>
        </w:rPr>
        <w:t xml:space="preserve">. ATSDR’s Project Officer overseeing the development of the certification course estimates </w:t>
      </w:r>
      <w:r w:rsidR="00C860F5" w:rsidRPr="00B259C7">
        <w:rPr>
          <w:rFonts w:asciiTheme="majorHAnsi" w:hAnsiTheme="majorHAnsi"/>
          <w:sz w:val="24"/>
          <w:szCs w:val="24"/>
        </w:rPr>
        <w:t>a contribution of 2</w:t>
      </w:r>
      <w:r w:rsidRPr="00B259C7">
        <w:rPr>
          <w:rFonts w:asciiTheme="majorHAnsi" w:hAnsiTheme="majorHAnsi"/>
          <w:sz w:val="24"/>
          <w:szCs w:val="24"/>
        </w:rPr>
        <w:t xml:space="preserve"> hours per week over 20 weeks to the course development, and then 1 hour per week for the next 30 weeks to monitor progress of the course developmen</w:t>
      </w:r>
      <w:r w:rsidR="00C860F5" w:rsidRPr="00B259C7">
        <w:rPr>
          <w:rFonts w:asciiTheme="majorHAnsi" w:hAnsiTheme="majorHAnsi"/>
          <w:sz w:val="24"/>
          <w:szCs w:val="24"/>
        </w:rPr>
        <w:t>t. The Project Officer estimates</w:t>
      </w:r>
      <w:r w:rsidRPr="00B259C7">
        <w:rPr>
          <w:rFonts w:asciiTheme="majorHAnsi" w:hAnsiTheme="majorHAnsi"/>
          <w:sz w:val="24"/>
          <w:szCs w:val="24"/>
        </w:rPr>
        <w:t xml:space="preserve"> a contribution of 1 hour per week for 50 weeks during year</w:t>
      </w:r>
      <w:r w:rsidR="00C860F5" w:rsidRPr="00B259C7">
        <w:rPr>
          <w:rFonts w:asciiTheme="majorHAnsi" w:hAnsiTheme="majorHAnsi"/>
          <w:sz w:val="24"/>
          <w:szCs w:val="24"/>
        </w:rPr>
        <w:t>s</w:t>
      </w:r>
      <w:r w:rsidRPr="00B259C7">
        <w:rPr>
          <w:rFonts w:asciiTheme="majorHAnsi" w:hAnsiTheme="majorHAnsi"/>
          <w:sz w:val="24"/>
          <w:szCs w:val="24"/>
        </w:rPr>
        <w:t xml:space="preserve"> two </w:t>
      </w:r>
      <w:r w:rsidR="00C860F5" w:rsidRPr="00B259C7">
        <w:rPr>
          <w:rFonts w:asciiTheme="majorHAnsi" w:hAnsiTheme="majorHAnsi"/>
          <w:sz w:val="24"/>
          <w:szCs w:val="24"/>
        </w:rPr>
        <w:t xml:space="preserve">and three </w:t>
      </w:r>
      <w:r w:rsidRPr="00B259C7">
        <w:rPr>
          <w:rFonts w:asciiTheme="majorHAnsi" w:hAnsiTheme="majorHAnsi"/>
          <w:sz w:val="24"/>
          <w:szCs w:val="24"/>
        </w:rPr>
        <w:t>of the certification course to monitor course progress, analyze participant information, and to potentially create a white paper</w:t>
      </w:r>
      <w:r w:rsidR="00C860F5" w:rsidRPr="00B259C7">
        <w:rPr>
          <w:rFonts w:asciiTheme="majorHAnsi" w:hAnsiTheme="majorHAnsi"/>
          <w:sz w:val="24"/>
          <w:szCs w:val="24"/>
        </w:rPr>
        <w:t>, presentations, and/</w:t>
      </w:r>
      <w:r w:rsidRPr="00B259C7">
        <w:rPr>
          <w:rFonts w:asciiTheme="majorHAnsi" w:hAnsiTheme="majorHAnsi"/>
          <w:sz w:val="24"/>
          <w:szCs w:val="24"/>
        </w:rPr>
        <w:t xml:space="preserve">or commentary describing the certification course. Using </w:t>
      </w:r>
      <w:r w:rsidR="00C860F5" w:rsidRPr="00B259C7">
        <w:rPr>
          <w:rFonts w:asciiTheme="majorHAnsi" w:hAnsiTheme="majorHAnsi"/>
          <w:sz w:val="24"/>
          <w:szCs w:val="24"/>
        </w:rPr>
        <w:t>a pay rate</w:t>
      </w:r>
      <w:r w:rsidRPr="00B259C7">
        <w:rPr>
          <w:rFonts w:asciiTheme="majorHAnsi" w:hAnsiTheme="majorHAnsi"/>
          <w:sz w:val="24"/>
          <w:szCs w:val="24"/>
        </w:rPr>
        <w:t xml:space="preserve"> of $45/hour, the total costs for the Project Officer during year one </w:t>
      </w:r>
      <w:r w:rsidR="00C860F5" w:rsidRPr="00B259C7">
        <w:rPr>
          <w:rFonts w:asciiTheme="majorHAnsi" w:hAnsiTheme="majorHAnsi"/>
          <w:sz w:val="24"/>
          <w:szCs w:val="24"/>
        </w:rPr>
        <w:t>are projected to be $3,1</w:t>
      </w:r>
      <w:r w:rsidRPr="00B259C7">
        <w:rPr>
          <w:rFonts w:asciiTheme="majorHAnsi" w:hAnsiTheme="majorHAnsi"/>
          <w:sz w:val="24"/>
          <w:szCs w:val="24"/>
        </w:rPr>
        <w:t xml:space="preserve">50.00. </w:t>
      </w:r>
      <w:r w:rsidR="00C860F5" w:rsidRPr="00B259C7">
        <w:rPr>
          <w:rFonts w:asciiTheme="majorHAnsi" w:hAnsiTheme="majorHAnsi"/>
          <w:sz w:val="24"/>
          <w:szCs w:val="24"/>
        </w:rPr>
        <w:t>During years two and three, the total costs for the Project Officer are projected to be $2,250.00 each year. The total annualized Project Officer costs are projected to be $7,650 over the three-year period</w:t>
      </w:r>
      <w:r w:rsidR="00A8016E" w:rsidRPr="00B259C7">
        <w:rPr>
          <w:rFonts w:asciiTheme="majorHAnsi" w:hAnsiTheme="majorHAnsi"/>
          <w:sz w:val="24"/>
          <w:szCs w:val="24"/>
        </w:rPr>
        <w:t>, or an average of $2,550 per year</w:t>
      </w:r>
      <w:r w:rsidR="00C860F5" w:rsidRPr="00B259C7">
        <w:rPr>
          <w:rFonts w:asciiTheme="majorHAnsi" w:hAnsiTheme="majorHAnsi"/>
          <w:sz w:val="24"/>
          <w:szCs w:val="24"/>
        </w:rPr>
        <w:t>.</w:t>
      </w:r>
    </w:p>
    <w:p w:rsidR="00B259C7" w:rsidRDefault="00B259C7" w:rsidP="007873F5">
      <w:pPr>
        <w:rPr>
          <w:rFonts w:asciiTheme="majorHAnsi" w:hAnsiTheme="majorHAnsi"/>
          <w:sz w:val="22"/>
          <w:szCs w:val="22"/>
        </w:rPr>
      </w:pPr>
    </w:p>
    <w:p w:rsidR="00403D2D" w:rsidRPr="007873F5" w:rsidRDefault="00403D2D" w:rsidP="007873F5">
      <w:pPr>
        <w:rPr>
          <w:rFonts w:asciiTheme="majorHAnsi" w:hAnsiTheme="majorHAnsi"/>
          <w:sz w:val="22"/>
          <w:szCs w:val="22"/>
        </w:rPr>
      </w:pPr>
      <w:r w:rsidRPr="00052532">
        <w:rPr>
          <w:rFonts w:asciiTheme="majorHAnsi" w:eastAsia="SimSun" w:hAnsiTheme="majorHAnsi"/>
          <w:sz w:val="24"/>
          <w:szCs w:val="24"/>
          <w:lang w:eastAsia="zh-CN"/>
        </w:rPr>
        <w:t xml:space="preserve">Table 14.1-Estimated </w:t>
      </w:r>
      <w:r w:rsidRPr="00052532">
        <w:rPr>
          <w:rFonts w:asciiTheme="majorHAnsi" w:hAnsiTheme="majorHAnsi"/>
          <w:sz w:val="24"/>
          <w:szCs w:val="24"/>
        </w:rPr>
        <w:t>Annualized Cost to the Federal Government</w:t>
      </w:r>
    </w:p>
    <w:tbl>
      <w:tblPr>
        <w:tblW w:w="1035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48"/>
        <w:gridCol w:w="5102"/>
      </w:tblGrid>
      <w:tr w:rsidR="00403D2D" w:rsidRPr="00BA45F6" w:rsidTr="00052532">
        <w:trPr>
          <w:trHeight w:val="430"/>
        </w:trPr>
        <w:tc>
          <w:tcPr>
            <w:tcW w:w="5248" w:type="dxa"/>
          </w:tcPr>
          <w:p w:rsidR="00403D2D" w:rsidRPr="003D4E99" w:rsidRDefault="00403D2D" w:rsidP="00D80A54">
            <w:pPr>
              <w:adjustRightInd w:val="0"/>
              <w:rPr>
                <w:rFonts w:asciiTheme="majorHAnsi" w:eastAsia="SimSun" w:hAnsiTheme="majorHAnsi"/>
                <w:sz w:val="24"/>
                <w:szCs w:val="24"/>
                <w:lang w:eastAsia="zh-CN"/>
              </w:rPr>
            </w:pPr>
            <w:r w:rsidRPr="003D4E99">
              <w:rPr>
                <w:rFonts w:asciiTheme="majorHAnsi" w:eastAsia="SimSun" w:hAnsiTheme="majorHAnsi"/>
                <w:sz w:val="24"/>
                <w:szCs w:val="24"/>
                <w:lang w:eastAsia="zh-CN"/>
              </w:rPr>
              <w:t>Expenditure</w:t>
            </w:r>
          </w:p>
        </w:tc>
        <w:tc>
          <w:tcPr>
            <w:tcW w:w="5102" w:type="dxa"/>
          </w:tcPr>
          <w:p w:rsidR="00403D2D" w:rsidRPr="003D4E99" w:rsidRDefault="00403D2D" w:rsidP="00EA6062">
            <w:pPr>
              <w:adjustRightInd w:val="0"/>
              <w:jc w:val="center"/>
              <w:rPr>
                <w:rFonts w:asciiTheme="majorHAnsi" w:eastAsia="SimSun" w:hAnsiTheme="majorHAnsi"/>
                <w:sz w:val="24"/>
                <w:szCs w:val="24"/>
                <w:lang w:eastAsia="zh-CN"/>
              </w:rPr>
            </w:pPr>
            <w:r w:rsidRPr="003D4E99">
              <w:rPr>
                <w:rFonts w:asciiTheme="majorHAnsi" w:eastAsia="SimSun" w:hAnsiTheme="majorHAnsi"/>
                <w:sz w:val="24"/>
                <w:szCs w:val="24"/>
                <w:lang w:eastAsia="zh-CN"/>
              </w:rPr>
              <w:t>Cost</w:t>
            </w:r>
          </w:p>
        </w:tc>
      </w:tr>
      <w:tr w:rsidR="00403D2D" w:rsidRPr="00BA45F6" w:rsidTr="00052532">
        <w:trPr>
          <w:trHeight w:val="430"/>
        </w:trPr>
        <w:tc>
          <w:tcPr>
            <w:tcW w:w="5248" w:type="dxa"/>
          </w:tcPr>
          <w:p w:rsidR="00403D2D" w:rsidRPr="003D4E99" w:rsidRDefault="00B44585" w:rsidP="00D80A54">
            <w:pPr>
              <w:adjustRightInd w:val="0"/>
              <w:rPr>
                <w:rFonts w:asciiTheme="majorHAnsi" w:eastAsia="SimSun" w:hAnsiTheme="majorHAnsi"/>
                <w:sz w:val="24"/>
                <w:szCs w:val="24"/>
                <w:lang w:eastAsia="zh-CN"/>
              </w:rPr>
            </w:pPr>
            <w:r w:rsidRPr="003D4E99">
              <w:rPr>
                <w:rFonts w:asciiTheme="majorHAnsi" w:eastAsia="SimSun" w:hAnsiTheme="majorHAnsi"/>
                <w:sz w:val="24"/>
                <w:szCs w:val="24"/>
                <w:lang w:eastAsia="zh-CN"/>
              </w:rPr>
              <w:t>Contract</w:t>
            </w:r>
          </w:p>
        </w:tc>
        <w:tc>
          <w:tcPr>
            <w:tcW w:w="5102" w:type="dxa"/>
          </w:tcPr>
          <w:p w:rsidR="00403D2D" w:rsidRPr="003D4E99" w:rsidRDefault="0099632A" w:rsidP="0044331E">
            <w:pPr>
              <w:adjustRightInd w:val="0"/>
              <w:jc w:val="center"/>
              <w:rPr>
                <w:rFonts w:asciiTheme="majorHAnsi" w:eastAsia="SimSun" w:hAnsiTheme="majorHAnsi"/>
                <w:sz w:val="24"/>
                <w:szCs w:val="24"/>
                <w:lang w:eastAsia="zh-CN"/>
              </w:rPr>
            </w:pPr>
            <w:r w:rsidRPr="003D4E99">
              <w:rPr>
                <w:rFonts w:asciiTheme="majorHAnsi" w:hAnsiTheme="majorHAnsi"/>
                <w:sz w:val="24"/>
                <w:szCs w:val="24"/>
              </w:rPr>
              <w:t>$</w:t>
            </w:r>
            <w:r w:rsidR="0044331E">
              <w:rPr>
                <w:rFonts w:asciiTheme="majorHAnsi" w:hAnsiTheme="majorHAnsi"/>
                <w:sz w:val="24"/>
                <w:szCs w:val="24"/>
              </w:rPr>
              <w:t>52, 619.54</w:t>
            </w:r>
          </w:p>
        </w:tc>
      </w:tr>
      <w:tr w:rsidR="00403D2D" w:rsidRPr="00BA45F6" w:rsidTr="00052532">
        <w:trPr>
          <w:trHeight w:val="430"/>
        </w:trPr>
        <w:tc>
          <w:tcPr>
            <w:tcW w:w="5248" w:type="dxa"/>
          </w:tcPr>
          <w:p w:rsidR="00403D2D" w:rsidRPr="003D4E99" w:rsidRDefault="00B44585" w:rsidP="00D80A54">
            <w:pPr>
              <w:adjustRightInd w:val="0"/>
              <w:rPr>
                <w:rFonts w:asciiTheme="majorHAnsi" w:eastAsia="SimSun" w:hAnsiTheme="majorHAnsi"/>
                <w:sz w:val="24"/>
                <w:szCs w:val="24"/>
                <w:lang w:eastAsia="zh-CN"/>
              </w:rPr>
            </w:pPr>
            <w:r w:rsidRPr="003D4E99">
              <w:rPr>
                <w:rFonts w:asciiTheme="majorHAnsi" w:eastAsia="SimSun" w:hAnsiTheme="majorHAnsi"/>
                <w:sz w:val="24"/>
                <w:szCs w:val="24"/>
                <w:lang w:eastAsia="zh-CN"/>
              </w:rPr>
              <w:t>ATSDR Salary</w:t>
            </w:r>
          </w:p>
        </w:tc>
        <w:tc>
          <w:tcPr>
            <w:tcW w:w="5102" w:type="dxa"/>
          </w:tcPr>
          <w:p w:rsidR="00403D2D" w:rsidRPr="003D4E99" w:rsidRDefault="0099632A" w:rsidP="003D4E99">
            <w:pPr>
              <w:adjustRightInd w:val="0"/>
              <w:jc w:val="center"/>
              <w:rPr>
                <w:rFonts w:asciiTheme="majorHAnsi" w:eastAsia="SimSun" w:hAnsiTheme="majorHAnsi"/>
                <w:sz w:val="24"/>
                <w:szCs w:val="24"/>
                <w:lang w:eastAsia="zh-CN"/>
              </w:rPr>
            </w:pPr>
            <w:r w:rsidRPr="003D4E99">
              <w:rPr>
                <w:rFonts w:asciiTheme="majorHAnsi" w:hAnsiTheme="majorHAnsi"/>
                <w:sz w:val="24"/>
                <w:szCs w:val="24"/>
              </w:rPr>
              <w:t>$2,550</w:t>
            </w:r>
          </w:p>
        </w:tc>
      </w:tr>
      <w:tr w:rsidR="00403D2D" w:rsidRPr="00BA45F6" w:rsidTr="00052532">
        <w:trPr>
          <w:trHeight w:val="430"/>
        </w:trPr>
        <w:tc>
          <w:tcPr>
            <w:tcW w:w="5248" w:type="dxa"/>
            <w:vAlign w:val="center"/>
          </w:tcPr>
          <w:p w:rsidR="00403D2D" w:rsidRPr="003D4E99" w:rsidRDefault="00B44585" w:rsidP="00D80A54">
            <w:pPr>
              <w:rPr>
                <w:rFonts w:asciiTheme="majorHAnsi" w:eastAsia="SimSun" w:hAnsiTheme="majorHAnsi"/>
                <w:sz w:val="24"/>
                <w:szCs w:val="24"/>
                <w:lang w:eastAsia="zh-CN"/>
              </w:rPr>
            </w:pPr>
            <w:r w:rsidRPr="003D4E99">
              <w:rPr>
                <w:rFonts w:asciiTheme="majorHAnsi" w:eastAsia="SimSun" w:hAnsiTheme="majorHAnsi"/>
                <w:sz w:val="24"/>
                <w:szCs w:val="24"/>
                <w:lang w:eastAsia="zh-CN"/>
              </w:rPr>
              <w:t xml:space="preserve">Travel for </w:t>
            </w:r>
            <w:r w:rsidR="00CC5058" w:rsidRPr="003D4E99">
              <w:rPr>
                <w:rFonts w:asciiTheme="majorHAnsi" w:eastAsia="SimSun" w:hAnsiTheme="majorHAnsi"/>
                <w:sz w:val="24"/>
                <w:szCs w:val="24"/>
                <w:lang w:eastAsia="zh-CN"/>
              </w:rPr>
              <w:t>S</w:t>
            </w:r>
            <w:r w:rsidRPr="003D4E99">
              <w:rPr>
                <w:rFonts w:asciiTheme="majorHAnsi" w:eastAsia="SimSun" w:hAnsiTheme="majorHAnsi"/>
                <w:sz w:val="24"/>
                <w:szCs w:val="24"/>
                <w:lang w:eastAsia="zh-CN"/>
              </w:rPr>
              <w:t xml:space="preserve">ite </w:t>
            </w:r>
            <w:r w:rsidR="00CC5058" w:rsidRPr="003D4E99">
              <w:rPr>
                <w:rFonts w:asciiTheme="majorHAnsi" w:eastAsia="SimSun" w:hAnsiTheme="majorHAnsi"/>
                <w:sz w:val="24"/>
                <w:szCs w:val="24"/>
                <w:lang w:eastAsia="zh-CN"/>
              </w:rPr>
              <w:t>V</w:t>
            </w:r>
            <w:r w:rsidRPr="003D4E99">
              <w:rPr>
                <w:rFonts w:asciiTheme="majorHAnsi" w:eastAsia="SimSun" w:hAnsiTheme="majorHAnsi"/>
                <w:sz w:val="24"/>
                <w:szCs w:val="24"/>
                <w:lang w:eastAsia="zh-CN"/>
              </w:rPr>
              <w:t>isits</w:t>
            </w:r>
          </w:p>
        </w:tc>
        <w:tc>
          <w:tcPr>
            <w:tcW w:w="5102" w:type="dxa"/>
          </w:tcPr>
          <w:p w:rsidR="00403D2D" w:rsidRPr="003D4E99" w:rsidRDefault="0099632A" w:rsidP="003D4E99">
            <w:pPr>
              <w:adjustRightInd w:val="0"/>
              <w:jc w:val="center"/>
              <w:rPr>
                <w:rFonts w:asciiTheme="majorHAnsi" w:eastAsia="SimSun" w:hAnsiTheme="majorHAnsi"/>
                <w:sz w:val="24"/>
                <w:szCs w:val="24"/>
                <w:lang w:eastAsia="zh-CN"/>
              </w:rPr>
            </w:pPr>
            <w:r w:rsidRPr="003D4E99">
              <w:rPr>
                <w:rFonts w:asciiTheme="majorHAnsi" w:eastAsia="SimSun" w:hAnsiTheme="majorHAnsi"/>
                <w:sz w:val="24"/>
                <w:szCs w:val="24"/>
                <w:lang w:eastAsia="zh-CN"/>
              </w:rPr>
              <w:t>$0</w:t>
            </w:r>
          </w:p>
        </w:tc>
      </w:tr>
      <w:tr w:rsidR="00752856" w:rsidRPr="00BA45F6" w:rsidTr="009F52A9">
        <w:trPr>
          <w:trHeight w:val="485"/>
        </w:trPr>
        <w:tc>
          <w:tcPr>
            <w:tcW w:w="5248" w:type="dxa"/>
            <w:vAlign w:val="center"/>
          </w:tcPr>
          <w:p w:rsidR="00752856" w:rsidRPr="003D4E99" w:rsidRDefault="00752856" w:rsidP="00D80A54">
            <w:pPr>
              <w:rPr>
                <w:rFonts w:asciiTheme="majorHAnsi" w:eastAsia="SimSun" w:hAnsiTheme="majorHAnsi"/>
                <w:sz w:val="24"/>
                <w:szCs w:val="24"/>
                <w:lang w:eastAsia="zh-CN"/>
              </w:rPr>
            </w:pPr>
            <w:r w:rsidRPr="003D4E99">
              <w:rPr>
                <w:rFonts w:asciiTheme="majorHAnsi" w:hAnsiTheme="majorHAnsi"/>
                <w:sz w:val="24"/>
                <w:szCs w:val="24"/>
              </w:rPr>
              <w:t xml:space="preserve">Total       </w:t>
            </w:r>
          </w:p>
        </w:tc>
        <w:tc>
          <w:tcPr>
            <w:tcW w:w="5102" w:type="dxa"/>
          </w:tcPr>
          <w:p w:rsidR="00752856" w:rsidRPr="003D4E99" w:rsidRDefault="00752856" w:rsidP="003D4E99">
            <w:pPr>
              <w:jc w:val="center"/>
              <w:rPr>
                <w:rFonts w:asciiTheme="majorHAnsi" w:eastAsia="Times New Roman" w:hAnsiTheme="majorHAnsi" w:cs="Calibri"/>
                <w:color w:val="000000"/>
                <w:sz w:val="24"/>
                <w:szCs w:val="24"/>
              </w:rPr>
            </w:pPr>
            <w:r w:rsidRPr="003D4E99">
              <w:rPr>
                <w:rFonts w:asciiTheme="majorHAnsi" w:eastAsia="Times New Roman" w:hAnsiTheme="majorHAnsi" w:cs="Calibri"/>
                <w:color w:val="000000"/>
                <w:sz w:val="24"/>
                <w:szCs w:val="24"/>
              </w:rPr>
              <w:t>$</w:t>
            </w:r>
            <w:r w:rsidR="0044331E">
              <w:rPr>
                <w:rFonts w:asciiTheme="majorHAnsi" w:eastAsia="Times New Roman" w:hAnsiTheme="majorHAnsi" w:cs="Calibri"/>
                <w:color w:val="000000"/>
                <w:sz w:val="24"/>
                <w:szCs w:val="24"/>
              </w:rPr>
              <w:t>55,169</w:t>
            </w:r>
          </w:p>
          <w:p w:rsidR="00752856" w:rsidRPr="003D4E99" w:rsidRDefault="00752856" w:rsidP="003D4E99">
            <w:pPr>
              <w:adjustRightInd w:val="0"/>
              <w:jc w:val="center"/>
              <w:rPr>
                <w:rFonts w:asciiTheme="majorHAnsi" w:eastAsia="SimSun" w:hAnsiTheme="majorHAnsi"/>
                <w:sz w:val="24"/>
                <w:szCs w:val="24"/>
                <w:lang w:eastAsia="zh-CN"/>
              </w:rPr>
            </w:pPr>
          </w:p>
        </w:tc>
      </w:tr>
    </w:tbl>
    <w:p w:rsidR="007B2E69" w:rsidRPr="007B2E69" w:rsidRDefault="007B2E69" w:rsidP="007B2E69">
      <w:pPr>
        <w:rPr>
          <w:rFonts w:ascii="Calibri" w:eastAsia="Times New Roman" w:hAnsi="Calibri" w:cs="Calibri"/>
          <w:color w:val="000000"/>
          <w:sz w:val="22"/>
          <w:szCs w:val="22"/>
        </w:rPr>
      </w:pPr>
      <w:r>
        <w:rPr>
          <w:rFonts w:asciiTheme="majorHAnsi" w:hAnsiTheme="majorHAnsi"/>
          <w:sz w:val="22"/>
          <w:szCs w:val="22"/>
        </w:rPr>
        <w:t xml:space="preserve">                                                                                                                           </w:t>
      </w:r>
    </w:p>
    <w:p w:rsidR="007F6CB2" w:rsidRPr="00B9626B" w:rsidRDefault="00C860F5" w:rsidP="00C860F5">
      <w:pPr>
        <w:pStyle w:val="Heading1"/>
        <w:rPr>
          <w:rFonts w:asciiTheme="majorHAnsi" w:hAnsiTheme="majorHAnsi" w:cstheme="minorHAnsi"/>
          <w:sz w:val="28"/>
          <w:szCs w:val="28"/>
        </w:rPr>
      </w:pPr>
      <w:bookmarkStart w:id="25" w:name="_Toc601060"/>
      <w:r w:rsidRPr="00B9626B">
        <w:rPr>
          <w:rFonts w:asciiTheme="majorHAnsi" w:hAnsiTheme="majorHAnsi" w:cstheme="minorHAnsi"/>
          <w:sz w:val="28"/>
          <w:szCs w:val="28"/>
        </w:rPr>
        <w:t>A.15.</w:t>
      </w:r>
      <w:r w:rsidRPr="00B9626B">
        <w:rPr>
          <w:rFonts w:asciiTheme="majorHAnsi" w:hAnsiTheme="majorHAnsi" w:cstheme="minorHAnsi"/>
          <w:sz w:val="28"/>
          <w:szCs w:val="28"/>
        </w:rPr>
        <w:tab/>
        <w:t>Explanation for Program Changes or Adjustments</w:t>
      </w:r>
      <w:bookmarkEnd w:id="25"/>
    </w:p>
    <w:p w:rsidR="00315136" w:rsidRDefault="00315136" w:rsidP="007F6CB2">
      <w:pPr>
        <w:spacing w:line="240" w:lineRule="auto"/>
        <w:rPr>
          <w:rFonts w:asciiTheme="majorHAnsi" w:hAnsiTheme="majorHAnsi" w:cstheme="minorHAnsi"/>
          <w:color w:val="000000" w:themeColor="text1"/>
          <w:sz w:val="24"/>
          <w:szCs w:val="24"/>
        </w:rPr>
      </w:pPr>
    </w:p>
    <w:p w:rsidR="00C860F5" w:rsidRPr="00B9626B" w:rsidRDefault="00C860F5" w:rsidP="007F6CB2">
      <w:pPr>
        <w:spacing w:line="240" w:lineRule="auto"/>
        <w:rPr>
          <w:rFonts w:asciiTheme="majorHAnsi" w:hAnsiTheme="majorHAnsi" w:cstheme="minorHAnsi"/>
          <w:color w:val="000000" w:themeColor="text1"/>
          <w:sz w:val="22"/>
          <w:szCs w:val="22"/>
        </w:rPr>
      </w:pPr>
      <w:r w:rsidRPr="007873F5">
        <w:rPr>
          <w:rFonts w:asciiTheme="majorHAnsi" w:hAnsiTheme="majorHAnsi" w:cstheme="minorHAnsi"/>
          <w:color w:val="000000" w:themeColor="text1"/>
          <w:sz w:val="24"/>
          <w:szCs w:val="24"/>
        </w:rPr>
        <w:t>There are no known program changes or adjustments at this time. This is a new data/information collection</w:t>
      </w:r>
      <w:r w:rsidRPr="00B9626B">
        <w:rPr>
          <w:rFonts w:asciiTheme="majorHAnsi" w:hAnsiTheme="majorHAnsi" w:cstheme="minorHAnsi"/>
          <w:color w:val="000000" w:themeColor="text1"/>
          <w:sz w:val="22"/>
          <w:szCs w:val="22"/>
        </w:rPr>
        <w:t>.</w:t>
      </w:r>
    </w:p>
    <w:p w:rsidR="00B45002" w:rsidRPr="00B9626B" w:rsidRDefault="00601F1A" w:rsidP="00601F1A">
      <w:pPr>
        <w:pStyle w:val="Heading1"/>
        <w:rPr>
          <w:rFonts w:asciiTheme="majorHAnsi" w:hAnsiTheme="majorHAnsi" w:cstheme="minorHAnsi"/>
          <w:sz w:val="28"/>
          <w:szCs w:val="28"/>
        </w:rPr>
      </w:pPr>
      <w:bookmarkStart w:id="26" w:name="_Toc601061"/>
      <w:r w:rsidRPr="00B9626B">
        <w:rPr>
          <w:rFonts w:asciiTheme="majorHAnsi" w:hAnsiTheme="majorHAnsi" w:cstheme="minorHAnsi"/>
          <w:sz w:val="28"/>
          <w:szCs w:val="28"/>
        </w:rPr>
        <w:t>A.</w:t>
      </w:r>
      <w:r w:rsidR="00AC62CC" w:rsidRPr="00B9626B">
        <w:rPr>
          <w:rFonts w:asciiTheme="majorHAnsi" w:hAnsiTheme="majorHAnsi" w:cstheme="minorHAnsi"/>
          <w:sz w:val="28"/>
          <w:szCs w:val="28"/>
        </w:rPr>
        <w:t>16</w:t>
      </w:r>
      <w:r w:rsidR="002725B7" w:rsidRPr="00B9626B">
        <w:rPr>
          <w:rFonts w:asciiTheme="majorHAnsi" w:hAnsiTheme="majorHAnsi" w:cstheme="minorHAnsi"/>
          <w:sz w:val="28"/>
          <w:szCs w:val="28"/>
        </w:rPr>
        <w:t>. Plans</w:t>
      </w:r>
      <w:r w:rsidR="00B45002" w:rsidRPr="00B9626B">
        <w:rPr>
          <w:rFonts w:asciiTheme="majorHAnsi" w:hAnsiTheme="majorHAnsi" w:cstheme="minorHAnsi"/>
          <w:sz w:val="28"/>
          <w:szCs w:val="28"/>
        </w:rPr>
        <w:t xml:space="preserve"> for Tabulation and Publication and Project Time Schedule</w:t>
      </w:r>
      <w:bookmarkEnd w:id="26"/>
    </w:p>
    <w:p w:rsidR="003248A4" w:rsidRPr="00B9626B" w:rsidRDefault="003248A4" w:rsidP="003248A4">
      <w:pPr>
        <w:rPr>
          <w:rFonts w:asciiTheme="majorHAnsi" w:hAnsiTheme="majorHAnsi" w:cstheme="minorHAnsi"/>
          <w:color w:val="000000" w:themeColor="text1"/>
          <w:sz w:val="22"/>
          <w:szCs w:val="22"/>
        </w:rPr>
      </w:pPr>
    </w:p>
    <w:p w:rsidR="005C011A" w:rsidRPr="007873F5" w:rsidRDefault="005C011A" w:rsidP="003248A4">
      <w:pPr>
        <w:rPr>
          <w:rFonts w:asciiTheme="majorHAnsi" w:hAnsiTheme="majorHAnsi" w:cstheme="minorHAnsi"/>
          <w:color w:val="000000" w:themeColor="text1"/>
          <w:sz w:val="24"/>
          <w:szCs w:val="24"/>
        </w:rPr>
      </w:pPr>
      <w:r w:rsidRPr="007873F5">
        <w:rPr>
          <w:rFonts w:asciiTheme="majorHAnsi" w:hAnsiTheme="majorHAnsi" w:cstheme="minorHAnsi"/>
          <w:color w:val="000000" w:themeColor="text1"/>
          <w:sz w:val="24"/>
          <w:szCs w:val="24"/>
        </w:rPr>
        <w:t xml:space="preserve">ATSDR may prepare a joint presentation, short paper, or commentary about the use of the </w:t>
      </w:r>
      <w:r w:rsidR="00E34FB2">
        <w:rPr>
          <w:rFonts w:asciiTheme="majorHAnsi" w:hAnsiTheme="majorHAnsi" w:cstheme="minorHAnsi"/>
          <w:color w:val="000000" w:themeColor="text1"/>
          <w:sz w:val="24"/>
          <w:szCs w:val="24"/>
        </w:rPr>
        <w:t>c</w:t>
      </w:r>
      <w:r w:rsidR="00E34FB2" w:rsidRPr="007873F5">
        <w:rPr>
          <w:rFonts w:asciiTheme="majorHAnsi" w:hAnsiTheme="majorHAnsi" w:cstheme="minorHAnsi"/>
          <w:color w:val="000000" w:themeColor="text1"/>
          <w:sz w:val="24"/>
          <w:szCs w:val="24"/>
        </w:rPr>
        <w:t>ertifica</w:t>
      </w:r>
      <w:r w:rsidR="00E34FB2">
        <w:rPr>
          <w:rFonts w:asciiTheme="majorHAnsi" w:hAnsiTheme="majorHAnsi" w:cstheme="minorHAnsi"/>
          <w:color w:val="000000" w:themeColor="text1"/>
          <w:sz w:val="24"/>
          <w:szCs w:val="24"/>
        </w:rPr>
        <w:t>te</w:t>
      </w:r>
      <w:r w:rsidR="000B4969">
        <w:rPr>
          <w:rFonts w:asciiTheme="majorHAnsi" w:hAnsiTheme="majorHAnsi" w:cstheme="minorHAnsi"/>
          <w:color w:val="000000" w:themeColor="text1"/>
          <w:sz w:val="24"/>
          <w:szCs w:val="24"/>
        </w:rPr>
        <w:t xml:space="preserve"> course</w:t>
      </w:r>
      <w:r w:rsidR="00564BA6" w:rsidRPr="007873F5">
        <w:rPr>
          <w:rFonts w:asciiTheme="majorHAnsi" w:hAnsiTheme="majorHAnsi" w:cstheme="minorHAnsi"/>
          <w:color w:val="000000" w:themeColor="text1"/>
          <w:sz w:val="24"/>
          <w:szCs w:val="24"/>
        </w:rPr>
        <w:t xml:space="preserve"> content and resources as well as </w:t>
      </w:r>
      <w:r w:rsidRPr="007873F5">
        <w:rPr>
          <w:rFonts w:asciiTheme="majorHAnsi" w:hAnsiTheme="majorHAnsi" w:cstheme="minorHAnsi"/>
          <w:color w:val="000000" w:themeColor="text1"/>
          <w:sz w:val="24"/>
          <w:szCs w:val="24"/>
        </w:rPr>
        <w:t xml:space="preserve">any outcomes from the </w:t>
      </w:r>
      <w:r w:rsidR="00266491" w:rsidRPr="007873F5">
        <w:rPr>
          <w:rFonts w:asciiTheme="majorHAnsi" w:hAnsiTheme="majorHAnsi" w:cstheme="minorHAnsi"/>
          <w:color w:val="000000" w:themeColor="text1"/>
          <w:sz w:val="24"/>
          <w:szCs w:val="24"/>
        </w:rPr>
        <w:t>follow-up</w:t>
      </w:r>
      <w:r w:rsidRPr="007873F5">
        <w:rPr>
          <w:rFonts w:asciiTheme="majorHAnsi" w:hAnsiTheme="majorHAnsi" w:cstheme="minorHAnsi"/>
          <w:color w:val="000000" w:themeColor="text1"/>
          <w:sz w:val="24"/>
          <w:szCs w:val="24"/>
        </w:rPr>
        <w:t xml:space="preserve"> survey, such as an increase in the capacity of the certification course participants to conduct environmental health and land reuse activities. </w:t>
      </w:r>
    </w:p>
    <w:p w:rsidR="005C011A" w:rsidRPr="007873F5" w:rsidRDefault="005C011A" w:rsidP="003248A4">
      <w:pPr>
        <w:rPr>
          <w:rFonts w:asciiTheme="majorHAnsi" w:hAnsiTheme="majorHAnsi" w:cstheme="minorHAnsi"/>
          <w:color w:val="000000" w:themeColor="text1"/>
          <w:sz w:val="24"/>
          <w:szCs w:val="24"/>
        </w:rPr>
      </w:pPr>
      <w:r w:rsidRPr="007873F5">
        <w:rPr>
          <w:rFonts w:asciiTheme="majorHAnsi" w:hAnsiTheme="majorHAnsi" w:cstheme="minorHAnsi"/>
          <w:color w:val="000000" w:themeColor="text1"/>
          <w:sz w:val="24"/>
          <w:szCs w:val="24"/>
        </w:rPr>
        <w:t xml:space="preserve">Any publications or presentations prepared collaboratively by ATSDR and NEHA will be completed prior to the OMB expiration date. The suggested time schedule for any collaborative publications or presentations may start </w:t>
      </w:r>
      <w:r w:rsidR="00CC5058" w:rsidRPr="007873F5">
        <w:rPr>
          <w:rFonts w:asciiTheme="majorHAnsi" w:hAnsiTheme="majorHAnsi" w:cstheme="minorHAnsi"/>
          <w:color w:val="000000" w:themeColor="text1"/>
          <w:sz w:val="24"/>
          <w:szCs w:val="24"/>
        </w:rPr>
        <w:t xml:space="preserve">six to </w:t>
      </w:r>
      <w:r w:rsidRPr="007873F5">
        <w:rPr>
          <w:rFonts w:asciiTheme="majorHAnsi" w:hAnsiTheme="majorHAnsi" w:cstheme="minorHAnsi"/>
          <w:color w:val="000000" w:themeColor="text1"/>
          <w:sz w:val="24"/>
          <w:szCs w:val="24"/>
        </w:rPr>
        <w:t>12 months after the course is launched</w:t>
      </w:r>
      <w:r w:rsidR="00FE10C6" w:rsidRPr="007873F5">
        <w:rPr>
          <w:rFonts w:asciiTheme="majorHAnsi" w:hAnsiTheme="majorHAnsi" w:cstheme="minorHAnsi"/>
          <w:color w:val="000000" w:themeColor="text1"/>
          <w:sz w:val="24"/>
          <w:szCs w:val="24"/>
        </w:rPr>
        <w:t>.</w:t>
      </w:r>
      <w:r w:rsidRPr="007873F5">
        <w:rPr>
          <w:rFonts w:asciiTheme="majorHAnsi" w:hAnsiTheme="majorHAnsi" w:cstheme="minorHAnsi"/>
          <w:color w:val="000000" w:themeColor="text1"/>
          <w:sz w:val="24"/>
          <w:szCs w:val="24"/>
        </w:rPr>
        <w:t xml:space="preserve"> </w:t>
      </w:r>
    </w:p>
    <w:p w:rsidR="003C21A1" w:rsidRPr="007873F5" w:rsidRDefault="003C21A1" w:rsidP="003248A4">
      <w:pPr>
        <w:spacing w:line="240" w:lineRule="auto"/>
        <w:rPr>
          <w:rFonts w:asciiTheme="majorHAnsi" w:hAnsiTheme="majorHAnsi" w:cstheme="minorHAnsi"/>
          <w:color w:val="000000" w:themeColor="text1"/>
          <w:sz w:val="24"/>
          <w:szCs w:val="24"/>
        </w:rPr>
      </w:pPr>
    </w:p>
    <w:p w:rsidR="003C21A1" w:rsidRPr="00A5376B" w:rsidRDefault="00AD55CA" w:rsidP="003248A4">
      <w:pPr>
        <w:spacing w:line="240" w:lineRule="auto"/>
        <w:rPr>
          <w:rFonts w:asciiTheme="majorHAnsi" w:hAnsiTheme="majorHAnsi" w:cstheme="minorHAnsi"/>
          <w:color w:val="000000" w:themeColor="text1"/>
          <w:sz w:val="24"/>
          <w:szCs w:val="24"/>
        </w:rPr>
      </w:pPr>
      <w:r w:rsidRPr="00A5376B">
        <w:rPr>
          <w:rFonts w:asciiTheme="majorHAnsi" w:hAnsiTheme="majorHAnsi" w:cstheme="minorHAnsi"/>
          <w:color w:val="000000" w:themeColor="text1"/>
          <w:sz w:val="24"/>
          <w:szCs w:val="24"/>
        </w:rPr>
        <w:t>Table A.16.1</w:t>
      </w:r>
      <w:r w:rsidR="00493D46">
        <w:rPr>
          <w:rFonts w:asciiTheme="majorHAnsi" w:hAnsiTheme="majorHAnsi" w:cstheme="minorHAnsi"/>
          <w:color w:val="000000" w:themeColor="text1"/>
          <w:sz w:val="24"/>
          <w:szCs w:val="24"/>
        </w:rPr>
        <w:t xml:space="preserve"> –</w:t>
      </w:r>
      <w:r>
        <w:rPr>
          <w:rFonts w:asciiTheme="majorHAnsi" w:hAnsiTheme="majorHAnsi" w:cstheme="minorHAnsi"/>
          <w:color w:val="000000" w:themeColor="text1"/>
          <w:sz w:val="24"/>
          <w:szCs w:val="24"/>
        </w:rPr>
        <w:t xml:space="preserve"> Project Time Schedule </w:t>
      </w:r>
    </w:p>
    <w:tbl>
      <w:tblPr>
        <w:tblStyle w:val="TableGrid"/>
        <w:tblW w:w="0" w:type="auto"/>
        <w:tblLook w:val="04A0" w:firstRow="1" w:lastRow="0" w:firstColumn="1" w:lastColumn="0" w:noHBand="0" w:noVBand="1"/>
      </w:tblPr>
      <w:tblGrid>
        <w:gridCol w:w="4675"/>
        <w:gridCol w:w="4675"/>
      </w:tblGrid>
      <w:tr w:rsidR="0066103B" w:rsidRPr="007873F5" w:rsidTr="003C21A1">
        <w:tc>
          <w:tcPr>
            <w:tcW w:w="9350" w:type="dxa"/>
            <w:gridSpan w:val="2"/>
          </w:tcPr>
          <w:p w:rsidR="003C21A1" w:rsidRPr="007873F5" w:rsidRDefault="003C21A1" w:rsidP="003C21A1">
            <w:pPr>
              <w:jc w:val="center"/>
              <w:rPr>
                <w:rFonts w:asciiTheme="majorHAnsi" w:hAnsiTheme="majorHAnsi" w:cstheme="minorHAnsi"/>
                <w:color w:val="000000" w:themeColor="text1"/>
                <w:sz w:val="24"/>
                <w:szCs w:val="24"/>
              </w:rPr>
            </w:pPr>
            <w:r w:rsidRPr="007873F5">
              <w:rPr>
                <w:rFonts w:asciiTheme="majorHAnsi" w:hAnsiTheme="majorHAnsi" w:cstheme="minorHAnsi"/>
                <w:color w:val="000000" w:themeColor="text1"/>
                <w:sz w:val="24"/>
                <w:szCs w:val="24"/>
              </w:rPr>
              <w:t>Project Time Schedule</w:t>
            </w:r>
          </w:p>
        </w:tc>
      </w:tr>
      <w:tr w:rsidR="0066103B" w:rsidRPr="007873F5" w:rsidTr="003C21A1">
        <w:tc>
          <w:tcPr>
            <w:tcW w:w="4675" w:type="dxa"/>
          </w:tcPr>
          <w:p w:rsidR="003C21A1" w:rsidRPr="007873F5" w:rsidRDefault="003C21A1" w:rsidP="003C21A1">
            <w:pPr>
              <w:jc w:val="center"/>
              <w:rPr>
                <w:rFonts w:asciiTheme="majorHAnsi" w:hAnsiTheme="majorHAnsi" w:cstheme="minorHAnsi"/>
                <w:color w:val="000000" w:themeColor="text1"/>
                <w:sz w:val="24"/>
                <w:szCs w:val="24"/>
              </w:rPr>
            </w:pPr>
            <w:r w:rsidRPr="007873F5">
              <w:rPr>
                <w:rFonts w:asciiTheme="majorHAnsi" w:hAnsiTheme="majorHAnsi" w:cstheme="minorHAnsi"/>
                <w:color w:val="000000" w:themeColor="text1"/>
                <w:sz w:val="24"/>
                <w:szCs w:val="24"/>
              </w:rPr>
              <w:t>Activity</w:t>
            </w:r>
          </w:p>
        </w:tc>
        <w:tc>
          <w:tcPr>
            <w:tcW w:w="4675" w:type="dxa"/>
          </w:tcPr>
          <w:p w:rsidR="003C21A1" w:rsidRPr="007873F5" w:rsidRDefault="003C21A1" w:rsidP="003C21A1">
            <w:pPr>
              <w:jc w:val="center"/>
              <w:rPr>
                <w:rFonts w:asciiTheme="majorHAnsi" w:hAnsiTheme="majorHAnsi" w:cstheme="minorHAnsi"/>
                <w:color w:val="000000" w:themeColor="text1"/>
                <w:sz w:val="24"/>
                <w:szCs w:val="24"/>
              </w:rPr>
            </w:pPr>
            <w:r w:rsidRPr="007873F5">
              <w:rPr>
                <w:rFonts w:asciiTheme="majorHAnsi" w:hAnsiTheme="majorHAnsi" w:cstheme="minorHAnsi"/>
                <w:color w:val="000000" w:themeColor="text1"/>
                <w:sz w:val="24"/>
                <w:szCs w:val="24"/>
              </w:rPr>
              <w:t>Time Schedule</w:t>
            </w:r>
          </w:p>
        </w:tc>
      </w:tr>
      <w:tr w:rsidR="0066103B" w:rsidRPr="007873F5" w:rsidTr="003C21A1">
        <w:tc>
          <w:tcPr>
            <w:tcW w:w="4675" w:type="dxa"/>
          </w:tcPr>
          <w:p w:rsidR="00F30919" w:rsidRPr="007873F5" w:rsidRDefault="005C011A" w:rsidP="00F30919">
            <w:pPr>
              <w:jc w:val="center"/>
              <w:rPr>
                <w:rFonts w:asciiTheme="majorHAnsi" w:hAnsiTheme="majorHAnsi" w:cstheme="minorHAnsi"/>
                <w:color w:val="000000" w:themeColor="text1"/>
                <w:sz w:val="24"/>
                <w:szCs w:val="24"/>
              </w:rPr>
            </w:pPr>
            <w:r w:rsidRPr="007873F5">
              <w:rPr>
                <w:rFonts w:asciiTheme="majorHAnsi" w:hAnsiTheme="majorHAnsi" w:cstheme="minorHAnsi"/>
                <w:color w:val="000000" w:themeColor="text1"/>
                <w:sz w:val="24"/>
                <w:szCs w:val="24"/>
              </w:rPr>
              <w:t>Course launched</w:t>
            </w:r>
            <w:r w:rsidR="00C11AB4">
              <w:rPr>
                <w:rFonts w:asciiTheme="majorHAnsi" w:hAnsiTheme="majorHAnsi" w:cstheme="minorHAnsi"/>
                <w:color w:val="000000" w:themeColor="text1"/>
                <w:sz w:val="24"/>
                <w:szCs w:val="24"/>
              </w:rPr>
              <w:t xml:space="preserve"> and registration data summarized</w:t>
            </w:r>
          </w:p>
        </w:tc>
        <w:tc>
          <w:tcPr>
            <w:tcW w:w="4675" w:type="dxa"/>
          </w:tcPr>
          <w:p w:rsidR="00F30919" w:rsidRPr="007873F5" w:rsidRDefault="00C11AB4" w:rsidP="00F30919">
            <w:pPr>
              <w:jc w:val="center"/>
              <w:rPr>
                <w:rFonts w:asciiTheme="majorHAnsi" w:hAnsiTheme="majorHAnsi" w:cstheme="minorHAnsi"/>
                <w:color w:val="000000" w:themeColor="text1"/>
                <w:sz w:val="24"/>
                <w:szCs w:val="24"/>
              </w:rPr>
            </w:pPr>
            <w:r>
              <w:rPr>
                <w:rFonts w:asciiTheme="majorHAnsi" w:hAnsiTheme="majorHAnsi" w:cstheme="minorHAnsi"/>
                <w:color w:val="000000" w:themeColor="text1"/>
                <w:sz w:val="24"/>
                <w:szCs w:val="24"/>
              </w:rPr>
              <w:t xml:space="preserve">0.5 - </w:t>
            </w:r>
            <w:r w:rsidR="00F30919" w:rsidRPr="007873F5">
              <w:rPr>
                <w:rFonts w:asciiTheme="majorHAnsi" w:hAnsiTheme="majorHAnsi" w:cstheme="minorHAnsi"/>
                <w:color w:val="000000" w:themeColor="text1"/>
                <w:sz w:val="24"/>
                <w:szCs w:val="24"/>
              </w:rPr>
              <w:t>1months after OMB approval</w:t>
            </w:r>
          </w:p>
        </w:tc>
      </w:tr>
      <w:tr w:rsidR="0066103B" w:rsidRPr="007873F5" w:rsidTr="003C21A1">
        <w:tc>
          <w:tcPr>
            <w:tcW w:w="4675" w:type="dxa"/>
          </w:tcPr>
          <w:p w:rsidR="00F30919" w:rsidRPr="007873F5" w:rsidRDefault="00C11AB4" w:rsidP="00F30919">
            <w:pPr>
              <w:jc w:val="center"/>
              <w:rPr>
                <w:rFonts w:asciiTheme="majorHAnsi" w:hAnsiTheme="majorHAnsi" w:cstheme="minorHAnsi"/>
                <w:color w:val="000000" w:themeColor="text1"/>
                <w:sz w:val="24"/>
                <w:szCs w:val="24"/>
              </w:rPr>
            </w:pPr>
            <w:r>
              <w:rPr>
                <w:rFonts w:asciiTheme="majorHAnsi" w:hAnsiTheme="majorHAnsi" w:cstheme="minorHAnsi"/>
                <w:color w:val="000000" w:themeColor="text1"/>
                <w:sz w:val="24"/>
                <w:szCs w:val="24"/>
              </w:rPr>
              <w:t>Additional i</w:t>
            </w:r>
            <w:r w:rsidR="00F30919" w:rsidRPr="007873F5">
              <w:rPr>
                <w:rFonts w:asciiTheme="majorHAnsi" w:hAnsiTheme="majorHAnsi" w:cstheme="minorHAnsi"/>
                <w:color w:val="000000" w:themeColor="text1"/>
                <w:sz w:val="24"/>
                <w:szCs w:val="24"/>
              </w:rPr>
              <w:t>nformation/</w:t>
            </w:r>
            <w:r>
              <w:rPr>
                <w:rFonts w:asciiTheme="majorHAnsi" w:hAnsiTheme="majorHAnsi" w:cstheme="minorHAnsi"/>
                <w:color w:val="000000" w:themeColor="text1"/>
                <w:sz w:val="24"/>
                <w:szCs w:val="24"/>
              </w:rPr>
              <w:t>d</w:t>
            </w:r>
            <w:r w:rsidR="00F30919" w:rsidRPr="007873F5">
              <w:rPr>
                <w:rFonts w:asciiTheme="majorHAnsi" w:hAnsiTheme="majorHAnsi" w:cstheme="minorHAnsi"/>
                <w:color w:val="000000" w:themeColor="text1"/>
                <w:sz w:val="24"/>
                <w:szCs w:val="24"/>
              </w:rPr>
              <w:t>ata collection</w:t>
            </w:r>
          </w:p>
        </w:tc>
        <w:tc>
          <w:tcPr>
            <w:tcW w:w="4675" w:type="dxa"/>
          </w:tcPr>
          <w:p w:rsidR="00F30919" w:rsidRPr="007873F5" w:rsidRDefault="005C011A" w:rsidP="00F30919">
            <w:pPr>
              <w:jc w:val="center"/>
              <w:rPr>
                <w:rFonts w:asciiTheme="majorHAnsi" w:hAnsiTheme="majorHAnsi" w:cstheme="minorHAnsi"/>
                <w:color w:val="000000" w:themeColor="text1"/>
                <w:sz w:val="24"/>
                <w:szCs w:val="24"/>
              </w:rPr>
            </w:pPr>
            <w:r w:rsidRPr="007873F5">
              <w:rPr>
                <w:rFonts w:asciiTheme="majorHAnsi" w:hAnsiTheme="majorHAnsi" w:cstheme="minorHAnsi"/>
                <w:color w:val="000000" w:themeColor="text1"/>
                <w:sz w:val="24"/>
                <w:szCs w:val="24"/>
              </w:rPr>
              <w:t>1—11</w:t>
            </w:r>
            <w:r w:rsidR="00F30919" w:rsidRPr="007873F5">
              <w:rPr>
                <w:rFonts w:asciiTheme="majorHAnsi" w:hAnsiTheme="majorHAnsi" w:cstheme="minorHAnsi"/>
                <w:color w:val="000000" w:themeColor="text1"/>
                <w:sz w:val="24"/>
                <w:szCs w:val="24"/>
              </w:rPr>
              <w:t xml:space="preserve"> months after OMB approval</w:t>
            </w:r>
          </w:p>
        </w:tc>
      </w:tr>
      <w:tr w:rsidR="0066103B" w:rsidRPr="007873F5" w:rsidTr="003C21A1">
        <w:tc>
          <w:tcPr>
            <w:tcW w:w="4675" w:type="dxa"/>
          </w:tcPr>
          <w:p w:rsidR="00F30919" w:rsidRPr="007873F5" w:rsidRDefault="00F30919" w:rsidP="00F30919">
            <w:pPr>
              <w:jc w:val="center"/>
              <w:rPr>
                <w:rFonts w:asciiTheme="majorHAnsi" w:hAnsiTheme="majorHAnsi" w:cstheme="minorHAnsi"/>
                <w:color w:val="000000" w:themeColor="text1"/>
                <w:sz w:val="24"/>
                <w:szCs w:val="24"/>
              </w:rPr>
            </w:pPr>
            <w:r w:rsidRPr="007873F5">
              <w:rPr>
                <w:rFonts w:asciiTheme="majorHAnsi" w:hAnsiTheme="majorHAnsi" w:cstheme="minorHAnsi"/>
                <w:color w:val="000000" w:themeColor="text1"/>
                <w:sz w:val="24"/>
                <w:szCs w:val="24"/>
              </w:rPr>
              <w:t>Analyses</w:t>
            </w:r>
          </w:p>
        </w:tc>
        <w:tc>
          <w:tcPr>
            <w:tcW w:w="4675" w:type="dxa"/>
          </w:tcPr>
          <w:p w:rsidR="00F30919" w:rsidRPr="007873F5" w:rsidRDefault="00F30919" w:rsidP="00F30919">
            <w:pPr>
              <w:jc w:val="center"/>
              <w:rPr>
                <w:rFonts w:asciiTheme="majorHAnsi" w:hAnsiTheme="majorHAnsi" w:cstheme="minorHAnsi"/>
                <w:color w:val="000000" w:themeColor="text1"/>
                <w:sz w:val="24"/>
                <w:szCs w:val="24"/>
              </w:rPr>
            </w:pPr>
            <w:r w:rsidRPr="007873F5">
              <w:rPr>
                <w:rFonts w:asciiTheme="majorHAnsi" w:hAnsiTheme="majorHAnsi" w:cstheme="minorHAnsi"/>
                <w:color w:val="000000" w:themeColor="text1"/>
                <w:sz w:val="24"/>
                <w:szCs w:val="24"/>
              </w:rPr>
              <w:t>12—18 months after OMB approval</w:t>
            </w:r>
          </w:p>
        </w:tc>
      </w:tr>
      <w:tr w:rsidR="0066103B" w:rsidRPr="007873F5" w:rsidTr="003C21A1">
        <w:tc>
          <w:tcPr>
            <w:tcW w:w="4675" w:type="dxa"/>
          </w:tcPr>
          <w:p w:rsidR="00F30919" w:rsidRPr="007873F5" w:rsidRDefault="00F30919" w:rsidP="00F30919">
            <w:pPr>
              <w:jc w:val="center"/>
              <w:rPr>
                <w:rFonts w:asciiTheme="majorHAnsi" w:hAnsiTheme="majorHAnsi" w:cstheme="minorHAnsi"/>
                <w:color w:val="000000" w:themeColor="text1"/>
                <w:sz w:val="24"/>
                <w:szCs w:val="24"/>
              </w:rPr>
            </w:pPr>
            <w:r w:rsidRPr="007873F5">
              <w:rPr>
                <w:rFonts w:asciiTheme="majorHAnsi" w:hAnsiTheme="majorHAnsi" w:cstheme="minorHAnsi"/>
                <w:color w:val="000000" w:themeColor="text1"/>
                <w:sz w:val="24"/>
                <w:szCs w:val="24"/>
              </w:rPr>
              <w:t>Publication</w:t>
            </w:r>
          </w:p>
        </w:tc>
        <w:tc>
          <w:tcPr>
            <w:tcW w:w="4675" w:type="dxa"/>
          </w:tcPr>
          <w:p w:rsidR="00F30919" w:rsidRPr="007873F5" w:rsidRDefault="00F30919" w:rsidP="00F30919">
            <w:pPr>
              <w:jc w:val="center"/>
              <w:rPr>
                <w:rFonts w:asciiTheme="majorHAnsi" w:hAnsiTheme="majorHAnsi" w:cstheme="minorHAnsi"/>
                <w:color w:val="000000" w:themeColor="text1"/>
                <w:sz w:val="24"/>
                <w:szCs w:val="24"/>
              </w:rPr>
            </w:pPr>
            <w:r w:rsidRPr="007873F5">
              <w:rPr>
                <w:rFonts w:asciiTheme="majorHAnsi" w:hAnsiTheme="majorHAnsi" w:cstheme="minorHAnsi"/>
                <w:color w:val="000000" w:themeColor="text1"/>
                <w:sz w:val="24"/>
                <w:szCs w:val="24"/>
              </w:rPr>
              <w:t>18</w:t>
            </w:r>
            <w:r w:rsidR="005C011A" w:rsidRPr="007873F5">
              <w:rPr>
                <w:rFonts w:asciiTheme="majorHAnsi" w:hAnsiTheme="majorHAnsi" w:cstheme="minorHAnsi"/>
                <w:color w:val="000000" w:themeColor="text1"/>
                <w:sz w:val="24"/>
                <w:szCs w:val="24"/>
              </w:rPr>
              <w:t xml:space="preserve"> - 24</w:t>
            </w:r>
            <w:r w:rsidRPr="007873F5">
              <w:rPr>
                <w:rFonts w:asciiTheme="majorHAnsi" w:hAnsiTheme="majorHAnsi" w:cstheme="minorHAnsi"/>
                <w:color w:val="000000" w:themeColor="text1"/>
                <w:sz w:val="24"/>
                <w:szCs w:val="24"/>
              </w:rPr>
              <w:t xml:space="preserve"> months after OMB approval</w:t>
            </w:r>
          </w:p>
        </w:tc>
      </w:tr>
    </w:tbl>
    <w:p w:rsidR="003C21A1" w:rsidRPr="00B9626B" w:rsidRDefault="003C21A1" w:rsidP="003248A4">
      <w:pPr>
        <w:spacing w:line="240" w:lineRule="auto"/>
        <w:rPr>
          <w:rFonts w:asciiTheme="majorHAnsi" w:hAnsiTheme="majorHAnsi" w:cstheme="minorHAnsi"/>
          <w:color w:val="000000" w:themeColor="text1"/>
          <w:sz w:val="22"/>
          <w:szCs w:val="22"/>
        </w:rPr>
      </w:pPr>
    </w:p>
    <w:p w:rsidR="00B45002" w:rsidRPr="00B9626B" w:rsidRDefault="00601F1A" w:rsidP="00601F1A">
      <w:pPr>
        <w:pStyle w:val="Heading1"/>
        <w:rPr>
          <w:rFonts w:asciiTheme="majorHAnsi" w:hAnsiTheme="majorHAnsi" w:cstheme="minorHAnsi"/>
          <w:sz w:val="28"/>
          <w:szCs w:val="28"/>
        </w:rPr>
      </w:pPr>
      <w:bookmarkStart w:id="27" w:name="_Toc601062"/>
      <w:r w:rsidRPr="00B9626B">
        <w:rPr>
          <w:rFonts w:asciiTheme="majorHAnsi" w:hAnsiTheme="majorHAnsi" w:cstheme="minorHAnsi"/>
          <w:sz w:val="28"/>
          <w:szCs w:val="28"/>
        </w:rPr>
        <w:t>A.</w:t>
      </w:r>
      <w:r w:rsidR="00AC62CC" w:rsidRPr="00B9626B">
        <w:rPr>
          <w:rFonts w:asciiTheme="majorHAnsi" w:hAnsiTheme="majorHAnsi" w:cstheme="minorHAnsi"/>
          <w:sz w:val="28"/>
          <w:szCs w:val="28"/>
        </w:rPr>
        <w:t>17</w:t>
      </w:r>
      <w:r w:rsidR="002725B7" w:rsidRPr="00B9626B">
        <w:rPr>
          <w:rFonts w:asciiTheme="majorHAnsi" w:hAnsiTheme="majorHAnsi" w:cstheme="minorHAnsi"/>
          <w:sz w:val="28"/>
          <w:szCs w:val="28"/>
        </w:rPr>
        <w:t>. Reason</w:t>
      </w:r>
      <w:r w:rsidR="00564BA6" w:rsidRPr="00B9626B">
        <w:rPr>
          <w:rFonts w:asciiTheme="majorHAnsi" w:hAnsiTheme="majorHAnsi" w:cstheme="minorHAnsi"/>
          <w:sz w:val="28"/>
          <w:szCs w:val="28"/>
        </w:rPr>
        <w:t>(s) Display o</w:t>
      </w:r>
      <w:r w:rsidR="00B45002" w:rsidRPr="00B9626B">
        <w:rPr>
          <w:rFonts w:asciiTheme="majorHAnsi" w:hAnsiTheme="majorHAnsi" w:cstheme="minorHAnsi"/>
          <w:sz w:val="28"/>
          <w:szCs w:val="28"/>
        </w:rPr>
        <w:t>f OMB Expiration Date is Inappropriate</w:t>
      </w:r>
      <w:bookmarkEnd w:id="27"/>
    </w:p>
    <w:p w:rsidR="005B6E55" w:rsidRPr="007873F5" w:rsidRDefault="005B6E55" w:rsidP="005B6E55">
      <w:pPr>
        <w:rPr>
          <w:rFonts w:asciiTheme="majorHAnsi" w:hAnsiTheme="majorHAnsi" w:cstheme="minorHAnsi"/>
          <w:color w:val="000000" w:themeColor="text1"/>
          <w:sz w:val="24"/>
          <w:szCs w:val="24"/>
        </w:rPr>
      </w:pPr>
    </w:p>
    <w:p w:rsidR="005C011A" w:rsidRPr="007873F5" w:rsidRDefault="005C011A" w:rsidP="005B6E55">
      <w:pPr>
        <w:rPr>
          <w:rFonts w:asciiTheme="majorHAnsi" w:hAnsiTheme="majorHAnsi" w:cstheme="minorHAnsi"/>
          <w:color w:val="000000" w:themeColor="text1"/>
          <w:sz w:val="24"/>
          <w:szCs w:val="24"/>
        </w:rPr>
      </w:pPr>
      <w:r w:rsidRPr="007873F5">
        <w:rPr>
          <w:rFonts w:asciiTheme="majorHAnsi" w:hAnsiTheme="majorHAnsi" w:cstheme="minorHAnsi"/>
          <w:color w:val="000000" w:themeColor="text1"/>
          <w:sz w:val="24"/>
          <w:szCs w:val="24"/>
        </w:rPr>
        <w:t>The display of OMB expiration date is appropriate.</w:t>
      </w:r>
    </w:p>
    <w:p w:rsidR="00DC57CC" w:rsidRPr="00BE08E7" w:rsidRDefault="00601F1A" w:rsidP="00601F1A">
      <w:pPr>
        <w:pStyle w:val="Heading1"/>
        <w:rPr>
          <w:rFonts w:asciiTheme="majorHAnsi" w:hAnsiTheme="majorHAnsi" w:cstheme="minorHAnsi"/>
          <w:sz w:val="28"/>
          <w:szCs w:val="28"/>
        </w:rPr>
      </w:pPr>
      <w:bookmarkStart w:id="28" w:name="_Toc601063"/>
      <w:r w:rsidRPr="00BE08E7">
        <w:rPr>
          <w:rFonts w:asciiTheme="majorHAnsi" w:hAnsiTheme="majorHAnsi" w:cstheme="minorHAnsi"/>
          <w:sz w:val="28"/>
          <w:szCs w:val="28"/>
        </w:rPr>
        <w:t>A.</w:t>
      </w:r>
      <w:r w:rsidR="00B45002" w:rsidRPr="00BE08E7">
        <w:rPr>
          <w:rFonts w:asciiTheme="majorHAnsi" w:hAnsiTheme="majorHAnsi" w:cstheme="minorHAnsi"/>
          <w:sz w:val="28"/>
          <w:szCs w:val="28"/>
        </w:rPr>
        <w:t>18</w:t>
      </w:r>
      <w:r w:rsidR="002725B7" w:rsidRPr="00BE08E7">
        <w:rPr>
          <w:rFonts w:asciiTheme="majorHAnsi" w:hAnsiTheme="majorHAnsi" w:cstheme="minorHAnsi"/>
          <w:sz w:val="28"/>
          <w:szCs w:val="28"/>
        </w:rPr>
        <w:t>. Exceptions</w:t>
      </w:r>
      <w:r w:rsidR="00B45002" w:rsidRPr="00BE08E7">
        <w:rPr>
          <w:rFonts w:asciiTheme="majorHAnsi" w:hAnsiTheme="majorHAnsi" w:cstheme="minorHAnsi"/>
          <w:sz w:val="28"/>
          <w:szCs w:val="28"/>
        </w:rPr>
        <w:t xml:space="preserve"> to Certification for Paperwork Reduction Act Submissions</w:t>
      </w:r>
      <w:bookmarkEnd w:id="28"/>
    </w:p>
    <w:p w:rsidR="008C154D" w:rsidRPr="007873F5" w:rsidRDefault="008C154D" w:rsidP="005B6E55">
      <w:pPr>
        <w:spacing w:line="240" w:lineRule="auto"/>
        <w:rPr>
          <w:rFonts w:asciiTheme="majorHAnsi" w:hAnsiTheme="majorHAnsi" w:cstheme="minorHAnsi"/>
          <w:color w:val="000000" w:themeColor="text1"/>
          <w:sz w:val="24"/>
          <w:szCs w:val="24"/>
        </w:rPr>
      </w:pPr>
    </w:p>
    <w:p w:rsidR="005B6E55" w:rsidRPr="007873F5" w:rsidRDefault="005B6E55" w:rsidP="00EC64FB">
      <w:pPr>
        <w:autoSpaceDE w:val="0"/>
        <w:autoSpaceDN w:val="0"/>
        <w:adjustRightInd w:val="0"/>
        <w:spacing w:line="240" w:lineRule="auto"/>
        <w:rPr>
          <w:rFonts w:asciiTheme="majorHAnsi" w:hAnsiTheme="majorHAnsi" w:cstheme="minorHAnsi"/>
          <w:color w:val="000000" w:themeColor="text1"/>
          <w:sz w:val="24"/>
          <w:szCs w:val="24"/>
        </w:rPr>
      </w:pPr>
      <w:r w:rsidRPr="007873F5">
        <w:rPr>
          <w:rFonts w:asciiTheme="majorHAnsi" w:hAnsiTheme="majorHAnsi" w:cstheme="minorHAnsi"/>
          <w:color w:val="000000" w:themeColor="text1"/>
          <w:sz w:val="24"/>
          <w:szCs w:val="24"/>
        </w:rPr>
        <w:t>There are no exceptions to the certification.</w:t>
      </w:r>
    </w:p>
    <w:p w:rsidR="005C33C7" w:rsidRPr="002725B7" w:rsidRDefault="005C33C7" w:rsidP="00D665AD">
      <w:pPr>
        <w:pStyle w:val="Heading1"/>
        <w:rPr>
          <w:rFonts w:asciiTheme="majorHAnsi" w:hAnsiTheme="majorHAnsi" w:cstheme="minorHAnsi"/>
          <w:sz w:val="24"/>
          <w:szCs w:val="24"/>
        </w:rPr>
      </w:pPr>
      <w:bookmarkStart w:id="29" w:name="_Toc601064"/>
      <w:r w:rsidRPr="002725B7">
        <w:rPr>
          <w:rFonts w:asciiTheme="majorHAnsi" w:hAnsiTheme="majorHAnsi" w:cstheme="minorHAnsi"/>
          <w:sz w:val="24"/>
          <w:szCs w:val="24"/>
        </w:rPr>
        <w:t>References</w:t>
      </w:r>
      <w:bookmarkEnd w:id="29"/>
    </w:p>
    <w:sdt>
      <w:sdtPr>
        <w:rPr>
          <w:rFonts w:asciiTheme="majorHAnsi" w:hAnsiTheme="majorHAnsi" w:cstheme="minorHAnsi"/>
          <w:color w:val="000000" w:themeColor="text1"/>
          <w:sz w:val="24"/>
          <w:szCs w:val="24"/>
        </w:rPr>
        <w:id w:val="752556148"/>
        <w:docPartObj>
          <w:docPartGallery w:val="Bibliographies"/>
          <w:docPartUnique/>
        </w:docPartObj>
      </w:sdtPr>
      <w:sdtEndPr>
        <w:rPr>
          <w:color w:val="auto"/>
        </w:rPr>
      </w:sdtEndPr>
      <w:sdtContent>
        <w:p w:rsidR="00B6357D" w:rsidRPr="002725B7" w:rsidRDefault="00B6357D" w:rsidP="00B66DC4">
          <w:pPr>
            <w:rPr>
              <w:rFonts w:asciiTheme="majorHAnsi" w:hAnsiTheme="majorHAnsi" w:cstheme="minorHAnsi"/>
              <w:color w:val="000000" w:themeColor="text1"/>
              <w:sz w:val="24"/>
              <w:szCs w:val="24"/>
            </w:rPr>
          </w:pPr>
        </w:p>
        <w:sdt>
          <w:sdtPr>
            <w:rPr>
              <w:rFonts w:asciiTheme="majorHAnsi" w:hAnsiTheme="majorHAnsi" w:cstheme="minorHAnsi"/>
              <w:color w:val="000000" w:themeColor="text1"/>
              <w:sz w:val="24"/>
              <w:szCs w:val="24"/>
            </w:rPr>
            <w:id w:val="-573587230"/>
            <w:bibliography/>
          </w:sdtPr>
          <w:sdtEndPr/>
          <w:sdtContent>
            <w:p w:rsidR="00B6357D" w:rsidRPr="002725B7" w:rsidRDefault="00B6357D" w:rsidP="00B6357D">
              <w:pPr>
                <w:pStyle w:val="Bibliography"/>
                <w:ind w:left="720" w:hanging="720"/>
                <w:rPr>
                  <w:rFonts w:asciiTheme="majorHAnsi" w:hAnsiTheme="majorHAnsi" w:cstheme="minorHAnsi"/>
                  <w:noProof/>
                  <w:color w:val="000000" w:themeColor="text1"/>
                  <w:sz w:val="24"/>
                  <w:szCs w:val="24"/>
                </w:rPr>
              </w:pPr>
              <w:r w:rsidRPr="002725B7">
                <w:rPr>
                  <w:rFonts w:asciiTheme="majorHAnsi" w:hAnsiTheme="majorHAnsi" w:cstheme="minorHAnsi"/>
                  <w:color w:val="000000" w:themeColor="text1"/>
                  <w:sz w:val="24"/>
                  <w:szCs w:val="24"/>
                </w:rPr>
                <w:fldChar w:fldCharType="begin"/>
              </w:r>
              <w:r w:rsidRPr="002725B7">
                <w:rPr>
                  <w:rFonts w:asciiTheme="majorHAnsi" w:hAnsiTheme="majorHAnsi" w:cstheme="minorHAnsi"/>
                  <w:color w:val="000000" w:themeColor="text1"/>
                  <w:sz w:val="24"/>
                  <w:szCs w:val="24"/>
                </w:rPr>
                <w:instrText xml:space="preserve"> BIBLIOGRAPHY </w:instrText>
              </w:r>
              <w:r w:rsidRPr="002725B7">
                <w:rPr>
                  <w:rFonts w:asciiTheme="majorHAnsi" w:hAnsiTheme="majorHAnsi" w:cstheme="minorHAnsi"/>
                  <w:color w:val="000000" w:themeColor="text1"/>
                  <w:sz w:val="24"/>
                  <w:szCs w:val="24"/>
                </w:rPr>
                <w:fldChar w:fldCharType="separate"/>
              </w:r>
              <w:r w:rsidRPr="002725B7">
                <w:rPr>
                  <w:rFonts w:asciiTheme="majorHAnsi" w:hAnsiTheme="majorHAnsi" w:cstheme="minorHAnsi"/>
                  <w:noProof/>
                  <w:color w:val="000000" w:themeColor="text1"/>
                  <w:sz w:val="24"/>
                  <w:szCs w:val="24"/>
                </w:rPr>
                <w:t xml:space="preserve">Jacobs, J. A., Duggan, K., Erwin, P., Borawski, E., &amp; Compton, J. (2014). Capacity building for </w:t>
              </w:r>
              <w:r w:rsidRPr="002725B7">
                <w:rPr>
                  <w:rFonts w:asciiTheme="majorHAnsi" w:hAnsiTheme="majorHAnsi" w:cstheme="minorHAnsi"/>
                  <w:color w:val="000000" w:themeColor="text1"/>
                  <w:sz w:val="24"/>
                  <w:szCs w:val="24"/>
                </w:rPr>
                <w:t>evidence-based decision making in local health departments: scaling up an effective</w:t>
              </w:r>
              <w:r w:rsidRPr="002725B7">
                <w:rPr>
                  <w:rFonts w:asciiTheme="majorHAnsi" w:hAnsiTheme="majorHAnsi" w:cstheme="minorHAnsi"/>
                  <w:noProof/>
                  <w:color w:val="000000" w:themeColor="text1"/>
                  <w:sz w:val="24"/>
                  <w:szCs w:val="24"/>
                </w:rPr>
                <w:t xml:space="preserve"> training approach. </w:t>
              </w:r>
              <w:r w:rsidRPr="002725B7">
                <w:rPr>
                  <w:rFonts w:asciiTheme="majorHAnsi" w:hAnsiTheme="majorHAnsi" w:cstheme="minorHAnsi"/>
                  <w:i/>
                  <w:iCs/>
                  <w:noProof/>
                  <w:color w:val="000000" w:themeColor="text1"/>
                  <w:sz w:val="24"/>
                  <w:szCs w:val="24"/>
                </w:rPr>
                <w:t>Implementation Science, 9(1)1</w:t>
              </w:r>
              <w:r w:rsidRPr="002725B7">
                <w:rPr>
                  <w:rFonts w:asciiTheme="majorHAnsi" w:hAnsiTheme="majorHAnsi" w:cstheme="minorHAnsi"/>
                  <w:noProof/>
                  <w:color w:val="000000" w:themeColor="text1"/>
                  <w:sz w:val="24"/>
                  <w:szCs w:val="24"/>
                </w:rPr>
                <w:t>.</w:t>
              </w:r>
            </w:p>
            <w:p w:rsidR="00B6357D" w:rsidRPr="002725B7" w:rsidRDefault="00B6357D" w:rsidP="00B6357D">
              <w:pPr>
                <w:pStyle w:val="Bibliography"/>
                <w:ind w:left="720" w:hanging="720"/>
                <w:rPr>
                  <w:rFonts w:asciiTheme="majorHAnsi" w:hAnsiTheme="majorHAnsi" w:cstheme="minorHAnsi"/>
                  <w:noProof/>
                  <w:color w:val="000000" w:themeColor="text1"/>
                  <w:sz w:val="24"/>
                  <w:szCs w:val="24"/>
                </w:rPr>
              </w:pPr>
              <w:r w:rsidRPr="002725B7">
                <w:rPr>
                  <w:rFonts w:asciiTheme="majorHAnsi" w:hAnsiTheme="majorHAnsi" w:cstheme="minorHAnsi"/>
                  <w:noProof/>
                  <w:color w:val="000000" w:themeColor="text1"/>
                  <w:sz w:val="24"/>
                  <w:szCs w:val="24"/>
                </w:rPr>
                <w:t xml:space="preserve">Parker, E., Margolis, L. H., &amp; Henrizuez-Roldan, C. (2003). Assessing the capacity of health departments to engage in community-based participatory public health. </w:t>
              </w:r>
              <w:r w:rsidRPr="002725B7">
                <w:rPr>
                  <w:rFonts w:asciiTheme="majorHAnsi" w:hAnsiTheme="majorHAnsi" w:cstheme="minorHAnsi"/>
                  <w:i/>
                  <w:iCs/>
                  <w:noProof/>
                  <w:color w:val="000000" w:themeColor="text1"/>
                  <w:sz w:val="24"/>
                  <w:szCs w:val="24"/>
                </w:rPr>
                <w:t>American Journal of Public Health, 93(3)</w:t>
              </w:r>
              <w:r w:rsidRPr="002725B7">
                <w:rPr>
                  <w:rFonts w:asciiTheme="majorHAnsi" w:hAnsiTheme="majorHAnsi" w:cstheme="minorHAnsi"/>
                  <w:noProof/>
                  <w:color w:val="000000" w:themeColor="text1"/>
                  <w:sz w:val="24"/>
                  <w:szCs w:val="24"/>
                </w:rPr>
                <w:t>, 472-476.</w:t>
              </w:r>
            </w:p>
            <w:p w:rsidR="00B6357D" w:rsidRPr="002725B7" w:rsidRDefault="00B6357D" w:rsidP="00B6357D">
              <w:pPr>
                <w:pStyle w:val="Bibliography"/>
                <w:ind w:left="720" w:hanging="720"/>
                <w:rPr>
                  <w:rFonts w:asciiTheme="majorHAnsi" w:hAnsiTheme="majorHAnsi" w:cstheme="minorHAnsi"/>
                  <w:noProof/>
                  <w:color w:val="000000" w:themeColor="text1"/>
                  <w:sz w:val="24"/>
                  <w:szCs w:val="24"/>
                </w:rPr>
              </w:pPr>
              <w:r w:rsidRPr="002725B7">
                <w:rPr>
                  <w:rFonts w:asciiTheme="majorHAnsi" w:hAnsiTheme="majorHAnsi" w:cstheme="minorHAnsi"/>
                  <w:noProof/>
                  <w:color w:val="000000" w:themeColor="text1"/>
                  <w:sz w:val="24"/>
                  <w:szCs w:val="24"/>
                </w:rPr>
                <w:t xml:space="preserve">Rodriguez, H. P., McCullough, J., &amp; Hsuan, C. (2014). Local health department collaborative capacity to improve population health. </w:t>
              </w:r>
              <w:r w:rsidRPr="002725B7">
                <w:rPr>
                  <w:rFonts w:asciiTheme="majorHAnsi" w:hAnsiTheme="majorHAnsi" w:cstheme="minorHAnsi"/>
                  <w:i/>
                  <w:iCs/>
                  <w:noProof/>
                  <w:color w:val="000000" w:themeColor="text1"/>
                  <w:sz w:val="24"/>
                  <w:szCs w:val="24"/>
                </w:rPr>
                <w:t>Frontiers in public health services &amp; systems research, 3(4)</w:t>
              </w:r>
              <w:r w:rsidRPr="002725B7">
                <w:rPr>
                  <w:rFonts w:asciiTheme="majorHAnsi" w:hAnsiTheme="majorHAnsi" w:cstheme="minorHAnsi"/>
                  <w:noProof/>
                  <w:color w:val="000000" w:themeColor="text1"/>
                  <w:sz w:val="24"/>
                  <w:szCs w:val="24"/>
                </w:rPr>
                <w:t>, 7.</w:t>
              </w:r>
            </w:p>
            <w:p w:rsidR="00B6357D" w:rsidRPr="002725B7" w:rsidRDefault="00B6357D" w:rsidP="00B6357D">
              <w:pPr>
                <w:pStyle w:val="Bibliography"/>
                <w:ind w:left="720" w:hanging="720"/>
                <w:rPr>
                  <w:rFonts w:asciiTheme="majorHAnsi" w:hAnsiTheme="majorHAnsi" w:cstheme="minorHAnsi"/>
                  <w:noProof/>
                  <w:color w:val="000000" w:themeColor="text1"/>
                  <w:sz w:val="24"/>
                  <w:szCs w:val="24"/>
                </w:rPr>
              </w:pPr>
              <w:r w:rsidRPr="002725B7">
                <w:rPr>
                  <w:rFonts w:asciiTheme="majorHAnsi" w:hAnsiTheme="majorHAnsi" w:cstheme="minorHAnsi"/>
                  <w:noProof/>
                  <w:color w:val="000000" w:themeColor="text1"/>
                  <w:sz w:val="24"/>
                  <w:szCs w:val="24"/>
                </w:rPr>
                <w:t xml:space="preserve">United States Department of Labor. (2016, May). </w:t>
              </w:r>
              <w:r w:rsidRPr="002725B7">
                <w:rPr>
                  <w:rFonts w:asciiTheme="majorHAnsi" w:hAnsiTheme="majorHAnsi" w:cstheme="minorHAnsi"/>
                  <w:i/>
                  <w:iCs/>
                  <w:noProof/>
                  <w:color w:val="000000" w:themeColor="text1"/>
                  <w:sz w:val="24"/>
                  <w:szCs w:val="24"/>
                </w:rPr>
                <w:t>Occupational Employment Statistics</w:t>
              </w:r>
              <w:r w:rsidRPr="002725B7">
                <w:rPr>
                  <w:rFonts w:asciiTheme="majorHAnsi" w:hAnsiTheme="majorHAnsi" w:cstheme="minorHAnsi"/>
                  <w:noProof/>
                  <w:color w:val="000000" w:themeColor="text1"/>
                  <w:sz w:val="24"/>
                  <w:szCs w:val="24"/>
                </w:rPr>
                <w:t>. Retrieved from Bureau of Labor Statistics: https://www.bls.gov/oes/current/oes_nat.htm</w:t>
              </w:r>
            </w:p>
            <w:p w:rsidR="00437040" w:rsidRPr="002725B7" w:rsidRDefault="00B6357D" w:rsidP="008C154D">
              <w:pPr>
                <w:rPr>
                  <w:rFonts w:asciiTheme="majorHAnsi" w:hAnsiTheme="majorHAnsi" w:cs="Courier New"/>
                  <w:strike/>
                  <w:sz w:val="24"/>
                  <w:szCs w:val="24"/>
                </w:rPr>
              </w:pPr>
              <w:r w:rsidRPr="002725B7">
                <w:rPr>
                  <w:rFonts w:asciiTheme="majorHAnsi" w:hAnsiTheme="majorHAnsi" w:cstheme="minorHAnsi"/>
                  <w:b/>
                  <w:bCs/>
                  <w:noProof/>
                  <w:color w:val="000000" w:themeColor="text1"/>
                  <w:sz w:val="24"/>
                  <w:szCs w:val="24"/>
                </w:rPr>
                <w:fldChar w:fldCharType="end"/>
              </w:r>
            </w:p>
          </w:sdtContent>
        </w:sdt>
      </w:sdtContent>
    </w:sdt>
    <w:sectPr w:rsidR="00437040" w:rsidRPr="002725B7" w:rsidSect="004A1386">
      <w:footerReference w:type="default" r:id="rId13"/>
      <w:type w:val="continuous"/>
      <w:pgSz w:w="12240" w:h="15840" w:code="1"/>
      <w:pgMar w:top="1440" w:right="1440" w:bottom="1440" w:left="1440" w:header="720" w:footer="72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753FDCE" w16cid:durableId="20092BBB"/>
  <w16cid:commentId w16cid:paraId="79387FDC" w16cid:durableId="2009279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2BCB" w:rsidRDefault="00362BCB" w:rsidP="008B5D54">
      <w:r>
        <w:separator/>
      </w:r>
    </w:p>
  </w:endnote>
  <w:endnote w:type="continuationSeparator" w:id="0">
    <w:p w:rsidR="00362BCB" w:rsidRDefault="00362BCB"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ITCFranklinGothicStd-Demi">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ITCFranklinGothicStd-Boo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 w:name="Univers">
    <w:altName w:val="Arial"/>
    <w:charset w:val="00"/>
    <w:family w:val="swiss"/>
    <w:pitch w:val="variable"/>
    <w:sig w:usb0="80000287" w:usb1="00000000" w:usb2="00000000" w:usb3="00000000" w:csb0="0000000F" w:csb1="00000000"/>
  </w:font>
  <w:font w:name="EEAGN D+ Melior">
    <w:altName w:val="Melior"/>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4734644"/>
      <w:docPartObj>
        <w:docPartGallery w:val="Page Numbers (Bottom of Page)"/>
        <w:docPartUnique/>
      </w:docPartObj>
    </w:sdtPr>
    <w:sdtEndPr>
      <w:rPr>
        <w:noProof/>
      </w:rPr>
    </w:sdtEndPr>
    <w:sdtContent>
      <w:p w:rsidR="00614D32" w:rsidRDefault="00614D32">
        <w:pPr>
          <w:pStyle w:val="Footer"/>
          <w:jc w:val="right"/>
        </w:pPr>
        <w:r>
          <w:fldChar w:fldCharType="begin"/>
        </w:r>
        <w:r>
          <w:instrText xml:space="preserve"> PAGE   \* MERGEFORMAT </w:instrText>
        </w:r>
        <w:r>
          <w:fldChar w:fldCharType="separate"/>
        </w:r>
        <w:r w:rsidR="00380E0A">
          <w:rPr>
            <w:noProof/>
          </w:rPr>
          <w:t>2</w:t>
        </w:r>
        <w:r>
          <w:rPr>
            <w:noProof/>
          </w:rPr>
          <w:fldChar w:fldCharType="end"/>
        </w:r>
      </w:p>
    </w:sdtContent>
  </w:sdt>
  <w:p w:rsidR="00614D32" w:rsidRDefault="00614D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2BCB" w:rsidRDefault="00362BCB" w:rsidP="008B5D54">
      <w:r>
        <w:separator/>
      </w:r>
    </w:p>
  </w:footnote>
  <w:footnote w:type="continuationSeparator" w:id="0">
    <w:p w:rsidR="00362BCB" w:rsidRDefault="00362BCB"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nsid w:val="015A7DFD"/>
    <w:multiLevelType w:val="multilevel"/>
    <w:tmpl w:val="8C6819F4"/>
    <w:lvl w:ilvl="0">
      <w:start w:val="1"/>
      <w:numFmt w:val="bullet"/>
      <w:lvlText w:val=""/>
      <w:lvlPicBulletId w:val="1"/>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cs="ITCFranklinGothicStd-Dem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C75528"/>
    <w:multiLevelType w:val="hybridMultilevel"/>
    <w:tmpl w:val="89E0E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271903"/>
    <w:multiLevelType w:val="hybridMultilevel"/>
    <w:tmpl w:val="6BE83C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7C63CB"/>
    <w:multiLevelType w:val="hybridMultilevel"/>
    <w:tmpl w:val="93B2AE9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882213"/>
    <w:multiLevelType w:val="hybridMultilevel"/>
    <w:tmpl w:val="DE12F6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8765F6"/>
    <w:multiLevelType w:val="hybridMultilevel"/>
    <w:tmpl w:val="F6CA62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E8083F"/>
    <w:multiLevelType w:val="hybridMultilevel"/>
    <w:tmpl w:val="105875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021201"/>
    <w:multiLevelType w:val="hybridMultilevel"/>
    <w:tmpl w:val="F36067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D865C4"/>
    <w:multiLevelType w:val="hybridMultilevel"/>
    <w:tmpl w:val="BDD2AE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F81F01"/>
    <w:multiLevelType w:val="hybridMultilevel"/>
    <w:tmpl w:val="3E188E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481D09"/>
    <w:multiLevelType w:val="hybridMultilevel"/>
    <w:tmpl w:val="33244C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9B7496"/>
    <w:multiLevelType w:val="hybridMultilevel"/>
    <w:tmpl w:val="F90267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332AB6"/>
    <w:multiLevelType w:val="hybridMultilevel"/>
    <w:tmpl w:val="8990E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630B48"/>
    <w:multiLevelType w:val="hybridMultilevel"/>
    <w:tmpl w:val="12522B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82450E"/>
    <w:multiLevelType w:val="hybridMultilevel"/>
    <w:tmpl w:val="B34C1C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2FF1965"/>
    <w:multiLevelType w:val="hybridMultilevel"/>
    <w:tmpl w:val="61CC6C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6326A4D"/>
    <w:multiLevelType w:val="hybridMultilevel"/>
    <w:tmpl w:val="58566292"/>
    <w:lvl w:ilvl="0" w:tplc="78E2E9DC">
      <w:start w:val="1"/>
      <w:numFmt w:val="upperLetter"/>
      <w:lvlText w:val="%1."/>
      <w:lvlJc w:val="left"/>
      <w:pPr>
        <w:ind w:left="720" w:hanging="360"/>
      </w:pPr>
      <w:rPr>
        <w:rFonts w:cs="ITCFranklinGothicStd-Dem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70A2BD7"/>
    <w:multiLevelType w:val="hybridMultilevel"/>
    <w:tmpl w:val="7FFC5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B28224A"/>
    <w:multiLevelType w:val="hybridMultilevel"/>
    <w:tmpl w:val="71DC7A72"/>
    <w:lvl w:ilvl="0" w:tplc="04090001">
      <w:start w:val="1"/>
      <w:numFmt w:val="bullet"/>
      <w:lvlText w:val=""/>
      <w:lvlJc w:val="left"/>
      <w:pPr>
        <w:ind w:left="720" w:hanging="360"/>
      </w:pPr>
      <w:rPr>
        <w:rFonts w:ascii="Symbol" w:hAnsi="Symbol" w:hint="default"/>
      </w:rPr>
    </w:lvl>
    <w:lvl w:ilvl="1" w:tplc="E508036C">
      <w:start w:val="1"/>
      <w:numFmt w:val="lowerLetter"/>
      <w:lvlText w:val="(%2)"/>
      <w:lvlJc w:val="left"/>
      <w:pPr>
        <w:ind w:left="1440" w:hanging="360"/>
      </w:pPr>
      <w:rPr>
        <w:rFonts w:asciiTheme="minorHAnsi" w:eastAsiaTheme="minorEastAsia" w:hAnsiTheme="minorHAnsi" w:cs="ITCFranklinGothicStd-Book"/>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BBD7454"/>
    <w:multiLevelType w:val="hybridMultilevel"/>
    <w:tmpl w:val="16668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FDB07B5"/>
    <w:multiLevelType w:val="hybridMultilevel"/>
    <w:tmpl w:val="44340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0F773E9"/>
    <w:multiLevelType w:val="hybridMultilevel"/>
    <w:tmpl w:val="26B2CF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160426C"/>
    <w:multiLevelType w:val="hybridMultilevel"/>
    <w:tmpl w:val="BAD03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7636F6A"/>
    <w:multiLevelType w:val="hybridMultilevel"/>
    <w:tmpl w:val="24287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A612761"/>
    <w:multiLevelType w:val="hybridMultilevel"/>
    <w:tmpl w:val="D12AE6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B595326"/>
    <w:multiLevelType w:val="hybridMultilevel"/>
    <w:tmpl w:val="56963C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22D42D3"/>
    <w:multiLevelType w:val="hybridMultilevel"/>
    <w:tmpl w:val="BB3A2A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3076C30"/>
    <w:multiLevelType w:val="hybridMultilevel"/>
    <w:tmpl w:val="68505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31761C6"/>
    <w:multiLevelType w:val="hybridMultilevel"/>
    <w:tmpl w:val="6630C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3CC023E"/>
    <w:multiLevelType w:val="hybridMultilevel"/>
    <w:tmpl w:val="4B8CA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6746DCE"/>
    <w:multiLevelType w:val="hybridMultilevel"/>
    <w:tmpl w:val="1D3257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6C1000E"/>
    <w:multiLevelType w:val="hybridMultilevel"/>
    <w:tmpl w:val="AA7CF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5E081C23"/>
    <w:multiLevelType w:val="hybridMultilevel"/>
    <w:tmpl w:val="4232F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0044EC6"/>
    <w:multiLevelType w:val="multilevel"/>
    <w:tmpl w:val="94CCE43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26F1241"/>
    <w:multiLevelType w:val="hybridMultilevel"/>
    <w:tmpl w:val="E360A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35D2CA2"/>
    <w:multiLevelType w:val="hybridMultilevel"/>
    <w:tmpl w:val="1D443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3601360"/>
    <w:multiLevelType w:val="hybridMultilevel"/>
    <w:tmpl w:val="E5B60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7493609"/>
    <w:multiLevelType w:val="hybridMultilevel"/>
    <w:tmpl w:val="0568EA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8AF624F"/>
    <w:multiLevelType w:val="hybridMultilevel"/>
    <w:tmpl w:val="555E4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C5B2897"/>
    <w:multiLevelType w:val="hybridMultilevel"/>
    <w:tmpl w:val="F4CA81DA"/>
    <w:lvl w:ilvl="0" w:tplc="1B004E44">
      <w:numFmt w:val="bullet"/>
      <w:lvlText w:val="-"/>
      <w:lvlJc w:val="left"/>
      <w:pPr>
        <w:ind w:left="720" w:hanging="360"/>
      </w:pPr>
      <w:rPr>
        <w:rFonts w:ascii="Times New Roman" w:eastAsia="Times New Roman" w:hAnsi="Times New Roman" w:hint="default"/>
        <w:color w:val="000000"/>
        <w:sz w:val="24"/>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0">
    <w:nsid w:val="70105741"/>
    <w:multiLevelType w:val="hybridMultilevel"/>
    <w:tmpl w:val="4E64A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3664FB1"/>
    <w:multiLevelType w:val="hybridMultilevel"/>
    <w:tmpl w:val="04F230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55923F2"/>
    <w:multiLevelType w:val="hybridMultilevel"/>
    <w:tmpl w:val="6292F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66D0351"/>
    <w:multiLevelType w:val="hybridMultilevel"/>
    <w:tmpl w:val="F48AE7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B6224E5"/>
    <w:multiLevelType w:val="hybridMultilevel"/>
    <w:tmpl w:val="2C9A877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17"/>
  </w:num>
  <w:num w:numId="2">
    <w:abstractNumId w:val="30"/>
  </w:num>
  <w:num w:numId="3">
    <w:abstractNumId w:val="33"/>
  </w:num>
  <w:num w:numId="4">
    <w:abstractNumId w:val="5"/>
  </w:num>
  <w:num w:numId="5">
    <w:abstractNumId w:val="19"/>
  </w:num>
  <w:num w:numId="6">
    <w:abstractNumId w:val="0"/>
  </w:num>
  <w:num w:numId="7">
    <w:abstractNumId w:val="42"/>
  </w:num>
  <w:num w:numId="8">
    <w:abstractNumId w:val="28"/>
  </w:num>
  <w:num w:numId="9">
    <w:abstractNumId w:val="11"/>
  </w:num>
  <w:num w:numId="10">
    <w:abstractNumId w:val="43"/>
  </w:num>
  <w:num w:numId="11">
    <w:abstractNumId w:val="16"/>
  </w:num>
  <w:num w:numId="12">
    <w:abstractNumId w:val="26"/>
  </w:num>
  <w:num w:numId="13">
    <w:abstractNumId w:val="31"/>
  </w:num>
  <w:num w:numId="14">
    <w:abstractNumId w:val="1"/>
  </w:num>
  <w:num w:numId="15">
    <w:abstractNumId w:val="37"/>
  </w:num>
  <w:num w:numId="16">
    <w:abstractNumId w:val="6"/>
  </w:num>
  <w:num w:numId="17">
    <w:abstractNumId w:val="12"/>
  </w:num>
  <w:num w:numId="18">
    <w:abstractNumId w:val="29"/>
  </w:num>
  <w:num w:numId="19">
    <w:abstractNumId w:val="36"/>
  </w:num>
  <w:num w:numId="20">
    <w:abstractNumId w:val="23"/>
  </w:num>
  <w:num w:numId="21">
    <w:abstractNumId w:val="7"/>
  </w:num>
  <w:num w:numId="22">
    <w:abstractNumId w:val="38"/>
  </w:num>
  <w:num w:numId="23">
    <w:abstractNumId w:val="44"/>
  </w:num>
  <w:num w:numId="24">
    <w:abstractNumId w:val="10"/>
  </w:num>
  <w:num w:numId="25">
    <w:abstractNumId w:val="21"/>
  </w:num>
  <w:num w:numId="26">
    <w:abstractNumId w:val="9"/>
  </w:num>
  <w:num w:numId="27">
    <w:abstractNumId w:val="13"/>
  </w:num>
  <w:num w:numId="28">
    <w:abstractNumId w:val="24"/>
  </w:num>
  <w:num w:numId="29">
    <w:abstractNumId w:val="41"/>
  </w:num>
  <w:num w:numId="30">
    <w:abstractNumId w:val="8"/>
  </w:num>
  <w:num w:numId="31">
    <w:abstractNumId w:val="15"/>
  </w:num>
  <w:num w:numId="32">
    <w:abstractNumId w:val="35"/>
  </w:num>
  <w:num w:numId="33">
    <w:abstractNumId w:val="40"/>
  </w:num>
  <w:num w:numId="34">
    <w:abstractNumId w:val="18"/>
  </w:num>
  <w:num w:numId="35">
    <w:abstractNumId w:val="14"/>
  </w:num>
  <w:num w:numId="36">
    <w:abstractNumId w:val="2"/>
  </w:num>
  <w:num w:numId="37">
    <w:abstractNumId w:val="3"/>
  </w:num>
  <w:num w:numId="38">
    <w:abstractNumId w:val="20"/>
  </w:num>
  <w:num w:numId="39">
    <w:abstractNumId w:val="25"/>
  </w:num>
  <w:num w:numId="40">
    <w:abstractNumId w:val="39"/>
  </w:num>
  <w:num w:numId="41">
    <w:abstractNumId w:val="32"/>
  </w:num>
  <w:num w:numId="42">
    <w:abstractNumId w:val="34"/>
  </w:num>
  <w:num w:numId="43">
    <w:abstractNumId w:val="22"/>
  </w:num>
  <w:num w:numId="44">
    <w:abstractNumId w:val="27"/>
  </w:num>
  <w:num w:numId="45">
    <w:abstractNumId w:val="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002"/>
    <w:rsid w:val="00001837"/>
    <w:rsid w:val="00001F18"/>
    <w:rsid w:val="00002515"/>
    <w:rsid w:val="00002A38"/>
    <w:rsid w:val="00004068"/>
    <w:rsid w:val="00004B55"/>
    <w:rsid w:val="0000689D"/>
    <w:rsid w:val="000071D1"/>
    <w:rsid w:val="0000760C"/>
    <w:rsid w:val="00010AA9"/>
    <w:rsid w:val="00013DB5"/>
    <w:rsid w:val="00017FD6"/>
    <w:rsid w:val="0002168F"/>
    <w:rsid w:val="00026800"/>
    <w:rsid w:val="000273E9"/>
    <w:rsid w:val="00027653"/>
    <w:rsid w:val="00027B1B"/>
    <w:rsid w:val="00036AAF"/>
    <w:rsid w:val="000408F5"/>
    <w:rsid w:val="00040E13"/>
    <w:rsid w:val="00040F4A"/>
    <w:rsid w:val="0004487B"/>
    <w:rsid w:val="00045A02"/>
    <w:rsid w:val="00046DBA"/>
    <w:rsid w:val="00047490"/>
    <w:rsid w:val="00051810"/>
    <w:rsid w:val="00051816"/>
    <w:rsid w:val="00051B38"/>
    <w:rsid w:val="00052532"/>
    <w:rsid w:val="000528ED"/>
    <w:rsid w:val="000602B8"/>
    <w:rsid w:val="000618E0"/>
    <w:rsid w:val="0006228C"/>
    <w:rsid w:val="00064766"/>
    <w:rsid w:val="00064EE1"/>
    <w:rsid w:val="00065269"/>
    <w:rsid w:val="00065509"/>
    <w:rsid w:val="00065C9C"/>
    <w:rsid w:val="00066D02"/>
    <w:rsid w:val="000712F6"/>
    <w:rsid w:val="00072010"/>
    <w:rsid w:val="00075A8C"/>
    <w:rsid w:val="00076C47"/>
    <w:rsid w:val="00076C74"/>
    <w:rsid w:val="000771B9"/>
    <w:rsid w:val="0007753E"/>
    <w:rsid w:val="00077A0C"/>
    <w:rsid w:val="0008315C"/>
    <w:rsid w:val="00085E58"/>
    <w:rsid w:val="000902DE"/>
    <w:rsid w:val="000937AC"/>
    <w:rsid w:val="00094108"/>
    <w:rsid w:val="0009433D"/>
    <w:rsid w:val="00094E12"/>
    <w:rsid w:val="00097CC1"/>
    <w:rsid w:val="000A16FA"/>
    <w:rsid w:val="000A204D"/>
    <w:rsid w:val="000A28C8"/>
    <w:rsid w:val="000A30A8"/>
    <w:rsid w:val="000A4BD7"/>
    <w:rsid w:val="000A4DC1"/>
    <w:rsid w:val="000A5AC6"/>
    <w:rsid w:val="000A5B57"/>
    <w:rsid w:val="000A6E17"/>
    <w:rsid w:val="000A77B0"/>
    <w:rsid w:val="000B0207"/>
    <w:rsid w:val="000B14F2"/>
    <w:rsid w:val="000B1745"/>
    <w:rsid w:val="000B2392"/>
    <w:rsid w:val="000B3E47"/>
    <w:rsid w:val="000B4969"/>
    <w:rsid w:val="000C0970"/>
    <w:rsid w:val="000C2304"/>
    <w:rsid w:val="000C3A76"/>
    <w:rsid w:val="000C3D57"/>
    <w:rsid w:val="000C7545"/>
    <w:rsid w:val="000D0CCD"/>
    <w:rsid w:val="000D2468"/>
    <w:rsid w:val="000E7FAD"/>
    <w:rsid w:val="000F2328"/>
    <w:rsid w:val="000F54E4"/>
    <w:rsid w:val="000F7C57"/>
    <w:rsid w:val="00100D0E"/>
    <w:rsid w:val="00101FE3"/>
    <w:rsid w:val="00103DFD"/>
    <w:rsid w:val="00104051"/>
    <w:rsid w:val="0010534B"/>
    <w:rsid w:val="00106836"/>
    <w:rsid w:val="00106ECA"/>
    <w:rsid w:val="00107476"/>
    <w:rsid w:val="00110CE3"/>
    <w:rsid w:val="00110D29"/>
    <w:rsid w:val="0011321F"/>
    <w:rsid w:val="00116841"/>
    <w:rsid w:val="00117B86"/>
    <w:rsid w:val="00120063"/>
    <w:rsid w:val="00121DEC"/>
    <w:rsid w:val="00122382"/>
    <w:rsid w:val="001232E4"/>
    <w:rsid w:val="00123A3D"/>
    <w:rsid w:val="00124561"/>
    <w:rsid w:val="0012507B"/>
    <w:rsid w:val="001317DF"/>
    <w:rsid w:val="00132004"/>
    <w:rsid w:val="001324C6"/>
    <w:rsid w:val="001346BF"/>
    <w:rsid w:val="00134BEF"/>
    <w:rsid w:val="001372DB"/>
    <w:rsid w:val="0013764F"/>
    <w:rsid w:val="00140C4F"/>
    <w:rsid w:val="0014151A"/>
    <w:rsid w:val="001417E6"/>
    <w:rsid w:val="00142483"/>
    <w:rsid w:val="00145333"/>
    <w:rsid w:val="00147AEA"/>
    <w:rsid w:val="00150025"/>
    <w:rsid w:val="0015103C"/>
    <w:rsid w:val="00151318"/>
    <w:rsid w:val="00151D2F"/>
    <w:rsid w:val="00153755"/>
    <w:rsid w:val="00154573"/>
    <w:rsid w:val="001554AA"/>
    <w:rsid w:val="00156E7E"/>
    <w:rsid w:val="001579E5"/>
    <w:rsid w:val="001603D2"/>
    <w:rsid w:val="00160A9B"/>
    <w:rsid w:val="00160B44"/>
    <w:rsid w:val="0016112E"/>
    <w:rsid w:val="00161B16"/>
    <w:rsid w:val="001623ED"/>
    <w:rsid w:val="001626E8"/>
    <w:rsid w:val="00163C21"/>
    <w:rsid w:val="00164F8E"/>
    <w:rsid w:val="00167A15"/>
    <w:rsid w:val="001717BC"/>
    <w:rsid w:val="001727C1"/>
    <w:rsid w:val="00174317"/>
    <w:rsid w:val="001743E9"/>
    <w:rsid w:val="0017519D"/>
    <w:rsid w:val="00176AF4"/>
    <w:rsid w:val="00177ABE"/>
    <w:rsid w:val="0018051D"/>
    <w:rsid w:val="00183BDC"/>
    <w:rsid w:val="00184DB9"/>
    <w:rsid w:val="00185386"/>
    <w:rsid w:val="001855E3"/>
    <w:rsid w:val="00185DE6"/>
    <w:rsid w:val="00186569"/>
    <w:rsid w:val="00186B76"/>
    <w:rsid w:val="001872E6"/>
    <w:rsid w:val="00190A0B"/>
    <w:rsid w:val="0019189C"/>
    <w:rsid w:val="00191F61"/>
    <w:rsid w:val="0019371F"/>
    <w:rsid w:val="0019529B"/>
    <w:rsid w:val="00195583"/>
    <w:rsid w:val="001963A2"/>
    <w:rsid w:val="00196C12"/>
    <w:rsid w:val="00196DD3"/>
    <w:rsid w:val="00197CC6"/>
    <w:rsid w:val="001A0F08"/>
    <w:rsid w:val="001A15F9"/>
    <w:rsid w:val="001A25FD"/>
    <w:rsid w:val="001A40DB"/>
    <w:rsid w:val="001A52AC"/>
    <w:rsid w:val="001A546D"/>
    <w:rsid w:val="001A5EC6"/>
    <w:rsid w:val="001A688C"/>
    <w:rsid w:val="001A6F47"/>
    <w:rsid w:val="001B2712"/>
    <w:rsid w:val="001B3522"/>
    <w:rsid w:val="001B566A"/>
    <w:rsid w:val="001B742C"/>
    <w:rsid w:val="001C040F"/>
    <w:rsid w:val="001C066E"/>
    <w:rsid w:val="001C09CE"/>
    <w:rsid w:val="001C1DD5"/>
    <w:rsid w:val="001C268C"/>
    <w:rsid w:val="001C27CC"/>
    <w:rsid w:val="001C3162"/>
    <w:rsid w:val="001C3EBE"/>
    <w:rsid w:val="001C428E"/>
    <w:rsid w:val="001C52B4"/>
    <w:rsid w:val="001C57AD"/>
    <w:rsid w:val="001D391B"/>
    <w:rsid w:val="001D56E7"/>
    <w:rsid w:val="001D64F9"/>
    <w:rsid w:val="001D75CC"/>
    <w:rsid w:val="001E12B2"/>
    <w:rsid w:val="001E27D7"/>
    <w:rsid w:val="001E2D65"/>
    <w:rsid w:val="001E471C"/>
    <w:rsid w:val="001E4AF8"/>
    <w:rsid w:val="001E595A"/>
    <w:rsid w:val="001E5A6A"/>
    <w:rsid w:val="001E648F"/>
    <w:rsid w:val="001F19FD"/>
    <w:rsid w:val="001F1D97"/>
    <w:rsid w:val="001F23DF"/>
    <w:rsid w:val="001F3995"/>
    <w:rsid w:val="001F4FFA"/>
    <w:rsid w:val="001F53D2"/>
    <w:rsid w:val="001F5847"/>
    <w:rsid w:val="001F5BDA"/>
    <w:rsid w:val="001F6275"/>
    <w:rsid w:val="0020046E"/>
    <w:rsid w:val="00201308"/>
    <w:rsid w:val="002021A0"/>
    <w:rsid w:val="00203388"/>
    <w:rsid w:val="00203735"/>
    <w:rsid w:val="00203A62"/>
    <w:rsid w:val="00204DD3"/>
    <w:rsid w:val="00205D4A"/>
    <w:rsid w:val="002064EF"/>
    <w:rsid w:val="00206A3D"/>
    <w:rsid w:val="00206AAE"/>
    <w:rsid w:val="00206E80"/>
    <w:rsid w:val="00212166"/>
    <w:rsid w:val="00214D62"/>
    <w:rsid w:val="00215202"/>
    <w:rsid w:val="00217442"/>
    <w:rsid w:val="002203E0"/>
    <w:rsid w:val="00223943"/>
    <w:rsid w:val="00225280"/>
    <w:rsid w:val="0022559B"/>
    <w:rsid w:val="00227817"/>
    <w:rsid w:val="00230598"/>
    <w:rsid w:val="0023081C"/>
    <w:rsid w:val="00231951"/>
    <w:rsid w:val="00236267"/>
    <w:rsid w:val="0023630E"/>
    <w:rsid w:val="00236584"/>
    <w:rsid w:val="002369DA"/>
    <w:rsid w:val="002379B5"/>
    <w:rsid w:val="00240D0E"/>
    <w:rsid w:val="0024113E"/>
    <w:rsid w:val="00242710"/>
    <w:rsid w:val="0024399D"/>
    <w:rsid w:val="00244333"/>
    <w:rsid w:val="00244F46"/>
    <w:rsid w:val="00245512"/>
    <w:rsid w:val="00246554"/>
    <w:rsid w:val="00257CB9"/>
    <w:rsid w:val="00257F1C"/>
    <w:rsid w:val="002605A1"/>
    <w:rsid w:val="00261110"/>
    <w:rsid w:val="00261399"/>
    <w:rsid w:val="00265663"/>
    <w:rsid w:val="00266491"/>
    <w:rsid w:val="0026725A"/>
    <w:rsid w:val="00271C0C"/>
    <w:rsid w:val="002725B7"/>
    <w:rsid w:val="00274D11"/>
    <w:rsid w:val="0027619F"/>
    <w:rsid w:val="002761D2"/>
    <w:rsid w:val="00276F0D"/>
    <w:rsid w:val="002771FE"/>
    <w:rsid w:val="002775B6"/>
    <w:rsid w:val="00277839"/>
    <w:rsid w:val="00283797"/>
    <w:rsid w:val="00283881"/>
    <w:rsid w:val="00283B36"/>
    <w:rsid w:val="0028491D"/>
    <w:rsid w:val="002873C7"/>
    <w:rsid w:val="00287A8C"/>
    <w:rsid w:val="00287B5A"/>
    <w:rsid w:val="00287CE1"/>
    <w:rsid w:val="0029038E"/>
    <w:rsid w:val="00290F85"/>
    <w:rsid w:val="0029286C"/>
    <w:rsid w:val="002928DF"/>
    <w:rsid w:val="00292BEC"/>
    <w:rsid w:val="002930EC"/>
    <w:rsid w:val="00294E11"/>
    <w:rsid w:val="002A1AB0"/>
    <w:rsid w:val="002A1ED4"/>
    <w:rsid w:val="002A3655"/>
    <w:rsid w:val="002A45FC"/>
    <w:rsid w:val="002A6AAC"/>
    <w:rsid w:val="002B10A3"/>
    <w:rsid w:val="002B1D7C"/>
    <w:rsid w:val="002B413F"/>
    <w:rsid w:val="002C06A1"/>
    <w:rsid w:val="002C1279"/>
    <w:rsid w:val="002C2A8D"/>
    <w:rsid w:val="002C5C5C"/>
    <w:rsid w:val="002C645E"/>
    <w:rsid w:val="002C6753"/>
    <w:rsid w:val="002D24CE"/>
    <w:rsid w:val="002D3A9E"/>
    <w:rsid w:val="002D6044"/>
    <w:rsid w:val="002D6F0D"/>
    <w:rsid w:val="002E0397"/>
    <w:rsid w:val="002E0778"/>
    <w:rsid w:val="002E16FE"/>
    <w:rsid w:val="002E2E4E"/>
    <w:rsid w:val="002E368A"/>
    <w:rsid w:val="002E3C81"/>
    <w:rsid w:val="002E4477"/>
    <w:rsid w:val="002E4498"/>
    <w:rsid w:val="002E48A7"/>
    <w:rsid w:val="002E4958"/>
    <w:rsid w:val="002E575E"/>
    <w:rsid w:val="002E6317"/>
    <w:rsid w:val="002E7176"/>
    <w:rsid w:val="002E75E0"/>
    <w:rsid w:val="002E76C7"/>
    <w:rsid w:val="002F0441"/>
    <w:rsid w:val="002F1EC0"/>
    <w:rsid w:val="002F3924"/>
    <w:rsid w:val="002F3D80"/>
    <w:rsid w:val="002F4599"/>
    <w:rsid w:val="002F6924"/>
    <w:rsid w:val="002F6EE5"/>
    <w:rsid w:val="00302CC4"/>
    <w:rsid w:val="00306DDE"/>
    <w:rsid w:val="00307FE7"/>
    <w:rsid w:val="003113D2"/>
    <w:rsid w:val="003129D2"/>
    <w:rsid w:val="00315136"/>
    <w:rsid w:val="00316980"/>
    <w:rsid w:val="00316B24"/>
    <w:rsid w:val="00320135"/>
    <w:rsid w:val="003210B3"/>
    <w:rsid w:val="00323C10"/>
    <w:rsid w:val="00324370"/>
    <w:rsid w:val="0032470A"/>
    <w:rsid w:val="003248A4"/>
    <w:rsid w:val="00326844"/>
    <w:rsid w:val="00326EE6"/>
    <w:rsid w:val="003274C7"/>
    <w:rsid w:val="00330703"/>
    <w:rsid w:val="00331278"/>
    <w:rsid w:val="00332993"/>
    <w:rsid w:val="0033469A"/>
    <w:rsid w:val="003354DF"/>
    <w:rsid w:val="00340148"/>
    <w:rsid w:val="00340E99"/>
    <w:rsid w:val="00342BA4"/>
    <w:rsid w:val="003467B9"/>
    <w:rsid w:val="00346C4C"/>
    <w:rsid w:val="00346E41"/>
    <w:rsid w:val="003506B8"/>
    <w:rsid w:val="003507B3"/>
    <w:rsid w:val="00354A4E"/>
    <w:rsid w:val="00354E0E"/>
    <w:rsid w:val="00355B97"/>
    <w:rsid w:val="00357FB5"/>
    <w:rsid w:val="00360896"/>
    <w:rsid w:val="00360BBB"/>
    <w:rsid w:val="00361201"/>
    <w:rsid w:val="00361AF0"/>
    <w:rsid w:val="00362BCB"/>
    <w:rsid w:val="003641E3"/>
    <w:rsid w:val="003648A2"/>
    <w:rsid w:val="00364CCC"/>
    <w:rsid w:val="00364DFB"/>
    <w:rsid w:val="003651F6"/>
    <w:rsid w:val="0036566F"/>
    <w:rsid w:val="00365B89"/>
    <w:rsid w:val="0036625E"/>
    <w:rsid w:val="0036644F"/>
    <w:rsid w:val="003712EB"/>
    <w:rsid w:val="003725FA"/>
    <w:rsid w:val="00373456"/>
    <w:rsid w:val="00374120"/>
    <w:rsid w:val="003750D7"/>
    <w:rsid w:val="00380B26"/>
    <w:rsid w:val="00380E0A"/>
    <w:rsid w:val="003810E2"/>
    <w:rsid w:val="003814B6"/>
    <w:rsid w:val="00381CDB"/>
    <w:rsid w:val="003821DB"/>
    <w:rsid w:val="0038289E"/>
    <w:rsid w:val="00382DAC"/>
    <w:rsid w:val="00383848"/>
    <w:rsid w:val="00384F73"/>
    <w:rsid w:val="00385207"/>
    <w:rsid w:val="00385B8C"/>
    <w:rsid w:val="0038668B"/>
    <w:rsid w:val="00386C3A"/>
    <w:rsid w:val="00387C4A"/>
    <w:rsid w:val="00390B2D"/>
    <w:rsid w:val="00390BAE"/>
    <w:rsid w:val="00391007"/>
    <w:rsid w:val="00391972"/>
    <w:rsid w:val="003924FB"/>
    <w:rsid w:val="003A007B"/>
    <w:rsid w:val="003A0349"/>
    <w:rsid w:val="003A29BA"/>
    <w:rsid w:val="003A2F76"/>
    <w:rsid w:val="003A4B8F"/>
    <w:rsid w:val="003A5DD1"/>
    <w:rsid w:val="003A63D1"/>
    <w:rsid w:val="003B1968"/>
    <w:rsid w:val="003B2A57"/>
    <w:rsid w:val="003B3057"/>
    <w:rsid w:val="003B6B9A"/>
    <w:rsid w:val="003B6E11"/>
    <w:rsid w:val="003C0795"/>
    <w:rsid w:val="003C0CED"/>
    <w:rsid w:val="003C21A1"/>
    <w:rsid w:val="003C4886"/>
    <w:rsid w:val="003C530B"/>
    <w:rsid w:val="003D0A44"/>
    <w:rsid w:val="003D10DD"/>
    <w:rsid w:val="003D1A64"/>
    <w:rsid w:val="003D2917"/>
    <w:rsid w:val="003D3764"/>
    <w:rsid w:val="003D3E78"/>
    <w:rsid w:val="003D4E99"/>
    <w:rsid w:val="003D662A"/>
    <w:rsid w:val="003D6F3C"/>
    <w:rsid w:val="003D702E"/>
    <w:rsid w:val="003D7C7F"/>
    <w:rsid w:val="003E092D"/>
    <w:rsid w:val="003E176C"/>
    <w:rsid w:val="003E3384"/>
    <w:rsid w:val="003E5037"/>
    <w:rsid w:val="003E74EE"/>
    <w:rsid w:val="003E7D3C"/>
    <w:rsid w:val="003F1B67"/>
    <w:rsid w:val="003F2C06"/>
    <w:rsid w:val="003F302A"/>
    <w:rsid w:val="003F51BF"/>
    <w:rsid w:val="003F5FF8"/>
    <w:rsid w:val="003F612D"/>
    <w:rsid w:val="003F6290"/>
    <w:rsid w:val="003F6A54"/>
    <w:rsid w:val="003F7043"/>
    <w:rsid w:val="00400C55"/>
    <w:rsid w:val="00403D2D"/>
    <w:rsid w:val="00405241"/>
    <w:rsid w:val="0040594D"/>
    <w:rsid w:val="00405AC9"/>
    <w:rsid w:val="004068A7"/>
    <w:rsid w:val="0040727B"/>
    <w:rsid w:val="00407B3E"/>
    <w:rsid w:val="00410239"/>
    <w:rsid w:val="00411D9C"/>
    <w:rsid w:val="00412C9B"/>
    <w:rsid w:val="00413951"/>
    <w:rsid w:val="00414F97"/>
    <w:rsid w:val="004154B7"/>
    <w:rsid w:val="00416242"/>
    <w:rsid w:val="00417A59"/>
    <w:rsid w:val="00420585"/>
    <w:rsid w:val="0042293F"/>
    <w:rsid w:val="00423EA8"/>
    <w:rsid w:val="00424375"/>
    <w:rsid w:val="0042567B"/>
    <w:rsid w:val="00425949"/>
    <w:rsid w:val="004302E3"/>
    <w:rsid w:val="004302E9"/>
    <w:rsid w:val="00434368"/>
    <w:rsid w:val="00434825"/>
    <w:rsid w:val="00434990"/>
    <w:rsid w:val="00434A3F"/>
    <w:rsid w:val="0043524D"/>
    <w:rsid w:val="00436064"/>
    <w:rsid w:val="00437040"/>
    <w:rsid w:val="0044037B"/>
    <w:rsid w:val="0044152A"/>
    <w:rsid w:val="004417A7"/>
    <w:rsid w:val="00441874"/>
    <w:rsid w:val="0044331E"/>
    <w:rsid w:val="00445003"/>
    <w:rsid w:val="0044654D"/>
    <w:rsid w:val="00447DD2"/>
    <w:rsid w:val="00451BBD"/>
    <w:rsid w:val="00455158"/>
    <w:rsid w:val="00455277"/>
    <w:rsid w:val="00455441"/>
    <w:rsid w:val="004558AD"/>
    <w:rsid w:val="00462755"/>
    <w:rsid w:val="00462CB7"/>
    <w:rsid w:val="00463291"/>
    <w:rsid w:val="0046387A"/>
    <w:rsid w:val="00465813"/>
    <w:rsid w:val="004677EB"/>
    <w:rsid w:val="004710F1"/>
    <w:rsid w:val="004750F9"/>
    <w:rsid w:val="0047610D"/>
    <w:rsid w:val="00476284"/>
    <w:rsid w:val="0047778A"/>
    <w:rsid w:val="00477BB5"/>
    <w:rsid w:val="00480FC6"/>
    <w:rsid w:val="004824EF"/>
    <w:rsid w:val="004834F8"/>
    <w:rsid w:val="00483E2D"/>
    <w:rsid w:val="00485C32"/>
    <w:rsid w:val="004863C6"/>
    <w:rsid w:val="004900F6"/>
    <w:rsid w:val="0049091C"/>
    <w:rsid w:val="00491AED"/>
    <w:rsid w:val="00492682"/>
    <w:rsid w:val="004939F0"/>
    <w:rsid w:val="00493D46"/>
    <w:rsid w:val="00495D18"/>
    <w:rsid w:val="00496470"/>
    <w:rsid w:val="00496C37"/>
    <w:rsid w:val="004976CC"/>
    <w:rsid w:val="004A0C8C"/>
    <w:rsid w:val="004A1386"/>
    <w:rsid w:val="004A2928"/>
    <w:rsid w:val="004A3A46"/>
    <w:rsid w:val="004A3C34"/>
    <w:rsid w:val="004A7B18"/>
    <w:rsid w:val="004B091D"/>
    <w:rsid w:val="004B1388"/>
    <w:rsid w:val="004B1DDF"/>
    <w:rsid w:val="004B1E79"/>
    <w:rsid w:val="004B2746"/>
    <w:rsid w:val="004B52AA"/>
    <w:rsid w:val="004B68D9"/>
    <w:rsid w:val="004B69EF"/>
    <w:rsid w:val="004B7999"/>
    <w:rsid w:val="004B7CC0"/>
    <w:rsid w:val="004B7E0F"/>
    <w:rsid w:val="004B7EFD"/>
    <w:rsid w:val="004C24F6"/>
    <w:rsid w:val="004C37C5"/>
    <w:rsid w:val="004C491A"/>
    <w:rsid w:val="004C4B55"/>
    <w:rsid w:val="004C5A0B"/>
    <w:rsid w:val="004C6F92"/>
    <w:rsid w:val="004C78BB"/>
    <w:rsid w:val="004D194E"/>
    <w:rsid w:val="004D21C9"/>
    <w:rsid w:val="004D2837"/>
    <w:rsid w:val="004D3245"/>
    <w:rsid w:val="004D3CE2"/>
    <w:rsid w:val="004D5471"/>
    <w:rsid w:val="004D621C"/>
    <w:rsid w:val="004D6B87"/>
    <w:rsid w:val="004D7237"/>
    <w:rsid w:val="004E124C"/>
    <w:rsid w:val="004E12D8"/>
    <w:rsid w:val="004E1D4C"/>
    <w:rsid w:val="004E29A9"/>
    <w:rsid w:val="004E3771"/>
    <w:rsid w:val="004E3A0F"/>
    <w:rsid w:val="004E3F14"/>
    <w:rsid w:val="004E40CE"/>
    <w:rsid w:val="004E580C"/>
    <w:rsid w:val="004E5B73"/>
    <w:rsid w:val="004E62B1"/>
    <w:rsid w:val="004E7FB2"/>
    <w:rsid w:val="004F0165"/>
    <w:rsid w:val="004F1D6F"/>
    <w:rsid w:val="004F3917"/>
    <w:rsid w:val="004F5BB4"/>
    <w:rsid w:val="004F7591"/>
    <w:rsid w:val="00504936"/>
    <w:rsid w:val="005061B9"/>
    <w:rsid w:val="005109FF"/>
    <w:rsid w:val="0051273B"/>
    <w:rsid w:val="00514B67"/>
    <w:rsid w:val="0051571F"/>
    <w:rsid w:val="0052250B"/>
    <w:rsid w:val="00523A2A"/>
    <w:rsid w:val="00524D01"/>
    <w:rsid w:val="00525695"/>
    <w:rsid w:val="00527897"/>
    <w:rsid w:val="00527DE6"/>
    <w:rsid w:val="00537B5C"/>
    <w:rsid w:val="0054047D"/>
    <w:rsid w:val="0054053A"/>
    <w:rsid w:val="005407DB"/>
    <w:rsid w:val="00540F1B"/>
    <w:rsid w:val="00540F4E"/>
    <w:rsid w:val="00541808"/>
    <w:rsid w:val="00543DCF"/>
    <w:rsid w:val="00544418"/>
    <w:rsid w:val="005459BB"/>
    <w:rsid w:val="0055030C"/>
    <w:rsid w:val="00551931"/>
    <w:rsid w:val="00561495"/>
    <w:rsid w:val="00564BA6"/>
    <w:rsid w:val="005655A6"/>
    <w:rsid w:val="00566D2A"/>
    <w:rsid w:val="0056741A"/>
    <w:rsid w:val="00567B7B"/>
    <w:rsid w:val="0057025D"/>
    <w:rsid w:val="00570463"/>
    <w:rsid w:val="00572450"/>
    <w:rsid w:val="00576D0C"/>
    <w:rsid w:val="00576DB0"/>
    <w:rsid w:val="005773F6"/>
    <w:rsid w:val="00581C29"/>
    <w:rsid w:val="00582009"/>
    <w:rsid w:val="0058290A"/>
    <w:rsid w:val="00583420"/>
    <w:rsid w:val="00583B69"/>
    <w:rsid w:val="00585152"/>
    <w:rsid w:val="00585343"/>
    <w:rsid w:val="00585F88"/>
    <w:rsid w:val="0058632D"/>
    <w:rsid w:val="0059165A"/>
    <w:rsid w:val="005918F7"/>
    <w:rsid w:val="0059409E"/>
    <w:rsid w:val="005946E5"/>
    <w:rsid w:val="00597B55"/>
    <w:rsid w:val="005A033A"/>
    <w:rsid w:val="005A1399"/>
    <w:rsid w:val="005A1E38"/>
    <w:rsid w:val="005A418D"/>
    <w:rsid w:val="005A4E2A"/>
    <w:rsid w:val="005A5FA1"/>
    <w:rsid w:val="005A62BC"/>
    <w:rsid w:val="005B03EC"/>
    <w:rsid w:val="005B07B8"/>
    <w:rsid w:val="005B0DD9"/>
    <w:rsid w:val="005B191C"/>
    <w:rsid w:val="005B1AD5"/>
    <w:rsid w:val="005B40F5"/>
    <w:rsid w:val="005B54A0"/>
    <w:rsid w:val="005B610F"/>
    <w:rsid w:val="005B6610"/>
    <w:rsid w:val="005B6E55"/>
    <w:rsid w:val="005B7060"/>
    <w:rsid w:val="005B7771"/>
    <w:rsid w:val="005C011A"/>
    <w:rsid w:val="005C0D6E"/>
    <w:rsid w:val="005C2910"/>
    <w:rsid w:val="005C33C7"/>
    <w:rsid w:val="005C34DF"/>
    <w:rsid w:val="005C465C"/>
    <w:rsid w:val="005C7522"/>
    <w:rsid w:val="005C7CF0"/>
    <w:rsid w:val="005C7F3D"/>
    <w:rsid w:val="005D0A17"/>
    <w:rsid w:val="005D31AE"/>
    <w:rsid w:val="005D4904"/>
    <w:rsid w:val="005D750A"/>
    <w:rsid w:val="005E0734"/>
    <w:rsid w:val="005E0AD5"/>
    <w:rsid w:val="005E24DB"/>
    <w:rsid w:val="005E3E1F"/>
    <w:rsid w:val="005E4E4D"/>
    <w:rsid w:val="005E61CF"/>
    <w:rsid w:val="005E6735"/>
    <w:rsid w:val="005E6999"/>
    <w:rsid w:val="005E69D1"/>
    <w:rsid w:val="005E7243"/>
    <w:rsid w:val="005F0539"/>
    <w:rsid w:val="005F2975"/>
    <w:rsid w:val="005F2992"/>
    <w:rsid w:val="005F588E"/>
    <w:rsid w:val="005F6722"/>
    <w:rsid w:val="005F76A7"/>
    <w:rsid w:val="00601F1A"/>
    <w:rsid w:val="0060347C"/>
    <w:rsid w:val="00603C64"/>
    <w:rsid w:val="00603FA2"/>
    <w:rsid w:val="00605ED7"/>
    <w:rsid w:val="006065B9"/>
    <w:rsid w:val="00606634"/>
    <w:rsid w:val="0060687E"/>
    <w:rsid w:val="00606DFA"/>
    <w:rsid w:val="00610DFB"/>
    <w:rsid w:val="00611F76"/>
    <w:rsid w:val="00612ECD"/>
    <w:rsid w:val="006140B3"/>
    <w:rsid w:val="00614A15"/>
    <w:rsid w:val="00614ABC"/>
    <w:rsid w:val="00614D32"/>
    <w:rsid w:val="00616B9A"/>
    <w:rsid w:val="0061784C"/>
    <w:rsid w:val="00617C0E"/>
    <w:rsid w:val="00620229"/>
    <w:rsid w:val="006206E1"/>
    <w:rsid w:val="006223BF"/>
    <w:rsid w:val="00622886"/>
    <w:rsid w:val="00623105"/>
    <w:rsid w:val="00623EE7"/>
    <w:rsid w:val="006253E1"/>
    <w:rsid w:val="006316B5"/>
    <w:rsid w:val="00631768"/>
    <w:rsid w:val="006322DF"/>
    <w:rsid w:val="00635CB4"/>
    <w:rsid w:val="00637BDF"/>
    <w:rsid w:val="00637DF7"/>
    <w:rsid w:val="0064011A"/>
    <w:rsid w:val="00641218"/>
    <w:rsid w:val="0064474F"/>
    <w:rsid w:val="0064662B"/>
    <w:rsid w:val="00647EBF"/>
    <w:rsid w:val="00647ED4"/>
    <w:rsid w:val="00650D47"/>
    <w:rsid w:val="00651E06"/>
    <w:rsid w:val="00653F5D"/>
    <w:rsid w:val="00654A1D"/>
    <w:rsid w:val="00654B32"/>
    <w:rsid w:val="006562A8"/>
    <w:rsid w:val="006570C6"/>
    <w:rsid w:val="0066103B"/>
    <w:rsid w:val="00662730"/>
    <w:rsid w:val="00663D83"/>
    <w:rsid w:val="00664030"/>
    <w:rsid w:val="00664763"/>
    <w:rsid w:val="00664ABF"/>
    <w:rsid w:val="00666272"/>
    <w:rsid w:val="00667E34"/>
    <w:rsid w:val="006743CE"/>
    <w:rsid w:val="006771D8"/>
    <w:rsid w:val="006772AB"/>
    <w:rsid w:val="0068062A"/>
    <w:rsid w:val="006806D2"/>
    <w:rsid w:val="006811E5"/>
    <w:rsid w:val="00681BC2"/>
    <w:rsid w:val="00683436"/>
    <w:rsid w:val="0068380E"/>
    <w:rsid w:val="006840E6"/>
    <w:rsid w:val="0068463E"/>
    <w:rsid w:val="00684E9A"/>
    <w:rsid w:val="006851AD"/>
    <w:rsid w:val="006946EB"/>
    <w:rsid w:val="00694F99"/>
    <w:rsid w:val="00696F65"/>
    <w:rsid w:val="006971FA"/>
    <w:rsid w:val="006A1D99"/>
    <w:rsid w:val="006A22A4"/>
    <w:rsid w:val="006A254A"/>
    <w:rsid w:val="006A5293"/>
    <w:rsid w:val="006B2362"/>
    <w:rsid w:val="006B3ACC"/>
    <w:rsid w:val="006B486C"/>
    <w:rsid w:val="006B5B71"/>
    <w:rsid w:val="006B6A68"/>
    <w:rsid w:val="006B72DA"/>
    <w:rsid w:val="006B7E68"/>
    <w:rsid w:val="006C00B3"/>
    <w:rsid w:val="006C1276"/>
    <w:rsid w:val="006C1999"/>
    <w:rsid w:val="006C1A3C"/>
    <w:rsid w:val="006C1B12"/>
    <w:rsid w:val="006C3155"/>
    <w:rsid w:val="006C3F73"/>
    <w:rsid w:val="006C433C"/>
    <w:rsid w:val="006C448B"/>
    <w:rsid w:val="006C4FDD"/>
    <w:rsid w:val="006C51A7"/>
    <w:rsid w:val="006C5BC1"/>
    <w:rsid w:val="006C6445"/>
    <w:rsid w:val="006C6578"/>
    <w:rsid w:val="006C6F2C"/>
    <w:rsid w:val="006D178B"/>
    <w:rsid w:val="006D1B41"/>
    <w:rsid w:val="006D35F6"/>
    <w:rsid w:val="006D3D2C"/>
    <w:rsid w:val="006D432C"/>
    <w:rsid w:val="006D4FB7"/>
    <w:rsid w:val="006D7D77"/>
    <w:rsid w:val="006E023B"/>
    <w:rsid w:val="006E0E5C"/>
    <w:rsid w:val="006E334B"/>
    <w:rsid w:val="006E475B"/>
    <w:rsid w:val="006E7151"/>
    <w:rsid w:val="006E7765"/>
    <w:rsid w:val="006F1213"/>
    <w:rsid w:val="006F125A"/>
    <w:rsid w:val="006F1975"/>
    <w:rsid w:val="006F2B95"/>
    <w:rsid w:val="006F4A1F"/>
    <w:rsid w:val="006F66B2"/>
    <w:rsid w:val="006F7B07"/>
    <w:rsid w:val="00700165"/>
    <w:rsid w:val="00702423"/>
    <w:rsid w:val="00702996"/>
    <w:rsid w:val="00702BFD"/>
    <w:rsid w:val="0070317E"/>
    <w:rsid w:val="00705F9B"/>
    <w:rsid w:val="00711ACF"/>
    <w:rsid w:val="00712D83"/>
    <w:rsid w:val="0071312D"/>
    <w:rsid w:val="007157E4"/>
    <w:rsid w:val="0072106B"/>
    <w:rsid w:val="00723FC9"/>
    <w:rsid w:val="00723FF8"/>
    <w:rsid w:val="0072405E"/>
    <w:rsid w:val="00725912"/>
    <w:rsid w:val="007268F3"/>
    <w:rsid w:val="00726E14"/>
    <w:rsid w:val="00727EDB"/>
    <w:rsid w:val="00730C31"/>
    <w:rsid w:val="00730EBA"/>
    <w:rsid w:val="007337A7"/>
    <w:rsid w:val="00734F65"/>
    <w:rsid w:val="00735F4A"/>
    <w:rsid w:val="00740EDF"/>
    <w:rsid w:val="00744ED3"/>
    <w:rsid w:val="00746064"/>
    <w:rsid w:val="007504EA"/>
    <w:rsid w:val="00752856"/>
    <w:rsid w:val="007532D4"/>
    <w:rsid w:val="00753C4F"/>
    <w:rsid w:val="00753FB6"/>
    <w:rsid w:val="007541E5"/>
    <w:rsid w:val="007545D0"/>
    <w:rsid w:val="00754C47"/>
    <w:rsid w:val="00754F1A"/>
    <w:rsid w:val="00755987"/>
    <w:rsid w:val="007565A5"/>
    <w:rsid w:val="00756E15"/>
    <w:rsid w:val="007639E2"/>
    <w:rsid w:val="00764A0D"/>
    <w:rsid w:val="0076504E"/>
    <w:rsid w:val="00765815"/>
    <w:rsid w:val="00765ADA"/>
    <w:rsid w:val="00767861"/>
    <w:rsid w:val="00771A9A"/>
    <w:rsid w:val="0077231E"/>
    <w:rsid w:val="007756CB"/>
    <w:rsid w:val="00780F51"/>
    <w:rsid w:val="007829B4"/>
    <w:rsid w:val="00783896"/>
    <w:rsid w:val="00783938"/>
    <w:rsid w:val="00784676"/>
    <w:rsid w:val="007873F5"/>
    <w:rsid w:val="00790966"/>
    <w:rsid w:val="0079260A"/>
    <w:rsid w:val="00793B8B"/>
    <w:rsid w:val="00794160"/>
    <w:rsid w:val="007957AE"/>
    <w:rsid w:val="00797B1C"/>
    <w:rsid w:val="007A02C1"/>
    <w:rsid w:val="007A2363"/>
    <w:rsid w:val="007A2579"/>
    <w:rsid w:val="007A29BC"/>
    <w:rsid w:val="007A48F7"/>
    <w:rsid w:val="007A4BAC"/>
    <w:rsid w:val="007A5A11"/>
    <w:rsid w:val="007A5A47"/>
    <w:rsid w:val="007A6725"/>
    <w:rsid w:val="007A7A76"/>
    <w:rsid w:val="007A7F04"/>
    <w:rsid w:val="007A7FEB"/>
    <w:rsid w:val="007B009F"/>
    <w:rsid w:val="007B1E0A"/>
    <w:rsid w:val="007B2E69"/>
    <w:rsid w:val="007B5AA7"/>
    <w:rsid w:val="007B61CE"/>
    <w:rsid w:val="007B6D27"/>
    <w:rsid w:val="007C0E28"/>
    <w:rsid w:val="007C145D"/>
    <w:rsid w:val="007C25FE"/>
    <w:rsid w:val="007C46F5"/>
    <w:rsid w:val="007C6F62"/>
    <w:rsid w:val="007D206B"/>
    <w:rsid w:val="007D32EE"/>
    <w:rsid w:val="007D33D1"/>
    <w:rsid w:val="007D4154"/>
    <w:rsid w:val="007D4F53"/>
    <w:rsid w:val="007D55AD"/>
    <w:rsid w:val="007D5CF3"/>
    <w:rsid w:val="007D6B19"/>
    <w:rsid w:val="007E0A59"/>
    <w:rsid w:val="007E36E8"/>
    <w:rsid w:val="007E6427"/>
    <w:rsid w:val="007F1D07"/>
    <w:rsid w:val="007F3330"/>
    <w:rsid w:val="007F34BE"/>
    <w:rsid w:val="007F51EE"/>
    <w:rsid w:val="007F6841"/>
    <w:rsid w:val="007F6CB2"/>
    <w:rsid w:val="007F750D"/>
    <w:rsid w:val="008005C8"/>
    <w:rsid w:val="0080091A"/>
    <w:rsid w:val="00803390"/>
    <w:rsid w:val="0080584D"/>
    <w:rsid w:val="0080612E"/>
    <w:rsid w:val="00807133"/>
    <w:rsid w:val="008117BD"/>
    <w:rsid w:val="008164E5"/>
    <w:rsid w:val="00816930"/>
    <w:rsid w:val="00817403"/>
    <w:rsid w:val="00820DBF"/>
    <w:rsid w:val="00821103"/>
    <w:rsid w:val="0082222A"/>
    <w:rsid w:val="00822836"/>
    <w:rsid w:val="00822B64"/>
    <w:rsid w:val="008235B2"/>
    <w:rsid w:val="0082388A"/>
    <w:rsid w:val="00824698"/>
    <w:rsid w:val="00824E0D"/>
    <w:rsid w:val="00824E87"/>
    <w:rsid w:val="008266BD"/>
    <w:rsid w:val="008302EC"/>
    <w:rsid w:val="00830EB8"/>
    <w:rsid w:val="00831097"/>
    <w:rsid w:val="00831209"/>
    <w:rsid w:val="00832C83"/>
    <w:rsid w:val="00834174"/>
    <w:rsid w:val="00836C8B"/>
    <w:rsid w:val="00837C67"/>
    <w:rsid w:val="00837DD7"/>
    <w:rsid w:val="00841F6B"/>
    <w:rsid w:val="00845576"/>
    <w:rsid w:val="008458FA"/>
    <w:rsid w:val="00846396"/>
    <w:rsid w:val="00846F82"/>
    <w:rsid w:val="00847DB7"/>
    <w:rsid w:val="0085194F"/>
    <w:rsid w:val="00853264"/>
    <w:rsid w:val="00853428"/>
    <w:rsid w:val="00853C63"/>
    <w:rsid w:val="008542D3"/>
    <w:rsid w:val="00861D3A"/>
    <w:rsid w:val="00864805"/>
    <w:rsid w:val="00865B1C"/>
    <w:rsid w:val="008705D5"/>
    <w:rsid w:val="00872364"/>
    <w:rsid w:val="00872AAB"/>
    <w:rsid w:val="008734A9"/>
    <w:rsid w:val="00877095"/>
    <w:rsid w:val="00877F7C"/>
    <w:rsid w:val="00881DDA"/>
    <w:rsid w:val="00881FAC"/>
    <w:rsid w:val="00882793"/>
    <w:rsid w:val="00884C6C"/>
    <w:rsid w:val="00886EBE"/>
    <w:rsid w:val="00887415"/>
    <w:rsid w:val="00893534"/>
    <w:rsid w:val="00894E0E"/>
    <w:rsid w:val="008960A1"/>
    <w:rsid w:val="008960B8"/>
    <w:rsid w:val="0089651E"/>
    <w:rsid w:val="008971CA"/>
    <w:rsid w:val="008A254B"/>
    <w:rsid w:val="008A6EA6"/>
    <w:rsid w:val="008B24CB"/>
    <w:rsid w:val="008B2A9E"/>
    <w:rsid w:val="008B3156"/>
    <w:rsid w:val="008B3787"/>
    <w:rsid w:val="008B37FC"/>
    <w:rsid w:val="008B5D54"/>
    <w:rsid w:val="008B6A7E"/>
    <w:rsid w:val="008C0677"/>
    <w:rsid w:val="008C0AD3"/>
    <w:rsid w:val="008C0D85"/>
    <w:rsid w:val="008C154D"/>
    <w:rsid w:val="008C36BB"/>
    <w:rsid w:val="008C41B7"/>
    <w:rsid w:val="008C46E9"/>
    <w:rsid w:val="008C536A"/>
    <w:rsid w:val="008C6811"/>
    <w:rsid w:val="008C7A28"/>
    <w:rsid w:val="008D1AE4"/>
    <w:rsid w:val="008D1C18"/>
    <w:rsid w:val="008D1F14"/>
    <w:rsid w:val="008D3EFD"/>
    <w:rsid w:val="008D3FD7"/>
    <w:rsid w:val="008D678D"/>
    <w:rsid w:val="008E1058"/>
    <w:rsid w:val="008E1659"/>
    <w:rsid w:val="008E3A6C"/>
    <w:rsid w:val="008E47E6"/>
    <w:rsid w:val="008E4906"/>
    <w:rsid w:val="008E49FD"/>
    <w:rsid w:val="008E793E"/>
    <w:rsid w:val="008E7A31"/>
    <w:rsid w:val="008E7E85"/>
    <w:rsid w:val="008F0707"/>
    <w:rsid w:val="008F233D"/>
    <w:rsid w:val="008F26E1"/>
    <w:rsid w:val="008F60AC"/>
    <w:rsid w:val="008F65E8"/>
    <w:rsid w:val="008F6D26"/>
    <w:rsid w:val="008F6E48"/>
    <w:rsid w:val="008F7DAB"/>
    <w:rsid w:val="0090078A"/>
    <w:rsid w:val="00901E43"/>
    <w:rsid w:val="00904FB6"/>
    <w:rsid w:val="0090515B"/>
    <w:rsid w:val="00906922"/>
    <w:rsid w:val="00906B16"/>
    <w:rsid w:val="00910A55"/>
    <w:rsid w:val="0091320B"/>
    <w:rsid w:val="00913909"/>
    <w:rsid w:val="00915521"/>
    <w:rsid w:val="00915629"/>
    <w:rsid w:val="0091572C"/>
    <w:rsid w:val="00915F82"/>
    <w:rsid w:val="009163A4"/>
    <w:rsid w:val="0091651D"/>
    <w:rsid w:val="00917B52"/>
    <w:rsid w:val="00924FDC"/>
    <w:rsid w:val="00925F13"/>
    <w:rsid w:val="009277C0"/>
    <w:rsid w:val="00930D68"/>
    <w:rsid w:val="0093156E"/>
    <w:rsid w:val="00932138"/>
    <w:rsid w:val="00932920"/>
    <w:rsid w:val="00932BF5"/>
    <w:rsid w:val="00934928"/>
    <w:rsid w:val="009363D4"/>
    <w:rsid w:val="0094011E"/>
    <w:rsid w:val="00940376"/>
    <w:rsid w:val="00942312"/>
    <w:rsid w:val="00943FCF"/>
    <w:rsid w:val="00952841"/>
    <w:rsid w:val="00952BF9"/>
    <w:rsid w:val="009535EC"/>
    <w:rsid w:val="009577A5"/>
    <w:rsid w:val="0096139F"/>
    <w:rsid w:val="00962A73"/>
    <w:rsid w:val="00963A1F"/>
    <w:rsid w:val="00964F8C"/>
    <w:rsid w:val="009650C9"/>
    <w:rsid w:val="00965C2A"/>
    <w:rsid w:val="009664A9"/>
    <w:rsid w:val="009705DA"/>
    <w:rsid w:val="0097300E"/>
    <w:rsid w:val="0097320B"/>
    <w:rsid w:val="00975121"/>
    <w:rsid w:val="009758DC"/>
    <w:rsid w:val="00976EBB"/>
    <w:rsid w:val="00980278"/>
    <w:rsid w:val="00981462"/>
    <w:rsid w:val="009824E5"/>
    <w:rsid w:val="009930C9"/>
    <w:rsid w:val="0099375E"/>
    <w:rsid w:val="00993AAD"/>
    <w:rsid w:val="0099444F"/>
    <w:rsid w:val="009948CC"/>
    <w:rsid w:val="0099632A"/>
    <w:rsid w:val="00996B33"/>
    <w:rsid w:val="00996D7D"/>
    <w:rsid w:val="009977B4"/>
    <w:rsid w:val="009A107B"/>
    <w:rsid w:val="009A2694"/>
    <w:rsid w:val="009A29E4"/>
    <w:rsid w:val="009A379F"/>
    <w:rsid w:val="009A3C6D"/>
    <w:rsid w:val="009A419C"/>
    <w:rsid w:val="009A57A2"/>
    <w:rsid w:val="009A6F97"/>
    <w:rsid w:val="009B034E"/>
    <w:rsid w:val="009B26BF"/>
    <w:rsid w:val="009B4078"/>
    <w:rsid w:val="009B46AF"/>
    <w:rsid w:val="009B4E9B"/>
    <w:rsid w:val="009B6852"/>
    <w:rsid w:val="009B6C89"/>
    <w:rsid w:val="009B6DBA"/>
    <w:rsid w:val="009B765E"/>
    <w:rsid w:val="009C01F0"/>
    <w:rsid w:val="009C14EB"/>
    <w:rsid w:val="009C3128"/>
    <w:rsid w:val="009C4626"/>
    <w:rsid w:val="009C49EF"/>
    <w:rsid w:val="009C654B"/>
    <w:rsid w:val="009C7ACF"/>
    <w:rsid w:val="009C7D86"/>
    <w:rsid w:val="009D0757"/>
    <w:rsid w:val="009D0E8F"/>
    <w:rsid w:val="009D2718"/>
    <w:rsid w:val="009D477B"/>
    <w:rsid w:val="009D4E62"/>
    <w:rsid w:val="009D5CA9"/>
    <w:rsid w:val="009D6EBD"/>
    <w:rsid w:val="009D7F7F"/>
    <w:rsid w:val="009E0EA5"/>
    <w:rsid w:val="009E313A"/>
    <w:rsid w:val="009E4B22"/>
    <w:rsid w:val="009E5EA6"/>
    <w:rsid w:val="009E6657"/>
    <w:rsid w:val="009E7B1B"/>
    <w:rsid w:val="009F0157"/>
    <w:rsid w:val="009F518A"/>
    <w:rsid w:val="009F52A9"/>
    <w:rsid w:val="009F7EF9"/>
    <w:rsid w:val="00A00172"/>
    <w:rsid w:val="00A007C5"/>
    <w:rsid w:val="00A02244"/>
    <w:rsid w:val="00A0304E"/>
    <w:rsid w:val="00A0494E"/>
    <w:rsid w:val="00A07B14"/>
    <w:rsid w:val="00A10A8C"/>
    <w:rsid w:val="00A131F4"/>
    <w:rsid w:val="00A13F0C"/>
    <w:rsid w:val="00A148A3"/>
    <w:rsid w:val="00A150EF"/>
    <w:rsid w:val="00A22372"/>
    <w:rsid w:val="00A22B44"/>
    <w:rsid w:val="00A22E60"/>
    <w:rsid w:val="00A25D05"/>
    <w:rsid w:val="00A30192"/>
    <w:rsid w:val="00A321C9"/>
    <w:rsid w:val="00A33FCD"/>
    <w:rsid w:val="00A40E0B"/>
    <w:rsid w:val="00A414FE"/>
    <w:rsid w:val="00A429B1"/>
    <w:rsid w:val="00A43C9D"/>
    <w:rsid w:val="00A446D4"/>
    <w:rsid w:val="00A44C34"/>
    <w:rsid w:val="00A45AE6"/>
    <w:rsid w:val="00A478FF"/>
    <w:rsid w:val="00A50F29"/>
    <w:rsid w:val="00A51051"/>
    <w:rsid w:val="00A52268"/>
    <w:rsid w:val="00A534B8"/>
    <w:rsid w:val="00A5376B"/>
    <w:rsid w:val="00A53F21"/>
    <w:rsid w:val="00A54359"/>
    <w:rsid w:val="00A55B1A"/>
    <w:rsid w:val="00A561BB"/>
    <w:rsid w:val="00A6012F"/>
    <w:rsid w:val="00A609A6"/>
    <w:rsid w:val="00A635F0"/>
    <w:rsid w:val="00A64299"/>
    <w:rsid w:val="00A65244"/>
    <w:rsid w:val="00A6592C"/>
    <w:rsid w:val="00A65BAD"/>
    <w:rsid w:val="00A664B4"/>
    <w:rsid w:val="00A670C2"/>
    <w:rsid w:val="00A6728E"/>
    <w:rsid w:val="00A70A6F"/>
    <w:rsid w:val="00A71627"/>
    <w:rsid w:val="00A71640"/>
    <w:rsid w:val="00A7403C"/>
    <w:rsid w:val="00A75922"/>
    <w:rsid w:val="00A75D7C"/>
    <w:rsid w:val="00A76C31"/>
    <w:rsid w:val="00A77771"/>
    <w:rsid w:val="00A8016E"/>
    <w:rsid w:val="00A8040B"/>
    <w:rsid w:val="00A8078B"/>
    <w:rsid w:val="00A81AAF"/>
    <w:rsid w:val="00A842E6"/>
    <w:rsid w:val="00A84859"/>
    <w:rsid w:val="00A85F25"/>
    <w:rsid w:val="00A8604B"/>
    <w:rsid w:val="00A8619C"/>
    <w:rsid w:val="00A866D5"/>
    <w:rsid w:val="00A867E8"/>
    <w:rsid w:val="00A9014F"/>
    <w:rsid w:val="00A91715"/>
    <w:rsid w:val="00A91A01"/>
    <w:rsid w:val="00A931CD"/>
    <w:rsid w:val="00A933D2"/>
    <w:rsid w:val="00A9381D"/>
    <w:rsid w:val="00A93ECF"/>
    <w:rsid w:val="00A94610"/>
    <w:rsid w:val="00A95E3A"/>
    <w:rsid w:val="00A96F70"/>
    <w:rsid w:val="00A9744C"/>
    <w:rsid w:val="00AA03E9"/>
    <w:rsid w:val="00AA2343"/>
    <w:rsid w:val="00AA2816"/>
    <w:rsid w:val="00AA2F28"/>
    <w:rsid w:val="00AA54F3"/>
    <w:rsid w:val="00AB0725"/>
    <w:rsid w:val="00AB096E"/>
    <w:rsid w:val="00AB09FF"/>
    <w:rsid w:val="00AB12D6"/>
    <w:rsid w:val="00AB1386"/>
    <w:rsid w:val="00AB1599"/>
    <w:rsid w:val="00AB18A6"/>
    <w:rsid w:val="00AB2DFE"/>
    <w:rsid w:val="00AB3C31"/>
    <w:rsid w:val="00AB3CEB"/>
    <w:rsid w:val="00AB46DB"/>
    <w:rsid w:val="00AB797F"/>
    <w:rsid w:val="00AC3A6E"/>
    <w:rsid w:val="00AC3D16"/>
    <w:rsid w:val="00AC4C7D"/>
    <w:rsid w:val="00AC5BD1"/>
    <w:rsid w:val="00AC60E7"/>
    <w:rsid w:val="00AC619B"/>
    <w:rsid w:val="00AC62CC"/>
    <w:rsid w:val="00AC76C2"/>
    <w:rsid w:val="00AD362D"/>
    <w:rsid w:val="00AD4E9D"/>
    <w:rsid w:val="00AD55CA"/>
    <w:rsid w:val="00AD5E41"/>
    <w:rsid w:val="00AD6A63"/>
    <w:rsid w:val="00AD6E33"/>
    <w:rsid w:val="00AE07E0"/>
    <w:rsid w:val="00AE1D9F"/>
    <w:rsid w:val="00AE4633"/>
    <w:rsid w:val="00AE5246"/>
    <w:rsid w:val="00AE5354"/>
    <w:rsid w:val="00AE614D"/>
    <w:rsid w:val="00AF0689"/>
    <w:rsid w:val="00AF3796"/>
    <w:rsid w:val="00AF4991"/>
    <w:rsid w:val="00AF7DB1"/>
    <w:rsid w:val="00AF7E84"/>
    <w:rsid w:val="00B00A7E"/>
    <w:rsid w:val="00B01314"/>
    <w:rsid w:val="00B04C37"/>
    <w:rsid w:val="00B04CD7"/>
    <w:rsid w:val="00B06265"/>
    <w:rsid w:val="00B10E0C"/>
    <w:rsid w:val="00B128A4"/>
    <w:rsid w:val="00B145A9"/>
    <w:rsid w:val="00B1596A"/>
    <w:rsid w:val="00B15E05"/>
    <w:rsid w:val="00B209BD"/>
    <w:rsid w:val="00B22415"/>
    <w:rsid w:val="00B2287C"/>
    <w:rsid w:val="00B23F2E"/>
    <w:rsid w:val="00B259C7"/>
    <w:rsid w:val="00B266F0"/>
    <w:rsid w:val="00B26BB6"/>
    <w:rsid w:val="00B26C14"/>
    <w:rsid w:val="00B31366"/>
    <w:rsid w:val="00B3235B"/>
    <w:rsid w:val="00B32586"/>
    <w:rsid w:val="00B32ACB"/>
    <w:rsid w:val="00B32EE0"/>
    <w:rsid w:val="00B3573B"/>
    <w:rsid w:val="00B362F9"/>
    <w:rsid w:val="00B366D5"/>
    <w:rsid w:val="00B37BA5"/>
    <w:rsid w:val="00B405D8"/>
    <w:rsid w:val="00B40DFF"/>
    <w:rsid w:val="00B44585"/>
    <w:rsid w:val="00B45002"/>
    <w:rsid w:val="00B45779"/>
    <w:rsid w:val="00B459A6"/>
    <w:rsid w:val="00B4706E"/>
    <w:rsid w:val="00B4734F"/>
    <w:rsid w:val="00B5095A"/>
    <w:rsid w:val="00B50EA9"/>
    <w:rsid w:val="00B51625"/>
    <w:rsid w:val="00B53975"/>
    <w:rsid w:val="00B55735"/>
    <w:rsid w:val="00B56E8A"/>
    <w:rsid w:val="00B572CF"/>
    <w:rsid w:val="00B60251"/>
    <w:rsid w:val="00B608AC"/>
    <w:rsid w:val="00B62148"/>
    <w:rsid w:val="00B6357D"/>
    <w:rsid w:val="00B63E39"/>
    <w:rsid w:val="00B655CA"/>
    <w:rsid w:val="00B65C2F"/>
    <w:rsid w:val="00B65C54"/>
    <w:rsid w:val="00B66C39"/>
    <w:rsid w:val="00B66DC4"/>
    <w:rsid w:val="00B66EB9"/>
    <w:rsid w:val="00B677CF"/>
    <w:rsid w:val="00B67D13"/>
    <w:rsid w:val="00B70241"/>
    <w:rsid w:val="00B70E64"/>
    <w:rsid w:val="00B70F2A"/>
    <w:rsid w:val="00B72E64"/>
    <w:rsid w:val="00B735FB"/>
    <w:rsid w:val="00B74875"/>
    <w:rsid w:val="00B76DF6"/>
    <w:rsid w:val="00B770FD"/>
    <w:rsid w:val="00B80F52"/>
    <w:rsid w:val="00B81631"/>
    <w:rsid w:val="00B8239D"/>
    <w:rsid w:val="00B826FF"/>
    <w:rsid w:val="00B82B61"/>
    <w:rsid w:val="00B84935"/>
    <w:rsid w:val="00B855BC"/>
    <w:rsid w:val="00B87C75"/>
    <w:rsid w:val="00B909F9"/>
    <w:rsid w:val="00B917CC"/>
    <w:rsid w:val="00B9184D"/>
    <w:rsid w:val="00B9186E"/>
    <w:rsid w:val="00B91B41"/>
    <w:rsid w:val="00B92BFB"/>
    <w:rsid w:val="00B9370C"/>
    <w:rsid w:val="00B944A9"/>
    <w:rsid w:val="00B94A67"/>
    <w:rsid w:val="00B95604"/>
    <w:rsid w:val="00B95D90"/>
    <w:rsid w:val="00B9626B"/>
    <w:rsid w:val="00B979C4"/>
    <w:rsid w:val="00B979DA"/>
    <w:rsid w:val="00B97C3B"/>
    <w:rsid w:val="00BA0CB2"/>
    <w:rsid w:val="00BA1042"/>
    <w:rsid w:val="00BA12B7"/>
    <w:rsid w:val="00BA1C14"/>
    <w:rsid w:val="00BA2D35"/>
    <w:rsid w:val="00BA2DBE"/>
    <w:rsid w:val="00BA30A5"/>
    <w:rsid w:val="00BA44E9"/>
    <w:rsid w:val="00BA45F6"/>
    <w:rsid w:val="00BA4A65"/>
    <w:rsid w:val="00BA4D84"/>
    <w:rsid w:val="00BA4E03"/>
    <w:rsid w:val="00BA60FD"/>
    <w:rsid w:val="00BA6BB7"/>
    <w:rsid w:val="00BA779C"/>
    <w:rsid w:val="00BB002E"/>
    <w:rsid w:val="00BB0E8E"/>
    <w:rsid w:val="00BB3447"/>
    <w:rsid w:val="00BB375A"/>
    <w:rsid w:val="00BB3E72"/>
    <w:rsid w:val="00BB4907"/>
    <w:rsid w:val="00BB5AE3"/>
    <w:rsid w:val="00BB6AC2"/>
    <w:rsid w:val="00BB750D"/>
    <w:rsid w:val="00BC17AA"/>
    <w:rsid w:val="00BC5E9E"/>
    <w:rsid w:val="00BC66F7"/>
    <w:rsid w:val="00BC7B93"/>
    <w:rsid w:val="00BD24A8"/>
    <w:rsid w:val="00BD4653"/>
    <w:rsid w:val="00BD4AF5"/>
    <w:rsid w:val="00BD4D7F"/>
    <w:rsid w:val="00BD69B8"/>
    <w:rsid w:val="00BD70C4"/>
    <w:rsid w:val="00BD7198"/>
    <w:rsid w:val="00BD71FD"/>
    <w:rsid w:val="00BE035C"/>
    <w:rsid w:val="00BE0817"/>
    <w:rsid w:val="00BE08E7"/>
    <w:rsid w:val="00BE14E2"/>
    <w:rsid w:val="00BE223E"/>
    <w:rsid w:val="00BE380B"/>
    <w:rsid w:val="00BE5BD0"/>
    <w:rsid w:val="00BE6013"/>
    <w:rsid w:val="00BE6F95"/>
    <w:rsid w:val="00BE7F98"/>
    <w:rsid w:val="00BF0F27"/>
    <w:rsid w:val="00BF2D86"/>
    <w:rsid w:val="00BF3E5B"/>
    <w:rsid w:val="00BF6C67"/>
    <w:rsid w:val="00BF7468"/>
    <w:rsid w:val="00C000CD"/>
    <w:rsid w:val="00C00DE8"/>
    <w:rsid w:val="00C02F34"/>
    <w:rsid w:val="00C03179"/>
    <w:rsid w:val="00C0357E"/>
    <w:rsid w:val="00C0417E"/>
    <w:rsid w:val="00C0451F"/>
    <w:rsid w:val="00C0561A"/>
    <w:rsid w:val="00C07E8E"/>
    <w:rsid w:val="00C10248"/>
    <w:rsid w:val="00C10594"/>
    <w:rsid w:val="00C10AE3"/>
    <w:rsid w:val="00C10F70"/>
    <w:rsid w:val="00C1136E"/>
    <w:rsid w:val="00C11421"/>
    <w:rsid w:val="00C11AB4"/>
    <w:rsid w:val="00C11C3B"/>
    <w:rsid w:val="00C11E84"/>
    <w:rsid w:val="00C12583"/>
    <w:rsid w:val="00C1323F"/>
    <w:rsid w:val="00C13936"/>
    <w:rsid w:val="00C13959"/>
    <w:rsid w:val="00C14779"/>
    <w:rsid w:val="00C14FE1"/>
    <w:rsid w:val="00C16E50"/>
    <w:rsid w:val="00C17562"/>
    <w:rsid w:val="00C17718"/>
    <w:rsid w:val="00C17A31"/>
    <w:rsid w:val="00C20505"/>
    <w:rsid w:val="00C21633"/>
    <w:rsid w:val="00C249AB"/>
    <w:rsid w:val="00C254F0"/>
    <w:rsid w:val="00C25EDD"/>
    <w:rsid w:val="00C26766"/>
    <w:rsid w:val="00C27A1F"/>
    <w:rsid w:val="00C27B56"/>
    <w:rsid w:val="00C314B6"/>
    <w:rsid w:val="00C3242C"/>
    <w:rsid w:val="00C3248E"/>
    <w:rsid w:val="00C327A0"/>
    <w:rsid w:val="00C32985"/>
    <w:rsid w:val="00C35CDD"/>
    <w:rsid w:val="00C36D9E"/>
    <w:rsid w:val="00C37933"/>
    <w:rsid w:val="00C409FC"/>
    <w:rsid w:val="00C4148D"/>
    <w:rsid w:val="00C41A33"/>
    <w:rsid w:val="00C41D43"/>
    <w:rsid w:val="00C42261"/>
    <w:rsid w:val="00C44028"/>
    <w:rsid w:val="00C45255"/>
    <w:rsid w:val="00C50474"/>
    <w:rsid w:val="00C53417"/>
    <w:rsid w:val="00C53662"/>
    <w:rsid w:val="00C54298"/>
    <w:rsid w:val="00C564AD"/>
    <w:rsid w:val="00C56C35"/>
    <w:rsid w:val="00C610F6"/>
    <w:rsid w:val="00C625DA"/>
    <w:rsid w:val="00C63466"/>
    <w:rsid w:val="00C63794"/>
    <w:rsid w:val="00C63A84"/>
    <w:rsid w:val="00C63AD7"/>
    <w:rsid w:val="00C64B59"/>
    <w:rsid w:val="00C70072"/>
    <w:rsid w:val="00C71E50"/>
    <w:rsid w:val="00C72C51"/>
    <w:rsid w:val="00C72E48"/>
    <w:rsid w:val="00C75BDB"/>
    <w:rsid w:val="00C773A9"/>
    <w:rsid w:val="00C77667"/>
    <w:rsid w:val="00C77C02"/>
    <w:rsid w:val="00C81BC0"/>
    <w:rsid w:val="00C829E4"/>
    <w:rsid w:val="00C836A1"/>
    <w:rsid w:val="00C860F5"/>
    <w:rsid w:val="00C929D2"/>
    <w:rsid w:val="00C92BCB"/>
    <w:rsid w:val="00C951E1"/>
    <w:rsid w:val="00CA1986"/>
    <w:rsid w:val="00CA2658"/>
    <w:rsid w:val="00CA2DED"/>
    <w:rsid w:val="00CA4482"/>
    <w:rsid w:val="00CA4658"/>
    <w:rsid w:val="00CA49C4"/>
    <w:rsid w:val="00CA72CD"/>
    <w:rsid w:val="00CA736B"/>
    <w:rsid w:val="00CA745D"/>
    <w:rsid w:val="00CA7565"/>
    <w:rsid w:val="00CA7878"/>
    <w:rsid w:val="00CB0BD9"/>
    <w:rsid w:val="00CB14BD"/>
    <w:rsid w:val="00CB17F2"/>
    <w:rsid w:val="00CB18A3"/>
    <w:rsid w:val="00CB251F"/>
    <w:rsid w:val="00CB4B3C"/>
    <w:rsid w:val="00CB568D"/>
    <w:rsid w:val="00CB6B83"/>
    <w:rsid w:val="00CB747C"/>
    <w:rsid w:val="00CB7762"/>
    <w:rsid w:val="00CC1D38"/>
    <w:rsid w:val="00CC392F"/>
    <w:rsid w:val="00CC3BA8"/>
    <w:rsid w:val="00CC5058"/>
    <w:rsid w:val="00CD11AD"/>
    <w:rsid w:val="00CD1C25"/>
    <w:rsid w:val="00CD2300"/>
    <w:rsid w:val="00CD3123"/>
    <w:rsid w:val="00CD41AE"/>
    <w:rsid w:val="00CD696E"/>
    <w:rsid w:val="00CD7A35"/>
    <w:rsid w:val="00CD7F81"/>
    <w:rsid w:val="00CE0656"/>
    <w:rsid w:val="00CE214E"/>
    <w:rsid w:val="00CE3D9D"/>
    <w:rsid w:val="00CE4B47"/>
    <w:rsid w:val="00CE5570"/>
    <w:rsid w:val="00CE581D"/>
    <w:rsid w:val="00CE6112"/>
    <w:rsid w:val="00CE70D0"/>
    <w:rsid w:val="00CE71F8"/>
    <w:rsid w:val="00CE76C1"/>
    <w:rsid w:val="00CF1AE5"/>
    <w:rsid w:val="00CF24E4"/>
    <w:rsid w:val="00CF603B"/>
    <w:rsid w:val="00CF6063"/>
    <w:rsid w:val="00CF722D"/>
    <w:rsid w:val="00CF7455"/>
    <w:rsid w:val="00CF766A"/>
    <w:rsid w:val="00D00836"/>
    <w:rsid w:val="00D00D75"/>
    <w:rsid w:val="00D01258"/>
    <w:rsid w:val="00D01949"/>
    <w:rsid w:val="00D028B4"/>
    <w:rsid w:val="00D02999"/>
    <w:rsid w:val="00D03F03"/>
    <w:rsid w:val="00D079D9"/>
    <w:rsid w:val="00D07EA8"/>
    <w:rsid w:val="00D103F3"/>
    <w:rsid w:val="00D1145B"/>
    <w:rsid w:val="00D11E3D"/>
    <w:rsid w:val="00D12B9C"/>
    <w:rsid w:val="00D1349C"/>
    <w:rsid w:val="00D14962"/>
    <w:rsid w:val="00D150A8"/>
    <w:rsid w:val="00D159C0"/>
    <w:rsid w:val="00D16598"/>
    <w:rsid w:val="00D179EA"/>
    <w:rsid w:val="00D20211"/>
    <w:rsid w:val="00D2041B"/>
    <w:rsid w:val="00D209EC"/>
    <w:rsid w:val="00D21504"/>
    <w:rsid w:val="00D22097"/>
    <w:rsid w:val="00D22285"/>
    <w:rsid w:val="00D22A94"/>
    <w:rsid w:val="00D234B1"/>
    <w:rsid w:val="00D30BDF"/>
    <w:rsid w:val="00D30C62"/>
    <w:rsid w:val="00D312D8"/>
    <w:rsid w:val="00D32500"/>
    <w:rsid w:val="00D32C34"/>
    <w:rsid w:val="00D34702"/>
    <w:rsid w:val="00D36843"/>
    <w:rsid w:val="00D408B1"/>
    <w:rsid w:val="00D40D1B"/>
    <w:rsid w:val="00D431BD"/>
    <w:rsid w:val="00D456BE"/>
    <w:rsid w:val="00D46E95"/>
    <w:rsid w:val="00D476FA"/>
    <w:rsid w:val="00D47B52"/>
    <w:rsid w:val="00D51816"/>
    <w:rsid w:val="00D5249F"/>
    <w:rsid w:val="00D5424F"/>
    <w:rsid w:val="00D54C0F"/>
    <w:rsid w:val="00D554B6"/>
    <w:rsid w:val="00D5583A"/>
    <w:rsid w:val="00D55E54"/>
    <w:rsid w:val="00D57230"/>
    <w:rsid w:val="00D60883"/>
    <w:rsid w:val="00D62EE3"/>
    <w:rsid w:val="00D64A99"/>
    <w:rsid w:val="00D6587B"/>
    <w:rsid w:val="00D665AD"/>
    <w:rsid w:val="00D67B08"/>
    <w:rsid w:val="00D71F4B"/>
    <w:rsid w:val="00D72EA8"/>
    <w:rsid w:val="00D74AF7"/>
    <w:rsid w:val="00D7650B"/>
    <w:rsid w:val="00D76F1E"/>
    <w:rsid w:val="00D80860"/>
    <w:rsid w:val="00D80A54"/>
    <w:rsid w:val="00D815D4"/>
    <w:rsid w:val="00D82CCF"/>
    <w:rsid w:val="00D83A5F"/>
    <w:rsid w:val="00D84506"/>
    <w:rsid w:val="00D848DF"/>
    <w:rsid w:val="00D84E8C"/>
    <w:rsid w:val="00D85FA6"/>
    <w:rsid w:val="00D87A66"/>
    <w:rsid w:val="00D91D4C"/>
    <w:rsid w:val="00D92BDD"/>
    <w:rsid w:val="00D938F7"/>
    <w:rsid w:val="00D9512F"/>
    <w:rsid w:val="00DA15F6"/>
    <w:rsid w:val="00DA1FD9"/>
    <w:rsid w:val="00DA2B78"/>
    <w:rsid w:val="00DA2BC4"/>
    <w:rsid w:val="00DA54A6"/>
    <w:rsid w:val="00DA5A96"/>
    <w:rsid w:val="00DA6118"/>
    <w:rsid w:val="00DA6F41"/>
    <w:rsid w:val="00DB0CEC"/>
    <w:rsid w:val="00DB2341"/>
    <w:rsid w:val="00DB25F5"/>
    <w:rsid w:val="00DB3946"/>
    <w:rsid w:val="00DB40A8"/>
    <w:rsid w:val="00DB4709"/>
    <w:rsid w:val="00DB4BC6"/>
    <w:rsid w:val="00DC0655"/>
    <w:rsid w:val="00DC352E"/>
    <w:rsid w:val="00DC38DC"/>
    <w:rsid w:val="00DC57CC"/>
    <w:rsid w:val="00DC6B0B"/>
    <w:rsid w:val="00DC7E2A"/>
    <w:rsid w:val="00DD046B"/>
    <w:rsid w:val="00DD0ABA"/>
    <w:rsid w:val="00DD160E"/>
    <w:rsid w:val="00DD30E1"/>
    <w:rsid w:val="00DD43BD"/>
    <w:rsid w:val="00DD5C03"/>
    <w:rsid w:val="00DD7989"/>
    <w:rsid w:val="00DD7ABB"/>
    <w:rsid w:val="00DE0E6C"/>
    <w:rsid w:val="00DE4B0C"/>
    <w:rsid w:val="00DE5708"/>
    <w:rsid w:val="00DF02F0"/>
    <w:rsid w:val="00DF23EF"/>
    <w:rsid w:val="00DF2BF4"/>
    <w:rsid w:val="00DF375E"/>
    <w:rsid w:val="00DF5023"/>
    <w:rsid w:val="00DF5AAE"/>
    <w:rsid w:val="00DF5F5A"/>
    <w:rsid w:val="00E00EAC"/>
    <w:rsid w:val="00E02B8D"/>
    <w:rsid w:val="00E03C65"/>
    <w:rsid w:val="00E04D3F"/>
    <w:rsid w:val="00E073FF"/>
    <w:rsid w:val="00E10597"/>
    <w:rsid w:val="00E11DFA"/>
    <w:rsid w:val="00E11F63"/>
    <w:rsid w:val="00E15A39"/>
    <w:rsid w:val="00E22E3A"/>
    <w:rsid w:val="00E25AB9"/>
    <w:rsid w:val="00E260AB"/>
    <w:rsid w:val="00E26D57"/>
    <w:rsid w:val="00E2725E"/>
    <w:rsid w:val="00E278FC"/>
    <w:rsid w:val="00E30E55"/>
    <w:rsid w:val="00E319DB"/>
    <w:rsid w:val="00E34228"/>
    <w:rsid w:val="00E34FB2"/>
    <w:rsid w:val="00E3707E"/>
    <w:rsid w:val="00E40B6F"/>
    <w:rsid w:val="00E443DB"/>
    <w:rsid w:val="00E44C4F"/>
    <w:rsid w:val="00E47940"/>
    <w:rsid w:val="00E52761"/>
    <w:rsid w:val="00E539EA"/>
    <w:rsid w:val="00E53CD8"/>
    <w:rsid w:val="00E53E59"/>
    <w:rsid w:val="00E544B7"/>
    <w:rsid w:val="00E54C87"/>
    <w:rsid w:val="00E57BE3"/>
    <w:rsid w:val="00E57E03"/>
    <w:rsid w:val="00E63CE8"/>
    <w:rsid w:val="00E64368"/>
    <w:rsid w:val="00E64C21"/>
    <w:rsid w:val="00E65643"/>
    <w:rsid w:val="00E66E24"/>
    <w:rsid w:val="00E714C8"/>
    <w:rsid w:val="00E71A5F"/>
    <w:rsid w:val="00E73389"/>
    <w:rsid w:val="00E733C0"/>
    <w:rsid w:val="00E73437"/>
    <w:rsid w:val="00E73BE0"/>
    <w:rsid w:val="00E747E6"/>
    <w:rsid w:val="00E756E1"/>
    <w:rsid w:val="00E75B19"/>
    <w:rsid w:val="00E76FA8"/>
    <w:rsid w:val="00E8003D"/>
    <w:rsid w:val="00E815EE"/>
    <w:rsid w:val="00E82C63"/>
    <w:rsid w:val="00E84CD4"/>
    <w:rsid w:val="00E85215"/>
    <w:rsid w:val="00E857BB"/>
    <w:rsid w:val="00E86851"/>
    <w:rsid w:val="00E914E2"/>
    <w:rsid w:val="00E920AB"/>
    <w:rsid w:val="00E95E60"/>
    <w:rsid w:val="00EA05C6"/>
    <w:rsid w:val="00EA0849"/>
    <w:rsid w:val="00EA2AFC"/>
    <w:rsid w:val="00EA3339"/>
    <w:rsid w:val="00EA52EC"/>
    <w:rsid w:val="00EA538D"/>
    <w:rsid w:val="00EA55C0"/>
    <w:rsid w:val="00EA6062"/>
    <w:rsid w:val="00EA7430"/>
    <w:rsid w:val="00EA779E"/>
    <w:rsid w:val="00EB07BD"/>
    <w:rsid w:val="00EB0B5C"/>
    <w:rsid w:val="00EB1724"/>
    <w:rsid w:val="00EB246C"/>
    <w:rsid w:val="00EB58FF"/>
    <w:rsid w:val="00EC1D86"/>
    <w:rsid w:val="00EC5E2E"/>
    <w:rsid w:val="00EC64FB"/>
    <w:rsid w:val="00EC6D74"/>
    <w:rsid w:val="00ED0D0E"/>
    <w:rsid w:val="00ED4142"/>
    <w:rsid w:val="00ED4684"/>
    <w:rsid w:val="00ED614F"/>
    <w:rsid w:val="00ED72E9"/>
    <w:rsid w:val="00ED73C0"/>
    <w:rsid w:val="00ED7624"/>
    <w:rsid w:val="00EE2130"/>
    <w:rsid w:val="00EE2348"/>
    <w:rsid w:val="00EE4EDC"/>
    <w:rsid w:val="00EE5A3F"/>
    <w:rsid w:val="00EE609D"/>
    <w:rsid w:val="00EE7CF9"/>
    <w:rsid w:val="00EF0F25"/>
    <w:rsid w:val="00EF1ECD"/>
    <w:rsid w:val="00EF3C1D"/>
    <w:rsid w:val="00EF4047"/>
    <w:rsid w:val="00EF408B"/>
    <w:rsid w:val="00EF674C"/>
    <w:rsid w:val="00F0210B"/>
    <w:rsid w:val="00F024E8"/>
    <w:rsid w:val="00F0285E"/>
    <w:rsid w:val="00F07208"/>
    <w:rsid w:val="00F1279E"/>
    <w:rsid w:val="00F12AD6"/>
    <w:rsid w:val="00F13451"/>
    <w:rsid w:val="00F13D8B"/>
    <w:rsid w:val="00F14CD0"/>
    <w:rsid w:val="00F1603C"/>
    <w:rsid w:val="00F160E4"/>
    <w:rsid w:val="00F1675F"/>
    <w:rsid w:val="00F16DA0"/>
    <w:rsid w:val="00F1710D"/>
    <w:rsid w:val="00F20B48"/>
    <w:rsid w:val="00F219A6"/>
    <w:rsid w:val="00F226AD"/>
    <w:rsid w:val="00F23A4F"/>
    <w:rsid w:val="00F2476B"/>
    <w:rsid w:val="00F262CE"/>
    <w:rsid w:val="00F2700B"/>
    <w:rsid w:val="00F30919"/>
    <w:rsid w:val="00F31892"/>
    <w:rsid w:val="00F31936"/>
    <w:rsid w:val="00F32FA5"/>
    <w:rsid w:val="00F33B65"/>
    <w:rsid w:val="00F36E20"/>
    <w:rsid w:val="00F45110"/>
    <w:rsid w:val="00F45AE9"/>
    <w:rsid w:val="00F466C5"/>
    <w:rsid w:val="00F50B9C"/>
    <w:rsid w:val="00F546BB"/>
    <w:rsid w:val="00F55293"/>
    <w:rsid w:val="00F557E4"/>
    <w:rsid w:val="00F57026"/>
    <w:rsid w:val="00F6029C"/>
    <w:rsid w:val="00F61266"/>
    <w:rsid w:val="00F61567"/>
    <w:rsid w:val="00F624B5"/>
    <w:rsid w:val="00F63AC1"/>
    <w:rsid w:val="00F63FAF"/>
    <w:rsid w:val="00F64165"/>
    <w:rsid w:val="00F643DD"/>
    <w:rsid w:val="00F64F1E"/>
    <w:rsid w:val="00F7135E"/>
    <w:rsid w:val="00F71763"/>
    <w:rsid w:val="00F7214F"/>
    <w:rsid w:val="00F728B3"/>
    <w:rsid w:val="00F739B0"/>
    <w:rsid w:val="00F749D8"/>
    <w:rsid w:val="00F765FA"/>
    <w:rsid w:val="00F77C21"/>
    <w:rsid w:val="00F77CE3"/>
    <w:rsid w:val="00F8030A"/>
    <w:rsid w:val="00F82AF2"/>
    <w:rsid w:val="00F84F51"/>
    <w:rsid w:val="00F84FB5"/>
    <w:rsid w:val="00F86B2F"/>
    <w:rsid w:val="00F86B72"/>
    <w:rsid w:val="00F87424"/>
    <w:rsid w:val="00F90804"/>
    <w:rsid w:val="00F90B8D"/>
    <w:rsid w:val="00F916B5"/>
    <w:rsid w:val="00F91C38"/>
    <w:rsid w:val="00F93AE2"/>
    <w:rsid w:val="00F951FF"/>
    <w:rsid w:val="00F96344"/>
    <w:rsid w:val="00FA029C"/>
    <w:rsid w:val="00FA12E3"/>
    <w:rsid w:val="00FA4342"/>
    <w:rsid w:val="00FA4393"/>
    <w:rsid w:val="00FA4DE0"/>
    <w:rsid w:val="00FA4F8F"/>
    <w:rsid w:val="00FA77F8"/>
    <w:rsid w:val="00FB25EB"/>
    <w:rsid w:val="00FB3333"/>
    <w:rsid w:val="00FB420A"/>
    <w:rsid w:val="00FB6BD6"/>
    <w:rsid w:val="00FC133F"/>
    <w:rsid w:val="00FC210B"/>
    <w:rsid w:val="00FC2B23"/>
    <w:rsid w:val="00FC2F2A"/>
    <w:rsid w:val="00FC5B5A"/>
    <w:rsid w:val="00FC7078"/>
    <w:rsid w:val="00FC7E0A"/>
    <w:rsid w:val="00FD0089"/>
    <w:rsid w:val="00FD00E5"/>
    <w:rsid w:val="00FD23C8"/>
    <w:rsid w:val="00FD4378"/>
    <w:rsid w:val="00FD45D2"/>
    <w:rsid w:val="00FE10C6"/>
    <w:rsid w:val="00FE14F0"/>
    <w:rsid w:val="00FE1DA1"/>
    <w:rsid w:val="00FE3DC5"/>
    <w:rsid w:val="00FE3F59"/>
    <w:rsid w:val="00FE3F77"/>
    <w:rsid w:val="00FE40C0"/>
    <w:rsid w:val="00FE5AEA"/>
    <w:rsid w:val="00FE60FC"/>
    <w:rsid w:val="00FF26AA"/>
    <w:rsid w:val="00FF719E"/>
    <w:rsid w:val="00FF7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F8F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DBE"/>
  </w:style>
  <w:style w:type="paragraph" w:styleId="Heading1">
    <w:name w:val="heading 1"/>
    <w:basedOn w:val="Normal"/>
    <w:next w:val="Normal"/>
    <w:link w:val="Heading1Char"/>
    <w:uiPriority w:val="9"/>
    <w:qFormat/>
    <w:rsid w:val="00C860F5"/>
    <w:pPr>
      <w:keepNext/>
      <w:keepLines/>
      <w:spacing w:before="400" w:after="40" w:line="240" w:lineRule="auto"/>
      <w:outlineLvl w:val="0"/>
    </w:pPr>
    <w:rPr>
      <w:rFonts w:ascii="Courier New" w:eastAsiaTheme="majorEastAsia" w:hAnsi="Courier New" w:cstheme="majorBidi"/>
      <w:color w:val="000000" w:themeColor="text1"/>
      <w:sz w:val="36"/>
      <w:szCs w:val="36"/>
    </w:rPr>
  </w:style>
  <w:style w:type="paragraph" w:styleId="Heading2">
    <w:name w:val="heading 2"/>
    <w:basedOn w:val="Normal"/>
    <w:next w:val="Normal"/>
    <w:link w:val="Heading2Char"/>
    <w:uiPriority w:val="9"/>
    <w:unhideWhenUsed/>
    <w:qFormat/>
    <w:rsid w:val="00BA2DBE"/>
    <w:pPr>
      <w:keepNext/>
      <w:keepLines/>
      <w:spacing w:before="160" w:after="0" w:line="240" w:lineRule="auto"/>
      <w:outlineLvl w:val="1"/>
    </w:pPr>
    <w:rPr>
      <w:rFonts w:asciiTheme="majorHAnsi" w:eastAsiaTheme="majorEastAsia" w:hAnsiTheme="majorHAnsi" w:cstheme="majorBidi"/>
      <w:color w:val="365F91" w:themeColor="accent1" w:themeShade="BF"/>
      <w:sz w:val="28"/>
      <w:szCs w:val="28"/>
    </w:rPr>
  </w:style>
  <w:style w:type="paragraph" w:styleId="Heading3">
    <w:name w:val="heading 3"/>
    <w:basedOn w:val="Normal"/>
    <w:next w:val="Normal"/>
    <w:link w:val="Heading3Char"/>
    <w:uiPriority w:val="9"/>
    <w:unhideWhenUsed/>
    <w:qFormat/>
    <w:rsid w:val="00BA2DB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unhideWhenUsed/>
    <w:qFormat/>
    <w:rsid w:val="00BA2DB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unhideWhenUsed/>
    <w:qFormat/>
    <w:rsid w:val="00BA2DB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unhideWhenUsed/>
    <w:qFormat/>
    <w:rsid w:val="00BA2DB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A2DB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A2DB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A2DB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BA2DBE"/>
    <w:rPr>
      <w:rFonts w:asciiTheme="majorHAnsi" w:eastAsiaTheme="majorEastAsia" w:hAnsiTheme="majorHAnsi" w:cstheme="majorBidi"/>
      <w:color w:val="365F91" w:themeColor="accent1" w:themeShade="BF"/>
      <w:sz w:val="28"/>
      <w:szCs w:val="28"/>
    </w:rPr>
  </w:style>
  <w:style w:type="character" w:customStyle="1" w:styleId="Heading1Char">
    <w:name w:val="Heading 1 Char"/>
    <w:basedOn w:val="DefaultParagraphFont"/>
    <w:link w:val="Heading1"/>
    <w:uiPriority w:val="9"/>
    <w:rsid w:val="00C860F5"/>
    <w:rPr>
      <w:rFonts w:ascii="Courier New" w:eastAsiaTheme="majorEastAsia" w:hAnsi="Courier New" w:cstheme="majorBidi"/>
      <w:color w:val="000000" w:themeColor="text1"/>
      <w:sz w:val="36"/>
      <w:szCs w:val="36"/>
    </w:rPr>
  </w:style>
  <w:style w:type="character" w:customStyle="1" w:styleId="Heading3Char">
    <w:name w:val="Heading 3 Char"/>
    <w:basedOn w:val="DefaultParagraphFont"/>
    <w:link w:val="Heading3"/>
    <w:uiPriority w:val="9"/>
    <w:rsid w:val="00BA2DB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rsid w:val="00BA2DB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rsid w:val="00BA2DB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rsid w:val="00BA2DB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A2DB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A2DB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A2DB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A2DB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A2DBE"/>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TitleChar">
    <w:name w:val="Title Char"/>
    <w:basedOn w:val="DefaultParagraphFont"/>
    <w:link w:val="Title"/>
    <w:uiPriority w:val="10"/>
    <w:rsid w:val="00BA2DBE"/>
    <w:rPr>
      <w:rFonts w:asciiTheme="majorHAnsi" w:eastAsiaTheme="majorEastAsia" w:hAnsiTheme="majorHAnsi" w:cstheme="majorBidi"/>
      <w:color w:val="365F91" w:themeColor="accent1" w:themeShade="BF"/>
      <w:spacing w:val="-7"/>
      <w:sz w:val="80"/>
      <w:szCs w:val="80"/>
    </w:rPr>
  </w:style>
  <w:style w:type="paragraph" w:styleId="Subtitle">
    <w:name w:val="Subtitle"/>
    <w:basedOn w:val="Normal"/>
    <w:next w:val="Normal"/>
    <w:link w:val="SubtitleChar"/>
    <w:uiPriority w:val="11"/>
    <w:qFormat/>
    <w:rsid w:val="00BA2DB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A2DB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A2DBE"/>
    <w:rPr>
      <w:b/>
      <w:bCs/>
    </w:rPr>
  </w:style>
  <w:style w:type="character" w:styleId="Emphasis">
    <w:name w:val="Emphasis"/>
    <w:basedOn w:val="DefaultParagraphFont"/>
    <w:uiPriority w:val="20"/>
    <w:qFormat/>
    <w:rsid w:val="00BA2DBE"/>
    <w:rPr>
      <w:i/>
      <w:iCs/>
    </w:rPr>
  </w:style>
  <w:style w:type="paragraph" w:styleId="NoSpacing">
    <w:name w:val="No Spacing"/>
    <w:uiPriority w:val="1"/>
    <w:qFormat/>
    <w:rsid w:val="00BA2DBE"/>
    <w:pPr>
      <w:spacing w:after="0" w:line="240" w:lineRule="auto"/>
    </w:pPr>
  </w:style>
  <w:style w:type="paragraph" w:styleId="Quote">
    <w:name w:val="Quote"/>
    <w:basedOn w:val="Normal"/>
    <w:next w:val="Normal"/>
    <w:link w:val="QuoteChar"/>
    <w:uiPriority w:val="29"/>
    <w:qFormat/>
    <w:rsid w:val="00BA2DB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A2DBE"/>
    <w:rPr>
      <w:i/>
      <w:iCs/>
    </w:rPr>
  </w:style>
  <w:style w:type="paragraph" w:styleId="IntenseQuote">
    <w:name w:val="Intense Quote"/>
    <w:basedOn w:val="Normal"/>
    <w:next w:val="Normal"/>
    <w:link w:val="IntenseQuoteChar"/>
    <w:uiPriority w:val="30"/>
    <w:qFormat/>
    <w:rsid w:val="00BA2DBE"/>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BA2DBE"/>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BA2DBE"/>
    <w:rPr>
      <w:i/>
      <w:iCs/>
      <w:color w:val="595959" w:themeColor="text1" w:themeTint="A6"/>
    </w:rPr>
  </w:style>
  <w:style w:type="character" w:styleId="IntenseEmphasis">
    <w:name w:val="Intense Emphasis"/>
    <w:basedOn w:val="DefaultParagraphFont"/>
    <w:uiPriority w:val="21"/>
    <w:qFormat/>
    <w:rsid w:val="00BA2DBE"/>
    <w:rPr>
      <w:b/>
      <w:bCs/>
      <w:i/>
      <w:iCs/>
    </w:rPr>
  </w:style>
  <w:style w:type="character" w:styleId="SubtleReference">
    <w:name w:val="Subtle Reference"/>
    <w:basedOn w:val="DefaultParagraphFont"/>
    <w:uiPriority w:val="31"/>
    <w:qFormat/>
    <w:rsid w:val="00BA2DBE"/>
    <w:rPr>
      <w:smallCaps/>
      <w:color w:val="404040" w:themeColor="text1" w:themeTint="BF"/>
    </w:rPr>
  </w:style>
  <w:style w:type="character" w:styleId="IntenseReference">
    <w:name w:val="Intense Reference"/>
    <w:basedOn w:val="DefaultParagraphFont"/>
    <w:uiPriority w:val="32"/>
    <w:qFormat/>
    <w:rsid w:val="00BA2DBE"/>
    <w:rPr>
      <w:b/>
      <w:bCs/>
      <w:smallCaps/>
      <w:u w:val="single"/>
    </w:rPr>
  </w:style>
  <w:style w:type="character" w:styleId="BookTitle">
    <w:name w:val="Book Title"/>
    <w:basedOn w:val="DefaultParagraphFont"/>
    <w:uiPriority w:val="33"/>
    <w:qFormat/>
    <w:rsid w:val="00BA2DBE"/>
    <w:rPr>
      <w:b/>
      <w:bCs/>
      <w:smallCaps/>
    </w:rPr>
  </w:style>
  <w:style w:type="paragraph" w:styleId="TOCHeading">
    <w:name w:val="TOC Heading"/>
    <w:basedOn w:val="Heading1"/>
    <w:next w:val="Normal"/>
    <w:uiPriority w:val="39"/>
    <w:unhideWhenUsed/>
    <w:qFormat/>
    <w:rsid w:val="00BA2DBE"/>
    <w:pPr>
      <w:outlineLvl w:val="9"/>
    </w:pPr>
  </w:style>
  <w:style w:type="paragraph" w:styleId="TOC1">
    <w:name w:val="toc 1"/>
    <w:basedOn w:val="Normal"/>
    <w:next w:val="Normal"/>
    <w:autoRedefine/>
    <w:uiPriority w:val="39"/>
    <w:unhideWhenUsed/>
    <w:rsid w:val="00965C2A"/>
    <w:pPr>
      <w:spacing w:after="100"/>
    </w:pPr>
  </w:style>
  <w:style w:type="character" w:styleId="Hyperlink">
    <w:name w:val="Hyperlink"/>
    <w:basedOn w:val="DefaultParagraphFont"/>
    <w:uiPriority w:val="99"/>
    <w:unhideWhenUsed/>
    <w:rsid w:val="00965C2A"/>
    <w:rPr>
      <w:color w:val="0000FF" w:themeColor="hyperlink"/>
      <w:u w:val="single"/>
    </w:rPr>
  </w:style>
  <w:style w:type="paragraph" w:styleId="ListParagraph">
    <w:name w:val="List Paragraph"/>
    <w:basedOn w:val="Normal"/>
    <w:uiPriority w:val="34"/>
    <w:qFormat/>
    <w:rsid w:val="00480FC6"/>
    <w:pPr>
      <w:ind w:left="720"/>
      <w:contextualSpacing/>
    </w:pPr>
  </w:style>
  <w:style w:type="character" w:styleId="CommentReference">
    <w:name w:val="annotation reference"/>
    <w:basedOn w:val="DefaultParagraphFont"/>
    <w:uiPriority w:val="99"/>
    <w:semiHidden/>
    <w:unhideWhenUsed/>
    <w:rsid w:val="00EA55C0"/>
    <w:rPr>
      <w:sz w:val="16"/>
      <w:szCs w:val="16"/>
    </w:rPr>
  </w:style>
  <w:style w:type="paragraph" w:styleId="CommentText">
    <w:name w:val="annotation text"/>
    <w:basedOn w:val="Normal"/>
    <w:link w:val="CommentTextChar"/>
    <w:uiPriority w:val="99"/>
    <w:unhideWhenUsed/>
    <w:rsid w:val="00EA55C0"/>
    <w:pPr>
      <w:spacing w:line="240" w:lineRule="auto"/>
    </w:pPr>
    <w:rPr>
      <w:sz w:val="20"/>
      <w:szCs w:val="20"/>
    </w:rPr>
  </w:style>
  <w:style w:type="character" w:customStyle="1" w:styleId="CommentTextChar">
    <w:name w:val="Comment Text Char"/>
    <w:basedOn w:val="DefaultParagraphFont"/>
    <w:link w:val="CommentText"/>
    <w:uiPriority w:val="99"/>
    <w:rsid w:val="00EA55C0"/>
    <w:rPr>
      <w:sz w:val="20"/>
      <w:szCs w:val="20"/>
    </w:rPr>
  </w:style>
  <w:style w:type="paragraph" w:styleId="CommentSubject">
    <w:name w:val="annotation subject"/>
    <w:basedOn w:val="CommentText"/>
    <w:next w:val="CommentText"/>
    <w:link w:val="CommentSubjectChar"/>
    <w:uiPriority w:val="99"/>
    <w:semiHidden/>
    <w:unhideWhenUsed/>
    <w:rsid w:val="00EA55C0"/>
    <w:rPr>
      <w:b/>
      <w:bCs/>
    </w:rPr>
  </w:style>
  <w:style w:type="character" w:customStyle="1" w:styleId="CommentSubjectChar">
    <w:name w:val="Comment Subject Char"/>
    <w:basedOn w:val="CommentTextChar"/>
    <w:link w:val="CommentSubject"/>
    <w:uiPriority w:val="99"/>
    <w:semiHidden/>
    <w:rsid w:val="00EA55C0"/>
    <w:rPr>
      <w:b/>
      <w:bCs/>
      <w:sz w:val="20"/>
      <w:szCs w:val="20"/>
    </w:rPr>
  </w:style>
  <w:style w:type="paragraph" w:styleId="BalloonText">
    <w:name w:val="Balloon Text"/>
    <w:basedOn w:val="Normal"/>
    <w:link w:val="BalloonTextChar"/>
    <w:uiPriority w:val="99"/>
    <w:semiHidden/>
    <w:unhideWhenUsed/>
    <w:rsid w:val="00EA55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5C0"/>
    <w:rPr>
      <w:rFonts w:ascii="Segoe UI" w:hAnsi="Segoe UI" w:cs="Segoe UI"/>
      <w:sz w:val="18"/>
      <w:szCs w:val="18"/>
    </w:rPr>
  </w:style>
  <w:style w:type="paragraph" w:styleId="TOC2">
    <w:name w:val="toc 2"/>
    <w:basedOn w:val="Normal"/>
    <w:next w:val="Normal"/>
    <w:autoRedefine/>
    <w:uiPriority w:val="39"/>
    <w:unhideWhenUsed/>
    <w:rsid w:val="00183BDC"/>
    <w:pPr>
      <w:tabs>
        <w:tab w:val="left" w:pos="2288"/>
        <w:tab w:val="right" w:leader="dot" w:pos="9350"/>
      </w:tabs>
      <w:spacing w:after="100" w:line="259" w:lineRule="auto"/>
      <w:ind w:left="220"/>
    </w:pPr>
    <w:rPr>
      <w:rFonts w:asciiTheme="majorHAnsi" w:hAnsiTheme="majorHAnsi" w:cs="Times New Roman"/>
      <w:sz w:val="24"/>
      <w:szCs w:val="24"/>
    </w:rPr>
  </w:style>
  <w:style w:type="paragraph" w:styleId="TOC3">
    <w:name w:val="toc 3"/>
    <w:basedOn w:val="Normal"/>
    <w:next w:val="Normal"/>
    <w:autoRedefine/>
    <w:uiPriority w:val="39"/>
    <w:unhideWhenUsed/>
    <w:rsid w:val="0024399D"/>
    <w:pPr>
      <w:spacing w:after="100" w:line="259" w:lineRule="auto"/>
      <w:ind w:left="440"/>
    </w:pPr>
    <w:rPr>
      <w:rFonts w:cs="Times New Roman"/>
      <w:sz w:val="22"/>
      <w:szCs w:val="22"/>
    </w:rPr>
  </w:style>
  <w:style w:type="paragraph" w:styleId="NormalWeb">
    <w:name w:val="Normal (Web)"/>
    <w:basedOn w:val="Normal"/>
    <w:uiPriority w:val="99"/>
    <w:unhideWhenUsed/>
    <w:rsid w:val="00B53975"/>
    <w:pPr>
      <w:spacing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3B2A57"/>
    <w:pPr>
      <w:spacing w:after="0" w:line="240" w:lineRule="auto"/>
    </w:pPr>
    <w:rPr>
      <w:rFonts w:ascii="Consolas" w:eastAsia="Calibri" w:hAnsi="Consolas" w:cs="Times New Roman"/>
    </w:rPr>
  </w:style>
  <w:style w:type="character" w:customStyle="1" w:styleId="PlainTextChar">
    <w:name w:val="Plain Text Char"/>
    <w:basedOn w:val="DefaultParagraphFont"/>
    <w:link w:val="PlainText"/>
    <w:uiPriority w:val="99"/>
    <w:rsid w:val="003B2A57"/>
    <w:rPr>
      <w:rFonts w:ascii="Consolas" w:eastAsia="Calibri" w:hAnsi="Consolas" w:cs="Times New Roman"/>
    </w:rPr>
  </w:style>
  <w:style w:type="character" w:customStyle="1" w:styleId="tp-label">
    <w:name w:val="tp-label"/>
    <w:basedOn w:val="DefaultParagraphFont"/>
    <w:rsid w:val="00B572CF"/>
  </w:style>
  <w:style w:type="character" w:styleId="FollowedHyperlink">
    <w:name w:val="FollowedHyperlink"/>
    <w:basedOn w:val="DefaultParagraphFont"/>
    <w:uiPriority w:val="99"/>
    <w:semiHidden/>
    <w:unhideWhenUsed/>
    <w:rsid w:val="004A3C34"/>
    <w:rPr>
      <w:color w:val="800080" w:themeColor="followedHyperlink"/>
      <w:u w:val="single"/>
    </w:rPr>
  </w:style>
  <w:style w:type="table" w:styleId="TableGrid">
    <w:name w:val="Table Grid"/>
    <w:basedOn w:val="TableNormal"/>
    <w:uiPriority w:val="59"/>
    <w:rsid w:val="009B6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headingsfont1">
    <w:name w:val="titleheadingsfont1"/>
    <w:basedOn w:val="DefaultParagraphFont"/>
    <w:rsid w:val="00F63FAF"/>
    <w:rPr>
      <w:rFonts w:ascii="Segoe UI" w:hAnsi="Segoe UI" w:cs="Segoe UI" w:hint="default"/>
      <w:sz w:val="31"/>
      <w:szCs w:val="31"/>
    </w:rPr>
  </w:style>
  <w:style w:type="paragraph" w:styleId="BodyText2">
    <w:name w:val="Body Text 2"/>
    <w:basedOn w:val="Normal"/>
    <w:link w:val="BodyText2Char"/>
    <w:rsid w:val="00FA12E3"/>
    <w:pPr>
      <w:spacing w:after="0" w:line="240" w:lineRule="auto"/>
    </w:pPr>
    <w:rPr>
      <w:rFonts w:ascii="Arial" w:eastAsia="Times New Roman" w:hAnsi="Arial" w:cs="Arial"/>
      <w:sz w:val="22"/>
      <w:szCs w:val="20"/>
    </w:rPr>
  </w:style>
  <w:style w:type="character" w:customStyle="1" w:styleId="BodyText2Char">
    <w:name w:val="Body Text 2 Char"/>
    <w:basedOn w:val="DefaultParagraphFont"/>
    <w:link w:val="BodyText2"/>
    <w:rsid w:val="00FA12E3"/>
    <w:rPr>
      <w:rFonts w:ascii="Arial" w:eastAsia="Times New Roman" w:hAnsi="Arial" w:cs="Arial"/>
      <w:sz w:val="22"/>
      <w:szCs w:val="20"/>
    </w:rPr>
  </w:style>
  <w:style w:type="paragraph" w:customStyle="1" w:styleId="Default">
    <w:name w:val="Default"/>
    <w:rsid w:val="0010534B"/>
    <w:pPr>
      <w:autoSpaceDE w:val="0"/>
      <w:autoSpaceDN w:val="0"/>
      <w:adjustRightInd w:val="0"/>
      <w:spacing w:after="0" w:line="240" w:lineRule="auto"/>
    </w:pPr>
    <w:rPr>
      <w:rFonts w:ascii="Univers" w:eastAsia="Times New Roman" w:hAnsi="Univers" w:cs="Univers"/>
      <w:color w:val="000000"/>
      <w:sz w:val="24"/>
      <w:szCs w:val="24"/>
    </w:rPr>
  </w:style>
  <w:style w:type="paragraph" w:styleId="Bibliography">
    <w:name w:val="Bibliography"/>
    <w:basedOn w:val="Normal"/>
    <w:next w:val="Normal"/>
    <w:uiPriority w:val="37"/>
    <w:unhideWhenUsed/>
    <w:rsid w:val="00564BA6"/>
  </w:style>
  <w:style w:type="paragraph" w:customStyle="1" w:styleId="EndNoteBibliography">
    <w:name w:val="EndNote Bibliography"/>
    <w:basedOn w:val="Normal"/>
    <w:link w:val="EndNoteBibliographyChar"/>
    <w:rsid w:val="00647ED4"/>
    <w:pPr>
      <w:spacing w:after="0" w:line="240" w:lineRule="auto"/>
    </w:pPr>
    <w:rPr>
      <w:rFonts w:ascii="Calibri" w:eastAsia="Times New Roman" w:hAnsi="Calibri" w:cs="Times New Roman"/>
      <w:noProof/>
      <w:sz w:val="22"/>
      <w:szCs w:val="24"/>
    </w:rPr>
  </w:style>
  <w:style w:type="character" w:customStyle="1" w:styleId="EndNoteBibliographyChar">
    <w:name w:val="EndNote Bibliography Char"/>
    <w:basedOn w:val="BodyText2Char"/>
    <w:link w:val="EndNoteBibliography"/>
    <w:rsid w:val="00647ED4"/>
    <w:rPr>
      <w:rFonts w:ascii="Calibri" w:eastAsia="Times New Roman" w:hAnsi="Calibri" w:cs="Times New Roman"/>
      <w:noProof/>
      <w:sz w:val="22"/>
      <w:szCs w:val="24"/>
    </w:rPr>
  </w:style>
  <w:style w:type="paragraph" w:styleId="Revision">
    <w:name w:val="Revision"/>
    <w:hidden/>
    <w:uiPriority w:val="99"/>
    <w:semiHidden/>
    <w:rsid w:val="000F7C57"/>
    <w:pPr>
      <w:spacing w:after="0" w:line="240" w:lineRule="auto"/>
    </w:pPr>
  </w:style>
  <w:style w:type="character" w:customStyle="1" w:styleId="UnresolvedMention1">
    <w:name w:val="Unresolved Mention1"/>
    <w:basedOn w:val="DefaultParagraphFont"/>
    <w:uiPriority w:val="99"/>
    <w:semiHidden/>
    <w:unhideWhenUsed/>
    <w:rsid w:val="00195583"/>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DBE"/>
  </w:style>
  <w:style w:type="paragraph" w:styleId="Heading1">
    <w:name w:val="heading 1"/>
    <w:basedOn w:val="Normal"/>
    <w:next w:val="Normal"/>
    <w:link w:val="Heading1Char"/>
    <w:uiPriority w:val="9"/>
    <w:qFormat/>
    <w:rsid w:val="00C860F5"/>
    <w:pPr>
      <w:keepNext/>
      <w:keepLines/>
      <w:spacing w:before="400" w:after="40" w:line="240" w:lineRule="auto"/>
      <w:outlineLvl w:val="0"/>
    </w:pPr>
    <w:rPr>
      <w:rFonts w:ascii="Courier New" w:eastAsiaTheme="majorEastAsia" w:hAnsi="Courier New" w:cstheme="majorBidi"/>
      <w:color w:val="000000" w:themeColor="text1"/>
      <w:sz w:val="36"/>
      <w:szCs w:val="36"/>
    </w:rPr>
  </w:style>
  <w:style w:type="paragraph" w:styleId="Heading2">
    <w:name w:val="heading 2"/>
    <w:basedOn w:val="Normal"/>
    <w:next w:val="Normal"/>
    <w:link w:val="Heading2Char"/>
    <w:uiPriority w:val="9"/>
    <w:unhideWhenUsed/>
    <w:qFormat/>
    <w:rsid w:val="00BA2DBE"/>
    <w:pPr>
      <w:keepNext/>
      <w:keepLines/>
      <w:spacing w:before="160" w:after="0" w:line="240" w:lineRule="auto"/>
      <w:outlineLvl w:val="1"/>
    </w:pPr>
    <w:rPr>
      <w:rFonts w:asciiTheme="majorHAnsi" w:eastAsiaTheme="majorEastAsia" w:hAnsiTheme="majorHAnsi" w:cstheme="majorBidi"/>
      <w:color w:val="365F91" w:themeColor="accent1" w:themeShade="BF"/>
      <w:sz w:val="28"/>
      <w:szCs w:val="28"/>
    </w:rPr>
  </w:style>
  <w:style w:type="paragraph" w:styleId="Heading3">
    <w:name w:val="heading 3"/>
    <w:basedOn w:val="Normal"/>
    <w:next w:val="Normal"/>
    <w:link w:val="Heading3Char"/>
    <w:uiPriority w:val="9"/>
    <w:unhideWhenUsed/>
    <w:qFormat/>
    <w:rsid w:val="00BA2DB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unhideWhenUsed/>
    <w:qFormat/>
    <w:rsid w:val="00BA2DB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unhideWhenUsed/>
    <w:qFormat/>
    <w:rsid w:val="00BA2DB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unhideWhenUsed/>
    <w:qFormat/>
    <w:rsid w:val="00BA2DB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A2DB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A2DB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A2DB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BA2DBE"/>
    <w:rPr>
      <w:rFonts w:asciiTheme="majorHAnsi" w:eastAsiaTheme="majorEastAsia" w:hAnsiTheme="majorHAnsi" w:cstheme="majorBidi"/>
      <w:color w:val="365F91" w:themeColor="accent1" w:themeShade="BF"/>
      <w:sz w:val="28"/>
      <w:szCs w:val="28"/>
    </w:rPr>
  </w:style>
  <w:style w:type="character" w:customStyle="1" w:styleId="Heading1Char">
    <w:name w:val="Heading 1 Char"/>
    <w:basedOn w:val="DefaultParagraphFont"/>
    <w:link w:val="Heading1"/>
    <w:uiPriority w:val="9"/>
    <w:rsid w:val="00C860F5"/>
    <w:rPr>
      <w:rFonts w:ascii="Courier New" w:eastAsiaTheme="majorEastAsia" w:hAnsi="Courier New" w:cstheme="majorBidi"/>
      <w:color w:val="000000" w:themeColor="text1"/>
      <w:sz w:val="36"/>
      <w:szCs w:val="36"/>
    </w:rPr>
  </w:style>
  <w:style w:type="character" w:customStyle="1" w:styleId="Heading3Char">
    <w:name w:val="Heading 3 Char"/>
    <w:basedOn w:val="DefaultParagraphFont"/>
    <w:link w:val="Heading3"/>
    <w:uiPriority w:val="9"/>
    <w:rsid w:val="00BA2DB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rsid w:val="00BA2DB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rsid w:val="00BA2DB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rsid w:val="00BA2DB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A2DB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A2DB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A2DB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A2DB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A2DBE"/>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TitleChar">
    <w:name w:val="Title Char"/>
    <w:basedOn w:val="DefaultParagraphFont"/>
    <w:link w:val="Title"/>
    <w:uiPriority w:val="10"/>
    <w:rsid w:val="00BA2DBE"/>
    <w:rPr>
      <w:rFonts w:asciiTheme="majorHAnsi" w:eastAsiaTheme="majorEastAsia" w:hAnsiTheme="majorHAnsi" w:cstheme="majorBidi"/>
      <w:color w:val="365F91" w:themeColor="accent1" w:themeShade="BF"/>
      <w:spacing w:val="-7"/>
      <w:sz w:val="80"/>
      <w:szCs w:val="80"/>
    </w:rPr>
  </w:style>
  <w:style w:type="paragraph" w:styleId="Subtitle">
    <w:name w:val="Subtitle"/>
    <w:basedOn w:val="Normal"/>
    <w:next w:val="Normal"/>
    <w:link w:val="SubtitleChar"/>
    <w:uiPriority w:val="11"/>
    <w:qFormat/>
    <w:rsid w:val="00BA2DB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A2DB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A2DBE"/>
    <w:rPr>
      <w:b/>
      <w:bCs/>
    </w:rPr>
  </w:style>
  <w:style w:type="character" w:styleId="Emphasis">
    <w:name w:val="Emphasis"/>
    <w:basedOn w:val="DefaultParagraphFont"/>
    <w:uiPriority w:val="20"/>
    <w:qFormat/>
    <w:rsid w:val="00BA2DBE"/>
    <w:rPr>
      <w:i/>
      <w:iCs/>
    </w:rPr>
  </w:style>
  <w:style w:type="paragraph" w:styleId="NoSpacing">
    <w:name w:val="No Spacing"/>
    <w:uiPriority w:val="1"/>
    <w:qFormat/>
    <w:rsid w:val="00BA2DBE"/>
    <w:pPr>
      <w:spacing w:after="0" w:line="240" w:lineRule="auto"/>
    </w:pPr>
  </w:style>
  <w:style w:type="paragraph" w:styleId="Quote">
    <w:name w:val="Quote"/>
    <w:basedOn w:val="Normal"/>
    <w:next w:val="Normal"/>
    <w:link w:val="QuoteChar"/>
    <w:uiPriority w:val="29"/>
    <w:qFormat/>
    <w:rsid w:val="00BA2DB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A2DBE"/>
    <w:rPr>
      <w:i/>
      <w:iCs/>
    </w:rPr>
  </w:style>
  <w:style w:type="paragraph" w:styleId="IntenseQuote">
    <w:name w:val="Intense Quote"/>
    <w:basedOn w:val="Normal"/>
    <w:next w:val="Normal"/>
    <w:link w:val="IntenseQuoteChar"/>
    <w:uiPriority w:val="30"/>
    <w:qFormat/>
    <w:rsid w:val="00BA2DBE"/>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BA2DBE"/>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BA2DBE"/>
    <w:rPr>
      <w:i/>
      <w:iCs/>
      <w:color w:val="595959" w:themeColor="text1" w:themeTint="A6"/>
    </w:rPr>
  </w:style>
  <w:style w:type="character" w:styleId="IntenseEmphasis">
    <w:name w:val="Intense Emphasis"/>
    <w:basedOn w:val="DefaultParagraphFont"/>
    <w:uiPriority w:val="21"/>
    <w:qFormat/>
    <w:rsid w:val="00BA2DBE"/>
    <w:rPr>
      <w:b/>
      <w:bCs/>
      <w:i/>
      <w:iCs/>
    </w:rPr>
  </w:style>
  <w:style w:type="character" w:styleId="SubtleReference">
    <w:name w:val="Subtle Reference"/>
    <w:basedOn w:val="DefaultParagraphFont"/>
    <w:uiPriority w:val="31"/>
    <w:qFormat/>
    <w:rsid w:val="00BA2DBE"/>
    <w:rPr>
      <w:smallCaps/>
      <w:color w:val="404040" w:themeColor="text1" w:themeTint="BF"/>
    </w:rPr>
  </w:style>
  <w:style w:type="character" w:styleId="IntenseReference">
    <w:name w:val="Intense Reference"/>
    <w:basedOn w:val="DefaultParagraphFont"/>
    <w:uiPriority w:val="32"/>
    <w:qFormat/>
    <w:rsid w:val="00BA2DBE"/>
    <w:rPr>
      <w:b/>
      <w:bCs/>
      <w:smallCaps/>
      <w:u w:val="single"/>
    </w:rPr>
  </w:style>
  <w:style w:type="character" w:styleId="BookTitle">
    <w:name w:val="Book Title"/>
    <w:basedOn w:val="DefaultParagraphFont"/>
    <w:uiPriority w:val="33"/>
    <w:qFormat/>
    <w:rsid w:val="00BA2DBE"/>
    <w:rPr>
      <w:b/>
      <w:bCs/>
      <w:smallCaps/>
    </w:rPr>
  </w:style>
  <w:style w:type="paragraph" w:styleId="TOCHeading">
    <w:name w:val="TOC Heading"/>
    <w:basedOn w:val="Heading1"/>
    <w:next w:val="Normal"/>
    <w:uiPriority w:val="39"/>
    <w:unhideWhenUsed/>
    <w:qFormat/>
    <w:rsid w:val="00BA2DBE"/>
    <w:pPr>
      <w:outlineLvl w:val="9"/>
    </w:pPr>
  </w:style>
  <w:style w:type="paragraph" w:styleId="TOC1">
    <w:name w:val="toc 1"/>
    <w:basedOn w:val="Normal"/>
    <w:next w:val="Normal"/>
    <w:autoRedefine/>
    <w:uiPriority w:val="39"/>
    <w:unhideWhenUsed/>
    <w:rsid w:val="00965C2A"/>
    <w:pPr>
      <w:spacing w:after="100"/>
    </w:pPr>
  </w:style>
  <w:style w:type="character" w:styleId="Hyperlink">
    <w:name w:val="Hyperlink"/>
    <w:basedOn w:val="DefaultParagraphFont"/>
    <w:uiPriority w:val="99"/>
    <w:unhideWhenUsed/>
    <w:rsid w:val="00965C2A"/>
    <w:rPr>
      <w:color w:val="0000FF" w:themeColor="hyperlink"/>
      <w:u w:val="single"/>
    </w:rPr>
  </w:style>
  <w:style w:type="paragraph" w:styleId="ListParagraph">
    <w:name w:val="List Paragraph"/>
    <w:basedOn w:val="Normal"/>
    <w:uiPriority w:val="34"/>
    <w:qFormat/>
    <w:rsid w:val="00480FC6"/>
    <w:pPr>
      <w:ind w:left="720"/>
      <w:contextualSpacing/>
    </w:pPr>
  </w:style>
  <w:style w:type="character" w:styleId="CommentReference">
    <w:name w:val="annotation reference"/>
    <w:basedOn w:val="DefaultParagraphFont"/>
    <w:uiPriority w:val="99"/>
    <w:semiHidden/>
    <w:unhideWhenUsed/>
    <w:rsid w:val="00EA55C0"/>
    <w:rPr>
      <w:sz w:val="16"/>
      <w:szCs w:val="16"/>
    </w:rPr>
  </w:style>
  <w:style w:type="paragraph" w:styleId="CommentText">
    <w:name w:val="annotation text"/>
    <w:basedOn w:val="Normal"/>
    <w:link w:val="CommentTextChar"/>
    <w:uiPriority w:val="99"/>
    <w:unhideWhenUsed/>
    <w:rsid w:val="00EA55C0"/>
    <w:pPr>
      <w:spacing w:line="240" w:lineRule="auto"/>
    </w:pPr>
    <w:rPr>
      <w:sz w:val="20"/>
      <w:szCs w:val="20"/>
    </w:rPr>
  </w:style>
  <w:style w:type="character" w:customStyle="1" w:styleId="CommentTextChar">
    <w:name w:val="Comment Text Char"/>
    <w:basedOn w:val="DefaultParagraphFont"/>
    <w:link w:val="CommentText"/>
    <w:uiPriority w:val="99"/>
    <w:rsid w:val="00EA55C0"/>
    <w:rPr>
      <w:sz w:val="20"/>
      <w:szCs w:val="20"/>
    </w:rPr>
  </w:style>
  <w:style w:type="paragraph" w:styleId="CommentSubject">
    <w:name w:val="annotation subject"/>
    <w:basedOn w:val="CommentText"/>
    <w:next w:val="CommentText"/>
    <w:link w:val="CommentSubjectChar"/>
    <w:uiPriority w:val="99"/>
    <w:semiHidden/>
    <w:unhideWhenUsed/>
    <w:rsid w:val="00EA55C0"/>
    <w:rPr>
      <w:b/>
      <w:bCs/>
    </w:rPr>
  </w:style>
  <w:style w:type="character" w:customStyle="1" w:styleId="CommentSubjectChar">
    <w:name w:val="Comment Subject Char"/>
    <w:basedOn w:val="CommentTextChar"/>
    <w:link w:val="CommentSubject"/>
    <w:uiPriority w:val="99"/>
    <w:semiHidden/>
    <w:rsid w:val="00EA55C0"/>
    <w:rPr>
      <w:b/>
      <w:bCs/>
      <w:sz w:val="20"/>
      <w:szCs w:val="20"/>
    </w:rPr>
  </w:style>
  <w:style w:type="paragraph" w:styleId="BalloonText">
    <w:name w:val="Balloon Text"/>
    <w:basedOn w:val="Normal"/>
    <w:link w:val="BalloonTextChar"/>
    <w:uiPriority w:val="99"/>
    <w:semiHidden/>
    <w:unhideWhenUsed/>
    <w:rsid w:val="00EA55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5C0"/>
    <w:rPr>
      <w:rFonts w:ascii="Segoe UI" w:hAnsi="Segoe UI" w:cs="Segoe UI"/>
      <w:sz w:val="18"/>
      <w:szCs w:val="18"/>
    </w:rPr>
  </w:style>
  <w:style w:type="paragraph" w:styleId="TOC2">
    <w:name w:val="toc 2"/>
    <w:basedOn w:val="Normal"/>
    <w:next w:val="Normal"/>
    <w:autoRedefine/>
    <w:uiPriority w:val="39"/>
    <w:unhideWhenUsed/>
    <w:rsid w:val="00183BDC"/>
    <w:pPr>
      <w:tabs>
        <w:tab w:val="left" w:pos="2288"/>
        <w:tab w:val="right" w:leader="dot" w:pos="9350"/>
      </w:tabs>
      <w:spacing w:after="100" w:line="259" w:lineRule="auto"/>
      <w:ind w:left="220"/>
    </w:pPr>
    <w:rPr>
      <w:rFonts w:asciiTheme="majorHAnsi" w:hAnsiTheme="majorHAnsi" w:cs="Times New Roman"/>
      <w:sz w:val="24"/>
      <w:szCs w:val="24"/>
    </w:rPr>
  </w:style>
  <w:style w:type="paragraph" w:styleId="TOC3">
    <w:name w:val="toc 3"/>
    <w:basedOn w:val="Normal"/>
    <w:next w:val="Normal"/>
    <w:autoRedefine/>
    <w:uiPriority w:val="39"/>
    <w:unhideWhenUsed/>
    <w:rsid w:val="0024399D"/>
    <w:pPr>
      <w:spacing w:after="100" w:line="259" w:lineRule="auto"/>
      <w:ind w:left="440"/>
    </w:pPr>
    <w:rPr>
      <w:rFonts w:cs="Times New Roman"/>
      <w:sz w:val="22"/>
      <w:szCs w:val="22"/>
    </w:rPr>
  </w:style>
  <w:style w:type="paragraph" w:styleId="NormalWeb">
    <w:name w:val="Normal (Web)"/>
    <w:basedOn w:val="Normal"/>
    <w:uiPriority w:val="99"/>
    <w:unhideWhenUsed/>
    <w:rsid w:val="00B53975"/>
    <w:pPr>
      <w:spacing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3B2A57"/>
    <w:pPr>
      <w:spacing w:after="0" w:line="240" w:lineRule="auto"/>
    </w:pPr>
    <w:rPr>
      <w:rFonts w:ascii="Consolas" w:eastAsia="Calibri" w:hAnsi="Consolas" w:cs="Times New Roman"/>
    </w:rPr>
  </w:style>
  <w:style w:type="character" w:customStyle="1" w:styleId="PlainTextChar">
    <w:name w:val="Plain Text Char"/>
    <w:basedOn w:val="DefaultParagraphFont"/>
    <w:link w:val="PlainText"/>
    <w:uiPriority w:val="99"/>
    <w:rsid w:val="003B2A57"/>
    <w:rPr>
      <w:rFonts w:ascii="Consolas" w:eastAsia="Calibri" w:hAnsi="Consolas" w:cs="Times New Roman"/>
    </w:rPr>
  </w:style>
  <w:style w:type="character" w:customStyle="1" w:styleId="tp-label">
    <w:name w:val="tp-label"/>
    <w:basedOn w:val="DefaultParagraphFont"/>
    <w:rsid w:val="00B572CF"/>
  </w:style>
  <w:style w:type="character" w:styleId="FollowedHyperlink">
    <w:name w:val="FollowedHyperlink"/>
    <w:basedOn w:val="DefaultParagraphFont"/>
    <w:uiPriority w:val="99"/>
    <w:semiHidden/>
    <w:unhideWhenUsed/>
    <w:rsid w:val="004A3C34"/>
    <w:rPr>
      <w:color w:val="800080" w:themeColor="followedHyperlink"/>
      <w:u w:val="single"/>
    </w:rPr>
  </w:style>
  <w:style w:type="table" w:styleId="TableGrid">
    <w:name w:val="Table Grid"/>
    <w:basedOn w:val="TableNormal"/>
    <w:uiPriority w:val="59"/>
    <w:rsid w:val="009B6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headingsfont1">
    <w:name w:val="titleheadingsfont1"/>
    <w:basedOn w:val="DefaultParagraphFont"/>
    <w:rsid w:val="00F63FAF"/>
    <w:rPr>
      <w:rFonts w:ascii="Segoe UI" w:hAnsi="Segoe UI" w:cs="Segoe UI" w:hint="default"/>
      <w:sz w:val="31"/>
      <w:szCs w:val="31"/>
    </w:rPr>
  </w:style>
  <w:style w:type="paragraph" w:styleId="BodyText2">
    <w:name w:val="Body Text 2"/>
    <w:basedOn w:val="Normal"/>
    <w:link w:val="BodyText2Char"/>
    <w:rsid w:val="00FA12E3"/>
    <w:pPr>
      <w:spacing w:after="0" w:line="240" w:lineRule="auto"/>
    </w:pPr>
    <w:rPr>
      <w:rFonts w:ascii="Arial" w:eastAsia="Times New Roman" w:hAnsi="Arial" w:cs="Arial"/>
      <w:sz w:val="22"/>
      <w:szCs w:val="20"/>
    </w:rPr>
  </w:style>
  <w:style w:type="character" w:customStyle="1" w:styleId="BodyText2Char">
    <w:name w:val="Body Text 2 Char"/>
    <w:basedOn w:val="DefaultParagraphFont"/>
    <w:link w:val="BodyText2"/>
    <w:rsid w:val="00FA12E3"/>
    <w:rPr>
      <w:rFonts w:ascii="Arial" w:eastAsia="Times New Roman" w:hAnsi="Arial" w:cs="Arial"/>
      <w:sz w:val="22"/>
      <w:szCs w:val="20"/>
    </w:rPr>
  </w:style>
  <w:style w:type="paragraph" w:customStyle="1" w:styleId="Default">
    <w:name w:val="Default"/>
    <w:rsid w:val="0010534B"/>
    <w:pPr>
      <w:autoSpaceDE w:val="0"/>
      <w:autoSpaceDN w:val="0"/>
      <w:adjustRightInd w:val="0"/>
      <w:spacing w:after="0" w:line="240" w:lineRule="auto"/>
    </w:pPr>
    <w:rPr>
      <w:rFonts w:ascii="Univers" w:eastAsia="Times New Roman" w:hAnsi="Univers" w:cs="Univers"/>
      <w:color w:val="000000"/>
      <w:sz w:val="24"/>
      <w:szCs w:val="24"/>
    </w:rPr>
  </w:style>
  <w:style w:type="paragraph" w:styleId="Bibliography">
    <w:name w:val="Bibliography"/>
    <w:basedOn w:val="Normal"/>
    <w:next w:val="Normal"/>
    <w:uiPriority w:val="37"/>
    <w:unhideWhenUsed/>
    <w:rsid w:val="00564BA6"/>
  </w:style>
  <w:style w:type="paragraph" w:customStyle="1" w:styleId="EndNoteBibliography">
    <w:name w:val="EndNote Bibliography"/>
    <w:basedOn w:val="Normal"/>
    <w:link w:val="EndNoteBibliographyChar"/>
    <w:rsid w:val="00647ED4"/>
    <w:pPr>
      <w:spacing w:after="0" w:line="240" w:lineRule="auto"/>
    </w:pPr>
    <w:rPr>
      <w:rFonts w:ascii="Calibri" w:eastAsia="Times New Roman" w:hAnsi="Calibri" w:cs="Times New Roman"/>
      <w:noProof/>
      <w:sz w:val="22"/>
      <w:szCs w:val="24"/>
    </w:rPr>
  </w:style>
  <w:style w:type="character" w:customStyle="1" w:styleId="EndNoteBibliographyChar">
    <w:name w:val="EndNote Bibliography Char"/>
    <w:basedOn w:val="BodyText2Char"/>
    <w:link w:val="EndNoteBibliography"/>
    <w:rsid w:val="00647ED4"/>
    <w:rPr>
      <w:rFonts w:ascii="Calibri" w:eastAsia="Times New Roman" w:hAnsi="Calibri" w:cs="Times New Roman"/>
      <w:noProof/>
      <w:sz w:val="22"/>
      <w:szCs w:val="24"/>
    </w:rPr>
  </w:style>
  <w:style w:type="paragraph" w:styleId="Revision">
    <w:name w:val="Revision"/>
    <w:hidden/>
    <w:uiPriority w:val="99"/>
    <w:semiHidden/>
    <w:rsid w:val="000F7C57"/>
    <w:pPr>
      <w:spacing w:after="0" w:line="240" w:lineRule="auto"/>
    </w:pPr>
  </w:style>
  <w:style w:type="character" w:customStyle="1" w:styleId="UnresolvedMention1">
    <w:name w:val="Unresolved Mention1"/>
    <w:basedOn w:val="DefaultParagraphFont"/>
    <w:uiPriority w:val="99"/>
    <w:semiHidden/>
    <w:unhideWhenUsed/>
    <w:rsid w:val="0019558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7761">
      <w:bodyDiv w:val="1"/>
      <w:marLeft w:val="0"/>
      <w:marRight w:val="0"/>
      <w:marTop w:val="0"/>
      <w:marBottom w:val="0"/>
      <w:divBdr>
        <w:top w:val="none" w:sz="0" w:space="0" w:color="auto"/>
        <w:left w:val="none" w:sz="0" w:space="0" w:color="auto"/>
        <w:bottom w:val="none" w:sz="0" w:space="0" w:color="auto"/>
        <w:right w:val="none" w:sz="0" w:space="0" w:color="auto"/>
      </w:divBdr>
      <w:divsChild>
        <w:div w:id="933050719">
          <w:marLeft w:val="0"/>
          <w:marRight w:val="0"/>
          <w:marTop w:val="0"/>
          <w:marBottom w:val="0"/>
          <w:divBdr>
            <w:top w:val="none" w:sz="0" w:space="0" w:color="auto"/>
            <w:left w:val="none" w:sz="0" w:space="0" w:color="auto"/>
            <w:bottom w:val="none" w:sz="0" w:space="0" w:color="auto"/>
            <w:right w:val="none" w:sz="0" w:space="0" w:color="auto"/>
          </w:divBdr>
          <w:divsChild>
            <w:div w:id="1175992332">
              <w:marLeft w:val="0"/>
              <w:marRight w:val="0"/>
              <w:marTop w:val="0"/>
              <w:marBottom w:val="0"/>
              <w:divBdr>
                <w:top w:val="none" w:sz="0" w:space="0" w:color="auto"/>
                <w:left w:val="none" w:sz="0" w:space="0" w:color="auto"/>
                <w:bottom w:val="none" w:sz="0" w:space="0" w:color="auto"/>
                <w:right w:val="none" w:sz="0" w:space="0" w:color="auto"/>
              </w:divBdr>
              <w:divsChild>
                <w:div w:id="1002393474">
                  <w:marLeft w:val="0"/>
                  <w:marRight w:val="0"/>
                  <w:marTop w:val="0"/>
                  <w:marBottom w:val="0"/>
                  <w:divBdr>
                    <w:top w:val="none" w:sz="0" w:space="0" w:color="auto"/>
                    <w:left w:val="none" w:sz="0" w:space="0" w:color="auto"/>
                    <w:bottom w:val="none" w:sz="0" w:space="0" w:color="auto"/>
                    <w:right w:val="none" w:sz="0" w:space="0" w:color="auto"/>
                  </w:divBdr>
                  <w:divsChild>
                    <w:div w:id="1610043399">
                      <w:marLeft w:val="0"/>
                      <w:marRight w:val="0"/>
                      <w:marTop w:val="0"/>
                      <w:marBottom w:val="0"/>
                      <w:divBdr>
                        <w:top w:val="none" w:sz="0" w:space="0" w:color="auto"/>
                        <w:left w:val="none" w:sz="0" w:space="0" w:color="auto"/>
                        <w:bottom w:val="none" w:sz="0" w:space="0" w:color="auto"/>
                        <w:right w:val="none" w:sz="0" w:space="0" w:color="auto"/>
                      </w:divBdr>
                      <w:divsChild>
                        <w:div w:id="1900752011">
                          <w:marLeft w:val="0"/>
                          <w:marRight w:val="0"/>
                          <w:marTop w:val="0"/>
                          <w:marBottom w:val="0"/>
                          <w:divBdr>
                            <w:top w:val="none" w:sz="0" w:space="0" w:color="auto"/>
                            <w:left w:val="none" w:sz="0" w:space="0" w:color="auto"/>
                            <w:bottom w:val="none" w:sz="0" w:space="0" w:color="auto"/>
                            <w:right w:val="none" w:sz="0" w:space="0" w:color="auto"/>
                          </w:divBdr>
                          <w:divsChild>
                            <w:div w:id="1630822083">
                              <w:marLeft w:val="0"/>
                              <w:marRight w:val="0"/>
                              <w:marTop w:val="0"/>
                              <w:marBottom w:val="0"/>
                              <w:divBdr>
                                <w:top w:val="none" w:sz="0" w:space="0" w:color="auto"/>
                                <w:left w:val="none" w:sz="0" w:space="0" w:color="auto"/>
                                <w:bottom w:val="none" w:sz="0" w:space="0" w:color="auto"/>
                                <w:right w:val="none" w:sz="0" w:space="0" w:color="auto"/>
                              </w:divBdr>
                              <w:divsChild>
                                <w:div w:id="1322587400">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707881">
      <w:bodyDiv w:val="1"/>
      <w:marLeft w:val="0"/>
      <w:marRight w:val="0"/>
      <w:marTop w:val="0"/>
      <w:marBottom w:val="0"/>
      <w:divBdr>
        <w:top w:val="none" w:sz="0" w:space="0" w:color="auto"/>
        <w:left w:val="none" w:sz="0" w:space="0" w:color="auto"/>
        <w:bottom w:val="none" w:sz="0" w:space="0" w:color="auto"/>
        <w:right w:val="none" w:sz="0" w:space="0" w:color="auto"/>
      </w:divBdr>
    </w:div>
    <w:div w:id="220529245">
      <w:bodyDiv w:val="1"/>
      <w:marLeft w:val="0"/>
      <w:marRight w:val="0"/>
      <w:marTop w:val="0"/>
      <w:marBottom w:val="0"/>
      <w:divBdr>
        <w:top w:val="none" w:sz="0" w:space="0" w:color="auto"/>
        <w:left w:val="none" w:sz="0" w:space="0" w:color="auto"/>
        <w:bottom w:val="none" w:sz="0" w:space="0" w:color="auto"/>
        <w:right w:val="none" w:sz="0" w:space="0" w:color="auto"/>
      </w:divBdr>
      <w:divsChild>
        <w:div w:id="308557084">
          <w:marLeft w:val="0"/>
          <w:marRight w:val="0"/>
          <w:marTop w:val="0"/>
          <w:marBottom w:val="0"/>
          <w:divBdr>
            <w:top w:val="none" w:sz="0" w:space="0" w:color="auto"/>
            <w:left w:val="none" w:sz="0" w:space="0" w:color="auto"/>
            <w:bottom w:val="none" w:sz="0" w:space="0" w:color="auto"/>
            <w:right w:val="none" w:sz="0" w:space="0" w:color="auto"/>
          </w:divBdr>
          <w:divsChild>
            <w:div w:id="869760710">
              <w:marLeft w:val="0"/>
              <w:marRight w:val="0"/>
              <w:marTop w:val="0"/>
              <w:marBottom w:val="0"/>
              <w:divBdr>
                <w:top w:val="none" w:sz="0" w:space="0" w:color="auto"/>
                <w:left w:val="none" w:sz="0" w:space="0" w:color="auto"/>
                <w:bottom w:val="none" w:sz="0" w:space="0" w:color="auto"/>
                <w:right w:val="none" w:sz="0" w:space="0" w:color="auto"/>
              </w:divBdr>
              <w:divsChild>
                <w:div w:id="259918640">
                  <w:marLeft w:val="0"/>
                  <w:marRight w:val="0"/>
                  <w:marTop w:val="0"/>
                  <w:marBottom w:val="0"/>
                  <w:divBdr>
                    <w:top w:val="none" w:sz="0" w:space="0" w:color="auto"/>
                    <w:left w:val="none" w:sz="0" w:space="0" w:color="auto"/>
                    <w:bottom w:val="none" w:sz="0" w:space="0" w:color="auto"/>
                    <w:right w:val="none" w:sz="0" w:space="0" w:color="auto"/>
                  </w:divBdr>
                  <w:divsChild>
                    <w:div w:id="2078088715">
                      <w:marLeft w:val="0"/>
                      <w:marRight w:val="0"/>
                      <w:marTop w:val="0"/>
                      <w:marBottom w:val="0"/>
                      <w:divBdr>
                        <w:top w:val="none" w:sz="0" w:space="0" w:color="auto"/>
                        <w:left w:val="none" w:sz="0" w:space="0" w:color="auto"/>
                        <w:bottom w:val="none" w:sz="0" w:space="0" w:color="auto"/>
                        <w:right w:val="none" w:sz="0" w:space="0" w:color="auto"/>
                      </w:divBdr>
                      <w:divsChild>
                        <w:div w:id="396898788">
                          <w:marLeft w:val="0"/>
                          <w:marRight w:val="0"/>
                          <w:marTop w:val="0"/>
                          <w:marBottom w:val="0"/>
                          <w:divBdr>
                            <w:top w:val="none" w:sz="0" w:space="0" w:color="auto"/>
                            <w:left w:val="none" w:sz="0" w:space="0" w:color="auto"/>
                            <w:bottom w:val="none" w:sz="0" w:space="0" w:color="auto"/>
                            <w:right w:val="none" w:sz="0" w:space="0" w:color="auto"/>
                          </w:divBdr>
                          <w:divsChild>
                            <w:div w:id="1554805238">
                              <w:marLeft w:val="0"/>
                              <w:marRight w:val="0"/>
                              <w:marTop w:val="0"/>
                              <w:marBottom w:val="0"/>
                              <w:divBdr>
                                <w:top w:val="none" w:sz="0" w:space="0" w:color="auto"/>
                                <w:left w:val="none" w:sz="0" w:space="0" w:color="auto"/>
                                <w:bottom w:val="none" w:sz="0" w:space="0" w:color="auto"/>
                                <w:right w:val="none" w:sz="0" w:space="0" w:color="auto"/>
                              </w:divBdr>
                              <w:divsChild>
                                <w:div w:id="207647768">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5190437">
      <w:bodyDiv w:val="1"/>
      <w:marLeft w:val="0"/>
      <w:marRight w:val="0"/>
      <w:marTop w:val="0"/>
      <w:marBottom w:val="0"/>
      <w:divBdr>
        <w:top w:val="none" w:sz="0" w:space="0" w:color="auto"/>
        <w:left w:val="none" w:sz="0" w:space="0" w:color="auto"/>
        <w:bottom w:val="none" w:sz="0" w:space="0" w:color="auto"/>
        <w:right w:val="none" w:sz="0" w:space="0" w:color="auto"/>
      </w:divBdr>
      <w:divsChild>
        <w:div w:id="154685426">
          <w:marLeft w:val="0"/>
          <w:marRight w:val="0"/>
          <w:marTop w:val="0"/>
          <w:marBottom w:val="0"/>
          <w:divBdr>
            <w:top w:val="none" w:sz="0" w:space="0" w:color="auto"/>
            <w:left w:val="none" w:sz="0" w:space="0" w:color="auto"/>
            <w:bottom w:val="none" w:sz="0" w:space="0" w:color="auto"/>
            <w:right w:val="none" w:sz="0" w:space="0" w:color="auto"/>
          </w:divBdr>
          <w:divsChild>
            <w:div w:id="1336423661">
              <w:marLeft w:val="0"/>
              <w:marRight w:val="0"/>
              <w:marTop w:val="0"/>
              <w:marBottom w:val="0"/>
              <w:divBdr>
                <w:top w:val="none" w:sz="0" w:space="0" w:color="auto"/>
                <w:left w:val="none" w:sz="0" w:space="0" w:color="auto"/>
                <w:bottom w:val="none" w:sz="0" w:space="0" w:color="auto"/>
                <w:right w:val="none" w:sz="0" w:space="0" w:color="auto"/>
              </w:divBdr>
              <w:divsChild>
                <w:div w:id="605580554">
                  <w:marLeft w:val="0"/>
                  <w:marRight w:val="0"/>
                  <w:marTop w:val="0"/>
                  <w:marBottom w:val="0"/>
                  <w:divBdr>
                    <w:top w:val="none" w:sz="0" w:space="0" w:color="auto"/>
                    <w:left w:val="none" w:sz="0" w:space="0" w:color="auto"/>
                    <w:bottom w:val="none" w:sz="0" w:space="0" w:color="auto"/>
                    <w:right w:val="none" w:sz="0" w:space="0" w:color="auto"/>
                  </w:divBdr>
                  <w:divsChild>
                    <w:div w:id="1650014206">
                      <w:marLeft w:val="0"/>
                      <w:marRight w:val="0"/>
                      <w:marTop w:val="0"/>
                      <w:marBottom w:val="0"/>
                      <w:divBdr>
                        <w:top w:val="none" w:sz="0" w:space="0" w:color="auto"/>
                        <w:left w:val="none" w:sz="0" w:space="0" w:color="auto"/>
                        <w:bottom w:val="none" w:sz="0" w:space="0" w:color="auto"/>
                        <w:right w:val="none" w:sz="0" w:space="0" w:color="auto"/>
                      </w:divBdr>
                      <w:divsChild>
                        <w:div w:id="1950963130">
                          <w:marLeft w:val="0"/>
                          <w:marRight w:val="0"/>
                          <w:marTop w:val="0"/>
                          <w:marBottom w:val="0"/>
                          <w:divBdr>
                            <w:top w:val="none" w:sz="0" w:space="0" w:color="auto"/>
                            <w:left w:val="none" w:sz="0" w:space="0" w:color="auto"/>
                            <w:bottom w:val="none" w:sz="0" w:space="0" w:color="auto"/>
                            <w:right w:val="none" w:sz="0" w:space="0" w:color="auto"/>
                          </w:divBdr>
                          <w:divsChild>
                            <w:div w:id="14517804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2142481">
      <w:bodyDiv w:val="1"/>
      <w:marLeft w:val="0"/>
      <w:marRight w:val="0"/>
      <w:marTop w:val="0"/>
      <w:marBottom w:val="0"/>
      <w:divBdr>
        <w:top w:val="none" w:sz="0" w:space="0" w:color="auto"/>
        <w:left w:val="none" w:sz="0" w:space="0" w:color="auto"/>
        <w:bottom w:val="none" w:sz="0" w:space="0" w:color="auto"/>
        <w:right w:val="none" w:sz="0" w:space="0" w:color="auto"/>
      </w:divBdr>
    </w:div>
    <w:div w:id="467629851">
      <w:bodyDiv w:val="1"/>
      <w:marLeft w:val="0"/>
      <w:marRight w:val="0"/>
      <w:marTop w:val="0"/>
      <w:marBottom w:val="0"/>
      <w:divBdr>
        <w:top w:val="none" w:sz="0" w:space="0" w:color="auto"/>
        <w:left w:val="none" w:sz="0" w:space="0" w:color="auto"/>
        <w:bottom w:val="none" w:sz="0" w:space="0" w:color="auto"/>
        <w:right w:val="none" w:sz="0" w:space="0" w:color="auto"/>
      </w:divBdr>
    </w:div>
    <w:div w:id="591931880">
      <w:bodyDiv w:val="1"/>
      <w:marLeft w:val="0"/>
      <w:marRight w:val="0"/>
      <w:marTop w:val="0"/>
      <w:marBottom w:val="0"/>
      <w:divBdr>
        <w:top w:val="none" w:sz="0" w:space="0" w:color="auto"/>
        <w:left w:val="none" w:sz="0" w:space="0" w:color="auto"/>
        <w:bottom w:val="none" w:sz="0" w:space="0" w:color="auto"/>
        <w:right w:val="none" w:sz="0" w:space="0" w:color="auto"/>
      </w:divBdr>
    </w:div>
    <w:div w:id="641929451">
      <w:bodyDiv w:val="1"/>
      <w:marLeft w:val="0"/>
      <w:marRight w:val="0"/>
      <w:marTop w:val="0"/>
      <w:marBottom w:val="0"/>
      <w:divBdr>
        <w:top w:val="none" w:sz="0" w:space="0" w:color="auto"/>
        <w:left w:val="none" w:sz="0" w:space="0" w:color="auto"/>
        <w:bottom w:val="none" w:sz="0" w:space="0" w:color="auto"/>
        <w:right w:val="none" w:sz="0" w:space="0" w:color="auto"/>
      </w:divBdr>
      <w:divsChild>
        <w:div w:id="910820120">
          <w:marLeft w:val="0"/>
          <w:marRight w:val="0"/>
          <w:marTop w:val="0"/>
          <w:marBottom w:val="0"/>
          <w:divBdr>
            <w:top w:val="none" w:sz="0" w:space="0" w:color="auto"/>
            <w:left w:val="none" w:sz="0" w:space="0" w:color="auto"/>
            <w:bottom w:val="none" w:sz="0" w:space="0" w:color="auto"/>
            <w:right w:val="none" w:sz="0" w:space="0" w:color="auto"/>
          </w:divBdr>
          <w:divsChild>
            <w:div w:id="946618334">
              <w:marLeft w:val="0"/>
              <w:marRight w:val="0"/>
              <w:marTop w:val="0"/>
              <w:marBottom w:val="0"/>
              <w:divBdr>
                <w:top w:val="none" w:sz="0" w:space="0" w:color="auto"/>
                <w:left w:val="none" w:sz="0" w:space="0" w:color="auto"/>
                <w:bottom w:val="none" w:sz="0" w:space="0" w:color="auto"/>
                <w:right w:val="none" w:sz="0" w:space="0" w:color="auto"/>
              </w:divBdr>
              <w:divsChild>
                <w:div w:id="2083065885">
                  <w:marLeft w:val="0"/>
                  <w:marRight w:val="0"/>
                  <w:marTop w:val="0"/>
                  <w:marBottom w:val="0"/>
                  <w:divBdr>
                    <w:top w:val="none" w:sz="0" w:space="0" w:color="auto"/>
                    <w:left w:val="none" w:sz="0" w:space="0" w:color="auto"/>
                    <w:bottom w:val="none" w:sz="0" w:space="0" w:color="auto"/>
                    <w:right w:val="none" w:sz="0" w:space="0" w:color="auto"/>
                  </w:divBdr>
                  <w:divsChild>
                    <w:div w:id="597178849">
                      <w:marLeft w:val="0"/>
                      <w:marRight w:val="0"/>
                      <w:marTop w:val="0"/>
                      <w:marBottom w:val="0"/>
                      <w:divBdr>
                        <w:top w:val="none" w:sz="0" w:space="0" w:color="auto"/>
                        <w:left w:val="none" w:sz="0" w:space="0" w:color="auto"/>
                        <w:bottom w:val="none" w:sz="0" w:space="0" w:color="auto"/>
                        <w:right w:val="none" w:sz="0" w:space="0" w:color="auto"/>
                      </w:divBdr>
                      <w:divsChild>
                        <w:div w:id="417797199">
                          <w:marLeft w:val="0"/>
                          <w:marRight w:val="0"/>
                          <w:marTop w:val="0"/>
                          <w:marBottom w:val="0"/>
                          <w:divBdr>
                            <w:top w:val="none" w:sz="0" w:space="0" w:color="auto"/>
                            <w:left w:val="none" w:sz="0" w:space="0" w:color="auto"/>
                            <w:bottom w:val="none" w:sz="0" w:space="0" w:color="auto"/>
                            <w:right w:val="none" w:sz="0" w:space="0" w:color="auto"/>
                          </w:divBdr>
                          <w:divsChild>
                            <w:div w:id="1257863657">
                              <w:marLeft w:val="0"/>
                              <w:marRight w:val="0"/>
                              <w:marTop w:val="0"/>
                              <w:marBottom w:val="0"/>
                              <w:divBdr>
                                <w:top w:val="none" w:sz="0" w:space="0" w:color="auto"/>
                                <w:left w:val="none" w:sz="0" w:space="0" w:color="auto"/>
                                <w:bottom w:val="none" w:sz="0" w:space="0" w:color="auto"/>
                                <w:right w:val="none" w:sz="0" w:space="0" w:color="auto"/>
                              </w:divBdr>
                              <w:divsChild>
                                <w:div w:id="1366949980">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5547710">
      <w:bodyDiv w:val="1"/>
      <w:marLeft w:val="0"/>
      <w:marRight w:val="0"/>
      <w:marTop w:val="0"/>
      <w:marBottom w:val="0"/>
      <w:divBdr>
        <w:top w:val="none" w:sz="0" w:space="0" w:color="auto"/>
        <w:left w:val="none" w:sz="0" w:space="0" w:color="auto"/>
        <w:bottom w:val="none" w:sz="0" w:space="0" w:color="auto"/>
        <w:right w:val="none" w:sz="0" w:space="0" w:color="auto"/>
      </w:divBdr>
    </w:div>
    <w:div w:id="655957355">
      <w:bodyDiv w:val="1"/>
      <w:marLeft w:val="0"/>
      <w:marRight w:val="0"/>
      <w:marTop w:val="0"/>
      <w:marBottom w:val="0"/>
      <w:divBdr>
        <w:top w:val="none" w:sz="0" w:space="0" w:color="auto"/>
        <w:left w:val="none" w:sz="0" w:space="0" w:color="auto"/>
        <w:bottom w:val="none" w:sz="0" w:space="0" w:color="auto"/>
        <w:right w:val="none" w:sz="0" w:space="0" w:color="auto"/>
      </w:divBdr>
    </w:div>
    <w:div w:id="752245660">
      <w:bodyDiv w:val="1"/>
      <w:marLeft w:val="0"/>
      <w:marRight w:val="0"/>
      <w:marTop w:val="0"/>
      <w:marBottom w:val="0"/>
      <w:divBdr>
        <w:top w:val="none" w:sz="0" w:space="0" w:color="auto"/>
        <w:left w:val="none" w:sz="0" w:space="0" w:color="auto"/>
        <w:bottom w:val="none" w:sz="0" w:space="0" w:color="auto"/>
        <w:right w:val="none" w:sz="0" w:space="0" w:color="auto"/>
      </w:divBdr>
      <w:divsChild>
        <w:div w:id="2083135898">
          <w:marLeft w:val="0"/>
          <w:marRight w:val="0"/>
          <w:marTop w:val="0"/>
          <w:marBottom w:val="0"/>
          <w:divBdr>
            <w:top w:val="none" w:sz="0" w:space="0" w:color="auto"/>
            <w:left w:val="none" w:sz="0" w:space="0" w:color="auto"/>
            <w:bottom w:val="none" w:sz="0" w:space="0" w:color="auto"/>
            <w:right w:val="none" w:sz="0" w:space="0" w:color="auto"/>
          </w:divBdr>
          <w:divsChild>
            <w:div w:id="1425148718">
              <w:marLeft w:val="0"/>
              <w:marRight w:val="0"/>
              <w:marTop w:val="0"/>
              <w:marBottom w:val="0"/>
              <w:divBdr>
                <w:top w:val="none" w:sz="0" w:space="0" w:color="auto"/>
                <w:left w:val="none" w:sz="0" w:space="0" w:color="auto"/>
                <w:bottom w:val="none" w:sz="0" w:space="0" w:color="auto"/>
                <w:right w:val="none" w:sz="0" w:space="0" w:color="auto"/>
              </w:divBdr>
              <w:divsChild>
                <w:div w:id="2039039607">
                  <w:marLeft w:val="0"/>
                  <w:marRight w:val="0"/>
                  <w:marTop w:val="0"/>
                  <w:marBottom w:val="0"/>
                  <w:divBdr>
                    <w:top w:val="none" w:sz="0" w:space="0" w:color="auto"/>
                    <w:left w:val="none" w:sz="0" w:space="0" w:color="auto"/>
                    <w:bottom w:val="none" w:sz="0" w:space="0" w:color="auto"/>
                    <w:right w:val="none" w:sz="0" w:space="0" w:color="auto"/>
                  </w:divBdr>
                  <w:divsChild>
                    <w:div w:id="1886405893">
                      <w:marLeft w:val="0"/>
                      <w:marRight w:val="0"/>
                      <w:marTop w:val="0"/>
                      <w:marBottom w:val="0"/>
                      <w:divBdr>
                        <w:top w:val="none" w:sz="0" w:space="0" w:color="auto"/>
                        <w:left w:val="none" w:sz="0" w:space="0" w:color="auto"/>
                        <w:bottom w:val="none" w:sz="0" w:space="0" w:color="auto"/>
                        <w:right w:val="none" w:sz="0" w:space="0" w:color="auto"/>
                      </w:divBdr>
                      <w:divsChild>
                        <w:div w:id="257908208">
                          <w:marLeft w:val="0"/>
                          <w:marRight w:val="0"/>
                          <w:marTop w:val="0"/>
                          <w:marBottom w:val="0"/>
                          <w:divBdr>
                            <w:top w:val="none" w:sz="0" w:space="0" w:color="auto"/>
                            <w:left w:val="none" w:sz="0" w:space="0" w:color="auto"/>
                            <w:bottom w:val="none" w:sz="0" w:space="0" w:color="auto"/>
                            <w:right w:val="none" w:sz="0" w:space="0" w:color="auto"/>
                          </w:divBdr>
                          <w:divsChild>
                            <w:div w:id="1134381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2574573">
      <w:bodyDiv w:val="1"/>
      <w:marLeft w:val="0"/>
      <w:marRight w:val="0"/>
      <w:marTop w:val="0"/>
      <w:marBottom w:val="0"/>
      <w:divBdr>
        <w:top w:val="none" w:sz="0" w:space="0" w:color="auto"/>
        <w:left w:val="none" w:sz="0" w:space="0" w:color="auto"/>
        <w:bottom w:val="none" w:sz="0" w:space="0" w:color="auto"/>
        <w:right w:val="none" w:sz="0" w:space="0" w:color="auto"/>
      </w:divBdr>
      <w:divsChild>
        <w:div w:id="96408051">
          <w:marLeft w:val="0"/>
          <w:marRight w:val="0"/>
          <w:marTop w:val="0"/>
          <w:marBottom w:val="0"/>
          <w:divBdr>
            <w:top w:val="none" w:sz="0" w:space="0" w:color="auto"/>
            <w:left w:val="none" w:sz="0" w:space="0" w:color="auto"/>
            <w:bottom w:val="none" w:sz="0" w:space="0" w:color="auto"/>
            <w:right w:val="none" w:sz="0" w:space="0" w:color="auto"/>
          </w:divBdr>
          <w:divsChild>
            <w:div w:id="70740719">
              <w:marLeft w:val="0"/>
              <w:marRight w:val="0"/>
              <w:marTop w:val="0"/>
              <w:marBottom w:val="0"/>
              <w:divBdr>
                <w:top w:val="none" w:sz="0" w:space="0" w:color="auto"/>
                <w:left w:val="none" w:sz="0" w:space="0" w:color="auto"/>
                <w:bottom w:val="none" w:sz="0" w:space="0" w:color="auto"/>
                <w:right w:val="none" w:sz="0" w:space="0" w:color="auto"/>
              </w:divBdr>
              <w:divsChild>
                <w:div w:id="1876112701">
                  <w:marLeft w:val="0"/>
                  <w:marRight w:val="0"/>
                  <w:marTop w:val="0"/>
                  <w:marBottom w:val="0"/>
                  <w:divBdr>
                    <w:top w:val="none" w:sz="0" w:space="0" w:color="auto"/>
                    <w:left w:val="none" w:sz="0" w:space="0" w:color="auto"/>
                    <w:bottom w:val="none" w:sz="0" w:space="0" w:color="auto"/>
                    <w:right w:val="none" w:sz="0" w:space="0" w:color="auto"/>
                  </w:divBdr>
                  <w:divsChild>
                    <w:div w:id="2025548920">
                      <w:marLeft w:val="0"/>
                      <w:marRight w:val="0"/>
                      <w:marTop w:val="0"/>
                      <w:marBottom w:val="0"/>
                      <w:divBdr>
                        <w:top w:val="none" w:sz="0" w:space="0" w:color="auto"/>
                        <w:left w:val="none" w:sz="0" w:space="0" w:color="auto"/>
                        <w:bottom w:val="none" w:sz="0" w:space="0" w:color="auto"/>
                        <w:right w:val="none" w:sz="0" w:space="0" w:color="auto"/>
                      </w:divBdr>
                      <w:divsChild>
                        <w:div w:id="1406032065">
                          <w:marLeft w:val="0"/>
                          <w:marRight w:val="0"/>
                          <w:marTop w:val="0"/>
                          <w:marBottom w:val="0"/>
                          <w:divBdr>
                            <w:top w:val="none" w:sz="0" w:space="0" w:color="auto"/>
                            <w:left w:val="none" w:sz="0" w:space="0" w:color="auto"/>
                            <w:bottom w:val="none" w:sz="0" w:space="0" w:color="auto"/>
                            <w:right w:val="none" w:sz="0" w:space="0" w:color="auto"/>
                          </w:divBdr>
                          <w:divsChild>
                            <w:div w:id="1801991020">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299852">
      <w:bodyDiv w:val="1"/>
      <w:marLeft w:val="0"/>
      <w:marRight w:val="0"/>
      <w:marTop w:val="0"/>
      <w:marBottom w:val="0"/>
      <w:divBdr>
        <w:top w:val="none" w:sz="0" w:space="0" w:color="auto"/>
        <w:left w:val="none" w:sz="0" w:space="0" w:color="auto"/>
        <w:bottom w:val="none" w:sz="0" w:space="0" w:color="auto"/>
        <w:right w:val="none" w:sz="0" w:space="0" w:color="auto"/>
      </w:divBdr>
    </w:div>
    <w:div w:id="1056203118">
      <w:bodyDiv w:val="1"/>
      <w:marLeft w:val="0"/>
      <w:marRight w:val="0"/>
      <w:marTop w:val="0"/>
      <w:marBottom w:val="0"/>
      <w:divBdr>
        <w:top w:val="none" w:sz="0" w:space="0" w:color="auto"/>
        <w:left w:val="none" w:sz="0" w:space="0" w:color="auto"/>
        <w:bottom w:val="none" w:sz="0" w:space="0" w:color="auto"/>
        <w:right w:val="none" w:sz="0" w:space="0" w:color="auto"/>
      </w:divBdr>
    </w:div>
    <w:div w:id="1058357570">
      <w:bodyDiv w:val="1"/>
      <w:marLeft w:val="0"/>
      <w:marRight w:val="0"/>
      <w:marTop w:val="0"/>
      <w:marBottom w:val="0"/>
      <w:divBdr>
        <w:top w:val="none" w:sz="0" w:space="0" w:color="auto"/>
        <w:left w:val="none" w:sz="0" w:space="0" w:color="auto"/>
        <w:bottom w:val="none" w:sz="0" w:space="0" w:color="auto"/>
        <w:right w:val="none" w:sz="0" w:space="0" w:color="auto"/>
      </w:divBdr>
    </w:div>
    <w:div w:id="1085883325">
      <w:bodyDiv w:val="1"/>
      <w:marLeft w:val="0"/>
      <w:marRight w:val="0"/>
      <w:marTop w:val="30"/>
      <w:marBottom w:val="750"/>
      <w:divBdr>
        <w:top w:val="none" w:sz="0" w:space="0" w:color="auto"/>
        <w:left w:val="none" w:sz="0" w:space="0" w:color="auto"/>
        <w:bottom w:val="none" w:sz="0" w:space="0" w:color="auto"/>
        <w:right w:val="none" w:sz="0" w:space="0" w:color="auto"/>
      </w:divBdr>
      <w:divsChild>
        <w:div w:id="1035959715">
          <w:marLeft w:val="0"/>
          <w:marRight w:val="0"/>
          <w:marTop w:val="0"/>
          <w:marBottom w:val="0"/>
          <w:divBdr>
            <w:top w:val="none" w:sz="0" w:space="0" w:color="auto"/>
            <w:left w:val="none" w:sz="0" w:space="0" w:color="auto"/>
            <w:bottom w:val="none" w:sz="0" w:space="0" w:color="auto"/>
            <w:right w:val="none" w:sz="0" w:space="0" w:color="auto"/>
          </w:divBdr>
        </w:div>
      </w:divsChild>
    </w:div>
    <w:div w:id="1221940518">
      <w:bodyDiv w:val="1"/>
      <w:marLeft w:val="0"/>
      <w:marRight w:val="0"/>
      <w:marTop w:val="0"/>
      <w:marBottom w:val="0"/>
      <w:divBdr>
        <w:top w:val="none" w:sz="0" w:space="0" w:color="auto"/>
        <w:left w:val="none" w:sz="0" w:space="0" w:color="auto"/>
        <w:bottom w:val="none" w:sz="0" w:space="0" w:color="auto"/>
        <w:right w:val="none" w:sz="0" w:space="0" w:color="auto"/>
      </w:divBdr>
      <w:divsChild>
        <w:div w:id="1180776350">
          <w:marLeft w:val="0"/>
          <w:marRight w:val="0"/>
          <w:marTop w:val="0"/>
          <w:marBottom w:val="0"/>
          <w:divBdr>
            <w:top w:val="none" w:sz="0" w:space="0" w:color="auto"/>
            <w:left w:val="none" w:sz="0" w:space="0" w:color="auto"/>
            <w:bottom w:val="none" w:sz="0" w:space="0" w:color="auto"/>
            <w:right w:val="none" w:sz="0" w:space="0" w:color="auto"/>
          </w:divBdr>
          <w:divsChild>
            <w:div w:id="637611643">
              <w:marLeft w:val="0"/>
              <w:marRight w:val="0"/>
              <w:marTop w:val="0"/>
              <w:marBottom w:val="0"/>
              <w:divBdr>
                <w:top w:val="none" w:sz="0" w:space="0" w:color="auto"/>
                <w:left w:val="single" w:sz="6" w:space="0" w:color="E2E2E2"/>
                <w:bottom w:val="none" w:sz="0" w:space="0" w:color="auto"/>
                <w:right w:val="single" w:sz="6" w:space="0" w:color="E2E2E2"/>
              </w:divBdr>
              <w:divsChild>
                <w:div w:id="1825076160">
                  <w:marLeft w:val="0"/>
                  <w:marRight w:val="0"/>
                  <w:marTop w:val="0"/>
                  <w:marBottom w:val="0"/>
                  <w:divBdr>
                    <w:top w:val="none" w:sz="0" w:space="0" w:color="auto"/>
                    <w:left w:val="none" w:sz="0" w:space="0" w:color="auto"/>
                    <w:bottom w:val="none" w:sz="0" w:space="0" w:color="auto"/>
                    <w:right w:val="none" w:sz="0" w:space="0" w:color="auto"/>
                  </w:divBdr>
                  <w:divsChild>
                    <w:div w:id="56341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488404">
      <w:bodyDiv w:val="1"/>
      <w:marLeft w:val="0"/>
      <w:marRight w:val="0"/>
      <w:marTop w:val="0"/>
      <w:marBottom w:val="0"/>
      <w:divBdr>
        <w:top w:val="none" w:sz="0" w:space="0" w:color="auto"/>
        <w:left w:val="none" w:sz="0" w:space="0" w:color="auto"/>
        <w:bottom w:val="none" w:sz="0" w:space="0" w:color="auto"/>
        <w:right w:val="none" w:sz="0" w:space="0" w:color="auto"/>
      </w:divBdr>
    </w:div>
    <w:div w:id="1482580516">
      <w:bodyDiv w:val="1"/>
      <w:marLeft w:val="0"/>
      <w:marRight w:val="0"/>
      <w:marTop w:val="0"/>
      <w:marBottom w:val="0"/>
      <w:divBdr>
        <w:top w:val="none" w:sz="0" w:space="0" w:color="auto"/>
        <w:left w:val="none" w:sz="0" w:space="0" w:color="auto"/>
        <w:bottom w:val="none" w:sz="0" w:space="0" w:color="auto"/>
        <w:right w:val="none" w:sz="0" w:space="0" w:color="auto"/>
      </w:divBdr>
      <w:divsChild>
        <w:div w:id="224341154">
          <w:marLeft w:val="0"/>
          <w:marRight w:val="0"/>
          <w:marTop w:val="0"/>
          <w:marBottom w:val="0"/>
          <w:divBdr>
            <w:top w:val="none" w:sz="0" w:space="0" w:color="auto"/>
            <w:left w:val="none" w:sz="0" w:space="0" w:color="auto"/>
            <w:bottom w:val="none" w:sz="0" w:space="0" w:color="auto"/>
            <w:right w:val="none" w:sz="0" w:space="0" w:color="auto"/>
          </w:divBdr>
          <w:divsChild>
            <w:div w:id="1847669897">
              <w:marLeft w:val="0"/>
              <w:marRight w:val="0"/>
              <w:marTop w:val="0"/>
              <w:marBottom w:val="0"/>
              <w:divBdr>
                <w:top w:val="none" w:sz="0" w:space="0" w:color="auto"/>
                <w:left w:val="none" w:sz="0" w:space="0" w:color="auto"/>
                <w:bottom w:val="none" w:sz="0" w:space="0" w:color="auto"/>
                <w:right w:val="none" w:sz="0" w:space="0" w:color="auto"/>
              </w:divBdr>
              <w:divsChild>
                <w:div w:id="1013074728">
                  <w:marLeft w:val="0"/>
                  <w:marRight w:val="0"/>
                  <w:marTop w:val="0"/>
                  <w:marBottom w:val="0"/>
                  <w:divBdr>
                    <w:top w:val="none" w:sz="0" w:space="0" w:color="auto"/>
                    <w:left w:val="none" w:sz="0" w:space="0" w:color="auto"/>
                    <w:bottom w:val="none" w:sz="0" w:space="0" w:color="auto"/>
                    <w:right w:val="none" w:sz="0" w:space="0" w:color="auto"/>
                  </w:divBdr>
                  <w:divsChild>
                    <w:div w:id="134490396">
                      <w:marLeft w:val="0"/>
                      <w:marRight w:val="0"/>
                      <w:marTop w:val="0"/>
                      <w:marBottom w:val="0"/>
                      <w:divBdr>
                        <w:top w:val="none" w:sz="0" w:space="0" w:color="auto"/>
                        <w:left w:val="none" w:sz="0" w:space="0" w:color="auto"/>
                        <w:bottom w:val="none" w:sz="0" w:space="0" w:color="auto"/>
                        <w:right w:val="none" w:sz="0" w:space="0" w:color="auto"/>
                      </w:divBdr>
                      <w:divsChild>
                        <w:div w:id="233661721">
                          <w:marLeft w:val="0"/>
                          <w:marRight w:val="0"/>
                          <w:marTop w:val="0"/>
                          <w:marBottom w:val="0"/>
                          <w:divBdr>
                            <w:top w:val="none" w:sz="0" w:space="0" w:color="auto"/>
                            <w:left w:val="none" w:sz="0" w:space="0" w:color="auto"/>
                            <w:bottom w:val="none" w:sz="0" w:space="0" w:color="auto"/>
                            <w:right w:val="none" w:sz="0" w:space="0" w:color="auto"/>
                          </w:divBdr>
                          <w:divsChild>
                            <w:div w:id="14860113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6068284">
      <w:bodyDiv w:val="1"/>
      <w:marLeft w:val="0"/>
      <w:marRight w:val="0"/>
      <w:marTop w:val="0"/>
      <w:marBottom w:val="0"/>
      <w:divBdr>
        <w:top w:val="none" w:sz="0" w:space="0" w:color="auto"/>
        <w:left w:val="none" w:sz="0" w:space="0" w:color="auto"/>
        <w:bottom w:val="none" w:sz="0" w:space="0" w:color="auto"/>
        <w:right w:val="none" w:sz="0" w:space="0" w:color="auto"/>
      </w:divBdr>
      <w:divsChild>
        <w:div w:id="1628467861">
          <w:marLeft w:val="0"/>
          <w:marRight w:val="0"/>
          <w:marTop w:val="0"/>
          <w:marBottom w:val="0"/>
          <w:divBdr>
            <w:top w:val="none" w:sz="0" w:space="0" w:color="auto"/>
            <w:left w:val="none" w:sz="0" w:space="0" w:color="auto"/>
            <w:bottom w:val="none" w:sz="0" w:space="0" w:color="auto"/>
            <w:right w:val="none" w:sz="0" w:space="0" w:color="auto"/>
          </w:divBdr>
          <w:divsChild>
            <w:div w:id="392123724">
              <w:marLeft w:val="0"/>
              <w:marRight w:val="0"/>
              <w:marTop w:val="0"/>
              <w:marBottom w:val="0"/>
              <w:divBdr>
                <w:top w:val="none" w:sz="0" w:space="0" w:color="auto"/>
                <w:left w:val="none" w:sz="0" w:space="0" w:color="auto"/>
                <w:bottom w:val="none" w:sz="0" w:space="0" w:color="auto"/>
                <w:right w:val="none" w:sz="0" w:space="0" w:color="auto"/>
              </w:divBdr>
              <w:divsChild>
                <w:div w:id="1282420776">
                  <w:marLeft w:val="0"/>
                  <w:marRight w:val="0"/>
                  <w:marTop w:val="0"/>
                  <w:marBottom w:val="0"/>
                  <w:divBdr>
                    <w:top w:val="none" w:sz="0" w:space="0" w:color="auto"/>
                    <w:left w:val="none" w:sz="0" w:space="0" w:color="auto"/>
                    <w:bottom w:val="none" w:sz="0" w:space="0" w:color="auto"/>
                    <w:right w:val="none" w:sz="0" w:space="0" w:color="auto"/>
                  </w:divBdr>
                  <w:divsChild>
                    <w:div w:id="1931086654">
                      <w:marLeft w:val="0"/>
                      <w:marRight w:val="0"/>
                      <w:marTop w:val="0"/>
                      <w:marBottom w:val="0"/>
                      <w:divBdr>
                        <w:top w:val="none" w:sz="0" w:space="0" w:color="auto"/>
                        <w:left w:val="none" w:sz="0" w:space="0" w:color="auto"/>
                        <w:bottom w:val="none" w:sz="0" w:space="0" w:color="auto"/>
                        <w:right w:val="none" w:sz="0" w:space="0" w:color="auto"/>
                      </w:divBdr>
                      <w:divsChild>
                        <w:div w:id="1633291575">
                          <w:marLeft w:val="0"/>
                          <w:marRight w:val="0"/>
                          <w:marTop w:val="0"/>
                          <w:marBottom w:val="0"/>
                          <w:divBdr>
                            <w:top w:val="none" w:sz="0" w:space="0" w:color="auto"/>
                            <w:left w:val="none" w:sz="0" w:space="0" w:color="auto"/>
                            <w:bottom w:val="none" w:sz="0" w:space="0" w:color="auto"/>
                            <w:right w:val="none" w:sz="0" w:space="0" w:color="auto"/>
                          </w:divBdr>
                          <w:divsChild>
                            <w:div w:id="5321563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3842601">
      <w:bodyDiv w:val="1"/>
      <w:marLeft w:val="0"/>
      <w:marRight w:val="0"/>
      <w:marTop w:val="0"/>
      <w:marBottom w:val="0"/>
      <w:divBdr>
        <w:top w:val="none" w:sz="0" w:space="0" w:color="auto"/>
        <w:left w:val="none" w:sz="0" w:space="0" w:color="auto"/>
        <w:bottom w:val="none" w:sz="0" w:space="0" w:color="auto"/>
        <w:right w:val="none" w:sz="0" w:space="0" w:color="auto"/>
      </w:divBdr>
    </w:div>
    <w:div w:id="1843474764">
      <w:bodyDiv w:val="1"/>
      <w:marLeft w:val="0"/>
      <w:marRight w:val="0"/>
      <w:marTop w:val="0"/>
      <w:marBottom w:val="0"/>
      <w:divBdr>
        <w:top w:val="none" w:sz="0" w:space="0" w:color="auto"/>
        <w:left w:val="none" w:sz="0" w:space="0" w:color="auto"/>
        <w:bottom w:val="none" w:sz="0" w:space="0" w:color="auto"/>
        <w:right w:val="none" w:sz="0" w:space="0" w:color="auto"/>
      </w:divBdr>
    </w:div>
    <w:div w:id="1957128639">
      <w:bodyDiv w:val="1"/>
      <w:marLeft w:val="0"/>
      <w:marRight w:val="0"/>
      <w:marTop w:val="0"/>
      <w:marBottom w:val="0"/>
      <w:divBdr>
        <w:top w:val="none" w:sz="0" w:space="0" w:color="auto"/>
        <w:left w:val="none" w:sz="0" w:space="0" w:color="auto"/>
        <w:bottom w:val="none" w:sz="0" w:space="0" w:color="auto"/>
        <w:right w:val="none" w:sz="0" w:space="0" w:color="auto"/>
      </w:divBdr>
      <w:divsChild>
        <w:div w:id="1483280188">
          <w:marLeft w:val="0"/>
          <w:marRight w:val="0"/>
          <w:marTop w:val="0"/>
          <w:marBottom w:val="0"/>
          <w:divBdr>
            <w:top w:val="none" w:sz="0" w:space="0" w:color="auto"/>
            <w:left w:val="none" w:sz="0" w:space="0" w:color="auto"/>
            <w:bottom w:val="none" w:sz="0" w:space="0" w:color="auto"/>
            <w:right w:val="none" w:sz="0" w:space="0" w:color="auto"/>
          </w:divBdr>
          <w:divsChild>
            <w:div w:id="445195592">
              <w:marLeft w:val="0"/>
              <w:marRight w:val="0"/>
              <w:marTop w:val="0"/>
              <w:marBottom w:val="0"/>
              <w:divBdr>
                <w:top w:val="none" w:sz="0" w:space="0" w:color="auto"/>
                <w:left w:val="none" w:sz="0" w:space="0" w:color="auto"/>
                <w:bottom w:val="none" w:sz="0" w:space="0" w:color="auto"/>
                <w:right w:val="none" w:sz="0" w:space="0" w:color="auto"/>
              </w:divBdr>
              <w:divsChild>
                <w:div w:id="1027215635">
                  <w:marLeft w:val="0"/>
                  <w:marRight w:val="0"/>
                  <w:marTop w:val="0"/>
                  <w:marBottom w:val="0"/>
                  <w:divBdr>
                    <w:top w:val="none" w:sz="0" w:space="0" w:color="auto"/>
                    <w:left w:val="none" w:sz="0" w:space="0" w:color="auto"/>
                    <w:bottom w:val="none" w:sz="0" w:space="0" w:color="auto"/>
                    <w:right w:val="none" w:sz="0" w:space="0" w:color="auto"/>
                  </w:divBdr>
                  <w:divsChild>
                    <w:div w:id="703674283">
                      <w:marLeft w:val="0"/>
                      <w:marRight w:val="0"/>
                      <w:marTop w:val="0"/>
                      <w:marBottom w:val="0"/>
                      <w:divBdr>
                        <w:top w:val="none" w:sz="0" w:space="0" w:color="auto"/>
                        <w:left w:val="none" w:sz="0" w:space="0" w:color="auto"/>
                        <w:bottom w:val="none" w:sz="0" w:space="0" w:color="auto"/>
                        <w:right w:val="none" w:sz="0" w:space="0" w:color="auto"/>
                      </w:divBdr>
                      <w:divsChild>
                        <w:div w:id="771978896">
                          <w:marLeft w:val="0"/>
                          <w:marRight w:val="0"/>
                          <w:marTop w:val="0"/>
                          <w:marBottom w:val="0"/>
                          <w:divBdr>
                            <w:top w:val="none" w:sz="0" w:space="0" w:color="auto"/>
                            <w:left w:val="none" w:sz="0" w:space="0" w:color="auto"/>
                            <w:bottom w:val="none" w:sz="0" w:space="0" w:color="auto"/>
                            <w:right w:val="none" w:sz="0" w:space="0" w:color="auto"/>
                          </w:divBdr>
                          <w:divsChild>
                            <w:div w:id="804547469">
                              <w:marLeft w:val="0"/>
                              <w:marRight w:val="0"/>
                              <w:marTop w:val="0"/>
                              <w:marBottom w:val="0"/>
                              <w:divBdr>
                                <w:top w:val="none" w:sz="0" w:space="0" w:color="auto"/>
                                <w:left w:val="none" w:sz="0" w:space="0" w:color="auto"/>
                                <w:bottom w:val="none" w:sz="0" w:space="0" w:color="auto"/>
                                <w:right w:val="none" w:sz="0" w:space="0" w:color="auto"/>
                              </w:divBdr>
                              <w:divsChild>
                                <w:div w:id="900211218">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bls.gov/oes/home.htm" TargetMode="Externa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tsdr.landreuse@cdc.go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epw.senate.gov/rcra.pdf" TargetMode="External"/><Relationship Id="rId4" Type="http://schemas.microsoft.com/office/2007/relationships/stylesWithEffects" Target="stylesWithEffects.xml"/><Relationship Id="rId9" Type="http://schemas.openxmlformats.org/officeDocument/2006/relationships/hyperlink" Target="http://epw.senate.gov/cercla.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Uni16</b:Tag>
    <b:SourceType>InternetSite</b:SourceType>
    <b:Guid>{33E2244B-484F-456C-9426-776060D53BB5}</b:Guid>
    <b:Author>
      <b:Author>
        <b:Corporate>United States Department of Labor</b:Corporate>
      </b:Author>
    </b:Author>
    <b:Title>Occupational Employment Statistics</b:Title>
    <b:InternetSiteTitle>Bureau of Labor Statistics</b:InternetSiteTitle>
    <b:Year>2016</b:Year>
    <b:Month>May</b:Month>
    <b:URL>https://www.bls.gov/oes/current/oes_nat.htm</b:URL>
    <b:RefOrder>5</b:RefOrder>
  </b:Source>
  <b:Source>
    <b:Tag>Jac14</b:Tag>
    <b:SourceType>JournalArticle</b:SourceType>
    <b:Guid>{DBD3CC47-75E8-4FC8-9785-BB22B5D4BFCE}</b:Guid>
    <b:Title>Capacity building for evidence-based decision making in local health departments: scaling up an effective training approach</b:Title>
    <b:JournalName>Implementation Science, 9(1)1</b:JournalName>
    <b:Year>2014</b:Year>
    <b:Author>
      <b:Author>
        <b:NameList>
          <b:Person>
            <b:Last>Jacobs</b:Last>
            <b:Middle>A.</b:Middle>
            <b:First>J.</b:First>
          </b:Person>
          <b:Person>
            <b:Last>Duggan</b:Last>
            <b:First>K</b:First>
          </b:Person>
          <b:Person>
            <b:Last>Erwin</b:Last>
            <b:First>P</b:First>
          </b:Person>
          <b:Person>
            <b:Last>Borawski</b:Last>
            <b:First>E</b:First>
          </b:Person>
          <b:Person>
            <b:Last>Compton</b:Last>
            <b:First>J</b:First>
          </b:Person>
        </b:NameList>
      </b:Author>
    </b:Author>
    <b:RefOrder>1</b:RefOrder>
  </b:Source>
  <b:Source>
    <b:Tag>Par03</b:Tag>
    <b:SourceType>JournalArticle</b:SourceType>
    <b:Guid>{9E347ACA-0F66-4A94-88AE-430ECEF6D643}</b:Guid>
    <b:Title>Assessing the capacity of health departments to engage in community-based participatory public health.</b:Title>
    <b:JournalName>American Journal of Public Health, 93(3)</b:JournalName>
    <b:Year>2003</b:Year>
    <b:Pages>472-476</b:Pages>
    <b:Author>
      <b:Author>
        <b:NameList>
          <b:Person>
            <b:Last>Parker</b:Last>
            <b:First>E</b:First>
          </b:Person>
          <b:Person>
            <b:Last>Margolis</b:Last>
            <b:Middle>H</b:Middle>
            <b:First>L</b:First>
          </b:Person>
          <b:Person>
            <b:Last>Henrizuez-Roldan</b:Last>
            <b:First>C</b:First>
          </b:Person>
        </b:NameList>
      </b:Author>
    </b:Author>
    <b:RefOrder>2</b:RefOrder>
  </b:Source>
  <b:Source>
    <b:Tag>Rod14</b:Tag>
    <b:SourceType>JournalArticle</b:SourceType>
    <b:Guid>{D93916D5-ACCD-4E05-9485-A8C882D82A5C}</b:Guid>
    <b:Title>Local health department collaborative capacity to improve population health</b:Title>
    <b:JournalName>Frontiers in public health services &amp; systems research, 3(4)</b:JournalName>
    <b:Year>2014</b:Year>
    <b:Pages>7</b:Pages>
    <b:Author>
      <b:Author>
        <b:NameList>
          <b:Person>
            <b:Last>Rodriguez</b:Last>
            <b:Middle>P</b:Middle>
            <b:First>H</b:First>
          </b:Person>
          <b:Person>
            <b:Last>McCullough</b:Last>
            <b:First>J</b:First>
          </b:Person>
          <b:Person>
            <b:Last>Hsuan</b:Last>
            <b:First>C</b:First>
          </b:Person>
        </b:NameList>
      </b:Author>
    </b:Author>
    <b:RefOrder>3</b:RefOrder>
  </b:Source>
  <b:Source>
    <b:Tag>Nat162</b:Tag>
    <b:SourceType>Misc</b:SourceType>
    <b:Guid>{20DACF35-BD2F-4953-A43E-78A24A50799B}</b:Guid>
    <b:Title>Local Health Agency Capacity to Engage in Environmental Health and Land Reuse and Redevelopment</b:Title>
    <b:Year>2016</b:Year>
    <b:Month>June</b:Month>
    <b:Author>
      <b:Author>
        <b:Corporate>National Environmental Health Association</b:Corporate>
      </b:Author>
    </b:Author>
    <b:RefOrder>4</b:RefOrder>
  </b:Source>
</b:Sources>
</file>

<file path=customXml/itemProps1.xml><?xml version="1.0" encoding="utf-8"?>
<ds:datastoreItem xmlns:ds="http://schemas.openxmlformats.org/officeDocument/2006/customXml" ds:itemID="{4B307DB1-681C-40F7-8150-58682099E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4181</Words>
  <Characters>23837</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27963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 Tony (CDC/OD/OADS)</dc:creator>
  <cp:keywords/>
  <dc:description/>
  <cp:lastModifiedBy>SYSTEM</cp:lastModifiedBy>
  <cp:revision>2</cp:revision>
  <cp:lastPrinted>2018-05-21T17:03:00Z</cp:lastPrinted>
  <dcterms:created xsi:type="dcterms:W3CDTF">2019-03-22T18:47:00Z</dcterms:created>
  <dcterms:modified xsi:type="dcterms:W3CDTF">2019-03-22T18:47:00Z</dcterms:modified>
</cp:coreProperties>
</file>