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A0" w:rsidRDefault="00CD69A0" w:rsidP="00CD69A0">
      <w:pPr>
        <w:jc w:val="center"/>
      </w:pPr>
      <w:bookmarkStart w:id="0" w:name="_GoBack"/>
      <w:bookmarkEnd w:id="0"/>
      <w:r>
        <w:t>U.S. Food and Drug Administration</w:t>
      </w:r>
    </w:p>
    <w:p w:rsidR="00575D7E" w:rsidRDefault="00575D7E" w:rsidP="00CD69A0">
      <w:pPr>
        <w:jc w:val="center"/>
      </w:pPr>
    </w:p>
    <w:p w:rsidR="00EB7538" w:rsidRDefault="00CD69A0" w:rsidP="00CD69A0">
      <w:pPr>
        <w:jc w:val="center"/>
      </w:pPr>
      <w:r>
        <w:t>I</w:t>
      </w:r>
      <w:r w:rsidR="00EE450C" w:rsidRPr="00EE450C">
        <w:t>nfant Formula Requirements</w:t>
      </w:r>
      <w:r w:rsidR="00575D7E">
        <w:t xml:space="preserve"> Under the Federal Food,</w:t>
      </w:r>
    </w:p>
    <w:p w:rsidR="00575D7E" w:rsidRPr="009A1674" w:rsidRDefault="00575D7E" w:rsidP="00CD69A0">
      <w:pPr>
        <w:jc w:val="center"/>
      </w:pPr>
      <w:r>
        <w:t>Drug, and Cosmetic Act; and 21 CFR Parts 106 and 107</w:t>
      </w:r>
    </w:p>
    <w:p w:rsidR="00B23769" w:rsidRPr="009A1674" w:rsidRDefault="00B23769" w:rsidP="00CD69A0">
      <w:pPr>
        <w:jc w:val="center"/>
      </w:pPr>
    </w:p>
    <w:p w:rsidR="00CD69A0" w:rsidRDefault="00CD69A0" w:rsidP="00CD69A0">
      <w:pPr>
        <w:jc w:val="center"/>
      </w:pPr>
      <w:r>
        <w:t xml:space="preserve">OMB Control No. </w:t>
      </w:r>
      <w:r w:rsidR="00EB7538" w:rsidRPr="009A1674">
        <w:t>0910-</w:t>
      </w:r>
      <w:r w:rsidR="00EE450C">
        <w:t>0256</w:t>
      </w:r>
    </w:p>
    <w:p w:rsidR="00E15575" w:rsidRDefault="00E15575" w:rsidP="00CD69A0">
      <w:pPr>
        <w:jc w:val="center"/>
      </w:pPr>
    </w:p>
    <w:p w:rsidR="00CD69A0" w:rsidRDefault="00CD69A0" w:rsidP="00CD69A0">
      <w:pPr>
        <w:jc w:val="center"/>
      </w:pPr>
    </w:p>
    <w:p w:rsidR="00EB7538" w:rsidRDefault="00EB7538" w:rsidP="00575D7E">
      <w:pPr>
        <w:ind w:left="360"/>
      </w:pPr>
      <w:r w:rsidRPr="009A1674">
        <w:t>SUPPORTING STATEMENT</w:t>
      </w:r>
      <w:r w:rsidR="00CD69A0">
        <w:t xml:space="preserve"> </w:t>
      </w:r>
      <w:r w:rsidR="00CD69A0" w:rsidRPr="00CD69A0">
        <w:rPr>
          <w:b/>
        </w:rPr>
        <w:t>Part A:  Justification</w:t>
      </w:r>
    </w:p>
    <w:p w:rsidR="00E15575" w:rsidRPr="00E15575" w:rsidRDefault="00E15575" w:rsidP="00575D7E">
      <w:pPr>
        <w:ind w:left="360"/>
      </w:pPr>
    </w:p>
    <w:p w:rsidR="00810FF1" w:rsidRDefault="00810FF1" w:rsidP="00575D7E">
      <w:pPr>
        <w:ind w:left="360"/>
        <w:jc w:val="center"/>
        <w:rPr>
          <w:b/>
        </w:rPr>
      </w:pPr>
    </w:p>
    <w:p w:rsidR="007E6F4D" w:rsidRDefault="00810FF1" w:rsidP="00575D7E">
      <w:pPr>
        <w:ind w:left="360"/>
      </w:pPr>
      <w:r w:rsidRPr="007E6F4D">
        <w:rPr>
          <w:b/>
          <w:i/>
        </w:rPr>
        <w:t>Terms of Clearance:</w:t>
      </w:r>
      <w:r w:rsidR="00CD69A0">
        <w:t xml:space="preserve">  In its last approval </w:t>
      </w:r>
      <w:r w:rsidR="000279B7">
        <w:t xml:space="preserve">under the information collection </w:t>
      </w:r>
      <w:r w:rsidR="00CD69A0">
        <w:t xml:space="preserve">OMB instructed FDA to report findings regarding the deployment of </w:t>
      </w:r>
      <w:r w:rsidR="000279B7">
        <w:t>the collection instrument “</w:t>
      </w:r>
      <w:r w:rsidR="00EE450C" w:rsidRPr="00EE450C">
        <w:t>electronic Form FDA 3978</w:t>
      </w:r>
      <w:r w:rsidR="00CD69A0">
        <w:t>.</w:t>
      </w:r>
      <w:r w:rsidR="000279B7">
        <w:t>”</w:t>
      </w:r>
      <w:r w:rsidR="00CD69A0">
        <w:t xml:space="preserve">  We have </w:t>
      </w:r>
      <w:r w:rsidR="00036028">
        <w:t xml:space="preserve">discussed this </w:t>
      </w:r>
      <w:r w:rsidR="00CD69A0">
        <w:t xml:space="preserve">under </w:t>
      </w:r>
      <w:r w:rsidR="00CD69A0" w:rsidRPr="000279B7">
        <w:rPr>
          <w:i/>
        </w:rPr>
        <w:t>Question 8</w:t>
      </w:r>
      <w:r w:rsidR="00CD69A0">
        <w:t>, below.</w:t>
      </w:r>
    </w:p>
    <w:p w:rsidR="008B30AB" w:rsidRDefault="00EB7538" w:rsidP="00CD69A0">
      <w:pPr>
        <w:numPr>
          <w:ilvl w:val="0"/>
          <w:numId w:val="1"/>
        </w:numPr>
        <w:tabs>
          <w:tab w:val="clear" w:pos="720"/>
        </w:tabs>
        <w:spacing w:before="100" w:beforeAutospacing="1" w:after="100" w:afterAutospacing="1"/>
        <w:rPr>
          <w:u w:val="single"/>
        </w:rPr>
      </w:pPr>
      <w:r w:rsidRPr="002746DB">
        <w:rPr>
          <w:u w:val="single"/>
        </w:rPr>
        <w:t>Circumstances Making the Collection of Information Necessary</w:t>
      </w:r>
    </w:p>
    <w:p w:rsidR="00F03420" w:rsidRDefault="00CD69A0" w:rsidP="00CD69A0">
      <w:pPr>
        <w:spacing w:before="100" w:beforeAutospacing="1" w:after="100" w:afterAutospacing="1"/>
        <w:ind w:left="720"/>
      </w:pPr>
      <w:r>
        <w:t>This information collection was established to support Food and Drug Administration (FDA, u</w:t>
      </w:r>
      <w:r w:rsidR="005A5A57">
        <w:t xml:space="preserve">s or we) regulations.  </w:t>
      </w:r>
      <w:r w:rsidR="00A41F76" w:rsidRPr="00A41F76">
        <w:t xml:space="preserve">Statutory </w:t>
      </w:r>
      <w:r w:rsidR="004721B7">
        <w:t xml:space="preserve">provisions </w:t>
      </w:r>
      <w:r w:rsidR="00A41F76" w:rsidRPr="00A41F76">
        <w:t>for infant formula under the Federal Food, Drug, and Cosmetic Act (the FD&amp;C Act</w:t>
      </w:r>
      <w:r w:rsidR="00E00641">
        <w:t>, the act</w:t>
      </w:r>
      <w:r w:rsidR="00A41F76" w:rsidRPr="00A41F76">
        <w:t xml:space="preserve">) </w:t>
      </w:r>
      <w:r w:rsidR="00E00641">
        <w:t xml:space="preserve">were </w:t>
      </w:r>
      <w:r w:rsidR="005A5A57">
        <w:t xml:space="preserve">enacted </w:t>
      </w:r>
      <w:r w:rsidR="00A41F76" w:rsidRPr="00A41F76">
        <w:t>t</w:t>
      </w:r>
      <w:r w:rsidR="00E00641">
        <w:t>o protect the health of infants</w:t>
      </w:r>
      <w:r w:rsidR="00F26621">
        <w:t xml:space="preserve"> and include specific </w:t>
      </w:r>
      <w:r w:rsidR="000279B7">
        <w:t xml:space="preserve">current </w:t>
      </w:r>
      <w:r w:rsidR="00F26621">
        <w:t>good manufacturing practice (</w:t>
      </w:r>
      <w:r w:rsidR="000279B7">
        <w:t>C</w:t>
      </w:r>
      <w:r w:rsidR="00F26621">
        <w:t>GMP) and labeling requirements.  S</w:t>
      </w:r>
      <w:r w:rsidR="00A41F76" w:rsidRPr="00A41F76">
        <w:t xml:space="preserve">ection 412 of the FD&amp;C Act (21 U.S.C. 350a) requires </w:t>
      </w:r>
      <w:r w:rsidR="00A41F76">
        <w:t xml:space="preserve">manufacturers of infant formula to establish and adhere to quality control procedures, notify </w:t>
      </w:r>
      <w:r w:rsidR="005A5A57">
        <w:t xml:space="preserve">FDA </w:t>
      </w:r>
      <w:r w:rsidR="00A41F76">
        <w:t xml:space="preserve">when a batch of infant formula </w:t>
      </w:r>
      <w:r w:rsidR="00387965">
        <w:t xml:space="preserve">that </w:t>
      </w:r>
      <w:r w:rsidR="00A41F76">
        <w:t>has left</w:t>
      </w:r>
      <w:r w:rsidR="00387965">
        <w:t xml:space="preserve"> its</w:t>
      </w:r>
      <w:r w:rsidR="00A41F76">
        <w:t xml:space="preserve"> control may be adulterated or misbranded, and keep distribution</w:t>
      </w:r>
      <w:r w:rsidR="005A5A57">
        <w:t xml:space="preserve"> records</w:t>
      </w:r>
      <w:r w:rsidR="00F03420">
        <w:t>.  Notification requirements are also included in the regulations regarding the</w:t>
      </w:r>
      <w:r w:rsidR="004721B7">
        <w:t xml:space="preserve"> </w:t>
      </w:r>
      <w:r w:rsidR="005A5A57" w:rsidRPr="00807D16">
        <w:t>quantitative fo</w:t>
      </w:r>
      <w:r w:rsidR="004721B7">
        <w:t>rmulation of the infant formula;</w:t>
      </w:r>
      <w:r w:rsidR="005A5A57" w:rsidRPr="00807D16">
        <w:t xml:space="preserve"> a description of any reform</w:t>
      </w:r>
      <w:r w:rsidR="00F03420">
        <w:t>ulation or change in processing;</w:t>
      </w:r>
      <w:r w:rsidR="005A5A57" w:rsidRPr="00807D16">
        <w:t xml:space="preserve"> assurances that the formula will not be marketed until </w:t>
      </w:r>
      <w:r w:rsidR="00F26621">
        <w:t xml:space="preserve">regulatory </w:t>
      </w:r>
      <w:r w:rsidR="005A5A57" w:rsidRPr="00807D16">
        <w:t xml:space="preserve">requirements </w:t>
      </w:r>
      <w:r w:rsidR="00F26621">
        <w:t xml:space="preserve">are met </w:t>
      </w:r>
      <w:r w:rsidR="005A5A57" w:rsidRPr="00807D16">
        <w:t xml:space="preserve">as demonstrated by </w:t>
      </w:r>
      <w:r w:rsidR="00F26621">
        <w:t xml:space="preserve">specific </w:t>
      </w:r>
      <w:r w:rsidR="005A5A57" w:rsidRPr="00807D16">
        <w:t>testing</w:t>
      </w:r>
      <w:r w:rsidR="00F26621">
        <w:t xml:space="preserve">; </w:t>
      </w:r>
      <w:r w:rsidR="005A5A57" w:rsidRPr="00807D16">
        <w:t xml:space="preserve">and assurances that </w:t>
      </w:r>
      <w:r w:rsidR="00F26621">
        <w:t xml:space="preserve">manufacturing </w:t>
      </w:r>
      <w:r w:rsidR="005A5A57" w:rsidRPr="00807D16">
        <w:t>process</w:t>
      </w:r>
      <w:r w:rsidR="00F26621">
        <w:t>es comply with the regulations</w:t>
      </w:r>
      <w:r w:rsidR="00F03420">
        <w:t xml:space="preserve">.  </w:t>
      </w:r>
      <w:r w:rsidR="005A5A57">
        <w:t xml:space="preserve">The regulations are codified </w:t>
      </w:r>
      <w:r w:rsidR="00F03420">
        <w:t xml:space="preserve">at </w:t>
      </w:r>
      <w:r w:rsidR="005A5A57">
        <w:t xml:space="preserve">21 CFR </w:t>
      </w:r>
      <w:r w:rsidR="00F03420">
        <w:t xml:space="preserve">Part 106:  </w:t>
      </w:r>
      <w:r w:rsidR="00F03420" w:rsidRPr="00F03420">
        <w:rPr>
          <w:i/>
        </w:rPr>
        <w:t>Infant Formula Requirements Pertaining to Current Good Manufacturing Practice, Quality Control Procedures, Quality Factors, Records and Reports, and Notifications</w:t>
      </w:r>
      <w:r w:rsidR="00F03420">
        <w:t xml:space="preserve">; and 21 CFR Part 107: </w:t>
      </w:r>
      <w:r w:rsidR="00F03420" w:rsidRPr="00F03420">
        <w:rPr>
          <w:i/>
        </w:rPr>
        <w:t>Infant Formula</w:t>
      </w:r>
      <w:r w:rsidR="00F03420">
        <w:t>.</w:t>
      </w:r>
    </w:p>
    <w:p w:rsidR="00360C84" w:rsidRDefault="00F03420" w:rsidP="00CD69A0">
      <w:pPr>
        <w:spacing w:before="100" w:beforeAutospacing="1" w:after="100" w:afterAutospacing="1"/>
        <w:ind w:left="720"/>
      </w:pPr>
      <w:r>
        <w:t xml:space="preserve">To assist respondents </w:t>
      </w:r>
      <w:r w:rsidR="007E6F4D">
        <w:t xml:space="preserve">with the </w:t>
      </w:r>
      <w:r>
        <w:t xml:space="preserve">requisite </w:t>
      </w:r>
      <w:r w:rsidR="007E6F4D">
        <w:t xml:space="preserve">reporting </w:t>
      </w:r>
      <w:r w:rsidR="000279B7">
        <w:t xml:space="preserve">and notification </w:t>
      </w:r>
      <w:r w:rsidR="007E6F4D">
        <w:t xml:space="preserve">requirements </w:t>
      </w:r>
      <w:r>
        <w:t xml:space="preserve">we </w:t>
      </w:r>
      <w:r w:rsidR="00A41F76">
        <w:t xml:space="preserve">developed </w:t>
      </w:r>
      <w:r>
        <w:t xml:space="preserve">electronic </w:t>
      </w:r>
      <w:r w:rsidR="007E6F4D">
        <w:t>Form FDA 3978, which serves as a reporting portal or Infant Formula Tracking System (IFTrack).  M</w:t>
      </w:r>
      <w:r w:rsidR="00A41F76">
        <w:t xml:space="preserve">anufacturers </w:t>
      </w:r>
      <w:r w:rsidR="007E6F4D">
        <w:t xml:space="preserve">of infant formula use the collection instrument to </w:t>
      </w:r>
      <w:r w:rsidR="00A41F76">
        <w:t xml:space="preserve">submit reports and notifications in a standardized format to FDA. </w:t>
      </w:r>
      <w:r w:rsidR="0047156E">
        <w:t xml:space="preserve"> </w:t>
      </w:r>
      <w:r w:rsidR="00A41F76">
        <w:t>Manufacturers that prefer to submit paper submissions in a format of their own choosing still have the option to do so</w:t>
      </w:r>
      <w:r w:rsidR="007E6F4D">
        <w:t xml:space="preserve">.  By using Form FDA 3978 however, </w:t>
      </w:r>
      <w:r w:rsidR="00A41F76">
        <w:t>respondent</w:t>
      </w:r>
      <w:r w:rsidR="007E6F4D">
        <w:t xml:space="preserve">s are prompted to </w:t>
      </w:r>
      <w:r w:rsidR="00A41F76">
        <w:t>organize submission</w:t>
      </w:r>
      <w:r w:rsidR="007E6F4D">
        <w:t xml:space="preserve">s in a standardized format that ensures the collection of </w:t>
      </w:r>
      <w:r w:rsidR="00A41F76">
        <w:t xml:space="preserve">only </w:t>
      </w:r>
      <w:r w:rsidR="007E6F4D">
        <w:t xml:space="preserve">that </w:t>
      </w:r>
      <w:r w:rsidR="00A41F76">
        <w:t xml:space="preserve">information needed for review. </w:t>
      </w:r>
      <w:r w:rsidR="0047156E">
        <w:t xml:space="preserve"> </w:t>
      </w:r>
      <w:r w:rsidR="000279B7">
        <w:t>S</w:t>
      </w:r>
      <w:r w:rsidR="00A41F76">
        <w:t xml:space="preserve">creenshots of </w:t>
      </w:r>
      <w:r w:rsidR="000279B7">
        <w:t xml:space="preserve">draft </w:t>
      </w:r>
      <w:r w:rsidR="00A41F76">
        <w:t xml:space="preserve">Form FDA 3978 and instructions </w:t>
      </w:r>
      <w:r w:rsidR="007E6F4D">
        <w:t xml:space="preserve">remain </w:t>
      </w:r>
      <w:r w:rsidR="00A41F76">
        <w:t xml:space="preserve">available for comment at </w:t>
      </w:r>
      <w:hyperlink r:id="rId8" w:history="1">
        <w:r w:rsidR="00A41F76" w:rsidRPr="00A41F76">
          <w:rPr>
            <w:rStyle w:val="Hyperlink"/>
          </w:rPr>
          <w:t>http://www.fda.gov/Food/GuidanceRegulation/FoodFacilityRegistration/InfantFormula/default.htm.</w:t>
        </w:r>
      </w:hyperlink>
    </w:p>
    <w:p w:rsidR="00584583" w:rsidRDefault="007E6F4D" w:rsidP="00CD69A0">
      <w:pPr>
        <w:spacing w:before="100" w:beforeAutospacing="1" w:after="100" w:afterAutospacing="1"/>
        <w:ind w:left="720"/>
      </w:pPr>
      <w:r>
        <w:lastRenderedPageBreak/>
        <w:t>We therefore request extension of OMB approval for the information collection provisions under 21 CFR Parts 106 and 107, and associated Form FDA 3978.</w:t>
      </w:r>
    </w:p>
    <w:p w:rsidR="008B30AB" w:rsidRPr="002746DB" w:rsidRDefault="00EB7538" w:rsidP="00CD69A0">
      <w:pPr>
        <w:numPr>
          <w:ilvl w:val="0"/>
          <w:numId w:val="1"/>
        </w:numPr>
        <w:tabs>
          <w:tab w:val="clear" w:pos="720"/>
        </w:tabs>
        <w:spacing w:before="100" w:beforeAutospacing="1" w:after="100" w:afterAutospacing="1"/>
        <w:rPr>
          <w:u w:val="single"/>
        </w:rPr>
      </w:pPr>
      <w:r w:rsidRPr="002746DB">
        <w:rPr>
          <w:u w:val="single"/>
        </w:rPr>
        <w:t xml:space="preserve">Purpose and Use of the Information Collection </w:t>
      </w:r>
    </w:p>
    <w:p w:rsidR="00544138" w:rsidRDefault="00E15575" w:rsidP="00CD69A0">
      <w:pPr>
        <w:ind w:left="720"/>
      </w:pPr>
      <w:r>
        <w:t>We use the information collection to determine industry compliance with agency regulations.  The requirements implement public health protection provisions of the act applicable to infants</w:t>
      </w:r>
      <w:r w:rsidR="000279B7">
        <w:t xml:space="preserve"> and all infant formula</w:t>
      </w:r>
      <w:r>
        <w:t xml:space="preserve">.  Disclosures included in the </w:t>
      </w:r>
      <w:r w:rsidR="000A2407" w:rsidRPr="000A2407">
        <w:t xml:space="preserve">information </w:t>
      </w:r>
      <w:r>
        <w:t xml:space="preserve">collection are </w:t>
      </w:r>
      <w:r w:rsidR="000A2407" w:rsidRPr="000A2407">
        <w:t>used by consumers when purchasing, storing</w:t>
      </w:r>
      <w:r w:rsidR="000910BD">
        <w:t>,</w:t>
      </w:r>
      <w:r w:rsidR="000A2407" w:rsidRPr="000A2407">
        <w:t xml:space="preserve"> and preparing infant formula</w:t>
      </w:r>
      <w:r>
        <w:t xml:space="preserve"> to help ensure its safe use.</w:t>
      </w:r>
    </w:p>
    <w:p w:rsidR="000A2407" w:rsidRDefault="000A2407" w:rsidP="00CD69A0">
      <w:pPr>
        <w:ind w:left="720"/>
      </w:pPr>
    </w:p>
    <w:p w:rsidR="00CC2894" w:rsidRPr="000A2407" w:rsidRDefault="000A2407" w:rsidP="00CD69A0">
      <w:pPr>
        <w:ind w:left="720"/>
      </w:pPr>
      <w:r w:rsidRPr="000A2407">
        <w:rPr>
          <w:i/>
        </w:rPr>
        <w:t>Description of Respondents:</w:t>
      </w:r>
      <w:r w:rsidR="00E15575">
        <w:t xml:space="preserve">  Respondents to the</w:t>
      </w:r>
      <w:r w:rsidRPr="000A2407">
        <w:t xml:space="preserve"> information collection are manufacturers of infant formula.  Respondents are from the private sector (for-profit businesses).</w:t>
      </w:r>
    </w:p>
    <w:p w:rsidR="002746DB" w:rsidRPr="004C6979" w:rsidRDefault="00EB7538" w:rsidP="00CD69A0">
      <w:pPr>
        <w:numPr>
          <w:ilvl w:val="0"/>
          <w:numId w:val="1"/>
        </w:numPr>
        <w:tabs>
          <w:tab w:val="clear" w:pos="720"/>
        </w:tabs>
        <w:spacing w:before="100" w:beforeAutospacing="1" w:after="100" w:afterAutospacing="1"/>
        <w:ind w:right="-1440"/>
        <w:rPr>
          <w:u w:val="single"/>
        </w:rPr>
      </w:pPr>
      <w:r w:rsidRPr="004C6979">
        <w:rPr>
          <w:u w:val="single"/>
        </w:rPr>
        <w:t xml:space="preserve">Use of Improved Information Technology and Burden Reduction </w:t>
      </w:r>
    </w:p>
    <w:p w:rsidR="005C55C2" w:rsidRDefault="00E95E50" w:rsidP="00CD69A0">
      <w:pPr>
        <w:ind w:left="720"/>
      </w:pPr>
      <w:r>
        <w:t xml:space="preserve">There are few respondents to the information collection and we believe most all </w:t>
      </w:r>
      <w:r w:rsidR="00E15575">
        <w:t xml:space="preserve">will use </w:t>
      </w:r>
      <w:r w:rsidR="000A2407" w:rsidRPr="000A2407">
        <w:t xml:space="preserve">electronic means to fulfill the </w:t>
      </w:r>
      <w:r w:rsidR="00512F55">
        <w:t xml:space="preserve">reporting requirements.  </w:t>
      </w:r>
      <w:r>
        <w:t xml:space="preserve">Paper-based submissions are still accepted, however we think using Form FDA 3978 to satisfy the requirements will facilitate </w:t>
      </w:r>
      <w:r w:rsidR="00512F55">
        <w:t xml:space="preserve">both respondents’ submissions and our review.  </w:t>
      </w:r>
      <w:r>
        <w:t xml:space="preserve">In addition to Form FDA 3978, we maintain links on </w:t>
      </w:r>
      <w:r w:rsidR="00512F55">
        <w:t xml:space="preserve">the internet that provide </w:t>
      </w:r>
      <w:r>
        <w:t>infant formula guidance documents and regulatory information</w:t>
      </w:r>
      <w:r w:rsidR="00512F55">
        <w:t xml:space="preserve">.  The website is available at: </w:t>
      </w:r>
      <w:hyperlink r:id="rId9" w:history="1">
        <w:r w:rsidRPr="00894EE7">
          <w:rPr>
            <w:rStyle w:val="Hyperlink"/>
          </w:rPr>
          <w:t>https://www.fda.gov/food/guidanceregulation/guidancedocumentsregulatoryinformation/infantformula/default.htm</w:t>
        </w:r>
      </w:hyperlink>
      <w:r>
        <w:t xml:space="preserve">  </w:t>
      </w:r>
    </w:p>
    <w:p w:rsidR="002746DB" w:rsidRPr="002746DB" w:rsidRDefault="00EB7538" w:rsidP="00CD69A0">
      <w:pPr>
        <w:numPr>
          <w:ilvl w:val="0"/>
          <w:numId w:val="1"/>
        </w:numPr>
        <w:tabs>
          <w:tab w:val="clear" w:pos="720"/>
        </w:tabs>
        <w:spacing w:before="100" w:beforeAutospacing="1" w:after="100" w:afterAutospacing="1"/>
        <w:rPr>
          <w:u w:val="single"/>
        </w:rPr>
      </w:pPr>
      <w:r w:rsidRPr="002746DB">
        <w:rPr>
          <w:u w:val="single"/>
        </w:rPr>
        <w:t xml:space="preserve">Efforts to Identify Duplication and Use of Similar Information </w:t>
      </w:r>
    </w:p>
    <w:p w:rsidR="002746DB" w:rsidRDefault="00512F55" w:rsidP="00CD69A0">
      <w:pPr>
        <w:ind w:left="720"/>
      </w:pPr>
      <w:r>
        <w:t xml:space="preserve">We have reviewed our </w:t>
      </w:r>
      <w:r w:rsidR="00B33BAF">
        <w:t xml:space="preserve">active </w:t>
      </w:r>
      <w:r>
        <w:t>inventory and are unaware of duplicative information collection.</w:t>
      </w:r>
      <w:r w:rsidR="000279B7">
        <w:t xml:space="preserve">  </w:t>
      </w:r>
      <w:r w:rsidR="00036028">
        <w:t>Information collection provisions associated with i</w:t>
      </w:r>
      <w:r w:rsidR="000279B7">
        <w:t xml:space="preserve">nfant formula recall regulations under 21 CFR </w:t>
      </w:r>
      <w:r w:rsidR="00036028">
        <w:t>Part 107; Subpart E are approved under OMB Control No. 0910-0188.</w:t>
      </w:r>
    </w:p>
    <w:p w:rsidR="002746DB" w:rsidRPr="004C6979" w:rsidRDefault="00EB7538" w:rsidP="00CD69A0">
      <w:pPr>
        <w:numPr>
          <w:ilvl w:val="0"/>
          <w:numId w:val="1"/>
        </w:numPr>
        <w:tabs>
          <w:tab w:val="clear" w:pos="720"/>
        </w:tabs>
        <w:spacing w:before="100" w:beforeAutospacing="1" w:after="100" w:afterAutospacing="1"/>
        <w:rPr>
          <w:u w:val="single"/>
        </w:rPr>
      </w:pPr>
      <w:r w:rsidRPr="004C6979">
        <w:rPr>
          <w:u w:val="single"/>
        </w:rPr>
        <w:t>Impact on Small Businesses or Other Small Entities</w:t>
      </w:r>
    </w:p>
    <w:p w:rsidR="00CD77C3" w:rsidRPr="00B33BAF" w:rsidRDefault="00B33BAF" w:rsidP="00B33BAF">
      <w:pPr>
        <w:autoSpaceDE w:val="0"/>
        <w:autoSpaceDN w:val="0"/>
        <w:adjustRightInd w:val="0"/>
        <w:ind w:left="720"/>
        <w:rPr>
          <w:color w:val="000000"/>
        </w:rPr>
      </w:pPr>
      <w:r>
        <w:rPr>
          <w:color w:val="000000"/>
        </w:rPr>
        <w:t xml:space="preserve">We believe no undue burden is imposed on small </w:t>
      </w:r>
      <w:r w:rsidR="000279B7">
        <w:rPr>
          <w:color w:val="000000"/>
        </w:rPr>
        <w:t>entities</w:t>
      </w:r>
      <w:r>
        <w:rPr>
          <w:color w:val="000000"/>
        </w:rPr>
        <w:t>.  In addition to the resources referenced at Question 3, we assist s</w:t>
      </w:r>
      <w:r w:rsidR="000910BD">
        <w:rPr>
          <w:color w:val="000000"/>
        </w:rPr>
        <w:t>mall businesses in complying</w:t>
      </w:r>
      <w:r w:rsidR="0083454E">
        <w:rPr>
          <w:color w:val="000000"/>
        </w:rPr>
        <w:t xml:space="preserve"> </w:t>
      </w:r>
      <w:r w:rsidR="000910BD">
        <w:rPr>
          <w:color w:val="000000"/>
        </w:rPr>
        <w:t xml:space="preserve">with </w:t>
      </w:r>
      <w:r>
        <w:rPr>
          <w:color w:val="000000"/>
        </w:rPr>
        <w:t xml:space="preserve">our regulations </w:t>
      </w:r>
      <w:r w:rsidR="000910BD">
        <w:rPr>
          <w:color w:val="000000"/>
        </w:rPr>
        <w:t xml:space="preserve">through </w:t>
      </w:r>
      <w:r>
        <w:rPr>
          <w:color w:val="000000"/>
        </w:rPr>
        <w:t xml:space="preserve">small business representatives, and </w:t>
      </w:r>
      <w:r w:rsidR="000910BD">
        <w:rPr>
          <w:color w:val="000000"/>
        </w:rPr>
        <w:t>scientific and administr</w:t>
      </w:r>
      <w:r>
        <w:rPr>
          <w:color w:val="000000"/>
        </w:rPr>
        <w:t xml:space="preserve">ative staffs within the agency.  We also provide a </w:t>
      </w:r>
      <w:r w:rsidR="000910BD">
        <w:rPr>
          <w:color w:val="000000"/>
        </w:rPr>
        <w:t xml:space="preserve">Small Business Guide on </w:t>
      </w:r>
      <w:r>
        <w:rPr>
          <w:color w:val="000000"/>
        </w:rPr>
        <w:t xml:space="preserve">our </w:t>
      </w:r>
      <w:r w:rsidR="000910BD">
        <w:rPr>
          <w:color w:val="000000"/>
        </w:rPr>
        <w:t xml:space="preserve">website at </w:t>
      </w:r>
      <w:hyperlink r:id="rId10" w:history="1">
        <w:r w:rsidR="0083454E" w:rsidRPr="00ED7772">
          <w:rPr>
            <w:rStyle w:val="Hyperlink"/>
          </w:rPr>
          <w:t>http://www.fda.gov/oc/industry/</w:t>
        </w:r>
      </w:hyperlink>
      <w:r w:rsidR="000910BD">
        <w:rPr>
          <w:color w:val="000000"/>
        </w:rPr>
        <w:t>.</w:t>
      </w:r>
    </w:p>
    <w:p w:rsidR="00CD77C3" w:rsidRPr="004C6979" w:rsidRDefault="00EB7538" w:rsidP="00CD69A0">
      <w:pPr>
        <w:numPr>
          <w:ilvl w:val="0"/>
          <w:numId w:val="1"/>
        </w:numPr>
        <w:tabs>
          <w:tab w:val="clear" w:pos="720"/>
        </w:tabs>
        <w:spacing w:before="100" w:beforeAutospacing="1" w:after="100" w:afterAutospacing="1"/>
        <w:rPr>
          <w:u w:val="single"/>
        </w:rPr>
      </w:pPr>
      <w:r w:rsidRPr="004C6979">
        <w:rPr>
          <w:u w:val="single"/>
        </w:rPr>
        <w:t>Consequences of Collecting the Information Less Frequently</w:t>
      </w:r>
    </w:p>
    <w:p w:rsidR="00CD77C3" w:rsidRPr="000A2407" w:rsidRDefault="00B33BAF" w:rsidP="00CD69A0">
      <w:pPr>
        <w:ind w:left="720"/>
      </w:pPr>
      <w:r>
        <w:t xml:space="preserve">The information collection schedule is consistent with statutory requirements and occurs </w:t>
      </w:r>
      <w:r w:rsidR="000A2407" w:rsidRPr="000A2407">
        <w:t>on an occasional basis.</w:t>
      </w:r>
    </w:p>
    <w:p w:rsidR="00575D7E" w:rsidRDefault="00575D7E">
      <w:pPr>
        <w:rPr>
          <w:u w:val="single"/>
        </w:rPr>
      </w:pPr>
      <w:r>
        <w:rPr>
          <w:u w:val="single"/>
        </w:rPr>
        <w:br w:type="page"/>
      </w:r>
    </w:p>
    <w:p w:rsidR="00CD77C3" w:rsidRPr="004C6979" w:rsidRDefault="00EB7538" w:rsidP="00CD69A0">
      <w:pPr>
        <w:numPr>
          <w:ilvl w:val="0"/>
          <w:numId w:val="1"/>
        </w:numPr>
        <w:tabs>
          <w:tab w:val="clear" w:pos="720"/>
        </w:tabs>
        <w:spacing w:before="100" w:beforeAutospacing="1" w:after="100" w:afterAutospacing="1"/>
        <w:rPr>
          <w:u w:val="single"/>
        </w:rPr>
      </w:pPr>
      <w:r w:rsidRPr="004C6979">
        <w:rPr>
          <w:u w:val="single"/>
        </w:rPr>
        <w:lastRenderedPageBreak/>
        <w:t>Special Circumstances Relating to the Guidelines of 5 CFR 1320.5</w:t>
      </w:r>
    </w:p>
    <w:p w:rsidR="008108FA" w:rsidRDefault="000A2407" w:rsidP="00CD69A0">
      <w:pPr>
        <w:ind w:left="720"/>
      </w:pPr>
      <w:r w:rsidRPr="000A2407">
        <w:t>There are no special circumstances for this collection of information.</w:t>
      </w:r>
    </w:p>
    <w:p w:rsidR="00705086" w:rsidRPr="000A2407" w:rsidRDefault="00EB7538" w:rsidP="00CD69A0">
      <w:pPr>
        <w:numPr>
          <w:ilvl w:val="0"/>
          <w:numId w:val="1"/>
        </w:numPr>
        <w:tabs>
          <w:tab w:val="clear" w:pos="720"/>
        </w:tabs>
        <w:spacing w:before="100" w:beforeAutospacing="1" w:after="100" w:afterAutospacing="1"/>
        <w:rPr>
          <w:u w:val="single"/>
        </w:rPr>
      </w:pPr>
      <w:r w:rsidRPr="004C6979">
        <w:rPr>
          <w:u w:val="single"/>
        </w:rPr>
        <w:t>Comments in Response to the Federal Register Notice and Efforts to Consult Outside the Agency</w:t>
      </w:r>
    </w:p>
    <w:p w:rsidR="00905AD2" w:rsidRDefault="00705086" w:rsidP="00CD69A0">
      <w:pPr>
        <w:ind w:left="720"/>
      </w:pPr>
      <w:r w:rsidRPr="008B3A1D">
        <w:t xml:space="preserve">In accordance with 5 CFR 1320.8(d), </w:t>
      </w:r>
      <w:r w:rsidR="00B33BAF">
        <w:t xml:space="preserve">we published a notice </w:t>
      </w:r>
      <w:r w:rsidR="0083454E">
        <w:t xml:space="preserve">in the </w:t>
      </w:r>
      <w:r w:rsidR="00B33BAF" w:rsidRPr="00B33BAF">
        <w:rPr>
          <w:u w:val="single"/>
        </w:rPr>
        <w:t>Federal Register</w:t>
      </w:r>
      <w:r w:rsidR="00B33BAF">
        <w:t xml:space="preserve"> </w:t>
      </w:r>
      <w:r w:rsidR="0083454E" w:rsidRPr="008B3A1D">
        <w:t>of November 15, 2017 (82 FR 52927)</w:t>
      </w:r>
      <w:r w:rsidR="0083454E">
        <w:t xml:space="preserve">, </w:t>
      </w:r>
      <w:r w:rsidR="00B33BAF">
        <w:t xml:space="preserve">requesting </w:t>
      </w:r>
      <w:r w:rsidRPr="008B3A1D">
        <w:t>public comment</w:t>
      </w:r>
      <w:r w:rsidR="00B33BAF">
        <w:t xml:space="preserve"> for the information collection</w:t>
      </w:r>
      <w:r w:rsidRPr="008B3A1D">
        <w:t>.  No comments were rec</w:t>
      </w:r>
      <w:r w:rsidR="00B73ED6">
        <w:t>eived.</w:t>
      </w:r>
      <w:r w:rsidR="00B33BAF">
        <w:t xml:space="preserve">  In addition and as noted previously, there are few respondents to the information collection with whom we regularly engage.  </w:t>
      </w:r>
      <w:r w:rsidR="00686CD3" w:rsidRPr="00686CD3">
        <w:t>Since implementing the use of Form FDA 3978 we have received positive feedback from respondents through informal communications.  Previously, respondents to the collection complied with the regulations by submitting individualized reports either electronically or using traditional mail, and used freestyle formatting with regard to the information.  Currently, while most respondents utilize electronic Form FDA 3978 to report information to FDA, those respondents who export infant formula still utilize paper submissions such as registration information.  Because the regulations do not currently mandate electronic reporting, we will continue to accept these paper-based submissions.  Also, we continue to invite comment on suggested ways the collection instrument might be improved.</w:t>
      </w:r>
      <w:r w:rsidR="00905AD2">
        <w:t xml:space="preserve"> </w:t>
      </w:r>
    </w:p>
    <w:p w:rsidR="00CD77C3" w:rsidRPr="004C6979" w:rsidRDefault="00EB7538" w:rsidP="00CD69A0">
      <w:pPr>
        <w:numPr>
          <w:ilvl w:val="0"/>
          <w:numId w:val="1"/>
        </w:numPr>
        <w:tabs>
          <w:tab w:val="clear" w:pos="720"/>
        </w:tabs>
        <w:spacing w:before="100" w:beforeAutospacing="1" w:after="100" w:afterAutospacing="1"/>
        <w:rPr>
          <w:u w:val="single"/>
        </w:rPr>
      </w:pPr>
      <w:r w:rsidRPr="004C6979">
        <w:rPr>
          <w:u w:val="single"/>
        </w:rPr>
        <w:t>Explanation of Any Payment or Gift to Respondents</w:t>
      </w:r>
    </w:p>
    <w:p w:rsidR="00CD77C3" w:rsidRDefault="005C3B6A" w:rsidP="00CD69A0">
      <w:pPr>
        <w:ind w:left="720"/>
      </w:pPr>
      <w:r>
        <w:t>N</w:t>
      </w:r>
      <w:r w:rsidR="008B3A1D" w:rsidRPr="008B3A1D">
        <w:t xml:space="preserve">o payments or gifts </w:t>
      </w:r>
      <w:r>
        <w:t xml:space="preserve">are </w:t>
      </w:r>
      <w:r w:rsidR="008B3A1D" w:rsidRPr="008B3A1D">
        <w:t>associated with this collection of information.</w:t>
      </w:r>
    </w:p>
    <w:p w:rsidR="00CD77C3" w:rsidRPr="004C6979" w:rsidRDefault="00EB7538" w:rsidP="00CD69A0">
      <w:pPr>
        <w:numPr>
          <w:ilvl w:val="0"/>
          <w:numId w:val="1"/>
        </w:numPr>
        <w:tabs>
          <w:tab w:val="clear" w:pos="720"/>
        </w:tabs>
        <w:spacing w:before="100" w:beforeAutospacing="1" w:after="100" w:afterAutospacing="1"/>
        <w:rPr>
          <w:u w:val="single"/>
        </w:rPr>
      </w:pPr>
      <w:r w:rsidRPr="004C6979">
        <w:rPr>
          <w:u w:val="single"/>
        </w:rPr>
        <w:t>Assurance of Confidentiality Provided to Respondents</w:t>
      </w:r>
    </w:p>
    <w:p w:rsidR="00107885" w:rsidRDefault="008B3A1D" w:rsidP="00CD69A0">
      <w:pPr>
        <w:ind w:left="720"/>
      </w:pPr>
      <w:r w:rsidRPr="008B3A1D">
        <w:t xml:space="preserve">Information submitted to FDA under the infant formula regulations may contain trade secret and commercial confidential information.  Only information that is releasable under the agency’s regulations in 21 CFR part 20 would be released to the public.  This information is also safeguarded by Section 301(j) of the </w:t>
      </w:r>
      <w:r w:rsidR="0083454E">
        <w:t>FD&amp;C A</w:t>
      </w:r>
      <w:r w:rsidRPr="008B3A1D">
        <w:t>ct and would be protected from disclosure under the Freedom of Information Act (FOIA) under sections 552(a) and (b) (5 U.S.C. 552(a) and (b)).</w:t>
      </w: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Justification for Sensitive Questions</w:t>
      </w:r>
    </w:p>
    <w:p w:rsidR="004C6979" w:rsidRDefault="008B3A1D" w:rsidP="00CD69A0">
      <w:pPr>
        <w:ind w:left="720"/>
      </w:pPr>
      <w:r w:rsidRPr="008B3A1D">
        <w:t>This collection of information does not involve sensitive questions.</w:t>
      </w: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Estimates of Annualized Burden Hours and Costs</w:t>
      </w:r>
    </w:p>
    <w:p w:rsidR="00C276B2" w:rsidRDefault="00140F47" w:rsidP="00CD69A0">
      <w:pPr>
        <w:ind w:left="720"/>
      </w:pPr>
      <w:r>
        <w:t xml:space="preserve">These estimates are based on recent analyses in support of rulemaking to establish GMP requirements and the addition of selenium to the list of required nutrients and establish minimum and maximum levels in infant formula.  They are also based on our experience with the information collection to which there are few respondents.  </w:t>
      </w:r>
      <w:r w:rsidR="00C276B2">
        <w:t xml:space="preserve">We estimate the burden </w:t>
      </w:r>
      <w:r>
        <w:t xml:space="preserve">as </w:t>
      </w:r>
      <w:r w:rsidR="00C276B2">
        <w:t>follows:</w:t>
      </w:r>
    </w:p>
    <w:p w:rsidR="00C276B2" w:rsidRDefault="00C276B2" w:rsidP="00CD69A0">
      <w:pPr>
        <w:ind w:left="720"/>
      </w:pPr>
    </w:p>
    <w:p w:rsidR="00575D7E" w:rsidRDefault="00575D7E">
      <w:pPr>
        <w:rPr>
          <w:i/>
        </w:rPr>
      </w:pPr>
      <w:r>
        <w:rPr>
          <w:i/>
        </w:rPr>
        <w:br w:type="page"/>
      </w:r>
    </w:p>
    <w:p w:rsidR="00102543" w:rsidRPr="00575D7E" w:rsidRDefault="000F5AD5" w:rsidP="00575D7E">
      <w:pPr>
        <w:ind w:left="720"/>
        <w:rPr>
          <w:i/>
        </w:rPr>
      </w:pPr>
      <w:r>
        <w:rPr>
          <w:i/>
        </w:rPr>
        <w:tab/>
      </w:r>
      <w:r w:rsidR="008B0E29" w:rsidRPr="005C3B6A">
        <w:rPr>
          <w:i/>
        </w:rPr>
        <w:t xml:space="preserve">12 a. </w:t>
      </w:r>
      <w:r w:rsidR="00411D11" w:rsidRPr="005C3B6A">
        <w:rPr>
          <w:i/>
        </w:rPr>
        <w:t xml:space="preserve">Annualized </w:t>
      </w:r>
      <w:r w:rsidR="004C6979" w:rsidRPr="005C3B6A">
        <w:rPr>
          <w:i/>
        </w:rPr>
        <w:t>Hour Burden Estimate</w:t>
      </w:r>
    </w:p>
    <w:p w:rsidR="00575D7E" w:rsidRDefault="00575D7E"/>
    <w:p w:rsidR="00575D7E" w:rsidRPr="00575D7E" w:rsidRDefault="00C276B2" w:rsidP="00577ADC">
      <w:pPr>
        <w:pStyle w:val="NoSpacing"/>
        <w:jc w:val="center"/>
      </w:pPr>
      <w:r>
        <w:t>Table 1 – Estimated Annual Reporting Burden</w:t>
      </w:r>
      <w:r w:rsidRPr="00C276B2">
        <w:rPr>
          <w:vertAlign w:val="superscript"/>
        </w:rPr>
        <w:t>1</w:t>
      </w:r>
    </w:p>
    <w:tbl>
      <w:tblPr>
        <w:tblpPr w:leftFromText="180" w:rightFromText="180" w:vertAnchor="text" w:horzAnchor="page" w:tblpX="1780" w:tblpY="229"/>
        <w:tblW w:w="9270" w:type="dxa"/>
        <w:tblLayout w:type="fixed"/>
        <w:tblCellMar>
          <w:left w:w="101" w:type="dxa"/>
          <w:right w:w="101" w:type="dxa"/>
        </w:tblCellMar>
        <w:tblLook w:val="04A0" w:firstRow="1" w:lastRow="0" w:firstColumn="1" w:lastColumn="0" w:noHBand="0" w:noVBand="1"/>
      </w:tblPr>
      <w:tblGrid>
        <w:gridCol w:w="3330"/>
        <w:gridCol w:w="1350"/>
        <w:gridCol w:w="1440"/>
        <w:gridCol w:w="1170"/>
        <w:gridCol w:w="1170"/>
        <w:gridCol w:w="810"/>
      </w:tblGrid>
      <w:tr w:rsidR="00577ADC" w:rsidRPr="00575D7E" w:rsidTr="00577ADC">
        <w:trPr>
          <w:cantSplit/>
          <w:tblHeader/>
        </w:trPr>
        <w:tc>
          <w:tcPr>
            <w:tcW w:w="3330" w:type="dxa"/>
            <w:tcBorders>
              <w:top w:val="single" w:sz="4" w:space="0" w:color="auto"/>
              <w:left w:val="single" w:sz="6" w:space="0" w:color="auto"/>
              <w:bottom w:val="single" w:sz="6" w:space="0" w:color="auto"/>
              <w:right w:val="nil"/>
            </w:tcBorders>
            <w:shd w:val="clear" w:color="auto" w:fill="F2F2F2" w:themeFill="background1" w:themeFillShade="F2"/>
            <w:hideMark/>
          </w:tcPr>
          <w:p w:rsidR="00575D7E" w:rsidRPr="00575D7E" w:rsidRDefault="00575D7E" w:rsidP="00577ADC">
            <w:pPr>
              <w:pStyle w:val="NoSpacing"/>
              <w:jc w:val="center"/>
              <w:rPr>
                <w:sz w:val="22"/>
                <w:szCs w:val="22"/>
              </w:rPr>
            </w:pPr>
            <w:r w:rsidRPr="00575D7E">
              <w:rPr>
                <w:sz w:val="22"/>
                <w:szCs w:val="22"/>
              </w:rPr>
              <w:t>FD&amp;C Act or</w:t>
            </w:r>
          </w:p>
          <w:p w:rsidR="00575D7E" w:rsidRPr="00575D7E" w:rsidRDefault="00575D7E" w:rsidP="00577ADC">
            <w:pPr>
              <w:pStyle w:val="NoSpacing"/>
              <w:jc w:val="center"/>
              <w:rPr>
                <w:sz w:val="22"/>
                <w:szCs w:val="22"/>
              </w:rPr>
            </w:pPr>
            <w:r w:rsidRPr="00575D7E">
              <w:rPr>
                <w:sz w:val="22"/>
                <w:szCs w:val="22"/>
              </w:rPr>
              <w:t>21 CFR Parts 106 and 107</w:t>
            </w:r>
          </w:p>
        </w:tc>
        <w:tc>
          <w:tcPr>
            <w:tcW w:w="1350" w:type="dxa"/>
            <w:tcBorders>
              <w:top w:val="single" w:sz="4" w:space="0" w:color="auto"/>
              <w:left w:val="single" w:sz="6" w:space="0" w:color="auto"/>
              <w:bottom w:val="single" w:sz="6" w:space="0" w:color="auto"/>
              <w:right w:val="nil"/>
            </w:tcBorders>
            <w:shd w:val="clear" w:color="auto" w:fill="F2F2F2" w:themeFill="background1" w:themeFillShade="F2"/>
            <w:hideMark/>
          </w:tcPr>
          <w:p w:rsidR="00575D7E" w:rsidRPr="00575D7E" w:rsidRDefault="00575D7E" w:rsidP="00577ADC">
            <w:pPr>
              <w:pStyle w:val="NoSpacing"/>
              <w:jc w:val="center"/>
              <w:rPr>
                <w:sz w:val="22"/>
                <w:szCs w:val="22"/>
              </w:rPr>
            </w:pPr>
            <w:r>
              <w:rPr>
                <w:sz w:val="22"/>
                <w:szCs w:val="22"/>
              </w:rPr>
              <w:t xml:space="preserve">No. </w:t>
            </w:r>
            <w:r w:rsidRPr="00575D7E">
              <w:rPr>
                <w:sz w:val="22"/>
                <w:szCs w:val="22"/>
              </w:rPr>
              <w:t>of Respondents</w:t>
            </w:r>
          </w:p>
        </w:tc>
        <w:tc>
          <w:tcPr>
            <w:tcW w:w="1440" w:type="dxa"/>
            <w:tcBorders>
              <w:top w:val="single" w:sz="4" w:space="0" w:color="auto"/>
              <w:left w:val="single" w:sz="6" w:space="0" w:color="auto"/>
              <w:bottom w:val="single" w:sz="6" w:space="0" w:color="auto"/>
              <w:right w:val="nil"/>
            </w:tcBorders>
            <w:shd w:val="clear" w:color="auto" w:fill="F2F2F2" w:themeFill="background1" w:themeFillShade="F2"/>
            <w:hideMark/>
          </w:tcPr>
          <w:p w:rsidR="00575D7E" w:rsidRPr="00575D7E" w:rsidRDefault="00575D7E" w:rsidP="00577ADC">
            <w:pPr>
              <w:pStyle w:val="NoSpacing"/>
              <w:jc w:val="center"/>
              <w:rPr>
                <w:sz w:val="22"/>
                <w:szCs w:val="22"/>
              </w:rPr>
            </w:pPr>
            <w:r>
              <w:rPr>
                <w:sz w:val="22"/>
                <w:szCs w:val="22"/>
              </w:rPr>
              <w:t>No.</w:t>
            </w:r>
            <w:r w:rsidRPr="00575D7E">
              <w:rPr>
                <w:sz w:val="22"/>
                <w:szCs w:val="22"/>
              </w:rPr>
              <w:t xml:space="preserve"> of Responses per Respondent</w:t>
            </w:r>
          </w:p>
        </w:tc>
        <w:tc>
          <w:tcPr>
            <w:tcW w:w="1170" w:type="dxa"/>
            <w:tcBorders>
              <w:top w:val="single" w:sz="4" w:space="0" w:color="auto"/>
              <w:left w:val="single" w:sz="6" w:space="0" w:color="auto"/>
              <w:bottom w:val="single" w:sz="6" w:space="0" w:color="auto"/>
              <w:right w:val="nil"/>
            </w:tcBorders>
            <w:shd w:val="clear" w:color="auto" w:fill="F2F2F2" w:themeFill="background1" w:themeFillShade="F2"/>
            <w:hideMark/>
          </w:tcPr>
          <w:p w:rsidR="00575D7E" w:rsidRPr="00575D7E" w:rsidRDefault="00575D7E" w:rsidP="00577ADC">
            <w:pPr>
              <w:pStyle w:val="NoSpacing"/>
              <w:jc w:val="center"/>
              <w:rPr>
                <w:sz w:val="22"/>
                <w:szCs w:val="22"/>
              </w:rPr>
            </w:pPr>
            <w:r w:rsidRPr="00575D7E">
              <w:rPr>
                <w:sz w:val="22"/>
                <w:szCs w:val="22"/>
              </w:rPr>
              <w:t>Total Annual Responses</w:t>
            </w:r>
          </w:p>
        </w:tc>
        <w:tc>
          <w:tcPr>
            <w:tcW w:w="1170" w:type="dxa"/>
            <w:tcBorders>
              <w:top w:val="single" w:sz="4" w:space="0" w:color="auto"/>
              <w:left w:val="single" w:sz="6" w:space="0" w:color="auto"/>
              <w:bottom w:val="single" w:sz="6" w:space="0" w:color="auto"/>
              <w:right w:val="nil"/>
            </w:tcBorders>
            <w:shd w:val="clear" w:color="auto" w:fill="F2F2F2" w:themeFill="background1" w:themeFillShade="F2"/>
            <w:hideMark/>
          </w:tcPr>
          <w:p w:rsidR="00575D7E" w:rsidRPr="00575D7E" w:rsidRDefault="00575D7E" w:rsidP="00577ADC">
            <w:pPr>
              <w:pStyle w:val="NoSpacing"/>
              <w:jc w:val="center"/>
              <w:rPr>
                <w:sz w:val="22"/>
                <w:szCs w:val="22"/>
              </w:rPr>
            </w:pPr>
            <w:r>
              <w:rPr>
                <w:sz w:val="22"/>
                <w:szCs w:val="22"/>
              </w:rPr>
              <w:t>Avg.</w:t>
            </w:r>
            <w:r w:rsidRPr="00575D7E">
              <w:rPr>
                <w:sz w:val="22"/>
                <w:szCs w:val="22"/>
              </w:rPr>
              <w:t xml:space="preserve"> Burden per Response</w:t>
            </w:r>
          </w:p>
        </w:tc>
        <w:tc>
          <w:tcPr>
            <w:tcW w:w="810" w:type="dxa"/>
            <w:tcBorders>
              <w:top w:val="single" w:sz="4" w:space="0" w:color="auto"/>
              <w:left w:val="single" w:sz="6" w:space="0" w:color="auto"/>
              <w:bottom w:val="single" w:sz="6" w:space="0" w:color="auto"/>
              <w:right w:val="single" w:sz="6" w:space="0" w:color="auto"/>
            </w:tcBorders>
            <w:shd w:val="clear" w:color="auto" w:fill="F2F2F2" w:themeFill="background1" w:themeFillShade="F2"/>
            <w:hideMark/>
          </w:tcPr>
          <w:p w:rsidR="00575D7E" w:rsidRPr="00575D7E" w:rsidRDefault="00575D7E" w:rsidP="00577ADC">
            <w:pPr>
              <w:pStyle w:val="NoSpacing"/>
              <w:jc w:val="center"/>
              <w:rPr>
                <w:sz w:val="22"/>
                <w:szCs w:val="22"/>
              </w:rPr>
            </w:pPr>
            <w:r w:rsidRPr="00575D7E">
              <w:rPr>
                <w:sz w:val="22"/>
                <w:szCs w:val="22"/>
              </w:rPr>
              <w:t>Total Hours</w:t>
            </w:r>
          </w:p>
        </w:tc>
      </w:tr>
      <w:tr w:rsidR="00577ADC" w:rsidRPr="00575D7E" w:rsidTr="00577ADC">
        <w:tc>
          <w:tcPr>
            <w:tcW w:w="3330" w:type="dxa"/>
            <w:tcBorders>
              <w:top w:val="single" w:sz="6" w:space="0" w:color="auto"/>
              <w:left w:val="single" w:sz="6" w:space="0" w:color="auto"/>
              <w:bottom w:val="nil"/>
              <w:right w:val="nil"/>
            </w:tcBorders>
            <w:hideMark/>
          </w:tcPr>
          <w:p w:rsidR="00575D7E" w:rsidRPr="00575D7E" w:rsidRDefault="00575D7E" w:rsidP="00577ADC">
            <w:pPr>
              <w:pStyle w:val="NoSpacing"/>
              <w:rPr>
                <w:sz w:val="22"/>
                <w:szCs w:val="22"/>
              </w:rPr>
            </w:pPr>
            <w:r w:rsidRPr="00575D7E">
              <w:rPr>
                <w:sz w:val="22"/>
                <w:szCs w:val="22"/>
              </w:rPr>
              <w:t>Reports; Section 412(d) of the FD&amp;C Act</w:t>
            </w:r>
          </w:p>
        </w:tc>
        <w:tc>
          <w:tcPr>
            <w:tcW w:w="135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5</w:t>
            </w:r>
          </w:p>
        </w:tc>
        <w:tc>
          <w:tcPr>
            <w:tcW w:w="144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13</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65</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10</w:t>
            </w:r>
          </w:p>
        </w:tc>
        <w:tc>
          <w:tcPr>
            <w:tcW w:w="810" w:type="dxa"/>
            <w:tcBorders>
              <w:top w:val="single" w:sz="6" w:space="0" w:color="auto"/>
              <w:left w:val="single" w:sz="6" w:space="0" w:color="auto"/>
              <w:bottom w:val="nil"/>
              <w:right w:val="single" w:sz="6" w:space="0" w:color="auto"/>
            </w:tcBorders>
            <w:hideMark/>
          </w:tcPr>
          <w:p w:rsidR="00575D7E" w:rsidRPr="00575D7E" w:rsidRDefault="00575D7E" w:rsidP="00577ADC">
            <w:pPr>
              <w:pStyle w:val="NoSpacing"/>
              <w:jc w:val="right"/>
              <w:rPr>
                <w:sz w:val="22"/>
                <w:szCs w:val="22"/>
              </w:rPr>
            </w:pPr>
            <w:r w:rsidRPr="00575D7E">
              <w:rPr>
                <w:sz w:val="22"/>
                <w:szCs w:val="22"/>
              </w:rPr>
              <w:t>650</w:t>
            </w:r>
          </w:p>
        </w:tc>
      </w:tr>
      <w:tr w:rsidR="00577ADC" w:rsidRPr="00575D7E" w:rsidTr="00577ADC">
        <w:tc>
          <w:tcPr>
            <w:tcW w:w="3330" w:type="dxa"/>
            <w:tcBorders>
              <w:top w:val="single" w:sz="6" w:space="0" w:color="auto"/>
              <w:left w:val="single" w:sz="6" w:space="0" w:color="auto"/>
              <w:bottom w:val="nil"/>
              <w:right w:val="nil"/>
            </w:tcBorders>
            <w:hideMark/>
          </w:tcPr>
          <w:p w:rsidR="00575D7E" w:rsidRPr="00575D7E" w:rsidRDefault="00575D7E" w:rsidP="00577ADC">
            <w:pPr>
              <w:pStyle w:val="NoSpacing"/>
              <w:rPr>
                <w:sz w:val="22"/>
                <w:szCs w:val="22"/>
              </w:rPr>
            </w:pPr>
            <w:r w:rsidRPr="00575D7E">
              <w:rPr>
                <w:sz w:val="22"/>
                <w:szCs w:val="22"/>
              </w:rPr>
              <w:t>Notifications; § 106.120(b)</w:t>
            </w:r>
          </w:p>
        </w:tc>
        <w:tc>
          <w:tcPr>
            <w:tcW w:w="135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44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4</w:t>
            </w:r>
          </w:p>
        </w:tc>
        <w:tc>
          <w:tcPr>
            <w:tcW w:w="810" w:type="dxa"/>
            <w:tcBorders>
              <w:top w:val="single" w:sz="6" w:space="0" w:color="auto"/>
              <w:left w:val="single" w:sz="6" w:space="0" w:color="auto"/>
              <w:bottom w:val="nil"/>
              <w:right w:val="single" w:sz="6" w:space="0" w:color="auto"/>
            </w:tcBorders>
            <w:hideMark/>
          </w:tcPr>
          <w:p w:rsidR="00575D7E" w:rsidRPr="00575D7E" w:rsidRDefault="00575D7E" w:rsidP="00577ADC">
            <w:pPr>
              <w:pStyle w:val="NoSpacing"/>
              <w:jc w:val="right"/>
              <w:rPr>
                <w:sz w:val="22"/>
                <w:szCs w:val="22"/>
              </w:rPr>
            </w:pPr>
            <w:r w:rsidRPr="00575D7E">
              <w:rPr>
                <w:sz w:val="22"/>
                <w:szCs w:val="22"/>
              </w:rPr>
              <w:t>4</w:t>
            </w:r>
          </w:p>
        </w:tc>
      </w:tr>
      <w:tr w:rsidR="00577ADC" w:rsidRPr="00575D7E" w:rsidTr="00577ADC">
        <w:tc>
          <w:tcPr>
            <w:tcW w:w="3330" w:type="dxa"/>
            <w:tcBorders>
              <w:top w:val="single" w:sz="6" w:space="0" w:color="auto"/>
              <w:left w:val="single" w:sz="6" w:space="0" w:color="auto"/>
              <w:bottom w:val="nil"/>
              <w:right w:val="nil"/>
            </w:tcBorders>
            <w:hideMark/>
          </w:tcPr>
          <w:p w:rsidR="00575D7E" w:rsidRPr="00575D7E" w:rsidRDefault="00575D7E" w:rsidP="00577ADC">
            <w:pPr>
              <w:pStyle w:val="NoSpacing"/>
              <w:rPr>
                <w:sz w:val="22"/>
                <w:szCs w:val="22"/>
              </w:rPr>
            </w:pPr>
            <w:r w:rsidRPr="00575D7E">
              <w:rPr>
                <w:sz w:val="22"/>
                <w:szCs w:val="22"/>
              </w:rPr>
              <w:t>Reports for exempt infant formula; § 107.50(b)(3) and (4)</w:t>
            </w:r>
          </w:p>
        </w:tc>
        <w:tc>
          <w:tcPr>
            <w:tcW w:w="135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3</w:t>
            </w:r>
          </w:p>
        </w:tc>
        <w:tc>
          <w:tcPr>
            <w:tcW w:w="144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2</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6</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4</w:t>
            </w:r>
          </w:p>
        </w:tc>
        <w:tc>
          <w:tcPr>
            <w:tcW w:w="810" w:type="dxa"/>
            <w:tcBorders>
              <w:top w:val="single" w:sz="6" w:space="0" w:color="auto"/>
              <w:left w:val="single" w:sz="6" w:space="0" w:color="auto"/>
              <w:bottom w:val="nil"/>
              <w:right w:val="single" w:sz="6" w:space="0" w:color="auto"/>
            </w:tcBorders>
            <w:hideMark/>
          </w:tcPr>
          <w:p w:rsidR="00575D7E" w:rsidRPr="00575D7E" w:rsidRDefault="00575D7E" w:rsidP="00577ADC">
            <w:pPr>
              <w:pStyle w:val="NoSpacing"/>
              <w:jc w:val="right"/>
              <w:rPr>
                <w:sz w:val="22"/>
                <w:szCs w:val="22"/>
              </w:rPr>
            </w:pPr>
            <w:r w:rsidRPr="00575D7E">
              <w:rPr>
                <w:sz w:val="22"/>
                <w:szCs w:val="22"/>
              </w:rPr>
              <w:t>24</w:t>
            </w:r>
          </w:p>
        </w:tc>
      </w:tr>
      <w:tr w:rsidR="00577ADC" w:rsidRPr="00575D7E" w:rsidTr="00577ADC">
        <w:tc>
          <w:tcPr>
            <w:tcW w:w="3330" w:type="dxa"/>
            <w:tcBorders>
              <w:top w:val="single" w:sz="6" w:space="0" w:color="auto"/>
              <w:left w:val="single" w:sz="6" w:space="0" w:color="auto"/>
              <w:bottom w:val="single" w:sz="6" w:space="0" w:color="auto"/>
              <w:right w:val="nil"/>
            </w:tcBorders>
            <w:hideMark/>
          </w:tcPr>
          <w:p w:rsidR="00575D7E" w:rsidRPr="00575D7E" w:rsidRDefault="00575D7E" w:rsidP="00577ADC">
            <w:pPr>
              <w:pStyle w:val="NoSpacing"/>
              <w:rPr>
                <w:sz w:val="22"/>
                <w:szCs w:val="22"/>
              </w:rPr>
            </w:pPr>
            <w:r w:rsidRPr="00575D7E">
              <w:rPr>
                <w:sz w:val="22"/>
                <w:szCs w:val="22"/>
              </w:rPr>
              <w:t>Notifications for exempt infant formula;§ 107.50(e)(2)</w:t>
            </w:r>
          </w:p>
        </w:tc>
        <w:tc>
          <w:tcPr>
            <w:tcW w:w="1350" w:type="dxa"/>
            <w:tcBorders>
              <w:top w:val="single" w:sz="6" w:space="0" w:color="auto"/>
              <w:left w:val="single" w:sz="6" w:space="0" w:color="auto"/>
              <w:bottom w:val="single" w:sz="6" w:space="0" w:color="auto"/>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440" w:type="dxa"/>
            <w:tcBorders>
              <w:top w:val="single" w:sz="6" w:space="0" w:color="auto"/>
              <w:left w:val="single" w:sz="6" w:space="0" w:color="auto"/>
              <w:bottom w:val="single" w:sz="6" w:space="0" w:color="auto"/>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170" w:type="dxa"/>
            <w:tcBorders>
              <w:top w:val="single" w:sz="6" w:space="0" w:color="auto"/>
              <w:left w:val="single" w:sz="6" w:space="0" w:color="auto"/>
              <w:bottom w:val="single" w:sz="6" w:space="0" w:color="auto"/>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170" w:type="dxa"/>
            <w:tcBorders>
              <w:top w:val="single" w:sz="6" w:space="0" w:color="auto"/>
              <w:left w:val="single" w:sz="6" w:space="0" w:color="auto"/>
              <w:bottom w:val="single" w:sz="6" w:space="0" w:color="auto"/>
              <w:right w:val="nil"/>
            </w:tcBorders>
            <w:hideMark/>
          </w:tcPr>
          <w:p w:rsidR="00575D7E" w:rsidRPr="00575D7E" w:rsidRDefault="00575D7E" w:rsidP="00577ADC">
            <w:pPr>
              <w:pStyle w:val="NoSpacing"/>
              <w:jc w:val="right"/>
              <w:rPr>
                <w:sz w:val="22"/>
                <w:szCs w:val="22"/>
              </w:rPr>
            </w:pPr>
            <w:r w:rsidRPr="00575D7E">
              <w:rPr>
                <w:sz w:val="22"/>
                <w:szCs w:val="22"/>
              </w:rPr>
              <w:t>4</w:t>
            </w:r>
          </w:p>
        </w:tc>
        <w:tc>
          <w:tcPr>
            <w:tcW w:w="810" w:type="dxa"/>
            <w:tcBorders>
              <w:top w:val="single" w:sz="6" w:space="0" w:color="auto"/>
              <w:left w:val="single" w:sz="6" w:space="0" w:color="auto"/>
              <w:bottom w:val="single" w:sz="6" w:space="0" w:color="auto"/>
              <w:right w:val="single" w:sz="6" w:space="0" w:color="auto"/>
            </w:tcBorders>
            <w:hideMark/>
          </w:tcPr>
          <w:p w:rsidR="00575D7E" w:rsidRPr="00575D7E" w:rsidRDefault="00575D7E" w:rsidP="00577ADC">
            <w:pPr>
              <w:pStyle w:val="NoSpacing"/>
              <w:jc w:val="right"/>
              <w:rPr>
                <w:sz w:val="22"/>
                <w:szCs w:val="22"/>
              </w:rPr>
            </w:pPr>
            <w:r w:rsidRPr="00575D7E">
              <w:rPr>
                <w:sz w:val="22"/>
                <w:szCs w:val="22"/>
              </w:rPr>
              <w:t>4</w:t>
            </w:r>
          </w:p>
        </w:tc>
      </w:tr>
      <w:tr w:rsidR="00577ADC" w:rsidRPr="00575D7E" w:rsidTr="00577ADC">
        <w:tc>
          <w:tcPr>
            <w:tcW w:w="3330" w:type="dxa"/>
            <w:tcBorders>
              <w:top w:val="single" w:sz="6" w:space="0" w:color="auto"/>
              <w:left w:val="single" w:sz="6" w:space="0" w:color="auto"/>
              <w:bottom w:val="single" w:sz="4" w:space="0" w:color="auto"/>
              <w:right w:val="nil"/>
            </w:tcBorders>
            <w:hideMark/>
          </w:tcPr>
          <w:p w:rsidR="00575D7E" w:rsidRPr="00575D7E" w:rsidRDefault="00575D7E" w:rsidP="00577ADC">
            <w:pPr>
              <w:pStyle w:val="NoSpacing"/>
              <w:rPr>
                <w:sz w:val="22"/>
                <w:szCs w:val="22"/>
              </w:rPr>
            </w:pPr>
            <w:r w:rsidRPr="00575D7E">
              <w:rPr>
                <w:sz w:val="22"/>
                <w:szCs w:val="22"/>
              </w:rPr>
              <w:t>Requirements for quality factors growth monitoring study exemption; § 106.96(c)</w:t>
            </w:r>
          </w:p>
        </w:tc>
        <w:tc>
          <w:tcPr>
            <w:tcW w:w="1350" w:type="dxa"/>
            <w:tcBorders>
              <w:top w:val="single" w:sz="6" w:space="0" w:color="auto"/>
              <w:left w:val="single" w:sz="6" w:space="0" w:color="auto"/>
              <w:bottom w:val="single" w:sz="4" w:space="0" w:color="auto"/>
              <w:right w:val="nil"/>
            </w:tcBorders>
            <w:hideMark/>
          </w:tcPr>
          <w:p w:rsidR="00575D7E" w:rsidRPr="00575D7E" w:rsidRDefault="00575D7E" w:rsidP="00577ADC">
            <w:pPr>
              <w:pStyle w:val="NoSpacing"/>
              <w:jc w:val="right"/>
              <w:rPr>
                <w:sz w:val="22"/>
                <w:szCs w:val="22"/>
              </w:rPr>
            </w:pPr>
            <w:r w:rsidRPr="00575D7E">
              <w:rPr>
                <w:sz w:val="22"/>
                <w:szCs w:val="22"/>
              </w:rPr>
              <w:t>4</w:t>
            </w:r>
          </w:p>
        </w:tc>
        <w:tc>
          <w:tcPr>
            <w:tcW w:w="1440" w:type="dxa"/>
            <w:tcBorders>
              <w:top w:val="single" w:sz="6" w:space="0" w:color="auto"/>
              <w:left w:val="single" w:sz="6" w:space="0" w:color="auto"/>
              <w:bottom w:val="single" w:sz="4" w:space="0" w:color="auto"/>
              <w:right w:val="nil"/>
            </w:tcBorders>
            <w:hideMark/>
          </w:tcPr>
          <w:p w:rsidR="00575D7E" w:rsidRPr="00575D7E" w:rsidRDefault="00575D7E" w:rsidP="00577ADC">
            <w:pPr>
              <w:pStyle w:val="NoSpacing"/>
              <w:jc w:val="right"/>
              <w:rPr>
                <w:sz w:val="22"/>
                <w:szCs w:val="22"/>
              </w:rPr>
            </w:pPr>
            <w:r w:rsidRPr="00575D7E">
              <w:rPr>
                <w:sz w:val="22"/>
                <w:szCs w:val="22"/>
              </w:rPr>
              <w:t>9</w:t>
            </w:r>
          </w:p>
        </w:tc>
        <w:tc>
          <w:tcPr>
            <w:tcW w:w="1170" w:type="dxa"/>
            <w:tcBorders>
              <w:top w:val="single" w:sz="6" w:space="0" w:color="auto"/>
              <w:left w:val="single" w:sz="6" w:space="0" w:color="auto"/>
              <w:bottom w:val="single" w:sz="4" w:space="0" w:color="auto"/>
              <w:right w:val="nil"/>
            </w:tcBorders>
            <w:hideMark/>
          </w:tcPr>
          <w:p w:rsidR="00575D7E" w:rsidRPr="00575D7E" w:rsidRDefault="00575D7E" w:rsidP="00577ADC">
            <w:pPr>
              <w:pStyle w:val="NoSpacing"/>
              <w:jc w:val="right"/>
              <w:rPr>
                <w:sz w:val="22"/>
                <w:szCs w:val="22"/>
              </w:rPr>
            </w:pPr>
            <w:r w:rsidRPr="00575D7E">
              <w:rPr>
                <w:sz w:val="22"/>
                <w:szCs w:val="22"/>
              </w:rPr>
              <w:t>36</w:t>
            </w:r>
          </w:p>
        </w:tc>
        <w:tc>
          <w:tcPr>
            <w:tcW w:w="1170" w:type="dxa"/>
            <w:tcBorders>
              <w:top w:val="single" w:sz="6" w:space="0" w:color="auto"/>
              <w:left w:val="single" w:sz="6" w:space="0" w:color="auto"/>
              <w:bottom w:val="single" w:sz="4" w:space="0" w:color="auto"/>
              <w:right w:val="nil"/>
            </w:tcBorders>
            <w:hideMark/>
          </w:tcPr>
          <w:p w:rsidR="00575D7E" w:rsidRPr="00575D7E" w:rsidRDefault="00575D7E" w:rsidP="00577ADC">
            <w:pPr>
              <w:pStyle w:val="NoSpacing"/>
              <w:jc w:val="right"/>
              <w:rPr>
                <w:sz w:val="22"/>
                <w:szCs w:val="22"/>
              </w:rPr>
            </w:pPr>
            <w:r w:rsidRPr="00575D7E">
              <w:rPr>
                <w:sz w:val="22"/>
                <w:szCs w:val="22"/>
              </w:rPr>
              <w:t>20</w:t>
            </w:r>
          </w:p>
        </w:tc>
        <w:tc>
          <w:tcPr>
            <w:tcW w:w="810" w:type="dxa"/>
            <w:tcBorders>
              <w:top w:val="single" w:sz="6" w:space="0" w:color="auto"/>
              <w:left w:val="single" w:sz="6" w:space="0" w:color="auto"/>
              <w:bottom w:val="single" w:sz="4" w:space="0" w:color="auto"/>
              <w:right w:val="single" w:sz="6" w:space="0" w:color="auto"/>
            </w:tcBorders>
            <w:hideMark/>
          </w:tcPr>
          <w:p w:rsidR="00575D7E" w:rsidRPr="00575D7E" w:rsidRDefault="00575D7E" w:rsidP="00577ADC">
            <w:pPr>
              <w:pStyle w:val="NoSpacing"/>
              <w:jc w:val="right"/>
              <w:rPr>
                <w:sz w:val="22"/>
                <w:szCs w:val="22"/>
              </w:rPr>
            </w:pPr>
            <w:r w:rsidRPr="00575D7E">
              <w:rPr>
                <w:sz w:val="22"/>
                <w:szCs w:val="22"/>
              </w:rPr>
              <w:t>720</w:t>
            </w:r>
          </w:p>
        </w:tc>
      </w:tr>
      <w:tr w:rsidR="00577ADC" w:rsidRPr="00575D7E" w:rsidTr="00577ADC">
        <w:tc>
          <w:tcPr>
            <w:tcW w:w="3330" w:type="dxa"/>
            <w:tcBorders>
              <w:top w:val="single" w:sz="4" w:space="0" w:color="auto"/>
              <w:left w:val="single" w:sz="6" w:space="0" w:color="auto"/>
              <w:bottom w:val="nil"/>
              <w:right w:val="nil"/>
            </w:tcBorders>
            <w:hideMark/>
          </w:tcPr>
          <w:p w:rsidR="00575D7E" w:rsidRPr="00575D7E" w:rsidRDefault="00575D7E" w:rsidP="00577ADC">
            <w:pPr>
              <w:pStyle w:val="NoSpacing"/>
              <w:rPr>
                <w:sz w:val="22"/>
                <w:szCs w:val="22"/>
              </w:rPr>
            </w:pPr>
            <w:r w:rsidRPr="00575D7E">
              <w:rPr>
                <w:sz w:val="22"/>
                <w:szCs w:val="22"/>
              </w:rPr>
              <w:t>Requirements for quality factors--PER exemption; § 106.96(g)</w:t>
            </w:r>
          </w:p>
        </w:tc>
        <w:tc>
          <w:tcPr>
            <w:tcW w:w="1350" w:type="dxa"/>
            <w:tcBorders>
              <w:top w:val="single" w:sz="4"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w:t>
            </w:r>
          </w:p>
        </w:tc>
        <w:tc>
          <w:tcPr>
            <w:tcW w:w="1440" w:type="dxa"/>
            <w:tcBorders>
              <w:top w:val="single" w:sz="4"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34</w:t>
            </w:r>
          </w:p>
        </w:tc>
        <w:tc>
          <w:tcPr>
            <w:tcW w:w="1170" w:type="dxa"/>
            <w:tcBorders>
              <w:top w:val="single" w:sz="4"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34</w:t>
            </w:r>
          </w:p>
        </w:tc>
        <w:tc>
          <w:tcPr>
            <w:tcW w:w="1170" w:type="dxa"/>
            <w:tcBorders>
              <w:top w:val="single" w:sz="4"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12</w:t>
            </w:r>
          </w:p>
        </w:tc>
        <w:tc>
          <w:tcPr>
            <w:tcW w:w="810" w:type="dxa"/>
            <w:tcBorders>
              <w:top w:val="single" w:sz="4" w:space="0" w:color="auto"/>
              <w:left w:val="single" w:sz="6" w:space="0" w:color="auto"/>
              <w:bottom w:val="nil"/>
              <w:right w:val="single" w:sz="6" w:space="0" w:color="auto"/>
            </w:tcBorders>
            <w:hideMark/>
          </w:tcPr>
          <w:p w:rsidR="00575D7E" w:rsidRPr="00575D7E" w:rsidRDefault="00575D7E" w:rsidP="00577ADC">
            <w:pPr>
              <w:pStyle w:val="NoSpacing"/>
              <w:jc w:val="right"/>
              <w:rPr>
                <w:sz w:val="22"/>
                <w:szCs w:val="22"/>
              </w:rPr>
            </w:pPr>
            <w:r w:rsidRPr="00575D7E">
              <w:rPr>
                <w:sz w:val="22"/>
                <w:szCs w:val="22"/>
              </w:rPr>
              <w:t>408</w:t>
            </w:r>
          </w:p>
        </w:tc>
      </w:tr>
      <w:tr w:rsidR="00577ADC" w:rsidRPr="00575D7E" w:rsidTr="00577ADC">
        <w:tc>
          <w:tcPr>
            <w:tcW w:w="3330" w:type="dxa"/>
            <w:tcBorders>
              <w:top w:val="single" w:sz="6" w:space="0" w:color="auto"/>
              <w:left w:val="single" w:sz="6" w:space="0" w:color="auto"/>
              <w:bottom w:val="nil"/>
              <w:right w:val="nil"/>
            </w:tcBorders>
            <w:hideMark/>
          </w:tcPr>
          <w:p w:rsidR="00575D7E" w:rsidRPr="00575D7E" w:rsidRDefault="00575D7E" w:rsidP="00577ADC">
            <w:pPr>
              <w:pStyle w:val="NoSpacing"/>
              <w:rPr>
                <w:sz w:val="22"/>
                <w:szCs w:val="22"/>
              </w:rPr>
            </w:pPr>
            <w:r w:rsidRPr="00575D7E">
              <w:rPr>
                <w:sz w:val="22"/>
                <w:szCs w:val="22"/>
              </w:rPr>
              <w:t>New infant formula registration; § 106.110</w:t>
            </w:r>
          </w:p>
        </w:tc>
        <w:tc>
          <w:tcPr>
            <w:tcW w:w="135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4</w:t>
            </w:r>
          </w:p>
        </w:tc>
        <w:tc>
          <w:tcPr>
            <w:tcW w:w="144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9</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36</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0.50</w:t>
            </w:r>
          </w:p>
          <w:p w:rsidR="00575D7E" w:rsidRPr="00575D7E" w:rsidRDefault="00575D7E" w:rsidP="00577ADC">
            <w:pPr>
              <w:pStyle w:val="NoSpacing"/>
              <w:jc w:val="right"/>
              <w:rPr>
                <w:sz w:val="22"/>
                <w:szCs w:val="22"/>
              </w:rPr>
            </w:pPr>
            <w:r>
              <w:rPr>
                <w:sz w:val="22"/>
                <w:szCs w:val="22"/>
              </w:rPr>
              <w:t>(30 min</w:t>
            </w:r>
            <w:r w:rsidRPr="00575D7E">
              <w:rPr>
                <w:sz w:val="22"/>
                <w:szCs w:val="22"/>
              </w:rPr>
              <w:t>s</w:t>
            </w:r>
            <w:r>
              <w:rPr>
                <w:sz w:val="22"/>
                <w:szCs w:val="22"/>
              </w:rPr>
              <w:t>.</w:t>
            </w:r>
            <w:r w:rsidRPr="00575D7E">
              <w:rPr>
                <w:sz w:val="22"/>
                <w:szCs w:val="22"/>
              </w:rPr>
              <w:t>)</w:t>
            </w:r>
          </w:p>
        </w:tc>
        <w:tc>
          <w:tcPr>
            <w:tcW w:w="810" w:type="dxa"/>
            <w:tcBorders>
              <w:top w:val="single" w:sz="6" w:space="0" w:color="auto"/>
              <w:left w:val="single" w:sz="6" w:space="0" w:color="auto"/>
              <w:bottom w:val="nil"/>
              <w:right w:val="single" w:sz="6" w:space="0" w:color="auto"/>
            </w:tcBorders>
            <w:hideMark/>
          </w:tcPr>
          <w:p w:rsidR="00575D7E" w:rsidRPr="00575D7E" w:rsidRDefault="00575D7E" w:rsidP="00577ADC">
            <w:pPr>
              <w:pStyle w:val="NoSpacing"/>
              <w:jc w:val="right"/>
              <w:rPr>
                <w:sz w:val="22"/>
                <w:szCs w:val="22"/>
              </w:rPr>
            </w:pPr>
            <w:r w:rsidRPr="00575D7E">
              <w:rPr>
                <w:sz w:val="22"/>
                <w:szCs w:val="22"/>
              </w:rPr>
              <w:t>18</w:t>
            </w:r>
          </w:p>
        </w:tc>
      </w:tr>
      <w:tr w:rsidR="00577ADC" w:rsidRPr="00575D7E" w:rsidTr="00577ADC">
        <w:tc>
          <w:tcPr>
            <w:tcW w:w="3330" w:type="dxa"/>
            <w:tcBorders>
              <w:top w:val="single" w:sz="6" w:space="0" w:color="auto"/>
              <w:left w:val="single" w:sz="6" w:space="0" w:color="auto"/>
              <w:bottom w:val="nil"/>
              <w:right w:val="nil"/>
            </w:tcBorders>
            <w:hideMark/>
          </w:tcPr>
          <w:p w:rsidR="00575D7E" w:rsidRPr="00575D7E" w:rsidRDefault="00575D7E" w:rsidP="00577ADC">
            <w:pPr>
              <w:pStyle w:val="NoSpacing"/>
              <w:rPr>
                <w:sz w:val="22"/>
                <w:szCs w:val="22"/>
              </w:rPr>
            </w:pPr>
            <w:r w:rsidRPr="00575D7E">
              <w:rPr>
                <w:sz w:val="22"/>
                <w:szCs w:val="22"/>
              </w:rPr>
              <w:t>New infant formula submission; § 106.120</w:t>
            </w:r>
          </w:p>
        </w:tc>
        <w:tc>
          <w:tcPr>
            <w:tcW w:w="135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4</w:t>
            </w:r>
          </w:p>
        </w:tc>
        <w:tc>
          <w:tcPr>
            <w:tcW w:w="144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 xml:space="preserve">9 </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36</w:t>
            </w:r>
          </w:p>
        </w:tc>
        <w:tc>
          <w:tcPr>
            <w:tcW w:w="1170" w:type="dxa"/>
            <w:tcBorders>
              <w:top w:val="single" w:sz="6" w:space="0" w:color="auto"/>
              <w:left w:val="single" w:sz="6" w:space="0" w:color="auto"/>
              <w:bottom w:val="nil"/>
              <w:right w:val="nil"/>
            </w:tcBorders>
            <w:hideMark/>
          </w:tcPr>
          <w:p w:rsidR="00575D7E" w:rsidRPr="00575D7E" w:rsidRDefault="00575D7E" w:rsidP="00577ADC">
            <w:pPr>
              <w:pStyle w:val="NoSpacing"/>
              <w:jc w:val="right"/>
              <w:rPr>
                <w:sz w:val="22"/>
                <w:szCs w:val="22"/>
              </w:rPr>
            </w:pPr>
            <w:r w:rsidRPr="00575D7E">
              <w:rPr>
                <w:sz w:val="22"/>
                <w:szCs w:val="22"/>
              </w:rPr>
              <w:t>10</w:t>
            </w:r>
          </w:p>
        </w:tc>
        <w:tc>
          <w:tcPr>
            <w:tcW w:w="810" w:type="dxa"/>
            <w:tcBorders>
              <w:top w:val="single" w:sz="6" w:space="0" w:color="auto"/>
              <w:left w:val="single" w:sz="6" w:space="0" w:color="auto"/>
              <w:bottom w:val="nil"/>
              <w:right w:val="single" w:sz="6" w:space="0" w:color="auto"/>
            </w:tcBorders>
            <w:hideMark/>
          </w:tcPr>
          <w:p w:rsidR="00575D7E" w:rsidRPr="00575D7E" w:rsidRDefault="00575D7E" w:rsidP="00577ADC">
            <w:pPr>
              <w:pStyle w:val="NoSpacing"/>
              <w:jc w:val="right"/>
              <w:rPr>
                <w:sz w:val="22"/>
                <w:szCs w:val="22"/>
              </w:rPr>
            </w:pPr>
            <w:r w:rsidRPr="00575D7E">
              <w:rPr>
                <w:sz w:val="22"/>
                <w:szCs w:val="22"/>
              </w:rPr>
              <w:t>360</w:t>
            </w:r>
          </w:p>
        </w:tc>
      </w:tr>
      <w:tr w:rsidR="00575D7E" w:rsidRPr="00575D7E" w:rsidTr="00577ADC">
        <w:tc>
          <w:tcPr>
            <w:tcW w:w="8460" w:type="dxa"/>
            <w:gridSpan w:val="5"/>
            <w:tcBorders>
              <w:top w:val="single" w:sz="6" w:space="0" w:color="auto"/>
              <w:left w:val="single" w:sz="6" w:space="0" w:color="auto"/>
              <w:bottom w:val="single" w:sz="6" w:space="0" w:color="auto"/>
              <w:right w:val="nil"/>
            </w:tcBorders>
            <w:hideMark/>
          </w:tcPr>
          <w:p w:rsidR="00575D7E" w:rsidRPr="00575D7E" w:rsidRDefault="00575D7E" w:rsidP="00577ADC">
            <w:pPr>
              <w:pStyle w:val="NoSpacing"/>
              <w:rPr>
                <w:sz w:val="22"/>
                <w:szCs w:val="22"/>
              </w:rPr>
            </w:pPr>
            <w:r w:rsidRPr="00575D7E">
              <w:rPr>
                <w:sz w:val="22"/>
                <w:szCs w:val="22"/>
              </w:rPr>
              <w:t>Total</w:t>
            </w:r>
          </w:p>
        </w:tc>
        <w:tc>
          <w:tcPr>
            <w:tcW w:w="810" w:type="dxa"/>
            <w:tcBorders>
              <w:top w:val="single" w:sz="6" w:space="0" w:color="auto"/>
              <w:left w:val="single" w:sz="6" w:space="0" w:color="auto"/>
              <w:bottom w:val="single" w:sz="6" w:space="0" w:color="auto"/>
              <w:right w:val="single" w:sz="6" w:space="0" w:color="auto"/>
            </w:tcBorders>
            <w:hideMark/>
          </w:tcPr>
          <w:p w:rsidR="00575D7E" w:rsidRPr="00575D7E" w:rsidRDefault="00575D7E" w:rsidP="00577ADC">
            <w:pPr>
              <w:pStyle w:val="NoSpacing"/>
              <w:jc w:val="right"/>
              <w:rPr>
                <w:sz w:val="22"/>
                <w:szCs w:val="22"/>
              </w:rPr>
            </w:pPr>
            <w:r w:rsidRPr="00575D7E">
              <w:rPr>
                <w:sz w:val="22"/>
                <w:szCs w:val="22"/>
              </w:rPr>
              <w:t>2,188</w:t>
            </w:r>
          </w:p>
        </w:tc>
      </w:tr>
    </w:tbl>
    <w:p w:rsidR="00DC76C7" w:rsidRDefault="00577ADC" w:rsidP="00577ADC">
      <w:pPr>
        <w:pStyle w:val="NoSpacing"/>
      </w:pPr>
      <w:r>
        <w:rPr>
          <w:sz w:val="20"/>
          <w:szCs w:val="20"/>
          <w:vertAlign w:val="superscript"/>
        </w:rPr>
        <w:tab/>
        <w:t xml:space="preserve">  </w:t>
      </w:r>
      <w:r w:rsidR="00575D7E" w:rsidRPr="00575D7E">
        <w:rPr>
          <w:sz w:val="20"/>
          <w:szCs w:val="20"/>
          <w:vertAlign w:val="superscript"/>
        </w:rPr>
        <w:t>1</w:t>
      </w:r>
      <w:r>
        <w:rPr>
          <w:sz w:val="20"/>
          <w:szCs w:val="20"/>
          <w:vertAlign w:val="superscript"/>
        </w:rPr>
        <w:t xml:space="preserve"> </w:t>
      </w:r>
      <w:r w:rsidR="00575D7E" w:rsidRPr="00575D7E">
        <w:rPr>
          <w:sz w:val="20"/>
          <w:szCs w:val="20"/>
        </w:rPr>
        <w:t>There are no capital or operating and maintenance costs associated with the information collection.</w:t>
      </w:r>
    </w:p>
    <w:p w:rsidR="00884B6F" w:rsidRDefault="00884B6F" w:rsidP="00CD69A0">
      <w:pPr>
        <w:ind w:left="720"/>
      </w:pPr>
    </w:p>
    <w:p w:rsidR="00884B6F" w:rsidRDefault="00884B6F" w:rsidP="00CD69A0">
      <w:pPr>
        <w:ind w:left="720"/>
      </w:pPr>
      <w:r>
        <w:t>We estimate we will receive 13 reports from 5 manufacturers annually under section 412(d) of the FD&amp;C Act, for a total annual response of 65 reports.  Each report is estimated to take 10 hours per response for a total of 650 hours</w:t>
      </w:r>
      <w:r w:rsidR="000E7F75">
        <w:t xml:space="preserve"> (row 1 of </w:t>
      </w:r>
      <w:r w:rsidR="00025024">
        <w:t>T</w:t>
      </w:r>
      <w:r w:rsidR="000E7F75">
        <w:t>able 1)</w:t>
      </w:r>
      <w:r>
        <w:t>.  We also estimate that we receive one notification under § 106.120(b).  The notification is expected to take 4 hours per response, for a total of 4 hours</w:t>
      </w:r>
      <w:r w:rsidR="000E7F75">
        <w:t xml:space="preserve"> (row 2 of </w:t>
      </w:r>
      <w:r w:rsidR="00025024">
        <w:t>T</w:t>
      </w:r>
      <w:r w:rsidR="000E7F75">
        <w:t>able 1)</w:t>
      </w:r>
      <w:r>
        <w:t>.</w:t>
      </w:r>
    </w:p>
    <w:p w:rsidR="00884B6F" w:rsidRDefault="00884B6F" w:rsidP="00CD69A0">
      <w:pPr>
        <w:ind w:left="720"/>
      </w:pPr>
    </w:p>
    <w:p w:rsidR="00884B6F" w:rsidRDefault="00884B6F" w:rsidP="00CD69A0">
      <w:pPr>
        <w:ind w:left="720"/>
      </w:pPr>
      <w:r>
        <w:t xml:space="preserve">For exempt infant formula, we estimate that we receive two reports from three manufacturers annually under § 107.50(b)(3) and (4), for a total annual response of six reports. </w:t>
      </w:r>
      <w:r w:rsidR="000E7F75">
        <w:t xml:space="preserve"> </w:t>
      </w:r>
      <w:r>
        <w:t>Each report is estimated to take 4 hours per response for a total of 24 hours</w:t>
      </w:r>
      <w:r w:rsidR="000E7F75">
        <w:t xml:space="preserve"> (row 3 of </w:t>
      </w:r>
      <w:r w:rsidR="00025024">
        <w:t>T</w:t>
      </w:r>
      <w:r w:rsidR="000E7F75">
        <w:t>able 1)</w:t>
      </w:r>
      <w:r>
        <w:t xml:space="preserve">. </w:t>
      </w:r>
      <w:r w:rsidR="000E7F75">
        <w:t xml:space="preserve"> </w:t>
      </w:r>
      <w:r>
        <w:t>We also estimate that we receive one notification annually under § 107.50(e)(2) and that the notification takes 4 hours to prepare</w:t>
      </w:r>
      <w:r w:rsidR="000E7F75">
        <w:t xml:space="preserve">, for an estimated burden of 4 hours (row 4 of </w:t>
      </w:r>
      <w:r w:rsidR="00025024">
        <w:t>T</w:t>
      </w:r>
      <w:r w:rsidR="000E7F75">
        <w:t>able 1)</w:t>
      </w:r>
      <w:r>
        <w:t>.</w:t>
      </w:r>
    </w:p>
    <w:p w:rsidR="00884B6F" w:rsidRDefault="00884B6F" w:rsidP="00CD69A0">
      <w:pPr>
        <w:ind w:left="720"/>
      </w:pPr>
      <w:r>
        <w:t xml:space="preserve"> </w:t>
      </w:r>
    </w:p>
    <w:p w:rsidR="00884B6F" w:rsidRDefault="00884B6F" w:rsidP="00CD69A0">
      <w:pPr>
        <w:ind w:left="720"/>
      </w:pPr>
      <w:r>
        <w:t>We estimate that 4 firms submit 36 exemptions annually and that each exemption will take 20 hours to assemble.  Therefore, we calculate 36 exemptions x 20 hours = 720 hours as the estimated burden for § 106.96(c)</w:t>
      </w:r>
      <w:r w:rsidR="000E7F75">
        <w:t xml:space="preserve"> (row 5 of </w:t>
      </w:r>
      <w:r w:rsidR="00025024">
        <w:t>T</w:t>
      </w:r>
      <w:r w:rsidR="000E7F75">
        <w:t>able 1)</w:t>
      </w:r>
      <w:r>
        <w:t>.</w:t>
      </w:r>
    </w:p>
    <w:p w:rsidR="00884B6F" w:rsidRDefault="00884B6F" w:rsidP="00CD69A0">
      <w:pPr>
        <w:ind w:left="720"/>
      </w:pPr>
    </w:p>
    <w:p w:rsidR="00884B6F" w:rsidRDefault="00884B6F" w:rsidP="00CD69A0">
      <w:pPr>
        <w:ind w:left="720"/>
      </w:pPr>
      <w:r>
        <w:t>We estimate that the infant formula industry annually submits 35 Protein Efficiency Ratio (PER) submissions.  For the submission of the PER exemption, we estimate that the infant formula industry submits 34 exemptions per year and that each exemption takes supporting staff 12 hours to prepare.  Therefore, we calculate 34 exemptions x 12 hours per exemption = 408 hours to fulfill the requirements of § 106.96(g)</w:t>
      </w:r>
      <w:r w:rsidR="000E7F75">
        <w:t xml:space="preserve"> (row 6 of </w:t>
      </w:r>
      <w:r w:rsidR="00025024">
        <w:t>T</w:t>
      </w:r>
      <w:r w:rsidR="000E7F75">
        <w:t>able 1)</w:t>
      </w:r>
      <w:r>
        <w:t>.</w:t>
      </w:r>
    </w:p>
    <w:p w:rsidR="00884B6F" w:rsidRDefault="00884B6F" w:rsidP="00CD69A0">
      <w:pPr>
        <w:ind w:left="720"/>
      </w:pPr>
    </w:p>
    <w:p w:rsidR="00884B6F" w:rsidRDefault="00884B6F" w:rsidP="00CD69A0">
      <w:pPr>
        <w:ind w:left="720"/>
      </w:pPr>
      <w:r>
        <w:t>We estimate that four firms each use one senior scientist or regulatory affairs professional who needs 30 minutes to gather and record the required information for an infant formula registration pursuant to § 106.110.  We estimate that the industry annually registers 35 new infant formulas, or an average of 9 registrations per firm.  Therefore, we calculate the annual burden as 36 registrations x 0.5 hour per registration = 17.5 (rounded to 18) hours</w:t>
      </w:r>
      <w:r w:rsidR="000E7F75">
        <w:t xml:space="preserve"> (row 7 of </w:t>
      </w:r>
      <w:r w:rsidR="00025024">
        <w:t>T</w:t>
      </w:r>
      <w:r w:rsidR="000E7F75">
        <w:t>able 1)</w:t>
      </w:r>
      <w:r>
        <w:t>.</w:t>
      </w:r>
    </w:p>
    <w:p w:rsidR="00884B6F" w:rsidRDefault="00884B6F" w:rsidP="00CD69A0">
      <w:pPr>
        <w:ind w:left="720"/>
      </w:pPr>
    </w:p>
    <w:p w:rsidR="00E65A37" w:rsidRDefault="00884B6F" w:rsidP="00694FB0">
      <w:pPr>
        <w:ind w:left="720"/>
      </w:pPr>
      <w:r>
        <w:t xml:space="preserve">We estimate that four firms each use one senior scientist or regulatory affairs professional who needs 10 hours to gather and record information needed for infant formula submissions pursuant to § 106.120.  This estimate includes the time needed to gather and record the information the manufacturer uses </w:t>
      </w:r>
      <w:r w:rsidR="00E14A98">
        <w:t>to request an exemption under § </w:t>
      </w:r>
      <w:r>
        <w:t>106.91(b)(1)(ii), which provides that the manufacturer includes the scientific evidence that the manufacturer is relying on to demonstrate that the stability of the new infant formula will likely not differ from the stability of formula with similar composition, processing, and packaging for which there are extensive stability data.  We estimate that 4 firms make submissions for 36 new infant formulas, or an average of 9 submissions per firm.</w:t>
      </w:r>
      <w:r w:rsidR="000E7F75">
        <w:t xml:space="preserve">  </w:t>
      </w:r>
      <w:r>
        <w:t>Therefore, to comply with § 106.120, we calculate the annual burden as 36 submissions x 10 hours per submission = 360 hours</w:t>
      </w:r>
      <w:r w:rsidR="000E7F75">
        <w:t xml:space="preserve"> (row 8 of </w:t>
      </w:r>
      <w:r w:rsidR="00025024">
        <w:t>T</w:t>
      </w:r>
      <w:r w:rsidR="000E7F75">
        <w:t>able 1)</w:t>
      </w:r>
      <w:r>
        <w:t>.</w:t>
      </w:r>
      <w:r w:rsidR="00025024">
        <w:t xml:space="preserve">  </w:t>
      </w:r>
      <w:r>
        <w:t xml:space="preserve">Thus, </w:t>
      </w:r>
      <w:r w:rsidR="00901C4F">
        <w:t xml:space="preserve">we estimate </w:t>
      </w:r>
      <w:r>
        <w:t xml:space="preserve">the total annual reporting burden </w:t>
      </w:r>
      <w:r w:rsidR="00140F47">
        <w:t xml:space="preserve">is </w:t>
      </w:r>
      <w:r>
        <w:t>2,188 hours.</w:t>
      </w:r>
    </w:p>
    <w:p w:rsidR="00E6676F" w:rsidRDefault="00E6676F" w:rsidP="00694FB0">
      <w:pPr>
        <w:ind w:left="720"/>
      </w:pPr>
    </w:p>
    <w:p w:rsidR="00E6676F" w:rsidRDefault="00E6676F" w:rsidP="00694FB0">
      <w:pPr>
        <w:jc w:val="center"/>
        <w:rPr>
          <w:vertAlign w:val="superscript"/>
        </w:rPr>
      </w:pPr>
      <w:r w:rsidRPr="00E6676F">
        <w:t>Table 2 -- Estimated Annual Recordkeeping Burden</w:t>
      </w:r>
      <w:r w:rsidRPr="00E6676F">
        <w:rPr>
          <w:vertAlign w:val="superscript"/>
        </w:rPr>
        <w:t>1</w:t>
      </w:r>
      <w:r w:rsidR="007A3EC5">
        <w:rPr>
          <w:vertAlign w:val="superscript"/>
        </w:rPr>
        <w:t>, 2</w:t>
      </w:r>
    </w:p>
    <w:p w:rsidR="00577ADC" w:rsidRPr="00E6676F" w:rsidRDefault="00577ADC" w:rsidP="00694FB0">
      <w:pPr>
        <w:jc w:val="center"/>
      </w:pPr>
    </w:p>
    <w:tbl>
      <w:tblPr>
        <w:tblW w:w="8910" w:type="dxa"/>
        <w:tblInd w:w="712" w:type="dxa"/>
        <w:tblLayout w:type="fixed"/>
        <w:tblCellMar>
          <w:left w:w="120" w:type="dxa"/>
          <w:right w:w="120" w:type="dxa"/>
        </w:tblCellMar>
        <w:tblLook w:val="04A0" w:firstRow="1" w:lastRow="0" w:firstColumn="1" w:lastColumn="0" w:noHBand="0" w:noVBand="1"/>
      </w:tblPr>
      <w:tblGrid>
        <w:gridCol w:w="2340"/>
        <w:gridCol w:w="1620"/>
        <w:gridCol w:w="1530"/>
        <w:gridCol w:w="1260"/>
        <w:gridCol w:w="1170"/>
        <w:gridCol w:w="990"/>
      </w:tblGrid>
      <w:tr w:rsidR="00CC485A" w:rsidRPr="00E6676F" w:rsidTr="00CC485A">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CC485A" w:rsidRPr="00CC485A" w:rsidRDefault="00CC485A" w:rsidP="00694FB0">
            <w:pPr>
              <w:widowControl w:val="0"/>
              <w:snapToGrid w:val="0"/>
              <w:jc w:val="center"/>
              <w:rPr>
                <w:sz w:val="22"/>
                <w:szCs w:val="22"/>
              </w:rPr>
            </w:pPr>
            <w:r w:rsidRPr="00CC485A">
              <w:rPr>
                <w:sz w:val="22"/>
                <w:szCs w:val="22"/>
              </w:rPr>
              <w:t>FD&amp;C Act or</w:t>
            </w:r>
          </w:p>
          <w:p w:rsidR="00E6676F" w:rsidRPr="00E6676F" w:rsidRDefault="00CC485A" w:rsidP="00694FB0">
            <w:pPr>
              <w:widowControl w:val="0"/>
              <w:snapToGrid w:val="0"/>
              <w:jc w:val="center"/>
              <w:rPr>
                <w:sz w:val="22"/>
                <w:szCs w:val="22"/>
              </w:rPr>
            </w:pPr>
            <w:r w:rsidRPr="00CC485A">
              <w:rPr>
                <w:sz w:val="22"/>
                <w:szCs w:val="22"/>
              </w:rPr>
              <w:t>21 CFR Parts 106 and 107</w:t>
            </w:r>
          </w:p>
          <w:p w:rsidR="00E6676F" w:rsidRPr="00E6676F" w:rsidRDefault="00E6676F" w:rsidP="00694FB0">
            <w:pPr>
              <w:jc w:val="center"/>
              <w:rPr>
                <w:sz w:val="22"/>
                <w:szCs w:val="22"/>
              </w:rPr>
            </w:pPr>
          </w:p>
        </w:tc>
        <w:tc>
          <w:tcPr>
            <w:tcW w:w="16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6676F" w:rsidRPr="00E6676F" w:rsidRDefault="00577ADC" w:rsidP="00694FB0">
            <w:pPr>
              <w:jc w:val="center"/>
              <w:rPr>
                <w:sz w:val="22"/>
                <w:szCs w:val="22"/>
              </w:rPr>
            </w:pPr>
            <w:r>
              <w:rPr>
                <w:sz w:val="22"/>
                <w:szCs w:val="22"/>
              </w:rPr>
              <w:t>No.</w:t>
            </w:r>
            <w:r w:rsidR="00E6676F" w:rsidRPr="00E6676F">
              <w:rPr>
                <w:sz w:val="22"/>
                <w:szCs w:val="22"/>
              </w:rPr>
              <w:t xml:space="preserve"> of</w:t>
            </w:r>
          </w:p>
          <w:p w:rsidR="00E6676F" w:rsidRPr="00E6676F" w:rsidRDefault="00E6676F" w:rsidP="00694FB0">
            <w:pPr>
              <w:widowControl w:val="0"/>
              <w:snapToGrid w:val="0"/>
              <w:jc w:val="center"/>
              <w:rPr>
                <w:sz w:val="22"/>
                <w:szCs w:val="22"/>
              </w:rPr>
            </w:pPr>
            <w:r w:rsidRPr="00E6676F">
              <w:rPr>
                <w:sz w:val="22"/>
                <w:szCs w:val="22"/>
              </w:rPr>
              <w:t>Recordkeepers</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6676F" w:rsidRPr="00E6676F" w:rsidRDefault="00577ADC" w:rsidP="00694FB0">
            <w:pPr>
              <w:jc w:val="center"/>
              <w:rPr>
                <w:sz w:val="22"/>
                <w:szCs w:val="22"/>
              </w:rPr>
            </w:pPr>
            <w:r>
              <w:rPr>
                <w:sz w:val="22"/>
                <w:szCs w:val="22"/>
              </w:rPr>
              <w:t>No.</w:t>
            </w:r>
            <w:r w:rsidR="00E6676F" w:rsidRPr="00E6676F">
              <w:rPr>
                <w:sz w:val="22"/>
                <w:szCs w:val="22"/>
              </w:rPr>
              <w:t xml:space="preserve"> of</w:t>
            </w:r>
          </w:p>
          <w:p w:rsidR="00E6676F" w:rsidRPr="00E6676F" w:rsidRDefault="00E6676F" w:rsidP="00694FB0">
            <w:pPr>
              <w:jc w:val="center"/>
              <w:rPr>
                <w:sz w:val="22"/>
                <w:szCs w:val="22"/>
              </w:rPr>
            </w:pPr>
            <w:r w:rsidRPr="00E6676F">
              <w:rPr>
                <w:sz w:val="22"/>
                <w:szCs w:val="22"/>
              </w:rPr>
              <w:t>Records</w:t>
            </w:r>
          </w:p>
          <w:p w:rsidR="00E6676F" w:rsidRPr="00E6676F" w:rsidRDefault="00E6676F" w:rsidP="00694FB0">
            <w:pPr>
              <w:jc w:val="center"/>
              <w:rPr>
                <w:sz w:val="22"/>
                <w:szCs w:val="22"/>
              </w:rPr>
            </w:pPr>
            <w:r w:rsidRPr="00E6676F">
              <w:rPr>
                <w:sz w:val="22"/>
                <w:szCs w:val="22"/>
              </w:rPr>
              <w:t>Per</w:t>
            </w:r>
          </w:p>
          <w:p w:rsidR="00E6676F" w:rsidRPr="00E6676F" w:rsidRDefault="00E6676F" w:rsidP="00694FB0">
            <w:pPr>
              <w:widowControl w:val="0"/>
              <w:snapToGrid w:val="0"/>
              <w:jc w:val="center"/>
              <w:rPr>
                <w:sz w:val="22"/>
                <w:szCs w:val="22"/>
              </w:rPr>
            </w:pPr>
            <w:r w:rsidRPr="00E6676F">
              <w:rPr>
                <w:sz w:val="22"/>
                <w:szCs w:val="22"/>
              </w:rPr>
              <w:t>Recordkeeper</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6676F" w:rsidRPr="00E6676F" w:rsidRDefault="00E6676F" w:rsidP="00694FB0">
            <w:pPr>
              <w:jc w:val="center"/>
              <w:rPr>
                <w:sz w:val="22"/>
                <w:szCs w:val="22"/>
              </w:rPr>
            </w:pPr>
            <w:r w:rsidRPr="00E6676F">
              <w:rPr>
                <w:sz w:val="22"/>
                <w:szCs w:val="22"/>
              </w:rPr>
              <w:t>Total Annual</w:t>
            </w:r>
          </w:p>
          <w:p w:rsidR="00E6676F" w:rsidRPr="00E6676F" w:rsidRDefault="00E6676F" w:rsidP="00694FB0">
            <w:pPr>
              <w:widowControl w:val="0"/>
              <w:snapToGrid w:val="0"/>
              <w:jc w:val="center"/>
              <w:rPr>
                <w:sz w:val="22"/>
                <w:szCs w:val="22"/>
              </w:rPr>
            </w:pPr>
            <w:r w:rsidRPr="00E6676F">
              <w:rPr>
                <w:sz w:val="22"/>
                <w:szCs w:val="22"/>
              </w:rPr>
              <w:t>Records</w:t>
            </w:r>
          </w:p>
        </w:tc>
        <w:tc>
          <w:tcPr>
            <w:tcW w:w="11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6676F" w:rsidRPr="00E6676F" w:rsidRDefault="00234A54" w:rsidP="00694FB0">
            <w:pPr>
              <w:jc w:val="center"/>
              <w:rPr>
                <w:sz w:val="22"/>
                <w:szCs w:val="22"/>
              </w:rPr>
            </w:pPr>
            <w:r>
              <w:rPr>
                <w:sz w:val="22"/>
                <w:szCs w:val="22"/>
              </w:rPr>
              <w:t xml:space="preserve">Burden </w:t>
            </w:r>
            <w:r w:rsidR="00E6676F" w:rsidRPr="00E6676F">
              <w:rPr>
                <w:sz w:val="22"/>
                <w:szCs w:val="22"/>
              </w:rPr>
              <w:t>Per</w:t>
            </w:r>
          </w:p>
          <w:p w:rsidR="00E6676F" w:rsidRPr="00E6676F" w:rsidRDefault="00E6676F" w:rsidP="00694FB0">
            <w:pPr>
              <w:widowControl w:val="0"/>
              <w:snapToGrid w:val="0"/>
              <w:jc w:val="center"/>
              <w:rPr>
                <w:sz w:val="22"/>
                <w:szCs w:val="22"/>
              </w:rPr>
            </w:pPr>
            <w:r w:rsidRPr="00E6676F">
              <w:rPr>
                <w:sz w:val="22"/>
                <w:szCs w:val="22"/>
              </w:rPr>
              <w:t>Record</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6676F" w:rsidRPr="00E6676F" w:rsidRDefault="00E6676F" w:rsidP="00694FB0">
            <w:pPr>
              <w:widowControl w:val="0"/>
              <w:snapToGrid w:val="0"/>
              <w:jc w:val="center"/>
              <w:rPr>
                <w:sz w:val="22"/>
                <w:szCs w:val="22"/>
              </w:rPr>
            </w:pPr>
            <w:r w:rsidRPr="00E6676F">
              <w:rPr>
                <w:sz w:val="22"/>
                <w:szCs w:val="22"/>
              </w:rPr>
              <w:t>Total Hours</w:t>
            </w:r>
          </w:p>
        </w:tc>
      </w:tr>
      <w:tr w:rsidR="00E6676F" w:rsidRPr="00E6676F" w:rsidTr="00CC485A">
        <w:tc>
          <w:tcPr>
            <w:tcW w:w="2340" w:type="dxa"/>
            <w:tcBorders>
              <w:top w:val="single" w:sz="6" w:space="0" w:color="000000"/>
              <w:left w:val="single" w:sz="6" w:space="0" w:color="000000"/>
              <w:bottom w:val="single" w:sz="6" w:space="0" w:color="000000"/>
              <w:right w:val="single" w:sz="6" w:space="0" w:color="000000"/>
            </w:tcBorders>
          </w:tcPr>
          <w:p w:rsidR="000E7F78" w:rsidRDefault="00234A54" w:rsidP="00694FB0">
            <w:pPr>
              <w:widowControl w:val="0"/>
              <w:snapToGrid w:val="0"/>
              <w:rPr>
                <w:sz w:val="20"/>
                <w:szCs w:val="20"/>
              </w:rPr>
            </w:pPr>
            <w:r>
              <w:rPr>
                <w:sz w:val="20"/>
                <w:szCs w:val="20"/>
              </w:rPr>
              <w:t xml:space="preserve">Part 106 – </w:t>
            </w:r>
            <w:r w:rsidR="000E7F78">
              <w:rPr>
                <w:sz w:val="20"/>
                <w:szCs w:val="20"/>
              </w:rPr>
              <w:t>SUBPART B:</w:t>
            </w:r>
          </w:p>
          <w:p w:rsidR="00E6676F" w:rsidRPr="00E6676F" w:rsidRDefault="000E7F78" w:rsidP="00694FB0">
            <w:pPr>
              <w:widowControl w:val="0"/>
              <w:snapToGrid w:val="0"/>
              <w:rPr>
                <w:sz w:val="20"/>
                <w:szCs w:val="20"/>
              </w:rPr>
            </w:pPr>
            <w:r>
              <w:rPr>
                <w:sz w:val="20"/>
                <w:szCs w:val="20"/>
              </w:rPr>
              <w:t>C</w:t>
            </w:r>
            <w:r w:rsidR="00CC485A">
              <w:rPr>
                <w:sz w:val="20"/>
                <w:szCs w:val="20"/>
              </w:rPr>
              <w:t>GMP Requirements</w:t>
            </w:r>
          </w:p>
        </w:tc>
        <w:tc>
          <w:tcPr>
            <w:tcW w:w="1620" w:type="dxa"/>
            <w:tcBorders>
              <w:top w:val="single" w:sz="6" w:space="0" w:color="000000"/>
              <w:left w:val="single" w:sz="6" w:space="0" w:color="000000"/>
              <w:bottom w:val="single" w:sz="6" w:space="0" w:color="000000"/>
              <w:right w:val="single" w:sz="6" w:space="0" w:color="000000"/>
            </w:tcBorders>
          </w:tcPr>
          <w:p w:rsidR="00E6676F" w:rsidRPr="00E6676F" w:rsidRDefault="00694FB0" w:rsidP="00694FB0">
            <w:pPr>
              <w:widowControl w:val="0"/>
              <w:snapToGrid w:val="0"/>
              <w:spacing w:after="58"/>
              <w:jc w:val="right"/>
              <w:rPr>
                <w:sz w:val="20"/>
                <w:szCs w:val="20"/>
              </w:rPr>
            </w:pPr>
            <w:r>
              <w:rPr>
                <w:sz w:val="20"/>
                <w:szCs w:val="20"/>
              </w:rPr>
              <w:t>5</w:t>
            </w:r>
          </w:p>
        </w:tc>
        <w:tc>
          <w:tcPr>
            <w:tcW w:w="1530" w:type="dxa"/>
            <w:tcBorders>
              <w:top w:val="single" w:sz="6" w:space="0" w:color="000000"/>
              <w:left w:val="single" w:sz="6" w:space="0" w:color="000000"/>
              <w:bottom w:val="single" w:sz="6" w:space="0" w:color="000000"/>
              <w:right w:val="single" w:sz="6" w:space="0" w:color="000000"/>
            </w:tcBorders>
          </w:tcPr>
          <w:p w:rsidR="00E6676F" w:rsidRPr="00E6676F" w:rsidRDefault="007A3EC5" w:rsidP="00694FB0">
            <w:pPr>
              <w:widowControl w:val="0"/>
              <w:snapToGrid w:val="0"/>
              <w:spacing w:after="58"/>
              <w:jc w:val="right"/>
              <w:rPr>
                <w:sz w:val="20"/>
                <w:szCs w:val="20"/>
              </w:rPr>
            </w:pPr>
            <w:r>
              <w:rPr>
                <w:sz w:val="20"/>
                <w:szCs w:val="20"/>
              </w:rPr>
              <w:t>429.8</w:t>
            </w:r>
          </w:p>
        </w:tc>
        <w:tc>
          <w:tcPr>
            <w:tcW w:w="1260" w:type="dxa"/>
            <w:tcBorders>
              <w:top w:val="single" w:sz="6" w:space="0" w:color="000000"/>
              <w:left w:val="single" w:sz="6" w:space="0" w:color="000000"/>
              <w:bottom w:val="single" w:sz="6" w:space="0" w:color="000000"/>
              <w:right w:val="single" w:sz="6" w:space="0" w:color="000000"/>
            </w:tcBorders>
          </w:tcPr>
          <w:p w:rsidR="00E6676F" w:rsidRPr="00E6676F" w:rsidRDefault="00694FB0" w:rsidP="00694FB0">
            <w:pPr>
              <w:widowControl w:val="0"/>
              <w:snapToGrid w:val="0"/>
              <w:spacing w:after="58"/>
              <w:jc w:val="right"/>
              <w:rPr>
                <w:sz w:val="20"/>
                <w:szCs w:val="20"/>
              </w:rPr>
            </w:pPr>
            <w:r>
              <w:rPr>
                <w:sz w:val="20"/>
                <w:szCs w:val="20"/>
              </w:rPr>
              <w:t>2,149</w:t>
            </w:r>
          </w:p>
        </w:tc>
        <w:tc>
          <w:tcPr>
            <w:tcW w:w="1170" w:type="dxa"/>
            <w:tcBorders>
              <w:top w:val="single" w:sz="6" w:space="0" w:color="000000"/>
              <w:left w:val="single" w:sz="6" w:space="0" w:color="000000"/>
              <w:bottom w:val="single" w:sz="6" w:space="0" w:color="000000"/>
              <w:right w:val="single" w:sz="6" w:space="0" w:color="000000"/>
            </w:tcBorders>
          </w:tcPr>
          <w:p w:rsidR="00E6676F" w:rsidRPr="00E6676F" w:rsidRDefault="007A3EC5" w:rsidP="00694FB0">
            <w:pPr>
              <w:widowControl w:val="0"/>
              <w:snapToGrid w:val="0"/>
              <w:spacing w:after="58"/>
              <w:jc w:val="right"/>
              <w:rPr>
                <w:sz w:val="20"/>
                <w:szCs w:val="20"/>
              </w:rPr>
            </w:pPr>
            <w:r>
              <w:rPr>
                <w:sz w:val="20"/>
                <w:szCs w:val="20"/>
              </w:rPr>
              <w:t>4.4</w:t>
            </w:r>
          </w:p>
        </w:tc>
        <w:tc>
          <w:tcPr>
            <w:tcW w:w="990" w:type="dxa"/>
            <w:tcBorders>
              <w:top w:val="single" w:sz="6" w:space="0" w:color="000000"/>
              <w:left w:val="single" w:sz="6" w:space="0" w:color="000000"/>
              <w:bottom w:val="single" w:sz="6" w:space="0" w:color="000000"/>
              <w:right w:val="single" w:sz="6" w:space="0" w:color="000000"/>
            </w:tcBorders>
          </w:tcPr>
          <w:p w:rsidR="00E6676F" w:rsidRPr="00E6676F" w:rsidRDefault="00694FB0" w:rsidP="00694FB0">
            <w:pPr>
              <w:widowControl w:val="0"/>
              <w:snapToGrid w:val="0"/>
              <w:spacing w:after="58"/>
              <w:jc w:val="right"/>
              <w:rPr>
                <w:sz w:val="20"/>
                <w:szCs w:val="20"/>
              </w:rPr>
            </w:pPr>
            <w:r>
              <w:rPr>
                <w:sz w:val="20"/>
                <w:szCs w:val="20"/>
              </w:rPr>
              <w:t>9,414</w:t>
            </w:r>
          </w:p>
        </w:tc>
      </w:tr>
      <w:tr w:rsidR="00E6676F" w:rsidRPr="00E6676F" w:rsidTr="00CC485A">
        <w:tc>
          <w:tcPr>
            <w:tcW w:w="234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rPr>
                <w:sz w:val="20"/>
                <w:szCs w:val="20"/>
              </w:rPr>
            </w:pPr>
            <w:r>
              <w:rPr>
                <w:sz w:val="20"/>
                <w:szCs w:val="20"/>
              </w:rPr>
              <w:t>Part 106 – SUBPARTS C-G</w:t>
            </w:r>
            <w:r w:rsidR="000E7F78">
              <w:rPr>
                <w:sz w:val="20"/>
                <w:szCs w:val="20"/>
              </w:rPr>
              <w:t>:</w:t>
            </w:r>
            <w:r>
              <w:rPr>
                <w:sz w:val="20"/>
                <w:szCs w:val="20"/>
              </w:rPr>
              <w:t xml:space="preserve">  Quality control; audits; quality factors; records and reports</w:t>
            </w:r>
          </w:p>
        </w:tc>
        <w:tc>
          <w:tcPr>
            <w:tcW w:w="162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right"/>
              <w:rPr>
                <w:sz w:val="20"/>
                <w:szCs w:val="20"/>
              </w:rPr>
            </w:pPr>
          </w:p>
          <w:p w:rsidR="00E6676F" w:rsidRPr="00E6676F" w:rsidRDefault="00694FB0" w:rsidP="00694FB0">
            <w:pPr>
              <w:widowControl w:val="0"/>
              <w:snapToGrid w:val="0"/>
              <w:spacing w:after="58"/>
              <w:jc w:val="right"/>
              <w:rPr>
                <w:sz w:val="20"/>
                <w:szCs w:val="20"/>
              </w:rPr>
            </w:pPr>
            <w:r>
              <w:rPr>
                <w:sz w:val="20"/>
                <w:szCs w:val="20"/>
              </w:rPr>
              <w:t>5</w:t>
            </w:r>
          </w:p>
        </w:tc>
        <w:tc>
          <w:tcPr>
            <w:tcW w:w="153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right"/>
              <w:rPr>
                <w:sz w:val="20"/>
                <w:szCs w:val="20"/>
              </w:rPr>
            </w:pPr>
          </w:p>
          <w:p w:rsidR="00E6676F" w:rsidRPr="00E6676F" w:rsidRDefault="00D30D50" w:rsidP="00694FB0">
            <w:pPr>
              <w:widowControl w:val="0"/>
              <w:snapToGrid w:val="0"/>
              <w:spacing w:after="58"/>
              <w:jc w:val="right"/>
              <w:rPr>
                <w:sz w:val="20"/>
                <w:szCs w:val="20"/>
              </w:rPr>
            </w:pPr>
            <w:r>
              <w:rPr>
                <w:sz w:val="20"/>
                <w:szCs w:val="20"/>
              </w:rPr>
              <w:t>726.8</w:t>
            </w:r>
          </w:p>
        </w:tc>
        <w:tc>
          <w:tcPr>
            <w:tcW w:w="126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right"/>
              <w:rPr>
                <w:sz w:val="20"/>
                <w:szCs w:val="20"/>
              </w:rPr>
            </w:pPr>
          </w:p>
          <w:p w:rsidR="00E6676F" w:rsidRPr="00E6676F" w:rsidRDefault="00D30D50" w:rsidP="00694FB0">
            <w:pPr>
              <w:widowControl w:val="0"/>
              <w:snapToGrid w:val="0"/>
              <w:spacing w:after="58"/>
              <w:jc w:val="right"/>
              <w:rPr>
                <w:sz w:val="20"/>
                <w:szCs w:val="20"/>
              </w:rPr>
            </w:pPr>
            <w:r>
              <w:rPr>
                <w:sz w:val="20"/>
                <w:szCs w:val="20"/>
              </w:rPr>
              <w:t>3,634</w:t>
            </w:r>
          </w:p>
        </w:tc>
        <w:tc>
          <w:tcPr>
            <w:tcW w:w="117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right"/>
              <w:rPr>
                <w:sz w:val="20"/>
                <w:szCs w:val="20"/>
              </w:rPr>
            </w:pPr>
          </w:p>
          <w:p w:rsidR="00E6676F" w:rsidRPr="00E6676F" w:rsidRDefault="00D30D50" w:rsidP="00694FB0">
            <w:pPr>
              <w:widowControl w:val="0"/>
              <w:snapToGrid w:val="0"/>
              <w:spacing w:after="58"/>
              <w:jc w:val="right"/>
              <w:rPr>
                <w:sz w:val="20"/>
                <w:szCs w:val="20"/>
              </w:rPr>
            </w:pPr>
            <w:r>
              <w:rPr>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right"/>
              <w:rPr>
                <w:sz w:val="20"/>
                <w:szCs w:val="20"/>
              </w:rPr>
            </w:pPr>
          </w:p>
          <w:p w:rsidR="00E6676F" w:rsidRPr="00E6676F" w:rsidRDefault="00694FB0" w:rsidP="00694FB0">
            <w:pPr>
              <w:widowControl w:val="0"/>
              <w:snapToGrid w:val="0"/>
              <w:spacing w:after="58"/>
              <w:jc w:val="right"/>
              <w:rPr>
                <w:sz w:val="20"/>
                <w:szCs w:val="20"/>
              </w:rPr>
            </w:pPr>
            <w:r>
              <w:rPr>
                <w:sz w:val="20"/>
                <w:szCs w:val="20"/>
              </w:rPr>
              <w:t>21,818</w:t>
            </w:r>
          </w:p>
        </w:tc>
      </w:tr>
      <w:tr w:rsidR="00E6676F" w:rsidRPr="00E6676F" w:rsidTr="00CC485A">
        <w:tc>
          <w:tcPr>
            <w:tcW w:w="234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rPr>
                <w:sz w:val="20"/>
                <w:szCs w:val="20"/>
              </w:rPr>
            </w:pPr>
            <w:r>
              <w:rPr>
                <w:sz w:val="20"/>
                <w:szCs w:val="20"/>
              </w:rPr>
              <w:t xml:space="preserve">Part 107 – SUBPART </w:t>
            </w:r>
            <w:r w:rsidR="008468E1">
              <w:rPr>
                <w:sz w:val="20"/>
                <w:szCs w:val="20"/>
              </w:rPr>
              <w:t xml:space="preserve">C; </w:t>
            </w:r>
            <w:r>
              <w:rPr>
                <w:sz w:val="20"/>
                <w:szCs w:val="20"/>
              </w:rPr>
              <w:t>Exempt infant formulas</w:t>
            </w:r>
          </w:p>
        </w:tc>
        <w:tc>
          <w:tcPr>
            <w:tcW w:w="162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spacing w:after="58"/>
              <w:jc w:val="right"/>
              <w:rPr>
                <w:sz w:val="20"/>
                <w:szCs w:val="20"/>
              </w:rPr>
            </w:pPr>
            <w:r>
              <w:rPr>
                <w:sz w:val="20"/>
                <w:szCs w:val="20"/>
              </w:rPr>
              <w:t>3</w:t>
            </w:r>
          </w:p>
        </w:tc>
        <w:tc>
          <w:tcPr>
            <w:tcW w:w="153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spacing w:after="58"/>
              <w:jc w:val="right"/>
              <w:rPr>
                <w:sz w:val="20"/>
                <w:szCs w:val="20"/>
              </w:rPr>
            </w:pPr>
            <w:r>
              <w:rPr>
                <w:sz w:val="20"/>
                <w:szCs w:val="20"/>
              </w:rPr>
              <w:t>10</w:t>
            </w:r>
          </w:p>
        </w:tc>
        <w:tc>
          <w:tcPr>
            <w:tcW w:w="126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spacing w:after="58"/>
              <w:jc w:val="right"/>
              <w:rPr>
                <w:sz w:val="20"/>
                <w:szCs w:val="20"/>
              </w:rPr>
            </w:pPr>
            <w:r>
              <w:rPr>
                <w:sz w:val="20"/>
                <w:szCs w:val="20"/>
              </w:rPr>
              <w:t>30</w:t>
            </w:r>
          </w:p>
        </w:tc>
        <w:tc>
          <w:tcPr>
            <w:tcW w:w="117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spacing w:after="58"/>
              <w:jc w:val="right"/>
              <w:rPr>
                <w:sz w:val="20"/>
                <w:szCs w:val="20"/>
              </w:rPr>
            </w:pPr>
            <w:r>
              <w:rPr>
                <w:sz w:val="20"/>
                <w:szCs w:val="20"/>
              </w:rPr>
              <w:t>300</w:t>
            </w:r>
          </w:p>
        </w:tc>
        <w:tc>
          <w:tcPr>
            <w:tcW w:w="990" w:type="dxa"/>
            <w:tcBorders>
              <w:top w:val="single" w:sz="6" w:space="0" w:color="000000"/>
              <w:left w:val="single" w:sz="6" w:space="0" w:color="000000"/>
              <w:bottom w:val="single" w:sz="6" w:space="0" w:color="000000"/>
              <w:right w:val="single" w:sz="6" w:space="0" w:color="000000"/>
            </w:tcBorders>
          </w:tcPr>
          <w:p w:rsidR="00E6676F" w:rsidRPr="00E6676F" w:rsidRDefault="00234A54" w:rsidP="00694FB0">
            <w:pPr>
              <w:widowControl w:val="0"/>
              <w:snapToGrid w:val="0"/>
              <w:spacing w:after="58"/>
              <w:jc w:val="right"/>
              <w:rPr>
                <w:sz w:val="20"/>
                <w:szCs w:val="20"/>
              </w:rPr>
            </w:pPr>
            <w:r>
              <w:rPr>
                <w:sz w:val="20"/>
                <w:szCs w:val="20"/>
              </w:rPr>
              <w:t>9,000</w:t>
            </w:r>
          </w:p>
        </w:tc>
      </w:tr>
      <w:tr w:rsidR="00E6676F" w:rsidRPr="00E6676F" w:rsidTr="00CC485A">
        <w:tc>
          <w:tcPr>
            <w:tcW w:w="234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center"/>
              <w:rPr>
                <w:sz w:val="20"/>
                <w:szCs w:val="20"/>
              </w:rPr>
            </w:pPr>
            <w:r w:rsidRPr="00E6676F">
              <w:rPr>
                <w:sz w:val="20"/>
                <w:szCs w:val="20"/>
              </w:rPr>
              <w:t>Total</w:t>
            </w:r>
          </w:p>
        </w:tc>
        <w:tc>
          <w:tcPr>
            <w:tcW w:w="162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center"/>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6676F" w:rsidRPr="00E6676F" w:rsidRDefault="00694FB0" w:rsidP="00694FB0">
            <w:pPr>
              <w:widowControl w:val="0"/>
              <w:snapToGrid w:val="0"/>
              <w:spacing w:after="58"/>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2,679</w:t>
            </w:r>
            <w:r>
              <w:rPr>
                <w:sz w:val="20"/>
                <w:szCs w:val="20"/>
              </w:rPr>
              <w:fldChar w:fldCharType="end"/>
            </w:r>
          </w:p>
        </w:tc>
        <w:tc>
          <w:tcPr>
            <w:tcW w:w="1170" w:type="dxa"/>
            <w:tcBorders>
              <w:top w:val="single" w:sz="6" w:space="0" w:color="000000"/>
              <w:left w:val="single" w:sz="6" w:space="0" w:color="000000"/>
              <w:bottom w:val="single" w:sz="6" w:space="0" w:color="000000"/>
              <w:right w:val="single" w:sz="6" w:space="0" w:color="000000"/>
            </w:tcBorders>
          </w:tcPr>
          <w:p w:rsidR="00E6676F" w:rsidRPr="00E6676F" w:rsidRDefault="00E6676F" w:rsidP="00694FB0">
            <w:pPr>
              <w:widowControl w:val="0"/>
              <w:snapToGrid w:val="0"/>
              <w:spacing w:after="58"/>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E6676F" w:rsidRPr="00E6676F" w:rsidRDefault="00694FB0" w:rsidP="00694FB0">
            <w:pPr>
              <w:widowControl w:val="0"/>
              <w:snapToGrid w:val="0"/>
              <w:spacing w:after="58"/>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40,232</w:t>
            </w:r>
            <w:r>
              <w:rPr>
                <w:sz w:val="20"/>
                <w:szCs w:val="20"/>
              </w:rPr>
              <w:fldChar w:fldCharType="end"/>
            </w:r>
          </w:p>
        </w:tc>
      </w:tr>
    </w:tbl>
    <w:p w:rsidR="00BD39FA" w:rsidRDefault="00694FB0" w:rsidP="00694FB0">
      <w:pPr>
        <w:widowControl w:val="0"/>
        <w:spacing w:line="233" w:lineRule="exact"/>
        <w:rPr>
          <w:sz w:val="20"/>
          <w:szCs w:val="20"/>
        </w:rPr>
      </w:pPr>
      <w:r>
        <w:tab/>
        <w:t xml:space="preserve">  </w:t>
      </w:r>
      <w:r w:rsidR="00BD39FA" w:rsidRPr="00694FB0">
        <w:rPr>
          <w:position w:val="8"/>
          <w:sz w:val="20"/>
          <w:szCs w:val="20"/>
        </w:rPr>
        <w:t xml:space="preserve">1 </w:t>
      </w:r>
      <w:r w:rsidR="00BD39FA" w:rsidRPr="00694FB0">
        <w:rPr>
          <w:sz w:val="20"/>
          <w:szCs w:val="20"/>
        </w:rPr>
        <w:t>There are no capital costs or operating and maintenance costs associate</w:t>
      </w:r>
      <w:r>
        <w:rPr>
          <w:sz w:val="20"/>
          <w:szCs w:val="20"/>
        </w:rPr>
        <w:t>d with the information</w:t>
      </w:r>
      <w:r w:rsidR="00BD39FA" w:rsidRPr="00694FB0">
        <w:rPr>
          <w:sz w:val="20"/>
          <w:szCs w:val="20"/>
        </w:rPr>
        <w:t>.</w:t>
      </w:r>
    </w:p>
    <w:p w:rsidR="007A3EC5" w:rsidRPr="00694FB0" w:rsidRDefault="007A3EC5" w:rsidP="00694FB0">
      <w:pPr>
        <w:widowControl w:val="0"/>
        <w:spacing w:line="233" w:lineRule="exact"/>
        <w:rPr>
          <w:position w:val="8"/>
          <w:sz w:val="20"/>
          <w:szCs w:val="20"/>
          <w:vertAlign w:val="superscript"/>
        </w:rPr>
      </w:pPr>
      <w:r>
        <w:rPr>
          <w:sz w:val="20"/>
          <w:szCs w:val="20"/>
        </w:rPr>
        <w:tab/>
        <w:t xml:space="preserve">  </w:t>
      </w:r>
      <w:r w:rsidRPr="007A3EC5">
        <w:rPr>
          <w:sz w:val="20"/>
          <w:szCs w:val="20"/>
          <w:vertAlign w:val="superscript"/>
        </w:rPr>
        <w:t>2</w:t>
      </w:r>
      <w:r>
        <w:rPr>
          <w:sz w:val="20"/>
          <w:szCs w:val="20"/>
        </w:rPr>
        <w:t xml:space="preserve">  Numbers have been rounded.</w:t>
      </w:r>
    </w:p>
    <w:p w:rsidR="00BD39FA" w:rsidRPr="00176B07" w:rsidRDefault="00BD39FA" w:rsidP="00CD69A0">
      <w:pPr>
        <w:ind w:left="720"/>
      </w:pPr>
    </w:p>
    <w:p w:rsidR="0048260C" w:rsidRDefault="000C30D5" w:rsidP="00CD69A0">
      <w:pPr>
        <w:pStyle w:val="BodyText2"/>
        <w:ind w:left="720"/>
      </w:pPr>
      <w:r>
        <w:t>To estimate r</w:t>
      </w:r>
      <w:r w:rsidR="00694FB0">
        <w:t xml:space="preserve">ecordkeeping </w:t>
      </w:r>
      <w:r>
        <w:t xml:space="preserve">burden we considered the number of </w:t>
      </w:r>
      <w:r w:rsidR="00694FB0">
        <w:t xml:space="preserve">manufacturing </w:t>
      </w:r>
      <w:r>
        <w:t xml:space="preserve">facilities and the number of applicable tests for which recordkeeping requirements apply.  Using these figures we applied an average burden distributed among respondents to the collection.  Cumulatively we estimate the recordkeeping requirements total </w:t>
      </w:r>
      <w:r w:rsidR="0048260C">
        <w:t>40,232 hours.</w:t>
      </w:r>
    </w:p>
    <w:p w:rsidR="000C30D5" w:rsidRDefault="000C30D5" w:rsidP="00CD69A0">
      <w:pPr>
        <w:pStyle w:val="BodyText2"/>
        <w:ind w:left="720"/>
      </w:pPr>
    </w:p>
    <w:p w:rsidR="00036028" w:rsidRDefault="00036028">
      <w:pPr>
        <w:rPr>
          <w:szCs w:val="20"/>
        </w:rPr>
      </w:pPr>
      <w:r>
        <w:br w:type="page"/>
      </w:r>
    </w:p>
    <w:p w:rsidR="000C30D5" w:rsidRDefault="000C30D5" w:rsidP="000F5AD5">
      <w:pPr>
        <w:pStyle w:val="BodyText2"/>
        <w:ind w:left="720"/>
        <w:jc w:val="center"/>
      </w:pPr>
      <w:r>
        <w:t>Table 3 – Estimated Annual Third-Party Disclosure Burden</w:t>
      </w:r>
      <w:r w:rsidRPr="000C30D5">
        <w:rPr>
          <w:vertAlign w:val="superscript"/>
        </w:rPr>
        <w:t>1</w:t>
      </w:r>
    </w:p>
    <w:p w:rsidR="0048260C" w:rsidRPr="00231519" w:rsidRDefault="0048260C" w:rsidP="00CD69A0">
      <w:pPr>
        <w:pStyle w:val="BodyText2"/>
        <w:ind w:left="720"/>
      </w:pPr>
    </w:p>
    <w:tbl>
      <w:tblPr>
        <w:tblW w:w="476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658"/>
        <w:gridCol w:w="1558"/>
        <w:gridCol w:w="1274"/>
        <w:gridCol w:w="1186"/>
        <w:gridCol w:w="1053"/>
      </w:tblGrid>
      <w:tr w:rsidR="000C30D5" w:rsidRPr="00231519" w:rsidTr="000F5AD5">
        <w:trPr>
          <w:cantSplit/>
          <w:trHeight w:val="782"/>
          <w:tblHeader/>
        </w:trPr>
        <w:tc>
          <w:tcPr>
            <w:tcW w:w="1313" w:type="pct"/>
            <w:shd w:val="clear" w:color="auto" w:fill="F2F2F2" w:themeFill="background1" w:themeFillShade="F2"/>
          </w:tcPr>
          <w:p w:rsidR="00E65A37" w:rsidRPr="000C30D5" w:rsidRDefault="00E65A37" w:rsidP="00CD69A0">
            <w:pPr>
              <w:jc w:val="center"/>
              <w:rPr>
                <w:sz w:val="22"/>
                <w:szCs w:val="22"/>
              </w:rPr>
            </w:pPr>
            <w:r w:rsidRPr="000C30D5">
              <w:rPr>
                <w:sz w:val="22"/>
                <w:szCs w:val="22"/>
              </w:rPr>
              <w:t xml:space="preserve">21 CFR </w:t>
            </w:r>
            <w:r w:rsidR="0048260C" w:rsidRPr="000C30D5">
              <w:rPr>
                <w:sz w:val="22"/>
                <w:szCs w:val="22"/>
              </w:rPr>
              <w:t>Sectio</w:t>
            </w:r>
            <w:r w:rsidR="000C30D5">
              <w:rPr>
                <w:sz w:val="22"/>
                <w:szCs w:val="22"/>
              </w:rPr>
              <w:t>n</w:t>
            </w:r>
          </w:p>
        </w:tc>
        <w:tc>
          <w:tcPr>
            <w:tcW w:w="908" w:type="pct"/>
            <w:shd w:val="clear" w:color="auto" w:fill="F2F2F2" w:themeFill="background1" w:themeFillShade="F2"/>
          </w:tcPr>
          <w:p w:rsidR="00E65A37" w:rsidRPr="000C30D5" w:rsidRDefault="00E65A37" w:rsidP="00CD69A0">
            <w:pPr>
              <w:jc w:val="center"/>
              <w:rPr>
                <w:sz w:val="22"/>
                <w:szCs w:val="22"/>
              </w:rPr>
            </w:pPr>
            <w:r w:rsidRPr="000C30D5">
              <w:rPr>
                <w:sz w:val="22"/>
                <w:szCs w:val="22"/>
              </w:rPr>
              <w:t>No. of Respondents</w:t>
            </w:r>
          </w:p>
        </w:tc>
        <w:tc>
          <w:tcPr>
            <w:tcW w:w="853" w:type="pct"/>
            <w:shd w:val="clear" w:color="auto" w:fill="F2F2F2" w:themeFill="background1" w:themeFillShade="F2"/>
          </w:tcPr>
          <w:p w:rsidR="00E65A37" w:rsidRPr="000C30D5" w:rsidRDefault="00E65A37" w:rsidP="00CD69A0">
            <w:pPr>
              <w:jc w:val="center"/>
              <w:rPr>
                <w:sz w:val="22"/>
                <w:szCs w:val="22"/>
              </w:rPr>
            </w:pPr>
            <w:r w:rsidRPr="000C30D5">
              <w:rPr>
                <w:bCs/>
                <w:sz w:val="22"/>
                <w:szCs w:val="22"/>
              </w:rPr>
              <w:t>No. of Disclosures per Respondent</w:t>
            </w:r>
          </w:p>
        </w:tc>
        <w:tc>
          <w:tcPr>
            <w:tcW w:w="698" w:type="pct"/>
            <w:shd w:val="clear" w:color="auto" w:fill="F2F2F2" w:themeFill="background1" w:themeFillShade="F2"/>
          </w:tcPr>
          <w:p w:rsidR="00E65A37" w:rsidRPr="000C30D5" w:rsidRDefault="00E65A37" w:rsidP="00CD69A0">
            <w:pPr>
              <w:jc w:val="center"/>
              <w:rPr>
                <w:sz w:val="22"/>
                <w:szCs w:val="22"/>
              </w:rPr>
            </w:pPr>
            <w:r w:rsidRPr="000C30D5">
              <w:rPr>
                <w:sz w:val="22"/>
                <w:szCs w:val="22"/>
              </w:rPr>
              <w:t>Total Annual Disclosures</w:t>
            </w:r>
          </w:p>
        </w:tc>
        <w:tc>
          <w:tcPr>
            <w:tcW w:w="650" w:type="pct"/>
            <w:shd w:val="clear" w:color="auto" w:fill="F2F2F2" w:themeFill="background1" w:themeFillShade="F2"/>
          </w:tcPr>
          <w:p w:rsidR="00E65A37" w:rsidRPr="000C30D5" w:rsidRDefault="000C30D5" w:rsidP="00CD69A0">
            <w:pPr>
              <w:jc w:val="center"/>
              <w:rPr>
                <w:sz w:val="22"/>
                <w:szCs w:val="22"/>
              </w:rPr>
            </w:pPr>
            <w:r>
              <w:rPr>
                <w:bCs/>
                <w:sz w:val="22"/>
                <w:szCs w:val="22"/>
              </w:rPr>
              <w:t>Avg.</w:t>
            </w:r>
            <w:r w:rsidR="00E65A37" w:rsidRPr="000C30D5">
              <w:rPr>
                <w:bCs/>
                <w:sz w:val="22"/>
                <w:szCs w:val="22"/>
              </w:rPr>
              <w:t xml:space="preserve"> Burden per Disclosure </w:t>
            </w:r>
          </w:p>
        </w:tc>
        <w:tc>
          <w:tcPr>
            <w:tcW w:w="577" w:type="pct"/>
            <w:shd w:val="clear" w:color="auto" w:fill="F2F2F2" w:themeFill="background1" w:themeFillShade="F2"/>
          </w:tcPr>
          <w:p w:rsidR="00E65A37" w:rsidRPr="000C30D5" w:rsidRDefault="00E65A37" w:rsidP="00CD69A0">
            <w:pPr>
              <w:jc w:val="center"/>
              <w:rPr>
                <w:sz w:val="22"/>
                <w:szCs w:val="22"/>
              </w:rPr>
            </w:pPr>
            <w:r w:rsidRPr="000C30D5">
              <w:rPr>
                <w:sz w:val="22"/>
                <w:szCs w:val="22"/>
              </w:rPr>
              <w:t>Total Hours</w:t>
            </w:r>
          </w:p>
        </w:tc>
      </w:tr>
      <w:tr w:rsidR="000C30D5" w:rsidRPr="00231519" w:rsidTr="000F5AD5">
        <w:trPr>
          <w:cantSplit/>
          <w:trHeight w:val="791"/>
        </w:trPr>
        <w:tc>
          <w:tcPr>
            <w:tcW w:w="1313" w:type="pct"/>
          </w:tcPr>
          <w:p w:rsidR="00E65A37" w:rsidRPr="000C30D5" w:rsidRDefault="0048260C" w:rsidP="00CD69A0">
            <w:pPr>
              <w:rPr>
                <w:sz w:val="22"/>
                <w:szCs w:val="22"/>
              </w:rPr>
            </w:pPr>
            <w:r w:rsidRPr="000C30D5">
              <w:rPr>
                <w:sz w:val="22"/>
                <w:szCs w:val="22"/>
              </w:rPr>
              <w:t>Nutrient labeling; 21 CFR 107.10(a) and 107.20</w:t>
            </w:r>
          </w:p>
        </w:tc>
        <w:tc>
          <w:tcPr>
            <w:tcW w:w="908" w:type="pct"/>
          </w:tcPr>
          <w:p w:rsidR="00E65A37" w:rsidRPr="000C30D5" w:rsidRDefault="0048260C" w:rsidP="00CD69A0">
            <w:pPr>
              <w:jc w:val="right"/>
              <w:rPr>
                <w:sz w:val="22"/>
                <w:szCs w:val="22"/>
              </w:rPr>
            </w:pPr>
            <w:r w:rsidRPr="000C30D5">
              <w:rPr>
                <w:sz w:val="22"/>
                <w:szCs w:val="22"/>
              </w:rPr>
              <w:t>5</w:t>
            </w:r>
          </w:p>
        </w:tc>
        <w:tc>
          <w:tcPr>
            <w:tcW w:w="853" w:type="pct"/>
          </w:tcPr>
          <w:p w:rsidR="00E65A37" w:rsidRPr="000C30D5" w:rsidRDefault="0048260C" w:rsidP="00CD69A0">
            <w:pPr>
              <w:jc w:val="right"/>
              <w:rPr>
                <w:sz w:val="22"/>
                <w:szCs w:val="22"/>
              </w:rPr>
            </w:pPr>
            <w:r w:rsidRPr="000C30D5">
              <w:rPr>
                <w:sz w:val="22"/>
                <w:szCs w:val="22"/>
              </w:rPr>
              <w:t>13</w:t>
            </w:r>
          </w:p>
        </w:tc>
        <w:tc>
          <w:tcPr>
            <w:tcW w:w="698" w:type="pct"/>
          </w:tcPr>
          <w:p w:rsidR="00E65A37" w:rsidRPr="000C30D5" w:rsidRDefault="0048260C" w:rsidP="00CD69A0">
            <w:pPr>
              <w:jc w:val="right"/>
              <w:rPr>
                <w:sz w:val="22"/>
                <w:szCs w:val="22"/>
              </w:rPr>
            </w:pPr>
            <w:r w:rsidRPr="000C30D5">
              <w:rPr>
                <w:sz w:val="22"/>
                <w:szCs w:val="22"/>
              </w:rPr>
              <w:t>65</w:t>
            </w:r>
          </w:p>
        </w:tc>
        <w:tc>
          <w:tcPr>
            <w:tcW w:w="650" w:type="pct"/>
          </w:tcPr>
          <w:p w:rsidR="00E65A37" w:rsidRPr="000C30D5" w:rsidRDefault="0048260C" w:rsidP="00CD69A0">
            <w:pPr>
              <w:jc w:val="center"/>
              <w:rPr>
                <w:sz w:val="22"/>
                <w:szCs w:val="22"/>
              </w:rPr>
            </w:pPr>
            <w:r w:rsidRPr="000C30D5">
              <w:rPr>
                <w:sz w:val="22"/>
                <w:szCs w:val="22"/>
              </w:rPr>
              <w:t>8</w:t>
            </w:r>
          </w:p>
        </w:tc>
        <w:tc>
          <w:tcPr>
            <w:tcW w:w="577" w:type="pct"/>
          </w:tcPr>
          <w:p w:rsidR="00E65A37" w:rsidRPr="000C30D5" w:rsidRDefault="0048260C" w:rsidP="00CD69A0">
            <w:pPr>
              <w:jc w:val="right"/>
              <w:rPr>
                <w:sz w:val="22"/>
                <w:szCs w:val="22"/>
              </w:rPr>
            </w:pPr>
            <w:r w:rsidRPr="000C30D5">
              <w:rPr>
                <w:sz w:val="22"/>
                <w:szCs w:val="22"/>
              </w:rPr>
              <w:t>520</w:t>
            </w:r>
          </w:p>
        </w:tc>
      </w:tr>
    </w:tbl>
    <w:p w:rsidR="00C75CBF" w:rsidRDefault="000F5AD5" w:rsidP="00CD69A0">
      <w:pPr>
        <w:pStyle w:val="BodyText2"/>
        <w:ind w:left="720"/>
      </w:pPr>
      <w:r>
        <w:rPr>
          <w:vertAlign w:val="superscript"/>
        </w:rPr>
        <w:t xml:space="preserve">  </w:t>
      </w:r>
      <w:r w:rsidR="00F66ABA" w:rsidRPr="00F66ABA">
        <w:rPr>
          <w:vertAlign w:val="superscript"/>
        </w:rPr>
        <w:t>1</w:t>
      </w:r>
      <w:r w:rsidR="00F66ABA" w:rsidRPr="00F66ABA">
        <w:t xml:space="preserve"> </w:t>
      </w:r>
      <w:r w:rsidR="00F66ABA" w:rsidRPr="00F66ABA">
        <w:rPr>
          <w:sz w:val="20"/>
        </w:rPr>
        <w:t>There are no capital costs or operating and maintenance costs asso</w:t>
      </w:r>
      <w:r w:rsidR="000C30D5">
        <w:rPr>
          <w:sz w:val="20"/>
        </w:rPr>
        <w:t>ciated with the information collection</w:t>
      </w:r>
      <w:r w:rsidR="00F66ABA" w:rsidRPr="00F66ABA">
        <w:rPr>
          <w:sz w:val="20"/>
        </w:rPr>
        <w:t>.</w:t>
      </w:r>
    </w:p>
    <w:p w:rsidR="000C30D5" w:rsidRDefault="000C30D5" w:rsidP="00CD69A0">
      <w:pPr>
        <w:pStyle w:val="BodyText2"/>
        <w:ind w:left="720"/>
      </w:pPr>
    </w:p>
    <w:p w:rsidR="003740BC" w:rsidRDefault="0048260C" w:rsidP="00CD69A0">
      <w:pPr>
        <w:pStyle w:val="BodyText2"/>
        <w:ind w:left="720"/>
      </w:pPr>
      <w:r w:rsidRPr="0048260C">
        <w:t xml:space="preserve">We estimate compliance with labeling requirements in §§ 107.10(a) and 107.20 requires 520 hours annually by </w:t>
      </w:r>
      <w:r w:rsidR="000F5AD5">
        <w:t xml:space="preserve">the </w:t>
      </w:r>
      <w:r w:rsidRPr="0048260C">
        <w:t xml:space="preserve">five </w:t>
      </w:r>
      <w:r w:rsidR="000F5AD5">
        <w:t>respondents</w:t>
      </w:r>
      <w:r w:rsidRPr="0048260C">
        <w:t>.</w:t>
      </w:r>
    </w:p>
    <w:p w:rsidR="0048260C" w:rsidRDefault="0048260C" w:rsidP="00CD69A0">
      <w:pPr>
        <w:pStyle w:val="BodyText2"/>
        <w:ind w:left="720"/>
      </w:pPr>
    </w:p>
    <w:p w:rsidR="00A93ED9" w:rsidRPr="000F5AD5" w:rsidRDefault="000F5AD5" w:rsidP="00CD69A0">
      <w:pPr>
        <w:pStyle w:val="BodyText2"/>
        <w:ind w:left="720"/>
        <w:rPr>
          <w:i/>
        </w:rPr>
      </w:pPr>
      <w:r>
        <w:rPr>
          <w:i/>
        </w:rPr>
        <w:tab/>
      </w:r>
      <w:r w:rsidR="00A93ED9" w:rsidRPr="000F5AD5">
        <w:rPr>
          <w:i/>
        </w:rPr>
        <w:t xml:space="preserve">12b. </w:t>
      </w:r>
      <w:r w:rsidR="00411D11" w:rsidRPr="000F5AD5">
        <w:rPr>
          <w:i/>
        </w:rPr>
        <w:t>Annualized Cost Burden Estimate</w:t>
      </w:r>
    </w:p>
    <w:p w:rsidR="00A93ED9" w:rsidRDefault="00A93ED9" w:rsidP="00CD69A0">
      <w:pPr>
        <w:pStyle w:val="BodyText2"/>
        <w:ind w:left="720"/>
      </w:pPr>
    </w:p>
    <w:p w:rsidR="00182974" w:rsidRDefault="000F5AD5" w:rsidP="00CD69A0">
      <w:pPr>
        <w:pStyle w:val="BodyText2"/>
        <w:ind w:left="720"/>
      </w:pPr>
      <w:r>
        <w:tab/>
      </w:r>
      <w:r w:rsidR="00182974">
        <w:t xml:space="preserve">We measure costs based on the best available information from government, industry, and academic sources.  We list some common conventions used throughout the cost analysis here. </w:t>
      </w:r>
      <w:r w:rsidR="002D02D9">
        <w:t xml:space="preserve"> </w:t>
      </w:r>
      <w:r w:rsidR="00182974">
        <w:t>All wage rates used come from the Bureau of Labor Statistics</w:t>
      </w:r>
      <w:r w:rsidR="00BB57B8">
        <w:t xml:space="preserve"> (BLS)</w:t>
      </w:r>
      <w:r w:rsidR="00182974">
        <w:t>, Occupational Employment Statistics, May 201</w:t>
      </w:r>
      <w:r w:rsidR="0031497C">
        <w:t>6</w:t>
      </w:r>
      <w:r w:rsidR="00182974">
        <w:t xml:space="preserve">, National Industry-Specific Occupational Employment and Wage Estimates (available at: </w:t>
      </w:r>
    </w:p>
    <w:p w:rsidR="000D48FD" w:rsidRDefault="004C2E55" w:rsidP="00CD69A0">
      <w:pPr>
        <w:pStyle w:val="BodyText2"/>
        <w:ind w:left="720"/>
      </w:pPr>
      <w:hyperlink r:id="rId11" w:history="1">
        <w:r w:rsidR="00182974" w:rsidRPr="00CB64F5">
          <w:rPr>
            <w:rStyle w:val="Hyperlink"/>
          </w:rPr>
          <w:t>http://www.bls.gov/oes/current/oes191012.htm</w:t>
        </w:r>
      </w:hyperlink>
      <w:r w:rsidR="00182974">
        <w:t>).</w:t>
      </w:r>
    </w:p>
    <w:p w:rsidR="00182974" w:rsidRDefault="00182974" w:rsidP="00CD69A0">
      <w:pPr>
        <w:pStyle w:val="BodyText2"/>
        <w:ind w:left="720"/>
      </w:pPr>
    </w:p>
    <w:p w:rsidR="003740BC" w:rsidRDefault="009C6F75" w:rsidP="00CD69A0">
      <w:pPr>
        <w:pStyle w:val="BodyText2"/>
        <w:ind w:left="720"/>
      </w:pPr>
      <w:r>
        <w:t>The BLS estimate of a mean hourly wage rate for a Food Scientist and Technologist is $41.75.  Wages are increased by 10</w:t>
      </w:r>
      <w:r w:rsidR="00182974" w:rsidRPr="00182974">
        <w:t xml:space="preserve">0 percent to account for overhead.  </w:t>
      </w:r>
      <w:r>
        <w:t>Therefore, o</w:t>
      </w:r>
      <w:r w:rsidR="00182974" w:rsidRPr="00182974">
        <w:t xml:space="preserve">ur estimate for the mean hourly wage rate for </w:t>
      </w:r>
      <w:r w:rsidR="0031497C">
        <w:t xml:space="preserve">a </w:t>
      </w:r>
      <w:r>
        <w:t>food scientist and technologist</w:t>
      </w:r>
      <w:r w:rsidR="0031497C">
        <w:t xml:space="preserve"> is $</w:t>
      </w:r>
      <w:r>
        <w:t>83.50, which includes</w:t>
      </w:r>
      <w:r w:rsidR="00182974" w:rsidRPr="00182974">
        <w:t xml:space="preserve"> fringe benefits and other overhead.</w:t>
      </w:r>
      <w:r w:rsidR="002D02D9">
        <w:t xml:space="preserve">  Our total estimate of the cost is $3,542,590, as noted in </w:t>
      </w:r>
      <w:r w:rsidR="00BB57B8">
        <w:t>T</w:t>
      </w:r>
      <w:r w:rsidR="002D02D9">
        <w:t>able 4.</w:t>
      </w:r>
    </w:p>
    <w:p w:rsidR="00182974" w:rsidRDefault="00182974" w:rsidP="00CD69A0">
      <w:pPr>
        <w:pStyle w:val="BodyText2"/>
        <w:ind w:left="720"/>
      </w:pPr>
    </w:p>
    <w:tbl>
      <w:tblPr>
        <w:tblW w:w="87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1530"/>
        <w:gridCol w:w="1440"/>
        <w:gridCol w:w="2070"/>
      </w:tblGrid>
      <w:tr w:rsidR="002D02D9" w:rsidTr="009D6E90">
        <w:tc>
          <w:tcPr>
            <w:tcW w:w="8797" w:type="dxa"/>
            <w:gridSpan w:val="4"/>
            <w:shd w:val="clear" w:color="auto" w:fill="auto"/>
          </w:tcPr>
          <w:p w:rsidR="002D02D9" w:rsidRPr="009D6E90" w:rsidRDefault="002D02D9" w:rsidP="00CD69A0">
            <w:pPr>
              <w:jc w:val="center"/>
              <w:rPr>
                <w:sz w:val="22"/>
                <w:szCs w:val="22"/>
              </w:rPr>
            </w:pPr>
            <w:r w:rsidRPr="009D6E90">
              <w:rPr>
                <w:sz w:val="22"/>
                <w:szCs w:val="22"/>
              </w:rPr>
              <w:t>Table 4. --Estimated Cost</w:t>
            </w:r>
          </w:p>
        </w:tc>
      </w:tr>
      <w:tr w:rsidR="003740BC" w:rsidTr="009D6E90">
        <w:tc>
          <w:tcPr>
            <w:tcW w:w="3757" w:type="dxa"/>
            <w:shd w:val="clear" w:color="auto" w:fill="auto"/>
          </w:tcPr>
          <w:p w:rsidR="003740BC" w:rsidRPr="009D6E90" w:rsidRDefault="00442A3C" w:rsidP="00CD69A0">
            <w:pPr>
              <w:rPr>
                <w:sz w:val="22"/>
                <w:szCs w:val="22"/>
              </w:rPr>
            </w:pPr>
            <w:r w:rsidRPr="009D6E90">
              <w:rPr>
                <w:sz w:val="22"/>
                <w:szCs w:val="22"/>
              </w:rPr>
              <w:t>Type of Respondent</w:t>
            </w:r>
          </w:p>
        </w:tc>
        <w:tc>
          <w:tcPr>
            <w:tcW w:w="1530" w:type="dxa"/>
            <w:shd w:val="clear" w:color="auto" w:fill="auto"/>
          </w:tcPr>
          <w:p w:rsidR="003740BC" w:rsidRPr="009D6E90" w:rsidRDefault="003740BC" w:rsidP="00CD69A0">
            <w:pPr>
              <w:rPr>
                <w:sz w:val="22"/>
                <w:szCs w:val="22"/>
              </w:rPr>
            </w:pPr>
            <w:r w:rsidRPr="009D6E90">
              <w:rPr>
                <w:sz w:val="22"/>
                <w:szCs w:val="22"/>
              </w:rPr>
              <w:t>Total Burden Hours</w:t>
            </w:r>
          </w:p>
        </w:tc>
        <w:tc>
          <w:tcPr>
            <w:tcW w:w="1440" w:type="dxa"/>
            <w:shd w:val="clear" w:color="auto" w:fill="auto"/>
          </w:tcPr>
          <w:p w:rsidR="003740BC" w:rsidRPr="009D6E90" w:rsidRDefault="003740BC" w:rsidP="00CD69A0">
            <w:pPr>
              <w:rPr>
                <w:sz w:val="22"/>
                <w:szCs w:val="22"/>
              </w:rPr>
            </w:pPr>
            <w:r w:rsidRPr="009D6E90">
              <w:rPr>
                <w:sz w:val="22"/>
                <w:szCs w:val="22"/>
              </w:rPr>
              <w:t>Hourly Wage Rate</w:t>
            </w:r>
          </w:p>
        </w:tc>
        <w:tc>
          <w:tcPr>
            <w:tcW w:w="2070" w:type="dxa"/>
            <w:shd w:val="clear" w:color="auto" w:fill="auto"/>
          </w:tcPr>
          <w:p w:rsidR="003740BC" w:rsidRPr="009D6E90" w:rsidRDefault="003740BC" w:rsidP="00CD69A0">
            <w:pPr>
              <w:rPr>
                <w:sz w:val="22"/>
                <w:szCs w:val="22"/>
              </w:rPr>
            </w:pPr>
            <w:r w:rsidRPr="009D6E90">
              <w:rPr>
                <w:sz w:val="22"/>
                <w:szCs w:val="22"/>
              </w:rPr>
              <w:t>Total Respondent Costs</w:t>
            </w:r>
          </w:p>
        </w:tc>
      </w:tr>
      <w:tr w:rsidR="003740BC" w:rsidTr="009D6E90">
        <w:tc>
          <w:tcPr>
            <w:tcW w:w="3757" w:type="dxa"/>
            <w:shd w:val="clear" w:color="auto" w:fill="auto"/>
          </w:tcPr>
          <w:p w:rsidR="003740BC" w:rsidRPr="009D6E90" w:rsidRDefault="009C6F75" w:rsidP="00CD69A0">
            <w:pPr>
              <w:rPr>
                <w:sz w:val="22"/>
                <w:szCs w:val="22"/>
              </w:rPr>
            </w:pPr>
            <w:r w:rsidRPr="009D6E90">
              <w:rPr>
                <w:sz w:val="22"/>
                <w:szCs w:val="22"/>
              </w:rPr>
              <w:t>Food Scientist and Technologist (Reporting)</w:t>
            </w:r>
          </w:p>
        </w:tc>
        <w:tc>
          <w:tcPr>
            <w:tcW w:w="1530" w:type="dxa"/>
            <w:shd w:val="clear" w:color="auto" w:fill="auto"/>
          </w:tcPr>
          <w:p w:rsidR="003740BC" w:rsidRPr="009D6E90" w:rsidRDefault="009C6F75" w:rsidP="00CD69A0">
            <w:pPr>
              <w:jc w:val="right"/>
              <w:rPr>
                <w:sz w:val="22"/>
                <w:szCs w:val="22"/>
              </w:rPr>
            </w:pPr>
            <w:r w:rsidRPr="009D6E90">
              <w:rPr>
                <w:sz w:val="22"/>
                <w:szCs w:val="22"/>
              </w:rPr>
              <w:t>2,188</w:t>
            </w:r>
          </w:p>
        </w:tc>
        <w:tc>
          <w:tcPr>
            <w:tcW w:w="1440" w:type="dxa"/>
            <w:shd w:val="clear" w:color="auto" w:fill="auto"/>
          </w:tcPr>
          <w:p w:rsidR="003740BC" w:rsidRPr="009D6E90" w:rsidRDefault="003740BC" w:rsidP="00CD69A0">
            <w:pPr>
              <w:jc w:val="right"/>
              <w:rPr>
                <w:sz w:val="22"/>
                <w:szCs w:val="22"/>
              </w:rPr>
            </w:pPr>
            <w:r w:rsidRPr="009D6E90">
              <w:rPr>
                <w:sz w:val="22"/>
                <w:szCs w:val="22"/>
              </w:rPr>
              <w:t>$</w:t>
            </w:r>
            <w:r w:rsidR="009C6F75" w:rsidRPr="009D6E90">
              <w:rPr>
                <w:sz w:val="22"/>
                <w:szCs w:val="22"/>
              </w:rPr>
              <w:t>83</w:t>
            </w:r>
            <w:r w:rsidRPr="009D6E90">
              <w:rPr>
                <w:sz w:val="22"/>
                <w:szCs w:val="22"/>
              </w:rPr>
              <w:t>.</w:t>
            </w:r>
            <w:r w:rsidR="009C6F75" w:rsidRPr="009D6E90">
              <w:rPr>
                <w:sz w:val="22"/>
                <w:szCs w:val="22"/>
              </w:rPr>
              <w:t>5</w:t>
            </w:r>
            <w:r w:rsidRPr="009D6E90">
              <w:rPr>
                <w:sz w:val="22"/>
                <w:szCs w:val="22"/>
              </w:rPr>
              <w:t>0</w:t>
            </w:r>
          </w:p>
        </w:tc>
        <w:tc>
          <w:tcPr>
            <w:tcW w:w="2070" w:type="dxa"/>
            <w:shd w:val="clear" w:color="auto" w:fill="auto"/>
          </w:tcPr>
          <w:p w:rsidR="003740BC" w:rsidRPr="009D6E90" w:rsidRDefault="003740BC" w:rsidP="00CD69A0">
            <w:pPr>
              <w:jc w:val="right"/>
              <w:rPr>
                <w:sz w:val="22"/>
                <w:szCs w:val="22"/>
              </w:rPr>
            </w:pPr>
            <w:r w:rsidRPr="009D6E90">
              <w:rPr>
                <w:sz w:val="22"/>
                <w:szCs w:val="22"/>
              </w:rPr>
              <w:t>$</w:t>
            </w:r>
            <w:r w:rsidR="009C6F75" w:rsidRPr="009D6E90">
              <w:rPr>
                <w:sz w:val="22"/>
                <w:szCs w:val="22"/>
              </w:rPr>
              <w:t>182,698</w:t>
            </w:r>
          </w:p>
        </w:tc>
      </w:tr>
      <w:tr w:rsidR="009C6F75" w:rsidTr="009D6E90">
        <w:tc>
          <w:tcPr>
            <w:tcW w:w="3757"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rPr>
                <w:sz w:val="22"/>
                <w:szCs w:val="22"/>
              </w:rPr>
            </w:pPr>
            <w:r w:rsidRPr="009D6E90">
              <w:rPr>
                <w:sz w:val="22"/>
                <w:szCs w:val="22"/>
              </w:rPr>
              <w:t>Food Scientist and Technologist (Recordkeeping)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jc w:val="right"/>
              <w:rPr>
                <w:sz w:val="22"/>
                <w:szCs w:val="22"/>
              </w:rPr>
            </w:pPr>
            <w:r w:rsidRPr="009D6E90">
              <w:rPr>
                <w:sz w:val="22"/>
                <w:szCs w:val="22"/>
              </w:rPr>
              <w:t>40,232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jc w:val="right"/>
              <w:rPr>
                <w:sz w:val="22"/>
                <w:szCs w:val="22"/>
              </w:rPr>
            </w:pPr>
            <w:r w:rsidRPr="009D6E90">
              <w:rPr>
                <w:sz w:val="22"/>
                <w:szCs w:val="22"/>
              </w:rPr>
              <w:t>$83.50</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jc w:val="right"/>
              <w:rPr>
                <w:sz w:val="22"/>
                <w:szCs w:val="22"/>
              </w:rPr>
            </w:pPr>
            <w:r w:rsidRPr="009D6E90">
              <w:rPr>
                <w:sz w:val="22"/>
                <w:szCs w:val="22"/>
              </w:rPr>
              <w:t>$3,359,372</w:t>
            </w:r>
          </w:p>
        </w:tc>
      </w:tr>
      <w:tr w:rsidR="009C6F75" w:rsidTr="009D6E90">
        <w:tc>
          <w:tcPr>
            <w:tcW w:w="3757"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rPr>
                <w:sz w:val="22"/>
                <w:szCs w:val="22"/>
              </w:rPr>
            </w:pPr>
            <w:r w:rsidRPr="009D6E90">
              <w:rPr>
                <w:sz w:val="22"/>
                <w:szCs w:val="22"/>
              </w:rPr>
              <w:t>Food Scientist and Technologist (Third-party disclosure)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jc w:val="right"/>
              <w:rPr>
                <w:sz w:val="22"/>
                <w:szCs w:val="22"/>
              </w:rPr>
            </w:pPr>
            <w:r w:rsidRPr="009D6E90">
              <w:rPr>
                <w:sz w:val="22"/>
                <w:szCs w:val="22"/>
              </w:rPr>
              <w:t>520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jc w:val="right"/>
              <w:rPr>
                <w:sz w:val="22"/>
                <w:szCs w:val="22"/>
              </w:rPr>
            </w:pPr>
            <w:r w:rsidRPr="009D6E90">
              <w:rPr>
                <w:sz w:val="22"/>
                <w:szCs w:val="22"/>
              </w:rPr>
              <w:t>$83.50</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C6F75" w:rsidRPr="009D6E90" w:rsidRDefault="009C6F75" w:rsidP="00CD69A0">
            <w:pPr>
              <w:jc w:val="right"/>
              <w:rPr>
                <w:sz w:val="22"/>
                <w:szCs w:val="22"/>
              </w:rPr>
            </w:pPr>
            <w:r w:rsidRPr="009D6E90">
              <w:rPr>
                <w:sz w:val="22"/>
                <w:szCs w:val="22"/>
              </w:rPr>
              <w:t>$43,420</w:t>
            </w:r>
          </w:p>
        </w:tc>
      </w:tr>
      <w:tr w:rsidR="003740BC" w:rsidTr="009D6E90">
        <w:tc>
          <w:tcPr>
            <w:tcW w:w="6727" w:type="dxa"/>
            <w:gridSpan w:val="3"/>
            <w:shd w:val="clear" w:color="auto" w:fill="auto"/>
          </w:tcPr>
          <w:p w:rsidR="003740BC" w:rsidRPr="009D6E90" w:rsidRDefault="003740BC" w:rsidP="00CD69A0">
            <w:pPr>
              <w:rPr>
                <w:sz w:val="22"/>
                <w:szCs w:val="22"/>
              </w:rPr>
            </w:pPr>
            <w:r w:rsidRPr="009D6E90">
              <w:rPr>
                <w:sz w:val="22"/>
                <w:szCs w:val="22"/>
              </w:rPr>
              <w:t>Total</w:t>
            </w:r>
          </w:p>
        </w:tc>
        <w:tc>
          <w:tcPr>
            <w:tcW w:w="2070" w:type="dxa"/>
            <w:shd w:val="clear" w:color="auto" w:fill="auto"/>
          </w:tcPr>
          <w:p w:rsidR="003740BC" w:rsidRPr="009D6E90" w:rsidRDefault="003740BC" w:rsidP="00CD69A0">
            <w:pPr>
              <w:jc w:val="right"/>
              <w:rPr>
                <w:sz w:val="22"/>
                <w:szCs w:val="22"/>
              </w:rPr>
            </w:pPr>
            <w:r w:rsidRPr="009D6E90">
              <w:rPr>
                <w:sz w:val="22"/>
                <w:szCs w:val="22"/>
              </w:rPr>
              <w:t>$</w:t>
            </w:r>
            <w:r w:rsidR="009C6F75" w:rsidRPr="009D6E90">
              <w:rPr>
                <w:sz w:val="22"/>
                <w:szCs w:val="22"/>
              </w:rPr>
              <w:t>3,5</w:t>
            </w:r>
            <w:r w:rsidR="00B73ED6" w:rsidRPr="009D6E90">
              <w:rPr>
                <w:sz w:val="22"/>
                <w:szCs w:val="22"/>
              </w:rPr>
              <w:t>85</w:t>
            </w:r>
            <w:r w:rsidR="009C6F75" w:rsidRPr="009D6E90">
              <w:rPr>
                <w:sz w:val="22"/>
                <w:szCs w:val="22"/>
              </w:rPr>
              <w:t>,</w:t>
            </w:r>
            <w:r w:rsidR="00B73ED6" w:rsidRPr="009D6E90">
              <w:rPr>
                <w:sz w:val="22"/>
                <w:szCs w:val="22"/>
              </w:rPr>
              <w:t>4</w:t>
            </w:r>
            <w:r w:rsidR="009C6F75" w:rsidRPr="009D6E90">
              <w:rPr>
                <w:sz w:val="22"/>
                <w:szCs w:val="22"/>
              </w:rPr>
              <w:t>90</w:t>
            </w:r>
          </w:p>
        </w:tc>
      </w:tr>
    </w:tbl>
    <w:p w:rsidR="003740BC" w:rsidRDefault="003740BC" w:rsidP="00CD69A0">
      <w:pPr>
        <w:pStyle w:val="BodyText2"/>
      </w:pP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CD69A0">
      <w:pPr>
        <w:ind w:left="720"/>
      </w:pPr>
      <w:r>
        <w:t>There are no capital, start-up, operating or maintenance costs associated with this information collection.</w:t>
      </w: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Annualized Cost to the Federal Government</w:t>
      </w:r>
    </w:p>
    <w:p w:rsidR="008B0F3F" w:rsidRDefault="00B0603C" w:rsidP="00CD69A0">
      <w:pPr>
        <w:ind w:left="720"/>
      </w:pPr>
      <w:r>
        <w:t>The total cost to the Federal government is</w:t>
      </w:r>
      <w:r w:rsidR="000F5AD5">
        <w:t xml:space="preserve"> estimated to be</w:t>
      </w:r>
      <w:r>
        <w:t xml:space="preserve"> $</w:t>
      </w:r>
      <w:r w:rsidR="00594743">
        <w:t>981</w:t>
      </w:r>
      <w:r>
        <w:t>,</w:t>
      </w:r>
      <w:r w:rsidR="00594743">
        <w:t>052</w:t>
      </w:r>
      <w:r>
        <w:t>.</w:t>
      </w:r>
      <w:r w:rsidR="00594743">
        <w:t>4</w:t>
      </w:r>
      <w:r>
        <w:t>0</w:t>
      </w:r>
      <w:r w:rsidR="000F5AD5">
        <w:t xml:space="preserve">.  </w:t>
      </w:r>
      <w:r w:rsidR="008B0F3F">
        <w:t xml:space="preserve">FDA investigators </w:t>
      </w:r>
      <w:r w:rsidR="000F5AD5">
        <w:t xml:space="preserve">must </w:t>
      </w:r>
      <w:r w:rsidR="008B0F3F">
        <w:t xml:space="preserve">inspect each manufacturing site annually and collect product labels for review.  </w:t>
      </w:r>
      <w:r w:rsidR="002B5F2D">
        <w:t xml:space="preserve">We currently allocate resources consistent with the last approval period and therefore retain the current estimate.  This figure assumes a wage rate for an FDA investigator corresponding to </w:t>
      </w:r>
      <w:r w:rsidR="000F5AD5">
        <w:t xml:space="preserve">2018 </w:t>
      </w:r>
      <w:r w:rsidR="002B5F2D">
        <w:t xml:space="preserve">OPM wage data for employees in the </w:t>
      </w:r>
      <w:r w:rsidR="000F5AD5">
        <w:t>Washington-Metropolitan Area (</w:t>
      </w:r>
      <w:r w:rsidR="008B0F3F">
        <w:t>$</w:t>
      </w:r>
      <w:r w:rsidR="00E307EF">
        <w:t>86</w:t>
      </w:r>
      <w:r w:rsidR="008B0F3F">
        <w:t>,</w:t>
      </w:r>
      <w:r w:rsidR="00E307EF">
        <w:t>984</w:t>
      </w:r>
      <w:r w:rsidR="000F5AD5">
        <w:t>)</w:t>
      </w:r>
      <w:r w:rsidR="00E41A65">
        <w:t xml:space="preserve"> and is </w:t>
      </w:r>
      <w:r w:rsidR="000279B7">
        <w:t>multiplied</w:t>
      </w:r>
      <w:r w:rsidR="002B5F2D">
        <w:t xml:space="preserve"> by a</w:t>
      </w:r>
      <w:r w:rsidR="00E41A65">
        <w:t>n estimated number of hours FDA expends in compliance activities to ensure safe infant formula.</w:t>
      </w: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Explanation for Program Changes or Adjustments</w:t>
      </w:r>
    </w:p>
    <w:p w:rsidR="009F66B5" w:rsidRPr="000279B7" w:rsidRDefault="00E41A65" w:rsidP="00CD69A0">
      <w:pPr>
        <w:ind w:left="720"/>
      </w:pPr>
      <w:r>
        <w:t>The information collection reflects adjustments</w:t>
      </w:r>
      <w:r w:rsidR="009D6E90">
        <w:t xml:space="preserve">.  </w:t>
      </w:r>
      <w:r w:rsidR="00AB7105">
        <w:t>We believe burden associated with r</w:t>
      </w:r>
      <w:r w:rsidR="009D6E90">
        <w:t xml:space="preserve">ulemaking </w:t>
      </w:r>
      <w:r w:rsidR="00AB7105">
        <w:t xml:space="preserve">(RIN 0910-AF27) </w:t>
      </w:r>
      <w:r w:rsidR="009D6E90">
        <w:t xml:space="preserve">establishing GMP </w:t>
      </w:r>
      <w:r w:rsidR="000279B7">
        <w:t>requirements</w:t>
      </w:r>
      <w:r w:rsidR="00AB7105">
        <w:t xml:space="preserve"> </w:t>
      </w:r>
      <w:r w:rsidR="009D6E90">
        <w:softHyphen/>
      </w:r>
      <w:r w:rsidR="009D6E90">
        <w:softHyphen/>
        <w:t xml:space="preserve">and </w:t>
      </w:r>
      <w:r w:rsidR="00036028">
        <w:t xml:space="preserve">labeling requirements to include </w:t>
      </w:r>
      <w:r w:rsidR="00AB7105" w:rsidRPr="00AB7105">
        <w:t xml:space="preserve">selenium </w:t>
      </w:r>
      <w:r w:rsidR="00036028">
        <w:t xml:space="preserve">among </w:t>
      </w:r>
      <w:r w:rsidR="00AB7105" w:rsidRPr="00AB7105">
        <w:t>the list of required nutrients and establish</w:t>
      </w:r>
      <w:r w:rsidR="00036028">
        <w:t xml:space="preserve"> </w:t>
      </w:r>
      <w:r w:rsidR="00AB7105" w:rsidRPr="00AB7105">
        <w:t>minimum and maximum levels in infant formula</w:t>
      </w:r>
      <w:r w:rsidR="00AB7105">
        <w:t xml:space="preserve"> </w:t>
      </w:r>
      <w:r w:rsidR="00036028">
        <w:t xml:space="preserve">that became effective since last extension </w:t>
      </w:r>
      <w:r w:rsidR="00AB7105">
        <w:t xml:space="preserve">have now been realized.  </w:t>
      </w:r>
      <w:r w:rsidR="00387965">
        <w:t xml:space="preserve">Accordingly, we removed ICs previously </w:t>
      </w:r>
      <w:r w:rsidR="00036028">
        <w:t xml:space="preserve">included </w:t>
      </w:r>
      <w:r w:rsidR="00387965">
        <w:t xml:space="preserve">as one-time burden.  We also assume the realization of capital costs previously attributed to compliance with </w:t>
      </w:r>
      <w:r w:rsidR="00036028">
        <w:t xml:space="preserve">the </w:t>
      </w:r>
      <w:r w:rsidR="00387965">
        <w:t xml:space="preserve">new labeling requirements.  Finally, we have consolidated recordkeeping provisions </w:t>
      </w:r>
      <w:r w:rsidR="00036028">
        <w:t xml:space="preserve">established by the rulemakings </w:t>
      </w:r>
      <w:r w:rsidR="00387965">
        <w:t>that had previously been itemized to reflect</w:t>
      </w:r>
      <w:r w:rsidR="00036028">
        <w:t xml:space="preserve"> the impact</w:t>
      </w:r>
      <w:r w:rsidR="00387965">
        <w:t xml:space="preserve"> </w:t>
      </w:r>
      <w:r w:rsidR="00036028">
        <w:t xml:space="preserve">of the regulatory changes.  </w:t>
      </w:r>
      <w:r w:rsidR="00387965">
        <w:t xml:space="preserve">Cumulatively these adjustments reflect 10,809 fewer annual responses and 35,596 </w:t>
      </w:r>
      <w:r w:rsidR="00036028">
        <w:t xml:space="preserve">fewer </w:t>
      </w:r>
      <w:r w:rsidR="00387965">
        <w:t>burden hours.</w:t>
      </w: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Plans for Tabulation and Publication and Project Time Schedule</w:t>
      </w:r>
    </w:p>
    <w:p w:rsidR="00D730BF" w:rsidRDefault="008B0F3F" w:rsidP="00CD69A0">
      <w:pPr>
        <w:ind w:left="720"/>
      </w:pPr>
      <w:r w:rsidRPr="008B0F3F">
        <w:t>The agency has no plans for publication of information from this information collection.</w:t>
      </w:r>
    </w:p>
    <w:p w:rsidR="004C6979" w:rsidRPr="004C6979" w:rsidRDefault="00EB7538" w:rsidP="00CD69A0">
      <w:pPr>
        <w:numPr>
          <w:ilvl w:val="0"/>
          <w:numId w:val="1"/>
        </w:numPr>
        <w:tabs>
          <w:tab w:val="clear" w:pos="720"/>
        </w:tabs>
        <w:spacing w:before="100" w:beforeAutospacing="1" w:after="100" w:afterAutospacing="1"/>
        <w:rPr>
          <w:u w:val="single"/>
        </w:rPr>
      </w:pPr>
      <w:r w:rsidRPr="004C6979">
        <w:rPr>
          <w:u w:val="single"/>
        </w:rPr>
        <w:t>Reason(s) Display of OMB Expiration Date is Inappropriate</w:t>
      </w:r>
    </w:p>
    <w:p w:rsidR="004C6979" w:rsidRDefault="000279B7" w:rsidP="00CD69A0">
      <w:pPr>
        <w:ind w:left="720"/>
      </w:pPr>
      <w:r>
        <w:t xml:space="preserve">Display </w:t>
      </w:r>
      <w:r w:rsidR="008B0F3F" w:rsidRPr="008B0F3F">
        <w:t xml:space="preserve">of </w:t>
      </w:r>
      <w:r>
        <w:t xml:space="preserve">the </w:t>
      </w:r>
      <w:r w:rsidR="008B0F3F" w:rsidRPr="008B0F3F">
        <w:t xml:space="preserve">OMB </w:t>
      </w:r>
      <w:r>
        <w:t>Expiration date is appropriate.</w:t>
      </w:r>
    </w:p>
    <w:p w:rsidR="00EB7538" w:rsidRDefault="00EB7538" w:rsidP="00CD69A0">
      <w:pPr>
        <w:numPr>
          <w:ilvl w:val="0"/>
          <w:numId w:val="1"/>
        </w:numPr>
        <w:tabs>
          <w:tab w:val="clear" w:pos="720"/>
        </w:tabs>
        <w:spacing w:before="100" w:beforeAutospacing="1" w:after="100" w:afterAutospacing="1"/>
        <w:rPr>
          <w:u w:val="single"/>
        </w:rPr>
      </w:pPr>
      <w:r w:rsidRPr="004C6979">
        <w:rPr>
          <w:u w:val="single"/>
        </w:rPr>
        <w:t>Exceptions to Certification for Paperwork Reduction Act Submissions</w:t>
      </w:r>
    </w:p>
    <w:p w:rsidR="00E00EA0" w:rsidRDefault="008B0F3F" w:rsidP="00CD69A0">
      <w:pPr>
        <w:spacing w:before="100" w:beforeAutospacing="1" w:after="100" w:afterAutospacing="1"/>
        <w:ind w:left="720"/>
      </w:pPr>
      <w:r>
        <w:t>T</w:t>
      </w:r>
      <w:r w:rsidR="00754497">
        <w:t>here are no e</w:t>
      </w:r>
      <w:r>
        <w:t>xceptions to the certification.</w:t>
      </w:r>
    </w:p>
    <w:sectPr w:rsidR="00E00EA0" w:rsidSect="00387965">
      <w:footerReference w:type="even" r:id="rId12"/>
      <w:footerReference w:type="default" r:id="rId13"/>
      <w:pgSz w:w="12240" w:h="15840" w:code="1"/>
      <w:pgMar w:top="1440" w:right="1728"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A9" w:rsidRDefault="00A542A9">
      <w:r>
        <w:separator/>
      </w:r>
    </w:p>
  </w:endnote>
  <w:endnote w:type="continuationSeparator" w:id="0">
    <w:p w:rsidR="00A542A9" w:rsidRDefault="00A5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A0" w:rsidRDefault="00CD69A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9A0" w:rsidRDefault="00CD6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A0" w:rsidRDefault="00CD69A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E55">
      <w:rPr>
        <w:rStyle w:val="PageNumber"/>
        <w:noProof/>
      </w:rPr>
      <w:t>2</w:t>
    </w:r>
    <w:r>
      <w:rPr>
        <w:rStyle w:val="PageNumber"/>
      </w:rPr>
      <w:fldChar w:fldCharType="end"/>
    </w:r>
  </w:p>
  <w:p w:rsidR="00CD69A0" w:rsidRDefault="00CD6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A9" w:rsidRDefault="00A542A9">
      <w:r>
        <w:separator/>
      </w:r>
    </w:p>
  </w:footnote>
  <w:footnote w:type="continuationSeparator" w:id="0">
    <w:p w:rsidR="00A542A9" w:rsidRDefault="00A54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6C350A34"/>
    <w:multiLevelType w:val="multilevel"/>
    <w:tmpl w:val="161801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8"/>
  </w:num>
  <w:num w:numId="8">
    <w:abstractNumId w:val="4"/>
  </w:num>
  <w:num w:numId="9">
    <w:abstractNumId w:val="23"/>
  </w:num>
  <w:num w:numId="10">
    <w:abstractNumId w:val="19"/>
  </w:num>
  <w:num w:numId="11">
    <w:abstractNumId w:val="9"/>
  </w:num>
  <w:num w:numId="12">
    <w:abstractNumId w:val="31"/>
  </w:num>
  <w:num w:numId="13">
    <w:abstractNumId w:val="18"/>
  </w:num>
  <w:num w:numId="14">
    <w:abstractNumId w:val="8"/>
  </w:num>
  <w:num w:numId="15">
    <w:abstractNumId w:val="14"/>
  </w:num>
  <w:num w:numId="16">
    <w:abstractNumId w:val="13"/>
  </w:num>
  <w:num w:numId="17">
    <w:abstractNumId w:val="27"/>
  </w:num>
  <w:num w:numId="18">
    <w:abstractNumId w:val="30"/>
  </w:num>
  <w:num w:numId="19">
    <w:abstractNumId w:val="29"/>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2"/>
  </w:num>
  <w:num w:numId="28">
    <w:abstractNumId w:val="25"/>
  </w:num>
  <w:num w:numId="29">
    <w:abstractNumId w:val="5"/>
  </w:num>
  <w:num w:numId="30">
    <w:abstractNumId w:val="16"/>
  </w:num>
  <w:num w:numId="31">
    <w:abstractNumId w:val="2"/>
  </w:num>
  <w:num w:numId="32">
    <w:abstractNumId w:val="1"/>
  </w:num>
  <w:num w:numId="3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35D9"/>
    <w:rsid w:val="00025024"/>
    <w:rsid w:val="000279B7"/>
    <w:rsid w:val="00036028"/>
    <w:rsid w:val="0006570F"/>
    <w:rsid w:val="000910BD"/>
    <w:rsid w:val="000A2407"/>
    <w:rsid w:val="000C30D5"/>
    <w:rsid w:val="000C560C"/>
    <w:rsid w:val="000D48FD"/>
    <w:rsid w:val="000E1C64"/>
    <w:rsid w:val="000E2F71"/>
    <w:rsid w:val="000E3D4A"/>
    <w:rsid w:val="000E7F75"/>
    <w:rsid w:val="000E7F78"/>
    <w:rsid w:val="000F4692"/>
    <w:rsid w:val="000F5AD5"/>
    <w:rsid w:val="000F7119"/>
    <w:rsid w:val="00100739"/>
    <w:rsid w:val="00102543"/>
    <w:rsid w:val="00107885"/>
    <w:rsid w:val="001123F1"/>
    <w:rsid w:val="00114FC4"/>
    <w:rsid w:val="0012329C"/>
    <w:rsid w:val="00134FA7"/>
    <w:rsid w:val="00137950"/>
    <w:rsid w:val="00140F47"/>
    <w:rsid w:val="00152F29"/>
    <w:rsid w:val="001721DA"/>
    <w:rsid w:val="00182974"/>
    <w:rsid w:val="00185270"/>
    <w:rsid w:val="001A3B5A"/>
    <w:rsid w:val="001B7CE9"/>
    <w:rsid w:val="001D495A"/>
    <w:rsid w:val="001E244C"/>
    <w:rsid w:val="001F1437"/>
    <w:rsid w:val="002202EE"/>
    <w:rsid w:val="002259EF"/>
    <w:rsid w:val="00234A54"/>
    <w:rsid w:val="00242ED1"/>
    <w:rsid w:val="00254069"/>
    <w:rsid w:val="002734E5"/>
    <w:rsid w:val="002746DB"/>
    <w:rsid w:val="00280CAF"/>
    <w:rsid w:val="00282F09"/>
    <w:rsid w:val="00297532"/>
    <w:rsid w:val="002A1210"/>
    <w:rsid w:val="002B5F2D"/>
    <w:rsid w:val="002C43DD"/>
    <w:rsid w:val="002D02D9"/>
    <w:rsid w:val="002D14D8"/>
    <w:rsid w:val="002D4799"/>
    <w:rsid w:val="002E3FA4"/>
    <w:rsid w:val="003113FF"/>
    <w:rsid w:val="0031497C"/>
    <w:rsid w:val="0032277F"/>
    <w:rsid w:val="00335FA3"/>
    <w:rsid w:val="00350523"/>
    <w:rsid w:val="00360C84"/>
    <w:rsid w:val="00366D7E"/>
    <w:rsid w:val="003670BB"/>
    <w:rsid w:val="003740BC"/>
    <w:rsid w:val="003801A3"/>
    <w:rsid w:val="00383D90"/>
    <w:rsid w:val="00387965"/>
    <w:rsid w:val="003905B6"/>
    <w:rsid w:val="00397BB4"/>
    <w:rsid w:val="003B42B3"/>
    <w:rsid w:val="003B6384"/>
    <w:rsid w:val="003C28CF"/>
    <w:rsid w:val="003C4EBB"/>
    <w:rsid w:val="003D1531"/>
    <w:rsid w:val="003E4EC6"/>
    <w:rsid w:val="003E527E"/>
    <w:rsid w:val="003E553E"/>
    <w:rsid w:val="003E7078"/>
    <w:rsid w:val="003E73AC"/>
    <w:rsid w:val="003F3DF5"/>
    <w:rsid w:val="00405349"/>
    <w:rsid w:val="00411D11"/>
    <w:rsid w:val="00415E23"/>
    <w:rsid w:val="0041670D"/>
    <w:rsid w:val="00424061"/>
    <w:rsid w:val="00442A3C"/>
    <w:rsid w:val="00443969"/>
    <w:rsid w:val="00447D74"/>
    <w:rsid w:val="00450A74"/>
    <w:rsid w:val="004546BF"/>
    <w:rsid w:val="00455736"/>
    <w:rsid w:val="00465350"/>
    <w:rsid w:val="0047156E"/>
    <w:rsid w:val="004721B7"/>
    <w:rsid w:val="0048260C"/>
    <w:rsid w:val="004846BF"/>
    <w:rsid w:val="004C2E55"/>
    <w:rsid w:val="004C6979"/>
    <w:rsid w:val="004D3E7A"/>
    <w:rsid w:val="004F594B"/>
    <w:rsid w:val="00512F55"/>
    <w:rsid w:val="00544138"/>
    <w:rsid w:val="005652A1"/>
    <w:rsid w:val="00575D7E"/>
    <w:rsid w:val="00577ADC"/>
    <w:rsid w:val="00584583"/>
    <w:rsid w:val="00590EEB"/>
    <w:rsid w:val="00594743"/>
    <w:rsid w:val="005A4099"/>
    <w:rsid w:val="005A5A57"/>
    <w:rsid w:val="005C38B2"/>
    <w:rsid w:val="005C3B6A"/>
    <w:rsid w:val="005C5029"/>
    <w:rsid w:val="005C55C2"/>
    <w:rsid w:val="005C745C"/>
    <w:rsid w:val="005D4DF5"/>
    <w:rsid w:val="00611D6B"/>
    <w:rsid w:val="00660FB2"/>
    <w:rsid w:val="00686CD3"/>
    <w:rsid w:val="00694FB0"/>
    <w:rsid w:val="006A26C6"/>
    <w:rsid w:val="006A7D5D"/>
    <w:rsid w:val="006D5D57"/>
    <w:rsid w:val="006F4D6D"/>
    <w:rsid w:val="00705086"/>
    <w:rsid w:val="00744D32"/>
    <w:rsid w:val="00754497"/>
    <w:rsid w:val="00775DC4"/>
    <w:rsid w:val="00787C39"/>
    <w:rsid w:val="00795DF3"/>
    <w:rsid w:val="007A2FB8"/>
    <w:rsid w:val="007A373C"/>
    <w:rsid w:val="007A3EC5"/>
    <w:rsid w:val="007B225C"/>
    <w:rsid w:val="007B6ABA"/>
    <w:rsid w:val="007C75B1"/>
    <w:rsid w:val="007D3DFC"/>
    <w:rsid w:val="007E29C4"/>
    <w:rsid w:val="007E2F07"/>
    <w:rsid w:val="007E6F4D"/>
    <w:rsid w:val="0080776D"/>
    <w:rsid w:val="00807D16"/>
    <w:rsid w:val="00810145"/>
    <w:rsid w:val="008108FA"/>
    <w:rsid w:val="00810FF1"/>
    <w:rsid w:val="008161EC"/>
    <w:rsid w:val="0082133B"/>
    <w:rsid w:val="00822336"/>
    <w:rsid w:val="00823DFA"/>
    <w:rsid w:val="0083454E"/>
    <w:rsid w:val="00837617"/>
    <w:rsid w:val="00843752"/>
    <w:rsid w:val="0084479F"/>
    <w:rsid w:val="008468E1"/>
    <w:rsid w:val="0085725E"/>
    <w:rsid w:val="00884B6F"/>
    <w:rsid w:val="00885B09"/>
    <w:rsid w:val="00892400"/>
    <w:rsid w:val="008A209D"/>
    <w:rsid w:val="008B0E29"/>
    <w:rsid w:val="008B0EFA"/>
    <w:rsid w:val="008B0F3F"/>
    <w:rsid w:val="008B30AB"/>
    <w:rsid w:val="008B3A1D"/>
    <w:rsid w:val="008E2931"/>
    <w:rsid w:val="008E5F55"/>
    <w:rsid w:val="00901C4F"/>
    <w:rsid w:val="00905AD2"/>
    <w:rsid w:val="00905DEF"/>
    <w:rsid w:val="00913B43"/>
    <w:rsid w:val="00930203"/>
    <w:rsid w:val="00930FA5"/>
    <w:rsid w:val="009311D2"/>
    <w:rsid w:val="009311E6"/>
    <w:rsid w:val="00931275"/>
    <w:rsid w:val="00932DE5"/>
    <w:rsid w:val="00936AC7"/>
    <w:rsid w:val="00953B64"/>
    <w:rsid w:val="00955187"/>
    <w:rsid w:val="00975C61"/>
    <w:rsid w:val="009829EF"/>
    <w:rsid w:val="009A1674"/>
    <w:rsid w:val="009C684F"/>
    <w:rsid w:val="009C6F75"/>
    <w:rsid w:val="009D074C"/>
    <w:rsid w:val="009D6E90"/>
    <w:rsid w:val="009F2B4F"/>
    <w:rsid w:val="009F66B5"/>
    <w:rsid w:val="00A16221"/>
    <w:rsid w:val="00A20A7D"/>
    <w:rsid w:val="00A34198"/>
    <w:rsid w:val="00A35D42"/>
    <w:rsid w:val="00A41F76"/>
    <w:rsid w:val="00A46CCF"/>
    <w:rsid w:val="00A475D6"/>
    <w:rsid w:val="00A53451"/>
    <w:rsid w:val="00A542A9"/>
    <w:rsid w:val="00A70426"/>
    <w:rsid w:val="00A91E9A"/>
    <w:rsid w:val="00A93ED9"/>
    <w:rsid w:val="00A96221"/>
    <w:rsid w:val="00AB7105"/>
    <w:rsid w:val="00AC3AE1"/>
    <w:rsid w:val="00AC6A99"/>
    <w:rsid w:val="00AE175F"/>
    <w:rsid w:val="00AE1E72"/>
    <w:rsid w:val="00AE5A17"/>
    <w:rsid w:val="00B02E3A"/>
    <w:rsid w:val="00B055EF"/>
    <w:rsid w:val="00B0603C"/>
    <w:rsid w:val="00B23769"/>
    <w:rsid w:val="00B33BAF"/>
    <w:rsid w:val="00B41FA6"/>
    <w:rsid w:val="00B70BD7"/>
    <w:rsid w:val="00B73ED6"/>
    <w:rsid w:val="00B77DA9"/>
    <w:rsid w:val="00B81808"/>
    <w:rsid w:val="00B86DFA"/>
    <w:rsid w:val="00B936D0"/>
    <w:rsid w:val="00BB57B8"/>
    <w:rsid w:val="00BD39FA"/>
    <w:rsid w:val="00BE3600"/>
    <w:rsid w:val="00C01F6F"/>
    <w:rsid w:val="00C109D6"/>
    <w:rsid w:val="00C149AB"/>
    <w:rsid w:val="00C276B2"/>
    <w:rsid w:val="00C40694"/>
    <w:rsid w:val="00C70542"/>
    <w:rsid w:val="00C75CBF"/>
    <w:rsid w:val="00CA6275"/>
    <w:rsid w:val="00CB4DD4"/>
    <w:rsid w:val="00CC2894"/>
    <w:rsid w:val="00CC485A"/>
    <w:rsid w:val="00CD5AC6"/>
    <w:rsid w:val="00CD69A0"/>
    <w:rsid w:val="00CD77C3"/>
    <w:rsid w:val="00CE112C"/>
    <w:rsid w:val="00CE5526"/>
    <w:rsid w:val="00CF55D4"/>
    <w:rsid w:val="00D30D50"/>
    <w:rsid w:val="00D55BB1"/>
    <w:rsid w:val="00D608DA"/>
    <w:rsid w:val="00D730BF"/>
    <w:rsid w:val="00D86127"/>
    <w:rsid w:val="00DA6399"/>
    <w:rsid w:val="00DC3788"/>
    <w:rsid w:val="00DC76C7"/>
    <w:rsid w:val="00DD09F5"/>
    <w:rsid w:val="00DD4201"/>
    <w:rsid w:val="00DD5E9F"/>
    <w:rsid w:val="00DE0125"/>
    <w:rsid w:val="00DE5711"/>
    <w:rsid w:val="00E00641"/>
    <w:rsid w:val="00E00EA0"/>
    <w:rsid w:val="00E14A98"/>
    <w:rsid w:val="00E15575"/>
    <w:rsid w:val="00E26758"/>
    <w:rsid w:val="00E307EF"/>
    <w:rsid w:val="00E41A65"/>
    <w:rsid w:val="00E4357B"/>
    <w:rsid w:val="00E63DE5"/>
    <w:rsid w:val="00E65A37"/>
    <w:rsid w:val="00E6676F"/>
    <w:rsid w:val="00E77B48"/>
    <w:rsid w:val="00E91799"/>
    <w:rsid w:val="00E95E50"/>
    <w:rsid w:val="00EA21FE"/>
    <w:rsid w:val="00EA34E3"/>
    <w:rsid w:val="00EB6119"/>
    <w:rsid w:val="00EB7538"/>
    <w:rsid w:val="00EE05D1"/>
    <w:rsid w:val="00EE450C"/>
    <w:rsid w:val="00F02FE1"/>
    <w:rsid w:val="00F03420"/>
    <w:rsid w:val="00F207A4"/>
    <w:rsid w:val="00F26621"/>
    <w:rsid w:val="00F355AC"/>
    <w:rsid w:val="00F453C4"/>
    <w:rsid w:val="00F52683"/>
    <w:rsid w:val="00F620FA"/>
    <w:rsid w:val="00F66ABA"/>
    <w:rsid w:val="00F67A78"/>
    <w:rsid w:val="00F71A5A"/>
    <w:rsid w:val="00F769E0"/>
    <w:rsid w:val="00FA7631"/>
    <w:rsid w:val="00FC6BDE"/>
    <w:rsid w:val="00FE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182974"/>
    <w:rPr>
      <w:color w:val="0000FF" w:themeColor="hyperlink"/>
      <w:u w:val="single"/>
    </w:rPr>
  </w:style>
  <w:style w:type="character" w:styleId="FollowedHyperlink">
    <w:name w:val="FollowedHyperlink"/>
    <w:basedOn w:val="DefaultParagraphFont"/>
    <w:semiHidden/>
    <w:unhideWhenUsed/>
    <w:rsid w:val="00A41F76"/>
    <w:rPr>
      <w:color w:val="800080" w:themeColor="followedHyperlink"/>
      <w:u w:val="single"/>
    </w:rPr>
  </w:style>
  <w:style w:type="paragraph" w:styleId="NoSpacing">
    <w:name w:val="No Spacing"/>
    <w:uiPriority w:val="1"/>
    <w:qFormat/>
    <w:rsid w:val="00577ADC"/>
    <w:rPr>
      <w:sz w:val="24"/>
      <w:szCs w:val="24"/>
    </w:rPr>
  </w:style>
  <w:style w:type="paragraph" w:styleId="Header">
    <w:name w:val="header"/>
    <w:basedOn w:val="Normal"/>
    <w:link w:val="HeaderChar"/>
    <w:unhideWhenUsed/>
    <w:rsid w:val="00387965"/>
    <w:pPr>
      <w:tabs>
        <w:tab w:val="center" w:pos="4680"/>
        <w:tab w:val="right" w:pos="9360"/>
      </w:tabs>
    </w:pPr>
  </w:style>
  <w:style w:type="character" w:customStyle="1" w:styleId="HeaderChar">
    <w:name w:val="Header Char"/>
    <w:basedOn w:val="DefaultParagraphFont"/>
    <w:link w:val="Header"/>
    <w:rsid w:val="003879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182974"/>
    <w:rPr>
      <w:color w:val="0000FF" w:themeColor="hyperlink"/>
      <w:u w:val="single"/>
    </w:rPr>
  </w:style>
  <w:style w:type="character" w:styleId="FollowedHyperlink">
    <w:name w:val="FollowedHyperlink"/>
    <w:basedOn w:val="DefaultParagraphFont"/>
    <w:semiHidden/>
    <w:unhideWhenUsed/>
    <w:rsid w:val="00A41F76"/>
    <w:rPr>
      <w:color w:val="800080" w:themeColor="followedHyperlink"/>
      <w:u w:val="single"/>
    </w:rPr>
  </w:style>
  <w:style w:type="paragraph" w:styleId="NoSpacing">
    <w:name w:val="No Spacing"/>
    <w:uiPriority w:val="1"/>
    <w:qFormat/>
    <w:rsid w:val="00577ADC"/>
    <w:rPr>
      <w:sz w:val="24"/>
      <w:szCs w:val="24"/>
    </w:rPr>
  </w:style>
  <w:style w:type="paragraph" w:styleId="Header">
    <w:name w:val="header"/>
    <w:basedOn w:val="Normal"/>
    <w:link w:val="HeaderChar"/>
    <w:unhideWhenUsed/>
    <w:rsid w:val="00387965"/>
    <w:pPr>
      <w:tabs>
        <w:tab w:val="center" w:pos="4680"/>
        <w:tab w:val="right" w:pos="9360"/>
      </w:tabs>
    </w:pPr>
  </w:style>
  <w:style w:type="character" w:customStyle="1" w:styleId="HeaderChar">
    <w:name w:val="Header Char"/>
    <w:basedOn w:val="DefaultParagraphFont"/>
    <w:link w:val="Header"/>
    <w:rsid w:val="003879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4930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FoodFacilityRegistration/InfantFormula/default.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19101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da.gov/oc/industry/" TargetMode="External"/><Relationship Id="rId4" Type="http://schemas.openxmlformats.org/officeDocument/2006/relationships/settings" Target="settings.xml"/><Relationship Id="rId9" Type="http://schemas.openxmlformats.org/officeDocument/2006/relationships/hyperlink" Target="https://www.fda.gov/food/guidanceregulation/guidancedocumentsregulatoryinformation/infantformula/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SYSTEM</cp:lastModifiedBy>
  <cp:revision>2</cp:revision>
  <cp:lastPrinted>2010-12-08T19:17:00Z</cp:lastPrinted>
  <dcterms:created xsi:type="dcterms:W3CDTF">2018-04-25T21:52:00Z</dcterms:created>
  <dcterms:modified xsi:type="dcterms:W3CDTF">2018-04-25T21:52:00Z</dcterms:modified>
</cp:coreProperties>
</file>