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03C9" w:rsidP="00987353" w:rsidRDefault="00A103C9" w14:paraId="1F7E0766" w14:textId="40EE8F9F">
      <w:pPr>
        <w:pStyle w:val="ES-HEADING1"/>
      </w:pPr>
      <w:bookmarkStart w:name="_Toc67387400" w:id="0"/>
      <w:r>
        <w:t>U.S. Food and Drug Administration</w:t>
      </w:r>
    </w:p>
    <w:p w:rsidRPr="00424813" w:rsidR="00AC6ACE" w:rsidP="00987353" w:rsidRDefault="00221905" w14:paraId="09ED8F41" w14:textId="06B9A7C5">
      <w:pPr>
        <w:pStyle w:val="ES-HEADING1"/>
      </w:pPr>
      <w:r w:rsidRPr="00424813">
        <w:t xml:space="preserve">NATIONAL PANEL OF </w:t>
      </w:r>
      <w:r w:rsidRPr="00424813" w:rsidR="00554838">
        <w:t xml:space="preserve">TOBACCO </w:t>
      </w:r>
      <w:r w:rsidRPr="00424813">
        <w:t>CONSUMER STUDIES</w:t>
      </w:r>
    </w:p>
    <w:p w:rsidRPr="00424813" w:rsidR="00554838" w:rsidP="00987353" w:rsidRDefault="00554838" w14:paraId="799D5EFE" w14:textId="77777777">
      <w:pPr>
        <w:pStyle w:val="ES-HEADING1"/>
        <w:rPr>
          <w:bCs/>
        </w:rPr>
      </w:pPr>
      <w:r w:rsidRPr="00424813">
        <w:rPr>
          <w:bCs/>
        </w:rPr>
        <w:t>SUPPORTING STATEMENT</w:t>
      </w:r>
      <w:r w:rsidRPr="00424813" w:rsidR="00A42E4F">
        <w:rPr>
          <w:bCs/>
        </w:rPr>
        <w:t xml:space="preserve"> PART A</w:t>
      </w:r>
    </w:p>
    <w:p w:rsidRPr="00424813" w:rsidR="00554838" w:rsidP="00987353" w:rsidRDefault="00A103C9" w14:paraId="255220D3" w14:textId="1D0377B9">
      <w:pPr>
        <w:pStyle w:val="ES-HEADING1"/>
        <w:rPr>
          <w:bCs/>
        </w:rPr>
      </w:pPr>
      <w:r>
        <w:rPr>
          <w:bCs/>
        </w:rPr>
        <w:t xml:space="preserve">OMB </w:t>
      </w:r>
      <w:r w:rsidR="00CF1A01">
        <w:rPr>
          <w:bCs/>
        </w:rPr>
        <w:t xml:space="preserve">Control </w:t>
      </w:r>
      <w:r>
        <w:rPr>
          <w:bCs/>
        </w:rPr>
        <w:t xml:space="preserve">No. </w:t>
      </w:r>
      <w:r w:rsidRPr="00424813" w:rsidR="00554838">
        <w:rPr>
          <w:bCs/>
        </w:rPr>
        <w:t>0910-</w:t>
      </w:r>
      <w:r w:rsidRPr="00424813" w:rsidR="00091DDC">
        <w:rPr>
          <w:bCs/>
        </w:rPr>
        <w:t>0815</w:t>
      </w:r>
    </w:p>
    <w:p w:rsidRPr="00424813" w:rsidR="00AC6ACE" w:rsidP="00423334" w:rsidRDefault="00AC6ACE" w14:paraId="5AC1FD84" w14:textId="77777777">
      <w:pPr>
        <w:jc w:val="center"/>
        <w:rPr>
          <w:b/>
          <w:color w:val="000000"/>
        </w:rPr>
      </w:pPr>
    </w:p>
    <w:p w:rsidRPr="00424813" w:rsidR="00AC6ACE" w:rsidP="00423334" w:rsidRDefault="00AC6ACE" w14:paraId="5F279A00" w14:textId="77777777">
      <w:pPr>
        <w:jc w:val="center"/>
        <w:rPr>
          <w:b/>
          <w:color w:val="000000"/>
        </w:rPr>
      </w:pPr>
    </w:p>
    <w:p w:rsidRPr="00424813" w:rsidR="00AC6ACE" w:rsidP="00423334" w:rsidRDefault="00AC6ACE" w14:paraId="0D4BE52B" w14:textId="77777777">
      <w:pPr>
        <w:jc w:val="center"/>
        <w:rPr>
          <w:b/>
          <w:color w:val="000000"/>
        </w:rPr>
      </w:pPr>
    </w:p>
    <w:p w:rsidRPr="00424813" w:rsidR="00AC6ACE" w:rsidP="00423334" w:rsidRDefault="00AC6ACE" w14:paraId="33A35D11" w14:textId="77777777">
      <w:pPr>
        <w:jc w:val="center"/>
        <w:rPr>
          <w:b/>
          <w:color w:val="000000"/>
        </w:rPr>
      </w:pPr>
    </w:p>
    <w:p w:rsidRPr="00424813" w:rsidR="00AC6ACE" w:rsidP="00423334" w:rsidRDefault="00AC6ACE" w14:paraId="1D3622BB" w14:textId="77777777">
      <w:pPr>
        <w:jc w:val="center"/>
        <w:rPr>
          <w:b/>
          <w:color w:val="000000"/>
        </w:rPr>
      </w:pPr>
    </w:p>
    <w:p w:rsidRPr="00424813" w:rsidR="00AC6ACE" w:rsidP="00423334" w:rsidRDefault="00AC6ACE" w14:paraId="40DF1356" w14:textId="77777777">
      <w:pPr>
        <w:jc w:val="center"/>
        <w:rPr>
          <w:b/>
          <w:color w:val="000000"/>
        </w:rPr>
      </w:pPr>
    </w:p>
    <w:p w:rsidRPr="00424813" w:rsidR="00AC6ACE" w:rsidP="00423334" w:rsidRDefault="00AC6ACE" w14:paraId="48F594F2" w14:textId="77777777">
      <w:pPr>
        <w:jc w:val="center"/>
        <w:rPr>
          <w:b/>
          <w:color w:val="000000"/>
        </w:rPr>
      </w:pPr>
    </w:p>
    <w:bookmarkEnd w:id="0"/>
    <w:p w:rsidRPr="00424813" w:rsidR="000E7AE0" w:rsidP="00832BA3" w:rsidRDefault="000E7AE0" w14:paraId="5019C64E" w14:textId="77777777">
      <w:pPr>
        <w:rPr>
          <w:szCs w:val="20"/>
        </w:rPr>
      </w:pPr>
    </w:p>
    <w:p w:rsidRPr="00424813" w:rsidR="000E7AE0" w:rsidP="00832BA3" w:rsidRDefault="000E7AE0" w14:paraId="07D97D59" w14:textId="77777777">
      <w:pPr>
        <w:rPr>
          <w:b/>
          <w:bCs/>
          <w:caps/>
          <w:color w:val="000000"/>
        </w:rPr>
        <w:sectPr w:rsidRPr="00424813" w:rsidR="000E7AE0" w:rsidSect="00782650">
          <w:footerReference w:type="even" r:id="rId12"/>
          <w:pgSz w:w="12240" w:h="15840"/>
          <w:pgMar w:top="1440" w:right="1440" w:bottom="1440" w:left="1440" w:header="720" w:footer="720" w:gutter="0"/>
          <w:cols w:space="720"/>
          <w:docGrid w:linePitch="360"/>
        </w:sectPr>
      </w:pPr>
    </w:p>
    <w:p w:rsidRPr="00424813" w:rsidR="00C65FD6" w:rsidP="00F72F56" w:rsidRDefault="00C65FD6" w14:paraId="3DAA7F19" w14:textId="77777777">
      <w:pPr>
        <w:pStyle w:val="TOC0"/>
      </w:pPr>
      <w:r w:rsidRPr="00424813">
        <w:rPr>
          <w:bCs/>
        </w:rPr>
        <w:lastRenderedPageBreak/>
        <w:t>TABLE OF CONTENTS</w:t>
      </w:r>
    </w:p>
    <w:p w:rsidRPr="00424813" w:rsidR="00C65FD6" w:rsidP="00AC6ACE" w:rsidRDefault="00AC6ACE" w14:paraId="50DAABA9" w14:textId="77777777">
      <w:pPr>
        <w:tabs>
          <w:tab w:val="right" w:pos="9360"/>
        </w:tabs>
        <w:rPr>
          <w:color w:val="000000"/>
        </w:rPr>
      </w:pPr>
      <w:r w:rsidRPr="00424813">
        <w:rPr>
          <w:b/>
          <w:color w:val="000000"/>
        </w:rPr>
        <w:t>Section</w:t>
      </w:r>
      <w:r w:rsidRPr="00424813">
        <w:rPr>
          <w:color w:val="000000"/>
        </w:rPr>
        <w:tab/>
      </w:r>
      <w:r w:rsidRPr="00424813">
        <w:rPr>
          <w:b/>
          <w:color w:val="000000"/>
        </w:rPr>
        <w:t>Page</w:t>
      </w:r>
    </w:p>
    <w:bookmarkStart w:name="_Toc79980788" w:id="1"/>
    <w:p w:rsidR="00326A2E" w:rsidRDefault="00F761D2" w14:paraId="2A0BC564" w14:textId="2C73E69E">
      <w:pPr>
        <w:pStyle w:val="TOC1"/>
        <w:rPr>
          <w:rFonts w:asciiTheme="minorHAnsi" w:hAnsiTheme="minorHAnsi" w:eastAsiaTheme="minorEastAsia" w:cstheme="minorBidi"/>
          <w:sz w:val="22"/>
          <w:szCs w:val="22"/>
        </w:rPr>
      </w:pPr>
      <w:r w:rsidRPr="00424813">
        <w:rPr>
          <w:b/>
          <w:bCs/>
          <w:caps/>
          <w:color w:val="000000"/>
        </w:rPr>
        <w:fldChar w:fldCharType="begin"/>
      </w:r>
      <w:r w:rsidRPr="00424813" w:rsidR="00F748AD">
        <w:rPr>
          <w:b/>
          <w:bCs/>
          <w:caps/>
          <w:color w:val="000000"/>
        </w:rPr>
        <w:instrText xml:space="preserve"> TOC \t "Heading 1,1,Heading 2,2,Heading 3,3" </w:instrText>
      </w:r>
      <w:r w:rsidRPr="00424813">
        <w:rPr>
          <w:b/>
          <w:bCs/>
          <w:caps/>
          <w:color w:val="000000"/>
        </w:rPr>
        <w:fldChar w:fldCharType="separate"/>
      </w:r>
      <w:r w:rsidR="00326A2E">
        <w:t>A.</w:t>
      </w:r>
      <w:r w:rsidR="00326A2E">
        <w:rPr>
          <w:rFonts w:asciiTheme="minorHAnsi" w:hAnsiTheme="minorHAnsi" w:eastAsiaTheme="minorEastAsia" w:cstheme="minorBidi"/>
          <w:sz w:val="22"/>
          <w:szCs w:val="22"/>
        </w:rPr>
        <w:tab/>
      </w:r>
      <w:r w:rsidR="00326A2E">
        <w:t>Justification</w:t>
      </w:r>
      <w:r w:rsidR="00326A2E">
        <w:tab/>
      </w:r>
      <w:r w:rsidR="00326A2E">
        <w:fldChar w:fldCharType="begin"/>
      </w:r>
      <w:r w:rsidR="00326A2E">
        <w:instrText xml:space="preserve"> PAGEREF _Toc33529705 \h </w:instrText>
      </w:r>
      <w:r w:rsidR="00326A2E">
        <w:fldChar w:fldCharType="separate"/>
      </w:r>
      <w:r w:rsidR="00326A2E">
        <w:t>1</w:t>
      </w:r>
      <w:r w:rsidR="00326A2E">
        <w:fldChar w:fldCharType="end"/>
      </w:r>
    </w:p>
    <w:p w:rsidR="00326A2E" w:rsidRDefault="00326A2E" w14:paraId="20A05FAD" w14:textId="5E4357BC">
      <w:pPr>
        <w:pStyle w:val="TOC2"/>
        <w:rPr>
          <w:rFonts w:asciiTheme="minorHAnsi" w:hAnsiTheme="minorHAnsi" w:eastAsiaTheme="minorEastAsia" w:cstheme="minorBidi"/>
          <w:bCs w:val="0"/>
          <w:iCs w:val="0"/>
          <w:sz w:val="22"/>
          <w:szCs w:val="22"/>
        </w:rPr>
      </w:pPr>
      <w:r>
        <w:t>A.1</w:t>
      </w:r>
      <w:r>
        <w:rPr>
          <w:rFonts w:asciiTheme="minorHAnsi" w:hAnsiTheme="minorHAnsi" w:eastAsiaTheme="minorEastAsia" w:cstheme="minorBidi"/>
          <w:bCs w:val="0"/>
          <w:iCs w:val="0"/>
          <w:sz w:val="22"/>
          <w:szCs w:val="22"/>
        </w:rPr>
        <w:tab/>
      </w:r>
      <w:r>
        <w:t>Circumstances Making the Collection of Information Necessary</w:t>
      </w:r>
      <w:r>
        <w:tab/>
      </w:r>
      <w:r>
        <w:fldChar w:fldCharType="begin"/>
      </w:r>
      <w:r>
        <w:instrText xml:space="preserve"> PAGEREF _Toc33529706 \h </w:instrText>
      </w:r>
      <w:r>
        <w:fldChar w:fldCharType="separate"/>
      </w:r>
      <w:r>
        <w:t>1</w:t>
      </w:r>
      <w:r>
        <w:fldChar w:fldCharType="end"/>
      </w:r>
    </w:p>
    <w:p w:rsidR="00326A2E" w:rsidRDefault="00326A2E" w14:paraId="43833B3A" w14:textId="77AA6609">
      <w:pPr>
        <w:pStyle w:val="TOC2"/>
        <w:rPr>
          <w:rFonts w:asciiTheme="minorHAnsi" w:hAnsiTheme="minorHAnsi" w:eastAsiaTheme="minorEastAsia" w:cstheme="minorBidi"/>
          <w:bCs w:val="0"/>
          <w:iCs w:val="0"/>
          <w:sz w:val="22"/>
          <w:szCs w:val="22"/>
        </w:rPr>
      </w:pPr>
      <w:r>
        <w:t>A.2</w:t>
      </w:r>
      <w:r>
        <w:rPr>
          <w:rFonts w:asciiTheme="minorHAnsi" w:hAnsiTheme="minorHAnsi" w:eastAsiaTheme="minorEastAsia" w:cstheme="minorBidi"/>
          <w:bCs w:val="0"/>
          <w:iCs w:val="0"/>
          <w:sz w:val="22"/>
          <w:szCs w:val="22"/>
        </w:rPr>
        <w:tab/>
      </w:r>
      <w:r>
        <w:t>Purposes and Use of the Information Collection</w:t>
      </w:r>
      <w:r>
        <w:tab/>
      </w:r>
      <w:r>
        <w:fldChar w:fldCharType="begin"/>
      </w:r>
      <w:r>
        <w:instrText xml:space="preserve"> PAGEREF _Toc33529707 \h </w:instrText>
      </w:r>
      <w:r>
        <w:fldChar w:fldCharType="separate"/>
      </w:r>
      <w:r>
        <w:t>2</w:t>
      </w:r>
      <w:r>
        <w:fldChar w:fldCharType="end"/>
      </w:r>
    </w:p>
    <w:p w:rsidR="00326A2E" w:rsidRDefault="00326A2E" w14:paraId="1C83EF92" w14:textId="1B203F46">
      <w:pPr>
        <w:pStyle w:val="TOC3"/>
        <w:tabs>
          <w:tab w:val="left" w:pos="2347"/>
        </w:tabs>
        <w:rPr>
          <w:rFonts w:asciiTheme="minorHAnsi" w:hAnsiTheme="minorHAnsi" w:eastAsiaTheme="minorEastAsia" w:cstheme="minorBidi"/>
          <w:sz w:val="22"/>
          <w:szCs w:val="22"/>
        </w:rPr>
      </w:pPr>
      <w:r>
        <w:t>A.2.1</w:t>
      </w:r>
      <w:r>
        <w:rPr>
          <w:rFonts w:asciiTheme="minorHAnsi" w:hAnsiTheme="minorHAnsi" w:eastAsiaTheme="minorEastAsia" w:cstheme="minorBidi"/>
          <w:sz w:val="22"/>
          <w:szCs w:val="22"/>
        </w:rPr>
        <w:tab/>
      </w:r>
      <w:r>
        <w:t>Overview of the Design</w:t>
      </w:r>
      <w:r>
        <w:tab/>
      </w:r>
      <w:r>
        <w:fldChar w:fldCharType="begin"/>
      </w:r>
      <w:r>
        <w:instrText xml:space="preserve"> PAGEREF _Toc33529708 \h </w:instrText>
      </w:r>
      <w:r>
        <w:fldChar w:fldCharType="separate"/>
      </w:r>
      <w:r>
        <w:t>2</w:t>
      </w:r>
      <w:r>
        <w:fldChar w:fldCharType="end"/>
      </w:r>
    </w:p>
    <w:p w:rsidR="00326A2E" w:rsidRDefault="00326A2E" w14:paraId="0C8A832B" w14:textId="6867C9BA">
      <w:pPr>
        <w:pStyle w:val="TOC3"/>
        <w:tabs>
          <w:tab w:val="left" w:pos="2347"/>
        </w:tabs>
        <w:rPr>
          <w:rFonts w:asciiTheme="minorHAnsi" w:hAnsiTheme="minorHAnsi" w:eastAsiaTheme="minorEastAsia" w:cstheme="minorBidi"/>
          <w:sz w:val="22"/>
          <w:szCs w:val="22"/>
        </w:rPr>
      </w:pPr>
      <w:r>
        <w:t>A.2.2</w:t>
      </w:r>
      <w:r>
        <w:rPr>
          <w:rFonts w:asciiTheme="minorHAnsi" w:hAnsiTheme="minorHAnsi" w:eastAsiaTheme="minorEastAsia" w:cstheme="minorBidi"/>
          <w:sz w:val="22"/>
          <w:szCs w:val="22"/>
        </w:rPr>
        <w:tab/>
      </w:r>
      <w:r>
        <w:t>Purpose of the Panel</w:t>
      </w:r>
      <w:r>
        <w:tab/>
      </w:r>
      <w:r>
        <w:fldChar w:fldCharType="begin"/>
      </w:r>
      <w:r>
        <w:instrText xml:space="preserve"> PAGEREF _Toc33529709 \h </w:instrText>
      </w:r>
      <w:r>
        <w:fldChar w:fldCharType="separate"/>
      </w:r>
      <w:r>
        <w:t>5</w:t>
      </w:r>
      <w:r>
        <w:fldChar w:fldCharType="end"/>
      </w:r>
    </w:p>
    <w:p w:rsidR="00326A2E" w:rsidRDefault="00326A2E" w14:paraId="38D6B4E8" w14:textId="1BD6002C">
      <w:pPr>
        <w:pStyle w:val="TOC3"/>
        <w:tabs>
          <w:tab w:val="left" w:pos="2347"/>
        </w:tabs>
        <w:rPr>
          <w:rFonts w:asciiTheme="minorHAnsi" w:hAnsiTheme="minorHAnsi" w:eastAsiaTheme="minorEastAsia" w:cstheme="minorBidi"/>
          <w:sz w:val="22"/>
          <w:szCs w:val="22"/>
        </w:rPr>
      </w:pPr>
      <w:r>
        <w:t>A.2.3</w:t>
      </w:r>
      <w:r>
        <w:rPr>
          <w:rFonts w:asciiTheme="minorHAnsi" w:hAnsiTheme="minorHAnsi" w:eastAsiaTheme="minorEastAsia" w:cstheme="minorBidi"/>
          <w:sz w:val="22"/>
          <w:szCs w:val="22"/>
        </w:rPr>
        <w:tab/>
      </w:r>
      <w:r>
        <w:t>Information Elements and Data Sources</w:t>
      </w:r>
      <w:r>
        <w:tab/>
      </w:r>
      <w:r>
        <w:fldChar w:fldCharType="begin"/>
      </w:r>
      <w:r>
        <w:instrText xml:space="preserve"> PAGEREF _Toc33529710 \h </w:instrText>
      </w:r>
      <w:r>
        <w:fldChar w:fldCharType="separate"/>
      </w:r>
      <w:r>
        <w:t>6</w:t>
      </w:r>
      <w:r>
        <w:fldChar w:fldCharType="end"/>
      </w:r>
    </w:p>
    <w:p w:rsidR="00326A2E" w:rsidRDefault="00326A2E" w14:paraId="1FE6E92C" w14:textId="0CA7F4FA">
      <w:pPr>
        <w:pStyle w:val="TOC2"/>
        <w:rPr>
          <w:rFonts w:asciiTheme="minorHAnsi" w:hAnsiTheme="minorHAnsi" w:eastAsiaTheme="minorEastAsia" w:cstheme="minorBidi"/>
          <w:bCs w:val="0"/>
          <w:iCs w:val="0"/>
          <w:sz w:val="22"/>
          <w:szCs w:val="22"/>
        </w:rPr>
      </w:pPr>
      <w:r>
        <w:t>A.3</w:t>
      </w:r>
      <w:r>
        <w:rPr>
          <w:rFonts w:asciiTheme="minorHAnsi" w:hAnsiTheme="minorHAnsi" w:eastAsiaTheme="minorEastAsia" w:cstheme="minorBidi"/>
          <w:bCs w:val="0"/>
          <w:iCs w:val="0"/>
          <w:sz w:val="22"/>
          <w:szCs w:val="22"/>
        </w:rPr>
        <w:tab/>
      </w:r>
      <w:r>
        <w:t>Use of Improved Information Technology and Burden Reduction</w:t>
      </w:r>
      <w:r>
        <w:tab/>
      </w:r>
      <w:r>
        <w:fldChar w:fldCharType="begin"/>
      </w:r>
      <w:r>
        <w:instrText xml:space="preserve"> PAGEREF _Toc33529711 \h </w:instrText>
      </w:r>
      <w:r>
        <w:fldChar w:fldCharType="separate"/>
      </w:r>
      <w:r>
        <w:t>11</w:t>
      </w:r>
      <w:r>
        <w:fldChar w:fldCharType="end"/>
      </w:r>
    </w:p>
    <w:p w:rsidR="00326A2E" w:rsidRDefault="00326A2E" w14:paraId="788BFBFF" w14:textId="4C6C111E">
      <w:pPr>
        <w:pStyle w:val="TOC2"/>
        <w:rPr>
          <w:rFonts w:asciiTheme="minorHAnsi" w:hAnsiTheme="minorHAnsi" w:eastAsiaTheme="minorEastAsia" w:cstheme="minorBidi"/>
          <w:bCs w:val="0"/>
          <w:iCs w:val="0"/>
          <w:sz w:val="22"/>
          <w:szCs w:val="22"/>
        </w:rPr>
      </w:pPr>
      <w:r>
        <w:t>A.4</w:t>
      </w:r>
      <w:r>
        <w:rPr>
          <w:rFonts w:asciiTheme="minorHAnsi" w:hAnsiTheme="minorHAnsi" w:eastAsiaTheme="minorEastAsia" w:cstheme="minorBidi"/>
          <w:bCs w:val="0"/>
          <w:iCs w:val="0"/>
          <w:sz w:val="22"/>
          <w:szCs w:val="22"/>
        </w:rPr>
        <w:tab/>
      </w:r>
      <w:r>
        <w:t>Efforts to Identify Duplication and Use of Similar Information</w:t>
      </w:r>
      <w:r>
        <w:tab/>
      </w:r>
      <w:r>
        <w:fldChar w:fldCharType="begin"/>
      </w:r>
      <w:r>
        <w:instrText xml:space="preserve"> PAGEREF _Toc33529712 \h </w:instrText>
      </w:r>
      <w:r>
        <w:fldChar w:fldCharType="separate"/>
      </w:r>
      <w:r>
        <w:t>12</w:t>
      </w:r>
      <w:r>
        <w:fldChar w:fldCharType="end"/>
      </w:r>
    </w:p>
    <w:p w:rsidR="00326A2E" w:rsidRDefault="00326A2E" w14:paraId="2D4F5CA0" w14:textId="5E3BB31F">
      <w:pPr>
        <w:pStyle w:val="TOC2"/>
        <w:rPr>
          <w:rFonts w:asciiTheme="minorHAnsi" w:hAnsiTheme="minorHAnsi" w:eastAsiaTheme="minorEastAsia" w:cstheme="minorBidi"/>
          <w:bCs w:val="0"/>
          <w:iCs w:val="0"/>
          <w:sz w:val="22"/>
          <w:szCs w:val="22"/>
        </w:rPr>
      </w:pPr>
      <w:r>
        <w:t>A.5</w:t>
      </w:r>
      <w:r>
        <w:rPr>
          <w:rFonts w:asciiTheme="minorHAnsi" w:hAnsiTheme="minorHAnsi" w:eastAsiaTheme="minorEastAsia" w:cstheme="minorBidi"/>
          <w:bCs w:val="0"/>
          <w:iCs w:val="0"/>
          <w:sz w:val="22"/>
          <w:szCs w:val="22"/>
        </w:rPr>
        <w:tab/>
      </w:r>
      <w:r>
        <w:t>Impact on Small Businesses or Other Small Entities</w:t>
      </w:r>
      <w:r>
        <w:tab/>
      </w:r>
      <w:r>
        <w:fldChar w:fldCharType="begin"/>
      </w:r>
      <w:r>
        <w:instrText xml:space="preserve"> PAGEREF _Toc33529713 \h </w:instrText>
      </w:r>
      <w:r>
        <w:fldChar w:fldCharType="separate"/>
      </w:r>
      <w:r>
        <w:t>13</w:t>
      </w:r>
      <w:r>
        <w:fldChar w:fldCharType="end"/>
      </w:r>
    </w:p>
    <w:p w:rsidR="00326A2E" w:rsidRDefault="00326A2E" w14:paraId="58A12AAF" w14:textId="2420D15D">
      <w:pPr>
        <w:pStyle w:val="TOC2"/>
        <w:rPr>
          <w:rFonts w:asciiTheme="minorHAnsi" w:hAnsiTheme="minorHAnsi" w:eastAsiaTheme="minorEastAsia" w:cstheme="minorBidi"/>
          <w:bCs w:val="0"/>
          <w:iCs w:val="0"/>
          <w:sz w:val="22"/>
          <w:szCs w:val="22"/>
        </w:rPr>
      </w:pPr>
      <w:r>
        <w:t>A.6</w:t>
      </w:r>
      <w:r>
        <w:rPr>
          <w:rFonts w:asciiTheme="minorHAnsi" w:hAnsiTheme="minorHAnsi" w:eastAsiaTheme="minorEastAsia" w:cstheme="minorBidi"/>
          <w:bCs w:val="0"/>
          <w:iCs w:val="0"/>
          <w:sz w:val="22"/>
          <w:szCs w:val="22"/>
        </w:rPr>
        <w:tab/>
      </w:r>
      <w:r>
        <w:t>Consequences of Collecting the Information Less Frequently</w:t>
      </w:r>
      <w:r>
        <w:tab/>
      </w:r>
      <w:r>
        <w:fldChar w:fldCharType="begin"/>
      </w:r>
      <w:r>
        <w:instrText xml:space="preserve"> PAGEREF _Toc33529714 \h </w:instrText>
      </w:r>
      <w:r>
        <w:fldChar w:fldCharType="separate"/>
      </w:r>
      <w:r>
        <w:t>13</w:t>
      </w:r>
      <w:r>
        <w:fldChar w:fldCharType="end"/>
      </w:r>
    </w:p>
    <w:p w:rsidR="00326A2E" w:rsidRDefault="00326A2E" w14:paraId="39EF5D22" w14:textId="0C7A83C2">
      <w:pPr>
        <w:pStyle w:val="TOC2"/>
        <w:rPr>
          <w:rFonts w:asciiTheme="minorHAnsi" w:hAnsiTheme="minorHAnsi" w:eastAsiaTheme="minorEastAsia" w:cstheme="minorBidi"/>
          <w:bCs w:val="0"/>
          <w:iCs w:val="0"/>
          <w:sz w:val="22"/>
          <w:szCs w:val="22"/>
        </w:rPr>
      </w:pPr>
      <w:r>
        <w:t>A.7</w:t>
      </w:r>
      <w:r>
        <w:rPr>
          <w:rFonts w:asciiTheme="minorHAnsi" w:hAnsiTheme="minorHAnsi" w:eastAsiaTheme="minorEastAsia" w:cstheme="minorBidi"/>
          <w:bCs w:val="0"/>
          <w:iCs w:val="0"/>
          <w:sz w:val="22"/>
          <w:szCs w:val="22"/>
        </w:rPr>
        <w:tab/>
      </w:r>
      <w:r>
        <w:t>Special Circumstances Relating to the Guidelines of 5 CFR1320.5</w:t>
      </w:r>
      <w:r>
        <w:tab/>
      </w:r>
      <w:r>
        <w:fldChar w:fldCharType="begin"/>
      </w:r>
      <w:r>
        <w:instrText xml:space="preserve"> PAGEREF _Toc33529715 \h </w:instrText>
      </w:r>
      <w:r>
        <w:fldChar w:fldCharType="separate"/>
      </w:r>
      <w:r>
        <w:t>13</w:t>
      </w:r>
      <w:r>
        <w:fldChar w:fldCharType="end"/>
      </w:r>
    </w:p>
    <w:p w:rsidR="00326A2E" w:rsidRDefault="00326A2E" w14:paraId="2ED4A7DC" w14:textId="1A44FB87">
      <w:pPr>
        <w:pStyle w:val="TOC2"/>
        <w:rPr>
          <w:rFonts w:asciiTheme="minorHAnsi" w:hAnsiTheme="minorHAnsi" w:eastAsiaTheme="minorEastAsia" w:cstheme="minorBidi"/>
          <w:bCs w:val="0"/>
          <w:iCs w:val="0"/>
          <w:sz w:val="22"/>
          <w:szCs w:val="22"/>
        </w:rPr>
      </w:pPr>
      <w:r>
        <w:t>A.8</w:t>
      </w:r>
      <w:r>
        <w:rPr>
          <w:rFonts w:asciiTheme="minorHAnsi" w:hAnsiTheme="minorHAnsi" w:eastAsiaTheme="minorEastAsia" w:cstheme="minorBidi"/>
          <w:bCs w:val="0"/>
          <w:iCs w:val="0"/>
          <w:sz w:val="22"/>
          <w:szCs w:val="22"/>
        </w:rPr>
        <w:tab/>
      </w:r>
      <w:r>
        <w:t>Comments in Response to the Federal Register Notice and Efforts to Consult Outside the Agency</w:t>
      </w:r>
      <w:r>
        <w:tab/>
      </w:r>
      <w:r>
        <w:fldChar w:fldCharType="begin"/>
      </w:r>
      <w:r>
        <w:instrText xml:space="preserve"> PAGEREF _Toc33529716 \h </w:instrText>
      </w:r>
      <w:r>
        <w:fldChar w:fldCharType="separate"/>
      </w:r>
      <w:r>
        <w:t>14</w:t>
      </w:r>
      <w:r>
        <w:fldChar w:fldCharType="end"/>
      </w:r>
    </w:p>
    <w:p w:rsidR="00326A2E" w:rsidRDefault="00326A2E" w14:paraId="2F3879D7" w14:textId="7CB9C98F">
      <w:pPr>
        <w:pStyle w:val="TOC3"/>
        <w:tabs>
          <w:tab w:val="left" w:pos="2347"/>
        </w:tabs>
        <w:rPr>
          <w:rFonts w:asciiTheme="minorHAnsi" w:hAnsiTheme="minorHAnsi" w:eastAsiaTheme="minorEastAsia" w:cstheme="minorBidi"/>
          <w:sz w:val="22"/>
          <w:szCs w:val="22"/>
        </w:rPr>
      </w:pPr>
      <w:r>
        <w:t>A.8.1</w:t>
      </w:r>
      <w:r>
        <w:rPr>
          <w:rFonts w:asciiTheme="minorHAnsi" w:hAnsiTheme="minorHAnsi" w:eastAsiaTheme="minorEastAsia" w:cstheme="minorBidi"/>
          <w:sz w:val="22"/>
          <w:szCs w:val="22"/>
        </w:rPr>
        <w:tab/>
      </w:r>
      <w:r>
        <w:t>Federal Register Announcements and Comments</w:t>
      </w:r>
      <w:r>
        <w:tab/>
      </w:r>
      <w:r>
        <w:fldChar w:fldCharType="begin"/>
      </w:r>
      <w:r>
        <w:instrText xml:space="preserve"> PAGEREF _Toc33529717 \h </w:instrText>
      </w:r>
      <w:r>
        <w:fldChar w:fldCharType="separate"/>
      </w:r>
      <w:r>
        <w:t>14</w:t>
      </w:r>
      <w:r>
        <w:fldChar w:fldCharType="end"/>
      </w:r>
    </w:p>
    <w:p w:rsidR="00326A2E" w:rsidRDefault="00326A2E" w14:paraId="24A6FB8F" w14:textId="0983A3BB">
      <w:pPr>
        <w:pStyle w:val="TOC3"/>
        <w:tabs>
          <w:tab w:val="left" w:pos="2347"/>
        </w:tabs>
        <w:rPr>
          <w:rFonts w:asciiTheme="minorHAnsi" w:hAnsiTheme="minorHAnsi" w:eastAsiaTheme="minorEastAsia" w:cstheme="minorBidi"/>
          <w:sz w:val="22"/>
          <w:szCs w:val="22"/>
        </w:rPr>
      </w:pPr>
      <w:r>
        <w:t>A.8.2</w:t>
      </w:r>
      <w:r>
        <w:rPr>
          <w:rFonts w:asciiTheme="minorHAnsi" w:hAnsiTheme="minorHAnsi" w:eastAsiaTheme="minorEastAsia" w:cstheme="minorBidi"/>
          <w:sz w:val="22"/>
          <w:szCs w:val="22"/>
        </w:rPr>
        <w:tab/>
      </w:r>
      <w:r>
        <w:t>Consultation Within the Research Community</w:t>
      </w:r>
      <w:r>
        <w:tab/>
      </w:r>
      <w:r>
        <w:fldChar w:fldCharType="begin"/>
      </w:r>
      <w:r>
        <w:instrText xml:space="preserve"> PAGEREF _Toc33529718 \h </w:instrText>
      </w:r>
      <w:r>
        <w:fldChar w:fldCharType="separate"/>
      </w:r>
      <w:r>
        <w:t>14</w:t>
      </w:r>
      <w:r>
        <w:fldChar w:fldCharType="end"/>
      </w:r>
    </w:p>
    <w:p w:rsidR="00326A2E" w:rsidRDefault="00326A2E" w14:paraId="350D573F" w14:textId="73BAB286">
      <w:pPr>
        <w:pStyle w:val="TOC2"/>
        <w:rPr>
          <w:rFonts w:asciiTheme="minorHAnsi" w:hAnsiTheme="minorHAnsi" w:eastAsiaTheme="minorEastAsia" w:cstheme="minorBidi"/>
          <w:bCs w:val="0"/>
          <w:iCs w:val="0"/>
          <w:sz w:val="22"/>
          <w:szCs w:val="22"/>
        </w:rPr>
      </w:pPr>
      <w:r>
        <w:t>A.9</w:t>
      </w:r>
      <w:r>
        <w:rPr>
          <w:rFonts w:asciiTheme="minorHAnsi" w:hAnsiTheme="minorHAnsi" w:eastAsiaTheme="minorEastAsia" w:cstheme="minorBidi"/>
          <w:bCs w:val="0"/>
          <w:iCs w:val="0"/>
          <w:sz w:val="22"/>
          <w:szCs w:val="22"/>
        </w:rPr>
        <w:tab/>
      </w:r>
      <w:r>
        <w:t>Explanation of Any Payment or Gift to Respondents</w:t>
      </w:r>
      <w:r>
        <w:tab/>
      </w:r>
      <w:r>
        <w:fldChar w:fldCharType="begin"/>
      </w:r>
      <w:r>
        <w:instrText xml:space="preserve"> PAGEREF _Toc33529719 \h </w:instrText>
      </w:r>
      <w:r>
        <w:fldChar w:fldCharType="separate"/>
      </w:r>
      <w:r>
        <w:t>15</w:t>
      </w:r>
      <w:r>
        <w:fldChar w:fldCharType="end"/>
      </w:r>
    </w:p>
    <w:p w:rsidR="00326A2E" w:rsidRDefault="00326A2E" w14:paraId="5BD8CB80" w14:textId="5A31D026">
      <w:pPr>
        <w:pStyle w:val="TOC2"/>
        <w:rPr>
          <w:rFonts w:asciiTheme="minorHAnsi" w:hAnsiTheme="minorHAnsi" w:eastAsiaTheme="minorEastAsia" w:cstheme="minorBidi"/>
          <w:bCs w:val="0"/>
          <w:iCs w:val="0"/>
          <w:sz w:val="22"/>
          <w:szCs w:val="22"/>
        </w:rPr>
      </w:pPr>
      <w:r>
        <w:t>A.10</w:t>
      </w:r>
      <w:r>
        <w:rPr>
          <w:rFonts w:asciiTheme="minorHAnsi" w:hAnsiTheme="minorHAnsi" w:eastAsiaTheme="minorEastAsia" w:cstheme="minorBidi"/>
          <w:bCs w:val="0"/>
          <w:iCs w:val="0"/>
          <w:sz w:val="22"/>
          <w:szCs w:val="22"/>
        </w:rPr>
        <w:tab/>
      </w:r>
      <w:r>
        <w:t>Assurance of Privacy Provided to Respondents</w:t>
      </w:r>
      <w:r>
        <w:tab/>
      </w:r>
      <w:r>
        <w:fldChar w:fldCharType="begin"/>
      </w:r>
      <w:r>
        <w:instrText xml:space="preserve"> PAGEREF _Toc33529720 \h </w:instrText>
      </w:r>
      <w:r>
        <w:fldChar w:fldCharType="separate"/>
      </w:r>
      <w:r>
        <w:t>17</w:t>
      </w:r>
      <w:r>
        <w:fldChar w:fldCharType="end"/>
      </w:r>
    </w:p>
    <w:p w:rsidR="00326A2E" w:rsidRDefault="00326A2E" w14:paraId="2703CF82" w14:textId="5AF6DF3C">
      <w:pPr>
        <w:pStyle w:val="TOC3"/>
        <w:tabs>
          <w:tab w:val="left" w:pos="2347"/>
        </w:tabs>
        <w:rPr>
          <w:rFonts w:asciiTheme="minorHAnsi" w:hAnsiTheme="minorHAnsi" w:eastAsiaTheme="minorEastAsia" w:cstheme="minorBidi"/>
          <w:sz w:val="22"/>
          <w:szCs w:val="22"/>
        </w:rPr>
      </w:pPr>
      <w:r>
        <w:t>A.10.1</w:t>
      </w:r>
      <w:r>
        <w:rPr>
          <w:rFonts w:asciiTheme="minorHAnsi" w:hAnsiTheme="minorHAnsi" w:eastAsiaTheme="minorEastAsia" w:cstheme="minorBidi"/>
          <w:sz w:val="22"/>
          <w:szCs w:val="22"/>
        </w:rPr>
        <w:tab/>
      </w:r>
      <w:r>
        <w:t>Procedures for Protecting Data Collected from Participants</w:t>
      </w:r>
      <w:r>
        <w:tab/>
      </w:r>
      <w:r>
        <w:fldChar w:fldCharType="begin"/>
      </w:r>
      <w:r>
        <w:instrText xml:space="preserve"> PAGEREF _Toc33529721 \h </w:instrText>
      </w:r>
      <w:r>
        <w:fldChar w:fldCharType="separate"/>
      </w:r>
      <w:r>
        <w:t>18</w:t>
      </w:r>
      <w:r>
        <w:fldChar w:fldCharType="end"/>
      </w:r>
    </w:p>
    <w:p w:rsidR="00326A2E" w:rsidRDefault="00326A2E" w14:paraId="583C782E" w14:textId="2FCAA2C4">
      <w:pPr>
        <w:pStyle w:val="TOC3"/>
        <w:tabs>
          <w:tab w:val="left" w:pos="2347"/>
        </w:tabs>
        <w:rPr>
          <w:rFonts w:asciiTheme="minorHAnsi" w:hAnsiTheme="minorHAnsi" w:eastAsiaTheme="minorEastAsia" w:cstheme="minorBidi"/>
          <w:sz w:val="22"/>
          <w:szCs w:val="22"/>
        </w:rPr>
      </w:pPr>
      <w:r>
        <w:t>A.10.2</w:t>
      </w:r>
      <w:r>
        <w:rPr>
          <w:rFonts w:asciiTheme="minorHAnsi" w:hAnsiTheme="minorHAnsi" w:eastAsiaTheme="minorEastAsia" w:cstheme="minorBidi"/>
          <w:sz w:val="22"/>
          <w:szCs w:val="22"/>
        </w:rPr>
        <w:tab/>
      </w:r>
      <w:r>
        <w:t>Privacy Procedures for In-Person Data Collection</w:t>
      </w:r>
      <w:r>
        <w:tab/>
      </w:r>
      <w:r>
        <w:fldChar w:fldCharType="begin"/>
      </w:r>
      <w:r>
        <w:instrText xml:space="preserve"> PAGEREF _Toc33529722 \h </w:instrText>
      </w:r>
      <w:r>
        <w:fldChar w:fldCharType="separate"/>
      </w:r>
      <w:r>
        <w:t>23</w:t>
      </w:r>
      <w:r>
        <w:fldChar w:fldCharType="end"/>
      </w:r>
    </w:p>
    <w:p w:rsidR="00326A2E" w:rsidRDefault="00326A2E" w14:paraId="22DB6144" w14:textId="482622FF">
      <w:pPr>
        <w:pStyle w:val="TOC3"/>
        <w:tabs>
          <w:tab w:val="left" w:pos="2347"/>
        </w:tabs>
        <w:rPr>
          <w:rFonts w:asciiTheme="minorHAnsi" w:hAnsiTheme="minorHAnsi" w:eastAsiaTheme="minorEastAsia" w:cstheme="minorBidi"/>
          <w:sz w:val="22"/>
          <w:szCs w:val="22"/>
        </w:rPr>
      </w:pPr>
      <w:r>
        <w:t>A.10.3</w:t>
      </w:r>
      <w:r>
        <w:rPr>
          <w:rFonts w:asciiTheme="minorHAnsi" w:hAnsiTheme="minorHAnsi" w:eastAsiaTheme="minorEastAsia" w:cstheme="minorBidi"/>
          <w:sz w:val="22"/>
          <w:szCs w:val="22"/>
        </w:rPr>
        <w:tab/>
      </w:r>
      <w:r>
        <w:t>Additional Privacy Concerns Associated with On-line Data Collection</w:t>
      </w:r>
      <w:r>
        <w:tab/>
      </w:r>
      <w:r>
        <w:fldChar w:fldCharType="begin"/>
      </w:r>
      <w:r>
        <w:instrText xml:space="preserve"> PAGEREF _Toc33529723 \h </w:instrText>
      </w:r>
      <w:r>
        <w:fldChar w:fldCharType="separate"/>
      </w:r>
      <w:r>
        <w:t>24</w:t>
      </w:r>
      <w:r>
        <w:fldChar w:fldCharType="end"/>
      </w:r>
    </w:p>
    <w:p w:rsidR="00326A2E" w:rsidRDefault="00326A2E" w14:paraId="552F3E66" w14:textId="0F6AAD31">
      <w:pPr>
        <w:pStyle w:val="TOC3"/>
        <w:tabs>
          <w:tab w:val="left" w:pos="2347"/>
        </w:tabs>
        <w:rPr>
          <w:rFonts w:asciiTheme="minorHAnsi" w:hAnsiTheme="minorHAnsi" w:eastAsiaTheme="minorEastAsia" w:cstheme="minorBidi"/>
          <w:sz w:val="22"/>
          <w:szCs w:val="22"/>
        </w:rPr>
      </w:pPr>
      <w:r>
        <w:t>A.10.4</w:t>
      </w:r>
      <w:r>
        <w:rPr>
          <w:rFonts w:asciiTheme="minorHAnsi" w:hAnsiTheme="minorHAnsi" w:eastAsiaTheme="minorEastAsia" w:cstheme="minorBidi"/>
          <w:sz w:val="22"/>
          <w:szCs w:val="22"/>
        </w:rPr>
        <w:tab/>
      </w:r>
      <w:r>
        <w:t>Privacy Procedures for Mail Survey Participants</w:t>
      </w:r>
      <w:r>
        <w:tab/>
      </w:r>
      <w:r>
        <w:fldChar w:fldCharType="begin"/>
      </w:r>
      <w:r>
        <w:instrText xml:space="preserve"> PAGEREF _Toc33529724 \h </w:instrText>
      </w:r>
      <w:r>
        <w:fldChar w:fldCharType="separate"/>
      </w:r>
      <w:r>
        <w:t>25</w:t>
      </w:r>
      <w:r>
        <w:fldChar w:fldCharType="end"/>
      </w:r>
    </w:p>
    <w:p w:rsidR="00326A2E" w:rsidRDefault="00326A2E" w14:paraId="1079C0F3" w14:textId="209F4C1A">
      <w:pPr>
        <w:pStyle w:val="TOC3"/>
        <w:tabs>
          <w:tab w:val="left" w:pos="2347"/>
        </w:tabs>
        <w:rPr>
          <w:rFonts w:asciiTheme="minorHAnsi" w:hAnsiTheme="minorHAnsi" w:eastAsiaTheme="minorEastAsia" w:cstheme="minorBidi"/>
          <w:sz w:val="22"/>
          <w:szCs w:val="22"/>
        </w:rPr>
      </w:pPr>
      <w:r>
        <w:t>A.10.5</w:t>
      </w:r>
      <w:r>
        <w:rPr>
          <w:rFonts w:asciiTheme="minorHAnsi" w:hAnsiTheme="minorHAnsi" w:eastAsiaTheme="minorEastAsia" w:cstheme="minorBidi"/>
          <w:sz w:val="22"/>
          <w:szCs w:val="22"/>
        </w:rPr>
        <w:tab/>
      </w:r>
      <w:r>
        <w:t>Privacy Concerns for Participants Using Loaned Tablet Computers</w:t>
      </w:r>
      <w:r>
        <w:tab/>
      </w:r>
      <w:r>
        <w:fldChar w:fldCharType="begin"/>
      </w:r>
      <w:r>
        <w:instrText xml:space="preserve"> PAGEREF _Toc33529725 \h </w:instrText>
      </w:r>
      <w:r>
        <w:fldChar w:fldCharType="separate"/>
      </w:r>
      <w:r>
        <w:t>26</w:t>
      </w:r>
      <w:r>
        <w:fldChar w:fldCharType="end"/>
      </w:r>
    </w:p>
    <w:p w:rsidR="00326A2E" w:rsidRDefault="00326A2E" w14:paraId="29EBE15A" w14:textId="1BED438D">
      <w:pPr>
        <w:pStyle w:val="TOC2"/>
        <w:rPr>
          <w:rFonts w:asciiTheme="minorHAnsi" w:hAnsiTheme="minorHAnsi" w:eastAsiaTheme="minorEastAsia" w:cstheme="minorBidi"/>
          <w:bCs w:val="0"/>
          <w:iCs w:val="0"/>
          <w:sz w:val="22"/>
          <w:szCs w:val="22"/>
        </w:rPr>
      </w:pPr>
      <w:r>
        <w:t>A.11</w:t>
      </w:r>
      <w:r>
        <w:rPr>
          <w:rFonts w:asciiTheme="minorHAnsi" w:hAnsiTheme="minorHAnsi" w:eastAsiaTheme="minorEastAsia" w:cstheme="minorBidi"/>
          <w:bCs w:val="0"/>
          <w:iCs w:val="0"/>
          <w:sz w:val="22"/>
          <w:szCs w:val="22"/>
        </w:rPr>
        <w:tab/>
      </w:r>
      <w:r>
        <w:t>Justification for Sensitive Questions</w:t>
      </w:r>
      <w:r>
        <w:tab/>
      </w:r>
      <w:r>
        <w:fldChar w:fldCharType="begin"/>
      </w:r>
      <w:r>
        <w:instrText xml:space="preserve"> PAGEREF _Toc33529726 \h </w:instrText>
      </w:r>
      <w:r>
        <w:fldChar w:fldCharType="separate"/>
      </w:r>
      <w:r>
        <w:t>27</w:t>
      </w:r>
      <w:r>
        <w:fldChar w:fldCharType="end"/>
      </w:r>
    </w:p>
    <w:p w:rsidR="00326A2E" w:rsidRDefault="00326A2E" w14:paraId="59310094" w14:textId="5B538951">
      <w:pPr>
        <w:pStyle w:val="TOC2"/>
        <w:rPr>
          <w:rFonts w:asciiTheme="minorHAnsi" w:hAnsiTheme="minorHAnsi" w:eastAsiaTheme="minorEastAsia" w:cstheme="minorBidi"/>
          <w:bCs w:val="0"/>
          <w:iCs w:val="0"/>
          <w:sz w:val="22"/>
          <w:szCs w:val="22"/>
        </w:rPr>
      </w:pPr>
      <w:r>
        <w:t>A.12</w:t>
      </w:r>
      <w:r>
        <w:rPr>
          <w:rFonts w:asciiTheme="minorHAnsi" w:hAnsiTheme="minorHAnsi" w:eastAsiaTheme="minorEastAsia" w:cstheme="minorBidi"/>
          <w:bCs w:val="0"/>
          <w:iCs w:val="0"/>
          <w:sz w:val="22"/>
          <w:szCs w:val="22"/>
        </w:rPr>
        <w:tab/>
      </w:r>
      <w:r>
        <w:t>Estimates of Annualized Burden Hours and Costs</w:t>
      </w:r>
      <w:r>
        <w:tab/>
      </w:r>
      <w:r>
        <w:fldChar w:fldCharType="begin"/>
      </w:r>
      <w:r>
        <w:instrText xml:space="preserve"> PAGEREF _Toc33529727 \h </w:instrText>
      </w:r>
      <w:r>
        <w:fldChar w:fldCharType="separate"/>
      </w:r>
      <w:r>
        <w:t>27</w:t>
      </w:r>
      <w:r>
        <w:fldChar w:fldCharType="end"/>
      </w:r>
    </w:p>
    <w:p w:rsidR="00326A2E" w:rsidRDefault="00326A2E" w14:paraId="47F00129" w14:textId="45780832">
      <w:pPr>
        <w:pStyle w:val="TOC3"/>
        <w:tabs>
          <w:tab w:val="left" w:pos="2347"/>
        </w:tabs>
        <w:rPr>
          <w:rFonts w:asciiTheme="minorHAnsi" w:hAnsiTheme="minorHAnsi" w:eastAsiaTheme="minorEastAsia" w:cstheme="minorBidi"/>
          <w:sz w:val="22"/>
          <w:szCs w:val="22"/>
        </w:rPr>
      </w:pPr>
      <w:r>
        <w:t>A.12.1</w:t>
      </w:r>
      <w:r>
        <w:rPr>
          <w:rFonts w:asciiTheme="minorHAnsi" w:hAnsiTheme="minorHAnsi" w:eastAsiaTheme="minorEastAsia" w:cstheme="minorBidi"/>
          <w:sz w:val="22"/>
          <w:szCs w:val="22"/>
        </w:rPr>
        <w:tab/>
      </w:r>
      <w:r>
        <w:t>Annualized Hour Burden Estimate</w:t>
      </w:r>
      <w:r>
        <w:tab/>
      </w:r>
      <w:r>
        <w:fldChar w:fldCharType="begin"/>
      </w:r>
      <w:r>
        <w:instrText xml:space="preserve"> PAGEREF _Toc33529728 \h </w:instrText>
      </w:r>
      <w:r>
        <w:fldChar w:fldCharType="separate"/>
      </w:r>
      <w:r>
        <w:t>27</w:t>
      </w:r>
      <w:r>
        <w:fldChar w:fldCharType="end"/>
      </w:r>
    </w:p>
    <w:p w:rsidR="00326A2E" w:rsidRDefault="00326A2E" w14:paraId="5D69621A" w14:textId="73069D3A">
      <w:pPr>
        <w:pStyle w:val="TOC3"/>
        <w:tabs>
          <w:tab w:val="left" w:pos="2347"/>
        </w:tabs>
        <w:rPr>
          <w:rFonts w:asciiTheme="minorHAnsi" w:hAnsiTheme="minorHAnsi" w:eastAsiaTheme="minorEastAsia" w:cstheme="minorBidi"/>
          <w:sz w:val="22"/>
          <w:szCs w:val="22"/>
        </w:rPr>
      </w:pPr>
      <w:r>
        <w:t>A.12.2</w:t>
      </w:r>
      <w:r>
        <w:rPr>
          <w:rFonts w:asciiTheme="minorHAnsi" w:hAnsiTheme="minorHAnsi" w:eastAsiaTheme="minorEastAsia" w:cstheme="minorBidi"/>
          <w:sz w:val="22"/>
          <w:szCs w:val="22"/>
        </w:rPr>
        <w:tab/>
      </w:r>
      <w:r>
        <w:t>Annualized Cost Burden Estimate</w:t>
      </w:r>
      <w:r>
        <w:tab/>
      </w:r>
      <w:r>
        <w:fldChar w:fldCharType="begin"/>
      </w:r>
      <w:r>
        <w:instrText xml:space="preserve"> PAGEREF _Toc33529729 \h </w:instrText>
      </w:r>
      <w:r>
        <w:fldChar w:fldCharType="separate"/>
      </w:r>
      <w:r>
        <w:t>29</w:t>
      </w:r>
      <w:r>
        <w:fldChar w:fldCharType="end"/>
      </w:r>
    </w:p>
    <w:p w:rsidR="00326A2E" w:rsidRDefault="00326A2E" w14:paraId="2EE561FA" w14:textId="57042B97">
      <w:pPr>
        <w:pStyle w:val="TOC2"/>
        <w:rPr>
          <w:rFonts w:asciiTheme="minorHAnsi" w:hAnsiTheme="minorHAnsi" w:eastAsiaTheme="minorEastAsia" w:cstheme="minorBidi"/>
          <w:bCs w:val="0"/>
          <w:iCs w:val="0"/>
          <w:sz w:val="22"/>
          <w:szCs w:val="22"/>
        </w:rPr>
      </w:pPr>
      <w:r>
        <w:t>A.13</w:t>
      </w:r>
      <w:r>
        <w:rPr>
          <w:rFonts w:asciiTheme="minorHAnsi" w:hAnsiTheme="minorHAnsi" w:eastAsiaTheme="minorEastAsia" w:cstheme="minorBidi"/>
          <w:bCs w:val="0"/>
          <w:iCs w:val="0"/>
          <w:sz w:val="22"/>
          <w:szCs w:val="22"/>
        </w:rPr>
        <w:tab/>
      </w:r>
      <w:r>
        <w:t>Estimates of Other Total Annual Cost Burden to Respondents or Recordkeepers</w:t>
      </w:r>
      <w:r>
        <w:tab/>
      </w:r>
      <w:r>
        <w:fldChar w:fldCharType="begin"/>
      </w:r>
      <w:r>
        <w:instrText xml:space="preserve"> PAGEREF _Toc33529730 \h </w:instrText>
      </w:r>
      <w:r>
        <w:fldChar w:fldCharType="separate"/>
      </w:r>
      <w:r>
        <w:t>29</w:t>
      </w:r>
      <w:r>
        <w:fldChar w:fldCharType="end"/>
      </w:r>
    </w:p>
    <w:p w:rsidR="00326A2E" w:rsidRDefault="00326A2E" w14:paraId="30EC8831" w14:textId="6378A135">
      <w:pPr>
        <w:pStyle w:val="TOC2"/>
        <w:rPr>
          <w:rFonts w:asciiTheme="minorHAnsi" w:hAnsiTheme="minorHAnsi" w:eastAsiaTheme="minorEastAsia" w:cstheme="minorBidi"/>
          <w:bCs w:val="0"/>
          <w:iCs w:val="0"/>
          <w:sz w:val="22"/>
          <w:szCs w:val="22"/>
        </w:rPr>
      </w:pPr>
      <w:r>
        <w:t>A.14</w:t>
      </w:r>
      <w:r>
        <w:rPr>
          <w:rFonts w:asciiTheme="minorHAnsi" w:hAnsiTheme="minorHAnsi" w:eastAsiaTheme="minorEastAsia" w:cstheme="minorBidi"/>
          <w:bCs w:val="0"/>
          <w:iCs w:val="0"/>
          <w:sz w:val="22"/>
          <w:szCs w:val="22"/>
        </w:rPr>
        <w:tab/>
      </w:r>
      <w:r>
        <w:t>Annualized Cost to the Federal Government</w:t>
      </w:r>
      <w:r>
        <w:tab/>
      </w:r>
      <w:r>
        <w:fldChar w:fldCharType="begin"/>
      </w:r>
      <w:r>
        <w:instrText xml:space="preserve"> PAGEREF _Toc33529731 \h </w:instrText>
      </w:r>
      <w:r>
        <w:fldChar w:fldCharType="separate"/>
      </w:r>
      <w:r>
        <w:t>29</w:t>
      </w:r>
      <w:r>
        <w:fldChar w:fldCharType="end"/>
      </w:r>
    </w:p>
    <w:p w:rsidR="00326A2E" w:rsidRDefault="00326A2E" w14:paraId="7D318781" w14:textId="16A0DE7F">
      <w:pPr>
        <w:pStyle w:val="TOC2"/>
        <w:rPr>
          <w:rFonts w:asciiTheme="minorHAnsi" w:hAnsiTheme="minorHAnsi" w:eastAsiaTheme="minorEastAsia" w:cstheme="minorBidi"/>
          <w:bCs w:val="0"/>
          <w:iCs w:val="0"/>
          <w:sz w:val="22"/>
          <w:szCs w:val="22"/>
        </w:rPr>
      </w:pPr>
      <w:r>
        <w:t>A.15</w:t>
      </w:r>
      <w:r>
        <w:rPr>
          <w:rFonts w:asciiTheme="minorHAnsi" w:hAnsiTheme="minorHAnsi" w:eastAsiaTheme="minorEastAsia" w:cstheme="minorBidi"/>
          <w:bCs w:val="0"/>
          <w:iCs w:val="0"/>
          <w:sz w:val="22"/>
          <w:szCs w:val="22"/>
        </w:rPr>
        <w:tab/>
      </w:r>
      <w:r>
        <w:t>Explanation for Program Changes or Adjustments</w:t>
      </w:r>
      <w:r>
        <w:tab/>
      </w:r>
      <w:r>
        <w:fldChar w:fldCharType="begin"/>
      </w:r>
      <w:r>
        <w:instrText xml:space="preserve"> PAGEREF _Toc33529732 \h </w:instrText>
      </w:r>
      <w:r>
        <w:fldChar w:fldCharType="separate"/>
      </w:r>
      <w:r>
        <w:t>29</w:t>
      </w:r>
      <w:r>
        <w:fldChar w:fldCharType="end"/>
      </w:r>
    </w:p>
    <w:p w:rsidR="00326A2E" w:rsidRDefault="00326A2E" w14:paraId="7028598B" w14:textId="212066EE">
      <w:pPr>
        <w:pStyle w:val="TOC2"/>
        <w:rPr>
          <w:rFonts w:asciiTheme="minorHAnsi" w:hAnsiTheme="minorHAnsi" w:eastAsiaTheme="minorEastAsia" w:cstheme="minorBidi"/>
          <w:bCs w:val="0"/>
          <w:iCs w:val="0"/>
          <w:sz w:val="22"/>
          <w:szCs w:val="22"/>
        </w:rPr>
      </w:pPr>
      <w:r>
        <w:lastRenderedPageBreak/>
        <w:t>A.16</w:t>
      </w:r>
      <w:r>
        <w:rPr>
          <w:rFonts w:asciiTheme="minorHAnsi" w:hAnsiTheme="minorHAnsi" w:eastAsiaTheme="minorEastAsia" w:cstheme="minorBidi"/>
          <w:bCs w:val="0"/>
          <w:iCs w:val="0"/>
          <w:sz w:val="22"/>
          <w:szCs w:val="22"/>
        </w:rPr>
        <w:tab/>
      </w:r>
      <w:r>
        <w:t>Plans for Tabulation and Publication and Project Time Schedule</w:t>
      </w:r>
      <w:r>
        <w:tab/>
      </w:r>
      <w:r>
        <w:fldChar w:fldCharType="begin"/>
      </w:r>
      <w:r>
        <w:instrText xml:space="preserve"> PAGEREF _Toc33529733 \h </w:instrText>
      </w:r>
      <w:r>
        <w:fldChar w:fldCharType="separate"/>
      </w:r>
      <w:r>
        <w:t>30</w:t>
      </w:r>
      <w:r>
        <w:fldChar w:fldCharType="end"/>
      </w:r>
    </w:p>
    <w:p w:rsidR="00326A2E" w:rsidRDefault="00326A2E" w14:paraId="57002919" w14:textId="13ACDF41">
      <w:pPr>
        <w:pStyle w:val="TOC3"/>
        <w:tabs>
          <w:tab w:val="left" w:pos="2347"/>
        </w:tabs>
        <w:rPr>
          <w:rFonts w:asciiTheme="minorHAnsi" w:hAnsiTheme="minorHAnsi" w:eastAsiaTheme="minorEastAsia" w:cstheme="minorBidi"/>
          <w:sz w:val="22"/>
          <w:szCs w:val="22"/>
        </w:rPr>
      </w:pPr>
      <w:r>
        <w:t>A.16.1</w:t>
      </w:r>
      <w:r>
        <w:rPr>
          <w:rFonts w:asciiTheme="minorHAnsi" w:hAnsiTheme="minorHAnsi" w:eastAsiaTheme="minorEastAsia" w:cstheme="minorBidi"/>
          <w:sz w:val="22"/>
          <w:szCs w:val="22"/>
        </w:rPr>
        <w:tab/>
      </w:r>
      <w:r>
        <w:t>Study Schedule</w:t>
      </w:r>
      <w:r>
        <w:tab/>
      </w:r>
      <w:r>
        <w:fldChar w:fldCharType="begin"/>
      </w:r>
      <w:r>
        <w:instrText xml:space="preserve"> PAGEREF _Toc33529734 \h </w:instrText>
      </w:r>
      <w:r>
        <w:fldChar w:fldCharType="separate"/>
      </w:r>
      <w:r>
        <w:t>30</w:t>
      </w:r>
      <w:r>
        <w:fldChar w:fldCharType="end"/>
      </w:r>
    </w:p>
    <w:p w:rsidR="00326A2E" w:rsidRDefault="00326A2E" w14:paraId="3C358ACF" w14:textId="657D2F05">
      <w:pPr>
        <w:pStyle w:val="TOC3"/>
        <w:tabs>
          <w:tab w:val="left" w:pos="2347"/>
        </w:tabs>
        <w:rPr>
          <w:rFonts w:asciiTheme="minorHAnsi" w:hAnsiTheme="minorHAnsi" w:eastAsiaTheme="minorEastAsia" w:cstheme="minorBidi"/>
          <w:sz w:val="22"/>
          <w:szCs w:val="22"/>
        </w:rPr>
      </w:pPr>
      <w:r>
        <w:t>A.16.2</w:t>
      </w:r>
      <w:r>
        <w:rPr>
          <w:rFonts w:asciiTheme="minorHAnsi" w:hAnsiTheme="minorHAnsi" w:eastAsiaTheme="minorEastAsia" w:cstheme="minorBidi"/>
          <w:sz w:val="22"/>
          <w:szCs w:val="22"/>
        </w:rPr>
        <w:tab/>
      </w:r>
      <w:r>
        <w:t>Analysis, Publication and Reporting Plans</w:t>
      </w:r>
      <w:r>
        <w:tab/>
      </w:r>
      <w:r>
        <w:fldChar w:fldCharType="begin"/>
      </w:r>
      <w:r>
        <w:instrText xml:space="preserve"> PAGEREF _Toc33529735 \h </w:instrText>
      </w:r>
      <w:r>
        <w:fldChar w:fldCharType="separate"/>
      </w:r>
      <w:r>
        <w:t>30</w:t>
      </w:r>
      <w:r>
        <w:fldChar w:fldCharType="end"/>
      </w:r>
    </w:p>
    <w:p w:rsidR="00326A2E" w:rsidRDefault="00326A2E" w14:paraId="6D1B0229" w14:textId="7D1FFD22">
      <w:pPr>
        <w:pStyle w:val="TOC2"/>
        <w:rPr>
          <w:rFonts w:asciiTheme="minorHAnsi" w:hAnsiTheme="minorHAnsi" w:eastAsiaTheme="minorEastAsia" w:cstheme="minorBidi"/>
          <w:bCs w:val="0"/>
          <w:iCs w:val="0"/>
          <w:sz w:val="22"/>
          <w:szCs w:val="22"/>
        </w:rPr>
      </w:pPr>
      <w:r>
        <w:t>A.17</w:t>
      </w:r>
      <w:r>
        <w:rPr>
          <w:rFonts w:asciiTheme="minorHAnsi" w:hAnsiTheme="minorHAnsi" w:eastAsiaTheme="minorEastAsia" w:cstheme="minorBidi"/>
          <w:bCs w:val="0"/>
          <w:iCs w:val="0"/>
          <w:sz w:val="22"/>
          <w:szCs w:val="22"/>
        </w:rPr>
        <w:tab/>
      </w:r>
      <w:r>
        <w:t>Reason(s) Display of OMB Expiration Date Is Inappropriate</w:t>
      </w:r>
      <w:r>
        <w:tab/>
      </w:r>
      <w:r>
        <w:fldChar w:fldCharType="begin"/>
      </w:r>
      <w:r>
        <w:instrText xml:space="preserve"> PAGEREF _Toc33529736 \h </w:instrText>
      </w:r>
      <w:r>
        <w:fldChar w:fldCharType="separate"/>
      </w:r>
      <w:r>
        <w:t>32</w:t>
      </w:r>
      <w:r>
        <w:fldChar w:fldCharType="end"/>
      </w:r>
    </w:p>
    <w:p w:rsidR="00326A2E" w:rsidRDefault="00326A2E" w14:paraId="402ECC5D" w14:textId="3AA31FC7">
      <w:pPr>
        <w:pStyle w:val="TOC2"/>
        <w:rPr>
          <w:rFonts w:asciiTheme="minorHAnsi" w:hAnsiTheme="minorHAnsi" w:eastAsiaTheme="minorEastAsia" w:cstheme="minorBidi"/>
          <w:bCs w:val="0"/>
          <w:iCs w:val="0"/>
          <w:sz w:val="22"/>
          <w:szCs w:val="22"/>
        </w:rPr>
      </w:pPr>
      <w:r>
        <w:t>A.18</w:t>
      </w:r>
      <w:r>
        <w:rPr>
          <w:rFonts w:asciiTheme="minorHAnsi" w:hAnsiTheme="minorHAnsi" w:eastAsiaTheme="minorEastAsia" w:cstheme="minorBidi"/>
          <w:bCs w:val="0"/>
          <w:iCs w:val="0"/>
          <w:sz w:val="22"/>
          <w:szCs w:val="22"/>
        </w:rPr>
        <w:tab/>
      </w:r>
      <w:r>
        <w:t>Exceptions to Certification for Paperwork Reduction Act Submissions</w:t>
      </w:r>
      <w:r>
        <w:tab/>
      </w:r>
      <w:r>
        <w:fldChar w:fldCharType="begin"/>
      </w:r>
      <w:r>
        <w:instrText xml:space="preserve"> PAGEREF _Toc33529737 \h </w:instrText>
      </w:r>
      <w:r>
        <w:fldChar w:fldCharType="separate"/>
      </w:r>
      <w:r>
        <w:t>32</w:t>
      </w:r>
      <w:r>
        <w:fldChar w:fldCharType="end"/>
      </w:r>
    </w:p>
    <w:p w:rsidR="00326A2E" w:rsidRDefault="00326A2E" w14:paraId="5E62F429" w14:textId="693C6AE9">
      <w:pPr>
        <w:pStyle w:val="TOC1"/>
        <w:rPr>
          <w:rFonts w:asciiTheme="minorHAnsi" w:hAnsiTheme="minorHAnsi" w:eastAsiaTheme="minorEastAsia" w:cstheme="minorBidi"/>
          <w:sz w:val="22"/>
          <w:szCs w:val="22"/>
        </w:rPr>
      </w:pPr>
      <w:r>
        <w:t>References</w:t>
      </w:r>
      <w:r>
        <w:tab/>
      </w:r>
      <w:r>
        <w:fldChar w:fldCharType="begin"/>
      </w:r>
      <w:r>
        <w:instrText xml:space="preserve"> PAGEREF _Toc33529738 \h </w:instrText>
      </w:r>
      <w:r>
        <w:fldChar w:fldCharType="separate"/>
      </w:r>
      <w:r>
        <w:t>32</w:t>
      </w:r>
      <w:r>
        <w:fldChar w:fldCharType="end"/>
      </w:r>
    </w:p>
    <w:p w:rsidR="00326A2E" w:rsidRDefault="00326A2E" w14:paraId="153DA3B6" w14:textId="725526E8">
      <w:pPr>
        <w:pStyle w:val="TOC1"/>
        <w:rPr>
          <w:rFonts w:asciiTheme="minorHAnsi" w:hAnsiTheme="minorHAnsi" w:eastAsiaTheme="minorEastAsia" w:cstheme="minorBidi"/>
          <w:sz w:val="22"/>
          <w:szCs w:val="22"/>
        </w:rPr>
      </w:pPr>
      <w:r>
        <w:t>Appendix A. Demographic Profile of Established Panel</w:t>
      </w:r>
      <w:r>
        <w:tab/>
      </w:r>
      <w:r>
        <w:fldChar w:fldCharType="begin"/>
      </w:r>
      <w:r>
        <w:instrText xml:space="preserve"> PAGEREF _Toc33529739 \h </w:instrText>
      </w:r>
      <w:r>
        <w:fldChar w:fldCharType="separate"/>
      </w:r>
      <w:r>
        <w:t>36</w:t>
      </w:r>
      <w:r>
        <w:fldChar w:fldCharType="end"/>
      </w:r>
    </w:p>
    <w:p w:rsidR="00326A2E" w:rsidRDefault="00326A2E" w14:paraId="78BE3649" w14:textId="06F4A868">
      <w:pPr>
        <w:pStyle w:val="TOC1"/>
        <w:rPr>
          <w:rFonts w:asciiTheme="minorHAnsi" w:hAnsiTheme="minorHAnsi" w:eastAsiaTheme="minorEastAsia" w:cstheme="minorBidi"/>
          <w:sz w:val="22"/>
          <w:szCs w:val="22"/>
        </w:rPr>
      </w:pPr>
      <w:r>
        <w:t>Appendix B. Demographic Profile of Study A Respondents</w:t>
      </w:r>
      <w:r>
        <w:tab/>
      </w:r>
      <w:r>
        <w:fldChar w:fldCharType="begin"/>
      </w:r>
      <w:r>
        <w:instrText xml:space="preserve"> PAGEREF _Toc33529740 \h </w:instrText>
      </w:r>
      <w:r>
        <w:fldChar w:fldCharType="separate"/>
      </w:r>
      <w:r>
        <w:t>38</w:t>
      </w:r>
      <w:r>
        <w:fldChar w:fldCharType="end"/>
      </w:r>
    </w:p>
    <w:p w:rsidRPr="00424813" w:rsidR="002E301B" w:rsidP="006737DC" w:rsidRDefault="00F761D2" w14:paraId="70BFA365" w14:textId="34357F10">
      <w:pPr>
        <w:pStyle w:val="TOC1"/>
        <w:spacing w:before="0"/>
        <w:rPr>
          <w:rStyle w:val="Hyperlink"/>
        </w:rPr>
      </w:pPr>
      <w:r w:rsidRPr="00424813">
        <w:fldChar w:fldCharType="end"/>
      </w:r>
    </w:p>
    <w:p w:rsidRPr="00424813" w:rsidR="00793B07" w:rsidRDefault="00793B07" w14:paraId="3EBD6953" w14:textId="7E35E90F">
      <w:pPr>
        <w:rPr>
          <w:b/>
          <w:caps/>
          <w:noProof/>
          <w:sz w:val="28"/>
          <w:szCs w:val="20"/>
        </w:rPr>
      </w:pPr>
    </w:p>
    <w:p w:rsidRPr="00424813" w:rsidR="00F72F56" w:rsidP="00100DBE" w:rsidRDefault="00F72F56" w14:paraId="037E5B71" w14:textId="77777777">
      <w:pPr>
        <w:pStyle w:val="TOC0"/>
        <w:rPr>
          <w:noProof/>
        </w:rPr>
      </w:pPr>
      <w:r w:rsidRPr="00424813">
        <w:rPr>
          <w:noProof/>
        </w:rPr>
        <w:t>Exhibits</w:t>
      </w:r>
    </w:p>
    <w:p w:rsidRPr="00424813" w:rsidR="00A935D1" w:rsidP="00A935D1" w:rsidRDefault="00A935D1" w14:paraId="2186B0B4" w14:textId="77777777">
      <w:pPr>
        <w:tabs>
          <w:tab w:val="right" w:pos="9360"/>
        </w:tabs>
        <w:spacing w:before="120" w:after="240"/>
        <w:rPr>
          <w:color w:val="000000"/>
        </w:rPr>
      </w:pPr>
      <w:r w:rsidRPr="00424813">
        <w:rPr>
          <w:b/>
          <w:color w:val="000000"/>
        </w:rPr>
        <w:t>Number</w:t>
      </w:r>
      <w:r w:rsidRPr="00424813">
        <w:rPr>
          <w:color w:val="000000"/>
        </w:rPr>
        <w:tab/>
      </w:r>
      <w:r w:rsidRPr="00424813">
        <w:rPr>
          <w:b/>
          <w:color w:val="000000"/>
        </w:rPr>
        <w:t>Page</w:t>
      </w:r>
    </w:p>
    <w:p w:rsidR="00326A2E" w:rsidRDefault="00F761D2" w14:paraId="577376F2" w14:textId="0089CA58">
      <w:pPr>
        <w:pStyle w:val="TableofFigures"/>
        <w:rPr>
          <w:rFonts w:asciiTheme="minorHAnsi" w:hAnsiTheme="minorHAnsi" w:eastAsiaTheme="minorEastAsia" w:cstheme="minorBidi"/>
          <w:sz w:val="22"/>
          <w:szCs w:val="22"/>
        </w:rPr>
      </w:pPr>
      <w:r w:rsidRPr="00424813">
        <w:rPr>
          <w:szCs w:val="20"/>
        </w:rPr>
        <w:fldChar w:fldCharType="begin"/>
      </w:r>
      <w:r w:rsidRPr="00424813" w:rsidR="005C68E8">
        <w:rPr>
          <w:szCs w:val="20"/>
        </w:rPr>
        <w:instrText xml:space="preserve"> TOC \t "Figure Title" \c </w:instrText>
      </w:r>
      <w:r w:rsidRPr="00424813">
        <w:rPr>
          <w:szCs w:val="20"/>
        </w:rPr>
        <w:fldChar w:fldCharType="separate"/>
      </w:r>
      <w:r w:rsidR="00326A2E">
        <w:t>Exhibit A.2-1. Study Design</w:t>
      </w:r>
      <w:r w:rsidR="00326A2E">
        <w:tab/>
      </w:r>
      <w:r w:rsidR="00326A2E">
        <w:fldChar w:fldCharType="begin"/>
      </w:r>
      <w:r w:rsidR="00326A2E">
        <w:instrText xml:space="preserve"> PAGEREF _Toc33529741 \h </w:instrText>
      </w:r>
      <w:r w:rsidR="00326A2E">
        <w:fldChar w:fldCharType="separate"/>
      </w:r>
      <w:r w:rsidR="00326A2E">
        <w:t>10</w:t>
      </w:r>
      <w:r w:rsidR="00326A2E">
        <w:fldChar w:fldCharType="end"/>
      </w:r>
    </w:p>
    <w:p w:rsidR="00326A2E" w:rsidRDefault="00326A2E" w14:paraId="03A70858" w14:textId="508F2E14">
      <w:pPr>
        <w:pStyle w:val="TableofFigures"/>
        <w:rPr>
          <w:rFonts w:asciiTheme="minorHAnsi" w:hAnsiTheme="minorHAnsi" w:eastAsiaTheme="minorEastAsia" w:cstheme="minorBidi"/>
          <w:sz w:val="22"/>
          <w:szCs w:val="22"/>
        </w:rPr>
      </w:pPr>
      <w:r>
        <w:t>Exhibit A.2-2. Survey Flow, by Study Condition</w:t>
      </w:r>
      <w:r>
        <w:tab/>
      </w:r>
      <w:r>
        <w:fldChar w:fldCharType="begin"/>
      </w:r>
      <w:r>
        <w:instrText xml:space="preserve"> PAGEREF _Toc33529742 \h </w:instrText>
      </w:r>
      <w:r>
        <w:fldChar w:fldCharType="separate"/>
      </w:r>
      <w:r>
        <w:t>10</w:t>
      </w:r>
      <w:r>
        <w:fldChar w:fldCharType="end"/>
      </w:r>
    </w:p>
    <w:p w:rsidR="00326A2E" w:rsidRDefault="00326A2E" w14:paraId="39F7D70F" w14:textId="67D3BAE9">
      <w:pPr>
        <w:pStyle w:val="TableofFigures"/>
        <w:rPr>
          <w:rFonts w:asciiTheme="minorHAnsi" w:hAnsiTheme="minorHAnsi" w:eastAsiaTheme="minorEastAsia" w:cstheme="minorBidi"/>
          <w:sz w:val="22"/>
          <w:szCs w:val="22"/>
        </w:rPr>
      </w:pPr>
      <w:r>
        <w:t>Exhibit A.9-1. Incentive Type and Amount</w:t>
      </w:r>
      <w:r>
        <w:tab/>
      </w:r>
      <w:r>
        <w:fldChar w:fldCharType="begin"/>
      </w:r>
      <w:r>
        <w:instrText xml:space="preserve"> PAGEREF _Toc33529743 \h </w:instrText>
      </w:r>
      <w:r>
        <w:fldChar w:fldCharType="separate"/>
      </w:r>
      <w:r>
        <w:t>17</w:t>
      </w:r>
      <w:r>
        <w:fldChar w:fldCharType="end"/>
      </w:r>
    </w:p>
    <w:p w:rsidR="00326A2E" w:rsidRDefault="00326A2E" w14:paraId="7402320A" w14:textId="2D05C156">
      <w:pPr>
        <w:pStyle w:val="TableofFigures"/>
        <w:rPr>
          <w:rFonts w:asciiTheme="minorHAnsi" w:hAnsiTheme="minorHAnsi" w:eastAsiaTheme="minorEastAsia" w:cstheme="minorBidi"/>
          <w:sz w:val="22"/>
          <w:szCs w:val="22"/>
        </w:rPr>
      </w:pPr>
      <w:r>
        <w:t>Exhibit A.12-1. Estimated Annual Reporting Burden</w:t>
      </w:r>
      <w:r>
        <w:tab/>
      </w:r>
      <w:r>
        <w:fldChar w:fldCharType="begin"/>
      </w:r>
      <w:r>
        <w:instrText xml:space="preserve"> PAGEREF _Toc33529744 \h </w:instrText>
      </w:r>
      <w:r>
        <w:fldChar w:fldCharType="separate"/>
      </w:r>
      <w:r>
        <w:t>28</w:t>
      </w:r>
      <w:r>
        <w:fldChar w:fldCharType="end"/>
      </w:r>
    </w:p>
    <w:p w:rsidR="00326A2E" w:rsidRDefault="00326A2E" w14:paraId="13469070" w14:textId="043960CA">
      <w:pPr>
        <w:pStyle w:val="TableofFigures"/>
        <w:rPr>
          <w:rFonts w:asciiTheme="minorHAnsi" w:hAnsiTheme="minorHAnsi" w:eastAsiaTheme="minorEastAsia" w:cstheme="minorBidi"/>
          <w:sz w:val="22"/>
          <w:szCs w:val="22"/>
        </w:rPr>
      </w:pPr>
      <w:r>
        <w:t>Exhibit A.12-2. Estimated Annualized Response Burden for Panel Members</w:t>
      </w:r>
      <w:r>
        <w:tab/>
      </w:r>
      <w:r>
        <w:fldChar w:fldCharType="begin"/>
      </w:r>
      <w:r>
        <w:instrText xml:space="preserve"> PAGEREF _Toc33529745 \h </w:instrText>
      </w:r>
      <w:r>
        <w:fldChar w:fldCharType="separate"/>
      </w:r>
      <w:r>
        <w:t>29</w:t>
      </w:r>
      <w:r>
        <w:fldChar w:fldCharType="end"/>
      </w:r>
    </w:p>
    <w:p w:rsidR="00326A2E" w:rsidRDefault="00326A2E" w14:paraId="151FD442" w14:textId="78109AAC">
      <w:pPr>
        <w:pStyle w:val="TableofFigures"/>
        <w:rPr>
          <w:rFonts w:asciiTheme="minorHAnsi" w:hAnsiTheme="minorHAnsi" w:eastAsiaTheme="minorEastAsia" w:cstheme="minorBidi"/>
          <w:sz w:val="22"/>
          <w:szCs w:val="22"/>
        </w:rPr>
      </w:pPr>
      <w:r>
        <w:t>Exhibit A.16-1. Panel Project Schedule</w:t>
      </w:r>
      <w:r>
        <w:tab/>
      </w:r>
      <w:r>
        <w:fldChar w:fldCharType="begin"/>
      </w:r>
      <w:r>
        <w:instrText xml:space="preserve"> PAGEREF _Toc33529746 \h </w:instrText>
      </w:r>
      <w:r>
        <w:fldChar w:fldCharType="separate"/>
      </w:r>
      <w:r>
        <w:t>31</w:t>
      </w:r>
      <w:r>
        <w:fldChar w:fldCharType="end"/>
      </w:r>
    </w:p>
    <w:p w:rsidRPr="00424813" w:rsidR="00F72F56" w:rsidP="00F72F56" w:rsidRDefault="00F761D2" w14:paraId="194CA546" w14:textId="011EAAF7">
      <w:pPr>
        <w:rPr>
          <w:noProof/>
        </w:rPr>
      </w:pPr>
      <w:r w:rsidRPr="00424813">
        <w:rPr>
          <w:noProof/>
          <w:szCs w:val="20"/>
        </w:rPr>
        <w:fldChar w:fldCharType="end"/>
      </w:r>
    </w:p>
    <w:p w:rsidRPr="00424813" w:rsidR="00793B07" w:rsidP="00C51EC5" w:rsidRDefault="00793B07" w14:paraId="2C6D2D4C" w14:textId="77777777">
      <w:pPr>
        <w:pStyle w:val="TOC0"/>
        <w:keepNext/>
      </w:pPr>
    </w:p>
    <w:p w:rsidRPr="00424813" w:rsidR="00451757" w:rsidP="00C51EC5" w:rsidRDefault="00451757" w14:paraId="736F7F4B" w14:textId="77777777">
      <w:pPr>
        <w:pStyle w:val="TOC0"/>
        <w:keepNext/>
      </w:pPr>
      <w:r w:rsidRPr="00424813">
        <w:t>LIST OF ATTACHMENTS</w:t>
      </w:r>
    </w:p>
    <w:p w:rsidRPr="00424813" w:rsidR="00220FD1" w:rsidP="009F2A2F" w:rsidRDefault="00220FD1" w14:paraId="1773536A" w14:textId="77777777">
      <w:pPr>
        <w:pStyle w:val="TOC5"/>
        <w:ind w:left="720" w:hanging="720"/>
        <w:rPr>
          <w:rStyle w:val="Hyperlink"/>
          <w:color w:val="000000"/>
        </w:rPr>
      </w:pPr>
      <w:r w:rsidRPr="00424813">
        <w:rPr>
          <w:rStyle w:val="Hyperlink"/>
          <w:color w:val="000000"/>
        </w:rPr>
        <w:t>1.</w:t>
      </w:r>
      <w:r w:rsidRPr="00424813">
        <w:rPr>
          <w:rStyle w:val="Hyperlink"/>
          <w:color w:val="000000"/>
        </w:rPr>
        <w:tab/>
        <w:t>Questionnaires: English-Language Versions</w:t>
      </w:r>
      <w:r w:rsidRPr="00424813">
        <w:rPr>
          <w:rStyle w:val="Hyperlink"/>
          <w:color w:val="000000"/>
        </w:rPr>
        <w:tab/>
      </w:r>
      <w:r w:rsidRPr="00424813" w:rsidR="009F2A2F">
        <w:rPr>
          <w:rStyle w:val="Hyperlink"/>
          <w:color w:val="000000"/>
        </w:rPr>
        <w:t>1-1</w:t>
      </w:r>
    </w:p>
    <w:p w:rsidRPr="00424813" w:rsidR="00220FD1" w:rsidP="009F2A2F" w:rsidRDefault="00220FD1" w14:paraId="3E53C407" w14:textId="77777777">
      <w:pPr>
        <w:pStyle w:val="TOC5"/>
        <w:ind w:left="720" w:hanging="720"/>
        <w:rPr>
          <w:rStyle w:val="Hyperlink"/>
          <w:color w:val="000000"/>
        </w:rPr>
      </w:pPr>
      <w:r w:rsidRPr="00424813">
        <w:rPr>
          <w:rStyle w:val="Hyperlink"/>
          <w:color w:val="000000"/>
        </w:rPr>
        <w:t>2.</w:t>
      </w:r>
      <w:r w:rsidRPr="00424813">
        <w:rPr>
          <w:rStyle w:val="Hyperlink"/>
          <w:color w:val="000000"/>
        </w:rPr>
        <w:tab/>
        <w:t>Questionnaires: Spanish-Language Versions</w:t>
      </w:r>
      <w:r w:rsidRPr="00424813" w:rsidR="009F2A2F">
        <w:rPr>
          <w:rStyle w:val="Hyperlink"/>
          <w:color w:val="000000"/>
        </w:rPr>
        <w:tab/>
        <w:t>2-1</w:t>
      </w:r>
    </w:p>
    <w:p w:rsidRPr="00424813" w:rsidR="00220FD1" w:rsidP="009F2A2F" w:rsidRDefault="00220FD1" w14:paraId="2E941510" w14:textId="77777777">
      <w:pPr>
        <w:pStyle w:val="TOC5"/>
        <w:ind w:left="720" w:hanging="720"/>
        <w:rPr>
          <w:rStyle w:val="Hyperlink"/>
          <w:color w:val="000000"/>
        </w:rPr>
      </w:pPr>
      <w:r w:rsidRPr="00424813">
        <w:rPr>
          <w:rStyle w:val="Hyperlink"/>
          <w:color w:val="000000"/>
        </w:rPr>
        <w:t>3.</w:t>
      </w:r>
      <w:r w:rsidRPr="00424813">
        <w:rPr>
          <w:rStyle w:val="Hyperlink"/>
          <w:color w:val="000000"/>
        </w:rPr>
        <w:tab/>
        <w:t>Respondent Materials: E</w:t>
      </w:r>
      <w:bookmarkStart w:name="_GoBack" w:id="2"/>
      <w:bookmarkEnd w:id="2"/>
      <w:r w:rsidRPr="00424813">
        <w:rPr>
          <w:rStyle w:val="Hyperlink"/>
          <w:color w:val="000000"/>
        </w:rPr>
        <w:t>nglish-Language Versions</w:t>
      </w:r>
      <w:r w:rsidRPr="00424813" w:rsidR="009F2A2F">
        <w:rPr>
          <w:rStyle w:val="Hyperlink"/>
          <w:color w:val="000000"/>
        </w:rPr>
        <w:tab/>
        <w:t>3-1</w:t>
      </w:r>
    </w:p>
    <w:p w:rsidRPr="00424813" w:rsidR="00220FD1" w:rsidP="009F2A2F" w:rsidRDefault="00220FD1" w14:paraId="01F8DC76" w14:textId="77777777">
      <w:pPr>
        <w:pStyle w:val="TOC5"/>
        <w:ind w:left="720" w:hanging="720"/>
        <w:rPr>
          <w:rStyle w:val="Hyperlink"/>
          <w:color w:val="000000"/>
        </w:rPr>
      </w:pPr>
      <w:r w:rsidRPr="00424813">
        <w:rPr>
          <w:rStyle w:val="Hyperlink"/>
          <w:color w:val="000000"/>
        </w:rPr>
        <w:t>4.</w:t>
      </w:r>
      <w:r w:rsidRPr="00424813">
        <w:rPr>
          <w:rStyle w:val="Hyperlink"/>
          <w:color w:val="000000"/>
        </w:rPr>
        <w:tab/>
        <w:t>Respondent Materials: Spanish-Language Versions</w:t>
      </w:r>
      <w:r w:rsidRPr="00424813" w:rsidR="009F2A2F">
        <w:rPr>
          <w:rStyle w:val="Hyperlink"/>
          <w:color w:val="000000"/>
        </w:rPr>
        <w:tab/>
        <w:t>4-1</w:t>
      </w:r>
    </w:p>
    <w:p w:rsidRPr="00424813" w:rsidR="00220FD1" w:rsidP="009F2A2F" w:rsidRDefault="00220FD1" w14:paraId="432E3F95" w14:textId="620D2427">
      <w:pPr>
        <w:pStyle w:val="TOC5"/>
        <w:ind w:left="720" w:hanging="720"/>
        <w:rPr>
          <w:rStyle w:val="Hyperlink"/>
          <w:color w:val="000000"/>
        </w:rPr>
      </w:pPr>
      <w:r w:rsidRPr="00424813">
        <w:rPr>
          <w:rStyle w:val="Hyperlink"/>
          <w:color w:val="000000"/>
        </w:rPr>
        <w:t>5.</w:t>
      </w:r>
      <w:r w:rsidRPr="00424813">
        <w:rPr>
          <w:rStyle w:val="Hyperlink"/>
          <w:color w:val="000000"/>
        </w:rPr>
        <w:tab/>
        <w:t>Summary of the Sample Design for the Panel</w:t>
      </w:r>
      <w:r w:rsidRPr="00424813" w:rsidR="009F2A2F">
        <w:rPr>
          <w:rStyle w:val="Hyperlink"/>
          <w:color w:val="000000"/>
        </w:rPr>
        <w:tab/>
        <w:t>5-1</w:t>
      </w:r>
    </w:p>
    <w:p w:rsidRPr="00424813" w:rsidR="00100DBE" w:rsidP="009F2A2F" w:rsidRDefault="00220FD1" w14:paraId="604A111E" w14:textId="77777777">
      <w:pPr>
        <w:pStyle w:val="TOC5"/>
        <w:ind w:left="720" w:hanging="720"/>
        <w:rPr>
          <w:rStyle w:val="Hyperlink"/>
          <w:color w:val="000000"/>
        </w:rPr>
      </w:pPr>
      <w:r w:rsidRPr="00424813">
        <w:rPr>
          <w:rStyle w:val="Hyperlink"/>
          <w:color w:val="000000"/>
        </w:rPr>
        <w:t>6.</w:t>
      </w:r>
      <w:r w:rsidRPr="00424813">
        <w:rPr>
          <w:rStyle w:val="Hyperlink"/>
          <w:color w:val="000000"/>
        </w:rPr>
        <w:tab/>
        <w:t>Incentives</w:t>
      </w:r>
      <w:r w:rsidRPr="00424813" w:rsidR="009F2A2F">
        <w:rPr>
          <w:rStyle w:val="Hyperlink"/>
          <w:color w:val="000000"/>
        </w:rPr>
        <w:tab/>
        <w:t>6-1</w:t>
      </w:r>
    </w:p>
    <w:p w:rsidRPr="00424813" w:rsidR="009F2A2F" w:rsidP="009F2A2F" w:rsidRDefault="009F2A2F" w14:paraId="147FA283" w14:textId="77777777"/>
    <w:p w:rsidRPr="00424813" w:rsidR="00F72F56" w:rsidP="00307564" w:rsidRDefault="00F72F56" w14:paraId="7F8A43AB" w14:textId="77777777">
      <w:pPr>
        <w:pStyle w:val="Heading1"/>
        <w:sectPr w:rsidRPr="00424813" w:rsidR="00F72F56" w:rsidSect="00392CE9">
          <w:footerReference w:type="default" r:id="rId13"/>
          <w:pgSz w:w="12240" w:h="15840"/>
          <w:pgMar w:top="1440" w:right="1440" w:bottom="1440" w:left="1440" w:header="720" w:footer="720" w:gutter="0"/>
          <w:pgNumType w:fmt="lowerRoman" w:start="2"/>
          <w:cols w:space="720"/>
        </w:sectPr>
      </w:pPr>
    </w:p>
    <w:p w:rsidRPr="00424813" w:rsidR="003E555B" w:rsidP="00A73FDC" w:rsidRDefault="003E555B" w14:paraId="7652ED48" w14:textId="77777777">
      <w:pPr>
        <w:pStyle w:val="Heading1"/>
        <w:rPr>
          <w:szCs w:val="20"/>
        </w:rPr>
      </w:pPr>
      <w:bookmarkStart w:name="_Toc88277949" w:id="3"/>
      <w:bookmarkStart w:name="_Toc33529705" w:id="4"/>
      <w:r w:rsidRPr="00424813">
        <w:lastRenderedPageBreak/>
        <w:t>A.</w:t>
      </w:r>
      <w:r w:rsidRPr="00424813">
        <w:tab/>
        <w:t>Justification</w:t>
      </w:r>
      <w:bookmarkEnd w:id="3"/>
      <w:bookmarkEnd w:id="4"/>
    </w:p>
    <w:p w:rsidRPr="00424813" w:rsidR="00C505A3" w:rsidP="007D62BB" w:rsidRDefault="003E555B" w14:paraId="6665CE3A" w14:textId="255ED54F">
      <w:pPr>
        <w:pStyle w:val="bodytextpsg"/>
      </w:pPr>
      <w:bookmarkStart w:name="_Toc88033459" w:id="5"/>
      <w:bookmarkStart w:name="_Toc88277950" w:id="6"/>
      <w:r w:rsidRPr="00424813">
        <w:t xml:space="preserve">On June 22, 2009, the Tobacco Control Act (Pub. L.111–31) </w:t>
      </w:r>
      <w:r w:rsidR="009278B5">
        <w:t xml:space="preserve">was signed </w:t>
      </w:r>
      <w:r w:rsidRPr="00424813">
        <w:t xml:space="preserve">into law. The Tobacco Control Act granted the </w:t>
      </w:r>
      <w:r w:rsidRPr="00424813" w:rsidR="00E04CEC">
        <w:t>U.S. Food and Drug Administration (</w:t>
      </w:r>
      <w:r w:rsidRPr="00424813">
        <w:t>FDA</w:t>
      </w:r>
      <w:r w:rsidRPr="00424813" w:rsidR="00E04CEC">
        <w:t>)</w:t>
      </w:r>
      <w:r w:rsidRPr="00424813">
        <w:t xml:space="preserve"> authority to regulate the manufacture, marketing, and distribution of tobacco products to protect the public health generally and to reduce tobacco use by minors. Section 201 of the Tobacco Control Act, which amends Section 4 of the Federal Cigarette Labeling and Advertising Act (15 U.S.C. 1333), requires FDA to issue </w:t>
      </w:r>
      <w:r w:rsidRPr="00424813" w:rsidR="007D62BB">
        <w:t>“</w:t>
      </w:r>
      <w:r w:rsidRPr="00424813">
        <w:t>regulations that require color graphics depicting the negative health consequences of smoking to accompany the label statements specified in subsection (a)(1).</w:t>
      </w:r>
      <w:r w:rsidRPr="00424813" w:rsidR="007D62BB">
        <w:t>”</w:t>
      </w:r>
      <w:r w:rsidRPr="00424813">
        <w:t xml:space="preserve"> FDA also can assert authority over other tobacco products and require similar label statements.</w:t>
      </w:r>
      <w:r w:rsidRPr="00424813" w:rsidR="000A337C">
        <w:t xml:space="preserve"> </w:t>
      </w:r>
      <w:r w:rsidR="00A71EAE">
        <w:t xml:space="preserve">In </w:t>
      </w:r>
      <w:r w:rsidR="00504232">
        <w:t>June 201</w:t>
      </w:r>
      <w:r w:rsidR="0032743C">
        <w:t>6</w:t>
      </w:r>
      <w:r w:rsidR="00504232">
        <w:t>,</w:t>
      </w:r>
      <w:r w:rsidR="00A71EAE">
        <w:t xml:space="preserve"> t</w:t>
      </w:r>
      <w:r w:rsidRPr="00424813">
        <w:t xml:space="preserve">he U.S. Food and Drug Administration’s </w:t>
      </w:r>
      <w:r w:rsidR="00C3757C">
        <w:t xml:space="preserve">(FDA) </w:t>
      </w:r>
      <w:r w:rsidRPr="00424813">
        <w:t xml:space="preserve">Center for Tobacco Products (CTP) </w:t>
      </w:r>
      <w:r w:rsidRPr="00424813" w:rsidR="00866AA4">
        <w:t>obtained</w:t>
      </w:r>
      <w:r w:rsidRPr="00424813">
        <w:t xml:space="preserve"> clearance to establish </w:t>
      </w:r>
      <w:r w:rsidR="00A71EAE">
        <w:t>a</w:t>
      </w:r>
      <w:r w:rsidRPr="00424813" w:rsidR="00A71EAE">
        <w:t xml:space="preserve"> </w:t>
      </w:r>
      <w:r w:rsidRPr="00424813" w:rsidR="000D6ECF">
        <w:t>p</w:t>
      </w:r>
      <w:r w:rsidRPr="00424813">
        <w:t xml:space="preserve">anel to conduct experimental and observational studies with a </w:t>
      </w:r>
      <w:r w:rsidRPr="00424813" w:rsidR="00C505A3">
        <w:t xml:space="preserve">national sample of tobacco users </w:t>
      </w:r>
      <w:r w:rsidRPr="00424813" w:rsidR="00A818E4">
        <w:t xml:space="preserve">designed </w:t>
      </w:r>
      <w:r w:rsidRPr="00424813" w:rsidR="00C505A3">
        <w:t xml:space="preserve">to collect information from tobacco users </w:t>
      </w:r>
      <w:r w:rsidRPr="00424813" w:rsidR="00A818E4">
        <w:t xml:space="preserve">from across the sociodemographic spectrum in order </w:t>
      </w:r>
      <w:r w:rsidRPr="00424813" w:rsidR="00C505A3">
        <w:t xml:space="preserve">to assess consumers’ responses to tobacco marketing warning statements, product labels, and other communications about tobacco products. </w:t>
      </w:r>
      <w:r w:rsidR="0032743C">
        <w:t>The FDA CTP is seeking a</w:t>
      </w:r>
      <w:r w:rsidR="00B31AEE">
        <w:t xml:space="preserve">n extension </w:t>
      </w:r>
      <w:r w:rsidR="0032743C">
        <w:t xml:space="preserve">for ongoing maintenance and replenishment of the national panel as well as the implementation of three experimental and observational studies. </w:t>
      </w:r>
    </w:p>
    <w:p w:rsidRPr="00424813" w:rsidR="003E555B" w:rsidP="00A73FDC" w:rsidRDefault="003E555B" w14:paraId="6AA576A3" w14:textId="77777777">
      <w:pPr>
        <w:pStyle w:val="Heading2"/>
      </w:pPr>
      <w:bookmarkStart w:name="_Toc33529706" w:id="7"/>
      <w:r w:rsidRPr="00424813">
        <w:t>A.1</w:t>
      </w:r>
      <w:r w:rsidRPr="00424813">
        <w:tab/>
        <w:t>Circumstances Making the Collection of Information Necessary</w:t>
      </w:r>
      <w:bookmarkEnd w:id="5"/>
      <w:bookmarkEnd w:id="6"/>
      <w:bookmarkEnd w:id="7"/>
    </w:p>
    <w:p w:rsidR="0045365F" w:rsidP="00CE5A49" w:rsidRDefault="00C3757C" w14:paraId="455554F0" w14:textId="77777777">
      <w:pPr>
        <w:pStyle w:val="bodytextpsg"/>
      </w:pPr>
      <w:r>
        <w:t>In June 2016, t</w:t>
      </w:r>
      <w:r w:rsidRPr="00424813" w:rsidR="003D4C18">
        <w:t xml:space="preserve">he U. S. Food and Drug Administration’s </w:t>
      </w:r>
      <w:r w:rsidRPr="00424813" w:rsidR="006F657F">
        <w:t xml:space="preserve">(FDA) </w:t>
      </w:r>
      <w:r w:rsidRPr="00424813" w:rsidR="003D4C18">
        <w:t xml:space="preserve">Center for Tobacco Products </w:t>
      </w:r>
      <w:r w:rsidRPr="00424813" w:rsidR="006F657F">
        <w:t>(CTP)</w:t>
      </w:r>
      <w:r w:rsidRPr="00424813" w:rsidR="003D4C18">
        <w:t xml:space="preserve"> </w:t>
      </w:r>
      <w:r>
        <w:t xml:space="preserve">obtained clearance to </w:t>
      </w:r>
      <w:r w:rsidRPr="00424813" w:rsidR="003D4C18">
        <w:t>establish a high-quality</w:t>
      </w:r>
      <w:r w:rsidRPr="00424813" w:rsidR="00A818E4">
        <w:t xml:space="preserve">, national panel of </w:t>
      </w:r>
      <w:r w:rsidRPr="00424813" w:rsidR="00393598">
        <w:t xml:space="preserve">about </w:t>
      </w:r>
      <w:r w:rsidRPr="00424813" w:rsidR="00A818E4">
        <w:t xml:space="preserve">4,000 tobacco users who agree to </w:t>
      </w:r>
      <w:r w:rsidRPr="00424813" w:rsidR="00130C45">
        <w:t>participate</w:t>
      </w:r>
      <w:r w:rsidRPr="00424813" w:rsidR="00A818E4">
        <w:t xml:space="preserve"> in up to 8 studies over a 3-year period to assess consumers’ responses to tobacco marketing warning statements, product labels, and other communications about tobacco products </w:t>
      </w:r>
      <w:r w:rsidR="00C95689">
        <w:t xml:space="preserve">CTP established the panel due to limitations </w:t>
      </w:r>
      <w:r w:rsidR="00891148">
        <w:t>with</w:t>
      </w:r>
      <w:r w:rsidR="00C95689">
        <w:t xml:space="preserve"> existing</w:t>
      </w:r>
      <w:r w:rsidR="00D53769">
        <w:t xml:space="preserve"> Web-based</w:t>
      </w:r>
      <w:r w:rsidR="00C95689">
        <w:t xml:space="preserve"> panels, including panel conditioning, lack of generalizability of study findings, and </w:t>
      </w:r>
      <w:r w:rsidR="00D53769">
        <w:t>panel</w:t>
      </w:r>
      <w:r w:rsidR="00C95689">
        <w:t xml:space="preserve"> samples that are not designed to represent the sociodemographic spectrum of tobacco users. </w:t>
      </w:r>
      <w:r w:rsidR="00A757E2">
        <w:t xml:space="preserve">As a result, FDA established </w:t>
      </w:r>
      <w:r w:rsidRPr="00424813" w:rsidR="003A128E">
        <w:t>a primarily Web-based panel of tobacco users through in-person probability-based recruitment of eligible adults</w:t>
      </w:r>
      <w:r w:rsidR="00A757E2">
        <w:t xml:space="preserve"> and limited</w:t>
      </w:r>
      <w:r w:rsidRPr="00424813" w:rsidR="003A128E">
        <w:t xml:space="preserve"> the number of times individuals participate in tobacco-related studies </w:t>
      </w:r>
      <w:r w:rsidR="00A757E2">
        <w:t xml:space="preserve">to </w:t>
      </w:r>
      <w:r w:rsidRPr="00424813" w:rsidR="003A128E">
        <w:t>reduce the likelihood of bias in data collection</w:t>
      </w:r>
      <w:r w:rsidR="00A757E2">
        <w:t>s</w:t>
      </w:r>
      <w:r w:rsidRPr="00424813" w:rsidR="003A128E">
        <w:t>.</w:t>
      </w:r>
      <w:r w:rsidR="003A128E">
        <w:t xml:space="preserve"> </w:t>
      </w:r>
      <w:r w:rsidR="00D53769">
        <w:t>T</w:t>
      </w:r>
      <w:r w:rsidRPr="00424813" w:rsidR="00A818E4">
        <w:t xml:space="preserve">he collection of experimental and observational studies conducted with the panel </w:t>
      </w:r>
      <w:r w:rsidR="003C0E8C">
        <w:t>are</w:t>
      </w:r>
      <w:r w:rsidRPr="00424813" w:rsidR="003C0E8C">
        <w:t xml:space="preserve"> </w:t>
      </w:r>
      <w:r w:rsidRPr="00424813" w:rsidR="00A818E4">
        <w:t xml:space="preserve">referred to as the </w:t>
      </w:r>
      <w:r w:rsidRPr="00424813" w:rsidR="00CF2D41">
        <w:t>National Panel of Tobacco Consumer Studies (TCS).</w:t>
      </w:r>
      <w:r w:rsidR="00C95689">
        <w:t xml:space="preserve"> </w:t>
      </w:r>
    </w:p>
    <w:p w:rsidRPr="00424813" w:rsidR="00CE5A49" w:rsidP="00CE5A49" w:rsidRDefault="00CE5A49" w14:paraId="336E867A" w14:textId="23C0C340">
      <w:pPr>
        <w:pStyle w:val="bodytextpsg"/>
      </w:pPr>
      <w:r>
        <w:lastRenderedPageBreak/>
        <w:t xml:space="preserve">The currently approved information collection request obtained in June 2016 focused on the study design and data collection processes to recruit and maintain a national panel of about 4,000 tobacco users. </w:t>
      </w:r>
      <w:r w:rsidRPr="00424813">
        <w:t>The first of the</w:t>
      </w:r>
      <w:r>
        <w:t xml:space="preserve"> TCS</w:t>
      </w:r>
      <w:r w:rsidRPr="00424813">
        <w:t xml:space="preserve"> panel studies, Study A “Brands and Purchasing Behaviors,” was included in the currently approved information collection request</w:t>
      </w:r>
      <w:r>
        <w:t>. The FDA CTP is seeking a</w:t>
      </w:r>
      <w:r w:rsidR="00B31AEE">
        <w:t>n extension</w:t>
      </w:r>
      <w:r>
        <w:t xml:space="preserve"> for ongoing maintenance and replenishment of the TCS panel. A</w:t>
      </w:r>
      <w:r w:rsidRPr="00424813">
        <w:t xml:space="preserve">pproval for Study B “Coupons and Free Samples” </w:t>
      </w:r>
      <w:r w:rsidR="006E5027">
        <w:t xml:space="preserve">and </w:t>
      </w:r>
      <w:r w:rsidRPr="00424813">
        <w:t>Study C “Consumer Perceptions of Product Standards” is</w:t>
      </w:r>
      <w:r>
        <w:t xml:space="preserve"> also</w:t>
      </w:r>
      <w:r w:rsidRPr="00424813">
        <w:t xml:space="preserve"> included in this </w:t>
      </w:r>
      <w:r w:rsidR="00B31AEE">
        <w:t>extension</w:t>
      </w:r>
      <w:r w:rsidRPr="00424813">
        <w:t xml:space="preserve"> request</w:t>
      </w:r>
      <w:r>
        <w:t xml:space="preserve">. Data from these studies will be used to inform FDA’s regulatory authority over tobacco products. </w:t>
      </w:r>
      <w:r w:rsidRPr="00424813">
        <w:t>Data collection activities</w:t>
      </w:r>
      <w:r>
        <w:t xml:space="preserve"> under the </w:t>
      </w:r>
      <w:r w:rsidR="00B31AEE">
        <w:t>extension</w:t>
      </w:r>
      <w:r>
        <w:t xml:space="preserve"> information collection request include</w:t>
      </w:r>
      <w:r w:rsidRPr="00424813">
        <w:t xml:space="preserve"> panel recruitment and </w:t>
      </w:r>
      <w:r>
        <w:t>maintenance</w:t>
      </w:r>
      <w:r w:rsidRPr="00424813">
        <w:t>, mail and in-person household screening, in-person recruitment of tobacco users, enrollment of selected household members, and administration of a baseline survey, following all required informed consent procedures for panel members. Panel members</w:t>
      </w:r>
      <w:r>
        <w:t>, who</w:t>
      </w:r>
      <w:r w:rsidRPr="00424813">
        <w:t xml:space="preserve"> </w:t>
      </w:r>
      <w:r>
        <w:t>are</w:t>
      </w:r>
      <w:r w:rsidRPr="00424813">
        <w:t xml:space="preserve"> asked to participate in up to 8 experimental and observational studies over the 3-year panel commitment period</w:t>
      </w:r>
      <w:r w:rsidRPr="00424813">
        <w:rPr>
          <w:rStyle w:val="FootnoteReference"/>
        </w:rPr>
        <w:footnoteReference w:id="1"/>
      </w:r>
      <w:r>
        <w:t xml:space="preserve">, will be invited to participate in the </w:t>
      </w:r>
      <w:r w:rsidR="006E5027">
        <w:t>two</w:t>
      </w:r>
      <w:r>
        <w:t xml:space="preserve"> observational and experimental studies. </w:t>
      </w:r>
      <w:r w:rsidRPr="00424813">
        <w:t xml:space="preserve">Approval for the remainder of the studies will be sought in future requests. </w:t>
      </w:r>
    </w:p>
    <w:p w:rsidRPr="00424813" w:rsidR="003E555B" w:rsidP="00A73FDC" w:rsidRDefault="003E555B" w14:paraId="16DD5353" w14:textId="77777777">
      <w:pPr>
        <w:pStyle w:val="Heading2"/>
      </w:pPr>
      <w:bookmarkStart w:name="_Toc88033460" w:id="8"/>
      <w:bookmarkStart w:name="_Toc88277951" w:id="9"/>
      <w:bookmarkStart w:name="_Toc33529707" w:id="10"/>
      <w:r w:rsidRPr="00424813">
        <w:t>A.2</w:t>
      </w:r>
      <w:r w:rsidRPr="00424813">
        <w:tab/>
        <w:t>Purposes and Use of the Information</w:t>
      </w:r>
      <w:bookmarkEnd w:id="8"/>
      <w:r w:rsidRPr="00424813">
        <w:t xml:space="preserve"> Collection</w:t>
      </w:r>
      <w:bookmarkEnd w:id="9"/>
      <w:bookmarkEnd w:id="10"/>
    </w:p>
    <w:p w:rsidRPr="00424813" w:rsidR="003E555B" w:rsidP="00A73FDC" w:rsidRDefault="003E555B" w14:paraId="43D24F93" w14:textId="77777777">
      <w:pPr>
        <w:pStyle w:val="Heading3"/>
      </w:pPr>
      <w:bookmarkStart w:name="_Toc33529708" w:id="11"/>
      <w:r w:rsidRPr="00424813">
        <w:t>A.2.1</w:t>
      </w:r>
      <w:r w:rsidRPr="00424813">
        <w:tab/>
        <w:t>Overview of the Design</w:t>
      </w:r>
      <w:bookmarkEnd w:id="11"/>
    </w:p>
    <w:p w:rsidRPr="00424813" w:rsidR="007A7DAD" w:rsidP="005D0483" w:rsidRDefault="003E555B" w14:paraId="76438B9F" w14:textId="3F6066A1">
      <w:pPr>
        <w:pStyle w:val="bodytextpsg"/>
      </w:pPr>
      <w:r w:rsidRPr="00424813">
        <w:t xml:space="preserve">The </w:t>
      </w:r>
      <w:r w:rsidRPr="00424813" w:rsidR="000D6ECF">
        <w:t>p</w:t>
      </w:r>
      <w:r w:rsidRPr="00424813">
        <w:t xml:space="preserve">anel is designed to establish a </w:t>
      </w:r>
      <w:r w:rsidRPr="00424813" w:rsidR="001B4916">
        <w:t xml:space="preserve">primarily </w:t>
      </w:r>
      <w:r w:rsidRPr="00424813" w:rsidR="00BA657E">
        <w:t>W</w:t>
      </w:r>
      <w:r w:rsidRPr="00424813">
        <w:t xml:space="preserve">eb-based panel of </w:t>
      </w:r>
      <w:r w:rsidRPr="00424813" w:rsidR="00DA04A9">
        <w:t xml:space="preserve">about </w:t>
      </w:r>
      <w:r w:rsidRPr="00424813">
        <w:t>4,000 adult tobacco users, aged 18 and older, in housing units and in non-institutionalized group quarters in the 50 states and the District of Columbia.</w:t>
      </w:r>
      <w:r w:rsidRPr="00424813" w:rsidR="004811BA">
        <w:t xml:space="preserve"> </w:t>
      </w:r>
      <w:r w:rsidRPr="00424813" w:rsidR="00741817">
        <w:t>The sample is designed to allow in-depth analysis of subgroups of interest</w:t>
      </w:r>
      <w:r w:rsidRPr="00424813" w:rsidR="00F65388">
        <w:t xml:space="preserve"> and to the extent possible,</w:t>
      </w:r>
      <w:r w:rsidRPr="00424813" w:rsidR="00741817">
        <w:t xml:space="preserve"> provid</w:t>
      </w:r>
      <w:r w:rsidRPr="00424813" w:rsidR="00F65388">
        <w:t xml:space="preserve">e </w:t>
      </w:r>
      <w:r w:rsidRPr="00424813" w:rsidR="005E5FA3">
        <w:t>insight into</w:t>
      </w:r>
      <w:r w:rsidRPr="00424813" w:rsidR="00741817">
        <w:t xml:space="preserve"> tobacco users</w:t>
      </w:r>
      <w:r w:rsidRPr="00424813" w:rsidR="00F65388">
        <w:t xml:space="preserve"> more generally</w:t>
      </w:r>
      <w:r w:rsidRPr="00424813" w:rsidR="00741817">
        <w:t xml:space="preserve">. </w:t>
      </w:r>
    </w:p>
    <w:p w:rsidRPr="00424813" w:rsidR="004811BA" w:rsidP="00712E93" w:rsidRDefault="004811BA" w14:paraId="5BF62633" w14:textId="028F5E5D">
      <w:pPr>
        <w:pStyle w:val="bodytextpsg"/>
      </w:pPr>
      <w:r w:rsidRPr="00424813">
        <w:t xml:space="preserve">For this panel, </w:t>
      </w:r>
      <w:r w:rsidRPr="00424813" w:rsidR="00741817">
        <w:t xml:space="preserve">the young adult population (aged 18-25) </w:t>
      </w:r>
      <w:r w:rsidRPr="00424813" w:rsidR="001E7F72">
        <w:t>are</w:t>
      </w:r>
      <w:r w:rsidRPr="00424813" w:rsidR="00741817">
        <w:t xml:space="preserve"> oversampled</w:t>
      </w:r>
      <w:r w:rsidRPr="00424813" w:rsidR="001A47A7">
        <w:t>,</w:t>
      </w:r>
      <w:r w:rsidRPr="00424813" w:rsidR="00741817">
        <w:t xml:space="preserve"> while tobacco users ages 26 and older </w:t>
      </w:r>
      <w:r w:rsidRPr="00424813" w:rsidR="001E7F72">
        <w:t>are</w:t>
      </w:r>
      <w:r w:rsidRPr="00424813" w:rsidR="00741817">
        <w:t xml:space="preserve"> </w:t>
      </w:r>
      <w:proofErr w:type="spellStart"/>
      <w:r w:rsidRPr="00424813" w:rsidR="00741817">
        <w:t>undersampled</w:t>
      </w:r>
      <w:proofErr w:type="spellEnd"/>
      <w:r w:rsidRPr="00424813" w:rsidR="00741817">
        <w:t xml:space="preserve">. </w:t>
      </w:r>
      <w:r w:rsidRPr="00424813" w:rsidR="006A11E8">
        <w:t>T</w:t>
      </w:r>
      <w:r w:rsidRPr="00424813" w:rsidR="00741817">
        <w:t xml:space="preserve">his will allow us to achieve the target sample sizes in four domains formed by age group (18-25, 26+) and social economic status (SES) (low SES, non-low SES) and to conduct more in-depth study of these groups of tobacco users. </w:t>
      </w:r>
      <w:r w:rsidRPr="00424813" w:rsidR="006A11E8">
        <w:t xml:space="preserve">The primary reason to oversample young adults is because they are at a point in their life </w:t>
      </w:r>
      <w:r w:rsidRPr="00424813" w:rsidR="001A47A7">
        <w:t>when</w:t>
      </w:r>
      <w:r w:rsidRPr="00424813" w:rsidR="006A11E8">
        <w:t xml:space="preserve"> their tobacco use habits are not fully established and </w:t>
      </w:r>
      <w:r w:rsidRPr="00424813" w:rsidR="001A47A7">
        <w:t xml:space="preserve">they </w:t>
      </w:r>
      <w:r w:rsidRPr="00424813" w:rsidR="006A11E8">
        <w:t xml:space="preserve">may respond differently to tobacco regulation than </w:t>
      </w:r>
      <w:r w:rsidRPr="00424813" w:rsidR="006A11E8">
        <w:lastRenderedPageBreak/>
        <w:t>older, more established smokers. To better understand this population, we are oversampling 18-25 year</w:t>
      </w:r>
      <w:r w:rsidRPr="00424813" w:rsidR="00AE7D64">
        <w:t>-</w:t>
      </w:r>
      <w:r w:rsidRPr="00424813" w:rsidR="006A11E8">
        <w:t>olds because the sample size of young adult smokers we would get for the panel would be relatively small otherwise</w:t>
      </w:r>
      <w:r w:rsidRPr="00424813" w:rsidR="004172C2">
        <w:t xml:space="preserve">. </w:t>
      </w:r>
      <w:r w:rsidRPr="00424813" w:rsidR="006A11E8">
        <w:t xml:space="preserve">In addition to this oversample, </w:t>
      </w:r>
      <w:r w:rsidRPr="00424813">
        <w:t xml:space="preserve">smokeless tobacco users identified during screening </w:t>
      </w:r>
      <w:r w:rsidRPr="00424813" w:rsidR="003C6DFB">
        <w:t>are</w:t>
      </w:r>
      <w:r w:rsidRPr="00424813">
        <w:t xml:space="preserve"> assigned higher probabilities of selection than other tobacco users. Supporting Statement Part B (</w:t>
      </w:r>
      <w:r w:rsidRPr="00424813">
        <w:rPr>
          <w:b/>
          <w:bCs/>
          <w:i/>
          <w:iCs/>
        </w:rPr>
        <w:t>Section B.1)</w:t>
      </w:r>
      <w:r w:rsidRPr="00424813">
        <w:t xml:space="preserve"> details the </w:t>
      </w:r>
      <w:r w:rsidRPr="00424813" w:rsidR="000D6ECF">
        <w:t>p</w:t>
      </w:r>
      <w:r w:rsidRPr="00424813">
        <w:t xml:space="preserve">anel sample design. </w:t>
      </w:r>
      <w:r w:rsidRPr="00424813">
        <w:rPr>
          <w:b/>
          <w:bCs/>
          <w:i/>
          <w:iCs/>
        </w:rPr>
        <w:t>Exhibit B.1-1</w:t>
      </w:r>
      <w:r w:rsidRPr="00424813">
        <w:t xml:space="preserve"> provides the sample sizes </w:t>
      </w:r>
      <w:r w:rsidR="009B00D0">
        <w:t xml:space="preserve">achieved </w:t>
      </w:r>
      <w:r w:rsidRPr="00424813">
        <w:t>in each of the sample domains of interest</w:t>
      </w:r>
      <w:r w:rsidR="001D1375">
        <w:t xml:space="preserve"> </w:t>
      </w:r>
      <w:r w:rsidR="00712E93">
        <w:t xml:space="preserve">during panel establishment Panel recruitment and enrollment efforts during panel establishment, described below, also pertain to ongoing panel maintenance and replenishment. </w:t>
      </w:r>
    </w:p>
    <w:p w:rsidRPr="00F9334F" w:rsidR="00CE5A49" w:rsidP="00CE5A49" w:rsidRDefault="003E555B" w14:paraId="01A9A4AA" w14:textId="646B4785">
      <w:pPr>
        <w:pStyle w:val="bodytextpsg"/>
      </w:pPr>
      <w:r w:rsidRPr="00424813">
        <w:t xml:space="preserve"> </w:t>
      </w:r>
      <w:r w:rsidR="00CE5A49">
        <w:t>Panel members were enrolled through in-person, probability-based screening of sampled households and recruitment of selected eligible adult household members. The panel methodology, including the panel recruitment, incentive, and maintenance protocols, were informed by focus group discussions and consultation with experts in Web survey methodology and Web panels during the study design phase. For panel establishment, in-person panel recruitment was competed in two field data collection phases. The initial implementation phase, conducted between August and October 2016, served as a small pilot test of the panel protocols and systems. Seventeen panel members were enrolled during this phase. The national implementation phase, conducted between January 2017 and August 2017, yielded an additional 3,876 enrollments, for a total of 3,893 panel members.</w:t>
      </w:r>
      <w:r w:rsidR="00F10AC6">
        <w:t xml:space="preserve"> </w:t>
      </w:r>
    </w:p>
    <w:p w:rsidR="00F10AC6" w:rsidP="00F10AC6" w:rsidRDefault="00F9334F" w14:paraId="331C4BAC" w14:textId="4568C59B">
      <w:pPr>
        <w:pStyle w:val="bodytextpsg"/>
      </w:pPr>
      <w:r>
        <w:t xml:space="preserve">To minimize the potential for coverage and nonresponse bias, we implemented a multimodal design to maximize Web participation yet provide a means of participation for individuals who were unwilling or unable to do so online. Across both phases of panel recruitment, we enrolled 3,342 panel members (86%) to participate via Web mode using personal devices. We also offered selected adults the option to participate via mail mode or online using a study-provided tablet computer. The 546 panel members (14%) enrolled as mail mode participants were generally older, less educated adults, who did not use or were uncomfortable with computers and who did not regularly access the Internet. We offered the loan of the study-provided tablet computer to maximize the number of panel members who could participate in the planned studies online. We expected the tablet offer to encourage Web mode enrollment by individuals who did not have a readily available or reliable means of participating online but who would otherwise be capable Web participants. During panel recruitment, </w:t>
      </w:r>
      <w:r>
        <w:lastRenderedPageBreak/>
        <w:t>however, we found very few eligible adults who were interested in the tablet loan offer, and only 5 panel members (0.1%) opted to participate via Web mode using study-provided tablets.</w:t>
      </w:r>
      <w:r w:rsidR="00F10AC6">
        <w:t xml:space="preserve"> </w:t>
      </w:r>
    </w:p>
    <w:p w:rsidRPr="00424813" w:rsidR="00F10AC6" w:rsidP="00712E93" w:rsidRDefault="00F10AC6" w14:paraId="32BE449C" w14:textId="4DEEFB5A">
      <w:pPr>
        <w:pStyle w:val="bodytextpsg"/>
      </w:pPr>
      <w:r>
        <w:t xml:space="preserve">Following the initial and national implementation phases, four panel members were disenrolled, including two who passed away and two who were determined to be physically/mentally incapacitated and unable to continue participation. At their enrollment into the panel, the </w:t>
      </w:r>
      <w:r w:rsidR="00712E93">
        <w:t xml:space="preserve">remaining </w:t>
      </w:r>
      <w:r>
        <w:t>3,889 panel members represented a diverse group of tobacco users from across the sociodemographic spectrum, including 882 (22.7%) adults aged 18 to 25 and 3,007 (77.3%) adults aged 26 or older. These panel members also reflected a broad spectrum of tobacco use, including 2,160 (55.5%) cigarette-only users, 303 (7.8%) cigar-only users, 428 (11%) smokeless tobacco</w:t>
      </w:r>
      <w:r w:rsidR="008E1BB1">
        <w:t>-</w:t>
      </w:r>
      <w:r>
        <w:t>only users, and 998 (25.7%) poly users of cigarettes, cigars, or smokeless tobacco products.</w:t>
      </w:r>
      <w:r w:rsidR="00450000">
        <w:t xml:space="preserve"> </w:t>
      </w:r>
      <w:r w:rsidR="00712E93">
        <w:t xml:space="preserve">The demographic profile of the established panel is presented in </w:t>
      </w:r>
      <w:r w:rsidRPr="00450000" w:rsidR="00712E93">
        <w:rPr>
          <w:b/>
          <w:i/>
        </w:rPr>
        <w:t xml:space="preserve">Appendix </w:t>
      </w:r>
      <w:r w:rsidR="00712E93">
        <w:rPr>
          <w:b/>
          <w:i/>
        </w:rPr>
        <w:t>A</w:t>
      </w:r>
      <w:r w:rsidRPr="00450000" w:rsidR="00712E93">
        <w:t>.</w:t>
      </w:r>
    </w:p>
    <w:p w:rsidRPr="00424813" w:rsidR="00832A15" w:rsidP="00400D55" w:rsidRDefault="00832A15" w14:paraId="1C0C56AC" w14:textId="3BABB433">
      <w:pPr>
        <w:pStyle w:val="bodytextpsg"/>
        <w:rPr>
          <w:szCs w:val="24"/>
        </w:rPr>
      </w:pPr>
      <w:r w:rsidRPr="00424813">
        <w:rPr>
          <w:szCs w:val="24"/>
        </w:rPr>
        <w:t xml:space="preserve">It is important to note that the sample selection </w:t>
      </w:r>
      <w:r w:rsidRPr="00424813" w:rsidR="00944C75">
        <w:rPr>
          <w:szCs w:val="24"/>
        </w:rPr>
        <w:t>is</w:t>
      </w:r>
      <w:r w:rsidRPr="00424813">
        <w:rPr>
          <w:szCs w:val="24"/>
        </w:rPr>
        <w:t xml:space="preserve"> independent of the mode of data collection. That is, we first draw a random sample from all addresses on</w:t>
      </w:r>
      <w:r w:rsidRPr="00424813" w:rsidR="009F32EE">
        <w:rPr>
          <w:szCs w:val="24"/>
        </w:rPr>
        <w:t xml:space="preserve"> our address-based </w:t>
      </w:r>
      <w:r w:rsidRPr="00424813">
        <w:rPr>
          <w:szCs w:val="24"/>
        </w:rPr>
        <w:t xml:space="preserve">sample frame. In the process of recruitment we identify those who are either unable or unwilling to participate in an online panel and </w:t>
      </w:r>
      <w:r w:rsidRPr="00424813" w:rsidR="00373F24">
        <w:rPr>
          <w:szCs w:val="24"/>
        </w:rPr>
        <w:t xml:space="preserve">provide </w:t>
      </w:r>
      <w:r w:rsidRPr="00424813">
        <w:rPr>
          <w:szCs w:val="24"/>
        </w:rPr>
        <w:t xml:space="preserve">them </w:t>
      </w:r>
      <w:r w:rsidRPr="00424813" w:rsidR="00373F24">
        <w:rPr>
          <w:szCs w:val="24"/>
        </w:rPr>
        <w:t xml:space="preserve">with the option of </w:t>
      </w:r>
      <w:r w:rsidRPr="00424813">
        <w:rPr>
          <w:szCs w:val="24"/>
        </w:rPr>
        <w:t xml:space="preserve">an alternative mode </w:t>
      </w:r>
      <w:r w:rsidRPr="00424813" w:rsidR="00373F24">
        <w:rPr>
          <w:szCs w:val="24"/>
        </w:rPr>
        <w:t xml:space="preserve">to avoid biasing </w:t>
      </w:r>
      <w:r w:rsidRPr="00424813">
        <w:rPr>
          <w:szCs w:val="24"/>
        </w:rPr>
        <w:t>the panel.</w:t>
      </w:r>
      <w:r w:rsidRPr="00424813" w:rsidR="00373F24">
        <w:rPr>
          <w:szCs w:val="24"/>
        </w:rPr>
        <w:t xml:space="preserve"> </w:t>
      </w:r>
      <w:r w:rsidRPr="00424813" w:rsidR="00B84EE9">
        <w:rPr>
          <w:b/>
          <w:i/>
          <w:szCs w:val="24"/>
        </w:rPr>
        <w:t xml:space="preserve">Section </w:t>
      </w:r>
      <w:r w:rsidRPr="00424813" w:rsidR="009F32EE">
        <w:rPr>
          <w:b/>
          <w:i/>
          <w:szCs w:val="24"/>
        </w:rPr>
        <w:t>B.3.2</w:t>
      </w:r>
      <w:r w:rsidRPr="00424813" w:rsidR="00B84EE9">
        <w:rPr>
          <w:szCs w:val="24"/>
        </w:rPr>
        <w:t xml:space="preserve"> </w:t>
      </w:r>
      <w:r w:rsidRPr="00424813" w:rsidR="009F32EE">
        <w:rPr>
          <w:szCs w:val="24"/>
        </w:rPr>
        <w:t xml:space="preserve">provides </w:t>
      </w:r>
      <w:r w:rsidRPr="00424813" w:rsidR="00B84EE9">
        <w:rPr>
          <w:szCs w:val="24"/>
        </w:rPr>
        <w:t xml:space="preserve">additional details about the procedures for nonresponse bias assessment and the </w:t>
      </w:r>
      <w:r w:rsidRPr="00424813">
        <w:rPr>
          <w:szCs w:val="24"/>
        </w:rPr>
        <w:t xml:space="preserve">strategy </w:t>
      </w:r>
      <w:r w:rsidR="00BE49CD">
        <w:rPr>
          <w:szCs w:val="24"/>
        </w:rPr>
        <w:t xml:space="preserve">used </w:t>
      </w:r>
      <w:r w:rsidRPr="00424813" w:rsidR="00B84EE9">
        <w:rPr>
          <w:szCs w:val="24"/>
        </w:rPr>
        <w:t>to</w:t>
      </w:r>
      <w:r w:rsidRPr="00424813" w:rsidR="008E4073">
        <w:rPr>
          <w:szCs w:val="24"/>
        </w:rPr>
        <w:t xml:space="preserve"> weight results to address differences in mode of survey administration, oversampling of </w:t>
      </w:r>
      <w:r w:rsidRPr="00424813" w:rsidR="000B7B9F">
        <w:rPr>
          <w:szCs w:val="24"/>
        </w:rPr>
        <w:t>young adults,</w:t>
      </w:r>
      <w:r w:rsidRPr="00424813" w:rsidR="008E4073">
        <w:rPr>
          <w:szCs w:val="24"/>
        </w:rPr>
        <w:t xml:space="preserve"> and adjust for deviations from the original design due to factors such as variable nonresponse. </w:t>
      </w:r>
    </w:p>
    <w:p w:rsidRPr="00424813" w:rsidR="00CE5A49" w:rsidP="00CE5A49" w:rsidRDefault="0086581F" w14:paraId="08FBD7ED" w14:textId="7512251F">
      <w:pPr>
        <w:pStyle w:val="bodytextpsg"/>
      </w:pPr>
      <w:r>
        <w:t>A</w:t>
      </w:r>
      <w:r w:rsidR="00CE5A49">
        <w:t xml:space="preserve"> total of 3,889 panel members were invited to participate in the first TCS panel study (Study A “Brands and Purchasing Behaviors), including 3,344 (86%) web mode participants and 545 (14%) mail mode participants. Five of the 3,344 web mode participants enrolled using the loan of a study-provided tablet computer so they could participate in the panel studies online. </w:t>
      </w:r>
    </w:p>
    <w:p w:rsidRPr="00424813" w:rsidR="00267BA5" w:rsidP="00267BA5" w:rsidRDefault="00BE09E0" w14:paraId="308FF7B7" w14:textId="297BE054">
      <w:pPr>
        <w:pStyle w:val="bodytextpsg"/>
      </w:pPr>
      <w:r>
        <w:t>Of the 3</w:t>
      </w:r>
      <w:r w:rsidR="003C531C">
        <w:t>,</w:t>
      </w:r>
      <w:r>
        <w:t xml:space="preserve">889 panel members invited to participate in Study A, a total of 1,626 elected to do so. Respondents </w:t>
      </w:r>
      <w:r w:rsidR="003A56BE">
        <w:t xml:space="preserve">included </w:t>
      </w:r>
      <w:r w:rsidR="00267BA5">
        <w:t xml:space="preserve">292 (18.0%) </w:t>
      </w:r>
      <w:r w:rsidR="003A56BE">
        <w:t xml:space="preserve">adults aged 18 to 25 and </w:t>
      </w:r>
      <w:r w:rsidR="00267BA5">
        <w:t>1334 (</w:t>
      </w:r>
      <w:r w:rsidR="005902E1">
        <w:t>82</w:t>
      </w:r>
      <w:r w:rsidR="00267BA5">
        <w:t xml:space="preserve">%) </w:t>
      </w:r>
      <w:r w:rsidR="003A56BE">
        <w:t xml:space="preserve">adults aged 26 or older. </w:t>
      </w:r>
      <w:r w:rsidR="00267BA5">
        <w:t xml:space="preserve">Study A respondents also reflected a broad spectrum of tobacco use, including 959 (59.0%) cigarette-only users, 133 (8.2%) cigar-only users, </w:t>
      </w:r>
      <w:r w:rsidR="008E1BB1">
        <w:t>181</w:t>
      </w:r>
      <w:r w:rsidR="00267BA5">
        <w:t xml:space="preserve"> (11</w:t>
      </w:r>
      <w:r w:rsidR="008E1BB1">
        <w:t>.1</w:t>
      </w:r>
      <w:r w:rsidR="00267BA5">
        <w:t>%) smokeless tobacco</w:t>
      </w:r>
      <w:r w:rsidR="008E1BB1">
        <w:t>-</w:t>
      </w:r>
      <w:r w:rsidR="00267BA5">
        <w:t xml:space="preserve">only users, and </w:t>
      </w:r>
      <w:r w:rsidR="008E1BB1">
        <w:t>353</w:t>
      </w:r>
      <w:r w:rsidR="00267BA5">
        <w:t xml:space="preserve"> (2</w:t>
      </w:r>
      <w:r w:rsidR="008E1BB1">
        <w:t>1</w:t>
      </w:r>
      <w:r w:rsidR="00267BA5">
        <w:t>.7%) poly users of cigarettes, cigars, or smokeless tobacco products.</w:t>
      </w:r>
      <w:r w:rsidR="00450000">
        <w:t xml:space="preserve"> The demographic profile of Study A respondents is presented in </w:t>
      </w:r>
      <w:r w:rsidRPr="00450000" w:rsidR="00450000">
        <w:rPr>
          <w:b/>
          <w:i/>
        </w:rPr>
        <w:t>Appendix</w:t>
      </w:r>
      <w:r w:rsidR="00712E93">
        <w:rPr>
          <w:b/>
          <w:i/>
        </w:rPr>
        <w:t xml:space="preserve"> B.</w:t>
      </w:r>
    </w:p>
    <w:p w:rsidR="003E555B" w:rsidP="003E555B" w:rsidRDefault="003E555B" w14:paraId="4A31ED99" w14:textId="34117774">
      <w:pPr>
        <w:pStyle w:val="bodytextpsg"/>
      </w:pPr>
      <w:r w:rsidRPr="00424813">
        <w:lastRenderedPageBreak/>
        <w:t xml:space="preserve">Attrition from the sample is expected, and the sample design provides for in-person panel replenishment, </w:t>
      </w:r>
      <w:r w:rsidRPr="00424813" w:rsidR="00F75072">
        <w:t>as</w:t>
      </w:r>
      <w:r w:rsidRPr="00424813" w:rsidR="003629DF">
        <w:t xml:space="preserve"> needed, </w:t>
      </w:r>
      <w:r w:rsidRPr="00424813">
        <w:t>using the same sampling and data collection design described above, to replace panel members who choose to end their involvement in the panel.</w:t>
      </w:r>
    </w:p>
    <w:p w:rsidRPr="00424813" w:rsidR="003E555B" w:rsidP="00A73FDC" w:rsidRDefault="003E555B" w14:paraId="7874EB6F" w14:textId="513A2334">
      <w:pPr>
        <w:pStyle w:val="Heading3"/>
      </w:pPr>
      <w:bookmarkStart w:name="_Toc33529709" w:id="12"/>
      <w:r w:rsidRPr="00424813">
        <w:t>A.2.2</w:t>
      </w:r>
      <w:r w:rsidRPr="00424813">
        <w:tab/>
        <w:t>Purpose of the Panel</w:t>
      </w:r>
      <w:bookmarkEnd w:id="12"/>
    </w:p>
    <w:p w:rsidRPr="00424813" w:rsidR="0094161C" w:rsidP="0094161C" w:rsidRDefault="00B10978" w14:paraId="124B4BAD" w14:textId="1D2067FF">
      <w:pPr>
        <w:pStyle w:val="bodytextpsg"/>
      </w:pPr>
      <w:r w:rsidRPr="00424813">
        <w:t xml:space="preserve">The overall purpose of the data collection is to collect information from a </w:t>
      </w:r>
      <w:r w:rsidRPr="00424813" w:rsidR="003169B6">
        <w:t>national</w:t>
      </w:r>
      <w:r w:rsidRPr="00424813">
        <w:t xml:space="preserve"> sample of tobacco users to provide data that may be used to develop and support FDA’s policies related to tobacco products, including their labels, labeling, and advertising.  Data </w:t>
      </w:r>
      <w:r w:rsidR="00B27A71">
        <w:t>are</w:t>
      </w:r>
      <w:r w:rsidRPr="00424813">
        <w:t xml:space="preserve"> collected from the panel primarily through the use of randomized experimental designs</w:t>
      </w:r>
      <w:r w:rsidRPr="00424813" w:rsidR="00EE1BC0">
        <w:t>.</w:t>
      </w:r>
      <w:r w:rsidRPr="00424813">
        <w:t xml:space="preserve"> </w:t>
      </w:r>
      <w:r w:rsidRPr="00424813" w:rsidR="00EE1BC0">
        <w:t xml:space="preserve">In the future </w:t>
      </w:r>
      <w:r w:rsidRPr="00424813" w:rsidR="00F80924">
        <w:t xml:space="preserve">FDA may submit </w:t>
      </w:r>
      <w:r w:rsidRPr="00424813" w:rsidR="00EE1BC0">
        <w:t>ICRs under a sep</w:t>
      </w:r>
      <w:r w:rsidRPr="00424813" w:rsidR="00FC2B76">
        <w:t>a</w:t>
      </w:r>
      <w:r w:rsidRPr="00424813" w:rsidR="00EE1BC0">
        <w:t xml:space="preserve">rate clearance mechanism that </w:t>
      </w:r>
      <w:r w:rsidRPr="00424813">
        <w:t>use other methods, such as surveys, interviews, or online group discussions.</w:t>
      </w:r>
      <w:r w:rsidRPr="00424813" w:rsidR="00A42E4F">
        <w:t xml:space="preserve"> </w:t>
      </w:r>
      <w:r w:rsidRPr="00424813" w:rsidR="003E251D">
        <w:t>As discussed in Section A.1, e</w:t>
      </w:r>
      <w:r w:rsidRPr="00424813" w:rsidR="003E555B">
        <w:t>xisting panels of tobacco users are not appropriate for this purpose for one or more reasons.</w:t>
      </w:r>
      <w:r w:rsidRPr="00424813" w:rsidR="003E251D">
        <w:t xml:space="preserve"> </w:t>
      </w:r>
      <w:r w:rsidRPr="00424813" w:rsidR="003169B6">
        <w:t>The project establish</w:t>
      </w:r>
      <w:r w:rsidRPr="00424813" w:rsidR="001E7F72">
        <w:t>es</w:t>
      </w:r>
      <w:r w:rsidRPr="00424813" w:rsidR="003169B6">
        <w:t xml:space="preserve"> </w:t>
      </w:r>
      <w:r w:rsidR="00633282">
        <w:t xml:space="preserve">and maintains </w:t>
      </w:r>
      <w:r w:rsidRPr="00424813" w:rsidR="003169B6">
        <w:t xml:space="preserve">a panel of tobacco users who </w:t>
      </w:r>
      <w:r w:rsidRPr="00424813" w:rsidR="001E7F72">
        <w:t>are</w:t>
      </w:r>
      <w:r w:rsidRPr="00424813" w:rsidR="003169B6">
        <w:t xml:space="preserve"> asked to participate in up to 8 experimental and observational studies over a 3-year period. </w:t>
      </w:r>
      <w:r w:rsidRPr="00424813" w:rsidR="009F5AA4">
        <w:t>Oversampling of young adults (18-25) is another key feature of this study. Smoking initiation has increased among young adults (</w:t>
      </w:r>
      <w:proofErr w:type="spellStart"/>
      <w:r w:rsidRPr="00424813" w:rsidR="009F5AA4">
        <w:t>Lanz</w:t>
      </w:r>
      <w:proofErr w:type="spellEnd"/>
      <w:r w:rsidRPr="00424813" w:rsidR="009F5AA4">
        <w:t xml:space="preserve">, 2003), and this age group has the highest smoking prevalence rate in the United States (Schiller, Lucas, &amp; </w:t>
      </w:r>
      <w:proofErr w:type="spellStart"/>
      <w:r w:rsidRPr="00424813" w:rsidR="009F5AA4">
        <w:t>Peregoy</w:t>
      </w:r>
      <w:proofErr w:type="spellEnd"/>
      <w:r w:rsidRPr="00424813" w:rsidR="009F5AA4">
        <w:t>, 2012). As a result, information about how proposed regulations might impact them is essential to continued decreases in tobacco use among Americans. Another key feature of this study is the oversampling of adults who use smokeless tobacco products and the inclusion of panelists who use cigars.</w:t>
      </w:r>
    </w:p>
    <w:p w:rsidRPr="00424813" w:rsidR="0094161C" w:rsidP="00987353" w:rsidRDefault="00D6166E" w14:paraId="6DA2EB62" w14:textId="58EAEEEE">
      <w:pPr>
        <w:pStyle w:val="bodytextpsg"/>
      </w:pPr>
      <w:r w:rsidRPr="00424813">
        <w:t xml:space="preserve">A nationally representative sample is not necessary for conducting the experiments; rather the need is for a sample that is sufficiently varied with respect to the major sociodemographic characteristics of </w:t>
      </w:r>
      <w:r w:rsidRPr="00424813" w:rsidR="00CF6322">
        <w:t>tobacco users</w:t>
      </w:r>
      <w:r w:rsidRPr="00424813">
        <w:t xml:space="preserve">. </w:t>
      </w:r>
      <w:r w:rsidRPr="00424813" w:rsidR="0094161C">
        <w:t xml:space="preserve">Although we use probability methods to </w:t>
      </w:r>
      <w:r w:rsidRPr="00424813" w:rsidR="00130C45">
        <w:t>recruit</w:t>
      </w:r>
      <w:r w:rsidRPr="00424813" w:rsidR="0094161C">
        <w:t xml:space="preserve"> the panel of tobacco users, the final panel </w:t>
      </w:r>
      <w:r w:rsidRPr="00424813">
        <w:t xml:space="preserve">may not be </w:t>
      </w:r>
      <w:r w:rsidRPr="00424813" w:rsidR="0094161C">
        <w:t>able to produce</w:t>
      </w:r>
      <w:r w:rsidRPr="00424813" w:rsidR="008E4073">
        <w:t xml:space="preserve"> results that are</w:t>
      </w:r>
      <w:r w:rsidRPr="00424813" w:rsidR="0094161C">
        <w:t xml:space="preserve"> representative for </w:t>
      </w:r>
      <w:r w:rsidRPr="00424813" w:rsidR="008E4073">
        <w:t xml:space="preserve">the population of </w:t>
      </w:r>
      <w:r w:rsidRPr="00424813" w:rsidR="0094161C">
        <w:t>tobacco users</w:t>
      </w:r>
      <w:r w:rsidRPr="00424813" w:rsidR="008E4073">
        <w:t xml:space="preserve"> in the U.S</w:t>
      </w:r>
      <w:r w:rsidRPr="00424813" w:rsidR="0094161C">
        <w:t xml:space="preserve">. Of particular concern are the complex relationships among tobacco use, age, income, race/ethnicity, education, and geography (both location and urban/rural).  As such, whenever the results are presented, CTP will clearly describe the sociodemographic and geographic characteristics of the sample that responded to a given survey, </w:t>
      </w:r>
      <w:r w:rsidRPr="00424813" w:rsidR="00130C45">
        <w:t>explicitly</w:t>
      </w:r>
      <w:r w:rsidRPr="00424813" w:rsidR="0094161C">
        <w:t xml:space="preserve"> characterizing potential limitations in generalizability. It is likely that, for at least some studies, we may be limited to describing the results as sufficiently varied to reflect the general characteristics of smokers in the U.S. Such a description should be suffi</w:t>
      </w:r>
      <w:r w:rsidRPr="00424813" w:rsidR="00130C45">
        <w:t>cient</w:t>
      </w:r>
      <w:r w:rsidRPr="00424813" w:rsidR="0094161C">
        <w:t xml:space="preserve"> </w:t>
      </w:r>
      <w:r w:rsidRPr="00424813" w:rsidR="0094161C">
        <w:lastRenderedPageBreak/>
        <w:t>for documenting the trends and patterns of interest to CTP in the context of this information collection.  Consistent with obligations under HHS’ and OMB’s Information Quality Guidelines, CTP will assess the quality of the information generated for each regulatory or policy purpose under consideration.</w:t>
      </w:r>
    </w:p>
    <w:p w:rsidRPr="00424813" w:rsidR="003E555B" w:rsidP="0094161C" w:rsidRDefault="003E555B" w14:paraId="1E2D1001" w14:textId="77777777">
      <w:pPr>
        <w:pStyle w:val="Heading3"/>
        <w:ind w:left="0" w:firstLine="0"/>
      </w:pPr>
      <w:bookmarkStart w:name="_Toc33529710" w:id="13"/>
      <w:r w:rsidRPr="00424813">
        <w:t>A.2.3</w:t>
      </w:r>
      <w:r w:rsidRPr="00424813">
        <w:tab/>
        <w:t>Information Elements and Data Sources</w:t>
      </w:r>
      <w:bookmarkEnd w:id="13"/>
    </w:p>
    <w:p w:rsidRPr="00424813" w:rsidR="003E555B" w:rsidP="003E555B" w:rsidRDefault="003E555B" w14:paraId="41CBC484" w14:textId="5D4AC3F6">
      <w:pPr>
        <w:pStyle w:val="bodytextpsg"/>
        <w:rPr>
          <w:b/>
          <w:bCs/>
        </w:rPr>
      </w:pPr>
      <w:r w:rsidRPr="00424813">
        <w:t xml:space="preserve">The </w:t>
      </w:r>
      <w:r w:rsidRPr="00424813" w:rsidR="003169B6">
        <w:t xml:space="preserve">data elements in the initial set of surveys used for </w:t>
      </w:r>
      <w:r w:rsidRPr="00424813">
        <w:t>establish</w:t>
      </w:r>
      <w:r w:rsidRPr="00424813" w:rsidR="003169B6">
        <w:t>ing</w:t>
      </w:r>
      <w:r w:rsidRPr="00424813">
        <w:t xml:space="preserve"> the </w:t>
      </w:r>
      <w:r w:rsidRPr="00424813" w:rsidR="000D6ECF">
        <w:t>p</w:t>
      </w:r>
      <w:r w:rsidRPr="00424813">
        <w:t xml:space="preserve">anel was driven primarily by the need for quality baseline data to benchmark future experimental and observational studies and to accurately characterize the tobacco use of panel members. The </w:t>
      </w:r>
      <w:r w:rsidRPr="00424813" w:rsidR="005641F5">
        <w:t>surveys</w:t>
      </w:r>
      <w:r w:rsidRPr="00424813">
        <w:t xml:space="preserve"> also took into account the methodological and administrative </w:t>
      </w:r>
      <w:r w:rsidRPr="00424813" w:rsidR="00650F66">
        <w:t xml:space="preserve">factors </w:t>
      </w:r>
      <w:r w:rsidRPr="00424813">
        <w:t>relevant to collecting data in a cost effective manner that does not burden respondents unduly, and that adequately deals with the requirements of a diverse multicultural population of interest.</w:t>
      </w:r>
      <w:r w:rsidRPr="00424813" w:rsidR="005D0926">
        <w:t xml:space="preserve"> </w:t>
      </w:r>
      <w:r w:rsidRPr="00424813" w:rsidR="00650F66">
        <w:t>Relevant factors taken into account</w:t>
      </w:r>
      <w:r w:rsidRPr="00424813" w:rsidR="005D0926">
        <w:t xml:space="preserve"> included the overall length and complexity of each survey and the presentation of individual questions, response sets, and respondent instructions in both Web and paper </w:t>
      </w:r>
      <w:r w:rsidRPr="00424813" w:rsidR="00CB1C8F">
        <w:t xml:space="preserve">self-administration </w:t>
      </w:r>
      <w:r w:rsidRPr="00424813" w:rsidR="005D0926">
        <w:t xml:space="preserve">environments (e.g., minimizing use of grids or other complex question formats). All </w:t>
      </w:r>
      <w:r w:rsidRPr="00424813" w:rsidR="005641F5">
        <w:t>surveys</w:t>
      </w:r>
      <w:r w:rsidRPr="00424813" w:rsidR="005D0926">
        <w:t xml:space="preserve"> were also translated into Spanish.   </w:t>
      </w:r>
    </w:p>
    <w:p w:rsidRPr="00424813" w:rsidR="000A337C" w:rsidP="000A337C" w:rsidRDefault="003E555B" w14:paraId="413EC0BD" w14:textId="77777777">
      <w:pPr>
        <w:pStyle w:val="Heading4"/>
        <w:rPr>
          <w:rFonts w:ascii="Arial Black" w:hAnsi="Arial Black"/>
        </w:rPr>
      </w:pPr>
      <w:r w:rsidRPr="00424813">
        <w:t>Instrument Devel</w:t>
      </w:r>
      <w:r w:rsidRPr="00424813" w:rsidR="000A337C">
        <w:t>opment Process</w:t>
      </w:r>
    </w:p>
    <w:p w:rsidRPr="00424813" w:rsidR="003E555B" w:rsidP="00EA10EB" w:rsidRDefault="008D1B27" w14:paraId="622C0CFC" w14:textId="23C693FB">
      <w:pPr>
        <w:pStyle w:val="bodytextpsg"/>
      </w:pPr>
      <w:r w:rsidRPr="00424813">
        <w:t>Four</w:t>
      </w:r>
      <w:r w:rsidRPr="00424813" w:rsidR="003E555B">
        <w:t xml:space="preserve"> questionnaires—a mail screening questionnaire, field screening questionnaire,</w:t>
      </w:r>
      <w:r w:rsidRPr="00424813">
        <w:t xml:space="preserve"> enrollment questionnaire,</w:t>
      </w:r>
      <w:r w:rsidRPr="00424813" w:rsidR="003E555B">
        <w:t xml:space="preserve"> and baseline questionnaire—were developed to support screening and recruitment of the </w:t>
      </w:r>
      <w:r w:rsidRPr="00424813" w:rsidR="000D6ECF">
        <w:t>p</w:t>
      </w:r>
      <w:r w:rsidRPr="00424813" w:rsidR="003E555B">
        <w:t xml:space="preserve">anel and collection and maintenance of participant contact information, demographic data, and other background information pertinent to panel management and analysis. The questionnaires were drafted using existing survey items from the National Health Interview Survey (NHIS) and the Tobacco Use Supplement in the Current Population Survey (TUS-CPS) as the source for items on tobacco use. Use of previously tested and fielded survey items mitigates the need for extensive pretesting of the questionnaires. In addition, an interviewer observation questionnaire </w:t>
      </w:r>
      <w:r w:rsidRPr="00424813" w:rsidR="00510EF3">
        <w:t>was</w:t>
      </w:r>
      <w:r w:rsidRPr="00424813" w:rsidR="003E555B">
        <w:t xml:space="preserve"> developed. </w:t>
      </w:r>
      <w:r w:rsidRPr="00424813" w:rsidR="003E5415">
        <w:t xml:space="preserve">Study A was included in the </w:t>
      </w:r>
      <w:r w:rsidRPr="00424813" w:rsidR="00C801C2">
        <w:t>currently approved information collection request</w:t>
      </w:r>
      <w:r w:rsidRPr="00424813" w:rsidR="003E5415">
        <w:t xml:space="preserve"> in order to engage panel members in their first substantive study within the first few months of their panel enrollment. Studies B</w:t>
      </w:r>
      <w:r w:rsidR="00262491">
        <w:t xml:space="preserve"> and </w:t>
      </w:r>
      <w:r w:rsidRPr="00424813" w:rsidR="003E5415">
        <w:t>C are included in this extension request.</w:t>
      </w:r>
      <w:r w:rsidRPr="00424813" w:rsidR="00F321DE">
        <w:t xml:space="preserve"> </w:t>
      </w:r>
      <w:bookmarkStart w:name="_Toc312243130" w:id="14"/>
      <w:bookmarkStart w:name="_Toc353369874" w:id="15"/>
      <w:r w:rsidRPr="00424813" w:rsidR="003E555B">
        <w:t xml:space="preserve">The </w:t>
      </w:r>
      <w:r w:rsidRPr="00424813" w:rsidR="000D6ECF">
        <w:t>p</w:t>
      </w:r>
      <w:r w:rsidRPr="00424813" w:rsidR="003E555B">
        <w:t xml:space="preserve">anel instruments, including </w:t>
      </w:r>
      <w:r w:rsidRPr="00424813" w:rsidR="00EA10EB">
        <w:t>Stud</w:t>
      </w:r>
      <w:r w:rsidRPr="00424813" w:rsidR="0008233C">
        <w:t>ies B</w:t>
      </w:r>
      <w:r w:rsidR="00262491">
        <w:t xml:space="preserve"> and</w:t>
      </w:r>
      <w:r w:rsidRPr="00424813" w:rsidR="0008233C">
        <w:t xml:space="preserve"> C</w:t>
      </w:r>
      <w:r w:rsidRPr="00424813" w:rsidR="003E555B">
        <w:t xml:space="preserve"> questionnaire</w:t>
      </w:r>
      <w:r w:rsidRPr="00424813" w:rsidR="004B7BAC">
        <w:t>s</w:t>
      </w:r>
      <w:r w:rsidRPr="00424813" w:rsidR="003E555B">
        <w:t xml:space="preserve">, are described in detail in the sections that follow. </w:t>
      </w:r>
      <w:r w:rsidRPr="00424813" w:rsidR="003169B6">
        <w:t xml:space="preserve">Further details are provided in </w:t>
      </w:r>
      <w:r w:rsidRPr="00424813" w:rsidR="000F47FB">
        <w:rPr>
          <w:b/>
          <w:i/>
        </w:rPr>
        <w:t>Section</w:t>
      </w:r>
      <w:r w:rsidRPr="00424813" w:rsidR="00911431">
        <w:rPr>
          <w:b/>
          <w:i/>
        </w:rPr>
        <w:t xml:space="preserve"> B.2.3</w:t>
      </w:r>
      <w:r w:rsidRPr="00424813" w:rsidR="00911431">
        <w:t>.</w:t>
      </w:r>
    </w:p>
    <w:p w:rsidRPr="00424813" w:rsidR="003E555B" w:rsidP="000A337C" w:rsidRDefault="003E555B" w14:paraId="258D43E8" w14:textId="77777777">
      <w:pPr>
        <w:pStyle w:val="Heading4"/>
        <w:rPr>
          <w:rFonts w:ascii="Arial Black" w:hAnsi="Arial Black"/>
          <w:i/>
          <w:color w:val="0A3580"/>
        </w:rPr>
      </w:pPr>
      <w:bookmarkStart w:name="_Toc312243131" w:id="16"/>
      <w:bookmarkStart w:name="_Toc353369875" w:id="17"/>
      <w:bookmarkEnd w:id="14"/>
      <w:bookmarkEnd w:id="15"/>
      <w:r w:rsidRPr="00424813">
        <w:lastRenderedPageBreak/>
        <w:t>Baseline Questionnaire</w:t>
      </w:r>
      <w:bookmarkEnd w:id="16"/>
      <w:bookmarkEnd w:id="17"/>
    </w:p>
    <w:p w:rsidRPr="00424813" w:rsidR="00E27DD4" w:rsidP="003E555B" w:rsidRDefault="003E555B" w14:paraId="3772CF35" w14:textId="5E090FE3">
      <w:pPr>
        <w:pStyle w:val="bodytextpsg"/>
      </w:pPr>
      <w:r w:rsidRPr="00424813">
        <w:t>The baseline survey collect</w:t>
      </w:r>
      <w:r w:rsidRPr="00424813" w:rsidR="00D9114E">
        <w:t>s</w:t>
      </w:r>
      <w:r w:rsidRPr="00424813">
        <w:t xml:space="preserve"> a detailed history of the panel member’s use of cigarettes, cigars or little cigars, and smokeless tobacco products. Panel members </w:t>
      </w:r>
      <w:r w:rsidRPr="00424813" w:rsidR="00D9114E">
        <w:t>are</w:t>
      </w:r>
      <w:r w:rsidRPr="00424813">
        <w:t xml:space="preserve"> asked how frequently they use each tobacco product and whether they intend to quit within the next 30 days.</w:t>
      </w:r>
      <w:r w:rsidRPr="00424813" w:rsidR="000A337C">
        <w:t xml:space="preserve"> </w:t>
      </w:r>
      <w:r w:rsidRPr="00424813">
        <w:t xml:space="preserve">They </w:t>
      </w:r>
      <w:r w:rsidRPr="00424813" w:rsidR="00D9114E">
        <w:t>are</w:t>
      </w:r>
      <w:r w:rsidRPr="00424813">
        <w:t xml:space="preserve"> also asked questions to assess their level of addiction to nicotine, their general health status, and use of other tobacco products, including electronic cigarettes, pipes, and water pipes.</w:t>
      </w:r>
      <w:r w:rsidRPr="00424813" w:rsidR="000A337C">
        <w:t xml:space="preserve"> </w:t>
      </w:r>
    </w:p>
    <w:p w:rsidRPr="00424813" w:rsidR="003E555B" w:rsidP="003E555B" w:rsidRDefault="003E555B" w14:paraId="4402988A" w14:textId="25EF1B9F">
      <w:pPr>
        <w:pStyle w:val="bodytextpsg"/>
      </w:pPr>
      <w:r w:rsidRPr="00424813">
        <w:t>At the conclusion of the baseline survey, and upon leaving the panel member’s home, the interviewer complete</w:t>
      </w:r>
      <w:r w:rsidRPr="00424813" w:rsidR="00D9114E">
        <w:t>s</w:t>
      </w:r>
      <w:r w:rsidRPr="00424813">
        <w:t xml:space="preserve"> a brief interviewer observation questionnaire on his/her tablet computer to document perceptions about the panel member recruitment process, comfort level with the Web baseline survey and computers in general, and his/her likelihood of remaining in the panel. This information, coupled with the baseline survey items on comfort with the computer, </w:t>
      </w:r>
      <w:r w:rsidR="006E1C00">
        <w:t>is</w:t>
      </w:r>
      <w:r w:rsidRPr="00424813">
        <w:t xml:space="preserve"> used to identify panel members at greater risk of attrition or who may need increased levels of technical support while in the panel. These panelists receive more targeted or more frequent support while in the panel, and in particular during the initial weeks and months following enrollment.</w:t>
      </w:r>
      <w:r w:rsidRPr="00424813" w:rsidR="007D057C">
        <w:t xml:space="preserve"> The interviewer observation questionnaire </w:t>
      </w:r>
      <w:r w:rsidRPr="00424813" w:rsidR="00D764DB">
        <w:t>is</w:t>
      </w:r>
      <w:r w:rsidRPr="00424813" w:rsidR="007D057C">
        <w:t xml:space="preserve"> also used to capture information collected by interviewers during their post-enrollment follow-up call to those panelists using a loaned tablet.</w:t>
      </w:r>
    </w:p>
    <w:p w:rsidRPr="00424813" w:rsidR="003E555B" w:rsidP="007216D5" w:rsidRDefault="003E555B" w14:paraId="2744354C" w14:textId="77777777">
      <w:pPr>
        <w:pStyle w:val="Heading4"/>
        <w:rPr>
          <w:rFonts w:ascii="Arial Black" w:hAnsi="Arial Black"/>
          <w:i/>
          <w:color w:val="0A3580"/>
        </w:rPr>
      </w:pPr>
      <w:bookmarkStart w:name="_Toc312243132" w:id="18"/>
      <w:bookmarkStart w:name="_Toc353369876" w:id="19"/>
      <w:r w:rsidRPr="00424813">
        <w:t>Experimental and Observational Studies</w:t>
      </w:r>
      <w:bookmarkEnd w:id="18"/>
      <w:bookmarkEnd w:id="19"/>
    </w:p>
    <w:p w:rsidRPr="00424813" w:rsidR="003E555B" w:rsidP="003E555B" w:rsidRDefault="003E555B" w14:paraId="7EBD680B" w14:textId="5CDE7C7B">
      <w:pPr>
        <w:pStyle w:val="bodytextpsg"/>
      </w:pPr>
      <w:r w:rsidRPr="00424813">
        <w:t xml:space="preserve">Periodic self-administered Web (or mail) surveys will be the mechanism for collecting </w:t>
      </w:r>
      <w:r w:rsidRPr="00424813" w:rsidR="005E5E2A">
        <w:t>experimental and observational</w:t>
      </w:r>
      <w:r w:rsidRPr="00424813">
        <w:t xml:space="preserve"> data desired by FDA. As noted above, up to 8 studies will be conducted with </w:t>
      </w:r>
      <w:r w:rsidRPr="00424813" w:rsidR="00CD730D">
        <w:t xml:space="preserve">TCS </w:t>
      </w:r>
      <w:r w:rsidRPr="00424813">
        <w:t>panel member</w:t>
      </w:r>
      <w:r w:rsidRPr="00424813" w:rsidR="00616ADF">
        <w:t>s</w:t>
      </w:r>
      <w:r w:rsidRPr="00424813">
        <w:t xml:space="preserve"> during the initial 3-year panel period. </w:t>
      </w:r>
      <w:r w:rsidRPr="00424813" w:rsidR="00CD730D">
        <w:t xml:space="preserve">The first TCS panel study, </w:t>
      </w:r>
      <w:r w:rsidRPr="00424813">
        <w:t xml:space="preserve">Study </w:t>
      </w:r>
      <w:r w:rsidRPr="00424813" w:rsidR="0008233C">
        <w:t>A</w:t>
      </w:r>
      <w:r w:rsidRPr="00424813" w:rsidR="00CD730D">
        <w:t xml:space="preserve"> “Brands and Purchasing Behaviors,”</w:t>
      </w:r>
      <w:r w:rsidRPr="00424813" w:rsidR="0008233C">
        <w:t xml:space="preserve"> </w:t>
      </w:r>
      <w:r w:rsidRPr="00424813" w:rsidR="002E75DA">
        <w:t>was</w:t>
      </w:r>
      <w:r w:rsidRPr="00424813">
        <w:t xml:space="preserve"> included in th</w:t>
      </w:r>
      <w:r w:rsidRPr="00424813" w:rsidR="002E75DA">
        <w:t xml:space="preserve">e </w:t>
      </w:r>
      <w:r w:rsidRPr="00424813" w:rsidR="00C801C2">
        <w:t>currently approved information collection</w:t>
      </w:r>
      <w:r w:rsidRPr="00424813">
        <w:t xml:space="preserve"> request in order to engage panel members in their first substantive study within the first few months of their panel enrollment. </w:t>
      </w:r>
      <w:r w:rsidRPr="00424813" w:rsidR="002E75DA">
        <w:t xml:space="preserve">Studies </w:t>
      </w:r>
      <w:r w:rsidRPr="00424813" w:rsidR="0008233C">
        <w:t>B</w:t>
      </w:r>
      <w:r w:rsidR="00262491">
        <w:t xml:space="preserve"> and</w:t>
      </w:r>
      <w:r w:rsidRPr="00424813" w:rsidR="0008233C">
        <w:t xml:space="preserve"> C</w:t>
      </w:r>
      <w:r w:rsidRPr="00424813" w:rsidR="00C520CB">
        <w:t xml:space="preserve"> </w:t>
      </w:r>
      <w:r w:rsidRPr="00424813" w:rsidR="002E75DA">
        <w:t xml:space="preserve">are included in this </w:t>
      </w:r>
      <w:r w:rsidRPr="00424813" w:rsidR="00D264BF">
        <w:t>extension</w:t>
      </w:r>
      <w:r w:rsidRPr="00424813" w:rsidR="002E75DA">
        <w:t xml:space="preserve"> request. </w:t>
      </w:r>
      <w:r w:rsidRPr="00424813">
        <w:t xml:space="preserve">The remaining studies will be handled in separate clearance requests. To minimize burden, each of these studies will require no more than 20 minutes for panel members to complete. </w:t>
      </w:r>
    </w:p>
    <w:p w:rsidRPr="00424813" w:rsidR="003E555B" w:rsidP="003E555B" w:rsidRDefault="00CD730D" w14:paraId="434D5A1E" w14:textId="0C30AAD7">
      <w:pPr>
        <w:pStyle w:val="bodytextpsg"/>
      </w:pPr>
      <w:r w:rsidRPr="00424813">
        <w:t xml:space="preserve">The first panel study, </w:t>
      </w:r>
      <w:r w:rsidRPr="00424813" w:rsidR="003E555B">
        <w:t xml:space="preserve">Study </w:t>
      </w:r>
      <w:r w:rsidRPr="00424813" w:rsidR="0008233C">
        <w:t>A</w:t>
      </w:r>
      <w:r w:rsidRPr="00424813">
        <w:t xml:space="preserve">, was an observational study offered to all TCS panelists </w:t>
      </w:r>
      <w:r w:rsidRPr="00424813" w:rsidR="003E555B">
        <w:t>focuse</w:t>
      </w:r>
      <w:r w:rsidRPr="00424813" w:rsidR="002E75DA">
        <w:t>d</w:t>
      </w:r>
      <w:r w:rsidRPr="00424813" w:rsidR="003E555B">
        <w:t xml:space="preserve"> on purchasing behavior, tobacco brands, and use of coupons and price promotions for tobacco products. The goal of this study </w:t>
      </w:r>
      <w:r w:rsidRPr="00424813" w:rsidR="002E75DA">
        <w:t>was</w:t>
      </w:r>
      <w:r w:rsidRPr="00424813" w:rsidR="003E555B">
        <w:t xml:space="preserve"> to collect information about participants’ tobacco product brand loyalty and more accurate measures of their tobacco product consumption.</w:t>
      </w:r>
      <w:r w:rsidRPr="00424813" w:rsidR="000A337C">
        <w:t xml:space="preserve"> </w:t>
      </w:r>
      <w:r w:rsidR="00391298">
        <w:t>I</w:t>
      </w:r>
      <w:r w:rsidRPr="00424813" w:rsidR="00391298">
        <w:t xml:space="preserve">t </w:t>
      </w:r>
      <w:r w:rsidRPr="00424813" w:rsidR="002E75DA">
        <w:t>was</w:t>
      </w:r>
      <w:r w:rsidRPr="00424813" w:rsidR="003E555B">
        <w:t xml:space="preserve"> </w:t>
      </w:r>
      <w:r w:rsidRPr="00424813" w:rsidR="003E555B">
        <w:lastRenderedPageBreak/>
        <w:t>important to quantify the brand loyalty of panel participants in order to examine how it affects panelist choices in planned experimental studies.</w:t>
      </w:r>
      <w:r w:rsidRPr="00424813" w:rsidR="000A337C">
        <w:t xml:space="preserve"> </w:t>
      </w:r>
      <w:r w:rsidRPr="003E08AA" w:rsidR="003E08AA">
        <w:t xml:space="preserve">Study A was completed in June 2018, and therefore will be mentioned minimally in this </w:t>
      </w:r>
      <w:r w:rsidR="00B31AEE">
        <w:t>extension</w:t>
      </w:r>
      <w:r w:rsidRPr="003E08AA" w:rsidR="003E08AA">
        <w:t>.</w:t>
      </w:r>
    </w:p>
    <w:p w:rsidR="00A15A95" w:rsidP="00A15A95" w:rsidRDefault="00FA6E81" w14:paraId="2E49FB8B" w14:textId="2086194C">
      <w:pPr>
        <w:pStyle w:val="bodytextpsg"/>
      </w:pPr>
      <w:bookmarkStart w:name="_Hlk20404521" w:id="20"/>
      <w:bookmarkStart w:name="_Hlk519677671" w:id="21"/>
      <w:r w:rsidRPr="00FE3F4C">
        <w:rPr>
          <w:b/>
        </w:rPr>
        <w:t>Study B</w:t>
      </w:r>
      <w:r w:rsidRPr="00FE3F4C" w:rsidR="00AF0457">
        <w:rPr>
          <w:b/>
        </w:rPr>
        <w:t>:</w:t>
      </w:r>
      <w:r w:rsidR="00AF0457">
        <w:t xml:space="preserve"> </w:t>
      </w:r>
      <w:r w:rsidRPr="00424813" w:rsidR="00834F62">
        <w:t xml:space="preserve">Study B will be an observational study offered to all panelists that will provide a more in-depth examination of tobacco product promotions, namely free samples and coupons, after the ban on distribution of free samples of tobacco products (with the exception of certain smokeless tobacco exemptions) that went into effect when FDA finalized the “Deeming Rule” on August 8, 2016 </w:t>
      </w:r>
      <w:r w:rsidRPr="00424813" w:rsidR="00941545">
        <w:t xml:space="preserve">(published May 10, 2016 (81 FR 28973)) </w:t>
      </w:r>
      <w:r w:rsidRPr="00424813" w:rsidR="00834F62">
        <w:t xml:space="preserve">that extended FDA’s regulatory authority to all tobacco products. </w:t>
      </w:r>
      <w:r w:rsidR="00A15A95">
        <w:t>This extended the free samples ban to all types of tobacco products except smokeless tobacco</w:t>
      </w:r>
      <w:r w:rsidR="00E20D16">
        <w:t>,</w:t>
      </w:r>
      <w:r w:rsidR="00A15A95">
        <w:t xml:space="preserve"> which remained </w:t>
      </w:r>
      <w:r w:rsidR="00535397">
        <w:t>exempted</w:t>
      </w:r>
      <w:r w:rsidR="00A15A95">
        <w:t xml:space="preserve"> from this rule. The free samples ban went into effect immediately. </w:t>
      </w:r>
    </w:p>
    <w:p w:rsidR="00A15A95" w:rsidP="00A15A95" w:rsidRDefault="00A15A95" w14:paraId="6743BED6" w14:textId="77777777">
      <w:pPr>
        <w:pStyle w:val="bodytextpsg"/>
      </w:pPr>
      <w:r>
        <w:t xml:space="preserve">A common industry marketing practice is to offer price promotions in the form of coupons that are directly sent to consumers that allow them to reduce the costs of their tobacco products. This legal marketing practice offers the tobacco industry opportunities to introduce new products to current or potential tobacco users, and also retain current tobacco users with discounts on their usual products. While CTP does not have authority to regulate the prices/taxes associated with tobacco products, CTP does have the authority to regulate industry marketing practices. </w:t>
      </w:r>
    </w:p>
    <w:p w:rsidRPr="00424813" w:rsidR="00834F62" w:rsidP="00A15A95" w:rsidRDefault="000649EE" w14:paraId="16F85A4D" w14:textId="40C2EF97">
      <w:pPr>
        <w:pStyle w:val="bodytextpsg"/>
      </w:pPr>
      <w:r>
        <w:t xml:space="preserve">Study Design: </w:t>
      </w:r>
      <w:r w:rsidRPr="003E08AA" w:rsidR="003E08AA">
        <w:t xml:space="preserve">Study B will explore whether tobacco users report receiving free samples of prohibited tobacco products. This will help CTP understand the occurrence of free sample distribution despite the ban on distribution of free samples of tobacco products (with the exception of certain smokeless tobacco exemptions). It will also explore the frequency of receipt and use of smokeless tobacco free samples among tobacco users as well as, if feasible, the associations between receipt and product liking, health perceptions, and quit intentions. This will help CTP better understand the current impact of smokeless tobacco free sample receipt on tobacco users. In addition, this study will explore the intentions, motivations, and behaviors of regular tobacco users who seek and/or receive coupons (as part of industry marketing) to reduce the costs of tobacco products. This study will also explore coupon use among tobacco users and its associated impact, including product experimentation, subsequent product liking, and associated health perceptions and quit intentions; and the receipt of samples that are close to free. </w:t>
      </w:r>
      <w:r w:rsidRPr="003E08AA" w:rsidR="003E08AA">
        <w:lastRenderedPageBreak/>
        <w:t>This information will help CTP understand manufacturers’ price-related marketing strategies and target populations.</w:t>
      </w:r>
      <w:r w:rsidR="00EE14F8">
        <w:t xml:space="preserve"> </w:t>
      </w:r>
      <w:r w:rsidRPr="00424813" w:rsidR="00834F62">
        <w:t xml:space="preserve">Specifically, this study will examine prevalence of free sample and coupon receipt for tobacco products, where and how consumers are receiving free samples and coupons, and how free sample and coupon receipt may be associated with tobacco product perceptions, use intentions, and behavior. The questionnaire includes items from national surveys including the NHIS, PATH Study, and CPS-TUS. </w:t>
      </w:r>
    </w:p>
    <w:p w:rsidR="00712E93" w:rsidP="00712E93" w:rsidRDefault="00712E93" w14:paraId="2C04879E" w14:textId="77777777">
      <w:pPr>
        <w:pStyle w:val="bodytextpsg"/>
        <w:rPr>
          <w:szCs w:val="24"/>
        </w:rPr>
      </w:pPr>
      <w:r w:rsidRPr="00FE3F4C">
        <w:rPr>
          <w:b/>
          <w:szCs w:val="24"/>
        </w:rPr>
        <w:t>Study C:</w:t>
      </w:r>
      <w:r>
        <w:rPr>
          <w:szCs w:val="24"/>
        </w:rPr>
        <w:t xml:space="preserve"> FDA was granted authority to regulate the manufacture, distribution, and marketing of tobacco products to protect public health. Some of the Agency’s responsibilities include setting product standards that would regulate the levels of certain harmful and potential harmful constituents (HPHCs). To understand the potential impact of a product standard, we should first determine whether consumers are aware of potential tobacco regulations. Second, we should better understand how product standards may influence perceptions and intentions to use tobacco, both constructs that have been shown to predict future tobacco use (</w:t>
      </w:r>
      <w:proofErr w:type="spellStart"/>
      <w:r>
        <w:rPr>
          <w:szCs w:val="24"/>
        </w:rPr>
        <w:t>Ajzen</w:t>
      </w:r>
      <w:proofErr w:type="spellEnd"/>
      <w:r>
        <w:rPr>
          <w:szCs w:val="24"/>
        </w:rPr>
        <w:t xml:space="preserve">, 1991). </w:t>
      </w:r>
    </w:p>
    <w:p w:rsidR="00F95EE2" w:rsidP="00F95EE2" w:rsidRDefault="00FA6E81" w14:paraId="54C53709" w14:textId="51A36159">
      <w:pPr>
        <w:pStyle w:val="bodytextpsg"/>
        <w:rPr>
          <w:szCs w:val="24"/>
        </w:rPr>
      </w:pPr>
      <w:r>
        <w:t xml:space="preserve">Study </w:t>
      </w:r>
      <w:r w:rsidR="00A33F57">
        <w:t xml:space="preserve">Design: </w:t>
      </w:r>
      <w:r w:rsidRPr="00424813" w:rsidR="00834F62">
        <w:t xml:space="preserve">Study C will be an experimental study examining how a hypothetical tobacco product standard may impact consumers’ perceptions, attitudes, and </w:t>
      </w:r>
      <w:r w:rsidR="00364378">
        <w:t xml:space="preserve">intentions to use </w:t>
      </w:r>
      <w:r w:rsidRPr="00424813" w:rsidR="00834F62">
        <w:t xml:space="preserve">tobacco. Specifically, this study will use </w:t>
      </w:r>
      <w:r w:rsidR="00364378">
        <w:t>an</w:t>
      </w:r>
      <w:r w:rsidRPr="00424813" w:rsidR="00834F62">
        <w:t xml:space="preserve"> experimental design where treatment group participants are exp</w:t>
      </w:r>
      <w:r w:rsidRPr="00424813" w:rsidR="00BF1399">
        <w:t xml:space="preserve">osed to </w:t>
      </w:r>
      <w:r w:rsidR="00364378">
        <w:t xml:space="preserve">a </w:t>
      </w:r>
      <w:r w:rsidRPr="00424813" w:rsidR="00BF1399">
        <w:t>stimul</w:t>
      </w:r>
      <w:r w:rsidR="00364378">
        <w:t>us</w:t>
      </w:r>
      <w:r w:rsidRPr="00424813" w:rsidR="00BF1399">
        <w:t xml:space="preserve"> that describe</w:t>
      </w:r>
      <w:r w:rsidR="00364378">
        <w:t>s</w:t>
      </w:r>
      <w:r w:rsidRPr="00424813" w:rsidR="00834F62">
        <w:t xml:space="preserve"> a hypothetical product standard </w:t>
      </w:r>
      <w:r w:rsidR="00F95EE2">
        <w:rPr>
          <w:szCs w:val="24"/>
        </w:rPr>
        <w:t xml:space="preserve">that reduces ‘a chemical’ in cigarettes </w:t>
      </w:r>
      <w:r w:rsidR="00364378">
        <w:rPr>
          <w:szCs w:val="24"/>
        </w:rPr>
        <w:t>or</w:t>
      </w:r>
      <w:r w:rsidR="00F95EE2">
        <w:rPr>
          <w:szCs w:val="24"/>
        </w:rPr>
        <w:t xml:space="preserve"> smokeless tobacco </w:t>
      </w:r>
      <w:r w:rsidRPr="00424813" w:rsidR="00834F62">
        <w:t>and then respond to questions about perceptions and intentions.  Comparison group participants will respond to questions about perceptions and intentions before stimul</w:t>
      </w:r>
      <w:r w:rsidR="00364378">
        <w:t>us</w:t>
      </w:r>
      <w:r w:rsidRPr="00424813" w:rsidR="00834F62">
        <w:t xml:space="preserve"> exposure. The survey will assess whether consumers are aware of potential tobacco regulations and product standards; consumers’ perceptions of FDA’s credibility; consumers’ knowledge and awareness of HPHCs in tobacco products; consumers’ harm perceptions of HPHCs; consumers’ attitudes about tobacco product standards; how consumer attitudes toward tobacco product standards are related to perceptions, tobacco use, and intentions; and how a hypothetical product standard may change tobacco product perceptions and use intentions. The questionnaire includes items from the Health Information National Trends Survey and peer-reviewed literature. </w:t>
      </w:r>
      <w:r w:rsidR="00F95EE2">
        <w:rPr>
          <w:szCs w:val="24"/>
        </w:rPr>
        <w:t xml:space="preserve">This design enables a comparison of outcomes between the treatment group (i.e., those exposed to the product standard statement in the middle of the survey instrument), and the comparison group (i.e., those exposed to the product standard statement later in the survey instrument). </w:t>
      </w:r>
    </w:p>
    <w:p w:rsidR="00765781" w:rsidP="00765781" w:rsidRDefault="00765781" w14:paraId="1EB41C41" w14:textId="77777777">
      <w:pPr>
        <w:pStyle w:val="bodytextpsg"/>
        <w:rPr>
          <w:szCs w:val="24"/>
        </w:rPr>
      </w:pPr>
      <w:r>
        <w:rPr>
          <w:szCs w:val="24"/>
        </w:rPr>
        <w:lastRenderedPageBreak/>
        <w:t xml:space="preserve">We will randomly assign respondents to one of 8 conditions with variation in timing of exposure to the stimulus, product type described in the stimulus, and health outcome described in the stimulus. </w:t>
      </w:r>
      <w:r w:rsidRPr="008600B0">
        <w:rPr>
          <w:b/>
          <w:i/>
          <w:szCs w:val="24"/>
        </w:rPr>
        <w:t>Exhibit A.2-1</w:t>
      </w:r>
      <w:r>
        <w:rPr>
          <w:szCs w:val="24"/>
        </w:rPr>
        <w:t xml:space="preserve"> illustrates the study design.  </w:t>
      </w:r>
    </w:p>
    <w:p w:rsidR="00F95EE2" w:rsidP="00835757" w:rsidRDefault="00F95EE2" w14:paraId="3F525669" w14:textId="0C0C48BB">
      <w:pPr>
        <w:pStyle w:val="FigureTitle"/>
      </w:pPr>
      <w:bookmarkStart w:name="_Toc33529741" w:id="22"/>
      <w:r w:rsidRPr="00F95EE2">
        <w:t>Exhibit A</w:t>
      </w:r>
      <w:r w:rsidR="00C6572E">
        <w:t>.</w:t>
      </w:r>
      <w:r w:rsidRPr="00F95EE2">
        <w:t xml:space="preserve">2-1. </w:t>
      </w:r>
      <w:r>
        <w:t>Study Design</w:t>
      </w:r>
      <w:bookmarkEnd w:id="22"/>
    </w:p>
    <w:tbl>
      <w:tblPr>
        <w:tblStyle w:val="TableGrid"/>
        <w:tblW w:w="7551" w:type="dxa"/>
        <w:tblLook w:val="04A0" w:firstRow="1" w:lastRow="0" w:firstColumn="1" w:lastColumn="0" w:noHBand="0" w:noVBand="1"/>
      </w:tblPr>
      <w:tblGrid>
        <w:gridCol w:w="1885"/>
        <w:gridCol w:w="2070"/>
        <w:gridCol w:w="1798"/>
        <w:gridCol w:w="1798"/>
      </w:tblGrid>
      <w:tr w:rsidRPr="003F706D" w:rsidR="00765781" w:rsidTr="008600B0" w14:paraId="73246721" w14:textId="77777777">
        <w:trPr>
          <w:gridAfter w:val="2"/>
          <w:wAfter w:w="3596" w:type="dxa"/>
          <w:trHeight w:val="458"/>
        </w:trPr>
        <w:tc>
          <w:tcPr>
            <w:tcW w:w="1885" w:type="dxa"/>
            <w:vMerge w:val="restart"/>
            <w:hideMark/>
          </w:tcPr>
          <w:p w:rsidRPr="003F706D" w:rsidR="00765781" w:rsidP="008600B0" w:rsidRDefault="00765781" w14:paraId="47ED635A" w14:textId="77777777">
            <w:pPr>
              <w:pStyle w:val="bodytextapps"/>
              <w:spacing w:after="0" w:line="240" w:lineRule="auto"/>
              <w:jc w:val="center"/>
              <w:rPr>
                <w:rFonts w:ascii="Times New Roman" w:hAnsi="Times New Roman"/>
                <w:b/>
                <w:szCs w:val="24"/>
              </w:rPr>
            </w:pPr>
            <w:r>
              <w:rPr>
                <w:rFonts w:ascii="Times New Roman" w:hAnsi="Times New Roman"/>
                <w:b/>
                <w:szCs w:val="24"/>
              </w:rPr>
              <w:t>Timing of Exposure to Stimulus</w:t>
            </w:r>
          </w:p>
        </w:tc>
        <w:tc>
          <w:tcPr>
            <w:tcW w:w="2070" w:type="dxa"/>
            <w:vMerge w:val="restart"/>
            <w:hideMark/>
          </w:tcPr>
          <w:p w:rsidRPr="003F706D" w:rsidR="00765781" w:rsidP="008600B0" w:rsidRDefault="00765781" w14:paraId="7909418B" w14:textId="77777777">
            <w:pPr>
              <w:pStyle w:val="bodytextapps"/>
              <w:spacing w:after="0" w:line="240" w:lineRule="auto"/>
              <w:rPr>
                <w:rFonts w:ascii="Times New Roman" w:hAnsi="Times New Roman"/>
                <w:b/>
                <w:szCs w:val="24"/>
              </w:rPr>
            </w:pPr>
            <w:r w:rsidRPr="003F706D">
              <w:rPr>
                <w:rFonts w:ascii="Times New Roman" w:hAnsi="Times New Roman"/>
                <w:b/>
                <w:szCs w:val="24"/>
              </w:rPr>
              <w:t>Product Type</w:t>
            </w:r>
            <w:r>
              <w:rPr>
                <w:rFonts w:ascii="Times New Roman" w:hAnsi="Times New Roman"/>
                <w:b/>
                <w:szCs w:val="24"/>
              </w:rPr>
              <w:t xml:space="preserve"> Described in Stimulus</w:t>
            </w:r>
          </w:p>
        </w:tc>
      </w:tr>
      <w:tr w:rsidRPr="00F95EE2" w:rsidR="00765781" w:rsidTr="008600B0" w14:paraId="70FC921A" w14:textId="77777777">
        <w:trPr>
          <w:trHeight w:val="793"/>
        </w:trPr>
        <w:tc>
          <w:tcPr>
            <w:tcW w:w="0" w:type="auto"/>
            <w:vMerge/>
          </w:tcPr>
          <w:p w:rsidRPr="003F706D" w:rsidR="00765781" w:rsidP="008600B0" w:rsidRDefault="00765781" w14:paraId="56956415" w14:textId="77777777">
            <w:pPr>
              <w:rPr>
                <w:b/>
                <w:sz w:val="22"/>
              </w:rPr>
            </w:pPr>
          </w:p>
        </w:tc>
        <w:tc>
          <w:tcPr>
            <w:tcW w:w="0" w:type="auto"/>
            <w:vMerge/>
          </w:tcPr>
          <w:p w:rsidRPr="003F706D" w:rsidR="00765781" w:rsidP="008600B0" w:rsidRDefault="00765781" w14:paraId="3C2D66A6" w14:textId="77777777">
            <w:pPr>
              <w:rPr>
                <w:b/>
                <w:sz w:val="22"/>
              </w:rPr>
            </w:pPr>
          </w:p>
        </w:tc>
        <w:tc>
          <w:tcPr>
            <w:tcW w:w="3596" w:type="dxa"/>
            <w:gridSpan w:val="2"/>
          </w:tcPr>
          <w:p w:rsidRPr="003F706D" w:rsidR="00765781" w:rsidP="008600B0" w:rsidRDefault="00765781" w14:paraId="34C7D329" w14:textId="77777777">
            <w:pPr>
              <w:pStyle w:val="bodytextapps"/>
              <w:spacing w:after="0" w:line="240" w:lineRule="auto"/>
              <w:jc w:val="center"/>
              <w:rPr>
                <w:rFonts w:ascii="Times New Roman" w:hAnsi="Times New Roman"/>
                <w:b/>
                <w:szCs w:val="24"/>
              </w:rPr>
            </w:pPr>
            <w:r>
              <w:rPr>
                <w:rFonts w:ascii="Times New Roman" w:hAnsi="Times New Roman"/>
                <w:b/>
                <w:szCs w:val="24"/>
              </w:rPr>
              <w:t>Health Outcome Described in Stimulus</w:t>
            </w:r>
          </w:p>
        </w:tc>
      </w:tr>
      <w:tr w:rsidRPr="00F95EE2" w:rsidR="00765781" w:rsidTr="0045365F" w14:paraId="4A16FAA4" w14:textId="77777777">
        <w:trPr>
          <w:trHeight w:val="539"/>
        </w:trPr>
        <w:tc>
          <w:tcPr>
            <w:tcW w:w="0" w:type="auto"/>
            <w:vMerge/>
            <w:hideMark/>
          </w:tcPr>
          <w:p w:rsidRPr="003F706D" w:rsidR="00765781" w:rsidP="008600B0" w:rsidRDefault="00765781" w14:paraId="247DD0DB" w14:textId="77777777">
            <w:pPr>
              <w:rPr>
                <w:b/>
                <w:sz w:val="22"/>
              </w:rPr>
            </w:pPr>
          </w:p>
        </w:tc>
        <w:tc>
          <w:tcPr>
            <w:tcW w:w="0" w:type="auto"/>
            <w:vMerge/>
            <w:hideMark/>
          </w:tcPr>
          <w:p w:rsidRPr="003F706D" w:rsidR="00765781" w:rsidP="008600B0" w:rsidRDefault="00765781" w14:paraId="09C21A22" w14:textId="77777777">
            <w:pPr>
              <w:rPr>
                <w:b/>
                <w:sz w:val="22"/>
              </w:rPr>
            </w:pPr>
          </w:p>
        </w:tc>
        <w:tc>
          <w:tcPr>
            <w:tcW w:w="1798" w:type="dxa"/>
            <w:hideMark/>
          </w:tcPr>
          <w:p w:rsidRPr="003F706D" w:rsidR="00765781" w:rsidP="008600B0" w:rsidRDefault="00765781" w14:paraId="76714325" w14:textId="77777777">
            <w:pPr>
              <w:pStyle w:val="bodytextapps"/>
              <w:spacing w:after="0" w:line="240" w:lineRule="auto"/>
              <w:jc w:val="center"/>
              <w:rPr>
                <w:rFonts w:ascii="Times New Roman" w:hAnsi="Times New Roman"/>
                <w:b/>
                <w:szCs w:val="24"/>
              </w:rPr>
            </w:pPr>
            <w:r w:rsidRPr="003F706D">
              <w:rPr>
                <w:rFonts w:ascii="Times New Roman" w:hAnsi="Times New Roman"/>
                <w:b/>
                <w:szCs w:val="24"/>
              </w:rPr>
              <w:t>Cancer (a)</w:t>
            </w:r>
          </w:p>
        </w:tc>
        <w:tc>
          <w:tcPr>
            <w:tcW w:w="1798" w:type="dxa"/>
            <w:hideMark/>
          </w:tcPr>
          <w:p w:rsidRPr="003F706D" w:rsidR="00765781" w:rsidP="008600B0" w:rsidRDefault="00765781" w14:paraId="7229D681" w14:textId="77777777">
            <w:pPr>
              <w:pStyle w:val="bodytextapps"/>
              <w:spacing w:after="0" w:line="240" w:lineRule="auto"/>
              <w:jc w:val="center"/>
              <w:rPr>
                <w:rFonts w:ascii="Times New Roman" w:hAnsi="Times New Roman"/>
                <w:b/>
                <w:szCs w:val="24"/>
              </w:rPr>
            </w:pPr>
            <w:r w:rsidRPr="003F706D">
              <w:rPr>
                <w:rFonts w:ascii="Times New Roman" w:hAnsi="Times New Roman"/>
                <w:b/>
                <w:szCs w:val="24"/>
              </w:rPr>
              <w:t>Heart Attack and Stroke (b)</w:t>
            </w:r>
          </w:p>
        </w:tc>
      </w:tr>
      <w:tr w:rsidRPr="00F95EE2" w:rsidR="00765781" w:rsidTr="008600B0" w14:paraId="01AEBB9E" w14:textId="77777777">
        <w:trPr>
          <w:trHeight w:val="539"/>
        </w:trPr>
        <w:tc>
          <w:tcPr>
            <w:tcW w:w="1885" w:type="dxa"/>
            <w:vMerge w:val="restart"/>
            <w:hideMark/>
          </w:tcPr>
          <w:p w:rsidRPr="00F95EE2" w:rsidR="00765781" w:rsidP="008600B0" w:rsidRDefault="00765781" w14:paraId="6E9A2F15" w14:textId="77777777">
            <w:pPr>
              <w:pStyle w:val="bodytextapps"/>
              <w:spacing w:after="0" w:line="240" w:lineRule="auto"/>
              <w:rPr>
                <w:rFonts w:ascii="Times New Roman" w:hAnsi="Times New Roman"/>
                <w:szCs w:val="24"/>
              </w:rPr>
            </w:pPr>
            <w:r w:rsidRPr="00F95EE2">
              <w:rPr>
                <w:rFonts w:ascii="Times New Roman" w:hAnsi="Times New Roman"/>
                <w:szCs w:val="24"/>
              </w:rPr>
              <w:t>Treatmen</w:t>
            </w:r>
            <w:r>
              <w:rPr>
                <w:rFonts w:ascii="Times New Roman" w:hAnsi="Times New Roman"/>
                <w:szCs w:val="24"/>
              </w:rPr>
              <w:t xml:space="preserve">t (T): stimulus shown before assessment of perceptions and intentions </w:t>
            </w:r>
          </w:p>
        </w:tc>
        <w:tc>
          <w:tcPr>
            <w:tcW w:w="2070" w:type="dxa"/>
            <w:hideMark/>
          </w:tcPr>
          <w:p w:rsidRPr="00F95EE2" w:rsidR="00765781" w:rsidP="008600B0" w:rsidRDefault="00765781" w14:paraId="2C0D19BD" w14:textId="77777777">
            <w:pPr>
              <w:pStyle w:val="bodytextapps"/>
              <w:spacing w:after="0" w:line="240" w:lineRule="auto"/>
              <w:rPr>
                <w:rFonts w:ascii="Times New Roman" w:hAnsi="Times New Roman"/>
                <w:szCs w:val="24"/>
              </w:rPr>
            </w:pPr>
            <w:r w:rsidRPr="00F95EE2">
              <w:rPr>
                <w:rFonts w:ascii="Times New Roman" w:hAnsi="Times New Roman"/>
                <w:szCs w:val="24"/>
              </w:rPr>
              <w:t>Cigarettes (1)</w:t>
            </w:r>
          </w:p>
        </w:tc>
        <w:tc>
          <w:tcPr>
            <w:tcW w:w="1798" w:type="dxa"/>
            <w:hideMark/>
          </w:tcPr>
          <w:p w:rsidRPr="00F95EE2" w:rsidR="00765781" w:rsidP="008600B0" w:rsidRDefault="00765781" w14:paraId="0DA12AB9" w14:textId="77777777">
            <w:pPr>
              <w:pStyle w:val="bodytextapps"/>
              <w:spacing w:after="0" w:line="240" w:lineRule="auto"/>
              <w:jc w:val="center"/>
              <w:rPr>
                <w:rFonts w:ascii="Times New Roman" w:hAnsi="Times New Roman"/>
                <w:szCs w:val="24"/>
              </w:rPr>
            </w:pPr>
            <w:r w:rsidRPr="00F95EE2">
              <w:rPr>
                <w:rFonts w:ascii="Times New Roman" w:hAnsi="Times New Roman"/>
                <w:szCs w:val="24"/>
              </w:rPr>
              <w:t>T_A1</w:t>
            </w:r>
          </w:p>
        </w:tc>
        <w:tc>
          <w:tcPr>
            <w:tcW w:w="1798" w:type="dxa"/>
            <w:hideMark/>
          </w:tcPr>
          <w:p w:rsidRPr="00F95EE2" w:rsidR="00765781" w:rsidP="008600B0" w:rsidRDefault="00765781" w14:paraId="7AF0C47C" w14:textId="77777777">
            <w:pPr>
              <w:pStyle w:val="bodytextapps"/>
              <w:spacing w:after="0" w:line="240" w:lineRule="auto"/>
              <w:jc w:val="center"/>
              <w:rPr>
                <w:rFonts w:ascii="Times New Roman" w:hAnsi="Times New Roman"/>
                <w:szCs w:val="24"/>
              </w:rPr>
            </w:pPr>
            <w:r w:rsidRPr="00F95EE2">
              <w:rPr>
                <w:rFonts w:ascii="Times New Roman" w:hAnsi="Times New Roman"/>
                <w:szCs w:val="24"/>
              </w:rPr>
              <w:t>T_B1</w:t>
            </w:r>
          </w:p>
        </w:tc>
      </w:tr>
      <w:tr w:rsidRPr="00F95EE2" w:rsidR="00765781" w:rsidTr="008600B0" w14:paraId="1DD58816" w14:textId="77777777">
        <w:tc>
          <w:tcPr>
            <w:tcW w:w="0" w:type="auto"/>
            <w:vMerge/>
            <w:hideMark/>
          </w:tcPr>
          <w:p w:rsidRPr="00F95EE2" w:rsidR="00765781" w:rsidP="008600B0" w:rsidRDefault="00765781" w14:paraId="27604589" w14:textId="77777777">
            <w:pPr>
              <w:rPr>
                <w:sz w:val="22"/>
              </w:rPr>
            </w:pPr>
          </w:p>
        </w:tc>
        <w:tc>
          <w:tcPr>
            <w:tcW w:w="2070" w:type="dxa"/>
            <w:hideMark/>
          </w:tcPr>
          <w:p w:rsidRPr="00F95EE2" w:rsidR="00765781" w:rsidP="008600B0" w:rsidRDefault="00765781" w14:paraId="335867E6" w14:textId="77777777">
            <w:pPr>
              <w:pStyle w:val="bodytextapps"/>
              <w:spacing w:after="0" w:line="240" w:lineRule="auto"/>
              <w:rPr>
                <w:rFonts w:ascii="Times New Roman" w:hAnsi="Times New Roman"/>
                <w:szCs w:val="24"/>
              </w:rPr>
            </w:pPr>
            <w:r w:rsidRPr="00F95EE2">
              <w:rPr>
                <w:rFonts w:ascii="Times New Roman" w:hAnsi="Times New Roman"/>
                <w:szCs w:val="24"/>
              </w:rPr>
              <w:t>Dip (2)</w:t>
            </w:r>
          </w:p>
        </w:tc>
        <w:tc>
          <w:tcPr>
            <w:tcW w:w="1798" w:type="dxa"/>
            <w:hideMark/>
          </w:tcPr>
          <w:p w:rsidRPr="00F95EE2" w:rsidR="00765781" w:rsidP="008600B0" w:rsidRDefault="00765781" w14:paraId="6196A5D7" w14:textId="77777777">
            <w:pPr>
              <w:pStyle w:val="bodytextapps"/>
              <w:spacing w:after="0" w:line="240" w:lineRule="auto"/>
              <w:jc w:val="center"/>
              <w:rPr>
                <w:rFonts w:ascii="Times New Roman" w:hAnsi="Times New Roman"/>
                <w:szCs w:val="24"/>
              </w:rPr>
            </w:pPr>
            <w:r w:rsidRPr="00F95EE2">
              <w:rPr>
                <w:rFonts w:ascii="Times New Roman" w:hAnsi="Times New Roman"/>
                <w:szCs w:val="24"/>
              </w:rPr>
              <w:t>T_A2</w:t>
            </w:r>
          </w:p>
        </w:tc>
        <w:tc>
          <w:tcPr>
            <w:tcW w:w="1798" w:type="dxa"/>
            <w:hideMark/>
          </w:tcPr>
          <w:p w:rsidRPr="00F95EE2" w:rsidR="00765781" w:rsidP="008600B0" w:rsidRDefault="00765781" w14:paraId="6B65074A" w14:textId="77777777">
            <w:pPr>
              <w:pStyle w:val="bodytextapps"/>
              <w:spacing w:after="0" w:line="240" w:lineRule="auto"/>
              <w:jc w:val="center"/>
              <w:rPr>
                <w:rFonts w:ascii="Times New Roman" w:hAnsi="Times New Roman"/>
                <w:szCs w:val="24"/>
              </w:rPr>
            </w:pPr>
            <w:r w:rsidRPr="00F95EE2">
              <w:rPr>
                <w:rFonts w:ascii="Times New Roman" w:hAnsi="Times New Roman"/>
                <w:szCs w:val="24"/>
              </w:rPr>
              <w:t>T_B2</w:t>
            </w:r>
          </w:p>
        </w:tc>
      </w:tr>
      <w:tr w:rsidRPr="00F95EE2" w:rsidR="00765781" w:rsidTr="008600B0" w14:paraId="7D827AD5" w14:textId="77777777">
        <w:trPr>
          <w:trHeight w:val="611"/>
        </w:trPr>
        <w:tc>
          <w:tcPr>
            <w:tcW w:w="1885" w:type="dxa"/>
            <w:vMerge w:val="restart"/>
            <w:hideMark/>
          </w:tcPr>
          <w:p w:rsidRPr="00F95EE2" w:rsidR="00765781" w:rsidP="008600B0" w:rsidRDefault="00765781" w14:paraId="23D2848B" w14:textId="77777777">
            <w:pPr>
              <w:pStyle w:val="bodytextapps"/>
              <w:spacing w:after="0" w:line="240" w:lineRule="auto"/>
              <w:rPr>
                <w:rFonts w:ascii="Times New Roman" w:hAnsi="Times New Roman"/>
                <w:szCs w:val="24"/>
              </w:rPr>
            </w:pPr>
            <w:r w:rsidRPr="00F95EE2">
              <w:rPr>
                <w:rFonts w:ascii="Times New Roman" w:hAnsi="Times New Roman"/>
                <w:szCs w:val="24"/>
              </w:rPr>
              <w:t>Comparison (C)</w:t>
            </w:r>
            <w:r>
              <w:rPr>
                <w:rFonts w:ascii="Times New Roman" w:hAnsi="Times New Roman"/>
                <w:szCs w:val="24"/>
              </w:rPr>
              <w:t>: stimulus shown after assessment of perceptions and intentions</w:t>
            </w:r>
          </w:p>
        </w:tc>
        <w:tc>
          <w:tcPr>
            <w:tcW w:w="2070" w:type="dxa"/>
            <w:hideMark/>
          </w:tcPr>
          <w:p w:rsidRPr="00F95EE2" w:rsidR="00765781" w:rsidP="008600B0" w:rsidRDefault="00765781" w14:paraId="5E338616" w14:textId="77777777">
            <w:pPr>
              <w:pStyle w:val="bodytextapps"/>
              <w:spacing w:after="0" w:line="240" w:lineRule="auto"/>
              <w:rPr>
                <w:rFonts w:ascii="Times New Roman" w:hAnsi="Times New Roman"/>
                <w:szCs w:val="24"/>
              </w:rPr>
            </w:pPr>
            <w:r w:rsidRPr="00F95EE2">
              <w:rPr>
                <w:rFonts w:ascii="Times New Roman" w:hAnsi="Times New Roman"/>
                <w:szCs w:val="24"/>
              </w:rPr>
              <w:t>Cigarettes (1)</w:t>
            </w:r>
          </w:p>
        </w:tc>
        <w:tc>
          <w:tcPr>
            <w:tcW w:w="1798" w:type="dxa"/>
            <w:hideMark/>
          </w:tcPr>
          <w:p w:rsidRPr="00F95EE2" w:rsidR="00765781" w:rsidP="008600B0" w:rsidRDefault="00765781" w14:paraId="79ABDFAB" w14:textId="77777777">
            <w:pPr>
              <w:pStyle w:val="bodytextapps"/>
              <w:spacing w:after="0" w:line="240" w:lineRule="auto"/>
              <w:jc w:val="center"/>
              <w:rPr>
                <w:rFonts w:ascii="Times New Roman" w:hAnsi="Times New Roman"/>
                <w:szCs w:val="24"/>
              </w:rPr>
            </w:pPr>
            <w:r w:rsidRPr="00F95EE2">
              <w:rPr>
                <w:rFonts w:ascii="Times New Roman" w:hAnsi="Times New Roman"/>
                <w:szCs w:val="24"/>
              </w:rPr>
              <w:t>C_A1</w:t>
            </w:r>
          </w:p>
        </w:tc>
        <w:tc>
          <w:tcPr>
            <w:tcW w:w="1798" w:type="dxa"/>
            <w:hideMark/>
          </w:tcPr>
          <w:p w:rsidRPr="00F95EE2" w:rsidR="00765781" w:rsidP="008600B0" w:rsidRDefault="00765781" w14:paraId="51B08F9E" w14:textId="77777777">
            <w:pPr>
              <w:pStyle w:val="bodytextapps"/>
              <w:spacing w:after="0" w:line="240" w:lineRule="auto"/>
              <w:jc w:val="center"/>
              <w:rPr>
                <w:rFonts w:ascii="Times New Roman" w:hAnsi="Times New Roman"/>
                <w:szCs w:val="24"/>
              </w:rPr>
            </w:pPr>
            <w:r w:rsidRPr="00F95EE2">
              <w:rPr>
                <w:rFonts w:ascii="Times New Roman" w:hAnsi="Times New Roman"/>
                <w:szCs w:val="24"/>
              </w:rPr>
              <w:t>C_B1</w:t>
            </w:r>
          </w:p>
        </w:tc>
      </w:tr>
      <w:tr w:rsidRPr="00F95EE2" w:rsidR="00765781" w:rsidTr="008600B0" w14:paraId="3D2CA336" w14:textId="77777777">
        <w:tc>
          <w:tcPr>
            <w:tcW w:w="0" w:type="auto"/>
            <w:vMerge/>
            <w:hideMark/>
          </w:tcPr>
          <w:p w:rsidRPr="00F95EE2" w:rsidR="00765781" w:rsidP="008600B0" w:rsidRDefault="00765781" w14:paraId="11AF46CD" w14:textId="77777777">
            <w:pPr>
              <w:rPr>
                <w:sz w:val="22"/>
              </w:rPr>
            </w:pPr>
          </w:p>
        </w:tc>
        <w:tc>
          <w:tcPr>
            <w:tcW w:w="2070" w:type="dxa"/>
            <w:hideMark/>
          </w:tcPr>
          <w:p w:rsidRPr="00F95EE2" w:rsidR="00765781" w:rsidP="008600B0" w:rsidRDefault="00765781" w14:paraId="0C3BDF0C" w14:textId="77777777">
            <w:pPr>
              <w:pStyle w:val="bodytextapps"/>
              <w:spacing w:after="0" w:line="240" w:lineRule="auto"/>
              <w:rPr>
                <w:rFonts w:ascii="Times New Roman" w:hAnsi="Times New Roman"/>
                <w:szCs w:val="24"/>
              </w:rPr>
            </w:pPr>
            <w:r w:rsidRPr="00F95EE2">
              <w:rPr>
                <w:rFonts w:ascii="Times New Roman" w:hAnsi="Times New Roman"/>
                <w:szCs w:val="24"/>
              </w:rPr>
              <w:t>Dip (2)</w:t>
            </w:r>
          </w:p>
        </w:tc>
        <w:tc>
          <w:tcPr>
            <w:tcW w:w="1798" w:type="dxa"/>
            <w:hideMark/>
          </w:tcPr>
          <w:p w:rsidRPr="00F95EE2" w:rsidR="00765781" w:rsidP="008600B0" w:rsidRDefault="00765781" w14:paraId="6FE88827" w14:textId="77777777">
            <w:pPr>
              <w:pStyle w:val="bodytextapps"/>
              <w:spacing w:after="0" w:line="240" w:lineRule="auto"/>
              <w:jc w:val="center"/>
              <w:rPr>
                <w:rFonts w:ascii="Times New Roman" w:hAnsi="Times New Roman"/>
                <w:szCs w:val="24"/>
              </w:rPr>
            </w:pPr>
            <w:r w:rsidRPr="00F95EE2">
              <w:rPr>
                <w:rFonts w:ascii="Times New Roman" w:hAnsi="Times New Roman"/>
                <w:szCs w:val="24"/>
              </w:rPr>
              <w:t>C_A2</w:t>
            </w:r>
          </w:p>
        </w:tc>
        <w:tc>
          <w:tcPr>
            <w:tcW w:w="1798" w:type="dxa"/>
            <w:hideMark/>
          </w:tcPr>
          <w:p w:rsidRPr="00F95EE2" w:rsidR="00765781" w:rsidP="008600B0" w:rsidRDefault="00765781" w14:paraId="46BC343B" w14:textId="77777777">
            <w:pPr>
              <w:pStyle w:val="bodytextapps"/>
              <w:spacing w:after="0" w:line="240" w:lineRule="auto"/>
              <w:jc w:val="center"/>
              <w:rPr>
                <w:rFonts w:ascii="Times New Roman" w:hAnsi="Times New Roman"/>
                <w:szCs w:val="24"/>
              </w:rPr>
            </w:pPr>
            <w:r w:rsidRPr="00F95EE2">
              <w:rPr>
                <w:rFonts w:ascii="Times New Roman" w:hAnsi="Times New Roman"/>
                <w:szCs w:val="24"/>
              </w:rPr>
              <w:t>C_B2</w:t>
            </w:r>
          </w:p>
        </w:tc>
      </w:tr>
    </w:tbl>
    <w:p w:rsidR="000C0CEE" w:rsidP="000C0CEE" w:rsidRDefault="000C0CEE" w14:paraId="178A5996" w14:textId="77777777">
      <w:pPr>
        <w:pStyle w:val="bodytextapps"/>
        <w:spacing w:after="0" w:line="240" w:lineRule="auto"/>
        <w:ind w:left="1080"/>
        <w:rPr>
          <w:rFonts w:ascii="Times New Roman" w:hAnsi="Times New Roman"/>
          <w:sz w:val="24"/>
          <w:szCs w:val="24"/>
        </w:rPr>
      </w:pPr>
    </w:p>
    <w:p w:rsidR="00765781" w:rsidP="00765781" w:rsidRDefault="00765781" w14:paraId="2E68B15A" w14:textId="77777777">
      <w:pPr>
        <w:pStyle w:val="bodytextpsg"/>
        <w:rPr>
          <w:szCs w:val="24"/>
        </w:rPr>
      </w:pPr>
      <w:r>
        <w:rPr>
          <w:szCs w:val="24"/>
        </w:rPr>
        <w:t xml:space="preserve">Survey flow will vary for </w:t>
      </w:r>
      <w:r w:rsidRPr="00A00D22">
        <w:rPr>
          <w:i/>
          <w:iCs/>
          <w:szCs w:val="24"/>
        </w:rPr>
        <w:t>Treatment</w:t>
      </w:r>
      <w:r>
        <w:rPr>
          <w:szCs w:val="24"/>
        </w:rPr>
        <w:t xml:space="preserve"> and </w:t>
      </w:r>
      <w:r w:rsidRPr="00A00D22">
        <w:rPr>
          <w:i/>
          <w:iCs/>
          <w:szCs w:val="24"/>
        </w:rPr>
        <w:t>Comparison</w:t>
      </w:r>
      <w:r>
        <w:rPr>
          <w:szCs w:val="24"/>
        </w:rPr>
        <w:t xml:space="preserve"> groups.  </w:t>
      </w:r>
      <w:r w:rsidRPr="008600B0">
        <w:rPr>
          <w:b/>
          <w:i/>
          <w:szCs w:val="24"/>
        </w:rPr>
        <w:t>Exhibit A.2-2</w:t>
      </w:r>
      <w:r>
        <w:rPr>
          <w:szCs w:val="24"/>
        </w:rPr>
        <w:t xml:space="preserve"> illustrates the survey flow for each group. In Section X (Stimuli Exposure), respondents will be shown a statement with piped text that varies according to </w:t>
      </w:r>
      <w:r>
        <w:rPr>
          <w:i/>
          <w:szCs w:val="24"/>
        </w:rPr>
        <w:t>product type</w:t>
      </w:r>
      <w:r>
        <w:rPr>
          <w:szCs w:val="24"/>
        </w:rPr>
        <w:t xml:space="preserve"> and </w:t>
      </w:r>
      <w:r>
        <w:rPr>
          <w:i/>
          <w:szCs w:val="24"/>
        </w:rPr>
        <w:t>health outcome</w:t>
      </w:r>
      <w:r>
        <w:rPr>
          <w:szCs w:val="24"/>
        </w:rPr>
        <w:t xml:space="preserve">. </w:t>
      </w:r>
    </w:p>
    <w:p w:rsidRPr="00A33F57" w:rsidR="00F95EE2" w:rsidP="00A33F57" w:rsidRDefault="00F95EE2" w14:paraId="4B71B01F" w14:textId="00C2E931">
      <w:pPr>
        <w:pStyle w:val="FigureTitle"/>
      </w:pPr>
      <w:bookmarkStart w:name="_Toc33529742" w:id="23"/>
      <w:r w:rsidRPr="00A33F57">
        <w:t>Exhibit A</w:t>
      </w:r>
      <w:r w:rsidR="00C6572E">
        <w:t>.</w:t>
      </w:r>
      <w:r w:rsidRPr="00A33F57">
        <w:t xml:space="preserve">2-2. </w:t>
      </w:r>
      <w:r w:rsidRPr="00A33F57" w:rsidR="00A33F57">
        <w:t xml:space="preserve">Survey Flow, </w:t>
      </w:r>
      <w:r w:rsidR="00A33F57">
        <w:t>b</w:t>
      </w:r>
      <w:r w:rsidRPr="00A33F57" w:rsidR="00A33F57">
        <w:t>y Study Condition</w:t>
      </w:r>
      <w:bookmarkEnd w:id="23"/>
    </w:p>
    <w:tbl>
      <w:tblPr>
        <w:tblStyle w:val="TableGrid"/>
        <w:tblW w:w="9350" w:type="dxa"/>
        <w:tblLook w:val="04A0" w:firstRow="1" w:lastRow="0" w:firstColumn="1" w:lastColumn="0" w:noHBand="0" w:noVBand="1"/>
      </w:tblPr>
      <w:tblGrid>
        <w:gridCol w:w="4675"/>
        <w:gridCol w:w="4675"/>
      </w:tblGrid>
      <w:tr w:rsidRPr="00A33F57" w:rsidR="00F95EE2" w:rsidTr="00765781" w14:paraId="55F92681" w14:textId="77777777">
        <w:trPr>
          <w:cantSplit/>
        </w:trPr>
        <w:tc>
          <w:tcPr>
            <w:tcW w:w="4675" w:type="dxa"/>
            <w:hideMark/>
          </w:tcPr>
          <w:p w:rsidRPr="003F706D" w:rsidR="00F95EE2" w:rsidRDefault="00835757" w14:paraId="637E6EF3" w14:textId="78A57726">
            <w:pPr>
              <w:jc w:val="center"/>
              <w:rPr>
                <w:b/>
                <w:bCs/>
                <w:color w:val="000000"/>
                <w:sz w:val="22"/>
              </w:rPr>
            </w:pPr>
            <w:r w:rsidRPr="003F706D">
              <w:rPr>
                <w:b/>
                <w:bCs/>
                <w:color w:val="000000"/>
                <w:sz w:val="22"/>
              </w:rPr>
              <w:t>Treatment (T)</w:t>
            </w:r>
          </w:p>
        </w:tc>
        <w:tc>
          <w:tcPr>
            <w:tcW w:w="4675" w:type="dxa"/>
            <w:hideMark/>
          </w:tcPr>
          <w:p w:rsidRPr="003F706D" w:rsidR="00F95EE2" w:rsidRDefault="00835757" w14:paraId="04734A61" w14:textId="63DB0DF5">
            <w:pPr>
              <w:jc w:val="center"/>
              <w:rPr>
                <w:b/>
                <w:bCs/>
                <w:color w:val="000000"/>
                <w:sz w:val="22"/>
              </w:rPr>
            </w:pPr>
            <w:r w:rsidRPr="003F706D">
              <w:rPr>
                <w:b/>
                <w:bCs/>
                <w:color w:val="000000"/>
                <w:sz w:val="22"/>
              </w:rPr>
              <w:t>Comparison (C)</w:t>
            </w:r>
          </w:p>
        </w:tc>
      </w:tr>
      <w:tr w:rsidRPr="00A33F57" w:rsidR="00F95EE2" w:rsidTr="00765781" w14:paraId="5FDF6243" w14:textId="77777777">
        <w:trPr>
          <w:cantSplit/>
          <w:trHeight w:val="438"/>
        </w:trPr>
        <w:tc>
          <w:tcPr>
            <w:tcW w:w="4675" w:type="dxa"/>
            <w:hideMark/>
          </w:tcPr>
          <w:p w:rsidRPr="00A33F57" w:rsidR="00F95EE2" w:rsidRDefault="00835757" w14:paraId="524716B4" w14:textId="4688CF6B">
            <w:pPr>
              <w:rPr>
                <w:b/>
                <w:bCs/>
                <w:color w:val="000000"/>
                <w:sz w:val="22"/>
              </w:rPr>
            </w:pPr>
            <w:r w:rsidRPr="00A33F57">
              <w:rPr>
                <w:sz w:val="22"/>
              </w:rPr>
              <w:t xml:space="preserve">Section A: Awareness </w:t>
            </w:r>
            <w:r>
              <w:rPr>
                <w:sz w:val="22"/>
              </w:rPr>
              <w:t>of</w:t>
            </w:r>
            <w:r w:rsidRPr="00A33F57">
              <w:rPr>
                <w:sz w:val="22"/>
              </w:rPr>
              <w:t xml:space="preserve"> </w:t>
            </w:r>
            <w:r>
              <w:rPr>
                <w:sz w:val="22"/>
              </w:rPr>
              <w:t>FDA</w:t>
            </w:r>
            <w:r w:rsidRPr="00A33F57">
              <w:rPr>
                <w:sz w:val="22"/>
              </w:rPr>
              <w:t xml:space="preserve"> Authority</w:t>
            </w:r>
          </w:p>
        </w:tc>
        <w:tc>
          <w:tcPr>
            <w:tcW w:w="4675" w:type="dxa"/>
            <w:hideMark/>
          </w:tcPr>
          <w:p w:rsidRPr="00A33F57" w:rsidR="00F95EE2" w:rsidRDefault="00835757" w14:paraId="0C3ECA31" w14:textId="120AF1CF">
            <w:pPr>
              <w:rPr>
                <w:b/>
                <w:bCs/>
                <w:color w:val="000000"/>
                <w:sz w:val="22"/>
              </w:rPr>
            </w:pPr>
            <w:r w:rsidRPr="00A33F57">
              <w:rPr>
                <w:sz w:val="22"/>
              </w:rPr>
              <w:t xml:space="preserve">Section A: Awareness </w:t>
            </w:r>
            <w:r>
              <w:rPr>
                <w:sz w:val="22"/>
              </w:rPr>
              <w:t>of</w:t>
            </w:r>
            <w:r w:rsidRPr="00A33F57">
              <w:rPr>
                <w:sz w:val="22"/>
              </w:rPr>
              <w:t xml:space="preserve"> </w:t>
            </w:r>
            <w:r>
              <w:rPr>
                <w:sz w:val="22"/>
              </w:rPr>
              <w:t>FDA</w:t>
            </w:r>
            <w:r w:rsidRPr="00A33F57">
              <w:rPr>
                <w:sz w:val="22"/>
              </w:rPr>
              <w:t xml:space="preserve"> Authority</w:t>
            </w:r>
          </w:p>
        </w:tc>
      </w:tr>
      <w:tr w:rsidRPr="00A33F57" w:rsidR="00F95EE2" w:rsidTr="00765781" w14:paraId="439CC82E" w14:textId="77777777">
        <w:trPr>
          <w:cantSplit/>
          <w:trHeight w:val="438"/>
        </w:trPr>
        <w:tc>
          <w:tcPr>
            <w:tcW w:w="4675" w:type="dxa"/>
            <w:hideMark/>
          </w:tcPr>
          <w:p w:rsidRPr="00A33F57" w:rsidR="00F95EE2" w:rsidRDefault="00835757" w14:paraId="17C9817A" w14:textId="4220CCB2">
            <w:pPr>
              <w:rPr>
                <w:b/>
                <w:bCs/>
                <w:color w:val="000000"/>
                <w:sz w:val="22"/>
              </w:rPr>
            </w:pPr>
            <w:r w:rsidRPr="00A33F57">
              <w:rPr>
                <w:sz w:val="22"/>
              </w:rPr>
              <w:t xml:space="preserve">Section B: </w:t>
            </w:r>
            <w:r>
              <w:rPr>
                <w:sz w:val="22"/>
              </w:rPr>
              <w:t>FDA</w:t>
            </w:r>
            <w:r w:rsidRPr="00A33F57">
              <w:rPr>
                <w:sz w:val="22"/>
              </w:rPr>
              <w:t xml:space="preserve"> Credibility</w:t>
            </w:r>
          </w:p>
        </w:tc>
        <w:tc>
          <w:tcPr>
            <w:tcW w:w="4675" w:type="dxa"/>
            <w:hideMark/>
          </w:tcPr>
          <w:p w:rsidRPr="00A33F57" w:rsidR="00F95EE2" w:rsidRDefault="00835757" w14:paraId="2878F6B2" w14:textId="2AF0153B">
            <w:pPr>
              <w:rPr>
                <w:b/>
                <w:bCs/>
                <w:color w:val="000000"/>
                <w:sz w:val="22"/>
              </w:rPr>
            </w:pPr>
            <w:r w:rsidRPr="00A33F57">
              <w:rPr>
                <w:sz w:val="22"/>
              </w:rPr>
              <w:t xml:space="preserve">Section B: </w:t>
            </w:r>
            <w:r>
              <w:rPr>
                <w:sz w:val="22"/>
              </w:rPr>
              <w:t>FDA</w:t>
            </w:r>
            <w:r w:rsidRPr="00A33F57">
              <w:rPr>
                <w:sz w:val="22"/>
              </w:rPr>
              <w:t xml:space="preserve"> Credibility</w:t>
            </w:r>
          </w:p>
        </w:tc>
      </w:tr>
      <w:tr w:rsidRPr="00A33F57" w:rsidR="00F95EE2" w:rsidTr="00765781" w14:paraId="3E670D8D" w14:textId="77777777">
        <w:trPr>
          <w:cantSplit/>
          <w:trHeight w:val="438"/>
        </w:trPr>
        <w:tc>
          <w:tcPr>
            <w:tcW w:w="4675" w:type="dxa"/>
            <w:hideMark/>
          </w:tcPr>
          <w:p w:rsidRPr="00A33F57" w:rsidR="00F95EE2" w:rsidRDefault="00835757" w14:paraId="70B86B6B" w14:textId="160A5747">
            <w:pPr>
              <w:rPr>
                <w:b/>
                <w:bCs/>
                <w:color w:val="000000"/>
                <w:sz w:val="22"/>
              </w:rPr>
            </w:pPr>
            <w:r w:rsidRPr="00A33F57">
              <w:rPr>
                <w:sz w:val="22"/>
              </w:rPr>
              <w:t>Section C: Current Tobacco Use</w:t>
            </w:r>
          </w:p>
        </w:tc>
        <w:tc>
          <w:tcPr>
            <w:tcW w:w="4675" w:type="dxa"/>
            <w:hideMark/>
          </w:tcPr>
          <w:p w:rsidRPr="00A33F57" w:rsidR="00F95EE2" w:rsidRDefault="00835757" w14:paraId="6DFDD87C" w14:textId="46392BAF">
            <w:pPr>
              <w:rPr>
                <w:b/>
                <w:bCs/>
                <w:color w:val="000000"/>
                <w:sz w:val="22"/>
              </w:rPr>
            </w:pPr>
            <w:r w:rsidRPr="00A33F57">
              <w:rPr>
                <w:sz w:val="22"/>
              </w:rPr>
              <w:t>Section C: Current Tobacco Use</w:t>
            </w:r>
          </w:p>
        </w:tc>
      </w:tr>
      <w:tr w:rsidRPr="00A33F57" w:rsidR="00F95EE2" w:rsidTr="00765781" w14:paraId="77C2288C" w14:textId="77777777">
        <w:trPr>
          <w:cantSplit/>
          <w:trHeight w:val="438"/>
        </w:trPr>
        <w:tc>
          <w:tcPr>
            <w:tcW w:w="4675" w:type="dxa"/>
            <w:hideMark/>
          </w:tcPr>
          <w:p w:rsidRPr="00A33F57" w:rsidR="00F95EE2" w:rsidRDefault="00835757" w14:paraId="127FA17C" w14:textId="1B86CAF0">
            <w:pPr>
              <w:rPr>
                <w:b/>
                <w:bCs/>
                <w:color w:val="000000"/>
                <w:sz w:val="22"/>
              </w:rPr>
            </w:pPr>
            <w:r w:rsidRPr="00A33F57">
              <w:rPr>
                <w:sz w:val="22"/>
              </w:rPr>
              <w:t xml:space="preserve">Section D: </w:t>
            </w:r>
            <w:r w:rsidR="00B27A71">
              <w:rPr>
                <w:sz w:val="22"/>
              </w:rPr>
              <w:t>HPHC</w:t>
            </w:r>
            <w:r w:rsidRPr="00A33F57">
              <w:rPr>
                <w:sz w:val="22"/>
              </w:rPr>
              <w:t xml:space="preserve"> Knowledge And Awareness</w:t>
            </w:r>
          </w:p>
        </w:tc>
        <w:tc>
          <w:tcPr>
            <w:tcW w:w="4675" w:type="dxa"/>
            <w:hideMark/>
          </w:tcPr>
          <w:p w:rsidRPr="00A33F57" w:rsidR="00F95EE2" w:rsidRDefault="00835757" w14:paraId="4562BB8F" w14:textId="5E1E11CC">
            <w:pPr>
              <w:rPr>
                <w:b/>
                <w:bCs/>
                <w:color w:val="000000"/>
                <w:sz w:val="22"/>
              </w:rPr>
            </w:pPr>
            <w:r w:rsidRPr="00A33F57">
              <w:rPr>
                <w:sz w:val="22"/>
              </w:rPr>
              <w:t xml:space="preserve">Section F: </w:t>
            </w:r>
            <w:r w:rsidR="00B27A71">
              <w:rPr>
                <w:sz w:val="22"/>
              </w:rPr>
              <w:t>HPHC</w:t>
            </w:r>
            <w:r w:rsidRPr="00A33F57">
              <w:rPr>
                <w:sz w:val="22"/>
              </w:rPr>
              <w:t xml:space="preserve"> Knowledge And Awareness</w:t>
            </w:r>
          </w:p>
        </w:tc>
      </w:tr>
      <w:tr w:rsidRPr="00A33F57" w:rsidR="00F95EE2" w:rsidTr="00765781" w14:paraId="15A09719" w14:textId="77777777">
        <w:trPr>
          <w:cantSplit/>
          <w:trHeight w:val="438"/>
        </w:trPr>
        <w:tc>
          <w:tcPr>
            <w:tcW w:w="4675" w:type="dxa"/>
            <w:hideMark/>
          </w:tcPr>
          <w:p w:rsidRPr="00A33F57" w:rsidR="00F95EE2" w:rsidRDefault="00835757" w14:paraId="6E9A8DA0" w14:textId="57AF56D8">
            <w:pPr>
              <w:rPr>
                <w:b/>
                <w:bCs/>
                <w:color w:val="000000"/>
                <w:sz w:val="22"/>
              </w:rPr>
            </w:pPr>
            <w:r w:rsidRPr="00A33F57">
              <w:rPr>
                <w:sz w:val="22"/>
              </w:rPr>
              <w:t>Section E: Demographics</w:t>
            </w:r>
          </w:p>
        </w:tc>
        <w:tc>
          <w:tcPr>
            <w:tcW w:w="4675" w:type="dxa"/>
            <w:hideMark/>
          </w:tcPr>
          <w:p w:rsidRPr="00A33F57" w:rsidR="00F95EE2" w:rsidRDefault="00835757" w14:paraId="3A381C40" w14:textId="2529CFF1">
            <w:pPr>
              <w:rPr>
                <w:b/>
                <w:bCs/>
                <w:color w:val="000000"/>
                <w:sz w:val="22"/>
              </w:rPr>
            </w:pPr>
            <w:r w:rsidRPr="00A33F57">
              <w:rPr>
                <w:sz w:val="22"/>
              </w:rPr>
              <w:t>Section E: Demographics</w:t>
            </w:r>
          </w:p>
        </w:tc>
      </w:tr>
      <w:tr w:rsidRPr="00A33F57" w:rsidR="00F95EE2" w:rsidTr="00765781" w14:paraId="432634D4" w14:textId="77777777">
        <w:trPr>
          <w:cantSplit/>
          <w:trHeight w:val="438"/>
        </w:trPr>
        <w:tc>
          <w:tcPr>
            <w:tcW w:w="4675" w:type="dxa"/>
            <w:hideMark/>
          </w:tcPr>
          <w:p w:rsidRPr="00A33F57" w:rsidR="00F95EE2" w:rsidRDefault="00835757" w14:paraId="4CD1575F" w14:textId="3CDA1424">
            <w:pPr>
              <w:rPr>
                <w:bCs/>
                <w:color w:val="000000"/>
                <w:sz w:val="22"/>
              </w:rPr>
            </w:pPr>
            <w:r w:rsidRPr="00A33F57">
              <w:rPr>
                <w:sz w:val="22"/>
              </w:rPr>
              <w:t>Section X: Stimuli Exposure</w:t>
            </w:r>
          </w:p>
        </w:tc>
        <w:tc>
          <w:tcPr>
            <w:tcW w:w="4675" w:type="dxa"/>
            <w:hideMark/>
          </w:tcPr>
          <w:p w:rsidRPr="00A33F57" w:rsidR="00F95EE2" w:rsidRDefault="00835757" w14:paraId="1611C7AF" w14:textId="56B52910">
            <w:pPr>
              <w:rPr>
                <w:b/>
                <w:bCs/>
                <w:color w:val="000000"/>
                <w:sz w:val="22"/>
              </w:rPr>
            </w:pPr>
            <w:r w:rsidRPr="00A33F57">
              <w:rPr>
                <w:sz w:val="22"/>
              </w:rPr>
              <w:t>Section G: Future Tobacco Behavior Intentions</w:t>
            </w:r>
          </w:p>
        </w:tc>
      </w:tr>
      <w:tr w:rsidRPr="00A33F57" w:rsidR="00F95EE2" w:rsidTr="00765781" w14:paraId="429C0323" w14:textId="77777777">
        <w:trPr>
          <w:cantSplit/>
          <w:trHeight w:val="438"/>
        </w:trPr>
        <w:tc>
          <w:tcPr>
            <w:tcW w:w="4675" w:type="dxa"/>
            <w:hideMark/>
          </w:tcPr>
          <w:p w:rsidRPr="00A33F57" w:rsidR="00F95EE2" w:rsidRDefault="00835757" w14:paraId="2BC581F5" w14:textId="20D34694">
            <w:pPr>
              <w:rPr>
                <w:b/>
                <w:bCs/>
                <w:color w:val="000000"/>
                <w:sz w:val="22"/>
              </w:rPr>
            </w:pPr>
            <w:r w:rsidRPr="00A33F57">
              <w:rPr>
                <w:sz w:val="22"/>
              </w:rPr>
              <w:t>Section F: Attitudes About Product Standard</w:t>
            </w:r>
          </w:p>
        </w:tc>
        <w:tc>
          <w:tcPr>
            <w:tcW w:w="4675" w:type="dxa"/>
            <w:hideMark/>
          </w:tcPr>
          <w:p w:rsidRPr="00A33F57" w:rsidR="00F95EE2" w:rsidRDefault="00835757" w14:paraId="53175EC8" w14:textId="224FA5D0">
            <w:pPr>
              <w:rPr>
                <w:b/>
                <w:bCs/>
                <w:color w:val="000000"/>
                <w:sz w:val="22"/>
              </w:rPr>
            </w:pPr>
            <w:r w:rsidRPr="00A33F57">
              <w:rPr>
                <w:sz w:val="22"/>
              </w:rPr>
              <w:t>Section H: Product Harm Perceptions</w:t>
            </w:r>
          </w:p>
        </w:tc>
      </w:tr>
      <w:tr w:rsidRPr="00A33F57" w:rsidR="00F95EE2" w:rsidTr="00765781" w14:paraId="165DCAF4" w14:textId="77777777">
        <w:trPr>
          <w:cantSplit/>
          <w:trHeight w:val="438"/>
        </w:trPr>
        <w:tc>
          <w:tcPr>
            <w:tcW w:w="4675" w:type="dxa"/>
            <w:hideMark/>
          </w:tcPr>
          <w:p w:rsidRPr="00A33F57" w:rsidR="00F95EE2" w:rsidRDefault="00835757" w14:paraId="76311F71" w14:textId="58F878B2">
            <w:pPr>
              <w:rPr>
                <w:b/>
                <w:bCs/>
                <w:color w:val="000000"/>
                <w:sz w:val="22"/>
              </w:rPr>
            </w:pPr>
            <w:r w:rsidRPr="00A33F57">
              <w:rPr>
                <w:sz w:val="22"/>
              </w:rPr>
              <w:t>Section G: Future Tobacco Behavior Intentions</w:t>
            </w:r>
          </w:p>
        </w:tc>
        <w:tc>
          <w:tcPr>
            <w:tcW w:w="4675" w:type="dxa"/>
            <w:hideMark/>
          </w:tcPr>
          <w:p w:rsidRPr="00A33F57" w:rsidR="00F95EE2" w:rsidRDefault="00835757" w14:paraId="55902810" w14:textId="52788520">
            <w:pPr>
              <w:rPr>
                <w:b/>
                <w:bCs/>
                <w:color w:val="000000"/>
                <w:sz w:val="22"/>
              </w:rPr>
            </w:pPr>
            <w:r w:rsidRPr="00A33F57">
              <w:rPr>
                <w:sz w:val="22"/>
              </w:rPr>
              <w:t xml:space="preserve">Section J: </w:t>
            </w:r>
            <w:r w:rsidR="00B27A71">
              <w:rPr>
                <w:sz w:val="22"/>
              </w:rPr>
              <w:t>HPHC</w:t>
            </w:r>
            <w:r w:rsidRPr="00A33F57">
              <w:rPr>
                <w:sz w:val="22"/>
              </w:rPr>
              <w:t xml:space="preserve"> Harm Perceptions</w:t>
            </w:r>
          </w:p>
        </w:tc>
      </w:tr>
      <w:tr w:rsidRPr="00A33F57" w:rsidR="00F95EE2" w:rsidTr="00765781" w14:paraId="7DBF62C8" w14:textId="77777777">
        <w:trPr>
          <w:cantSplit/>
          <w:trHeight w:val="438"/>
        </w:trPr>
        <w:tc>
          <w:tcPr>
            <w:tcW w:w="4675" w:type="dxa"/>
            <w:hideMark/>
          </w:tcPr>
          <w:p w:rsidRPr="00A33F57" w:rsidR="00F95EE2" w:rsidRDefault="00835757" w14:paraId="273F9DA7" w14:textId="75D5F6E2">
            <w:pPr>
              <w:rPr>
                <w:b/>
                <w:bCs/>
                <w:color w:val="000000"/>
                <w:sz w:val="22"/>
              </w:rPr>
            </w:pPr>
            <w:r w:rsidRPr="00A33F57">
              <w:rPr>
                <w:sz w:val="22"/>
              </w:rPr>
              <w:t>Section H: Product Harm Perceptions</w:t>
            </w:r>
          </w:p>
        </w:tc>
        <w:tc>
          <w:tcPr>
            <w:tcW w:w="4675" w:type="dxa"/>
            <w:hideMark/>
          </w:tcPr>
          <w:p w:rsidRPr="00A33F57" w:rsidR="00F95EE2" w:rsidRDefault="00835757" w14:paraId="4E8FCD2F" w14:textId="72E66E27">
            <w:pPr>
              <w:rPr>
                <w:bCs/>
                <w:color w:val="000000"/>
                <w:sz w:val="22"/>
              </w:rPr>
            </w:pPr>
            <w:r w:rsidRPr="00A33F57">
              <w:rPr>
                <w:sz w:val="22"/>
              </w:rPr>
              <w:t>Section X: Stimuli Exposure</w:t>
            </w:r>
          </w:p>
        </w:tc>
      </w:tr>
      <w:tr w:rsidRPr="00A33F57" w:rsidR="00F95EE2" w:rsidTr="00765781" w14:paraId="028A1E3A" w14:textId="77777777">
        <w:trPr>
          <w:cantSplit/>
          <w:trHeight w:val="438"/>
        </w:trPr>
        <w:tc>
          <w:tcPr>
            <w:tcW w:w="4675" w:type="dxa"/>
            <w:hideMark/>
          </w:tcPr>
          <w:p w:rsidRPr="00A33F57" w:rsidR="00F95EE2" w:rsidRDefault="00835757" w14:paraId="323D8346" w14:textId="5E8BDBAB">
            <w:pPr>
              <w:rPr>
                <w:b/>
                <w:bCs/>
                <w:color w:val="000000"/>
                <w:sz w:val="22"/>
              </w:rPr>
            </w:pPr>
            <w:r w:rsidRPr="00A33F57">
              <w:rPr>
                <w:sz w:val="22"/>
              </w:rPr>
              <w:t xml:space="preserve">Section J: </w:t>
            </w:r>
            <w:r w:rsidR="00B27A71">
              <w:rPr>
                <w:sz w:val="22"/>
              </w:rPr>
              <w:t>HPHC</w:t>
            </w:r>
            <w:r w:rsidRPr="00A33F57">
              <w:rPr>
                <w:sz w:val="22"/>
              </w:rPr>
              <w:t xml:space="preserve"> Harm Perceptions</w:t>
            </w:r>
          </w:p>
        </w:tc>
        <w:tc>
          <w:tcPr>
            <w:tcW w:w="4675" w:type="dxa"/>
            <w:hideMark/>
          </w:tcPr>
          <w:p w:rsidRPr="00A33F57" w:rsidR="00F95EE2" w:rsidRDefault="00835757" w14:paraId="7CE1EE91" w14:textId="41E6EB92">
            <w:pPr>
              <w:rPr>
                <w:b/>
                <w:bCs/>
                <w:color w:val="000000"/>
                <w:sz w:val="22"/>
              </w:rPr>
            </w:pPr>
            <w:r w:rsidRPr="00A33F57">
              <w:rPr>
                <w:sz w:val="22"/>
              </w:rPr>
              <w:t>Section F: Attitudes About Product Standard</w:t>
            </w:r>
          </w:p>
        </w:tc>
      </w:tr>
    </w:tbl>
    <w:p w:rsidRPr="00424813" w:rsidR="003E555B" w:rsidP="000A337C" w:rsidRDefault="003E555B" w14:paraId="34937226" w14:textId="77777777">
      <w:pPr>
        <w:pStyle w:val="Heading2"/>
      </w:pPr>
      <w:bookmarkStart w:name="_Toc88033467" w:id="24"/>
      <w:bookmarkStart w:name="_Toc88277952" w:id="25"/>
      <w:bookmarkStart w:name="_Toc33529711" w:id="26"/>
      <w:bookmarkEnd w:id="20"/>
      <w:bookmarkEnd w:id="21"/>
      <w:r w:rsidRPr="00424813">
        <w:lastRenderedPageBreak/>
        <w:t>A.3</w:t>
      </w:r>
      <w:r w:rsidRPr="00424813">
        <w:tab/>
      </w:r>
      <w:bookmarkEnd w:id="24"/>
      <w:r w:rsidRPr="00424813">
        <w:t>Use of Improved Information Technology and Burden Reduction</w:t>
      </w:r>
      <w:bookmarkEnd w:id="25"/>
      <w:bookmarkEnd w:id="26"/>
    </w:p>
    <w:p w:rsidRPr="00424813" w:rsidR="003E555B" w:rsidP="00A73FDC" w:rsidRDefault="003E555B" w14:paraId="178EF7E5" w14:textId="3CF6D4CA">
      <w:pPr>
        <w:pStyle w:val="bodytextpsg"/>
      </w:pPr>
      <w:r w:rsidRPr="00424813">
        <w:t xml:space="preserve">The </w:t>
      </w:r>
      <w:r w:rsidRPr="00424813" w:rsidR="000D6ECF">
        <w:t>p</w:t>
      </w:r>
      <w:r w:rsidRPr="00424813">
        <w:t xml:space="preserve">anel instruments, including the field screener, enrollment survey, baseline survey, and experimental and observation study instruments, </w:t>
      </w:r>
      <w:r w:rsidRPr="00424813" w:rsidR="00A140B2">
        <w:t>are</w:t>
      </w:r>
      <w:r w:rsidRPr="00424813">
        <w:t xml:space="preserve"> programmed for computer-assisted data collection.</w:t>
      </w:r>
      <w:r w:rsidRPr="00424813" w:rsidR="000A337C">
        <w:t xml:space="preserve"> </w:t>
      </w:r>
      <w:r w:rsidRPr="00424813">
        <w:t>Computer-assisted interviewing (CAI) technology affords well-known improvements and efficiencies in the collection of survey data.</w:t>
      </w:r>
      <w:r w:rsidRPr="00424813" w:rsidR="000A337C">
        <w:t xml:space="preserve"> </w:t>
      </w:r>
      <w:r w:rsidRPr="00424813">
        <w:t xml:space="preserve">The technology permits more complex routings compared to a paper-and-pencil </w:t>
      </w:r>
      <w:r w:rsidRPr="00424813" w:rsidR="00DC198F">
        <w:t>mode of data collection</w:t>
      </w:r>
      <w:r w:rsidRPr="00424813">
        <w:t>. It allows for on-screen cueing of respondents, delivery of media images, and consistency checks during self-administration or by the field interviewer, and produces quality backend data that saves costs associated with data-cleaning and data analysis.</w:t>
      </w:r>
    </w:p>
    <w:p w:rsidRPr="00424813" w:rsidR="003E555B" w:rsidP="00A73FDC" w:rsidRDefault="003E555B" w14:paraId="62C8C8BB" w14:textId="655E79DF">
      <w:pPr>
        <w:pStyle w:val="bodytextpsg"/>
      </w:pPr>
      <w:r w:rsidRPr="00424813">
        <w:t>The contractor use</w:t>
      </w:r>
      <w:r w:rsidRPr="00424813" w:rsidR="008332AF">
        <w:t>s</w:t>
      </w:r>
      <w:r w:rsidRPr="00424813">
        <w:t xml:space="preserve"> its mobile field system (via </w:t>
      </w:r>
      <w:r w:rsidRPr="00424813" w:rsidR="00616ADF">
        <w:t xml:space="preserve">interviewer </w:t>
      </w:r>
      <w:r w:rsidRPr="00424813">
        <w:t>tablet computer</w:t>
      </w:r>
      <w:r w:rsidRPr="00424813" w:rsidR="00616ADF">
        <w:t>s</w:t>
      </w:r>
      <w:r w:rsidRPr="00424813">
        <w:t xml:space="preserve">) to conduct all counting and listing and field screening operations. This includes identification of dwelling units that were not part of the sampling frame using Check for Housing Units Missed (CHUM) protocols. The mobile field system </w:t>
      </w:r>
      <w:r w:rsidRPr="00424813" w:rsidR="008332AF">
        <w:t xml:space="preserve">is </w:t>
      </w:r>
      <w:r w:rsidRPr="00424813">
        <w:t xml:space="preserve">also used for the administration of the enrollment survey and interviewer observation survey that </w:t>
      </w:r>
      <w:r w:rsidRPr="00424813" w:rsidR="00D9114E">
        <w:t>are</w:t>
      </w:r>
      <w:r w:rsidRPr="00424813">
        <w:t xml:space="preserve"> deployed on the interviewer’s tablet computer. This system enables the ready creation of instruments for deployment and the easy output of codebooks and data at the backend. Use of mobile technology enhance</w:t>
      </w:r>
      <w:r w:rsidRPr="00424813" w:rsidR="008332AF">
        <w:t>s</w:t>
      </w:r>
      <w:r w:rsidRPr="00424813">
        <w:t xml:space="preserve"> the quality of data, for example allowing behind-the-scenes GPS capture to verify sampled addresses, while improving the efficiency of the doorstep screening operation.</w:t>
      </w:r>
      <w:r w:rsidRPr="00424813" w:rsidR="000A337C">
        <w:t xml:space="preserve"> </w:t>
      </w:r>
      <w:r w:rsidRPr="00424813">
        <w:t xml:space="preserve">Survey data on the tablet </w:t>
      </w:r>
      <w:r w:rsidRPr="00424813" w:rsidR="00354177">
        <w:t>are</w:t>
      </w:r>
      <w:r w:rsidRPr="00424813">
        <w:t xml:space="preserve"> encrypted and both the tablet and the mobile field system </w:t>
      </w:r>
      <w:r w:rsidRPr="00424813" w:rsidR="00354177">
        <w:t>are</w:t>
      </w:r>
      <w:r w:rsidRPr="00424813">
        <w:t xml:space="preserve"> password protected.</w:t>
      </w:r>
      <w:r w:rsidRPr="00424813" w:rsidR="000A337C">
        <w:t xml:space="preserve"> </w:t>
      </w:r>
      <w:r w:rsidRPr="00424813">
        <w:t>An integrated field management system support</w:t>
      </w:r>
      <w:r w:rsidRPr="00424813" w:rsidR="008332AF">
        <w:t>s</w:t>
      </w:r>
      <w:r w:rsidRPr="00424813">
        <w:t xml:space="preserve"> field staff data transmissions, time reporting, and assignment of cases.</w:t>
      </w:r>
    </w:p>
    <w:p w:rsidRPr="00424813" w:rsidR="003E555B" w:rsidP="00A73FDC" w:rsidRDefault="003E555B" w14:paraId="4BC9A525" w14:textId="1547A891">
      <w:pPr>
        <w:pStyle w:val="bodytextpsg"/>
      </w:pPr>
      <w:r w:rsidRPr="00424813">
        <w:t xml:space="preserve">The contractor’s </w:t>
      </w:r>
      <w:r w:rsidRPr="00424813">
        <w:rPr>
          <w:i/>
        </w:rPr>
        <w:t>Hatteras</w:t>
      </w:r>
      <w:r w:rsidRPr="00424813">
        <w:t xml:space="preserve"> </w:t>
      </w:r>
      <w:r w:rsidRPr="00424813" w:rsidR="004D6AB7">
        <w:t>Web</w:t>
      </w:r>
      <w:r w:rsidRPr="00424813">
        <w:t xml:space="preserve"> authoring system </w:t>
      </w:r>
      <w:r w:rsidRPr="00424813" w:rsidR="00944C75">
        <w:t>is</w:t>
      </w:r>
      <w:r w:rsidRPr="00424813">
        <w:t xml:space="preserve"> used for the panel member’s baseline and Study </w:t>
      </w:r>
      <w:r w:rsidRPr="00424813" w:rsidR="00DA59C8">
        <w:t>A</w:t>
      </w:r>
      <w:r w:rsidRPr="00424813">
        <w:t xml:space="preserve"> instruments. Like the mobile field system, the </w:t>
      </w:r>
      <w:r w:rsidRPr="00424813">
        <w:rPr>
          <w:i/>
          <w:iCs/>
        </w:rPr>
        <w:t>Hatteras</w:t>
      </w:r>
      <w:r w:rsidRPr="00424813">
        <w:t xml:space="preserve"> survey engine support</w:t>
      </w:r>
      <w:r w:rsidRPr="00424813" w:rsidR="00D53AA3">
        <w:t>s</w:t>
      </w:r>
      <w:r w:rsidRPr="00424813">
        <w:t xml:space="preserve"> all aspects of survey deployment, data output, and codebook generation. A </w:t>
      </w:r>
      <w:r w:rsidRPr="00424813">
        <w:rPr>
          <w:i/>
          <w:iCs/>
        </w:rPr>
        <w:t>Hatteras</w:t>
      </w:r>
      <w:r w:rsidRPr="00424813">
        <w:t xml:space="preserve"> </w:t>
      </w:r>
      <w:r w:rsidRPr="00424813" w:rsidR="004D6AB7">
        <w:t>Web</w:t>
      </w:r>
      <w:r w:rsidRPr="00424813">
        <w:t xml:space="preserve"> page can display a wide array of fonts, colors, and images, including videos with superior resolution</w:t>
      </w:r>
      <w:r w:rsidRPr="00424813" w:rsidR="00522DE8">
        <w:t>.</w:t>
      </w:r>
      <w:r w:rsidRPr="00424813">
        <w:t xml:space="preserve"> Use of both systems reduces user burden and creates efficiencies, both for project staff and panel members. </w:t>
      </w:r>
      <w:r w:rsidRPr="00424813">
        <w:rPr>
          <w:i/>
        </w:rPr>
        <w:t>Hatteras</w:t>
      </w:r>
      <w:r w:rsidRPr="00424813">
        <w:t xml:space="preserve"> </w:t>
      </w:r>
      <w:r w:rsidRPr="00424813" w:rsidR="00D53AA3">
        <w:t xml:space="preserve">is </w:t>
      </w:r>
      <w:r w:rsidRPr="00424813">
        <w:t>also used to support the collection of panel member survey data in alternative modes, including entry of completed mail questionnaires</w:t>
      </w:r>
      <w:r w:rsidRPr="00424813" w:rsidR="00720D75">
        <w:t xml:space="preserve">. Additionally, any </w:t>
      </w:r>
      <w:r w:rsidRPr="00424813">
        <w:t xml:space="preserve">in-person </w:t>
      </w:r>
      <w:r w:rsidRPr="00424813" w:rsidR="006F04E0">
        <w:t xml:space="preserve">or telephone </w:t>
      </w:r>
      <w:r w:rsidRPr="00424813">
        <w:t>data collection</w:t>
      </w:r>
      <w:r w:rsidRPr="00424813" w:rsidR="006E698F">
        <w:t xml:space="preserve"> </w:t>
      </w:r>
      <w:r w:rsidRPr="00424813">
        <w:t>undertaken as part of</w:t>
      </w:r>
      <w:r w:rsidRPr="00424813" w:rsidR="000A337C">
        <w:t xml:space="preserve"> </w:t>
      </w:r>
      <w:r w:rsidRPr="00424813">
        <w:t xml:space="preserve">nonresponse follow-up efforts for </w:t>
      </w:r>
      <w:r w:rsidRPr="00424813" w:rsidR="00720D75">
        <w:t xml:space="preserve">Study </w:t>
      </w:r>
      <w:r w:rsidRPr="00424813" w:rsidR="00073CC0">
        <w:t>A</w:t>
      </w:r>
      <w:r w:rsidRPr="00424813" w:rsidR="00720D75">
        <w:t xml:space="preserve"> or </w:t>
      </w:r>
      <w:r w:rsidRPr="00424813">
        <w:lastRenderedPageBreak/>
        <w:t xml:space="preserve">subsequent </w:t>
      </w:r>
      <w:r w:rsidRPr="00424813" w:rsidR="005E5E2A">
        <w:t>experimental and observational</w:t>
      </w:r>
      <w:r w:rsidRPr="00424813">
        <w:t xml:space="preserve"> studies can also be supported by the mobile field system and/or </w:t>
      </w:r>
      <w:r w:rsidRPr="00424813">
        <w:rPr>
          <w:i/>
        </w:rPr>
        <w:t>Hatteras</w:t>
      </w:r>
      <w:r w:rsidRPr="00424813">
        <w:t>.</w:t>
      </w:r>
    </w:p>
    <w:p w:rsidRPr="00424813" w:rsidR="003E555B" w:rsidP="00A73FDC" w:rsidRDefault="003E555B" w14:paraId="11D155E9" w14:textId="14B7E5B0">
      <w:pPr>
        <w:pStyle w:val="bodytextpsg"/>
      </w:pPr>
      <w:r w:rsidRPr="00424813">
        <w:t xml:space="preserve">Access to the panel member Web surveys </w:t>
      </w:r>
      <w:r w:rsidRPr="00424813" w:rsidR="00944C75">
        <w:t>is</w:t>
      </w:r>
      <w:r w:rsidRPr="00424813">
        <w:t xml:space="preserve"> controlled through a project </w:t>
      </w:r>
      <w:r w:rsidRPr="00424813" w:rsidR="004D6AB7">
        <w:t>Web</w:t>
      </w:r>
      <w:r w:rsidRPr="00424813">
        <w:t xml:space="preserve"> portal hosted by the contractor.</w:t>
      </w:r>
      <w:r w:rsidRPr="00424813" w:rsidR="000A337C">
        <w:t xml:space="preserve"> </w:t>
      </w:r>
      <w:r w:rsidRPr="00424813">
        <w:t xml:space="preserve">A two-tiered security approach </w:t>
      </w:r>
      <w:r w:rsidRPr="00424813" w:rsidR="00944C75">
        <w:t>is</w:t>
      </w:r>
      <w:r w:rsidRPr="00424813">
        <w:t xml:space="preserve"> used for accessing the surveys and transmitting the data. An ID and password </w:t>
      </w:r>
      <w:r w:rsidRPr="00424813" w:rsidR="00944C75">
        <w:t>is</w:t>
      </w:r>
      <w:r w:rsidRPr="00424813">
        <w:t xml:space="preserve"> required for a panel member to enter a </w:t>
      </w:r>
      <w:r w:rsidRPr="00424813" w:rsidR="004D6AB7">
        <w:t>Web</w:t>
      </w:r>
      <w:r w:rsidRPr="00424813">
        <w:t xml:space="preserve"> survey; Secure Socket Layer (SSL) certification ensure</w:t>
      </w:r>
      <w:r w:rsidRPr="00424813" w:rsidR="008332AF">
        <w:t>s</w:t>
      </w:r>
      <w:r w:rsidRPr="00424813">
        <w:t xml:space="preserve"> that only encrypted data flow over the Internet. </w:t>
      </w:r>
    </w:p>
    <w:p w:rsidRPr="00424813" w:rsidR="003E555B" w:rsidP="00A73FDC" w:rsidRDefault="003E555B" w14:paraId="26D97A7A" w14:textId="66B34856">
      <w:pPr>
        <w:pStyle w:val="bodytextpsg"/>
      </w:pPr>
      <w:r w:rsidRPr="00424813">
        <w:t xml:space="preserve">A control system </w:t>
      </w:r>
      <w:r w:rsidRPr="00424813" w:rsidR="00944C75">
        <w:t>is</w:t>
      </w:r>
      <w:r w:rsidRPr="00424813">
        <w:t xml:space="preserve"> the central component of all the activities that take place with the </w:t>
      </w:r>
      <w:r w:rsidRPr="00424813" w:rsidR="000D6ECF">
        <w:t>p</w:t>
      </w:r>
      <w:r w:rsidRPr="00424813">
        <w:t>anel.</w:t>
      </w:r>
      <w:r w:rsidRPr="00424813" w:rsidR="000A337C">
        <w:t xml:space="preserve"> </w:t>
      </w:r>
      <w:r w:rsidRPr="00424813">
        <w:t>Data maintained in the control system database provide</w:t>
      </w:r>
      <w:r w:rsidRPr="00424813" w:rsidR="00D53AA3">
        <w:t>s</w:t>
      </w:r>
      <w:r w:rsidRPr="00424813">
        <w:t xml:space="preserve"> a record of the panel operations, including sampling, screening and recruiting, data collection, panel member communications (mailings, e-mailings, text messaging, automated telephone prompting), panel member tracing, fulfillment operations (incentive and questionnaire mailings, mail survey receipt and data entry), helpdesk operations, and data processing.</w:t>
      </w:r>
      <w:r w:rsidRPr="00424813" w:rsidR="000A337C">
        <w:t xml:space="preserve"> </w:t>
      </w:r>
      <w:r w:rsidRPr="00424813">
        <w:t>This centralized repository of information creates efficiencies in the generation of reports on sample disposition, data quality monitoring and the flow of information between the contractor, self-administered interviews, and field operations.</w:t>
      </w:r>
    </w:p>
    <w:p w:rsidRPr="00424813" w:rsidR="003E555B" w:rsidP="000A337C" w:rsidRDefault="003E555B" w14:paraId="003C61F5" w14:textId="77777777">
      <w:pPr>
        <w:pStyle w:val="Heading2"/>
      </w:pPr>
      <w:bookmarkStart w:name="_Toc88033468" w:id="27"/>
      <w:bookmarkStart w:name="_Toc88277953" w:id="28"/>
      <w:bookmarkStart w:name="_Toc33529712" w:id="29"/>
      <w:r w:rsidRPr="00424813">
        <w:t>A.4</w:t>
      </w:r>
      <w:r w:rsidRPr="00424813">
        <w:tab/>
      </w:r>
      <w:bookmarkEnd w:id="27"/>
      <w:r w:rsidRPr="00424813">
        <w:t>Efforts to Identify Duplication and Use of Similar Information</w:t>
      </w:r>
      <w:bookmarkEnd w:id="28"/>
      <w:bookmarkEnd w:id="29"/>
    </w:p>
    <w:p w:rsidRPr="00424813" w:rsidR="003E555B" w:rsidP="00A73FDC" w:rsidRDefault="00DE6E8F" w14:paraId="71CE82A2" w14:textId="77777777">
      <w:pPr>
        <w:pStyle w:val="bodytextpsg"/>
      </w:pPr>
      <w:r w:rsidRPr="00424813">
        <w:t>T</w:t>
      </w:r>
      <w:r w:rsidRPr="00424813" w:rsidR="003E555B">
        <w:t xml:space="preserve">hree commercial </w:t>
      </w:r>
      <w:r w:rsidRPr="00424813" w:rsidR="00BA657E">
        <w:t>W</w:t>
      </w:r>
      <w:r w:rsidRPr="00424813" w:rsidR="003E555B">
        <w:t xml:space="preserve">eb-based panels include smokers, but none of these panels meet the rigorous requirements needed </w:t>
      </w:r>
      <w:r w:rsidRPr="00424813" w:rsidR="00C27836">
        <w:t>to inform FDA’s regulatory authority over tobacco products</w:t>
      </w:r>
      <w:r w:rsidRPr="00424813" w:rsidR="003E555B">
        <w:t>. For example, Harris Interactive includes smokers, but there is limited participation by disadvantaged populations that may be of interest to FDA.</w:t>
      </w:r>
      <w:r w:rsidRPr="00424813" w:rsidR="000A337C">
        <w:t xml:space="preserve"> </w:t>
      </w:r>
      <w:r w:rsidRPr="00424813" w:rsidR="003E555B">
        <w:t xml:space="preserve">Many tobacco control investigators use the </w:t>
      </w:r>
      <w:r w:rsidRPr="00424813" w:rsidR="0043267E">
        <w:t>G</w:t>
      </w:r>
      <w:r w:rsidRPr="00424813" w:rsidR="003E555B">
        <w:t>f</w:t>
      </w:r>
      <w:r w:rsidRPr="00424813" w:rsidR="0043267E">
        <w:t>K</w:t>
      </w:r>
      <w:r w:rsidRPr="00424813" w:rsidR="003E555B">
        <w:t xml:space="preserve"> Knowledge Networks panel for survey research, as it is built from an address-based sample and includes many difficult to reach populations such as young adults, cell-phone only households, and ethnic/racial minorities. However, there are significant concerns that the smokers in this panel may be biased by conditioning effects because they participate in a relatively high number of tobacco-related studies.</w:t>
      </w:r>
      <w:r w:rsidRPr="00424813" w:rsidR="000A337C">
        <w:t xml:space="preserve"> </w:t>
      </w:r>
      <w:r w:rsidRPr="00424813" w:rsidR="003E555B">
        <w:t>These effects may be particularly pronounced among the small number of disadvantaged populations due to the gap in smoking-related information about them which places them in high demand for surveys.</w:t>
      </w:r>
      <w:r w:rsidRPr="00424813" w:rsidR="000A337C">
        <w:t xml:space="preserve"> </w:t>
      </w:r>
      <w:r w:rsidRPr="00424813" w:rsidR="003E555B">
        <w:t xml:space="preserve">Of particulate note, however, is that in our own experience we have found that these commercial panels cannot easily recruit the number of cigar smokers or smokeless tobacco users that the planned studies may require. </w:t>
      </w:r>
    </w:p>
    <w:p w:rsidRPr="00424813" w:rsidR="00D90DA1" w:rsidP="00D90DA1" w:rsidRDefault="00D90DA1" w14:paraId="1A767584" w14:textId="77777777">
      <w:pPr>
        <w:pStyle w:val="bodytextpsg"/>
      </w:pPr>
      <w:r w:rsidRPr="00424813">
        <w:lastRenderedPageBreak/>
        <w:t>Existing longitudinal surveillance studies of tobacco users, such as FDA’s Population Assessment of Tobacco and Health (PATH), are not appropriate for the planned experimental or observational studies. PATH is intended to understand the natural history of tobacco use uptake, cessation, and relapse and associated health consequence without conducting experiments that may influence their behavior. Therefore, subjecting PATH participants to experiments may influence their behavior and then the PATH study would not be able to claim that it is a representative picture of tobacco use and health for the U.S.</w:t>
      </w:r>
    </w:p>
    <w:p w:rsidRPr="00424813" w:rsidR="003E555B" w:rsidP="00A73FDC" w:rsidRDefault="003E555B" w14:paraId="4D871BC0" w14:textId="4B37494A">
      <w:pPr>
        <w:pStyle w:val="bodytextpsg"/>
      </w:pPr>
      <w:r w:rsidRPr="00424813">
        <w:t xml:space="preserve">The survey items in the </w:t>
      </w:r>
      <w:r w:rsidRPr="00424813" w:rsidR="000D6ECF">
        <w:t>p</w:t>
      </w:r>
      <w:r w:rsidRPr="00424813">
        <w:t>anel instruments are standard measures used to characterize participant demographics, smoking status, and level of addiction to tobacco products. These items are included in many national surveillance systems to monitor trends in tobacco use.</w:t>
      </w:r>
      <w:r w:rsidRPr="00424813" w:rsidR="000A337C">
        <w:t xml:space="preserve"> </w:t>
      </w:r>
      <w:r w:rsidRPr="00424813">
        <w:t>However, their inclusion in the panel questionnaires is nonduplicative of these surveys; rather, they are included to identify tobacco users to be recruited to the panel and to measure potential covariates that may be needed to account for nonresponse in future studies.</w:t>
      </w:r>
      <w:r w:rsidRPr="00424813" w:rsidR="000A337C">
        <w:t xml:space="preserve"> </w:t>
      </w:r>
    </w:p>
    <w:p w:rsidRPr="00424813" w:rsidR="003E555B" w:rsidP="00A73FDC" w:rsidRDefault="003E555B" w14:paraId="53406393" w14:textId="77777777">
      <w:pPr>
        <w:pStyle w:val="Heading2"/>
      </w:pPr>
      <w:bookmarkStart w:name="_Toc88033469" w:id="30"/>
      <w:bookmarkStart w:name="_Toc88277954" w:id="31"/>
      <w:bookmarkStart w:name="_Toc33529713" w:id="32"/>
      <w:r w:rsidRPr="00424813">
        <w:t>A.5</w:t>
      </w:r>
      <w:r w:rsidRPr="00424813">
        <w:tab/>
      </w:r>
      <w:bookmarkEnd w:id="30"/>
      <w:r w:rsidRPr="00424813">
        <w:t>Impact on Small Businesses or Other Small Entities</w:t>
      </w:r>
      <w:bookmarkEnd w:id="31"/>
      <w:bookmarkEnd w:id="32"/>
    </w:p>
    <w:p w:rsidRPr="00424813" w:rsidR="003E555B" w:rsidP="00A73FDC" w:rsidRDefault="0052050F" w14:paraId="6838DB89" w14:textId="1C20B377">
      <w:pPr>
        <w:pStyle w:val="bodytextpsg"/>
      </w:pPr>
      <w:r w:rsidRPr="00424813">
        <w:t xml:space="preserve">There is no impact on small business or other entities. </w:t>
      </w:r>
      <w:r w:rsidRPr="00424813" w:rsidR="003E555B">
        <w:t xml:space="preserve">No small businesses </w:t>
      </w:r>
      <w:r w:rsidRPr="00424813" w:rsidR="00944C75">
        <w:t>are</w:t>
      </w:r>
      <w:r w:rsidRPr="00424813" w:rsidR="003E555B">
        <w:t xml:space="preserve"> involved in this study.</w:t>
      </w:r>
    </w:p>
    <w:p w:rsidRPr="00424813" w:rsidR="003E555B" w:rsidP="00A73FDC" w:rsidRDefault="003E555B" w14:paraId="684B0E81" w14:textId="77777777">
      <w:pPr>
        <w:pStyle w:val="Heading2"/>
      </w:pPr>
      <w:bookmarkStart w:name="_Toc88033470" w:id="33"/>
      <w:bookmarkStart w:name="_Toc88277955" w:id="34"/>
      <w:bookmarkStart w:name="_Toc33529714" w:id="35"/>
      <w:r w:rsidRPr="00424813">
        <w:t>A.6</w:t>
      </w:r>
      <w:r w:rsidRPr="00424813">
        <w:tab/>
      </w:r>
      <w:bookmarkEnd w:id="33"/>
      <w:r w:rsidRPr="00424813">
        <w:t>Consequences of Collecting the Information Less Frequently</w:t>
      </w:r>
      <w:bookmarkEnd w:id="34"/>
      <w:bookmarkEnd w:id="35"/>
    </w:p>
    <w:p w:rsidRPr="00424813" w:rsidR="003E555B" w:rsidP="00A73FDC" w:rsidRDefault="003E555B" w14:paraId="22784EBF" w14:textId="791A6F41">
      <w:pPr>
        <w:pStyle w:val="bodytextpsg"/>
      </w:pPr>
      <w:r w:rsidRPr="00424813">
        <w:t xml:space="preserve">By design, the </w:t>
      </w:r>
      <w:r w:rsidRPr="00424813" w:rsidR="000D6ECF">
        <w:t>p</w:t>
      </w:r>
      <w:r w:rsidRPr="00424813">
        <w:t xml:space="preserve">anel </w:t>
      </w:r>
      <w:r w:rsidRPr="00424813" w:rsidR="00476C37">
        <w:t>has been</w:t>
      </w:r>
      <w:r w:rsidRPr="00424813">
        <w:t xml:space="preserve"> established to support up to 8 experimental and observational studies of adult tobacco users over a 3-year period to </w:t>
      </w:r>
      <w:r w:rsidRPr="00424813" w:rsidR="00C27836">
        <w:t>assess consumers’ responses to tobacco marketing, warning statements, product labels, and other communications about tobacco products.</w:t>
      </w:r>
      <w:r w:rsidRPr="00424813">
        <w:t xml:space="preserve"> Given the length of commitment, it </w:t>
      </w:r>
      <w:r w:rsidRPr="00424813" w:rsidR="00944C75">
        <w:t>is</w:t>
      </w:r>
      <w:r w:rsidRPr="00424813">
        <w:t xml:space="preserve"> critical to the overall success of the panel, especially in minimizing attrition, to maintain frequent contact with panelists to ensure their continued interest and participation, address technical or other issues they may have, and to maintain accurate locator information that will facilitate longitudinal contact and tracking of movers.</w:t>
      </w:r>
      <w:r w:rsidRPr="00424813" w:rsidR="000A337C">
        <w:t xml:space="preserve"> </w:t>
      </w:r>
      <w:r w:rsidRPr="00424813">
        <w:t xml:space="preserve">Thus, </w:t>
      </w:r>
      <w:r w:rsidRPr="00424813" w:rsidR="006F657F">
        <w:t xml:space="preserve">other </w:t>
      </w:r>
      <w:r w:rsidRPr="00424813">
        <w:t xml:space="preserve">contacts, involving other forms of communication with panel members are planned for this purpose. </w:t>
      </w:r>
    </w:p>
    <w:p w:rsidRPr="00424813" w:rsidR="003E555B" w:rsidP="00A73FDC" w:rsidRDefault="003E555B" w14:paraId="7C71ADBB" w14:textId="77777777">
      <w:pPr>
        <w:pStyle w:val="Heading2"/>
      </w:pPr>
      <w:bookmarkStart w:name="_Toc88033471" w:id="36"/>
      <w:bookmarkStart w:name="_Toc88277956" w:id="37"/>
      <w:bookmarkStart w:name="_Toc33529715" w:id="38"/>
      <w:r w:rsidRPr="00424813">
        <w:t>A.7</w:t>
      </w:r>
      <w:r w:rsidRPr="00424813">
        <w:tab/>
      </w:r>
      <w:bookmarkEnd w:id="36"/>
      <w:r w:rsidRPr="00424813">
        <w:t>Special Circumstances Relating to the Guidelines of 5 CFR1320.5</w:t>
      </w:r>
      <w:bookmarkEnd w:id="37"/>
      <w:bookmarkEnd w:id="38"/>
    </w:p>
    <w:p w:rsidRPr="00424813" w:rsidR="003E555B" w:rsidP="007E4BD7" w:rsidRDefault="007E4BD7" w14:paraId="3022CF8D" w14:textId="59AC7598">
      <w:pPr>
        <w:pStyle w:val="bodytextpsg"/>
      </w:pPr>
      <w:r w:rsidRPr="00424813">
        <w:t xml:space="preserve">None. </w:t>
      </w:r>
    </w:p>
    <w:p w:rsidRPr="00424813" w:rsidR="003E555B" w:rsidP="00A73FDC" w:rsidRDefault="003E555B" w14:paraId="42812E5D" w14:textId="77777777">
      <w:pPr>
        <w:pStyle w:val="Heading2"/>
      </w:pPr>
      <w:bookmarkStart w:name="_Toc88033472" w:id="39"/>
      <w:bookmarkStart w:name="_Toc88277957" w:id="40"/>
      <w:bookmarkStart w:name="_Toc33529716" w:id="41"/>
      <w:r w:rsidRPr="00424813">
        <w:lastRenderedPageBreak/>
        <w:t>A.8</w:t>
      </w:r>
      <w:r w:rsidRPr="00424813">
        <w:tab/>
      </w:r>
      <w:bookmarkEnd w:id="39"/>
      <w:r w:rsidRPr="00424813">
        <w:t>Comments in Response to the Federal Register Notice and Efforts to Consult Outside the Agency</w:t>
      </w:r>
      <w:bookmarkEnd w:id="40"/>
      <w:bookmarkEnd w:id="41"/>
    </w:p>
    <w:p w:rsidRPr="00424813" w:rsidR="003E555B" w:rsidP="00A73FDC" w:rsidRDefault="003E555B" w14:paraId="70DC6CF7" w14:textId="77777777">
      <w:pPr>
        <w:pStyle w:val="Heading3"/>
      </w:pPr>
      <w:bookmarkStart w:name="_Toc33529717" w:id="42"/>
      <w:r w:rsidRPr="00424813">
        <w:t>A.8.1</w:t>
      </w:r>
      <w:r w:rsidRPr="00424813">
        <w:tab/>
        <w:t>Federal Register Announcements and Comments</w:t>
      </w:r>
      <w:bookmarkEnd w:id="42"/>
    </w:p>
    <w:p w:rsidRPr="00424813" w:rsidR="00BF6C74" w:rsidP="00997206" w:rsidRDefault="0052050F" w14:paraId="478D96D9" w14:textId="5FCC3355">
      <w:pPr>
        <w:pStyle w:val="bodytextpsg"/>
      </w:pPr>
      <w:r w:rsidRPr="00424813">
        <w:t xml:space="preserve">In accordance with 5 CFR 1320.8(d), FDA published a 60 day notice for public comment in the FEDERAL REGISTER of </w:t>
      </w:r>
      <w:r w:rsidRPr="00424813" w:rsidR="004C6541">
        <w:t>10</w:t>
      </w:r>
      <w:r w:rsidRPr="00424813">
        <w:t>/</w:t>
      </w:r>
      <w:r w:rsidRPr="00424813" w:rsidR="004C6541">
        <w:t>23</w:t>
      </w:r>
      <w:r w:rsidRPr="00424813">
        <w:t>/</w:t>
      </w:r>
      <w:r w:rsidRPr="00424813" w:rsidR="004C6541">
        <w:t>2018</w:t>
      </w:r>
      <w:r w:rsidRPr="00424813" w:rsidR="0059584A">
        <w:t xml:space="preserve"> (</w:t>
      </w:r>
      <w:r w:rsidRPr="00424813" w:rsidR="004C6541">
        <w:t>83</w:t>
      </w:r>
      <w:r w:rsidRPr="00424813" w:rsidR="0059584A">
        <w:t xml:space="preserve"> FR </w:t>
      </w:r>
      <w:r w:rsidRPr="00424813" w:rsidR="004C6541">
        <w:t>53485</w:t>
      </w:r>
      <w:r w:rsidRPr="00424813" w:rsidR="0059584A">
        <w:t>)</w:t>
      </w:r>
      <w:r w:rsidRPr="00424813" w:rsidR="006E698F">
        <w:t>.</w:t>
      </w:r>
      <w:r w:rsidRPr="00424813">
        <w:t xml:space="preserve"> </w:t>
      </w:r>
      <w:r w:rsidRPr="00424813" w:rsidR="0059584A">
        <w:t xml:space="preserve">FDA received </w:t>
      </w:r>
      <w:r w:rsidRPr="00424813" w:rsidR="00BF1399">
        <w:t>ten</w:t>
      </w:r>
      <w:r w:rsidRPr="00424813" w:rsidR="00F31F6C">
        <w:t xml:space="preserve"> </w:t>
      </w:r>
      <w:r w:rsidRPr="00424813" w:rsidR="0059584A">
        <w:t xml:space="preserve">comments, however only </w:t>
      </w:r>
      <w:r w:rsidRPr="00424813" w:rsidR="00BF1399">
        <w:t>one</w:t>
      </w:r>
      <w:r w:rsidRPr="00424813" w:rsidR="004C6541">
        <w:t xml:space="preserve"> was</w:t>
      </w:r>
      <w:r w:rsidRPr="00424813" w:rsidR="0059584A">
        <w:t xml:space="preserve"> PRA related. </w:t>
      </w:r>
      <w:r w:rsidRPr="00424813" w:rsidR="00BF1399">
        <w:t>Within those submissions, FDA received one comment which the agency has addressed.</w:t>
      </w:r>
      <w:r w:rsidRPr="00424813" w:rsidDel="004C6541" w:rsidR="00BF1399">
        <w:t xml:space="preserve"> </w:t>
      </w:r>
    </w:p>
    <w:p w:rsidRPr="00424813" w:rsidR="004C6541" w:rsidP="00997206" w:rsidRDefault="004C6541" w14:paraId="6FC006A5" w14:textId="2ACAF7B5">
      <w:pPr>
        <w:pStyle w:val="bodytextpsg"/>
      </w:pPr>
      <w:r w:rsidRPr="00424813">
        <w:t xml:space="preserve">(Comment) One commenter supports FDA’s establishment of a tobacco user panel, adding that high-quality research is critical to successful implementation of many provisions of tobacco policy. The commenter further stated that the research panel can provide the FDA with critical information on how adult tobacco users respond to tobacco marketing, product labels, warning statements and other communications about tobacco products. The commenter also noted the ability to have its own panel of tobacco users will allow the FDA to gather more reliable information in a more efficient manner. </w:t>
      </w:r>
    </w:p>
    <w:p w:rsidRPr="00424813" w:rsidR="004C6541" w:rsidP="00997206" w:rsidRDefault="004C6541" w14:paraId="34CBD723" w14:textId="72258AC8">
      <w:pPr>
        <w:spacing w:line="360" w:lineRule="auto"/>
        <w:ind w:firstLine="720"/>
      </w:pPr>
      <w:r w:rsidRPr="00424813">
        <w:t xml:space="preserve">(Response) FDA agrees with this comment and believes the panel will be a valuable tool for conducting new </w:t>
      </w:r>
      <w:r w:rsidRPr="00424813" w:rsidR="00BF1399">
        <w:t xml:space="preserve">observational and </w:t>
      </w:r>
      <w:r w:rsidRPr="00424813">
        <w:t xml:space="preserve">experimental studies. </w:t>
      </w:r>
    </w:p>
    <w:p w:rsidRPr="00424813" w:rsidR="003E555B" w:rsidP="006E698F" w:rsidRDefault="003E555B" w14:paraId="03B5DF8B" w14:textId="77777777">
      <w:pPr>
        <w:pStyle w:val="Heading3"/>
      </w:pPr>
      <w:bookmarkStart w:name="_Toc33529718" w:id="43"/>
      <w:r w:rsidRPr="00424813">
        <w:t>A.8.2</w:t>
      </w:r>
      <w:r w:rsidRPr="00424813">
        <w:tab/>
        <w:t>Consultation Within the Research Community</w:t>
      </w:r>
      <w:bookmarkEnd w:id="43"/>
    </w:p>
    <w:p w:rsidRPr="00424813" w:rsidR="00F52F62" w:rsidP="002F5D74" w:rsidRDefault="003E555B" w14:paraId="734D8FFD" w14:textId="7D53FA32">
      <w:pPr>
        <w:pStyle w:val="bodytextpsg"/>
      </w:pPr>
      <w:r w:rsidRPr="00424813">
        <w:t xml:space="preserve">To inform the design of the </w:t>
      </w:r>
      <w:r w:rsidRPr="00424813" w:rsidR="000D6ECF">
        <w:t>p</w:t>
      </w:r>
      <w:r w:rsidRPr="00424813">
        <w:t xml:space="preserve">anel recruitment and retention strategies, the contractor engaged the services of a </w:t>
      </w:r>
      <w:r w:rsidRPr="00424813" w:rsidR="004D6AB7">
        <w:t>Web</w:t>
      </w:r>
      <w:r w:rsidRPr="00424813">
        <w:t xml:space="preserve"> survey panel expert in the research community. </w:t>
      </w:r>
      <w:r w:rsidRPr="00424813" w:rsidR="004F324F">
        <w:t>The consultant participated in discussions with the contractor to review focus group findings</w:t>
      </w:r>
      <w:r w:rsidRPr="00424813" w:rsidR="008B10C7">
        <w:t xml:space="preserve"> (Focus groups conducted under OMB Control No. 0910-0497)</w:t>
      </w:r>
      <w:r w:rsidRPr="00424813" w:rsidR="004F324F">
        <w:t xml:space="preserve"> and provide feedback on strategies for recruiting and engaging panel members long-term. </w:t>
      </w:r>
      <w:r w:rsidRPr="00424813">
        <w:t>This included guidance on 1) the feasibility of providing tablet computers to panelists</w:t>
      </w:r>
      <w:r w:rsidRPr="00424813" w:rsidR="00095F6C">
        <w:t xml:space="preserve"> </w:t>
      </w:r>
      <w:r w:rsidRPr="00424813">
        <w:t>as part of a study incentive protocol</w:t>
      </w:r>
      <w:r w:rsidRPr="00424813" w:rsidR="00095F6C">
        <w:t xml:space="preserve"> rather than a loan</w:t>
      </w:r>
      <w:r w:rsidRPr="00424813">
        <w:t>, and potential ch</w:t>
      </w:r>
      <w:r w:rsidRPr="00424813" w:rsidR="00A2761F">
        <w:t>allenges with this approach; 2) </w:t>
      </w:r>
      <w:r w:rsidRPr="00424813">
        <w:t xml:space="preserve">panelist use of personal computing devices to complete </w:t>
      </w:r>
      <w:r w:rsidRPr="00424813" w:rsidR="004D6AB7">
        <w:t>Web</w:t>
      </w:r>
      <w:r w:rsidRPr="00424813">
        <w:t xml:space="preserve"> surveys; 3) cash-based incentive options both at enrollment and throughout the panel period; 4) the need for </w:t>
      </w:r>
      <w:r w:rsidRPr="00424813" w:rsidR="009B1654">
        <w:t>Internet</w:t>
      </w:r>
      <w:r w:rsidRPr="00424813">
        <w:t xml:space="preserve"> service provision by the study to enroll some panelists; 5) length of the </w:t>
      </w:r>
      <w:r w:rsidRPr="00424813" w:rsidR="00A2761F">
        <w:t>panel commitment period; and 6) </w:t>
      </w:r>
      <w:r w:rsidRPr="00424813">
        <w:t xml:space="preserve">panel maintenance strategies, including short surveys and other forms of contact with the panel. The consultant also provided feedback on the most significant challenges in </w:t>
      </w:r>
      <w:r w:rsidRPr="00424813" w:rsidR="00BA657E">
        <w:t>W</w:t>
      </w:r>
      <w:r w:rsidRPr="00424813">
        <w:t xml:space="preserve">eb-enabling survey respondents and keeping them engaged long-term, and the </w:t>
      </w:r>
      <w:r w:rsidRPr="00424813">
        <w:lastRenderedPageBreak/>
        <w:t xml:space="preserve">need for alternative survey modes for panel members who will not participate online in order to minimize coverage and nonresponse bias. </w:t>
      </w:r>
    </w:p>
    <w:p w:rsidRPr="00424813" w:rsidR="003E555B" w:rsidP="00B14F4F" w:rsidRDefault="003E555B" w14:paraId="0199DB78" w14:textId="77777777">
      <w:pPr>
        <w:pStyle w:val="bodytextpsg"/>
        <w:keepNext/>
      </w:pPr>
      <w:r w:rsidRPr="00424813">
        <w:t>Consultant contact information is provided below.</w:t>
      </w:r>
      <w:r w:rsidRPr="00424813" w:rsidR="000A337C">
        <w:t xml:space="preserve">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3780"/>
      </w:tblGrid>
      <w:tr w:rsidRPr="00424813" w:rsidR="003E555B" w:rsidTr="00FD0CFA" w14:paraId="04161661" w14:textId="77777777">
        <w:tc>
          <w:tcPr>
            <w:tcW w:w="3510" w:type="dxa"/>
            <w:shd w:val="clear" w:color="auto" w:fill="auto"/>
          </w:tcPr>
          <w:p w:rsidRPr="00424813" w:rsidR="003E555B" w:rsidP="00DE6E8F" w:rsidRDefault="003E555B" w14:paraId="06853622" w14:textId="77777777">
            <w:pPr>
              <w:pStyle w:val="Tabletext"/>
              <w:keepNext/>
              <w:keepLines/>
            </w:pPr>
            <w:r w:rsidRPr="00424813">
              <w:t>Scott Crawford</w:t>
            </w:r>
          </w:p>
          <w:p w:rsidRPr="00424813" w:rsidR="003E555B" w:rsidP="00DE6E8F" w:rsidRDefault="003E555B" w14:paraId="3F7A57EC" w14:textId="77777777">
            <w:pPr>
              <w:pStyle w:val="Tabletext"/>
              <w:keepNext/>
              <w:keepLines/>
            </w:pPr>
            <w:r w:rsidRPr="00424813">
              <w:t>Founder, Chief Executive Officer</w:t>
            </w:r>
          </w:p>
        </w:tc>
        <w:tc>
          <w:tcPr>
            <w:tcW w:w="3780" w:type="dxa"/>
            <w:shd w:val="clear" w:color="auto" w:fill="auto"/>
          </w:tcPr>
          <w:p w:rsidRPr="00424813" w:rsidR="003E555B" w:rsidP="00DE6E8F" w:rsidRDefault="003E555B" w14:paraId="538BC618" w14:textId="77777777">
            <w:pPr>
              <w:pStyle w:val="Tabletext"/>
              <w:keepNext/>
              <w:keepLines/>
              <w:rPr>
                <w:b/>
              </w:rPr>
            </w:pPr>
            <w:r w:rsidRPr="00424813">
              <w:rPr>
                <w:b/>
              </w:rPr>
              <w:t>Survey Sciences Group, LLC</w:t>
            </w:r>
          </w:p>
          <w:p w:rsidRPr="00424813" w:rsidR="003E555B" w:rsidP="00DE6E8F" w:rsidRDefault="003E555B" w14:paraId="343B5AA4" w14:textId="77777777">
            <w:pPr>
              <w:pStyle w:val="Tabletext"/>
              <w:keepNext/>
              <w:keepLines/>
            </w:pPr>
            <w:r w:rsidRPr="00424813">
              <w:t>950 Victors Way, Suite 50</w:t>
            </w:r>
          </w:p>
          <w:p w:rsidRPr="00424813" w:rsidR="003E555B" w:rsidP="00DE6E8F" w:rsidRDefault="003E555B" w14:paraId="641109D6" w14:textId="77777777">
            <w:pPr>
              <w:pStyle w:val="Tabletext"/>
              <w:keepNext/>
              <w:keepLines/>
            </w:pPr>
            <w:r w:rsidRPr="00424813">
              <w:t>Ann Arbor, Michigan 48108</w:t>
            </w:r>
          </w:p>
          <w:p w:rsidRPr="00424813" w:rsidR="003E555B" w:rsidP="00DE6E8F" w:rsidRDefault="003E555B" w14:paraId="7CB342C9" w14:textId="77777777">
            <w:pPr>
              <w:pStyle w:val="Tabletext"/>
              <w:keepNext/>
              <w:keepLines/>
            </w:pPr>
            <w:r w:rsidRPr="00424813">
              <w:t>Ph. 734-527-2150</w:t>
            </w:r>
          </w:p>
        </w:tc>
      </w:tr>
    </w:tbl>
    <w:p w:rsidRPr="00424813" w:rsidR="003E555B" w:rsidP="00A73FDC" w:rsidRDefault="003E555B" w14:paraId="5E65365E" w14:textId="77777777">
      <w:pPr>
        <w:pStyle w:val="Heading2"/>
      </w:pPr>
      <w:bookmarkStart w:name="_Toc88033473" w:id="44"/>
      <w:bookmarkStart w:name="_Toc88277958" w:id="45"/>
      <w:bookmarkStart w:name="_Toc33529719" w:id="46"/>
      <w:r w:rsidRPr="00424813">
        <w:t>A.9</w:t>
      </w:r>
      <w:r w:rsidRPr="00424813">
        <w:tab/>
      </w:r>
      <w:bookmarkEnd w:id="44"/>
      <w:r w:rsidRPr="00424813">
        <w:t>Explanation of Any Payment or Gift to Respondents</w:t>
      </w:r>
      <w:bookmarkEnd w:id="45"/>
      <w:bookmarkEnd w:id="46"/>
      <w:r w:rsidRPr="00424813">
        <w:t xml:space="preserve"> </w:t>
      </w:r>
    </w:p>
    <w:p w:rsidRPr="00424813" w:rsidR="003E555B" w:rsidP="00A73FDC" w:rsidRDefault="003E555B" w14:paraId="6BE397A7" w14:textId="6879E5AC">
      <w:pPr>
        <w:pStyle w:val="bodytextpsg"/>
      </w:pPr>
      <w:r w:rsidRPr="00424813">
        <w:t xml:space="preserve">The multi-year longitudinal design with multiple surveys can pose a burden to respondents, while the self-administered modes of data collection and relatively sensitive topic limit the ability to motivate sample members and encourage participation. Along with other features of the study, these factors create a substantial risk of nonresponse and attrition bias in estimates of tobacco use (e.g., </w:t>
      </w:r>
      <w:r w:rsidRPr="00424813">
        <w:rPr>
          <w:noProof/>
        </w:rPr>
        <w:t>Seltzer, Bosse and Garvey, 1974; Vestbo and Rasmussen, 1992; Cunradi et al., 2005</w:t>
      </w:r>
      <w:r w:rsidRPr="00424813">
        <w:t xml:space="preserve">), if left unaddressed. A comprehensive incentive strategy </w:t>
      </w:r>
      <w:r w:rsidRPr="00424813" w:rsidR="00F80B09">
        <w:t>was</w:t>
      </w:r>
      <w:r w:rsidRPr="00424813">
        <w:t xml:space="preserve"> </w:t>
      </w:r>
      <w:r w:rsidR="003C522B">
        <w:t>implemented</w:t>
      </w:r>
      <w:r w:rsidRPr="00424813" w:rsidR="003C522B">
        <w:t xml:space="preserve"> </w:t>
      </w:r>
      <w:r w:rsidRPr="00424813">
        <w:t xml:space="preserve">to recruit and maintain the 4,000-member </w:t>
      </w:r>
      <w:r w:rsidRPr="00424813" w:rsidR="00CF2D41">
        <w:t>p</w:t>
      </w:r>
      <w:r w:rsidRPr="00424813">
        <w:t xml:space="preserve">anel, given the length of the panel commitment, the need for panelists to have frequent yet easy access to the </w:t>
      </w:r>
      <w:r w:rsidRPr="00424813" w:rsidR="004D6AB7">
        <w:t>Web</w:t>
      </w:r>
      <w:r w:rsidRPr="00424813">
        <w:t xml:space="preserve"> survey application, and the planned frequency of contacts (up to 8 </w:t>
      </w:r>
      <w:r w:rsidRPr="00424813" w:rsidR="005E5E2A">
        <w:t>experimental and observational</w:t>
      </w:r>
      <w:r w:rsidRPr="00424813">
        <w:t xml:space="preserve"> studies) during their time in the panel.</w:t>
      </w:r>
      <w:r w:rsidRPr="00424813" w:rsidR="000A337C">
        <w:t xml:space="preserve"> </w:t>
      </w:r>
    </w:p>
    <w:p w:rsidRPr="00424813" w:rsidR="003E555B" w:rsidP="00A73FDC" w:rsidRDefault="003E555B" w14:paraId="7D912D7C" w14:textId="77777777">
      <w:pPr>
        <w:pStyle w:val="bodytextpsg"/>
      </w:pPr>
      <w:r w:rsidRPr="00424813">
        <w:t>Two key concerns in longitudinal panel maintenance are panel attrition and panel conditioning.</w:t>
      </w:r>
      <w:r w:rsidRPr="00424813" w:rsidR="000A337C">
        <w:t xml:space="preserve"> </w:t>
      </w:r>
      <w:r w:rsidRPr="00424813">
        <w:t>To combat panel attrition and increase the likelihood of participation at each survey request during the life of the panel, panel members are offered incentives contingent on survey completion (Baker et al., 2010).</w:t>
      </w:r>
      <w:r w:rsidRPr="00424813" w:rsidR="000A337C">
        <w:t xml:space="preserve"> </w:t>
      </w:r>
      <w:r w:rsidRPr="00424813">
        <w:t>Furthermore, minimum burden through limited number of survey requests can ensure panel retainment and at the same time minimize panel conditioning, associated with repeated measurement on the same topic and frequency of the survey request.</w:t>
      </w:r>
      <w:r w:rsidRPr="00424813" w:rsidR="000A337C">
        <w:t xml:space="preserve"> </w:t>
      </w:r>
      <w:r w:rsidRPr="00424813">
        <w:t>However, the limited number of survey requests can also induce nonresponse due to lack of engagement.</w:t>
      </w:r>
      <w:r w:rsidRPr="00424813" w:rsidR="000A337C">
        <w:t xml:space="preserve"> </w:t>
      </w:r>
      <w:r w:rsidRPr="00424813">
        <w:t>Given the significant investment made during the recruitment stage and the high cost of replacing panel members (due to in-person recruitment and screening), we have developed a sound incentive strategy to keep recruited panelists engaged throughout the life of the panel.</w:t>
      </w:r>
    </w:p>
    <w:p w:rsidRPr="00424813" w:rsidR="003E555B" w:rsidP="00FA6E81" w:rsidRDefault="003E555B" w14:paraId="191BFB1B" w14:textId="1B981122">
      <w:pPr>
        <w:pStyle w:val="bodytextpsg"/>
      </w:pPr>
      <w:r w:rsidRPr="00424813">
        <w:lastRenderedPageBreak/>
        <w:t xml:space="preserve">We conducted a review of the existing longitudinal surveys in terms of panel maintenance strategies, and specifically, incentives (see </w:t>
      </w:r>
      <w:r w:rsidRPr="00424813">
        <w:rPr>
          <w:b/>
          <w:i/>
        </w:rPr>
        <w:t xml:space="preserve">Attachment </w:t>
      </w:r>
      <w:r w:rsidRPr="00424813" w:rsidR="00BB0442">
        <w:rPr>
          <w:b/>
          <w:i/>
        </w:rPr>
        <w:t>6</w:t>
      </w:r>
      <w:r w:rsidRPr="00424813">
        <w:t>).</w:t>
      </w:r>
      <w:r w:rsidRPr="00424813" w:rsidR="000A337C">
        <w:t xml:space="preserve"> </w:t>
      </w:r>
      <w:r w:rsidRPr="00424813">
        <w:t xml:space="preserve">The incentive protocol, based on findings in the survey literature, </w:t>
      </w:r>
      <w:r w:rsidRPr="00424813" w:rsidR="004F324F">
        <w:t>focus groups</w:t>
      </w:r>
      <w:r w:rsidRPr="00424813" w:rsidR="001A5AEB">
        <w:t xml:space="preserve"> (OMB </w:t>
      </w:r>
      <w:r w:rsidRPr="00424813" w:rsidR="00453B10">
        <w:t xml:space="preserve">Control </w:t>
      </w:r>
      <w:r w:rsidRPr="00424813" w:rsidR="001A5AEB">
        <w:t xml:space="preserve">No. </w:t>
      </w:r>
      <w:r w:rsidRPr="00424813" w:rsidR="00453B10">
        <w:t>0910-0497</w:t>
      </w:r>
      <w:r w:rsidRPr="00424813" w:rsidR="001A5AEB">
        <w:t>)</w:t>
      </w:r>
      <w:r w:rsidRPr="00424813">
        <w:t xml:space="preserve">, and </w:t>
      </w:r>
      <w:r w:rsidRPr="00424813" w:rsidR="00DC198F">
        <w:t xml:space="preserve">discussions </w:t>
      </w:r>
      <w:r w:rsidRPr="00424813">
        <w:t>with survey researchers outside of the study team, includes the following:</w:t>
      </w:r>
    </w:p>
    <w:p w:rsidRPr="00424813" w:rsidR="00073860" w:rsidP="00383B94" w:rsidRDefault="00073860" w14:paraId="617CF52D" w14:textId="7036D9D1">
      <w:pPr>
        <w:pStyle w:val="bullets"/>
        <w:numPr>
          <w:ilvl w:val="0"/>
          <w:numId w:val="21"/>
        </w:numPr>
      </w:pPr>
      <w:r w:rsidRPr="00424813">
        <w:t xml:space="preserve">to minimize the initial screening cost, we mail a paper screener to all sampled households to determine if there is an eligible tobacco user in the household. A $2 prepaid incentive </w:t>
      </w:r>
      <w:r w:rsidRPr="00424813" w:rsidR="00944C75">
        <w:t>is</w:t>
      </w:r>
      <w:r w:rsidRPr="00424813">
        <w:t xml:space="preserve"> enclosed with this initial mailing to maximize response rates and reduce the number of households requiring a more expensive in-person screening visit.</w:t>
      </w:r>
      <w:r w:rsidRPr="00424813">
        <w:rPr>
          <w:rStyle w:val="FootnoteReference"/>
          <w:rFonts w:cs="Times New Roman"/>
          <w:lang w:val="en-GB"/>
        </w:rPr>
        <w:footnoteReference w:id="2"/>
      </w:r>
      <w:r w:rsidRPr="00424813">
        <w:t xml:space="preserve"> This approach is consistent with other large federal surveys (e.g., National Household Education Survey, U.S. Department of Education (as part of the transition from a telephone to a mail mode of administration); The National Survey of Early Care and Education, Administration for Children and Families) that have experimented with a mail screener that includes a small prepaid incentive (typically, $2 or $5) and have reported on their effectiveness in increasing screener response rates.</w:t>
      </w:r>
    </w:p>
    <w:p w:rsidRPr="00424813" w:rsidR="00832B53" w:rsidP="00383B94" w:rsidRDefault="003E555B" w14:paraId="11D6AC4C" w14:textId="47CC6076">
      <w:pPr>
        <w:pStyle w:val="bullets"/>
        <w:numPr>
          <w:ilvl w:val="0"/>
          <w:numId w:val="21"/>
        </w:numPr>
      </w:pPr>
      <w:proofErr w:type="gramStart"/>
      <w:r w:rsidRPr="00424813">
        <w:t>provision of a one-time $</w:t>
      </w:r>
      <w:r w:rsidRPr="00424813" w:rsidR="003D0B14">
        <w:t>35</w:t>
      </w:r>
      <w:r w:rsidRPr="00424813">
        <w:t xml:space="preserve"> enrollment incentive,</w:t>
      </w:r>
      <w:proofErr w:type="gramEnd"/>
      <w:r w:rsidRPr="00424813">
        <w:t xml:space="preserve"> paid by the interviewer upon the panelists’ completion of both the enrollment and baseline surveys. The goal of this incentive is to engage the potential panelist, provide a token of appreciation for his/her participation in the enrollment and baseline surveys (an estimated interview burden of 20 minutes, plus interviewer training on website login) and serve as a proof that future promised incentives </w:t>
      </w:r>
      <w:r w:rsidRPr="00424813" w:rsidR="00944C75">
        <w:t>are</w:t>
      </w:r>
      <w:r w:rsidRPr="00424813">
        <w:t xml:space="preserve"> paid upon survey completion.</w:t>
      </w:r>
      <w:r w:rsidRPr="00424813" w:rsidR="000A337C">
        <w:t xml:space="preserve"> </w:t>
      </w:r>
    </w:p>
    <w:p w:rsidRPr="00424813" w:rsidR="00832B53" w:rsidP="00383B94" w:rsidRDefault="003E555B" w14:paraId="739C9721" w14:textId="77777777">
      <w:pPr>
        <w:pStyle w:val="bullets"/>
        <w:numPr>
          <w:ilvl w:val="0"/>
          <w:numId w:val="21"/>
        </w:numPr>
      </w:pPr>
      <w:r w:rsidRPr="00424813">
        <w:t xml:space="preserve">a $15 promised incentive, payable upon completion of each </w:t>
      </w:r>
      <w:r w:rsidRPr="00424813" w:rsidR="005E5E2A">
        <w:t>experimental and observational</w:t>
      </w:r>
      <w:r w:rsidRPr="00424813">
        <w:t xml:space="preserve"> study.</w:t>
      </w:r>
      <w:r w:rsidRPr="00424813" w:rsidR="000A337C">
        <w:t xml:space="preserve"> </w:t>
      </w:r>
      <w:r w:rsidRPr="00424813">
        <w:t xml:space="preserve">The goal of this incentive is to maximize participation in each study. Each study instrument is expected to take approximately </w:t>
      </w:r>
      <w:r w:rsidRPr="00424813" w:rsidR="00E54C59">
        <w:t>20</w:t>
      </w:r>
      <w:r w:rsidRPr="00424813">
        <w:t xml:space="preserve"> minutes to complete, on average.</w:t>
      </w:r>
    </w:p>
    <w:p w:rsidRPr="00424813" w:rsidR="003E555B" w:rsidP="00A73FDC" w:rsidRDefault="003E555B" w14:paraId="35DA6552" w14:textId="36DF3ED6">
      <w:pPr>
        <w:pStyle w:val="bodytextpsg"/>
      </w:pPr>
      <w:r w:rsidRPr="00424813">
        <w:t xml:space="preserve">We believe the </w:t>
      </w:r>
      <w:r w:rsidR="00473992">
        <w:t>existing</w:t>
      </w:r>
      <w:r w:rsidRPr="00424813" w:rsidR="00473992">
        <w:t xml:space="preserve"> </w:t>
      </w:r>
      <w:r w:rsidRPr="00424813">
        <w:t xml:space="preserve">incentive strategy, summarized in </w:t>
      </w:r>
      <w:r w:rsidRPr="00424813">
        <w:rPr>
          <w:b/>
          <w:i/>
        </w:rPr>
        <w:t>Exhibit A.9-1</w:t>
      </w:r>
      <w:r w:rsidRPr="00424813">
        <w:t xml:space="preserve">, is </w:t>
      </w:r>
      <w:r w:rsidRPr="00424813" w:rsidR="004267F5">
        <w:t>reasonable</w:t>
      </w:r>
      <w:r w:rsidRPr="00424813">
        <w:t xml:space="preserve"> for recruiting</w:t>
      </w:r>
      <w:r w:rsidR="00473992">
        <w:t>, maintaining, and replenishing</w:t>
      </w:r>
      <w:r w:rsidRPr="00424813">
        <w:t xml:space="preserve"> a 4,000 member panel of tobacco users for the 3-year period, maintaining their interest and active participation long-term, thereby minimizing attrition, and achieving the necessary response rates to support the planned analyses for each of the 8 experimental and observational studies.</w:t>
      </w:r>
      <w:r w:rsidRPr="00424813" w:rsidR="000A337C">
        <w:t xml:space="preserve"> </w:t>
      </w:r>
      <w:r w:rsidRPr="00424813">
        <w:t xml:space="preserve">Additional documentation in support of the incentive strategy is provided in </w:t>
      </w:r>
      <w:r w:rsidRPr="00424813">
        <w:rPr>
          <w:b/>
          <w:i/>
        </w:rPr>
        <w:t xml:space="preserve">Attachment </w:t>
      </w:r>
      <w:r w:rsidRPr="00424813" w:rsidR="00BB0442">
        <w:rPr>
          <w:b/>
          <w:i/>
        </w:rPr>
        <w:t>6</w:t>
      </w:r>
      <w:r w:rsidRPr="00424813">
        <w:t xml:space="preserve">. </w:t>
      </w:r>
    </w:p>
    <w:p w:rsidRPr="00424813" w:rsidR="003E555B" w:rsidP="008C5CEF" w:rsidRDefault="008C5CEF" w14:paraId="166DCDBD" w14:textId="77777777">
      <w:pPr>
        <w:pStyle w:val="FigureTitle"/>
      </w:pPr>
      <w:bookmarkStart w:name="_Toc33529743" w:id="47"/>
      <w:r w:rsidRPr="00424813">
        <w:lastRenderedPageBreak/>
        <w:t>Exhibit A.9-1</w:t>
      </w:r>
      <w:r w:rsidRPr="00424813" w:rsidR="00B14F4F">
        <w:t>.</w:t>
      </w:r>
      <w:r w:rsidRPr="00424813">
        <w:t xml:space="preserve"> </w:t>
      </w:r>
      <w:r w:rsidRPr="00424813" w:rsidR="003E555B">
        <w:t>Incentive Type and Amount</w:t>
      </w:r>
      <w:bookmarkEnd w:id="47"/>
    </w:p>
    <w:tbl>
      <w:tblPr>
        <w:tblW w:w="9360" w:type="dxa"/>
        <w:jc w:val="center"/>
        <w:tblBorders>
          <w:top w:val="single" w:color="000000" w:sz="12" w:space="0"/>
          <w:bottom w:val="single" w:color="000000" w:sz="12" w:space="0"/>
          <w:insideH w:val="single" w:color="000000" w:sz="6" w:space="0"/>
        </w:tblBorders>
        <w:tblLayout w:type="fixed"/>
        <w:tblCellMar>
          <w:left w:w="120" w:type="dxa"/>
          <w:right w:w="120" w:type="dxa"/>
        </w:tblCellMar>
        <w:tblLook w:val="0000" w:firstRow="0" w:lastRow="0" w:firstColumn="0" w:lastColumn="0" w:noHBand="0" w:noVBand="0"/>
      </w:tblPr>
      <w:tblGrid>
        <w:gridCol w:w="3240"/>
        <w:gridCol w:w="2430"/>
        <w:gridCol w:w="3690"/>
      </w:tblGrid>
      <w:tr w:rsidRPr="00424813" w:rsidR="003E555B" w:rsidTr="00987353" w14:paraId="3B5E4731" w14:textId="77777777">
        <w:trPr>
          <w:cantSplit/>
          <w:jc w:val="center"/>
        </w:trPr>
        <w:tc>
          <w:tcPr>
            <w:tcW w:w="3240" w:type="dxa"/>
            <w:tcBorders>
              <w:bottom w:val="single" w:color="000000" w:sz="6" w:space="0"/>
            </w:tcBorders>
          </w:tcPr>
          <w:p w:rsidRPr="00424813" w:rsidR="003E555B" w:rsidP="007216D5" w:rsidRDefault="003E555B" w14:paraId="0D7A8210" w14:textId="77777777">
            <w:pPr>
              <w:pStyle w:val="TableHeaders"/>
            </w:pPr>
            <w:r w:rsidRPr="00424813">
              <w:t>Type of Incentive</w:t>
            </w:r>
          </w:p>
        </w:tc>
        <w:tc>
          <w:tcPr>
            <w:tcW w:w="2430" w:type="dxa"/>
            <w:tcBorders>
              <w:bottom w:val="single" w:color="000000" w:sz="6" w:space="0"/>
            </w:tcBorders>
            <w:vAlign w:val="center"/>
          </w:tcPr>
          <w:p w:rsidRPr="00424813" w:rsidR="003E555B" w:rsidP="007216D5" w:rsidRDefault="003E555B" w14:paraId="2FDC4E58" w14:textId="77777777">
            <w:pPr>
              <w:pStyle w:val="TableHeaders"/>
            </w:pPr>
            <w:r w:rsidRPr="00424813">
              <w:t>Participant</w:t>
            </w:r>
          </w:p>
        </w:tc>
        <w:tc>
          <w:tcPr>
            <w:tcW w:w="3690" w:type="dxa"/>
            <w:tcBorders>
              <w:bottom w:val="single" w:color="000000" w:sz="6" w:space="0"/>
            </w:tcBorders>
          </w:tcPr>
          <w:p w:rsidRPr="00424813" w:rsidR="003E555B" w:rsidP="007216D5" w:rsidRDefault="003E555B" w14:paraId="31B65817" w14:textId="77777777">
            <w:pPr>
              <w:pStyle w:val="TableHeaders"/>
            </w:pPr>
            <w:r w:rsidRPr="00424813">
              <w:t>Amount/Value</w:t>
            </w:r>
          </w:p>
        </w:tc>
      </w:tr>
      <w:tr w:rsidRPr="00424813" w:rsidR="003E555B" w:rsidTr="00987353" w14:paraId="5E1BC047" w14:textId="77777777">
        <w:trPr>
          <w:cantSplit/>
          <w:jc w:val="center"/>
        </w:trPr>
        <w:tc>
          <w:tcPr>
            <w:tcW w:w="3240" w:type="dxa"/>
            <w:tcBorders>
              <w:top w:val="single" w:color="000000" w:sz="6" w:space="0"/>
              <w:bottom w:val="single" w:color="000000" w:sz="6" w:space="0"/>
            </w:tcBorders>
            <w:vAlign w:val="center"/>
          </w:tcPr>
          <w:p w:rsidRPr="00424813" w:rsidR="003E555B" w:rsidP="007216D5" w:rsidRDefault="003E555B" w14:paraId="2ADDFEAA" w14:textId="77777777">
            <w:pPr>
              <w:pStyle w:val="Tabletext"/>
            </w:pPr>
            <w:r w:rsidRPr="00424813">
              <w:t>Mail screener incentive</w:t>
            </w:r>
          </w:p>
        </w:tc>
        <w:tc>
          <w:tcPr>
            <w:tcW w:w="2430" w:type="dxa"/>
            <w:tcBorders>
              <w:top w:val="single" w:color="000000" w:sz="6" w:space="0"/>
              <w:bottom w:val="single" w:color="000000" w:sz="6" w:space="0"/>
            </w:tcBorders>
            <w:vAlign w:val="center"/>
          </w:tcPr>
          <w:p w:rsidRPr="00424813" w:rsidR="003E555B" w:rsidP="007216D5" w:rsidRDefault="003E555B" w14:paraId="217F8DC3" w14:textId="77777777">
            <w:pPr>
              <w:pStyle w:val="Tabletext"/>
            </w:pPr>
            <w:r w:rsidRPr="00424813">
              <w:t>All sample members</w:t>
            </w:r>
          </w:p>
        </w:tc>
        <w:tc>
          <w:tcPr>
            <w:tcW w:w="3690" w:type="dxa"/>
            <w:tcBorders>
              <w:top w:val="single" w:color="000000" w:sz="6" w:space="0"/>
              <w:bottom w:val="single" w:color="000000" w:sz="6" w:space="0"/>
            </w:tcBorders>
            <w:vAlign w:val="center"/>
          </w:tcPr>
          <w:p w:rsidRPr="00424813" w:rsidR="003E555B" w:rsidP="007216D5" w:rsidRDefault="003E555B" w14:paraId="356E28B0" w14:textId="77777777">
            <w:pPr>
              <w:pStyle w:val="Tabletext"/>
            </w:pPr>
            <w:r w:rsidRPr="00424813">
              <w:t>$2 one time</w:t>
            </w:r>
          </w:p>
        </w:tc>
      </w:tr>
      <w:tr w:rsidRPr="00424813" w:rsidR="003E555B" w:rsidTr="00900D85" w14:paraId="5FC3BFC8" w14:textId="77777777">
        <w:trPr>
          <w:cantSplit/>
          <w:jc w:val="center"/>
        </w:trPr>
        <w:tc>
          <w:tcPr>
            <w:tcW w:w="3240" w:type="dxa"/>
            <w:tcBorders>
              <w:top w:val="single" w:color="000000" w:sz="6" w:space="0"/>
              <w:bottom w:val="single" w:color="000000" w:sz="6" w:space="0"/>
            </w:tcBorders>
          </w:tcPr>
          <w:p w:rsidRPr="00424813" w:rsidR="003E555B" w:rsidP="007216D5" w:rsidRDefault="003E555B" w14:paraId="69AC438D" w14:textId="77777777">
            <w:pPr>
              <w:pStyle w:val="Tabletext"/>
            </w:pPr>
            <w:r w:rsidRPr="00424813">
              <w:t>Enrollment incentive</w:t>
            </w:r>
          </w:p>
        </w:tc>
        <w:tc>
          <w:tcPr>
            <w:tcW w:w="2430" w:type="dxa"/>
            <w:tcBorders>
              <w:top w:val="single" w:color="000000" w:sz="6" w:space="0"/>
              <w:bottom w:val="single" w:color="000000" w:sz="6" w:space="0"/>
            </w:tcBorders>
          </w:tcPr>
          <w:p w:rsidRPr="00424813" w:rsidR="003E555B" w:rsidP="007216D5" w:rsidRDefault="003E555B" w14:paraId="10A8574F" w14:textId="77777777">
            <w:pPr>
              <w:pStyle w:val="Tabletext"/>
            </w:pPr>
            <w:r w:rsidRPr="00424813">
              <w:t>All panel members</w:t>
            </w:r>
          </w:p>
        </w:tc>
        <w:tc>
          <w:tcPr>
            <w:tcW w:w="3690" w:type="dxa"/>
            <w:tcBorders>
              <w:top w:val="single" w:color="000000" w:sz="6" w:space="0"/>
              <w:bottom w:val="single" w:color="000000" w:sz="6" w:space="0"/>
            </w:tcBorders>
          </w:tcPr>
          <w:p w:rsidRPr="00424813" w:rsidR="003E555B" w:rsidP="007C55C8" w:rsidRDefault="003E555B" w14:paraId="252A386F" w14:textId="77777777">
            <w:pPr>
              <w:pStyle w:val="Tabletext"/>
            </w:pPr>
            <w:r w:rsidRPr="00424813">
              <w:t>$</w:t>
            </w:r>
            <w:r w:rsidRPr="00424813" w:rsidR="007C55C8">
              <w:t>3</w:t>
            </w:r>
            <w:r w:rsidRPr="00424813">
              <w:t xml:space="preserve">5 one time </w:t>
            </w:r>
          </w:p>
        </w:tc>
      </w:tr>
      <w:tr w:rsidRPr="00424813" w:rsidR="003E555B" w:rsidTr="00900D85" w14:paraId="35A18B3A" w14:textId="77777777">
        <w:trPr>
          <w:cantSplit/>
          <w:jc w:val="center"/>
        </w:trPr>
        <w:tc>
          <w:tcPr>
            <w:tcW w:w="3240" w:type="dxa"/>
            <w:tcBorders>
              <w:top w:val="single" w:color="000000" w:sz="6" w:space="0"/>
              <w:bottom w:val="single" w:color="000000" w:sz="12" w:space="0"/>
            </w:tcBorders>
          </w:tcPr>
          <w:p w:rsidRPr="00424813" w:rsidR="003E555B" w:rsidP="007216D5" w:rsidRDefault="005E5E2A" w14:paraId="73A1441A" w14:textId="77777777">
            <w:pPr>
              <w:pStyle w:val="Tabletext"/>
            </w:pPr>
            <w:r w:rsidRPr="00424813">
              <w:t>Experimental and observational</w:t>
            </w:r>
            <w:r w:rsidRPr="00424813" w:rsidR="003E555B">
              <w:t xml:space="preserve"> study cash incentive</w:t>
            </w:r>
          </w:p>
        </w:tc>
        <w:tc>
          <w:tcPr>
            <w:tcW w:w="2430" w:type="dxa"/>
            <w:tcBorders>
              <w:top w:val="single" w:color="000000" w:sz="6" w:space="0"/>
              <w:bottom w:val="single" w:color="000000" w:sz="12" w:space="0"/>
            </w:tcBorders>
          </w:tcPr>
          <w:p w:rsidRPr="00424813" w:rsidR="003E555B" w:rsidP="007216D5" w:rsidRDefault="003E555B" w14:paraId="0CBEA198" w14:textId="77777777">
            <w:pPr>
              <w:pStyle w:val="Tabletext"/>
            </w:pPr>
            <w:r w:rsidRPr="00424813">
              <w:t>All panel members</w:t>
            </w:r>
          </w:p>
        </w:tc>
        <w:tc>
          <w:tcPr>
            <w:tcW w:w="3690" w:type="dxa"/>
            <w:tcBorders>
              <w:top w:val="single" w:color="000000" w:sz="6" w:space="0"/>
              <w:bottom w:val="single" w:color="000000" w:sz="12" w:space="0"/>
            </w:tcBorders>
          </w:tcPr>
          <w:p w:rsidRPr="00424813" w:rsidR="003E555B" w:rsidP="007216D5" w:rsidRDefault="003E555B" w14:paraId="0849F959" w14:textId="77777777">
            <w:pPr>
              <w:pStyle w:val="Tabletext"/>
            </w:pPr>
            <w:r w:rsidRPr="00424813">
              <w:t>$15/</w:t>
            </w:r>
            <w:r w:rsidRPr="00424813" w:rsidR="00270B9F">
              <w:t>study</w:t>
            </w:r>
            <w:r w:rsidRPr="00424813">
              <w:t>;</w:t>
            </w:r>
          </w:p>
          <w:p w:rsidRPr="00424813" w:rsidR="003E555B" w:rsidP="007216D5" w:rsidRDefault="003E555B" w14:paraId="18EF767E" w14:textId="77777777">
            <w:pPr>
              <w:pStyle w:val="Tabletext"/>
            </w:pPr>
            <w:r w:rsidRPr="00424813">
              <w:t>Up to $120 total, covering 8 studies</w:t>
            </w:r>
          </w:p>
        </w:tc>
      </w:tr>
    </w:tbl>
    <w:p w:rsidRPr="00424813" w:rsidR="000A337C" w:rsidP="000A337C" w:rsidRDefault="000A337C" w14:paraId="29CA4951" w14:textId="77777777">
      <w:pPr>
        <w:pStyle w:val="exhibitsource"/>
      </w:pPr>
      <w:bookmarkStart w:name="_Toc88033474" w:id="48"/>
      <w:bookmarkStart w:name="_Toc88277959" w:id="49"/>
    </w:p>
    <w:p w:rsidRPr="00424813" w:rsidR="00880E54" w:rsidP="00350241" w:rsidRDefault="00880E54" w14:paraId="506B7AEC" w14:textId="2D7A7AE0">
      <w:pPr>
        <w:pStyle w:val="bodytextpsg"/>
      </w:pPr>
      <w:r w:rsidRPr="00424813">
        <w:t xml:space="preserve">Over the 3-year panel period, </w:t>
      </w:r>
      <w:r w:rsidRPr="00424813" w:rsidR="00963D76">
        <w:t xml:space="preserve">panel members </w:t>
      </w:r>
      <w:r w:rsidRPr="00424813" w:rsidR="008C186A">
        <w:t>have</w:t>
      </w:r>
      <w:r w:rsidRPr="00424813" w:rsidR="00963D76">
        <w:t xml:space="preserve"> the opportunity to receive a maximum </w:t>
      </w:r>
      <w:r w:rsidRPr="00424813" w:rsidR="008C186A">
        <w:t>of $</w:t>
      </w:r>
      <w:r w:rsidRPr="00424813" w:rsidR="000C3403">
        <w:t>155</w:t>
      </w:r>
      <w:r w:rsidRPr="00424813" w:rsidR="008C186A">
        <w:t xml:space="preserve"> in incentives if they enroll and complete all planned studies (8)</w:t>
      </w:r>
      <w:r w:rsidRPr="00424813" w:rsidR="00C15BE3">
        <w:t>.</w:t>
      </w:r>
      <w:r w:rsidRPr="00424813" w:rsidR="008C186A">
        <w:t xml:space="preserve"> </w:t>
      </w:r>
    </w:p>
    <w:p w:rsidRPr="00424813" w:rsidR="00350241" w:rsidP="0027684E" w:rsidRDefault="00350241" w14:paraId="4657890D" w14:textId="77777777">
      <w:pPr>
        <w:pStyle w:val="Heading2"/>
      </w:pPr>
      <w:bookmarkStart w:name="_Toc33529720" w:id="50"/>
      <w:r w:rsidRPr="00424813">
        <w:t>A.10</w:t>
      </w:r>
      <w:r w:rsidRPr="00424813">
        <w:tab/>
        <w:t>Assurance of Privacy Provided to Respondents</w:t>
      </w:r>
      <w:bookmarkEnd w:id="48"/>
      <w:bookmarkEnd w:id="49"/>
      <w:bookmarkEnd w:id="50"/>
    </w:p>
    <w:p w:rsidRPr="00424813" w:rsidR="004C07CB" w:rsidP="000808B5" w:rsidRDefault="009B7577" w14:paraId="39C67B8A" w14:textId="69A65FF7">
      <w:pPr>
        <w:spacing w:after="120" w:line="360" w:lineRule="auto"/>
        <w:ind w:firstLine="720"/>
      </w:pPr>
      <w:r w:rsidRPr="00424813">
        <w:t xml:space="preserve">The contractor’s Institutional Review Board (IRB) </w:t>
      </w:r>
      <w:r w:rsidRPr="00424813" w:rsidR="000808B5">
        <w:t>has</w:t>
      </w:r>
      <w:r w:rsidRPr="00424813">
        <w:t xml:space="preserve"> review</w:t>
      </w:r>
      <w:r w:rsidRPr="00424813" w:rsidR="000808B5">
        <w:t>ed</w:t>
      </w:r>
      <w:r w:rsidRPr="00424813">
        <w:t xml:space="preserve"> and approve</w:t>
      </w:r>
      <w:r w:rsidRPr="00424813" w:rsidR="000808B5">
        <w:t>d</w:t>
      </w:r>
      <w:r w:rsidRPr="00424813">
        <w:t xml:space="preserve"> the </w:t>
      </w:r>
      <w:r w:rsidRPr="00424813" w:rsidR="00CF2D41">
        <w:t>p</w:t>
      </w:r>
      <w:r w:rsidRPr="00424813" w:rsidR="003337B0">
        <w:t xml:space="preserve">anel </w:t>
      </w:r>
      <w:r w:rsidRPr="00424813" w:rsidR="008E5AA6">
        <w:t xml:space="preserve">protocols and </w:t>
      </w:r>
      <w:r w:rsidRPr="00424813">
        <w:t xml:space="preserve">consent </w:t>
      </w:r>
      <w:r w:rsidRPr="00424813" w:rsidR="008E5AA6">
        <w:t xml:space="preserve">forms </w:t>
      </w:r>
      <w:r w:rsidRPr="00424813">
        <w:t>(</w:t>
      </w:r>
      <w:r w:rsidRPr="00424813" w:rsidR="00221554">
        <w:t xml:space="preserve">see </w:t>
      </w:r>
      <w:r w:rsidRPr="00424813">
        <w:t xml:space="preserve">Attachments </w:t>
      </w:r>
      <w:r w:rsidRPr="00424813" w:rsidR="000A2BFD">
        <w:t xml:space="preserve">3-25, 3-26, </w:t>
      </w:r>
      <w:r w:rsidRPr="00424813" w:rsidR="00415E56">
        <w:t xml:space="preserve">3-55, </w:t>
      </w:r>
      <w:r w:rsidRPr="00424813" w:rsidR="000A2BFD">
        <w:t>4-25, 4-26</w:t>
      </w:r>
      <w:r w:rsidRPr="00424813" w:rsidR="00415E56">
        <w:t>, and 4-55</w:t>
      </w:r>
      <w:r w:rsidRPr="00424813">
        <w:t>). The IRB’s primary concern is protecting respondents’ rights, one of which is maintaining the privacy of respondent information to the fullest extent of the law</w:t>
      </w:r>
      <w:r w:rsidRPr="00424813" w:rsidR="00CE4CDF">
        <w:t xml:space="preserve"> and in accordance with </w:t>
      </w:r>
      <w:r w:rsidRPr="00424813" w:rsidR="00221554">
        <w:t>45</w:t>
      </w:r>
      <w:r w:rsidRPr="00424813">
        <w:t xml:space="preserve"> CFR </w:t>
      </w:r>
      <w:r w:rsidRPr="00424813" w:rsidR="005F73FE">
        <w:t>46.103(f)</w:t>
      </w:r>
      <w:r w:rsidRPr="00424813" w:rsidR="003E555B">
        <w:t xml:space="preserve">. </w:t>
      </w:r>
      <w:r w:rsidRPr="00424813" w:rsidR="003337B0">
        <w:t>The IRB will review any amendments to the study protocol before the requested changes are implemented, and conduct annual continuing reviews.</w:t>
      </w:r>
      <w:r w:rsidRPr="00424813" w:rsidR="00FE33EE">
        <w:t xml:space="preserve">    </w:t>
      </w:r>
    </w:p>
    <w:p w:rsidRPr="00424813" w:rsidR="00A00D2F" w:rsidP="000808B5" w:rsidRDefault="00FE33EE" w14:paraId="27317EFB" w14:textId="547EC1CD">
      <w:pPr>
        <w:spacing w:after="120" w:line="360" w:lineRule="auto"/>
        <w:ind w:firstLine="720"/>
      </w:pPr>
      <w:r w:rsidRPr="00424813">
        <w:t xml:space="preserve">This data collection is not covered by the Privacy Act and does not require a SORN because the federal government will never have access to any personally identifiable information </w:t>
      </w:r>
      <w:r w:rsidRPr="00424813" w:rsidR="00012134">
        <w:t>received during the establishment and implementation of the panel</w:t>
      </w:r>
      <w:r w:rsidRPr="00424813">
        <w:t>.  Instead, the government will only receive de-identified data</w:t>
      </w:r>
      <w:r w:rsidRPr="00424813" w:rsidR="00012134">
        <w:t>sets</w:t>
      </w:r>
      <w:r w:rsidRPr="00424813">
        <w:t xml:space="preserve">.  All personally identifiable information </w:t>
      </w:r>
      <w:r w:rsidRPr="00424813" w:rsidR="00944C75">
        <w:t>is</w:t>
      </w:r>
      <w:r w:rsidRPr="00424813">
        <w:t xml:space="preserve"> handled by the contractor</w:t>
      </w:r>
      <w:r w:rsidRPr="00424813" w:rsidR="004C07CB">
        <w:t xml:space="preserve"> that establishes and maintains the </w:t>
      </w:r>
      <w:r w:rsidRPr="00424813" w:rsidR="00CF2D41">
        <w:t>p</w:t>
      </w:r>
      <w:r w:rsidRPr="00424813" w:rsidR="004C07CB">
        <w:t>anel</w:t>
      </w:r>
      <w:r w:rsidRPr="00424813">
        <w:t>.</w:t>
      </w:r>
      <w:r w:rsidRPr="00424813" w:rsidR="004C07CB">
        <w:t xml:space="preserve">  </w:t>
      </w:r>
      <w:r w:rsidRPr="00424813" w:rsidR="00897C6A">
        <w:t>The contractor assign</w:t>
      </w:r>
      <w:r w:rsidRPr="00424813" w:rsidR="00F80B09">
        <w:t>s</w:t>
      </w:r>
      <w:r w:rsidRPr="00424813" w:rsidR="00897C6A">
        <w:t xml:space="preserve"> a unique 8-digit identification number to each sample member and the contractor use</w:t>
      </w:r>
      <w:r w:rsidRPr="00424813" w:rsidR="00F80B09">
        <w:t>s</w:t>
      </w:r>
      <w:r w:rsidRPr="00424813" w:rsidR="00897C6A">
        <w:t xml:space="preserve"> this number to maintain linkages between the survey data files and control system files that the contractor maintains.  </w:t>
      </w:r>
      <w:r w:rsidRPr="00424813" w:rsidR="004C07CB">
        <w:t>The contractor remove</w:t>
      </w:r>
      <w:r w:rsidRPr="00424813" w:rsidR="00F80B09">
        <w:t>s</w:t>
      </w:r>
      <w:r w:rsidRPr="00424813" w:rsidR="004C07CB">
        <w:t xml:space="preserve"> the following sensitive data to produce the datasets to be delivered to the government: a) names, addresses, telephone numbers, and email addresses for panel members, </w:t>
      </w:r>
      <w:r w:rsidRPr="00424813" w:rsidR="00BD591C">
        <w:t>b</w:t>
      </w:r>
      <w:r w:rsidRPr="00424813" w:rsidR="004C07CB">
        <w:t xml:space="preserve">) names of all household members, and </w:t>
      </w:r>
      <w:r w:rsidRPr="00424813" w:rsidR="00BD591C">
        <w:t>c</w:t>
      </w:r>
      <w:r w:rsidRPr="00424813" w:rsidR="004C07CB">
        <w:t xml:space="preserve">) names, addresses, telephone numbers, and email addresses of contact persons. </w:t>
      </w:r>
      <w:r w:rsidRPr="00424813">
        <w:t xml:space="preserve"> </w:t>
      </w:r>
    </w:p>
    <w:p w:rsidRPr="00424813" w:rsidR="003E555B" w:rsidP="000808B5" w:rsidRDefault="00A00D2F" w14:paraId="30E1330F" w14:textId="3A0BD709">
      <w:pPr>
        <w:spacing w:after="120" w:line="360" w:lineRule="auto"/>
        <w:ind w:firstLine="720"/>
      </w:pPr>
      <w:r w:rsidRPr="00424813">
        <w:rPr>
          <w:rFonts w:eastAsiaTheme="minorEastAsia"/>
        </w:rPr>
        <w:t xml:space="preserve">All data collection activities </w:t>
      </w:r>
      <w:r w:rsidRPr="00424813" w:rsidR="00944C75">
        <w:rPr>
          <w:rFonts w:eastAsiaTheme="minorEastAsia"/>
        </w:rPr>
        <w:t>are</w:t>
      </w:r>
      <w:r w:rsidRPr="00424813">
        <w:rPr>
          <w:rFonts w:eastAsiaTheme="minorEastAsia"/>
        </w:rPr>
        <w:t xml:space="preserve"> conducted in full compliance with FDA regulations to maintain the privacy of data obtained from respondents and to protect the rights and welfare of </w:t>
      </w:r>
      <w:r w:rsidRPr="00424813">
        <w:rPr>
          <w:rFonts w:eastAsiaTheme="minorEastAsia"/>
        </w:rPr>
        <w:lastRenderedPageBreak/>
        <w:t xml:space="preserve">human research subjects as contained in their regulations. Respondents receive information about privacy protections as part of the informed consent process. </w:t>
      </w:r>
    </w:p>
    <w:p w:rsidRPr="00424813" w:rsidR="003E555B" w:rsidP="00A73FDC" w:rsidRDefault="003E555B" w14:paraId="4A70920D" w14:textId="7D659633">
      <w:pPr>
        <w:pStyle w:val="Heading3"/>
      </w:pPr>
      <w:bookmarkStart w:name="_Toc33529721" w:id="51"/>
      <w:r w:rsidRPr="00424813">
        <w:t>A.10.1</w:t>
      </w:r>
      <w:r w:rsidRPr="00424813">
        <w:tab/>
      </w:r>
      <w:r w:rsidRPr="00424813" w:rsidR="008803F7">
        <w:t>Procedures for Protecting</w:t>
      </w:r>
      <w:r w:rsidRPr="00424813">
        <w:t xml:space="preserve"> Data Collect</w:t>
      </w:r>
      <w:r w:rsidRPr="00424813" w:rsidR="005B6B2A">
        <w:t>ed</w:t>
      </w:r>
      <w:r w:rsidRPr="00424813" w:rsidR="008803F7">
        <w:t xml:space="preserve"> from Participants</w:t>
      </w:r>
      <w:bookmarkEnd w:id="51"/>
    </w:p>
    <w:p w:rsidRPr="00424813" w:rsidR="00F31F6C" w:rsidP="00F31F6C" w:rsidRDefault="00F31F6C" w14:paraId="3811F463" w14:textId="77777777">
      <w:pPr>
        <w:pStyle w:val="bodytextpsg"/>
      </w:pPr>
      <w:r w:rsidRPr="00424813">
        <w:t xml:space="preserve">PRIVACY ANALYSIS &amp; DESIGN </w:t>
      </w:r>
    </w:p>
    <w:p w:rsidRPr="00424813" w:rsidR="00F31F6C" w:rsidP="00F31F6C" w:rsidRDefault="00F31F6C" w14:paraId="23D953CE" w14:textId="44295D75">
      <w:pPr>
        <w:pStyle w:val="bodytextpsg"/>
      </w:pPr>
      <w:r w:rsidRPr="00424813">
        <w:t xml:space="preserve">In developing this study, </w:t>
      </w:r>
      <w:r w:rsidRPr="00424813" w:rsidR="003B257F">
        <w:t>FDA-CTP</w:t>
      </w:r>
      <w:r w:rsidRPr="00424813">
        <w:t xml:space="preserve"> consulted the agency Privacy Officer to identify potential risks to the privacy of </w:t>
      </w:r>
      <w:r w:rsidRPr="00424813" w:rsidR="0094471E">
        <w:t xml:space="preserve">survey </w:t>
      </w:r>
      <w:r w:rsidRPr="00424813">
        <w:t xml:space="preserve">participants </w:t>
      </w:r>
      <w:r w:rsidRPr="00424813" w:rsidR="0094471E">
        <w:t>and panel members</w:t>
      </w:r>
      <w:r w:rsidRPr="00424813">
        <w:t xml:space="preserve"> whose information may be handled on behalf of FDA in the performance of this study. FDA designed the study to minimize privacy risks in keeping with the Fair Information Practice Principles (FIPPs) and applying controls selected from the National Institute of Standards and Technology (NIST), Special Publication 800-53, Security and Privacy Controls for Federal Information Systems and Organizations. </w:t>
      </w:r>
      <w:r w:rsidRPr="00424813" w:rsidR="003B257F">
        <w:t>CTP</w:t>
      </w:r>
      <w:r w:rsidRPr="00424813">
        <w:t xml:space="preserve"> also identified privacy compliance requirements and coordinated with FDA’s Privacy Officer to ensure responsible offices in the </w:t>
      </w:r>
      <w:r w:rsidRPr="00424813" w:rsidR="003B257F">
        <w:t>CTP</w:t>
      </w:r>
      <w:r w:rsidRPr="00424813">
        <w:t xml:space="preserve"> satisfy all in accordance with law and policy.</w:t>
      </w:r>
    </w:p>
    <w:p w:rsidRPr="00424813" w:rsidR="00F31F6C" w:rsidP="00F31F6C" w:rsidRDefault="00F31F6C" w14:paraId="6370D782" w14:textId="77777777">
      <w:pPr>
        <w:pStyle w:val="bodytextpsg"/>
      </w:pPr>
      <w:r w:rsidRPr="00424813">
        <w:t>PII Collection</w:t>
      </w:r>
    </w:p>
    <w:p w:rsidRPr="00424813" w:rsidR="00F31F6C" w:rsidP="00F31F6C" w:rsidRDefault="00F31F6C" w14:paraId="7B086F9D" w14:textId="21326863">
      <w:pPr>
        <w:pStyle w:val="bodytextpsg"/>
      </w:pPr>
      <w:r w:rsidRPr="00424813">
        <w:t xml:space="preserve">As part of this study, </w:t>
      </w:r>
      <w:r w:rsidRPr="00424813" w:rsidR="003B257F">
        <w:t>CTP</w:t>
      </w:r>
      <w:r w:rsidRPr="00424813" w:rsidR="0018201E">
        <w:t xml:space="preserve">’s </w:t>
      </w:r>
      <w:r w:rsidRPr="00424813">
        <w:t>contractor</w:t>
      </w:r>
      <w:r w:rsidRPr="00424813" w:rsidR="0018201E">
        <w:t>,</w:t>
      </w:r>
      <w:r w:rsidRPr="00424813">
        <w:t xml:space="preserve"> acting on behalf of FDA</w:t>
      </w:r>
      <w:r w:rsidRPr="00424813" w:rsidR="0018201E">
        <w:t>,</w:t>
      </w:r>
      <w:r w:rsidRPr="00424813">
        <w:t xml:space="preserve"> collect</w:t>
      </w:r>
      <w:r w:rsidR="00196101">
        <w:t>s</w:t>
      </w:r>
      <w:r w:rsidRPr="00424813">
        <w:t xml:space="preserve"> and maintain</w:t>
      </w:r>
      <w:r w:rsidR="00196101">
        <w:t>s</w:t>
      </w:r>
      <w:r w:rsidRPr="00424813">
        <w:t xml:space="preserve"> personally identifiable information (PII) about potential </w:t>
      </w:r>
      <w:r w:rsidRPr="00424813" w:rsidR="003B257F">
        <w:t xml:space="preserve">survey </w:t>
      </w:r>
      <w:r w:rsidRPr="00424813">
        <w:t xml:space="preserve">participants, </w:t>
      </w:r>
      <w:r w:rsidRPr="00424813" w:rsidR="003B257F">
        <w:t>household screening</w:t>
      </w:r>
      <w:r w:rsidRPr="00424813" w:rsidR="00BE221B">
        <w:t xml:space="preserve"> respondents, </w:t>
      </w:r>
      <w:r w:rsidRPr="00424813" w:rsidR="003B257F">
        <w:t>enrollment survey respondents</w:t>
      </w:r>
      <w:r w:rsidRPr="00424813" w:rsidR="00E23A84">
        <w:t>, and enrolled panel members.</w:t>
      </w:r>
      <w:r w:rsidRPr="00424813">
        <w:t xml:space="preserve"> The PII about </w:t>
      </w:r>
      <w:r w:rsidRPr="00424813" w:rsidR="00813995">
        <w:t xml:space="preserve">potential survey respondents </w:t>
      </w:r>
      <w:r w:rsidRPr="00424813">
        <w:t xml:space="preserve">consists of </w:t>
      </w:r>
      <w:r w:rsidRPr="00424813" w:rsidR="00813995">
        <w:t>the addresses s</w:t>
      </w:r>
      <w:r w:rsidRPr="00424813" w:rsidR="0099260C">
        <w:t>elected</w:t>
      </w:r>
      <w:r w:rsidRPr="00424813" w:rsidR="00813995">
        <w:t xml:space="preserve"> </w:t>
      </w:r>
      <w:r w:rsidRPr="00424813" w:rsidR="0018201E">
        <w:t xml:space="preserve">via address-based sampling </w:t>
      </w:r>
      <w:r w:rsidRPr="00424813" w:rsidR="00813995">
        <w:t>for household screening</w:t>
      </w:r>
      <w:r w:rsidRPr="00424813" w:rsidR="0099260C">
        <w:t xml:space="preserve"> in 80 primary sampling units (PSUs) across the nation.</w:t>
      </w:r>
      <w:r w:rsidRPr="00424813">
        <w:t xml:space="preserve"> The PII about </w:t>
      </w:r>
      <w:r w:rsidRPr="00424813" w:rsidR="0074643A">
        <w:t>household screening respondents</w:t>
      </w:r>
      <w:r w:rsidRPr="00424813">
        <w:t xml:space="preserve"> consists of </w:t>
      </w:r>
      <w:r w:rsidRPr="00424813" w:rsidR="007442F2">
        <w:t xml:space="preserve"> </w:t>
      </w:r>
      <w:r w:rsidRPr="00424813" w:rsidR="000A3674">
        <w:t xml:space="preserve">respondent and </w:t>
      </w:r>
      <w:r w:rsidRPr="00424813" w:rsidR="007442F2">
        <w:t>household member</w:t>
      </w:r>
      <w:r w:rsidRPr="00424813" w:rsidR="000A3674">
        <w:t xml:space="preserve"> names and address of household</w:t>
      </w:r>
      <w:r w:rsidRPr="00424813" w:rsidR="007442F2">
        <w:t>s</w:t>
      </w:r>
      <w:r w:rsidRPr="00424813" w:rsidR="00BA072B">
        <w:t xml:space="preserve">, </w:t>
      </w:r>
      <w:r w:rsidRPr="00424813">
        <w:t xml:space="preserve">and is collected directly from the </w:t>
      </w:r>
      <w:r w:rsidRPr="00424813" w:rsidR="00BA072B">
        <w:t>adult household screening respondent.</w:t>
      </w:r>
      <w:r w:rsidRPr="00424813">
        <w:t xml:space="preserve"> The PII about </w:t>
      </w:r>
      <w:r w:rsidRPr="00424813" w:rsidR="0079557E">
        <w:t>enrollment survey respondents</w:t>
      </w:r>
      <w:r w:rsidRPr="00424813">
        <w:t xml:space="preserve"> consists of </w:t>
      </w:r>
      <w:r w:rsidRPr="00424813" w:rsidR="0079557E">
        <w:t xml:space="preserve">name, address, telephone numbers, email addresses, </w:t>
      </w:r>
      <w:r w:rsidRPr="00424813" w:rsidR="00E23A84">
        <w:t>and contact person information</w:t>
      </w:r>
      <w:r w:rsidRPr="00424813" w:rsidR="0079557E">
        <w:t xml:space="preserve"> for the eligible adult selected for the panel, </w:t>
      </w:r>
      <w:r w:rsidRPr="00424813">
        <w:t xml:space="preserve">and is collected directly from the </w:t>
      </w:r>
      <w:r w:rsidRPr="00424813" w:rsidR="0079557E">
        <w:t>enrollment survey respondent.</w:t>
      </w:r>
      <w:r w:rsidRPr="00424813" w:rsidR="00E23A84">
        <w:t xml:space="preserve"> </w:t>
      </w:r>
      <w:r w:rsidRPr="00424813" w:rsidR="006E046B">
        <w:t>U</w:t>
      </w:r>
      <w:r w:rsidRPr="00424813" w:rsidR="00E23A84">
        <w:t xml:space="preserve">pdated contact information (name, address, telephone numbers, email addresses, and contact person information) may be provided directly by the panel member </w:t>
      </w:r>
      <w:r w:rsidRPr="00424813" w:rsidR="0018201E">
        <w:t xml:space="preserve">or updated through panel tracing and/or nonresponse prompting activities. </w:t>
      </w:r>
      <w:r w:rsidRPr="00424813" w:rsidR="0082004D">
        <w:t xml:space="preserve">An estimated </w:t>
      </w:r>
      <w:r w:rsidR="00CA58EF">
        <w:t>74,165</w:t>
      </w:r>
      <w:r w:rsidRPr="00424813" w:rsidR="0082004D">
        <w:t xml:space="preserve"> household screening respondents and </w:t>
      </w:r>
      <w:r w:rsidR="00CA58EF">
        <w:t>9,000</w:t>
      </w:r>
      <w:r w:rsidRPr="00424813" w:rsidR="00500533">
        <w:rPr>
          <w:rStyle w:val="FootnoteReference"/>
        </w:rPr>
        <w:footnoteReference w:id="3"/>
      </w:r>
      <w:r w:rsidRPr="00424813" w:rsidR="0082004D">
        <w:t xml:space="preserve"> </w:t>
      </w:r>
      <w:r w:rsidRPr="00424813" w:rsidR="00500533">
        <w:t xml:space="preserve">enrollment/baseline </w:t>
      </w:r>
      <w:r w:rsidRPr="00424813" w:rsidR="00500533">
        <w:lastRenderedPageBreak/>
        <w:t xml:space="preserve">survey respondents </w:t>
      </w:r>
      <w:r w:rsidRPr="00424813" w:rsidR="0082004D">
        <w:t xml:space="preserve">are expected to provide PII. </w:t>
      </w:r>
      <w:r w:rsidRPr="00424813" w:rsidR="00401237">
        <w:t xml:space="preserve">FDA does not receive PII data. </w:t>
      </w:r>
      <w:r w:rsidRPr="00424813" w:rsidR="009345B5">
        <w:t xml:space="preserve">All PII data is handled by the contractor that establishes and maintains the panel.  </w:t>
      </w:r>
    </w:p>
    <w:p w:rsidRPr="00424813" w:rsidR="00F31F6C" w:rsidP="00F31F6C" w:rsidRDefault="00F31F6C" w14:paraId="0DAECEA1" w14:textId="77777777">
      <w:pPr>
        <w:pStyle w:val="bodytextpsg"/>
      </w:pPr>
      <w:r w:rsidRPr="00424813">
        <w:t xml:space="preserve">Privacy Act Applicability </w:t>
      </w:r>
    </w:p>
    <w:p w:rsidRPr="00424813" w:rsidR="00F31F6C" w:rsidP="00F31F6C" w:rsidRDefault="00F31F6C" w14:paraId="06399BE2" w14:textId="55C3557C">
      <w:pPr>
        <w:pStyle w:val="bodytextpsg"/>
      </w:pPr>
      <w:r w:rsidRPr="00424813">
        <w:t>The information collection is not subject to the Privacy Act of 1974. Hence, no Privacy Act Statement is required to be displayed on the form, website, mobile application or other point at which information</w:t>
      </w:r>
      <w:r w:rsidRPr="00424813" w:rsidR="00941545">
        <w:t xml:space="preserve"> is collected</w:t>
      </w:r>
      <w:r w:rsidRPr="00424813">
        <w:t xml:space="preserve">. </w:t>
      </w:r>
    </w:p>
    <w:p w:rsidRPr="00424813" w:rsidR="00F31F6C" w:rsidP="00F31F6C" w:rsidRDefault="00F31F6C" w14:paraId="40A09F61" w14:textId="77777777">
      <w:pPr>
        <w:pStyle w:val="bodytextpsg"/>
      </w:pPr>
      <w:r w:rsidRPr="00424813">
        <w:t>Data Minimization</w:t>
      </w:r>
    </w:p>
    <w:p w:rsidRPr="00424813" w:rsidR="00F31F6C" w:rsidP="00F31F6C" w:rsidRDefault="00F31F6C" w14:paraId="6D0F28EC" w14:textId="25DB7389">
      <w:pPr>
        <w:pStyle w:val="bodytextpsg"/>
      </w:pPr>
      <w:r w:rsidRPr="00424813">
        <w:t xml:space="preserve">The PII collected or used for this study is limited to the minimum necessary to achieve the authorized purpose and produce a valid study. The purpose of the </w:t>
      </w:r>
      <w:r w:rsidRPr="00424813" w:rsidR="001128AE">
        <w:t>TCS is to assess consumers’ responses to tobacco marketing, warning statements, product labels, and other communications about tobacco products to inform FDA’s regulatory authority over tobacco products.</w:t>
      </w:r>
      <w:r w:rsidRPr="00424813">
        <w:t xml:space="preserve"> The study is authorized under the </w:t>
      </w:r>
      <w:r w:rsidRPr="00424813" w:rsidR="00576090">
        <w:t>Tobacco Control Act (Pub. L.111–31)</w:t>
      </w:r>
      <w:r w:rsidRPr="00424813">
        <w:t xml:space="preserve">. The PII is necessary </w:t>
      </w:r>
      <w:r w:rsidRPr="00424813" w:rsidR="006F44A3">
        <w:t xml:space="preserve">to </w:t>
      </w:r>
      <w:r w:rsidRPr="00424813" w:rsidR="008A724A">
        <w:t xml:space="preserve">screen sampled households, </w:t>
      </w:r>
      <w:r w:rsidRPr="00424813" w:rsidR="006F44A3">
        <w:t xml:space="preserve">select eligible adult tobacco users for the panel, achieve the desired </w:t>
      </w:r>
      <w:r w:rsidRPr="00424813" w:rsidR="008A724A">
        <w:t xml:space="preserve">sample sizes </w:t>
      </w:r>
      <w:r w:rsidRPr="00424813" w:rsidR="00AB14F8">
        <w:t>across</w:t>
      </w:r>
      <w:r w:rsidRPr="00424813" w:rsidR="008A724A">
        <w:t xml:space="preserve"> age and SES domains, and </w:t>
      </w:r>
      <w:r w:rsidRPr="00424813" w:rsidR="006F44A3">
        <w:t xml:space="preserve">maintain contact with panel members </w:t>
      </w:r>
      <w:r w:rsidRPr="00424813" w:rsidR="008A724A">
        <w:t>for the experimentational and observationa</w:t>
      </w:r>
      <w:r w:rsidRPr="00424813" w:rsidR="0016002A">
        <w:t>l</w:t>
      </w:r>
      <w:r w:rsidRPr="00424813" w:rsidR="008A724A">
        <w:t xml:space="preserve"> studies</w:t>
      </w:r>
      <w:r w:rsidRPr="00424813" w:rsidR="00AB14F8">
        <w:t>.</w:t>
      </w:r>
      <w:r w:rsidRPr="00424813">
        <w:t xml:space="preserve">  </w:t>
      </w:r>
    </w:p>
    <w:p w:rsidRPr="00424813" w:rsidR="00F31F6C" w:rsidP="00F31F6C" w:rsidRDefault="00F31F6C" w14:paraId="5135EE6C" w14:textId="32C720EC">
      <w:pPr>
        <w:pStyle w:val="bodytextpsg"/>
      </w:pPr>
      <w:r w:rsidRPr="00424813">
        <w:t xml:space="preserve">FDA has minimized the risk of unnecessary access, disclosure, use or proliferation </w:t>
      </w:r>
      <w:r w:rsidRPr="00424813" w:rsidR="006617B3">
        <w:t xml:space="preserve">of </w:t>
      </w:r>
      <w:r w:rsidRPr="00424813">
        <w:t xml:space="preserve">PII about respondents. </w:t>
      </w:r>
      <w:r w:rsidRPr="00424813" w:rsidR="00872A0A">
        <w:t xml:space="preserve">All PII subjects are provided notice regarding the collection and use of the information they submit. FDA does not receive IP addresses. FDA and its contractors will notify participants if IP addresses are recorded. </w:t>
      </w:r>
      <w:r w:rsidRPr="00424813">
        <w:t>FDA</w:t>
      </w:r>
      <w:r w:rsidRPr="00424813" w:rsidR="00A21AC7">
        <w:t>’s contractor</w:t>
      </w:r>
      <w:r w:rsidRPr="00424813">
        <w:t xml:space="preserve"> </w:t>
      </w:r>
      <w:r w:rsidRPr="00424813" w:rsidR="00A21AC7">
        <w:t xml:space="preserve">will </w:t>
      </w:r>
      <w:r w:rsidRPr="00424813">
        <w:t xml:space="preserve">maintain study records containing PII only as long as required </w:t>
      </w:r>
      <w:r w:rsidRPr="00424813" w:rsidR="00A21AC7">
        <w:t xml:space="preserve">to maintain and replenish the TCS panel and conduct the planned </w:t>
      </w:r>
      <w:r w:rsidRPr="00424813" w:rsidR="0016002A">
        <w:t>experimental</w:t>
      </w:r>
      <w:r w:rsidRPr="00424813" w:rsidR="00A21AC7">
        <w:t xml:space="preserve"> and observational studies. </w:t>
      </w:r>
      <w:r w:rsidRPr="00424813" w:rsidR="00E37DBC">
        <w:t xml:space="preserve">PII will be deleted and/or securely shredded at the conclusion of all panel activities. </w:t>
      </w:r>
      <w:r w:rsidRPr="00424813" w:rsidR="00BA6CBE">
        <w:t xml:space="preserve">Sample and panel member names, addresses, telephone numbers, and email addresses </w:t>
      </w:r>
      <w:r w:rsidRPr="00424813" w:rsidR="00A21AC7">
        <w:t>will not be included on any data file delivered to FDA by the contractor</w:t>
      </w:r>
      <w:r w:rsidRPr="00424813" w:rsidR="00BA6CBE">
        <w:t>.</w:t>
      </w:r>
      <w:r w:rsidRPr="00424813" w:rsidR="00A21AC7">
        <w:t xml:space="preserve"> All open-ended </w:t>
      </w:r>
      <w:r w:rsidRPr="00424813" w:rsidR="00BA6CBE">
        <w:t xml:space="preserve">survey </w:t>
      </w:r>
      <w:r w:rsidRPr="00424813" w:rsidR="00A21AC7">
        <w:t>text responses included on the files will be reviewed by the contract</w:t>
      </w:r>
      <w:r w:rsidRPr="00424813" w:rsidR="00BA6CBE">
        <w:t>or</w:t>
      </w:r>
      <w:r w:rsidRPr="00424813" w:rsidR="00A21AC7">
        <w:t xml:space="preserve"> for the presence of PII. If found, PII will be masked </w:t>
      </w:r>
      <w:r w:rsidRPr="00424813" w:rsidR="00BA6CBE">
        <w:t xml:space="preserve">in the text string </w:t>
      </w:r>
      <w:r w:rsidRPr="00424813" w:rsidR="00A21AC7">
        <w:t xml:space="preserve">by replacing </w:t>
      </w:r>
      <w:r w:rsidRPr="00424813" w:rsidR="00BA6CBE">
        <w:t>it</w:t>
      </w:r>
      <w:r w:rsidRPr="00424813" w:rsidR="00A21AC7">
        <w:t xml:space="preserve"> with generic terminology, such as “[NAME]”. All contractor personnel involved in the project will sign Commitment to Protect Non-Public Information agreement forms, an</w:t>
      </w:r>
      <w:r w:rsidRPr="00424813" w:rsidR="0098607A">
        <w:t xml:space="preserve">d access to PII will be limited </w:t>
      </w:r>
      <w:r w:rsidRPr="00424813" w:rsidR="00A21AC7">
        <w:t xml:space="preserve">to </w:t>
      </w:r>
      <w:r w:rsidRPr="00424813" w:rsidR="0098607A">
        <w:t xml:space="preserve">authorized </w:t>
      </w:r>
      <w:r w:rsidRPr="00424813" w:rsidR="00A21AC7">
        <w:t xml:space="preserve">project staff involved in data processing, data delivery, and panel </w:t>
      </w:r>
      <w:r w:rsidRPr="00424813" w:rsidR="00BA6CBE">
        <w:t xml:space="preserve">data collection and panel maintenance </w:t>
      </w:r>
      <w:r w:rsidRPr="00424813" w:rsidR="00A21AC7">
        <w:t xml:space="preserve">activities. </w:t>
      </w:r>
      <w:r w:rsidRPr="00424813" w:rsidR="00F916D6">
        <w:t xml:space="preserve">Contractors and subcontractors that collect data on behalf of CTP never pass along any PII, and at the most we receive ID numbers.  For these </w:t>
      </w:r>
      <w:r w:rsidRPr="00424813" w:rsidR="00F916D6">
        <w:lastRenderedPageBreak/>
        <w:t xml:space="preserve">collections, we don’t have any systems where we maintain or retrieve PII. In most if not all our contracts we even specify that contractors cannot send FDA any PII. </w:t>
      </w:r>
    </w:p>
    <w:p w:rsidRPr="00424813" w:rsidR="00F31F6C" w:rsidP="00DE4386" w:rsidRDefault="008D43D0" w14:paraId="1D0881C6" w14:textId="663430E8">
      <w:pPr>
        <w:pStyle w:val="bodytextpsg"/>
        <w:ind w:firstLine="0"/>
      </w:pPr>
      <w:r w:rsidRPr="00424813">
        <w:tab/>
      </w:r>
      <w:bookmarkStart w:name="_Hlk515276627" w:id="52"/>
      <w:r w:rsidRPr="00424813" w:rsidR="0098607A">
        <w:t xml:space="preserve">FDA’s contractor </w:t>
      </w:r>
      <w:r w:rsidRPr="00424813" w:rsidR="005D7301">
        <w:t xml:space="preserve">only </w:t>
      </w:r>
      <w:r w:rsidRPr="00424813" w:rsidR="0098607A">
        <w:t>shares</w:t>
      </w:r>
      <w:r w:rsidRPr="00424813" w:rsidR="00F31F6C">
        <w:t xml:space="preserve"> collected PII </w:t>
      </w:r>
      <w:r w:rsidRPr="00424813" w:rsidR="0098607A">
        <w:t xml:space="preserve">for </w:t>
      </w:r>
      <w:r w:rsidRPr="00424813" w:rsidR="00D953F3">
        <w:t xml:space="preserve">(1) </w:t>
      </w:r>
      <w:r w:rsidRPr="00424813" w:rsidR="0098607A">
        <w:t>the secure pri</w:t>
      </w:r>
      <w:r w:rsidRPr="00424813" w:rsidR="00727F94">
        <w:t>n</w:t>
      </w:r>
      <w:r w:rsidRPr="00424813" w:rsidR="0098607A">
        <w:t>ting of some respondent materials (e.g., personalized letters, mailing envelopes)</w:t>
      </w:r>
      <w:r w:rsidRPr="00424813" w:rsidR="00D953F3">
        <w:t>, (2)</w:t>
      </w:r>
      <w:r w:rsidRPr="00424813" w:rsidR="0098607A">
        <w:t xml:space="preserve"> </w:t>
      </w:r>
      <w:r w:rsidRPr="00424813" w:rsidR="00043522">
        <w:t xml:space="preserve">database </w:t>
      </w:r>
      <w:r w:rsidRPr="00424813" w:rsidR="0098607A">
        <w:t>tracing of panel members who may have moved</w:t>
      </w:r>
      <w:r w:rsidRPr="00424813" w:rsidR="00D953F3">
        <w:t xml:space="preserve">, (3) </w:t>
      </w:r>
      <w:r w:rsidRPr="00424813" w:rsidR="00043522">
        <w:t xml:space="preserve">fulfillment activities, </w:t>
      </w:r>
      <w:r w:rsidRPr="00424813" w:rsidR="002865DE">
        <w:t xml:space="preserve">(4) </w:t>
      </w:r>
      <w:r w:rsidRPr="00424813" w:rsidR="00043522">
        <w:t xml:space="preserve">telephone </w:t>
      </w:r>
      <w:r w:rsidRPr="00424813" w:rsidR="002865DE">
        <w:t xml:space="preserve">verification interviews, tracing, and prompting, and (5) </w:t>
      </w:r>
      <w:r w:rsidRPr="00424813" w:rsidR="00043522">
        <w:t xml:space="preserve">field </w:t>
      </w:r>
      <w:r w:rsidRPr="00424813" w:rsidR="002865DE">
        <w:t xml:space="preserve">screening, recruitment, </w:t>
      </w:r>
      <w:r w:rsidRPr="00424813" w:rsidR="00043522">
        <w:t>tracing</w:t>
      </w:r>
      <w:r w:rsidRPr="00424813" w:rsidR="002865DE">
        <w:t>,</w:t>
      </w:r>
      <w:r w:rsidRPr="00424813" w:rsidR="00043522">
        <w:t xml:space="preserve"> and prompting</w:t>
      </w:r>
      <w:r w:rsidRPr="00424813" w:rsidR="00D953F3">
        <w:t xml:space="preserve">. </w:t>
      </w:r>
      <w:r w:rsidRPr="00424813" w:rsidR="0098607A">
        <w:t>The contractor</w:t>
      </w:r>
      <w:r w:rsidRPr="00424813" w:rsidR="008F4A47">
        <w:t>’s</w:t>
      </w:r>
      <w:r w:rsidRPr="00424813" w:rsidR="0098607A">
        <w:t xml:space="preserve"> </w:t>
      </w:r>
      <w:r w:rsidRPr="00424813" w:rsidR="008F4A47">
        <w:t>print vendor</w:t>
      </w:r>
      <w:r w:rsidRPr="00424813" w:rsidR="002067DD">
        <w:t xml:space="preserve">, who does not access the panel systems, </w:t>
      </w:r>
      <w:r w:rsidRPr="00424813" w:rsidR="008F4A47">
        <w:t xml:space="preserve">works in accordance with a detailed Data Security Plan governing submission of print jobs via </w:t>
      </w:r>
      <w:r w:rsidRPr="00424813" w:rsidR="00837993">
        <w:t>their</w:t>
      </w:r>
      <w:r w:rsidRPr="00424813" w:rsidR="008F4A47">
        <w:t xml:space="preserve"> secure web portal</w:t>
      </w:r>
      <w:r w:rsidRPr="00424813" w:rsidR="00837993">
        <w:t>, which</w:t>
      </w:r>
      <w:r w:rsidRPr="00424813" w:rsidR="008F4A47">
        <w:t xml:space="preserve"> uses SSL encryption and automated deletion of files following order receipt. Printing is done in a </w:t>
      </w:r>
      <w:r w:rsidRPr="00424813" w:rsidR="00F961FC">
        <w:t xml:space="preserve">controlled access environment. PII shared for printing purposes is limited to sample </w:t>
      </w:r>
      <w:r w:rsidRPr="00424813" w:rsidR="00984B85">
        <w:t xml:space="preserve">and panel </w:t>
      </w:r>
      <w:r w:rsidRPr="00424813" w:rsidR="00E37BAE">
        <w:t xml:space="preserve">member names and </w:t>
      </w:r>
      <w:r w:rsidRPr="00424813" w:rsidR="00F961FC">
        <w:t xml:space="preserve">addresses and </w:t>
      </w:r>
      <w:r w:rsidRPr="00424813" w:rsidR="00984B85">
        <w:t>contact person information</w:t>
      </w:r>
      <w:r w:rsidRPr="00424813" w:rsidR="00F961FC">
        <w:t xml:space="preserve">. The contractor only uses tracing vendors with whom it has executed </w:t>
      </w:r>
      <w:r w:rsidRPr="00424813" w:rsidR="0098607A">
        <w:t>Data Use Agreements (DUA</w:t>
      </w:r>
      <w:r w:rsidRPr="00424813" w:rsidR="00F961FC">
        <w:t>s</w:t>
      </w:r>
      <w:r w:rsidRPr="00424813" w:rsidR="0098607A">
        <w:t>)</w:t>
      </w:r>
      <w:r w:rsidRPr="00424813" w:rsidR="00F961FC">
        <w:t xml:space="preserve">. The primary purpose of the DUA is to protect PII when it is determined that the existing contact information is incorrect and needs to be updated through tracing. PII shared for tracing purposes is limited to </w:t>
      </w:r>
      <w:r w:rsidRPr="00424813" w:rsidR="00673991">
        <w:t>the names, addresses, and telephone numbers of panel members</w:t>
      </w:r>
      <w:r w:rsidRPr="00424813" w:rsidR="00F961FC">
        <w:t xml:space="preserve"> whose contact information needs to be updated to facilitate ongoing study activities.</w:t>
      </w:r>
      <w:bookmarkEnd w:id="52"/>
      <w:r w:rsidRPr="00424813" w:rsidR="00D953F3">
        <w:t xml:space="preserve"> </w:t>
      </w:r>
      <w:bookmarkStart w:name="_Hlk515277709" w:id="53"/>
      <w:bookmarkStart w:name="_Hlk515278011" w:id="54"/>
      <w:r w:rsidRPr="00424813" w:rsidR="00D953F3">
        <w:t>The contractor</w:t>
      </w:r>
      <w:r w:rsidRPr="00424813" w:rsidR="00245DCA">
        <w:t xml:space="preserve"> </w:t>
      </w:r>
      <w:r w:rsidRPr="00424813" w:rsidR="00E37DBC">
        <w:t xml:space="preserve">also </w:t>
      </w:r>
      <w:r w:rsidRPr="00424813" w:rsidR="00245DCA">
        <w:t xml:space="preserve">uses </w:t>
      </w:r>
      <w:r w:rsidRPr="00424813" w:rsidR="002067DD">
        <w:t>three</w:t>
      </w:r>
      <w:r w:rsidRPr="00424813" w:rsidR="00245DCA">
        <w:t xml:space="preserve"> subcontractors to provide </w:t>
      </w:r>
      <w:r w:rsidRPr="00424813" w:rsidR="00984B85">
        <w:t xml:space="preserve">staff </w:t>
      </w:r>
      <w:r w:rsidRPr="00424813" w:rsidR="00245DCA">
        <w:t xml:space="preserve">recruiting, </w:t>
      </w:r>
      <w:r w:rsidRPr="00424813" w:rsidR="00276E3E">
        <w:t xml:space="preserve">human resources, and </w:t>
      </w:r>
      <w:r w:rsidRPr="00424813" w:rsidR="00245DCA">
        <w:t>payroll</w:t>
      </w:r>
      <w:r w:rsidRPr="00424813" w:rsidR="00276E3E">
        <w:t xml:space="preserve"> services </w:t>
      </w:r>
      <w:r w:rsidRPr="00424813" w:rsidR="000A4D59">
        <w:t>for</w:t>
      </w:r>
      <w:r w:rsidRPr="00424813" w:rsidR="00276E3E">
        <w:t xml:space="preserve"> fulfillment staff, telephone interviewers, and field interviewers who support </w:t>
      </w:r>
      <w:r w:rsidRPr="00424813" w:rsidR="002067DD">
        <w:t>panel</w:t>
      </w:r>
      <w:r w:rsidRPr="00424813" w:rsidR="00276E3E">
        <w:t xml:space="preserve"> data collection activities. </w:t>
      </w:r>
      <w:r w:rsidRPr="00424813" w:rsidR="0085668F">
        <w:t xml:space="preserve">PII may be shared with </w:t>
      </w:r>
      <w:r w:rsidRPr="00424813" w:rsidR="002067DD">
        <w:t>these staff to prepare</w:t>
      </w:r>
      <w:r w:rsidRPr="00424813" w:rsidR="00E37DBC">
        <w:t xml:space="preserve"> </w:t>
      </w:r>
      <w:r w:rsidRPr="00424813" w:rsidR="0085668F">
        <w:t>study mailings</w:t>
      </w:r>
      <w:r w:rsidRPr="00424813" w:rsidR="00E37DBC">
        <w:t>, receipt and proces</w:t>
      </w:r>
      <w:r w:rsidRPr="00424813" w:rsidR="0016002A">
        <w:t>s</w:t>
      </w:r>
      <w:r w:rsidRPr="00424813" w:rsidR="00E37DBC">
        <w:t xml:space="preserve"> </w:t>
      </w:r>
      <w:r w:rsidRPr="00424813" w:rsidR="0085668F">
        <w:t xml:space="preserve">mail survey forms, </w:t>
      </w:r>
      <w:r w:rsidRPr="00424813" w:rsidR="002067DD">
        <w:t xml:space="preserve">conduct </w:t>
      </w:r>
      <w:r w:rsidRPr="00424813" w:rsidR="0085668F">
        <w:t xml:space="preserve">telephone </w:t>
      </w:r>
      <w:r w:rsidRPr="00424813" w:rsidR="00984B85">
        <w:t xml:space="preserve">verification interviews, or conduct telephone or field </w:t>
      </w:r>
      <w:r w:rsidRPr="00424813" w:rsidR="0085668F">
        <w:t xml:space="preserve">tracing, prompting, or data collection activities. </w:t>
      </w:r>
      <w:r w:rsidRPr="00424813" w:rsidR="00276E3E">
        <w:t xml:space="preserve">All fulfillment and interviewing staff </w:t>
      </w:r>
      <w:r w:rsidRPr="00424813" w:rsidR="00984B85">
        <w:t>are required to sign confidentiality agreements when hired. They are also trained</w:t>
      </w:r>
      <w:r w:rsidRPr="00424813" w:rsidR="00276E3E">
        <w:t xml:space="preserve"> on </w:t>
      </w:r>
      <w:r w:rsidRPr="00424813" w:rsidR="00984B85">
        <w:t xml:space="preserve">project-specific protocols for the </w:t>
      </w:r>
      <w:r w:rsidRPr="00424813" w:rsidR="00276E3E">
        <w:t xml:space="preserve">protection of physical and electronic PII and </w:t>
      </w:r>
      <w:r w:rsidRPr="00424813" w:rsidR="000A4D59">
        <w:t xml:space="preserve">are </w:t>
      </w:r>
      <w:r w:rsidRPr="00424813" w:rsidR="00276E3E">
        <w:t xml:space="preserve">required to sign Commitment to Protect Non-Public Information agreement forms. </w:t>
      </w:r>
      <w:r w:rsidRPr="00424813" w:rsidR="009E07A5">
        <w:t>The contractor’s Research Operations Center, which houses its Call Center, tracing, and fulfillment operations</w:t>
      </w:r>
      <w:r w:rsidRPr="00424813" w:rsidR="00F175E6">
        <w:t>,</w:t>
      </w:r>
      <w:r w:rsidRPr="00424813" w:rsidR="009E07A5">
        <w:t xml:space="preserve"> is a controlled access facility. </w:t>
      </w:r>
      <w:bookmarkEnd w:id="53"/>
      <w:r w:rsidRPr="00424813" w:rsidR="000A4D59">
        <w:rPr>
          <w:rFonts w:cs="Minion Pro"/>
          <w:color w:val="000000"/>
          <w:szCs w:val="24"/>
        </w:rPr>
        <w:t xml:space="preserve">The Center complies with the confidentiality and data security guidelines set forth by the National Institute of Standards and Technology (NIST) in </w:t>
      </w:r>
      <w:r w:rsidRPr="00424813" w:rsidR="000A4D59">
        <w:rPr>
          <w:rFonts w:cs="Minion Pro"/>
          <w:i/>
          <w:iCs/>
          <w:color w:val="000000"/>
          <w:szCs w:val="24"/>
        </w:rPr>
        <w:t>Recommended Security Controls for Federal Information Systems and Organizations</w:t>
      </w:r>
      <w:r w:rsidRPr="00424813" w:rsidR="00F175E6">
        <w:rPr>
          <w:rFonts w:cs="Minion Pro"/>
          <w:iCs/>
          <w:color w:val="000000"/>
          <w:szCs w:val="24"/>
        </w:rPr>
        <w:t>, and can accommodate both</w:t>
      </w:r>
      <w:r w:rsidRPr="00424813" w:rsidR="000A4D59">
        <w:rPr>
          <w:rFonts w:cs="Minion Pro"/>
          <w:color w:val="000000"/>
          <w:szCs w:val="24"/>
        </w:rPr>
        <w:t xml:space="preserve"> low- and moderate-risk projects, as defined by NIST’s Federal Information Processing Standards Publication 199, </w:t>
      </w:r>
      <w:r w:rsidRPr="00424813" w:rsidR="000A4D59">
        <w:rPr>
          <w:rFonts w:cs="Minion Pro"/>
          <w:i/>
          <w:iCs/>
          <w:color w:val="000000"/>
          <w:szCs w:val="24"/>
        </w:rPr>
        <w:t>Standards for Security Categorization of Federal Information and Information Systems</w:t>
      </w:r>
      <w:r w:rsidRPr="00424813" w:rsidR="000A4D59">
        <w:rPr>
          <w:rFonts w:cs="Minion Pro"/>
          <w:color w:val="000000"/>
          <w:szCs w:val="24"/>
        </w:rPr>
        <w:t>.</w:t>
      </w:r>
      <w:bookmarkEnd w:id="54"/>
      <w:r w:rsidRPr="00424813" w:rsidR="000A4D59">
        <w:rPr>
          <w:rFonts w:cs="Minion Pro"/>
          <w:color w:val="000000"/>
          <w:szCs w:val="24"/>
        </w:rPr>
        <w:t xml:space="preserve"> </w:t>
      </w:r>
    </w:p>
    <w:p w:rsidRPr="00424813" w:rsidR="00F31F6C" w:rsidP="00F31F6C" w:rsidRDefault="00F31F6C" w14:paraId="6A6748EB" w14:textId="77777777">
      <w:pPr>
        <w:pStyle w:val="bodytextpsg"/>
      </w:pPr>
      <w:r w:rsidRPr="00424813">
        <w:t xml:space="preserve">Notice and Transparency </w:t>
      </w:r>
    </w:p>
    <w:p w:rsidRPr="00424813" w:rsidR="00F31F6C" w:rsidP="00F31F6C" w:rsidRDefault="00F31F6C" w14:paraId="17653DDC" w14:textId="27B4608E">
      <w:pPr>
        <w:pStyle w:val="bodytextpsg"/>
      </w:pPr>
      <w:r w:rsidRPr="00424813">
        <w:lastRenderedPageBreak/>
        <w:t xml:space="preserve">All PII subjects are provided notice regarding the collection and use of the information they submit. </w:t>
      </w:r>
      <w:r w:rsidRPr="00424813" w:rsidR="000A7893">
        <w:t xml:space="preserve">This </w:t>
      </w:r>
      <w:r w:rsidRPr="00424813" w:rsidR="008334E9">
        <w:t>is communicated through</w:t>
      </w:r>
      <w:r w:rsidRPr="00424813" w:rsidR="000A7893">
        <w:t xml:space="preserve"> </w:t>
      </w:r>
      <w:r w:rsidRPr="00424813" w:rsidR="00BF4331">
        <w:t xml:space="preserve">the survey </w:t>
      </w:r>
      <w:r w:rsidRPr="00424813" w:rsidR="00671365">
        <w:t>descriptions</w:t>
      </w:r>
      <w:r w:rsidRPr="00424813" w:rsidR="00BF4331">
        <w:t xml:space="preserve"> that </w:t>
      </w:r>
      <w:r w:rsidRPr="00424813" w:rsidR="008334E9">
        <w:t>are</w:t>
      </w:r>
      <w:r w:rsidRPr="00424813" w:rsidR="00BF4331">
        <w:t xml:space="preserve"> read to or by </w:t>
      </w:r>
      <w:r w:rsidRPr="00424813" w:rsidR="00BA6CBE">
        <w:t>the</w:t>
      </w:r>
      <w:r w:rsidRPr="00424813" w:rsidR="00BF4331">
        <w:t xml:space="preserve"> participant at the beginning of each survey, the informed consent statements/forms associated with </w:t>
      </w:r>
      <w:r w:rsidRPr="00424813" w:rsidR="00671365">
        <w:t>the study</w:t>
      </w:r>
      <w:r w:rsidRPr="00424813" w:rsidR="00BF4331">
        <w:t xml:space="preserve">, the </w:t>
      </w:r>
      <w:r w:rsidRPr="00424813" w:rsidR="002F1B27">
        <w:t>TCS study brochure</w:t>
      </w:r>
      <w:r w:rsidRPr="00424813" w:rsidR="00BF4331">
        <w:t xml:space="preserve"> provided to panel members</w:t>
      </w:r>
      <w:r w:rsidRPr="00424813" w:rsidR="002F1B27">
        <w:t xml:space="preserve">, </w:t>
      </w:r>
      <w:r w:rsidRPr="00424813" w:rsidR="00BF4331">
        <w:t>and in the Frequently Asked Questions pages of the study website.</w:t>
      </w:r>
      <w:r w:rsidRPr="00424813" w:rsidR="000A7893">
        <w:t xml:space="preserve"> </w:t>
      </w:r>
      <w:r w:rsidRPr="00424813" w:rsidR="00BA6CBE">
        <w:t>The panel data collection f</w:t>
      </w:r>
      <w:r w:rsidRPr="00424813">
        <w:t>orms, web</w:t>
      </w:r>
      <w:r w:rsidRPr="00424813" w:rsidR="00BA6CBE">
        <w:t>site</w:t>
      </w:r>
      <w:r w:rsidRPr="00424813">
        <w:t xml:space="preserve"> </w:t>
      </w:r>
      <w:r w:rsidRPr="00424813" w:rsidR="00BA6CBE">
        <w:t xml:space="preserve">pages, </w:t>
      </w:r>
      <w:r w:rsidRPr="00424813">
        <w:t>and other study materials are clearly branded as FDA</w:t>
      </w:r>
      <w:r w:rsidRPr="00424813" w:rsidR="00BA6CBE">
        <w:t>-sponsored</w:t>
      </w:r>
      <w:r w:rsidRPr="00424813">
        <w:t xml:space="preserve"> products.</w:t>
      </w:r>
    </w:p>
    <w:p w:rsidRPr="00424813" w:rsidR="00F31F6C" w:rsidP="00F31F6C" w:rsidRDefault="00F31F6C" w14:paraId="61E2FB7E" w14:textId="6A861EA7">
      <w:pPr>
        <w:pStyle w:val="bodytextpsg"/>
      </w:pPr>
      <w:r w:rsidRPr="00424813">
        <w:t xml:space="preserve"> </w:t>
      </w:r>
      <w:r w:rsidRPr="00424813" w:rsidR="00DC0549">
        <w:t>T</w:t>
      </w:r>
      <w:r w:rsidRPr="00424813">
        <w:t>he privacy compliance documentation materials such as Privacy Impact Assessments are typically posted on HHS.gov and linked on FDA.gov to provide further notice and transparency regarding this collection.</w:t>
      </w:r>
    </w:p>
    <w:p w:rsidRPr="00424813" w:rsidR="00F31F6C" w:rsidP="00F31F6C" w:rsidRDefault="00DC0549" w14:paraId="60B0E6A9" w14:textId="57B774DF">
      <w:pPr>
        <w:pStyle w:val="bodytextpsg"/>
      </w:pPr>
      <w:r w:rsidRPr="00424813" w:rsidDel="00DC0549">
        <w:t xml:space="preserve"> </w:t>
      </w:r>
      <w:r w:rsidRPr="00424813" w:rsidR="00F31F6C">
        <w:t xml:space="preserve">FDA </w:t>
      </w:r>
      <w:r w:rsidRPr="00424813" w:rsidR="00A074F0">
        <w:t xml:space="preserve">and its contractor </w:t>
      </w:r>
      <w:r w:rsidRPr="00424813" w:rsidR="00F31F6C">
        <w:t xml:space="preserve">identified certain privacy risks entailed in this study. </w:t>
      </w:r>
      <w:r w:rsidRPr="00424813" w:rsidR="00255BEB">
        <w:t>Study partic</w:t>
      </w:r>
      <w:r w:rsidRPr="00424813" w:rsidR="007F3834">
        <w:t>i</w:t>
      </w:r>
      <w:r w:rsidRPr="00424813" w:rsidR="00255BEB">
        <w:t>pants</w:t>
      </w:r>
      <w:r w:rsidRPr="00424813" w:rsidR="00F31F6C">
        <w:t xml:space="preserve"> have control over the information they submit and may choose to submit PII about other individuals who have not been provided notice or an opportunity to object or consent. To mitigate this risk, </w:t>
      </w:r>
      <w:r w:rsidRPr="00424813" w:rsidR="00F2376F">
        <w:t>panel</w:t>
      </w:r>
      <w:r w:rsidRPr="00424813" w:rsidR="00671365">
        <w:t xml:space="preserve"> </w:t>
      </w:r>
      <w:r w:rsidRPr="00424813" w:rsidR="00F31F6C">
        <w:t xml:space="preserve">enrollment </w:t>
      </w:r>
      <w:r w:rsidRPr="00424813" w:rsidR="00255BEB">
        <w:t xml:space="preserve">questionnaires and </w:t>
      </w:r>
      <w:r w:rsidRPr="00424813" w:rsidR="00F31F6C">
        <w:t xml:space="preserve">documents </w:t>
      </w:r>
      <w:r w:rsidRPr="00424813" w:rsidR="00255BEB">
        <w:t>limit the amount of collected PII to that information needed for household eligibility screening and panel member contact during planned studies and panel maintenance activities. The use of open-ended text field</w:t>
      </w:r>
      <w:r w:rsidRPr="00424813" w:rsidR="00671365">
        <w:t>s</w:t>
      </w:r>
      <w:r w:rsidRPr="00424813" w:rsidR="00255BEB">
        <w:t xml:space="preserve"> to gather information is also avoided when possible.</w:t>
      </w:r>
      <w:r w:rsidRPr="00424813" w:rsidR="00671365">
        <w:t xml:space="preserve"> Access to the contact information section of the study website, as well as the online experimental and observational studies launched through the study website, requires the entry of panel member unique login credentials.</w:t>
      </w:r>
      <w:r w:rsidRPr="00424813" w:rsidR="00255BEB">
        <w:t xml:space="preserve"> </w:t>
      </w:r>
      <w:r w:rsidRPr="00424813" w:rsidR="00F31F6C">
        <w:t xml:space="preserve"> </w:t>
      </w:r>
    </w:p>
    <w:p w:rsidRPr="00424813" w:rsidR="00F31F6C" w:rsidP="00F31F6C" w:rsidRDefault="00F31F6C" w14:paraId="7D8DC831" w14:textId="77777777">
      <w:pPr>
        <w:pStyle w:val="bodytextpsg"/>
      </w:pPr>
      <w:r w:rsidRPr="00424813">
        <w:t>Individual Participation and Control</w:t>
      </w:r>
    </w:p>
    <w:p w:rsidRPr="00424813" w:rsidR="00F31F6C" w:rsidP="00F31F6C" w:rsidRDefault="005112F4" w14:paraId="43460818" w14:textId="1C46BC74">
      <w:pPr>
        <w:pStyle w:val="bodytextpsg"/>
      </w:pPr>
      <w:r w:rsidRPr="00424813">
        <w:t>Participation in all TCS surveys is voluntary and respondents can skip any question they do not want to answer. Household screening respondents are read an informed consent statement as part of the questionnaire introduction and verbally consent to participat</w:t>
      </w:r>
      <w:r w:rsidRPr="00424813" w:rsidR="00A074F0">
        <w:t>e</w:t>
      </w:r>
      <w:r w:rsidRPr="00424813">
        <w:t xml:space="preserve"> in the interview. Enrollment survey respondents are read and required to sign a written informed consent form as part of their panel enrollment process; the enrollment process includes completing both the enrollment and baseline survey components. </w:t>
      </w:r>
      <w:r w:rsidRPr="00424813" w:rsidR="00044F4D">
        <w:t>Panel members who agree to participate using a study-provided table</w:t>
      </w:r>
      <w:r w:rsidRPr="00424813" w:rsidR="00F2376F">
        <w:t>t</w:t>
      </w:r>
      <w:r w:rsidRPr="00424813" w:rsidR="00044F4D">
        <w:t xml:space="preserve"> also sign an equipment agreement form acknowledging their use of the loaned device while participating in the panel and the steps to be taken by the contractor to clean and restore the device to factory settings upon its return. </w:t>
      </w:r>
      <w:r w:rsidRPr="00424813">
        <w:t xml:space="preserve">Panel members who respond to the experimental and observational studies are provided an informed consent statement as part of their web and mail survey questionnaires. Web participants to the studies indicate their </w:t>
      </w:r>
      <w:r w:rsidRPr="00424813">
        <w:lastRenderedPageBreak/>
        <w:t xml:space="preserve">agreement to complete the online surveys by answering a yes/no consent question at the beginning of the </w:t>
      </w:r>
      <w:r w:rsidRPr="00424813" w:rsidR="00C070D4">
        <w:t>online survey</w:t>
      </w:r>
      <w:r w:rsidRPr="00424813">
        <w:t xml:space="preserve">. Mail participants </w:t>
      </w:r>
      <w:r w:rsidRPr="00424813" w:rsidR="00C070D4">
        <w:t xml:space="preserve">to the studies </w:t>
      </w:r>
      <w:r w:rsidRPr="00424813">
        <w:t xml:space="preserve">indicate their </w:t>
      </w:r>
      <w:r w:rsidRPr="00424813" w:rsidR="004E7F08">
        <w:t>agreement</w:t>
      </w:r>
      <w:r w:rsidRPr="00424813">
        <w:t xml:space="preserve"> to participate by completing and ret</w:t>
      </w:r>
      <w:r w:rsidRPr="00424813" w:rsidR="00302688">
        <w:t>urning the</w:t>
      </w:r>
      <w:r w:rsidRPr="00424813">
        <w:t xml:space="preserve"> paper survey form to the contractor. </w:t>
      </w:r>
      <w:r w:rsidRPr="00424813" w:rsidR="00323220">
        <w:t>Subjects can refuse to participate in any study and can opt out of the panel entirely. Panel members will be disenrolled from the panel at their request.</w:t>
      </w:r>
      <w:r w:rsidRPr="00424813" w:rsidR="00FD3DA4">
        <w:t xml:space="preserve"> Near the end of their 3-year panel commitment period, panel members may be invited to continue their participation in the TCS for u</w:t>
      </w:r>
      <w:r w:rsidRPr="00424813" w:rsidR="00005A12">
        <w:t>p</w:t>
      </w:r>
      <w:r w:rsidRPr="00424813" w:rsidR="00FD3DA4">
        <w:t xml:space="preserve"> to 3 years through a web/mail re-consent process. </w:t>
      </w:r>
      <w:r w:rsidRPr="00424813" w:rsidR="007924AF">
        <w:t>Web re-consent would involve reading the re-consent script and actively consenting (answering “yes” or “no”) to continue participation in the panel. Mail re-consent would involve signing and returning the re-consent form to the contractor.</w:t>
      </w:r>
      <w:r w:rsidRPr="00424813" w:rsidR="00AB73AA">
        <w:t xml:space="preserve"> As part of their panel enrollment consent, and the re-consent process </w:t>
      </w:r>
      <w:r w:rsidRPr="00424813" w:rsidR="008141E7">
        <w:t>(</w:t>
      </w:r>
      <w:r w:rsidRPr="00424813" w:rsidR="00AB73AA">
        <w:t>if implemented</w:t>
      </w:r>
      <w:r w:rsidRPr="00424813" w:rsidR="008141E7">
        <w:t>)</w:t>
      </w:r>
      <w:r w:rsidRPr="00424813" w:rsidR="00AB73AA">
        <w:t xml:space="preserve">, panel members will be informed </w:t>
      </w:r>
      <w:r w:rsidRPr="00424813" w:rsidR="00B1542B">
        <w:t>that a Certificate of Confidenti</w:t>
      </w:r>
      <w:r w:rsidR="00EE14F8">
        <w:t>ality</w:t>
      </w:r>
      <w:r w:rsidRPr="00424813" w:rsidR="00B1542B">
        <w:t xml:space="preserve"> exists for this research</w:t>
      </w:r>
      <w:r w:rsidRPr="00424813" w:rsidR="009A5DFB">
        <w:t xml:space="preserve">. </w:t>
      </w:r>
      <w:r w:rsidRPr="00424813" w:rsidR="00A110C9">
        <w:t>Panel members will also be informed</w:t>
      </w:r>
      <w:r w:rsidRPr="00424813" w:rsidR="009A5DFB">
        <w:t xml:space="preserve"> that</w:t>
      </w:r>
      <w:r w:rsidRPr="00424813" w:rsidR="00AB73AA">
        <w:t xml:space="preserve"> TCS researchers may use, share, or release their deidentified panel data for similar research in the future without obtaining additional informed consent. </w:t>
      </w:r>
      <w:r w:rsidRPr="00424813" w:rsidR="00BF4331">
        <w:t xml:space="preserve"> </w:t>
      </w:r>
    </w:p>
    <w:p w:rsidRPr="00424813" w:rsidR="00F31F6C" w:rsidP="00F31F6C" w:rsidRDefault="00F31F6C" w14:paraId="35D7438F" w14:textId="77777777">
      <w:pPr>
        <w:pStyle w:val="bodytextpsg"/>
      </w:pPr>
      <w:r w:rsidRPr="00424813">
        <w:t>Data Security</w:t>
      </w:r>
    </w:p>
    <w:p w:rsidRPr="00424813" w:rsidR="00F31F6C" w:rsidP="00F31F6C" w:rsidRDefault="00BA6CBE" w14:paraId="3D2A96FA" w14:textId="10E67D2B">
      <w:pPr>
        <w:pStyle w:val="bodytextpsg"/>
      </w:pPr>
      <w:r w:rsidRPr="00424813">
        <w:t xml:space="preserve">A detailed description of the steps to protect the privacy of information collected </w:t>
      </w:r>
      <w:r w:rsidRPr="00424813" w:rsidR="009B06C5">
        <w:t xml:space="preserve">in-person, </w:t>
      </w:r>
      <w:r w:rsidRPr="00424813">
        <w:t xml:space="preserve">online, by </w:t>
      </w:r>
      <w:r w:rsidRPr="00424813" w:rsidR="009B06C5">
        <w:t>mail, and through the use of study-provided tablets</w:t>
      </w:r>
      <w:r w:rsidRPr="00424813" w:rsidR="00312B04">
        <w:t xml:space="preserve"> are summarized in </w:t>
      </w:r>
      <w:r w:rsidRPr="00424813" w:rsidR="009B06C5">
        <w:t>Sections A.10.2 to A.10.5, respectively.</w:t>
      </w:r>
      <w:r w:rsidRPr="00424813" w:rsidR="00312B04">
        <w:t xml:space="preserve"> This includes protections for both electronic and physical (hardcopy) data, and the use of encryption protocols for electronic information submitted online or through secure trans</w:t>
      </w:r>
      <w:r w:rsidRPr="00424813" w:rsidR="007F3834">
        <w:t>missions</w:t>
      </w:r>
      <w:r w:rsidRPr="00424813" w:rsidR="00312B04">
        <w:t xml:space="preserve"> from contractor field data collection personnel.  </w:t>
      </w:r>
    </w:p>
    <w:p w:rsidRPr="00424813" w:rsidR="00F31F6C" w:rsidP="00424813" w:rsidRDefault="0082004D" w14:paraId="0F77C1F5" w14:textId="422B142D">
      <w:pPr>
        <w:pStyle w:val="bodytextpsg"/>
      </w:pPr>
      <w:r w:rsidRPr="00424813">
        <w:t>The contractor’s Institutional Review Board reviewed and approved all study protocols and respondent materials</w:t>
      </w:r>
      <w:r w:rsidRPr="00424813" w:rsidR="00EA29D7">
        <w:t>, including provision</w:t>
      </w:r>
      <w:r w:rsidRPr="00424813" w:rsidR="00312B04">
        <w:t>s</w:t>
      </w:r>
      <w:r w:rsidRPr="00424813" w:rsidR="00EA29D7">
        <w:t xml:space="preserve"> for </w:t>
      </w:r>
      <w:r w:rsidRPr="00424813">
        <w:t>protection of private information</w:t>
      </w:r>
      <w:r w:rsidRPr="00424813" w:rsidR="00EA29D7">
        <w:t xml:space="preserve">. </w:t>
      </w:r>
      <w:r w:rsidRPr="00424813" w:rsidR="0016002A">
        <w:t>The c</w:t>
      </w:r>
      <w:r w:rsidRPr="00424813" w:rsidR="00200250">
        <w:t>ontractor</w:t>
      </w:r>
      <w:r w:rsidRPr="00424813" w:rsidR="0016002A">
        <w:t>’s</w:t>
      </w:r>
      <w:r w:rsidRPr="00424813" w:rsidR="00200250">
        <w:t xml:space="preserve"> IRB </w:t>
      </w:r>
      <w:r w:rsidRPr="00424813" w:rsidR="0016002A">
        <w:t>was</w:t>
      </w:r>
      <w:r w:rsidRPr="00424813" w:rsidR="00200250">
        <w:t xml:space="preserve"> </w:t>
      </w:r>
      <w:r w:rsidRPr="00424813" w:rsidR="008E0C9C">
        <w:t xml:space="preserve">also </w:t>
      </w:r>
      <w:r w:rsidRPr="00424813" w:rsidR="00200250">
        <w:t xml:space="preserve">consulted </w:t>
      </w:r>
      <w:r w:rsidRPr="00424813" w:rsidR="008E0C9C">
        <w:t>on privacy and human subjects protections during the study design phase</w:t>
      </w:r>
      <w:r w:rsidRPr="00424813" w:rsidR="0016002A">
        <w:t>.</w:t>
      </w:r>
      <w:r w:rsidRPr="00424813" w:rsidR="008E0C9C">
        <w:t xml:space="preserve"> </w:t>
      </w:r>
      <w:r w:rsidRPr="00424813" w:rsidR="004916BA">
        <w:t xml:space="preserve">This included reviewing preliminary plans for obtaining informed consent, collecting data using various modes, </w:t>
      </w:r>
      <w:r w:rsidRPr="00424813" w:rsidR="00A074F0">
        <w:t>p</w:t>
      </w:r>
      <w:r w:rsidRPr="00424813" w:rsidR="007F3834">
        <w:t xml:space="preserve">rotecting the privacy of </w:t>
      </w:r>
      <w:r w:rsidRPr="00424813" w:rsidR="00A074F0">
        <w:t>data to be collected</w:t>
      </w:r>
      <w:r w:rsidRPr="00424813" w:rsidR="007F3834">
        <w:t xml:space="preserve">, </w:t>
      </w:r>
      <w:r w:rsidRPr="00424813" w:rsidR="004916BA">
        <w:t>and provision</w:t>
      </w:r>
      <w:r w:rsidRPr="00424813" w:rsidR="007F3834">
        <w:t>s</w:t>
      </w:r>
      <w:r w:rsidRPr="00424813" w:rsidR="004916BA">
        <w:t xml:space="preserve"> </w:t>
      </w:r>
      <w:r w:rsidRPr="00424813" w:rsidR="007F3834">
        <w:t>for loaning</w:t>
      </w:r>
      <w:r w:rsidRPr="00424813" w:rsidR="004916BA">
        <w:t xml:space="preserve"> study-provided tablets to panel members</w:t>
      </w:r>
      <w:r w:rsidRPr="00424813" w:rsidR="007F3834">
        <w:t>.</w:t>
      </w:r>
      <w:r w:rsidRPr="00424813" w:rsidR="004916BA">
        <w:t xml:space="preserve"> </w:t>
      </w:r>
      <w:r w:rsidRPr="00424813" w:rsidR="00EA29D7">
        <w:t xml:space="preserve">The </w:t>
      </w:r>
      <w:r w:rsidRPr="00424813" w:rsidR="0016002A">
        <w:t>co</w:t>
      </w:r>
      <w:r w:rsidRPr="00424813" w:rsidR="007F3834">
        <w:t xml:space="preserve">ntractor’s </w:t>
      </w:r>
      <w:r w:rsidRPr="00424813" w:rsidR="00EA29D7">
        <w:t>IRB</w:t>
      </w:r>
      <w:r w:rsidRPr="00424813" w:rsidR="007F3834">
        <w:t xml:space="preserve"> required minor modifications to the </w:t>
      </w:r>
      <w:r w:rsidRPr="00424813" w:rsidR="00A074F0">
        <w:t xml:space="preserve">study </w:t>
      </w:r>
      <w:r w:rsidRPr="00424813" w:rsidR="007F3834">
        <w:t xml:space="preserve">consent forms specific to </w:t>
      </w:r>
      <w:r w:rsidRPr="00424813" w:rsidR="00C117EB">
        <w:t xml:space="preserve">panel participation requirements, and </w:t>
      </w:r>
      <w:r w:rsidRPr="00424813" w:rsidR="00EA29D7">
        <w:t>respondent materials associated with the loan of the study-provided tablets</w:t>
      </w:r>
      <w:r w:rsidRPr="00424813" w:rsidR="00C117EB">
        <w:t>. This included adding language t</w:t>
      </w:r>
      <w:r w:rsidRPr="00424813" w:rsidR="00A074F0">
        <w:t>o</w:t>
      </w:r>
      <w:r w:rsidRPr="00424813" w:rsidR="00C117EB">
        <w:t xml:space="preserve"> the equi</w:t>
      </w:r>
      <w:r w:rsidRPr="00424813" w:rsidR="0016002A">
        <w:t>p</w:t>
      </w:r>
      <w:r w:rsidRPr="00424813" w:rsidR="00C117EB">
        <w:t xml:space="preserve">ment agreement </w:t>
      </w:r>
      <w:r w:rsidRPr="00424813" w:rsidR="00EA29D7">
        <w:t>specifying that the contractor would wipe the device clean and restore it to factory default settings upon return by the panel member, with no attempt made to access any data that may h</w:t>
      </w:r>
      <w:r w:rsidRPr="00424813" w:rsidR="00B758AE">
        <w:t>ave</w:t>
      </w:r>
      <w:r w:rsidRPr="00424813" w:rsidR="00EA29D7">
        <w:t xml:space="preserve"> been stored locally on the device.</w:t>
      </w:r>
      <w:r w:rsidRPr="00424813" w:rsidR="00A9378D">
        <w:t xml:space="preserve"> The IRB also consulted on </w:t>
      </w:r>
      <w:r w:rsidRPr="00424813" w:rsidR="00A9378D">
        <w:lastRenderedPageBreak/>
        <w:t>the protocols for secure access to the study website</w:t>
      </w:r>
      <w:r w:rsidRPr="00424813" w:rsidR="00B758AE">
        <w:t xml:space="preserve"> by panel members</w:t>
      </w:r>
      <w:r w:rsidRPr="00424813" w:rsidR="00A9378D">
        <w:t xml:space="preserve">, including the protocol for </w:t>
      </w:r>
      <w:r w:rsidRPr="00424813" w:rsidR="004B3983">
        <w:t xml:space="preserve">establishing a security question </w:t>
      </w:r>
      <w:r w:rsidRPr="00424813" w:rsidR="00944BC1">
        <w:t xml:space="preserve">at </w:t>
      </w:r>
      <w:r w:rsidRPr="00424813" w:rsidR="000769D1">
        <w:t xml:space="preserve">panel </w:t>
      </w:r>
      <w:r w:rsidRPr="00424813" w:rsidR="00944BC1">
        <w:t xml:space="preserve">enrollment </w:t>
      </w:r>
      <w:r w:rsidRPr="00424813" w:rsidR="004B3983">
        <w:t xml:space="preserve">and </w:t>
      </w:r>
      <w:r w:rsidRPr="00424813" w:rsidR="00B758AE">
        <w:t xml:space="preserve">the 2-step process for </w:t>
      </w:r>
      <w:r w:rsidRPr="00424813" w:rsidR="004B3983">
        <w:t>resetting passwords.</w:t>
      </w:r>
      <w:r w:rsidRPr="00424813" w:rsidR="00E573BD">
        <w:t xml:space="preserve"> Copies of all study protocols and respondent materials were also provided to CTP’s RIHSC. </w:t>
      </w:r>
      <w:r w:rsidRPr="00424813" w:rsidR="004B3983">
        <w:t xml:space="preserve"> </w:t>
      </w:r>
    </w:p>
    <w:p w:rsidRPr="00424813" w:rsidR="00F31F6C" w:rsidP="0027684E" w:rsidRDefault="009B06C5" w14:paraId="7416CE24" w14:textId="15F5B46C">
      <w:pPr>
        <w:pStyle w:val="Heading3"/>
      </w:pPr>
      <w:bookmarkStart w:name="_Toc33529722" w:id="55"/>
      <w:r w:rsidRPr="00424813">
        <w:t>A.10.2</w:t>
      </w:r>
      <w:r w:rsidRPr="00424813">
        <w:tab/>
      </w:r>
      <w:r w:rsidRPr="00424813" w:rsidR="004712FA">
        <w:t>Privacy Procedures for In-Person Data Collection</w:t>
      </w:r>
      <w:bookmarkEnd w:id="55"/>
    </w:p>
    <w:p w:rsidRPr="00424813" w:rsidR="003E555B" w:rsidP="00F97E43" w:rsidRDefault="003E555B" w14:paraId="5B9FE120" w14:textId="529D3569">
      <w:pPr>
        <w:pStyle w:val="bodytextpsg"/>
      </w:pPr>
      <w:r w:rsidRPr="00424813">
        <w:t xml:space="preserve">The procedures that </w:t>
      </w:r>
      <w:r w:rsidRPr="00424813" w:rsidR="00944C75">
        <w:t>are</w:t>
      </w:r>
      <w:r w:rsidRPr="00424813" w:rsidR="00BB4BD6">
        <w:t xml:space="preserve"> </w:t>
      </w:r>
      <w:r w:rsidRPr="00424813">
        <w:t xml:space="preserve">used to </w:t>
      </w:r>
      <w:r w:rsidRPr="00424813" w:rsidR="005B6B2A">
        <w:t xml:space="preserve">maintain </w:t>
      </w:r>
      <w:r w:rsidRPr="00424813" w:rsidR="00F97E43">
        <w:t xml:space="preserve">privacy </w:t>
      </w:r>
      <w:r w:rsidRPr="00424813">
        <w:t xml:space="preserve">for the </w:t>
      </w:r>
      <w:r w:rsidRPr="00424813" w:rsidR="00CF2D41">
        <w:t>p</w:t>
      </w:r>
      <w:r w:rsidRPr="00424813">
        <w:t>anel in-person data collection are summarized below:</w:t>
      </w:r>
    </w:p>
    <w:p w:rsidRPr="00424813" w:rsidR="003E555B" w:rsidP="00383B94" w:rsidRDefault="003E555B" w14:paraId="1F8C71C0" w14:textId="7056A076">
      <w:pPr>
        <w:pStyle w:val="bullets"/>
        <w:numPr>
          <w:ilvl w:val="0"/>
          <w:numId w:val="20"/>
        </w:numPr>
      </w:pPr>
      <w:r w:rsidRPr="00424813">
        <w:t xml:space="preserve">All project staff, including fulfillment personnel, sign a </w:t>
      </w:r>
      <w:r w:rsidRPr="00424813" w:rsidR="00B26BAB">
        <w:t xml:space="preserve">privacy </w:t>
      </w:r>
      <w:r w:rsidRPr="00424813">
        <w:t xml:space="preserve">pledge that emphasizes the importance of </w:t>
      </w:r>
      <w:r w:rsidRPr="00424813" w:rsidR="00130C45">
        <w:t>nondisclosure and</w:t>
      </w:r>
      <w:r w:rsidRPr="00424813">
        <w:t xml:space="preserve"> describes their obligations.</w:t>
      </w:r>
    </w:p>
    <w:p w:rsidRPr="00424813" w:rsidR="003E555B" w:rsidP="00383B94" w:rsidRDefault="003E555B" w14:paraId="69F4A685" w14:textId="0F1D4F2A">
      <w:pPr>
        <w:pStyle w:val="bullets"/>
        <w:numPr>
          <w:ilvl w:val="0"/>
          <w:numId w:val="20"/>
        </w:numPr>
      </w:pPr>
      <w:r w:rsidRPr="00424813">
        <w:t xml:space="preserve">All field data collectors </w:t>
      </w:r>
      <w:r w:rsidRPr="00424813" w:rsidR="001E7F72">
        <w:t>are</w:t>
      </w:r>
      <w:r w:rsidRPr="00424813">
        <w:t xml:space="preserve"> trained on </w:t>
      </w:r>
      <w:r w:rsidRPr="00424813" w:rsidR="00B26BAB">
        <w:t xml:space="preserve">privacy </w:t>
      </w:r>
      <w:r w:rsidRPr="00424813">
        <w:t xml:space="preserve">procedures and </w:t>
      </w:r>
      <w:r w:rsidRPr="00424813" w:rsidR="005939A1">
        <w:t>are</w:t>
      </w:r>
      <w:r w:rsidRPr="00424813">
        <w:t xml:space="preserve"> prepared to describe them in full detail, if necessary, or to answer any related questions raised by sample members. Training include</w:t>
      </w:r>
      <w:r w:rsidRPr="00424813" w:rsidR="00BB4BD6">
        <w:t>s</w:t>
      </w:r>
      <w:r w:rsidRPr="00424813">
        <w:t xml:space="preserve"> procedures for safeguarding sample member information in the field, including securing hardcopy case materials and tablet computers in the field, while traveling, and in respondent homes, and protecting the identity of sample members. </w:t>
      </w:r>
    </w:p>
    <w:p w:rsidRPr="00424813" w:rsidR="003E555B" w:rsidP="00383B94" w:rsidRDefault="003E555B" w14:paraId="69A51900" w14:textId="1EF6F10A">
      <w:pPr>
        <w:pStyle w:val="bullets"/>
        <w:numPr>
          <w:ilvl w:val="0"/>
          <w:numId w:val="20"/>
        </w:numPr>
      </w:pPr>
      <w:r w:rsidRPr="00424813">
        <w:t xml:space="preserve">Hardcopy documents containing personally identifying information (PII) </w:t>
      </w:r>
      <w:r w:rsidRPr="00424813" w:rsidR="001E7F72">
        <w:t>are</w:t>
      </w:r>
      <w:r w:rsidRPr="00424813">
        <w:t xml:space="preserve"> stored in locked files and cabinets. Discarded hard copy material containing PII </w:t>
      </w:r>
      <w:r w:rsidRPr="00424813" w:rsidR="001E7F72">
        <w:t>are</w:t>
      </w:r>
      <w:r w:rsidRPr="00424813">
        <w:t xml:space="preserve"> securely shredded.</w:t>
      </w:r>
    </w:p>
    <w:p w:rsidRPr="00424813" w:rsidR="006F04E0" w:rsidP="00383B94" w:rsidRDefault="006F04E0" w14:paraId="7DBD0949" w14:textId="65DC4EA3">
      <w:pPr>
        <w:pStyle w:val="bullets"/>
        <w:numPr>
          <w:ilvl w:val="0"/>
          <w:numId w:val="20"/>
        </w:numPr>
      </w:pPr>
      <w:r w:rsidRPr="00424813">
        <w:t xml:space="preserve">Hardcopy consent forms and case folders </w:t>
      </w:r>
      <w:r w:rsidRPr="00424813" w:rsidR="00F52A56">
        <w:t xml:space="preserve">for completed field cases </w:t>
      </w:r>
      <w:r w:rsidRPr="00424813" w:rsidR="001E7F72">
        <w:t>are</w:t>
      </w:r>
      <w:r w:rsidRPr="00424813" w:rsidR="00BB4BD6">
        <w:t xml:space="preserve"> </w:t>
      </w:r>
      <w:r w:rsidRPr="00424813" w:rsidR="00F52A56">
        <w:t xml:space="preserve">receipted and securely stored at the contractor’s </w:t>
      </w:r>
      <w:r w:rsidRPr="00424813" w:rsidR="002744CD">
        <w:t>R</w:t>
      </w:r>
      <w:r w:rsidRPr="00424813" w:rsidR="00F52A56">
        <w:t>esearch</w:t>
      </w:r>
      <w:r w:rsidRPr="00424813">
        <w:t xml:space="preserve"> </w:t>
      </w:r>
      <w:r w:rsidRPr="00424813" w:rsidR="002744CD">
        <w:t>O</w:t>
      </w:r>
      <w:r w:rsidRPr="00424813">
        <w:t xml:space="preserve">perations </w:t>
      </w:r>
      <w:r w:rsidRPr="00424813" w:rsidR="002744CD">
        <w:t>C</w:t>
      </w:r>
      <w:r w:rsidRPr="00424813">
        <w:t>enter</w:t>
      </w:r>
      <w:r w:rsidRPr="00424813" w:rsidR="002744CD">
        <w:t xml:space="preserve"> (ROC)</w:t>
      </w:r>
      <w:r w:rsidRPr="00424813" w:rsidR="00150896">
        <w:t xml:space="preserve">, which uses a keyless card-controlled entry system for controlled access. </w:t>
      </w:r>
    </w:p>
    <w:p w:rsidRPr="00424813" w:rsidR="003E555B" w:rsidP="00383B94" w:rsidRDefault="003E555B" w14:paraId="581A3220" w14:textId="6AAA244C">
      <w:pPr>
        <w:pStyle w:val="bullets"/>
        <w:numPr>
          <w:ilvl w:val="0"/>
          <w:numId w:val="20"/>
        </w:numPr>
      </w:pPr>
      <w:r w:rsidRPr="00424813">
        <w:t xml:space="preserve">Responses to all screening, CHUM, enrollment, and interviewer observation surveys </w:t>
      </w:r>
      <w:r w:rsidRPr="00424813" w:rsidR="001E7F72">
        <w:t>are</w:t>
      </w:r>
      <w:r w:rsidRPr="00424813">
        <w:t xml:space="preserve"> entered directly into the Android tablet computing device provided to each field interviewer.</w:t>
      </w:r>
      <w:r w:rsidRPr="00424813" w:rsidR="000A337C">
        <w:t xml:space="preserve"> </w:t>
      </w:r>
      <w:r w:rsidRPr="00424813">
        <w:t xml:space="preserve">The data entered </w:t>
      </w:r>
      <w:r w:rsidRPr="00424813" w:rsidR="00FA4B1D">
        <w:t>are</w:t>
      </w:r>
      <w:r w:rsidRPr="00424813">
        <w:t xml:space="preserve"> encrypted before being written to the local database on each tablet.</w:t>
      </w:r>
      <w:r w:rsidRPr="00424813" w:rsidR="000A337C">
        <w:t xml:space="preserve"> </w:t>
      </w:r>
      <w:r w:rsidRPr="00424813">
        <w:t>In the unlikely event the tablet is stolen or otherwise compromised, the tables holding the survey data would be unreadable.</w:t>
      </w:r>
    </w:p>
    <w:p w:rsidRPr="00424813" w:rsidR="00F52A56" w:rsidP="00383B94" w:rsidRDefault="00F52A56" w14:paraId="0001D22A" w14:textId="542002A9">
      <w:pPr>
        <w:pStyle w:val="bullets"/>
        <w:numPr>
          <w:ilvl w:val="0"/>
          <w:numId w:val="20"/>
        </w:numPr>
      </w:pPr>
      <w:r w:rsidRPr="00424813">
        <w:t xml:space="preserve">GPS data collected </w:t>
      </w:r>
      <w:r w:rsidRPr="00424813" w:rsidR="00030314">
        <w:t xml:space="preserve">on the field interviewer’s tablet </w:t>
      </w:r>
      <w:r w:rsidRPr="00424813">
        <w:t xml:space="preserve">during the screening and enrollment process </w:t>
      </w:r>
      <w:r w:rsidRPr="00424813" w:rsidR="00FA4B1D">
        <w:t>are</w:t>
      </w:r>
      <w:r w:rsidRPr="00424813">
        <w:t xml:space="preserve"> used for quality control purposes </w:t>
      </w:r>
      <w:r w:rsidRPr="00424813" w:rsidR="00150896">
        <w:t xml:space="preserve">only </w:t>
      </w:r>
      <w:r w:rsidRPr="00424813">
        <w:t xml:space="preserve">to verify the interviewer’s location in relation to the sampled address. These data </w:t>
      </w:r>
      <w:r w:rsidRPr="00424813" w:rsidR="00FA4B1D">
        <w:t>are</w:t>
      </w:r>
      <w:r w:rsidRPr="00424813">
        <w:t xml:space="preserve"> not used in analyses of the substantive data or included on deliverable data files.</w:t>
      </w:r>
    </w:p>
    <w:p w:rsidRPr="00424813" w:rsidR="003E555B" w:rsidP="00383B94" w:rsidRDefault="003E555B" w14:paraId="60E8553F" w14:textId="0F172889">
      <w:pPr>
        <w:pStyle w:val="bullets"/>
        <w:numPr>
          <w:ilvl w:val="0"/>
          <w:numId w:val="20"/>
        </w:numPr>
      </w:pPr>
      <w:r w:rsidRPr="00424813">
        <w:t xml:space="preserve">Both the Android tablet, the </w:t>
      </w:r>
      <w:r w:rsidRPr="00424813" w:rsidR="008B3B85">
        <w:t>contractor’s</w:t>
      </w:r>
      <w:r w:rsidRPr="00424813">
        <w:t xml:space="preserve"> MOBILE FS system on the tablet, and any field supervisor laptops used for administrative tasks </w:t>
      </w:r>
      <w:r w:rsidRPr="00424813" w:rsidR="00FA4B1D">
        <w:t>are</w:t>
      </w:r>
      <w:r w:rsidRPr="00424813">
        <w:t xml:space="preserve"> password protected with unique user logins.</w:t>
      </w:r>
      <w:r w:rsidRPr="00424813" w:rsidR="000A337C">
        <w:t xml:space="preserve"> </w:t>
      </w:r>
    </w:p>
    <w:p w:rsidRPr="00424813" w:rsidR="003E555B" w:rsidP="00383B94" w:rsidRDefault="003E555B" w14:paraId="4C1B305F" w14:textId="5875EFEE">
      <w:pPr>
        <w:pStyle w:val="bullets"/>
        <w:numPr>
          <w:ilvl w:val="0"/>
          <w:numId w:val="20"/>
        </w:numPr>
      </w:pPr>
      <w:r w:rsidRPr="00424813">
        <w:t>Field supervisor laptops have whole disk encryption to protect the hard drive. The associated Checkpoint FDE software is F</w:t>
      </w:r>
      <w:r w:rsidRPr="00424813" w:rsidR="00BA64B7">
        <w:t>IPS</w:t>
      </w:r>
      <w:r w:rsidRPr="00424813">
        <w:t xml:space="preserve"> 140 compliant. File transfers </w:t>
      </w:r>
      <w:r w:rsidRPr="00424813" w:rsidR="001E7F72">
        <w:t>are</w:t>
      </w:r>
      <w:r w:rsidRPr="00424813" w:rsidR="00BB4BD6">
        <w:t xml:space="preserve"> </w:t>
      </w:r>
      <w:r w:rsidRPr="00424813">
        <w:t xml:space="preserve">done through an FTP site using secure socket layer (SSL) to protect data in transit. The FTP </w:t>
      </w:r>
      <w:r w:rsidRPr="00424813">
        <w:lastRenderedPageBreak/>
        <w:t xml:space="preserve">site </w:t>
      </w:r>
      <w:r w:rsidRPr="00424813" w:rsidR="00944C75">
        <w:t>is</w:t>
      </w:r>
      <w:r w:rsidRPr="00424813">
        <w:t xml:space="preserve"> specific to the project and require</w:t>
      </w:r>
      <w:r w:rsidRPr="00424813" w:rsidR="00FA4B1D">
        <w:t>s</w:t>
      </w:r>
      <w:r w:rsidRPr="00424813">
        <w:t xml:space="preserve"> credentials specific to the project. Data files </w:t>
      </w:r>
      <w:r w:rsidRPr="00424813" w:rsidR="001E7F72">
        <w:t>are</w:t>
      </w:r>
      <w:r w:rsidRPr="00424813">
        <w:t xml:space="preserve"> encrypted using F</w:t>
      </w:r>
      <w:r w:rsidRPr="00424813" w:rsidR="00BA64B7">
        <w:t>IPS</w:t>
      </w:r>
      <w:r w:rsidRPr="00424813">
        <w:t xml:space="preserve"> 140 certified libraries prior to sending. </w:t>
      </w:r>
    </w:p>
    <w:p w:rsidRPr="00424813" w:rsidR="003E555B" w:rsidP="00383B94" w:rsidRDefault="003E555B" w14:paraId="4A1B9616" w14:textId="79C281DA">
      <w:pPr>
        <w:pStyle w:val="bullets"/>
        <w:numPr>
          <w:ilvl w:val="0"/>
          <w:numId w:val="20"/>
        </w:numPr>
      </w:pPr>
      <w:r w:rsidRPr="00424813">
        <w:t xml:space="preserve">All data transferred to </w:t>
      </w:r>
      <w:r w:rsidRPr="00424813" w:rsidR="008B3B85">
        <w:t>the contractor’s</w:t>
      </w:r>
      <w:r w:rsidRPr="00424813">
        <w:t xml:space="preserve"> servers from field staff Android tablets including CARI files, media files such as audio, photo and video and survey data </w:t>
      </w:r>
      <w:r w:rsidRPr="00424813" w:rsidR="001E7F72">
        <w:t>are</w:t>
      </w:r>
      <w:r w:rsidRPr="00424813">
        <w:t xml:space="preserve"> encrypted on-the-fly using AES-256 with a ‘secure random’ public key hashed using SHA-256 and a private key.</w:t>
      </w:r>
      <w:r w:rsidRPr="00424813" w:rsidR="000A337C">
        <w:t xml:space="preserve"> </w:t>
      </w:r>
      <w:r w:rsidRPr="00424813">
        <w:t xml:space="preserve">These files </w:t>
      </w:r>
      <w:r w:rsidRPr="00424813" w:rsidR="001E7F72">
        <w:t>are</w:t>
      </w:r>
      <w:r w:rsidRPr="00424813" w:rsidR="00BB4BD6">
        <w:t xml:space="preserve"> </w:t>
      </w:r>
      <w:r w:rsidRPr="00424813">
        <w:t xml:space="preserve">transmitted back to </w:t>
      </w:r>
      <w:r w:rsidRPr="00424813" w:rsidR="008B3B85">
        <w:t>the contractor</w:t>
      </w:r>
      <w:r w:rsidRPr="00424813">
        <w:t xml:space="preserve"> using secure socket layer (SSL) over HTTPS. A batch process decrypt</w:t>
      </w:r>
      <w:r w:rsidRPr="00424813" w:rsidR="00FA4B1D">
        <w:t>s</w:t>
      </w:r>
      <w:r w:rsidRPr="00424813">
        <w:t xml:space="preserve"> these files after receipt on </w:t>
      </w:r>
      <w:r w:rsidRPr="00424813" w:rsidR="008B3B85">
        <w:t>the contractor</w:t>
      </w:r>
      <w:r w:rsidRPr="00424813">
        <w:t xml:space="preserve">’s private network where they </w:t>
      </w:r>
      <w:r w:rsidRPr="00424813" w:rsidR="001E7F72">
        <w:t>are</w:t>
      </w:r>
      <w:r w:rsidRPr="00424813">
        <w:t xml:space="preserve"> stored on secure </w:t>
      </w:r>
      <w:r w:rsidRPr="00424813" w:rsidR="00B05EC6">
        <w:t>contractor</w:t>
      </w:r>
      <w:r w:rsidRPr="00424813">
        <w:t xml:space="preserve"> servers.</w:t>
      </w:r>
      <w:r w:rsidRPr="00424813" w:rsidR="000A337C">
        <w:t xml:space="preserve"> </w:t>
      </w:r>
      <w:r w:rsidRPr="00424813">
        <w:t xml:space="preserve">The survey data </w:t>
      </w:r>
      <w:r w:rsidRPr="00424813" w:rsidR="00FA4B1D">
        <w:t>are</w:t>
      </w:r>
      <w:r w:rsidRPr="00424813">
        <w:t xml:space="preserve"> stored in SQL Server databases on those servers.</w:t>
      </w:r>
      <w:r w:rsidRPr="00424813" w:rsidR="000A337C">
        <w:t xml:space="preserve"> </w:t>
      </w:r>
      <w:r w:rsidRPr="00424813">
        <w:t xml:space="preserve">Only authorized project staff members </w:t>
      </w:r>
      <w:r w:rsidRPr="00424813" w:rsidR="001E7F72">
        <w:t>are</w:t>
      </w:r>
      <w:r w:rsidRPr="00424813" w:rsidR="00500598">
        <w:t xml:space="preserve"> </w:t>
      </w:r>
      <w:r w:rsidRPr="00424813">
        <w:t>able to access them on the secure network share or databases.</w:t>
      </w:r>
      <w:r w:rsidRPr="00424813" w:rsidR="000A337C">
        <w:t xml:space="preserve"> </w:t>
      </w:r>
      <w:r w:rsidRPr="00424813">
        <w:t>Access require</w:t>
      </w:r>
      <w:r w:rsidRPr="00424813" w:rsidR="00FA4B1D">
        <w:t>s</w:t>
      </w:r>
      <w:r w:rsidRPr="00424813">
        <w:t xml:space="preserve"> passwords and the enabling of user access by </w:t>
      </w:r>
      <w:r w:rsidRPr="00424813" w:rsidR="008B3B85">
        <w:t>contractor</w:t>
      </w:r>
      <w:r w:rsidRPr="00424813">
        <w:t xml:space="preserve"> IT security personnel.</w:t>
      </w:r>
    </w:p>
    <w:p w:rsidRPr="00424813" w:rsidR="003E555B" w:rsidP="00383B94" w:rsidRDefault="003E555B" w14:paraId="1F59A136" w14:textId="2FFB1C34">
      <w:pPr>
        <w:pStyle w:val="bullets"/>
        <w:numPr>
          <w:ilvl w:val="0"/>
          <w:numId w:val="20"/>
        </w:numPr>
      </w:pPr>
      <w:r w:rsidRPr="00424813">
        <w:t xml:space="preserve">Respondents receive information about </w:t>
      </w:r>
      <w:r w:rsidRPr="00424813" w:rsidR="00846356">
        <w:t>privacy</w:t>
      </w:r>
      <w:r w:rsidRPr="00424813">
        <w:t xml:space="preserve"> protections as part of the informed consent process.</w:t>
      </w:r>
    </w:p>
    <w:p w:rsidRPr="00424813" w:rsidR="003E555B" w:rsidP="00383B94" w:rsidRDefault="00987E5F" w14:paraId="4C8A5894" w14:textId="6950A3C6">
      <w:pPr>
        <w:pStyle w:val="bullets"/>
        <w:numPr>
          <w:ilvl w:val="0"/>
          <w:numId w:val="20"/>
        </w:numPr>
      </w:pPr>
      <w:r w:rsidRPr="00424813">
        <w:t xml:space="preserve">A unique 8-digit identification number </w:t>
      </w:r>
      <w:r w:rsidRPr="00424813" w:rsidR="00944C75">
        <w:t>is</w:t>
      </w:r>
      <w:r w:rsidRPr="00424813">
        <w:t xml:space="preserve"> assigned to each sample member and used to maintain linkages between survey data files and control system files.</w:t>
      </w:r>
      <w:r w:rsidRPr="00424813" w:rsidR="006E698F">
        <w:t xml:space="preserve"> </w:t>
      </w:r>
    </w:p>
    <w:p w:rsidRPr="00424813" w:rsidR="003E555B" w:rsidP="005939A1" w:rsidRDefault="003E555B" w14:paraId="7274F5F0" w14:textId="5AD9E025">
      <w:pPr>
        <w:pStyle w:val="bullets"/>
        <w:numPr>
          <w:ilvl w:val="0"/>
          <w:numId w:val="20"/>
        </w:numPr>
        <w:tabs>
          <w:tab w:val="clear" w:pos="1080"/>
          <w:tab w:val="left" w:pos="720"/>
        </w:tabs>
      </w:pPr>
      <w:r w:rsidRPr="00424813">
        <w:t xml:space="preserve">Following receipt from the field, PII </w:t>
      </w:r>
      <w:r w:rsidRPr="00424813" w:rsidR="00944C75">
        <w:t>is</w:t>
      </w:r>
      <w:r w:rsidRPr="00424813">
        <w:t xml:space="preserve"> stored only on </w:t>
      </w:r>
      <w:r w:rsidRPr="00424813" w:rsidR="008B3B85">
        <w:t>contractor</w:t>
      </w:r>
      <w:r w:rsidRPr="00424813">
        <w:t xml:space="preserve"> password protected, secured servers. Only authorized project members have access to PII for research sample members. </w:t>
      </w:r>
    </w:p>
    <w:p w:rsidRPr="00424813" w:rsidR="005939A1" w:rsidP="005939A1" w:rsidRDefault="003E555B" w14:paraId="1A2AB82B" w14:textId="77777777">
      <w:pPr>
        <w:pStyle w:val="bullets"/>
        <w:numPr>
          <w:ilvl w:val="0"/>
          <w:numId w:val="20"/>
        </w:numPr>
        <w:tabs>
          <w:tab w:val="clear" w:pos="1080"/>
          <w:tab w:val="left" w:pos="360"/>
        </w:tabs>
      </w:pPr>
      <w:r w:rsidRPr="00424813">
        <w:t xml:space="preserve">Reports and data files provided to the research community will not include any individually identifying information. </w:t>
      </w:r>
    </w:p>
    <w:p w:rsidRPr="00424813" w:rsidR="003E555B" w:rsidP="005939A1" w:rsidRDefault="003E555B" w14:paraId="3E9050C1" w14:textId="4869B3FC">
      <w:pPr>
        <w:pStyle w:val="bullets"/>
        <w:numPr>
          <w:ilvl w:val="0"/>
          <w:numId w:val="20"/>
        </w:numPr>
        <w:tabs>
          <w:tab w:val="clear" w:pos="1080"/>
          <w:tab w:val="left" w:pos="360"/>
        </w:tabs>
      </w:pPr>
      <w:r w:rsidRPr="00424813">
        <w:t xml:space="preserve">As noted above, all precautions </w:t>
      </w:r>
      <w:r w:rsidRPr="00424813" w:rsidR="001E7F72">
        <w:t>are</w:t>
      </w:r>
      <w:r w:rsidRPr="00424813">
        <w:t xml:space="preserve"> taken against inadvertent disclosure.</w:t>
      </w:r>
      <w:r w:rsidRPr="00424813" w:rsidR="00C51EC5">
        <w:t xml:space="preserve"> </w:t>
      </w:r>
      <w:r w:rsidRPr="00424813">
        <w:t>Project directories and files containing data, and files of identifiers and contacting data</w:t>
      </w:r>
      <w:r w:rsidRPr="00424813" w:rsidR="00D764DB">
        <w:t>,</w:t>
      </w:r>
      <w:r w:rsidRPr="00424813">
        <w:t xml:space="preserve"> </w:t>
      </w:r>
      <w:r w:rsidRPr="00424813" w:rsidR="00D764DB">
        <w:t>are</w:t>
      </w:r>
      <w:r w:rsidRPr="00424813">
        <w:t xml:space="preserve"> protected through the use of encryption and passwords.</w:t>
      </w:r>
      <w:r w:rsidRPr="00424813" w:rsidR="000A337C">
        <w:t xml:space="preserve"> </w:t>
      </w:r>
    </w:p>
    <w:p w:rsidRPr="00424813" w:rsidR="003E555B" w:rsidP="00A73FDC" w:rsidRDefault="003E555B" w14:paraId="4176C757" w14:textId="7272BE5B">
      <w:pPr>
        <w:pStyle w:val="Heading3"/>
      </w:pPr>
      <w:bookmarkStart w:name="_Toc33529723" w:id="56"/>
      <w:r w:rsidRPr="00424813">
        <w:t>A.10.</w:t>
      </w:r>
      <w:r w:rsidRPr="00424813" w:rsidR="009B06C5">
        <w:t>3</w:t>
      </w:r>
      <w:r w:rsidRPr="00424813">
        <w:tab/>
      </w:r>
      <w:r w:rsidRPr="00424813" w:rsidR="005B6B2A">
        <w:t>Additional</w:t>
      </w:r>
      <w:r w:rsidRPr="00424813">
        <w:t xml:space="preserve"> Privacy Concerns</w:t>
      </w:r>
      <w:r w:rsidRPr="00424813" w:rsidR="005B6B2A">
        <w:t xml:space="preserve"> Associated with On-line Data </w:t>
      </w:r>
      <w:r w:rsidRPr="00424813" w:rsidR="00130C45">
        <w:t>Collection</w:t>
      </w:r>
      <w:bookmarkEnd w:id="56"/>
    </w:p>
    <w:p w:rsidRPr="00424813" w:rsidR="003E555B" w:rsidP="00A73FDC" w:rsidRDefault="003E555B" w14:paraId="04CA3C89" w14:textId="77777777">
      <w:pPr>
        <w:pStyle w:val="bodytextpsg"/>
      </w:pPr>
      <w:r w:rsidRPr="00424813">
        <w:t xml:space="preserve">Panel member privacy concerns regarding use of the </w:t>
      </w:r>
      <w:r w:rsidRPr="00424813" w:rsidR="009B1654">
        <w:t>Internet</w:t>
      </w:r>
      <w:r w:rsidRPr="00424813">
        <w:t xml:space="preserve"> for participation will typically be related to three issues:</w:t>
      </w:r>
    </w:p>
    <w:p w:rsidRPr="00424813" w:rsidR="003E555B" w:rsidP="00383B94" w:rsidRDefault="003E555B" w14:paraId="5D8104C5" w14:textId="77777777">
      <w:pPr>
        <w:pStyle w:val="bullets"/>
        <w:numPr>
          <w:ilvl w:val="0"/>
          <w:numId w:val="18"/>
        </w:numPr>
      </w:pPr>
      <w:r w:rsidRPr="00424813">
        <w:t xml:space="preserve">Disclosure of subjects’ </w:t>
      </w:r>
      <w:r w:rsidRPr="00424813" w:rsidR="00DD09B8">
        <w:t>PII</w:t>
      </w:r>
      <w:r w:rsidRPr="00424813">
        <w:t xml:space="preserve"> by the researchers to others outside the study;</w:t>
      </w:r>
    </w:p>
    <w:p w:rsidRPr="00424813" w:rsidR="003E555B" w:rsidP="00383B94" w:rsidRDefault="003E555B" w14:paraId="39A0F1D4" w14:textId="77777777">
      <w:pPr>
        <w:pStyle w:val="bullets"/>
        <w:numPr>
          <w:ilvl w:val="0"/>
          <w:numId w:val="18"/>
        </w:numPr>
      </w:pPr>
      <w:r w:rsidRPr="00424813">
        <w:t xml:space="preserve">Use of electronic information to gather additional </w:t>
      </w:r>
      <w:r w:rsidRPr="00424813" w:rsidR="00DD09B8">
        <w:t>PII</w:t>
      </w:r>
      <w:r w:rsidRPr="00424813">
        <w:t xml:space="preserve"> without the subject’s knowledge or consent, and;</w:t>
      </w:r>
    </w:p>
    <w:p w:rsidRPr="00424813" w:rsidR="003E555B" w:rsidP="00383B94" w:rsidRDefault="003E555B" w14:paraId="6E6A19F2" w14:textId="77777777">
      <w:pPr>
        <w:pStyle w:val="bullets"/>
        <w:numPr>
          <w:ilvl w:val="0"/>
          <w:numId w:val="18"/>
        </w:numPr>
      </w:pPr>
      <w:r w:rsidRPr="00424813">
        <w:t>Electronic breach of security allowing access of subjects’</w:t>
      </w:r>
      <w:r w:rsidRPr="00424813" w:rsidR="00DD09B8">
        <w:t xml:space="preserve"> PII</w:t>
      </w:r>
      <w:r w:rsidRPr="00424813">
        <w:t xml:space="preserve"> to unrelated third parties.</w:t>
      </w:r>
    </w:p>
    <w:p w:rsidRPr="00424813" w:rsidR="003E555B" w:rsidP="00BF7262" w:rsidRDefault="003E555B" w14:paraId="77724123" w14:textId="61890181">
      <w:pPr>
        <w:pStyle w:val="bodytextpsg"/>
      </w:pPr>
      <w:r w:rsidRPr="00424813">
        <w:t xml:space="preserve">Plans to minimize potential for risk and addressing these three issues are described below, respectively. </w:t>
      </w:r>
    </w:p>
    <w:p w:rsidRPr="00424813" w:rsidR="003E555B" w:rsidP="00F97E43" w:rsidRDefault="003E555B" w14:paraId="7539CF07" w14:textId="51B9E211">
      <w:pPr>
        <w:pStyle w:val="bodytextpsg"/>
      </w:pPr>
      <w:r w:rsidRPr="00424813">
        <w:t xml:space="preserve">All study consent forms provide participants with advance notice of what data </w:t>
      </w:r>
      <w:r w:rsidRPr="00424813" w:rsidR="00D764DB">
        <w:t xml:space="preserve">are </w:t>
      </w:r>
      <w:r w:rsidRPr="00424813">
        <w:t xml:space="preserve"> collected and the measures that </w:t>
      </w:r>
      <w:r w:rsidRPr="00424813" w:rsidR="001E7F72">
        <w:t>are</w:t>
      </w:r>
      <w:r w:rsidRPr="00424813">
        <w:t xml:space="preserve"> taken to protect their </w:t>
      </w:r>
      <w:r w:rsidRPr="00424813" w:rsidR="00F97E43">
        <w:t>privacy</w:t>
      </w:r>
      <w:r w:rsidRPr="00424813">
        <w:t>.</w:t>
      </w:r>
      <w:r w:rsidRPr="00424813" w:rsidR="000A337C">
        <w:t xml:space="preserve"> </w:t>
      </w:r>
      <w:r w:rsidRPr="00424813">
        <w:t xml:space="preserve">These methods include: using </w:t>
      </w:r>
      <w:r w:rsidRPr="00424813">
        <w:lastRenderedPageBreak/>
        <w:t xml:space="preserve">approved encryption and other methods to physically and electronically secure data, collecting only the minimum amount of information necessary to conduct the study, not disclosing this information to anyone outside the research team, and destroying data as soon as possible after the study has been completed. The data </w:t>
      </w:r>
      <w:r w:rsidRPr="00424813" w:rsidR="00FA4B1D">
        <w:t>are</w:t>
      </w:r>
      <w:r w:rsidRPr="00424813">
        <w:t xml:space="preserve"> collected only for the stated purpose and not used subsequently for any other purposes.</w:t>
      </w:r>
    </w:p>
    <w:p w:rsidRPr="00424813" w:rsidR="003E555B" w:rsidP="00A73FDC" w:rsidRDefault="003E555B" w14:paraId="45C82E5D" w14:textId="0311C9EA">
      <w:pPr>
        <w:pStyle w:val="bodytextpsg"/>
      </w:pPr>
      <w:r w:rsidRPr="00424813">
        <w:t xml:space="preserve">Panelists access the panel website using their unique 8-digit identification code. They </w:t>
      </w:r>
      <w:r w:rsidRPr="00424813" w:rsidR="00FA4B1D">
        <w:t>are</w:t>
      </w:r>
      <w:r w:rsidRPr="00424813">
        <w:t xml:space="preserve"> required to create a unique password to access their </w:t>
      </w:r>
      <w:r w:rsidRPr="00424813" w:rsidR="004D6AB7">
        <w:t>Web</w:t>
      </w:r>
      <w:r w:rsidRPr="00424813">
        <w:t xml:space="preserve"> surveys, and in the event of a break-off, to resume surveys at a later date. At their initial log in, panelists </w:t>
      </w:r>
      <w:r w:rsidRPr="00424813" w:rsidR="00FA4B1D">
        <w:t>are</w:t>
      </w:r>
      <w:r w:rsidRPr="00424813">
        <w:t xml:space="preserve"> also required to select and answer one of 5 security questions that </w:t>
      </w:r>
      <w:r w:rsidRPr="00424813" w:rsidR="00944C75">
        <w:t>is</w:t>
      </w:r>
      <w:r w:rsidRPr="00424813">
        <w:t xml:space="preserve"> used in the event the panel member requests a password reset during the course of the panel period.</w:t>
      </w:r>
      <w:r w:rsidRPr="00424813" w:rsidR="000A337C">
        <w:t xml:space="preserve"> </w:t>
      </w:r>
      <w:r w:rsidRPr="00424813">
        <w:t xml:space="preserve">Responses entered through the </w:t>
      </w:r>
      <w:r w:rsidRPr="00424813" w:rsidR="00BA657E">
        <w:t>W</w:t>
      </w:r>
      <w:r w:rsidRPr="00424813">
        <w:t xml:space="preserve">eb-based survey </w:t>
      </w:r>
      <w:r w:rsidRPr="00424813" w:rsidR="0082771F">
        <w:t>are</w:t>
      </w:r>
      <w:r w:rsidRPr="00424813">
        <w:t xml:space="preserve"> encrypted as the responses </w:t>
      </w:r>
      <w:r w:rsidRPr="00424813" w:rsidR="001E7F72">
        <w:t>are</w:t>
      </w:r>
      <w:r w:rsidRPr="00424813">
        <w:t xml:space="preserve"> on the panel website with an SSL certificate applied.</w:t>
      </w:r>
      <w:r w:rsidRPr="00424813" w:rsidR="000A337C">
        <w:t xml:space="preserve"> </w:t>
      </w:r>
      <w:r w:rsidRPr="00424813">
        <w:t xml:space="preserve">Like the mobile instrument survey data, the </w:t>
      </w:r>
      <w:r w:rsidRPr="00424813" w:rsidR="004D6AB7">
        <w:t>Web</w:t>
      </w:r>
      <w:r w:rsidRPr="00424813">
        <w:t xml:space="preserve"> survey data reside on secure </w:t>
      </w:r>
      <w:r w:rsidRPr="00424813" w:rsidR="008B3B85">
        <w:t>contractor</w:t>
      </w:r>
      <w:r w:rsidRPr="00424813">
        <w:t xml:space="preserve"> servers on SQL Server databases.</w:t>
      </w:r>
      <w:r w:rsidRPr="00424813" w:rsidR="000A337C">
        <w:t xml:space="preserve"> </w:t>
      </w:r>
      <w:r w:rsidRPr="00424813">
        <w:t xml:space="preserve">Only authorized project staff have access. </w:t>
      </w:r>
    </w:p>
    <w:p w:rsidRPr="00424813" w:rsidR="00B7289C" w:rsidP="00B7289C" w:rsidRDefault="003E555B" w14:paraId="2BA77223" w14:textId="28D6BA23">
      <w:pPr>
        <w:pStyle w:val="bodytextpsg"/>
      </w:pPr>
      <w:r w:rsidRPr="00424813">
        <w:t xml:space="preserve">The type of </w:t>
      </w:r>
      <w:r w:rsidRPr="00424813" w:rsidR="004D6AB7">
        <w:t>Web</w:t>
      </w:r>
      <w:r w:rsidRPr="00424813">
        <w:t xml:space="preserve"> browser and operating system used by a panel member cannot be used to identify an individual. Panel member access to the </w:t>
      </w:r>
      <w:r w:rsidRPr="00424813" w:rsidR="004D6AB7">
        <w:t>Web</w:t>
      </w:r>
      <w:r w:rsidRPr="00424813">
        <w:t xml:space="preserve"> survey system require</w:t>
      </w:r>
      <w:r w:rsidRPr="00424813" w:rsidR="00FA4B1D">
        <w:t>s</w:t>
      </w:r>
      <w:r w:rsidRPr="00424813">
        <w:t xml:space="preserve"> a unique panel member identifier and password, as noted above. In addition, the panel member </w:t>
      </w:r>
      <w:r w:rsidRPr="00424813" w:rsidR="00944C75">
        <w:t>is</w:t>
      </w:r>
      <w:r w:rsidRPr="00424813">
        <w:t xml:space="preserve"> reassured that the researchers </w:t>
      </w:r>
      <w:r w:rsidRPr="00424813" w:rsidR="00917C9C">
        <w:t>do</w:t>
      </w:r>
      <w:r w:rsidRPr="00424813">
        <w:t xml:space="preserve"> not gather any other information aside from the survey answers and electronic information already described.</w:t>
      </w:r>
      <w:r w:rsidRPr="00424813" w:rsidR="00B33305">
        <w:t xml:space="preserve"> The Web site </w:t>
      </w:r>
      <w:r w:rsidRPr="00424813" w:rsidR="00FA4B1D">
        <w:t>does</w:t>
      </w:r>
      <w:r w:rsidRPr="00424813" w:rsidR="00B33305">
        <w:t xml:space="preserve"> not place </w:t>
      </w:r>
      <w:r w:rsidRPr="00424813" w:rsidR="0071481A">
        <w:t xml:space="preserve">session </w:t>
      </w:r>
      <w:r w:rsidRPr="00424813" w:rsidR="00B33305">
        <w:t>cookies</w:t>
      </w:r>
      <w:r w:rsidRPr="00424813" w:rsidR="0071481A">
        <w:t>, persistent cookies, or any other type of tracking</w:t>
      </w:r>
      <w:r w:rsidRPr="00424813" w:rsidR="00350241">
        <w:t xml:space="preserve"> or monitoring</w:t>
      </w:r>
      <w:r w:rsidRPr="00424813" w:rsidR="0071481A">
        <w:t xml:space="preserve"> software</w:t>
      </w:r>
      <w:r w:rsidRPr="00424813" w:rsidR="00B33305">
        <w:t xml:space="preserve"> on panel member</w:t>
      </w:r>
      <w:r w:rsidRPr="00424813" w:rsidR="0071481A">
        <w:t>s’</w:t>
      </w:r>
      <w:r w:rsidRPr="00424813" w:rsidR="00B33305">
        <w:t xml:space="preserve"> computers, tablets, or smartphones to track or monitor</w:t>
      </w:r>
      <w:r w:rsidRPr="00424813" w:rsidR="00B7289C">
        <w:t xml:space="preserve">. There </w:t>
      </w:r>
      <w:r w:rsidRPr="00424813" w:rsidR="00944C75">
        <w:t>is</w:t>
      </w:r>
      <w:r w:rsidRPr="00424813" w:rsidR="00B7289C">
        <w:t xml:space="preserve"> no tracking or monitoring of panel members’ internet behavior in this information collection. </w:t>
      </w:r>
    </w:p>
    <w:p w:rsidRPr="00424813" w:rsidR="003E555B" w:rsidP="00A73FDC" w:rsidRDefault="003E555B" w14:paraId="146E6D2F" w14:textId="36FDA52E">
      <w:pPr>
        <w:pStyle w:val="Heading3"/>
      </w:pPr>
      <w:bookmarkStart w:name="_Toc33529724" w:id="57"/>
      <w:r w:rsidRPr="00424813">
        <w:t>A.10.</w:t>
      </w:r>
      <w:r w:rsidRPr="00424813" w:rsidR="009B06C5">
        <w:t>4</w:t>
      </w:r>
      <w:r w:rsidRPr="00424813">
        <w:tab/>
      </w:r>
      <w:r w:rsidRPr="00424813" w:rsidR="00846356">
        <w:t>Privacy</w:t>
      </w:r>
      <w:r w:rsidRPr="00424813" w:rsidR="00767526">
        <w:t xml:space="preserve"> Procedures</w:t>
      </w:r>
      <w:r w:rsidRPr="00424813" w:rsidR="00753770">
        <w:t xml:space="preserve"> </w:t>
      </w:r>
      <w:r w:rsidRPr="00424813">
        <w:t>for Mail Survey Participants</w:t>
      </w:r>
      <w:bookmarkEnd w:id="57"/>
    </w:p>
    <w:p w:rsidRPr="00424813" w:rsidR="003E555B" w:rsidP="00B26BAB" w:rsidRDefault="003E555B" w14:paraId="6B5F553A" w14:textId="4FC55C33">
      <w:pPr>
        <w:pStyle w:val="bodytextpsg"/>
      </w:pPr>
      <w:r w:rsidRPr="00424813">
        <w:t xml:space="preserve">The </w:t>
      </w:r>
      <w:r w:rsidRPr="00424813" w:rsidR="00B26BAB">
        <w:t xml:space="preserve">privacy </w:t>
      </w:r>
      <w:r w:rsidRPr="00424813">
        <w:t xml:space="preserve">of responses from </w:t>
      </w:r>
      <w:r w:rsidRPr="00424813" w:rsidR="00DD09B8">
        <w:t>m</w:t>
      </w:r>
      <w:r w:rsidRPr="00424813">
        <w:t xml:space="preserve">ail </w:t>
      </w:r>
      <w:r w:rsidRPr="00424813" w:rsidR="00DD09B8">
        <w:t xml:space="preserve">survey </w:t>
      </w:r>
      <w:r w:rsidRPr="00424813">
        <w:t xml:space="preserve">participants </w:t>
      </w:r>
      <w:r w:rsidRPr="00424813" w:rsidR="00944C75">
        <w:t>is</w:t>
      </w:r>
      <w:r w:rsidRPr="00424813">
        <w:t xml:space="preserve"> treated in the same manner as Web </w:t>
      </w:r>
      <w:r w:rsidRPr="00424813" w:rsidR="00DD09B8">
        <w:t>s</w:t>
      </w:r>
      <w:r w:rsidRPr="00424813">
        <w:t xml:space="preserve">urvey participants. </w:t>
      </w:r>
    </w:p>
    <w:p w:rsidRPr="00424813" w:rsidR="003E555B" w:rsidP="00383B94" w:rsidRDefault="003E555B" w14:paraId="435571E7" w14:textId="137E5E26">
      <w:pPr>
        <w:pStyle w:val="bullets"/>
        <w:numPr>
          <w:ilvl w:val="0"/>
          <w:numId w:val="17"/>
        </w:numPr>
      </w:pPr>
      <w:r w:rsidRPr="00424813">
        <w:t xml:space="preserve">Project staff take all necessary precautions to ensure the secure transport of study materials to participants and to ensure the secure transport, processing, and storage of participant data. </w:t>
      </w:r>
    </w:p>
    <w:p w:rsidRPr="00424813" w:rsidR="003E555B" w:rsidP="00383B94" w:rsidRDefault="003E555B" w14:paraId="3FFF910C" w14:textId="13713DDB">
      <w:pPr>
        <w:pStyle w:val="bullets"/>
        <w:numPr>
          <w:ilvl w:val="0"/>
          <w:numId w:val="17"/>
        </w:numPr>
      </w:pPr>
      <w:r w:rsidRPr="00424813">
        <w:t xml:space="preserve">All study materials, while in possession of the contractor, </w:t>
      </w:r>
      <w:r w:rsidRPr="00424813" w:rsidR="0082771F">
        <w:t>are</w:t>
      </w:r>
      <w:r w:rsidRPr="00424813">
        <w:t xml:space="preserve"> assembled, processed, and stored at the contractor’s </w:t>
      </w:r>
      <w:r w:rsidRPr="00424813" w:rsidR="002744CD">
        <w:t>ROC,</w:t>
      </w:r>
      <w:r w:rsidRPr="00424813" w:rsidR="00C51EC5">
        <w:t xml:space="preserve"> </w:t>
      </w:r>
      <w:r w:rsidRPr="00424813">
        <w:t xml:space="preserve">a controlled-access facility equipped to support sensitive, large-scale mail survey efforts. Access to the building is by keyless card-controlled entry. </w:t>
      </w:r>
    </w:p>
    <w:p w:rsidRPr="00424813" w:rsidR="003E555B" w:rsidP="00383B94" w:rsidRDefault="003E555B" w14:paraId="4A6C42F0" w14:textId="7D596AEC">
      <w:pPr>
        <w:pStyle w:val="bullets"/>
        <w:numPr>
          <w:ilvl w:val="0"/>
          <w:numId w:val="17"/>
        </w:numPr>
      </w:pPr>
      <w:r w:rsidRPr="00424813">
        <w:lastRenderedPageBreak/>
        <w:t xml:space="preserve">All staff who come in contact with </w:t>
      </w:r>
      <w:r w:rsidRPr="00424813" w:rsidR="00846356">
        <w:t>private</w:t>
      </w:r>
      <w:r w:rsidRPr="00424813" w:rsidR="00017532">
        <w:t xml:space="preserve"> </w:t>
      </w:r>
      <w:r w:rsidRPr="00424813">
        <w:t xml:space="preserve">project materials have signed </w:t>
      </w:r>
      <w:r w:rsidRPr="00424813" w:rsidR="00846356">
        <w:t>privacy pledges</w:t>
      </w:r>
      <w:r w:rsidRPr="00424813">
        <w:t xml:space="preserve"> and have been trained on all project security procedures.</w:t>
      </w:r>
    </w:p>
    <w:p w:rsidRPr="00424813" w:rsidR="008B5C6F" w:rsidP="00383B94" w:rsidRDefault="003E555B" w14:paraId="3650D944" w14:textId="722DBA33">
      <w:pPr>
        <w:pStyle w:val="bullets"/>
        <w:numPr>
          <w:ilvl w:val="0"/>
          <w:numId w:val="17"/>
        </w:numPr>
      </w:pPr>
      <w:r w:rsidRPr="00424813">
        <w:t xml:space="preserve">Electronic files containing sensitive data created in the process of preparing printed materials for mailouts (e.g., mail-merge data files, print files) </w:t>
      </w:r>
      <w:r w:rsidRPr="00424813" w:rsidR="0082771F">
        <w:t>are</w:t>
      </w:r>
      <w:r w:rsidRPr="00424813">
        <w:t xml:space="preserve"> deleted by staff as soon as </w:t>
      </w:r>
      <w:r w:rsidRPr="00424813" w:rsidR="002B522D">
        <w:t>all</w:t>
      </w:r>
      <w:r w:rsidRPr="00424813">
        <w:t xml:space="preserve"> associated mailings </w:t>
      </w:r>
      <w:r w:rsidRPr="00424813" w:rsidR="002B522D">
        <w:t xml:space="preserve">or printings </w:t>
      </w:r>
      <w:r w:rsidRPr="00424813">
        <w:t>have been completed</w:t>
      </w:r>
      <w:r w:rsidRPr="00424813" w:rsidR="002B522D">
        <w:t>.</w:t>
      </w:r>
      <w:r w:rsidRPr="00424813">
        <w:t xml:space="preserve"> </w:t>
      </w:r>
    </w:p>
    <w:p w:rsidRPr="00424813" w:rsidR="003E555B" w:rsidP="00383B94" w:rsidRDefault="003E555B" w14:paraId="56ABC4A4" w14:textId="623A68B5">
      <w:pPr>
        <w:pStyle w:val="bullets"/>
        <w:numPr>
          <w:ilvl w:val="0"/>
          <w:numId w:val="17"/>
        </w:numPr>
      </w:pPr>
      <w:r w:rsidRPr="00424813">
        <w:t xml:space="preserve">Any printed sensitive materials not used, such as test printouts or batches of materials with printing problems for which reprinting is required, </w:t>
      </w:r>
      <w:r w:rsidRPr="00424813" w:rsidR="0082771F">
        <w:t>are</w:t>
      </w:r>
      <w:r w:rsidRPr="00424813">
        <w:t xml:space="preserve"> securely shredded immediately. </w:t>
      </w:r>
    </w:p>
    <w:p w:rsidRPr="00424813" w:rsidR="003E555B" w:rsidP="00383B94" w:rsidRDefault="003E555B" w14:paraId="16A3B799" w14:textId="1F44699E">
      <w:pPr>
        <w:pStyle w:val="bullets"/>
        <w:numPr>
          <w:ilvl w:val="0"/>
          <w:numId w:val="17"/>
        </w:numPr>
      </w:pPr>
      <w:r w:rsidRPr="00424813">
        <w:t xml:space="preserve">Mailings for </w:t>
      </w:r>
      <w:r w:rsidRPr="00424813" w:rsidR="00DD09B8">
        <w:t>m</w:t>
      </w:r>
      <w:r w:rsidRPr="00424813">
        <w:t xml:space="preserve">ail </w:t>
      </w:r>
      <w:r w:rsidRPr="00424813" w:rsidR="00DD09B8">
        <w:t>s</w:t>
      </w:r>
      <w:r w:rsidRPr="00424813">
        <w:t xml:space="preserve">urvey participants </w:t>
      </w:r>
      <w:r w:rsidRPr="00424813" w:rsidR="0082771F">
        <w:t>are</w:t>
      </w:r>
      <w:r w:rsidRPr="00424813">
        <w:t xml:space="preserve"> assembled by project staff that have signed </w:t>
      </w:r>
      <w:r w:rsidRPr="00424813" w:rsidR="00846356">
        <w:t>privacy pledges</w:t>
      </w:r>
      <w:r w:rsidRPr="00424813">
        <w:t>.</w:t>
      </w:r>
      <w:r w:rsidRPr="00424813" w:rsidR="000A337C">
        <w:t xml:space="preserve"> </w:t>
      </w:r>
    </w:p>
    <w:p w:rsidRPr="00424813" w:rsidR="001508D1" w:rsidP="00383B94" w:rsidRDefault="003E555B" w14:paraId="21C73144" w14:textId="2191AEBD">
      <w:pPr>
        <w:pStyle w:val="bullets"/>
        <w:numPr>
          <w:ilvl w:val="0"/>
          <w:numId w:val="17"/>
        </w:numPr>
      </w:pPr>
      <w:r w:rsidRPr="00424813">
        <w:t xml:space="preserve">After participants complete a </w:t>
      </w:r>
      <w:r w:rsidRPr="00424813" w:rsidR="00011895">
        <w:t xml:space="preserve">mail </w:t>
      </w:r>
      <w:r w:rsidRPr="00424813">
        <w:t xml:space="preserve">survey, they return the completed form, identified only by the Case ID, to the contractor in a standard Business Reply Envelope. All returned mailings and forms received by the contractor </w:t>
      </w:r>
      <w:r w:rsidRPr="00424813" w:rsidR="001E7F72">
        <w:t>are</w:t>
      </w:r>
      <w:r w:rsidRPr="00424813">
        <w:t xml:space="preserve"> sent directly to the Survey Support Department (SSD) at the ROC and stored in a secure area at all times. The SSD area is locked at all times. A supervisor is present at all times when work is being performed in the SSD area. At SSD, a Document Control Clerk is assigned the responsibility of processing, filing, and maintaining all project materials. Incoming materials </w:t>
      </w:r>
      <w:r w:rsidRPr="00424813" w:rsidR="001E7F72">
        <w:t>are</w:t>
      </w:r>
      <w:r w:rsidRPr="00424813">
        <w:t xml:space="preserve"> stored in a locked file cabinet after processing and then shredded at the end of the project.</w:t>
      </w:r>
      <w:r w:rsidRPr="00424813" w:rsidR="001508D1">
        <w:t xml:space="preserve"> </w:t>
      </w:r>
    </w:p>
    <w:p w:rsidRPr="00424813" w:rsidR="003E555B" w:rsidP="00383B94" w:rsidRDefault="001508D1" w14:paraId="71B9B885" w14:textId="472F9FCE">
      <w:pPr>
        <w:pStyle w:val="bullets"/>
        <w:numPr>
          <w:ilvl w:val="0"/>
          <w:numId w:val="17"/>
        </w:numPr>
      </w:pPr>
      <w:r w:rsidRPr="00424813">
        <w:t>After receipt</w:t>
      </w:r>
      <w:r w:rsidRPr="00424813" w:rsidR="002744CD">
        <w:t xml:space="preserve"> by the contractor</w:t>
      </w:r>
      <w:r w:rsidRPr="00424813">
        <w:t xml:space="preserve">, completed mail survey forms </w:t>
      </w:r>
      <w:r w:rsidRPr="00424813" w:rsidR="001E7F72">
        <w:t>are</w:t>
      </w:r>
      <w:r w:rsidRPr="00424813" w:rsidR="00C06850">
        <w:t xml:space="preserve"> </w:t>
      </w:r>
      <w:r w:rsidRPr="00424813">
        <w:t xml:space="preserve">scanned using Teleform. Panel member names </w:t>
      </w:r>
      <w:r w:rsidRPr="00424813" w:rsidR="00B5230F">
        <w:t>are</w:t>
      </w:r>
      <w:r w:rsidRPr="00424813">
        <w:t xml:space="preserve"> not printed on paper survey forms; instead, forms </w:t>
      </w:r>
      <w:r w:rsidRPr="00424813" w:rsidR="001E7F72">
        <w:t>are</w:t>
      </w:r>
      <w:r w:rsidRPr="00424813">
        <w:t xml:space="preserve"> labeled with the panelist</w:t>
      </w:r>
      <w:r w:rsidRPr="00424813" w:rsidR="00F006A9">
        <w:t>’</w:t>
      </w:r>
      <w:r w:rsidRPr="00424813">
        <w:t>s study ID.</w:t>
      </w:r>
    </w:p>
    <w:p w:rsidRPr="00424813" w:rsidR="00D33D1B" w:rsidP="00383B94" w:rsidRDefault="00D33D1B" w14:paraId="431C98A4" w14:textId="4A38535A">
      <w:pPr>
        <w:pStyle w:val="bullets"/>
        <w:numPr>
          <w:ilvl w:val="0"/>
          <w:numId w:val="17"/>
        </w:numPr>
      </w:pPr>
      <w:r w:rsidRPr="00424813">
        <w:t>Re-consent forms (if implemented)</w:t>
      </w:r>
      <w:r w:rsidRPr="00424813">
        <w:rPr>
          <w:lang w:eastAsia="x-none"/>
        </w:rPr>
        <w:t xml:space="preserve"> for mail mode panelists are not returned to the contractor with completed survey forms. </w:t>
      </w:r>
      <w:r w:rsidRPr="00424813">
        <w:t xml:space="preserve"> </w:t>
      </w:r>
    </w:p>
    <w:p w:rsidRPr="00424813" w:rsidR="001508D1" w:rsidP="00383B94" w:rsidRDefault="001508D1" w14:paraId="7CE8B6B5" w14:textId="7B7B4540">
      <w:pPr>
        <w:pStyle w:val="bullets"/>
        <w:numPr>
          <w:ilvl w:val="0"/>
          <w:numId w:val="17"/>
        </w:numPr>
      </w:pPr>
      <w:r w:rsidRPr="00424813">
        <w:t xml:space="preserve">Completed mail survey forms </w:t>
      </w:r>
      <w:r w:rsidRPr="00424813" w:rsidR="001E7F72">
        <w:t>are</w:t>
      </w:r>
      <w:r w:rsidRPr="00424813">
        <w:t xml:space="preserve"> security shredded at the end of the project, following data delivery to FDA.</w:t>
      </w:r>
      <w:r w:rsidRPr="00424813" w:rsidR="006E698F">
        <w:t xml:space="preserve"> </w:t>
      </w:r>
    </w:p>
    <w:p w:rsidRPr="00424813" w:rsidR="001508D1" w:rsidP="000B5BC5" w:rsidRDefault="00E30072" w14:paraId="06B62948" w14:textId="3BB69806">
      <w:pPr>
        <w:pStyle w:val="Heading3"/>
      </w:pPr>
      <w:bookmarkStart w:name="_Toc33529725" w:id="58"/>
      <w:r w:rsidRPr="00424813">
        <w:t>A.10.</w:t>
      </w:r>
      <w:r w:rsidRPr="00424813" w:rsidR="009B06C5">
        <w:t>5</w:t>
      </w:r>
      <w:r w:rsidRPr="00424813" w:rsidR="001508D1">
        <w:tab/>
      </w:r>
      <w:r w:rsidRPr="00424813" w:rsidR="00846356">
        <w:t>Privacy</w:t>
      </w:r>
      <w:r w:rsidRPr="00424813" w:rsidR="009E3F7C">
        <w:t xml:space="preserve"> </w:t>
      </w:r>
      <w:r w:rsidRPr="00424813" w:rsidR="00753770">
        <w:t xml:space="preserve">Concerns </w:t>
      </w:r>
      <w:r w:rsidRPr="00424813" w:rsidR="009E3F7C">
        <w:t>for Participants Using Loaned Tablet Computers</w:t>
      </w:r>
      <w:bookmarkEnd w:id="58"/>
    </w:p>
    <w:p w:rsidRPr="00424813" w:rsidR="008B5C6F" w:rsidP="008B5C6F" w:rsidRDefault="008B5C6F" w14:paraId="155A5573" w14:textId="39DE033D">
      <w:pPr>
        <w:pStyle w:val="bodytextpsg"/>
      </w:pPr>
      <w:r w:rsidRPr="00424813">
        <w:t xml:space="preserve">The privacy of responses from panel </w:t>
      </w:r>
      <w:r w:rsidRPr="00424813" w:rsidR="002744CD">
        <w:t>members</w:t>
      </w:r>
      <w:r w:rsidRPr="00424813">
        <w:t xml:space="preserve"> using the loaned tablet computer </w:t>
      </w:r>
      <w:r w:rsidRPr="00424813" w:rsidR="00944C75">
        <w:t>is</w:t>
      </w:r>
      <w:r w:rsidRPr="00424813">
        <w:t xml:space="preserve"> treated in the same manner as Web survey participants. In addition: </w:t>
      </w:r>
    </w:p>
    <w:p w:rsidRPr="00424813" w:rsidR="001508D1" w:rsidP="00383B94" w:rsidRDefault="001508D1" w14:paraId="458CC949" w14:textId="1A30FED9">
      <w:pPr>
        <w:pStyle w:val="bullets"/>
      </w:pPr>
      <w:r w:rsidRPr="00424813">
        <w:t xml:space="preserve">The </w:t>
      </w:r>
      <w:r w:rsidRPr="00424813" w:rsidR="00D17A54">
        <w:t>W</w:t>
      </w:r>
      <w:r w:rsidRPr="00424813">
        <w:t xml:space="preserve">eb-enabled tablet computer loaned to a subset of panel members </w:t>
      </w:r>
      <w:r w:rsidRPr="00424813" w:rsidR="00944C75">
        <w:t>is</w:t>
      </w:r>
      <w:r w:rsidRPr="00424813" w:rsidR="008B5C6F">
        <w:t xml:space="preserve"> </w:t>
      </w:r>
      <w:r w:rsidRPr="00424813">
        <w:t xml:space="preserve">provided as a </w:t>
      </w:r>
      <w:r w:rsidRPr="00424813" w:rsidR="008B5C6F">
        <w:t>tool</w:t>
      </w:r>
      <w:r w:rsidRPr="00424813">
        <w:t xml:space="preserve"> for accessing the</w:t>
      </w:r>
      <w:r w:rsidRPr="00424813" w:rsidR="003F19A1">
        <w:t xml:space="preserve"> panel</w:t>
      </w:r>
      <w:r w:rsidRPr="00424813">
        <w:t xml:space="preserve"> website to participate in panel surveys online. No survey data </w:t>
      </w:r>
      <w:r w:rsidRPr="00424813" w:rsidR="00C06850">
        <w:t>are</w:t>
      </w:r>
      <w:r w:rsidRPr="00424813">
        <w:t xml:space="preserve"> collected or stored locally on the device. Additionally, </w:t>
      </w:r>
      <w:r w:rsidRPr="00424813" w:rsidR="002B2C96">
        <w:t xml:space="preserve">the device </w:t>
      </w:r>
      <w:r w:rsidRPr="00424813" w:rsidR="00C06850">
        <w:t xml:space="preserve">is </w:t>
      </w:r>
      <w:r w:rsidRPr="00424813" w:rsidR="002B2C96">
        <w:t xml:space="preserve">not used to </w:t>
      </w:r>
      <w:r w:rsidRPr="00424813">
        <w:t xml:space="preserve">track the panel member’s location or </w:t>
      </w:r>
      <w:r w:rsidRPr="00424813" w:rsidR="002B2C96">
        <w:t xml:space="preserve">to </w:t>
      </w:r>
      <w:r w:rsidRPr="00424813">
        <w:t>collect data from the device about non-study usage.</w:t>
      </w:r>
    </w:p>
    <w:p w:rsidRPr="00424813" w:rsidR="001508D1" w:rsidP="00383B94" w:rsidRDefault="001508D1" w14:paraId="4512CB50" w14:textId="5502C166">
      <w:pPr>
        <w:pStyle w:val="bullets"/>
      </w:pPr>
      <w:r w:rsidRPr="00424813">
        <w:t xml:space="preserve">Panel members receive detailed written instructions by mail for the packaging and return of loaned tablets to </w:t>
      </w:r>
      <w:r w:rsidRPr="00424813" w:rsidR="002B2C96">
        <w:t>the contractor</w:t>
      </w:r>
      <w:r w:rsidRPr="00424813" w:rsidR="00116C7A">
        <w:t xml:space="preserve"> when their panel participation ends</w:t>
      </w:r>
      <w:r w:rsidRPr="00424813">
        <w:t>. This includes</w:t>
      </w:r>
      <w:r w:rsidRPr="00424813" w:rsidR="00116C7A">
        <w:t xml:space="preserve"> </w:t>
      </w:r>
      <w:r w:rsidRPr="00424813">
        <w:t xml:space="preserve">shipping boxes and overnight </w:t>
      </w:r>
      <w:r w:rsidRPr="00424813" w:rsidR="002B2C96">
        <w:t xml:space="preserve">postage-paid </w:t>
      </w:r>
      <w:r w:rsidRPr="00424813">
        <w:t>shipping labels.</w:t>
      </w:r>
    </w:p>
    <w:p w:rsidRPr="00424813" w:rsidR="003E555B" w:rsidP="00383B94" w:rsidRDefault="002B2C96" w14:paraId="7D0E9513" w14:textId="1244E89F">
      <w:pPr>
        <w:pStyle w:val="bullets"/>
      </w:pPr>
      <w:r w:rsidRPr="00424813">
        <w:lastRenderedPageBreak/>
        <w:t xml:space="preserve">Upon return, loaned devices </w:t>
      </w:r>
      <w:r w:rsidRPr="00424813" w:rsidR="001E7F72">
        <w:t>are</w:t>
      </w:r>
      <w:r w:rsidRPr="00424813" w:rsidR="001508D1">
        <w:t xml:space="preserve"> inventoried and receipted, wiped clean of any data that might have been stored on them, and restored to their factory settings. </w:t>
      </w:r>
      <w:r w:rsidRPr="00424813">
        <w:t>P</w:t>
      </w:r>
      <w:r w:rsidRPr="00424813" w:rsidR="001508D1">
        <w:t xml:space="preserve">anel members </w:t>
      </w:r>
      <w:r w:rsidRPr="00424813" w:rsidR="001E7F72">
        <w:t>are</w:t>
      </w:r>
      <w:r w:rsidRPr="00424813" w:rsidR="001508D1">
        <w:t xml:space="preserve"> reassured that </w:t>
      </w:r>
      <w:r w:rsidRPr="00424813">
        <w:t xml:space="preserve">no attempts </w:t>
      </w:r>
      <w:r w:rsidRPr="00424813" w:rsidR="001E7F72">
        <w:t>are</w:t>
      </w:r>
      <w:r w:rsidRPr="00424813" w:rsidR="00C06850">
        <w:t xml:space="preserve"> </w:t>
      </w:r>
      <w:r w:rsidRPr="00424813">
        <w:t xml:space="preserve">made to </w:t>
      </w:r>
      <w:r w:rsidRPr="00424813" w:rsidR="001508D1">
        <w:t xml:space="preserve">gather any other information </w:t>
      </w:r>
      <w:r w:rsidRPr="00424813">
        <w:t xml:space="preserve">from the device </w:t>
      </w:r>
      <w:r w:rsidRPr="00424813" w:rsidR="001508D1">
        <w:t>aside from the survey answers and electronic</w:t>
      </w:r>
      <w:r w:rsidRPr="00424813" w:rsidR="00753770">
        <w:t xml:space="preserve"> information already described.</w:t>
      </w:r>
    </w:p>
    <w:p w:rsidRPr="00424813" w:rsidR="003E555B" w:rsidP="003E555B" w:rsidRDefault="003E555B" w14:paraId="3379F203" w14:textId="08DCCC2B">
      <w:pPr>
        <w:pStyle w:val="Heading2"/>
      </w:pPr>
      <w:bookmarkStart w:name="_Toc88033477" w:id="59"/>
      <w:bookmarkStart w:name="_Toc88277960" w:id="60"/>
      <w:bookmarkStart w:name="_Toc33529726" w:id="61"/>
      <w:r w:rsidRPr="00424813">
        <w:t>A.11</w:t>
      </w:r>
      <w:r w:rsidRPr="00424813">
        <w:tab/>
      </w:r>
      <w:bookmarkEnd w:id="59"/>
      <w:r w:rsidRPr="00424813">
        <w:t>Justification for Sensitive Questions</w:t>
      </w:r>
      <w:bookmarkEnd w:id="60"/>
      <w:bookmarkEnd w:id="61"/>
      <w:r w:rsidRPr="00424813" w:rsidR="005F3AE9">
        <w:t xml:space="preserve">       </w:t>
      </w:r>
    </w:p>
    <w:p w:rsidRPr="00424813" w:rsidR="003E555B" w:rsidP="00A73FDC" w:rsidRDefault="003E555B" w14:paraId="68463D85" w14:textId="10B499EA">
      <w:pPr>
        <w:pStyle w:val="bodytextpsg"/>
      </w:pPr>
      <w:r w:rsidRPr="00424813">
        <w:t xml:space="preserve">The </w:t>
      </w:r>
      <w:r w:rsidRPr="00424813" w:rsidR="00CF2D41">
        <w:t>p</w:t>
      </w:r>
      <w:r w:rsidRPr="00424813">
        <w:t xml:space="preserve">anel field screener and enrollment surveys contain items about current employment status and basic demographic information including age, gender, </w:t>
      </w:r>
      <w:r w:rsidRPr="00424813" w:rsidR="00401237">
        <w:t>birth month and year</w:t>
      </w:r>
      <w:r w:rsidRPr="00424813">
        <w:t>, race/ethnicity, educational attainment, and marital status.</w:t>
      </w:r>
      <w:r w:rsidRPr="00424813" w:rsidR="000A337C">
        <w:t xml:space="preserve"> </w:t>
      </w:r>
      <w:r w:rsidRPr="00424813">
        <w:t xml:space="preserve">Federal regulations governing the administration of these questions, which might be viewed as sensitive due to personal or private information, require (a) clear documentation of the need for such information as it relates to the primary purpose of the study, (b) provisions to respondents that clearly inform them of the voluntary nature of participation in the study, and (c) assurances that responses may be used only for statistical purposes, except as required by law (20 U.S.C. § 9573). </w:t>
      </w:r>
    </w:p>
    <w:p w:rsidRPr="00424813" w:rsidR="003E555B" w:rsidP="00A73FDC" w:rsidRDefault="003E555B" w14:paraId="69B30EC0" w14:textId="1CB699E0">
      <w:pPr>
        <w:pStyle w:val="bodytextpsg"/>
      </w:pPr>
      <w:r w:rsidRPr="00424813">
        <w:t xml:space="preserve">The collection of data related to current employment status and basic demographic information is essential for subsequent analyses, which includes examination of demographic characteristics of survey nonrespondents and panel members who leave the study over time. These data </w:t>
      </w:r>
      <w:r w:rsidR="00BD334C">
        <w:t>are</w:t>
      </w:r>
      <w:r w:rsidRPr="00424813">
        <w:t xml:space="preserve"> used to accurately characterize and/or subset panel members for inclusion in the experimental and observational studies, and for descriptive and other analyses described in </w:t>
      </w:r>
      <w:r w:rsidRPr="00424813">
        <w:rPr>
          <w:b/>
          <w:i/>
        </w:rPr>
        <w:t>Section A.16.</w:t>
      </w:r>
      <w:r w:rsidRPr="00424813">
        <w:t xml:space="preserve"> </w:t>
      </w:r>
    </w:p>
    <w:p w:rsidRPr="00424813" w:rsidR="003E555B" w:rsidP="00832B53" w:rsidRDefault="003E555B" w14:paraId="67C5F218" w14:textId="1C4ACDDB">
      <w:pPr>
        <w:pStyle w:val="bodytextpsg"/>
      </w:pPr>
      <w:r w:rsidRPr="00424813">
        <w:t xml:space="preserve">Respondents are advised of the voluntary nature of participation and their right to refuse to answer any question during the informed consent process. </w:t>
      </w:r>
    </w:p>
    <w:p w:rsidRPr="00424813" w:rsidR="003E555B" w:rsidP="003E555B" w:rsidRDefault="003E555B" w14:paraId="2FE56134" w14:textId="77777777">
      <w:pPr>
        <w:pStyle w:val="Heading2"/>
      </w:pPr>
      <w:bookmarkStart w:name="_Toc88033478" w:id="62"/>
      <w:bookmarkStart w:name="_Toc88277961" w:id="63"/>
      <w:bookmarkStart w:name="_Hlk519776500" w:id="64"/>
      <w:bookmarkStart w:name="_Toc33529727" w:id="65"/>
      <w:r w:rsidRPr="00424813">
        <w:t>A.12</w:t>
      </w:r>
      <w:r w:rsidRPr="00424813">
        <w:tab/>
      </w:r>
      <w:bookmarkEnd w:id="62"/>
      <w:r w:rsidRPr="00424813">
        <w:t>Estimates of Annualized Burden Hours and Costs</w:t>
      </w:r>
      <w:bookmarkEnd w:id="63"/>
      <w:bookmarkEnd w:id="65"/>
    </w:p>
    <w:p w:rsidRPr="00424813" w:rsidR="00B26BAB" w:rsidP="00A20FFD" w:rsidRDefault="00A20FFD" w14:paraId="0DCEE39B" w14:textId="77777777">
      <w:pPr>
        <w:pStyle w:val="Heading3"/>
      </w:pPr>
      <w:bookmarkStart w:name="_Toc88033479" w:id="66"/>
      <w:bookmarkStart w:name="_Toc88277962" w:id="67"/>
      <w:bookmarkStart w:name="_Toc33529728" w:id="68"/>
      <w:r w:rsidRPr="00424813">
        <w:t>A.12.1</w:t>
      </w:r>
      <w:r w:rsidRPr="00424813">
        <w:tab/>
      </w:r>
      <w:r w:rsidRPr="00424813" w:rsidR="00B26BAB">
        <w:t>Annualized Hour Burden Estimate</w:t>
      </w:r>
      <w:bookmarkEnd w:id="68"/>
    </w:p>
    <w:p w:rsidRPr="00424813" w:rsidR="000A337C" w:rsidP="00C26B80" w:rsidRDefault="00B7289C" w14:paraId="54FE715F" w14:textId="5B55E722">
      <w:pPr>
        <w:pStyle w:val="bodytextpsg"/>
      </w:pPr>
      <w:r w:rsidRPr="00424813">
        <w:rPr>
          <w:b/>
          <w:bCs/>
          <w:i/>
          <w:iCs/>
        </w:rPr>
        <w:t>Exhibit A.12-1</w:t>
      </w:r>
      <w:r w:rsidRPr="00424813">
        <w:t xml:space="preserve"> contains the estimated interview times for each member of the </w:t>
      </w:r>
      <w:r w:rsidRPr="00424813" w:rsidR="00CF2D41">
        <w:t>p</w:t>
      </w:r>
      <w:r w:rsidRPr="00424813">
        <w:t xml:space="preserve">anel. </w:t>
      </w:r>
      <w:r w:rsidRPr="00424813" w:rsidR="000A337C">
        <w:t xml:space="preserve"> </w:t>
      </w:r>
      <w:r w:rsidRPr="00424813" w:rsidR="003E555B">
        <w:t xml:space="preserve">Burden was estimated using data from timed-readings of each instrument, including the mail and field screeners, enrollment survey, baseline survey,  and Study </w:t>
      </w:r>
      <w:r w:rsidR="00331557">
        <w:t>B</w:t>
      </w:r>
      <w:r w:rsidRPr="00424813" w:rsidR="00331557">
        <w:t xml:space="preserve"> </w:t>
      </w:r>
      <w:r w:rsidR="0047310E">
        <w:t>and C</w:t>
      </w:r>
      <w:r w:rsidRPr="00424813" w:rsidR="00DA59C8">
        <w:t xml:space="preserve"> </w:t>
      </w:r>
      <w:r w:rsidRPr="00424813" w:rsidR="004D598B">
        <w:t>questionnaire</w:t>
      </w:r>
      <w:r w:rsidRPr="00424813" w:rsidR="001450A9">
        <w:t>s</w:t>
      </w:r>
      <w:r w:rsidRPr="00424813" w:rsidR="004D598B">
        <w:t>. To</w:t>
      </w:r>
      <w:r w:rsidRPr="00424813" w:rsidR="003E555B">
        <w:t xml:space="preserve"> compute the total estimated annual cost, the total burden hours were multiplied by the average hourly wage for each adult participant, according to the Bureau of Labor Statistics, Current Employment Statistics Survey, 2011. Estimates are presented in </w:t>
      </w:r>
      <w:r w:rsidRPr="00424813" w:rsidR="003E555B">
        <w:rPr>
          <w:b/>
          <w:i/>
        </w:rPr>
        <w:t>Exhibit A.12-</w:t>
      </w:r>
      <w:r w:rsidRPr="00424813" w:rsidR="002A7885">
        <w:rPr>
          <w:b/>
          <w:i/>
        </w:rPr>
        <w:t>2</w:t>
      </w:r>
      <w:r w:rsidRPr="00424813" w:rsidR="003E555B">
        <w:t>.</w:t>
      </w:r>
    </w:p>
    <w:p w:rsidRPr="00424813" w:rsidR="00C446EC" w:rsidP="008C5CEF" w:rsidRDefault="008C5CEF" w14:paraId="17B8DB91" w14:textId="164B5C44">
      <w:pPr>
        <w:pStyle w:val="FigureTitle"/>
      </w:pPr>
      <w:bookmarkStart w:name="_Hlk520800190" w:id="69"/>
      <w:bookmarkStart w:name="_Toc33529744" w:id="70"/>
      <w:r w:rsidRPr="00424813">
        <w:lastRenderedPageBreak/>
        <w:t>Exhibit A.12-</w:t>
      </w:r>
      <w:r w:rsidRPr="00424813" w:rsidR="002A7885">
        <w:t>1</w:t>
      </w:r>
      <w:r w:rsidRPr="00424813" w:rsidR="00B14F4F">
        <w:t>.</w:t>
      </w:r>
      <w:r w:rsidRPr="00424813">
        <w:t xml:space="preserve"> </w:t>
      </w:r>
      <w:r w:rsidRPr="00424813" w:rsidR="00B26BAB">
        <w:t>Estimated Annual Reporting Burden</w:t>
      </w:r>
      <w:bookmarkEnd w:id="70"/>
    </w:p>
    <w:tbl>
      <w:tblPr>
        <w:tblW w:w="9360" w:type="dxa"/>
        <w:jc w:val="center"/>
        <w:tblBorders>
          <w:top w:val="single" w:color="000000" w:sz="12" w:space="0"/>
          <w:bottom w:val="single" w:color="000000" w:sz="12" w:space="0"/>
          <w:insideH w:val="single" w:color="000000" w:sz="6" w:space="0"/>
        </w:tblBorders>
        <w:tblLayout w:type="fixed"/>
        <w:tblCellMar>
          <w:left w:w="120" w:type="dxa"/>
          <w:right w:w="120" w:type="dxa"/>
        </w:tblCellMar>
        <w:tblLook w:val="0000" w:firstRow="0" w:lastRow="0" w:firstColumn="0" w:lastColumn="0" w:noHBand="0" w:noVBand="0"/>
      </w:tblPr>
      <w:tblGrid>
        <w:gridCol w:w="2348"/>
        <w:gridCol w:w="1403"/>
        <w:gridCol w:w="1403"/>
        <w:gridCol w:w="1402"/>
        <w:gridCol w:w="1402"/>
        <w:gridCol w:w="1402"/>
      </w:tblGrid>
      <w:tr w:rsidRPr="00424813" w:rsidR="00C26B80" w:rsidTr="0003266C" w14:paraId="53948F54" w14:textId="77777777">
        <w:trPr>
          <w:cantSplit/>
          <w:jc w:val="center"/>
        </w:trPr>
        <w:tc>
          <w:tcPr>
            <w:tcW w:w="1254" w:type="pct"/>
            <w:tcMar>
              <w:left w:w="43" w:type="dxa"/>
              <w:right w:w="43" w:type="dxa"/>
            </w:tcMar>
            <w:vAlign w:val="bottom"/>
          </w:tcPr>
          <w:p w:rsidRPr="00424813" w:rsidR="00C26B80" w:rsidP="008C5CEF" w:rsidRDefault="00C26B80" w14:paraId="29CC0BD7" w14:textId="77777777">
            <w:pPr>
              <w:pStyle w:val="TableHeaders"/>
            </w:pPr>
            <w:r w:rsidRPr="00424813">
              <w:t>Activity/Respondent</w:t>
            </w:r>
          </w:p>
        </w:tc>
        <w:tc>
          <w:tcPr>
            <w:tcW w:w="749" w:type="pct"/>
            <w:tcMar>
              <w:left w:w="43" w:type="dxa"/>
              <w:right w:w="43" w:type="dxa"/>
            </w:tcMar>
            <w:vAlign w:val="bottom"/>
          </w:tcPr>
          <w:p w:rsidRPr="00424813" w:rsidR="00C26B80" w:rsidP="008C5CEF" w:rsidRDefault="00C26B80" w14:paraId="13EEF97F" w14:textId="77777777">
            <w:pPr>
              <w:pStyle w:val="TableHeaders"/>
            </w:pPr>
            <w:r w:rsidRPr="00424813">
              <w:t>Number Of Respondents</w:t>
            </w:r>
          </w:p>
        </w:tc>
        <w:tc>
          <w:tcPr>
            <w:tcW w:w="749" w:type="pct"/>
            <w:tcMar>
              <w:left w:w="43" w:type="dxa"/>
              <w:right w:w="43" w:type="dxa"/>
            </w:tcMar>
            <w:vAlign w:val="bottom"/>
          </w:tcPr>
          <w:p w:rsidRPr="00424813" w:rsidR="00C26B80" w:rsidP="008C5CEF" w:rsidRDefault="00C26B80" w14:paraId="51E62E10" w14:textId="7B350820">
            <w:pPr>
              <w:pStyle w:val="TableHeaders"/>
            </w:pPr>
            <w:r w:rsidRPr="00424813">
              <w:t>Number Of Responses Per Respondent</w:t>
            </w:r>
            <w:r w:rsidRPr="00424813" w:rsidR="00253116">
              <w:t>*</w:t>
            </w:r>
          </w:p>
        </w:tc>
        <w:tc>
          <w:tcPr>
            <w:tcW w:w="749" w:type="pct"/>
            <w:tcMar>
              <w:left w:w="43" w:type="dxa"/>
              <w:right w:w="43" w:type="dxa"/>
            </w:tcMar>
            <w:vAlign w:val="bottom"/>
          </w:tcPr>
          <w:p w:rsidRPr="00424813" w:rsidR="00C26B80" w:rsidP="008C5CEF" w:rsidRDefault="00C26B80" w14:paraId="06820D1C" w14:textId="77777777">
            <w:pPr>
              <w:pStyle w:val="TableHeaders"/>
            </w:pPr>
            <w:r w:rsidRPr="00424813">
              <w:t>Total Annual Responses+</w:t>
            </w:r>
          </w:p>
        </w:tc>
        <w:tc>
          <w:tcPr>
            <w:tcW w:w="749" w:type="pct"/>
            <w:tcMar>
              <w:left w:w="43" w:type="dxa"/>
              <w:right w:w="43" w:type="dxa"/>
            </w:tcMar>
            <w:vAlign w:val="bottom"/>
          </w:tcPr>
          <w:p w:rsidRPr="00424813" w:rsidR="00C26B80" w:rsidP="008C5CEF" w:rsidRDefault="00C26B80" w14:paraId="463D90DC" w14:textId="13CA4D70">
            <w:pPr>
              <w:pStyle w:val="TableHeaders"/>
            </w:pPr>
            <w:r w:rsidRPr="00424813">
              <w:t>Avg</w:t>
            </w:r>
            <w:r w:rsidRPr="00424813" w:rsidR="00130C45">
              <w:t>.</w:t>
            </w:r>
            <w:r w:rsidRPr="00424813">
              <w:t xml:space="preserve"> Burden Hours Per Response</w:t>
            </w:r>
            <w:r w:rsidR="00FA4E93">
              <w:t>**</w:t>
            </w:r>
          </w:p>
        </w:tc>
        <w:tc>
          <w:tcPr>
            <w:tcW w:w="749" w:type="pct"/>
            <w:tcMar>
              <w:left w:w="43" w:type="dxa"/>
              <w:right w:w="43" w:type="dxa"/>
            </w:tcMar>
            <w:vAlign w:val="bottom"/>
          </w:tcPr>
          <w:p w:rsidRPr="00424813" w:rsidR="00C26B80" w:rsidP="008C5CEF" w:rsidRDefault="005308E8" w14:paraId="42EB2FC6" w14:textId="641F50C7">
            <w:pPr>
              <w:pStyle w:val="TableHeaders"/>
            </w:pPr>
            <w:r w:rsidRPr="00424813">
              <w:t>Total</w:t>
            </w:r>
            <w:r w:rsidRPr="00424813" w:rsidR="00C26B80">
              <w:t xml:space="preserve"> Hours+</w:t>
            </w:r>
          </w:p>
        </w:tc>
      </w:tr>
      <w:tr w:rsidRPr="00424813" w:rsidR="00FA4470" w:rsidTr="0003266C" w14:paraId="5BA97964" w14:textId="77777777">
        <w:trPr>
          <w:cantSplit/>
          <w:jc w:val="center"/>
        </w:trPr>
        <w:tc>
          <w:tcPr>
            <w:tcW w:w="1254" w:type="pct"/>
          </w:tcPr>
          <w:p w:rsidRPr="00424813" w:rsidR="00FA4470" w:rsidP="004019CF" w:rsidRDefault="00FA4470" w14:paraId="1F87E2CB" w14:textId="07BD5AA5">
            <w:pPr>
              <w:pStyle w:val="Tabletext"/>
              <w:keepNext/>
              <w:rPr>
                <w:szCs w:val="22"/>
              </w:rPr>
            </w:pPr>
            <w:r w:rsidRPr="00424813">
              <w:rPr>
                <w:szCs w:val="22"/>
              </w:rPr>
              <w:t>Study B</w:t>
            </w:r>
          </w:p>
        </w:tc>
        <w:tc>
          <w:tcPr>
            <w:tcW w:w="749" w:type="pct"/>
            <w:vMerge w:val="restart"/>
          </w:tcPr>
          <w:p w:rsidRPr="00424813" w:rsidR="00FA4470" w:rsidP="00476D0B" w:rsidRDefault="0045365F" w14:paraId="3B143720" w14:textId="0049799A">
            <w:pPr>
              <w:pStyle w:val="Tabletext"/>
              <w:keepNext/>
              <w:tabs>
                <w:tab w:val="decimal" w:pos="852"/>
              </w:tabs>
              <w:jc w:val="right"/>
            </w:pPr>
            <w:r>
              <w:t>4,000</w:t>
            </w:r>
          </w:p>
        </w:tc>
        <w:tc>
          <w:tcPr>
            <w:tcW w:w="749" w:type="pct"/>
          </w:tcPr>
          <w:p w:rsidRPr="00424813" w:rsidR="00FA4470" w:rsidP="00476D0B" w:rsidRDefault="00FA4470" w14:paraId="11939501" w14:textId="795938ED">
            <w:pPr>
              <w:pStyle w:val="Tabletext"/>
              <w:keepNext/>
              <w:tabs>
                <w:tab w:val="decimal" w:pos="499"/>
              </w:tabs>
              <w:jc w:val="right"/>
            </w:pPr>
            <w:r w:rsidRPr="00424813">
              <w:t>.33</w:t>
            </w:r>
          </w:p>
        </w:tc>
        <w:tc>
          <w:tcPr>
            <w:tcW w:w="749" w:type="pct"/>
          </w:tcPr>
          <w:p w:rsidRPr="00424813" w:rsidR="00FA4470" w:rsidP="00476D0B" w:rsidRDefault="00FA4470" w14:paraId="65C7FAB0" w14:textId="68FF4612">
            <w:pPr>
              <w:pStyle w:val="Tabletext"/>
              <w:keepNext/>
              <w:tabs>
                <w:tab w:val="decimal" w:pos="836"/>
              </w:tabs>
              <w:jc w:val="right"/>
            </w:pPr>
            <w:r w:rsidRPr="00424813">
              <w:t>1,320</w:t>
            </w:r>
          </w:p>
        </w:tc>
        <w:tc>
          <w:tcPr>
            <w:tcW w:w="749" w:type="pct"/>
          </w:tcPr>
          <w:p w:rsidRPr="00424813" w:rsidR="00FA4470" w:rsidP="00476D0B" w:rsidRDefault="00FA4470" w14:paraId="43E91C09" w14:textId="750495EB">
            <w:pPr>
              <w:pStyle w:val="Tabletext"/>
              <w:keepNext/>
              <w:tabs>
                <w:tab w:val="decimal" w:pos="424"/>
              </w:tabs>
              <w:jc w:val="right"/>
            </w:pPr>
            <w:r w:rsidRPr="00424813">
              <w:t>.33</w:t>
            </w:r>
          </w:p>
        </w:tc>
        <w:tc>
          <w:tcPr>
            <w:tcW w:w="749" w:type="pct"/>
          </w:tcPr>
          <w:p w:rsidRPr="00424813" w:rsidR="00FA4470" w:rsidP="00476D0B" w:rsidRDefault="00FA4470" w14:paraId="60E566E6" w14:textId="455D2D19">
            <w:pPr>
              <w:pStyle w:val="Tabletext"/>
              <w:keepNext/>
              <w:tabs>
                <w:tab w:val="decimal" w:pos="732"/>
              </w:tabs>
              <w:jc w:val="right"/>
            </w:pPr>
            <w:r w:rsidRPr="00424813">
              <w:t>436</w:t>
            </w:r>
          </w:p>
        </w:tc>
      </w:tr>
      <w:tr w:rsidRPr="00424813" w:rsidR="00FA4470" w:rsidTr="0003266C" w14:paraId="36706811" w14:textId="77777777">
        <w:trPr>
          <w:cantSplit/>
          <w:jc w:val="center"/>
        </w:trPr>
        <w:tc>
          <w:tcPr>
            <w:tcW w:w="1254" w:type="pct"/>
          </w:tcPr>
          <w:p w:rsidRPr="00424813" w:rsidR="00FA4470" w:rsidP="004019CF" w:rsidRDefault="00FA4470" w14:paraId="1DDEDD95" w14:textId="4B508835">
            <w:pPr>
              <w:pStyle w:val="Tabletext"/>
              <w:keepNext/>
              <w:rPr>
                <w:szCs w:val="22"/>
              </w:rPr>
            </w:pPr>
            <w:r w:rsidRPr="00424813">
              <w:rPr>
                <w:szCs w:val="22"/>
              </w:rPr>
              <w:t>Study C</w:t>
            </w:r>
          </w:p>
        </w:tc>
        <w:tc>
          <w:tcPr>
            <w:tcW w:w="749" w:type="pct"/>
            <w:vMerge/>
          </w:tcPr>
          <w:p w:rsidRPr="00424813" w:rsidR="00FA4470" w:rsidP="00104E3B" w:rsidRDefault="00FA4470" w14:paraId="09E7558E" w14:textId="77777777">
            <w:pPr>
              <w:pStyle w:val="Tabletext"/>
              <w:keepNext/>
              <w:tabs>
                <w:tab w:val="decimal" w:pos="852"/>
              </w:tabs>
              <w:jc w:val="right"/>
            </w:pPr>
          </w:p>
        </w:tc>
        <w:tc>
          <w:tcPr>
            <w:tcW w:w="749" w:type="pct"/>
          </w:tcPr>
          <w:p w:rsidRPr="00424813" w:rsidR="00FA4470" w:rsidP="00104E3B" w:rsidRDefault="00FA4470" w14:paraId="0AC9D373" w14:textId="77777777">
            <w:pPr>
              <w:pStyle w:val="Tabletext"/>
              <w:keepNext/>
              <w:tabs>
                <w:tab w:val="decimal" w:pos="499"/>
              </w:tabs>
              <w:jc w:val="right"/>
            </w:pPr>
            <w:r w:rsidRPr="00424813">
              <w:t>.33</w:t>
            </w:r>
          </w:p>
        </w:tc>
        <w:tc>
          <w:tcPr>
            <w:tcW w:w="749" w:type="pct"/>
          </w:tcPr>
          <w:p w:rsidRPr="00424813" w:rsidR="00FA4470" w:rsidP="00104E3B" w:rsidRDefault="00FA4470" w14:paraId="7BC1925A" w14:textId="77777777">
            <w:pPr>
              <w:pStyle w:val="Tabletext"/>
              <w:keepNext/>
              <w:tabs>
                <w:tab w:val="decimal" w:pos="836"/>
              </w:tabs>
              <w:jc w:val="right"/>
            </w:pPr>
            <w:r w:rsidRPr="00424813">
              <w:t>1,320</w:t>
            </w:r>
          </w:p>
        </w:tc>
        <w:tc>
          <w:tcPr>
            <w:tcW w:w="749" w:type="pct"/>
          </w:tcPr>
          <w:p w:rsidRPr="00424813" w:rsidR="00FA4470" w:rsidP="00104E3B" w:rsidRDefault="00FA4470" w14:paraId="4C189402" w14:textId="77777777">
            <w:pPr>
              <w:pStyle w:val="Tabletext"/>
              <w:keepNext/>
              <w:tabs>
                <w:tab w:val="decimal" w:pos="424"/>
              </w:tabs>
              <w:jc w:val="right"/>
            </w:pPr>
            <w:r w:rsidRPr="00424813">
              <w:t>.33</w:t>
            </w:r>
          </w:p>
        </w:tc>
        <w:tc>
          <w:tcPr>
            <w:tcW w:w="749" w:type="pct"/>
          </w:tcPr>
          <w:p w:rsidRPr="00424813" w:rsidR="00FA4470" w:rsidP="00104E3B" w:rsidRDefault="00FA4470" w14:paraId="65F300BE" w14:textId="77777777">
            <w:pPr>
              <w:pStyle w:val="Tabletext"/>
              <w:keepNext/>
              <w:tabs>
                <w:tab w:val="decimal" w:pos="732"/>
              </w:tabs>
              <w:jc w:val="right"/>
            </w:pPr>
            <w:r w:rsidRPr="00424813">
              <w:t>436</w:t>
            </w:r>
          </w:p>
        </w:tc>
      </w:tr>
      <w:tr w:rsidRPr="00424813" w:rsidR="00BB1B82" w:rsidTr="001B3F5A" w14:paraId="3D439BD8" w14:textId="77777777">
        <w:trPr>
          <w:cantSplit/>
          <w:jc w:val="center"/>
        </w:trPr>
        <w:tc>
          <w:tcPr>
            <w:tcW w:w="1254" w:type="pct"/>
          </w:tcPr>
          <w:p w:rsidRPr="00424813" w:rsidR="00BB1B82" w:rsidP="008C5CEF" w:rsidRDefault="00BB1B82" w14:paraId="036EEC1B" w14:textId="77777777">
            <w:pPr>
              <w:pStyle w:val="Tabletext"/>
              <w:keepNext/>
              <w:rPr>
                <w:szCs w:val="22"/>
              </w:rPr>
            </w:pPr>
            <w:r w:rsidRPr="00424813">
              <w:rPr>
                <w:szCs w:val="22"/>
              </w:rPr>
              <w:t>Panel Replenishment Household Screening Respondent</w:t>
            </w:r>
            <w:r w:rsidRPr="00424813">
              <w:rPr>
                <w:szCs w:val="22"/>
                <w:vertAlign w:val="superscript"/>
              </w:rPr>
              <w:t>1</w:t>
            </w:r>
          </w:p>
        </w:tc>
        <w:tc>
          <w:tcPr>
            <w:tcW w:w="749" w:type="pct"/>
            <w:shd w:val="clear" w:color="auto" w:fill="auto"/>
          </w:tcPr>
          <w:p w:rsidRPr="001B3F5A" w:rsidR="00BB1B82" w:rsidP="00BB1B82" w:rsidRDefault="001B3F5A" w14:paraId="5164870C" w14:textId="2EF650E7">
            <w:pPr>
              <w:pStyle w:val="Tabletext"/>
              <w:keepNext/>
              <w:tabs>
                <w:tab w:val="decimal" w:pos="852"/>
              </w:tabs>
              <w:jc w:val="right"/>
            </w:pPr>
            <w:r w:rsidRPr="001B3F5A">
              <w:t>38,280</w:t>
            </w:r>
          </w:p>
        </w:tc>
        <w:tc>
          <w:tcPr>
            <w:tcW w:w="749" w:type="pct"/>
          </w:tcPr>
          <w:p w:rsidRPr="00424813" w:rsidR="00BB1B82" w:rsidP="00BB1B82" w:rsidRDefault="00BB1B82" w14:paraId="189DBCE4" w14:textId="60CDEFF4">
            <w:pPr>
              <w:pStyle w:val="Tabletext"/>
              <w:keepNext/>
              <w:tabs>
                <w:tab w:val="decimal" w:pos="499"/>
              </w:tabs>
              <w:jc w:val="right"/>
            </w:pPr>
            <w:r w:rsidRPr="00424813">
              <w:t>.</w:t>
            </w:r>
            <w:r w:rsidRPr="00424813" w:rsidR="00253116">
              <w:t>33</w:t>
            </w:r>
          </w:p>
        </w:tc>
        <w:tc>
          <w:tcPr>
            <w:tcW w:w="749" w:type="pct"/>
          </w:tcPr>
          <w:p w:rsidRPr="00424813" w:rsidR="00BB1B82" w:rsidP="00BB1B82" w:rsidRDefault="001B3F5A" w14:paraId="76642F05" w14:textId="3A8A75ED">
            <w:pPr>
              <w:pStyle w:val="Tabletext"/>
              <w:keepNext/>
              <w:tabs>
                <w:tab w:val="decimal" w:pos="836"/>
              </w:tabs>
              <w:jc w:val="right"/>
            </w:pPr>
            <w:r>
              <w:t>12,632</w:t>
            </w:r>
          </w:p>
        </w:tc>
        <w:tc>
          <w:tcPr>
            <w:tcW w:w="749" w:type="pct"/>
          </w:tcPr>
          <w:p w:rsidRPr="00424813" w:rsidR="00BB1B82" w:rsidP="00BB1B82" w:rsidRDefault="00BB1B82" w14:paraId="7C6CDBDB" w14:textId="5BB19B63">
            <w:pPr>
              <w:pStyle w:val="Tabletext"/>
              <w:keepNext/>
              <w:tabs>
                <w:tab w:val="decimal" w:pos="424"/>
              </w:tabs>
              <w:jc w:val="right"/>
            </w:pPr>
            <w:r w:rsidRPr="00424813">
              <w:t>.13</w:t>
            </w:r>
          </w:p>
        </w:tc>
        <w:tc>
          <w:tcPr>
            <w:tcW w:w="749" w:type="pct"/>
          </w:tcPr>
          <w:p w:rsidRPr="00424813" w:rsidR="00BB1B82" w:rsidP="00BB1B82" w:rsidRDefault="00E666A2" w14:paraId="773B694D" w14:textId="6CDACDED">
            <w:pPr>
              <w:pStyle w:val="Tabletext"/>
              <w:keepNext/>
              <w:tabs>
                <w:tab w:val="decimal" w:pos="732"/>
              </w:tabs>
              <w:jc w:val="right"/>
            </w:pPr>
            <w:r>
              <w:t>1,642</w:t>
            </w:r>
          </w:p>
        </w:tc>
      </w:tr>
      <w:tr w:rsidRPr="00424813" w:rsidR="00BB1B82" w:rsidTr="001B3F5A" w14:paraId="66EFF93D" w14:textId="77777777">
        <w:trPr>
          <w:cantSplit/>
          <w:jc w:val="center"/>
        </w:trPr>
        <w:tc>
          <w:tcPr>
            <w:tcW w:w="1254" w:type="pct"/>
          </w:tcPr>
          <w:p w:rsidRPr="00424813" w:rsidR="00BB1B82" w:rsidP="008C5CEF" w:rsidRDefault="00BB1B82" w14:paraId="65BE8475" w14:textId="126D6774">
            <w:pPr>
              <w:pStyle w:val="Tabletext"/>
              <w:keepNext/>
              <w:rPr>
                <w:szCs w:val="22"/>
              </w:rPr>
            </w:pPr>
            <w:r w:rsidRPr="00424813">
              <w:rPr>
                <w:szCs w:val="22"/>
              </w:rPr>
              <w:t>Panel Replenishment Enrollment Survey</w:t>
            </w:r>
            <w:r w:rsidRPr="00424813" w:rsidR="00164ED9">
              <w:rPr>
                <w:szCs w:val="22"/>
                <w:vertAlign w:val="superscript"/>
              </w:rPr>
              <w:t>2</w:t>
            </w:r>
          </w:p>
        </w:tc>
        <w:tc>
          <w:tcPr>
            <w:tcW w:w="749" w:type="pct"/>
            <w:vMerge w:val="restart"/>
            <w:shd w:val="clear" w:color="auto" w:fill="auto"/>
          </w:tcPr>
          <w:p w:rsidRPr="001B3F5A" w:rsidR="00BB1B82" w:rsidP="00BB1B82" w:rsidRDefault="001B3F5A" w14:paraId="58EC7849" w14:textId="211AEC38">
            <w:pPr>
              <w:pStyle w:val="Tabletext"/>
              <w:keepNext/>
              <w:tabs>
                <w:tab w:val="decimal" w:pos="852"/>
              </w:tabs>
              <w:jc w:val="right"/>
            </w:pPr>
            <w:r w:rsidRPr="001B3F5A">
              <w:t>5,000</w:t>
            </w:r>
          </w:p>
          <w:p w:rsidRPr="001B3F5A" w:rsidR="00BB1B82" w:rsidP="00BB1B82" w:rsidRDefault="00BB1B82" w14:paraId="02CF650F" w14:textId="77777777">
            <w:pPr>
              <w:pStyle w:val="Tabletext"/>
              <w:keepNext/>
              <w:tabs>
                <w:tab w:val="decimal" w:pos="852"/>
              </w:tabs>
              <w:jc w:val="right"/>
            </w:pPr>
          </w:p>
        </w:tc>
        <w:tc>
          <w:tcPr>
            <w:tcW w:w="749" w:type="pct"/>
          </w:tcPr>
          <w:p w:rsidRPr="00424813" w:rsidR="00BB1B82" w:rsidP="00BB1B82" w:rsidRDefault="00BB1B82" w14:paraId="6964B070" w14:textId="77777777">
            <w:pPr>
              <w:pStyle w:val="Tabletext"/>
              <w:keepNext/>
              <w:tabs>
                <w:tab w:val="decimal" w:pos="499"/>
              </w:tabs>
              <w:jc w:val="right"/>
            </w:pPr>
            <w:r w:rsidRPr="00424813">
              <w:t>.33</w:t>
            </w:r>
          </w:p>
        </w:tc>
        <w:tc>
          <w:tcPr>
            <w:tcW w:w="749" w:type="pct"/>
          </w:tcPr>
          <w:p w:rsidRPr="00424813" w:rsidR="00BB1B82" w:rsidP="00BB1B82" w:rsidRDefault="001B3F5A" w14:paraId="56D1972C" w14:textId="20E4E235">
            <w:pPr>
              <w:pStyle w:val="Tabletext"/>
              <w:keepNext/>
              <w:tabs>
                <w:tab w:val="decimal" w:pos="836"/>
              </w:tabs>
              <w:jc w:val="right"/>
            </w:pPr>
            <w:r>
              <w:t>1,650</w:t>
            </w:r>
          </w:p>
        </w:tc>
        <w:tc>
          <w:tcPr>
            <w:tcW w:w="749" w:type="pct"/>
          </w:tcPr>
          <w:p w:rsidRPr="00424813" w:rsidR="00BB1B82" w:rsidP="00BB1B82" w:rsidRDefault="00BB1B82" w14:paraId="41A165B3" w14:textId="5D269C7A">
            <w:pPr>
              <w:pStyle w:val="Tabletext"/>
              <w:keepNext/>
              <w:tabs>
                <w:tab w:val="decimal" w:pos="424"/>
              </w:tabs>
              <w:jc w:val="right"/>
            </w:pPr>
            <w:r w:rsidRPr="00424813">
              <w:t>.25</w:t>
            </w:r>
          </w:p>
        </w:tc>
        <w:tc>
          <w:tcPr>
            <w:tcW w:w="749" w:type="pct"/>
          </w:tcPr>
          <w:p w:rsidRPr="00424813" w:rsidR="00BB1B82" w:rsidP="00BB1B82" w:rsidRDefault="00E666A2" w14:paraId="67C76163" w14:textId="07C6D822">
            <w:pPr>
              <w:pStyle w:val="Tabletext"/>
              <w:keepNext/>
              <w:tabs>
                <w:tab w:val="decimal" w:pos="732"/>
              </w:tabs>
              <w:jc w:val="right"/>
            </w:pPr>
            <w:r>
              <w:t>413</w:t>
            </w:r>
          </w:p>
        </w:tc>
      </w:tr>
      <w:tr w:rsidRPr="00424813" w:rsidR="00BB1B82" w:rsidTr="001B3F5A" w14:paraId="6D74EDF1" w14:textId="77777777">
        <w:trPr>
          <w:cantSplit/>
          <w:jc w:val="center"/>
        </w:trPr>
        <w:tc>
          <w:tcPr>
            <w:tcW w:w="1254" w:type="pct"/>
          </w:tcPr>
          <w:p w:rsidRPr="00424813" w:rsidR="00BB1B82" w:rsidP="008C5CEF" w:rsidRDefault="00BB1B82" w14:paraId="1F39970B" w14:textId="62ECCE12">
            <w:pPr>
              <w:pStyle w:val="Tabletext"/>
              <w:keepNext/>
              <w:rPr>
                <w:szCs w:val="22"/>
              </w:rPr>
            </w:pPr>
            <w:r w:rsidRPr="00424813">
              <w:rPr>
                <w:szCs w:val="22"/>
              </w:rPr>
              <w:t>Panel Replenishment Baseline Survey</w:t>
            </w:r>
            <w:r w:rsidRPr="00424813" w:rsidR="00164ED9">
              <w:rPr>
                <w:szCs w:val="22"/>
                <w:vertAlign w:val="superscript"/>
              </w:rPr>
              <w:t>2</w:t>
            </w:r>
          </w:p>
        </w:tc>
        <w:tc>
          <w:tcPr>
            <w:tcW w:w="749" w:type="pct"/>
            <w:vMerge/>
            <w:shd w:val="clear" w:color="auto" w:fill="auto"/>
          </w:tcPr>
          <w:p w:rsidRPr="00424813" w:rsidR="00BB1B82" w:rsidP="00476D0B" w:rsidRDefault="00BB1B82" w14:paraId="7F643A76" w14:textId="77777777">
            <w:pPr>
              <w:pStyle w:val="Tabletext"/>
              <w:keepNext/>
              <w:tabs>
                <w:tab w:val="decimal" w:pos="852"/>
              </w:tabs>
              <w:jc w:val="right"/>
            </w:pPr>
          </w:p>
        </w:tc>
        <w:tc>
          <w:tcPr>
            <w:tcW w:w="749" w:type="pct"/>
          </w:tcPr>
          <w:p w:rsidRPr="00424813" w:rsidR="00BB1B82" w:rsidP="00476D0B" w:rsidRDefault="00BB1B82" w14:paraId="4323CD48" w14:textId="77777777">
            <w:pPr>
              <w:pStyle w:val="Tabletext"/>
              <w:keepNext/>
              <w:tabs>
                <w:tab w:val="decimal" w:pos="499"/>
              </w:tabs>
              <w:jc w:val="right"/>
            </w:pPr>
            <w:r w:rsidRPr="00424813">
              <w:t>.33</w:t>
            </w:r>
          </w:p>
        </w:tc>
        <w:tc>
          <w:tcPr>
            <w:tcW w:w="749" w:type="pct"/>
          </w:tcPr>
          <w:p w:rsidRPr="00424813" w:rsidR="00BB1B82" w:rsidP="00476D0B" w:rsidRDefault="001B3F5A" w14:paraId="4F872C48" w14:textId="725E51C3">
            <w:pPr>
              <w:pStyle w:val="Tabletext"/>
              <w:keepNext/>
              <w:tabs>
                <w:tab w:val="decimal" w:pos="836"/>
              </w:tabs>
              <w:jc w:val="right"/>
            </w:pPr>
            <w:r>
              <w:t>1,650</w:t>
            </w:r>
          </w:p>
        </w:tc>
        <w:tc>
          <w:tcPr>
            <w:tcW w:w="749" w:type="pct"/>
          </w:tcPr>
          <w:p w:rsidRPr="00424813" w:rsidR="00BB1B82" w:rsidP="00476D0B" w:rsidRDefault="00BB1B82" w14:paraId="0FBA99EE" w14:textId="216898D7">
            <w:pPr>
              <w:pStyle w:val="Tabletext"/>
              <w:keepNext/>
              <w:tabs>
                <w:tab w:val="decimal" w:pos="424"/>
              </w:tabs>
              <w:jc w:val="right"/>
            </w:pPr>
            <w:r w:rsidRPr="00424813">
              <w:t>.25</w:t>
            </w:r>
          </w:p>
        </w:tc>
        <w:tc>
          <w:tcPr>
            <w:tcW w:w="749" w:type="pct"/>
          </w:tcPr>
          <w:p w:rsidRPr="00424813" w:rsidR="00BB1B82" w:rsidP="00476D0B" w:rsidRDefault="00E666A2" w14:paraId="04AFF5CA" w14:textId="277395A2">
            <w:pPr>
              <w:pStyle w:val="Tabletext"/>
              <w:keepNext/>
              <w:tabs>
                <w:tab w:val="decimal" w:pos="732"/>
              </w:tabs>
              <w:jc w:val="right"/>
            </w:pPr>
            <w:r>
              <w:t>413</w:t>
            </w:r>
          </w:p>
        </w:tc>
      </w:tr>
      <w:tr w:rsidRPr="00424813" w:rsidR="00BB1B82" w:rsidTr="0003266C" w14:paraId="26BE713F" w14:textId="77777777">
        <w:trPr>
          <w:cantSplit/>
          <w:jc w:val="center"/>
        </w:trPr>
        <w:tc>
          <w:tcPr>
            <w:tcW w:w="1254" w:type="pct"/>
          </w:tcPr>
          <w:p w:rsidRPr="00424813" w:rsidR="00BB1B82" w:rsidP="008C5CEF" w:rsidRDefault="00BB1B82" w14:paraId="6756FBAF" w14:textId="77777777">
            <w:pPr>
              <w:pStyle w:val="Tabletext"/>
              <w:keepNext/>
            </w:pPr>
            <w:r w:rsidRPr="00424813">
              <w:t xml:space="preserve">TOTAL </w:t>
            </w:r>
          </w:p>
        </w:tc>
        <w:tc>
          <w:tcPr>
            <w:tcW w:w="749" w:type="pct"/>
          </w:tcPr>
          <w:p w:rsidRPr="00424813" w:rsidR="00BB1B82" w:rsidP="00BB1B82" w:rsidRDefault="0047310E" w14:paraId="0F0253F3" w14:textId="74307474">
            <w:pPr>
              <w:pStyle w:val="Tabletext"/>
              <w:keepNext/>
              <w:tabs>
                <w:tab w:val="decimal" w:pos="852"/>
              </w:tabs>
              <w:jc w:val="right"/>
            </w:pPr>
            <w:r>
              <w:t>51,280</w:t>
            </w:r>
          </w:p>
        </w:tc>
        <w:tc>
          <w:tcPr>
            <w:tcW w:w="749" w:type="pct"/>
          </w:tcPr>
          <w:p w:rsidRPr="00424813" w:rsidR="00BB1B82" w:rsidP="00BB1B82" w:rsidRDefault="00BB1B82" w14:paraId="675B4FEA" w14:textId="77777777">
            <w:pPr>
              <w:pStyle w:val="Tabletext"/>
              <w:keepNext/>
              <w:tabs>
                <w:tab w:val="decimal" w:pos="499"/>
              </w:tabs>
              <w:jc w:val="right"/>
            </w:pPr>
          </w:p>
        </w:tc>
        <w:tc>
          <w:tcPr>
            <w:tcW w:w="749" w:type="pct"/>
          </w:tcPr>
          <w:p w:rsidRPr="00424813" w:rsidR="00BB1B82" w:rsidP="00BB1B82" w:rsidRDefault="00BB1B82" w14:paraId="3515BE84" w14:textId="77777777">
            <w:pPr>
              <w:pStyle w:val="Tabletext"/>
              <w:keepNext/>
              <w:tabs>
                <w:tab w:val="decimal" w:pos="836"/>
              </w:tabs>
              <w:jc w:val="right"/>
            </w:pPr>
          </w:p>
        </w:tc>
        <w:tc>
          <w:tcPr>
            <w:tcW w:w="749" w:type="pct"/>
          </w:tcPr>
          <w:p w:rsidRPr="00424813" w:rsidR="00BB1B82" w:rsidP="00BB1B82" w:rsidRDefault="00BB1B82" w14:paraId="1E3AA71F" w14:textId="77777777">
            <w:pPr>
              <w:pStyle w:val="Tabletext"/>
              <w:keepNext/>
              <w:tabs>
                <w:tab w:val="decimal" w:pos="424"/>
              </w:tabs>
              <w:jc w:val="right"/>
            </w:pPr>
          </w:p>
        </w:tc>
        <w:tc>
          <w:tcPr>
            <w:tcW w:w="749" w:type="pct"/>
          </w:tcPr>
          <w:p w:rsidRPr="00424813" w:rsidR="00BB1B82" w:rsidP="006D71E4" w:rsidRDefault="006E5027" w14:paraId="4B2A0995" w14:textId="1DCABD06">
            <w:pPr>
              <w:pStyle w:val="Tabletext"/>
              <w:keepNext/>
              <w:tabs>
                <w:tab w:val="decimal" w:pos="732"/>
              </w:tabs>
              <w:jc w:val="right"/>
            </w:pPr>
            <w:r>
              <w:t>3,340</w:t>
            </w:r>
          </w:p>
        </w:tc>
      </w:tr>
    </w:tbl>
    <w:p w:rsidR="00164ED9" w:rsidP="00164ED9" w:rsidRDefault="00164ED9" w14:paraId="0C944CE7" w14:textId="530989FE">
      <w:pPr>
        <w:pStyle w:val="exhibitsource"/>
      </w:pPr>
      <w:r w:rsidRPr="00424813">
        <w:t xml:space="preserve">* Assumes respondents will participate once over a 3-year period, or .33 responses annually. </w:t>
      </w:r>
    </w:p>
    <w:p w:rsidR="00FC68DF" w:rsidP="00FC68DF" w:rsidRDefault="00FC68DF" w14:paraId="0A0E774F" w14:textId="77777777">
      <w:pPr>
        <w:pStyle w:val="exhibitsource"/>
      </w:pPr>
      <w:r>
        <w:t>** Reflects estimated average burden hours per response from currently approved clearance request. The actual average hours per response from panel establishment are: .15 for household screening, .30 for enrollment survey, and .10 for baseline survey.</w:t>
      </w:r>
    </w:p>
    <w:p w:rsidRPr="00424813" w:rsidR="006C6D4D" w:rsidP="00383B94" w:rsidRDefault="006C6D4D" w14:paraId="730B48BD" w14:textId="5AD07ABE">
      <w:pPr>
        <w:pStyle w:val="exhibitsource1"/>
      </w:pPr>
      <w:r w:rsidRPr="00424813">
        <w:t>+ Amounts are rounded to the nearest whole number.</w:t>
      </w:r>
    </w:p>
    <w:p w:rsidRPr="00424813" w:rsidR="00BB1B82" w:rsidP="00383B94" w:rsidRDefault="00BB1B82" w14:paraId="12F2661C" w14:textId="6189B062">
      <w:pPr>
        <w:pStyle w:val="exhibitsource"/>
      </w:pPr>
      <w:bookmarkStart w:name="_Hlk514238609" w:id="71"/>
      <w:bookmarkEnd w:id="69"/>
      <w:r w:rsidRPr="00424813">
        <w:rPr>
          <w:vertAlign w:val="superscript"/>
        </w:rPr>
        <w:t>1</w:t>
      </w:r>
      <w:r w:rsidRPr="00424813">
        <w:t xml:space="preserve"> Includes both mail and field screening. Of the total screening respondents, we expect 25% will respond only in the mail screening (household deemed ineligible), 65</w:t>
      </w:r>
      <w:bookmarkEnd w:id="71"/>
      <w:r w:rsidRPr="00424813">
        <w:t>% will respond only in the field screening (mail screening nonrespondents), and the remaining 10% will respond in both the mail screening and the field screening. The latter includes eligible households from the mail screening that are subsequently field-screened to sample the panel member, and the 10% quality control sample of households whose mail screening ineligibility is verified through in-person screening.</w:t>
      </w:r>
      <w:r w:rsidRPr="00424813" w:rsidR="004317F1">
        <w:t xml:space="preserve"> </w:t>
      </w:r>
      <w:r w:rsidRPr="00690622" w:rsidR="004317F1">
        <w:t xml:space="preserve">Assumes an estimated </w:t>
      </w:r>
      <w:r w:rsidRPr="00690622" w:rsidR="00A605C0">
        <w:t>11,385</w:t>
      </w:r>
      <w:r w:rsidRPr="00690622" w:rsidR="004317F1">
        <w:t xml:space="preserve"> household screening respondents during yearly panel replenishment</w:t>
      </w:r>
      <w:r w:rsidRPr="00690622" w:rsidR="004C6541">
        <w:t xml:space="preserve"> and a</w:t>
      </w:r>
      <w:r w:rsidRPr="00690622" w:rsidR="007924AF">
        <w:t xml:space="preserve">llows for an additional </w:t>
      </w:r>
      <w:r w:rsidRPr="00690622" w:rsidR="001B3F5A">
        <w:t>1,375</w:t>
      </w:r>
      <w:r w:rsidRPr="00690622" w:rsidR="007924AF">
        <w:t xml:space="preserve"> household screening respondents during </w:t>
      </w:r>
      <w:r w:rsidRPr="00690622" w:rsidR="001B3F5A">
        <w:t xml:space="preserve">each </w:t>
      </w:r>
      <w:r w:rsidRPr="00690622" w:rsidR="007924AF">
        <w:t xml:space="preserve">replenishment </w:t>
      </w:r>
      <w:r w:rsidRPr="00690622" w:rsidR="007B6A4F">
        <w:t xml:space="preserve">should </w:t>
      </w:r>
      <w:r w:rsidRPr="00690622" w:rsidR="007924AF">
        <w:t xml:space="preserve">annual attrition rates </w:t>
      </w:r>
      <w:r w:rsidRPr="00690622" w:rsidR="007B6A4F">
        <w:t>be</w:t>
      </w:r>
      <w:r w:rsidRPr="00690622" w:rsidR="007924AF">
        <w:t xml:space="preserve"> higher than expected (</w:t>
      </w:r>
      <w:r w:rsidRPr="00690622" w:rsidR="001B3F5A">
        <w:t>38,280</w:t>
      </w:r>
      <w:r w:rsidRPr="00690622" w:rsidR="007924AF">
        <w:t xml:space="preserve"> total).</w:t>
      </w:r>
    </w:p>
    <w:p w:rsidRPr="00424813" w:rsidR="00253116" w:rsidP="00383B94" w:rsidRDefault="00164ED9" w14:paraId="4E803ABA" w14:textId="190C4F5F">
      <w:pPr>
        <w:pStyle w:val="exhibitsource"/>
      </w:pPr>
      <w:r w:rsidRPr="00424813">
        <w:rPr>
          <w:vertAlign w:val="superscript"/>
        </w:rPr>
        <w:t>2</w:t>
      </w:r>
      <w:r w:rsidRPr="00424813" w:rsidR="009402AC">
        <w:rPr>
          <w:vertAlign w:val="superscript"/>
        </w:rPr>
        <w:t xml:space="preserve"> </w:t>
      </w:r>
      <w:r w:rsidRPr="00424813" w:rsidR="009402AC">
        <w:t>Assumes 1,400 additional panel members will be recruited annually (</w:t>
      </w:r>
      <w:r w:rsidRPr="00424813" w:rsidR="00CB1C09">
        <w:t>4,200</w:t>
      </w:r>
      <w:r w:rsidRPr="00424813" w:rsidR="009402AC">
        <w:t xml:space="preserve"> total) as part of the panel replenishment effort. </w:t>
      </w:r>
      <w:r w:rsidRPr="00424813" w:rsidR="007924AF">
        <w:t xml:space="preserve">Allows for an additional </w:t>
      </w:r>
      <w:r w:rsidR="001B3F5A">
        <w:t>800</w:t>
      </w:r>
      <w:r w:rsidRPr="00690622" w:rsidR="007924AF">
        <w:t xml:space="preserve"> panel replenishment</w:t>
      </w:r>
      <w:r w:rsidRPr="00424813" w:rsidR="007924AF">
        <w:t xml:space="preserve"> enrollment and baseline survey respondents </w:t>
      </w:r>
      <w:r w:rsidRPr="00424813" w:rsidR="007B6A4F">
        <w:t>should</w:t>
      </w:r>
      <w:r w:rsidRPr="00424813" w:rsidR="007924AF">
        <w:t xml:space="preserve"> annual attrition rates be higher than expected</w:t>
      </w:r>
      <w:r w:rsidRPr="00424813" w:rsidR="00935765">
        <w:t xml:space="preserve"> (</w:t>
      </w:r>
      <w:r w:rsidR="001B3F5A">
        <w:t>5,000</w:t>
      </w:r>
      <w:r w:rsidRPr="00424813" w:rsidR="00935765">
        <w:t xml:space="preserve"> total)</w:t>
      </w:r>
      <w:r w:rsidRPr="00424813" w:rsidR="007924AF">
        <w:t>.</w:t>
      </w:r>
      <w:r w:rsidRPr="00424813" w:rsidR="009402AC">
        <w:t>Replenishment panel members replace original panel members and become part of the 4,000-member panel that receives experimental/observational and panel maintenance surveys.</w:t>
      </w:r>
    </w:p>
    <w:p w:rsidRPr="00424813" w:rsidR="002A7885" w:rsidP="002A7885" w:rsidRDefault="002A7885" w14:paraId="75EF06AE" w14:textId="77777777">
      <w:pPr>
        <w:pStyle w:val="Heading3"/>
      </w:pPr>
      <w:bookmarkStart w:name="_Toc33529729" w:id="72"/>
      <w:r w:rsidRPr="00424813">
        <w:lastRenderedPageBreak/>
        <w:t>A.12.2</w:t>
      </w:r>
      <w:r w:rsidRPr="00424813">
        <w:tab/>
        <w:t>Annualized Cost Burden Estimate</w:t>
      </w:r>
      <w:bookmarkEnd w:id="72"/>
    </w:p>
    <w:p w:rsidRPr="00424813" w:rsidR="002A7885" w:rsidP="002A7885" w:rsidRDefault="002A7885" w14:paraId="6DE02D54" w14:textId="788A1927">
      <w:pPr>
        <w:pStyle w:val="FigureTitle"/>
      </w:pPr>
      <w:bookmarkStart w:name="_Toc33529745" w:id="73"/>
      <w:r w:rsidRPr="00AF20DB">
        <w:t>Exhibit A.12-2. Estimated Annualized Response Burden for Panel Members</w:t>
      </w:r>
      <w:bookmarkEnd w:id="73"/>
      <w:r w:rsidRPr="00424813">
        <w:t xml:space="preserve"> </w:t>
      </w:r>
    </w:p>
    <w:tbl>
      <w:tblPr>
        <w:tblW w:w="9090" w:type="dxa"/>
        <w:jc w:val="center"/>
        <w:tblBorders>
          <w:top w:val="single" w:color="000000" w:sz="12" w:space="0"/>
          <w:bottom w:val="single" w:color="000000" w:sz="12" w:space="0"/>
          <w:insideH w:val="single" w:color="000000" w:sz="6" w:space="0"/>
        </w:tblBorders>
        <w:tblLayout w:type="fixed"/>
        <w:tblCellMar>
          <w:left w:w="120" w:type="dxa"/>
          <w:right w:w="120" w:type="dxa"/>
        </w:tblCellMar>
        <w:tblLook w:val="0000" w:firstRow="0" w:lastRow="0" w:firstColumn="0" w:lastColumn="0" w:noHBand="0" w:noVBand="0"/>
      </w:tblPr>
      <w:tblGrid>
        <w:gridCol w:w="4686"/>
        <w:gridCol w:w="1402"/>
        <w:gridCol w:w="1402"/>
        <w:gridCol w:w="1600"/>
      </w:tblGrid>
      <w:tr w:rsidRPr="00424813" w:rsidR="002A7885" w:rsidTr="007924AF" w14:paraId="64ED78C8" w14:textId="77777777">
        <w:trPr>
          <w:cantSplit/>
          <w:jc w:val="center"/>
        </w:trPr>
        <w:tc>
          <w:tcPr>
            <w:tcW w:w="2578" w:type="pct"/>
            <w:tcMar>
              <w:left w:w="43" w:type="dxa"/>
              <w:right w:w="43" w:type="dxa"/>
            </w:tcMar>
            <w:vAlign w:val="bottom"/>
          </w:tcPr>
          <w:p w:rsidRPr="00424813" w:rsidR="002A7885" w:rsidP="007924AF" w:rsidRDefault="002A7885" w14:paraId="4C37F3EA" w14:textId="77777777">
            <w:pPr>
              <w:pStyle w:val="TableHeaders"/>
            </w:pPr>
            <w:r w:rsidRPr="00424813">
              <w:t>Activity/Respondent</w:t>
            </w:r>
          </w:p>
        </w:tc>
        <w:tc>
          <w:tcPr>
            <w:tcW w:w="771" w:type="pct"/>
            <w:tcMar>
              <w:left w:w="43" w:type="dxa"/>
              <w:right w:w="43" w:type="dxa"/>
            </w:tcMar>
            <w:vAlign w:val="bottom"/>
          </w:tcPr>
          <w:p w:rsidRPr="00424813" w:rsidR="002A7885" w:rsidP="007924AF" w:rsidRDefault="002A7885" w14:paraId="1995305A" w14:textId="77777777">
            <w:pPr>
              <w:pStyle w:val="TableHeaders"/>
            </w:pPr>
            <w:r w:rsidRPr="00424813">
              <w:t>Avg. Annual Burden Hours+</w:t>
            </w:r>
          </w:p>
        </w:tc>
        <w:tc>
          <w:tcPr>
            <w:tcW w:w="771" w:type="pct"/>
          </w:tcPr>
          <w:p w:rsidRPr="00424813" w:rsidR="002A7885" w:rsidP="007924AF" w:rsidRDefault="002A7885" w14:paraId="0B6CA618" w14:textId="77777777">
            <w:pPr>
              <w:pStyle w:val="TableHeaders"/>
            </w:pPr>
            <w:r w:rsidRPr="00424813">
              <w:t>Hourly Wage Rate</w:t>
            </w:r>
          </w:p>
        </w:tc>
        <w:tc>
          <w:tcPr>
            <w:tcW w:w="880" w:type="pct"/>
          </w:tcPr>
          <w:p w:rsidRPr="00424813" w:rsidR="002A7885" w:rsidP="007924AF" w:rsidRDefault="002A7885" w14:paraId="622C9F70" w14:textId="77777777">
            <w:pPr>
              <w:pStyle w:val="TableHeaders"/>
            </w:pPr>
            <w:r w:rsidRPr="00424813">
              <w:t>Total Respondent Costs</w:t>
            </w:r>
          </w:p>
        </w:tc>
      </w:tr>
      <w:tr w:rsidRPr="00424813" w:rsidR="002A7885" w:rsidTr="007924AF" w14:paraId="25EAE2D2" w14:textId="77777777">
        <w:trPr>
          <w:cantSplit/>
          <w:jc w:val="center"/>
        </w:trPr>
        <w:tc>
          <w:tcPr>
            <w:tcW w:w="2578" w:type="pct"/>
          </w:tcPr>
          <w:p w:rsidRPr="00424813" w:rsidR="002A7885" w:rsidP="007924AF" w:rsidRDefault="002A7885" w14:paraId="6F4A431B" w14:textId="77777777">
            <w:pPr>
              <w:pStyle w:val="Tabletext"/>
              <w:keepNext/>
              <w:rPr>
                <w:szCs w:val="22"/>
              </w:rPr>
            </w:pPr>
            <w:r w:rsidRPr="00424813">
              <w:rPr>
                <w:szCs w:val="22"/>
              </w:rPr>
              <w:t>Study B</w:t>
            </w:r>
          </w:p>
        </w:tc>
        <w:tc>
          <w:tcPr>
            <w:tcW w:w="771" w:type="pct"/>
          </w:tcPr>
          <w:p w:rsidRPr="00424813" w:rsidR="002A7885" w:rsidP="007924AF" w:rsidRDefault="002A7885" w14:paraId="0EFD5F6B" w14:textId="77777777">
            <w:pPr>
              <w:pStyle w:val="Tabletext"/>
              <w:keepNext/>
              <w:tabs>
                <w:tab w:val="decimal" w:pos="732"/>
              </w:tabs>
              <w:jc w:val="right"/>
            </w:pPr>
            <w:r w:rsidRPr="00424813">
              <w:t>436</w:t>
            </w:r>
          </w:p>
        </w:tc>
        <w:tc>
          <w:tcPr>
            <w:tcW w:w="771" w:type="pct"/>
          </w:tcPr>
          <w:p w:rsidRPr="00424813" w:rsidR="002A7885" w:rsidP="007924AF" w:rsidRDefault="002A7885" w14:paraId="2942420C" w14:textId="77777777">
            <w:pPr>
              <w:pStyle w:val="Tabletext"/>
              <w:keepNext/>
              <w:tabs>
                <w:tab w:val="decimal" w:pos="732"/>
              </w:tabs>
              <w:jc w:val="right"/>
            </w:pPr>
            <w:r w:rsidRPr="00424813">
              <w:t>$22.88</w:t>
            </w:r>
          </w:p>
        </w:tc>
        <w:tc>
          <w:tcPr>
            <w:tcW w:w="880" w:type="pct"/>
          </w:tcPr>
          <w:p w:rsidRPr="00424813" w:rsidR="002A7885" w:rsidP="007924AF" w:rsidRDefault="002A7885" w14:paraId="6DEC8658" w14:textId="77777777">
            <w:pPr>
              <w:pStyle w:val="Tabletext"/>
              <w:keepNext/>
              <w:tabs>
                <w:tab w:val="decimal" w:pos="732"/>
              </w:tabs>
              <w:jc w:val="right"/>
            </w:pPr>
            <w:r w:rsidRPr="00424813">
              <w:t>$9,975.68</w:t>
            </w:r>
          </w:p>
        </w:tc>
      </w:tr>
      <w:tr w:rsidRPr="00424813" w:rsidR="002A7885" w:rsidTr="007924AF" w14:paraId="3040FF75" w14:textId="77777777">
        <w:trPr>
          <w:cantSplit/>
          <w:jc w:val="center"/>
        </w:trPr>
        <w:tc>
          <w:tcPr>
            <w:tcW w:w="2578" w:type="pct"/>
          </w:tcPr>
          <w:p w:rsidRPr="00424813" w:rsidR="002A7885" w:rsidP="007924AF" w:rsidRDefault="002A7885" w14:paraId="3F0C47B7" w14:textId="77777777">
            <w:pPr>
              <w:pStyle w:val="Tabletext"/>
              <w:keepNext/>
              <w:rPr>
                <w:szCs w:val="22"/>
              </w:rPr>
            </w:pPr>
            <w:r w:rsidRPr="00424813">
              <w:rPr>
                <w:szCs w:val="22"/>
              </w:rPr>
              <w:t>Study C</w:t>
            </w:r>
          </w:p>
        </w:tc>
        <w:tc>
          <w:tcPr>
            <w:tcW w:w="771" w:type="pct"/>
          </w:tcPr>
          <w:p w:rsidRPr="00424813" w:rsidR="002A7885" w:rsidP="007924AF" w:rsidRDefault="002A7885" w14:paraId="5527FE83" w14:textId="77777777">
            <w:pPr>
              <w:pStyle w:val="Tabletext"/>
              <w:keepNext/>
              <w:tabs>
                <w:tab w:val="decimal" w:pos="732"/>
              </w:tabs>
              <w:jc w:val="right"/>
            </w:pPr>
            <w:r w:rsidRPr="00424813">
              <w:t>436</w:t>
            </w:r>
          </w:p>
        </w:tc>
        <w:tc>
          <w:tcPr>
            <w:tcW w:w="771" w:type="pct"/>
          </w:tcPr>
          <w:p w:rsidRPr="00424813" w:rsidR="002A7885" w:rsidP="007924AF" w:rsidRDefault="002A7885" w14:paraId="7A5BC8EB" w14:textId="77777777">
            <w:pPr>
              <w:pStyle w:val="Tabletext"/>
              <w:keepNext/>
              <w:tabs>
                <w:tab w:val="decimal" w:pos="732"/>
              </w:tabs>
              <w:jc w:val="right"/>
            </w:pPr>
            <w:r w:rsidRPr="00424813">
              <w:t>$22.88</w:t>
            </w:r>
          </w:p>
        </w:tc>
        <w:tc>
          <w:tcPr>
            <w:tcW w:w="880" w:type="pct"/>
          </w:tcPr>
          <w:p w:rsidRPr="00424813" w:rsidR="002A7885" w:rsidP="007924AF" w:rsidRDefault="002A7885" w14:paraId="2E37DDB4" w14:textId="77777777">
            <w:pPr>
              <w:pStyle w:val="Tabletext"/>
              <w:keepNext/>
              <w:tabs>
                <w:tab w:val="decimal" w:pos="732"/>
              </w:tabs>
              <w:jc w:val="right"/>
            </w:pPr>
            <w:r w:rsidRPr="00424813">
              <w:t>$9,975.68</w:t>
            </w:r>
          </w:p>
        </w:tc>
      </w:tr>
      <w:tr w:rsidRPr="00424813" w:rsidR="002A7885" w:rsidTr="007924AF" w14:paraId="28B45CB2" w14:textId="77777777">
        <w:trPr>
          <w:cantSplit/>
          <w:jc w:val="center"/>
        </w:trPr>
        <w:tc>
          <w:tcPr>
            <w:tcW w:w="2578" w:type="pct"/>
          </w:tcPr>
          <w:p w:rsidRPr="00424813" w:rsidR="002A7885" w:rsidP="007924AF" w:rsidRDefault="002A7885" w14:paraId="58A57ED8" w14:textId="77777777">
            <w:pPr>
              <w:pStyle w:val="Tabletext"/>
              <w:keepNext/>
              <w:rPr>
                <w:szCs w:val="22"/>
              </w:rPr>
            </w:pPr>
            <w:r w:rsidRPr="00424813">
              <w:rPr>
                <w:szCs w:val="22"/>
              </w:rPr>
              <w:t>Panel Replenishment Household Screening Respondent</w:t>
            </w:r>
            <w:r w:rsidRPr="00424813">
              <w:rPr>
                <w:szCs w:val="22"/>
                <w:vertAlign w:val="superscript"/>
              </w:rPr>
              <w:t>1</w:t>
            </w:r>
          </w:p>
        </w:tc>
        <w:tc>
          <w:tcPr>
            <w:tcW w:w="771" w:type="pct"/>
          </w:tcPr>
          <w:p w:rsidRPr="00424813" w:rsidR="002A7885" w:rsidP="007924AF" w:rsidRDefault="00E666A2" w14:paraId="60001097" w14:textId="209EF897">
            <w:pPr>
              <w:pStyle w:val="Tabletext"/>
              <w:keepNext/>
              <w:tabs>
                <w:tab w:val="decimal" w:pos="732"/>
              </w:tabs>
              <w:jc w:val="right"/>
            </w:pPr>
            <w:r>
              <w:t>1,642</w:t>
            </w:r>
          </w:p>
        </w:tc>
        <w:tc>
          <w:tcPr>
            <w:tcW w:w="771" w:type="pct"/>
          </w:tcPr>
          <w:p w:rsidRPr="00424813" w:rsidR="002A7885" w:rsidP="007924AF" w:rsidRDefault="002A7885" w14:paraId="7D894ED0" w14:textId="77777777">
            <w:pPr>
              <w:pStyle w:val="Tabletext"/>
              <w:keepNext/>
              <w:tabs>
                <w:tab w:val="decimal" w:pos="732"/>
              </w:tabs>
              <w:jc w:val="right"/>
            </w:pPr>
            <w:r w:rsidRPr="00424813">
              <w:t>$22.88</w:t>
            </w:r>
          </w:p>
        </w:tc>
        <w:tc>
          <w:tcPr>
            <w:tcW w:w="880" w:type="pct"/>
          </w:tcPr>
          <w:p w:rsidRPr="00424813" w:rsidR="002A7885" w:rsidP="007924AF" w:rsidRDefault="00E666A2" w14:paraId="17A1793A" w14:textId="3C5A707C">
            <w:pPr>
              <w:pStyle w:val="Tabletext"/>
              <w:keepNext/>
              <w:tabs>
                <w:tab w:val="decimal" w:pos="732"/>
              </w:tabs>
              <w:jc w:val="right"/>
            </w:pPr>
            <w:r>
              <w:t>$37,568.96</w:t>
            </w:r>
          </w:p>
        </w:tc>
      </w:tr>
      <w:tr w:rsidRPr="00424813" w:rsidR="002A7885" w:rsidTr="007924AF" w14:paraId="4804A5C2" w14:textId="77777777">
        <w:trPr>
          <w:cantSplit/>
          <w:jc w:val="center"/>
        </w:trPr>
        <w:tc>
          <w:tcPr>
            <w:tcW w:w="2578" w:type="pct"/>
          </w:tcPr>
          <w:p w:rsidRPr="00424813" w:rsidR="002A7885" w:rsidP="007924AF" w:rsidRDefault="002A7885" w14:paraId="2A54DC1A" w14:textId="77777777">
            <w:pPr>
              <w:pStyle w:val="Tabletext"/>
              <w:keepNext/>
              <w:rPr>
                <w:szCs w:val="22"/>
              </w:rPr>
            </w:pPr>
            <w:r w:rsidRPr="00424813">
              <w:rPr>
                <w:szCs w:val="22"/>
              </w:rPr>
              <w:t>Panel Replenishment Enrollment Survey</w:t>
            </w:r>
            <w:r w:rsidRPr="00424813">
              <w:rPr>
                <w:szCs w:val="22"/>
                <w:vertAlign w:val="superscript"/>
              </w:rPr>
              <w:t>3</w:t>
            </w:r>
          </w:p>
        </w:tc>
        <w:tc>
          <w:tcPr>
            <w:tcW w:w="771" w:type="pct"/>
          </w:tcPr>
          <w:p w:rsidRPr="00424813" w:rsidR="002A7885" w:rsidP="007924AF" w:rsidRDefault="00E666A2" w14:paraId="148C9735" w14:textId="749A1584">
            <w:pPr>
              <w:pStyle w:val="Tabletext"/>
              <w:keepNext/>
              <w:tabs>
                <w:tab w:val="decimal" w:pos="732"/>
              </w:tabs>
              <w:jc w:val="right"/>
            </w:pPr>
            <w:r>
              <w:t>413</w:t>
            </w:r>
          </w:p>
        </w:tc>
        <w:tc>
          <w:tcPr>
            <w:tcW w:w="771" w:type="pct"/>
          </w:tcPr>
          <w:p w:rsidRPr="00424813" w:rsidR="002A7885" w:rsidP="007924AF" w:rsidRDefault="002A7885" w14:paraId="709183D9" w14:textId="77777777">
            <w:pPr>
              <w:pStyle w:val="Tabletext"/>
              <w:keepNext/>
              <w:tabs>
                <w:tab w:val="decimal" w:pos="732"/>
              </w:tabs>
              <w:jc w:val="right"/>
            </w:pPr>
            <w:r w:rsidRPr="00424813">
              <w:t>$22.88</w:t>
            </w:r>
          </w:p>
        </w:tc>
        <w:tc>
          <w:tcPr>
            <w:tcW w:w="880" w:type="pct"/>
          </w:tcPr>
          <w:p w:rsidRPr="00424813" w:rsidR="002A7885" w:rsidP="007924AF" w:rsidRDefault="00E666A2" w14:paraId="197C137F" w14:textId="0229E490">
            <w:pPr>
              <w:pStyle w:val="Tabletext"/>
              <w:keepNext/>
              <w:tabs>
                <w:tab w:val="decimal" w:pos="732"/>
              </w:tabs>
              <w:jc w:val="right"/>
            </w:pPr>
            <w:r>
              <w:t>$9,449.44</w:t>
            </w:r>
          </w:p>
        </w:tc>
      </w:tr>
      <w:tr w:rsidRPr="00424813" w:rsidR="002A7885" w:rsidTr="007924AF" w14:paraId="23D53051" w14:textId="77777777">
        <w:trPr>
          <w:cantSplit/>
          <w:jc w:val="center"/>
        </w:trPr>
        <w:tc>
          <w:tcPr>
            <w:tcW w:w="2578" w:type="pct"/>
          </w:tcPr>
          <w:p w:rsidRPr="00424813" w:rsidR="002A7885" w:rsidP="007924AF" w:rsidRDefault="002A7885" w14:paraId="7557ED46" w14:textId="77777777">
            <w:pPr>
              <w:pStyle w:val="Tabletext"/>
              <w:keepNext/>
              <w:rPr>
                <w:szCs w:val="22"/>
              </w:rPr>
            </w:pPr>
            <w:r w:rsidRPr="00424813">
              <w:rPr>
                <w:szCs w:val="22"/>
              </w:rPr>
              <w:t>Panel Replenishment Baseline Survey</w:t>
            </w:r>
            <w:r w:rsidRPr="00424813">
              <w:rPr>
                <w:szCs w:val="22"/>
                <w:vertAlign w:val="superscript"/>
              </w:rPr>
              <w:t>3</w:t>
            </w:r>
          </w:p>
        </w:tc>
        <w:tc>
          <w:tcPr>
            <w:tcW w:w="771" w:type="pct"/>
          </w:tcPr>
          <w:p w:rsidRPr="00424813" w:rsidR="002A7885" w:rsidP="007924AF" w:rsidRDefault="00E666A2" w14:paraId="4936828D" w14:textId="1C321BCA">
            <w:pPr>
              <w:pStyle w:val="Tabletext"/>
              <w:keepNext/>
              <w:tabs>
                <w:tab w:val="decimal" w:pos="732"/>
              </w:tabs>
              <w:jc w:val="right"/>
            </w:pPr>
            <w:r>
              <w:t>413</w:t>
            </w:r>
          </w:p>
        </w:tc>
        <w:tc>
          <w:tcPr>
            <w:tcW w:w="771" w:type="pct"/>
          </w:tcPr>
          <w:p w:rsidRPr="00424813" w:rsidR="002A7885" w:rsidP="007924AF" w:rsidRDefault="002A7885" w14:paraId="4B3B3942" w14:textId="77777777">
            <w:pPr>
              <w:pStyle w:val="Tabletext"/>
              <w:keepNext/>
              <w:tabs>
                <w:tab w:val="decimal" w:pos="732"/>
              </w:tabs>
              <w:jc w:val="right"/>
            </w:pPr>
            <w:r w:rsidRPr="00424813">
              <w:t>$22.88</w:t>
            </w:r>
          </w:p>
        </w:tc>
        <w:tc>
          <w:tcPr>
            <w:tcW w:w="880" w:type="pct"/>
          </w:tcPr>
          <w:p w:rsidRPr="00424813" w:rsidR="002A7885" w:rsidP="007924AF" w:rsidRDefault="00E666A2" w14:paraId="3A10713E" w14:textId="2566977B">
            <w:pPr>
              <w:pStyle w:val="Tabletext"/>
              <w:keepNext/>
              <w:tabs>
                <w:tab w:val="decimal" w:pos="732"/>
              </w:tabs>
              <w:jc w:val="right"/>
            </w:pPr>
            <w:r>
              <w:t>$9,449</w:t>
            </w:r>
            <w:r w:rsidR="00595868">
              <w:t>.</w:t>
            </w:r>
            <w:r>
              <w:t>44</w:t>
            </w:r>
          </w:p>
        </w:tc>
      </w:tr>
      <w:tr w:rsidRPr="00424813" w:rsidR="002A7885" w:rsidTr="007924AF" w14:paraId="4E9F0B3A" w14:textId="77777777">
        <w:trPr>
          <w:cantSplit/>
          <w:jc w:val="center"/>
        </w:trPr>
        <w:tc>
          <w:tcPr>
            <w:tcW w:w="2578" w:type="pct"/>
          </w:tcPr>
          <w:p w:rsidRPr="00424813" w:rsidR="002A7885" w:rsidP="007924AF" w:rsidRDefault="002A7885" w14:paraId="44AB5045" w14:textId="77777777">
            <w:pPr>
              <w:pStyle w:val="Tabletext"/>
              <w:keepNext/>
            </w:pPr>
            <w:r w:rsidRPr="00424813">
              <w:t xml:space="preserve">TOTAL </w:t>
            </w:r>
          </w:p>
        </w:tc>
        <w:tc>
          <w:tcPr>
            <w:tcW w:w="771" w:type="pct"/>
          </w:tcPr>
          <w:p w:rsidRPr="00424813" w:rsidR="002A7885" w:rsidP="007924AF" w:rsidRDefault="00027EC3" w14:paraId="7B332D6C" w14:textId="5B1C410B">
            <w:pPr>
              <w:pStyle w:val="Tabletext"/>
              <w:keepNext/>
              <w:tabs>
                <w:tab w:val="decimal" w:pos="732"/>
              </w:tabs>
              <w:jc w:val="right"/>
            </w:pPr>
            <w:r>
              <w:t>3,340</w:t>
            </w:r>
          </w:p>
        </w:tc>
        <w:tc>
          <w:tcPr>
            <w:tcW w:w="771" w:type="pct"/>
          </w:tcPr>
          <w:p w:rsidRPr="00424813" w:rsidR="002A7885" w:rsidP="007924AF" w:rsidRDefault="002A7885" w14:paraId="75627793" w14:textId="77777777">
            <w:pPr>
              <w:pStyle w:val="Tabletext"/>
              <w:keepNext/>
              <w:tabs>
                <w:tab w:val="decimal" w:pos="732"/>
              </w:tabs>
              <w:jc w:val="right"/>
            </w:pPr>
            <w:r w:rsidRPr="00424813">
              <w:t>$22.88</w:t>
            </w:r>
          </w:p>
        </w:tc>
        <w:tc>
          <w:tcPr>
            <w:tcW w:w="880" w:type="pct"/>
          </w:tcPr>
          <w:p w:rsidRPr="00424813" w:rsidR="002A7885" w:rsidP="007924AF" w:rsidRDefault="00027EC3" w14:paraId="5D923F9B" w14:textId="0ECEDB0A">
            <w:pPr>
              <w:pStyle w:val="Tabletext"/>
              <w:keepNext/>
              <w:tabs>
                <w:tab w:val="decimal" w:pos="732"/>
              </w:tabs>
              <w:jc w:val="right"/>
            </w:pPr>
            <w:r>
              <w:t>76,419.20</w:t>
            </w:r>
          </w:p>
        </w:tc>
      </w:tr>
    </w:tbl>
    <w:p w:rsidRPr="00424813" w:rsidR="002A7885" w:rsidP="002A7885" w:rsidRDefault="002A7885" w14:paraId="467E9BD1" w14:textId="77777777">
      <w:pPr>
        <w:pStyle w:val="exhibitsource1"/>
      </w:pPr>
      <w:r w:rsidRPr="00424813">
        <w:t>+ Amounts are rounded to the nearest whole number.</w:t>
      </w:r>
    </w:p>
    <w:p w:rsidRPr="00424813" w:rsidR="002A7885" w:rsidP="00900D85" w:rsidRDefault="002A7885" w14:paraId="0A5CB23D" w14:textId="77777777">
      <w:pPr>
        <w:pStyle w:val="Heading2"/>
        <w:spacing w:before="0" w:after="0"/>
      </w:pPr>
    </w:p>
    <w:p w:rsidRPr="00424813" w:rsidR="003E555B" w:rsidP="003E555B" w:rsidRDefault="003E555B" w14:paraId="100755AF" w14:textId="4E360B4F">
      <w:pPr>
        <w:pStyle w:val="Heading2"/>
      </w:pPr>
      <w:bookmarkStart w:name="_Toc33529730" w:id="74"/>
      <w:r w:rsidRPr="00424813">
        <w:t>A.13</w:t>
      </w:r>
      <w:r w:rsidRPr="00424813">
        <w:tab/>
      </w:r>
      <w:bookmarkEnd w:id="66"/>
      <w:r w:rsidRPr="00424813">
        <w:t>Estimates of Other Total Annual Cost Burden to Respondents or Recordkeepers</w:t>
      </w:r>
      <w:bookmarkEnd w:id="67"/>
      <w:bookmarkEnd w:id="74"/>
    </w:p>
    <w:p w:rsidRPr="00424813" w:rsidR="003E555B" w:rsidP="00A73FDC" w:rsidRDefault="00DF16C8" w14:paraId="046EDF10" w14:textId="77777777">
      <w:pPr>
        <w:pStyle w:val="bodytextpsg"/>
      </w:pPr>
      <w:r w:rsidRPr="00424813">
        <w:t xml:space="preserve">There are no capital or operating and maintenance costs associated with this collection. </w:t>
      </w:r>
      <w:r w:rsidRPr="00424813" w:rsidR="003E555B">
        <w:t xml:space="preserve">There are no direct monetary costs to individual participants other than their time to participate in the study. </w:t>
      </w:r>
    </w:p>
    <w:p w:rsidRPr="00424813" w:rsidR="003E555B" w:rsidP="003E555B" w:rsidRDefault="003E555B" w14:paraId="2C701D0A" w14:textId="77777777">
      <w:pPr>
        <w:pStyle w:val="Heading2"/>
      </w:pPr>
      <w:bookmarkStart w:name="_Toc88033480" w:id="75"/>
      <w:bookmarkStart w:name="_Toc88277963" w:id="76"/>
      <w:bookmarkStart w:name="_Toc33529731" w:id="77"/>
      <w:r w:rsidRPr="00424813">
        <w:t>A.14</w:t>
      </w:r>
      <w:r w:rsidRPr="00424813">
        <w:tab/>
      </w:r>
      <w:bookmarkEnd w:id="75"/>
      <w:r w:rsidRPr="00424813">
        <w:t>Annualized Cost to the Federal Government</w:t>
      </w:r>
      <w:bookmarkEnd w:id="76"/>
      <w:bookmarkEnd w:id="77"/>
    </w:p>
    <w:p w:rsidRPr="00424813" w:rsidR="003325F7" w:rsidP="00A73FDC" w:rsidRDefault="003325F7" w14:paraId="72723CBD" w14:textId="3EF66170">
      <w:pPr>
        <w:pStyle w:val="bodytextpsg"/>
      </w:pPr>
      <w:r w:rsidRPr="00424813">
        <w:t>The estimated annual cost to the government for each year of the panel maintenance contract is $</w:t>
      </w:r>
      <w:r w:rsidR="0083670A">
        <w:t>3,265,966.80</w:t>
      </w:r>
      <w:r w:rsidRPr="00424813">
        <w:t xml:space="preserve">. This figure </w:t>
      </w:r>
      <w:r w:rsidRPr="00424813" w:rsidR="00D57223">
        <w:t>is</w:t>
      </w:r>
      <w:r w:rsidRPr="00424813">
        <w:t xml:space="preserve"> based on a total cost to the Federal government for maintaining and replenishing the panel under the terms of the 3-year, $</w:t>
      </w:r>
      <w:r w:rsidR="0083670A">
        <w:t>9,797,900.40</w:t>
      </w:r>
      <w:r w:rsidRPr="00424813">
        <w:t xml:space="preserve"> contract to RTI International and their subcontractors. These costs include </w:t>
      </w:r>
      <w:r w:rsidRPr="00424813" w:rsidR="00D57223">
        <w:t xml:space="preserve">design and implementation of the panel replenishment samples over the 3-year period, </w:t>
      </w:r>
      <w:r w:rsidRPr="00424813">
        <w:t>screening and recruitment of additional panel members annually</w:t>
      </w:r>
      <w:r w:rsidRPr="00424813" w:rsidR="00D57223">
        <w:t xml:space="preserve"> as part of the panel replenishment </w:t>
      </w:r>
      <w:r w:rsidRPr="00424813" w:rsidR="00442663">
        <w:t>effort</w:t>
      </w:r>
      <w:r w:rsidRPr="00424813">
        <w:t xml:space="preserve">, </w:t>
      </w:r>
      <w:r w:rsidRPr="00424813" w:rsidR="002D2852">
        <w:t xml:space="preserve">tracing and prompting of study nonrespondents, </w:t>
      </w:r>
      <w:r w:rsidRPr="00424813">
        <w:t xml:space="preserve">data processing and analysis, and preparation of reports and data files. Panel member incentive costs </w:t>
      </w:r>
      <w:r w:rsidRPr="00424813" w:rsidR="002D2852">
        <w:t xml:space="preserve">associated with panel replenishment </w:t>
      </w:r>
      <w:r w:rsidRPr="00424813">
        <w:t xml:space="preserve">are included in this estimate. </w:t>
      </w:r>
    </w:p>
    <w:p w:rsidRPr="00424813" w:rsidR="003E555B" w:rsidP="00A73FDC" w:rsidRDefault="003E555B" w14:paraId="5AB387E1" w14:textId="77777777">
      <w:pPr>
        <w:pStyle w:val="Heading2"/>
      </w:pPr>
      <w:bookmarkStart w:name="_Toc88033481" w:id="78"/>
      <w:bookmarkStart w:name="_Toc88277964" w:id="79"/>
      <w:bookmarkStart w:name="_Toc33529732" w:id="80"/>
      <w:bookmarkEnd w:id="64"/>
      <w:r w:rsidRPr="00424813">
        <w:t>A.15</w:t>
      </w:r>
      <w:r w:rsidRPr="00424813">
        <w:tab/>
      </w:r>
      <w:bookmarkEnd w:id="78"/>
      <w:r w:rsidRPr="00424813">
        <w:t>Explanation for Program Changes or Adjustments</w:t>
      </w:r>
      <w:bookmarkEnd w:id="79"/>
      <w:bookmarkEnd w:id="80"/>
    </w:p>
    <w:p w:rsidRPr="00424813" w:rsidR="003E555B" w:rsidP="00A73FDC" w:rsidRDefault="003954E5" w14:paraId="3470BB13" w14:textId="7021D178">
      <w:pPr>
        <w:pStyle w:val="bodytextpsg"/>
      </w:pPr>
      <w:r w:rsidRPr="00424813">
        <w:t xml:space="preserve">FDA is requesting </w:t>
      </w:r>
      <w:r w:rsidRPr="00424813" w:rsidR="00D264BF">
        <w:t>an extension</w:t>
      </w:r>
      <w:r w:rsidRPr="00424813" w:rsidR="003A7F59">
        <w:t xml:space="preserve"> o</w:t>
      </w:r>
      <w:r w:rsidRPr="00424813" w:rsidR="00D264BF">
        <w:t>n the currently approved information collection request</w:t>
      </w:r>
      <w:r w:rsidRPr="00424813" w:rsidR="003A7F59">
        <w:t xml:space="preserve"> </w:t>
      </w:r>
      <w:r w:rsidRPr="00424813" w:rsidR="00D264BF">
        <w:t>for remaining planned</w:t>
      </w:r>
      <w:r w:rsidRPr="00424813" w:rsidR="00A730EE">
        <w:t xml:space="preserve"> studies,</w:t>
      </w:r>
      <w:r w:rsidRPr="00424813" w:rsidR="00D264BF">
        <w:t xml:space="preserve"> p</w:t>
      </w:r>
      <w:r w:rsidRPr="00424813" w:rsidR="003A7F59">
        <w:t xml:space="preserve">anel maintenance and replenishment activities </w:t>
      </w:r>
      <w:r w:rsidRPr="00424813">
        <w:t xml:space="preserve">and </w:t>
      </w:r>
      <w:r w:rsidRPr="00424813" w:rsidR="003A7F59">
        <w:t>non-</w:t>
      </w:r>
      <w:r w:rsidRPr="00424813" w:rsidR="003A7F59">
        <w:lastRenderedPageBreak/>
        <w:t>substantive changes to</w:t>
      </w:r>
      <w:r w:rsidRPr="00424813">
        <w:t xml:space="preserve"> update the estimated burden for</w:t>
      </w:r>
      <w:r w:rsidRPr="00424813" w:rsidR="0016002A">
        <w:t xml:space="preserve"> an a</w:t>
      </w:r>
      <w:r w:rsidRPr="00424813" w:rsidR="00FF4498">
        <w:t>dditional year of</w:t>
      </w:r>
      <w:r w:rsidRPr="00424813">
        <w:t xml:space="preserve"> panel replenishment</w:t>
      </w:r>
      <w:r w:rsidRPr="00424813" w:rsidR="003A7F59">
        <w:t>.</w:t>
      </w:r>
      <w:r w:rsidRPr="00424813">
        <w:t xml:space="preserve"> The average annual burden hours will </w:t>
      </w:r>
      <w:r w:rsidR="00FC68DF">
        <w:t>decrease</w:t>
      </w:r>
      <w:r w:rsidRPr="00424813" w:rsidR="00FC68DF">
        <w:t xml:space="preserve"> </w:t>
      </w:r>
      <w:r w:rsidRPr="00E666A2">
        <w:t xml:space="preserve">by </w:t>
      </w:r>
      <w:r w:rsidR="00D25486">
        <w:t>1,095</w:t>
      </w:r>
      <w:r w:rsidRPr="00E666A2" w:rsidR="00825301">
        <w:t xml:space="preserve"> hours, from 4,435</w:t>
      </w:r>
      <w:r w:rsidRPr="00E666A2">
        <w:t xml:space="preserve"> </w:t>
      </w:r>
      <w:r w:rsidRPr="00E666A2" w:rsidR="003A7F59">
        <w:t xml:space="preserve">to </w:t>
      </w:r>
      <w:r w:rsidR="00D25486">
        <w:t>3,340</w:t>
      </w:r>
      <w:r w:rsidRPr="00E666A2" w:rsidR="003A7F59">
        <w:t xml:space="preserve"> </w:t>
      </w:r>
      <w:r w:rsidRPr="00E666A2">
        <w:t>hours</w:t>
      </w:r>
      <w:r w:rsidRPr="00424813">
        <w:t xml:space="preserve">. </w:t>
      </w:r>
      <w:r w:rsidRPr="00424813" w:rsidR="003E555B">
        <w:t xml:space="preserve"> </w:t>
      </w:r>
    </w:p>
    <w:p w:rsidRPr="00424813" w:rsidR="003E555B" w:rsidP="00A73FDC" w:rsidRDefault="003E555B" w14:paraId="63C596CD" w14:textId="77777777">
      <w:pPr>
        <w:pStyle w:val="Heading2"/>
      </w:pPr>
      <w:bookmarkStart w:name="_Toc88033482" w:id="81"/>
      <w:bookmarkStart w:name="_Toc88277965" w:id="82"/>
      <w:bookmarkStart w:name="_Toc33529733" w:id="83"/>
      <w:r w:rsidRPr="00424813">
        <w:t>A.16</w:t>
      </w:r>
      <w:r w:rsidRPr="00424813">
        <w:tab/>
      </w:r>
      <w:bookmarkEnd w:id="81"/>
      <w:r w:rsidRPr="00424813">
        <w:t>Plans for Tabulation and Publication and Project Time Schedule</w:t>
      </w:r>
      <w:bookmarkEnd w:id="82"/>
      <w:bookmarkEnd w:id="83"/>
    </w:p>
    <w:p w:rsidRPr="00424813" w:rsidR="00692A12" w:rsidP="004E4DF5" w:rsidRDefault="00692A12" w14:paraId="2E371A94" w14:textId="77777777">
      <w:pPr>
        <w:pStyle w:val="Heading3"/>
      </w:pPr>
      <w:bookmarkStart w:name="_Toc33529734" w:id="84"/>
      <w:r w:rsidRPr="00424813">
        <w:t>A.16.1</w:t>
      </w:r>
      <w:r w:rsidRPr="00424813">
        <w:tab/>
        <w:t>Study Schedule</w:t>
      </w:r>
      <w:bookmarkEnd w:id="84"/>
    </w:p>
    <w:p w:rsidRPr="00424813" w:rsidR="00692A12" w:rsidP="00692A12" w:rsidRDefault="00692A12" w14:paraId="13036D05" w14:textId="17E18204">
      <w:pPr>
        <w:spacing w:after="120" w:line="360" w:lineRule="auto"/>
        <w:ind w:firstLine="720"/>
        <w:rPr>
          <w:szCs w:val="22"/>
        </w:rPr>
      </w:pPr>
      <w:r w:rsidRPr="00424813">
        <w:rPr>
          <w:b/>
          <w:bCs/>
          <w:i/>
          <w:iCs/>
          <w:szCs w:val="22"/>
        </w:rPr>
        <w:t>Exhibit A.16-1</w:t>
      </w:r>
      <w:r w:rsidRPr="00424813">
        <w:rPr>
          <w:szCs w:val="22"/>
        </w:rPr>
        <w:t xml:space="preserve"> provides a schedule of the major activities for the </w:t>
      </w:r>
      <w:r w:rsidRPr="00424813" w:rsidR="00CF2D41">
        <w:rPr>
          <w:szCs w:val="22"/>
        </w:rPr>
        <w:t>p</w:t>
      </w:r>
      <w:r w:rsidRPr="00424813">
        <w:rPr>
          <w:szCs w:val="22"/>
        </w:rPr>
        <w:t xml:space="preserve">anel project. A 3-year </w:t>
      </w:r>
      <w:r w:rsidRPr="00424813" w:rsidR="003C2255">
        <w:rPr>
          <w:szCs w:val="22"/>
        </w:rPr>
        <w:t>extension</w:t>
      </w:r>
      <w:r w:rsidRPr="00424813" w:rsidR="00826C37">
        <w:rPr>
          <w:szCs w:val="22"/>
        </w:rPr>
        <w:t xml:space="preserve"> of the </w:t>
      </w:r>
      <w:r w:rsidRPr="00424813" w:rsidR="003C2255">
        <w:rPr>
          <w:szCs w:val="22"/>
        </w:rPr>
        <w:t>currently approved information collection</w:t>
      </w:r>
      <w:r w:rsidRPr="00424813">
        <w:rPr>
          <w:szCs w:val="22"/>
        </w:rPr>
        <w:t xml:space="preserve"> is requested given the long-term nature of the Panel and the plan to enroll </w:t>
      </w:r>
      <w:r w:rsidRPr="00424813" w:rsidR="00826C37">
        <w:rPr>
          <w:szCs w:val="22"/>
        </w:rPr>
        <w:t xml:space="preserve">replenishment </w:t>
      </w:r>
      <w:r w:rsidRPr="00424813">
        <w:rPr>
          <w:szCs w:val="22"/>
        </w:rPr>
        <w:t>panel members for a 3-year period.</w:t>
      </w:r>
    </w:p>
    <w:p w:rsidRPr="00424813" w:rsidR="00692A12" w:rsidP="004E4DF5" w:rsidRDefault="00692A12" w14:paraId="057A16B6" w14:textId="70830E4A">
      <w:pPr>
        <w:pStyle w:val="Heading3"/>
      </w:pPr>
      <w:bookmarkStart w:name="_Toc33529735" w:id="85"/>
      <w:r w:rsidRPr="00424813">
        <w:t>A.16.2</w:t>
      </w:r>
      <w:r w:rsidRPr="00424813">
        <w:tab/>
      </w:r>
      <w:r w:rsidRPr="00424813" w:rsidR="00B42A19">
        <w:t xml:space="preserve">Analysis, </w:t>
      </w:r>
      <w:r w:rsidRPr="00424813">
        <w:t>Publication and Reporting Plans</w:t>
      </w:r>
      <w:bookmarkEnd w:id="85"/>
    </w:p>
    <w:p w:rsidRPr="00424813" w:rsidR="007E0F1C" w:rsidP="007E0F1C" w:rsidRDefault="00692A12" w14:paraId="0FBB734B" w14:textId="0625E958">
      <w:pPr>
        <w:pStyle w:val="bodytextpsg"/>
      </w:pPr>
      <w:r w:rsidRPr="00424813">
        <w:rPr>
          <w:lang w:val="en-CA"/>
        </w:rPr>
        <w:t xml:space="preserve">The key findings of </w:t>
      </w:r>
      <w:r w:rsidRPr="00424813" w:rsidR="00B42A19">
        <w:rPr>
          <w:lang w:val="en-CA"/>
        </w:rPr>
        <w:t>the TCS panel experimental and observational studies</w:t>
      </w:r>
      <w:r w:rsidRPr="00424813">
        <w:rPr>
          <w:lang w:val="en-CA"/>
        </w:rPr>
        <w:t xml:space="preserve"> will be summarized in presentations and/or written reports and disseminated to target audiences within the public health community (including researchers and policymakers) within approximately one year after the completion of data collection. </w:t>
      </w:r>
      <w:r w:rsidRPr="00424813">
        <w:rPr>
          <w:rFonts w:eastAsia="Arial Unicode MS"/>
        </w:rPr>
        <w:t xml:space="preserve">As described in Section A.2.3, Study </w:t>
      </w:r>
      <w:r w:rsidRPr="00424813" w:rsidR="00EE6634">
        <w:rPr>
          <w:rFonts w:eastAsia="Arial Unicode MS"/>
        </w:rPr>
        <w:t xml:space="preserve">A </w:t>
      </w:r>
      <w:r w:rsidRPr="00424813" w:rsidR="00425A71">
        <w:rPr>
          <w:rFonts w:eastAsia="Arial Unicode MS"/>
        </w:rPr>
        <w:t xml:space="preserve">focused </w:t>
      </w:r>
      <w:r w:rsidRPr="00424813">
        <w:rPr>
          <w:rFonts w:eastAsia="Arial Unicode MS"/>
        </w:rPr>
        <w:t xml:space="preserve">on purchasing behavior, tobacco brands, and the use of coupons and price promotions for tobacco products. </w:t>
      </w:r>
      <w:r w:rsidRPr="00424813" w:rsidR="007E0F1C">
        <w:rPr>
          <w:rFonts w:eastAsia="Arial Unicode MS"/>
        </w:rPr>
        <w:t>Data collection for Study A was completed in June 2018, and data an</w:t>
      </w:r>
      <w:r w:rsidR="0063454B">
        <w:rPr>
          <w:rFonts w:eastAsia="Arial Unicode MS"/>
        </w:rPr>
        <w:t>a</w:t>
      </w:r>
      <w:r w:rsidRPr="00424813" w:rsidR="007E0F1C">
        <w:rPr>
          <w:rFonts w:eastAsia="Arial Unicode MS"/>
        </w:rPr>
        <w:t xml:space="preserve">lysis </w:t>
      </w:r>
      <w:r w:rsidR="003C522B">
        <w:rPr>
          <w:rFonts w:eastAsia="Arial Unicode MS"/>
        </w:rPr>
        <w:t>was completed in September 2018</w:t>
      </w:r>
      <w:r w:rsidRPr="00424813" w:rsidR="007E0F1C">
        <w:rPr>
          <w:rFonts w:eastAsia="Arial Unicode MS"/>
        </w:rPr>
        <w:t xml:space="preserve">. </w:t>
      </w:r>
      <w:r w:rsidRPr="00424813">
        <w:rPr>
          <w:rFonts w:eastAsia="Arial Unicode MS"/>
        </w:rPr>
        <w:t xml:space="preserve">The analysis and reporting of the key findings of Study </w:t>
      </w:r>
      <w:r w:rsidRPr="00424813" w:rsidR="00EE6634">
        <w:rPr>
          <w:rFonts w:eastAsia="Arial Unicode MS"/>
        </w:rPr>
        <w:t>A</w:t>
      </w:r>
      <w:r w:rsidRPr="00424813">
        <w:rPr>
          <w:rFonts w:eastAsia="Arial Unicode MS"/>
        </w:rPr>
        <w:t xml:space="preserve"> </w:t>
      </w:r>
      <w:r w:rsidRPr="00424813" w:rsidR="007E0F1C">
        <w:rPr>
          <w:rFonts w:eastAsia="Arial Unicode MS"/>
        </w:rPr>
        <w:t>consist</w:t>
      </w:r>
      <w:r w:rsidR="003C522B">
        <w:rPr>
          <w:rFonts w:eastAsia="Arial Unicode MS"/>
        </w:rPr>
        <w:t>s</w:t>
      </w:r>
      <w:r w:rsidRPr="00424813" w:rsidR="007E0F1C">
        <w:rPr>
          <w:rFonts w:eastAsia="Arial Unicode MS"/>
        </w:rPr>
        <w:t xml:space="preserve"> of descriptive and bivariate analyses to describe participants’ tobacco product brand preferences by demographic characteristics and to identify factors associated with brand loyalty for tobacco products.</w:t>
      </w:r>
      <w:r w:rsidRPr="00424813" w:rsidR="00A730EE">
        <w:t xml:space="preserve">  </w:t>
      </w:r>
    </w:p>
    <w:p w:rsidRPr="00FB718B" w:rsidR="007E0F1C" w:rsidP="003C522B" w:rsidRDefault="007E0F1C" w14:paraId="711D7AB7" w14:textId="0DCA76D7">
      <w:pPr>
        <w:pStyle w:val="bodytextpsg"/>
        <w:rPr>
          <w:szCs w:val="24"/>
        </w:rPr>
      </w:pPr>
      <w:r w:rsidRPr="00424813">
        <w:t xml:space="preserve">In </w:t>
      </w:r>
      <w:r w:rsidRPr="00FB718B">
        <w:t xml:space="preserve">Study B, </w:t>
      </w:r>
      <w:r w:rsidRPr="00FB718B" w:rsidR="00DC6A18">
        <w:rPr>
          <w:szCs w:val="24"/>
        </w:rPr>
        <w:t xml:space="preserve">the focus of this evaluation study, and the analysis, will be on describing the receipt and use of free samples of tobacco products after the prohibition of free samples of tobacco products (with the adults-only exception for smokeless tobacco) that became effective with the Deeming Rule. The intervention or “independent variable” is the free sample prohibition itself. Therefore, </w:t>
      </w:r>
      <w:r w:rsidRPr="00FB718B">
        <w:t xml:space="preserve">descriptive and bivariate analyses will be used to assess the prevalence of coupon and free sample receipt and use as well as details surrounding the receipt and use context, e.g. demographics, product type/brands, locations, etc. Further analyses using inferential statistical methods, as feasible and appropriate, may explore the relationships of free samples and coupons receipt with use behaviors, quit intentions, and harm perceptions. </w:t>
      </w:r>
      <w:r w:rsidRPr="00FB718B" w:rsidR="00C66AED">
        <w:rPr>
          <w:szCs w:val="24"/>
        </w:rPr>
        <w:t xml:space="preserve">For the qualitative questions, we will assess the quality of the responses utilizing a team of at least two coders to independently code each response and come to agreements where there is disagreement on responses.  </w:t>
      </w:r>
      <w:r w:rsidRPr="00FB718B" w:rsidDel="00395052" w:rsidR="00C66AED">
        <w:rPr>
          <w:szCs w:val="24"/>
        </w:rPr>
        <w:t xml:space="preserve"> </w:t>
      </w:r>
    </w:p>
    <w:p w:rsidRPr="00424813" w:rsidR="007E0F1C" w:rsidP="007E0F1C" w:rsidRDefault="007E0F1C" w14:paraId="6F4B53CB" w14:textId="77777777">
      <w:pPr>
        <w:pStyle w:val="bodytextpsg"/>
      </w:pPr>
      <w:r w:rsidRPr="00424813">
        <w:lastRenderedPageBreak/>
        <w:t xml:space="preserve">In Study C, bivariate and multivariate analyses will examine the association between stimulus exposure to the hypothetical product standard and tobacco product use intentions and tobacco product harm perceptions. Sub-group analyses will be conducted with exclusive cigarette, smokeless tobacco, and cigars, as well as among respondents with any dual use. A sub-group analysis among respondents whose dual use includes the product they were exposed to in the stimuli will also be considered.  </w:t>
      </w:r>
    </w:p>
    <w:p w:rsidRPr="00954C40" w:rsidR="00B0328C" w:rsidP="00B0328C" w:rsidRDefault="00B0328C" w14:paraId="2584F99C" w14:textId="77777777">
      <w:pPr>
        <w:spacing w:after="120" w:line="360" w:lineRule="auto"/>
        <w:ind w:firstLine="720"/>
      </w:pPr>
      <w:r w:rsidRPr="00954C40">
        <w:t xml:space="preserve">When communicating or publishing research outcomes associated with this clearance, CTP will </w:t>
      </w:r>
      <w:proofErr w:type="gramStart"/>
      <w:r w:rsidRPr="00954C40">
        <w:t>present:</w:t>
      </w:r>
      <w:proofErr w:type="gramEnd"/>
      <w:r w:rsidRPr="00954C40">
        <w:t xml:space="preserve"> a) the unweighted distribution of sociodemographic and geographic characteristics of the sample that responded to a given survey, and b) study results based on both weighted and unweighted data. CTP will assess the quality of the information generated by collections conducted under this clearance for each regulatory or policy purpose under consideration.  </w:t>
      </w:r>
    </w:p>
    <w:p w:rsidRPr="00424813" w:rsidR="00692A12" w:rsidP="00383B94" w:rsidRDefault="007E0F1C" w14:paraId="40EC1190" w14:textId="15A07E7D">
      <w:pPr>
        <w:pStyle w:val="bodytextpsg"/>
      </w:pPr>
      <w:r w:rsidRPr="00424813">
        <w:t xml:space="preserve">Analysis, </w:t>
      </w:r>
      <w:r w:rsidRPr="00424813" w:rsidR="00692A12">
        <w:rPr>
          <w:lang w:val="en-CA"/>
        </w:rPr>
        <w:t xml:space="preserve">Publication and Reporting Plans for each subsequent observational or experimental study </w:t>
      </w:r>
      <w:r w:rsidRPr="00424813">
        <w:rPr>
          <w:lang w:val="en-CA"/>
        </w:rPr>
        <w:t xml:space="preserve">will be </w:t>
      </w:r>
      <w:r w:rsidRPr="00424813" w:rsidR="00692A12">
        <w:rPr>
          <w:lang w:val="en-CA"/>
        </w:rPr>
        <w:t>described in the information collection request for that study.</w:t>
      </w:r>
    </w:p>
    <w:p w:rsidRPr="00424813" w:rsidR="00A94462" w:rsidP="00793B07" w:rsidRDefault="00A94462" w14:paraId="3B6A9D40" w14:textId="7C454588">
      <w:pPr>
        <w:pStyle w:val="FigureTitle"/>
      </w:pPr>
      <w:bookmarkStart w:name="_Toc33529746" w:id="86"/>
      <w:r w:rsidRPr="00424813">
        <w:t>Exhibit A.16-1. Panel Project Schedule</w:t>
      </w:r>
      <w:bookmarkEnd w:id="86"/>
    </w:p>
    <w:tbl>
      <w:tblPr>
        <w:tblW w:w="9360" w:type="dxa"/>
        <w:jc w:val="center"/>
        <w:tblBorders>
          <w:top w:val="single" w:color="000000" w:sz="12" w:space="0"/>
          <w:left w:val="single" w:color="000000" w:sz="6" w:space="0"/>
          <w:bottom w:val="single" w:color="000000" w:sz="12" w:space="0"/>
          <w:insideH w:val="single" w:color="000000" w:sz="6" w:space="0"/>
        </w:tblBorders>
        <w:tblLayout w:type="fixed"/>
        <w:tblCellMar>
          <w:left w:w="120" w:type="dxa"/>
          <w:right w:w="120" w:type="dxa"/>
        </w:tblCellMar>
        <w:tblLook w:val="0000" w:firstRow="0" w:lastRow="0" w:firstColumn="0" w:lastColumn="0" w:noHBand="0" w:noVBand="0"/>
      </w:tblPr>
      <w:tblGrid>
        <w:gridCol w:w="5694"/>
        <w:gridCol w:w="1833"/>
        <w:gridCol w:w="1833"/>
      </w:tblGrid>
      <w:tr w:rsidRPr="00424813" w:rsidR="00A94462" w:rsidTr="00AB2D04" w14:paraId="59F6810A" w14:textId="77777777">
        <w:trPr>
          <w:cantSplit/>
          <w:jc w:val="center"/>
        </w:trPr>
        <w:tc>
          <w:tcPr>
            <w:tcW w:w="5694" w:type="dxa"/>
            <w:vMerge w:val="restart"/>
            <w:tcBorders>
              <w:top w:val="single" w:color="000000" w:sz="12" w:space="0"/>
              <w:left w:val="nil"/>
              <w:bottom w:val="single" w:color="000000" w:sz="6" w:space="0"/>
            </w:tcBorders>
            <w:vAlign w:val="bottom"/>
          </w:tcPr>
          <w:p w:rsidRPr="00424813" w:rsidR="00A94462" w:rsidP="00383B94" w:rsidRDefault="00A94462" w14:paraId="041F7539" w14:textId="77777777">
            <w:pPr>
              <w:pStyle w:val="TableHeaders"/>
            </w:pPr>
            <w:r w:rsidRPr="00424813">
              <w:t>Activity</w:t>
            </w:r>
          </w:p>
        </w:tc>
        <w:tc>
          <w:tcPr>
            <w:tcW w:w="3666" w:type="dxa"/>
            <w:gridSpan w:val="2"/>
            <w:vAlign w:val="bottom"/>
          </w:tcPr>
          <w:p w:rsidRPr="00424813" w:rsidR="00A94462" w:rsidP="00383B94" w:rsidRDefault="00A94462" w14:paraId="45E0BE6F" w14:textId="77777777">
            <w:pPr>
              <w:pStyle w:val="TableHeaders"/>
            </w:pPr>
            <w:r w:rsidRPr="00424813">
              <w:t>Time frame</w:t>
            </w:r>
          </w:p>
        </w:tc>
      </w:tr>
      <w:tr w:rsidRPr="00424813" w:rsidR="00A94462" w:rsidTr="00AB2D04" w14:paraId="27C6DA87" w14:textId="77777777">
        <w:trPr>
          <w:cantSplit/>
          <w:jc w:val="center"/>
        </w:trPr>
        <w:tc>
          <w:tcPr>
            <w:tcW w:w="5694" w:type="dxa"/>
            <w:vMerge/>
            <w:tcBorders>
              <w:top w:val="single" w:color="000000" w:sz="6" w:space="0"/>
              <w:left w:val="nil"/>
              <w:bottom w:val="single" w:color="000000" w:sz="6" w:space="0"/>
            </w:tcBorders>
            <w:vAlign w:val="bottom"/>
          </w:tcPr>
          <w:p w:rsidRPr="00424813" w:rsidR="00A94462" w:rsidP="00383B94" w:rsidRDefault="00A94462" w14:paraId="60C138DE" w14:textId="77777777">
            <w:pPr>
              <w:pStyle w:val="TableHeaders"/>
            </w:pPr>
          </w:p>
        </w:tc>
        <w:tc>
          <w:tcPr>
            <w:tcW w:w="1833" w:type="dxa"/>
            <w:vAlign w:val="bottom"/>
          </w:tcPr>
          <w:p w:rsidRPr="00424813" w:rsidR="00A94462" w:rsidP="00383B94" w:rsidRDefault="00A94462" w14:paraId="6FAF8D7D" w14:textId="77777777">
            <w:pPr>
              <w:pStyle w:val="TableHeaders"/>
            </w:pPr>
            <w:r w:rsidRPr="00424813">
              <w:t>Start date</w:t>
            </w:r>
          </w:p>
        </w:tc>
        <w:tc>
          <w:tcPr>
            <w:tcW w:w="1833" w:type="dxa"/>
            <w:vAlign w:val="bottom"/>
          </w:tcPr>
          <w:p w:rsidRPr="00424813" w:rsidR="00A94462" w:rsidP="00383B94" w:rsidRDefault="00A94462" w14:paraId="3CD3E361" w14:textId="77777777">
            <w:pPr>
              <w:pStyle w:val="TableHeaders"/>
            </w:pPr>
            <w:r w:rsidRPr="00424813">
              <w:t>End date</w:t>
            </w:r>
          </w:p>
        </w:tc>
      </w:tr>
      <w:tr w:rsidRPr="00424813" w:rsidR="00692A12" w:rsidTr="00AB2D04" w14:paraId="093C2DCB" w14:textId="77777777">
        <w:trPr>
          <w:cantSplit/>
          <w:jc w:val="center"/>
        </w:trPr>
        <w:tc>
          <w:tcPr>
            <w:tcW w:w="5694" w:type="dxa"/>
            <w:tcBorders>
              <w:top w:val="single" w:color="000000" w:sz="6" w:space="0"/>
              <w:left w:val="nil"/>
              <w:bottom w:val="single" w:color="000000" w:sz="6" w:space="0"/>
            </w:tcBorders>
          </w:tcPr>
          <w:p w:rsidRPr="00424813" w:rsidR="00692A12" w:rsidP="00383B94" w:rsidRDefault="00692A12" w14:paraId="38981AF6" w14:textId="77777777">
            <w:pPr>
              <w:pStyle w:val="Tabletext"/>
            </w:pPr>
            <w:r w:rsidRPr="00424813">
              <w:t xml:space="preserve">Select address sample for </w:t>
            </w:r>
            <w:r w:rsidRPr="00424813" w:rsidR="00A67E5B">
              <w:t xml:space="preserve">panel </w:t>
            </w:r>
            <w:r w:rsidRPr="00424813">
              <w:t>implementation</w:t>
            </w:r>
          </w:p>
        </w:tc>
        <w:tc>
          <w:tcPr>
            <w:tcW w:w="1833" w:type="dxa"/>
          </w:tcPr>
          <w:p w:rsidRPr="00424813" w:rsidR="00692A12" w:rsidP="005C6537" w:rsidRDefault="005C6537" w14:paraId="3E4F1520" w14:textId="28F8BD4C">
            <w:pPr>
              <w:pStyle w:val="Tabletext"/>
            </w:pPr>
            <w:r w:rsidRPr="00424813">
              <w:t xml:space="preserve">June </w:t>
            </w:r>
            <w:r w:rsidRPr="00424813" w:rsidR="00E64BC5">
              <w:t>2016</w:t>
            </w:r>
          </w:p>
        </w:tc>
        <w:tc>
          <w:tcPr>
            <w:tcW w:w="1833" w:type="dxa"/>
          </w:tcPr>
          <w:p w:rsidRPr="00424813" w:rsidR="00692A12" w:rsidP="005C6537" w:rsidRDefault="005C6537" w14:paraId="7AEA4A95" w14:textId="13412765">
            <w:pPr>
              <w:pStyle w:val="Tabletext"/>
            </w:pPr>
            <w:r w:rsidRPr="00424813">
              <w:t xml:space="preserve">July </w:t>
            </w:r>
            <w:r w:rsidRPr="00424813" w:rsidR="00E64BC5">
              <w:t>2016</w:t>
            </w:r>
          </w:p>
        </w:tc>
      </w:tr>
      <w:tr w:rsidRPr="00424813" w:rsidR="00692A12" w:rsidTr="00AB2D04" w14:paraId="2AFEFFEE" w14:textId="77777777">
        <w:trPr>
          <w:cantSplit/>
          <w:jc w:val="center"/>
        </w:trPr>
        <w:tc>
          <w:tcPr>
            <w:tcW w:w="5694" w:type="dxa"/>
            <w:tcBorders>
              <w:top w:val="single" w:color="000000" w:sz="6" w:space="0"/>
              <w:left w:val="nil"/>
              <w:bottom w:val="single" w:color="000000" w:sz="6" w:space="0"/>
            </w:tcBorders>
          </w:tcPr>
          <w:p w:rsidRPr="00424813" w:rsidR="00692A12" w:rsidP="00383B94" w:rsidRDefault="00692A12" w14:paraId="6DDDB9BA" w14:textId="07DC794E">
            <w:pPr>
              <w:pStyle w:val="Tabletext"/>
            </w:pPr>
            <w:r w:rsidRPr="00424813">
              <w:t xml:space="preserve">Recruit and train field staff for </w:t>
            </w:r>
            <w:r w:rsidRPr="00424813" w:rsidR="00A67E5B">
              <w:t>panel</w:t>
            </w:r>
            <w:r w:rsidRPr="00424813">
              <w:t xml:space="preserve"> implementation</w:t>
            </w:r>
            <w:r w:rsidRPr="00424813" w:rsidR="00C4005B">
              <w:t xml:space="preserve"> </w:t>
            </w:r>
          </w:p>
        </w:tc>
        <w:tc>
          <w:tcPr>
            <w:tcW w:w="1833" w:type="dxa"/>
          </w:tcPr>
          <w:p w:rsidRPr="00424813" w:rsidR="00692A12" w:rsidP="00866FA4" w:rsidRDefault="0006221A" w14:paraId="6E2B17D8" w14:textId="6CF7E99A">
            <w:pPr>
              <w:pStyle w:val="Tabletext"/>
            </w:pPr>
            <w:r w:rsidRPr="00424813">
              <w:t>August</w:t>
            </w:r>
            <w:r w:rsidRPr="00424813" w:rsidR="00E64BC5">
              <w:t xml:space="preserve"> 2016</w:t>
            </w:r>
          </w:p>
        </w:tc>
        <w:tc>
          <w:tcPr>
            <w:tcW w:w="1833" w:type="dxa"/>
          </w:tcPr>
          <w:p w:rsidRPr="00424813" w:rsidR="00692A12" w:rsidP="00B4375C" w:rsidRDefault="00FF14B4" w14:paraId="063E9C4E" w14:textId="3961261A">
            <w:pPr>
              <w:pStyle w:val="Tabletext"/>
            </w:pPr>
            <w:r w:rsidRPr="00424813">
              <w:t>January 2017</w:t>
            </w:r>
          </w:p>
        </w:tc>
      </w:tr>
      <w:tr w:rsidRPr="00424813" w:rsidR="00692A12" w:rsidTr="00AB2D04" w14:paraId="3EBA8D49" w14:textId="77777777">
        <w:trPr>
          <w:cantSplit/>
          <w:jc w:val="center"/>
        </w:trPr>
        <w:tc>
          <w:tcPr>
            <w:tcW w:w="5694" w:type="dxa"/>
            <w:tcBorders>
              <w:top w:val="single" w:color="000000" w:sz="6" w:space="0"/>
              <w:left w:val="nil"/>
              <w:bottom w:val="single" w:color="000000" w:sz="6" w:space="0"/>
            </w:tcBorders>
          </w:tcPr>
          <w:p w:rsidRPr="00424813" w:rsidR="00692A12" w:rsidP="00383B94" w:rsidRDefault="00692A12" w14:paraId="13AD0BA8" w14:textId="77777777">
            <w:pPr>
              <w:pStyle w:val="Tabletext"/>
            </w:pPr>
            <w:r w:rsidRPr="00424813">
              <w:t>Conduct field enumeration activities in selected areas</w:t>
            </w:r>
          </w:p>
        </w:tc>
        <w:tc>
          <w:tcPr>
            <w:tcW w:w="1833" w:type="dxa"/>
          </w:tcPr>
          <w:p w:rsidRPr="00424813" w:rsidR="00692A12" w:rsidP="00866FA4" w:rsidRDefault="00FF14B4" w14:paraId="70A4D65D" w14:textId="093FE2AE">
            <w:pPr>
              <w:pStyle w:val="Tabletext"/>
            </w:pPr>
            <w:r w:rsidRPr="00424813">
              <w:t>November 2016</w:t>
            </w:r>
          </w:p>
        </w:tc>
        <w:tc>
          <w:tcPr>
            <w:tcW w:w="1833" w:type="dxa"/>
          </w:tcPr>
          <w:p w:rsidRPr="00424813" w:rsidR="00692A12" w:rsidP="00866FA4" w:rsidRDefault="00FF14B4" w14:paraId="7EC09FAC" w14:textId="6674BB97">
            <w:pPr>
              <w:pStyle w:val="Tabletext"/>
            </w:pPr>
            <w:r w:rsidRPr="00424813">
              <w:t>December 2016</w:t>
            </w:r>
          </w:p>
        </w:tc>
      </w:tr>
      <w:tr w:rsidRPr="00424813" w:rsidR="00692A12" w:rsidTr="00AB2D04" w14:paraId="3379394D" w14:textId="77777777">
        <w:trPr>
          <w:cantSplit/>
          <w:jc w:val="center"/>
        </w:trPr>
        <w:tc>
          <w:tcPr>
            <w:tcW w:w="5694" w:type="dxa"/>
            <w:tcBorders>
              <w:top w:val="single" w:color="000000" w:sz="6" w:space="0"/>
              <w:left w:val="nil"/>
              <w:bottom w:val="single" w:color="000000" w:sz="6" w:space="0"/>
            </w:tcBorders>
          </w:tcPr>
          <w:p w:rsidRPr="00424813" w:rsidR="00692A12" w:rsidP="00383B94" w:rsidRDefault="00692A12" w14:paraId="15CAF07B" w14:textId="77777777">
            <w:pPr>
              <w:pStyle w:val="Tabletext"/>
            </w:pPr>
            <w:r w:rsidRPr="00424813">
              <w:t>Recruit and enroll initial cohort of panel members</w:t>
            </w:r>
          </w:p>
        </w:tc>
        <w:tc>
          <w:tcPr>
            <w:tcW w:w="1833" w:type="dxa"/>
          </w:tcPr>
          <w:p w:rsidRPr="00424813" w:rsidR="00692A12" w:rsidP="00866FA4" w:rsidRDefault="00FF14B4" w14:paraId="257852B0" w14:textId="659B89B8">
            <w:pPr>
              <w:pStyle w:val="Tabletext"/>
            </w:pPr>
            <w:r w:rsidRPr="00424813">
              <w:t>September</w:t>
            </w:r>
            <w:r w:rsidRPr="00424813" w:rsidR="00E64BC5">
              <w:t xml:space="preserve"> 2016</w:t>
            </w:r>
          </w:p>
        </w:tc>
        <w:tc>
          <w:tcPr>
            <w:tcW w:w="1833" w:type="dxa"/>
          </w:tcPr>
          <w:p w:rsidRPr="00424813" w:rsidR="00692A12" w:rsidP="00866FA4" w:rsidRDefault="00FF14B4" w14:paraId="1408DFAA" w14:textId="78D862D6">
            <w:pPr>
              <w:pStyle w:val="Tabletext"/>
            </w:pPr>
            <w:r w:rsidRPr="00424813">
              <w:t>August</w:t>
            </w:r>
            <w:r w:rsidRPr="00424813" w:rsidR="00E64BC5">
              <w:t xml:space="preserve"> 2017</w:t>
            </w:r>
          </w:p>
        </w:tc>
      </w:tr>
      <w:tr w:rsidRPr="00424813" w:rsidR="00692A12" w:rsidTr="00AB2D04" w14:paraId="50329F55" w14:textId="77777777">
        <w:trPr>
          <w:cantSplit/>
          <w:jc w:val="center"/>
        </w:trPr>
        <w:tc>
          <w:tcPr>
            <w:tcW w:w="5694" w:type="dxa"/>
            <w:tcBorders>
              <w:top w:val="single" w:color="000000" w:sz="6" w:space="0"/>
              <w:left w:val="nil"/>
              <w:bottom w:val="single" w:color="000000" w:sz="6" w:space="0"/>
            </w:tcBorders>
          </w:tcPr>
          <w:p w:rsidRPr="00424813" w:rsidR="00692A12" w:rsidP="00383B94" w:rsidRDefault="00692A12" w14:paraId="4C980FD2" w14:textId="77777777">
            <w:pPr>
              <w:pStyle w:val="Tabletext"/>
            </w:pPr>
            <w:r w:rsidRPr="00424813">
              <w:t>Conduct nonresponse follow-up and troubleshooting (flow basis)</w:t>
            </w:r>
          </w:p>
        </w:tc>
        <w:tc>
          <w:tcPr>
            <w:tcW w:w="1833" w:type="dxa"/>
          </w:tcPr>
          <w:p w:rsidRPr="00424813" w:rsidR="00692A12" w:rsidP="00866FA4" w:rsidRDefault="00E64BC5" w14:paraId="00A3C4C2" w14:textId="0B5B5CA3">
            <w:pPr>
              <w:pStyle w:val="Tabletext"/>
            </w:pPr>
            <w:r w:rsidRPr="00424813">
              <w:t>October</w:t>
            </w:r>
            <w:r w:rsidRPr="00424813" w:rsidR="003F2939">
              <w:t xml:space="preserve"> 2016</w:t>
            </w:r>
          </w:p>
        </w:tc>
        <w:tc>
          <w:tcPr>
            <w:tcW w:w="1833" w:type="dxa"/>
          </w:tcPr>
          <w:p w:rsidRPr="00424813" w:rsidR="00692A12" w:rsidP="00383B94" w:rsidRDefault="00E64BC5" w14:paraId="25BFF54F" w14:textId="515BBED9">
            <w:pPr>
              <w:pStyle w:val="Tabletext"/>
            </w:pPr>
            <w:r w:rsidRPr="00424813">
              <w:t>End of Panel</w:t>
            </w:r>
          </w:p>
        </w:tc>
      </w:tr>
      <w:tr w:rsidRPr="00424813" w:rsidR="0041727C" w:rsidTr="00AB2D04" w14:paraId="0C1EA3C5" w14:textId="77777777">
        <w:trPr>
          <w:cantSplit/>
          <w:jc w:val="center"/>
        </w:trPr>
        <w:tc>
          <w:tcPr>
            <w:tcW w:w="5694" w:type="dxa"/>
            <w:tcBorders>
              <w:top w:val="single" w:color="000000" w:sz="6" w:space="0"/>
              <w:left w:val="nil"/>
              <w:bottom w:val="single" w:color="000000" w:sz="6" w:space="0"/>
            </w:tcBorders>
          </w:tcPr>
          <w:p w:rsidRPr="00424813" w:rsidR="0041727C" w:rsidP="00383B94" w:rsidRDefault="0041727C" w14:paraId="411757BC" w14:textId="77777777">
            <w:pPr>
              <w:pStyle w:val="Tabletext"/>
            </w:pPr>
            <w:r w:rsidRPr="00424813">
              <w:t>Provide reports of panel recruitment and maintenance activities (flow basis, during active recruiting phases)</w:t>
            </w:r>
          </w:p>
        </w:tc>
        <w:tc>
          <w:tcPr>
            <w:tcW w:w="1833" w:type="dxa"/>
          </w:tcPr>
          <w:p w:rsidRPr="00424813" w:rsidR="0041727C" w:rsidP="00E64BC5" w:rsidRDefault="00E64BC5" w14:paraId="378D8CFB" w14:textId="25C203C3">
            <w:pPr>
              <w:pStyle w:val="Tabletext"/>
            </w:pPr>
            <w:r w:rsidRPr="00424813">
              <w:t>October</w:t>
            </w:r>
            <w:r w:rsidRPr="00424813" w:rsidR="0041727C">
              <w:t xml:space="preserve"> 2016</w:t>
            </w:r>
          </w:p>
        </w:tc>
        <w:tc>
          <w:tcPr>
            <w:tcW w:w="1833" w:type="dxa"/>
          </w:tcPr>
          <w:p w:rsidRPr="00424813" w:rsidR="0041727C" w:rsidP="00383B94" w:rsidRDefault="00E64BC5" w14:paraId="4C66502D" w14:textId="1C362D9F">
            <w:pPr>
              <w:pStyle w:val="Tabletext"/>
            </w:pPr>
            <w:r w:rsidRPr="00424813">
              <w:t>End of Panel</w:t>
            </w:r>
          </w:p>
        </w:tc>
      </w:tr>
      <w:tr w:rsidRPr="00424813" w:rsidR="0041727C" w:rsidTr="00AB2D04" w14:paraId="1D22EC10" w14:textId="77777777">
        <w:trPr>
          <w:cantSplit/>
          <w:jc w:val="center"/>
        </w:trPr>
        <w:tc>
          <w:tcPr>
            <w:tcW w:w="5694" w:type="dxa"/>
            <w:tcBorders>
              <w:top w:val="single" w:color="000000" w:sz="6" w:space="0"/>
              <w:left w:val="nil"/>
              <w:bottom w:val="single" w:color="000000" w:sz="6" w:space="0"/>
            </w:tcBorders>
          </w:tcPr>
          <w:p w:rsidRPr="00424813" w:rsidR="0041727C" w:rsidP="00383B94" w:rsidRDefault="0041727C" w14:paraId="6A525DD5" w14:textId="4D39CF7C">
            <w:pPr>
              <w:pStyle w:val="Tabletext"/>
            </w:pPr>
            <w:r w:rsidRPr="00424813">
              <w:t xml:space="preserve">Conduct Study </w:t>
            </w:r>
            <w:r w:rsidRPr="00424813" w:rsidR="00894524">
              <w:t>A</w:t>
            </w:r>
            <w:r w:rsidRPr="00424813">
              <w:t xml:space="preserve">, first experimental or observational study </w:t>
            </w:r>
          </w:p>
        </w:tc>
        <w:tc>
          <w:tcPr>
            <w:tcW w:w="1833" w:type="dxa"/>
          </w:tcPr>
          <w:p w:rsidRPr="00424813" w:rsidR="0041727C" w:rsidP="0005071A" w:rsidRDefault="00826C37" w14:paraId="74E695B5" w14:textId="3DD9B0DF">
            <w:pPr>
              <w:pStyle w:val="Tabletext"/>
            </w:pPr>
            <w:r w:rsidRPr="00424813">
              <w:t>April</w:t>
            </w:r>
            <w:r w:rsidRPr="00424813" w:rsidR="00CD1EAA">
              <w:t xml:space="preserve"> 2018</w:t>
            </w:r>
          </w:p>
        </w:tc>
        <w:tc>
          <w:tcPr>
            <w:tcW w:w="1833" w:type="dxa"/>
          </w:tcPr>
          <w:p w:rsidRPr="00424813" w:rsidR="0041727C" w:rsidP="0005071A" w:rsidRDefault="00826C37" w14:paraId="4D0A3F15" w14:textId="63633945">
            <w:pPr>
              <w:pStyle w:val="Tabletext"/>
            </w:pPr>
            <w:r w:rsidRPr="00424813">
              <w:t>June</w:t>
            </w:r>
            <w:r w:rsidRPr="00424813" w:rsidR="0005071A">
              <w:t xml:space="preserve"> 201</w:t>
            </w:r>
            <w:r w:rsidRPr="00424813" w:rsidR="00EF17A2">
              <w:t>8</w:t>
            </w:r>
          </w:p>
        </w:tc>
      </w:tr>
      <w:tr w:rsidRPr="00424813" w:rsidR="0041727C" w:rsidTr="00AB2D04" w14:paraId="0E5929E7" w14:textId="77777777">
        <w:trPr>
          <w:cantSplit/>
          <w:jc w:val="center"/>
        </w:trPr>
        <w:tc>
          <w:tcPr>
            <w:tcW w:w="5694" w:type="dxa"/>
            <w:tcBorders>
              <w:top w:val="single" w:color="000000" w:sz="6" w:space="0"/>
              <w:left w:val="nil"/>
              <w:bottom w:val="single" w:color="000000" w:sz="6" w:space="0"/>
            </w:tcBorders>
          </w:tcPr>
          <w:p w:rsidRPr="00424813" w:rsidR="0041727C" w:rsidP="00383B94" w:rsidRDefault="0041727C" w14:paraId="5FC6D6B6" w14:textId="61617A76">
            <w:pPr>
              <w:pStyle w:val="Tabletext"/>
            </w:pPr>
            <w:r w:rsidRPr="00424813">
              <w:t>Conduct panel replenishment (</w:t>
            </w:r>
            <w:r w:rsidRPr="00424813" w:rsidR="00F75072">
              <w:t>as</w:t>
            </w:r>
            <w:r w:rsidRPr="00424813" w:rsidR="003629DF">
              <w:t xml:space="preserve"> needed</w:t>
            </w:r>
            <w:r w:rsidRPr="00424813">
              <w:t>)</w:t>
            </w:r>
          </w:p>
        </w:tc>
        <w:tc>
          <w:tcPr>
            <w:tcW w:w="1833" w:type="dxa"/>
          </w:tcPr>
          <w:p w:rsidRPr="00424813" w:rsidR="0041727C" w:rsidP="0005071A" w:rsidRDefault="00CD1EAA" w14:paraId="6A27E718" w14:textId="1568B017">
            <w:pPr>
              <w:pStyle w:val="Tabletext"/>
            </w:pPr>
            <w:r w:rsidRPr="00424813">
              <w:t>April 2018</w:t>
            </w:r>
          </w:p>
        </w:tc>
        <w:tc>
          <w:tcPr>
            <w:tcW w:w="1833" w:type="dxa"/>
          </w:tcPr>
          <w:p w:rsidRPr="00424813" w:rsidR="0041727C" w:rsidP="00E64BC5" w:rsidRDefault="00E64BC5" w14:paraId="17D981E7" w14:textId="1BEB7DC6">
            <w:pPr>
              <w:pStyle w:val="Tabletext"/>
            </w:pPr>
            <w:r w:rsidRPr="00424813">
              <w:t>End of Panel</w:t>
            </w:r>
          </w:p>
        </w:tc>
      </w:tr>
      <w:tr w:rsidRPr="00424813" w:rsidR="00383B94" w:rsidTr="00900D85" w14:paraId="223B5804" w14:textId="77777777">
        <w:trPr>
          <w:cantSplit/>
          <w:jc w:val="center"/>
        </w:trPr>
        <w:tc>
          <w:tcPr>
            <w:tcW w:w="5694" w:type="dxa"/>
            <w:tcBorders>
              <w:top w:val="single" w:color="000000" w:sz="6" w:space="0"/>
              <w:left w:val="nil"/>
              <w:bottom w:val="single" w:color="000000" w:sz="6" w:space="0"/>
            </w:tcBorders>
          </w:tcPr>
          <w:p w:rsidRPr="00424813" w:rsidR="00383B94" w:rsidP="00383B94" w:rsidRDefault="00383B94" w14:paraId="0DA93220" w14:textId="7098F93C">
            <w:pPr>
              <w:pStyle w:val="Tabletext"/>
            </w:pPr>
            <w:r w:rsidRPr="00424813">
              <w:t xml:space="preserve">Conduct analysis and reporting of </w:t>
            </w:r>
            <w:r w:rsidRPr="00424813" w:rsidR="00F70AE7">
              <w:t xml:space="preserve">Study </w:t>
            </w:r>
            <w:r w:rsidRPr="00424813" w:rsidR="00894524">
              <w:t>A</w:t>
            </w:r>
            <w:r w:rsidRPr="00424813" w:rsidR="00F70AE7">
              <w:t xml:space="preserve"> findings</w:t>
            </w:r>
          </w:p>
        </w:tc>
        <w:tc>
          <w:tcPr>
            <w:tcW w:w="1833" w:type="dxa"/>
            <w:tcBorders>
              <w:bottom w:val="single" w:color="000000" w:sz="6" w:space="0"/>
            </w:tcBorders>
          </w:tcPr>
          <w:p w:rsidRPr="00424813" w:rsidR="00383B94" w:rsidP="00E64BC5" w:rsidRDefault="00826C37" w14:paraId="2EF4B9BC" w14:textId="379E6596">
            <w:pPr>
              <w:pStyle w:val="Tabletext"/>
            </w:pPr>
            <w:r w:rsidRPr="00424813">
              <w:t>July</w:t>
            </w:r>
            <w:r w:rsidRPr="00424813" w:rsidR="00F70AE7">
              <w:t xml:space="preserve"> 2018</w:t>
            </w:r>
          </w:p>
        </w:tc>
        <w:tc>
          <w:tcPr>
            <w:tcW w:w="1833" w:type="dxa"/>
            <w:tcBorders>
              <w:bottom w:val="single" w:color="000000" w:sz="6" w:space="0"/>
            </w:tcBorders>
          </w:tcPr>
          <w:p w:rsidRPr="00424813" w:rsidR="00383B94" w:rsidP="00E64BC5" w:rsidRDefault="00BE19E3" w14:paraId="7D863F67" w14:textId="23A21470">
            <w:pPr>
              <w:pStyle w:val="Tabletext"/>
            </w:pPr>
            <w:r w:rsidRPr="00424813">
              <w:t xml:space="preserve">September </w:t>
            </w:r>
            <w:r w:rsidRPr="00424813" w:rsidR="00F70AE7">
              <w:t>2018</w:t>
            </w:r>
          </w:p>
        </w:tc>
      </w:tr>
      <w:tr w:rsidRPr="00424813" w:rsidR="00826C37" w:rsidTr="00900D85" w14:paraId="5EF1B6D4" w14:textId="77777777">
        <w:trPr>
          <w:cantSplit/>
          <w:jc w:val="center"/>
        </w:trPr>
        <w:tc>
          <w:tcPr>
            <w:tcW w:w="5694" w:type="dxa"/>
            <w:tcBorders>
              <w:top w:val="single" w:color="000000" w:sz="6" w:space="0"/>
              <w:left w:val="nil"/>
              <w:bottom w:val="single" w:color="000000" w:sz="12" w:space="0"/>
            </w:tcBorders>
          </w:tcPr>
          <w:p w:rsidRPr="00424813" w:rsidR="00826C37" w:rsidP="00383B94" w:rsidRDefault="00826C37" w14:paraId="364CA63B" w14:textId="73A3E485">
            <w:pPr>
              <w:pStyle w:val="Tabletext"/>
            </w:pPr>
            <w:r w:rsidRPr="00424813">
              <w:t>Conduct Stud</w:t>
            </w:r>
            <w:r w:rsidRPr="00424813" w:rsidR="004019CF">
              <w:t xml:space="preserve">ies B </w:t>
            </w:r>
            <w:r w:rsidR="00AC69E6">
              <w:t>and C</w:t>
            </w:r>
            <w:r w:rsidRPr="00424813" w:rsidR="004019CF">
              <w:t xml:space="preserve"> </w:t>
            </w:r>
            <w:r w:rsidRPr="00424813" w:rsidR="00894524">
              <w:t>and reporting of findings</w:t>
            </w:r>
          </w:p>
        </w:tc>
        <w:tc>
          <w:tcPr>
            <w:tcW w:w="1833" w:type="dxa"/>
            <w:tcBorders>
              <w:top w:val="single" w:color="000000" w:sz="6" w:space="0"/>
              <w:bottom w:val="single" w:color="000000" w:sz="12" w:space="0"/>
            </w:tcBorders>
          </w:tcPr>
          <w:p w:rsidRPr="00424813" w:rsidR="00826C37" w:rsidP="00E64BC5" w:rsidRDefault="00AD2F9C" w14:paraId="3591F5AF" w14:textId="5FCA70A7">
            <w:pPr>
              <w:pStyle w:val="Tabletext"/>
            </w:pPr>
            <w:r>
              <w:t>March 2020</w:t>
            </w:r>
          </w:p>
        </w:tc>
        <w:tc>
          <w:tcPr>
            <w:tcW w:w="1833" w:type="dxa"/>
            <w:tcBorders>
              <w:top w:val="single" w:color="000000" w:sz="6" w:space="0"/>
              <w:bottom w:val="single" w:color="000000" w:sz="12" w:space="0"/>
            </w:tcBorders>
          </w:tcPr>
          <w:p w:rsidRPr="00424813" w:rsidR="00826C37" w:rsidP="00E64BC5" w:rsidRDefault="00894524" w14:paraId="3B8B02A8" w14:textId="067E9AA7">
            <w:pPr>
              <w:pStyle w:val="Tabletext"/>
            </w:pPr>
            <w:r w:rsidRPr="00424813">
              <w:t>September 2020</w:t>
            </w:r>
          </w:p>
        </w:tc>
      </w:tr>
    </w:tbl>
    <w:p w:rsidRPr="00424813" w:rsidR="003E555B" w:rsidP="00A73FDC" w:rsidRDefault="003E555B" w14:paraId="5BCC2A3F" w14:textId="77777777">
      <w:pPr>
        <w:pStyle w:val="Heading2"/>
      </w:pPr>
      <w:bookmarkStart w:name="_Toc88033483" w:id="87"/>
      <w:bookmarkStart w:name="_Toc88277969" w:id="88"/>
      <w:bookmarkStart w:name="_Toc33529736" w:id="89"/>
      <w:r w:rsidRPr="00424813">
        <w:lastRenderedPageBreak/>
        <w:t>A.17</w:t>
      </w:r>
      <w:r w:rsidRPr="00424813">
        <w:tab/>
      </w:r>
      <w:bookmarkStart w:name="_Toc88033484" w:id="90"/>
      <w:bookmarkEnd w:id="87"/>
      <w:r w:rsidRPr="00424813">
        <w:t>Reason(s) Display of OMB Expiration Date Is Inappropriate</w:t>
      </w:r>
      <w:bookmarkEnd w:id="88"/>
      <w:bookmarkEnd w:id="89"/>
    </w:p>
    <w:p w:rsidRPr="00424813" w:rsidR="003E555B" w:rsidP="00A73FDC" w:rsidRDefault="003E555B" w14:paraId="427D8C5A" w14:textId="2A290931">
      <w:pPr>
        <w:pStyle w:val="bodytextpsg"/>
      </w:pPr>
      <w:r w:rsidRPr="00424813">
        <w:t xml:space="preserve">The OMB number and expiration date </w:t>
      </w:r>
      <w:r w:rsidRPr="00424813" w:rsidR="00944C75">
        <w:t>is</w:t>
      </w:r>
      <w:r w:rsidRPr="00424813">
        <w:t xml:space="preserve"> displayed on the survey website where questionnaires are launched, all mail survey instruments, and on the consent forms. </w:t>
      </w:r>
    </w:p>
    <w:p w:rsidRPr="00424813" w:rsidR="003E555B" w:rsidP="00A73FDC" w:rsidRDefault="003E555B" w14:paraId="657E2DE3" w14:textId="77777777">
      <w:pPr>
        <w:pStyle w:val="Heading2"/>
      </w:pPr>
      <w:bookmarkStart w:name="_Toc88277970" w:id="91"/>
      <w:bookmarkStart w:name="_Toc33529737" w:id="92"/>
      <w:r w:rsidRPr="00424813">
        <w:t>A.18</w:t>
      </w:r>
      <w:r w:rsidRPr="00424813">
        <w:tab/>
      </w:r>
      <w:bookmarkEnd w:id="90"/>
      <w:r w:rsidRPr="00424813">
        <w:t>Exceptions to Certification for Paperwork Reduction Act Submissions</w:t>
      </w:r>
      <w:bookmarkEnd w:id="91"/>
      <w:bookmarkEnd w:id="92"/>
    </w:p>
    <w:p w:rsidRPr="00424813" w:rsidR="00B755DF" w:rsidP="001F5A6D" w:rsidRDefault="003E555B" w14:paraId="5D62BA38" w14:textId="4136DD91">
      <w:pPr>
        <w:pStyle w:val="bodytextpsg"/>
      </w:pPr>
      <w:r w:rsidRPr="00424813">
        <w:t>There are no exceptions to the certification</w:t>
      </w:r>
      <w:r w:rsidRPr="00424813" w:rsidR="00DF16C8">
        <w:t>.</w:t>
      </w:r>
      <w:bookmarkEnd w:id="1"/>
    </w:p>
    <w:p w:rsidRPr="00424813" w:rsidR="00B755DF" w:rsidP="00793B07" w:rsidRDefault="00B755DF" w14:paraId="13B9AABE" w14:textId="54190D8A">
      <w:pPr>
        <w:pStyle w:val="Heading1"/>
      </w:pPr>
      <w:bookmarkStart w:name="_Toc394481685" w:id="93"/>
      <w:bookmarkStart w:name="_Toc33529738" w:id="94"/>
      <w:r w:rsidRPr="00424813">
        <w:t>References</w:t>
      </w:r>
      <w:bookmarkEnd w:id="93"/>
      <w:bookmarkEnd w:id="94"/>
    </w:p>
    <w:p w:rsidR="00391298" w:rsidP="002662B7" w:rsidRDefault="00391298" w14:paraId="2DF6A571" w14:textId="2A9C2C54">
      <w:pPr>
        <w:pStyle w:val="biblio"/>
      </w:pPr>
      <w:proofErr w:type="spellStart"/>
      <w:r w:rsidRPr="00391298">
        <w:t>Ajzen</w:t>
      </w:r>
      <w:proofErr w:type="spellEnd"/>
      <w:r w:rsidRPr="00391298">
        <w:t>, I. 1991. The theory of planned behavior. Organizational Behavior and Human Decision Processes, 50(2), pp.179-211.</w:t>
      </w:r>
    </w:p>
    <w:p w:rsidRPr="00424813" w:rsidR="00B755DF" w:rsidP="002662B7" w:rsidRDefault="00B755DF" w14:paraId="54D808B9" w14:textId="058975DF">
      <w:pPr>
        <w:pStyle w:val="biblio"/>
      </w:pPr>
      <w:r w:rsidRPr="00424813">
        <w:t>Armstrong, J. Scott. 1975. Monetary Incentives in Mail Surveys. Public Opinion Quarterly, 39, pp. 111–116.</w:t>
      </w:r>
    </w:p>
    <w:p w:rsidRPr="00424813" w:rsidR="009C5AE4" w:rsidP="009C5AE4" w:rsidRDefault="009C5AE4" w14:paraId="7320D81E" w14:textId="77777777">
      <w:pPr>
        <w:pStyle w:val="biblio"/>
        <w:spacing w:after="0"/>
        <w:ind w:firstLine="0"/>
      </w:pPr>
    </w:p>
    <w:p w:rsidRPr="00424813" w:rsidR="00B755DF" w:rsidP="002662B7" w:rsidRDefault="00B755DF" w14:paraId="7ED388E7" w14:textId="77777777">
      <w:pPr>
        <w:pStyle w:val="biblio"/>
      </w:pPr>
      <w:r w:rsidRPr="00424813">
        <w:t xml:space="preserve">Baker, R., Blumberg, S., Brick, M., Couper, M., Courtright, M., Dennis, J. M., Dillman, D., Frankel, M., Garland, P., Groves, R., Kennedy, C., Krosnick, J. and </w:t>
      </w:r>
      <w:proofErr w:type="spellStart"/>
      <w:r w:rsidRPr="00424813">
        <w:t>Lavrakas</w:t>
      </w:r>
      <w:proofErr w:type="spellEnd"/>
      <w:r w:rsidRPr="00424813">
        <w:t>, P. 2010. AAPOR Report on Online Panels. Public Opinion Quarterly, 74 (4), pp.711–781.</w:t>
      </w:r>
    </w:p>
    <w:p w:rsidRPr="00424813" w:rsidR="00B755DF" w:rsidP="002662B7" w:rsidRDefault="00B755DF" w14:paraId="1438151C" w14:textId="6026E064">
      <w:pPr>
        <w:pStyle w:val="biblio"/>
      </w:pPr>
      <w:r w:rsidRPr="00424813">
        <w:t>Baumgartner, Robert and Pamela Rathbun (1997). Prepaid monetary incentives and mail survey response rates. Paper presented at AAPOR, Norfolk, VA</w:t>
      </w:r>
    </w:p>
    <w:p w:rsidRPr="00424813" w:rsidR="00C86464" w:rsidP="002662B7" w:rsidRDefault="00C86464" w14:paraId="468E8B25" w14:textId="77777777">
      <w:pPr>
        <w:pStyle w:val="biblio"/>
      </w:pPr>
      <w:r w:rsidRPr="00424813">
        <w:t xml:space="preserve">Bethlehem, J. (2002). Weighting Nonresponse Adjustments Based on Auxiliary Information. In </w:t>
      </w:r>
      <w:r w:rsidRPr="00424813">
        <w:rPr>
          <w:i/>
        </w:rPr>
        <w:t>Survey Nonresponse</w:t>
      </w:r>
      <w:r w:rsidRPr="00424813">
        <w:t xml:space="preserve">. R.M. Groves, D.A. </w:t>
      </w:r>
      <w:proofErr w:type="spellStart"/>
      <w:r w:rsidRPr="00424813">
        <w:t>Dillman</w:t>
      </w:r>
      <w:proofErr w:type="spellEnd"/>
      <w:r w:rsidRPr="00424813">
        <w:t xml:space="preserve">, J.L. </w:t>
      </w:r>
      <w:proofErr w:type="spellStart"/>
      <w:r w:rsidRPr="00424813">
        <w:t>Eltinge</w:t>
      </w:r>
      <w:proofErr w:type="spellEnd"/>
      <w:r w:rsidRPr="00424813">
        <w:t>, &amp; R.J.A. Little, eds. pp. 275-278. New York: John Wiley and Sons.</w:t>
      </w:r>
    </w:p>
    <w:p w:rsidRPr="00424813" w:rsidR="00C86464" w:rsidP="002662B7" w:rsidRDefault="00C86464" w14:paraId="657CD837" w14:textId="77777777">
      <w:pPr>
        <w:pStyle w:val="biblio"/>
      </w:pPr>
      <w:r w:rsidRPr="00424813">
        <w:t xml:space="preserve">Biemer, P. P., &amp; </w:t>
      </w:r>
      <w:proofErr w:type="spellStart"/>
      <w:r w:rsidRPr="00424813">
        <w:t>Lyberg</w:t>
      </w:r>
      <w:proofErr w:type="spellEnd"/>
      <w:r w:rsidRPr="00424813">
        <w:t xml:space="preserve">, L. (2003). </w:t>
      </w:r>
      <w:r w:rsidRPr="00424813">
        <w:rPr>
          <w:i/>
        </w:rPr>
        <w:t>Introduction to Survey Quality</w:t>
      </w:r>
      <w:r w:rsidRPr="00424813">
        <w:t>. Hoboken, NJ: Wiley.</w:t>
      </w:r>
    </w:p>
    <w:p w:rsidRPr="00424813" w:rsidR="00B755DF" w:rsidP="002662B7" w:rsidRDefault="00B755DF" w14:paraId="017FA4A7" w14:textId="560AE642">
      <w:pPr>
        <w:pStyle w:val="biblio"/>
      </w:pPr>
      <w:proofErr w:type="spellStart"/>
      <w:r w:rsidRPr="00424813">
        <w:t>Biner</w:t>
      </w:r>
      <w:proofErr w:type="spellEnd"/>
      <w:r w:rsidRPr="00424813">
        <w:t>, P. M. and Kidd, H. J., 1994. The Interactive Effects of Monetary Incentive Justification and Questionnaire Length on Mail Survey Response Rates. Psychology and Marketing 11:483–492.</w:t>
      </w:r>
    </w:p>
    <w:p w:rsidRPr="00424813" w:rsidR="00B755DF" w:rsidP="002662B7" w:rsidRDefault="00B755DF" w14:paraId="7CFC3E92" w14:textId="636FC055">
      <w:pPr>
        <w:pStyle w:val="biblio"/>
      </w:pPr>
      <w:r w:rsidRPr="00424813">
        <w:t>Clark, S. M. and Mack, S.P. 2009. SIPP 2008 Incentive Analysis.  Paper Presented at the Federal Committee on Statistical Methodology Research Conference, Washington, D.C.</w:t>
      </w:r>
    </w:p>
    <w:p w:rsidRPr="00424813" w:rsidR="00B755DF" w:rsidP="002662B7" w:rsidRDefault="00B755DF" w14:paraId="31E440F3" w14:textId="2FFB7BB8">
      <w:pPr>
        <w:pStyle w:val="biblio"/>
      </w:pPr>
      <w:r w:rsidRPr="00424813">
        <w:t>Creighton, K., King, K. and Martin, E. 2007. The Use of Monetary Incentives in Census Bureau Longitudinal Surveys. Survey Methodology Research Report Series N2007-2. Washington, DC: U.S. Census Bureau.</w:t>
      </w:r>
    </w:p>
    <w:p w:rsidRPr="00424813" w:rsidR="00B755DF" w:rsidP="002662B7" w:rsidRDefault="00B755DF" w14:paraId="1C9C6B2B" w14:textId="77777777">
      <w:pPr>
        <w:pStyle w:val="biblio"/>
      </w:pPr>
      <w:proofErr w:type="spellStart"/>
      <w:r w:rsidRPr="00424813">
        <w:t>Cunradi</w:t>
      </w:r>
      <w:proofErr w:type="spellEnd"/>
      <w:r w:rsidRPr="00424813">
        <w:t xml:space="preserve">, C. B., Moore, R., </w:t>
      </w:r>
      <w:proofErr w:type="spellStart"/>
      <w:r w:rsidRPr="00424813">
        <w:t>Killoran</w:t>
      </w:r>
      <w:proofErr w:type="spellEnd"/>
      <w:r w:rsidRPr="00424813">
        <w:t xml:space="preserve">, M., and Ames, G. 2005. Survey Nonresponse Bias among Young Adults: The Role of Alcohol, Tobacco, and Drugs. </w:t>
      </w:r>
      <w:proofErr w:type="spellStart"/>
      <w:r w:rsidRPr="00424813">
        <w:t>Subst</w:t>
      </w:r>
      <w:proofErr w:type="spellEnd"/>
      <w:r w:rsidRPr="00424813">
        <w:t xml:space="preserve"> Use Misuse 40(2): 171–85.</w:t>
      </w:r>
    </w:p>
    <w:p w:rsidRPr="00424813" w:rsidR="00B755DF" w:rsidP="002662B7" w:rsidRDefault="00B755DF" w14:paraId="37C80FA3" w14:textId="534D861D">
      <w:pPr>
        <w:pStyle w:val="biblio"/>
        <w:rPr>
          <w:lang w:val="en-GB"/>
        </w:rPr>
      </w:pPr>
      <w:proofErr w:type="spellStart"/>
      <w:r w:rsidRPr="00424813">
        <w:rPr>
          <w:lang w:val="en-GB"/>
        </w:rPr>
        <w:lastRenderedPageBreak/>
        <w:t>DeBell</w:t>
      </w:r>
      <w:proofErr w:type="spellEnd"/>
      <w:r w:rsidRPr="00424813">
        <w:rPr>
          <w:lang w:val="en-GB"/>
        </w:rPr>
        <w:t>, M.</w:t>
      </w:r>
      <w:r w:rsidRPr="00424813" w:rsidR="005C1AC8">
        <w:rPr>
          <w:lang w:val="en-GB"/>
        </w:rPr>
        <w:t>, Krosnick</w:t>
      </w:r>
      <w:r w:rsidRPr="00424813">
        <w:rPr>
          <w:lang w:val="en-GB"/>
        </w:rPr>
        <w:t xml:space="preserve">, J. and A.  </w:t>
      </w:r>
      <w:proofErr w:type="spellStart"/>
      <w:r w:rsidRPr="00424813">
        <w:rPr>
          <w:lang w:val="en-GB"/>
        </w:rPr>
        <w:t>Lupia</w:t>
      </w:r>
      <w:proofErr w:type="spellEnd"/>
      <w:r w:rsidRPr="00424813">
        <w:rPr>
          <w:lang w:val="en-GB"/>
        </w:rPr>
        <w:t xml:space="preserve"> 2010. Methodology Report and User’s Guide for the 2008-2009 ANES Panel Study.  Palo Alto, CA and Ann Arbor, MI: Stanford University and the University of Michigan.</w:t>
      </w:r>
    </w:p>
    <w:p w:rsidRPr="00424813" w:rsidR="00B755DF" w:rsidP="002662B7" w:rsidRDefault="00B755DF" w14:paraId="110CB0D7" w14:textId="43F86F8B">
      <w:pPr>
        <w:pStyle w:val="biblio"/>
      </w:pPr>
      <w:r w:rsidRPr="00424813">
        <w:t>Dillman, D. A. 2000. Mail and Internet Surveys: The Tailored Design Method, 2nd edition. New York: Wiley.</w:t>
      </w:r>
    </w:p>
    <w:p w:rsidRPr="00424813" w:rsidR="00B755DF" w:rsidP="002662B7" w:rsidRDefault="00B755DF" w14:paraId="2EE8ECAB" w14:textId="6781CAD1">
      <w:pPr>
        <w:pStyle w:val="biblio"/>
      </w:pPr>
      <w:r w:rsidRPr="00424813">
        <w:t>Dillman, D. A., 2007. Mail and Internet Surveys: The Tailored Design Method, 2</w:t>
      </w:r>
      <w:r w:rsidRPr="00424813">
        <w:rPr>
          <w:vertAlign w:val="superscript"/>
        </w:rPr>
        <w:t>nd</w:t>
      </w:r>
      <w:r w:rsidRPr="00424813">
        <w:t xml:space="preserve"> edition. 2007 Update with New Internet, Visual and Mixed-mode Guide.  New York: Wiley.</w:t>
      </w:r>
    </w:p>
    <w:p w:rsidRPr="00424813" w:rsidR="00C86464" w:rsidP="002662B7" w:rsidRDefault="00C86464" w14:paraId="38CC1751" w14:textId="77777777">
      <w:pPr>
        <w:pStyle w:val="biblio"/>
      </w:pPr>
      <w:r w:rsidRPr="00424813">
        <w:t xml:space="preserve">Folsom, R. E., &amp; Singh, A. C. (2000). The generalized exponential model for sampling weight calibration for extreme values, nonresponse, and poststratification. In </w:t>
      </w:r>
      <w:r w:rsidRPr="00424813">
        <w:rPr>
          <w:i/>
          <w:iCs/>
        </w:rPr>
        <w:t>Proceedings of the American Statistical Association, Survey Research Methods Section</w:t>
      </w:r>
      <w:r w:rsidRPr="00424813">
        <w:t>, pp. 598-603. Alexandria, VA: American Statistical Association.</w:t>
      </w:r>
    </w:p>
    <w:p w:rsidRPr="00424813" w:rsidR="00B755DF" w:rsidP="002662B7" w:rsidRDefault="00B755DF" w14:paraId="08A744F0" w14:textId="1CDD4494">
      <w:pPr>
        <w:pStyle w:val="biblio"/>
      </w:pPr>
      <w:r w:rsidRPr="00424813">
        <w:t xml:space="preserve">Fox, R.J., </w:t>
      </w:r>
      <w:proofErr w:type="spellStart"/>
      <w:r w:rsidRPr="00424813">
        <w:t>Crask</w:t>
      </w:r>
      <w:proofErr w:type="spellEnd"/>
      <w:r w:rsidRPr="00424813">
        <w:t>, M.R., and Kim, J. 1988. Mail Survey Response Rate: A Meta-analysis of Selected Techniques for Inducing Response. Public Opinion Quarterly, 52, 467–491.</w:t>
      </w:r>
    </w:p>
    <w:p w:rsidRPr="00424813" w:rsidR="00B755DF" w:rsidP="002662B7" w:rsidRDefault="00B755DF" w14:paraId="5B8A409D" w14:textId="6A128B4C">
      <w:pPr>
        <w:pStyle w:val="biblio"/>
      </w:pPr>
      <w:r w:rsidRPr="00424813">
        <w:t>Groves, R. M., Singer, E., and Corning, A. 2000. Leverage-Saliency Theory of Survey Participation - Description and an Illustration. Public Opinion Quarterly 64(3): 299–308.</w:t>
      </w:r>
    </w:p>
    <w:p w:rsidRPr="00424813" w:rsidR="00C86464" w:rsidP="002662B7" w:rsidRDefault="00C86464" w14:paraId="61DDAD03" w14:textId="77777777">
      <w:pPr>
        <w:pStyle w:val="biblio"/>
      </w:pPr>
      <w:r w:rsidRPr="00424813">
        <w:t xml:space="preserve">Groves, R., &amp; Peytcheva E. (2008). The impact of nonresponse rates on nonresponse bias: A meta-analysis. </w:t>
      </w:r>
      <w:r w:rsidRPr="00424813">
        <w:rPr>
          <w:i/>
        </w:rPr>
        <w:t>Public Opinion Quarterly</w:t>
      </w:r>
      <w:r w:rsidRPr="00424813">
        <w:t>, 72(2), 167-189.</w:t>
      </w:r>
    </w:p>
    <w:p w:rsidRPr="00424813" w:rsidR="00B755DF" w:rsidP="002662B7" w:rsidRDefault="00B755DF" w14:paraId="10432E19" w14:textId="7CF31F69">
      <w:pPr>
        <w:pStyle w:val="biblio"/>
      </w:pPr>
      <w:proofErr w:type="spellStart"/>
      <w:r w:rsidRPr="00424813">
        <w:t>Heberlein</w:t>
      </w:r>
      <w:proofErr w:type="spellEnd"/>
      <w:r w:rsidRPr="00424813">
        <w:t>, T. A. and Baumgartner, R. 1978.  Factors Affecting Response Rates to Mailed Questionnaires:  A Quantitative Analysis of the Published Literature.  American Sociological Review 3:447-62.</w:t>
      </w:r>
    </w:p>
    <w:p w:rsidRPr="00424813" w:rsidR="00B755DF" w:rsidP="002662B7" w:rsidRDefault="00B755DF" w14:paraId="7C4C3F08" w14:textId="54EB17AE">
      <w:pPr>
        <w:pStyle w:val="biblio"/>
      </w:pPr>
      <w:proofErr w:type="spellStart"/>
      <w:r w:rsidRPr="00424813">
        <w:t>Heberlein</w:t>
      </w:r>
      <w:proofErr w:type="spellEnd"/>
      <w:r w:rsidRPr="00424813">
        <w:t>, T. A. and Baumgartner, R. 1978.  Factors Affecting Response Rates to Mailed Questionnaires:  A Quantitative Analysis of the Published Literature.  American Sociological Review 3:447-62.</w:t>
      </w:r>
    </w:p>
    <w:p w:rsidRPr="00424813" w:rsidR="004818F3" w:rsidP="002662B7" w:rsidRDefault="004818F3" w14:paraId="6FC70F7F" w14:textId="77777777">
      <w:pPr>
        <w:pStyle w:val="biblio"/>
      </w:pPr>
      <w:r w:rsidRPr="00424813">
        <w:t xml:space="preserve">Iannacchione, V. G. (2011). The changing role of address-based sampling in survey research. </w:t>
      </w:r>
      <w:r w:rsidRPr="00424813">
        <w:rPr>
          <w:i/>
          <w:iCs/>
        </w:rPr>
        <w:t>Public Opinion Quarterly</w:t>
      </w:r>
      <w:r w:rsidRPr="00424813">
        <w:t xml:space="preserve">, </w:t>
      </w:r>
      <w:r w:rsidRPr="00424813">
        <w:rPr>
          <w:i/>
          <w:iCs/>
        </w:rPr>
        <w:t>75</w:t>
      </w:r>
      <w:r w:rsidRPr="00424813">
        <w:t>(3), 556–575.</w:t>
      </w:r>
    </w:p>
    <w:p w:rsidRPr="00424813" w:rsidR="00C86464" w:rsidP="002662B7" w:rsidRDefault="00C86464" w14:paraId="42AA7AF7" w14:textId="079F6609">
      <w:pPr>
        <w:pStyle w:val="biblio"/>
      </w:pPr>
      <w:r w:rsidRPr="00424813">
        <w:t>James, T. L. 1997. Results of Wave 1 Incentive Experiment in the 1996 Survey of Income and Program Participation. Proceedings of the Survey Research Methods Section of the American Statistical Association, pp.834–839.</w:t>
      </w:r>
    </w:p>
    <w:p w:rsidRPr="00424813" w:rsidR="00C86464" w:rsidP="002662B7" w:rsidRDefault="00C86464" w14:paraId="213C2B13" w14:textId="77777777">
      <w:pPr>
        <w:pStyle w:val="biblio"/>
      </w:pPr>
      <w:r w:rsidRPr="00424813">
        <w:t xml:space="preserve">Kish, L. (1965). </w:t>
      </w:r>
      <w:r w:rsidRPr="00424813">
        <w:rPr>
          <w:i/>
        </w:rPr>
        <w:t>Survey Sampling</w:t>
      </w:r>
      <w:r w:rsidRPr="00424813">
        <w:t>. New York: John Wiley and Sons.</w:t>
      </w:r>
    </w:p>
    <w:p w:rsidRPr="00424813" w:rsidR="00B755DF" w:rsidP="002662B7" w:rsidRDefault="00B755DF" w14:paraId="5CA1DF11" w14:textId="77777777">
      <w:pPr>
        <w:pStyle w:val="biblio"/>
      </w:pPr>
      <w:proofErr w:type="spellStart"/>
      <w:r w:rsidRPr="00424813">
        <w:t>Lanz</w:t>
      </w:r>
      <w:proofErr w:type="spellEnd"/>
      <w:r w:rsidRPr="00424813">
        <w:t>, P. M. 2003.  Smoking on the Rise among Young Adults:  Implications for Research and Policy.  Tobacco Control 12 (Suppl I): i60-i70.</w:t>
      </w:r>
    </w:p>
    <w:p w:rsidRPr="00424813" w:rsidR="00B755DF" w:rsidP="002662B7" w:rsidRDefault="00B755DF" w14:paraId="48F76D49" w14:textId="6F620740">
      <w:pPr>
        <w:pStyle w:val="biblio"/>
      </w:pPr>
      <w:proofErr w:type="spellStart"/>
      <w:r w:rsidRPr="00424813">
        <w:t>Lengacher</w:t>
      </w:r>
      <w:proofErr w:type="spellEnd"/>
      <w:r w:rsidRPr="00424813">
        <w:t xml:space="preserve">, J., Sullivan, C., Couper, M. P and R. Groves. 1995. Once Reluctant, Always Reluctant? Effects pf Differential </w:t>
      </w:r>
      <w:r w:rsidRPr="00424813" w:rsidR="005C1AC8">
        <w:t>Incentives</w:t>
      </w:r>
      <w:r w:rsidRPr="00424813">
        <w:t xml:space="preserve"> on Later Survey Participation in a Longitudinal Survey. Proceedings of the American Statistical Association, Survey Research Methods Section, p.1029–1034.</w:t>
      </w:r>
    </w:p>
    <w:p w:rsidRPr="00424813" w:rsidR="00B755DF" w:rsidP="002662B7" w:rsidRDefault="00B755DF" w14:paraId="572868C1" w14:textId="59584874">
      <w:pPr>
        <w:pStyle w:val="biblio"/>
      </w:pPr>
      <w:r w:rsidRPr="00424813">
        <w:lastRenderedPageBreak/>
        <w:t>Levine, S. and Gordon, G. 1958.  Maximizing Returns on Mail Questionnaires.  Public Opinion Quarterly, 22:568-75.</w:t>
      </w:r>
    </w:p>
    <w:p w:rsidRPr="00424813" w:rsidR="00C86464" w:rsidP="002662B7" w:rsidRDefault="00C86464" w14:paraId="444788C8" w14:textId="77777777">
      <w:pPr>
        <w:pStyle w:val="biblio"/>
      </w:pPr>
      <w:r w:rsidRPr="00424813">
        <w:t xml:space="preserve">Lin, I. F., &amp; Schaeffer, N. (1995). Using survey participants to estimate the impact of nonparticipation. </w:t>
      </w:r>
      <w:r w:rsidRPr="00424813">
        <w:rPr>
          <w:i/>
        </w:rPr>
        <w:t>Public Opinion Quarterly</w:t>
      </w:r>
      <w:r w:rsidRPr="00424813">
        <w:t>, 59, 236-258.</w:t>
      </w:r>
    </w:p>
    <w:p w:rsidRPr="00424813" w:rsidR="00B755DF" w:rsidP="002662B7" w:rsidRDefault="00B755DF" w14:paraId="0757443D" w14:textId="01311A47">
      <w:pPr>
        <w:pStyle w:val="biblio"/>
      </w:pPr>
      <w:proofErr w:type="spellStart"/>
      <w:r w:rsidRPr="00424813">
        <w:t>Linsky</w:t>
      </w:r>
      <w:proofErr w:type="spellEnd"/>
      <w:r w:rsidRPr="00424813">
        <w:t>, A. 1975. Stimulating Responses to Mailed Questionnaires: A Review. Public Opinion Quarterly, 39, pp. 82–101.</w:t>
      </w:r>
    </w:p>
    <w:p w:rsidRPr="00424813" w:rsidR="00B755DF" w:rsidP="002662B7" w:rsidRDefault="00B755DF" w14:paraId="1F040361" w14:textId="5874B822">
      <w:pPr>
        <w:pStyle w:val="biblio"/>
      </w:pPr>
      <w:r w:rsidRPr="00424813">
        <w:t xml:space="preserve">Mack, S., Huggins, V., </w:t>
      </w:r>
      <w:proofErr w:type="spellStart"/>
      <w:r w:rsidRPr="00424813">
        <w:t>Keathley</w:t>
      </w:r>
      <w:proofErr w:type="spellEnd"/>
      <w:r w:rsidRPr="00424813">
        <w:t xml:space="preserve">, D. and </w:t>
      </w:r>
      <w:proofErr w:type="spellStart"/>
      <w:r w:rsidRPr="00424813">
        <w:t>Sundukchi</w:t>
      </w:r>
      <w:proofErr w:type="spellEnd"/>
      <w:r w:rsidRPr="00424813">
        <w:t>, M. 1998. Do Monetary Incentives Improve Response Rates in the Survey of Income and Program Participation? Proceedings of the American Statistical Association, Survey Research Methods Section, 529–534.</w:t>
      </w:r>
    </w:p>
    <w:p w:rsidRPr="00424813" w:rsidR="00B755DF" w:rsidP="002662B7" w:rsidRDefault="00B755DF" w14:paraId="78025270" w14:textId="77777777">
      <w:pPr>
        <w:pStyle w:val="biblio"/>
      </w:pPr>
      <w:r w:rsidRPr="00424813">
        <w:t>McMichael, J., Ridenhour, J., &amp; Shook-Sa, B. 2008. A robust procedure to supplement the coverage of address-based sampling frames for household surveys. Proceedings of the American Statistical Association, Section on Survey Research Methods, 4329–4335.</w:t>
      </w:r>
    </w:p>
    <w:p w:rsidR="00544BFC" w:rsidP="00544BFC" w:rsidRDefault="00544BFC" w14:paraId="3F95F37A" w14:textId="134D8CC6">
      <w:pPr>
        <w:spacing w:after="240"/>
        <w:ind w:left="720" w:hanging="720"/>
      </w:pPr>
      <w:r>
        <w:t xml:space="preserve">Peytcheva, E., &amp; Groves, R. M. (2009). Using variation in response rates of demographic subgroups as evidence of nonresponse bias in survey estimates. </w:t>
      </w:r>
      <w:r>
        <w:rPr>
          <w:i/>
          <w:iCs/>
        </w:rPr>
        <w:t>Journal of Official Statistics, 25</w:t>
      </w:r>
      <w:r>
        <w:t>(2), 193–201.</w:t>
      </w:r>
    </w:p>
    <w:p w:rsidRPr="00424813" w:rsidR="00B755DF" w:rsidP="00A42067" w:rsidRDefault="00B755DF" w14:paraId="3EE1B837" w14:textId="27B64FF3">
      <w:pPr>
        <w:pStyle w:val="biblio"/>
      </w:pPr>
      <w:r w:rsidRPr="00424813">
        <w:t xml:space="preserve">Poynter, R. and P. </w:t>
      </w:r>
      <w:proofErr w:type="spellStart"/>
      <w:r w:rsidRPr="00424813">
        <w:t>Comley</w:t>
      </w:r>
      <w:proofErr w:type="spellEnd"/>
      <w:r w:rsidRPr="00424813">
        <w:t xml:space="preserve">. 2003. </w:t>
      </w:r>
      <w:proofErr w:type="spellStart"/>
      <w:r w:rsidRPr="00424813">
        <w:t>Beyong</w:t>
      </w:r>
      <w:proofErr w:type="spellEnd"/>
      <w:r w:rsidRPr="00424813">
        <w:t xml:space="preserve"> Online Panels. Proceedings of the ESOMAR </w:t>
      </w:r>
      <w:proofErr w:type="spellStart"/>
      <w:r w:rsidRPr="00424813">
        <w:t>Technovate</w:t>
      </w:r>
      <w:proofErr w:type="spellEnd"/>
      <w:r w:rsidRPr="00424813">
        <w:t xml:space="preserve"> Conference. Amsterdam: ESOMAR.</w:t>
      </w:r>
    </w:p>
    <w:p w:rsidRPr="00424813" w:rsidR="00B755DF" w:rsidP="002662B7" w:rsidRDefault="00B755DF" w14:paraId="7464F9DC" w14:textId="15B9D6CD">
      <w:pPr>
        <w:pStyle w:val="biblio"/>
      </w:pPr>
      <w:r w:rsidRPr="00424813">
        <w:t>Rodgers, W. 2002. Size of Incentive Effects in a Longitudinal Study. Proceedings of the American Association for Public Research 2002: Strengthening Our Community - Section on Survey Research Methods.</w:t>
      </w:r>
    </w:p>
    <w:p w:rsidRPr="00424813" w:rsidR="00B755DF" w:rsidP="002662B7" w:rsidRDefault="00B755DF" w14:paraId="60D262A2" w14:textId="77777777">
      <w:pPr>
        <w:pStyle w:val="biblio"/>
      </w:pPr>
      <w:r w:rsidRPr="00424813">
        <w:t>RTI, 2010, SUDAAN Release 10.</w:t>
      </w:r>
    </w:p>
    <w:p w:rsidRPr="00424813" w:rsidR="00B755DF" w:rsidP="002662B7" w:rsidRDefault="00B755DF" w14:paraId="021EC87B" w14:textId="77777777">
      <w:pPr>
        <w:pStyle w:val="biblio"/>
      </w:pPr>
      <w:r w:rsidRPr="00424813">
        <w:t xml:space="preserve">Schiller, J. S., Lucas, J. W., </w:t>
      </w:r>
      <w:proofErr w:type="spellStart"/>
      <w:r w:rsidRPr="00424813">
        <w:t>Peregoy</w:t>
      </w:r>
      <w:proofErr w:type="spellEnd"/>
      <w:r w:rsidRPr="00424813">
        <w:t>, J.A. 2012. Summary health statistics for U.S. adults: National Health Interview Survey, 2011. National Center for Health Statistics. Vital Health Stat 10(256).</w:t>
      </w:r>
    </w:p>
    <w:p w:rsidRPr="00424813" w:rsidR="00B755DF" w:rsidP="002662B7" w:rsidRDefault="00B755DF" w14:paraId="71FDD22D" w14:textId="77777777">
      <w:pPr>
        <w:pStyle w:val="biblio"/>
      </w:pPr>
      <w:r w:rsidRPr="00424813">
        <w:t xml:space="preserve">Seltzer, C. C., R. </w:t>
      </w:r>
      <w:proofErr w:type="spellStart"/>
      <w:r w:rsidRPr="00424813">
        <w:t>Bosse</w:t>
      </w:r>
      <w:proofErr w:type="spellEnd"/>
      <w:r w:rsidRPr="00424813">
        <w:t xml:space="preserve"> and A. J. Garvey 1974. Mail Survey Response by Smoking Status. American Journal of Epidemiology 100(6): 453–457.</w:t>
      </w:r>
    </w:p>
    <w:p w:rsidRPr="00424813" w:rsidR="00B755DF" w:rsidP="002662B7" w:rsidRDefault="00B755DF" w14:paraId="3174EABB" w14:textId="4B04D670">
      <w:pPr>
        <w:pStyle w:val="biblio"/>
      </w:pPr>
      <w:r w:rsidRPr="00424813">
        <w:t xml:space="preserve">Singer, E., Van </w:t>
      </w:r>
      <w:proofErr w:type="spellStart"/>
      <w:r w:rsidRPr="00424813">
        <w:t>Hoewyk</w:t>
      </w:r>
      <w:proofErr w:type="spellEnd"/>
      <w:r w:rsidRPr="00424813">
        <w:t xml:space="preserve">, J. and Maher, M. P. 1998. Does the Payment of </w:t>
      </w:r>
      <w:r w:rsidRPr="00424813" w:rsidR="005C1AC8">
        <w:t>Incentives</w:t>
      </w:r>
      <w:r w:rsidRPr="00424813">
        <w:t xml:space="preserve"> Create Expectation Effects? Public Opinion Quarterly, 62: 152–64.</w:t>
      </w:r>
    </w:p>
    <w:p w:rsidRPr="00424813" w:rsidR="00CC5592" w:rsidP="00CC5592" w:rsidRDefault="00CC5592" w14:paraId="49DF07F3" w14:textId="3BD87FA5">
      <w:pPr>
        <w:pStyle w:val="biblio"/>
        <w:spacing w:after="0"/>
      </w:pPr>
      <w:r w:rsidRPr="00424813">
        <w:t>TUS-CPS, 2010-2011. Public Use Dataset updated May 2011;</w:t>
      </w:r>
    </w:p>
    <w:p w:rsidRPr="00424813" w:rsidR="00CC5592" w:rsidP="00CC5592" w:rsidRDefault="00326A2E" w14:paraId="4D022BD2" w14:textId="5B7A3989">
      <w:pPr>
        <w:pStyle w:val="biblio"/>
        <w:spacing w:after="0"/>
        <w:ind w:firstLine="0"/>
      </w:pPr>
      <w:hyperlink w:history="1" w:anchor="cpssupps" r:id="rId14">
        <w:r w:rsidRPr="00424813" w:rsidR="00CC5592">
          <w:rPr>
            <w:rStyle w:val="Hyperlink"/>
          </w:rPr>
          <w:t>http://thedataweb.rm.census.gov/ftp/cps_ftp.html#cpssupps</w:t>
        </w:r>
      </w:hyperlink>
      <w:r w:rsidRPr="00424813" w:rsidR="00696F12">
        <w:t>.</w:t>
      </w:r>
    </w:p>
    <w:p w:rsidRPr="00424813" w:rsidR="00CC5592" w:rsidP="00CC5592" w:rsidRDefault="00CC5592" w14:paraId="52CCF44E" w14:textId="77777777">
      <w:pPr>
        <w:pStyle w:val="biblio"/>
        <w:spacing w:after="0"/>
        <w:ind w:firstLine="0"/>
      </w:pPr>
    </w:p>
    <w:p w:rsidRPr="00424813" w:rsidR="00B755DF" w:rsidP="002662B7" w:rsidRDefault="00B755DF" w14:paraId="6D5DE55E" w14:textId="4C9F488B">
      <w:pPr>
        <w:pStyle w:val="biblio"/>
      </w:pPr>
      <w:r w:rsidRPr="00424813">
        <w:t xml:space="preserve">U.S. Census Bureau 2013. Computer and Internet Use in the United States. U.S. Census Bureau publication P20-569. </w:t>
      </w:r>
      <w:hyperlink w:history="1" r:id="rId15">
        <w:r w:rsidRPr="00424813" w:rsidR="00CC5592">
          <w:rPr>
            <w:rStyle w:val="Hyperlink"/>
          </w:rPr>
          <w:t>http://www.census.gov/prod/2013pubs/p20-569.pdf</w:t>
        </w:r>
      </w:hyperlink>
    </w:p>
    <w:p w:rsidRPr="00424813" w:rsidR="00B755DF" w:rsidP="002662B7" w:rsidRDefault="00B755DF" w14:paraId="46353465" w14:textId="77777777">
      <w:pPr>
        <w:pStyle w:val="biblio"/>
      </w:pPr>
      <w:proofErr w:type="spellStart"/>
      <w:r w:rsidRPr="00424813">
        <w:lastRenderedPageBreak/>
        <w:t>Vestbo</w:t>
      </w:r>
      <w:proofErr w:type="spellEnd"/>
      <w:r w:rsidRPr="00424813">
        <w:t>, J. and Rasmussen, F. V. 1992. Baseline Characteristics Are Not Sufficient Indicators of Non-Response Bias Follow up Studies. Journal of Epidemiology and Community Health 46(6): 617–619.</w:t>
      </w:r>
    </w:p>
    <w:p w:rsidRPr="00424813" w:rsidR="00B755DF" w:rsidP="002662B7" w:rsidRDefault="00B755DF" w14:paraId="764580D7" w14:textId="7B9E8506">
      <w:pPr>
        <w:pStyle w:val="biblio"/>
      </w:pPr>
      <w:r w:rsidRPr="00424813">
        <w:t>Yu, J. and H. Cooper, 1983. A Quantitative Review of Research Design Effects on Response Rates to Questionnaires.  Journal of Marketing Research 20: 36-44.</w:t>
      </w:r>
    </w:p>
    <w:p w:rsidR="001B14E0" w:rsidP="001B14E0" w:rsidRDefault="001B14E0" w14:paraId="4D8822B8" w14:textId="77777777">
      <w:pPr>
        <w:ind w:left="720" w:hanging="720"/>
      </w:pPr>
      <w:proofErr w:type="spellStart"/>
      <w:r w:rsidRPr="00F61874">
        <w:t>Zickuhr</w:t>
      </w:r>
      <w:proofErr w:type="spellEnd"/>
      <w:r w:rsidRPr="00F61874">
        <w:t>, K. 2013. Who’s not Online and Why. Washington, DC: Pew Research Center; </w:t>
      </w:r>
      <w:hyperlink w:history="1" r:id="rId16">
        <w:r w:rsidRPr="00F61874">
          <w:rPr>
            <w:color w:val="0000FF"/>
            <w:u w:val="single"/>
          </w:rPr>
          <w:t>http://www.pewinternet.org/2013/09/25/whos-not-online-and-why/</w:t>
        </w:r>
      </w:hyperlink>
    </w:p>
    <w:p w:rsidR="001B14E0" w:rsidRDefault="001B14E0" w14:paraId="5F6D9C3F" w14:textId="77777777">
      <w:pPr>
        <w:rPr>
          <w:rFonts w:ascii="Arial Black" w:hAnsi="Arial Black"/>
          <w:snapToGrid w:val="0"/>
          <w:sz w:val="22"/>
          <w:szCs w:val="22"/>
        </w:rPr>
      </w:pPr>
      <w:bookmarkStart w:name="_Toc494460249" w:id="95"/>
      <w:r>
        <w:br w:type="page"/>
      </w:r>
    </w:p>
    <w:p w:rsidR="00C27769" w:rsidP="004E4DF5" w:rsidRDefault="00C27769" w14:paraId="22B5B2D1" w14:textId="61E66996">
      <w:pPr>
        <w:pStyle w:val="Heading1"/>
        <w:jc w:val="center"/>
      </w:pPr>
      <w:bookmarkStart w:name="_Toc33529739" w:id="96"/>
      <w:r w:rsidRPr="00E2670C">
        <w:lastRenderedPageBreak/>
        <w:t>Appendix A. Demographic Profile of Established Panel</w:t>
      </w:r>
      <w:bookmarkEnd w:id="95"/>
      <w:bookmarkEnd w:id="96"/>
    </w:p>
    <w:tbl>
      <w:tblPr>
        <w:tblStyle w:val="TableGrid"/>
        <w:tblW w:w="9450" w:type="dxa"/>
        <w:tblLayout w:type="fixed"/>
        <w:tblLook w:val="04A0" w:firstRow="1" w:lastRow="0" w:firstColumn="1" w:lastColumn="0" w:noHBand="0" w:noVBand="1"/>
      </w:tblPr>
      <w:tblGrid>
        <w:gridCol w:w="5400"/>
        <w:gridCol w:w="1980"/>
        <w:gridCol w:w="2070"/>
      </w:tblGrid>
      <w:tr w:rsidRPr="00535397" w:rsidR="00C27769" w:rsidTr="005D4467" w14:paraId="552730E8" w14:textId="77777777">
        <w:tc>
          <w:tcPr>
            <w:tcW w:w="5400" w:type="dxa"/>
          </w:tcPr>
          <w:p w:rsidRPr="00535397" w:rsidR="00C27769" w:rsidP="005D4467" w:rsidRDefault="00C27769" w14:paraId="2F99CD13" w14:textId="77777777">
            <w:pPr>
              <w:pStyle w:val="TableHeaders"/>
              <w:rPr>
                <w:szCs w:val="22"/>
              </w:rPr>
            </w:pPr>
            <w:proofErr w:type="spellStart"/>
            <w:r w:rsidRPr="00535397">
              <w:rPr>
                <w:szCs w:val="22"/>
              </w:rPr>
              <w:t>Characteristic</w:t>
            </w:r>
            <w:r w:rsidRPr="00535397">
              <w:rPr>
                <w:szCs w:val="22"/>
                <w:vertAlign w:val="superscript"/>
              </w:rPr>
              <w:t>a</w:t>
            </w:r>
            <w:proofErr w:type="spellEnd"/>
          </w:p>
        </w:tc>
        <w:tc>
          <w:tcPr>
            <w:tcW w:w="1980" w:type="dxa"/>
          </w:tcPr>
          <w:p w:rsidRPr="00535397" w:rsidR="00C27769" w:rsidP="005D4467" w:rsidRDefault="00C27769" w14:paraId="3A5D20E1" w14:textId="77777777">
            <w:pPr>
              <w:pStyle w:val="TableHeaders"/>
              <w:rPr>
                <w:szCs w:val="22"/>
              </w:rPr>
            </w:pPr>
            <w:r w:rsidRPr="00535397">
              <w:rPr>
                <w:szCs w:val="22"/>
              </w:rPr>
              <w:t>N</w:t>
            </w:r>
          </w:p>
        </w:tc>
        <w:tc>
          <w:tcPr>
            <w:tcW w:w="2070" w:type="dxa"/>
          </w:tcPr>
          <w:p w:rsidRPr="00535397" w:rsidR="00C27769" w:rsidP="005D4467" w:rsidRDefault="00C27769" w14:paraId="21C31C73" w14:textId="77777777">
            <w:pPr>
              <w:pStyle w:val="TableHeaders"/>
              <w:rPr>
                <w:szCs w:val="22"/>
              </w:rPr>
            </w:pPr>
            <w:r w:rsidRPr="00535397">
              <w:rPr>
                <w:szCs w:val="22"/>
              </w:rPr>
              <w:t>Percentage</w:t>
            </w:r>
          </w:p>
        </w:tc>
      </w:tr>
      <w:tr w:rsidRPr="00535397" w:rsidR="00C27769" w:rsidTr="005D4467" w14:paraId="7D6BD767" w14:textId="77777777">
        <w:tc>
          <w:tcPr>
            <w:tcW w:w="5400" w:type="dxa"/>
          </w:tcPr>
          <w:p w:rsidRPr="00535397" w:rsidR="00C27769" w:rsidP="005D4467" w:rsidRDefault="00C27769" w14:paraId="5B8C18E9" w14:textId="77777777">
            <w:pPr>
              <w:pStyle w:val="Tabletext-1"/>
              <w:keepNext/>
              <w:ind w:left="0"/>
              <w:rPr>
                <w:rFonts w:ascii="Times New Roman" w:hAnsi="Times New Roman" w:cs="Times New Roman"/>
                <w:b/>
                <w:sz w:val="22"/>
                <w:szCs w:val="22"/>
              </w:rPr>
            </w:pPr>
            <w:r w:rsidRPr="00535397">
              <w:rPr>
                <w:rFonts w:ascii="Times New Roman" w:hAnsi="Times New Roman" w:cs="Times New Roman"/>
                <w:b/>
                <w:sz w:val="22"/>
                <w:szCs w:val="22"/>
              </w:rPr>
              <w:t xml:space="preserve">Total Enrolled in </w:t>
            </w:r>
            <w:proofErr w:type="spellStart"/>
            <w:r w:rsidRPr="00535397">
              <w:rPr>
                <w:rFonts w:ascii="Times New Roman" w:hAnsi="Times New Roman" w:cs="Times New Roman"/>
                <w:b/>
                <w:sz w:val="22"/>
                <w:szCs w:val="22"/>
              </w:rPr>
              <w:t>Panel</w:t>
            </w:r>
            <w:r w:rsidRPr="00535397">
              <w:rPr>
                <w:rFonts w:ascii="Times New Roman" w:hAnsi="Times New Roman" w:cs="Times New Roman"/>
                <w:b/>
                <w:sz w:val="22"/>
                <w:szCs w:val="22"/>
                <w:vertAlign w:val="superscript"/>
              </w:rPr>
              <w:t>b</w:t>
            </w:r>
            <w:proofErr w:type="spellEnd"/>
          </w:p>
        </w:tc>
        <w:tc>
          <w:tcPr>
            <w:tcW w:w="1980" w:type="dxa"/>
          </w:tcPr>
          <w:p w:rsidRPr="00535397" w:rsidR="00C27769" w:rsidP="005D4467" w:rsidRDefault="00C27769" w14:paraId="28A47A50" w14:textId="77777777">
            <w:pPr>
              <w:pStyle w:val="Tabletext"/>
              <w:keepNext/>
              <w:jc w:val="center"/>
              <w:rPr>
                <w:szCs w:val="22"/>
              </w:rPr>
            </w:pPr>
            <w:r w:rsidRPr="00535397">
              <w:rPr>
                <w:szCs w:val="22"/>
              </w:rPr>
              <w:t>3,893</w:t>
            </w:r>
          </w:p>
        </w:tc>
        <w:tc>
          <w:tcPr>
            <w:tcW w:w="2070" w:type="dxa"/>
          </w:tcPr>
          <w:p w:rsidRPr="00535397" w:rsidR="00C27769" w:rsidP="005D4467" w:rsidRDefault="00C27769" w14:paraId="48F51678" w14:textId="77777777">
            <w:pPr>
              <w:pStyle w:val="Tabletext"/>
              <w:keepNext/>
              <w:jc w:val="center"/>
              <w:rPr>
                <w:szCs w:val="22"/>
              </w:rPr>
            </w:pPr>
            <w:r w:rsidRPr="00535397">
              <w:rPr>
                <w:szCs w:val="22"/>
              </w:rPr>
              <w:t>100.0%</w:t>
            </w:r>
          </w:p>
        </w:tc>
      </w:tr>
      <w:tr w:rsidRPr="00535397" w:rsidR="00C27769" w:rsidTr="005D4467" w14:paraId="29FB6E4F" w14:textId="77777777">
        <w:tc>
          <w:tcPr>
            <w:tcW w:w="9450" w:type="dxa"/>
            <w:gridSpan w:val="3"/>
          </w:tcPr>
          <w:p w:rsidRPr="00535397" w:rsidR="00C27769" w:rsidP="005D4467" w:rsidRDefault="00C27769" w14:paraId="2D337425" w14:textId="77777777">
            <w:pPr>
              <w:pStyle w:val="Tabletext"/>
              <w:keepNext/>
              <w:rPr>
                <w:szCs w:val="22"/>
              </w:rPr>
            </w:pPr>
            <w:r w:rsidRPr="00535397">
              <w:rPr>
                <w:b/>
                <w:bCs/>
                <w:szCs w:val="22"/>
              </w:rPr>
              <w:t>Age</w:t>
            </w:r>
          </w:p>
        </w:tc>
      </w:tr>
      <w:tr w:rsidRPr="00535397" w:rsidR="00C27769" w:rsidTr="005D4467" w14:paraId="55BC7DA4" w14:textId="77777777">
        <w:tc>
          <w:tcPr>
            <w:tcW w:w="5400" w:type="dxa"/>
          </w:tcPr>
          <w:p w:rsidRPr="00535397" w:rsidR="00C27769" w:rsidP="005D4467" w:rsidRDefault="00C27769" w14:paraId="2DC38F63" w14:textId="77777777">
            <w:pPr>
              <w:pStyle w:val="Tabletext-1"/>
              <w:keepNext/>
              <w:rPr>
                <w:rFonts w:ascii="Times New Roman" w:hAnsi="Times New Roman" w:cs="Times New Roman"/>
                <w:sz w:val="22"/>
                <w:szCs w:val="22"/>
              </w:rPr>
            </w:pPr>
            <w:r w:rsidRPr="00535397">
              <w:rPr>
                <w:rFonts w:ascii="Times New Roman" w:hAnsi="Times New Roman" w:cs="Times New Roman"/>
                <w:sz w:val="22"/>
                <w:szCs w:val="22"/>
              </w:rPr>
              <w:t>18–25</w:t>
            </w:r>
          </w:p>
        </w:tc>
        <w:tc>
          <w:tcPr>
            <w:tcW w:w="1980" w:type="dxa"/>
          </w:tcPr>
          <w:p w:rsidRPr="00535397" w:rsidR="00C27769" w:rsidP="005D4467" w:rsidRDefault="00C27769" w14:paraId="426095C4" w14:textId="77777777">
            <w:pPr>
              <w:pStyle w:val="Tabletext"/>
              <w:keepNext/>
              <w:jc w:val="center"/>
              <w:rPr>
                <w:szCs w:val="22"/>
              </w:rPr>
            </w:pPr>
            <w:r w:rsidRPr="00535397">
              <w:rPr>
                <w:szCs w:val="22"/>
              </w:rPr>
              <w:t>883</w:t>
            </w:r>
          </w:p>
        </w:tc>
        <w:tc>
          <w:tcPr>
            <w:tcW w:w="2070" w:type="dxa"/>
          </w:tcPr>
          <w:p w:rsidRPr="00535397" w:rsidR="00C27769" w:rsidP="005D4467" w:rsidRDefault="00C27769" w14:paraId="0E5E6104" w14:textId="77777777">
            <w:pPr>
              <w:pStyle w:val="Tabletext"/>
              <w:keepNext/>
              <w:jc w:val="center"/>
              <w:rPr>
                <w:szCs w:val="22"/>
              </w:rPr>
            </w:pPr>
            <w:r w:rsidRPr="00535397">
              <w:rPr>
                <w:szCs w:val="22"/>
              </w:rPr>
              <w:t>22.7%</w:t>
            </w:r>
          </w:p>
        </w:tc>
      </w:tr>
      <w:tr w:rsidRPr="00535397" w:rsidR="00C27769" w:rsidTr="005D4467" w14:paraId="4075B37D" w14:textId="77777777">
        <w:tc>
          <w:tcPr>
            <w:tcW w:w="5400" w:type="dxa"/>
          </w:tcPr>
          <w:p w:rsidRPr="00535397" w:rsidR="00C27769" w:rsidP="005D4467" w:rsidRDefault="00C27769" w14:paraId="3B2CD658" w14:textId="77777777">
            <w:pPr>
              <w:pStyle w:val="Tabletext-1"/>
              <w:keepNext/>
              <w:rPr>
                <w:rFonts w:ascii="Times New Roman" w:hAnsi="Times New Roman" w:cs="Times New Roman"/>
                <w:sz w:val="22"/>
                <w:szCs w:val="22"/>
              </w:rPr>
            </w:pPr>
            <w:r w:rsidRPr="00535397">
              <w:rPr>
                <w:rFonts w:ascii="Times New Roman" w:hAnsi="Times New Roman" w:cs="Times New Roman"/>
                <w:sz w:val="22"/>
                <w:szCs w:val="22"/>
              </w:rPr>
              <w:t>26–34</w:t>
            </w:r>
          </w:p>
        </w:tc>
        <w:tc>
          <w:tcPr>
            <w:tcW w:w="1980" w:type="dxa"/>
          </w:tcPr>
          <w:p w:rsidRPr="00535397" w:rsidR="00C27769" w:rsidP="005D4467" w:rsidRDefault="00C27769" w14:paraId="4227B8AC" w14:textId="77777777">
            <w:pPr>
              <w:pStyle w:val="Tabletext"/>
              <w:keepNext/>
              <w:jc w:val="center"/>
              <w:rPr>
                <w:szCs w:val="22"/>
              </w:rPr>
            </w:pPr>
            <w:r w:rsidRPr="00535397">
              <w:rPr>
                <w:szCs w:val="22"/>
              </w:rPr>
              <w:t>724</w:t>
            </w:r>
          </w:p>
        </w:tc>
        <w:tc>
          <w:tcPr>
            <w:tcW w:w="2070" w:type="dxa"/>
          </w:tcPr>
          <w:p w:rsidRPr="00535397" w:rsidR="00C27769" w:rsidP="005D4467" w:rsidRDefault="00C27769" w14:paraId="08E47C00" w14:textId="77777777">
            <w:pPr>
              <w:pStyle w:val="Tabletext"/>
              <w:keepNext/>
              <w:jc w:val="center"/>
              <w:rPr>
                <w:szCs w:val="22"/>
              </w:rPr>
            </w:pPr>
            <w:r w:rsidRPr="00535397">
              <w:rPr>
                <w:szCs w:val="22"/>
              </w:rPr>
              <w:t>18.6%</w:t>
            </w:r>
          </w:p>
        </w:tc>
      </w:tr>
      <w:tr w:rsidRPr="00535397" w:rsidR="00C27769" w:rsidTr="005D4467" w14:paraId="183BFC22" w14:textId="77777777">
        <w:tc>
          <w:tcPr>
            <w:tcW w:w="5400" w:type="dxa"/>
          </w:tcPr>
          <w:p w:rsidRPr="00535397" w:rsidR="00C27769" w:rsidP="005D4467" w:rsidRDefault="00C27769" w14:paraId="7E7391AE"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35–49</w:t>
            </w:r>
          </w:p>
        </w:tc>
        <w:tc>
          <w:tcPr>
            <w:tcW w:w="1980" w:type="dxa"/>
          </w:tcPr>
          <w:p w:rsidRPr="00535397" w:rsidR="00C27769" w:rsidP="005D4467" w:rsidRDefault="00C27769" w14:paraId="32A8C728" w14:textId="77777777">
            <w:pPr>
              <w:pStyle w:val="Tabletext"/>
              <w:jc w:val="center"/>
              <w:rPr>
                <w:szCs w:val="22"/>
              </w:rPr>
            </w:pPr>
            <w:r w:rsidRPr="00535397">
              <w:rPr>
                <w:szCs w:val="22"/>
              </w:rPr>
              <w:t>1,002</w:t>
            </w:r>
          </w:p>
        </w:tc>
        <w:tc>
          <w:tcPr>
            <w:tcW w:w="2070" w:type="dxa"/>
          </w:tcPr>
          <w:p w:rsidRPr="00535397" w:rsidR="00C27769" w:rsidP="005D4467" w:rsidRDefault="00C27769" w14:paraId="0FED289E" w14:textId="77777777">
            <w:pPr>
              <w:pStyle w:val="Tabletext"/>
              <w:jc w:val="center"/>
              <w:rPr>
                <w:szCs w:val="22"/>
              </w:rPr>
            </w:pPr>
            <w:r w:rsidRPr="00535397">
              <w:rPr>
                <w:szCs w:val="22"/>
              </w:rPr>
              <w:t>25.7%</w:t>
            </w:r>
          </w:p>
        </w:tc>
      </w:tr>
      <w:tr w:rsidRPr="00535397" w:rsidR="00C27769" w:rsidTr="005D4467" w14:paraId="3767C37B" w14:textId="77777777">
        <w:tc>
          <w:tcPr>
            <w:tcW w:w="5400" w:type="dxa"/>
          </w:tcPr>
          <w:p w:rsidRPr="00535397" w:rsidR="00C27769" w:rsidP="005D4467" w:rsidRDefault="00C27769" w14:paraId="504469CF"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50–74</w:t>
            </w:r>
          </w:p>
        </w:tc>
        <w:tc>
          <w:tcPr>
            <w:tcW w:w="1980" w:type="dxa"/>
          </w:tcPr>
          <w:p w:rsidRPr="00535397" w:rsidR="00C27769" w:rsidP="005D4467" w:rsidRDefault="00C27769" w14:paraId="6B9C12A6" w14:textId="77777777">
            <w:pPr>
              <w:pStyle w:val="Tabletext"/>
              <w:jc w:val="center"/>
              <w:rPr>
                <w:szCs w:val="22"/>
              </w:rPr>
            </w:pPr>
            <w:r w:rsidRPr="00535397">
              <w:rPr>
                <w:szCs w:val="22"/>
              </w:rPr>
              <w:t>1,200</w:t>
            </w:r>
          </w:p>
        </w:tc>
        <w:tc>
          <w:tcPr>
            <w:tcW w:w="2070" w:type="dxa"/>
          </w:tcPr>
          <w:p w:rsidRPr="00535397" w:rsidR="00C27769" w:rsidP="005D4467" w:rsidRDefault="00C27769" w14:paraId="5D844C16" w14:textId="77777777">
            <w:pPr>
              <w:pStyle w:val="Tabletext"/>
              <w:jc w:val="center"/>
              <w:rPr>
                <w:szCs w:val="22"/>
              </w:rPr>
            </w:pPr>
            <w:r w:rsidRPr="00535397">
              <w:rPr>
                <w:szCs w:val="22"/>
              </w:rPr>
              <w:t>30.8%</w:t>
            </w:r>
          </w:p>
        </w:tc>
      </w:tr>
      <w:tr w:rsidRPr="00535397" w:rsidR="00C27769" w:rsidTr="005D4467" w14:paraId="49F8C2B6" w14:textId="77777777">
        <w:tc>
          <w:tcPr>
            <w:tcW w:w="5400" w:type="dxa"/>
          </w:tcPr>
          <w:p w:rsidRPr="00535397" w:rsidR="00C27769" w:rsidP="005D4467" w:rsidRDefault="00C27769" w14:paraId="22C31735"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75 or older</w:t>
            </w:r>
          </w:p>
        </w:tc>
        <w:tc>
          <w:tcPr>
            <w:tcW w:w="1980" w:type="dxa"/>
          </w:tcPr>
          <w:p w:rsidRPr="00535397" w:rsidR="00C27769" w:rsidP="005D4467" w:rsidRDefault="00C27769" w14:paraId="315E17B5" w14:textId="77777777">
            <w:pPr>
              <w:pStyle w:val="Tabletext"/>
              <w:jc w:val="center"/>
              <w:rPr>
                <w:szCs w:val="22"/>
              </w:rPr>
            </w:pPr>
            <w:r w:rsidRPr="00535397">
              <w:rPr>
                <w:szCs w:val="22"/>
              </w:rPr>
              <w:t>84</w:t>
            </w:r>
          </w:p>
        </w:tc>
        <w:tc>
          <w:tcPr>
            <w:tcW w:w="2070" w:type="dxa"/>
          </w:tcPr>
          <w:p w:rsidRPr="00535397" w:rsidR="00C27769" w:rsidP="005D4467" w:rsidRDefault="00C27769" w14:paraId="01C0513A" w14:textId="77777777">
            <w:pPr>
              <w:pStyle w:val="Tabletext"/>
              <w:jc w:val="center"/>
              <w:rPr>
                <w:szCs w:val="22"/>
              </w:rPr>
            </w:pPr>
            <w:r w:rsidRPr="00535397">
              <w:rPr>
                <w:szCs w:val="22"/>
              </w:rPr>
              <w:t>2.2%</w:t>
            </w:r>
          </w:p>
        </w:tc>
      </w:tr>
      <w:tr w:rsidRPr="00535397" w:rsidR="00C27769" w:rsidTr="005D4467" w14:paraId="65E3A072" w14:textId="77777777">
        <w:tc>
          <w:tcPr>
            <w:tcW w:w="9450" w:type="dxa"/>
            <w:gridSpan w:val="3"/>
          </w:tcPr>
          <w:p w:rsidRPr="00535397" w:rsidR="00C27769" w:rsidP="005D4467" w:rsidRDefault="00C27769" w14:paraId="67529323" w14:textId="77777777">
            <w:pPr>
              <w:pStyle w:val="Tabletext"/>
              <w:rPr>
                <w:szCs w:val="22"/>
              </w:rPr>
            </w:pPr>
            <w:r w:rsidRPr="00535397">
              <w:rPr>
                <w:b/>
                <w:bCs/>
                <w:szCs w:val="22"/>
              </w:rPr>
              <w:t>Race</w:t>
            </w:r>
          </w:p>
        </w:tc>
      </w:tr>
      <w:tr w:rsidRPr="00535397" w:rsidR="00C27769" w:rsidTr="005D4467" w14:paraId="3DF2E69E" w14:textId="77777777">
        <w:tc>
          <w:tcPr>
            <w:tcW w:w="5400" w:type="dxa"/>
          </w:tcPr>
          <w:p w:rsidRPr="00535397" w:rsidR="00C27769" w:rsidP="005D4467" w:rsidRDefault="00C27769" w14:paraId="688F237B"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White</w:t>
            </w:r>
          </w:p>
        </w:tc>
        <w:tc>
          <w:tcPr>
            <w:tcW w:w="1980" w:type="dxa"/>
          </w:tcPr>
          <w:p w:rsidRPr="00535397" w:rsidR="00C27769" w:rsidP="005D4467" w:rsidRDefault="00C27769" w14:paraId="56511F5E" w14:textId="77777777">
            <w:pPr>
              <w:pStyle w:val="Tabletext"/>
              <w:jc w:val="center"/>
              <w:rPr>
                <w:szCs w:val="22"/>
              </w:rPr>
            </w:pPr>
            <w:r w:rsidRPr="00535397">
              <w:rPr>
                <w:szCs w:val="22"/>
              </w:rPr>
              <w:t>2,682</w:t>
            </w:r>
          </w:p>
        </w:tc>
        <w:tc>
          <w:tcPr>
            <w:tcW w:w="2070" w:type="dxa"/>
          </w:tcPr>
          <w:p w:rsidRPr="00535397" w:rsidR="00C27769" w:rsidP="005D4467" w:rsidRDefault="00C27769" w14:paraId="012D3264" w14:textId="77777777">
            <w:pPr>
              <w:pStyle w:val="Tabletext"/>
              <w:jc w:val="center"/>
              <w:rPr>
                <w:szCs w:val="22"/>
              </w:rPr>
            </w:pPr>
            <w:r w:rsidRPr="00535397">
              <w:rPr>
                <w:szCs w:val="22"/>
              </w:rPr>
              <w:t>68.9%</w:t>
            </w:r>
          </w:p>
        </w:tc>
      </w:tr>
      <w:tr w:rsidRPr="00535397" w:rsidR="00C27769" w:rsidTr="005D4467" w14:paraId="2F7F2740" w14:textId="77777777">
        <w:tc>
          <w:tcPr>
            <w:tcW w:w="5400" w:type="dxa"/>
          </w:tcPr>
          <w:p w:rsidRPr="00535397" w:rsidR="00C27769" w:rsidP="005D4467" w:rsidRDefault="00C27769" w14:paraId="2A860F65"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Black or African American</w:t>
            </w:r>
          </w:p>
        </w:tc>
        <w:tc>
          <w:tcPr>
            <w:tcW w:w="1980" w:type="dxa"/>
          </w:tcPr>
          <w:p w:rsidRPr="00535397" w:rsidR="00C27769" w:rsidP="005D4467" w:rsidRDefault="00C27769" w14:paraId="74096C61" w14:textId="77777777">
            <w:pPr>
              <w:pStyle w:val="Tabletext"/>
              <w:jc w:val="center"/>
              <w:rPr>
                <w:szCs w:val="22"/>
              </w:rPr>
            </w:pPr>
            <w:r w:rsidRPr="00535397">
              <w:rPr>
                <w:szCs w:val="22"/>
              </w:rPr>
              <w:t>790</w:t>
            </w:r>
          </w:p>
        </w:tc>
        <w:tc>
          <w:tcPr>
            <w:tcW w:w="2070" w:type="dxa"/>
          </w:tcPr>
          <w:p w:rsidRPr="00535397" w:rsidR="00C27769" w:rsidP="005D4467" w:rsidRDefault="00C27769" w14:paraId="288FCB83" w14:textId="77777777">
            <w:pPr>
              <w:pStyle w:val="Tabletext"/>
              <w:jc w:val="center"/>
              <w:rPr>
                <w:szCs w:val="22"/>
              </w:rPr>
            </w:pPr>
            <w:r w:rsidRPr="00535397">
              <w:rPr>
                <w:szCs w:val="22"/>
              </w:rPr>
              <w:t>20.3%</w:t>
            </w:r>
          </w:p>
        </w:tc>
      </w:tr>
      <w:tr w:rsidRPr="00535397" w:rsidR="00C27769" w:rsidTr="005D4467" w14:paraId="4B9DE60A" w14:textId="77777777">
        <w:tc>
          <w:tcPr>
            <w:tcW w:w="5400" w:type="dxa"/>
          </w:tcPr>
          <w:p w:rsidRPr="00535397" w:rsidR="00C27769" w:rsidP="005D4467" w:rsidRDefault="00C27769" w14:paraId="3C1180BE"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American Indian/Alaska Native</w:t>
            </w:r>
          </w:p>
        </w:tc>
        <w:tc>
          <w:tcPr>
            <w:tcW w:w="1980" w:type="dxa"/>
          </w:tcPr>
          <w:p w:rsidRPr="00535397" w:rsidR="00C27769" w:rsidP="005D4467" w:rsidRDefault="00C27769" w14:paraId="0684BF3C" w14:textId="77777777">
            <w:pPr>
              <w:pStyle w:val="Tabletext"/>
              <w:jc w:val="center"/>
              <w:rPr>
                <w:szCs w:val="22"/>
              </w:rPr>
            </w:pPr>
            <w:r w:rsidRPr="00535397">
              <w:rPr>
                <w:szCs w:val="22"/>
              </w:rPr>
              <w:t>81</w:t>
            </w:r>
          </w:p>
        </w:tc>
        <w:tc>
          <w:tcPr>
            <w:tcW w:w="2070" w:type="dxa"/>
          </w:tcPr>
          <w:p w:rsidRPr="00535397" w:rsidR="00C27769" w:rsidP="005D4467" w:rsidRDefault="00C27769" w14:paraId="2DA91BD8" w14:textId="77777777">
            <w:pPr>
              <w:pStyle w:val="Tabletext"/>
              <w:jc w:val="center"/>
              <w:rPr>
                <w:szCs w:val="22"/>
              </w:rPr>
            </w:pPr>
            <w:r w:rsidRPr="00535397">
              <w:rPr>
                <w:szCs w:val="22"/>
              </w:rPr>
              <w:t>2.1%</w:t>
            </w:r>
          </w:p>
        </w:tc>
      </w:tr>
      <w:tr w:rsidRPr="00535397" w:rsidR="00C27769" w:rsidTr="005D4467" w14:paraId="6BB3875C" w14:textId="77777777">
        <w:tc>
          <w:tcPr>
            <w:tcW w:w="5400" w:type="dxa"/>
          </w:tcPr>
          <w:p w:rsidRPr="00535397" w:rsidR="00C27769" w:rsidP="005D4467" w:rsidRDefault="00C27769" w14:paraId="038EECCC"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Asian</w:t>
            </w:r>
          </w:p>
        </w:tc>
        <w:tc>
          <w:tcPr>
            <w:tcW w:w="1980" w:type="dxa"/>
          </w:tcPr>
          <w:p w:rsidRPr="00535397" w:rsidR="00C27769" w:rsidP="005D4467" w:rsidRDefault="00C27769" w14:paraId="1D1EF573" w14:textId="77777777">
            <w:pPr>
              <w:pStyle w:val="Tabletext"/>
              <w:jc w:val="center"/>
              <w:rPr>
                <w:szCs w:val="22"/>
              </w:rPr>
            </w:pPr>
            <w:r w:rsidRPr="00535397">
              <w:rPr>
                <w:szCs w:val="22"/>
              </w:rPr>
              <w:t>34</w:t>
            </w:r>
          </w:p>
        </w:tc>
        <w:tc>
          <w:tcPr>
            <w:tcW w:w="2070" w:type="dxa"/>
          </w:tcPr>
          <w:p w:rsidRPr="00535397" w:rsidR="00C27769" w:rsidP="005D4467" w:rsidRDefault="00C27769" w14:paraId="47BAFE1D" w14:textId="77777777">
            <w:pPr>
              <w:pStyle w:val="Tabletext"/>
              <w:jc w:val="center"/>
              <w:rPr>
                <w:szCs w:val="22"/>
              </w:rPr>
            </w:pPr>
            <w:r w:rsidRPr="00535397">
              <w:rPr>
                <w:szCs w:val="22"/>
              </w:rPr>
              <w:t>0.9%</w:t>
            </w:r>
          </w:p>
        </w:tc>
      </w:tr>
      <w:tr w:rsidRPr="00535397" w:rsidR="00C27769" w:rsidTr="005D4467" w14:paraId="097D4AA8" w14:textId="77777777">
        <w:tc>
          <w:tcPr>
            <w:tcW w:w="5400" w:type="dxa"/>
          </w:tcPr>
          <w:p w:rsidRPr="00535397" w:rsidR="00C27769" w:rsidP="005D4467" w:rsidRDefault="00C27769" w14:paraId="615CB2AE"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Native Hawaiian, Other Pacific Islander</w:t>
            </w:r>
          </w:p>
        </w:tc>
        <w:tc>
          <w:tcPr>
            <w:tcW w:w="1980" w:type="dxa"/>
          </w:tcPr>
          <w:p w:rsidRPr="00535397" w:rsidR="00C27769" w:rsidP="005D4467" w:rsidRDefault="00C27769" w14:paraId="3C3FAA88" w14:textId="77777777">
            <w:pPr>
              <w:pStyle w:val="Tabletext"/>
              <w:jc w:val="center"/>
              <w:rPr>
                <w:szCs w:val="22"/>
              </w:rPr>
            </w:pPr>
            <w:r w:rsidRPr="00535397">
              <w:rPr>
                <w:szCs w:val="22"/>
              </w:rPr>
              <w:t>6</w:t>
            </w:r>
          </w:p>
        </w:tc>
        <w:tc>
          <w:tcPr>
            <w:tcW w:w="2070" w:type="dxa"/>
          </w:tcPr>
          <w:p w:rsidRPr="00535397" w:rsidR="00C27769" w:rsidP="005D4467" w:rsidRDefault="00C27769" w14:paraId="717DFDC4" w14:textId="77777777">
            <w:pPr>
              <w:pStyle w:val="Tabletext"/>
              <w:jc w:val="center"/>
              <w:rPr>
                <w:szCs w:val="22"/>
              </w:rPr>
            </w:pPr>
            <w:r w:rsidRPr="00535397">
              <w:rPr>
                <w:szCs w:val="22"/>
              </w:rPr>
              <w:t>0,2%</w:t>
            </w:r>
          </w:p>
        </w:tc>
      </w:tr>
      <w:tr w:rsidRPr="00535397" w:rsidR="00C27769" w:rsidTr="005D4467" w14:paraId="12E3D0E1" w14:textId="77777777">
        <w:tc>
          <w:tcPr>
            <w:tcW w:w="5400" w:type="dxa"/>
          </w:tcPr>
          <w:p w:rsidRPr="00535397" w:rsidR="00C27769" w:rsidP="005D4467" w:rsidRDefault="00C27769" w14:paraId="26A5CBA6"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More than one race selected</w:t>
            </w:r>
          </w:p>
        </w:tc>
        <w:tc>
          <w:tcPr>
            <w:tcW w:w="1980" w:type="dxa"/>
          </w:tcPr>
          <w:p w:rsidRPr="00535397" w:rsidR="00C27769" w:rsidP="005D4467" w:rsidRDefault="00C27769" w14:paraId="4182771F" w14:textId="77777777">
            <w:pPr>
              <w:pStyle w:val="Tabletext"/>
              <w:jc w:val="center"/>
              <w:rPr>
                <w:szCs w:val="22"/>
              </w:rPr>
            </w:pPr>
            <w:r w:rsidRPr="00535397">
              <w:rPr>
                <w:szCs w:val="22"/>
              </w:rPr>
              <w:t>156</w:t>
            </w:r>
          </w:p>
        </w:tc>
        <w:tc>
          <w:tcPr>
            <w:tcW w:w="2070" w:type="dxa"/>
          </w:tcPr>
          <w:p w:rsidRPr="00535397" w:rsidR="00C27769" w:rsidP="005D4467" w:rsidRDefault="00C27769" w14:paraId="4520B59B" w14:textId="77777777">
            <w:pPr>
              <w:pStyle w:val="Tabletext"/>
              <w:jc w:val="center"/>
              <w:rPr>
                <w:szCs w:val="22"/>
              </w:rPr>
            </w:pPr>
            <w:r w:rsidRPr="00535397">
              <w:rPr>
                <w:szCs w:val="22"/>
              </w:rPr>
              <w:t>4.0%</w:t>
            </w:r>
          </w:p>
        </w:tc>
      </w:tr>
      <w:tr w:rsidRPr="00535397" w:rsidR="00C27769" w:rsidTr="005D4467" w14:paraId="0507A8B1" w14:textId="77777777">
        <w:tc>
          <w:tcPr>
            <w:tcW w:w="5400" w:type="dxa"/>
          </w:tcPr>
          <w:p w:rsidRPr="00535397" w:rsidR="00C27769" w:rsidP="005D4467" w:rsidRDefault="00C27769" w14:paraId="48D10BD9"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Missing</w:t>
            </w:r>
          </w:p>
        </w:tc>
        <w:tc>
          <w:tcPr>
            <w:tcW w:w="1980" w:type="dxa"/>
          </w:tcPr>
          <w:p w:rsidRPr="00535397" w:rsidR="00C27769" w:rsidP="005D4467" w:rsidRDefault="00C27769" w14:paraId="16C061F2" w14:textId="77777777">
            <w:pPr>
              <w:pStyle w:val="Tabletext"/>
              <w:jc w:val="center"/>
              <w:rPr>
                <w:szCs w:val="22"/>
              </w:rPr>
            </w:pPr>
            <w:r w:rsidRPr="00535397">
              <w:rPr>
                <w:szCs w:val="22"/>
              </w:rPr>
              <w:t>144</w:t>
            </w:r>
          </w:p>
        </w:tc>
        <w:tc>
          <w:tcPr>
            <w:tcW w:w="2070" w:type="dxa"/>
          </w:tcPr>
          <w:p w:rsidRPr="00535397" w:rsidR="00C27769" w:rsidP="005D4467" w:rsidRDefault="00C27769" w14:paraId="6D7A39C8" w14:textId="77777777">
            <w:pPr>
              <w:pStyle w:val="Tabletext"/>
              <w:jc w:val="center"/>
              <w:rPr>
                <w:szCs w:val="22"/>
              </w:rPr>
            </w:pPr>
            <w:r w:rsidRPr="00535397">
              <w:rPr>
                <w:szCs w:val="22"/>
              </w:rPr>
              <w:t>3.7%</w:t>
            </w:r>
          </w:p>
        </w:tc>
      </w:tr>
      <w:tr w:rsidRPr="00535397" w:rsidR="00C27769" w:rsidTr="005D4467" w14:paraId="3E66AFE5" w14:textId="77777777">
        <w:tc>
          <w:tcPr>
            <w:tcW w:w="9450" w:type="dxa"/>
            <w:gridSpan w:val="3"/>
          </w:tcPr>
          <w:p w:rsidRPr="00535397" w:rsidR="00C27769" w:rsidP="005D4467" w:rsidRDefault="00C27769" w14:paraId="11DF4BAC" w14:textId="77777777">
            <w:pPr>
              <w:pStyle w:val="Tabletext"/>
              <w:rPr>
                <w:szCs w:val="22"/>
              </w:rPr>
            </w:pPr>
            <w:r w:rsidRPr="00535397">
              <w:rPr>
                <w:b/>
                <w:bCs/>
                <w:szCs w:val="22"/>
              </w:rPr>
              <w:t>Ethnicity</w:t>
            </w:r>
          </w:p>
        </w:tc>
      </w:tr>
      <w:tr w:rsidRPr="00535397" w:rsidR="00C27769" w:rsidTr="005D4467" w14:paraId="6E567DE2" w14:textId="77777777">
        <w:tc>
          <w:tcPr>
            <w:tcW w:w="5400" w:type="dxa"/>
          </w:tcPr>
          <w:p w:rsidRPr="00535397" w:rsidR="00C27769" w:rsidP="005D4467" w:rsidRDefault="00C27769" w14:paraId="0476B6B1"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Hispanic or Latino</w:t>
            </w:r>
          </w:p>
        </w:tc>
        <w:tc>
          <w:tcPr>
            <w:tcW w:w="1980" w:type="dxa"/>
          </w:tcPr>
          <w:p w:rsidRPr="00535397" w:rsidR="00C27769" w:rsidP="005D4467" w:rsidRDefault="00C27769" w14:paraId="594B5740" w14:textId="77777777">
            <w:pPr>
              <w:pStyle w:val="Tabletext"/>
              <w:jc w:val="center"/>
              <w:rPr>
                <w:szCs w:val="22"/>
              </w:rPr>
            </w:pPr>
            <w:r w:rsidRPr="00535397">
              <w:rPr>
                <w:szCs w:val="22"/>
              </w:rPr>
              <w:t>453</w:t>
            </w:r>
          </w:p>
        </w:tc>
        <w:tc>
          <w:tcPr>
            <w:tcW w:w="2070" w:type="dxa"/>
          </w:tcPr>
          <w:p w:rsidRPr="00535397" w:rsidR="00C27769" w:rsidP="005D4467" w:rsidRDefault="00C27769" w14:paraId="3A5F1FDF" w14:textId="77777777">
            <w:pPr>
              <w:pStyle w:val="Tabletext"/>
              <w:jc w:val="center"/>
              <w:rPr>
                <w:szCs w:val="22"/>
              </w:rPr>
            </w:pPr>
            <w:r w:rsidRPr="00535397">
              <w:rPr>
                <w:szCs w:val="22"/>
              </w:rPr>
              <w:t>11.6%</w:t>
            </w:r>
          </w:p>
        </w:tc>
      </w:tr>
      <w:tr w:rsidRPr="00535397" w:rsidR="00C27769" w:rsidTr="005D4467" w14:paraId="5A98737D" w14:textId="77777777">
        <w:tc>
          <w:tcPr>
            <w:tcW w:w="5400" w:type="dxa"/>
          </w:tcPr>
          <w:p w:rsidRPr="00535397" w:rsidR="00C27769" w:rsidP="005D4467" w:rsidRDefault="00C27769" w14:paraId="07283912"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Not Hispanic or Latino</w:t>
            </w:r>
          </w:p>
        </w:tc>
        <w:tc>
          <w:tcPr>
            <w:tcW w:w="1980" w:type="dxa"/>
          </w:tcPr>
          <w:p w:rsidRPr="00535397" w:rsidR="00C27769" w:rsidP="005D4467" w:rsidRDefault="00C27769" w14:paraId="2D2225A8" w14:textId="77777777">
            <w:pPr>
              <w:pStyle w:val="Tabletext"/>
              <w:jc w:val="center"/>
              <w:rPr>
                <w:szCs w:val="22"/>
              </w:rPr>
            </w:pPr>
            <w:r w:rsidRPr="00535397">
              <w:rPr>
                <w:szCs w:val="22"/>
              </w:rPr>
              <w:t>3.428</w:t>
            </w:r>
          </w:p>
        </w:tc>
        <w:tc>
          <w:tcPr>
            <w:tcW w:w="2070" w:type="dxa"/>
          </w:tcPr>
          <w:p w:rsidRPr="00535397" w:rsidR="00C27769" w:rsidP="005D4467" w:rsidRDefault="00C27769" w14:paraId="120B67C4" w14:textId="77777777">
            <w:pPr>
              <w:pStyle w:val="Tabletext"/>
              <w:jc w:val="center"/>
              <w:rPr>
                <w:szCs w:val="22"/>
              </w:rPr>
            </w:pPr>
            <w:r w:rsidRPr="00535397">
              <w:rPr>
                <w:szCs w:val="22"/>
              </w:rPr>
              <w:t>88.1%</w:t>
            </w:r>
          </w:p>
        </w:tc>
      </w:tr>
      <w:tr w:rsidRPr="00535397" w:rsidR="00C27769" w:rsidTr="005D4467" w14:paraId="48B18192" w14:textId="77777777">
        <w:tc>
          <w:tcPr>
            <w:tcW w:w="5400" w:type="dxa"/>
          </w:tcPr>
          <w:p w:rsidRPr="00535397" w:rsidR="00C27769" w:rsidP="005D4467" w:rsidRDefault="00C27769" w14:paraId="25935F79"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Missing</w:t>
            </w:r>
          </w:p>
        </w:tc>
        <w:tc>
          <w:tcPr>
            <w:tcW w:w="1980" w:type="dxa"/>
          </w:tcPr>
          <w:p w:rsidRPr="00535397" w:rsidR="00C27769" w:rsidP="005D4467" w:rsidRDefault="00C27769" w14:paraId="21C26F5D" w14:textId="77777777">
            <w:pPr>
              <w:pStyle w:val="Tabletext"/>
              <w:jc w:val="center"/>
              <w:rPr>
                <w:szCs w:val="22"/>
              </w:rPr>
            </w:pPr>
            <w:r w:rsidRPr="00535397">
              <w:rPr>
                <w:szCs w:val="22"/>
              </w:rPr>
              <w:t>12</w:t>
            </w:r>
          </w:p>
        </w:tc>
        <w:tc>
          <w:tcPr>
            <w:tcW w:w="2070" w:type="dxa"/>
          </w:tcPr>
          <w:p w:rsidRPr="00535397" w:rsidR="00C27769" w:rsidP="005D4467" w:rsidRDefault="00C27769" w14:paraId="3B37046C" w14:textId="77777777">
            <w:pPr>
              <w:pStyle w:val="Tabletext"/>
              <w:jc w:val="center"/>
              <w:rPr>
                <w:szCs w:val="22"/>
              </w:rPr>
            </w:pPr>
            <w:r w:rsidRPr="00535397">
              <w:rPr>
                <w:szCs w:val="22"/>
              </w:rPr>
              <w:t>0.3%</w:t>
            </w:r>
          </w:p>
        </w:tc>
      </w:tr>
      <w:tr w:rsidRPr="00535397" w:rsidR="00C27769" w:rsidTr="005D4467" w14:paraId="7B34993A" w14:textId="77777777">
        <w:tc>
          <w:tcPr>
            <w:tcW w:w="9450" w:type="dxa"/>
            <w:gridSpan w:val="3"/>
          </w:tcPr>
          <w:p w:rsidRPr="00535397" w:rsidR="00C27769" w:rsidP="005D4467" w:rsidRDefault="00C27769" w14:paraId="5CC48BD0" w14:textId="77777777">
            <w:pPr>
              <w:pStyle w:val="Tabletext"/>
              <w:rPr>
                <w:szCs w:val="22"/>
              </w:rPr>
            </w:pPr>
            <w:r w:rsidRPr="00535397">
              <w:rPr>
                <w:b/>
                <w:bCs/>
                <w:szCs w:val="22"/>
              </w:rPr>
              <w:t>Gender</w:t>
            </w:r>
          </w:p>
        </w:tc>
      </w:tr>
      <w:tr w:rsidRPr="00535397" w:rsidR="00C27769" w:rsidTr="005D4467" w14:paraId="7283B85E" w14:textId="77777777">
        <w:tc>
          <w:tcPr>
            <w:tcW w:w="5400" w:type="dxa"/>
          </w:tcPr>
          <w:p w:rsidRPr="00535397" w:rsidR="00C27769" w:rsidP="005D4467" w:rsidRDefault="00C27769" w14:paraId="2BE75124"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Male</w:t>
            </w:r>
          </w:p>
        </w:tc>
        <w:tc>
          <w:tcPr>
            <w:tcW w:w="1980" w:type="dxa"/>
          </w:tcPr>
          <w:p w:rsidRPr="00535397" w:rsidR="00C27769" w:rsidP="005D4467" w:rsidRDefault="00C27769" w14:paraId="64208A59" w14:textId="77777777">
            <w:pPr>
              <w:pStyle w:val="Tabletext"/>
              <w:jc w:val="center"/>
              <w:rPr>
                <w:szCs w:val="22"/>
              </w:rPr>
            </w:pPr>
            <w:r w:rsidRPr="00535397">
              <w:rPr>
                <w:szCs w:val="22"/>
              </w:rPr>
              <w:t>2,341</w:t>
            </w:r>
          </w:p>
        </w:tc>
        <w:tc>
          <w:tcPr>
            <w:tcW w:w="2070" w:type="dxa"/>
          </w:tcPr>
          <w:p w:rsidRPr="00535397" w:rsidR="00C27769" w:rsidP="005D4467" w:rsidRDefault="00C27769" w14:paraId="4F6861FB" w14:textId="77777777">
            <w:pPr>
              <w:pStyle w:val="Tabletext"/>
              <w:jc w:val="center"/>
              <w:rPr>
                <w:szCs w:val="22"/>
              </w:rPr>
            </w:pPr>
            <w:r w:rsidRPr="00535397">
              <w:rPr>
                <w:szCs w:val="22"/>
              </w:rPr>
              <w:t>60.1%</w:t>
            </w:r>
          </w:p>
        </w:tc>
      </w:tr>
      <w:tr w:rsidRPr="00535397" w:rsidR="00C27769" w:rsidTr="005D4467" w14:paraId="2F797D00" w14:textId="77777777">
        <w:tc>
          <w:tcPr>
            <w:tcW w:w="5400" w:type="dxa"/>
          </w:tcPr>
          <w:p w:rsidRPr="00535397" w:rsidR="00C27769" w:rsidP="005D4467" w:rsidRDefault="00C27769" w14:paraId="4244D45A"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Female</w:t>
            </w:r>
          </w:p>
        </w:tc>
        <w:tc>
          <w:tcPr>
            <w:tcW w:w="1980" w:type="dxa"/>
          </w:tcPr>
          <w:p w:rsidRPr="00535397" w:rsidR="00C27769" w:rsidP="005D4467" w:rsidRDefault="00C27769" w14:paraId="6593513E" w14:textId="77777777">
            <w:pPr>
              <w:pStyle w:val="Tabletext"/>
              <w:jc w:val="center"/>
              <w:rPr>
                <w:szCs w:val="22"/>
              </w:rPr>
            </w:pPr>
            <w:r w:rsidRPr="00535397">
              <w:rPr>
                <w:szCs w:val="22"/>
              </w:rPr>
              <w:t>1,551</w:t>
            </w:r>
          </w:p>
        </w:tc>
        <w:tc>
          <w:tcPr>
            <w:tcW w:w="2070" w:type="dxa"/>
          </w:tcPr>
          <w:p w:rsidRPr="00535397" w:rsidR="00C27769" w:rsidP="005D4467" w:rsidRDefault="00C27769" w14:paraId="5FA09B7A" w14:textId="77777777">
            <w:pPr>
              <w:pStyle w:val="Tabletext"/>
              <w:jc w:val="center"/>
              <w:rPr>
                <w:szCs w:val="22"/>
              </w:rPr>
            </w:pPr>
            <w:r w:rsidRPr="00535397">
              <w:rPr>
                <w:szCs w:val="22"/>
              </w:rPr>
              <w:t>39.8%</w:t>
            </w:r>
          </w:p>
        </w:tc>
      </w:tr>
      <w:tr w:rsidRPr="00535397" w:rsidR="00C27769" w:rsidTr="005D4467" w14:paraId="67E61C78" w14:textId="77777777">
        <w:tc>
          <w:tcPr>
            <w:tcW w:w="5400" w:type="dxa"/>
          </w:tcPr>
          <w:p w:rsidRPr="00535397" w:rsidR="00C27769" w:rsidP="005D4467" w:rsidRDefault="00C27769" w14:paraId="62BD2F22"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Missing</w:t>
            </w:r>
          </w:p>
        </w:tc>
        <w:tc>
          <w:tcPr>
            <w:tcW w:w="1980" w:type="dxa"/>
          </w:tcPr>
          <w:p w:rsidRPr="00535397" w:rsidR="00C27769" w:rsidP="005D4467" w:rsidRDefault="00C27769" w14:paraId="0EC605CB" w14:textId="77777777">
            <w:pPr>
              <w:pStyle w:val="Tabletext"/>
              <w:jc w:val="center"/>
              <w:rPr>
                <w:szCs w:val="22"/>
              </w:rPr>
            </w:pPr>
            <w:r w:rsidRPr="00535397">
              <w:rPr>
                <w:szCs w:val="22"/>
              </w:rPr>
              <w:t>1</w:t>
            </w:r>
          </w:p>
        </w:tc>
        <w:tc>
          <w:tcPr>
            <w:tcW w:w="2070" w:type="dxa"/>
          </w:tcPr>
          <w:p w:rsidRPr="00535397" w:rsidR="00C27769" w:rsidP="005D4467" w:rsidRDefault="00C27769" w14:paraId="5DD8F970" w14:textId="77777777">
            <w:pPr>
              <w:pStyle w:val="Tabletext"/>
              <w:jc w:val="center"/>
              <w:rPr>
                <w:szCs w:val="22"/>
              </w:rPr>
            </w:pPr>
            <w:r w:rsidRPr="00535397">
              <w:rPr>
                <w:szCs w:val="22"/>
              </w:rPr>
              <w:t>0.0%</w:t>
            </w:r>
          </w:p>
        </w:tc>
      </w:tr>
      <w:tr w:rsidRPr="00535397" w:rsidR="00C27769" w:rsidTr="005D4467" w14:paraId="67BBFDA7" w14:textId="77777777">
        <w:tc>
          <w:tcPr>
            <w:tcW w:w="9450" w:type="dxa"/>
            <w:gridSpan w:val="3"/>
          </w:tcPr>
          <w:p w:rsidRPr="00535397" w:rsidR="00C27769" w:rsidP="005D4467" w:rsidRDefault="00C27769" w14:paraId="01DF1F2F" w14:textId="77777777">
            <w:pPr>
              <w:pStyle w:val="Tabletext"/>
              <w:spacing w:before="30"/>
              <w:rPr>
                <w:szCs w:val="22"/>
              </w:rPr>
            </w:pPr>
            <w:r w:rsidRPr="00535397">
              <w:rPr>
                <w:b/>
                <w:bCs/>
                <w:szCs w:val="22"/>
              </w:rPr>
              <w:t>Education</w:t>
            </w:r>
          </w:p>
        </w:tc>
      </w:tr>
      <w:tr w:rsidRPr="00535397" w:rsidR="00C27769" w:rsidTr="005D4467" w14:paraId="0B568B0F" w14:textId="77777777">
        <w:tc>
          <w:tcPr>
            <w:tcW w:w="5400" w:type="dxa"/>
          </w:tcPr>
          <w:p w:rsidRPr="00535397" w:rsidR="00C27769" w:rsidP="005D4467" w:rsidRDefault="00C27769" w14:paraId="31FED69F"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Less than high school</w:t>
            </w:r>
          </w:p>
        </w:tc>
        <w:tc>
          <w:tcPr>
            <w:tcW w:w="1980" w:type="dxa"/>
          </w:tcPr>
          <w:p w:rsidRPr="00535397" w:rsidR="00C27769" w:rsidP="005D4467" w:rsidRDefault="00C27769" w14:paraId="187C7246" w14:textId="77777777">
            <w:pPr>
              <w:pStyle w:val="Tabletext"/>
              <w:spacing w:before="30"/>
              <w:jc w:val="center"/>
              <w:rPr>
                <w:szCs w:val="22"/>
              </w:rPr>
            </w:pPr>
            <w:r w:rsidRPr="00535397">
              <w:rPr>
                <w:szCs w:val="22"/>
              </w:rPr>
              <w:t>644</w:t>
            </w:r>
          </w:p>
        </w:tc>
        <w:tc>
          <w:tcPr>
            <w:tcW w:w="2070" w:type="dxa"/>
          </w:tcPr>
          <w:p w:rsidRPr="00535397" w:rsidR="00C27769" w:rsidP="005D4467" w:rsidRDefault="00C27769" w14:paraId="7938991B" w14:textId="77777777">
            <w:pPr>
              <w:pStyle w:val="Tabletext"/>
              <w:spacing w:before="30"/>
              <w:jc w:val="center"/>
              <w:rPr>
                <w:szCs w:val="22"/>
              </w:rPr>
            </w:pPr>
            <w:r w:rsidRPr="00535397">
              <w:rPr>
                <w:szCs w:val="22"/>
              </w:rPr>
              <w:t>16.5%</w:t>
            </w:r>
          </w:p>
        </w:tc>
      </w:tr>
      <w:tr w:rsidRPr="00535397" w:rsidR="00C27769" w:rsidTr="005D4467" w14:paraId="17381871" w14:textId="77777777">
        <w:tc>
          <w:tcPr>
            <w:tcW w:w="5400" w:type="dxa"/>
          </w:tcPr>
          <w:p w:rsidRPr="00535397" w:rsidR="00C27769" w:rsidP="005D4467" w:rsidRDefault="00C27769" w14:paraId="122187CF"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High school/GED</w:t>
            </w:r>
          </w:p>
        </w:tc>
        <w:tc>
          <w:tcPr>
            <w:tcW w:w="1980" w:type="dxa"/>
          </w:tcPr>
          <w:p w:rsidRPr="00535397" w:rsidR="00C27769" w:rsidP="005D4467" w:rsidRDefault="00C27769" w14:paraId="2B63BD02" w14:textId="77777777">
            <w:pPr>
              <w:pStyle w:val="Tabletext"/>
              <w:spacing w:before="30"/>
              <w:jc w:val="center"/>
              <w:rPr>
                <w:szCs w:val="22"/>
              </w:rPr>
            </w:pPr>
            <w:r w:rsidRPr="00535397">
              <w:rPr>
                <w:szCs w:val="22"/>
              </w:rPr>
              <w:t>1,524</w:t>
            </w:r>
          </w:p>
        </w:tc>
        <w:tc>
          <w:tcPr>
            <w:tcW w:w="2070" w:type="dxa"/>
          </w:tcPr>
          <w:p w:rsidRPr="00535397" w:rsidR="00C27769" w:rsidP="005D4467" w:rsidRDefault="00C27769" w14:paraId="2C56C108" w14:textId="77777777">
            <w:pPr>
              <w:pStyle w:val="Tabletext"/>
              <w:spacing w:before="30"/>
              <w:jc w:val="center"/>
              <w:rPr>
                <w:szCs w:val="22"/>
              </w:rPr>
            </w:pPr>
            <w:r w:rsidRPr="00535397">
              <w:rPr>
                <w:szCs w:val="22"/>
              </w:rPr>
              <w:t>39.1%</w:t>
            </w:r>
          </w:p>
        </w:tc>
      </w:tr>
      <w:tr w:rsidRPr="00535397" w:rsidR="00C27769" w:rsidTr="005D4467" w14:paraId="3237E665" w14:textId="77777777">
        <w:tc>
          <w:tcPr>
            <w:tcW w:w="5400" w:type="dxa"/>
          </w:tcPr>
          <w:p w:rsidRPr="00535397" w:rsidR="00C27769" w:rsidP="005D4467" w:rsidRDefault="00C27769" w14:paraId="5E0E53EE"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Some college/</w:t>
            </w:r>
            <w:proofErr w:type="spellStart"/>
            <w:r w:rsidRPr="00535397">
              <w:rPr>
                <w:rFonts w:ascii="Times New Roman" w:hAnsi="Times New Roman" w:cs="Times New Roman"/>
                <w:sz w:val="22"/>
                <w:szCs w:val="22"/>
              </w:rPr>
              <w:t>voc</w:t>
            </w:r>
            <w:proofErr w:type="spellEnd"/>
            <w:r w:rsidRPr="00535397">
              <w:rPr>
                <w:rFonts w:ascii="Times New Roman" w:hAnsi="Times New Roman" w:cs="Times New Roman"/>
                <w:sz w:val="22"/>
                <w:szCs w:val="22"/>
              </w:rPr>
              <w:t xml:space="preserve"> tech</w:t>
            </w:r>
          </w:p>
        </w:tc>
        <w:tc>
          <w:tcPr>
            <w:tcW w:w="1980" w:type="dxa"/>
          </w:tcPr>
          <w:p w:rsidRPr="00535397" w:rsidR="00C27769" w:rsidP="005D4467" w:rsidRDefault="00C27769" w14:paraId="66B6CA18" w14:textId="77777777">
            <w:pPr>
              <w:pStyle w:val="Tabletext"/>
              <w:spacing w:before="30"/>
              <w:jc w:val="center"/>
              <w:rPr>
                <w:szCs w:val="22"/>
              </w:rPr>
            </w:pPr>
            <w:r w:rsidRPr="00535397">
              <w:rPr>
                <w:szCs w:val="22"/>
              </w:rPr>
              <w:t>856</w:t>
            </w:r>
          </w:p>
        </w:tc>
        <w:tc>
          <w:tcPr>
            <w:tcW w:w="2070" w:type="dxa"/>
          </w:tcPr>
          <w:p w:rsidRPr="00535397" w:rsidR="00C27769" w:rsidP="005D4467" w:rsidRDefault="00C27769" w14:paraId="0D73E57F" w14:textId="77777777">
            <w:pPr>
              <w:pStyle w:val="Tabletext"/>
              <w:spacing w:before="30"/>
              <w:jc w:val="center"/>
              <w:rPr>
                <w:szCs w:val="22"/>
              </w:rPr>
            </w:pPr>
            <w:r w:rsidRPr="00535397">
              <w:rPr>
                <w:szCs w:val="22"/>
              </w:rPr>
              <w:t>22.0%</w:t>
            </w:r>
          </w:p>
        </w:tc>
      </w:tr>
      <w:tr w:rsidRPr="00535397" w:rsidR="00C27769" w:rsidTr="005D4467" w14:paraId="1429D240" w14:textId="77777777">
        <w:tc>
          <w:tcPr>
            <w:tcW w:w="5400" w:type="dxa"/>
          </w:tcPr>
          <w:p w:rsidRPr="00535397" w:rsidR="00C27769" w:rsidP="005D4467" w:rsidRDefault="00C27769" w14:paraId="258E7F71"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2-year college degree</w:t>
            </w:r>
          </w:p>
        </w:tc>
        <w:tc>
          <w:tcPr>
            <w:tcW w:w="1980" w:type="dxa"/>
          </w:tcPr>
          <w:p w:rsidRPr="00535397" w:rsidR="00C27769" w:rsidP="005D4467" w:rsidRDefault="00C27769" w14:paraId="66BBE837" w14:textId="77777777">
            <w:pPr>
              <w:pStyle w:val="Tabletext"/>
              <w:spacing w:before="30"/>
              <w:jc w:val="center"/>
              <w:rPr>
                <w:szCs w:val="22"/>
              </w:rPr>
            </w:pPr>
            <w:r w:rsidRPr="00535397">
              <w:rPr>
                <w:szCs w:val="22"/>
              </w:rPr>
              <w:t>420</w:t>
            </w:r>
          </w:p>
        </w:tc>
        <w:tc>
          <w:tcPr>
            <w:tcW w:w="2070" w:type="dxa"/>
          </w:tcPr>
          <w:p w:rsidRPr="00535397" w:rsidR="00C27769" w:rsidP="005D4467" w:rsidRDefault="00C27769" w14:paraId="51C881D6" w14:textId="77777777">
            <w:pPr>
              <w:pStyle w:val="Tabletext"/>
              <w:spacing w:before="30"/>
              <w:jc w:val="center"/>
              <w:rPr>
                <w:szCs w:val="22"/>
              </w:rPr>
            </w:pPr>
            <w:r w:rsidRPr="00535397">
              <w:rPr>
                <w:szCs w:val="22"/>
              </w:rPr>
              <w:t>10.8%</w:t>
            </w:r>
          </w:p>
        </w:tc>
      </w:tr>
      <w:tr w:rsidRPr="00535397" w:rsidR="00C27769" w:rsidTr="005D4467" w14:paraId="125189F2" w14:textId="77777777">
        <w:tc>
          <w:tcPr>
            <w:tcW w:w="5400" w:type="dxa"/>
          </w:tcPr>
          <w:p w:rsidRPr="00535397" w:rsidR="00C27769" w:rsidP="005D4467" w:rsidRDefault="00C27769" w14:paraId="23739D1F"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4</w:t>
            </w:r>
            <w:r w:rsidRPr="00535397">
              <w:rPr>
                <w:rFonts w:ascii="Times New Roman" w:hAnsi="Times New Roman" w:cs="Times New Roman"/>
                <w:sz w:val="22"/>
                <w:szCs w:val="22"/>
              </w:rPr>
              <w:noBreakHyphen/>
              <w:t>year college degree</w:t>
            </w:r>
          </w:p>
        </w:tc>
        <w:tc>
          <w:tcPr>
            <w:tcW w:w="1980" w:type="dxa"/>
          </w:tcPr>
          <w:p w:rsidRPr="00535397" w:rsidR="00C27769" w:rsidP="005D4467" w:rsidRDefault="00C27769" w14:paraId="255F66C2" w14:textId="77777777">
            <w:pPr>
              <w:pStyle w:val="Tabletext"/>
              <w:spacing w:before="30"/>
              <w:jc w:val="center"/>
              <w:rPr>
                <w:szCs w:val="22"/>
              </w:rPr>
            </w:pPr>
            <w:r w:rsidRPr="00535397">
              <w:rPr>
                <w:szCs w:val="22"/>
              </w:rPr>
              <w:t>448</w:t>
            </w:r>
          </w:p>
        </w:tc>
        <w:tc>
          <w:tcPr>
            <w:tcW w:w="2070" w:type="dxa"/>
          </w:tcPr>
          <w:p w:rsidRPr="00535397" w:rsidR="00C27769" w:rsidP="005D4467" w:rsidRDefault="00C27769" w14:paraId="57F5F8AB" w14:textId="77777777">
            <w:pPr>
              <w:pStyle w:val="Tabletext"/>
              <w:spacing w:before="30"/>
              <w:jc w:val="center"/>
              <w:rPr>
                <w:szCs w:val="22"/>
              </w:rPr>
            </w:pPr>
            <w:r w:rsidRPr="00535397">
              <w:rPr>
                <w:szCs w:val="22"/>
              </w:rPr>
              <w:t>11.5%</w:t>
            </w:r>
          </w:p>
        </w:tc>
      </w:tr>
      <w:tr w:rsidRPr="00535397" w:rsidR="00C27769" w:rsidTr="005D4467" w14:paraId="6B2C6E0D" w14:textId="77777777">
        <w:tc>
          <w:tcPr>
            <w:tcW w:w="5400" w:type="dxa"/>
          </w:tcPr>
          <w:p w:rsidRPr="00535397" w:rsidR="00C27769" w:rsidP="005D4467" w:rsidRDefault="00C27769" w14:paraId="5D25C9E0"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Missing</w:t>
            </w:r>
          </w:p>
        </w:tc>
        <w:tc>
          <w:tcPr>
            <w:tcW w:w="1980" w:type="dxa"/>
          </w:tcPr>
          <w:p w:rsidRPr="00535397" w:rsidR="00C27769" w:rsidP="005D4467" w:rsidRDefault="00C27769" w14:paraId="0DBE82BA" w14:textId="77777777">
            <w:pPr>
              <w:pStyle w:val="Tabletext"/>
              <w:spacing w:before="30"/>
              <w:jc w:val="center"/>
              <w:rPr>
                <w:szCs w:val="22"/>
              </w:rPr>
            </w:pPr>
            <w:r w:rsidRPr="00535397">
              <w:rPr>
                <w:szCs w:val="22"/>
              </w:rPr>
              <w:t>1</w:t>
            </w:r>
          </w:p>
        </w:tc>
        <w:tc>
          <w:tcPr>
            <w:tcW w:w="2070" w:type="dxa"/>
          </w:tcPr>
          <w:p w:rsidRPr="00535397" w:rsidR="00C27769" w:rsidP="005D4467" w:rsidRDefault="00C27769" w14:paraId="60A9BFB5" w14:textId="77777777">
            <w:pPr>
              <w:pStyle w:val="Tabletext"/>
              <w:spacing w:before="30"/>
              <w:jc w:val="center"/>
              <w:rPr>
                <w:szCs w:val="22"/>
              </w:rPr>
            </w:pPr>
            <w:r w:rsidRPr="00535397">
              <w:rPr>
                <w:szCs w:val="22"/>
              </w:rPr>
              <w:t>0.0%</w:t>
            </w:r>
          </w:p>
        </w:tc>
      </w:tr>
    </w:tbl>
    <w:p w:rsidRPr="005863E8" w:rsidR="00C27769" w:rsidP="00C27769" w:rsidRDefault="00C27769" w14:paraId="2286C6C3" w14:textId="77777777">
      <w:pPr>
        <w:pStyle w:val="Tablecontd"/>
      </w:pPr>
      <w:r w:rsidRPr="005863E8">
        <w:t>(continued)</w:t>
      </w:r>
    </w:p>
    <w:p w:rsidR="00C27769" w:rsidP="00C27769" w:rsidRDefault="00C27769" w14:paraId="2783D8D2" w14:textId="77777777">
      <w:pPr>
        <w:spacing w:after="160" w:line="259" w:lineRule="auto"/>
        <w:rPr>
          <w:rFonts w:ascii="Arial Black" w:hAnsi="Arial Black"/>
          <w:snapToGrid w:val="0"/>
          <w:color w:val="0A357E"/>
        </w:rPr>
      </w:pPr>
      <w:r>
        <w:br w:type="page"/>
      </w:r>
    </w:p>
    <w:p w:rsidRPr="004E4DF5" w:rsidR="00C27769" w:rsidP="00C27769" w:rsidRDefault="00C27769" w14:paraId="0821A9B0" w14:textId="77777777">
      <w:pPr>
        <w:pStyle w:val="ExhibitTitleContinued"/>
        <w:jc w:val="center"/>
        <w:rPr>
          <w:rFonts w:ascii="Times New Roman Bold" w:hAnsi="Times New Roman Bold"/>
          <w:b/>
          <w:bCs/>
          <w:caps/>
          <w:color w:val="auto"/>
          <w:sz w:val="24"/>
          <w:szCs w:val="24"/>
        </w:rPr>
      </w:pPr>
      <w:r w:rsidRPr="004E4DF5">
        <w:rPr>
          <w:rFonts w:ascii="Times New Roman Bold" w:hAnsi="Times New Roman Bold"/>
          <w:b/>
          <w:bCs/>
          <w:caps/>
          <w:color w:val="auto"/>
          <w:sz w:val="24"/>
          <w:szCs w:val="24"/>
        </w:rPr>
        <w:lastRenderedPageBreak/>
        <w:t>Appendix A. Demographic Profile of Established Panel (continued)</w:t>
      </w:r>
    </w:p>
    <w:tbl>
      <w:tblPr>
        <w:tblStyle w:val="TableGrid"/>
        <w:tblW w:w="9450" w:type="dxa"/>
        <w:tblLayout w:type="fixed"/>
        <w:tblLook w:val="04A0" w:firstRow="1" w:lastRow="0" w:firstColumn="1" w:lastColumn="0" w:noHBand="0" w:noVBand="1"/>
      </w:tblPr>
      <w:tblGrid>
        <w:gridCol w:w="5400"/>
        <w:gridCol w:w="1980"/>
        <w:gridCol w:w="2070"/>
      </w:tblGrid>
      <w:tr w:rsidRPr="00535397" w:rsidR="00C27769" w:rsidTr="005D4467" w14:paraId="12D153DE" w14:textId="77777777">
        <w:tc>
          <w:tcPr>
            <w:tcW w:w="5400" w:type="dxa"/>
          </w:tcPr>
          <w:p w:rsidRPr="00535397" w:rsidR="00C27769" w:rsidP="005D4467" w:rsidRDefault="00C27769" w14:paraId="0E777DA9" w14:textId="77777777">
            <w:pPr>
              <w:pStyle w:val="TableHeaders"/>
              <w:spacing w:before="30"/>
              <w:rPr>
                <w:szCs w:val="22"/>
              </w:rPr>
            </w:pPr>
            <w:proofErr w:type="spellStart"/>
            <w:r w:rsidRPr="00535397">
              <w:rPr>
                <w:szCs w:val="22"/>
              </w:rPr>
              <w:t>Characteristic</w:t>
            </w:r>
            <w:r w:rsidRPr="00535397">
              <w:rPr>
                <w:szCs w:val="22"/>
                <w:vertAlign w:val="superscript"/>
              </w:rPr>
              <w:t>a</w:t>
            </w:r>
            <w:proofErr w:type="spellEnd"/>
          </w:p>
        </w:tc>
        <w:tc>
          <w:tcPr>
            <w:tcW w:w="1980" w:type="dxa"/>
          </w:tcPr>
          <w:p w:rsidRPr="00535397" w:rsidR="00C27769" w:rsidP="005D4467" w:rsidRDefault="00C27769" w14:paraId="191C8321" w14:textId="77777777">
            <w:pPr>
              <w:pStyle w:val="TableHeaders"/>
              <w:spacing w:before="30"/>
              <w:rPr>
                <w:szCs w:val="22"/>
              </w:rPr>
            </w:pPr>
            <w:r w:rsidRPr="00535397">
              <w:rPr>
                <w:szCs w:val="22"/>
              </w:rPr>
              <w:t>N</w:t>
            </w:r>
          </w:p>
        </w:tc>
        <w:tc>
          <w:tcPr>
            <w:tcW w:w="2070" w:type="dxa"/>
          </w:tcPr>
          <w:p w:rsidRPr="00535397" w:rsidR="00C27769" w:rsidP="005D4467" w:rsidRDefault="00C27769" w14:paraId="75DF4E72" w14:textId="77777777">
            <w:pPr>
              <w:pStyle w:val="TableHeaders"/>
              <w:spacing w:before="30"/>
              <w:rPr>
                <w:szCs w:val="22"/>
              </w:rPr>
            </w:pPr>
            <w:r w:rsidRPr="00535397">
              <w:rPr>
                <w:szCs w:val="22"/>
              </w:rPr>
              <w:t>Percentage</w:t>
            </w:r>
          </w:p>
        </w:tc>
      </w:tr>
      <w:tr w:rsidRPr="00535397" w:rsidR="00C27769" w:rsidTr="005D4467" w14:paraId="0C6C5255" w14:textId="77777777">
        <w:tc>
          <w:tcPr>
            <w:tcW w:w="9450" w:type="dxa"/>
            <w:gridSpan w:val="3"/>
          </w:tcPr>
          <w:p w:rsidRPr="00535397" w:rsidR="00C27769" w:rsidP="005D4467" w:rsidRDefault="00C27769" w14:paraId="038B2738" w14:textId="77777777">
            <w:pPr>
              <w:pStyle w:val="Tabletext"/>
              <w:spacing w:before="30"/>
              <w:rPr>
                <w:szCs w:val="22"/>
              </w:rPr>
            </w:pPr>
            <w:r w:rsidRPr="00535397">
              <w:rPr>
                <w:b/>
                <w:bCs/>
                <w:szCs w:val="22"/>
              </w:rPr>
              <w:t>Household Income</w:t>
            </w:r>
          </w:p>
        </w:tc>
      </w:tr>
      <w:tr w:rsidRPr="00535397" w:rsidR="00C27769" w:rsidTr="005D4467" w14:paraId="22E77F87" w14:textId="77777777">
        <w:tc>
          <w:tcPr>
            <w:tcW w:w="5400" w:type="dxa"/>
          </w:tcPr>
          <w:p w:rsidRPr="00535397" w:rsidR="00C27769" w:rsidP="005D4467" w:rsidRDefault="00C27769" w14:paraId="329F4931"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Less than $30,000</w:t>
            </w:r>
          </w:p>
        </w:tc>
        <w:tc>
          <w:tcPr>
            <w:tcW w:w="1980" w:type="dxa"/>
          </w:tcPr>
          <w:p w:rsidRPr="00535397" w:rsidR="00C27769" w:rsidP="005D4467" w:rsidRDefault="00C27769" w14:paraId="23C7AD20" w14:textId="77777777">
            <w:pPr>
              <w:pStyle w:val="Tabletext"/>
              <w:spacing w:before="30"/>
              <w:jc w:val="center"/>
              <w:rPr>
                <w:szCs w:val="22"/>
              </w:rPr>
            </w:pPr>
            <w:r w:rsidRPr="00535397">
              <w:rPr>
                <w:szCs w:val="22"/>
              </w:rPr>
              <w:t>1,727</w:t>
            </w:r>
          </w:p>
        </w:tc>
        <w:tc>
          <w:tcPr>
            <w:tcW w:w="2070" w:type="dxa"/>
          </w:tcPr>
          <w:p w:rsidRPr="00535397" w:rsidR="00C27769" w:rsidP="005D4467" w:rsidRDefault="00C27769" w14:paraId="3E4973AD" w14:textId="77777777">
            <w:pPr>
              <w:pStyle w:val="Tabletext"/>
              <w:spacing w:before="30"/>
              <w:jc w:val="center"/>
              <w:rPr>
                <w:szCs w:val="22"/>
              </w:rPr>
            </w:pPr>
            <w:r w:rsidRPr="00535397">
              <w:rPr>
                <w:szCs w:val="22"/>
              </w:rPr>
              <w:t>44.4%</w:t>
            </w:r>
          </w:p>
        </w:tc>
      </w:tr>
      <w:tr w:rsidRPr="00535397" w:rsidR="00C27769" w:rsidTr="005D4467" w14:paraId="72A1CAB8" w14:textId="77777777">
        <w:tc>
          <w:tcPr>
            <w:tcW w:w="5400" w:type="dxa"/>
          </w:tcPr>
          <w:p w:rsidRPr="00535397" w:rsidR="00C27769" w:rsidP="005D4467" w:rsidRDefault="00C27769" w14:paraId="2614230E"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$30,000 to $49,999</w:t>
            </w:r>
          </w:p>
        </w:tc>
        <w:tc>
          <w:tcPr>
            <w:tcW w:w="1980" w:type="dxa"/>
          </w:tcPr>
          <w:p w:rsidRPr="00535397" w:rsidR="00C27769" w:rsidP="005D4467" w:rsidRDefault="00C27769" w14:paraId="6D918EB9" w14:textId="77777777">
            <w:pPr>
              <w:pStyle w:val="Tabletext"/>
              <w:spacing w:before="30"/>
              <w:jc w:val="center"/>
              <w:rPr>
                <w:szCs w:val="22"/>
              </w:rPr>
            </w:pPr>
            <w:r w:rsidRPr="00535397">
              <w:rPr>
                <w:szCs w:val="22"/>
              </w:rPr>
              <w:t>901</w:t>
            </w:r>
          </w:p>
        </w:tc>
        <w:tc>
          <w:tcPr>
            <w:tcW w:w="2070" w:type="dxa"/>
          </w:tcPr>
          <w:p w:rsidRPr="00535397" w:rsidR="00C27769" w:rsidP="005D4467" w:rsidRDefault="00C27769" w14:paraId="041D49B8" w14:textId="77777777">
            <w:pPr>
              <w:pStyle w:val="Tabletext"/>
              <w:spacing w:before="30"/>
              <w:jc w:val="center"/>
              <w:rPr>
                <w:szCs w:val="22"/>
              </w:rPr>
            </w:pPr>
            <w:r w:rsidRPr="00535397">
              <w:rPr>
                <w:szCs w:val="22"/>
              </w:rPr>
              <w:t>23.1%</w:t>
            </w:r>
          </w:p>
        </w:tc>
      </w:tr>
      <w:tr w:rsidRPr="00535397" w:rsidR="00C27769" w:rsidTr="005D4467" w14:paraId="39FF6379" w14:textId="77777777">
        <w:tc>
          <w:tcPr>
            <w:tcW w:w="5400" w:type="dxa"/>
          </w:tcPr>
          <w:p w:rsidRPr="00535397" w:rsidR="00C27769" w:rsidP="005D4467" w:rsidRDefault="00C27769" w14:paraId="43EADB7F"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$50,000 to $74,999</w:t>
            </w:r>
          </w:p>
        </w:tc>
        <w:tc>
          <w:tcPr>
            <w:tcW w:w="1980" w:type="dxa"/>
          </w:tcPr>
          <w:p w:rsidRPr="00535397" w:rsidR="00C27769" w:rsidP="005D4467" w:rsidRDefault="00C27769" w14:paraId="23F36B49" w14:textId="77777777">
            <w:pPr>
              <w:pStyle w:val="Tabletext"/>
              <w:spacing w:before="30"/>
              <w:jc w:val="center"/>
              <w:rPr>
                <w:szCs w:val="22"/>
              </w:rPr>
            </w:pPr>
            <w:r w:rsidRPr="00535397">
              <w:rPr>
                <w:szCs w:val="22"/>
              </w:rPr>
              <w:t>486</w:t>
            </w:r>
          </w:p>
        </w:tc>
        <w:tc>
          <w:tcPr>
            <w:tcW w:w="2070" w:type="dxa"/>
          </w:tcPr>
          <w:p w:rsidRPr="00535397" w:rsidR="00C27769" w:rsidP="005D4467" w:rsidRDefault="00C27769" w14:paraId="4C678252" w14:textId="77777777">
            <w:pPr>
              <w:pStyle w:val="Tabletext"/>
              <w:spacing w:before="30"/>
              <w:jc w:val="center"/>
              <w:rPr>
                <w:szCs w:val="22"/>
              </w:rPr>
            </w:pPr>
            <w:r w:rsidRPr="00535397">
              <w:rPr>
                <w:szCs w:val="22"/>
              </w:rPr>
              <w:t>12.5%</w:t>
            </w:r>
          </w:p>
        </w:tc>
      </w:tr>
      <w:tr w:rsidRPr="00535397" w:rsidR="00C27769" w:rsidTr="005D4467" w14:paraId="5A1D24EC" w14:textId="77777777">
        <w:tc>
          <w:tcPr>
            <w:tcW w:w="5400" w:type="dxa"/>
          </w:tcPr>
          <w:p w:rsidRPr="00535397" w:rsidR="00C27769" w:rsidP="005D4467" w:rsidRDefault="00C27769" w14:paraId="1597F113"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$75,000 to $99,999</w:t>
            </w:r>
          </w:p>
        </w:tc>
        <w:tc>
          <w:tcPr>
            <w:tcW w:w="1980" w:type="dxa"/>
          </w:tcPr>
          <w:p w:rsidRPr="00535397" w:rsidR="00C27769" w:rsidP="005D4467" w:rsidRDefault="00C27769" w14:paraId="010830C3" w14:textId="77777777">
            <w:pPr>
              <w:pStyle w:val="Tabletext"/>
              <w:spacing w:before="30"/>
              <w:jc w:val="center"/>
              <w:rPr>
                <w:szCs w:val="22"/>
              </w:rPr>
            </w:pPr>
            <w:r w:rsidRPr="00535397">
              <w:rPr>
                <w:szCs w:val="22"/>
              </w:rPr>
              <w:t>269</w:t>
            </w:r>
          </w:p>
        </w:tc>
        <w:tc>
          <w:tcPr>
            <w:tcW w:w="2070" w:type="dxa"/>
          </w:tcPr>
          <w:p w:rsidRPr="00535397" w:rsidR="00C27769" w:rsidP="005D4467" w:rsidRDefault="00C27769" w14:paraId="32434790" w14:textId="77777777">
            <w:pPr>
              <w:pStyle w:val="Tabletext"/>
              <w:spacing w:before="30"/>
              <w:jc w:val="center"/>
              <w:rPr>
                <w:szCs w:val="22"/>
              </w:rPr>
            </w:pPr>
            <w:r w:rsidRPr="00535397">
              <w:rPr>
                <w:szCs w:val="22"/>
              </w:rPr>
              <w:t>6.9%</w:t>
            </w:r>
          </w:p>
        </w:tc>
      </w:tr>
      <w:tr w:rsidRPr="00535397" w:rsidR="00C27769" w:rsidTr="005D4467" w14:paraId="5A0A6516" w14:textId="77777777">
        <w:tc>
          <w:tcPr>
            <w:tcW w:w="5400" w:type="dxa"/>
          </w:tcPr>
          <w:p w:rsidRPr="00535397" w:rsidR="00C27769" w:rsidP="005D4467" w:rsidRDefault="00C27769" w14:paraId="2B1E4D43"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$100,000 to $124,999</w:t>
            </w:r>
          </w:p>
        </w:tc>
        <w:tc>
          <w:tcPr>
            <w:tcW w:w="1980" w:type="dxa"/>
          </w:tcPr>
          <w:p w:rsidRPr="00535397" w:rsidR="00C27769" w:rsidP="005D4467" w:rsidRDefault="00C27769" w14:paraId="4486C520" w14:textId="77777777">
            <w:pPr>
              <w:pStyle w:val="Tabletext"/>
              <w:spacing w:before="30"/>
              <w:jc w:val="center"/>
              <w:rPr>
                <w:szCs w:val="22"/>
              </w:rPr>
            </w:pPr>
            <w:r w:rsidRPr="00535397">
              <w:rPr>
                <w:szCs w:val="22"/>
              </w:rPr>
              <w:t>141</w:t>
            </w:r>
          </w:p>
        </w:tc>
        <w:tc>
          <w:tcPr>
            <w:tcW w:w="2070" w:type="dxa"/>
          </w:tcPr>
          <w:p w:rsidRPr="00535397" w:rsidR="00C27769" w:rsidP="005D4467" w:rsidRDefault="00C27769" w14:paraId="014548E7" w14:textId="77777777">
            <w:pPr>
              <w:pStyle w:val="Tabletext"/>
              <w:spacing w:before="30"/>
              <w:jc w:val="center"/>
              <w:rPr>
                <w:szCs w:val="22"/>
              </w:rPr>
            </w:pPr>
            <w:r w:rsidRPr="00535397">
              <w:rPr>
                <w:szCs w:val="22"/>
              </w:rPr>
              <w:t>3.6%</w:t>
            </w:r>
          </w:p>
        </w:tc>
      </w:tr>
      <w:tr w:rsidRPr="00535397" w:rsidR="00C27769" w:rsidTr="005D4467" w14:paraId="14AA596E" w14:textId="77777777">
        <w:tc>
          <w:tcPr>
            <w:tcW w:w="5400" w:type="dxa"/>
          </w:tcPr>
          <w:p w:rsidRPr="00535397" w:rsidR="00C27769" w:rsidP="005D4467" w:rsidRDefault="00C27769" w14:paraId="5BD4EC69"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$125,000 to $149,999</w:t>
            </w:r>
          </w:p>
        </w:tc>
        <w:tc>
          <w:tcPr>
            <w:tcW w:w="1980" w:type="dxa"/>
          </w:tcPr>
          <w:p w:rsidRPr="00535397" w:rsidR="00C27769" w:rsidP="005D4467" w:rsidRDefault="00C27769" w14:paraId="127E6146" w14:textId="77777777">
            <w:pPr>
              <w:pStyle w:val="Tabletext"/>
              <w:spacing w:before="30"/>
              <w:jc w:val="center"/>
              <w:rPr>
                <w:szCs w:val="22"/>
              </w:rPr>
            </w:pPr>
            <w:r w:rsidRPr="00535397">
              <w:rPr>
                <w:szCs w:val="22"/>
              </w:rPr>
              <w:t>52</w:t>
            </w:r>
          </w:p>
        </w:tc>
        <w:tc>
          <w:tcPr>
            <w:tcW w:w="2070" w:type="dxa"/>
          </w:tcPr>
          <w:p w:rsidRPr="00535397" w:rsidR="00C27769" w:rsidP="005D4467" w:rsidRDefault="00C27769" w14:paraId="156667D7" w14:textId="77777777">
            <w:pPr>
              <w:pStyle w:val="Tabletext"/>
              <w:spacing w:before="30"/>
              <w:jc w:val="center"/>
              <w:rPr>
                <w:szCs w:val="22"/>
              </w:rPr>
            </w:pPr>
            <w:r w:rsidRPr="00535397">
              <w:rPr>
                <w:szCs w:val="22"/>
              </w:rPr>
              <w:t>1.3%</w:t>
            </w:r>
          </w:p>
        </w:tc>
      </w:tr>
      <w:tr w:rsidRPr="00535397" w:rsidR="00C27769" w:rsidTr="005D4467" w14:paraId="193AE95E" w14:textId="77777777">
        <w:tc>
          <w:tcPr>
            <w:tcW w:w="5400" w:type="dxa"/>
          </w:tcPr>
          <w:p w:rsidRPr="00535397" w:rsidR="00C27769" w:rsidP="005D4467" w:rsidRDefault="00C27769" w14:paraId="66359EE2"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$150,000 or more</w:t>
            </w:r>
          </w:p>
        </w:tc>
        <w:tc>
          <w:tcPr>
            <w:tcW w:w="1980" w:type="dxa"/>
          </w:tcPr>
          <w:p w:rsidRPr="00535397" w:rsidR="00C27769" w:rsidP="005D4467" w:rsidRDefault="00C27769" w14:paraId="321D40B5" w14:textId="77777777">
            <w:pPr>
              <w:pStyle w:val="Tabletext"/>
              <w:spacing w:before="30"/>
              <w:jc w:val="center"/>
              <w:rPr>
                <w:szCs w:val="22"/>
              </w:rPr>
            </w:pPr>
            <w:r w:rsidRPr="00535397">
              <w:rPr>
                <w:szCs w:val="22"/>
              </w:rPr>
              <w:t>97</w:t>
            </w:r>
          </w:p>
        </w:tc>
        <w:tc>
          <w:tcPr>
            <w:tcW w:w="2070" w:type="dxa"/>
          </w:tcPr>
          <w:p w:rsidRPr="00535397" w:rsidR="00C27769" w:rsidP="005D4467" w:rsidRDefault="00C27769" w14:paraId="27483C38" w14:textId="77777777">
            <w:pPr>
              <w:pStyle w:val="Tabletext"/>
              <w:spacing w:before="30"/>
              <w:jc w:val="center"/>
              <w:rPr>
                <w:szCs w:val="22"/>
              </w:rPr>
            </w:pPr>
            <w:r w:rsidRPr="00535397">
              <w:rPr>
                <w:szCs w:val="22"/>
              </w:rPr>
              <w:t>2.5%</w:t>
            </w:r>
          </w:p>
        </w:tc>
      </w:tr>
      <w:tr w:rsidRPr="00535397" w:rsidR="00C27769" w:rsidTr="005D4467" w14:paraId="68D00C72" w14:textId="77777777">
        <w:tc>
          <w:tcPr>
            <w:tcW w:w="5400" w:type="dxa"/>
          </w:tcPr>
          <w:p w:rsidRPr="00535397" w:rsidR="00C27769" w:rsidP="005D4467" w:rsidRDefault="00C27769" w14:paraId="04177765"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$30,000 or more (if other not available)</w:t>
            </w:r>
          </w:p>
        </w:tc>
        <w:tc>
          <w:tcPr>
            <w:tcW w:w="1980" w:type="dxa"/>
          </w:tcPr>
          <w:p w:rsidRPr="00535397" w:rsidR="00C27769" w:rsidP="005D4467" w:rsidRDefault="00C27769" w14:paraId="134C12AB" w14:textId="77777777">
            <w:pPr>
              <w:pStyle w:val="Tabletext"/>
              <w:spacing w:before="30"/>
              <w:jc w:val="center"/>
              <w:rPr>
                <w:szCs w:val="22"/>
              </w:rPr>
            </w:pPr>
            <w:r w:rsidRPr="00535397">
              <w:rPr>
                <w:szCs w:val="22"/>
              </w:rPr>
              <w:t>144</w:t>
            </w:r>
          </w:p>
        </w:tc>
        <w:tc>
          <w:tcPr>
            <w:tcW w:w="2070" w:type="dxa"/>
          </w:tcPr>
          <w:p w:rsidRPr="00535397" w:rsidR="00C27769" w:rsidP="005D4467" w:rsidRDefault="00C27769" w14:paraId="6874EDB4" w14:textId="77777777">
            <w:pPr>
              <w:pStyle w:val="Tabletext"/>
              <w:spacing w:before="30"/>
              <w:jc w:val="center"/>
              <w:rPr>
                <w:szCs w:val="22"/>
              </w:rPr>
            </w:pPr>
            <w:r w:rsidRPr="00535397">
              <w:rPr>
                <w:szCs w:val="22"/>
              </w:rPr>
              <w:t>3.7%</w:t>
            </w:r>
          </w:p>
        </w:tc>
      </w:tr>
      <w:tr w:rsidRPr="00535397" w:rsidR="00C27769" w:rsidTr="005D4467" w14:paraId="2929A889" w14:textId="77777777">
        <w:tc>
          <w:tcPr>
            <w:tcW w:w="5400" w:type="dxa"/>
          </w:tcPr>
          <w:p w:rsidRPr="00535397" w:rsidR="00C27769" w:rsidP="005D4467" w:rsidRDefault="00C27769" w14:paraId="107A6D80"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Missing</w:t>
            </w:r>
          </w:p>
        </w:tc>
        <w:tc>
          <w:tcPr>
            <w:tcW w:w="1980" w:type="dxa"/>
          </w:tcPr>
          <w:p w:rsidRPr="00535397" w:rsidR="00C27769" w:rsidP="005D4467" w:rsidRDefault="00C27769" w14:paraId="43C7732F" w14:textId="77777777">
            <w:pPr>
              <w:pStyle w:val="Tabletext"/>
              <w:spacing w:before="30"/>
              <w:jc w:val="center"/>
              <w:rPr>
                <w:szCs w:val="22"/>
              </w:rPr>
            </w:pPr>
            <w:r w:rsidRPr="00535397">
              <w:rPr>
                <w:szCs w:val="22"/>
              </w:rPr>
              <w:t>76</w:t>
            </w:r>
          </w:p>
        </w:tc>
        <w:tc>
          <w:tcPr>
            <w:tcW w:w="2070" w:type="dxa"/>
          </w:tcPr>
          <w:p w:rsidRPr="00535397" w:rsidR="00C27769" w:rsidP="005D4467" w:rsidRDefault="00C27769" w14:paraId="559AA7F1" w14:textId="77777777">
            <w:pPr>
              <w:pStyle w:val="Tabletext"/>
              <w:spacing w:before="30"/>
              <w:jc w:val="center"/>
              <w:rPr>
                <w:szCs w:val="22"/>
              </w:rPr>
            </w:pPr>
            <w:r w:rsidRPr="00535397">
              <w:rPr>
                <w:szCs w:val="22"/>
              </w:rPr>
              <w:t>2.0%</w:t>
            </w:r>
          </w:p>
        </w:tc>
      </w:tr>
      <w:tr w:rsidRPr="00535397" w:rsidR="00C27769" w:rsidTr="005D4467" w14:paraId="5392CC6C" w14:textId="77777777">
        <w:tc>
          <w:tcPr>
            <w:tcW w:w="9450" w:type="dxa"/>
            <w:gridSpan w:val="3"/>
          </w:tcPr>
          <w:p w:rsidRPr="00535397" w:rsidR="00C27769" w:rsidP="005D4467" w:rsidRDefault="00C27769" w14:paraId="3E335D65" w14:textId="77777777">
            <w:pPr>
              <w:pStyle w:val="Tabletext"/>
              <w:spacing w:before="30"/>
              <w:rPr>
                <w:szCs w:val="22"/>
              </w:rPr>
            </w:pPr>
            <w:r w:rsidRPr="00535397">
              <w:rPr>
                <w:b/>
                <w:szCs w:val="22"/>
              </w:rPr>
              <w:t xml:space="preserve">Tobacco Use for </w:t>
            </w:r>
            <w:proofErr w:type="spellStart"/>
            <w:r w:rsidRPr="00535397">
              <w:rPr>
                <w:b/>
                <w:szCs w:val="22"/>
              </w:rPr>
              <w:t>Enrollment</w:t>
            </w:r>
            <w:r w:rsidRPr="00535397">
              <w:rPr>
                <w:b/>
                <w:szCs w:val="22"/>
                <w:vertAlign w:val="superscript"/>
              </w:rPr>
              <w:t>c</w:t>
            </w:r>
            <w:proofErr w:type="spellEnd"/>
          </w:p>
        </w:tc>
      </w:tr>
      <w:tr w:rsidRPr="00535397" w:rsidR="00C27769" w:rsidTr="005D4467" w14:paraId="7F6EB0AC" w14:textId="77777777">
        <w:tc>
          <w:tcPr>
            <w:tcW w:w="5400" w:type="dxa"/>
          </w:tcPr>
          <w:p w:rsidRPr="00535397" w:rsidR="00C27769" w:rsidP="005D4467" w:rsidRDefault="00C27769" w14:paraId="41B9382E"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Cigarettes only</w:t>
            </w:r>
          </w:p>
        </w:tc>
        <w:tc>
          <w:tcPr>
            <w:tcW w:w="1980" w:type="dxa"/>
          </w:tcPr>
          <w:p w:rsidRPr="00535397" w:rsidR="00C27769" w:rsidP="005D4467" w:rsidRDefault="00C27769" w14:paraId="79AD1A98" w14:textId="77777777">
            <w:pPr>
              <w:pStyle w:val="Tabletext"/>
              <w:spacing w:before="30"/>
              <w:jc w:val="center"/>
              <w:rPr>
                <w:szCs w:val="22"/>
              </w:rPr>
            </w:pPr>
            <w:r w:rsidRPr="00535397">
              <w:rPr>
                <w:szCs w:val="22"/>
              </w:rPr>
              <w:t>2,163</w:t>
            </w:r>
          </w:p>
        </w:tc>
        <w:tc>
          <w:tcPr>
            <w:tcW w:w="2070" w:type="dxa"/>
          </w:tcPr>
          <w:p w:rsidRPr="00535397" w:rsidR="00C27769" w:rsidP="005D4467" w:rsidRDefault="00C27769" w14:paraId="00E229EA" w14:textId="77777777">
            <w:pPr>
              <w:pStyle w:val="Tabletext"/>
              <w:spacing w:before="30"/>
              <w:jc w:val="center"/>
              <w:rPr>
                <w:szCs w:val="22"/>
              </w:rPr>
            </w:pPr>
            <w:r w:rsidRPr="00535397">
              <w:rPr>
                <w:szCs w:val="22"/>
              </w:rPr>
              <w:t>55.5%</w:t>
            </w:r>
          </w:p>
        </w:tc>
      </w:tr>
      <w:tr w:rsidRPr="00535397" w:rsidR="00C27769" w:rsidTr="005D4467" w14:paraId="100A0785" w14:textId="77777777">
        <w:tc>
          <w:tcPr>
            <w:tcW w:w="5400" w:type="dxa"/>
          </w:tcPr>
          <w:p w:rsidRPr="00535397" w:rsidR="00C27769" w:rsidP="005D4467" w:rsidRDefault="00C27769" w14:paraId="547CBF4E"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Cigars only</w:t>
            </w:r>
          </w:p>
        </w:tc>
        <w:tc>
          <w:tcPr>
            <w:tcW w:w="1980" w:type="dxa"/>
          </w:tcPr>
          <w:p w:rsidRPr="00535397" w:rsidR="00C27769" w:rsidP="005D4467" w:rsidRDefault="00C27769" w14:paraId="50C3EC46" w14:textId="77777777">
            <w:pPr>
              <w:pStyle w:val="Tabletext"/>
              <w:spacing w:before="30"/>
              <w:jc w:val="center"/>
              <w:rPr>
                <w:szCs w:val="22"/>
              </w:rPr>
            </w:pPr>
            <w:r w:rsidRPr="00535397">
              <w:rPr>
                <w:szCs w:val="22"/>
              </w:rPr>
              <w:t>303</w:t>
            </w:r>
          </w:p>
        </w:tc>
        <w:tc>
          <w:tcPr>
            <w:tcW w:w="2070" w:type="dxa"/>
          </w:tcPr>
          <w:p w:rsidRPr="00535397" w:rsidR="00C27769" w:rsidP="005D4467" w:rsidRDefault="00C27769" w14:paraId="074C2A93" w14:textId="77777777">
            <w:pPr>
              <w:pStyle w:val="Tabletext"/>
              <w:spacing w:before="30"/>
              <w:jc w:val="center"/>
              <w:rPr>
                <w:szCs w:val="22"/>
              </w:rPr>
            </w:pPr>
            <w:r w:rsidRPr="00535397">
              <w:rPr>
                <w:szCs w:val="22"/>
              </w:rPr>
              <w:t>7.8%</w:t>
            </w:r>
          </w:p>
        </w:tc>
      </w:tr>
      <w:tr w:rsidRPr="00535397" w:rsidR="00C27769" w:rsidTr="005D4467" w14:paraId="0F149FA9" w14:textId="77777777">
        <w:tc>
          <w:tcPr>
            <w:tcW w:w="5400" w:type="dxa"/>
          </w:tcPr>
          <w:p w:rsidRPr="00535397" w:rsidR="00C27769" w:rsidP="005D4467" w:rsidRDefault="00C27769" w14:paraId="6BCF430B"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Smokeless tobacco only</w:t>
            </w:r>
          </w:p>
        </w:tc>
        <w:tc>
          <w:tcPr>
            <w:tcW w:w="1980" w:type="dxa"/>
          </w:tcPr>
          <w:p w:rsidRPr="00535397" w:rsidR="00C27769" w:rsidP="005D4467" w:rsidRDefault="00C27769" w14:paraId="094BF303" w14:textId="77777777">
            <w:pPr>
              <w:pStyle w:val="Tabletext"/>
              <w:spacing w:before="30"/>
              <w:jc w:val="center"/>
              <w:rPr>
                <w:szCs w:val="22"/>
              </w:rPr>
            </w:pPr>
            <w:r w:rsidRPr="00535397">
              <w:rPr>
                <w:szCs w:val="22"/>
              </w:rPr>
              <w:t>428</w:t>
            </w:r>
          </w:p>
        </w:tc>
        <w:tc>
          <w:tcPr>
            <w:tcW w:w="2070" w:type="dxa"/>
          </w:tcPr>
          <w:p w:rsidRPr="00535397" w:rsidR="00C27769" w:rsidP="005D4467" w:rsidRDefault="00C27769" w14:paraId="41B670DD" w14:textId="77777777">
            <w:pPr>
              <w:pStyle w:val="Tabletext"/>
              <w:spacing w:before="30"/>
              <w:jc w:val="center"/>
              <w:rPr>
                <w:szCs w:val="22"/>
              </w:rPr>
            </w:pPr>
            <w:r w:rsidRPr="00535397">
              <w:rPr>
                <w:szCs w:val="22"/>
              </w:rPr>
              <w:t>11.0%</w:t>
            </w:r>
          </w:p>
        </w:tc>
      </w:tr>
      <w:tr w:rsidRPr="00535397" w:rsidR="00C27769" w:rsidTr="005D4467" w14:paraId="66D76020" w14:textId="77777777">
        <w:tc>
          <w:tcPr>
            <w:tcW w:w="5400" w:type="dxa"/>
          </w:tcPr>
          <w:p w:rsidRPr="00535397" w:rsidR="00C27769" w:rsidP="005D4467" w:rsidRDefault="00C27769" w14:paraId="253DD3EA"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Two of the three tobacco products</w:t>
            </w:r>
          </w:p>
        </w:tc>
        <w:tc>
          <w:tcPr>
            <w:tcW w:w="1980" w:type="dxa"/>
          </w:tcPr>
          <w:p w:rsidRPr="00535397" w:rsidR="00C27769" w:rsidP="005D4467" w:rsidRDefault="00C27769" w14:paraId="4FF7705A" w14:textId="77777777">
            <w:pPr>
              <w:pStyle w:val="Tabletext"/>
              <w:spacing w:before="30"/>
              <w:jc w:val="center"/>
              <w:rPr>
                <w:szCs w:val="22"/>
              </w:rPr>
            </w:pPr>
            <w:r w:rsidRPr="00535397">
              <w:rPr>
                <w:szCs w:val="22"/>
              </w:rPr>
              <w:t>852</w:t>
            </w:r>
          </w:p>
        </w:tc>
        <w:tc>
          <w:tcPr>
            <w:tcW w:w="2070" w:type="dxa"/>
          </w:tcPr>
          <w:p w:rsidRPr="00535397" w:rsidR="00C27769" w:rsidP="005D4467" w:rsidRDefault="00C27769" w14:paraId="629E1D50" w14:textId="77777777">
            <w:pPr>
              <w:pStyle w:val="Tabletext"/>
              <w:spacing w:before="30"/>
              <w:jc w:val="center"/>
              <w:rPr>
                <w:szCs w:val="22"/>
              </w:rPr>
            </w:pPr>
            <w:r w:rsidRPr="00535397">
              <w:rPr>
                <w:szCs w:val="22"/>
              </w:rPr>
              <w:t>21.9%</w:t>
            </w:r>
          </w:p>
        </w:tc>
      </w:tr>
      <w:tr w:rsidRPr="00535397" w:rsidR="00C27769" w:rsidTr="005D4467" w14:paraId="6A021178" w14:textId="77777777">
        <w:tc>
          <w:tcPr>
            <w:tcW w:w="5400" w:type="dxa"/>
          </w:tcPr>
          <w:p w:rsidRPr="00535397" w:rsidR="00C27769" w:rsidP="005D4467" w:rsidRDefault="00C27769" w14:paraId="6F8F9233"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All three tobacco products</w:t>
            </w:r>
          </w:p>
        </w:tc>
        <w:tc>
          <w:tcPr>
            <w:tcW w:w="1980" w:type="dxa"/>
          </w:tcPr>
          <w:p w:rsidRPr="00535397" w:rsidR="00C27769" w:rsidP="005D4467" w:rsidRDefault="00C27769" w14:paraId="71E8A1EA" w14:textId="77777777">
            <w:pPr>
              <w:pStyle w:val="Tabletext"/>
              <w:spacing w:before="30"/>
              <w:jc w:val="center"/>
              <w:rPr>
                <w:szCs w:val="22"/>
              </w:rPr>
            </w:pPr>
            <w:r w:rsidRPr="00535397">
              <w:rPr>
                <w:szCs w:val="22"/>
              </w:rPr>
              <w:t>147</w:t>
            </w:r>
          </w:p>
        </w:tc>
        <w:tc>
          <w:tcPr>
            <w:tcW w:w="2070" w:type="dxa"/>
          </w:tcPr>
          <w:p w:rsidRPr="00535397" w:rsidR="00C27769" w:rsidP="005D4467" w:rsidRDefault="00C27769" w14:paraId="049883B9" w14:textId="77777777">
            <w:pPr>
              <w:pStyle w:val="Tabletext"/>
              <w:spacing w:before="30"/>
              <w:jc w:val="center"/>
              <w:rPr>
                <w:szCs w:val="22"/>
              </w:rPr>
            </w:pPr>
            <w:r w:rsidRPr="00535397">
              <w:rPr>
                <w:szCs w:val="22"/>
              </w:rPr>
              <w:t>3.8%</w:t>
            </w:r>
          </w:p>
        </w:tc>
      </w:tr>
      <w:tr w:rsidRPr="00535397" w:rsidR="00C27769" w:rsidTr="005D4467" w14:paraId="7B4EC028" w14:textId="77777777">
        <w:tc>
          <w:tcPr>
            <w:tcW w:w="9450" w:type="dxa"/>
            <w:gridSpan w:val="3"/>
          </w:tcPr>
          <w:p w:rsidRPr="00535397" w:rsidR="00C27769" w:rsidP="005D4467" w:rsidRDefault="00C27769" w14:paraId="6C650A73" w14:textId="77777777">
            <w:pPr>
              <w:pStyle w:val="Tabletext"/>
              <w:spacing w:before="30"/>
              <w:rPr>
                <w:szCs w:val="22"/>
              </w:rPr>
            </w:pPr>
            <w:r w:rsidRPr="00535397">
              <w:rPr>
                <w:b/>
                <w:szCs w:val="22"/>
              </w:rPr>
              <w:t>Current Tobacco Use</w:t>
            </w:r>
            <w:r w:rsidRPr="00535397">
              <w:rPr>
                <w:b/>
                <w:szCs w:val="22"/>
                <w:vertAlign w:val="superscript"/>
              </w:rPr>
              <w:t>d</w:t>
            </w:r>
          </w:p>
        </w:tc>
      </w:tr>
      <w:tr w:rsidRPr="00535397" w:rsidR="00C27769" w:rsidTr="005D4467" w14:paraId="6F6B6AD9" w14:textId="77777777">
        <w:tc>
          <w:tcPr>
            <w:tcW w:w="5400" w:type="dxa"/>
          </w:tcPr>
          <w:p w:rsidRPr="00535397" w:rsidR="00C27769" w:rsidP="005D4467" w:rsidRDefault="00C27769" w14:paraId="172EAB68"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Cigarettes</w:t>
            </w:r>
          </w:p>
        </w:tc>
        <w:tc>
          <w:tcPr>
            <w:tcW w:w="1980" w:type="dxa"/>
          </w:tcPr>
          <w:p w:rsidRPr="00535397" w:rsidR="00C27769" w:rsidP="005D4467" w:rsidRDefault="00C27769" w14:paraId="74726568" w14:textId="77777777">
            <w:pPr>
              <w:pStyle w:val="Tabletext"/>
              <w:spacing w:before="30"/>
              <w:jc w:val="center"/>
              <w:rPr>
                <w:szCs w:val="22"/>
              </w:rPr>
            </w:pPr>
            <w:r w:rsidRPr="00535397">
              <w:rPr>
                <w:szCs w:val="22"/>
              </w:rPr>
              <w:t>3,088</w:t>
            </w:r>
          </w:p>
        </w:tc>
        <w:tc>
          <w:tcPr>
            <w:tcW w:w="2070" w:type="dxa"/>
          </w:tcPr>
          <w:p w:rsidRPr="00535397" w:rsidR="00C27769" w:rsidP="005D4467" w:rsidRDefault="00C27769" w14:paraId="63A94290" w14:textId="77777777">
            <w:pPr>
              <w:pStyle w:val="Tabletext"/>
              <w:spacing w:before="30"/>
              <w:jc w:val="center"/>
              <w:rPr>
                <w:szCs w:val="22"/>
              </w:rPr>
            </w:pPr>
            <w:r w:rsidRPr="00535397">
              <w:rPr>
                <w:szCs w:val="22"/>
              </w:rPr>
              <w:t>79.3%</w:t>
            </w:r>
          </w:p>
        </w:tc>
      </w:tr>
      <w:tr w:rsidRPr="00535397" w:rsidR="00C27769" w:rsidTr="005D4467" w14:paraId="5977249A" w14:textId="77777777">
        <w:tc>
          <w:tcPr>
            <w:tcW w:w="5400" w:type="dxa"/>
          </w:tcPr>
          <w:p w:rsidRPr="00535397" w:rsidR="00C27769" w:rsidP="005D4467" w:rsidRDefault="00C27769" w14:paraId="06EEED30"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Cigars</w:t>
            </w:r>
          </w:p>
        </w:tc>
        <w:tc>
          <w:tcPr>
            <w:tcW w:w="1980" w:type="dxa"/>
          </w:tcPr>
          <w:p w:rsidRPr="00535397" w:rsidR="00C27769" w:rsidP="005D4467" w:rsidRDefault="00C27769" w14:paraId="170E02B6" w14:textId="77777777">
            <w:pPr>
              <w:pStyle w:val="Tabletext"/>
              <w:spacing w:before="30"/>
              <w:jc w:val="center"/>
              <w:rPr>
                <w:szCs w:val="22"/>
              </w:rPr>
            </w:pPr>
            <w:r w:rsidRPr="00535397">
              <w:rPr>
                <w:szCs w:val="22"/>
              </w:rPr>
              <w:t>1,127</w:t>
            </w:r>
          </w:p>
        </w:tc>
        <w:tc>
          <w:tcPr>
            <w:tcW w:w="2070" w:type="dxa"/>
          </w:tcPr>
          <w:p w:rsidRPr="00535397" w:rsidR="00C27769" w:rsidP="005D4467" w:rsidRDefault="00C27769" w14:paraId="0F8AC368" w14:textId="77777777">
            <w:pPr>
              <w:pStyle w:val="Tabletext"/>
              <w:spacing w:before="30"/>
              <w:jc w:val="center"/>
              <w:rPr>
                <w:szCs w:val="22"/>
              </w:rPr>
            </w:pPr>
            <w:r w:rsidRPr="00535397">
              <w:rPr>
                <w:szCs w:val="22"/>
              </w:rPr>
              <w:t>28.9%</w:t>
            </w:r>
          </w:p>
        </w:tc>
      </w:tr>
      <w:tr w:rsidRPr="00535397" w:rsidR="00C27769" w:rsidTr="005D4467" w14:paraId="7240FDFB" w14:textId="77777777">
        <w:tc>
          <w:tcPr>
            <w:tcW w:w="5400" w:type="dxa"/>
          </w:tcPr>
          <w:p w:rsidRPr="00535397" w:rsidR="00C27769" w:rsidP="005D4467" w:rsidRDefault="00C27769" w14:paraId="4AC40E26"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 xml:space="preserve">Smokeless tobacco </w:t>
            </w:r>
          </w:p>
        </w:tc>
        <w:tc>
          <w:tcPr>
            <w:tcW w:w="1980" w:type="dxa"/>
          </w:tcPr>
          <w:p w:rsidRPr="00535397" w:rsidR="00C27769" w:rsidP="005D4467" w:rsidRDefault="00C27769" w14:paraId="5E5F985A" w14:textId="77777777">
            <w:pPr>
              <w:pStyle w:val="Tabletext"/>
              <w:spacing w:before="30"/>
              <w:jc w:val="center"/>
              <w:rPr>
                <w:szCs w:val="22"/>
              </w:rPr>
            </w:pPr>
            <w:r w:rsidRPr="00535397">
              <w:rPr>
                <w:szCs w:val="22"/>
              </w:rPr>
              <w:t>824</w:t>
            </w:r>
          </w:p>
        </w:tc>
        <w:tc>
          <w:tcPr>
            <w:tcW w:w="2070" w:type="dxa"/>
          </w:tcPr>
          <w:p w:rsidRPr="00535397" w:rsidR="00C27769" w:rsidP="005D4467" w:rsidRDefault="00C27769" w14:paraId="146498A7" w14:textId="77777777">
            <w:pPr>
              <w:pStyle w:val="Tabletext"/>
              <w:spacing w:before="30"/>
              <w:jc w:val="center"/>
              <w:rPr>
                <w:szCs w:val="22"/>
              </w:rPr>
            </w:pPr>
            <w:r w:rsidRPr="00535397">
              <w:rPr>
                <w:szCs w:val="22"/>
              </w:rPr>
              <w:t>21.2%</w:t>
            </w:r>
          </w:p>
        </w:tc>
      </w:tr>
      <w:tr w:rsidRPr="00535397" w:rsidR="00C27769" w:rsidTr="005D4467" w14:paraId="6F2BCE5A" w14:textId="77777777">
        <w:tc>
          <w:tcPr>
            <w:tcW w:w="5400" w:type="dxa"/>
          </w:tcPr>
          <w:p w:rsidRPr="00535397" w:rsidR="00C27769" w:rsidP="005D4467" w:rsidRDefault="00C27769" w14:paraId="425C72AE"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 xml:space="preserve">Poly use of cigarettes, cigars, and or smokeless </w:t>
            </w:r>
          </w:p>
        </w:tc>
        <w:tc>
          <w:tcPr>
            <w:tcW w:w="1980" w:type="dxa"/>
          </w:tcPr>
          <w:p w:rsidRPr="00535397" w:rsidR="00C27769" w:rsidP="005D4467" w:rsidRDefault="00C27769" w14:paraId="6FA857A6" w14:textId="77777777">
            <w:pPr>
              <w:pStyle w:val="Tabletext"/>
              <w:spacing w:before="30"/>
              <w:jc w:val="center"/>
              <w:rPr>
                <w:szCs w:val="22"/>
              </w:rPr>
            </w:pPr>
            <w:r w:rsidRPr="00535397">
              <w:rPr>
                <w:szCs w:val="22"/>
              </w:rPr>
              <w:t>999</w:t>
            </w:r>
          </w:p>
        </w:tc>
        <w:tc>
          <w:tcPr>
            <w:tcW w:w="2070" w:type="dxa"/>
          </w:tcPr>
          <w:p w:rsidRPr="00535397" w:rsidR="00C27769" w:rsidP="005D4467" w:rsidRDefault="00C27769" w14:paraId="28375E5D" w14:textId="77777777">
            <w:pPr>
              <w:pStyle w:val="Tabletext"/>
              <w:spacing w:before="30"/>
              <w:jc w:val="center"/>
              <w:rPr>
                <w:szCs w:val="22"/>
              </w:rPr>
            </w:pPr>
            <w:r w:rsidRPr="00535397">
              <w:rPr>
                <w:szCs w:val="22"/>
              </w:rPr>
              <w:t>25.7%</w:t>
            </w:r>
          </w:p>
        </w:tc>
      </w:tr>
      <w:tr w:rsidRPr="00535397" w:rsidR="00C27769" w:rsidTr="005D4467" w14:paraId="32367C24" w14:textId="77777777">
        <w:tc>
          <w:tcPr>
            <w:tcW w:w="5400" w:type="dxa"/>
          </w:tcPr>
          <w:p w:rsidRPr="00535397" w:rsidR="00C27769" w:rsidP="005D4467" w:rsidRDefault="00C27769" w14:paraId="7E985837"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E-cigarettes</w:t>
            </w:r>
          </w:p>
        </w:tc>
        <w:tc>
          <w:tcPr>
            <w:tcW w:w="1980" w:type="dxa"/>
          </w:tcPr>
          <w:p w:rsidRPr="00535397" w:rsidR="00C27769" w:rsidP="005D4467" w:rsidRDefault="00C27769" w14:paraId="357D2A32" w14:textId="77777777">
            <w:pPr>
              <w:pStyle w:val="Tabletext"/>
              <w:spacing w:before="30"/>
              <w:jc w:val="center"/>
              <w:rPr>
                <w:szCs w:val="22"/>
              </w:rPr>
            </w:pPr>
            <w:r w:rsidRPr="00535397">
              <w:rPr>
                <w:szCs w:val="22"/>
              </w:rPr>
              <w:t>544</w:t>
            </w:r>
          </w:p>
        </w:tc>
        <w:tc>
          <w:tcPr>
            <w:tcW w:w="2070" w:type="dxa"/>
          </w:tcPr>
          <w:p w:rsidRPr="00535397" w:rsidR="00C27769" w:rsidP="005D4467" w:rsidRDefault="00C27769" w14:paraId="1DC88F84" w14:textId="77777777">
            <w:pPr>
              <w:pStyle w:val="Tabletext"/>
              <w:spacing w:before="30"/>
              <w:jc w:val="center"/>
              <w:rPr>
                <w:szCs w:val="22"/>
              </w:rPr>
            </w:pPr>
            <w:r w:rsidRPr="00535397">
              <w:rPr>
                <w:szCs w:val="22"/>
              </w:rPr>
              <w:t>14.0%</w:t>
            </w:r>
          </w:p>
        </w:tc>
      </w:tr>
      <w:tr w:rsidRPr="00535397" w:rsidR="00C27769" w:rsidTr="005D4467" w14:paraId="16ECAD08" w14:textId="77777777">
        <w:tc>
          <w:tcPr>
            <w:tcW w:w="5400" w:type="dxa"/>
          </w:tcPr>
          <w:p w:rsidRPr="00535397" w:rsidR="00C27769" w:rsidP="005D4467" w:rsidRDefault="00C27769" w14:paraId="6F454BF7"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Pipe</w:t>
            </w:r>
          </w:p>
        </w:tc>
        <w:tc>
          <w:tcPr>
            <w:tcW w:w="1980" w:type="dxa"/>
          </w:tcPr>
          <w:p w:rsidRPr="00535397" w:rsidR="00C27769" w:rsidP="005D4467" w:rsidRDefault="00C27769" w14:paraId="5080293B" w14:textId="77777777">
            <w:pPr>
              <w:pStyle w:val="Tabletext"/>
              <w:spacing w:before="30"/>
              <w:jc w:val="center"/>
              <w:rPr>
                <w:szCs w:val="22"/>
              </w:rPr>
            </w:pPr>
            <w:r w:rsidRPr="00535397">
              <w:rPr>
                <w:szCs w:val="22"/>
              </w:rPr>
              <w:t>188</w:t>
            </w:r>
          </w:p>
        </w:tc>
        <w:tc>
          <w:tcPr>
            <w:tcW w:w="2070" w:type="dxa"/>
          </w:tcPr>
          <w:p w:rsidRPr="00535397" w:rsidR="00C27769" w:rsidP="005D4467" w:rsidRDefault="00C27769" w14:paraId="5FBAA8DA" w14:textId="77777777">
            <w:pPr>
              <w:pStyle w:val="Tabletext"/>
              <w:spacing w:before="30"/>
              <w:jc w:val="center"/>
              <w:rPr>
                <w:szCs w:val="22"/>
              </w:rPr>
            </w:pPr>
            <w:r w:rsidRPr="00535397">
              <w:rPr>
                <w:szCs w:val="22"/>
              </w:rPr>
              <w:t>4.8%</w:t>
            </w:r>
          </w:p>
        </w:tc>
      </w:tr>
      <w:tr w:rsidRPr="00535397" w:rsidR="00C27769" w:rsidTr="005D4467" w14:paraId="10194C9C" w14:textId="77777777">
        <w:tc>
          <w:tcPr>
            <w:tcW w:w="5400" w:type="dxa"/>
          </w:tcPr>
          <w:p w:rsidRPr="00535397" w:rsidR="00C27769" w:rsidP="005D4467" w:rsidRDefault="00C27769" w14:paraId="10B6CCB9"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Water pipe or hookah</w:t>
            </w:r>
          </w:p>
        </w:tc>
        <w:tc>
          <w:tcPr>
            <w:tcW w:w="1980" w:type="dxa"/>
          </w:tcPr>
          <w:p w:rsidRPr="00535397" w:rsidR="00C27769" w:rsidP="005D4467" w:rsidRDefault="00C27769" w14:paraId="4FD88D41" w14:textId="77777777">
            <w:pPr>
              <w:pStyle w:val="Tabletext"/>
              <w:spacing w:before="30"/>
              <w:jc w:val="center"/>
              <w:rPr>
                <w:szCs w:val="22"/>
              </w:rPr>
            </w:pPr>
            <w:r w:rsidRPr="00535397">
              <w:rPr>
                <w:szCs w:val="22"/>
              </w:rPr>
              <w:t>306</w:t>
            </w:r>
          </w:p>
        </w:tc>
        <w:tc>
          <w:tcPr>
            <w:tcW w:w="2070" w:type="dxa"/>
          </w:tcPr>
          <w:p w:rsidRPr="00535397" w:rsidR="00C27769" w:rsidP="005D4467" w:rsidRDefault="00C27769" w14:paraId="41AFCB5B" w14:textId="77777777">
            <w:pPr>
              <w:pStyle w:val="Tabletext"/>
              <w:spacing w:before="30"/>
              <w:jc w:val="center"/>
              <w:rPr>
                <w:szCs w:val="22"/>
              </w:rPr>
            </w:pPr>
            <w:r w:rsidRPr="00535397">
              <w:rPr>
                <w:szCs w:val="22"/>
              </w:rPr>
              <w:t>7.9%</w:t>
            </w:r>
          </w:p>
        </w:tc>
      </w:tr>
      <w:tr w:rsidRPr="00535397" w:rsidR="00C27769" w:rsidTr="005D4467" w14:paraId="31E35AC2" w14:textId="77777777">
        <w:tc>
          <w:tcPr>
            <w:tcW w:w="5400" w:type="dxa"/>
          </w:tcPr>
          <w:p w:rsidRPr="00535397" w:rsidR="00C27769" w:rsidP="005D4467" w:rsidRDefault="00C27769" w14:paraId="359CBB63"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Other tobacco products</w:t>
            </w:r>
          </w:p>
        </w:tc>
        <w:tc>
          <w:tcPr>
            <w:tcW w:w="1980" w:type="dxa"/>
          </w:tcPr>
          <w:p w:rsidRPr="00535397" w:rsidR="00C27769" w:rsidP="005D4467" w:rsidRDefault="00C27769" w14:paraId="58CDA014" w14:textId="77777777">
            <w:pPr>
              <w:pStyle w:val="Tabletext"/>
              <w:spacing w:before="30"/>
              <w:jc w:val="center"/>
              <w:rPr>
                <w:szCs w:val="22"/>
              </w:rPr>
            </w:pPr>
            <w:r w:rsidRPr="00535397">
              <w:rPr>
                <w:szCs w:val="22"/>
              </w:rPr>
              <w:t>159</w:t>
            </w:r>
          </w:p>
        </w:tc>
        <w:tc>
          <w:tcPr>
            <w:tcW w:w="2070" w:type="dxa"/>
          </w:tcPr>
          <w:p w:rsidRPr="00535397" w:rsidR="00C27769" w:rsidP="005D4467" w:rsidRDefault="00C27769" w14:paraId="6382F44F" w14:textId="77777777">
            <w:pPr>
              <w:pStyle w:val="Tabletext"/>
              <w:spacing w:before="30"/>
              <w:jc w:val="center"/>
              <w:rPr>
                <w:szCs w:val="22"/>
              </w:rPr>
            </w:pPr>
            <w:r w:rsidRPr="00535397">
              <w:rPr>
                <w:szCs w:val="22"/>
              </w:rPr>
              <w:t>4.1%</w:t>
            </w:r>
          </w:p>
        </w:tc>
      </w:tr>
      <w:tr w:rsidRPr="00535397" w:rsidR="00C27769" w:rsidTr="005D4467" w14:paraId="5C862426" w14:textId="77777777">
        <w:tc>
          <w:tcPr>
            <w:tcW w:w="9450" w:type="dxa"/>
            <w:gridSpan w:val="3"/>
          </w:tcPr>
          <w:p w:rsidRPr="00535397" w:rsidR="00C27769" w:rsidP="005D4467" w:rsidRDefault="00C27769" w14:paraId="7A1D9911" w14:textId="77777777">
            <w:pPr>
              <w:pStyle w:val="Tabletext"/>
              <w:rPr>
                <w:szCs w:val="22"/>
              </w:rPr>
            </w:pPr>
            <w:r w:rsidRPr="00535397">
              <w:rPr>
                <w:b/>
                <w:szCs w:val="22"/>
              </w:rPr>
              <w:t>Panel Participation Mode</w:t>
            </w:r>
          </w:p>
        </w:tc>
      </w:tr>
      <w:tr w:rsidRPr="00535397" w:rsidR="00C27769" w:rsidTr="005D4467" w14:paraId="0B22B68C" w14:textId="77777777">
        <w:tc>
          <w:tcPr>
            <w:tcW w:w="5400" w:type="dxa"/>
          </w:tcPr>
          <w:p w:rsidRPr="00535397" w:rsidR="00C27769" w:rsidP="005D4467" w:rsidRDefault="00C27769" w14:paraId="2125B321"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Web, using personal device</w:t>
            </w:r>
          </w:p>
        </w:tc>
        <w:tc>
          <w:tcPr>
            <w:tcW w:w="1980" w:type="dxa"/>
          </w:tcPr>
          <w:p w:rsidRPr="00535397" w:rsidR="00C27769" w:rsidP="005D4467" w:rsidRDefault="00C27769" w14:paraId="3E55ACFD" w14:textId="77777777">
            <w:pPr>
              <w:pStyle w:val="Tabletext"/>
              <w:jc w:val="center"/>
              <w:rPr>
                <w:szCs w:val="22"/>
              </w:rPr>
            </w:pPr>
            <w:r w:rsidRPr="00535397">
              <w:rPr>
                <w:szCs w:val="22"/>
              </w:rPr>
              <w:t>3,342</w:t>
            </w:r>
          </w:p>
        </w:tc>
        <w:tc>
          <w:tcPr>
            <w:tcW w:w="2070" w:type="dxa"/>
          </w:tcPr>
          <w:p w:rsidRPr="00535397" w:rsidR="00C27769" w:rsidP="005D4467" w:rsidRDefault="00C27769" w14:paraId="77DA41FE" w14:textId="77777777">
            <w:pPr>
              <w:pStyle w:val="Tabletext"/>
              <w:jc w:val="center"/>
              <w:rPr>
                <w:szCs w:val="22"/>
              </w:rPr>
            </w:pPr>
            <w:r w:rsidRPr="00535397">
              <w:rPr>
                <w:szCs w:val="22"/>
              </w:rPr>
              <w:t>85.8%</w:t>
            </w:r>
          </w:p>
        </w:tc>
      </w:tr>
      <w:tr w:rsidRPr="00535397" w:rsidR="00C27769" w:rsidTr="005D4467" w14:paraId="29B5D0F3" w14:textId="77777777">
        <w:tc>
          <w:tcPr>
            <w:tcW w:w="5400" w:type="dxa"/>
          </w:tcPr>
          <w:p w:rsidRPr="00535397" w:rsidR="00C27769" w:rsidP="005D4467" w:rsidRDefault="00C27769" w14:paraId="4DC1C358"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Mail mode</w:t>
            </w:r>
          </w:p>
        </w:tc>
        <w:tc>
          <w:tcPr>
            <w:tcW w:w="1980" w:type="dxa"/>
          </w:tcPr>
          <w:p w:rsidRPr="00535397" w:rsidR="00C27769" w:rsidP="005D4467" w:rsidRDefault="00C27769" w14:paraId="1D6FE070" w14:textId="77777777">
            <w:pPr>
              <w:pStyle w:val="Tabletext"/>
              <w:jc w:val="center"/>
              <w:rPr>
                <w:szCs w:val="22"/>
              </w:rPr>
            </w:pPr>
            <w:r w:rsidRPr="00535397">
              <w:rPr>
                <w:szCs w:val="22"/>
              </w:rPr>
              <w:t>546</w:t>
            </w:r>
          </w:p>
        </w:tc>
        <w:tc>
          <w:tcPr>
            <w:tcW w:w="2070" w:type="dxa"/>
          </w:tcPr>
          <w:p w:rsidRPr="00535397" w:rsidR="00C27769" w:rsidP="005D4467" w:rsidRDefault="00C27769" w14:paraId="6801D784" w14:textId="77777777">
            <w:pPr>
              <w:pStyle w:val="Tabletext"/>
              <w:jc w:val="center"/>
              <w:rPr>
                <w:szCs w:val="22"/>
              </w:rPr>
            </w:pPr>
            <w:r w:rsidRPr="00535397">
              <w:rPr>
                <w:szCs w:val="22"/>
              </w:rPr>
              <w:t>14.0%</w:t>
            </w:r>
          </w:p>
        </w:tc>
      </w:tr>
      <w:tr w:rsidRPr="00535397" w:rsidR="00C27769" w:rsidTr="005D4467" w14:paraId="4A8B6BC3" w14:textId="77777777">
        <w:tc>
          <w:tcPr>
            <w:tcW w:w="5400" w:type="dxa"/>
          </w:tcPr>
          <w:p w:rsidRPr="00535397" w:rsidR="00C27769" w:rsidP="005D4467" w:rsidRDefault="00C27769" w14:paraId="3F1DC6A1"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Web, using study-provided tablet</w:t>
            </w:r>
          </w:p>
        </w:tc>
        <w:tc>
          <w:tcPr>
            <w:tcW w:w="1980" w:type="dxa"/>
          </w:tcPr>
          <w:p w:rsidRPr="00535397" w:rsidR="00C27769" w:rsidP="005D4467" w:rsidRDefault="00C27769" w14:paraId="7459EBD9" w14:textId="77777777">
            <w:pPr>
              <w:pStyle w:val="Tabletext"/>
              <w:jc w:val="center"/>
              <w:rPr>
                <w:szCs w:val="22"/>
              </w:rPr>
            </w:pPr>
            <w:r w:rsidRPr="00535397">
              <w:rPr>
                <w:szCs w:val="22"/>
              </w:rPr>
              <w:t>5</w:t>
            </w:r>
          </w:p>
        </w:tc>
        <w:tc>
          <w:tcPr>
            <w:tcW w:w="2070" w:type="dxa"/>
          </w:tcPr>
          <w:p w:rsidRPr="00535397" w:rsidR="00C27769" w:rsidP="005D4467" w:rsidRDefault="00C27769" w14:paraId="38B9CA1C" w14:textId="77777777">
            <w:pPr>
              <w:pStyle w:val="Tabletext"/>
              <w:jc w:val="center"/>
              <w:rPr>
                <w:szCs w:val="22"/>
              </w:rPr>
            </w:pPr>
            <w:r w:rsidRPr="00535397">
              <w:rPr>
                <w:szCs w:val="22"/>
              </w:rPr>
              <w:t>0.1%</w:t>
            </w:r>
          </w:p>
        </w:tc>
      </w:tr>
      <w:tr w:rsidRPr="00535397" w:rsidR="00C27769" w:rsidTr="005D4467" w14:paraId="0482BB83" w14:textId="77777777">
        <w:tc>
          <w:tcPr>
            <w:tcW w:w="9450" w:type="dxa"/>
            <w:gridSpan w:val="3"/>
          </w:tcPr>
          <w:p w:rsidRPr="00535397" w:rsidR="00C27769" w:rsidP="005D4467" w:rsidRDefault="00C27769" w14:paraId="61B1FEA4" w14:textId="77777777">
            <w:pPr>
              <w:pStyle w:val="Tabletext"/>
              <w:rPr>
                <w:szCs w:val="22"/>
              </w:rPr>
            </w:pPr>
            <w:r w:rsidRPr="00535397">
              <w:rPr>
                <w:b/>
                <w:szCs w:val="22"/>
              </w:rPr>
              <w:t>Enrollment Language</w:t>
            </w:r>
          </w:p>
        </w:tc>
      </w:tr>
      <w:tr w:rsidRPr="00535397" w:rsidR="00C27769" w:rsidTr="005D4467" w14:paraId="5BF3B1E7" w14:textId="77777777">
        <w:tc>
          <w:tcPr>
            <w:tcW w:w="5400" w:type="dxa"/>
          </w:tcPr>
          <w:p w:rsidRPr="00535397" w:rsidR="00C27769" w:rsidP="005D4467" w:rsidRDefault="00C27769" w14:paraId="26605394"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English</w:t>
            </w:r>
          </w:p>
        </w:tc>
        <w:tc>
          <w:tcPr>
            <w:tcW w:w="1980" w:type="dxa"/>
          </w:tcPr>
          <w:p w:rsidRPr="00535397" w:rsidR="00C27769" w:rsidP="005D4467" w:rsidRDefault="00C27769" w14:paraId="58731713" w14:textId="77777777">
            <w:pPr>
              <w:pStyle w:val="Tabletext"/>
              <w:jc w:val="center"/>
              <w:rPr>
                <w:szCs w:val="22"/>
              </w:rPr>
            </w:pPr>
            <w:r w:rsidRPr="00535397">
              <w:rPr>
                <w:szCs w:val="22"/>
              </w:rPr>
              <w:t>3,789</w:t>
            </w:r>
          </w:p>
        </w:tc>
        <w:tc>
          <w:tcPr>
            <w:tcW w:w="2070" w:type="dxa"/>
          </w:tcPr>
          <w:p w:rsidRPr="00535397" w:rsidR="00C27769" w:rsidP="005D4467" w:rsidRDefault="00C27769" w14:paraId="52492A97" w14:textId="77777777">
            <w:pPr>
              <w:pStyle w:val="Tabletext"/>
              <w:jc w:val="center"/>
              <w:rPr>
                <w:szCs w:val="22"/>
              </w:rPr>
            </w:pPr>
            <w:r w:rsidRPr="00535397">
              <w:rPr>
                <w:szCs w:val="22"/>
              </w:rPr>
              <w:t>97.3%</w:t>
            </w:r>
          </w:p>
        </w:tc>
      </w:tr>
      <w:tr w:rsidRPr="00535397" w:rsidR="00C27769" w:rsidTr="005D4467" w14:paraId="2803D4E2" w14:textId="77777777">
        <w:tc>
          <w:tcPr>
            <w:tcW w:w="5400" w:type="dxa"/>
          </w:tcPr>
          <w:p w:rsidRPr="00535397" w:rsidR="00C27769" w:rsidP="005D4467" w:rsidRDefault="00C27769" w14:paraId="2EFCDCF6"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Spanish</w:t>
            </w:r>
          </w:p>
        </w:tc>
        <w:tc>
          <w:tcPr>
            <w:tcW w:w="1980" w:type="dxa"/>
          </w:tcPr>
          <w:p w:rsidRPr="00535397" w:rsidR="00C27769" w:rsidP="005D4467" w:rsidRDefault="00C27769" w14:paraId="35B58E61" w14:textId="77777777">
            <w:pPr>
              <w:pStyle w:val="Tabletext"/>
              <w:jc w:val="center"/>
              <w:rPr>
                <w:szCs w:val="22"/>
              </w:rPr>
            </w:pPr>
            <w:r w:rsidRPr="00535397">
              <w:rPr>
                <w:szCs w:val="22"/>
              </w:rPr>
              <w:t>104</w:t>
            </w:r>
          </w:p>
        </w:tc>
        <w:tc>
          <w:tcPr>
            <w:tcW w:w="2070" w:type="dxa"/>
          </w:tcPr>
          <w:p w:rsidRPr="00535397" w:rsidR="00C27769" w:rsidP="005D4467" w:rsidRDefault="00C27769" w14:paraId="1123DDE2" w14:textId="77777777">
            <w:pPr>
              <w:pStyle w:val="Tabletext"/>
              <w:jc w:val="center"/>
              <w:rPr>
                <w:szCs w:val="22"/>
              </w:rPr>
            </w:pPr>
            <w:r w:rsidRPr="00535397">
              <w:rPr>
                <w:szCs w:val="22"/>
              </w:rPr>
              <w:t>2.7%</w:t>
            </w:r>
          </w:p>
        </w:tc>
      </w:tr>
    </w:tbl>
    <w:p w:rsidRPr="00535397" w:rsidR="00C27769" w:rsidP="00C27769" w:rsidRDefault="00C27769" w14:paraId="360ABB44" w14:textId="77777777">
      <w:pPr>
        <w:pStyle w:val="exhibitsource1"/>
        <w:spacing w:after="0"/>
        <w:ind w:left="180" w:hanging="180"/>
      </w:pPr>
      <w:r w:rsidRPr="00535397">
        <w:rPr>
          <w:vertAlign w:val="superscript"/>
        </w:rPr>
        <w:t>a</w:t>
      </w:r>
      <w:r w:rsidRPr="00535397">
        <w:t xml:space="preserve"> </w:t>
      </w:r>
      <w:r w:rsidRPr="00535397">
        <w:tab/>
        <w:t>Missing includes Don’t Know, Refused, and Not Available categories.</w:t>
      </w:r>
    </w:p>
    <w:p w:rsidRPr="00535397" w:rsidR="00C27769" w:rsidP="00C27769" w:rsidRDefault="00C27769" w14:paraId="54BEFF63" w14:textId="77777777">
      <w:pPr>
        <w:pStyle w:val="exhibitsource1"/>
        <w:spacing w:after="0"/>
        <w:ind w:left="180" w:hanging="180"/>
      </w:pPr>
      <w:r w:rsidRPr="00535397">
        <w:rPr>
          <w:vertAlign w:val="superscript"/>
        </w:rPr>
        <w:t xml:space="preserve">b </w:t>
      </w:r>
      <w:r w:rsidRPr="00535397">
        <w:rPr>
          <w:vertAlign w:val="superscript"/>
        </w:rPr>
        <w:tab/>
      </w:r>
      <w:r w:rsidRPr="00535397">
        <w:t>Includes one panel member from the national implementation phase who passed away after enrollment.</w:t>
      </w:r>
    </w:p>
    <w:p w:rsidRPr="00535397" w:rsidR="00C27769" w:rsidP="00C27769" w:rsidRDefault="00C27769" w14:paraId="3E585115" w14:textId="77777777">
      <w:pPr>
        <w:pStyle w:val="exhibitsource1"/>
        <w:spacing w:after="0"/>
        <w:ind w:left="180" w:hanging="180"/>
      </w:pPr>
      <w:r w:rsidRPr="00535397">
        <w:rPr>
          <w:vertAlign w:val="superscript"/>
        </w:rPr>
        <w:t xml:space="preserve">c </w:t>
      </w:r>
      <w:r w:rsidRPr="00535397">
        <w:rPr>
          <w:vertAlign w:val="superscript"/>
        </w:rPr>
        <w:tab/>
      </w:r>
      <w:r w:rsidRPr="00535397">
        <w:t>Indicates current use of the tobacco products that determined panel eligibility.</w:t>
      </w:r>
    </w:p>
    <w:p w:rsidRPr="00535397" w:rsidR="005D4467" w:rsidP="00EA3C28" w:rsidRDefault="00C27769" w14:paraId="07B24A97" w14:textId="07D7FBB4">
      <w:pPr>
        <w:pStyle w:val="exhibitsource2"/>
        <w:spacing w:before="0" w:after="0"/>
        <w:rPr>
          <w:rFonts w:ascii="Times New Roman" w:hAnsi="Times New Roman"/>
        </w:rPr>
      </w:pPr>
      <w:r w:rsidRPr="00535397">
        <w:rPr>
          <w:rFonts w:ascii="Times New Roman" w:hAnsi="Times New Roman"/>
          <w:vertAlign w:val="superscript"/>
        </w:rPr>
        <w:t>d</w:t>
      </w:r>
      <w:r w:rsidRPr="00535397">
        <w:rPr>
          <w:rFonts w:ascii="Times New Roman" w:hAnsi="Times New Roman"/>
        </w:rPr>
        <w:tab/>
        <w:t>Count of panel members who reported using these products at enrollment. Does not sum to number of panel members because of poly use.</w:t>
      </w:r>
    </w:p>
    <w:p w:rsidR="005D4467" w:rsidP="005D4467" w:rsidRDefault="005D4467" w14:paraId="5DE446F7" w14:textId="77777777"/>
    <w:p w:rsidR="00EA3C28" w:rsidP="004E4DF5" w:rsidRDefault="00EA3C28" w14:paraId="3E47A238" w14:textId="77777777">
      <w:pPr>
        <w:pStyle w:val="Heading1"/>
        <w:jc w:val="center"/>
      </w:pPr>
      <w:bookmarkStart w:name="_Toc33529740" w:id="97"/>
      <w:r w:rsidRPr="004C13EB">
        <w:lastRenderedPageBreak/>
        <w:t>Appendix B. Demographic Profile of Study A Respondents</w:t>
      </w:r>
      <w:bookmarkEnd w:id="97"/>
    </w:p>
    <w:tbl>
      <w:tblPr>
        <w:tblStyle w:val="TableGrid"/>
        <w:tblW w:w="9450" w:type="dxa"/>
        <w:tblLayout w:type="fixed"/>
        <w:tblLook w:val="04A0" w:firstRow="1" w:lastRow="0" w:firstColumn="1" w:lastColumn="0" w:noHBand="0" w:noVBand="1"/>
      </w:tblPr>
      <w:tblGrid>
        <w:gridCol w:w="5400"/>
        <w:gridCol w:w="1980"/>
        <w:gridCol w:w="2070"/>
      </w:tblGrid>
      <w:tr w:rsidRPr="00535397" w:rsidR="00EA3C28" w:rsidTr="00633282" w14:paraId="718BCF48" w14:textId="77777777">
        <w:tc>
          <w:tcPr>
            <w:tcW w:w="5400" w:type="dxa"/>
          </w:tcPr>
          <w:p w:rsidRPr="00535397" w:rsidR="00EA3C28" w:rsidP="00633282" w:rsidRDefault="00EA3C28" w14:paraId="5D27018E" w14:textId="77777777">
            <w:pPr>
              <w:pStyle w:val="TableHeaders"/>
              <w:rPr>
                <w:szCs w:val="22"/>
              </w:rPr>
            </w:pPr>
            <w:proofErr w:type="spellStart"/>
            <w:r w:rsidRPr="00535397">
              <w:rPr>
                <w:szCs w:val="22"/>
              </w:rPr>
              <w:t>Characteristic</w:t>
            </w:r>
            <w:r w:rsidRPr="00535397">
              <w:rPr>
                <w:szCs w:val="22"/>
                <w:vertAlign w:val="superscript"/>
              </w:rPr>
              <w:t>a</w:t>
            </w:r>
            <w:proofErr w:type="spellEnd"/>
          </w:p>
        </w:tc>
        <w:tc>
          <w:tcPr>
            <w:tcW w:w="1980" w:type="dxa"/>
          </w:tcPr>
          <w:p w:rsidRPr="00535397" w:rsidR="00EA3C28" w:rsidP="00633282" w:rsidRDefault="00EA3C28" w14:paraId="3C737BCE" w14:textId="77777777">
            <w:pPr>
              <w:pStyle w:val="TableHeaders"/>
              <w:rPr>
                <w:szCs w:val="22"/>
              </w:rPr>
            </w:pPr>
            <w:r w:rsidRPr="00535397">
              <w:rPr>
                <w:szCs w:val="22"/>
              </w:rPr>
              <w:t>N</w:t>
            </w:r>
          </w:p>
        </w:tc>
        <w:tc>
          <w:tcPr>
            <w:tcW w:w="2070" w:type="dxa"/>
          </w:tcPr>
          <w:p w:rsidRPr="00535397" w:rsidR="00EA3C28" w:rsidP="00633282" w:rsidRDefault="00EA3C28" w14:paraId="356151CC" w14:textId="77777777">
            <w:pPr>
              <w:pStyle w:val="TableHeaders"/>
              <w:rPr>
                <w:szCs w:val="22"/>
              </w:rPr>
            </w:pPr>
            <w:r w:rsidRPr="00535397">
              <w:rPr>
                <w:szCs w:val="22"/>
              </w:rPr>
              <w:t>Percentage</w:t>
            </w:r>
          </w:p>
        </w:tc>
      </w:tr>
      <w:tr w:rsidRPr="00535397" w:rsidR="00EA3C28" w:rsidTr="00633282" w14:paraId="0EE41561" w14:textId="77777777">
        <w:tc>
          <w:tcPr>
            <w:tcW w:w="5400" w:type="dxa"/>
          </w:tcPr>
          <w:p w:rsidRPr="00535397" w:rsidR="00EA3C28" w:rsidP="00633282" w:rsidRDefault="00EA3C28" w14:paraId="1B9BE4A3" w14:textId="77777777">
            <w:pPr>
              <w:pStyle w:val="Tabletext-1"/>
              <w:keepNext/>
              <w:ind w:left="0"/>
              <w:rPr>
                <w:rFonts w:ascii="Times New Roman" w:hAnsi="Times New Roman" w:cs="Times New Roman"/>
                <w:b/>
                <w:sz w:val="22"/>
                <w:szCs w:val="22"/>
              </w:rPr>
            </w:pPr>
            <w:r w:rsidRPr="00535397">
              <w:rPr>
                <w:rFonts w:ascii="Times New Roman" w:hAnsi="Times New Roman" w:cs="Times New Roman"/>
                <w:b/>
                <w:sz w:val="22"/>
                <w:szCs w:val="22"/>
              </w:rPr>
              <w:t>Total Study A Respondents</w:t>
            </w:r>
          </w:p>
        </w:tc>
        <w:tc>
          <w:tcPr>
            <w:tcW w:w="1980" w:type="dxa"/>
          </w:tcPr>
          <w:p w:rsidRPr="00535397" w:rsidR="00EA3C28" w:rsidP="00633282" w:rsidRDefault="00EA3C28" w14:paraId="469EEED9" w14:textId="77777777">
            <w:pPr>
              <w:pStyle w:val="Tabletext"/>
              <w:keepNext/>
              <w:jc w:val="center"/>
              <w:rPr>
                <w:szCs w:val="22"/>
              </w:rPr>
            </w:pPr>
            <w:r w:rsidRPr="00535397">
              <w:rPr>
                <w:szCs w:val="22"/>
              </w:rPr>
              <w:t>1,626</w:t>
            </w:r>
          </w:p>
        </w:tc>
        <w:tc>
          <w:tcPr>
            <w:tcW w:w="2070" w:type="dxa"/>
          </w:tcPr>
          <w:p w:rsidRPr="00535397" w:rsidR="00EA3C28" w:rsidP="00633282" w:rsidRDefault="00EA3C28" w14:paraId="5A3DC60F" w14:textId="77777777">
            <w:pPr>
              <w:pStyle w:val="Tabletext"/>
              <w:keepNext/>
              <w:jc w:val="center"/>
              <w:rPr>
                <w:szCs w:val="22"/>
              </w:rPr>
            </w:pPr>
            <w:r w:rsidRPr="00535397">
              <w:rPr>
                <w:szCs w:val="22"/>
              </w:rPr>
              <w:t>100.0%</w:t>
            </w:r>
          </w:p>
        </w:tc>
      </w:tr>
      <w:tr w:rsidRPr="00535397" w:rsidR="00EA3C28" w:rsidTr="00633282" w14:paraId="3E2BAB6C" w14:textId="77777777">
        <w:tc>
          <w:tcPr>
            <w:tcW w:w="9450" w:type="dxa"/>
            <w:gridSpan w:val="3"/>
          </w:tcPr>
          <w:p w:rsidRPr="00535397" w:rsidR="00EA3C28" w:rsidP="00633282" w:rsidRDefault="00EA3C28" w14:paraId="5F14DB3D" w14:textId="77777777">
            <w:pPr>
              <w:pStyle w:val="Tabletext"/>
              <w:keepNext/>
              <w:rPr>
                <w:szCs w:val="22"/>
              </w:rPr>
            </w:pPr>
            <w:r w:rsidRPr="00535397">
              <w:rPr>
                <w:b/>
                <w:bCs/>
                <w:szCs w:val="22"/>
              </w:rPr>
              <w:t>Age</w:t>
            </w:r>
          </w:p>
        </w:tc>
      </w:tr>
      <w:tr w:rsidRPr="00535397" w:rsidR="00EA3C28" w:rsidTr="00633282" w14:paraId="0AB2FB83" w14:textId="77777777">
        <w:tc>
          <w:tcPr>
            <w:tcW w:w="5400" w:type="dxa"/>
          </w:tcPr>
          <w:p w:rsidRPr="00535397" w:rsidR="00EA3C28" w:rsidP="00633282" w:rsidRDefault="00EA3C28" w14:paraId="2C5C162B" w14:textId="77777777">
            <w:pPr>
              <w:pStyle w:val="Tabletext-1"/>
              <w:keepNext/>
              <w:rPr>
                <w:rFonts w:ascii="Times New Roman" w:hAnsi="Times New Roman" w:cs="Times New Roman"/>
                <w:sz w:val="22"/>
                <w:szCs w:val="22"/>
              </w:rPr>
            </w:pPr>
            <w:r w:rsidRPr="00535397">
              <w:rPr>
                <w:rFonts w:ascii="Times New Roman" w:hAnsi="Times New Roman" w:cs="Times New Roman"/>
                <w:sz w:val="22"/>
                <w:szCs w:val="22"/>
              </w:rPr>
              <w:t>18–25</w:t>
            </w:r>
          </w:p>
        </w:tc>
        <w:tc>
          <w:tcPr>
            <w:tcW w:w="1980" w:type="dxa"/>
          </w:tcPr>
          <w:p w:rsidRPr="00535397" w:rsidR="00EA3C28" w:rsidP="00633282" w:rsidRDefault="00EA3C28" w14:paraId="63CB317B" w14:textId="77777777">
            <w:pPr>
              <w:pStyle w:val="Tabletext"/>
              <w:keepNext/>
              <w:jc w:val="center"/>
              <w:rPr>
                <w:szCs w:val="22"/>
              </w:rPr>
            </w:pPr>
            <w:r w:rsidRPr="00535397">
              <w:rPr>
                <w:szCs w:val="22"/>
              </w:rPr>
              <w:t>292</w:t>
            </w:r>
          </w:p>
        </w:tc>
        <w:tc>
          <w:tcPr>
            <w:tcW w:w="2070" w:type="dxa"/>
          </w:tcPr>
          <w:p w:rsidRPr="00535397" w:rsidR="00EA3C28" w:rsidP="00633282" w:rsidRDefault="00EA3C28" w14:paraId="05362EED" w14:textId="77777777">
            <w:pPr>
              <w:pStyle w:val="Tabletext"/>
              <w:keepNext/>
              <w:jc w:val="center"/>
              <w:rPr>
                <w:szCs w:val="22"/>
              </w:rPr>
            </w:pPr>
            <w:r w:rsidRPr="00535397">
              <w:rPr>
                <w:szCs w:val="22"/>
              </w:rPr>
              <w:t>18.0%</w:t>
            </w:r>
          </w:p>
        </w:tc>
      </w:tr>
      <w:tr w:rsidRPr="00535397" w:rsidR="00EA3C28" w:rsidTr="00633282" w14:paraId="6EBAE357" w14:textId="77777777">
        <w:tc>
          <w:tcPr>
            <w:tcW w:w="5400" w:type="dxa"/>
          </w:tcPr>
          <w:p w:rsidRPr="00535397" w:rsidR="00EA3C28" w:rsidP="00633282" w:rsidRDefault="00EA3C28" w14:paraId="0F679A06" w14:textId="77777777">
            <w:pPr>
              <w:pStyle w:val="Tabletext-1"/>
              <w:keepNext/>
              <w:rPr>
                <w:rFonts w:ascii="Times New Roman" w:hAnsi="Times New Roman" w:cs="Times New Roman"/>
                <w:sz w:val="22"/>
                <w:szCs w:val="22"/>
              </w:rPr>
            </w:pPr>
            <w:r w:rsidRPr="00535397">
              <w:rPr>
                <w:rFonts w:ascii="Times New Roman" w:hAnsi="Times New Roman" w:cs="Times New Roman"/>
                <w:sz w:val="22"/>
                <w:szCs w:val="22"/>
              </w:rPr>
              <w:t>26–34</w:t>
            </w:r>
          </w:p>
        </w:tc>
        <w:tc>
          <w:tcPr>
            <w:tcW w:w="1980" w:type="dxa"/>
          </w:tcPr>
          <w:p w:rsidRPr="00535397" w:rsidR="00EA3C28" w:rsidP="00633282" w:rsidRDefault="00EA3C28" w14:paraId="148C8BF5" w14:textId="77777777">
            <w:pPr>
              <w:pStyle w:val="Tabletext"/>
              <w:keepNext/>
              <w:jc w:val="center"/>
              <w:rPr>
                <w:szCs w:val="22"/>
              </w:rPr>
            </w:pPr>
            <w:r w:rsidRPr="00535397">
              <w:rPr>
                <w:szCs w:val="22"/>
              </w:rPr>
              <w:t>275</w:t>
            </w:r>
          </w:p>
        </w:tc>
        <w:tc>
          <w:tcPr>
            <w:tcW w:w="2070" w:type="dxa"/>
          </w:tcPr>
          <w:p w:rsidRPr="00535397" w:rsidR="00EA3C28" w:rsidP="00633282" w:rsidRDefault="00EA3C28" w14:paraId="6EE1FD2F" w14:textId="77777777">
            <w:pPr>
              <w:pStyle w:val="Tabletext"/>
              <w:keepNext/>
              <w:jc w:val="center"/>
              <w:rPr>
                <w:szCs w:val="22"/>
              </w:rPr>
            </w:pPr>
            <w:r w:rsidRPr="00535397">
              <w:rPr>
                <w:szCs w:val="22"/>
              </w:rPr>
              <w:t>16.9%</w:t>
            </w:r>
          </w:p>
        </w:tc>
      </w:tr>
      <w:tr w:rsidRPr="00535397" w:rsidR="00EA3C28" w:rsidTr="00633282" w14:paraId="2B32E65D" w14:textId="77777777">
        <w:tc>
          <w:tcPr>
            <w:tcW w:w="5400" w:type="dxa"/>
          </w:tcPr>
          <w:p w:rsidRPr="00535397" w:rsidR="00EA3C28" w:rsidP="00633282" w:rsidRDefault="00EA3C28" w14:paraId="12B076C5"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35–49</w:t>
            </w:r>
          </w:p>
        </w:tc>
        <w:tc>
          <w:tcPr>
            <w:tcW w:w="1980" w:type="dxa"/>
          </w:tcPr>
          <w:p w:rsidRPr="00535397" w:rsidR="00EA3C28" w:rsidP="00633282" w:rsidRDefault="00EA3C28" w14:paraId="16C92847" w14:textId="77777777">
            <w:pPr>
              <w:pStyle w:val="Tabletext"/>
              <w:jc w:val="center"/>
              <w:rPr>
                <w:szCs w:val="22"/>
              </w:rPr>
            </w:pPr>
            <w:r w:rsidRPr="00535397">
              <w:rPr>
                <w:szCs w:val="22"/>
              </w:rPr>
              <w:t>430</w:t>
            </w:r>
          </w:p>
        </w:tc>
        <w:tc>
          <w:tcPr>
            <w:tcW w:w="2070" w:type="dxa"/>
          </w:tcPr>
          <w:p w:rsidRPr="00535397" w:rsidR="00EA3C28" w:rsidP="00633282" w:rsidRDefault="00EA3C28" w14:paraId="3E1AF4EC" w14:textId="77777777">
            <w:pPr>
              <w:pStyle w:val="Tabletext"/>
              <w:jc w:val="center"/>
              <w:rPr>
                <w:szCs w:val="22"/>
              </w:rPr>
            </w:pPr>
            <w:r w:rsidRPr="00535397">
              <w:rPr>
                <w:szCs w:val="22"/>
              </w:rPr>
              <w:t>26.4%</w:t>
            </w:r>
          </w:p>
        </w:tc>
      </w:tr>
      <w:tr w:rsidRPr="00535397" w:rsidR="00EA3C28" w:rsidTr="00633282" w14:paraId="198ADBD9" w14:textId="77777777">
        <w:tc>
          <w:tcPr>
            <w:tcW w:w="5400" w:type="dxa"/>
          </w:tcPr>
          <w:p w:rsidRPr="00535397" w:rsidR="00EA3C28" w:rsidP="00633282" w:rsidRDefault="00EA3C28" w14:paraId="5ABC5573"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50–74</w:t>
            </w:r>
          </w:p>
        </w:tc>
        <w:tc>
          <w:tcPr>
            <w:tcW w:w="1980" w:type="dxa"/>
          </w:tcPr>
          <w:p w:rsidRPr="00535397" w:rsidR="00EA3C28" w:rsidP="00633282" w:rsidRDefault="00EA3C28" w14:paraId="06270A8D" w14:textId="77777777">
            <w:pPr>
              <w:pStyle w:val="Tabletext"/>
              <w:jc w:val="center"/>
              <w:rPr>
                <w:szCs w:val="22"/>
              </w:rPr>
            </w:pPr>
            <w:r w:rsidRPr="00535397">
              <w:rPr>
                <w:szCs w:val="22"/>
              </w:rPr>
              <w:t>591</w:t>
            </w:r>
          </w:p>
        </w:tc>
        <w:tc>
          <w:tcPr>
            <w:tcW w:w="2070" w:type="dxa"/>
          </w:tcPr>
          <w:p w:rsidRPr="00535397" w:rsidR="00EA3C28" w:rsidP="00633282" w:rsidRDefault="00EA3C28" w14:paraId="22CC7AAC" w14:textId="77777777">
            <w:pPr>
              <w:pStyle w:val="Tabletext"/>
              <w:jc w:val="center"/>
              <w:rPr>
                <w:szCs w:val="22"/>
              </w:rPr>
            </w:pPr>
            <w:r w:rsidRPr="00535397">
              <w:rPr>
                <w:szCs w:val="22"/>
              </w:rPr>
              <w:t>36.3%</w:t>
            </w:r>
          </w:p>
        </w:tc>
      </w:tr>
      <w:tr w:rsidRPr="00535397" w:rsidR="00EA3C28" w:rsidTr="00633282" w14:paraId="59AA06A1" w14:textId="77777777">
        <w:tc>
          <w:tcPr>
            <w:tcW w:w="5400" w:type="dxa"/>
          </w:tcPr>
          <w:p w:rsidRPr="00535397" w:rsidR="00EA3C28" w:rsidP="00633282" w:rsidRDefault="00EA3C28" w14:paraId="7F20D29E"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75 or older</w:t>
            </w:r>
          </w:p>
        </w:tc>
        <w:tc>
          <w:tcPr>
            <w:tcW w:w="1980" w:type="dxa"/>
          </w:tcPr>
          <w:p w:rsidRPr="00535397" w:rsidR="00EA3C28" w:rsidP="00633282" w:rsidRDefault="00EA3C28" w14:paraId="293CFFD8" w14:textId="77777777">
            <w:pPr>
              <w:pStyle w:val="Tabletext"/>
              <w:jc w:val="center"/>
              <w:rPr>
                <w:szCs w:val="22"/>
              </w:rPr>
            </w:pPr>
            <w:r w:rsidRPr="00535397">
              <w:rPr>
                <w:szCs w:val="22"/>
              </w:rPr>
              <w:t>38</w:t>
            </w:r>
          </w:p>
        </w:tc>
        <w:tc>
          <w:tcPr>
            <w:tcW w:w="2070" w:type="dxa"/>
          </w:tcPr>
          <w:p w:rsidRPr="00535397" w:rsidR="00EA3C28" w:rsidP="00633282" w:rsidRDefault="00EA3C28" w14:paraId="242FD278" w14:textId="77777777">
            <w:pPr>
              <w:pStyle w:val="Tabletext"/>
              <w:jc w:val="center"/>
              <w:rPr>
                <w:szCs w:val="22"/>
              </w:rPr>
            </w:pPr>
            <w:r w:rsidRPr="00535397">
              <w:rPr>
                <w:szCs w:val="22"/>
              </w:rPr>
              <w:t>2.3%</w:t>
            </w:r>
          </w:p>
        </w:tc>
      </w:tr>
      <w:tr w:rsidRPr="00535397" w:rsidR="00EA3C28" w:rsidTr="00633282" w14:paraId="5F624437" w14:textId="77777777">
        <w:tc>
          <w:tcPr>
            <w:tcW w:w="9450" w:type="dxa"/>
            <w:gridSpan w:val="3"/>
          </w:tcPr>
          <w:p w:rsidRPr="00535397" w:rsidR="00EA3C28" w:rsidP="00633282" w:rsidRDefault="00EA3C28" w14:paraId="6ACD41CD" w14:textId="77777777">
            <w:pPr>
              <w:pStyle w:val="Tabletext"/>
              <w:rPr>
                <w:szCs w:val="22"/>
              </w:rPr>
            </w:pPr>
            <w:r w:rsidRPr="00535397">
              <w:rPr>
                <w:b/>
                <w:bCs/>
                <w:szCs w:val="22"/>
              </w:rPr>
              <w:t>Race</w:t>
            </w:r>
          </w:p>
        </w:tc>
      </w:tr>
      <w:tr w:rsidRPr="00535397" w:rsidR="00EA3C28" w:rsidTr="00633282" w14:paraId="5269775D" w14:textId="77777777">
        <w:tc>
          <w:tcPr>
            <w:tcW w:w="5400" w:type="dxa"/>
          </w:tcPr>
          <w:p w:rsidRPr="00535397" w:rsidR="00EA3C28" w:rsidP="00633282" w:rsidRDefault="00EA3C28" w14:paraId="57DFDDCD"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White</w:t>
            </w:r>
          </w:p>
        </w:tc>
        <w:tc>
          <w:tcPr>
            <w:tcW w:w="1980" w:type="dxa"/>
          </w:tcPr>
          <w:p w:rsidRPr="00535397" w:rsidR="00EA3C28" w:rsidP="00633282" w:rsidRDefault="00EA3C28" w14:paraId="424CE9EC" w14:textId="77777777">
            <w:pPr>
              <w:pStyle w:val="Tabletext"/>
              <w:jc w:val="center"/>
              <w:rPr>
                <w:szCs w:val="22"/>
              </w:rPr>
            </w:pPr>
            <w:r w:rsidRPr="00535397">
              <w:rPr>
                <w:szCs w:val="22"/>
              </w:rPr>
              <w:t>1,159</w:t>
            </w:r>
          </w:p>
        </w:tc>
        <w:tc>
          <w:tcPr>
            <w:tcW w:w="2070" w:type="dxa"/>
          </w:tcPr>
          <w:p w:rsidRPr="00535397" w:rsidR="00EA3C28" w:rsidP="00633282" w:rsidRDefault="00EA3C28" w14:paraId="1BB6E485" w14:textId="77777777">
            <w:pPr>
              <w:pStyle w:val="Tabletext"/>
              <w:jc w:val="center"/>
              <w:rPr>
                <w:szCs w:val="22"/>
              </w:rPr>
            </w:pPr>
            <w:r w:rsidRPr="00535397">
              <w:rPr>
                <w:szCs w:val="22"/>
              </w:rPr>
              <w:t>71.3%</w:t>
            </w:r>
          </w:p>
        </w:tc>
      </w:tr>
      <w:tr w:rsidRPr="00535397" w:rsidR="00EA3C28" w:rsidTr="00633282" w14:paraId="08E3D12E" w14:textId="77777777">
        <w:tc>
          <w:tcPr>
            <w:tcW w:w="5400" w:type="dxa"/>
          </w:tcPr>
          <w:p w:rsidRPr="00535397" w:rsidR="00EA3C28" w:rsidP="00633282" w:rsidRDefault="00EA3C28" w14:paraId="33151BB4"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Black or African American</w:t>
            </w:r>
          </w:p>
        </w:tc>
        <w:tc>
          <w:tcPr>
            <w:tcW w:w="1980" w:type="dxa"/>
          </w:tcPr>
          <w:p w:rsidRPr="00535397" w:rsidR="00EA3C28" w:rsidP="00633282" w:rsidRDefault="00EA3C28" w14:paraId="4BD497F7" w14:textId="77777777">
            <w:pPr>
              <w:pStyle w:val="Tabletext"/>
              <w:jc w:val="center"/>
              <w:rPr>
                <w:szCs w:val="22"/>
              </w:rPr>
            </w:pPr>
            <w:r w:rsidRPr="00535397">
              <w:rPr>
                <w:szCs w:val="22"/>
              </w:rPr>
              <w:t>295</w:t>
            </w:r>
          </w:p>
        </w:tc>
        <w:tc>
          <w:tcPr>
            <w:tcW w:w="2070" w:type="dxa"/>
          </w:tcPr>
          <w:p w:rsidRPr="00535397" w:rsidR="00EA3C28" w:rsidP="00633282" w:rsidRDefault="00EA3C28" w14:paraId="35D6B4D3" w14:textId="77777777">
            <w:pPr>
              <w:pStyle w:val="Tabletext"/>
              <w:jc w:val="center"/>
              <w:rPr>
                <w:szCs w:val="22"/>
              </w:rPr>
            </w:pPr>
            <w:r w:rsidRPr="00535397">
              <w:rPr>
                <w:szCs w:val="22"/>
              </w:rPr>
              <w:t>18.1%</w:t>
            </w:r>
          </w:p>
        </w:tc>
      </w:tr>
      <w:tr w:rsidRPr="00535397" w:rsidR="00EA3C28" w:rsidTr="00633282" w14:paraId="45F2FAEC" w14:textId="77777777">
        <w:tc>
          <w:tcPr>
            <w:tcW w:w="5400" w:type="dxa"/>
          </w:tcPr>
          <w:p w:rsidRPr="00535397" w:rsidR="00EA3C28" w:rsidP="00633282" w:rsidRDefault="00EA3C28" w14:paraId="26DC92FA"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American Indian/Alaska Native</w:t>
            </w:r>
          </w:p>
        </w:tc>
        <w:tc>
          <w:tcPr>
            <w:tcW w:w="1980" w:type="dxa"/>
          </w:tcPr>
          <w:p w:rsidRPr="00535397" w:rsidR="00EA3C28" w:rsidP="00633282" w:rsidRDefault="00EA3C28" w14:paraId="76FF3C4F" w14:textId="77777777">
            <w:pPr>
              <w:pStyle w:val="Tabletext"/>
              <w:jc w:val="center"/>
              <w:rPr>
                <w:szCs w:val="22"/>
              </w:rPr>
            </w:pPr>
            <w:r w:rsidRPr="00535397">
              <w:rPr>
                <w:szCs w:val="22"/>
              </w:rPr>
              <w:t>32</w:t>
            </w:r>
          </w:p>
        </w:tc>
        <w:tc>
          <w:tcPr>
            <w:tcW w:w="2070" w:type="dxa"/>
          </w:tcPr>
          <w:p w:rsidRPr="00535397" w:rsidR="00EA3C28" w:rsidP="00633282" w:rsidRDefault="00EA3C28" w14:paraId="38B9AB72" w14:textId="77777777">
            <w:pPr>
              <w:pStyle w:val="Tabletext"/>
              <w:jc w:val="center"/>
              <w:rPr>
                <w:szCs w:val="22"/>
              </w:rPr>
            </w:pPr>
            <w:r w:rsidRPr="00535397">
              <w:rPr>
                <w:szCs w:val="22"/>
              </w:rPr>
              <w:t>2.0%</w:t>
            </w:r>
          </w:p>
        </w:tc>
      </w:tr>
      <w:tr w:rsidRPr="00535397" w:rsidR="00EA3C28" w:rsidTr="00633282" w14:paraId="59060BB6" w14:textId="77777777">
        <w:tc>
          <w:tcPr>
            <w:tcW w:w="5400" w:type="dxa"/>
          </w:tcPr>
          <w:p w:rsidRPr="00535397" w:rsidR="00EA3C28" w:rsidP="00633282" w:rsidRDefault="00EA3C28" w14:paraId="159106A7"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Asian</w:t>
            </w:r>
          </w:p>
        </w:tc>
        <w:tc>
          <w:tcPr>
            <w:tcW w:w="1980" w:type="dxa"/>
          </w:tcPr>
          <w:p w:rsidRPr="00535397" w:rsidR="00EA3C28" w:rsidP="00633282" w:rsidRDefault="00EA3C28" w14:paraId="77B9031D" w14:textId="77777777">
            <w:pPr>
              <w:pStyle w:val="Tabletext"/>
              <w:jc w:val="center"/>
              <w:rPr>
                <w:szCs w:val="22"/>
              </w:rPr>
            </w:pPr>
            <w:r w:rsidRPr="00535397">
              <w:rPr>
                <w:szCs w:val="22"/>
              </w:rPr>
              <w:t>12</w:t>
            </w:r>
          </w:p>
        </w:tc>
        <w:tc>
          <w:tcPr>
            <w:tcW w:w="2070" w:type="dxa"/>
          </w:tcPr>
          <w:p w:rsidRPr="00535397" w:rsidR="00EA3C28" w:rsidP="00633282" w:rsidRDefault="00EA3C28" w14:paraId="0FB9768F" w14:textId="77777777">
            <w:pPr>
              <w:pStyle w:val="Tabletext"/>
              <w:jc w:val="center"/>
              <w:rPr>
                <w:szCs w:val="22"/>
              </w:rPr>
            </w:pPr>
            <w:r w:rsidRPr="00535397">
              <w:rPr>
                <w:szCs w:val="22"/>
              </w:rPr>
              <w:t>0.7%</w:t>
            </w:r>
          </w:p>
        </w:tc>
      </w:tr>
      <w:tr w:rsidRPr="00535397" w:rsidR="00EA3C28" w:rsidTr="00633282" w14:paraId="5328AA34" w14:textId="77777777">
        <w:tc>
          <w:tcPr>
            <w:tcW w:w="5400" w:type="dxa"/>
          </w:tcPr>
          <w:p w:rsidRPr="00535397" w:rsidR="00EA3C28" w:rsidP="00633282" w:rsidRDefault="00EA3C28" w14:paraId="57FC350F"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Native Hawaiian, Other Pacific Islander</w:t>
            </w:r>
          </w:p>
        </w:tc>
        <w:tc>
          <w:tcPr>
            <w:tcW w:w="1980" w:type="dxa"/>
          </w:tcPr>
          <w:p w:rsidRPr="00535397" w:rsidR="00EA3C28" w:rsidP="00633282" w:rsidRDefault="00EA3C28" w14:paraId="018C6887" w14:textId="77777777">
            <w:pPr>
              <w:pStyle w:val="Tabletext"/>
              <w:jc w:val="center"/>
              <w:rPr>
                <w:szCs w:val="22"/>
              </w:rPr>
            </w:pPr>
            <w:r w:rsidRPr="00535397">
              <w:rPr>
                <w:szCs w:val="22"/>
              </w:rPr>
              <w:t>2</w:t>
            </w:r>
          </w:p>
        </w:tc>
        <w:tc>
          <w:tcPr>
            <w:tcW w:w="2070" w:type="dxa"/>
          </w:tcPr>
          <w:p w:rsidRPr="00535397" w:rsidR="00EA3C28" w:rsidP="00633282" w:rsidRDefault="00EA3C28" w14:paraId="0292C1FD" w14:textId="77777777">
            <w:pPr>
              <w:pStyle w:val="Tabletext"/>
              <w:jc w:val="center"/>
              <w:rPr>
                <w:szCs w:val="22"/>
              </w:rPr>
            </w:pPr>
            <w:r w:rsidRPr="00535397">
              <w:rPr>
                <w:szCs w:val="22"/>
              </w:rPr>
              <w:t>0.1%</w:t>
            </w:r>
          </w:p>
        </w:tc>
      </w:tr>
      <w:tr w:rsidRPr="00535397" w:rsidR="00EA3C28" w:rsidTr="00633282" w14:paraId="48B0E675" w14:textId="77777777">
        <w:tc>
          <w:tcPr>
            <w:tcW w:w="5400" w:type="dxa"/>
          </w:tcPr>
          <w:p w:rsidRPr="00535397" w:rsidR="00EA3C28" w:rsidP="00633282" w:rsidRDefault="00EA3C28" w14:paraId="5A166112"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More than one race selected</w:t>
            </w:r>
          </w:p>
        </w:tc>
        <w:tc>
          <w:tcPr>
            <w:tcW w:w="1980" w:type="dxa"/>
          </w:tcPr>
          <w:p w:rsidRPr="00535397" w:rsidR="00EA3C28" w:rsidP="00633282" w:rsidRDefault="00EA3C28" w14:paraId="2796C868" w14:textId="77777777">
            <w:pPr>
              <w:pStyle w:val="Tabletext"/>
              <w:jc w:val="center"/>
              <w:rPr>
                <w:szCs w:val="22"/>
              </w:rPr>
            </w:pPr>
            <w:r w:rsidRPr="00535397">
              <w:rPr>
                <w:szCs w:val="22"/>
              </w:rPr>
              <w:t>61</w:t>
            </w:r>
          </w:p>
        </w:tc>
        <w:tc>
          <w:tcPr>
            <w:tcW w:w="2070" w:type="dxa"/>
          </w:tcPr>
          <w:p w:rsidRPr="00535397" w:rsidR="00EA3C28" w:rsidP="00633282" w:rsidRDefault="00EA3C28" w14:paraId="5E930197" w14:textId="77777777">
            <w:pPr>
              <w:pStyle w:val="Tabletext"/>
              <w:jc w:val="center"/>
              <w:rPr>
                <w:szCs w:val="22"/>
              </w:rPr>
            </w:pPr>
            <w:r w:rsidRPr="00535397">
              <w:rPr>
                <w:szCs w:val="22"/>
              </w:rPr>
              <w:t>3.8%</w:t>
            </w:r>
          </w:p>
        </w:tc>
      </w:tr>
      <w:tr w:rsidRPr="00535397" w:rsidR="00EA3C28" w:rsidTr="00633282" w14:paraId="3882C0B6" w14:textId="77777777">
        <w:tc>
          <w:tcPr>
            <w:tcW w:w="5400" w:type="dxa"/>
          </w:tcPr>
          <w:p w:rsidRPr="00535397" w:rsidR="00EA3C28" w:rsidP="00633282" w:rsidRDefault="00EA3C28" w14:paraId="4585DFDC"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Missing</w:t>
            </w:r>
          </w:p>
        </w:tc>
        <w:tc>
          <w:tcPr>
            <w:tcW w:w="1980" w:type="dxa"/>
          </w:tcPr>
          <w:p w:rsidRPr="00535397" w:rsidR="00EA3C28" w:rsidP="00633282" w:rsidRDefault="00EA3C28" w14:paraId="3BE9CE18" w14:textId="77777777">
            <w:pPr>
              <w:pStyle w:val="Tabletext"/>
              <w:jc w:val="center"/>
              <w:rPr>
                <w:szCs w:val="22"/>
              </w:rPr>
            </w:pPr>
            <w:r w:rsidRPr="00535397">
              <w:rPr>
                <w:szCs w:val="22"/>
              </w:rPr>
              <w:t>65</w:t>
            </w:r>
          </w:p>
        </w:tc>
        <w:tc>
          <w:tcPr>
            <w:tcW w:w="2070" w:type="dxa"/>
          </w:tcPr>
          <w:p w:rsidRPr="00535397" w:rsidR="00EA3C28" w:rsidP="00633282" w:rsidRDefault="00EA3C28" w14:paraId="13943A06" w14:textId="77777777">
            <w:pPr>
              <w:pStyle w:val="Tabletext"/>
              <w:jc w:val="center"/>
              <w:rPr>
                <w:szCs w:val="22"/>
              </w:rPr>
            </w:pPr>
            <w:r w:rsidRPr="00535397">
              <w:rPr>
                <w:szCs w:val="22"/>
              </w:rPr>
              <w:t>4.0%</w:t>
            </w:r>
          </w:p>
        </w:tc>
      </w:tr>
      <w:tr w:rsidRPr="00535397" w:rsidR="00EA3C28" w:rsidTr="00633282" w14:paraId="12CA970F" w14:textId="77777777">
        <w:tc>
          <w:tcPr>
            <w:tcW w:w="9450" w:type="dxa"/>
            <w:gridSpan w:val="3"/>
          </w:tcPr>
          <w:p w:rsidRPr="00535397" w:rsidR="00EA3C28" w:rsidP="00633282" w:rsidRDefault="00EA3C28" w14:paraId="0B27D95E" w14:textId="77777777">
            <w:pPr>
              <w:pStyle w:val="Tabletext"/>
              <w:rPr>
                <w:szCs w:val="22"/>
              </w:rPr>
            </w:pPr>
            <w:r w:rsidRPr="00535397">
              <w:rPr>
                <w:b/>
                <w:bCs/>
                <w:szCs w:val="22"/>
              </w:rPr>
              <w:t>Ethnicity</w:t>
            </w:r>
          </w:p>
        </w:tc>
      </w:tr>
      <w:tr w:rsidRPr="00535397" w:rsidR="00EA3C28" w:rsidTr="00633282" w14:paraId="041D428F" w14:textId="77777777">
        <w:tc>
          <w:tcPr>
            <w:tcW w:w="5400" w:type="dxa"/>
          </w:tcPr>
          <w:p w:rsidRPr="00535397" w:rsidR="00EA3C28" w:rsidP="00633282" w:rsidRDefault="00EA3C28" w14:paraId="0111DEDD"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Hispanic or Latino</w:t>
            </w:r>
          </w:p>
        </w:tc>
        <w:tc>
          <w:tcPr>
            <w:tcW w:w="1980" w:type="dxa"/>
          </w:tcPr>
          <w:p w:rsidRPr="00535397" w:rsidR="00EA3C28" w:rsidP="00633282" w:rsidRDefault="00EA3C28" w14:paraId="259F718B" w14:textId="77777777">
            <w:pPr>
              <w:pStyle w:val="Tabletext"/>
              <w:jc w:val="center"/>
              <w:rPr>
                <w:szCs w:val="22"/>
              </w:rPr>
            </w:pPr>
            <w:r w:rsidRPr="00535397">
              <w:rPr>
                <w:szCs w:val="22"/>
              </w:rPr>
              <w:t>161</w:t>
            </w:r>
          </w:p>
        </w:tc>
        <w:tc>
          <w:tcPr>
            <w:tcW w:w="2070" w:type="dxa"/>
          </w:tcPr>
          <w:p w:rsidRPr="00535397" w:rsidR="00EA3C28" w:rsidP="00633282" w:rsidRDefault="00EA3C28" w14:paraId="70D3B03F" w14:textId="77777777">
            <w:pPr>
              <w:pStyle w:val="Tabletext"/>
              <w:jc w:val="center"/>
              <w:rPr>
                <w:szCs w:val="22"/>
              </w:rPr>
            </w:pPr>
            <w:r w:rsidRPr="00535397">
              <w:rPr>
                <w:szCs w:val="22"/>
              </w:rPr>
              <w:t>9.9%</w:t>
            </w:r>
          </w:p>
        </w:tc>
      </w:tr>
      <w:tr w:rsidRPr="00535397" w:rsidR="00EA3C28" w:rsidTr="00633282" w14:paraId="596028B6" w14:textId="77777777">
        <w:tc>
          <w:tcPr>
            <w:tcW w:w="5400" w:type="dxa"/>
          </w:tcPr>
          <w:p w:rsidRPr="00535397" w:rsidR="00EA3C28" w:rsidP="00633282" w:rsidRDefault="00EA3C28" w14:paraId="718F25C3"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Not Hispanic or Latino</w:t>
            </w:r>
          </w:p>
        </w:tc>
        <w:tc>
          <w:tcPr>
            <w:tcW w:w="1980" w:type="dxa"/>
          </w:tcPr>
          <w:p w:rsidRPr="00535397" w:rsidR="00EA3C28" w:rsidP="00633282" w:rsidRDefault="00EA3C28" w14:paraId="1BA8A46D" w14:textId="77777777">
            <w:pPr>
              <w:pStyle w:val="Tabletext"/>
              <w:jc w:val="center"/>
              <w:rPr>
                <w:szCs w:val="22"/>
              </w:rPr>
            </w:pPr>
            <w:r w:rsidRPr="00535397">
              <w:rPr>
                <w:szCs w:val="22"/>
              </w:rPr>
              <w:t>1,464</w:t>
            </w:r>
          </w:p>
        </w:tc>
        <w:tc>
          <w:tcPr>
            <w:tcW w:w="2070" w:type="dxa"/>
          </w:tcPr>
          <w:p w:rsidRPr="00535397" w:rsidR="00EA3C28" w:rsidP="00633282" w:rsidRDefault="00EA3C28" w14:paraId="2FB8A35E" w14:textId="77777777">
            <w:pPr>
              <w:pStyle w:val="Tabletext"/>
              <w:jc w:val="center"/>
              <w:rPr>
                <w:szCs w:val="22"/>
              </w:rPr>
            </w:pPr>
            <w:r w:rsidRPr="00535397">
              <w:rPr>
                <w:szCs w:val="22"/>
              </w:rPr>
              <w:t>90.0%</w:t>
            </w:r>
          </w:p>
        </w:tc>
      </w:tr>
      <w:tr w:rsidRPr="00535397" w:rsidR="00EA3C28" w:rsidTr="00633282" w14:paraId="761747CF" w14:textId="77777777">
        <w:tc>
          <w:tcPr>
            <w:tcW w:w="5400" w:type="dxa"/>
          </w:tcPr>
          <w:p w:rsidRPr="00535397" w:rsidR="00EA3C28" w:rsidP="00633282" w:rsidRDefault="00EA3C28" w14:paraId="5906A69B"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Missing</w:t>
            </w:r>
          </w:p>
        </w:tc>
        <w:tc>
          <w:tcPr>
            <w:tcW w:w="1980" w:type="dxa"/>
          </w:tcPr>
          <w:p w:rsidRPr="00535397" w:rsidR="00EA3C28" w:rsidP="00633282" w:rsidRDefault="00EA3C28" w14:paraId="6F327600" w14:textId="77777777">
            <w:pPr>
              <w:pStyle w:val="Tabletext"/>
              <w:jc w:val="center"/>
              <w:rPr>
                <w:szCs w:val="22"/>
              </w:rPr>
            </w:pPr>
            <w:r w:rsidRPr="00535397">
              <w:rPr>
                <w:szCs w:val="22"/>
              </w:rPr>
              <w:t>1</w:t>
            </w:r>
          </w:p>
        </w:tc>
        <w:tc>
          <w:tcPr>
            <w:tcW w:w="2070" w:type="dxa"/>
          </w:tcPr>
          <w:p w:rsidRPr="00535397" w:rsidR="00EA3C28" w:rsidP="00633282" w:rsidRDefault="00EA3C28" w14:paraId="7DE5DB34" w14:textId="77777777">
            <w:pPr>
              <w:pStyle w:val="Tabletext"/>
              <w:jc w:val="center"/>
              <w:rPr>
                <w:szCs w:val="22"/>
              </w:rPr>
            </w:pPr>
            <w:r w:rsidRPr="00535397">
              <w:rPr>
                <w:szCs w:val="22"/>
              </w:rPr>
              <w:t>0.1%</w:t>
            </w:r>
          </w:p>
        </w:tc>
      </w:tr>
      <w:tr w:rsidRPr="00535397" w:rsidR="00EA3C28" w:rsidTr="00633282" w14:paraId="607BF457" w14:textId="77777777">
        <w:tc>
          <w:tcPr>
            <w:tcW w:w="9450" w:type="dxa"/>
            <w:gridSpan w:val="3"/>
          </w:tcPr>
          <w:p w:rsidRPr="00535397" w:rsidR="00EA3C28" w:rsidP="00633282" w:rsidRDefault="00EA3C28" w14:paraId="762ABC05" w14:textId="77777777">
            <w:pPr>
              <w:pStyle w:val="Tabletext"/>
              <w:rPr>
                <w:szCs w:val="22"/>
              </w:rPr>
            </w:pPr>
            <w:r w:rsidRPr="00535397">
              <w:rPr>
                <w:b/>
                <w:bCs/>
                <w:szCs w:val="22"/>
              </w:rPr>
              <w:t>Gender</w:t>
            </w:r>
          </w:p>
        </w:tc>
      </w:tr>
      <w:tr w:rsidRPr="00535397" w:rsidR="00EA3C28" w:rsidTr="00633282" w14:paraId="1E529962" w14:textId="77777777">
        <w:tc>
          <w:tcPr>
            <w:tcW w:w="5400" w:type="dxa"/>
          </w:tcPr>
          <w:p w:rsidRPr="00535397" w:rsidR="00EA3C28" w:rsidP="00633282" w:rsidRDefault="00EA3C28" w14:paraId="0E59966F"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Male</w:t>
            </w:r>
          </w:p>
        </w:tc>
        <w:tc>
          <w:tcPr>
            <w:tcW w:w="1980" w:type="dxa"/>
          </w:tcPr>
          <w:p w:rsidRPr="00535397" w:rsidR="00EA3C28" w:rsidP="00633282" w:rsidRDefault="00EA3C28" w14:paraId="1DECD839" w14:textId="77777777">
            <w:pPr>
              <w:pStyle w:val="Tabletext"/>
              <w:jc w:val="center"/>
              <w:rPr>
                <w:szCs w:val="22"/>
              </w:rPr>
            </w:pPr>
            <w:r w:rsidRPr="00535397">
              <w:rPr>
                <w:szCs w:val="22"/>
              </w:rPr>
              <w:t>877</w:t>
            </w:r>
          </w:p>
        </w:tc>
        <w:tc>
          <w:tcPr>
            <w:tcW w:w="2070" w:type="dxa"/>
          </w:tcPr>
          <w:p w:rsidRPr="00535397" w:rsidR="00EA3C28" w:rsidP="00633282" w:rsidRDefault="00EA3C28" w14:paraId="222FC984" w14:textId="77777777">
            <w:pPr>
              <w:pStyle w:val="Tabletext"/>
              <w:jc w:val="center"/>
              <w:rPr>
                <w:szCs w:val="22"/>
              </w:rPr>
            </w:pPr>
            <w:r w:rsidRPr="00535397">
              <w:rPr>
                <w:szCs w:val="22"/>
              </w:rPr>
              <w:t>53.9%</w:t>
            </w:r>
          </w:p>
        </w:tc>
      </w:tr>
      <w:tr w:rsidRPr="00535397" w:rsidR="00EA3C28" w:rsidTr="00633282" w14:paraId="47539074" w14:textId="77777777">
        <w:tc>
          <w:tcPr>
            <w:tcW w:w="5400" w:type="dxa"/>
          </w:tcPr>
          <w:p w:rsidRPr="00535397" w:rsidR="00EA3C28" w:rsidP="00633282" w:rsidRDefault="00EA3C28" w14:paraId="61D30291"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Female</w:t>
            </w:r>
          </w:p>
        </w:tc>
        <w:tc>
          <w:tcPr>
            <w:tcW w:w="1980" w:type="dxa"/>
          </w:tcPr>
          <w:p w:rsidRPr="00535397" w:rsidR="00EA3C28" w:rsidP="00633282" w:rsidRDefault="00EA3C28" w14:paraId="771656D4" w14:textId="77777777">
            <w:pPr>
              <w:pStyle w:val="Tabletext"/>
              <w:jc w:val="center"/>
              <w:rPr>
                <w:szCs w:val="22"/>
              </w:rPr>
            </w:pPr>
            <w:r w:rsidRPr="00535397">
              <w:rPr>
                <w:szCs w:val="22"/>
              </w:rPr>
              <w:t>748</w:t>
            </w:r>
          </w:p>
        </w:tc>
        <w:tc>
          <w:tcPr>
            <w:tcW w:w="2070" w:type="dxa"/>
          </w:tcPr>
          <w:p w:rsidRPr="00535397" w:rsidR="00EA3C28" w:rsidP="00633282" w:rsidRDefault="00EA3C28" w14:paraId="2F0E0145" w14:textId="77777777">
            <w:pPr>
              <w:pStyle w:val="Tabletext"/>
              <w:jc w:val="center"/>
              <w:rPr>
                <w:szCs w:val="22"/>
              </w:rPr>
            </w:pPr>
            <w:r w:rsidRPr="00535397">
              <w:rPr>
                <w:szCs w:val="22"/>
              </w:rPr>
              <w:t>46.0%</w:t>
            </w:r>
          </w:p>
        </w:tc>
      </w:tr>
      <w:tr w:rsidRPr="00535397" w:rsidR="00EA3C28" w:rsidTr="00633282" w14:paraId="4C02FB85" w14:textId="77777777">
        <w:tc>
          <w:tcPr>
            <w:tcW w:w="5400" w:type="dxa"/>
          </w:tcPr>
          <w:p w:rsidRPr="00535397" w:rsidR="00EA3C28" w:rsidP="00633282" w:rsidRDefault="00EA3C28" w14:paraId="6BD98A8E"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Missing</w:t>
            </w:r>
          </w:p>
        </w:tc>
        <w:tc>
          <w:tcPr>
            <w:tcW w:w="1980" w:type="dxa"/>
          </w:tcPr>
          <w:p w:rsidRPr="00535397" w:rsidR="00EA3C28" w:rsidP="00633282" w:rsidRDefault="00EA3C28" w14:paraId="13A55051" w14:textId="77777777">
            <w:pPr>
              <w:pStyle w:val="Tabletext"/>
              <w:jc w:val="center"/>
              <w:rPr>
                <w:szCs w:val="22"/>
              </w:rPr>
            </w:pPr>
            <w:r w:rsidRPr="00535397">
              <w:rPr>
                <w:szCs w:val="22"/>
              </w:rPr>
              <w:t>1</w:t>
            </w:r>
          </w:p>
        </w:tc>
        <w:tc>
          <w:tcPr>
            <w:tcW w:w="2070" w:type="dxa"/>
          </w:tcPr>
          <w:p w:rsidRPr="00535397" w:rsidR="00EA3C28" w:rsidP="00633282" w:rsidRDefault="00EA3C28" w14:paraId="4806E81A" w14:textId="77777777">
            <w:pPr>
              <w:pStyle w:val="Tabletext"/>
              <w:jc w:val="center"/>
              <w:rPr>
                <w:szCs w:val="22"/>
              </w:rPr>
            </w:pPr>
            <w:r w:rsidRPr="00535397">
              <w:rPr>
                <w:szCs w:val="22"/>
              </w:rPr>
              <w:t>0.1%</w:t>
            </w:r>
          </w:p>
        </w:tc>
      </w:tr>
      <w:tr w:rsidRPr="00535397" w:rsidR="00EA3C28" w:rsidTr="00633282" w14:paraId="7BDE395A" w14:textId="77777777">
        <w:tc>
          <w:tcPr>
            <w:tcW w:w="9450" w:type="dxa"/>
            <w:gridSpan w:val="3"/>
          </w:tcPr>
          <w:p w:rsidRPr="00535397" w:rsidR="00EA3C28" w:rsidP="00633282" w:rsidRDefault="00EA3C28" w14:paraId="2978017F" w14:textId="77777777">
            <w:pPr>
              <w:pStyle w:val="Tabletext"/>
              <w:spacing w:before="30"/>
              <w:rPr>
                <w:szCs w:val="22"/>
              </w:rPr>
            </w:pPr>
            <w:r w:rsidRPr="00535397">
              <w:rPr>
                <w:b/>
                <w:bCs/>
                <w:szCs w:val="22"/>
              </w:rPr>
              <w:t>Education</w:t>
            </w:r>
          </w:p>
        </w:tc>
      </w:tr>
      <w:tr w:rsidRPr="00535397" w:rsidR="00EA3C28" w:rsidTr="00633282" w14:paraId="7583A003" w14:textId="77777777">
        <w:tc>
          <w:tcPr>
            <w:tcW w:w="5400" w:type="dxa"/>
          </w:tcPr>
          <w:p w:rsidRPr="00535397" w:rsidR="00EA3C28" w:rsidP="00633282" w:rsidRDefault="00EA3C28" w14:paraId="174B3832"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Less than high school</w:t>
            </w:r>
          </w:p>
        </w:tc>
        <w:tc>
          <w:tcPr>
            <w:tcW w:w="1980" w:type="dxa"/>
          </w:tcPr>
          <w:p w:rsidRPr="00535397" w:rsidR="00EA3C28" w:rsidP="00633282" w:rsidRDefault="00EA3C28" w14:paraId="3BB78B70" w14:textId="77777777">
            <w:pPr>
              <w:pStyle w:val="Tabletext"/>
              <w:spacing w:before="30"/>
              <w:jc w:val="center"/>
              <w:rPr>
                <w:szCs w:val="22"/>
              </w:rPr>
            </w:pPr>
            <w:r w:rsidRPr="00535397">
              <w:rPr>
                <w:szCs w:val="22"/>
              </w:rPr>
              <w:t>197</w:t>
            </w:r>
          </w:p>
        </w:tc>
        <w:tc>
          <w:tcPr>
            <w:tcW w:w="2070" w:type="dxa"/>
          </w:tcPr>
          <w:p w:rsidRPr="00535397" w:rsidR="00EA3C28" w:rsidP="00633282" w:rsidRDefault="00EA3C28" w14:paraId="0B6D2726" w14:textId="77777777">
            <w:pPr>
              <w:pStyle w:val="Tabletext"/>
              <w:spacing w:before="30"/>
              <w:jc w:val="center"/>
              <w:rPr>
                <w:szCs w:val="22"/>
              </w:rPr>
            </w:pPr>
            <w:r w:rsidRPr="00535397">
              <w:rPr>
                <w:szCs w:val="22"/>
              </w:rPr>
              <w:t>12.1%</w:t>
            </w:r>
          </w:p>
        </w:tc>
      </w:tr>
      <w:tr w:rsidRPr="00535397" w:rsidR="00EA3C28" w:rsidTr="00633282" w14:paraId="5CBABCF7" w14:textId="77777777">
        <w:tc>
          <w:tcPr>
            <w:tcW w:w="5400" w:type="dxa"/>
          </w:tcPr>
          <w:p w:rsidRPr="00535397" w:rsidR="00EA3C28" w:rsidP="00633282" w:rsidRDefault="00EA3C28" w14:paraId="559E90AB"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High school/GED</w:t>
            </w:r>
          </w:p>
        </w:tc>
        <w:tc>
          <w:tcPr>
            <w:tcW w:w="1980" w:type="dxa"/>
          </w:tcPr>
          <w:p w:rsidRPr="00535397" w:rsidR="00EA3C28" w:rsidP="00633282" w:rsidRDefault="00EA3C28" w14:paraId="3F20DA72" w14:textId="77777777">
            <w:pPr>
              <w:pStyle w:val="Tabletext"/>
              <w:spacing w:before="30"/>
              <w:jc w:val="center"/>
              <w:rPr>
                <w:szCs w:val="22"/>
              </w:rPr>
            </w:pPr>
            <w:r w:rsidRPr="00535397">
              <w:rPr>
                <w:szCs w:val="22"/>
              </w:rPr>
              <w:t>589</w:t>
            </w:r>
          </w:p>
        </w:tc>
        <w:tc>
          <w:tcPr>
            <w:tcW w:w="2070" w:type="dxa"/>
          </w:tcPr>
          <w:p w:rsidRPr="00535397" w:rsidR="00EA3C28" w:rsidP="00633282" w:rsidRDefault="00EA3C28" w14:paraId="6A691796" w14:textId="77777777">
            <w:pPr>
              <w:pStyle w:val="Tabletext"/>
              <w:spacing w:before="30"/>
              <w:jc w:val="center"/>
              <w:rPr>
                <w:szCs w:val="22"/>
              </w:rPr>
            </w:pPr>
            <w:r w:rsidRPr="00535397">
              <w:rPr>
                <w:szCs w:val="22"/>
              </w:rPr>
              <w:t>36.2%</w:t>
            </w:r>
          </w:p>
        </w:tc>
      </w:tr>
      <w:tr w:rsidRPr="00535397" w:rsidR="00EA3C28" w:rsidTr="00633282" w14:paraId="34C1DA41" w14:textId="77777777">
        <w:tc>
          <w:tcPr>
            <w:tcW w:w="5400" w:type="dxa"/>
          </w:tcPr>
          <w:p w:rsidRPr="00535397" w:rsidR="00EA3C28" w:rsidP="00633282" w:rsidRDefault="00EA3C28" w14:paraId="02F04A04"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Some college/</w:t>
            </w:r>
            <w:proofErr w:type="spellStart"/>
            <w:r w:rsidRPr="00535397">
              <w:rPr>
                <w:rFonts w:ascii="Times New Roman" w:hAnsi="Times New Roman" w:cs="Times New Roman"/>
                <w:sz w:val="22"/>
                <w:szCs w:val="22"/>
              </w:rPr>
              <w:t>voc</w:t>
            </w:r>
            <w:proofErr w:type="spellEnd"/>
            <w:r w:rsidRPr="00535397">
              <w:rPr>
                <w:rFonts w:ascii="Times New Roman" w:hAnsi="Times New Roman" w:cs="Times New Roman"/>
                <w:sz w:val="22"/>
                <w:szCs w:val="22"/>
              </w:rPr>
              <w:t xml:space="preserve"> tech</w:t>
            </w:r>
          </w:p>
        </w:tc>
        <w:tc>
          <w:tcPr>
            <w:tcW w:w="1980" w:type="dxa"/>
          </w:tcPr>
          <w:p w:rsidRPr="00535397" w:rsidR="00EA3C28" w:rsidP="00633282" w:rsidRDefault="00EA3C28" w14:paraId="57543FB6" w14:textId="77777777">
            <w:pPr>
              <w:pStyle w:val="Tabletext"/>
              <w:spacing w:before="30"/>
              <w:jc w:val="center"/>
              <w:rPr>
                <w:szCs w:val="22"/>
              </w:rPr>
            </w:pPr>
            <w:r w:rsidRPr="00535397">
              <w:rPr>
                <w:szCs w:val="22"/>
              </w:rPr>
              <w:t>402</w:t>
            </w:r>
          </w:p>
        </w:tc>
        <w:tc>
          <w:tcPr>
            <w:tcW w:w="2070" w:type="dxa"/>
          </w:tcPr>
          <w:p w:rsidRPr="00535397" w:rsidR="00EA3C28" w:rsidP="00633282" w:rsidRDefault="00EA3C28" w14:paraId="561D152A" w14:textId="77777777">
            <w:pPr>
              <w:pStyle w:val="Tabletext"/>
              <w:spacing w:before="30"/>
              <w:jc w:val="center"/>
              <w:rPr>
                <w:szCs w:val="22"/>
              </w:rPr>
            </w:pPr>
            <w:r w:rsidRPr="00535397">
              <w:rPr>
                <w:szCs w:val="22"/>
              </w:rPr>
              <w:t>24.7%</w:t>
            </w:r>
          </w:p>
        </w:tc>
      </w:tr>
      <w:tr w:rsidRPr="00535397" w:rsidR="00EA3C28" w:rsidTr="00633282" w14:paraId="47DD6671" w14:textId="77777777">
        <w:tc>
          <w:tcPr>
            <w:tcW w:w="5400" w:type="dxa"/>
          </w:tcPr>
          <w:p w:rsidRPr="00535397" w:rsidR="00EA3C28" w:rsidP="00633282" w:rsidRDefault="00EA3C28" w14:paraId="0BDEBBF8"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2-year college degree</w:t>
            </w:r>
          </w:p>
        </w:tc>
        <w:tc>
          <w:tcPr>
            <w:tcW w:w="1980" w:type="dxa"/>
          </w:tcPr>
          <w:p w:rsidRPr="00535397" w:rsidR="00EA3C28" w:rsidP="00633282" w:rsidRDefault="00EA3C28" w14:paraId="7ADDD016" w14:textId="77777777">
            <w:pPr>
              <w:pStyle w:val="Tabletext"/>
              <w:spacing w:before="30"/>
              <w:jc w:val="center"/>
              <w:rPr>
                <w:szCs w:val="22"/>
              </w:rPr>
            </w:pPr>
            <w:r w:rsidRPr="00535397">
              <w:rPr>
                <w:szCs w:val="22"/>
              </w:rPr>
              <w:t>190</w:t>
            </w:r>
          </w:p>
        </w:tc>
        <w:tc>
          <w:tcPr>
            <w:tcW w:w="2070" w:type="dxa"/>
          </w:tcPr>
          <w:p w:rsidRPr="00535397" w:rsidR="00EA3C28" w:rsidP="00633282" w:rsidRDefault="00EA3C28" w14:paraId="2A84E8A2" w14:textId="77777777">
            <w:pPr>
              <w:pStyle w:val="Tabletext"/>
              <w:spacing w:before="30"/>
              <w:jc w:val="center"/>
              <w:rPr>
                <w:szCs w:val="22"/>
              </w:rPr>
            </w:pPr>
            <w:r w:rsidRPr="00535397">
              <w:rPr>
                <w:szCs w:val="22"/>
              </w:rPr>
              <w:t>11.7%</w:t>
            </w:r>
          </w:p>
        </w:tc>
      </w:tr>
      <w:tr w:rsidRPr="00535397" w:rsidR="00EA3C28" w:rsidTr="00633282" w14:paraId="20FCC122" w14:textId="77777777">
        <w:tc>
          <w:tcPr>
            <w:tcW w:w="5400" w:type="dxa"/>
          </w:tcPr>
          <w:p w:rsidRPr="00535397" w:rsidR="00EA3C28" w:rsidP="00633282" w:rsidRDefault="00EA3C28" w14:paraId="13AFE3DB"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4</w:t>
            </w:r>
            <w:r w:rsidRPr="00535397">
              <w:rPr>
                <w:rFonts w:ascii="Times New Roman" w:hAnsi="Times New Roman" w:cs="Times New Roman"/>
                <w:sz w:val="22"/>
                <w:szCs w:val="22"/>
              </w:rPr>
              <w:noBreakHyphen/>
              <w:t>year college degree</w:t>
            </w:r>
          </w:p>
        </w:tc>
        <w:tc>
          <w:tcPr>
            <w:tcW w:w="1980" w:type="dxa"/>
          </w:tcPr>
          <w:p w:rsidRPr="00535397" w:rsidR="00EA3C28" w:rsidP="00633282" w:rsidRDefault="00EA3C28" w14:paraId="5DC50420" w14:textId="77777777">
            <w:pPr>
              <w:pStyle w:val="Tabletext"/>
              <w:spacing w:before="30"/>
              <w:jc w:val="center"/>
              <w:rPr>
                <w:szCs w:val="22"/>
              </w:rPr>
            </w:pPr>
            <w:r w:rsidRPr="00535397">
              <w:rPr>
                <w:szCs w:val="22"/>
              </w:rPr>
              <w:t>248</w:t>
            </w:r>
          </w:p>
        </w:tc>
        <w:tc>
          <w:tcPr>
            <w:tcW w:w="2070" w:type="dxa"/>
          </w:tcPr>
          <w:p w:rsidRPr="00535397" w:rsidR="00EA3C28" w:rsidP="00633282" w:rsidRDefault="00EA3C28" w14:paraId="6A3C28F9" w14:textId="77777777">
            <w:pPr>
              <w:pStyle w:val="Tabletext"/>
              <w:spacing w:before="30"/>
              <w:jc w:val="center"/>
              <w:rPr>
                <w:szCs w:val="22"/>
              </w:rPr>
            </w:pPr>
            <w:r w:rsidRPr="00535397">
              <w:rPr>
                <w:szCs w:val="22"/>
              </w:rPr>
              <w:t>15.3%</w:t>
            </w:r>
          </w:p>
        </w:tc>
      </w:tr>
      <w:tr w:rsidRPr="00535397" w:rsidR="00EA3C28" w:rsidTr="00633282" w14:paraId="6A4505CE" w14:textId="77777777">
        <w:tc>
          <w:tcPr>
            <w:tcW w:w="5400" w:type="dxa"/>
          </w:tcPr>
          <w:p w:rsidRPr="00535397" w:rsidR="00EA3C28" w:rsidP="00633282" w:rsidRDefault="00EA3C28" w14:paraId="1B8A05AD"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Missing</w:t>
            </w:r>
          </w:p>
        </w:tc>
        <w:tc>
          <w:tcPr>
            <w:tcW w:w="1980" w:type="dxa"/>
          </w:tcPr>
          <w:p w:rsidRPr="00535397" w:rsidR="00EA3C28" w:rsidP="00633282" w:rsidRDefault="00EA3C28" w14:paraId="19088CE6" w14:textId="77777777">
            <w:pPr>
              <w:pStyle w:val="Tabletext"/>
              <w:spacing w:before="30"/>
              <w:jc w:val="center"/>
              <w:rPr>
                <w:szCs w:val="22"/>
              </w:rPr>
            </w:pPr>
            <w:r w:rsidRPr="00535397">
              <w:rPr>
                <w:szCs w:val="22"/>
              </w:rPr>
              <w:t>0</w:t>
            </w:r>
          </w:p>
        </w:tc>
        <w:tc>
          <w:tcPr>
            <w:tcW w:w="2070" w:type="dxa"/>
          </w:tcPr>
          <w:p w:rsidRPr="00535397" w:rsidR="00EA3C28" w:rsidP="00633282" w:rsidRDefault="00EA3C28" w14:paraId="78121F3B" w14:textId="77777777">
            <w:pPr>
              <w:pStyle w:val="Tabletext"/>
              <w:spacing w:before="30"/>
              <w:jc w:val="center"/>
              <w:rPr>
                <w:szCs w:val="22"/>
              </w:rPr>
            </w:pPr>
            <w:r w:rsidRPr="00535397">
              <w:rPr>
                <w:szCs w:val="22"/>
              </w:rPr>
              <w:t>0.0%</w:t>
            </w:r>
          </w:p>
        </w:tc>
      </w:tr>
    </w:tbl>
    <w:p w:rsidRPr="005D4467" w:rsidR="00EA3C28" w:rsidP="00EA3C28" w:rsidRDefault="00EA3C28" w14:paraId="74FC94E9" w14:textId="77777777">
      <w:pPr>
        <w:pStyle w:val="Tablecontd"/>
        <w:rPr>
          <w:rFonts w:cs="Arial"/>
        </w:rPr>
      </w:pPr>
      <w:r w:rsidRPr="005D4467">
        <w:rPr>
          <w:rFonts w:cs="Arial"/>
        </w:rPr>
        <w:t>(continued)</w:t>
      </w:r>
    </w:p>
    <w:p w:rsidRPr="005D4467" w:rsidR="00EA3C28" w:rsidP="00EA3C28" w:rsidRDefault="00EA3C28" w14:paraId="18E9B020" w14:textId="77777777">
      <w:pPr>
        <w:spacing w:after="160" w:line="259" w:lineRule="auto"/>
        <w:rPr>
          <w:rFonts w:ascii="Arial" w:hAnsi="Arial" w:cs="Arial"/>
          <w:snapToGrid w:val="0"/>
          <w:color w:val="0A357E"/>
        </w:rPr>
      </w:pPr>
      <w:r w:rsidRPr="005D4467">
        <w:rPr>
          <w:rFonts w:ascii="Arial" w:hAnsi="Arial" w:cs="Arial"/>
        </w:rPr>
        <w:br w:type="page"/>
      </w:r>
    </w:p>
    <w:p w:rsidRPr="004E4DF5" w:rsidR="00EA3C28" w:rsidP="004E4DF5" w:rsidRDefault="00EA3C28" w14:paraId="58166A4E" w14:textId="77777777">
      <w:pPr>
        <w:pStyle w:val="ExhibitTitleContinued"/>
        <w:ind w:left="0" w:firstLine="0"/>
        <w:jc w:val="center"/>
        <w:rPr>
          <w:rFonts w:ascii="Times New Roman Bold" w:hAnsi="Times New Roman Bold"/>
          <w:b/>
          <w:bCs/>
          <w:caps/>
          <w:color w:val="auto"/>
          <w:sz w:val="24"/>
          <w:szCs w:val="24"/>
        </w:rPr>
      </w:pPr>
      <w:r w:rsidRPr="004E4DF5">
        <w:rPr>
          <w:rFonts w:ascii="Times New Roman Bold" w:hAnsi="Times New Roman Bold"/>
          <w:b/>
          <w:bCs/>
          <w:caps/>
          <w:color w:val="auto"/>
          <w:sz w:val="24"/>
          <w:szCs w:val="24"/>
        </w:rPr>
        <w:lastRenderedPageBreak/>
        <w:t>Appendix B. Demographic Profile of Study A Respondents (continued)</w:t>
      </w:r>
    </w:p>
    <w:tbl>
      <w:tblPr>
        <w:tblStyle w:val="TableGrid"/>
        <w:tblW w:w="9450" w:type="dxa"/>
        <w:tblLayout w:type="fixed"/>
        <w:tblLook w:val="04A0" w:firstRow="1" w:lastRow="0" w:firstColumn="1" w:lastColumn="0" w:noHBand="0" w:noVBand="1"/>
      </w:tblPr>
      <w:tblGrid>
        <w:gridCol w:w="5400"/>
        <w:gridCol w:w="1980"/>
        <w:gridCol w:w="2070"/>
      </w:tblGrid>
      <w:tr w:rsidRPr="00535397" w:rsidR="00EA3C28" w:rsidTr="00633282" w14:paraId="4965812E" w14:textId="77777777">
        <w:tc>
          <w:tcPr>
            <w:tcW w:w="5400" w:type="dxa"/>
          </w:tcPr>
          <w:p w:rsidRPr="00535397" w:rsidR="00EA3C28" w:rsidP="00633282" w:rsidRDefault="00EA3C28" w14:paraId="6EF91264" w14:textId="77777777">
            <w:pPr>
              <w:pStyle w:val="TableHeaders"/>
              <w:spacing w:before="30"/>
              <w:rPr>
                <w:szCs w:val="22"/>
              </w:rPr>
            </w:pPr>
            <w:proofErr w:type="spellStart"/>
            <w:r w:rsidRPr="00535397">
              <w:rPr>
                <w:szCs w:val="22"/>
              </w:rPr>
              <w:t>Characteristic</w:t>
            </w:r>
            <w:r w:rsidRPr="00535397">
              <w:rPr>
                <w:szCs w:val="22"/>
                <w:vertAlign w:val="superscript"/>
              </w:rPr>
              <w:t>a</w:t>
            </w:r>
            <w:proofErr w:type="spellEnd"/>
          </w:p>
        </w:tc>
        <w:tc>
          <w:tcPr>
            <w:tcW w:w="1980" w:type="dxa"/>
          </w:tcPr>
          <w:p w:rsidRPr="00535397" w:rsidR="00EA3C28" w:rsidP="00633282" w:rsidRDefault="00EA3C28" w14:paraId="64438149" w14:textId="77777777">
            <w:pPr>
              <w:pStyle w:val="TableHeaders"/>
              <w:spacing w:before="30"/>
              <w:rPr>
                <w:szCs w:val="22"/>
              </w:rPr>
            </w:pPr>
            <w:r w:rsidRPr="00535397">
              <w:rPr>
                <w:szCs w:val="22"/>
              </w:rPr>
              <w:t>N</w:t>
            </w:r>
          </w:p>
        </w:tc>
        <w:tc>
          <w:tcPr>
            <w:tcW w:w="2070" w:type="dxa"/>
          </w:tcPr>
          <w:p w:rsidRPr="00535397" w:rsidR="00EA3C28" w:rsidP="00633282" w:rsidRDefault="00EA3C28" w14:paraId="0CC3AA36" w14:textId="77777777">
            <w:pPr>
              <w:pStyle w:val="TableHeaders"/>
              <w:spacing w:before="30"/>
              <w:rPr>
                <w:szCs w:val="22"/>
              </w:rPr>
            </w:pPr>
            <w:r w:rsidRPr="00535397">
              <w:rPr>
                <w:szCs w:val="22"/>
              </w:rPr>
              <w:t>Percentage</w:t>
            </w:r>
          </w:p>
        </w:tc>
      </w:tr>
      <w:tr w:rsidRPr="00535397" w:rsidR="00EA3C28" w:rsidTr="00633282" w14:paraId="2EE7481A" w14:textId="77777777">
        <w:tc>
          <w:tcPr>
            <w:tcW w:w="9450" w:type="dxa"/>
            <w:gridSpan w:val="3"/>
          </w:tcPr>
          <w:p w:rsidRPr="00535397" w:rsidR="00EA3C28" w:rsidP="00633282" w:rsidRDefault="00EA3C28" w14:paraId="561997F4" w14:textId="77777777">
            <w:pPr>
              <w:pStyle w:val="Tabletext"/>
              <w:spacing w:before="30"/>
              <w:rPr>
                <w:szCs w:val="22"/>
              </w:rPr>
            </w:pPr>
            <w:r w:rsidRPr="00535397">
              <w:rPr>
                <w:b/>
                <w:bCs/>
                <w:szCs w:val="22"/>
              </w:rPr>
              <w:t>Household Income</w:t>
            </w:r>
          </w:p>
        </w:tc>
      </w:tr>
      <w:tr w:rsidRPr="00535397" w:rsidR="00EA3C28" w:rsidTr="00633282" w14:paraId="54F5F708" w14:textId="77777777">
        <w:tc>
          <w:tcPr>
            <w:tcW w:w="5400" w:type="dxa"/>
          </w:tcPr>
          <w:p w:rsidRPr="00535397" w:rsidR="00EA3C28" w:rsidP="00633282" w:rsidRDefault="00EA3C28" w14:paraId="79C5ECD3"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Less than $30,000</w:t>
            </w:r>
          </w:p>
        </w:tc>
        <w:tc>
          <w:tcPr>
            <w:tcW w:w="1980" w:type="dxa"/>
          </w:tcPr>
          <w:p w:rsidRPr="00535397" w:rsidR="00EA3C28" w:rsidP="00633282" w:rsidRDefault="00EA3C28" w14:paraId="391B639F" w14:textId="77777777">
            <w:pPr>
              <w:pStyle w:val="Tabletext"/>
              <w:spacing w:before="30"/>
              <w:jc w:val="center"/>
              <w:rPr>
                <w:szCs w:val="22"/>
              </w:rPr>
            </w:pPr>
            <w:r w:rsidRPr="00535397">
              <w:rPr>
                <w:szCs w:val="22"/>
              </w:rPr>
              <w:t>699</w:t>
            </w:r>
          </w:p>
        </w:tc>
        <w:tc>
          <w:tcPr>
            <w:tcW w:w="2070" w:type="dxa"/>
          </w:tcPr>
          <w:p w:rsidRPr="00535397" w:rsidR="00EA3C28" w:rsidP="00633282" w:rsidRDefault="00EA3C28" w14:paraId="6AC9A619" w14:textId="77777777">
            <w:pPr>
              <w:pStyle w:val="Tabletext"/>
              <w:spacing w:before="30"/>
              <w:jc w:val="center"/>
              <w:rPr>
                <w:szCs w:val="22"/>
              </w:rPr>
            </w:pPr>
            <w:r w:rsidRPr="00535397">
              <w:rPr>
                <w:szCs w:val="22"/>
              </w:rPr>
              <w:t>43.0%</w:t>
            </w:r>
          </w:p>
        </w:tc>
      </w:tr>
      <w:tr w:rsidRPr="00535397" w:rsidR="00EA3C28" w:rsidTr="00633282" w14:paraId="783209D9" w14:textId="77777777">
        <w:tc>
          <w:tcPr>
            <w:tcW w:w="5400" w:type="dxa"/>
          </w:tcPr>
          <w:p w:rsidRPr="00535397" w:rsidR="00EA3C28" w:rsidP="00633282" w:rsidRDefault="00EA3C28" w14:paraId="7B12C1BF"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$30,000 to $49,999</w:t>
            </w:r>
          </w:p>
        </w:tc>
        <w:tc>
          <w:tcPr>
            <w:tcW w:w="1980" w:type="dxa"/>
          </w:tcPr>
          <w:p w:rsidRPr="00535397" w:rsidR="00EA3C28" w:rsidP="00633282" w:rsidRDefault="00EA3C28" w14:paraId="199FC668" w14:textId="77777777">
            <w:pPr>
              <w:pStyle w:val="Tabletext"/>
              <w:spacing w:before="30"/>
              <w:jc w:val="center"/>
              <w:rPr>
                <w:szCs w:val="22"/>
              </w:rPr>
            </w:pPr>
            <w:r w:rsidRPr="00535397">
              <w:rPr>
                <w:szCs w:val="22"/>
              </w:rPr>
              <w:t>356</w:t>
            </w:r>
          </w:p>
        </w:tc>
        <w:tc>
          <w:tcPr>
            <w:tcW w:w="2070" w:type="dxa"/>
          </w:tcPr>
          <w:p w:rsidRPr="00535397" w:rsidR="00EA3C28" w:rsidP="00633282" w:rsidRDefault="00EA3C28" w14:paraId="218B4DBD" w14:textId="77777777">
            <w:pPr>
              <w:pStyle w:val="Tabletext"/>
              <w:spacing w:before="30"/>
              <w:jc w:val="center"/>
              <w:rPr>
                <w:szCs w:val="22"/>
              </w:rPr>
            </w:pPr>
            <w:r w:rsidRPr="00535397">
              <w:rPr>
                <w:szCs w:val="22"/>
              </w:rPr>
              <w:t>21.9%</w:t>
            </w:r>
          </w:p>
        </w:tc>
      </w:tr>
      <w:tr w:rsidRPr="00535397" w:rsidR="00EA3C28" w:rsidTr="00633282" w14:paraId="3ECB66EE" w14:textId="77777777">
        <w:tc>
          <w:tcPr>
            <w:tcW w:w="5400" w:type="dxa"/>
          </w:tcPr>
          <w:p w:rsidRPr="00535397" w:rsidR="00EA3C28" w:rsidP="00633282" w:rsidRDefault="00EA3C28" w14:paraId="32B0C0E5"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$50,000 to $74,999</w:t>
            </w:r>
          </w:p>
        </w:tc>
        <w:tc>
          <w:tcPr>
            <w:tcW w:w="1980" w:type="dxa"/>
          </w:tcPr>
          <w:p w:rsidRPr="00535397" w:rsidR="00EA3C28" w:rsidP="00633282" w:rsidRDefault="00EA3C28" w14:paraId="41E4DCCB" w14:textId="77777777">
            <w:pPr>
              <w:pStyle w:val="Tabletext"/>
              <w:spacing w:before="30"/>
              <w:jc w:val="center"/>
              <w:rPr>
                <w:szCs w:val="22"/>
              </w:rPr>
            </w:pPr>
            <w:r w:rsidRPr="00535397">
              <w:rPr>
                <w:szCs w:val="22"/>
              </w:rPr>
              <w:t>216</w:t>
            </w:r>
          </w:p>
        </w:tc>
        <w:tc>
          <w:tcPr>
            <w:tcW w:w="2070" w:type="dxa"/>
          </w:tcPr>
          <w:p w:rsidRPr="00535397" w:rsidR="00EA3C28" w:rsidP="00633282" w:rsidRDefault="00EA3C28" w14:paraId="03F73C27" w14:textId="77777777">
            <w:pPr>
              <w:pStyle w:val="Tabletext"/>
              <w:spacing w:before="30"/>
              <w:jc w:val="center"/>
              <w:rPr>
                <w:szCs w:val="22"/>
              </w:rPr>
            </w:pPr>
            <w:r w:rsidRPr="00535397">
              <w:rPr>
                <w:szCs w:val="22"/>
              </w:rPr>
              <w:t>13.3%</w:t>
            </w:r>
          </w:p>
        </w:tc>
      </w:tr>
      <w:tr w:rsidRPr="00535397" w:rsidR="00EA3C28" w:rsidTr="00633282" w14:paraId="3BE5DEAE" w14:textId="77777777">
        <w:tc>
          <w:tcPr>
            <w:tcW w:w="5400" w:type="dxa"/>
          </w:tcPr>
          <w:p w:rsidRPr="00535397" w:rsidR="00EA3C28" w:rsidP="00633282" w:rsidRDefault="00EA3C28" w14:paraId="1C388C3C"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$75,000 to $99,999</w:t>
            </w:r>
          </w:p>
        </w:tc>
        <w:tc>
          <w:tcPr>
            <w:tcW w:w="1980" w:type="dxa"/>
          </w:tcPr>
          <w:p w:rsidRPr="00535397" w:rsidR="00EA3C28" w:rsidP="00633282" w:rsidRDefault="00EA3C28" w14:paraId="4068901F" w14:textId="77777777">
            <w:pPr>
              <w:pStyle w:val="Tabletext"/>
              <w:spacing w:before="30"/>
              <w:jc w:val="center"/>
              <w:rPr>
                <w:szCs w:val="22"/>
              </w:rPr>
            </w:pPr>
            <w:r w:rsidRPr="00535397">
              <w:rPr>
                <w:szCs w:val="22"/>
              </w:rPr>
              <w:t>132</w:t>
            </w:r>
          </w:p>
        </w:tc>
        <w:tc>
          <w:tcPr>
            <w:tcW w:w="2070" w:type="dxa"/>
          </w:tcPr>
          <w:p w:rsidRPr="00535397" w:rsidR="00EA3C28" w:rsidP="00633282" w:rsidRDefault="00EA3C28" w14:paraId="066DC331" w14:textId="77777777">
            <w:pPr>
              <w:pStyle w:val="Tabletext"/>
              <w:spacing w:before="30"/>
              <w:jc w:val="center"/>
              <w:rPr>
                <w:szCs w:val="22"/>
              </w:rPr>
            </w:pPr>
            <w:r w:rsidRPr="00535397">
              <w:rPr>
                <w:szCs w:val="22"/>
              </w:rPr>
              <w:t>8.1%</w:t>
            </w:r>
          </w:p>
        </w:tc>
      </w:tr>
      <w:tr w:rsidRPr="00535397" w:rsidR="00EA3C28" w:rsidTr="00633282" w14:paraId="5B4719D2" w14:textId="77777777">
        <w:tc>
          <w:tcPr>
            <w:tcW w:w="5400" w:type="dxa"/>
          </w:tcPr>
          <w:p w:rsidRPr="00535397" w:rsidR="00EA3C28" w:rsidP="00633282" w:rsidRDefault="00EA3C28" w14:paraId="7C9C95AB"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$100,000 to $124,999</w:t>
            </w:r>
          </w:p>
        </w:tc>
        <w:tc>
          <w:tcPr>
            <w:tcW w:w="1980" w:type="dxa"/>
          </w:tcPr>
          <w:p w:rsidRPr="00535397" w:rsidR="00EA3C28" w:rsidP="00633282" w:rsidRDefault="00EA3C28" w14:paraId="1E26C6DF" w14:textId="77777777">
            <w:pPr>
              <w:pStyle w:val="Tabletext"/>
              <w:spacing w:before="30"/>
              <w:jc w:val="center"/>
              <w:rPr>
                <w:szCs w:val="22"/>
              </w:rPr>
            </w:pPr>
            <w:r w:rsidRPr="00535397">
              <w:rPr>
                <w:szCs w:val="22"/>
              </w:rPr>
              <w:t>69</w:t>
            </w:r>
          </w:p>
        </w:tc>
        <w:tc>
          <w:tcPr>
            <w:tcW w:w="2070" w:type="dxa"/>
          </w:tcPr>
          <w:p w:rsidRPr="00535397" w:rsidR="00EA3C28" w:rsidP="00633282" w:rsidRDefault="00EA3C28" w14:paraId="50A81554" w14:textId="77777777">
            <w:pPr>
              <w:pStyle w:val="Tabletext"/>
              <w:spacing w:before="30"/>
              <w:jc w:val="center"/>
              <w:rPr>
                <w:szCs w:val="22"/>
              </w:rPr>
            </w:pPr>
            <w:r w:rsidRPr="00535397">
              <w:rPr>
                <w:szCs w:val="22"/>
              </w:rPr>
              <w:t>4.2%</w:t>
            </w:r>
          </w:p>
        </w:tc>
      </w:tr>
      <w:tr w:rsidRPr="00535397" w:rsidR="00EA3C28" w:rsidTr="00633282" w14:paraId="0B3427B1" w14:textId="77777777">
        <w:tc>
          <w:tcPr>
            <w:tcW w:w="5400" w:type="dxa"/>
          </w:tcPr>
          <w:p w:rsidRPr="00535397" w:rsidR="00EA3C28" w:rsidP="00633282" w:rsidRDefault="00EA3C28" w14:paraId="51B6731E"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$125,000 to $149,999</w:t>
            </w:r>
          </w:p>
        </w:tc>
        <w:tc>
          <w:tcPr>
            <w:tcW w:w="1980" w:type="dxa"/>
          </w:tcPr>
          <w:p w:rsidRPr="00535397" w:rsidR="00EA3C28" w:rsidP="00633282" w:rsidRDefault="00EA3C28" w14:paraId="5F6B19F7" w14:textId="77777777">
            <w:pPr>
              <w:pStyle w:val="Tabletext"/>
              <w:spacing w:before="30"/>
              <w:jc w:val="center"/>
              <w:rPr>
                <w:szCs w:val="22"/>
              </w:rPr>
            </w:pPr>
            <w:r w:rsidRPr="00535397">
              <w:rPr>
                <w:szCs w:val="22"/>
              </w:rPr>
              <w:t>28</w:t>
            </w:r>
          </w:p>
        </w:tc>
        <w:tc>
          <w:tcPr>
            <w:tcW w:w="2070" w:type="dxa"/>
          </w:tcPr>
          <w:p w:rsidRPr="00535397" w:rsidR="00EA3C28" w:rsidP="00633282" w:rsidRDefault="00EA3C28" w14:paraId="2AD0114B" w14:textId="77777777">
            <w:pPr>
              <w:pStyle w:val="Tabletext"/>
              <w:spacing w:before="30"/>
              <w:jc w:val="center"/>
              <w:rPr>
                <w:szCs w:val="22"/>
              </w:rPr>
            </w:pPr>
            <w:r w:rsidRPr="00535397">
              <w:rPr>
                <w:szCs w:val="22"/>
              </w:rPr>
              <w:t>1.7%</w:t>
            </w:r>
          </w:p>
        </w:tc>
      </w:tr>
      <w:tr w:rsidRPr="00535397" w:rsidR="00EA3C28" w:rsidTr="00633282" w14:paraId="1B0BA58E" w14:textId="77777777">
        <w:tc>
          <w:tcPr>
            <w:tcW w:w="5400" w:type="dxa"/>
          </w:tcPr>
          <w:p w:rsidRPr="00535397" w:rsidR="00EA3C28" w:rsidP="00633282" w:rsidRDefault="00EA3C28" w14:paraId="6AE362AD"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$150,000 or more</w:t>
            </w:r>
          </w:p>
        </w:tc>
        <w:tc>
          <w:tcPr>
            <w:tcW w:w="1980" w:type="dxa"/>
          </w:tcPr>
          <w:p w:rsidRPr="00535397" w:rsidR="00EA3C28" w:rsidP="00633282" w:rsidRDefault="00EA3C28" w14:paraId="304D7B96" w14:textId="77777777">
            <w:pPr>
              <w:pStyle w:val="Tabletext"/>
              <w:spacing w:before="30"/>
              <w:jc w:val="center"/>
              <w:rPr>
                <w:szCs w:val="22"/>
              </w:rPr>
            </w:pPr>
            <w:r w:rsidRPr="00535397">
              <w:rPr>
                <w:szCs w:val="22"/>
              </w:rPr>
              <w:t>44</w:t>
            </w:r>
          </w:p>
        </w:tc>
        <w:tc>
          <w:tcPr>
            <w:tcW w:w="2070" w:type="dxa"/>
          </w:tcPr>
          <w:p w:rsidRPr="00535397" w:rsidR="00EA3C28" w:rsidP="00633282" w:rsidRDefault="00EA3C28" w14:paraId="278B0355" w14:textId="77777777">
            <w:pPr>
              <w:pStyle w:val="Tabletext"/>
              <w:spacing w:before="30"/>
              <w:jc w:val="center"/>
              <w:rPr>
                <w:szCs w:val="22"/>
              </w:rPr>
            </w:pPr>
            <w:r w:rsidRPr="00535397">
              <w:rPr>
                <w:szCs w:val="22"/>
              </w:rPr>
              <w:t>2.7%</w:t>
            </w:r>
          </w:p>
        </w:tc>
      </w:tr>
      <w:tr w:rsidRPr="00535397" w:rsidR="00EA3C28" w:rsidTr="00633282" w14:paraId="684676C5" w14:textId="77777777">
        <w:tc>
          <w:tcPr>
            <w:tcW w:w="5400" w:type="dxa"/>
          </w:tcPr>
          <w:p w:rsidRPr="00535397" w:rsidR="00EA3C28" w:rsidP="00633282" w:rsidRDefault="00EA3C28" w14:paraId="28DAEB9D"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$30,000 or more (if other not available)</w:t>
            </w:r>
          </w:p>
        </w:tc>
        <w:tc>
          <w:tcPr>
            <w:tcW w:w="1980" w:type="dxa"/>
          </w:tcPr>
          <w:p w:rsidRPr="00535397" w:rsidR="00EA3C28" w:rsidP="00633282" w:rsidRDefault="00EA3C28" w14:paraId="718DB442" w14:textId="77777777">
            <w:pPr>
              <w:pStyle w:val="Tabletext"/>
              <w:spacing w:before="30"/>
              <w:jc w:val="center"/>
              <w:rPr>
                <w:szCs w:val="22"/>
              </w:rPr>
            </w:pPr>
            <w:r w:rsidRPr="00535397">
              <w:rPr>
                <w:szCs w:val="22"/>
              </w:rPr>
              <w:t>53</w:t>
            </w:r>
          </w:p>
        </w:tc>
        <w:tc>
          <w:tcPr>
            <w:tcW w:w="2070" w:type="dxa"/>
          </w:tcPr>
          <w:p w:rsidRPr="00535397" w:rsidR="00EA3C28" w:rsidP="00633282" w:rsidRDefault="00EA3C28" w14:paraId="64493A17" w14:textId="77777777">
            <w:pPr>
              <w:pStyle w:val="Tabletext"/>
              <w:spacing w:before="30"/>
              <w:jc w:val="center"/>
              <w:rPr>
                <w:szCs w:val="22"/>
              </w:rPr>
            </w:pPr>
            <w:r w:rsidRPr="00535397">
              <w:rPr>
                <w:szCs w:val="22"/>
              </w:rPr>
              <w:t>3.3%</w:t>
            </w:r>
          </w:p>
        </w:tc>
      </w:tr>
      <w:tr w:rsidRPr="00535397" w:rsidR="00EA3C28" w:rsidTr="00633282" w14:paraId="1F04246C" w14:textId="77777777">
        <w:tc>
          <w:tcPr>
            <w:tcW w:w="5400" w:type="dxa"/>
          </w:tcPr>
          <w:p w:rsidRPr="00535397" w:rsidR="00EA3C28" w:rsidP="00633282" w:rsidRDefault="00EA3C28" w14:paraId="72474B6A"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Missing</w:t>
            </w:r>
          </w:p>
        </w:tc>
        <w:tc>
          <w:tcPr>
            <w:tcW w:w="1980" w:type="dxa"/>
          </w:tcPr>
          <w:p w:rsidRPr="00535397" w:rsidR="00EA3C28" w:rsidP="00633282" w:rsidRDefault="00EA3C28" w14:paraId="34251845" w14:textId="77777777">
            <w:pPr>
              <w:pStyle w:val="Tabletext"/>
              <w:spacing w:before="30"/>
              <w:jc w:val="center"/>
              <w:rPr>
                <w:szCs w:val="22"/>
              </w:rPr>
            </w:pPr>
            <w:r w:rsidRPr="00535397">
              <w:rPr>
                <w:szCs w:val="22"/>
              </w:rPr>
              <w:t>29</w:t>
            </w:r>
          </w:p>
        </w:tc>
        <w:tc>
          <w:tcPr>
            <w:tcW w:w="2070" w:type="dxa"/>
          </w:tcPr>
          <w:p w:rsidRPr="00535397" w:rsidR="00EA3C28" w:rsidP="00633282" w:rsidRDefault="00EA3C28" w14:paraId="0E20E52A" w14:textId="77777777">
            <w:pPr>
              <w:pStyle w:val="Tabletext"/>
              <w:spacing w:before="30"/>
              <w:jc w:val="center"/>
              <w:rPr>
                <w:szCs w:val="22"/>
              </w:rPr>
            </w:pPr>
            <w:r w:rsidRPr="00535397">
              <w:rPr>
                <w:szCs w:val="22"/>
              </w:rPr>
              <w:t>1.8%</w:t>
            </w:r>
          </w:p>
        </w:tc>
      </w:tr>
      <w:tr w:rsidRPr="00535397" w:rsidR="00EA3C28" w:rsidTr="00633282" w14:paraId="05175DFF" w14:textId="77777777">
        <w:tc>
          <w:tcPr>
            <w:tcW w:w="9450" w:type="dxa"/>
            <w:gridSpan w:val="3"/>
          </w:tcPr>
          <w:p w:rsidRPr="00535397" w:rsidR="00EA3C28" w:rsidP="00633282" w:rsidRDefault="00EA3C28" w14:paraId="7CF6047E" w14:textId="77777777">
            <w:pPr>
              <w:pStyle w:val="Tabletext"/>
              <w:spacing w:before="30"/>
              <w:rPr>
                <w:szCs w:val="22"/>
              </w:rPr>
            </w:pPr>
            <w:r w:rsidRPr="00535397">
              <w:rPr>
                <w:b/>
                <w:szCs w:val="22"/>
              </w:rPr>
              <w:t xml:space="preserve">Tobacco Use for </w:t>
            </w:r>
            <w:proofErr w:type="spellStart"/>
            <w:r w:rsidRPr="00535397">
              <w:rPr>
                <w:b/>
                <w:szCs w:val="22"/>
              </w:rPr>
              <w:t>Enrollment</w:t>
            </w:r>
            <w:r w:rsidRPr="00535397">
              <w:rPr>
                <w:b/>
                <w:szCs w:val="22"/>
                <w:vertAlign w:val="superscript"/>
              </w:rPr>
              <w:t>b</w:t>
            </w:r>
            <w:proofErr w:type="spellEnd"/>
          </w:p>
        </w:tc>
      </w:tr>
      <w:tr w:rsidRPr="00535397" w:rsidR="00EA3C28" w:rsidTr="00633282" w14:paraId="24117A6E" w14:textId="77777777">
        <w:tc>
          <w:tcPr>
            <w:tcW w:w="5400" w:type="dxa"/>
          </w:tcPr>
          <w:p w:rsidRPr="00535397" w:rsidR="00EA3C28" w:rsidP="00633282" w:rsidRDefault="00EA3C28" w14:paraId="6C7DBBCD"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Cigarettes only</w:t>
            </w:r>
          </w:p>
        </w:tc>
        <w:tc>
          <w:tcPr>
            <w:tcW w:w="1980" w:type="dxa"/>
          </w:tcPr>
          <w:p w:rsidRPr="00535397" w:rsidR="00EA3C28" w:rsidP="00633282" w:rsidRDefault="00EA3C28" w14:paraId="2E9AA235" w14:textId="77777777">
            <w:pPr>
              <w:pStyle w:val="Tabletext"/>
              <w:spacing w:before="30"/>
              <w:jc w:val="center"/>
              <w:rPr>
                <w:szCs w:val="22"/>
              </w:rPr>
            </w:pPr>
            <w:r w:rsidRPr="00535397">
              <w:rPr>
                <w:szCs w:val="22"/>
              </w:rPr>
              <w:t>959</w:t>
            </w:r>
          </w:p>
        </w:tc>
        <w:tc>
          <w:tcPr>
            <w:tcW w:w="2070" w:type="dxa"/>
          </w:tcPr>
          <w:p w:rsidRPr="00535397" w:rsidR="00EA3C28" w:rsidP="00633282" w:rsidRDefault="00EA3C28" w14:paraId="7D4D931B" w14:textId="77777777">
            <w:pPr>
              <w:pStyle w:val="Tabletext"/>
              <w:spacing w:before="30"/>
              <w:jc w:val="center"/>
              <w:rPr>
                <w:szCs w:val="22"/>
              </w:rPr>
            </w:pPr>
            <w:r w:rsidRPr="00535397">
              <w:rPr>
                <w:szCs w:val="22"/>
              </w:rPr>
              <w:t>59.0%</w:t>
            </w:r>
          </w:p>
        </w:tc>
      </w:tr>
      <w:tr w:rsidRPr="00535397" w:rsidR="00EA3C28" w:rsidTr="00633282" w14:paraId="58855315" w14:textId="77777777">
        <w:tc>
          <w:tcPr>
            <w:tcW w:w="5400" w:type="dxa"/>
          </w:tcPr>
          <w:p w:rsidRPr="00535397" w:rsidR="00EA3C28" w:rsidP="00633282" w:rsidRDefault="00EA3C28" w14:paraId="4D929F1C"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Cigars only</w:t>
            </w:r>
          </w:p>
        </w:tc>
        <w:tc>
          <w:tcPr>
            <w:tcW w:w="1980" w:type="dxa"/>
          </w:tcPr>
          <w:p w:rsidRPr="00535397" w:rsidR="00EA3C28" w:rsidP="00633282" w:rsidRDefault="00EA3C28" w14:paraId="0CEEC426" w14:textId="77777777">
            <w:pPr>
              <w:pStyle w:val="Tabletext"/>
              <w:spacing w:before="30"/>
              <w:jc w:val="center"/>
              <w:rPr>
                <w:szCs w:val="22"/>
              </w:rPr>
            </w:pPr>
            <w:r w:rsidRPr="00535397">
              <w:rPr>
                <w:szCs w:val="22"/>
              </w:rPr>
              <w:t>133</w:t>
            </w:r>
          </w:p>
        </w:tc>
        <w:tc>
          <w:tcPr>
            <w:tcW w:w="2070" w:type="dxa"/>
          </w:tcPr>
          <w:p w:rsidRPr="00535397" w:rsidR="00EA3C28" w:rsidP="00633282" w:rsidRDefault="00EA3C28" w14:paraId="3EE7AA84" w14:textId="77777777">
            <w:pPr>
              <w:pStyle w:val="Tabletext"/>
              <w:spacing w:before="30"/>
              <w:jc w:val="center"/>
              <w:rPr>
                <w:szCs w:val="22"/>
              </w:rPr>
            </w:pPr>
            <w:r w:rsidRPr="00535397">
              <w:rPr>
                <w:szCs w:val="22"/>
              </w:rPr>
              <w:t>8.2%</w:t>
            </w:r>
          </w:p>
        </w:tc>
      </w:tr>
      <w:tr w:rsidRPr="00535397" w:rsidR="00EA3C28" w:rsidTr="00633282" w14:paraId="3125D925" w14:textId="77777777">
        <w:tc>
          <w:tcPr>
            <w:tcW w:w="5400" w:type="dxa"/>
          </w:tcPr>
          <w:p w:rsidRPr="00535397" w:rsidR="00EA3C28" w:rsidP="00633282" w:rsidRDefault="00EA3C28" w14:paraId="0DD13143"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Smokeless tobacco only</w:t>
            </w:r>
          </w:p>
        </w:tc>
        <w:tc>
          <w:tcPr>
            <w:tcW w:w="1980" w:type="dxa"/>
          </w:tcPr>
          <w:p w:rsidRPr="00535397" w:rsidR="00EA3C28" w:rsidP="00633282" w:rsidRDefault="00EA3C28" w14:paraId="2D5B88A5" w14:textId="77777777">
            <w:pPr>
              <w:pStyle w:val="Tabletext"/>
              <w:spacing w:before="30"/>
              <w:jc w:val="center"/>
              <w:rPr>
                <w:szCs w:val="22"/>
              </w:rPr>
            </w:pPr>
            <w:r w:rsidRPr="00535397">
              <w:rPr>
                <w:szCs w:val="22"/>
              </w:rPr>
              <w:t>181</w:t>
            </w:r>
          </w:p>
        </w:tc>
        <w:tc>
          <w:tcPr>
            <w:tcW w:w="2070" w:type="dxa"/>
          </w:tcPr>
          <w:p w:rsidRPr="00535397" w:rsidR="00EA3C28" w:rsidP="00633282" w:rsidRDefault="00EA3C28" w14:paraId="2B95E95A" w14:textId="77777777">
            <w:pPr>
              <w:pStyle w:val="Tabletext"/>
              <w:spacing w:before="30"/>
              <w:jc w:val="center"/>
              <w:rPr>
                <w:szCs w:val="22"/>
              </w:rPr>
            </w:pPr>
            <w:r w:rsidRPr="00535397">
              <w:rPr>
                <w:szCs w:val="22"/>
              </w:rPr>
              <w:t>11.1%</w:t>
            </w:r>
          </w:p>
        </w:tc>
      </w:tr>
      <w:tr w:rsidRPr="00535397" w:rsidR="00EA3C28" w:rsidTr="00633282" w14:paraId="33C8A22D" w14:textId="77777777">
        <w:tc>
          <w:tcPr>
            <w:tcW w:w="5400" w:type="dxa"/>
          </w:tcPr>
          <w:p w:rsidRPr="00535397" w:rsidR="00EA3C28" w:rsidP="00633282" w:rsidRDefault="00EA3C28" w14:paraId="140823CE"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Two of the three tobacco products</w:t>
            </w:r>
          </w:p>
        </w:tc>
        <w:tc>
          <w:tcPr>
            <w:tcW w:w="1980" w:type="dxa"/>
          </w:tcPr>
          <w:p w:rsidRPr="00535397" w:rsidR="00EA3C28" w:rsidP="00633282" w:rsidRDefault="00EA3C28" w14:paraId="175254A1" w14:textId="77777777">
            <w:pPr>
              <w:pStyle w:val="Tabletext"/>
              <w:spacing w:before="30"/>
              <w:jc w:val="center"/>
              <w:rPr>
                <w:szCs w:val="22"/>
              </w:rPr>
            </w:pPr>
            <w:r w:rsidRPr="00535397">
              <w:rPr>
                <w:szCs w:val="22"/>
              </w:rPr>
              <w:t>297</w:t>
            </w:r>
          </w:p>
        </w:tc>
        <w:tc>
          <w:tcPr>
            <w:tcW w:w="2070" w:type="dxa"/>
          </w:tcPr>
          <w:p w:rsidRPr="00535397" w:rsidR="00EA3C28" w:rsidP="00633282" w:rsidRDefault="00EA3C28" w14:paraId="4C856035" w14:textId="77777777">
            <w:pPr>
              <w:pStyle w:val="Tabletext"/>
              <w:spacing w:before="30"/>
              <w:jc w:val="center"/>
              <w:rPr>
                <w:szCs w:val="22"/>
              </w:rPr>
            </w:pPr>
            <w:r w:rsidRPr="00535397">
              <w:rPr>
                <w:szCs w:val="22"/>
              </w:rPr>
              <w:t>18.3%</w:t>
            </w:r>
          </w:p>
        </w:tc>
      </w:tr>
      <w:tr w:rsidRPr="00535397" w:rsidR="00EA3C28" w:rsidTr="00633282" w14:paraId="3E3A8862" w14:textId="77777777">
        <w:tc>
          <w:tcPr>
            <w:tcW w:w="5400" w:type="dxa"/>
          </w:tcPr>
          <w:p w:rsidRPr="00535397" w:rsidR="00EA3C28" w:rsidP="00633282" w:rsidRDefault="00EA3C28" w14:paraId="330278C8" w14:textId="77777777">
            <w:pPr>
              <w:pStyle w:val="Tabletext-1"/>
              <w:spacing w:before="30"/>
              <w:rPr>
                <w:rFonts w:ascii="Times New Roman" w:hAnsi="Times New Roman" w:cs="Times New Roman"/>
                <w:sz w:val="22"/>
                <w:szCs w:val="22"/>
              </w:rPr>
            </w:pPr>
            <w:r w:rsidRPr="00535397">
              <w:rPr>
                <w:rFonts w:ascii="Times New Roman" w:hAnsi="Times New Roman" w:cs="Times New Roman"/>
                <w:sz w:val="22"/>
                <w:szCs w:val="22"/>
              </w:rPr>
              <w:t>All three tobacco products</w:t>
            </w:r>
          </w:p>
        </w:tc>
        <w:tc>
          <w:tcPr>
            <w:tcW w:w="1980" w:type="dxa"/>
          </w:tcPr>
          <w:p w:rsidRPr="00535397" w:rsidR="00EA3C28" w:rsidP="00633282" w:rsidRDefault="00EA3C28" w14:paraId="00E061BC" w14:textId="77777777">
            <w:pPr>
              <w:pStyle w:val="Tabletext"/>
              <w:spacing w:before="30"/>
              <w:jc w:val="center"/>
              <w:rPr>
                <w:szCs w:val="22"/>
              </w:rPr>
            </w:pPr>
            <w:r w:rsidRPr="00535397">
              <w:rPr>
                <w:szCs w:val="22"/>
              </w:rPr>
              <w:t>56</w:t>
            </w:r>
          </w:p>
        </w:tc>
        <w:tc>
          <w:tcPr>
            <w:tcW w:w="2070" w:type="dxa"/>
          </w:tcPr>
          <w:p w:rsidRPr="00535397" w:rsidR="00EA3C28" w:rsidP="00633282" w:rsidRDefault="00EA3C28" w14:paraId="3B120AF1" w14:textId="77777777">
            <w:pPr>
              <w:pStyle w:val="Tabletext"/>
              <w:spacing w:before="30"/>
              <w:jc w:val="center"/>
              <w:rPr>
                <w:szCs w:val="22"/>
              </w:rPr>
            </w:pPr>
            <w:r w:rsidRPr="00535397">
              <w:rPr>
                <w:szCs w:val="22"/>
              </w:rPr>
              <w:t>3.4%</w:t>
            </w:r>
          </w:p>
        </w:tc>
      </w:tr>
      <w:tr w:rsidRPr="00535397" w:rsidR="00EA3C28" w:rsidTr="00633282" w14:paraId="13F9B76D" w14:textId="77777777">
        <w:tc>
          <w:tcPr>
            <w:tcW w:w="9450" w:type="dxa"/>
            <w:gridSpan w:val="3"/>
          </w:tcPr>
          <w:p w:rsidRPr="00535397" w:rsidR="00EA3C28" w:rsidP="00633282" w:rsidRDefault="00EA3C28" w14:paraId="668EEBD2" w14:textId="77777777">
            <w:pPr>
              <w:pStyle w:val="Tabletext"/>
              <w:rPr>
                <w:szCs w:val="22"/>
              </w:rPr>
            </w:pPr>
            <w:r w:rsidRPr="00535397">
              <w:rPr>
                <w:b/>
                <w:szCs w:val="22"/>
              </w:rPr>
              <w:t>Panel Participation Mode</w:t>
            </w:r>
          </w:p>
        </w:tc>
      </w:tr>
      <w:tr w:rsidRPr="00535397" w:rsidR="00EA3C28" w:rsidTr="00633282" w14:paraId="5EDBBC81" w14:textId="77777777">
        <w:tc>
          <w:tcPr>
            <w:tcW w:w="5400" w:type="dxa"/>
          </w:tcPr>
          <w:p w:rsidRPr="00535397" w:rsidR="00EA3C28" w:rsidP="00633282" w:rsidRDefault="00EA3C28" w14:paraId="6DFE85CB"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Web, using personal device</w:t>
            </w:r>
          </w:p>
        </w:tc>
        <w:tc>
          <w:tcPr>
            <w:tcW w:w="1980" w:type="dxa"/>
          </w:tcPr>
          <w:p w:rsidRPr="00535397" w:rsidR="00EA3C28" w:rsidP="00633282" w:rsidRDefault="00EA3C28" w14:paraId="585FBB99" w14:textId="77777777">
            <w:pPr>
              <w:pStyle w:val="Tabletext"/>
              <w:jc w:val="center"/>
              <w:rPr>
                <w:szCs w:val="22"/>
              </w:rPr>
            </w:pPr>
            <w:r w:rsidRPr="00535397">
              <w:rPr>
                <w:szCs w:val="22"/>
              </w:rPr>
              <w:t>1,312</w:t>
            </w:r>
          </w:p>
        </w:tc>
        <w:tc>
          <w:tcPr>
            <w:tcW w:w="2070" w:type="dxa"/>
          </w:tcPr>
          <w:p w:rsidRPr="00535397" w:rsidR="00EA3C28" w:rsidP="00633282" w:rsidRDefault="00EA3C28" w14:paraId="6BACCA5A" w14:textId="77777777">
            <w:pPr>
              <w:pStyle w:val="Tabletext"/>
              <w:jc w:val="center"/>
              <w:rPr>
                <w:szCs w:val="22"/>
              </w:rPr>
            </w:pPr>
            <w:r w:rsidRPr="00535397">
              <w:rPr>
                <w:szCs w:val="22"/>
              </w:rPr>
              <w:t>80.7%</w:t>
            </w:r>
          </w:p>
        </w:tc>
      </w:tr>
      <w:tr w:rsidRPr="00535397" w:rsidR="00EA3C28" w:rsidTr="00633282" w14:paraId="05E1AC1B" w14:textId="77777777">
        <w:tc>
          <w:tcPr>
            <w:tcW w:w="5400" w:type="dxa"/>
          </w:tcPr>
          <w:p w:rsidRPr="00535397" w:rsidR="00EA3C28" w:rsidP="00633282" w:rsidRDefault="00EA3C28" w14:paraId="2EDB8A97"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Mail mode</w:t>
            </w:r>
          </w:p>
        </w:tc>
        <w:tc>
          <w:tcPr>
            <w:tcW w:w="1980" w:type="dxa"/>
          </w:tcPr>
          <w:p w:rsidRPr="00535397" w:rsidR="00EA3C28" w:rsidP="00633282" w:rsidRDefault="00EA3C28" w14:paraId="376081A5" w14:textId="77777777">
            <w:pPr>
              <w:pStyle w:val="Tabletext"/>
              <w:jc w:val="center"/>
              <w:rPr>
                <w:szCs w:val="22"/>
              </w:rPr>
            </w:pPr>
            <w:r w:rsidRPr="00535397">
              <w:rPr>
                <w:szCs w:val="22"/>
              </w:rPr>
              <w:t>309</w:t>
            </w:r>
          </w:p>
        </w:tc>
        <w:tc>
          <w:tcPr>
            <w:tcW w:w="2070" w:type="dxa"/>
          </w:tcPr>
          <w:p w:rsidRPr="00535397" w:rsidR="00EA3C28" w:rsidP="00633282" w:rsidRDefault="00EA3C28" w14:paraId="0C5A7907" w14:textId="77777777">
            <w:pPr>
              <w:pStyle w:val="Tabletext"/>
              <w:jc w:val="center"/>
              <w:rPr>
                <w:szCs w:val="22"/>
              </w:rPr>
            </w:pPr>
            <w:r w:rsidRPr="00535397">
              <w:rPr>
                <w:szCs w:val="22"/>
              </w:rPr>
              <w:t>19.0%</w:t>
            </w:r>
          </w:p>
        </w:tc>
      </w:tr>
      <w:tr w:rsidRPr="00535397" w:rsidR="00EA3C28" w:rsidTr="00633282" w14:paraId="43C9FDF2" w14:textId="77777777">
        <w:tc>
          <w:tcPr>
            <w:tcW w:w="5400" w:type="dxa"/>
          </w:tcPr>
          <w:p w:rsidRPr="00535397" w:rsidR="00EA3C28" w:rsidP="00633282" w:rsidRDefault="00EA3C28" w14:paraId="3D9441E1"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Web, using study-provided tablet</w:t>
            </w:r>
          </w:p>
        </w:tc>
        <w:tc>
          <w:tcPr>
            <w:tcW w:w="1980" w:type="dxa"/>
          </w:tcPr>
          <w:p w:rsidRPr="00535397" w:rsidR="00EA3C28" w:rsidP="00633282" w:rsidRDefault="00EA3C28" w14:paraId="7BB025CF" w14:textId="77777777">
            <w:pPr>
              <w:pStyle w:val="Tabletext"/>
              <w:jc w:val="center"/>
              <w:rPr>
                <w:szCs w:val="22"/>
              </w:rPr>
            </w:pPr>
            <w:r w:rsidRPr="00535397">
              <w:rPr>
                <w:szCs w:val="22"/>
              </w:rPr>
              <w:t>5</w:t>
            </w:r>
          </w:p>
        </w:tc>
        <w:tc>
          <w:tcPr>
            <w:tcW w:w="2070" w:type="dxa"/>
          </w:tcPr>
          <w:p w:rsidRPr="00535397" w:rsidR="00EA3C28" w:rsidP="00633282" w:rsidRDefault="00EA3C28" w14:paraId="2FA76492" w14:textId="77777777">
            <w:pPr>
              <w:pStyle w:val="Tabletext"/>
              <w:jc w:val="center"/>
              <w:rPr>
                <w:szCs w:val="22"/>
              </w:rPr>
            </w:pPr>
            <w:r w:rsidRPr="00535397">
              <w:rPr>
                <w:szCs w:val="22"/>
              </w:rPr>
              <w:t>0.3%</w:t>
            </w:r>
          </w:p>
        </w:tc>
      </w:tr>
      <w:tr w:rsidRPr="00535397" w:rsidR="00EA3C28" w:rsidTr="00633282" w14:paraId="612BDD3E" w14:textId="77777777">
        <w:tc>
          <w:tcPr>
            <w:tcW w:w="9450" w:type="dxa"/>
            <w:gridSpan w:val="3"/>
          </w:tcPr>
          <w:p w:rsidRPr="00535397" w:rsidR="00EA3C28" w:rsidP="00633282" w:rsidRDefault="00EA3C28" w14:paraId="371FFCA3" w14:textId="77777777">
            <w:pPr>
              <w:pStyle w:val="Tabletext"/>
              <w:rPr>
                <w:szCs w:val="22"/>
              </w:rPr>
            </w:pPr>
            <w:r w:rsidRPr="00535397">
              <w:rPr>
                <w:b/>
                <w:szCs w:val="22"/>
              </w:rPr>
              <w:t>Enrollment Language</w:t>
            </w:r>
          </w:p>
        </w:tc>
      </w:tr>
      <w:tr w:rsidRPr="00535397" w:rsidR="00EA3C28" w:rsidTr="00633282" w14:paraId="553B892E" w14:textId="77777777">
        <w:tc>
          <w:tcPr>
            <w:tcW w:w="5400" w:type="dxa"/>
          </w:tcPr>
          <w:p w:rsidRPr="00535397" w:rsidR="00EA3C28" w:rsidP="00633282" w:rsidRDefault="00EA3C28" w14:paraId="6AD3802B"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English</w:t>
            </w:r>
          </w:p>
        </w:tc>
        <w:tc>
          <w:tcPr>
            <w:tcW w:w="1980" w:type="dxa"/>
          </w:tcPr>
          <w:p w:rsidRPr="00535397" w:rsidR="00EA3C28" w:rsidP="00633282" w:rsidRDefault="00EA3C28" w14:paraId="4EE8D9FF" w14:textId="77777777">
            <w:pPr>
              <w:pStyle w:val="Tabletext"/>
              <w:jc w:val="center"/>
              <w:rPr>
                <w:szCs w:val="22"/>
              </w:rPr>
            </w:pPr>
            <w:r w:rsidRPr="00535397">
              <w:rPr>
                <w:szCs w:val="22"/>
              </w:rPr>
              <w:t>1,606</w:t>
            </w:r>
          </w:p>
        </w:tc>
        <w:tc>
          <w:tcPr>
            <w:tcW w:w="2070" w:type="dxa"/>
          </w:tcPr>
          <w:p w:rsidRPr="00535397" w:rsidR="00EA3C28" w:rsidP="00633282" w:rsidRDefault="00EA3C28" w14:paraId="55FFE686" w14:textId="77777777">
            <w:pPr>
              <w:pStyle w:val="Tabletext"/>
              <w:jc w:val="center"/>
              <w:rPr>
                <w:szCs w:val="22"/>
              </w:rPr>
            </w:pPr>
            <w:r w:rsidRPr="00535397">
              <w:rPr>
                <w:szCs w:val="22"/>
              </w:rPr>
              <w:t>98.8%</w:t>
            </w:r>
          </w:p>
        </w:tc>
      </w:tr>
      <w:tr w:rsidRPr="00535397" w:rsidR="00EA3C28" w:rsidTr="00633282" w14:paraId="504CA7B7" w14:textId="77777777">
        <w:tc>
          <w:tcPr>
            <w:tcW w:w="5400" w:type="dxa"/>
          </w:tcPr>
          <w:p w:rsidRPr="00535397" w:rsidR="00EA3C28" w:rsidP="00633282" w:rsidRDefault="00EA3C28" w14:paraId="680A9621" w14:textId="77777777">
            <w:pPr>
              <w:pStyle w:val="Tabletext-1"/>
              <w:rPr>
                <w:rFonts w:ascii="Times New Roman" w:hAnsi="Times New Roman" w:cs="Times New Roman"/>
                <w:sz w:val="22"/>
                <w:szCs w:val="22"/>
              </w:rPr>
            </w:pPr>
            <w:r w:rsidRPr="00535397">
              <w:rPr>
                <w:rFonts w:ascii="Times New Roman" w:hAnsi="Times New Roman" w:cs="Times New Roman"/>
                <w:sz w:val="22"/>
                <w:szCs w:val="22"/>
              </w:rPr>
              <w:t>Spanish</w:t>
            </w:r>
          </w:p>
        </w:tc>
        <w:tc>
          <w:tcPr>
            <w:tcW w:w="1980" w:type="dxa"/>
          </w:tcPr>
          <w:p w:rsidRPr="00535397" w:rsidR="00EA3C28" w:rsidP="00633282" w:rsidRDefault="00EA3C28" w14:paraId="792E69D2" w14:textId="77777777">
            <w:pPr>
              <w:pStyle w:val="Tabletext"/>
              <w:jc w:val="center"/>
              <w:rPr>
                <w:szCs w:val="22"/>
              </w:rPr>
            </w:pPr>
            <w:r w:rsidRPr="00535397">
              <w:rPr>
                <w:szCs w:val="22"/>
              </w:rPr>
              <w:t>20</w:t>
            </w:r>
          </w:p>
        </w:tc>
        <w:tc>
          <w:tcPr>
            <w:tcW w:w="2070" w:type="dxa"/>
          </w:tcPr>
          <w:p w:rsidRPr="00535397" w:rsidR="00EA3C28" w:rsidP="00633282" w:rsidRDefault="00EA3C28" w14:paraId="049E8478" w14:textId="77777777">
            <w:pPr>
              <w:pStyle w:val="Tabletext"/>
              <w:jc w:val="center"/>
              <w:rPr>
                <w:szCs w:val="22"/>
              </w:rPr>
            </w:pPr>
            <w:r w:rsidRPr="00535397">
              <w:rPr>
                <w:szCs w:val="22"/>
              </w:rPr>
              <w:t>1.2%</w:t>
            </w:r>
          </w:p>
        </w:tc>
      </w:tr>
    </w:tbl>
    <w:p w:rsidRPr="00535397" w:rsidR="00EA3C28" w:rsidP="00EA3C28" w:rsidRDefault="00EA3C28" w14:paraId="27CAF332" w14:textId="77777777">
      <w:pPr>
        <w:pStyle w:val="exhibitsource1"/>
        <w:spacing w:after="0"/>
        <w:ind w:left="187" w:hanging="187"/>
      </w:pPr>
      <w:r w:rsidRPr="00535397">
        <w:rPr>
          <w:vertAlign w:val="superscript"/>
        </w:rPr>
        <w:t>a</w:t>
      </w:r>
      <w:r w:rsidRPr="00535397">
        <w:rPr>
          <w:vertAlign w:val="superscript"/>
        </w:rPr>
        <w:tab/>
      </w:r>
      <w:r w:rsidRPr="00535397">
        <w:t>Missing includes Don’t Know, Refused, and Not Available categories.</w:t>
      </w:r>
    </w:p>
    <w:p w:rsidRPr="00535397" w:rsidR="00EA3C28" w:rsidP="00EA3C28" w:rsidRDefault="00EA3C28" w14:paraId="2FE0853B" w14:textId="77777777">
      <w:pPr>
        <w:pStyle w:val="exhibitsource1"/>
        <w:spacing w:after="0"/>
        <w:ind w:left="187" w:hanging="187"/>
      </w:pPr>
      <w:r w:rsidRPr="00535397">
        <w:rPr>
          <w:vertAlign w:val="superscript"/>
        </w:rPr>
        <w:t>b</w:t>
      </w:r>
      <w:r w:rsidRPr="00535397">
        <w:rPr>
          <w:vertAlign w:val="superscript"/>
        </w:rPr>
        <w:tab/>
      </w:r>
      <w:r w:rsidRPr="00535397">
        <w:t>Indicates current use of the tobacco products that determined panel eligibility.</w:t>
      </w:r>
    </w:p>
    <w:p w:rsidRPr="00243E44" w:rsidR="00243E44" w:rsidP="00703E24" w:rsidRDefault="00243E44" w14:paraId="70123387" w14:textId="637BE2B9">
      <w:pPr>
        <w:pStyle w:val="ExhibitTitle"/>
        <w:ind w:left="1440" w:hanging="1440"/>
        <w:jc w:val="center"/>
        <w:rPr>
          <w:rFonts w:cs="Arial"/>
        </w:rPr>
      </w:pPr>
    </w:p>
    <w:sectPr w:rsidRPr="00243E44" w:rsidR="00243E44" w:rsidSect="005C1AC8">
      <w:footerReference w:type="default" r:id="rId17"/>
      <w:footerReference w:type="first" r:id="rId1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A9B92" w14:textId="77777777" w:rsidR="00FB718B" w:rsidRDefault="00FB718B">
      <w:r>
        <w:separator/>
      </w:r>
    </w:p>
  </w:endnote>
  <w:endnote w:type="continuationSeparator" w:id="0">
    <w:p w14:paraId="20D2B595" w14:textId="77777777" w:rsidR="00FB718B" w:rsidRDefault="00FB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7D28A" w14:textId="77777777" w:rsidR="00FB718B" w:rsidRDefault="00FB718B" w:rsidP="00FA7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24DAD0" w14:textId="77777777" w:rsidR="00FB718B" w:rsidRDefault="00FB7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E0D7B" w14:textId="26CD2B77" w:rsidR="00FB718B" w:rsidRDefault="00FB718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22F86" w14:textId="01F976DB" w:rsidR="00FB718B" w:rsidRPr="00906F6F" w:rsidRDefault="00FB718B"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36BCB" w14:textId="53070295" w:rsidR="00FB718B" w:rsidRDefault="00FB718B"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336F7" w14:textId="77777777" w:rsidR="00FB718B" w:rsidRDefault="00FB718B">
      <w:r>
        <w:separator/>
      </w:r>
    </w:p>
  </w:footnote>
  <w:footnote w:type="continuationSeparator" w:id="0">
    <w:p w14:paraId="6A9DC965" w14:textId="77777777" w:rsidR="00FB718B" w:rsidRDefault="00FB718B">
      <w:r>
        <w:continuationSeparator/>
      </w:r>
    </w:p>
  </w:footnote>
  <w:footnote w:id="1">
    <w:p w14:paraId="3229C393" w14:textId="77777777" w:rsidR="00FB718B" w:rsidRDefault="00FB718B" w:rsidP="00CE5A49">
      <w:pPr>
        <w:pStyle w:val="FootnoteText"/>
      </w:pPr>
      <w:r w:rsidRPr="00424813">
        <w:rPr>
          <w:rStyle w:val="FootnoteReference"/>
        </w:rPr>
        <w:footnoteRef/>
      </w:r>
      <w:r w:rsidRPr="00424813">
        <w:t xml:space="preserve"> Near the end of their 3-year panel commitment period, panel members </w:t>
      </w:r>
      <w:r>
        <w:t>will</w:t>
      </w:r>
      <w:r w:rsidRPr="00424813">
        <w:t xml:space="preserve"> be asked to continue their participation in the TCS for up to 3 years through a web/mail re-consent process.</w:t>
      </w:r>
    </w:p>
  </w:footnote>
  <w:footnote w:id="2">
    <w:p w14:paraId="65E0BE12" w14:textId="77777777" w:rsidR="00FB718B" w:rsidRPr="00DE2706" w:rsidRDefault="00FB718B" w:rsidP="00073860">
      <w:pPr>
        <w:pStyle w:val="FootnoteText"/>
      </w:pPr>
      <w:r w:rsidRPr="00741C81">
        <w:rPr>
          <w:rStyle w:val="FootnoteReference"/>
        </w:rPr>
        <w:footnoteRef/>
      </w:r>
      <w:r w:rsidRPr="007F3BDD">
        <w:t xml:space="preserve"> The design provides for screening all nonresponding households in a face-to-face mode and selecting a 10% random sample of those who report </w:t>
      </w:r>
      <w:r w:rsidRPr="00741C81">
        <w:t>ineligibility</w:t>
      </w:r>
      <w:r w:rsidRPr="007F3BDD">
        <w:t xml:space="preserve"> to be screened by an interviewer during a face-to-face visit.</w:t>
      </w:r>
      <w:r>
        <w:t xml:space="preserve"> </w:t>
      </w:r>
    </w:p>
  </w:footnote>
  <w:footnote w:id="3">
    <w:p w14:paraId="2C3B77BE" w14:textId="5A4A4806" w:rsidR="00FB718B" w:rsidRDefault="00FB718B">
      <w:pPr>
        <w:pStyle w:val="FootnoteText"/>
      </w:pPr>
      <w:r w:rsidRPr="00424813">
        <w:rPr>
          <w:rStyle w:val="FootnoteReference"/>
        </w:rPr>
        <w:footnoteRef/>
      </w:r>
      <w:r w:rsidRPr="00424813">
        <w:t xml:space="preserve"> Includes 4,000 respondents from the initial/national implementation phase and an additional </w:t>
      </w:r>
      <w:r>
        <w:t>5,</w:t>
      </w:r>
      <w:r w:rsidRPr="00F92835">
        <w:t>000</w:t>
      </w:r>
      <w:r w:rsidRPr="00BD334C">
        <w:t xml:space="preserve"> from annual replenishment efforts (1,400 for each of 3 years, plus an additional </w:t>
      </w:r>
      <w:r w:rsidRPr="00364378">
        <w:t>800</w:t>
      </w:r>
      <w:r w:rsidRPr="00EB465C">
        <w:t xml:space="preserve"> respondents should</w:t>
      </w:r>
      <w:r w:rsidRPr="00424813">
        <w:t xml:space="preserve"> attrition be greater than expected.)</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QuickA"/>
      <w:lvlText w:val="%1."/>
      <w:lvlJc w:val="left"/>
      <w:pPr>
        <w:tabs>
          <w:tab w:val="num" w:pos="864"/>
        </w:tabs>
      </w:pPr>
      <w:rPr>
        <w:rFonts w:ascii="Times New Roman" w:hAnsi="Times New Roman" w:cs="Times New Roman"/>
        <w:sz w:val="22"/>
        <w:szCs w:val="22"/>
      </w:rPr>
    </w:lvl>
  </w:abstractNum>
  <w:abstractNum w:abstractNumId="1" w15:restartNumberingAfterBreak="0">
    <w:nsid w:val="05D02AA4"/>
    <w:multiLevelType w:val="hybridMultilevel"/>
    <w:tmpl w:val="203278C6"/>
    <w:lvl w:ilvl="0" w:tplc="DED64F32">
      <w:start w:val="1"/>
      <w:numFmt w:val="decimal"/>
      <w:pStyle w:val="ListNumb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655FC8"/>
    <w:multiLevelType w:val="hybridMultilevel"/>
    <w:tmpl w:val="61E05C70"/>
    <w:lvl w:ilvl="0" w:tplc="92A67F24">
      <w:start w:val="1"/>
      <w:numFmt w:val="bullet"/>
      <w:pStyle w:val="bullets"/>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81C2F60"/>
    <w:multiLevelType w:val="hybridMultilevel"/>
    <w:tmpl w:val="7690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C44D4"/>
    <w:multiLevelType w:val="hybridMultilevel"/>
    <w:tmpl w:val="6706BC2E"/>
    <w:lvl w:ilvl="0" w:tplc="FFFFFFFF">
      <w:start w:val="1"/>
      <w:numFmt w:val="bullet"/>
      <w:pStyle w:val="bulletslas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7412C4"/>
    <w:multiLevelType w:val="hybridMultilevel"/>
    <w:tmpl w:val="8C1CAAB6"/>
    <w:lvl w:ilvl="0" w:tplc="8FCCF6D2">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 w15:restartNumberingAfterBreak="0">
    <w:nsid w:val="2B4B219E"/>
    <w:multiLevelType w:val="hybridMultilevel"/>
    <w:tmpl w:val="F5D453A6"/>
    <w:lvl w:ilvl="0" w:tplc="66A40852">
      <w:start w:val="1"/>
      <w:numFmt w:val="bullet"/>
      <w:pStyle w:val="bulletslast0"/>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854AED"/>
    <w:multiLevelType w:val="hybridMultilevel"/>
    <w:tmpl w:val="32DA4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3B036D"/>
    <w:multiLevelType w:val="hybridMultilevel"/>
    <w:tmpl w:val="66041F3A"/>
    <w:lvl w:ilvl="0" w:tplc="51FA38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255E3"/>
    <w:multiLevelType w:val="hybridMultilevel"/>
    <w:tmpl w:val="84F2D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933B4F"/>
    <w:multiLevelType w:val="hybridMultilevel"/>
    <w:tmpl w:val="0F5E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D64A6"/>
    <w:multiLevelType w:val="hybridMultilevel"/>
    <w:tmpl w:val="A47A62AC"/>
    <w:lvl w:ilvl="0" w:tplc="EA1CF520">
      <w:start w:val="1"/>
      <w:numFmt w:val="decimal"/>
      <w:pStyle w:val="bullet-blank"/>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C60DCB"/>
    <w:multiLevelType w:val="hybridMultilevel"/>
    <w:tmpl w:val="BD30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22B08"/>
    <w:multiLevelType w:val="hybridMultilevel"/>
    <w:tmpl w:val="073CD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F4153F"/>
    <w:multiLevelType w:val="hybridMultilevel"/>
    <w:tmpl w:val="B3F200FA"/>
    <w:lvl w:ilvl="0" w:tplc="D08AEF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CA112A"/>
    <w:multiLevelType w:val="hybridMultilevel"/>
    <w:tmpl w:val="258E0100"/>
    <w:lvl w:ilvl="0" w:tplc="FFFFFFFF">
      <w:start w:val="1"/>
      <w:numFmt w:val="bullet"/>
      <w:pStyle w:val="atabbul"/>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7F01D69"/>
    <w:multiLevelType w:val="hybridMultilevel"/>
    <w:tmpl w:val="63760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251AC0"/>
    <w:multiLevelType w:val="hybridMultilevel"/>
    <w:tmpl w:val="F8B2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F06E2"/>
    <w:multiLevelType w:val="hybridMultilevel"/>
    <w:tmpl w:val="D096825C"/>
    <w:lvl w:ilvl="0" w:tplc="782C97F2">
      <w:start w:val="1"/>
      <w:numFmt w:val="bullet"/>
      <w:pStyle w:val="Bullet"/>
      <w:lvlText w:val=""/>
      <w:lvlJc w:val="left"/>
      <w:pPr>
        <w:tabs>
          <w:tab w:val="num" w:pos="1080"/>
        </w:tabs>
        <w:ind w:left="1080" w:hanging="360"/>
      </w:pPr>
      <w:rPr>
        <w:rFonts w:ascii="Symbol" w:hAnsi="Symbol" w:hint="default"/>
        <w:b/>
        <w:i w:val="0"/>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E10217A"/>
    <w:multiLevelType w:val="hybridMultilevel"/>
    <w:tmpl w:val="0A409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945123F"/>
    <w:multiLevelType w:val="hybridMultilevel"/>
    <w:tmpl w:val="634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lvlOverride w:ilvl="0">
      <w:startOverride w:val="2"/>
      <w:lvl w:ilvl="0">
        <w:start w:val="2"/>
        <w:numFmt w:val="upperLetter"/>
        <w:pStyle w:val="QuickA"/>
        <w:lvlText w:val="%1."/>
        <w:lvlJc w:val="left"/>
      </w:lvl>
    </w:lvlOverride>
  </w:num>
  <w:num w:numId="4">
    <w:abstractNumId w:val="16"/>
  </w:num>
  <w:num w:numId="5">
    <w:abstractNumId w:val="6"/>
  </w:num>
  <w:num w:numId="6">
    <w:abstractNumId w:val="1"/>
  </w:num>
  <w:num w:numId="7">
    <w:abstractNumId w:val="14"/>
  </w:num>
  <w:num w:numId="8">
    <w:abstractNumId w:val="10"/>
  </w:num>
  <w:num w:numId="9">
    <w:abstractNumId w:val="9"/>
  </w:num>
  <w:num w:numId="10">
    <w:abstractNumId w:val="21"/>
  </w:num>
  <w:num w:numId="11">
    <w:abstractNumId w:val="5"/>
  </w:num>
  <w:num w:numId="12">
    <w:abstractNumId w:val="19"/>
  </w:num>
  <w:num w:numId="13">
    <w:abstractNumId w:val="14"/>
  </w:num>
  <w:num w:numId="14">
    <w:abstractNumId w:val="13"/>
  </w:num>
  <w:num w:numId="15">
    <w:abstractNumId w:val="11"/>
  </w:num>
  <w:num w:numId="16">
    <w:abstractNumId w:val="20"/>
  </w:num>
  <w:num w:numId="17">
    <w:abstractNumId w:val="3"/>
  </w:num>
  <w:num w:numId="18">
    <w:abstractNumId w:val="12"/>
  </w:num>
  <w:num w:numId="19">
    <w:abstractNumId w:val="2"/>
  </w:num>
  <w:num w:numId="20">
    <w:abstractNumId w:val="17"/>
  </w:num>
  <w:num w:numId="21">
    <w:abstractNumId w:val="7"/>
  </w:num>
  <w:num w:numId="22">
    <w:abstractNumId w:val="18"/>
  </w:num>
  <w:num w:numId="2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F7"/>
    <w:rsid w:val="00001446"/>
    <w:rsid w:val="00003A34"/>
    <w:rsid w:val="00005A12"/>
    <w:rsid w:val="00007DDC"/>
    <w:rsid w:val="00010285"/>
    <w:rsid w:val="0001089D"/>
    <w:rsid w:val="00010A89"/>
    <w:rsid w:val="00011895"/>
    <w:rsid w:val="00012134"/>
    <w:rsid w:val="00012BFB"/>
    <w:rsid w:val="000131AB"/>
    <w:rsid w:val="000140FE"/>
    <w:rsid w:val="00016E5D"/>
    <w:rsid w:val="0001715E"/>
    <w:rsid w:val="00017532"/>
    <w:rsid w:val="00017CB7"/>
    <w:rsid w:val="00020769"/>
    <w:rsid w:val="00021085"/>
    <w:rsid w:val="00021B81"/>
    <w:rsid w:val="00021BE6"/>
    <w:rsid w:val="00025926"/>
    <w:rsid w:val="00025C9C"/>
    <w:rsid w:val="00025D69"/>
    <w:rsid w:val="00026383"/>
    <w:rsid w:val="00027613"/>
    <w:rsid w:val="00027EC3"/>
    <w:rsid w:val="00030314"/>
    <w:rsid w:val="00030D52"/>
    <w:rsid w:val="00030E80"/>
    <w:rsid w:val="00030FC7"/>
    <w:rsid w:val="000320DC"/>
    <w:rsid w:val="0003266C"/>
    <w:rsid w:val="00035899"/>
    <w:rsid w:val="00037BE8"/>
    <w:rsid w:val="00037DBF"/>
    <w:rsid w:val="00040294"/>
    <w:rsid w:val="000409F2"/>
    <w:rsid w:val="00040CB0"/>
    <w:rsid w:val="00042361"/>
    <w:rsid w:val="00042EFE"/>
    <w:rsid w:val="00043125"/>
    <w:rsid w:val="00043522"/>
    <w:rsid w:val="00044BED"/>
    <w:rsid w:val="00044F4D"/>
    <w:rsid w:val="0004571F"/>
    <w:rsid w:val="000468AD"/>
    <w:rsid w:val="0005071A"/>
    <w:rsid w:val="00052040"/>
    <w:rsid w:val="000527D7"/>
    <w:rsid w:val="00052BF2"/>
    <w:rsid w:val="00053D33"/>
    <w:rsid w:val="000557FD"/>
    <w:rsid w:val="00055BD4"/>
    <w:rsid w:val="00056850"/>
    <w:rsid w:val="0006031E"/>
    <w:rsid w:val="0006128E"/>
    <w:rsid w:val="00061B2C"/>
    <w:rsid w:val="0006221A"/>
    <w:rsid w:val="00062D91"/>
    <w:rsid w:val="00063F01"/>
    <w:rsid w:val="000649EE"/>
    <w:rsid w:val="000668D5"/>
    <w:rsid w:val="000676BB"/>
    <w:rsid w:val="000724DB"/>
    <w:rsid w:val="00072C63"/>
    <w:rsid w:val="00073860"/>
    <w:rsid w:val="00073CC0"/>
    <w:rsid w:val="0007590B"/>
    <w:rsid w:val="00076442"/>
    <w:rsid w:val="000769D1"/>
    <w:rsid w:val="00077E1B"/>
    <w:rsid w:val="000808B5"/>
    <w:rsid w:val="00081CEE"/>
    <w:rsid w:val="0008233C"/>
    <w:rsid w:val="00083848"/>
    <w:rsid w:val="00083FA5"/>
    <w:rsid w:val="0008550D"/>
    <w:rsid w:val="000870A5"/>
    <w:rsid w:val="00090036"/>
    <w:rsid w:val="00090C5F"/>
    <w:rsid w:val="00091DDC"/>
    <w:rsid w:val="0009342D"/>
    <w:rsid w:val="00095B10"/>
    <w:rsid w:val="00095F6C"/>
    <w:rsid w:val="000961BF"/>
    <w:rsid w:val="000965F4"/>
    <w:rsid w:val="00096F23"/>
    <w:rsid w:val="000A0517"/>
    <w:rsid w:val="000A1BC4"/>
    <w:rsid w:val="000A270F"/>
    <w:rsid w:val="000A2BFD"/>
    <w:rsid w:val="000A337C"/>
    <w:rsid w:val="000A3674"/>
    <w:rsid w:val="000A3D71"/>
    <w:rsid w:val="000A4D59"/>
    <w:rsid w:val="000A609C"/>
    <w:rsid w:val="000A713F"/>
    <w:rsid w:val="000A7893"/>
    <w:rsid w:val="000A79DC"/>
    <w:rsid w:val="000B3053"/>
    <w:rsid w:val="000B5B19"/>
    <w:rsid w:val="000B5BC5"/>
    <w:rsid w:val="000B5D7C"/>
    <w:rsid w:val="000B6183"/>
    <w:rsid w:val="000B733D"/>
    <w:rsid w:val="000B7B9F"/>
    <w:rsid w:val="000C0BF4"/>
    <w:rsid w:val="000C0CEE"/>
    <w:rsid w:val="000C2C5A"/>
    <w:rsid w:val="000C3403"/>
    <w:rsid w:val="000C3F3E"/>
    <w:rsid w:val="000C45A8"/>
    <w:rsid w:val="000C61C7"/>
    <w:rsid w:val="000C6762"/>
    <w:rsid w:val="000C6D86"/>
    <w:rsid w:val="000D0FF3"/>
    <w:rsid w:val="000D36A4"/>
    <w:rsid w:val="000D6187"/>
    <w:rsid w:val="000D6257"/>
    <w:rsid w:val="000D6ECF"/>
    <w:rsid w:val="000E395A"/>
    <w:rsid w:val="000E3CF0"/>
    <w:rsid w:val="000E6546"/>
    <w:rsid w:val="000E6F9A"/>
    <w:rsid w:val="000E7811"/>
    <w:rsid w:val="000E7AE0"/>
    <w:rsid w:val="000E7BAC"/>
    <w:rsid w:val="000F0417"/>
    <w:rsid w:val="000F2589"/>
    <w:rsid w:val="000F272D"/>
    <w:rsid w:val="000F3D28"/>
    <w:rsid w:val="000F47FB"/>
    <w:rsid w:val="000F4ACD"/>
    <w:rsid w:val="000F5CA4"/>
    <w:rsid w:val="001008D1"/>
    <w:rsid w:val="00100B66"/>
    <w:rsid w:val="00100DBE"/>
    <w:rsid w:val="0010438C"/>
    <w:rsid w:val="00104E3B"/>
    <w:rsid w:val="001056D5"/>
    <w:rsid w:val="00105C0B"/>
    <w:rsid w:val="00106AC7"/>
    <w:rsid w:val="00107165"/>
    <w:rsid w:val="00111559"/>
    <w:rsid w:val="001128AE"/>
    <w:rsid w:val="00112C2B"/>
    <w:rsid w:val="0011387B"/>
    <w:rsid w:val="0011486A"/>
    <w:rsid w:val="00114FE5"/>
    <w:rsid w:val="0011530E"/>
    <w:rsid w:val="00116C7A"/>
    <w:rsid w:val="00122913"/>
    <w:rsid w:val="00123081"/>
    <w:rsid w:val="001236D7"/>
    <w:rsid w:val="001238D2"/>
    <w:rsid w:val="001252DA"/>
    <w:rsid w:val="001254BD"/>
    <w:rsid w:val="00125D9F"/>
    <w:rsid w:val="0012663C"/>
    <w:rsid w:val="0012793B"/>
    <w:rsid w:val="001302E1"/>
    <w:rsid w:val="001304F6"/>
    <w:rsid w:val="0013077D"/>
    <w:rsid w:val="00130C45"/>
    <w:rsid w:val="00136043"/>
    <w:rsid w:val="00140028"/>
    <w:rsid w:val="00141196"/>
    <w:rsid w:val="001421E6"/>
    <w:rsid w:val="0014351A"/>
    <w:rsid w:val="00143B31"/>
    <w:rsid w:val="001450A9"/>
    <w:rsid w:val="0014534E"/>
    <w:rsid w:val="00147D4D"/>
    <w:rsid w:val="0015027A"/>
    <w:rsid w:val="00150896"/>
    <w:rsid w:val="001508D1"/>
    <w:rsid w:val="00151394"/>
    <w:rsid w:val="00151395"/>
    <w:rsid w:val="00152DFC"/>
    <w:rsid w:val="00155573"/>
    <w:rsid w:val="0015739B"/>
    <w:rsid w:val="00157B3B"/>
    <w:rsid w:val="0016002A"/>
    <w:rsid w:val="00161BD0"/>
    <w:rsid w:val="00162E9D"/>
    <w:rsid w:val="001632BA"/>
    <w:rsid w:val="00164ED9"/>
    <w:rsid w:val="0017124A"/>
    <w:rsid w:val="00171303"/>
    <w:rsid w:val="0017211D"/>
    <w:rsid w:val="001722D0"/>
    <w:rsid w:val="001725FD"/>
    <w:rsid w:val="00173168"/>
    <w:rsid w:val="00175EE3"/>
    <w:rsid w:val="00177993"/>
    <w:rsid w:val="00180162"/>
    <w:rsid w:val="0018201E"/>
    <w:rsid w:val="00182726"/>
    <w:rsid w:val="00182DD7"/>
    <w:rsid w:val="00182ED7"/>
    <w:rsid w:val="001832DE"/>
    <w:rsid w:val="00183C6D"/>
    <w:rsid w:val="0018563E"/>
    <w:rsid w:val="00186392"/>
    <w:rsid w:val="001864A5"/>
    <w:rsid w:val="00187A07"/>
    <w:rsid w:val="00191F6F"/>
    <w:rsid w:val="00192C8A"/>
    <w:rsid w:val="00192CCF"/>
    <w:rsid w:val="00193A05"/>
    <w:rsid w:val="00194A21"/>
    <w:rsid w:val="00195E1A"/>
    <w:rsid w:val="00196101"/>
    <w:rsid w:val="00196693"/>
    <w:rsid w:val="00196926"/>
    <w:rsid w:val="00197A48"/>
    <w:rsid w:val="001A1A89"/>
    <w:rsid w:val="001A208A"/>
    <w:rsid w:val="001A47A7"/>
    <w:rsid w:val="001A56D6"/>
    <w:rsid w:val="001A5AEB"/>
    <w:rsid w:val="001A6E7D"/>
    <w:rsid w:val="001A77C3"/>
    <w:rsid w:val="001B0258"/>
    <w:rsid w:val="001B07B4"/>
    <w:rsid w:val="001B14E0"/>
    <w:rsid w:val="001B2F93"/>
    <w:rsid w:val="001B3032"/>
    <w:rsid w:val="001B3F5A"/>
    <w:rsid w:val="001B3F6B"/>
    <w:rsid w:val="001B4916"/>
    <w:rsid w:val="001B6122"/>
    <w:rsid w:val="001B72A0"/>
    <w:rsid w:val="001B78C1"/>
    <w:rsid w:val="001C0D72"/>
    <w:rsid w:val="001C4E6E"/>
    <w:rsid w:val="001C58FE"/>
    <w:rsid w:val="001C5E53"/>
    <w:rsid w:val="001C5F13"/>
    <w:rsid w:val="001C7028"/>
    <w:rsid w:val="001C73B2"/>
    <w:rsid w:val="001D0F8D"/>
    <w:rsid w:val="001D1375"/>
    <w:rsid w:val="001D2DF7"/>
    <w:rsid w:val="001D33C9"/>
    <w:rsid w:val="001D3F98"/>
    <w:rsid w:val="001D5EC8"/>
    <w:rsid w:val="001D7192"/>
    <w:rsid w:val="001E0BA7"/>
    <w:rsid w:val="001E2C0E"/>
    <w:rsid w:val="001E377D"/>
    <w:rsid w:val="001E3CF1"/>
    <w:rsid w:val="001E55A2"/>
    <w:rsid w:val="001E63EF"/>
    <w:rsid w:val="001E736B"/>
    <w:rsid w:val="001E7F72"/>
    <w:rsid w:val="001F0656"/>
    <w:rsid w:val="001F13B5"/>
    <w:rsid w:val="001F152F"/>
    <w:rsid w:val="001F1DA8"/>
    <w:rsid w:val="001F21FB"/>
    <w:rsid w:val="001F2463"/>
    <w:rsid w:val="001F3CB6"/>
    <w:rsid w:val="001F4031"/>
    <w:rsid w:val="001F411C"/>
    <w:rsid w:val="001F44F5"/>
    <w:rsid w:val="001F46CD"/>
    <w:rsid w:val="001F4721"/>
    <w:rsid w:val="001F5A6D"/>
    <w:rsid w:val="001F6D56"/>
    <w:rsid w:val="00200250"/>
    <w:rsid w:val="002037BC"/>
    <w:rsid w:val="00203DDD"/>
    <w:rsid w:val="002067DD"/>
    <w:rsid w:val="00206F3C"/>
    <w:rsid w:val="00207E8F"/>
    <w:rsid w:val="002105D8"/>
    <w:rsid w:val="00212209"/>
    <w:rsid w:val="00212872"/>
    <w:rsid w:val="00213567"/>
    <w:rsid w:val="00213B4F"/>
    <w:rsid w:val="0021470B"/>
    <w:rsid w:val="00214C79"/>
    <w:rsid w:val="002179E0"/>
    <w:rsid w:val="00217CF1"/>
    <w:rsid w:val="00220FD1"/>
    <w:rsid w:val="00221554"/>
    <w:rsid w:val="002218E6"/>
    <w:rsid w:val="00221905"/>
    <w:rsid w:val="00221D72"/>
    <w:rsid w:val="00223327"/>
    <w:rsid w:val="00223CDD"/>
    <w:rsid w:val="0022484E"/>
    <w:rsid w:val="00224A79"/>
    <w:rsid w:val="00225D2E"/>
    <w:rsid w:val="002322C4"/>
    <w:rsid w:val="00232BD2"/>
    <w:rsid w:val="00233167"/>
    <w:rsid w:val="002333E1"/>
    <w:rsid w:val="00236485"/>
    <w:rsid w:val="00236BC0"/>
    <w:rsid w:val="00237321"/>
    <w:rsid w:val="00237812"/>
    <w:rsid w:val="0024012B"/>
    <w:rsid w:val="0024062F"/>
    <w:rsid w:val="00240827"/>
    <w:rsid w:val="00241A2C"/>
    <w:rsid w:val="00242D2C"/>
    <w:rsid w:val="00243D67"/>
    <w:rsid w:val="00243E44"/>
    <w:rsid w:val="00245DCA"/>
    <w:rsid w:val="00246B0A"/>
    <w:rsid w:val="00246CCD"/>
    <w:rsid w:val="0024755D"/>
    <w:rsid w:val="00250DC6"/>
    <w:rsid w:val="00251C0D"/>
    <w:rsid w:val="00251D09"/>
    <w:rsid w:val="00251D0F"/>
    <w:rsid w:val="0025209F"/>
    <w:rsid w:val="00252B02"/>
    <w:rsid w:val="00253116"/>
    <w:rsid w:val="00253649"/>
    <w:rsid w:val="00255BEB"/>
    <w:rsid w:val="00256497"/>
    <w:rsid w:val="00256940"/>
    <w:rsid w:val="00261264"/>
    <w:rsid w:val="00262491"/>
    <w:rsid w:val="00264152"/>
    <w:rsid w:val="002662B7"/>
    <w:rsid w:val="00266429"/>
    <w:rsid w:val="002677ED"/>
    <w:rsid w:val="00267BA5"/>
    <w:rsid w:val="00270B9F"/>
    <w:rsid w:val="00270DF1"/>
    <w:rsid w:val="002744CD"/>
    <w:rsid w:val="00274C42"/>
    <w:rsid w:val="00275D01"/>
    <w:rsid w:val="002765FA"/>
    <w:rsid w:val="0027684E"/>
    <w:rsid w:val="00276E3E"/>
    <w:rsid w:val="002772A2"/>
    <w:rsid w:val="00277376"/>
    <w:rsid w:val="00277732"/>
    <w:rsid w:val="00277D92"/>
    <w:rsid w:val="002810BC"/>
    <w:rsid w:val="002865DE"/>
    <w:rsid w:val="00287F86"/>
    <w:rsid w:val="0029067F"/>
    <w:rsid w:val="0029307A"/>
    <w:rsid w:val="00293430"/>
    <w:rsid w:val="002946EF"/>
    <w:rsid w:val="00294864"/>
    <w:rsid w:val="00294F79"/>
    <w:rsid w:val="00295F52"/>
    <w:rsid w:val="002A1235"/>
    <w:rsid w:val="002A2D1B"/>
    <w:rsid w:val="002A38E7"/>
    <w:rsid w:val="002A4DC7"/>
    <w:rsid w:val="002A52BD"/>
    <w:rsid w:val="002A58C6"/>
    <w:rsid w:val="002A7885"/>
    <w:rsid w:val="002B0E3D"/>
    <w:rsid w:val="002B11E8"/>
    <w:rsid w:val="002B2C96"/>
    <w:rsid w:val="002B3708"/>
    <w:rsid w:val="002B4E0B"/>
    <w:rsid w:val="002B522D"/>
    <w:rsid w:val="002B59E3"/>
    <w:rsid w:val="002B625F"/>
    <w:rsid w:val="002C1DE0"/>
    <w:rsid w:val="002C3412"/>
    <w:rsid w:val="002C4117"/>
    <w:rsid w:val="002C60A4"/>
    <w:rsid w:val="002C6192"/>
    <w:rsid w:val="002C78C3"/>
    <w:rsid w:val="002C7F9A"/>
    <w:rsid w:val="002D11C3"/>
    <w:rsid w:val="002D2852"/>
    <w:rsid w:val="002D2D12"/>
    <w:rsid w:val="002D4657"/>
    <w:rsid w:val="002D4BAD"/>
    <w:rsid w:val="002D530A"/>
    <w:rsid w:val="002D5DF4"/>
    <w:rsid w:val="002D7B3D"/>
    <w:rsid w:val="002E1937"/>
    <w:rsid w:val="002E301B"/>
    <w:rsid w:val="002E35C6"/>
    <w:rsid w:val="002E39B8"/>
    <w:rsid w:val="002E44A0"/>
    <w:rsid w:val="002E5BE8"/>
    <w:rsid w:val="002E5E91"/>
    <w:rsid w:val="002E73E1"/>
    <w:rsid w:val="002E75DA"/>
    <w:rsid w:val="002F13DB"/>
    <w:rsid w:val="002F1B27"/>
    <w:rsid w:val="002F2516"/>
    <w:rsid w:val="002F3B3B"/>
    <w:rsid w:val="002F48EC"/>
    <w:rsid w:val="002F54F9"/>
    <w:rsid w:val="002F5755"/>
    <w:rsid w:val="002F5D74"/>
    <w:rsid w:val="002F6523"/>
    <w:rsid w:val="00302688"/>
    <w:rsid w:val="00302ABA"/>
    <w:rsid w:val="00302FC2"/>
    <w:rsid w:val="00302FFC"/>
    <w:rsid w:val="00303031"/>
    <w:rsid w:val="00303CCF"/>
    <w:rsid w:val="00304259"/>
    <w:rsid w:val="00305805"/>
    <w:rsid w:val="00307564"/>
    <w:rsid w:val="0030764D"/>
    <w:rsid w:val="00307F4D"/>
    <w:rsid w:val="003117FE"/>
    <w:rsid w:val="00312B04"/>
    <w:rsid w:val="003136EC"/>
    <w:rsid w:val="00314447"/>
    <w:rsid w:val="00315729"/>
    <w:rsid w:val="003169B6"/>
    <w:rsid w:val="0031716E"/>
    <w:rsid w:val="00321388"/>
    <w:rsid w:val="00321D70"/>
    <w:rsid w:val="00322FC7"/>
    <w:rsid w:val="00323220"/>
    <w:rsid w:val="0032356E"/>
    <w:rsid w:val="00323FE7"/>
    <w:rsid w:val="00325D66"/>
    <w:rsid w:val="00325F64"/>
    <w:rsid w:val="00326A2E"/>
    <w:rsid w:val="003270D3"/>
    <w:rsid w:val="0032743C"/>
    <w:rsid w:val="00327538"/>
    <w:rsid w:val="00327FF0"/>
    <w:rsid w:val="003308FF"/>
    <w:rsid w:val="003309CF"/>
    <w:rsid w:val="00331557"/>
    <w:rsid w:val="00331E3B"/>
    <w:rsid w:val="003325F7"/>
    <w:rsid w:val="003337B0"/>
    <w:rsid w:val="00333C01"/>
    <w:rsid w:val="00334375"/>
    <w:rsid w:val="00334B7A"/>
    <w:rsid w:val="00335FB9"/>
    <w:rsid w:val="003378A5"/>
    <w:rsid w:val="00342599"/>
    <w:rsid w:val="00342B94"/>
    <w:rsid w:val="00342C2A"/>
    <w:rsid w:val="00343192"/>
    <w:rsid w:val="00345529"/>
    <w:rsid w:val="00345D43"/>
    <w:rsid w:val="00346B44"/>
    <w:rsid w:val="00346FE7"/>
    <w:rsid w:val="00347889"/>
    <w:rsid w:val="00347EBC"/>
    <w:rsid w:val="00350241"/>
    <w:rsid w:val="003506F4"/>
    <w:rsid w:val="00353D07"/>
    <w:rsid w:val="003540A9"/>
    <w:rsid w:val="00354177"/>
    <w:rsid w:val="00354255"/>
    <w:rsid w:val="00354793"/>
    <w:rsid w:val="00354E12"/>
    <w:rsid w:val="00356540"/>
    <w:rsid w:val="00356C03"/>
    <w:rsid w:val="00357746"/>
    <w:rsid w:val="00357AF0"/>
    <w:rsid w:val="00360F54"/>
    <w:rsid w:val="003629DF"/>
    <w:rsid w:val="00364378"/>
    <w:rsid w:val="0036585B"/>
    <w:rsid w:val="00371A09"/>
    <w:rsid w:val="0037320E"/>
    <w:rsid w:val="00373F24"/>
    <w:rsid w:val="00374B12"/>
    <w:rsid w:val="00375722"/>
    <w:rsid w:val="003765F5"/>
    <w:rsid w:val="00377B10"/>
    <w:rsid w:val="00380839"/>
    <w:rsid w:val="0038253F"/>
    <w:rsid w:val="00382847"/>
    <w:rsid w:val="00383725"/>
    <w:rsid w:val="00383B94"/>
    <w:rsid w:val="003869F2"/>
    <w:rsid w:val="0038741D"/>
    <w:rsid w:val="003875EB"/>
    <w:rsid w:val="00391298"/>
    <w:rsid w:val="00392CE9"/>
    <w:rsid w:val="00393598"/>
    <w:rsid w:val="003954E5"/>
    <w:rsid w:val="003957EF"/>
    <w:rsid w:val="00395852"/>
    <w:rsid w:val="003958E2"/>
    <w:rsid w:val="00395F14"/>
    <w:rsid w:val="00396D8F"/>
    <w:rsid w:val="003A128E"/>
    <w:rsid w:val="003A3F30"/>
    <w:rsid w:val="003A56BE"/>
    <w:rsid w:val="003A6502"/>
    <w:rsid w:val="003A6DF6"/>
    <w:rsid w:val="003A6F6E"/>
    <w:rsid w:val="003A7F59"/>
    <w:rsid w:val="003B2322"/>
    <w:rsid w:val="003B257F"/>
    <w:rsid w:val="003B2794"/>
    <w:rsid w:val="003B2DC3"/>
    <w:rsid w:val="003B4C9B"/>
    <w:rsid w:val="003B613A"/>
    <w:rsid w:val="003B65F2"/>
    <w:rsid w:val="003B7EAF"/>
    <w:rsid w:val="003C0E8C"/>
    <w:rsid w:val="003C1721"/>
    <w:rsid w:val="003C2255"/>
    <w:rsid w:val="003C2ECE"/>
    <w:rsid w:val="003C3B36"/>
    <w:rsid w:val="003C4F31"/>
    <w:rsid w:val="003C522B"/>
    <w:rsid w:val="003C531C"/>
    <w:rsid w:val="003C6585"/>
    <w:rsid w:val="003C6DFB"/>
    <w:rsid w:val="003C78DD"/>
    <w:rsid w:val="003D0B14"/>
    <w:rsid w:val="003D1974"/>
    <w:rsid w:val="003D20AB"/>
    <w:rsid w:val="003D4067"/>
    <w:rsid w:val="003D4C18"/>
    <w:rsid w:val="003D4DED"/>
    <w:rsid w:val="003D4EB2"/>
    <w:rsid w:val="003D5982"/>
    <w:rsid w:val="003D5F0F"/>
    <w:rsid w:val="003D5F28"/>
    <w:rsid w:val="003D5FD8"/>
    <w:rsid w:val="003D6101"/>
    <w:rsid w:val="003D6EC3"/>
    <w:rsid w:val="003E08AA"/>
    <w:rsid w:val="003E0A59"/>
    <w:rsid w:val="003E154E"/>
    <w:rsid w:val="003E20A0"/>
    <w:rsid w:val="003E251D"/>
    <w:rsid w:val="003E4199"/>
    <w:rsid w:val="003E5415"/>
    <w:rsid w:val="003E555B"/>
    <w:rsid w:val="003E5576"/>
    <w:rsid w:val="003E5EAF"/>
    <w:rsid w:val="003F02AD"/>
    <w:rsid w:val="003F19A1"/>
    <w:rsid w:val="003F2939"/>
    <w:rsid w:val="003F574C"/>
    <w:rsid w:val="003F5DBC"/>
    <w:rsid w:val="003F706D"/>
    <w:rsid w:val="003F7A51"/>
    <w:rsid w:val="00400488"/>
    <w:rsid w:val="00400D55"/>
    <w:rsid w:val="00400D70"/>
    <w:rsid w:val="00401237"/>
    <w:rsid w:val="004019CF"/>
    <w:rsid w:val="00402BAD"/>
    <w:rsid w:val="00403CC8"/>
    <w:rsid w:val="00404FD0"/>
    <w:rsid w:val="00405996"/>
    <w:rsid w:val="004059D1"/>
    <w:rsid w:val="00410C03"/>
    <w:rsid w:val="00411087"/>
    <w:rsid w:val="00412715"/>
    <w:rsid w:val="00412EBE"/>
    <w:rsid w:val="00413ACB"/>
    <w:rsid w:val="00415E56"/>
    <w:rsid w:val="00416238"/>
    <w:rsid w:val="004166A5"/>
    <w:rsid w:val="0041691A"/>
    <w:rsid w:val="0041727C"/>
    <w:rsid w:val="004172C2"/>
    <w:rsid w:val="004204A0"/>
    <w:rsid w:val="0042125B"/>
    <w:rsid w:val="00423334"/>
    <w:rsid w:val="004246CC"/>
    <w:rsid w:val="00424813"/>
    <w:rsid w:val="00425405"/>
    <w:rsid w:val="00425813"/>
    <w:rsid w:val="00425838"/>
    <w:rsid w:val="00425A71"/>
    <w:rsid w:val="004267F5"/>
    <w:rsid w:val="00427554"/>
    <w:rsid w:val="004316FE"/>
    <w:rsid w:val="004317F1"/>
    <w:rsid w:val="00431D98"/>
    <w:rsid w:val="0043267E"/>
    <w:rsid w:val="00434BC5"/>
    <w:rsid w:val="00434DFE"/>
    <w:rsid w:val="004358E7"/>
    <w:rsid w:val="00435A4B"/>
    <w:rsid w:val="00441F64"/>
    <w:rsid w:val="00442663"/>
    <w:rsid w:val="00442B71"/>
    <w:rsid w:val="00443144"/>
    <w:rsid w:val="004436C0"/>
    <w:rsid w:val="00447298"/>
    <w:rsid w:val="00450000"/>
    <w:rsid w:val="00451757"/>
    <w:rsid w:val="00451854"/>
    <w:rsid w:val="00453377"/>
    <w:rsid w:val="0045365F"/>
    <w:rsid w:val="00453B10"/>
    <w:rsid w:val="0045406A"/>
    <w:rsid w:val="004607F8"/>
    <w:rsid w:val="00460AFF"/>
    <w:rsid w:val="00463AEE"/>
    <w:rsid w:val="00463DD1"/>
    <w:rsid w:val="004643AC"/>
    <w:rsid w:val="00465CDE"/>
    <w:rsid w:val="00466CA9"/>
    <w:rsid w:val="00470EA0"/>
    <w:rsid w:val="004712FA"/>
    <w:rsid w:val="00471CF7"/>
    <w:rsid w:val="0047219E"/>
    <w:rsid w:val="004727FE"/>
    <w:rsid w:val="0047310E"/>
    <w:rsid w:val="0047358D"/>
    <w:rsid w:val="00473992"/>
    <w:rsid w:val="00473A02"/>
    <w:rsid w:val="004747D7"/>
    <w:rsid w:val="00475CDB"/>
    <w:rsid w:val="00475E78"/>
    <w:rsid w:val="00475EF6"/>
    <w:rsid w:val="00476704"/>
    <w:rsid w:val="0047674A"/>
    <w:rsid w:val="00476C37"/>
    <w:rsid w:val="00476D0B"/>
    <w:rsid w:val="004775D6"/>
    <w:rsid w:val="00477718"/>
    <w:rsid w:val="00477A78"/>
    <w:rsid w:val="00477FE3"/>
    <w:rsid w:val="004811BA"/>
    <w:rsid w:val="004818F3"/>
    <w:rsid w:val="0048275D"/>
    <w:rsid w:val="004829D4"/>
    <w:rsid w:val="004834D3"/>
    <w:rsid w:val="00483DF8"/>
    <w:rsid w:val="004863D0"/>
    <w:rsid w:val="0049012D"/>
    <w:rsid w:val="004916BA"/>
    <w:rsid w:val="00491F11"/>
    <w:rsid w:val="004920B6"/>
    <w:rsid w:val="00492F67"/>
    <w:rsid w:val="00493B1A"/>
    <w:rsid w:val="00495ADF"/>
    <w:rsid w:val="004A043C"/>
    <w:rsid w:val="004A2778"/>
    <w:rsid w:val="004A487F"/>
    <w:rsid w:val="004A6238"/>
    <w:rsid w:val="004A6AA6"/>
    <w:rsid w:val="004B1182"/>
    <w:rsid w:val="004B3983"/>
    <w:rsid w:val="004B3DA8"/>
    <w:rsid w:val="004B3E35"/>
    <w:rsid w:val="004B3E7B"/>
    <w:rsid w:val="004B56FA"/>
    <w:rsid w:val="004B6522"/>
    <w:rsid w:val="004B7BAC"/>
    <w:rsid w:val="004B7CB6"/>
    <w:rsid w:val="004C0726"/>
    <w:rsid w:val="004C0743"/>
    <w:rsid w:val="004C07CB"/>
    <w:rsid w:val="004C0E0E"/>
    <w:rsid w:val="004C219B"/>
    <w:rsid w:val="004C326D"/>
    <w:rsid w:val="004C3ADA"/>
    <w:rsid w:val="004C439D"/>
    <w:rsid w:val="004C56A3"/>
    <w:rsid w:val="004C6541"/>
    <w:rsid w:val="004C7D37"/>
    <w:rsid w:val="004D0161"/>
    <w:rsid w:val="004D03F5"/>
    <w:rsid w:val="004D35A5"/>
    <w:rsid w:val="004D3C37"/>
    <w:rsid w:val="004D466F"/>
    <w:rsid w:val="004D505E"/>
    <w:rsid w:val="004D598B"/>
    <w:rsid w:val="004D6AB7"/>
    <w:rsid w:val="004D70EB"/>
    <w:rsid w:val="004E0E8D"/>
    <w:rsid w:val="004E330F"/>
    <w:rsid w:val="004E4A83"/>
    <w:rsid w:val="004E4DF5"/>
    <w:rsid w:val="004E5C1B"/>
    <w:rsid w:val="004E7F08"/>
    <w:rsid w:val="004F167F"/>
    <w:rsid w:val="004F324F"/>
    <w:rsid w:val="004F40F9"/>
    <w:rsid w:val="004F41D1"/>
    <w:rsid w:val="004F424C"/>
    <w:rsid w:val="004F6C1D"/>
    <w:rsid w:val="004F7073"/>
    <w:rsid w:val="004F7A69"/>
    <w:rsid w:val="00500533"/>
    <w:rsid w:val="00500598"/>
    <w:rsid w:val="0050084D"/>
    <w:rsid w:val="0050115D"/>
    <w:rsid w:val="00504232"/>
    <w:rsid w:val="00504956"/>
    <w:rsid w:val="00504D7D"/>
    <w:rsid w:val="00504DCF"/>
    <w:rsid w:val="00505BA9"/>
    <w:rsid w:val="0050631E"/>
    <w:rsid w:val="00510EF3"/>
    <w:rsid w:val="005112F4"/>
    <w:rsid w:val="00511375"/>
    <w:rsid w:val="00512627"/>
    <w:rsid w:val="0051282B"/>
    <w:rsid w:val="00512F04"/>
    <w:rsid w:val="00513E02"/>
    <w:rsid w:val="00514364"/>
    <w:rsid w:val="00514FD7"/>
    <w:rsid w:val="0051577F"/>
    <w:rsid w:val="00515C55"/>
    <w:rsid w:val="005166AC"/>
    <w:rsid w:val="00516D68"/>
    <w:rsid w:val="00517264"/>
    <w:rsid w:val="00517B8F"/>
    <w:rsid w:val="0052050F"/>
    <w:rsid w:val="005217EF"/>
    <w:rsid w:val="00522696"/>
    <w:rsid w:val="00522DE8"/>
    <w:rsid w:val="00525400"/>
    <w:rsid w:val="00526E92"/>
    <w:rsid w:val="005308E8"/>
    <w:rsid w:val="00531587"/>
    <w:rsid w:val="00531F80"/>
    <w:rsid w:val="005324DE"/>
    <w:rsid w:val="00532C19"/>
    <w:rsid w:val="00533447"/>
    <w:rsid w:val="005334B9"/>
    <w:rsid w:val="0053370A"/>
    <w:rsid w:val="00534DAB"/>
    <w:rsid w:val="00535397"/>
    <w:rsid w:val="005375D0"/>
    <w:rsid w:val="00537B21"/>
    <w:rsid w:val="00541B28"/>
    <w:rsid w:val="00541CA2"/>
    <w:rsid w:val="00542B41"/>
    <w:rsid w:val="00544BFC"/>
    <w:rsid w:val="005453DD"/>
    <w:rsid w:val="00546209"/>
    <w:rsid w:val="00551F4D"/>
    <w:rsid w:val="00552BCC"/>
    <w:rsid w:val="00552C93"/>
    <w:rsid w:val="00553862"/>
    <w:rsid w:val="00554838"/>
    <w:rsid w:val="00554850"/>
    <w:rsid w:val="00554E0E"/>
    <w:rsid w:val="0055586A"/>
    <w:rsid w:val="0055711D"/>
    <w:rsid w:val="00557329"/>
    <w:rsid w:val="0055752E"/>
    <w:rsid w:val="00561541"/>
    <w:rsid w:val="00561C07"/>
    <w:rsid w:val="005641F5"/>
    <w:rsid w:val="0056470D"/>
    <w:rsid w:val="005650E6"/>
    <w:rsid w:val="00565316"/>
    <w:rsid w:val="00565DD4"/>
    <w:rsid w:val="00565F07"/>
    <w:rsid w:val="00566FB1"/>
    <w:rsid w:val="005705D6"/>
    <w:rsid w:val="005708CE"/>
    <w:rsid w:val="00570A97"/>
    <w:rsid w:val="00570F40"/>
    <w:rsid w:val="00571A3B"/>
    <w:rsid w:val="00572F21"/>
    <w:rsid w:val="005749DD"/>
    <w:rsid w:val="00576090"/>
    <w:rsid w:val="0057707D"/>
    <w:rsid w:val="00577535"/>
    <w:rsid w:val="0058049A"/>
    <w:rsid w:val="00580B9E"/>
    <w:rsid w:val="00582ABA"/>
    <w:rsid w:val="00582CC0"/>
    <w:rsid w:val="0058360B"/>
    <w:rsid w:val="00583D8D"/>
    <w:rsid w:val="00584555"/>
    <w:rsid w:val="005850E6"/>
    <w:rsid w:val="00585F97"/>
    <w:rsid w:val="00586B61"/>
    <w:rsid w:val="005902E1"/>
    <w:rsid w:val="005909A3"/>
    <w:rsid w:val="00590BE6"/>
    <w:rsid w:val="00590C43"/>
    <w:rsid w:val="00590E6A"/>
    <w:rsid w:val="005939A1"/>
    <w:rsid w:val="00594232"/>
    <w:rsid w:val="0059481A"/>
    <w:rsid w:val="00594B62"/>
    <w:rsid w:val="0059584A"/>
    <w:rsid w:val="00595868"/>
    <w:rsid w:val="005A4CBA"/>
    <w:rsid w:val="005A4E7C"/>
    <w:rsid w:val="005A4F66"/>
    <w:rsid w:val="005A6D63"/>
    <w:rsid w:val="005A73AE"/>
    <w:rsid w:val="005A73F7"/>
    <w:rsid w:val="005A77D6"/>
    <w:rsid w:val="005A7A5D"/>
    <w:rsid w:val="005A7F97"/>
    <w:rsid w:val="005B0F49"/>
    <w:rsid w:val="005B21C5"/>
    <w:rsid w:val="005B4154"/>
    <w:rsid w:val="005B5DA3"/>
    <w:rsid w:val="005B6B2A"/>
    <w:rsid w:val="005B76B6"/>
    <w:rsid w:val="005B76F7"/>
    <w:rsid w:val="005C0130"/>
    <w:rsid w:val="005C048E"/>
    <w:rsid w:val="005C1AC8"/>
    <w:rsid w:val="005C24D6"/>
    <w:rsid w:val="005C255F"/>
    <w:rsid w:val="005C2816"/>
    <w:rsid w:val="005C2E9F"/>
    <w:rsid w:val="005C5427"/>
    <w:rsid w:val="005C6537"/>
    <w:rsid w:val="005C68E8"/>
    <w:rsid w:val="005D0483"/>
    <w:rsid w:val="005D0926"/>
    <w:rsid w:val="005D0DD1"/>
    <w:rsid w:val="005D23F1"/>
    <w:rsid w:val="005D293E"/>
    <w:rsid w:val="005D4467"/>
    <w:rsid w:val="005D7301"/>
    <w:rsid w:val="005E1462"/>
    <w:rsid w:val="005E217C"/>
    <w:rsid w:val="005E2481"/>
    <w:rsid w:val="005E5E2A"/>
    <w:rsid w:val="005E5FA3"/>
    <w:rsid w:val="005E62F2"/>
    <w:rsid w:val="005E7481"/>
    <w:rsid w:val="005F1ADB"/>
    <w:rsid w:val="005F29A7"/>
    <w:rsid w:val="005F3937"/>
    <w:rsid w:val="005F3AE9"/>
    <w:rsid w:val="005F3E92"/>
    <w:rsid w:val="005F73FE"/>
    <w:rsid w:val="00602610"/>
    <w:rsid w:val="00602E1D"/>
    <w:rsid w:val="006040A6"/>
    <w:rsid w:val="006048A8"/>
    <w:rsid w:val="00604D61"/>
    <w:rsid w:val="00605B8B"/>
    <w:rsid w:val="00607C3C"/>
    <w:rsid w:val="00612359"/>
    <w:rsid w:val="006124CA"/>
    <w:rsid w:val="00613460"/>
    <w:rsid w:val="006137AA"/>
    <w:rsid w:val="00613A18"/>
    <w:rsid w:val="006142A9"/>
    <w:rsid w:val="00616ADF"/>
    <w:rsid w:val="00620EE2"/>
    <w:rsid w:val="0062124E"/>
    <w:rsid w:val="00622A6F"/>
    <w:rsid w:val="0062387E"/>
    <w:rsid w:val="00623BE9"/>
    <w:rsid w:val="00625282"/>
    <w:rsid w:val="006269EB"/>
    <w:rsid w:val="00626DBA"/>
    <w:rsid w:val="00627474"/>
    <w:rsid w:val="006301A3"/>
    <w:rsid w:val="00631A7F"/>
    <w:rsid w:val="006324EB"/>
    <w:rsid w:val="00632AAE"/>
    <w:rsid w:val="00632FA4"/>
    <w:rsid w:val="00633282"/>
    <w:rsid w:val="0063454B"/>
    <w:rsid w:val="00635CB0"/>
    <w:rsid w:val="006371A4"/>
    <w:rsid w:val="00637AF7"/>
    <w:rsid w:val="00640CBB"/>
    <w:rsid w:val="00644363"/>
    <w:rsid w:val="006474D6"/>
    <w:rsid w:val="00650546"/>
    <w:rsid w:val="00650F66"/>
    <w:rsid w:val="00651445"/>
    <w:rsid w:val="006532BF"/>
    <w:rsid w:val="00653A02"/>
    <w:rsid w:val="00654423"/>
    <w:rsid w:val="00655143"/>
    <w:rsid w:val="00657935"/>
    <w:rsid w:val="0065799B"/>
    <w:rsid w:val="006609EF"/>
    <w:rsid w:val="006617B3"/>
    <w:rsid w:val="006627A6"/>
    <w:rsid w:val="006627B2"/>
    <w:rsid w:val="00662BD9"/>
    <w:rsid w:val="00662D7D"/>
    <w:rsid w:val="00663CEE"/>
    <w:rsid w:val="00663D09"/>
    <w:rsid w:val="00664CF5"/>
    <w:rsid w:val="00665D4F"/>
    <w:rsid w:val="00666BEF"/>
    <w:rsid w:val="00667D62"/>
    <w:rsid w:val="00671365"/>
    <w:rsid w:val="006713F3"/>
    <w:rsid w:val="006737DC"/>
    <w:rsid w:val="00673991"/>
    <w:rsid w:val="006763FF"/>
    <w:rsid w:val="00682DA8"/>
    <w:rsid w:val="0068352A"/>
    <w:rsid w:val="0068584A"/>
    <w:rsid w:val="00686601"/>
    <w:rsid w:val="00687924"/>
    <w:rsid w:val="00687B1B"/>
    <w:rsid w:val="00690622"/>
    <w:rsid w:val="006911A6"/>
    <w:rsid w:val="006912DD"/>
    <w:rsid w:val="00692A12"/>
    <w:rsid w:val="006968A9"/>
    <w:rsid w:val="00696F12"/>
    <w:rsid w:val="00697973"/>
    <w:rsid w:val="006A10BF"/>
    <w:rsid w:val="006A11E8"/>
    <w:rsid w:val="006A11FD"/>
    <w:rsid w:val="006A2387"/>
    <w:rsid w:val="006A395A"/>
    <w:rsid w:val="006A45BE"/>
    <w:rsid w:val="006A49A2"/>
    <w:rsid w:val="006A50F6"/>
    <w:rsid w:val="006A50FA"/>
    <w:rsid w:val="006A604F"/>
    <w:rsid w:val="006A6FDF"/>
    <w:rsid w:val="006A7E03"/>
    <w:rsid w:val="006B0822"/>
    <w:rsid w:val="006B14CF"/>
    <w:rsid w:val="006B3CB0"/>
    <w:rsid w:val="006B4955"/>
    <w:rsid w:val="006C01B5"/>
    <w:rsid w:val="006C1458"/>
    <w:rsid w:val="006C2E1B"/>
    <w:rsid w:val="006C6D4D"/>
    <w:rsid w:val="006C71BA"/>
    <w:rsid w:val="006D0443"/>
    <w:rsid w:val="006D2831"/>
    <w:rsid w:val="006D2931"/>
    <w:rsid w:val="006D3678"/>
    <w:rsid w:val="006D4600"/>
    <w:rsid w:val="006D4ABB"/>
    <w:rsid w:val="006D63D6"/>
    <w:rsid w:val="006D670F"/>
    <w:rsid w:val="006D71E4"/>
    <w:rsid w:val="006D7D1E"/>
    <w:rsid w:val="006E046B"/>
    <w:rsid w:val="006E1249"/>
    <w:rsid w:val="006E1C00"/>
    <w:rsid w:val="006E1F3D"/>
    <w:rsid w:val="006E22BA"/>
    <w:rsid w:val="006E2440"/>
    <w:rsid w:val="006E5027"/>
    <w:rsid w:val="006E5035"/>
    <w:rsid w:val="006E5049"/>
    <w:rsid w:val="006E59A0"/>
    <w:rsid w:val="006E5B09"/>
    <w:rsid w:val="006E5D21"/>
    <w:rsid w:val="006E5F98"/>
    <w:rsid w:val="006E698F"/>
    <w:rsid w:val="006E6CB6"/>
    <w:rsid w:val="006E7178"/>
    <w:rsid w:val="006F04E0"/>
    <w:rsid w:val="006F1A11"/>
    <w:rsid w:val="006F1DFA"/>
    <w:rsid w:val="006F1EA1"/>
    <w:rsid w:val="006F2BC4"/>
    <w:rsid w:val="006F44A3"/>
    <w:rsid w:val="006F525A"/>
    <w:rsid w:val="006F657F"/>
    <w:rsid w:val="00700D6E"/>
    <w:rsid w:val="00701089"/>
    <w:rsid w:val="00702D1E"/>
    <w:rsid w:val="00702D4C"/>
    <w:rsid w:val="00703E24"/>
    <w:rsid w:val="007046A8"/>
    <w:rsid w:val="00705DF4"/>
    <w:rsid w:val="00706031"/>
    <w:rsid w:val="00706653"/>
    <w:rsid w:val="007067AA"/>
    <w:rsid w:val="00707527"/>
    <w:rsid w:val="00707F96"/>
    <w:rsid w:val="007113BD"/>
    <w:rsid w:val="00712259"/>
    <w:rsid w:val="00712E93"/>
    <w:rsid w:val="0071443E"/>
    <w:rsid w:val="0071481A"/>
    <w:rsid w:val="0071744F"/>
    <w:rsid w:val="00717571"/>
    <w:rsid w:val="00720660"/>
    <w:rsid w:val="00720D75"/>
    <w:rsid w:val="00720E5F"/>
    <w:rsid w:val="007216CD"/>
    <w:rsid w:val="007216D5"/>
    <w:rsid w:val="00722078"/>
    <w:rsid w:val="007228BD"/>
    <w:rsid w:val="00722A09"/>
    <w:rsid w:val="00723D20"/>
    <w:rsid w:val="0072574A"/>
    <w:rsid w:val="0072595F"/>
    <w:rsid w:val="00725ADE"/>
    <w:rsid w:val="00726255"/>
    <w:rsid w:val="00727F94"/>
    <w:rsid w:val="00730FE5"/>
    <w:rsid w:val="0073121B"/>
    <w:rsid w:val="007319ED"/>
    <w:rsid w:val="00731B59"/>
    <w:rsid w:val="0073287E"/>
    <w:rsid w:val="00736695"/>
    <w:rsid w:val="00737585"/>
    <w:rsid w:val="00737857"/>
    <w:rsid w:val="00741817"/>
    <w:rsid w:val="00741C81"/>
    <w:rsid w:val="00742FE5"/>
    <w:rsid w:val="007442F2"/>
    <w:rsid w:val="00745A08"/>
    <w:rsid w:val="0074643A"/>
    <w:rsid w:val="00746FD7"/>
    <w:rsid w:val="00747906"/>
    <w:rsid w:val="00747F72"/>
    <w:rsid w:val="00752379"/>
    <w:rsid w:val="00752ADD"/>
    <w:rsid w:val="0075331E"/>
    <w:rsid w:val="007533BE"/>
    <w:rsid w:val="00753770"/>
    <w:rsid w:val="00754C85"/>
    <w:rsid w:val="00755297"/>
    <w:rsid w:val="00756AE4"/>
    <w:rsid w:val="00757210"/>
    <w:rsid w:val="0076448A"/>
    <w:rsid w:val="00764529"/>
    <w:rsid w:val="00765781"/>
    <w:rsid w:val="00766CD4"/>
    <w:rsid w:val="00767526"/>
    <w:rsid w:val="00770C67"/>
    <w:rsid w:val="0077174A"/>
    <w:rsid w:val="007726DA"/>
    <w:rsid w:val="00772D84"/>
    <w:rsid w:val="007731D4"/>
    <w:rsid w:val="00773689"/>
    <w:rsid w:val="00773790"/>
    <w:rsid w:val="00773961"/>
    <w:rsid w:val="00774621"/>
    <w:rsid w:val="00775802"/>
    <w:rsid w:val="0077689E"/>
    <w:rsid w:val="00777659"/>
    <w:rsid w:val="00780905"/>
    <w:rsid w:val="00782650"/>
    <w:rsid w:val="007838EC"/>
    <w:rsid w:val="007848AC"/>
    <w:rsid w:val="00784E73"/>
    <w:rsid w:val="00786179"/>
    <w:rsid w:val="00786C85"/>
    <w:rsid w:val="00787656"/>
    <w:rsid w:val="00787D03"/>
    <w:rsid w:val="0079045F"/>
    <w:rsid w:val="0079063B"/>
    <w:rsid w:val="00790B2B"/>
    <w:rsid w:val="00791FDA"/>
    <w:rsid w:val="007924AF"/>
    <w:rsid w:val="00793B07"/>
    <w:rsid w:val="00793CCB"/>
    <w:rsid w:val="0079557E"/>
    <w:rsid w:val="00795BFC"/>
    <w:rsid w:val="007A0905"/>
    <w:rsid w:val="007A09FF"/>
    <w:rsid w:val="007A155A"/>
    <w:rsid w:val="007A3B38"/>
    <w:rsid w:val="007A42B3"/>
    <w:rsid w:val="007A4B88"/>
    <w:rsid w:val="007A6DC2"/>
    <w:rsid w:val="007A7DAD"/>
    <w:rsid w:val="007A7DE0"/>
    <w:rsid w:val="007B1445"/>
    <w:rsid w:val="007B18BA"/>
    <w:rsid w:val="007B308E"/>
    <w:rsid w:val="007B5258"/>
    <w:rsid w:val="007B6371"/>
    <w:rsid w:val="007B6A4F"/>
    <w:rsid w:val="007C2C97"/>
    <w:rsid w:val="007C39C6"/>
    <w:rsid w:val="007C3C05"/>
    <w:rsid w:val="007C47F1"/>
    <w:rsid w:val="007C4A4E"/>
    <w:rsid w:val="007C55C8"/>
    <w:rsid w:val="007C5DCF"/>
    <w:rsid w:val="007C7074"/>
    <w:rsid w:val="007D057C"/>
    <w:rsid w:val="007D0D8B"/>
    <w:rsid w:val="007D1303"/>
    <w:rsid w:val="007D2E29"/>
    <w:rsid w:val="007D3125"/>
    <w:rsid w:val="007D378C"/>
    <w:rsid w:val="007D4AC7"/>
    <w:rsid w:val="007D613D"/>
    <w:rsid w:val="007D629A"/>
    <w:rsid w:val="007D62BB"/>
    <w:rsid w:val="007D62F8"/>
    <w:rsid w:val="007D6D46"/>
    <w:rsid w:val="007E0F1C"/>
    <w:rsid w:val="007E15BB"/>
    <w:rsid w:val="007E16F1"/>
    <w:rsid w:val="007E3857"/>
    <w:rsid w:val="007E454B"/>
    <w:rsid w:val="007E4A41"/>
    <w:rsid w:val="007E4A48"/>
    <w:rsid w:val="007E4A5C"/>
    <w:rsid w:val="007E4BD7"/>
    <w:rsid w:val="007E6753"/>
    <w:rsid w:val="007E68A3"/>
    <w:rsid w:val="007F293F"/>
    <w:rsid w:val="007F3834"/>
    <w:rsid w:val="007F4796"/>
    <w:rsid w:val="007F50C9"/>
    <w:rsid w:val="007F53E4"/>
    <w:rsid w:val="007F576C"/>
    <w:rsid w:val="007F5CF4"/>
    <w:rsid w:val="007F5E21"/>
    <w:rsid w:val="007F7D99"/>
    <w:rsid w:val="00800835"/>
    <w:rsid w:val="00800BFE"/>
    <w:rsid w:val="008010FD"/>
    <w:rsid w:val="00801855"/>
    <w:rsid w:val="008049A4"/>
    <w:rsid w:val="00804C2F"/>
    <w:rsid w:val="00804E98"/>
    <w:rsid w:val="00807646"/>
    <w:rsid w:val="00807D6C"/>
    <w:rsid w:val="00807E0E"/>
    <w:rsid w:val="00810192"/>
    <w:rsid w:val="0081089E"/>
    <w:rsid w:val="008112B8"/>
    <w:rsid w:val="00812E48"/>
    <w:rsid w:val="00813995"/>
    <w:rsid w:val="008141E7"/>
    <w:rsid w:val="0081656F"/>
    <w:rsid w:val="0082004D"/>
    <w:rsid w:val="00820383"/>
    <w:rsid w:val="00821121"/>
    <w:rsid w:val="00822AEE"/>
    <w:rsid w:val="008241F7"/>
    <w:rsid w:val="00825301"/>
    <w:rsid w:val="00825319"/>
    <w:rsid w:val="00826432"/>
    <w:rsid w:val="00826A60"/>
    <w:rsid w:val="00826C37"/>
    <w:rsid w:val="0082771F"/>
    <w:rsid w:val="00830015"/>
    <w:rsid w:val="0083054A"/>
    <w:rsid w:val="00831097"/>
    <w:rsid w:val="00832A15"/>
    <w:rsid w:val="00832B53"/>
    <w:rsid w:val="00832BA3"/>
    <w:rsid w:val="008332AF"/>
    <w:rsid w:val="008334E9"/>
    <w:rsid w:val="00834F62"/>
    <w:rsid w:val="00835757"/>
    <w:rsid w:val="008357CC"/>
    <w:rsid w:val="00835887"/>
    <w:rsid w:val="0083670A"/>
    <w:rsid w:val="00837832"/>
    <w:rsid w:val="00837993"/>
    <w:rsid w:val="00837A77"/>
    <w:rsid w:val="00840707"/>
    <w:rsid w:val="008420CA"/>
    <w:rsid w:val="008423C2"/>
    <w:rsid w:val="008460D6"/>
    <w:rsid w:val="00846356"/>
    <w:rsid w:val="008466E6"/>
    <w:rsid w:val="00847929"/>
    <w:rsid w:val="0085197A"/>
    <w:rsid w:val="00853B43"/>
    <w:rsid w:val="00855A74"/>
    <w:rsid w:val="0085668F"/>
    <w:rsid w:val="00856CF5"/>
    <w:rsid w:val="008600B0"/>
    <w:rsid w:val="0086043F"/>
    <w:rsid w:val="008607BB"/>
    <w:rsid w:val="00860F0E"/>
    <w:rsid w:val="0086267A"/>
    <w:rsid w:val="00863504"/>
    <w:rsid w:val="00863D83"/>
    <w:rsid w:val="00864091"/>
    <w:rsid w:val="00864321"/>
    <w:rsid w:val="00864511"/>
    <w:rsid w:val="0086565D"/>
    <w:rsid w:val="0086581F"/>
    <w:rsid w:val="0086683B"/>
    <w:rsid w:val="00866AA4"/>
    <w:rsid w:val="00866FA4"/>
    <w:rsid w:val="00867428"/>
    <w:rsid w:val="00870047"/>
    <w:rsid w:val="00870307"/>
    <w:rsid w:val="00870D9C"/>
    <w:rsid w:val="00871FD1"/>
    <w:rsid w:val="00872A0A"/>
    <w:rsid w:val="00873644"/>
    <w:rsid w:val="00873D99"/>
    <w:rsid w:val="0087417D"/>
    <w:rsid w:val="008744C2"/>
    <w:rsid w:val="00874937"/>
    <w:rsid w:val="0087591F"/>
    <w:rsid w:val="00875969"/>
    <w:rsid w:val="00875C23"/>
    <w:rsid w:val="008803F7"/>
    <w:rsid w:val="008807B7"/>
    <w:rsid w:val="008808FA"/>
    <w:rsid w:val="00880E54"/>
    <w:rsid w:val="008811C8"/>
    <w:rsid w:val="008815DF"/>
    <w:rsid w:val="008847F3"/>
    <w:rsid w:val="00891148"/>
    <w:rsid w:val="00893375"/>
    <w:rsid w:val="00893624"/>
    <w:rsid w:val="00894524"/>
    <w:rsid w:val="00895187"/>
    <w:rsid w:val="0089575A"/>
    <w:rsid w:val="00897C6A"/>
    <w:rsid w:val="00897E4C"/>
    <w:rsid w:val="008A0231"/>
    <w:rsid w:val="008A0A0F"/>
    <w:rsid w:val="008A1FF6"/>
    <w:rsid w:val="008A213B"/>
    <w:rsid w:val="008A3C7D"/>
    <w:rsid w:val="008A3CF6"/>
    <w:rsid w:val="008A4C91"/>
    <w:rsid w:val="008A5E6F"/>
    <w:rsid w:val="008A724A"/>
    <w:rsid w:val="008A743C"/>
    <w:rsid w:val="008B10C7"/>
    <w:rsid w:val="008B14B1"/>
    <w:rsid w:val="008B24F9"/>
    <w:rsid w:val="008B3B85"/>
    <w:rsid w:val="008B3BC8"/>
    <w:rsid w:val="008B493F"/>
    <w:rsid w:val="008B5C6F"/>
    <w:rsid w:val="008B61A1"/>
    <w:rsid w:val="008B79CD"/>
    <w:rsid w:val="008B7EDC"/>
    <w:rsid w:val="008C186A"/>
    <w:rsid w:val="008C3FC1"/>
    <w:rsid w:val="008C4D1C"/>
    <w:rsid w:val="008C5CEF"/>
    <w:rsid w:val="008C6613"/>
    <w:rsid w:val="008C79DC"/>
    <w:rsid w:val="008D001F"/>
    <w:rsid w:val="008D0635"/>
    <w:rsid w:val="008D0D71"/>
    <w:rsid w:val="008D1165"/>
    <w:rsid w:val="008D1B27"/>
    <w:rsid w:val="008D32BB"/>
    <w:rsid w:val="008D35A7"/>
    <w:rsid w:val="008D3A20"/>
    <w:rsid w:val="008D4020"/>
    <w:rsid w:val="008D43BE"/>
    <w:rsid w:val="008D43D0"/>
    <w:rsid w:val="008D4436"/>
    <w:rsid w:val="008D4625"/>
    <w:rsid w:val="008D4E15"/>
    <w:rsid w:val="008D50DD"/>
    <w:rsid w:val="008D5A42"/>
    <w:rsid w:val="008D62D0"/>
    <w:rsid w:val="008D6767"/>
    <w:rsid w:val="008D7CC8"/>
    <w:rsid w:val="008E0AED"/>
    <w:rsid w:val="008E0C9C"/>
    <w:rsid w:val="008E0EF2"/>
    <w:rsid w:val="008E131E"/>
    <w:rsid w:val="008E1AD6"/>
    <w:rsid w:val="008E1BB1"/>
    <w:rsid w:val="008E4073"/>
    <w:rsid w:val="008E4394"/>
    <w:rsid w:val="008E4F76"/>
    <w:rsid w:val="008E5492"/>
    <w:rsid w:val="008E5AA6"/>
    <w:rsid w:val="008E7D6E"/>
    <w:rsid w:val="008F0402"/>
    <w:rsid w:val="008F199B"/>
    <w:rsid w:val="008F2C13"/>
    <w:rsid w:val="008F4A47"/>
    <w:rsid w:val="008F5037"/>
    <w:rsid w:val="008F5162"/>
    <w:rsid w:val="008F535A"/>
    <w:rsid w:val="008F55FE"/>
    <w:rsid w:val="008F681D"/>
    <w:rsid w:val="008F6E96"/>
    <w:rsid w:val="008F795F"/>
    <w:rsid w:val="008F7C58"/>
    <w:rsid w:val="00900586"/>
    <w:rsid w:val="00900D85"/>
    <w:rsid w:val="0090286B"/>
    <w:rsid w:val="00903791"/>
    <w:rsid w:val="0090603A"/>
    <w:rsid w:val="00906F6F"/>
    <w:rsid w:val="009103D9"/>
    <w:rsid w:val="00911431"/>
    <w:rsid w:val="00912A95"/>
    <w:rsid w:val="00913F11"/>
    <w:rsid w:val="00915A3B"/>
    <w:rsid w:val="009164CC"/>
    <w:rsid w:val="00917C9C"/>
    <w:rsid w:val="0092164B"/>
    <w:rsid w:val="00921CF9"/>
    <w:rsid w:val="00924407"/>
    <w:rsid w:val="0092557D"/>
    <w:rsid w:val="00926992"/>
    <w:rsid w:val="00926D45"/>
    <w:rsid w:val="00926F40"/>
    <w:rsid w:val="009278B5"/>
    <w:rsid w:val="009320B7"/>
    <w:rsid w:val="009325B4"/>
    <w:rsid w:val="00932612"/>
    <w:rsid w:val="009329AA"/>
    <w:rsid w:val="00932B36"/>
    <w:rsid w:val="009345B5"/>
    <w:rsid w:val="00934FB3"/>
    <w:rsid w:val="00935765"/>
    <w:rsid w:val="00937302"/>
    <w:rsid w:val="009402AC"/>
    <w:rsid w:val="00940DD1"/>
    <w:rsid w:val="00941143"/>
    <w:rsid w:val="00941545"/>
    <w:rsid w:val="0094161C"/>
    <w:rsid w:val="00943853"/>
    <w:rsid w:val="00944002"/>
    <w:rsid w:val="0094471E"/>
    <w:rsid w:val="00944BB4"/>
    <w:rsid w:val="00944BC1"/>
    <w:rsid w:val="00944C75"/>
    <w:rsid w:val="0094673C"/>
    <w:rsid w:val="00946D72"/>
    <w:rsid w:val="0094728E"/>
    <w:rsid w:val="009473AD"/>
    <w:rsid w:val="00947642"/>
    <w:rsid w:val="00947647"/>
    <w:rsid w:val="00947A84"/>
    <w:rsid w:val="0095032E"/>
    <w:rsid w:val="00954C40"/>
    <w:rsid w:val="00956A7C"/>
    <w:rsid w:val="00961607"/>
    <w:rsid w:val="00963D76"/>
    <w:rsid w:val="0096444F"/>
    <w:rsid w:val="009725D8"/>
    <w:rsid w:val="009729FD"/>
    <w:rsid w:val="00973AAE"/>
    <w:rsid w:val="00973DF5"/>
    <w:rsid w:val="009744E5"/>
    <w:rsid w:val="009752B7"/>
    <w:rsid w:val="009756EE"/>
    <w:rsid w:val="00975B68"/>
    <w:rsid w:val="00976A01"/>
    <w:rsid w:val="00977ED5"/>
    <w:rsid w:val="009801F5"/>
    <w:rsid w:val="00980941"/>
    <w:rsid w:val="00981374"/>
    <w:rsid w:val="00982D7C"/>
    <w:rsid w:val="0098434F"/>
    <w:rsid w:val="00984B85"/>
    <w:rsid w:val="0098607A"/>
    <w:rsid w:val="00987353"/>
    <w:rsid w:val="009875AE"/>
    <w:rsid w:val="00987E5F"/>
    <w:rsid w:val="00990DEC"/>
    <w:rsid w:val="0099260C"/>
    <w:rsid w:val="00993722"/>
    <w:rsid w:val="0099453E"/>
    <w:rsid w:val="00994D9F"/>
    <w:rsid w:val="00995262"/>
    <w:rsid w:val="009970E0"/>
    <w:rsid w:val="00997206"/>
    <w:rsid w:val="009973A0"/>
    <w:rsid w:val="00997B58"/>
    <w:rsid w:val="009A0249"/>
    <w:rsid w:val="009A1C44"/>
    <w:rsid w:val="009A230F"/>
    <w:rsid w:val="009A26A4"/>
    <w:rsid w:val="009A41A4"/>
    <w:rsid w:val="009A4F55"/>
    <w:rsid w:val="009A5D09"/>
    <w:rsid w:val="009A5DFB"/>
    <w:rsid w:val="009A677E"/>
    <w:rsid w:val="009A703B"/>
    <w:rsid w:val="009A7DB5"/>
    <w:rsid w:val="009B00D0"/>
    <w:rsid w:val="009B06C5"/>
    <w:rsid w:val="009B1654"/>
    <w:rsid w:val="009B1AD4"/>
    <w:rsid w:val="009B66BB"/>
    <w:rsid w:val="009B6B26"/>
    <w:rsid w:val="009B7577"/>
    <w:rsid w:val="009C0D93"/>
    <w:rsid w:val="009C1063"/>
    <w:rsid w:val="009C242C"/>
    <w:rsid w:val="009C3BD6"/>
    <w:rsid w:val="009C5AE4"/>
    <w:rsid w:val="009C6EA2"/>
    <w:rsid w:val="009C7171"/>
    <w:rsid w:val="009D0603"/>
    <w:rsid w:val="009D0E6A"/>
    <w:rsid w:val="009D446E"/>
    <w:rsid w:val="009D5863"/>
    <w:rsid w:val="009D62A7"/>
    <w:rsid w:val="009D793D"/>
    <w:rsid w:val="009D7A52"/>
    <w:rsid w:val="009E07A5"/>
    <w:rsid w:val="009E0FB3"/>
    <w:rsid w:val="009E114B"/>
    <w:rsid w:val="009E1A9A"/>
    <w:rsid w:val="009E3850"/>
    <w:rsid w:val="009E38DF"/>
    <w:rsid w:val="009E3F7C"/>
    <w:rsid w:val="009E409A"/>
    <w:rsid w:val="009E43F3"/>
    <w:rsid w:val="009E47A6"/>
    <w:rsid w:val="009E4DC5"/>
    <w:rsid w:val="009E5864"/>
    <w:rsid w:val="009E586F"/>
    <w:rsid w:val="009F1658"/>
    <w:rsid w:val="009F1792"/>
    <w:rsid w:val="009F21BB"/>
    <w:rsid w:val="009F2A2F"/>
    <w:rsid w:val="009F32EE"/>
    <w:rsid w:val="009F448A"/>
    <w:rsid w:val="009F5AA4"/>
    <w:rsid w:val="009F6C56"/>
    <w:rsid w:val="009F6FEC"/>
    <w:rsid w:val="00A00226"/>
    <w:rsid w:val="00A00A3E"/>
    <w:rsid w:val="00A00CAE"/>
    <w:rsid w:val="00A00D22"/>
    <w:rsid w:val="00A00D2F"/>
    <w:rsid w:val="00A0166F"/>
    <w:rsid w:val="00A02CD0"/>
    <w:rsid w:val="00A03B0E"/>
    <w:rsid w:val="00A063FC"/>
    <w:rsid w:val="00A068A0"/>
    <w:rsid w:val="00A06AF7"/>
    <w:rsid w:val="00A074F0"/>
    <w:rsid w:val="00A07A7A"/>
    <w:rsid w:val="00A103C9"/>
    <w:rsid w:val="00A110C9"/>
    <w:rsid w:val="00A12D40"/>
    <w:rsid w:val="00A14087"/>
    <w:rsid w:val="00A140B2"/>
    <w:rsid w:val="00A159FE"/>
    <w:rsid w:val="00A15A95"/>
    <w:rsid w:val="00A15F7A"/>
    <w:rsid w:val="00A16D80"/>
    <w:rsid w:val="00A16E20"/>
    <w:rsid w:val="00A16EB0"/>
    <w:rsid w:val="00A1749B"/>
    <w:rsid w:val="00A17AD7"/>
    <w:rsid w:val="00A2032A"/>
    <w:rsid w:val="00A20676"/>
    <w:rsid w:val="00A20FFD"/>
    <w:rsid w:val="00A21AC7"/>
    <w:rsid w:val="00A234D4"/>
    <w:rsid w:val="00A24170"/>
    <w:rsid w:val="00A2761F"/>
    <w:rsid w:val="00A32B08"/>
    <w:rsid w:val="00A331C3"/>
    <w:rsid w:val="00A33F57"/>
    <w:rsid w:val="00A37B39"/>
    <w:rsid w:val="00A40208"/>
    <w:rsid w:val="00A42067"/>
    <w:rsid w:val="00A42514"/>
    <w:rsid w:val="00A42E4F"/>
    <w:rsid w:val="00A43659"/>
    <w:rsid w:val="00A45B43"/>
    <w:rsid w:val="00A47DCB"/>
    <w:rsid w:val="00A50BB5"/>
    <w:rsid w:val="00A526E3"/>
    <w:rsid w:val="00A531F7"/>
    <w:rsid w:val="00A53954"/>
    <w:rsid w:val="00A5397C"/>
    <w:rsid w:val="00A540BB"/>
    <w:rsid w:val="00A543D9"/>
    <w:rsid w:val="00A551BE"/>
    <w:rsid w:val="00A60474"/>
    <w:rsid w:val="00A605C0"/>
    <w:rsid w:val="00A61241"/>
    <w:rsid w:val="00A6176F"/>
    <w:rsid w:val="00A63F9B"/>
    <w:rsid w:val="00A64573"/>
    <w:rsid w:val="00A65419"/>
    <w:rsid w:val="00A67E5B"/>
    <w:rsid w:val="00A71EAE"/>
    <w:rsid w:val="00A730EE"/>
    <w:rsid w:val="00A739C0"/>
    <w:rsid w:val="00A73FDC"/>
    <w:rsid w:val="00A74D4B"/>
    <w:rsid w:val="00A757E2"/>
    <w:rsid w:val="00A761B8"/>
    <w:rsid w:val="00A7788F"/>
    <w:rsid w:val="00A818E4"/>
    <w:rsid w:val="00A81A1F"/>
    <w:rsid w:val="00A861AA"/>
    <w:rsid w:val="00A868C6"/>
    <w:rsid w:val="00A86AB6"/>
    <w:rsid w:val="00A86D4F"/>
    <w:rsid w:val="00A904B0"/>
    <w:rsid w:val="00A90EC5"/>
    <w:rsid w:val="00A91E00"/>
    <w:rsid w:val="00A935D1"/>
    <w:rsid w:val="00A9378D"/>
    <w:rsid w:val="00A94052"/>
    <w:rsid w:val="00A94462"/>
    <w:rsid w:val="00A946AC"/>
    <w:rsid w:val="00A95E62"/>
    <w:rsid w:val="00AA019C"/>
    <w:rsid w:val="00AA23E7"/>
    <w:rsid w:val="00AA295A"/>
    <w:rsid w:val="00AA2FDD"/>
    <w:rsid w:val="00AA38E9"/>
    <w:rsid w:val="00AA573E"/>
    <w:rsid w:val="00AA5BC3"/>
    <w:rsid w:val="00AB0CC7"/>
    <w:rsid w:val="00AB14F8"/>
    <w:rsid w:val="00AB2272"/>
    <w:rsid w:val="00AB26EE"/>
    <w:rsid w:val="00AB2C1B"/>
    <w:rsid w:val="00AB2D04"/>
    <w:rsid w:val="00AB3D7C"/>
    <w:rsid w:val="00AB4840"/>
    <w:rsid w:val="00AB6B3B"/>
    <w:rsid w:val="00AB6D73"/>
    <w:rsid w:val="00AB73AA"/>
    <w:rsid w:val="00AC03E4"/>
    <w:rsid w:val="00AC17C6"/>
    <w:rsid w:val="00AC1BBD"/>
    <w:rsid w:val="00AC1CDE"/>
    <w:rsid w:val="00AC2EA5"/>
    <w:rsid w:val="00AC31FD"/>
    <w:rsid w:val="00AC3F0D"/>
    <w:rsid w:val="00AC53A9"/>
    <w:rsid w:val="00AC69E6"/>
    <w:rsid w:val="00AC6ACE"/>
    <w:rsid w:val="00AD06EC"/>
    <w:rsid w:val="00AD0BF8"/>
    <w:rsid w:val="00AD2F9C"/>
    <w:rsid w:val="00AD3178"/>
    <w:rsid w:val="00AD7F0D"/>
    <w:rsid w:val="00AE0031"/>
    <w:rsid w:val="00AE10B9"/>
    <w:rsid w:val="00AE2832"/>
    <w:rsid w:val="00AE295F"/>
    <w:rsid w:val="00AE3698"/>
    <w:rsid w:val="00AE5483"/>
    <w:rsid w:val="00AE5B48"/>
    <w:rsid w:val="00AE6202"/>
    <w:rsid w:val="00AE7D64"/>
    <w:rsid w:val="00AE7FEF"/>
    <w:rsid w:val="00AF0267"/>
    <w:rsid w:val="00AF0457"/>
    <w:rsid w:val="00AF20DB"/>
    <w:rsid w:val="00AF35F8"/>
    <w:rsid w:val="00AF376C"/>
    <w:rsid w:val="00AF4229"/>
    <w:rsid w:val="00AF5DD9"/>
    <w:rsid w:val="00B020FB"/>
    <w:rsid w:val="00B0328C"/>
    <w:rsid w:val="00B05EC6"/>
    <w:rsid w:val="00B10978"/>
    <w:rsid w:val="00B11161"/>
    <w:rsid w:val="00B12B3D"/>
    <w:rsid w:val="00B12BF4"/>
    <w:rsid w:val="00B14298"/>
    <w:rsid w:val="00B143ED"/>
    <w:rsid w:val="00B14DA8"/>
    <w:rsid w:val="00B14F4F"/>
    <w:rsid w:val="00B1542B"/>
    <w:rsid w:val="00B16FA1"/>
    <w:rsid w:val="00B20569"/>
    <w:rsid w:val="00B231F5"/>
    <w:rsid w:val="00B234E3"/>
    <w:rsid w:val="00B23668"/>
    <w:rsid w:val="00B261C8"/>
    <w:rsid w:val="00B26BAB"/>
    <w:rsid w:val="00B26EC9"/>
    <w:rsid w:val="00B27A71"/>
    <w:rsid w:val="00B27E4E"/>
    <w:rsid w:val="00B31AEE"/>
    <w:rsid w:val="00B33250"/>
    <w:rsid w:val="00B33305"/>
    <w:rsid w:val="00B35F9C"/>
    <w:rsid w:val="00B37383"/>
    <w:rsid w:val="00B37A70"/>
    <w:rsid w:val="00B41730"/>
    <w:rsid w:val="00B419D0"/>
    <w:rsid w:val="00B42A19"/>
    <w:rsid w:val="00B432D0"/>
    <w:rsid w:val="00B4337F"/>
    <w:rsid w:val="00B4375C"/>
    <w:rsid w:val="00B43A0B"/>
    <w:rsid w:val="00B43F7F"/>
    <w:rsid w:val="00B4410E"/>
    <w:rsid w:val="00B446AF"/>
    <w:rsid w:val="00B45AE7"/>
    <w:rsid w:val="00B472FC"/>
    <w:rsid w:val="00B50173"/>
    <w:rsid w:val="00B50F4B"/>
    <w:rsid w:val="00B51140"/>
    <w:rsid w:val="00B5230F"/>
    <w:rsid w:val="00B53E72"/>
    <w:rsid w:val="00B54B0A"/>
    <w:rsid w:val="00B56917"/>
    <w:rsid w:val="00B60601"/>
    <w:rsid w:val="00B61D8C"/>
    <w:rsid w:val="00B6223E"/>
    <w:rsid w:val="00B675A1"/>
    <w:rsid w:val="00B70D11"/>
    <w:rsid w:val="00B7289C"/>
    <w:rsid w:val="00B74D86"/>
    <w:rsid w:val="00B755DF"/>
    <w:rsid w:val="00B758AE"/>
    <w:rsid w:val="00B76002"/>
    <w:rsid w:val="00B7746D"/>
    <w:rsid w:val="00B77A91"/>
    <w:rsid w:val="00B80442"/>
    <w:rsid w:val="00B8344E"/>
    <w:rsid w:val="00B841ED"/>
    <w:rsid w:val="00B84EE9"/>
    <w:rsid w:val="00B854D4"/>
    <w:rsid w:val="00B878A0"/>
    <w:rsid w:val="00B87D97"/>
    <w:rsid w:val="00B9330F"/>
    <w:rsid w:val="00B93F58"/>
    <w:rsid w:val="00B945B9"/>
    <w:rsid w:val="00B9659F"/>
    <w:rsid w:val="00BA072B"/>
    <w:rsid w:val="00BA279C"/>
    <w:rsid w:val="00BA4B37"/>
    <w:rsid w:val="00BA52EC"/>
    <w:rsid w:val="00BA5752"/>
    <w:rsid w:val="00BA5998"/>
    <w:rsid w:val="00BA64B7"/>
    <w:rsid w:val="00BA657E"/>
    <w:rsid w:val="00BA6CBE"/>
    <w:rsid w:val="00BB0442"/>
    <w:rsid w:val="00BB0FE0"/>
    <w:rsid w:val="00BB18E5"/>
    <w:rsid w:val="00BB19A9"/>
    <w:rsid w:val="00BB1A67"/>
    <w:rsid w:val="00BB1B82"/>
    <w:rsid w:val="00BB2B25"/>
    <w:rsid w:val="00BB34A3"/>
    <w:rsid w:val="00BB4BD6"/>
    <w:rsid w:val="00BB7CAD"/>
    <w:rsid w:val="00BB7CFA"/>
    <w:rsid w:val="00BC0EE1"/>
    <w:rsid w:val="00BC191A"/>
    <w:rsid w:val="00BC27F0"/>
    <w:rsid w:val="00BC378F"/>
    <w:rsid w:val="00BC4568"/>
    <w:rsid w:val="00BC52A0"/>
    <w:rsid w:val="00BC6D0D"/>
    <w:rsid w:val="00BD0071"/>
    <w:rsid w:val="00BD05C4"/>
    <w:rsid w:val="00BD14AC"/>
    <w:rsid w:val="00BD2E55"/>
    <w:rsid w:val="00BD334C"/>
    <w:rsid w:val="00BD486E"/>
    <w:rsid w:val="00BD591C"/>
    <w:rsid w:val="00BD5C10"/>
    <w:rsid w:val="00BD60B3"/>
    <w:rsid w:val="00BE09E0"/>
    <w:rsid w:val="00BE0C07"/>
    <w:rsid w:val="00BE1267"/>
    <w:rsid w:val="00BE19E3"/>
    <w:rsid w:val="00BE221B"/>
    <w:rsid w:val="00BE2D02"/>
    <w:rsid w:val="00BE40C0"/>
    <w:rsid w:val="00BE4187"/>
    <w:rsid w:val="00BE449A"/>
    <w:rsid w:val="00BE4639"/>
    <w:rsid w:val="00BE49CD"/>
    <w:rsid w:val="00BE4FB7"/>
    <w:rsid w:val="00BF1399"/>
    <w:rsid w:val="00BF4331"/>
    <w:rsid w:val="00BF5EA4"/>
    <w:rsid w:val="00BF6C74"/>
    <w:rsid w:val="00BF7262"/>
    <w:rsid w:val="00C002D9"/>
    <w:rsid w:val="00C0186D"/>
    <w:rsid w:val="00C030EA"/>
    <w:rsid w:val="00C04232"/>
    <w:rsid w:val="00C04EBF"/>
    <w:rsid w:val="00C056FE"/>
    <w:rsid w:val="00C067A9"/>
    <w:rsid w:val="00C06850"/>
    <w:rsid w:val="00C070D4"/>
    <w:rsid w:val="00C07A21"/>
    <w:rsid w:val="00C1139D"/>
    <w:rsid w:val="00C117B1"/>
    <w:rsid w:val="00C117EB"/>
    <w:rsid w:val="00C12314"/>
    <w:rsid w:val="00C135A3"/>
    <w:rsid w:val="00C149ED"/>
    <w:rsid w:val="00C14B1C"/>
    <w:rsid w:val="00C156AA"/>
    <w:rsid w:val="00C15BE3"/>
    <w:rsid w:val="00C162E9"/>
    <w:rsid w:val="00C16933"/>
    <w:rsid w:val="00C207AD"/>
    <w:rsid w:val="00C26B80"/>
    <w:rsid w:val="00C27769"/>
    <w:rsid w:val="00C27836"/>
    <w:rsid w:val="00C30747"/>
    <w:rsid w:val="00C307FF"/>
    <w:rsid w:val="00C30F95"/>
    <w:rsid w:val="00C31DB0"/>
    <w:rsid w:val="00C321A6"/>
    <w:rsid w:val="00C32A03"/>
    <w:rsid w:val="00C32C39"/>
    <w:rsid w:val="00C3302A"/>
    <w:rsid w:val="00C33A47"/>
    <w:rsid w:val="00C33E80"/>
    <w:rsid w:val="00C3589F"/>
    <w:rsid w:val="00C3757C"/>
    <w:rsid w:val="00C4005B"/>
    <w:rsid w:val="00C40215"/>
    <w:rsid w:val="00C40D2F"/>
    <w:rsid w:val="00C446EC"/>
    <w:rsid w:val="00C4471C"/>
    <w:rsid w:val="00C45C20"/>
    <w:rsid w:val="00C501A4"/>
    <w:rsid w:val="00C505A3"/>
    <w:rsid w:val="00C51EC5"/>
    <w:rsid w:val="00C520CB"/>
    <w:rsid w:val="00C533D6"/>
    <w:rsid w:val="00C54030"/>
    <w:rsid w:val="00C560F1"/>
    <w:rsid w:val="00C56316"/>
    <w:rsid w:val="00C57CA2"/>
    <w:rsid w:val="00C57DB3"/>
    <w:rsid w:val="00C57DF3"/>
    <w:rsid w:val="00C606F0"/>
    <w:rsid w:val="00C61D12"/>
    <w:rsid w:val="00C62587"/>
    <w:rsid w:val="00C62900"/>
    <w:rsid w:val="00C633E1"/>
    <w:rsid w:val="00C6572E"/>
    <w:rsid w:val="00C65FCA"/>
    <w:rsid w:val="00C65FD6"/>
    <w:rsid w:val="00C66064"/>
    <w:rsid w:val="00C66208"/>
    <w:rsid w:val="00C66AED"/>
    <w:rsid w:val="00C673EF"/>
    <w:rsid w:val="00C67E65"/>
    <w:rsid w:val="00C70003"/>
    <w:rsid w:val="00C70803"/>
    <w:rsid w:val="00C70992"/>
    <w:rsid w:val="00C70C1E"/>
    <w:rsid w:val="00C71D95"/>
    <w:rsid w:val="00C728C0"/>
    <w:rsid w:val="00C742EA"/>
    <w:rsid w:val="00C74528"/>
    <w:rsid w:val="00C746C4"/>
    <w:rsid w:val="00C751CF"/>
    <w:rsid w:val="00C75B29"/>
    <w:rsid w:val="00C75EAA"/>
    <w:rsid w:val="00C764DD"/>
    <w:rsid w:val="00C76E51"/>
    <w:rsid w:val="00C801C2"/>
    <w:rsid w:val="00C80AC8"/>
    <w:rsid w:val="00C81A36"/>
    <w:rsid w:val="00C844D6"/>
    <w:rsid w:val="00C846F0"/>
    <w:rsid w:val="00C855B4"/>
    <w:rsid w:val="00C85618"/>
    <w:rsid w:val="00C86464"/>
    <w:rsid w:val="00C87515"/>
    <w:rsid w:val="00C876AF"/>
    <w:rsid w:val="00C87D78"/>
    <w:rsid w:val="00C90F5E"/>
    <w:rsid w:val="00C91643"/>
    <w:rsid w:val="00C9187B"/>
    <w:rsid w:val="00C93F07"/>
    <w:rsid w:val="00C94949"/>
    <w:rsid w:val="00C95689"/>
    <w:rsid w:val="00CA098A"/>
    <w:rsid w:val="00CA1153"/>
    <w:rsid w:val="00CA1F7E"/>
    <w:rsid w:val="00CA23BF"/>
    <w:rsid w:val="00CA4F62"/>
    <w:rsid w:val="00CA58EF"/>
    <w:rsid w:val="00CA6A7F"/>
    <w:rsid w:val="00CB0350"/>
    <w:rsid w:val="00CB1655"/>
    <w:rsid w:val="00CB1C09"/>
    <w:rsid w:val="00CB1C8F"/>
    <w:rsid w:val="00CB2DD4"/>
    <w:rsid w:val="00CB64ED"/>
    <w:rsid w:val="00CB6FA9"/>
    <w:rsid w:val="00CB7C79"/>
    <w:rsid w:val="00CC0409"/>
    <w:rsid w:val="00CC0BFD"/>
    <w:rsid w:val="00CC2139"/>
    <w:rsid w:val="00CC5592"/>
    <w:rsid w:val="00CD0669"/>
    <w:rsid w:val="00CD0CA0"/>
    <w:rsid w:val="00CD1EAA"/>
    <w:rsid w:val="00CD3575"/>
    <w:rsid w:val="00CD4210"/>
    <w:rsid w:val="00CD5B39"/>
    <w:rsid w:val="00CD6A6D"/>
    <w:rsid w:val="00CD730D"/>
    <w:rsid w:val="00CE0391"/>
    <w:rsid w:val="00CE1C30"/>
    <w:rsid w:val="00CE27FB"/>
    <w:rsid w:val="00CE4CDF"/>
    <w:rsid w:val="00CE5A49"/>
    <w:rsid w:val="00CE5FBC"/>
    <w:rsid w:val="00CE6F01"/>
    <w:rsid w:val="00CE7110"/>
    <w:rsid w:val="00CF08B6"/>
    <w:rsid w:val="00CF1A01"/>
    <w:rsid w:val="00CF22F5"/>
    <w:rsid w:val="00CF2D41"/>
    <w:rsid w:val="00CF3026"/>
    <w:rsid w:val="00CF35D2"/>
    <w:rsid w:val="00CF5E16"/>
    <w:rsid w:val="00CF6322"/>
    <w:rsid w:val="00D0164D"/>
    <w:rsid w:val="00D029E0"/>
    <w:rsid w:val="00D03C09"/>
    <w:rsid w:val="00D074E7"/>
    <w:rsid w:val="00D0796D"/>
    <w:rsid w:val="00D07FEC"/>
    <w:rsid w:val="00D1145B"/>
    <w:rsid w:val="00D11A85"/>
    <w:rsid w:val="00D1267E"/>
    <w:rsid w:val="00D15CFB"/>
    <w:rsid w:val="00D16618"/>
    <w:rsid w:val="00D16871"/>
    <w:rsid w:val="00D17A54"/>
    <w:rsid w:val="00D17E2E"/>
    <w:rsid w:val="00D206B5"/>
    <w:rsid w:val="00D20BD2"/>
    <w:rsid w:val="00D21889"/>
    <w:rsid w:val="00D21C2E"/>
    <w:rsid w:val="00D2285A"/>
    <w:rsid w:val="00D22F37"/>
    <w:rsid w:val="00D2312E"/>
    <w:rsid w:val="00D246C2"/>
    <w:rsid w:val="00D25486"/>
    <w:rsid w:val="00D264BF"/>
    <w:rsid w:val="00D30D95"/>
    <w:rsid w:val="00D31058"/>
    <w:rsid w:val="00D31B27"/>
    <w:rsid w:val="00D33D1B"/>
    <w:rsid w:val="00D34D18"/>
    <w:rsid w:val="00D358C3"/>
    <w:rsid w:val="00D37663"/>
    <w:rsid w:val="00D402D6"/>
    <w:rsid w:val="00D405E2"/>
    <w:rsid w:val="00D42533"/>
    <w:rsid w:val="00D428B5"/>
    <w:rsid w:val="00D43F13"/>
    <w:rsid w:val="00D44282"/>
    <w:rsid w:val="00D4534A"/>
    <w:rsid w:val="00D45F7A"/>
    <w:rsid w:val="00D465C0"/>
    <w:rsid w:val="00D466B0"/>
    <w:rsid w:val="00D46A91"/>
    <w:rsid w:val="00D46D1A"/>
    <w:rsid w:val="00D47208"/>
    <w:rsid w:val="00D525F7"/>
    <w:rsid w:val="00D53769"/>
    <w:rsid w:val="00D53972"/>
    <w:rsid w:val="00D53AA3"/>
    <w:rsid w:val="00D5409F"/>
    <w:rsid w:val="00D557BC"/>
    <w:rsid w:val="00D56F9E"/>
    <w:rsid w:val="00D57223"/>
    <w:rsid w:val="00D606D6"/>
    <w:rsid w:val="00D6166E"/>
    <w:rsid w:val="00D627EE"/>
    <w:rsid w:val="00D63594"/>
    <w:rsid w:val="00D64349"/>
    <w:rsid w:val="00D64659"/>
    <w:rsid w:val="00D64741"/>
    <w:rsid w:val="00D67783"/>
    <w:rsid w:val="00D6798C"/>
    <w:rsid w:val="00D67FA5"/>
    <w:rsid w:val="00D706ED"/>
    <w:rsid w:val="00D70907"/>
    <w:rsid w:val="00D70C31"/>
    <w:rsid w:val="00D70D55"/>
    <w:rsid w:val="00D7269B"/>
    <w:rsid w:val="00D7273C"/>
    <w:rsid w:val="00D75EF6"/>
    <w:rsid w:val="00D764DB"/>
    <w:rsid w:val="00D7688C"/>
    <w:rsid w:val="00D77778"/>
    <w:rsid w:val="00D80D7B"/>
    <w:rsid w:val="00D81869"/>
    <w:rsid w:val="00D820DC"/>
    <w:rsid w:val="00D869EB"/>
    <w:rsid w:val="00D901E3"/>
    <w:rsid w:val="00D90DA1"/>
    <w:rsid w:val="00D9114E"/>
    <w:rsid w:val="00D91CA1"/>
    <w:rsid w:val="00D9245C"/>
    <w:rsid w:val="00D924E3"/>
    <w:rsid w:val="00D9254E"/>
    <w:rsid w:val="00D9297A"/>
    <w:rsid w:val="00D946CC"/>
    <w:rsid w:val="00D953F3"/>
    <w:rsid w:val="00D955AE"/>
    <w:rsid w:val="00D96218"/>
    <w:rsid w:val="00D96863"/>
    <w:rsid w:val="00D97B81"/>
    <w:rsid w:val="00DA04A9"/>
    <w:rsid w:val="00DA0C0D"/>
    <w:rsid w:val="00DA1BAF"/>
    <w:rsid w:val="00DA48EA"/>
    <w:rsid w:val="00DA59C8"/>
    <w:rsid w:val="00DA6760"/>
    <w:rsid w:val="00DA7F52"/>
    <w:rsid w:val="00DB1F1B"/>
    <w:rsid w:val="00DB3776"/>
    <w:rsid w:val="00DB393E"/>
    <w:rsid w:val="00DB3C18"/>
    <w:rsid w:val="00DB5E1A"/>
    <w:rsid w:val="00DB7AF4"/>
    <w:rsid w:val="00DC0549"/>
    <w:rsid w:val="00DC0DF7"/>
    <w:rsid w:val="00DC198F"/>
    <w:rsid w:val="00DC304E"/>
    <w:rsid w:val="00DC3514"/>
    <w:rsid w:val="00DC3D33"/>
    <w:rsid w:val="00DC3ED7"/>
    <w:rsid w:val="00DC43EF"/>
    <w:rsid w:val="00DC448D"/>
    <w:rsid w:val="00DC59CA"/>
    <w:rsid w:val="00DC6254"/>
    <w:rsid w:val="00DC69D5"/>
    <w:rsid w:val="00DC6A18"/>
    <w:rsid w:val="00DC6A4F"/>
    <w:rsid w:val="00DC6B2C"/>
    <w:rsid w:val="00DC78A6"/>
    <w:rsid w:val="00DD09B8"/>
    <w:rsid w:val="00DD102B"/>
    <w:rsid w:val="00DD1722"/>
    <w:rsid w:val="00DD248A"/>
    <w:rsid w:val="00DD4C1D"/>
    <w:rsid w:val="00DD53E7"/>
    <w:rsid w:val="00DD549C"/>
    <w:rsid w:val="00DE1A42"/>
    <w:rsid w:val="00DE2328"/>
    <w:rsid w:val="00DE318D"/>
    <w:rsid w:val="00DE3BEA"/>
    <w:rsid w:val="00DE4386"/>
    <w:rsid w:val="00DE445B"/>
    <w:rsid w:val="00DE5245"/>
    <w:rsid w:val="00DE53F3"/>
    <w:rsid w:val="00DE66CD"/>
    <w:rsid w:val="00DE6E8F"/>
    <w:rsid w:val="00DF16C8"/>
    <w:rsid w:val="00DF3546"/>
    <w:rsid w:val="00DF3A6B"/>
    <w:rsid w:val="00DF4417"/>
    <w:rsid w:val="00DF5CE4"/>
    <w:rsid w:val="00DF693C"/>
    <w:rsid w:val="00E00921"/>
    <w:rsid w:val="00E02AD8"/>
    <w:rsid w:val="00E044A3"/>
    <w:rsid w:val="00E04B76"/>
    <w:rsid w:val="00E04CEC"/>
    <w:rsid w:val="00E04E62"/>
    <w:rsid w:val="00E050E7"/>
    <w:rsid w:val="00E05A4D"/>
    <w:rsid w:val="00E06C7C"/>
    <w:rsid w:val="00E07659"/>
    <w:rsid w:val="00E0787C"/>
    <w:rsid w:val="00E11384"/>
    <w:rsid w:val="00E121FC"/>
    <w:rsid w:val="00E12CFC"/>
    <w:rsid w:val="00E1300D"/>
    <w:rsid w:val="00E15C59"/>
    <w:rsid w:val="00E17FCF"/>
    <w:rsid w:val="00E20D16"/>
    <w:rsid w:val="00E22AA3"/>
    <w:rsid w:val="00E23A84"/>
    <w:rsid w:val="00E23DE9"/>
    <w:rsid w:val="00E2670C"/>
    <w:rsid w:val="00E26BEC"/>
    <w:rsid w:val="00E27DD4"/>
    <w:rsid w:val="00E30072"/>
    <w:rsid w:val="00E3065A"/>
    <w:rsid w:val="00E308C5"/>
    <w:rsid w:val="00E30F80"/>
    <w:rsid w:val="00E336A3"/>
    <w:rsid w:val="00E3618A"/>
    <w:rsid w:val="00E36B0C"/>
    <w:rsid w:val="00E37902"/>
    <w:rsid w:val="00E37BAE"/>
    <w:rsid w:val="00E37DBC"/>
    <w:rsid w:val="00E40C5A"/>
    <w:rsid w:val="00E474A1"/>
    <w:rsid w:val="00E50C31"/>
    <w:rsid w:val="00E52C4B"/>
    <w:rsid w:val="00E5341B"/>
    <w:rsid w:val="00E54C59"/>
    <w:rsid w:val="00E54EED"/>
    <w:rsid w:val="00E551FD"/>
    <w:rsid w:val="00E55FFF"/>
    <w:rsid w:val="00E56EDE"/>
    <w:rsid w:val="00E573BD"/>
    <w:rsid w:val="00E61999"/>
    <w:rsid w:val="00E62A23"/>
    <w:rsid w:val="00E63300"/>
    <w:rsid w:val="00E64BC5"/>
    <w:rsid w:val="00E65D46"/>
    <w:rsid w:val="00E666A2"/>
    <w:rsid w:val="00E666E3"/>
    <w:rsid w:val="00E66F29"/>
    <w:rsid w:val="00E67EB8"/>
    <w:rsid w:val="00E71083"/>
    <w:rsid w:val="00E717B2"/>
    <w:rsid w:val="00E71808"/>
    <w:rsid w:val="00E719CF"/>
    <w:rsid w:val="00E727B9"/>
    <w:rsid w:val="00E736AD"/>
    <w:rsid w:val="00E7731E"/>
    <w:rsid w:val="00E80DF9"/>
    <w:rsid w:val="00E81C80"/>
    <w:rsid w:val="00E8217C"/>
    <w:rsid w:val="00E82257"/>
    <w:rsid w:val="00E828F6"/>
    <w:rsid w:val="00E82D3D"/>
    <w:rsid w:val="00E83B53"/>
    <w:rsid w:val="00E86049"/>
    <w:rsid w:val="00E86BD1"/>
    <w:rsid w:val="00E87904"/>
    <w:rsid w:val="00E87A1C"/>
    <w:rsid w:val="00E87BA3"/>
    <w:rsid w:val="00E90293"/>
    <w:rsid w:val="00E9035C"/>
    <w:rsid w:val="00E93544"/>
    <w:rsid w:val="00E953F7"/>
    <w:rsid w:val="00E96025"/>
    <w:rsid w:val="00E964B3"/>
    <w:rsid w:val="00E96734"/>
    <w:rsid w:val="00E96856"/>
    <w:rsid w:val="00E978D7"/>
    <w:rsid w:val="00E97BAB"/>
    <w:rsid w:val="00E97DC4"/>
    <w:rsid w:val="00EA08E4"/>
    <w:rsid w:val="00EA10EB"/>
    <w:rsid w:val="00EA1AC9"/>
    <w:rsid w:val="00EA29D7"/>
    <w:rsid w:val="00EA3A9A"/>
    <w:rsid w:val="00EA3C28"/>
    <w:rsid w:val="00EA3C8B"/>
    <w:rsid w:val="00EA42C9"/>
    <w:rsid w:val="00EA4DFF"/>
    <w:rsid w:val="00EA5204"/>
    <w:rsid w:val="00EA6BB6"/>
    <w:rsid w:val="00EB11C9"/>
    <w:rsid w:val="00EB2921"/>
    <w:rsid w:val="00EB3E2B"/>
    <w:rsid w:val="00EB465C"/>
    <w:rsid w:val="00EB4CBA"/>
    <w:rsid w:val="00EB4EFC"/>
    <w:rsid w:val="00EB5A41"/>
    <w:rsid w:val="00EB681F"/>
    <w:rsid w:val="00EB692A"/>
    <w:rsid w:val="00EB6C4A"/>
    <w:rsid w:val="00EC10FF"/>
    <w:rsid w:val="00EC13CD"/>
    <w:rsid w:val="00EC268F"/>
    <w:rsid w:val="00EC2E8F"/>
    <w:rsid w:val="00EC3563"/>
    <w:rsid w:val="00EC3E80"/>
    <w:rsid w:val="00EC4C91"/>
    <w:rsid w:val="00EC697F"/>
    <w:rsid w:val="00ED0153"/>
    <w:rsid w:val="00ED16CD"/>
    <w:rsid w:val="00ED69DB"/>
    <w:rsid w:val="00EE0541"/>
    <w:rsid w:val="00EE14F8"/>
    <w:rsid w:val="00EE1686"/>
    <w:rsid w:val="00EE1BC0"/>
    <w:rsid w:val="00EE3E63"/>
    <w:rsid w:val="00EE42E3"/>
    <w:rsid w:val="00EE6634"/>
    <w:rsid w:val="00EE6C76"/>
    <w:rsid w:val="00EE7445"/>
    <w:rsid w:val="00EE7763"/>
    <w:rsid w:val="00EF0FFB"/>
    <w:rsid w:val="00EF17A2"/>
    <w:rsid w:val="00EF24CC"/>
    <w:rsid w:val="00EF2984"/>
    <w:rsid w:val="00EF3D61"/>
    <w:rsid w:val="00EF3F85"/>
    <w:rsid w:val="00EF4238"/>
    <w:rsid w:val="00EF57DF"/>
    <w:rsid w:val="00EF59DC"/>
    <w:rsid w:val="00EF79A3"/>
    <w:rsid w:val="00F006A9"/>
    <w:rsid w:val="00F00875"/>
    <w:rsid w:val="00F02087"/>
    <w:rsid w:val="00F02B1D"/>
    <w:rsid w:val="00F10AC6"/>
    <w:rsid w:val="00F167C3"/>
    <w:rsid w:val="00F175E6"/>
    <w:rsid w:val="00F177AE"/>
    <w:rsid w:val="00F17889"/>
    <w:rsid w:val="00F17979"/>
    <w:rsid w:val="00F20A34"/>
    <w:rsid w:val="00F212D6"/>
    <w:rsid w:val="00F22932"/>
    <w:rsid w:val="00F22CAD"/>
    <w:rsid w:val="00F23242"/>
    <w:rsid w:val="00F2376F"/>
    <w:rsid w:val="00F23961"/>
    <w:rsid w:val="00F26A39"/>
    <w:rsid w:val="00F26BF8"/>
    <w:rsid w:val="00F26C05"/>
    <w:rsid w:val="00F27AA9"/>
    <w:rsid w:val="00F3075F"/>
    <w:rsid w:val="00F30967"/>
    <w:rsid w:val="00F31F6C"/>
    <w:rsid w:val="00F321DE"/>
    <w:rsid w:val="00F33AA0"/>
    <w:rsid w:val="00F34137"/>
    <w:rsid w:val="00F3590A"/>
    <w:rsid w:val="00F35E39"/>
    <w:rsid w:val="00F37761"/>
    <w:rsid w:val="00F412A7"/>
    <w:rsid w:val="00F41479"/>
    <w:rsid w:val="00F43066"/>
    <w:rsid w:val="00F430D3"/>
    <w:rsid w:val="00F451D2"/>
    <w:rsid w:val="00F47208"/>
    <w:rsid w:val="00F4749E"/>
    <w:rsid w:val="00F47939"/>
    <w:rsid w:val="00F4793E"/>
    <w:rsid w:val="00F47B6A"/>
    <w:rsid w:val="00F512D4"/>
    <w:rsid w:val="00F52834"/>
    <w:rsid w:val="00F52A56"/>
    <w:rsid w:val="00F52F62"/>
    <w:rsid w:val="00F54817"/>
    <w:rsid w:val="00F553C3"/>
    <w:rsid w:val="00F563BE"/>
    <w:rsid w:val="00F564A6"/>
    <w:rsid w:val="00F56B13"/>
    <w:rsid w:val="00F60C32"/>
    <w:rsid w:val="00F61DEB"/>
    <w:rsid w:val="00F64859"/>
    <w:rsid w:val="00F65388"/>
    <w:rsid w:val="00F66166"/>
    <w:rsid w:val="00F6655A"/>
    <w:rsid w:val="00F67582"/>
    <w:rsid w:val="00F706D6"/>
    <w:rsid w:val="00F70AE7"/>
    <w:rsid w:val="00F72F56"/>
    <w:rsid w:val="00F7368D"/>
    <w:rsid w:val="00F748AD"/>
    <w:rsid w:val="00F75072"/>
    <w:rsid w:val="00F761D2"/>
    <w:rsid w:val="00F80924"/>
    <w:rsid w:val="00F80B09"/>
    <w:rsid w:val="00F80D87"/>
    <w:rsid w:val="00F82325"/>
    <w:rsid w:val="00F82D5A"/>
    <w:rsid w:val="00F83E9A"/>
    <w:rsid w:val="00F844A6"/>
    <w:rsid w:val="00F84D13"/>
    <w:rsid w:val="00F8539E"/>
    <w:rsid w:val="00F86056"/>
    <w:rsid w:val="00F86544"/>
    <w:rsid w:val="00F87497"/>
    <w:rsid w:val="00F87F1D"/>
    <w:rsid w:val="00F900A4"/>
    <w:rsid w:val="00F90FF6"/>
    <w:rsid w:val="00F916D6"/>
    <w:rsid w:val="00F9190F"/>
    <w:rsid w:val="00F92835"/>
    <w:rsid w:val="00F9334F"/>
    <w:rsid w:val="00F93F5E"/>
    <w:rsid w:val="00F940CA"/>
    <w:rsid w:val="00F95EE2"/>
    <w:rsid w:val="00F961FC"/>
    <w:rsid w:val="00F97066"/>
    <w:rsid w:val="00F97687"/>
    <w:rsid w:val="00F97E43"/>
    <w:rsid w:val="00FA0068"/>
    <w:rsid w:val="00FA0FE8"/>
    <w:rsid w:val="00FA16CC"/>
    <w:rsid w:val="00FA2CCE"/>
    <w:rsid w:val="00FA4470"/>
    <w:rsid w:val="00FA4B1D"/>
    <w:rsid w:val="00FA4E93"/>
    <w:rsid w:val="00FA50DA"/>
    <w:rsid w:val="00FA525B"/>
    <w:rsid w:val="00FA6E81"/>
    <w:rsid w:val="00FA7085"/>
    <w:rsid w:val="00FA711D"/>
    <w:rsid w:val="00FA77C4"/>
    <w:rsid w:val="00FA78B9"/>
    <w:rsid w:val="00FB0BC5"/>
    <w:rsid w:val="00FB2972"/>
    <w:rsid w:val="00FB2E0C"/>
    <w:rsid w:val="00FB718B"/>
    <w:rsid w:val="00FC05D4"/>
    <w:rsid w:val="00FC0634"/>
    <w:rsid w:val="00FC28BA"/>
    <w:rsid w:val="00FC2914"/>
    <w:rsid w:val="00FC2B76"/>
    <w:rsid w:val="00FC3723"/>
    <w:rsid w:val="00FC3C34"/>
    <w:rsid w:val="00FC45DF"/>
    <w:rsid w:val="00FC68DF"/>
    <w:rsid w:val="00FC735D"/>
    <w:rsid w:val="00FD0A42"/>
    <w:rsid w:val="00FD0CFA"/>
    <w:rsid w:val="00FD1E10"/>
    <w:rsid w:val="00FD3316"/>
    <w:rsid w:val="00FD3C8E"/>
    <w:rsid w:val="00FD3DA4"/>
    <w:rsid w:val="00FD3F36"/>
    <w:rsid w:val="00FD43A3"/>
    <w:rsid w:val="00FD4747"/>
    <w:rsid w:val="00FD5AC5"/>
    <w:rsid w:val="00FD735B"/>
    <w:rsid w:val="00FD7883"/>
    <w:rsid w:val="00FE0E30"/>
    <w:rsid w:val="00FE2EB5"/>
    <w:rsid w:val="00FE33EE"/>
    <w:rsid w:val="00FE3C52"/>
    <w:rsid w:val="00FE3F4C"/>
    <w:rsid w:val="00FE75FE"/>
    <w:rsid w:val="00FE7F0A"/>
    <w:rsid w:val="00FF14B4"/>
    <w:rsid w:val="00FF3079"/>
    <w:rsid w:val="00FF423C"/>
    <w:rsid w:val="00FF4498"/>
    <w:rsid w:val="00FF44CE"/>
    <w:rsid w:val="00FF4F71"/>
    <w:rsid w:val="00FF5D1B"/>
    <w:rsid w:val="00FF61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926B240"/>
  <w15:docId w15:val="{084019FE-1751-473A-84E3-B5AA71C0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353"/>
    <w:rPr>
      <w:sz w:val="24"/>
      <w:szCs w:val="24"/>
    </w:rPr>
  </w:style>
  <w:style w:type="paragraph" w:styleId="Heading1">
    <w:name w:val="heading 1"/>
    <w:basedOn w:val="Normal"/>
    <w:next w:val="Normal"/>
    <w:link w:val="Heading1Char"/>
    <w:qFormat/>
    <w:rsid w:val="003E555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3E555B"/>
    <w:pPr>
      <w:keepNext/>
      <w:spacing w:before="240" w:after="240"/>
      <w:ind w:left="720" w:hanging="720"/>
      <w:outlineLvl w:val="1"/>
    </w:pPr>
    <w:rPr>
      <w:b/>
      <w:bCs/>
      <w:iCs/>
      <w:szCs w:val="28"/>
    </w:rPr>
  </w:style>
  <w:style w:type="paragraph" w:styleId="Heading3">
    <w:name w:val="heading 3"/>
    <w:basedOn w:val="Normal"/>
    <w:next w:val="Normal"/>
    <w:link w:val="Heading3Char"/>
    <w:qFormat/>
    <w:rsid w:val="003E555B"/>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7216D5"/>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pPr>
    <w:rPr>
      <w:rFonts w:cs="Arial"/>
      <w:b/>
      <w:bCs/>
      <w:iCs/>
      <w:szCs w:val="22"/>
      <w:u w:val="single"/>
    </w:rPr>
  </w:style>
  <w:style w:type="paragraph" w:styleId="Heading5">
    <w:name w:val="heading 5"/>
    <w:basedOn w:val="Normal"/>
    <w:next w:val="Normal"/>
    <w:qFormat/>
    <w:rsid w:val="003E555B"/>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3E555B"/>
    <w:pPr>
      <w:keepNext/>
      <w:jc w:val="center"/>
      <w:outlineLvl w:val="5"/>
    </w:pPr>
    <w:rPr>
      <w:rFonts w:ascii="Arial" w:hAnsi="Arial" w:cs="Arial"/>
      <w:b/>
      <w:bCs/>
    </w:rPr>
  </w:style>
  <w:style w:type="paragraph" w:styleId="Heading7">
    <w:name w:val="heading 7"/>
    <w:basedOn w:val="Normal"/>
    <w:next w:val="Normal"/>
    <w:qFormat/>
    <w:rsid w:val="003E555B"/>
    <w:pPr>
      <w:keepNext/>
      <w:jc w:val="center"/>
      <w:outlineLvl w:val="6"/>
    </w:pPr>
    <w:rPr>
      <w:rFonts w:ascii="Arial" w:hAnsi="Arial" w:cs="Arial"/>
      <w:b/>
      <w:bCs/>
      <w:sz w:val="16"/>
      <w:szCs w:val="16"/>
    </w:rPr>
  </w:style>
  <w:style w:type="paragraph" w:styleId="Heading8">
    <w:name w:val="heading 8"/>
    <w:basedOn w:val="Normal"/>
    <w:next w:val="Normal"/>
    <w:qFormat/>
    <w:rsid w:val="003E555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3E555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F748AD"/>
    <w:pPr>
      <w:numPr>
        <w:numId w:val="19"/>
      </w:numPr>
      <w:tabs>
        <w:tab w:val="left" w:pos="1080"/>
      </w:tabs>
      <w:spacing w:after="120" w:line="269" w:lineRule="auto"/>
      <w:ind w:left="1080"/>
    </w:pPr>
    <w:rPr>
      <w:color w:val="000000"/>
    </w:rPr>
  </w:style>
  <w:style w:type="paragraph" w:customStyle="1" w:styleId="exhibitsource">
    <w:name w:val="exhibit source"/>
    <w:basedOn w:val="Normal"/>
    <w:rsid w:val="00315729"/>
    <w:pPr>
      <w:spacing w:before="40" w:after="120"/>
      <w:contextualSpacing/>
    </w:pPr>
    <w:rPr>
      <w:sz w:val="20"/>
      <w:szCs w:val="22"/>
    </w:rPr>
  </w:style>
  <w:style w:type="numbering" w:customStyle="1" w:styleId="NoList1">
    <w:name w:val="No List1"/>
    <w:next w:val="NoList"/>
    <w:semiHidden/>
    <w:rsid w:val="003E555B"/>
  </w:style>
  <w:style w:type="table" w:styleId="TableGrid">
    <w:name w:val="Table Grid"/>
    <w:basedOn w:val="TableNormal"/>
    <w:uiPriority w:val="39"/>
    <w:rsid w:val="003E5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3E555B"/>
  </w:style>
  <w:style w:type="paragraph" w:customStyle="1" w:styleId="bodytextpsg">
    <w:name w:val="body text_psg"/>
    <w:basedOn w:val="Normal"/>
    <w:link w:val="bodytextpsgChar"/>
    <w:rsid w:val="00B8344E"/>
    <w:pPr>
      <w:spacing w:after="120" w:line="360" w:lineRule="auto"/>
      <w:ind w:firstLine="720"/>
    </w:pPr>
    <w:rPr>
      <w:szCs w:val="22"/>
    </w:rPr>
  </w:style>
  <w:style w:type="character" w:customStyle="1" w:styleId="bodytextpsgChar">
    <w:name w:val="body text_psg Char"/>
    <w:link w:val="bodytextpsg"/>
    <w:rsid w:val="00B8344E"/>
    <w:rPr>
      <w:sz w:val="24"/>
      <w:szCs w:val="22"/>
    </w:rPr>
  </w:style>
  <w:style w:type="paragraph" w:customStyle="1" w:styleId="QuickA">
    <w:name w:val="Quick A."/>
    <w:basedOn w:val="Normal"/>
    <w:rsid w:val="00307564"/>
    <w:pPr>
      <w:widowControl w:val="0"/>
      <w:numPr>
        <w:numId w:val="3"/>
      </w:numPr>
      <w:autoSpaceDE w:val="0"/>
      <w:autoSpaceDN w:val="0"/>
      <w:adjustRightInd w:val="0"/>
      <w:ind w:left="864" w:hanging="864"/>
    </w:pPr>
  </w:style>
  <w:style w:type="paragraph" w:customStyle="1" w:styleId="paragraph">
    <w:name w:val="paragraph"/>
    <w:basedOn w:val="Normal"/>
    <w:rsid w:val="003E555B"/>
    <w:pPr>
      <w:spacing w:before="200" w:line="320" w:lineRule="exact"/>
      <w:ind w:left="1440"/>
    </w:pPr>
  </w:style>
  <w:style w:type="paragraph" w:customStyle="1" w:styleId="a">
    <w:name w:val="_"/>
    <w:basedOn w:val="Normal"/>
    <w:rsid w:val="00307564"/>
    <w:pPr>
      <w:widowControl w:val="0"/>
      <w:autoSpaceDE w:val="0"/>
      <w:autoSpaceDN w:val="0"/>
      <w:adjustRightInd w:val="0"/>
      <w:ind w:left="1730" w:hanging="433"/>
    </w:pPr>
  </w:style>
  <w:style w:type="paragraph" w:styleId="FootnoteText">
    <w:name w:val="footnote text"/>
    <w:aliases w:val="ft,fo,Footnote Text Char Char Char Char,Footnote Text Char Char"/>
    <w:basedOn w:val="Normal"/>
    <w:link w:val="FootnoteTextChar"/>
    <w:uiPriority w:val="99"/>
    <w:rsid w:val="000A337C"/>
    <w:pPr>
      <w:widowControl w:val="0"/>
    </w:pPr>
    <w:rPr>
      <w:sz w:val="20"/>
    </w:rPr>
  </w:style>
  <w:style w:type="character" w:styleId="FootnoteReference">
    <w:name w:val="footnote reference"/>
    <w:aliases w:val="fr"/>
    <w:uiPriority w:val="99"/>
    <w:rsid w:val="00741C81"/>
    <w:rPr>
      <w:rFonts w:cs="Courier New"/>
      <w:spacing w:val="0"/>
      <w:w w:val="100"/>
      <w:kern w:val="0"/>
      <w:position w:val="0"/>
      <w:sz w:val="24"/>
      <w:vertAlign w:val="superscript"/>
    </w:rPr>
  </w:style>
  <w:style w:type="paragraph" w:customStyle="1" w:styleId="ExhibitTitle">
    <w:name w:val="Exhibit Title"/>
    <w:link w:val="ExhibitTitleChar"/>
    <w:rsid w:val="00307564"/>
    <w:pPr>
      <w:keepNext/>
      <w:keepLines/>
      <w:spacing w:before="240" w:after="60"/>
      <w:ind w:left="1627" w:hanging="1627"/>
    </w:pPr>
    <w:rPr>
      <w:rFonts w:ascii="Arial Black" w:hAnsi="Arial Black"/>
      <w:snapToGrid w:val="0"/>
      <w:color w:val="0A357E"/>
      <w:sz w:val="22"/>
      <w:szCs w:val="22"/>
    </w:rPr>
  </w:style>
  <w:style w:type="paragraph" w:customStyle="1" w:styleId="TableHeaders">
    <w:name w:val="Table Headers"/>
    <w:basedOn w:val="Normal"/>
    <w:rsid w:val="00307564"/>
    <w:pPr>
      <w:keepNext/>
      <w:spacing w:before="80" w:after="80" w:line="240" w:lineRule="exact"/>
      <w:jc w:val="center"/>
    </w:pPr>
    <w:rPr>
      <w:b/>
      <w:snapToGrid w:val="0"/>
      <w:sz w:val="22"/>
      <w:szCs w:val="20"/>
    </w:rPr>
  </w:style>
  <w:style w:type="paragraph" w:customStyle="1" w:styleId="atabbul">
    <w:name w:val="atab_bul"/>
    <w:basedOn w:val="Normal"/>
    <w:qFormat/>
    <w:rsid w:val="00307564"/>
    <w:pPr>
      <w:numPr>
        <w:numId w:val="4"/>
      </w:numPr>
      <w:tabs>
        <w:tab w:val="clear" w:pos="720"/>
        <w:tab w:val="num" w:pos="1080"/>
      </w:tabs>
      <w:spacing w:line="200" w:lineRule="exact"/>
      <w:ind w:left="1080"/>
    </w:pPr>
    <w:rPr>
      <w:sz w:val="20"/>
      <w:szCs w:val="20"/>
    </w:rPr>
  </w:style>
  <w:style w:type="paragraph" w:customStyle="1" w:styleId="heading10">
    <w:name w:val="heading1"/>
    <w:basedOn w:val="Normal"/>
    <w:next w:val="Normal"/>
    <w:semiHidden/>
    <w:rsid w:val="003E555B"/>
    <w:pPr>
      <w:spacing w:before="120" w:after="120"/>
    </w:pPr>
    <w:rPr>
      <w:b/>
      <w:bCs/>
      <w:sz w:val="22"/>
      <w:szCs w:val="22"/>
    </w:rPr>
  </w:style>
  <w:style w:type="character" w:customStyle="1" w:styleId="FootnoteTextChar">
    <w:name w:val="Footnote Text Char"/>
    <w:aliases w:val="ft Char,fo Char,Footnote Text Char Char Char Char Char,Footnote Text Char Char Char"/>
    <w:link w:val="FootnoteText"/>
    <w:uiPriority w:val="99"/>
    <w:rsid w:val="000A337C"/>
    <w:rPr>
      <w:rFonts w:cs="Courier New"/>
      <w:szCs w:val="24"/>
    </w:rPr>
  </w:style>
  <w:style w:type="paragraph" w:customStyle="1" w:styleId="heading20">
    <w:name w:val="heading2"/>
    <w:basedOn w:val="Heading3"/>
    <w:next w:val="Normal"/>
    <w:semiHidden/>
    <w:rsid w:val="003E555B"/>
    <w:pPr>
      <w:spacing w:before="120"/>
    </w:pPr>
    <w:rPr>
      <w:rFonts w:cs="Times New Roman"/>
    </w:rPr>
  </w:style>
  <w:style w:type="paragraph" w:customStyle="1" w:styleId="Tabletext">
    <w:name w:val="Table text"/>
    <w:qFormat/>
    <w:rsid w:val="008C5CEF"/>
    <w:pPr>
      <w:spacing w:before="40" w:after="40"/>
    </w:pPr>
    <w:rPr>
      <w:sz w:val="22"/>
    </w:rPr>
  </w:style>
  <w:style w:type="paragraph" w:styleId="BalloonText">
    <w:name w:val="Balloon Text"/>
    <w:basedOn w:val="Normal"/>
    <w:link w:val="BalloonTextChar"/>
    <w:uiPriority w:val="99"/>
    <w:semiHidden/>
    <w:rsid w:val="003E555B"/>
    <w:pPr>
      <w:numPr>
        <w:numId w:val="2"/>
      </w:numPr>
      <w:tabs>
        <w:tab w:val="clear" w:pos="720"/>
        <w:tab w:val="num" w:pos="360"/>
      </w:tabs>
      <w:ind w:left="0" w:firstLine="0"/>
    </w:pPr>
    <w:rPr>
      <w:rFonts w:ascii="Tahoma" w:hAnsi="Tahoma" w:cs="Tahoma"/>
      <w:sz w:val="16"/>
      <w:szCs w:val="16"/>
    </w:rPr>
  </w:style>
  <w:style w:type="character" w:customStyle="1" w:styleId="ExhibitTitleChar">
    <w:name w:val="Exhibit Title Char"/>
    <w:link w:val="ExhibitTitle"/>
    <w:locked/>
    <w:rsid w:val="00307564"/>
    <w:rPr>
      <w:rFonts w:ascii="Arial Black" w:hAnsi="Arial Black"/>
      <w:snapToGrid w:val="0"/>
      <w:color w:val="0A357E"/>
      <w:sz w:val="22"/>
      <w:szCs w:val="22"/>
      <w:lang w:bidi="ar-SA"/>
    </w:rPr>
  </w:style>
  <w:style w:type="paragraph" w:customStyle="1" w:styleId="exhibitsource1">
    <w:name w:val="exhibit source1"/>
    <w:basedOn w:val="Normal"/>
    <w:qFormat/>
    <w:rsid w:val="00A0166F"/>
    <w:pPr>
      <w:spacing w:after="120"/>
    </w:pPr>
    <w:rPr>
      <w:sz w:val="20"/>
    </w:rPr>
  </w:style>
  <w:style w:type="character" w:customStyle="1" w:styleId="bulletsChar">
    <w:name w:val="bullets Char"/>
    <w:aliases w:val="bu Char"/>
    <w:link w:val="bullets"/>
    <w:rsid w:val="00F748AD"/>
    <w:rPr>
      <w:color w:val="000000"/>
      <w:sz w:val="24"/>
      <w:szCs w:val="24"/>
    </w:rPr>
  </w:style>
  <w:style w:type="paragraph" w:styleId="Header">
    <w:name w:val="header"/>
    <w:basedOn w:val="Normal"/>
    <w:rsid w:val="003E555B"/>
    <w:pPr>
      <w:tabs>
        <w:tab w:val="center" w:pos="4320"/>
        <w:tab w:val="right" w:pos="8640"/>
      </w:tabs>
    </w:pPr>
    <w:rPr>
      <w:sz w:val="20"/>
      <w:szCs w:val="20"/>
    </w:rPr>
  </w:style>
  <w:style w:type="paragraph" w:styleId="Footer">
    <w:name w:val="footer"/>
    <w:basedOn w:val="Normal"/>
    <w:rsid w:val="003E555B"/>
    <w:pPr>
      <w:tabs>
        <w:tab w:val="center" w:pos="4320"/>
        <w:tab w:val="right" w:pos="8640"/>
      </w:tabs>
    </w:pPr>
    <w:rPr>
      <w:sz w:val="20"/>
      <w:szCs w:val="20"/>
    </w:rPr>
  </w:style>
  <w:style w:type="character" w:styleId="PageNumber">
    <w:name w:val="page number"/>
    <w:rsid w:val="003E555B"/>
    <w:rPr>
      <w:rFonts w:ascii="Times New Roman" w:hAnsi="Times New Roman"/>
      <w:sz w:val="24"/>
    </w:rPr>
  </w:style>
  <w:style w:type="paragraph" w:customStyle="1" w:styleId="bulletslast">
    <w:name w:val="bullets_last"/>
    <w:basedOn w:val="bullets"/>
    <w:qFormat/>
    <w:rsid w:val="00307564"/>
    <w:pPr>
      <w:numPr>
        <w:numId w:val="1"/>
      </w:numPr>
      <w:spacing w:after="240" w:line="240" w:lineRule="auto"/>
    </w:pPr>
    <w:rPr>
      <w:color w:val="auto"/>
      <w:sz w:val="20"/>
      <w:szCs w:val="20"/>
      <w:lang w:val="en-CA"/>
    </w:rPr>
  </w:style>
  <w:style w:type="character" w:customStyle="1" w:styleId="bodytextChar">
    <w:name w:val="body text Char"/>
    <w:aliases w:val="bt Char,body tx Char,indent Char,flush Char"/>
    <w:link w:val="BodyText1"/>
    <w:rsid w:val="00383B94"/>
    <w:rPr>
      <w:sz w:val="24"/>
      <w:szCs w:val="22"/>
    </w:rPr>
  </w:style>
  <w:style w:type="paragraph" w:customStyle="1" w:styleId="TablebulletLM">
    <w:name w:val="Table bullet_LM"/>
    <w:basedOn w:val="Normal"/>
    <w:qFormat/>
    <w:rsid w:val="00307564"/>
    <w:pPr>
      <w:spacing w:before="40" w:after="40"/>
      <w:ind w:left="216" w:hanging="216"/>
    </w:pPr>
    <w:rPr>
      <w:rFonts w:ascii="Arial" w:hAnsi="Arial"/>
      <w:sz w:val="20"/>
      <w:szCs w:val="20"/>
    </w:rPr>
  </w:style>
  <w:style w:type="paragraph" w:customStyle="1" w:styleId="bodytextpsgfirst">
    <w:name w:val="body text_psg first"/>
    <w:basedOn w:val="bodytextpsg"/>
    <w:qFormat/>
    <w:rsid w:val="00307564"/>
    <w:pPr>
      <w:spacing w:before="240"/>
    </w:pPr>
  </w:style>
  <w:style w:type="paragraph" w:styleId="EndnoteText">
    <w:name w:val="endnote text"/>
    <w:basedOn w:val="Normal"/>
    <w:link w:val="EndnoteTextChar"/>
    <w:uiPriority w:val="99"/>
    <w:semiHidden/>
    <w:rsid w:val="003E555B"/>
    <w:rPr>
      <w:sz w:val="20"/>
      <w:szCs w:val="20"/>
    </w:rPr>
  </w:style>
  <w:style w:type="character" w:styleId="EndnoteReference">
    <w:name w:val="endnote reference"/>
    <w:uiPriority w:val="99"/>
    <w:semiHidden/>
    <w:rsid w:val="003E555B"/>
    <w:rPr>
      <w:vertAlign w:val="superscript"/>
    </w:rPr>
  </w:style>
  <w:style w:type="paragraph" w:styleId="Title">
    <w:name w:val="Title"/>
    <w:basedOn w:val="Normal"/>
    <w:qFormat/>
    <w:rsid w:val="003E555B"/>
    <w:pPr>
      <w:ind w:left="-270"/>
      <w:jc w:val="center"/>
    </w:pPr>
    <w:rPr>
      <w:b/>
      <w:bCs/>
    </w:rPr>
  </w:style>
  <w:style w:type="paragraph" w:customStyle="1" w:styleId="bulletslast0">
    <w:name w:val="bullets last"/>
    <w:basedOn w:val="bullets"/>
    <w:qFormat/>
    <w:rsid w:val="00307564"/>
    <w:pPr>
      <w:numPr>
        <w:numId w:val="5"/>
      </w:numPr>
      <w:spacing w:after="240" w:line="240" w:lineRule="auto"/>
    </w:pPr>
    <w:rPr>
      <w:color w:val="auto"/>
      <w:sz w:val="20"/>
      <w:szCs w:val="20"/>
    </w:rPr>
  </w:style>
  <w:style w:type="paragraph" w:customStyle="1" w:styleId="Level1">
    <w:name w:val="Level 1"/>
    <w:basedOn w:val="Normal"/>
    <w:rsid w:val="003E555B"/>
    <w:pPr>
      <w:widowControl w:val="0"/>
      <w:autoSpaceDE w:val="0"/>
      <w:autoSpaceDN w:val="0"/>
      <w:adjustRightInd w:val="0"/>
      <w:ind w:left="720" w:hanging="720"/>
    </w:pPr>
  </w:style>
  <w:style w:type="character" w:styleId="Hyperlink">
    <w:name w:val="Hyperlink"/>
    <w:uiPriority w:val="99"/>
    <w:rsid w:val="00793B07"/>
    <w:rPr>
      <w:b w:val="0"/>
      <w:i w:val="0"/>
      <w:color w:val="000000" w:themeColor="text1"/>
      <w:u w:val="none"/>
    </w:rPr>
  </w:style>
  <w:style w:type="character" w:styleId="CommentReference">
    <w:name w:val="annotation reference"/>
    <w:uiPriority w:val="99"/>
    <w:unhideWhenUsed/>
    <w:rsid w:val="00307564"/>
    <w:rPr>
      <w:sz w:val="16"/>
      <w:szCs w:val="16"/>
    </w:rPr>
  </w:style>
  <w:style w:type="paragraph" w:styleId="CommentText">
    <w:name w:val="annotation text"/>
    <w:basedOn w:val="Normal"/>
    <w:link w:val="CommentTextChar"/>
    <w:uiPriority w:val="99"/>
    <w:unhideWhenUsed/>
    <w:rsid w:val="00307564"/>
    <w:pPr>
      <w:widowControl w:val="0"/>
      <w:autoSpaceDE w:val="0"/>
      <w:autoSpaceDN w:val="0"/>
      <w:adjustRightInd w:val="0"/>
      <w:spacing w:after="99"/>
    </w:pPr>
    <w:rPr>
      <w:sz w:val="20"/>
      <w:szCs w:val="20"/>
    </w:rPr>
  </w:style>
  <w:style w:type="character" w:customStyle="1" w:styleId="CommentTextChar">
    <w:name w:val="Comment Text Char"/>
    <w:basedOn w:val="DefaultParagraphFont"/>
    <w:link w:val="CommentText"/>
    <w:uiPriority w:val="99"/>
    <w:rsid w:val="00307564"/>
  </w:style>
  <w:style w:type="paragraph" w:styleId="BodyText">
    <w:name w:val="Body Text"/>
    <w:basedOn w:val="Normal"/>
    <w:link w:val="BodyTextChar0"/>
    <w:rsid w:val="00441F64"/>
    <w:pPr>
      <w:spacing w:after="120"/>
    </w:pPr>
  </w:style>
  <w:style w:type="character" w:customStyle="1" w:styleId="BodyTextChar0">
    <w:name w:val="Body Text Char"/>
    <w:link w:val="BodyText"/>
    <w:rsid w:val="00441F64"/>
    <w:rPr>
      <w:sz w:val="24"/>
      <w:szCs w:val="24"/>
    </w:rPr>
  </w:style>
  <w:style w:type="paragraph" w:styleId="CommentSubject">
    <w:name w:val="annotation subject"/>
    <w:basedOn w:val="CommentText"/>
    <w:next w:val="CommentText"/>
    <w:link w:val="CommentSubjectChar"/>
    <w:rsid w:val="000E6F9A"/>
    <w:pPr>
      <w:widowControl/>
      <w:autoSpaceDE/>
      <w:autoSpaceDN/>
      <w:adjustRightInd/>
      <w:spacing w:after="0"/>
    </w:pPr>
    <w:rPr>
      <w:b/>
      <w:bCs/>
    </w:rPr>
  </w:style>
  <w:style w:type="character" w:customStyle="1" w:styleId="CommentSubjectChar">
    <w:name w:val="Comment Subject Char"/>
    <w:link w:val="CommentSubject"/>
    <w:rsid w:val="000E6F9A"/>
    <w:rPr>
      <w:b/>
      <w:bCs/>
    </w:rPr>
  </w:style>
  <w:style w:type="paragraph" w:styleId="ListParagraph">
    <w:name w:val="List Paragraph"/>
    <w:basedOn w:val="Normal"/>
    <w:uiPriority w:val="34"/>
    <w:qFormat/>
    <w:rsid w:val="00795BFC"/>
    <w:pPr>
      <w:ind w:left="720"/>
      <w:contextualSpacing/>
    </w:pPr>
    <w:rPr>
      <w:rFonts w:ascii="Calibri" w:eastAsia="Calibri" w:hAnsi="Calibri" w:cs="Arial"/>
      <w:sz w:val="22"/>
      <w:szCs w:val="22"/>
    </w:rPr>
  </w:style>
  <w:style w:type="paragraph" w:styleId="Revision">
    <w:name w:val="Revision"/>
    <w:hidden/>
    <w:uiPriority w:val="99"/>
    <w:semiHidden/>
    <w:rsid w:val="0015027A"/>
    <w:rPr>
      <w:sz w:val="24"/>
      <w:szCs w:val="24"/>
    </w:rPr>
  </w:style>
  <w:style w:type="paragraph" w:styleId="ListNumber">
    <w:name w:val="List Number"/>
    <w:basedOn w:val="bodytextpsg"/>
    <w:rsid w:val="0095032E"/>
    <w:pPr>
      <w:numPr>
        <w:numId w:val="6"/>
      </w:numPr>
      <w:spacing w:line="269" w:lineRule="auto"/>
      <w:ind w:left="1080"/>
    </w:pPr>
  </w:style>
  <w:style w:type="paragraph" w:customStyle="1" w:styleId="AttHeading1">
    <w:name w:val="Att Heading 1"/>
    <w:basedOn w:val="Heading1"/>
    <w:qFormat/>
    <w:rsid w:val="0053370A"/>
    <w:pPr>
      <w:jc w:val="center"/>
    </w:pPr>
  </w:style>
  <w:style w:type="paragraph" w:styleId="PlainText">
    <w:name w:val="Plain Text"/>
    <w:basedOn w:val="Normal"/>
    <w:link w:val="PlainTextChar"/>
    <w:uiPriority w:val="99"/>
    <w:unhideWhenUsed/>
    <w:rsid w:val="003E555B"/>
    <w:rPr>
      <w:rFonts w:ascii="Courier New" w:eastAsia="Calibri" w:hAnsi="Courier New"/>
      <w:sz w:val="20"/>
      <w:szCs w:val="20"/>
    </w:rPr>
  </w:style>
  <w:style w:type="character" w:customStyle="1" w:styleId="PlainTextChar">
    <w:name w:val="Plain Text Char"/>
    <w:link w:val="PlainText"/>
    <w:uiPriority w:val="99"/>
    <w:rsid w:val="003E555B"/>
    <w:rPr>
      <w:rFonts w:ascii="Courier New" w:eastAsia="Calibri" w:hAnsi="Courier New"/>
    </w:rPr>
  </w:style>
  <w:style w:type="paragraph" w:styleId="NoSpacing">
    <w:name w:val="No Spacing"/>
    <w:qFormat/>
    <w:rsid w:val="003E555B"/>
    <w:pPr>
      <w:widowControl w:val="0"/>
      <w:autoSpaceDE w:val="0"/>
      <w:autoSpaceDN w:val="0"/>
      <w:adjustRightInd w:val="0"/>
    </w:pPr>
    <w:rPr>
      <w:sz w:val="24"/>
      <w:szCs w:val="24"/>
    </w:rPr>
  </w:style>
  <w:style w:type="paragraph" w:styleId="TOCHeading">
    <w:name w:val="TOC Heading"/>
    <w:basedOn w:val="Heading1"/>
    <w:next w:val="Normal"/>
    <w:uiPriority w:val="39"/>
    <w:semiHidden/>
    <w:unhideWhenUsed/>
    <w:qFormat/>
    <w:rsid w:val="003E555B"/>
    <w:pPr>
      <w:keepLines/>
      <w:spacing w:before="480" w:after="0" w:line="276" w:lineRule="auto"/>
      <w:outlineLvl w:val="9"/>
    </w:pPr>
    <w:rPr>
      <w:rFonts w:ascii="Cambria" w:hAnsi="Cambria"/>
      <w:caps w:val="0"/>
      <w:color w:val="365F91"/>
      <w:sz w:val="28"/>
      <w:szCs w:val="28"/>
    </w:rPr>
  </w:style>
  <w:style w:type="paragraph" w:customStyle="1" w:styleId="Appheading3">
    <w:name w:val="App heading 3"/>
    <w:basedOn w:val="Normal"/>
    <w:qFormat/>
    <w:rsid w:val="003E555B"/>
    <w:pPr>
      <w:keepNext/>
      <w:keepLines/>
      <w:tabs>
        <w:tab w:val="left" w:pos="450"/>
      </w:tabs>
      <w:spacing w:after="120"/>
    </w:pPr>
    <w:rPr>
      <w:rFonts w:ascii="Arial" w:hAnsi="Arial" w:cs="Arial"/>
      <w:b/>
      <w:sz w:val="22"/>
      <w:szCs w:val="22"/>
    </w:rPr>
  </w:style>
  <w:style w:type="paragraph" w:customStyle="1" w:styleId="Default">
    <w:name w:val="Default"/>
    <w:rsid w:val="003E555B"/>
    <w:pPr>
      <w:autoSpaceDE w:val="0"/>
      <w:autoSpaceDN w:val="0"/>
      <w:adjustRightInd w:val="0"/>
    </w:pPr>
    <w:rPr>
      <w:rFonts w:ascii="Arial" w:eastAsia="Calibri" w:hAnsi="Arial" w:cs="Arial"/>
      <w:color w:val="000000"/>
      <w:sz w:val="24"/>
      <w:szCs w:val="24"/>
    </w:rPr>
  </w:style>
  <w:style w:type="character" w:customStyle="1" w:styleId="Heading2Char">
    <w:name w:val="Heading 2 Char"/>
    <w:link w:val="Heading2"/>
    <w:rsid w:val="003E555B"/>
    <w:rPr>
      <w:rFonts w:cs="Arial"/>
      <w:b/>
      <w:bCs/>
      <w:iCs/>
      <w:sz w:val="24"/>
      <w:szCs w:val="28"/>
    </w:rPr>
  </w:style>
  <w:style w:type="paragraph" w:customStyle="1" w:styleId="EndNoteBibliography">
    <w:name w:val="EndNote Bibliography"/>
    <w:basedOn w:val="Normal"/>
    <w:link w:val="EndNoteBibliographyChar"/>
    <w:rsid w:val="003E555B"/>
    <w:rPr>
      <w:noProof/>
    </w:rPr>
  </w:style>
  <w:style w:type="character" w:customStyle="1" w:styleId="EndNoteBibliographyChar">
    <w:name w:val="EndNote Bibliography Char"/>
    <w:link w:val="EndNoteBibliography"/>
    <w:rsid w:val="003E555B"/>
    <w:rPr>
      <w:noProof/>
      <w:sz w:val="24"/>
      <w:szCs w:val="24"/>
    </w:rPr>
  </w:style>
  <w:style w:type="character" w:customStyle="1" w:styleId="apple-converted-space">
    <w:name w:val="apple-converted-space"/>
    <w:rsid w:val="003E555B"/>
  </w:style>
  <w:style w:type="paragraph" w:customStyle="1" w:styleId="AttachmentHeading2">
    <w:name w:val="AttachmentHeading2"/>
    <w:basedOn w:val="Heading2"/>
    <w:qFormat/>
    <w:rsid w:val="00302FFC"/>
  </w:style>
  <w:style w:type="paragraph" w:customStyle="1" w:styleId="bibliogrpahy">
    <w:name w:val="bibliogrpahy"/>
    <w:rsid w:val="003E555B"/>
    <w:pPr>
      <w:spacing w:after="110"/>
      <w:ind w:left="720" w:hanging="720"/>
    </w:pPr>
    <w:rPr>
      <w:sz w:val="24"/>
      <w:szCs w:val="24"/>
    </w:rPr>
  </w:style>
  <w:style w:type="paragraph" w:customStyle="1" w:styleId="AttachmentHeading3">
    <w:name w:val="AttachmentHeading3"/>
    <w:basedOn w:val="Heading3"/>
    <w:qFormat/>
    <w:rsid w:val="00302FFC"/>
  </w:style>
  <w:style w:type="character" w:styleId="FollowedHyperlink">
    <w:name w:val="FollowedHyperlink"/>
    <w:rsid w:val="009B1654"/>
    <w:rPr>
      <w:color w:val="800080"/>
      <w:u w:val="single"/>
    </w:rPr>
  </w:style>
  <w:style w:type="paragraph" w:styleId="E-mailSignature">
    <w:name w:val="E-mail Signature"/>
    <w:basedOn w:val="Normal"/>
    <w:rsid w:val="003E555B"/>
  </w:style>
  <w:style w:type="paragraph" w:customStyle="1" w:styleId="footnotetex">
    <w:name w:val="footnote tex"/>
    <w:rsid w:val="003E555B"/>
    <w:pPr>
      <w:autoSpaceDE w:val="0"/>
      <w:autoSpaceDN w:val="0"/>
      <w:adjustRightInd w:val="0"/>
    </w:pPr>
  </w:style>
  <w:style w:type="paragraph" w:styleId="NormalWeb">
    <w:name w:val="Normal (Web)"/>
    <w:basedOn w:val="Normal"/>
    <w:rsid w:val="003E555B"/>
    <w:pPr>
      <w:spacing w:before="100" w:beforeAutospacing="1" w:after="100" w:afterAutospacing="1"/>
    </w:pPr>
    <w:rPr>
      <w:rFonts w:ascii="Arial" w:hAnsi="Arial" w:cs="Arial"/>
      <w:color w:val="000000"/>
    </w:rPr>
  </w:style>
  <w:style w:type="character" w:styleId="Strong">
    <w:name w:val="Strong"/>
    <w:qFormat/>
    <w:rsid w:val="003E555B"/>
    <w:rPr>
      <w:b/>
      <w:bCs/>
    </w:rPr>
  </w:style>
  <w:style w:type="character" w:styleId="Emphasis">
    <w:name w:val="Emphasis"/>
    <w:qFormat/>
    <w:rsid w:val="003E555B"/>
    <w:rPr>
      <w:i/>
      <w:iCs/>
    </w:rPr>
  </w:style>
  <w:style w:type="paragraph" w:styleId="HTMLPreformatted">
    <w:name w:val="HTML Preformatted"/>
    <w:basedOn w:val="Normal"/>
    <w:semiHidden/>
    <w:rsid w:val="003E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F748AD"/>
    <w:pPr>
      <w:tabs>
        <w:tab w:val="left" w:pos="1354"/>
        <w:tab w:val="right" w:leader="dot" w:pos="9350"/>
      </w:tabs>
      <w:spacing w:before="240" w:after="120"/>
      <w:ind w:left="720" w:right="720" w:hanging="360"/>
    </w:pPr>
    <w:rPr>
      <w:noProof/>
    </w:rPr>
  </w:style>
  <w:style w:type="paragraph" w:customStyle="1" w:styleId="BodyText1">
    <w:name w:val="Body Text1"/>
    <w:aliases w:val="bt,body tx,indent,flush"/>
    <w:basedOn w:val="bodytextpsgfirst"/>
    <w:link w:val="bodytextChar"/>
    <w:rsid w:val="00383B94"/>
    <w:pPr>
      <w:ind w:firstLine="0"/>
    </w:pPr>
  </w:style>
  <w:style w:type="paragraph" w:styleId="TOC2">
    <w:name w:val="toc 2"/>
    <w:basedOn w:val="Normal"/>
    <w:next w:val="Normal"/>
    <w:autoRedefine/>
    <w:uiPriority w:val="39"/>
    <w:rsid w:val="00793B07"/>
    <w:pPr>
      <w:tabs>
        <w:tab w:val="left" w:pos="2340"/>
        <w:tab w:val="right" w:leader="dot" w:pos="9350"/>
      </w:tabs>
      <w:spacing w:before="120" w:after="120"/>
      <w:ind w:left="1354" w:right="720" w:hanging="634"/>
    </w:pPr>
    <w:rPr>
      <w:bCs/>
      <w:iCs/>
      <w:noProof/>
    </w:rPr>
  </w:style>
  <w:style w:type="character" w:customStyle="1" w:styleId="TomMitchell">
    <w:name w:val="Tom Mitchell"/>
    <w:semiHidden/>
    <w:rsid w:val="003E555B"/>
    <w:rPr>
      <w:rFonts w:ascii="Arial" w:hAnsi="Arial" w:cs="Arial"/>
      <w:color w:val="000080"/>
      <w:sz w:val="20"/>
      <w:szCs w:val="20"/>
    </w:rPr>
  </w:style>
  <w:style w:type="paragraph" w:customStyle="1" w:styleId="Cov-Date">
    <w:name w:val="Cov-Date"/>
    <w:basedOn w:val="Normal"/>
    <w:rsid w:val="003E555B"/>
    <w:pPr>
      <w:jc w:val="right"/>
    </w:pPr>
    <w:rPr>
      <w:rFonts w:ascii="Arial" w:hAnsi="Arial"/>
      <w:b/>
      <w:sz w:val="28"/>
      <w:szCs w:val="20"/>
    </w:rPr>
  </w:style>
  <w:style w:type="paragraph" w:customStyle="1" w:styleId="Cov-Title">
    <w:name w:val="Cov-Title"/>
    <w:basedOn w:val="Normal"/>
    <w:rsid w:val="003E555B"/>
    <w:pPr>
      <w:jc w:val="right"/>
    </w:pPr>
    <w:rPr>
      <w:rFonts w:ascii="Arial Black" w:hAnsi="Arial Black"/>
      <w:sz w:val="48"/>
      <w:szCs w:val="20"/>
    </w:rPr>
  </w:style>
  <w:style w:type="paragraph" w:customStyle="1" w:styleId="Cov-Author">
    <w:name w:val="Cov-Author"/>
    <w:basedOn w:val="Normal"/>
    <w:rsid w:val="003E555B"/>
    <w:pPr>
      <w:jc w:val="right"/>
    </w:pPr>
    <w:rPr>
      <w:rFonts w:ascii="Arial Black" w:hAnsi="Arial Black"/>
      <w:szCs w:val="20"/>
    </w:rPr>
  </w:style>
  <w:style w:type="paragraph" w:customStyle="1" w:styleId="Cov-Address">
    <w:name w:val="Cov-Address"/>
    <w:basedOn w:val="Normal"/>
    <w:rsid w:val="003E555B"/>
    <w:pPr>
      <w:jc w:val="right"/>
    </w:pPr>
    <w:rPr>
      <w:rFonts w:ascii="Arial" w:hAnsi="Arial"/>
      <w:szCs w:val="20"/>
    </w:rPr>
  </w:style>
  <w:style w:type="paragraph" w:styleId="DocumentMap">
    <w:name w:val="Document Map"/>
    <w:basedOn w:val="Normal"/>
    <w:semiHidden/>
    <w:rsid w:val="003E555B"/>
    <w:pPr>
      <w:shd w:val="clear" w:color="auto" w:fill="000080"/>
    </w:pPr>
    <w:rPr>
      <w:rFonts w:ascii="Tahoma" w:hAnsi="Tahoma" w:cs="Tahoma"/>
    </w:rPr>
  </w:style>
  <w:style w:type="character" w:customStyle="1" w:styleId="Heading4Char">
    <w:name w:val="Heading 4 Char"/>
    <w:aliases w:val="l4 Char Char,l4 Char1"/>
    <w:rsid w:val="003E555B"/>
    <w:rPr>
      <w:i/>
      <w:noProof w:val="0"/>
      <w:sz w:val="24"/>
      <w:lang w:val="en-US" w:eastAsia="en-US" w:bidi="ar-SA"/>
    </w:rPr>
  </w:style>
  <w:style w:type="paragraph" w:styleId="TOC4">
    <w:name w:val="toc 4"/>
    <w:basedOn w:val="Normal"/>
    <w:next w:val="Normal"/>
    <w:rsid w:val="003E555B"/>
    <w:pPr>
      <w:tabs>
        <w:tab w:val="right" w:leader="dot" w:pos="9360"/>
      </w:tabs>
      <w:spacing w:before="60"/>
      <w:ind w:left="3240" w:hanging="720"/>
    </w:pPr>
    <w:rPr>
      <w:szCs w:val="20"/>
    </w:rPr>
  </w:style>
  <w:style w:type="paragraph" w:styleId="TOC3">
    <w:name w:val="toc 3"/>
    <w:basedOn w:val="Normal"/>
    <w:next w:val="Normal"/>
    <w:uiPriority w:val="39"/>
    <w:rsid w:val="006E698F"/>
    <w:pPr>
      <w:tabs>
        <w:tab w:val="right" w:leader="dot" w:pos="9360"/>
      </w:tabs>
      <w:spacing w:before="80" w:after="40"/>
      <w:ind w:left="2347" w:right="720" w:hanging="907"/>
    </w:pPr>
    <w:rPr>
      <w:noProof/>
      <w:szCs w:val="20"/>
    </w:rPr>
  </w:style>
  <w:style w:type="paragraph" w:customStyle="1" w:styleId="Question">
    <w:name w:val="Question"/>
    <w:basedOn w:val="Normal"/>
    <w:semiHidden/>
    <w:rsid w:val="003E555B"/>
    <w:pPr>
      <w:keepNext/>
      <w:keepLines/>
      <w:spacing w:before="160" w:after="60"/>
      <w:ind w:left="900" w:hanging="547"/>
    </w:pPr>
    <w:rPr>
      <w:rFonts w:ascii="Optima" w:hAnsi="Optima"/>
      <w:sz w:val="22"/>
      <w:szCs w:val="20"/>
    </w:rPr>
  </w:style>
  <w:style w:type="character" w:customStyle="1" w:styleId="Heading7Char">
    <w:name w:val="Heading 7 Char"/>
    <w:semiHidden/>
    <w:rsid w:val="003E555B"/>
    <w:rPr>
      <w:b/>
      <w:noProof w:val="0"/>
      <w:snapToGrid w:val="0"/>
      <w:sz w:val="24"/>
      <w:u w:val="single"/>
      <w:lang w:val="en-US" w:eastAsia="en-US" w:bidi="ar-SA"/>
    </w:rPr>
  </w:style>
  <w:style w:type="paragraph" w:styleId="TOC5">
    <w:name w:val="toc 5"/>
    <w:basedOn w:val="Normal"/>
    <w:next w:val="Normal"/>
    <w:uiPriority w:val="39"/>
    <w:rsid w:val="003E555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3E555B"/>
    <w:pPr>
      <w:ind w:left="360"/>
    </w:pPr>
    <w:rPr>
      <w:szCs w:val="20"/>
    </w:rPr>
  </w:style>
  <w:style w:type="paragraph" w:styleId="Index1">
    <w:name w:val="index 1"/>
    <w:basedOn w:val="Normal"/>
    <w:next w:val="Normal"/>
    <w:semiHidden/>
    <w:rsid w:val="003E555B"/>
    <w:rPr>
      <w:szCs w:val="20"/>
    </w:rPr>
  </w:style>
  <w:style w:type="character" w:styleId="LineNumber">
    <w:name w:val="line number"/>
    <w:basedOn w:val="DefaultParagraphFont"/>
    <w:semiHidden/>
    <w:rsid w:val="003E555B"/>
  </w:style>
  <w:style w:type="paragraph" w:customStyle="1" w:styleId="equation">
    <w:name w:val="equation"/>
    <w:rsid w:val="003E555B"/>
    <w:pPr>
      <w:tabs>
        <w:tab w:val="center" w:pos="4680"/>
        <w:tab w:val="right" w:pos="9360"/>
      </w:tabs>
      <w:spacing w:after="240" w:line="480" w:lineRule="atLeast"/>
      <w:ind w:firstLine="720"/>
    </w:pPr>
    <w:rPr>
      <w:sz w:val="24"/>
    </w:rPr>
  </w:style>
  <w:style w:type="paragraph" w:customStyle="1" w:styleId="figurewobox">
    <w:name w:val="figure w/o box"/>
    <w:basedOn w:val="Normal"/>
    <w:rsid w:val="003E555B"/>
    <w:pPr>
      <w:keepNext/>
      <w:spacing w:before="240"/>
      <w:jc w:val="center"/>
    </w:pPr>
    <w:rPr>
      <w:szCs w:val="20"/>
    </w:rPr>
  </w:style>
  <w:style w:type="paragraph" w:customStyle="1" w:styleId="TOC0">
    <w:name w:val="TOC 0"/>
    <w:basedOn w:val="Normal"/>
    <w:rsid w:val="003E555B"/>
    <w:pPr>
      <w:spacing w:after="240"/>
      <w:jc w:val="center"/>
    </w:pPr>
    <w:rPr>
      <w:b/>
      <w:caps/>
      <w:sz w:val="28"/>
      <w:szCs w:val="20"/>
    </w:rPr>
  </w:style>
  <w:style w:type="paragraph" w:customStyle="1" w:styleId="toc-tabfig">
    <w:name w:val="toc-tab/fig"/>
    <w:basedOn w:val="Normal"/>
    <w:semiHidden/>
    <w:rsid w:val="003E555B"/>
    <w:pPr>
      <w:tabs>
        <w:tab w:val="right" w:leader="dot" w:pos="9360"/>
      </w:tabs>
      <w:spacing w:before="240" w:after="80"/>
      <w:ind w:left="900" w:hanging="540"/>
    </w:pPr>
    <w:rPr>
      <w:szCs w:val="20"/>
    </w:rPr>
  </w:style>
  <w:style w:type="paragraph" w:customStyle="1" w:styleId="TOCHeader">
    <w:name w:val="TOC Header"/>
    <w:basedOn w:val="Normal"/>
    <w:rsid w:val="003E555B"/>
    <w:pPr>
      <w:tabs>
        <w:tab w:val="right" w:pos="9360"/>
      </w:tabs>
      <w:spacing w:after="240"/>
    </w:pPr>
    <w:rPr>
      <w:szCs w:val="20"/>
      <w:u w:val="words"/>
    </w:rPr>
  </w:style>
  <w:style w:type="paragraph" w:customStyle="1" w:styleId="bullets-2ndlevel">
    <w:name w:val="bullets-2nd level"/>
    <w:basedOn w:val="Normal"/>
    <w:rsid w:val="003E555B"/>
    <w:pPr>
      <w:spacing w:after="120" w:line="240" w:lineRule="exact"/>
      <w:ind w:left="1440" w:hanging="360"/>
    </w:pPr>
    <w:rPr>
      <w:szCs w:val="20"/>
    </w:rPr>
  </w:style>
  <w:style w:type="paragraph" w:customStyle="1" w:styleId="biblio">
    <w:name w:val="biblio"/>
    <w:basedOn w:val="Normal"/>
    <w:rsid w:val="002662B7"/>
    <w:pPr>
      <w:keepLines/>
      <w:spacing w:after="240"/>
      <w:ind w:left="720" w:hanging="720"/>
    </w:pPr>
  </w:style>
  <w:style w:type="paragraph" w:customStyle="1" w:styleId="NumberBullets">
    <w:name w:val="Number Bullets"/>
    <w:basedOn w:val="Normal"/>
    <w:semiHidden/>
    <w:rsid w:val="003E555B"/>
    <w:pPr>
      <w:tabs>
        <w:tab w:val="left" w:pos="720"/>
      </w:tabs>
      <w:ind w:left="720" w:hanging="360"/>
    </w:pPr>
    <w:rPr>
      <w:szCs w:val="20"/>
    </w:rPr>
  </w:style>
  <w:style w:type="paragraph" w:styleId="List3">
    <w:name w:val="List 3"/>
    <w:basedOn w:val="Normal"/>
    <w:semiHidden/>
    <w:rsid w:val="003E555B"/>
    <w:pPr>
      <w:ind w:left="1915" w:hanging="360"/>
    </w:pPr>
    <w:rPr>
      <w:rFonts w:ascii="Arial" w:hAnsi="Arial"/>
      <w:spacing w:val="-5"/>
      <w:sz w:val="20"/>
      <w:szCs w:val="20"/>
    </w:rPr>
  </w:style>
  <w:style w:type="paragraph" w:customStyle="1" w:styleId="FigureTitle">
    <w:name w:val="Figure Title"/>
    <w:basedOn w:val="Normal"/>
    <w:rsid w:val="00315729"/>
    <w:pPr>
      <w:keepNext/>
      <w:keepLines/>
      <w:spacing w:before="240" w:after="120"/>
    </w:pPr>
    <w:rPr>
      <w:b/>
      <w:szCs w:val="20"/>
    </w:rPr>
  </w:style>
  <w:style w:type="paragraph" w:styleId="BodyText2">
    <w:name w:val="Body Text 2"/>
    <w:basedOn w:val="Normal"/>
    <w:link w:val="BodyText2Char"/>
    <w:rsid w:val="00B26BAB"/>
    <w:pPr>
      <w:spacing w:after="120" w:line="480" w:lineRule="auto"/>
    </w:pPr>
  </w:style>
  <w:style w:type="character" w:customStyle="1" w:styleId="BodyText2Char">
    <w:name w:val="Body Text 2 Char"/>
    <w:basedOn w:val="DefaultParagraphFont"/>
    <w:link w:val="BodyText2"/>
    <w:rsid w:val="00B26BAB"/>
    <w:rPr>
      <w:sz w:val="24"/>
      <w:szCs w:val="24"/>
    </w:rPr>
  </w:style>
  <w:style w:type="paragraph" w:styleId="TableofFigures">
    <w:name w:val="table of figures"/>
    <w:basedOn w:val="Normal"/>
    <w:next w:val="Normal"/>
    <w:uiPriority w:val="99"/>
    <w:unhideWhenUsed/>
    <w:rsid w:val="00C51EC5"/>
    <w:pPr>
      <w:tabs>
        <w:tab w:val="right" w:leader="dot" w:pos="9350"/>
      </w:tabs>
      <w:ind w:left="900" w:hanging="900"/>
    </w:pPr>
    <w:rPr>
      <w:noProof/>
    </w:rPr>
  </w:style>
  <w:style w:type="character" w:customStyle="1" w:styleId="Heading1Char">
    <w:name w:val="Heading 1 Char"/>
    <w:basedOn w:val="DefaultParagraphFont"/>
    <w:link w:val="Heading1"/>
    <w:rsid w:val="0079045F"/>
    <w:rPr>
      <w:rFonts w:ascii="Times New Roman Bold" w:hAnsi="Times New Roman Bold"/>
      <w:b/>
      <w:bCs/>
      <w:caps/>
      <w:sz w:val="24"/>
      <w:szCs w:val="24"/>
    </w:rPr>
  </w:style>
  <w:style w:type="character" w:customStyle="1" w:styleId="Heading3Char">
    <w:name w:val="Heading 3 Char"/>
    <w:basedOn w:val="DefaultParagraphFont"/>
    <w:link w:val="Heading3"/>
    <w:rsid w:val="0079045F"/>
    <w:rPr>
      <w:rFonts w:cs="Arial"/>
      <w:b/>
      <w:bCs/>
      <w:i/>
      <w:iCs/>
      <w:sz w:val="24"/>
      <w:szCs w:val="22"/>
      <w:lang w:val="en-CA"/>
    </w:rPr>
  </w:style>
  <w:style w:type="paragraph" w:customStyle="1" w:styleId="Bullet">
    <w:name w:val="Bullet"/>
    <w:basedOn w:val="Normal"/>
    <w:rsid w:val="004F7073"/>
    <w:pPr>
      <w:numPr>
        <w:numId w:val="12"/>
      </w:numPr>
      <w:spacing w:after="240"/>
      <w:ind w:left="908" w:hanging="274"/>
    </w:pPr>
    <w:rPr>
      <w:szCs w:val="20"/>
    </w:rPr>
  </w:style>
  <w:style w:type="paragraph" w:customStyle="1" w:styleId="bodytext0">
    <w:name w:val="bodytext"/>
    <w:basedOn w:val="Normal"/>
    <w:rsid w:val="004F7073"/>
    <w:pPr>
      <w:spacing w:after="240"/>
      <w:ind w:firstLine="576"/>
    </w:pPr>
    <w:rPr>
      <w:rFonts w:eastAsia="Arial Unicode MS"/>
      <w:szCs w:val="22"/>
    </w:rPr>
  </w:style>
  <w:style w:type="character" w:customStyle="1" w:styleId="BalloonTextChar">
    <w:name w:val="Balloon Text Char"/>
    <w:basedOn w:val="DefaultParagraphFont"/>
    <w:link w:val="BalloonText"/>
    <w:uiPriority w:val="99"/>
    <w:semiHidden/>
    <w:rsid w:val="003C78DD"/>
    <w:rPr>
      <w:rFonts w:ascii="Tahoma" w:hAnsi="Tahoma" w:cs="Tahoma"/>
      <w:sz w:val="16"/>
      <w:szCs w:val="16"/>
    </w:rPr>
  </w:style>
  <w:style w:type="paragraph" w:customStyle="1" w:styleId="ES-HEADING1">
    <w:name w:val="ES-HEADING1"/>
    <w:basedOn w:val="Normal"/>
    <w:qFormat/>
    <w:rsid w:val="00987353"/>
    <w:pPr>
      <w:jc w:val="center"/>
    </w:pPr>
    <w:rPr>
      <w:b/>
      <w:color w:val="000000"/>
    </w:rPr>
  </w:style>
  <w:style w:type="paragraph" w:customStyle="1" w:styleId="ES-1">
    <w:name w:val="ES-1"/>
    <w:basedOn w:val="Heading1"/>
    <w:qFormat/>
    <w:rsid w:val="00987353"/>
  </w:style>
  <w:style w:type="paragraph" w:customStyle="1" w:styleId="bullet-blank">
    <w:name w:val="bullet-blank"/>
    <w:basedOn w:val="ListParagraph"/>
    <w:qFormat/>
    <w:rsid w:val="00793B07"/>
    <w:pPr>
      <w:numPr>
        <w:numId w:val="15"/>
      </w:numPr>
      <w:spacing w:after="120" w:line="288" w:lineRule="auto"/>
      <w:contextualSpacing w:val="0"/>
    </w:pPr>
    <w:rPr>
      <w:rFonts w:ascii="Times New Roman" w:hAnsi="Times New Roman" w:cs="Times New Roman"/>
      <w:sz w:val="24"/>
      <w:szCs w:val="24"/>
    </w:rPr>
  </w:style>
  <w:style w:type="character" w:customStyle="1" w:styleId="bodytextappsCharChar">
    <w:name w:val="body text apps Char Char"/>
    <w:link w:val="bodytextapps"/>
    <w:locked/>
    <w:rsid w:val="00F95EE2"/>
    <w:rPr>
      <w:rFonts w:ascii="Verdana" w:hAnsi="Verdana"/>
    </w:rPr>
  </w:style>
  <w:style w:type="paragraph" w:customStyle="1" w:styleId="bodytextapps">
    <w:name w:val="body text apps"/>
    <w:basedOn w:val="Normal"/>
    <w:link w:val="bodytextappsCharChar"/>
    <w:rsid w:val="00F95EE2"/>
    <w:pPr>
      <w:spacing w:after="160" w:line="320" w:lineRule="exact"/>
    </w:pPr>
    <w:rPr>
      <w:rFonts w:ascii="Verdana" w:hAnsi="Verdana"/>
      <w:sz w:val="20"/>
      <w:szCs w:val="20"/>
    </w:rPr>
  </w:style>
  <w:style w:type="character" w:customStyle="1" w:styleId="EndnoteTextChar">
    <w:name w:val="Endnote Text Char"/>
    <w:basedOn w:val="DefaultParagraphFont"/>
    <w:link w:val="EndnoteText"/>
    <w:uiPriority w:val="99"/>
    <w:semiHidden/>
    <w:rsid w:val="00835757"/>
  </w:style>
  <w:style w:type="table" w:styleId="TableGridLight">
    <w:name w:val="Grid Table Light"/>
    <w:basedOn w:val="TableNormal"/>
    <w:uiPriority w:val="40"/>
    <w:rsid w:val="003F70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hibitsource2">
    <w:name w:val="exhibit source2"/>
    <w:basedOn w:val="Normal"/>
    <w:rsid w:val="00243E44"/>
    <w:pPr>
      <w:keepLines/>
      <w:spacing w:before="60" w:after="120"/>
      <w:ind w:left="187" w:hanging="187"/>
    </w:pPr>
    <w:rPr>
      <w:rFonts w:ascii="Arial" w:hAnsi="Arial"/>
      <w:sz w:val="20"/>
      <w:szCs w:val="18"/>
    </w:rPr>
  </w:style>
  <w:style w:type="paragraph" w:customStyle="1" w:styleId="Tabletext-1">
    <w:name w:val="Table text-1"/>
    <w:basedOn w:val="Normal"/>
    <w:qFormat/>
    <w:rsid w:val="00243E44"/>
    <w:pPr>
      <w:spacing w:before="40" w:after="40"/>
      <w:ind w:left="216"/>
    </w:pPr>
    <w:rPr>
      <w:rFonts w:ascii="Arial" w:hAnsi="Arial" w:cs="Arial"/>
      <w:sz w:val="20"/>
      <w:szCs w:val="18"/>
    </w:rPr>
  </w:style>
  <w:style w:type="paragraph" w:customStyle="1" w:styleId="ExhibitTitleContinued">
    <w:name w:val="Exhibit Title Continued"/>
    <w:basedOn w:val="ExhibitTitle"/>
    <w:rsid w:val="00243E44"/>
    <w:pPr>
      <w:spacing w:before="0" w:line="260" w:lineRule="exact"/>
      <w:ind w:left="1440" w:hanging="1440"/>
    </w:pPr>
    <w:rPr>
      <w:szCs w:val="20"/>
    </w:rPr>
  </w:style>
  <w:style w:type="table" w:customStyle="1" w:styleId="Graytablecomplex">
    <w:name w:val="Gray_table_complex"/>
    <w:basedOn w:val="TableNormal"/>
    <w:rsid w:val="00243E44"/>
    <w:pPr>
      <w:spacing w:before="40" w:after="40"/>
    </w:pPr>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contd">
    <w:name w:val="Table contd"/>
    <w:basedOn w:val="Tabletext"/>
    <w:qFormat/>
    <w:rsid w:val="00243E44"/>
    <w:pPr>
      <w:jc w:val="right"/>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3860">
      <w:bodyDiv w:val="1"/>
      <w:marLeft w:val="0"/>
      <w:marRight w:val="0"/>
      <w:marTop w:val="0"/>
      <w:marBottom w:val="0"/>
      <w:divBdr>
        <w:top w:val="none" w:sz="0" w:space="0" w:color="auto"/>
        <w:left w:val="none" w:sz="0" w:space="0" w:color="auto"/>
        <w:bottom w:val="none" w:sz="0" w:space="0" w:color="auto"/>
        <w:right w:val="none" w:sz="0" w:space="0" w:color="auto"/>
      </w:divBdr>
    </w:div>
    <w:div w:id="221720403">
      <w:bodyDiv w:val="1"/>
      <w:marLeft w:val="0"/>
      <w:marRight w:val="0"/>
      <w:marTop w:val="0"/>
      <w:marBottom w:val="0"/>
      <w:divBdr>
        <w:top w:val="none" w:sz="0" w:space="0" w:color="auto"/>
        <w:left w:val="none" w:sz="0" w:space="0" w:color="auto"/>
        <w:bottom w:val="none" w:sz="0" w:space="0" w:color="auto"/>
        <w:right w:val="none" w:sz="0" w:space="0" w:color="auto"/>
      </w:divBdr>
    </w:div>
    <w:div w:id="226916532">
      <w:bodyDiv w:val="1"/>
      <w:marLeft w:val="0"/>
      <w:marRight w:val="0"/>
      <w:marTop w:val="0"/>
      <w:marBottom w:val="0"/>
      <w:divBdr>
        <w:top w:val="none" w:sz="0" w:space="0" w:color="auto"/>
        <w:left w:val="none" w:sz="0" w:space="0" w:color="auto"/>
        <w:bottom w:val="none" w:sz="0" w:space="0" w:color="auto"/>
        <w:right w:val="none" w:sz="0" w:space="0" w:color="auto"/>
      </w:divBdr>
    </w:div>
    <w:div w:id="248199257">
      <w:bodyDiv w:val="1"/>
      <w:marLeft w:val="0"/>
      <w:marRight w:val="0"/>
      <w:marTop w:val="0"/>
      <w:marBottom w:val="0"/>
      <w:divBdr>
        <w:top w:val="none" w:sz="0" w:space="0" w:color="auto"/>
        <w:left w:val="none" w:sz="0" w:space="0" w:color="auto"/>
        <w:bottom w:val="none" w:sz="0" w:space="0" w:color="auto"/>
        <w:right w:val="none" w:sz="0" w:space="0" w:color="auto"/>
      </w:divBdr>
    </w:div>
    <w:div w:id="357505824">
      <w:bodyDiv w:val="1"/>
      <w:marLeft w:val="0"/>
      <w:marRight w:val="0"/>
      <w:marTop w:val="0"/>
      <w:marBottom w:val="0"/>
      <w:divBdr>
        <w:top w:val="none" w:sz="0" w:space="0" w:color="auto"/>
        <w:left w:val="none" w:sz="0" w:space="0" w:color="auto"/>
        <w:bottom w:val="none" w:sz="0" w:space="0" w:color="auto"/>
        <w:right w:val="none" w:sz="0" w:space="0" w:color="auto"/>
      </w:divBdr>
    </w:div>
    <w:div w:id="387726462">
      <w:bodyDiv w:val="1"/>
      <w:marLeft w:val="0"/>
      <w:marRight w:val="0"/>
      <w:marTop w:val="0"/>
      <w:marBottom w:val="0"/>
      <w:divBdr>
        <w:top w:val="none" w:sz="0" w:space="0" w:color="auto"/>
        <w:left w:val="none" w:sz="0" w:space="0" w:color="auto"/>
        <w:bottom w:val="none" w:sz="0" w:space="0" w:color="auto"/>
        <w:right w:val="none" w:sz="0" w:space="0" w:color="auto"/>
      </w:divBdr>
    </w:div>
    <w:div w:id="391270433">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668337544">
      <w:bodyDiv w:val="1"/>
      <w:marLeft w:val="0"/>
      <w:marRight w:val="0"/>
      <w:marTop w:val="0"/>
      <w:marBottom w:val="0"/>
      <w:divBdr>
        <w:top w:val="none" w:sz="0" w:space="0" w:color="auto"/>
        <w:left w:val="none" w:sz="0" w:space="0" w:color="auto"/>
        <w:bottom w:val="none" w:sz="0" w:space="0" w:color="auto"/>
        <w:right w:val="none" w:sz="0" w:space="0" w:color="auto"/>
      </w:divBdr>
    </w:div>
    <w:div w:id="701320888">
      <w:bodyDiv w:val="1"/>
      <w:marLeft w:val="0"/>
      <w:marRight w:val="0"/>
      <w:marTop w:val="0"/>
      <w:marBottom w:val="0"/>
      <w:divBdr>
        <w:top w:val="none" w:sz="0" w:space="0" w:color="auto"/>
        <w:left w:val="none" w:sz="0" w:space="0" w:color="auto"/>
        <w:bottom w:val="none" w:sz="0" w:space="0" w:color="auto"/>
        <w:right w:val="none" w:sz="0" w:space="0" w:color="auto"/>
      </w:divBdr>
    </w:div>
    <w:div w:id="763304496">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89682997">
      <w:bodyDiv w:val="1"/>
      <w:marLeft w:val="0"/>
      <w:marRight w:val="0"/>
      <w:marTop w:val="0"/>
      <w:marBottom w:val="0"/>
      <w:divBdr>
        <w:top w:val="none" w:sz="0" w:space="0" w:color="auto"/>
        <w:left w:val="none" w:sz="0" w:space="0" w:color="auto"/>
        <w:bottom w:val="none" w:sz="0" w:space="0" w:color="auto"/>
        <w:right w:val="none" w:sz="0" w:space="0" w:color="auto"/>
      </w:divBdr>
    </w:div>
    <w:div w:id="1029260658">
      <w:bodyDiv w:val="1"/>
      <w:marLeft w:val="0"/>
      <w:marRight w:val="0"/>
      <w:marTop w:val="0"/>
      <w:marBottom w:val="0"/>
      <w:divBdr>
        <w:top w:val="none" w:sz="0" w:space="0" w:color="auto"/>
        <w:left w:val="none" w:sz="0" w:space="0" w:color="auto"/>
        <w:bottom w:val="none" w:sz="0" w:space="0" w:color="auto"/>
        <w:right w:val="none" w:sz="0" w:space="0" w:color="auto"/>
      </w:divBdr>
    </w:div>
    <w:div w:id="1171287886">
      <w:bodyDiv w:val="1"/>
      <w:marLeft w:val="0"/>
      <w:marRight w:val="0"/>
      <w:marTop w:val="0"/>
      <w:marBottom w:val="0"/>
      <w:divBdr>
        <w:top w:val="none" w:sz="0" w:space="0" w:color="auto"/>
        <w:left w:val="none" w:sz="0" w:space="0" w:color="auto"/>
        <w:bottom w:val="none" w:sz="0" w:space="0" w:color="auto"/>
        <w:right w:val="none" w:sz="0" w:space="0" w:color="auto"/>
      </w:divBdr>
    </w:div>
    <w:div w:id="1224373767">
      <w:bodyDiv w:val="1"/>
      <w:marLeft w:val="0"/>
      <w:marRight w:val="0"/>
      <w:marTop w:val="0"/>
      <w:marBottom w:val="0"/>
      <w:divBdr>
        <w:top w:val="none" w:sz="0" w:space="0" w:color="auto"/>
        <w:left w:val="none" w:sz="0" w:space="0" w:color="auto"/>
        <w:bottom w:val="none" w:sz="0" w:space="0" w:color="auto"/>
        <w:right w:val="none" w:sz="0" w:space="0" w:color="auto"/>
      </w:divBdr>
    </w:div>
    <w:div w:id="1292519334">
      <w:bodyDiv w:val="1"/>
      <w:marLeft w:val="0"/>
      <w:marRight w:val="0"/>
      <w:marTop w:val="0"/>
      <w:marBottom w:val="0"/>
      <w:divBdr>
        <w:top w:val="none" w:sz="0" w:space="0" w:color="auto"/>
        <w:left w:val="none" w:sz="0" w:space="0" w:color="auto"/>
        <w:bottom w:val="none" w:sz="0" w:space="0" w:color="auto"/>
        <w:right w:val="none" w:sz="0" w:space="0" w:color="auto"/>
      </w:divBdr>
    </w:div>
    <w:div w:id="1301838248">
      <w:bodyDiv w:val="1"/>
      <w:marLeft w:val="0"/>
      <w:marRight w:val="0"/>
      <w:marTop w:val="0"/>
      <w:marBottom w:val="0"/>
      <w:divBdr>
        <w:top w:val="none" w:sz="0" w:space="0" w:color="auto"/>
        <w:left w:val="none" w:sz="0" w:space="0" w:color="auto"/>
        <w:bottom w:val="none" w:sz="0" w:space="0" w:color="auto"/>
        <w:right w:val="none" w:sz="0" w:space="0" w:color="auto"/>
      </w:divBdr>
    </w:div>
    <w:div w:id="1403672581">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5169">
      <w:bodyDiv w:val="1"/>
      <w:marLeft w:val="0"/>
      <w:marRight w:val="0"/>
      <w:marTop w:val="0"/>
      <w:marBottom w:val="0"/>
      <w:divBdr>
        <w:top w:val="none" w:sz="0" w:space="0" w:color="auto"/>
        <w:left w:val="none" w:sz="0" w:space="0" w:color="auto"/>
        <w:bottom w:val="none" w:sz="0" w:space="0" w:color="auto"/>
        <w:right w:val="none" w:sz="0" w:space="0" w:color="auto"/>
      </w:divBdr>
    </w:div>
    <w:div w:id="1443766483">
      <w:bodyDiv w:val="1"/>
      <w:marLeft w:val="0"/>
      <w:marRight w:val="0"/>
      <w:marTop w:val="0"/>
      <w:marBottom w:val="0"/>
      <w:divBdr>
        <w:top w:val="none" w:sz="0" w:space="0" w:color="auto"/>
        <w:left w:val="none" w:sz="0" w:space="0" w:color="auto"/>
        <w:bottom w:val="none" w:sz="0" w:space="0" w:color="auto"/>
        <w:right w:val="none" w:sz="0" w:space="0" w:color="auto"/>
      </w:divBdr>
    </w:div>
    <w:div w:id="1466771253">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62792182">
      <w:bodyDiv w:val="1"/>
      <w:marLeft w:val="0"/>
      <w:marRight w:val="0"/>
      <w:marTop w:val="0"/>
      <w:marBottom w:val="0"/>
      <w:divBdr>
        <w:top w:val="none" w:sz="0" w:space="0" w:color="auto"/>
        <w:left w:val="none" w:sz="0" w:space="0" w:color="auto"/>
        <w:bottom w:val="none" w:sz="0" w:space="0" w:color="auto"/>
        <w:right w:val="none" w:sz="0" w:space="0" w:color="auto"/>
      </w:divBdr>
    </w:div>
    <w:div w:id="187164293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1936329927">
      <w:bodyDiv w:val="1"/>
      <w:marLeft w:val="0"/>
      <w:marRight w:val="0"/>
      <w:marTop w:val="0"/>
      <w:marBottom w:val="0"/>
      <w:divBdr>
        <w:top w:val="none" w:sz="0" w:space="0" w:color="auto"/>
        <w:left w:val="none" w:sz="0" w:space="0" w:color="auto"/>
        <w:bottom w:val="none" w:sz="0" w:space="0" w:color="auto"/>
        <w:right w:val="none" w:sz="0" w:space="0" w:color="auto"/>
      </w:divBdr>
    </w:div>
    <w:div w:id="1938170301">
      <w:bodyDiv w:val="1"/>
      <w:marLeft w:val="0"/>
      <w:marRight w:val="0"/>
      <w:marTop w:val="0"/>
      <w:marBottom w:val="0"/>
      <w:divBdr>
        <w:top w:val="none" w:sz="0" w:space="0" w:color="auto"/>
        <w:left w:val="none" w:sz="0" w:space="0" w:color="auto"/>
        <w:bottom w:val="none" w:sz="0" w:space="0" w:color="auto"/>
        <w:right w:val="none" w:sz="0" w:space="0" w:color="auto"/>
      </w:divBdr>
    </w:div>
    <w:div w:id="1963534602">
      <w:bodyDiv w:val="1"/>
      <w:marLeft w:val="0"/>
      <w:marRight w:val="0"/>
      <w:marTop w:val="0"/>
      <w:marBottom w:val="0"/>
      <w:divBdr>
        <w:top w:val="none" w:sz="0" w:space="0" w:color="auto"/>
        <w:left w:val="none" w:sz="0" w:space="0" w:color="auto"/>
        <w:bottom w:val="none" w:sz="0" w:space="0" w:color="auto"/>
        <w:right w:val="none" w:sz="0" w:space="0" w:color="auto"/>
      </w:divBdr>
    </w:div>
    <w:div w:id="2067946136">
      <w:bodyDiv w:val="1"/>
      <w:marLeft w:val="0"/>
      <w:marRight w:val="0"/>
      <w:marTop w:val="0"/>
      <w:marBottom w:val="0"/>
      <w:divBdr>
        <w:top w:val="none" w:sz="0" w:space="0" w:color="auto"/>
        <w:left w:val="none" w:sz="0" w:space="0" w:color="auto"/>
        <w:bottom w:val="none" w:sz="0" w:space="0" w:color="auto"/>
        <w:right w:val="none" w:sz="0" w:space="0" w:color="auto"/>
      </w:divBdr>
    </w:div>
    <w:div w:id="2081755331">
      <w:bodyDiv w:val="1"/>
      <w:marLeft w:val="0"/>
      <w:marRight w:val="0"/>
      <w:marTop w:val="0"/>
      <w:marBottom w:val="0"/>
      <w:divBdr>
        <w:top w:val="none" w:sz="0" w:space="0" w:color="auto"/>
        <w:left w:val="none" w:sz="0" w:space="0" w:color="auto"/>
        <w:bottom w:val="none" w:sz="0" w:space="0" w:color="auto"/>
        <w:right w:val="none" w:sz="0" w:space="0" w:color="auto"/>
      </w:divBdr>
    </w:div>
    <w:div w:id="2106337005">
      <w:bodyDiv w:val="1"/>
      <w:marLeft w:val="0"/>
      <w:marRight w:val="0"/>
      <w:marTop w:val="0"/>
      <w:marBottom w:val="0"/>
      <w:divBdr>
        <w:top w:val="none" w:sz="0" w:space="0" w:color="auto"/>
        <w:left w:val="none" w:sz="0" w:space="0" w:color="auto"/>
        <w:bottom w:val="none" w:sz="0" w:space="0" w:color="auto"/>
        <w:right w:val="none" w:sz="0" w:space="0" w:color="auto"/>
      </w:divBdr>
    </w:div>
    <w:div w:id="211578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pewinternet.org/2013/09/25/whos-not-online-and-wh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ensus.gov/prod/2013pubs/p20-569.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thedataweb.rm.census.gov/ftp/cps_ft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597B2C0B0A2418DED3A005ED56BA3" ma:contentTypeVersion="4" ma:contentTypeDescription="Create a new document." ma:contentTypeScope="" ma:versionID="854afa34f1dbd7a7a8b05039aefe5cc3">
  <xsd:schema xmlns:xsd="http://www.w3.org/2001/XMLSchema" xmlns:xs="http://www.w3.org/2001/XMLSchema" xmlns:p="http://schemas.microsoft.com/office/2006/metadata/properties" xmlns:ns2="e9cfb1aa-3317-4082-a787-58d6ca030e27" xmlns:ns3="a8ddf721-296e-4f2b-a851-8e6a7a121382" targetNamespace="http://schemas.microsoft.com/office/2006/metadata/properties" ma:root="true" ma:fieldsID="bf7d28c277429224b78ffd914e39eba0" ns2:_="" ns3:_="">
    <xsd:import namespace="e9cfb1aa-3317-4082-a787-58d6ca030e27"/>
    <xsd:import namespace="a8ddf721-296e-4f2b-a851-8e6a7a121382"/>
    <xsd:element name="properties">
      <xsd:complexType>
        <xsd:sequence>
          <xsd:element name="documentManagement">
            <xsd:complexType>
              <xsd:all>
                <xsd:element ref="ns2:_dlc_DocId" minOccurs="0"/>
                <xsd:element ref="ns2:_dlc_DocIdUrl" minOccurs="0"/>
                <xsd:element ref="ns2:_dlc_DocIdPersistId" minOccurs="0"/>
                <xsd:element ref="ns3:Panel_x0020_Establishment" minOccurs="0"/>
                <xsd:element ref="ns3:TCS_x0020_Study_x0020_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fb1aa-3317-4082-a787-58d6ca030e2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ddf721-296e-4f2b-a851-8e6a7a121382" elementFormDefault="qualified">
    <xsd:import namespace="http://schemas.microsoft.com/office/2006/documentManagement/types"/>
    <xsd:import namespace="http://schemas.microsoft.com/office/infopath/2007/PartnerControls"/>
    <xsd:element name="Panel_x0020_Establishment" ma:index="11" nillable="true" ma:displayName="Document Category" ma:default="Collaboration" ma:format="Dropdown" ma:internalName="Panel_x0020_Establishment">
      <xsd:simpleType>
        <xsd:union memberTypes="dms:Text">
          <xsd:simpleType>
            <xsd:restriction base="dms:Choice">
              <xsd:enumeration value="Background"/>
              <xsd:enumeration value="Protocol"/>
              <xsd:enumeration value="Final Instruments"/>
              <xsd:enumeration value="Materials"/>
              <xsd:enumeration value="Collaboration"/>
              <xsd:enumeration value="Presentations"/>
            </xsd:restriction>
          </xsd:simpleType>
        </xsd:union>
      </xsd:simpleType>
    </xsd:element>
    <xsd:element name="TCS_x0020_Study_x0020_1" ma:index="12" nillable="true" ma:displayName="TCS Study" ma:default="Panel Establishment" ma:format="Dropdown" ma:internalName="TCS_x0020_Study_x0020_1">
      <xsd:simpleType>
        <xsd:union memberTypes="dms:Text">
          <xsd:simpleType>
            <xsd:restriction base="dms:Choice">
              <xsd:enumeration value="Panel Establishment"/>
              <xsd:enumeration value="Study 1"/>
              <xsd:enumeration value="Study 2"/>
              <xsd:enumeration value="Study 3"/>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9cfb1aa-3317-4082-a787-58d6ca030e27">ECW2UC57Z33M-13382977-128</_dlc_DocId>
    <_dlc_DocIdUrl xmlns="e9cfb1aa-3317-4082-a787-58d6ca030e27">
      <Url>http://sharepoint.fda.gov/orgs/CTP-OS/PopHealthSci/Eval/_layouts/DocIdRedir.aspx?ID=ECW2UC57Z33M-13382977-128</Url>
      <Description>ECW2UC57Z33M-13382977-128</Description>
    </_dlc_DocIdUrl>
    <TCS_x0020_Study_x0020_1 xmlns="a8ddf721-296e-4f2b-a851-8e6a7a121382">Study 1</TCS_x0020_Study_x0020_1>
    <Panel_x0020_Establishment xmlns="a8ddf721-296e-4f2b-a851-8e6a7a121382">Collaboration</Panel_x0020_Establishmen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43D11-B069-4849-87C0-717BF15EC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fb1aa-3317-4082-a787-58d6ca030e27"/>
    <ds:schemaRef ds:uri="a8ddf721-296e-4f2b-a851-8e6a7a121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CA698-1DC4-41CD-927C-100CAFC12360}">
  <ds:schemaRefs>
    <ds:schemaRef ds:uri="http://schemas.microsoft.com/sharepoint/v3/contenttype/forms"/>
  </ds:schemaRefs>
</ds:datastoreItem>
</file>

<file path=customXml/itemProps3.xml><?xml version="1.0" encoding="utf-8"?>
<ds:datastoreItem xmlns:ds="http://schemas.openxmlformats.org/officeDocument/2006/customXml" ds:itemID="{EFC4E286-C906-44E6-ABDB-5723E2543FE6}">
  <ds:schemaRefs>
    <ds:schemaRef ds:uri="http://schemas.microsoft.com/office/2006/metadata/properties"/>
    <ds:schemaRef ds:uri="http://schemas.microsoft.com/office/infopath/2007/PartnerControls"/>
    <ds:schemaRef ds:uri="e9cfb1aa-3317-4082-a787-58d6ca030e27"/>
    <ds:schemaRef ds:uri="a8ddf721-296e-4f2b-a851-8e6a7a121382"/>
  </ds:schemaRefs>
</ds:datastoreItem>
</file>

<file path=customXml/itemProps4.xml><?xml version="1.0" encoding="utf-8"?>
<ds:datastoreItem xmlns:ds="http://schemas.openxmlformats.org/officeDocument/2006/customXml" ds:itemID="{215CC250-8E71-4BD0-BC4C-B85EADA81321}">
  <ds:schemaRefs>
    <ds:schemaRef ds:uri="http://schemas.microsoft.com/sharepoint/events"/>
  </ds:schemaRefs>
</ds:datastoreItem>
</file>

<file path=customXml/itemProps5.xml><?xml version="1.0" encoding="utf-8"?>
<ds:datastoreItem xmlns:ds="http://schemas.openxmlformats.org/officeDocument/2006/customXml" ds:itemID="{84F3EBEE-FEAC-4159-AF1F-E07EFE700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42</Pages>
  <Words>13214</Words>
  <Characters>77563</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FDA Internal Review</vt:lpstr>
    </vt:vector>
  </TitlesOfParts>
  <Company>RTI International</Company>
  <LinksUpToDate>false</LinksUpToDate>
  <CharactersWithSpaces>90596</CharactersWithSpaces>
  <SharedDoc>false</SharedDoc>
  <HLinks>
    <vt:vector size="312" baseType="variant">
      <vt:variant>
        <vt:i4>7864443</vt:i4>
      </vt:variant>
      <vt:variant>
        <vt:i4>332</vt:i4>
      </vt:variant>
      <vt:variant>
        <vt:i4>0</vt:i4>
      </vt:variant>
      <vt:variant>
        <vt:i4>5</vt:i4>
      </vt:variant>
      <vt:variant>
        <vt:lpwstr>http://www.pewinternet.org/2013/09/25/whos-not-online-and-why/</vt:lpwstr>
      </vt:variant>
      <vt:variant>
        <vt:lpwstr/>
      </vt:variant>
      <vt:variant>
        <vt:i4>7733293</vt:i4>
      </vt:variant>
      <vt:variant>
        <vt:i4>329</vt:i4>
      </vt:variant>
      <vt:variant>
        <vt:i4>0</vt:i4>
      </vt:variant>
      <vt:variant>
        <vt:i4>5</vt:i4>
      </vt:variant>
      <vt:variant>
        <vt:lpwstr>http://www.census.gov/prod/2013pubs/p20-569.pdf</vt:lpwstr>
      </vt:variant>
      <vt:variant>
        <vt:lpwstr/>
      </vt:variant>
      <vt:variant>
        <vt:i4>1245241</vt:i4>
      </vt:variant>
      <vt:variant>
        <vt:i4>298</vt:i4>
      </vt:variant>
      <vt:variant>
        <vt:i4>0</vt:i4>
      </vt:variant>
      <vt:variant>
        <vt:i4>5</vt:i4>
      </vt:variant>
      <vt:variant>
        <vt:lpwstr/>
      </vt:variant>
      <vt:variant>
        <vt:lpwstr>_Toc394481685</vt:lpwstr>
      </vt:variant>
      <vt:variant>
        <vt:i4>1245241</vt:i4>
      </vt:variant>
      <vt:variant>
        <vt:i4>292</vt:i4>
      </vt:variant>
      <vt:variant>
        <vt:i4>0</vt:i4>
      </vt:variant>
      <vt:variant>
        <vt:i4>5</vt:i4>
      </vt:variant>
      <vt:variant>
        <vt:lpwstr/>
      </vt:variant>
      <vt:variant>
        <vt:lpwstr>_Toc394481684</vt:lpwstr>
      </vt:variant>
      <vt:variant>
        <vt:i4>1245241</vt:i4>
      </vt:variant>
      <vt:variant>
        <vt:i4>286</vt:i4>
      </vt:variant>
      <vt:variant>
        <vt:i4>0</vt:i4>
      </vt:variant>
      <vt:variant>
        <vt:i4>5</vt:i4>
      </vt:variant>
      <vt:variant>
        <vt:lpwstr/>
      </vt:variant>
      <vt:variant>
        <vt:lpwstr>_Toc394481683</vt:lpwstr>
      </vt:variant>
      <vt:variant>
        <vt:i4>1245241</vt:i4>
      </vt:variant>
      <vt:variant>
        <vt:i4>280</vt:i4>
      </vt:variant>
      <vt:variant>
        <vt:i4>0</vt:i4>
      </vt:variant>
      <vt:variant>
        <vt:i4>5</vt:i4>
      </vt:variant>
      <vt:variant>
        <vt:lpwstr/>
      </vt:variant>
      <vt:variant>
        <vt:lpwstr>_Toc394481682</vt:lpwstr>
      </vt:variant>
      <vt:variant>
        <vt:i4>1245241</vt:i4>
      </vt:variant>
      <vt:variant>
        <vt:i4>274</vt:i4>
      </vt:variant>
      <vt:variant>
        <vt:i4>0</vt:i4>
      </vt:variant>
      <vt:variant>
        <vt:i4>5</vt:i4>
      </vt:variant>
      <vt:variant>
        <vt:lpwstr/>
      </vt:variant>
      <vt:variant>
        <vt:lpwstr>_Toc394481681</vt:lpwstr>
      </vt:variant>
      <vt:variant>
        <vt:i4>1245241</vt:i4>
      </vt:variant>
      <vt:variant>
        <vt:i4>268</vt:i4>
      </vt:variant>
      <vt:variant>
        <vt:i4>0</vt:i4>
      </vt:variant>
      <vt:variant>
        <vt:i4>5</vt:i4>
      </vt:variant>
      <vt:variant>
        <vt:lpwstr/>
      </vt:variant>
      <vt:variant>
        <vt:lpwstr>_Toc394481680</vt:lpwstr>
      </vt:variant>
      <vt:variant>
        <vt:i4>1835065</vt:i4>
      </vt:variant>
      <vt:variant>
        <vt:i4>262</vt:i4>
      </vt:variant>
      <vt:variant>
        <vt:i4>0</vt:i4>
      </vt:variant>
      <vt:variant>
        <vt:i4>5</vt:i4>
      </vt:variant>
      <vt:variant>
        <vt:lpwstr/>
      </vt:variant>
      <vt:variant>
        <vt:lpwstr>_Toc394481679</vt:lpwstr>
      </vt:variant>
      <vt:variant>
        <vt:i4>1835065</vt:i4>
      </vt:variant>
      <vt:variant>
        <vt:i4>256</vt:i4>
      </vt:variant>
      <vt:variant>
        <vt:i4>0</vt:i4>
      </vt:variant>
      <vt:variant>
        <vt:i4>5</vt:i4>
      </vt:variant>
      <vt:variant>
        <vt:lpwstr/>
      </vt:variant>
      <vt:variant>
        <vt:lpwstr>_Toc394481678</vt:lpwstr>
      </vt:variant>
      <vt:variant>
        <vt:i4>1835065</vt:i4>
      </vt:variant>
      <vt:variant>
        <vt:i4>250</vt:i4>
      </vt:variant>
      <vt:variant>
        <vt:i4>0</vt:i4>
      </vt:variant>
      <vt:variant>
        <vt:i4>5</vt:i4>
      </vt:variant>
      <vt:variant>
        <vt:lpwstr/>
      </vt:variant>
      <vt:variant>
        <vt:lpwstr>_Toc394481677</vt:lpwstr>
      </vt:variant>
      <vt:variant>
        <vt:i4>1835065</vt:i4>
      </vt:variant>
      <vt:variant>
        <vt:i4>244</vt:i4>
      </vt:variant>
      <vt:variant>
        <vt:i4>0</vt:i4>
      </vt:variant>
      <vt:variant>
        <vt:i4>5</vt:i4>
      </vt:variant>
      <vt:variant>
        <vt:lpwstr/>
      </vt:variant>
      <vt:variant>
        <vt:lpwstr>_Toc394481676</vt:lpwstr>
      </vt:variant>
      <vt:variant>
        <vt:i4>1835065</vt:i4>
      </vt:variant>
      <vt:variant>
        <vt:i4>238</vt:i4>
      </vt:variant>
      <vt:variant>
        <vt:i4>0</vt:i4>
      </vt:variant>
      <vt:variant>
        <vt:i4>5</vt:i4>
      </vt:variant>
      <vt:variant>
        <vt:lpwstr/>
      </vt:variant>
      <vt:variant>
        <vt:lpwstr>_Toc394481675</vt:lpwstr>
      </vt:variant>
      <vt:variant>
        <vt:i4>1835065</vt:i4>
      </vt:variant>
      <vt:variant>
        <vt:i4>232</vt:i4>
      </vt:variant>
      <vt:variant>
        <vt:i4>0</vt:i4>
      </vt:variant>
      <vt:variant>
        <vt:i4>5</vt:i4>
      </vt:variant>
      <vt:variant>
        <vt:lpwstr/>
      </vt:variant>
      <vt:variant>
        <vt:lpwstr>_Toc394481674</vt:lpwstr>
      </vt:variant>
      <vt:variant>
        <vt:i4>1835065</vt:i4>
      </vt:variant>
      <vt:variant>
        <vt:i4>226</vt:i4>
      </vt:variant>
      <vt:variant>
        <vt:i4>0</vt:i4>
      </vt:variant>
      <vt:variant>
        <vt:i4>5</vt:i4>
      </vt:variant>
      <vt:variant>
        <vt:lpwstr/>
      </vt:variant>
      <vt:variant>
        <vt:lpwstr>_Toc394481673</vt:lpwstr>
      </vt:variant>
      <vt:variant>
        <vt:i4>1835065</vt:i4>
      </vt:variant>
      <vt:variant>
        <vt:i4>220</vt:i4>
      </vt:variant>
      <vt:variant>
        <vt:i4>0</vt:i4>
      </vt:variant>
      <vt:variant>
        <vt:i4>5</vt:i4>
      </vt:variant>
      <vt:variant>
        <vt:lpwstr/>
      </vt:variant>
      <vt:variant>
        <vt:lpwstr>_Toc394481672</vt:lpwstr>
      </vt:variant>
      <vt:variant>
        <vt:i4>1835065</vt:i4>
      </vt:variant>
      <vt:variant>
        <vt:i4>214</vt:i4>
      </vt:variant>
      <vt:variant>
        <vt:i4>0</vt:i4>
      </vt:variant>
      <vt:variant>
        <vt:i4>5</vt:i4>
      </vt:variant>
      <vt:variant>
        <vt:lpwstr/>
      </vt:variant>
      <vt:variant>
        <vt:lpwstr>_Toc394481671</vt:lpwstr>
      </vt:variant>
      <vt:variant>
        <vt:i4>1835065</vt:i4>
      </vt:variant>
      <vt:variant>
        <vt:i4>208</vt:i4>
      </vt:variant>
      <vt:variant>
        <vt:i4>0</vt:i4>
      </vt:variant>
      <vt:variant>
        <vt:i4>5</vt:i4>
      </vt:variant>
      <vt:variant>
        <vt:lpwstr/>
      </vt:variant>
      <vt:variant>
        <vt:lpwstr>_Toc394481670</vt:lpwstr>
      </vt:variant>
      <vt:variant>
        <vt:i4>1900601</vt:i4>
      </vt:variant>
      <vt:variant>
        <vt:i4>202</vt:i4>
      </vt:variant>
      <vt:variant>
        <vt:i4>0</vt:i4>
      </vt:variant>
      <vt:variant>
        <vt:i4>5</vt:i4>
      </vt:variant>
      <vt:variant>
        <vt:lpwstr/>
      </vt:variant>
      <vt:variant>
        <vt:lpwstr>_Toc394481669</vt:lpwstr>
      </vt:variant>
      <vt:variant>
        <vt:i4>1900601</vt:i4>
      </vt:variant>
      <vt:variant>
        <vt:i4>196</vt:i4>
      </vt:variant>
      <vt:variant>
        <vt:i4>0</vt:i4>
      </vt:variant>
      <vt:variant>
        <vt:i4>5</vt:i4>
      </vt:variant>
      <vt:variant>
        <vt:lpwstr/>
      </vt:variant>
      <vt:variant>
        <vt:lpwstr>_Toc394481668</vt:lpwstr>
      </vt:variant>
      <vt:variant>
        <vt:i4>1900601</vt:i4>
      </vt:variant>
      <vt:variant>
        <vt:i4>190</vt:i4>
      </vt:variant>
      <vt:variant>
        <vt:i4>0</vt:i4>
      </vt:variant>
      <vt:variant>
        <vt:i4>5</vt:i4>
      </vt:variant>
      <vt:variant>
        <vt:lpwstr/>
      </vt:variant>
      <vt:variant>
        <vt:lpwstr>_Toc394481667</vt:lpwstr>
      </vt:variant>
      <vt:variant>
        <vt:i4>1900601</vt:i4>
      </vt:variant>
      <vt:variant>
        <vt:i4>184</vt:i4>
      </vt:variant>
      <vt:variant>
        <vt:i4>0</vt:i4>
      </vt:variant>
      <vt:variant>
        <vt:i4>5</vt:i4>
      </vt:variant>
      <vt:variant>
        <vt:lpwstr/>
      </vt:variant>
      <vt:variant>
        <vt:lpwstr>_Toc394481666</vt:lpwstr>
      </vt:variant>
      <vt:variant>
        <vt:i4>1900601</vt:i4>
      </vt:variant>
      <vt:variant>
        <vt:i4>178</vt:i4>
      </vt:variant>
      <vt:variant>
        <vt:i4>0</vt:i4>
      </vt:variant>
      <vt:variant>
        <vt:i4>5</vt:i4>
      </vt:variant>
      <vt:variant>
        <vt:lpwstr/>
      </vt:variant>
      <vt:variant>
        <vt:lpwstr>_Toc394481665</vt:lpwstr>
      </vt:variant>
      <vt:variant>
        <vt:i4>1900601</vt:i4>
      </vt:variant>
      <vt:variant>
        <vt:i4>172</vt:i4>
      </vt:variant>
      <vt:variant>
        <vt:i4>0</vt:i4>
      </vt:variant>
      <vt:variant>
        <vt:i4>5</vt:i4>
      </vt:variant>
      <vt:variant>
        <vt:lpwstr/>
      </vt:variant>
      <vt:variant>
        <vt:lpwstr>_Toc394481664</vt:lpwstr>
      </vt:variant>
      <vt:variant>
        <vt:i4>1900601</vt:i4>
      </vt:variant>
      <vt:variant>
        <vt:i4>166</vt:i4>
      </vt:variant>
      <vt:variant>
        <vt:i4>0</vt:i4>
      </vt:variant>
      <vt:variant>
        <vt:i4>5</vt:i4>
      </vt:variant>
      <vt:variant>
        <vt:lpwstr/>
      </vt:variant>
      <vt:variant>
        <vt:lpwstr>_Toc394481663</vt:lpwstr>
      </vt:variant>
      <vt:variant>
        <vt:i4>1900601</vt:i4>
      </vt:variant>
      <vt:variant>
        <vt:i4>160</vt:i4>
      </vt:variant>
      <vt:variant>
        <vt:i4>0</vt:i4>
      </vt:variant>
      <vt:variant>
        <vt:i4>5</vt:i4>
      </vt:variant>
      <vt:variant>
        <vt:lpwstr/>
      </vt:variant>
      <vt:variant>
        <vt:lpwstr>_Toc394481662</vt:lpwstr>
      </vt:variant>
      <vt:variant>
        <vt:i4>1900601</vt:i4>
      </vt:variant>
      <vt:variant>
        <vt:i4>154</vt:i4>
      </vt:variant>
      <vt:variant>
        <vt:i4>0</vt:i4>
      </vt:variant>
      <vt:variant>
        <vt:i4>5</vt:i4>
      </vt:variant>
      <vt:variant>
        <vt:lpwstr/>
      </vt:variant>
      <vt:variant>
        <vt:lpwstr>_Toc394481661</vt:lpwstr>
      </vt:variant>
      <vt:variant>
        <vt:i4>1900601</vt:i4>
      </vt:variant>
      <vt:variant>
        <vt:i4>148</vt:i4>
      </vt:variant>
      <vt:variant>
        <vt:i4>0</vt:i4>
      </vt:variant>
      <vt:variant>
        <vt:i4>5</vt:i4>
      </vt:variant>
      <vt:variant>
        <vt:lpwstr/>
      </vt:variant>
      <vt:variant>
        <vt:lpwstr>_Toc394481660</vt:lpwstr>
      </vt:variant>
      <vt:variant>
        <vt:i4>1966137</vt:i4>
      </vt:variant>
      <vt:variant>
        <vt:i4>142</vt:i4>
      </vt:variant>
      <vt:variant>
        <vt:i4>0</vt:i4>
      </vt:variant>
      <vt:variant>
        <vt:i4>5</vt:i4>
      </vt:variant>
      <vt:variant>
        <vt:lpwstr/>
      </vt:variant>
      <vt:variant>
        <vt:lpwstr>_Toc394481659</vt:lpwstr>
      </vt:variant>
      <vt:variant>
        <vt:i4>1966137</vt:i4>
      </vt:variant>
      <vt:variant>
        <vt:i4>136</vt:i4>
      </vt:variant>
      <vt:variant>
        <vt:i4>0</vt:i4>
      </vt:variant>
      <vt:variant>
        <vt:i4>5</vt:i4>
      </vt:variant>
      <vt:variant>
        <vt:lpwstr/>
      </vt:variant>
      <vt:variant>
        <vt:lpwstr>_Toc394481658</vt:lpwstr>
      </vt:variant>
      <vt:variant>
        <vt:i4>1966137</vt:i4>
      </vt:variant>
      <vt:variant>
        <vt:i4>130</vt:i4>
      </vt:variant>
      <vt:variant>
        <vt:i4>0</vt:i4>
      </vt:variant>
      <vt:variant>
        <vt:i4>5</vt:i4>
      </vt:variant>
      <vt:variant>
        <vt:lpwstr/>
      </vt:variant>
      <vt:variant>
        <vt:lpwstr>_Toc394481657</vt:lpwstr>
      </vt:variant>
      <vt:variant>
        <vt:i4>1966137</vt:i4>
      </vt:variant>
      <vt:variant>
        <vt:i4>124</vt:i4>
      </vt:variant>
      <vt:variant>
        <vt:i4>0</vt:i4>
      </vt:variant>
      <vt:variant>
        <vt:i4>5</vt:i4>
      </vt:variant>
      <vt:variant>
        <vt:lpwstr/>
      </vt:variant>
      <vt:variant>
        <vt:lpwstr>_Toc394481656</vt:lpwstr>
      </vt:variant>
      <vt:variant>
        <vt:i4>1966137</vt:i4>
      </vt:variant>
      <vt:variant>
        <vt:i4>118</vt:i4>
      </vt:variant>
      <vt:variant>
        <vt:i4>0</vt:i4>
      </vt:variant>
      <vt:variant>
        <vt:i4>5</vt:i4>
      </vt:variant>
      <vt:variant>
        <vt:lpwstr/>
      </vt:variant>
      <vt:variant>
        <vt:lpwstr>_Toc394481655</vt:lpwstr>
      </vt:variant>
      <vt:variant>
        <vt:i4>1966137</vt:i4>
      </vt:variant>
      <vt:variant>
        <vt:i4>112</vt:i4>
      </vt:variant>
      <vt:variant>
        <vt:i4>0</vt:i4>
      </vt:variant>
      <vt:variant>
        <vt:i4>5</vt:i4>
      </vt:variant>
      <vt:variant>
        <vt:lpwstr/>
      </vt:variant>
      <vt:variant>
        <vt:lpwstr>_Toc394481654</vt:lpwstr>
      </vt:variant>
      <vt:variant>
        <vt:i4>1966137</vt:i4>
      </vt:variant>
      <vt:variant>
        <vt:i4>106</vt:i4>
      </vt:variant>
      <vt:variant>
        <vt:i4>0</vt:i4>
      </vt:variant>
      <vt:variant>
        <vt:i4>5</vt:i4>
      </vt:variant>
      <vt:variant>
        <vt:lpwstr/>
      </vt:variant>
      <vt:variant>
        <vt:lpwstr>_Toc394481653</vt:lpwstr>
      </vt:variant>
      <vt:variant>
        <vt:i4>1966137</vt:i4>
      </vt:variant>
      <vt:variant>
        <vt:i4>100</vt:i4>
      </vt:variant>
      <vt:variant>
        <vt:i4>0</vt:i4>
      </vt:variant>
      <vt:variant>
        <vt:i4>5</vt:i4>
      </vt:variant>
      <vt:variant>
        <vt:lpwstr/>
      </vt:variant>
      <vt:variant>
        <vt:lpwstr>_Toc394481652</vt:lpwstr>
      </vt:variant>
      <vt:variant>
        <vt:i4>1966137</vt:i4>
      </vt:variant>
      <vt:variant>
        <vt:i4>94</vt:i4>
      </vt:variant>
      <vt:variant>
        <vt:i4>0</vt:i4>
      </vt:variant>
      <vt:variant>
        <vt:i4>5</vt:i4>
      </vt:variant>
      <vt:variant>
        <vt:lpwstr/>
      </vt:variant>
      <vt:variant>
        <vt:lpwstr>_Toc394481651</vt:lpwstr>
      </vt:variant>
      <vt:variant>
        <vt:i4>1966137</vt:i4>
      </vt:variant>
      <vt:variant>
        <vt:i4>88</vt:i4>
      </vt:variant>
      <vt:variant>
        <vt:i4>0</vt:i4>
      </vt:variant>
      <vt:variant>
        <vt:i4>5</vt:i4>
      </vt:variant>
      <vt:variant>
        <vt:lpwstr/>
      </vt:variant>
      <vt:variant>
        <vt:lpwstr>_Toc394481650</vt:lpwstr>
      </vt:variant>
      <vt:variant>
        <vt:i4>2031673</vt:i4>
      </vt:variant>
      <vt:variant>
        <vt:i4>82</vt:i4>
      </vt:variant>
      <vt:variant>
        <vt:i4>0</vt:i4>
      </vt:variant>
      <vt:variant>
        <vt:i4>5</vt:i4>
      </vt:variant>
      <vt:variant>
        <vt:lpwstr/>
      </vt:variant>
      <vt:variant>
        <vt:lpwstr>_Toc394481649</vt:lpwstr>
      </vt:variant>
      <vt:variant>
        <vt:i4>2031673</vt:i4>
      </vt:variant>
      <vt:variant>
        <vt:i4>76</vt:i4>
      </vt:variant>
      <vt:variant>
        <vt:i4>0</vt:i4>
      </vt:variant>
      <vt:variant>
        <vt:i4>5</vt:i4>
      </vt:variant>
      <vt:variant>
        <vt:lpwstr/>
      </vt:variant>
      <vt:variant>
        <vt:lpwstr>_Toc394481648</vt:lpwstr>
      </vt:variant>
      <vt:variant>
        <vt:i4>2031673</vt:i4>
      </vt:variant>
      <vt:variant>
        <vt:i4>70</vt:i4>
      </vt:variant>
      <vt:variant>
        <vt:i4>0</vt:i4>
      </vt:variant>
      <vt:variant>
        <vt:i4>5</vt:i4>
      </vt:variant>
      <vt:variant>
        <vt:lpwstr/>
      </vt:variant>
      <vt:variant>
        <vt:lpwstr>_Toc394481647</vt:lpwstr>
      </vt:variant>
      <vt:variant>
        <vt:i4>2031673</vt:i4>
      </vt:variant>
      <vt:variant>
        <vt:i4>64</vt:i4>
      </vt:variant>
      <vt:variant>
        <vt:i4>0</vt:i4>
      </vt:variant>
      <vt:variant>
        <vt:i4>5</vt:i4>
      </vt:variant>
      <vt:variant>
        <vt:lpwstr/>
      </vt:variant>
      <vt:variant>
        <vt:lpwstr>_Toc394481646</vt:lpwstr>
      </vt:variant>
      <vt:variant>
        <vt:i4>2031673</vt:i4>
      </vt:variant>
      <vt:variant>
        <vt:i4>58</vt:i4>
      </vt:variant>
      <vt:variant>
        <vt:i4>0</vt:i4>
      </vt:variant>
      <vt:variant>
        <vt:i4>5</vt:i4>
      </vt:variant>
      <vt:variant>
        <vt:lpwstr/>
      </vt:variant>
      <vt:variant>
        <vt:lpwstr>_Toc394481645</vt:lpwstr>
      </vt:variant>
      <vt:variant>
        <vt:i4>2031673</vt:i4>
      </vt:variant>
      <vt:variant>
        <vt:i4>52</vt:i4>
      </vt:variant>
      <vt:variant>
        <vt:i4>0</vt:i4>
      </vt:variant>
      <vt:variant>
        <vt:i4>5</vt:i4>
      </vt:variant>
      <vt:variant>
        <vt:lpwstr/>
      </vt:variant>
      <vt:variant>
        <vt:lpwstr>_Toc394481644</vt:lpwstr>
      </vt:variant>
      <vt:variant>
        <vt:i4>2031673</vt:i4>
      </vt:variant>
      <vt:variant>
        <vt:i4>46</vt:i4>
      </vt:variant>
      <vt:variant>
        <vt:i4>0</vt:i4>
      </vt:variant>
      <vt:variant>
        <vt:i4>5</vt:i4>
      </vt:variant>
      <vt:variant>
        <vt:lpwstr/>
      </vt:variant>
      <vt:variant>
        <vt:lpwstr>_Toc394481643</vt:lpwstr>
      </vt:variant>
      <vt:variant>
        <vt:i4>2031673</vt:i4>
      </vt:variant>
      <vt:variant>
        <vt:i4>40</vt:i4>
      </vt:variant>
      <vt:variant>
        <vt:i4>0</vt:i4>
      </vt:variant>
      <vt:variant>
        <vt:i4>5</vt:i4>
      </vt:variant>
      <vt:variant>
        <vt:lpwstr/>
      </vt:variant>
      <vt:variant>
        <vt:lpwstr>_Toc394481642</vt:lpwstr>
      </vt:variant>
      <vt:variant>
        <vt:i4>2031673</vt:i4>
      </vt:variant>
      <vt:variant>
        <vt:i4>34</vt:i4>
      </vt:variant>
      <vt:variant>
        <vt:i4>0</vt:i4>
      </vt:variant>
      <vt:variant>
        <vt:i4>5</vt:i4>
      </vt:variant>
      <vt:variant>
        <vt:lpwstr/>
      </vt:variant>
      <vt:variant>
        <vt:lpwstr>_Toc394481641</vt:lpwstr>
      </vt:variant>
      <vt:variant>
        <vt:i4>2031673</vt:i4>
      </vt:variant>
      <vt:variant>
        <vt:i4>28</vt:i4>
      </vt:variant>
      <vt:variant>
        <vt:i4>0</vt:i4>
      </vt:variant>
      <vt:variant>
        <vt:i4>5</vt:i4>
      </vt:variant>
      <vt:variant>
        <vt:lpwstr/>
      </vt:variant>
      <vt:variant>
        <vt:lpwstr>_Toc394481640</vt:lpwstr>
      </vt:variant>
      <vt:variant>
        <vt:i4>1572921</vt:i4>
      </vt:variant>
      <vt:variant>
        <vt:i4>22</vt:i4>
      </vt:variant>
      <vt:variant>
        <vt:i4>0</vt:i4>
      </vt:variant>
      <vt:variant>
        <vt:i4>5</vt:i4>
      </vt:variant>
      <vt:variant>
        <vt:lpwstr/>
      </vt:variant>
      <vt:variant>
        <vt:lpwstr>_Toc394481639</vt:lpwstr>
      </vt:variant>
      <vt:variant>
        <vt:i4>1572921</vt:i4>
      </vt:variant>
      <vt:variant>
        <vt:i4>16</vt:i4>
      </vt:variant>
      <vt:variant>
        <vt:i4>0</vt:i4>
      </vt:variant>
      <vt:variant>
        <vt:i4>5</vt:i4>
      </vt:variant>
      <vt:variant>
        <vt:lpwstr/>
      </vt:variant>
      <vt:variant>
        <vt:lpwstr>_Toc394481638</vt:lpwstr>
      </vt:variant>
      <vt:variant>
        <vt:i4>1572921</vt:i4>
      </vt:variant>
      <vt:variant>
        <vt:i4>10</vt:i4>
      </vt:variant>
      <vt:variant>
        <vt:i4>0</vt:i4>
      </vt:variant>
      <vt:variant>
        <vt:i4>5</vt:i4>
      </vt:variant>
      <vt:variant>
        <vt:lpwstr/>
      </vt:variant>
      <vt:variant>
        <vt:lpwstr>_Toc394481637</vt:lpwstr>
      </vt:variant>
      <vt:variant>
        <vt:i4>1572921</vt:i4>
      </vt:variant>
      <vt:variant>
        <vt:i4>4</vt:i4>
      </vt:variant>
      <vt:variant>
        <vt:i4>0</vt:i4>
      </vt:variant>
      <vt:variant>
        <vt:i4>5</vt:i4>
      </vt:variant>
      <vt:variant>
        <vt:lpwstr/>
      </vt:variant>
      <vt:variant>
        <vt:lpwstr>_Toc394481636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 Internal Review</dc:title>
  <dc:creator>Radway, Anne</dc:creator>
  <cp:lastModifiedBy>Kinsey, Susan</cp:lastModifiedBy>
  <cp:revision>11</cp:revision>
  <cp:lastPrinted>2019-04-11T16:31:00Z</cp:lastPrinted>
  <dcterms:created xsi:type="dcterms:W3CDTF">2020-02-24T15:58:00Z</dcterms:created>
  <dcterms:modified xsi:type="dcterms:W3CDTF">2020-02-25T18:29:00Z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fe92e4ad-56f3-4383-a6c6-ebdc80c5cea4</vt:lpwstr>
  </property>
  <property fmtid="{D5CDD505-2E9C-101B-9397-08002B2CF9AE}" pid="3" name="ContentTypeId">
    <vt:lpwstr>0x010100A24597B2C0B0A2418DED3A005ED56BA3</vt:lpwstr>
  </property>
  <property fmtid="{D5CDD505-2E9C-101B-9397-08002B2CF9AE}" pid="4" name="Order">
    <vt:r8>14900</vt:r8>
  </property>
</Properties>
</file>